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C38826" w14:textId="68B52420" w:rsidR="00042DF5" w:rsidRDefault="002030A6" w:rsidP="00042DF5">
      <w:pPr>
        <w:spacing w:after="0" w:line="240" w:lineRule="auto"/>
        <w:jc w:val="both"/>
        <w:rPr>
          <w:rFonts w:ascii="Century Gothic" w:eastAsia="Calibri" w:hAnsi="Century Gothic" w:cs="Arial"/>
          <w:b/>
          <w:bCs/>
        </w:rPr>
      </w:pPr>
      <w:r>
        <w:rPr>
          <w:rFonts w:ascii="Century Gothic" w:eastAsia="Calibri" w:hAnsi="Century Gothic" w:cs="Arial"/>
          <w:b/>
          <w:bCs/>
        </w:rPr>
        <w:t xml:space="preserve">Bogotá, 27 de mayo de 2024 </w:t>
      </w:r>
    </w:p>
    <w:p w14:paraId="13DD5F8D" w14:textId="77777777" w:rsidR="00A410F7" w:rsidRDefault="00A410F7" w:rsidP="00042DF5">
      <w:pPr>
        <w:spacing w:after="0" w:line="240" w:lineRule="auto"/>
        <w:jc w:val="both"/>
        <w:rPr>
          <w:rFonts w:ascii="Century Gothic" w:eastAsia="Calibri" w:hAnsi="Century Gothic" w:cs="Arial"/>
          <w:b/>
          <w:bCs/>
        </w:rPr>
      </w:pPr>
    </w:p>
    <w:p w14:paraId="64FBDE46" w14:textId="45958883" w:rsidR="00A410F7" w:rsidRPr="00042DF5" w:rsidRDefault="00A410F7" w:rsidP="00A410F7">
      <w:pPr>
        <w:spacing w:after="0" w:line="240" w:lineRule="auto"/>
        <w:jc w:val="right"/>
        <w:rPr>
          <w:rFonts w:ascii="Century Gothic" w:eastAsia="Times New Roman" w:hAnsi="Century Gothic" w:cs="Arial"/>
          <w:sz w:val="20"/>
          <w:szCs w:val="20"/>
          <w:lang w:eastAsia="es-ES_tradnl"/>
        </w:rPr>
      </w:pPr>
      <w:r w:rsidRPr="00A410F7">
        <w:rPr>
          <w:rFonts w:ascii="Century Gothic" w:eastAsia="Times New Roman" w:hAnsi="Century Gothic" w:cs="Arial"/>
          <w:sz w:val="20"/>
          <w:szCs w:val="20"/>
          <w:lang w:eastAsia="es-ES_tradnl"/>
        </w:rPr>
        <w:drawing>
          <wp:inline distT="0" distB="0" distL="0" distR="0" wp14:anchorId="14A2D6B2" wp14:editId="46131A9E">
            <wp:extent cx="3305636" cy="1009791"/>
            <wp:effectExtent l="0" t="0" r="0" b="0"/>
            <wp:docPr id="1193356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356312" name=""/>
                    <pic:cNvPicPr/>
                  </pic:nvPicPr>
                  <pic:blipFill>
                    <a:blip r:embed="rId10"/>
                    <a:stretch>
                      <a:fillRect/>
                    </a:stretch>
                  </pic:blipFill>
                  <pic:spPr>
                    <a:xfrm>
                      <a:off x="0" y="0"/>
                      <a:ext cx="3305636" cy="1009791"/>
                    </a:xfrm>
                    <a:prstGeom prst="rect">
                      <a:avLst/>
                    </a:prstGeom>
                  </pic:spPr>
                </pic:pic>
              </a:graphicData>
            </a:graphic>
          </wp:inline>
        </w:drawing>
      </w:r>
    </w:p>
    <w:p w14:paraId="3D4AEF99" w14:textId="77777777" w:rsidR="00042DF5" w:rsidRPr="00042DF5" w:rsidRDefault="00042DF5" w:rsidP="00042DF5">
      <w:pPr>
        <w:tabs>
          <w:tab w:val="left" w:pos="3374"/>
        </w:tabs>
        <w:spacing w:after="0" w:line="240" w:lineRule="auto"/>
        <w:jc w:val="both"/>
        <w:rPr>
          <w:rFonts w:ascii="Century Gothic" w:eastAsia="Calibri" w:hAnsi="Century Gothic" w:cs="Arial"/>
          <w:sz w:val="20"/>
          <w:szCs w:val="20"/>
        </w:rPr>
      </w:pPr>
    </w:p>
    <w:p w14:paraId="7ED69998" w14:textId="77777777" w:rsidR="00042DF5" w:rsidRPr="00042DF5" w:rsidRDefault="00042DF5" w:rsidP="00042DF5">
      <w:pPr>
        <w:tabs>
          <w:tab w:val="left" w:pos="3374"/>
        </w:tabs>
        <w:spacing w:after="0" w:line="240" w:lineRule="auto"/>
        <w:jc w:val="both"/>
        <w:rPr>
          <w:rFonts w:ascii="Century Gothic" w:eastAsia="Calibri" w:hAnsi="Century Gothic" w:cs="Arial"/>
        </w:rPr>
      </w:pPr>
    </w:p>
    <w:p w14:paraId="09CF5455" w14:textId="77777777" w:rsidR="00042DF5" w:rsidRPr="00042DF5" w:rsidRDefault="00042DF5" w:rsidP="00042DF5">
      <w:pPr>
        <w:tabs>
          <w:tab w:val="left" w:pos="3374"/>
        </w:tabs>
        <w:spacing w:after="0" w:line="240" w:lineRule="auto"/>
        <w:jc w:val="both"/>
        <w:rPr>
          <w:rFonts w:ascii="Century Gothic" w:eastAsia="Calibri" w:hAnsi="Century Gothic" w:cs="Arial"/>
        </w:rPr>
      </w:pPr>
    </w:p>
    <w:p w14:paraId="71E2FAF2" w14:textId="77777777" w:rsidR="00042DF5" w:rsidRPr="00042DF5" w:rsidRDefault="00042DF5" w:rsidP="00042DF5">
      <w:pPr>
        <w:tabs>
          <w:tab w:val="left" w:pos="3374"/>
        </w:tabs>
        <w:spacing w:after="0" w:line="240" w:lineRule="auto"/>
        <w:jc w:val="both"/>
        <w:rPr>
          <w:rFonts w:ascii="Century Gothic" w:eastAsia="Calibri" w:hAnsi="Century Gothic" w:cs="Arial"/>
        </w:rPr>
      </w:pPr>
    </w:p>
    <w:p w14:paraId="2BC20D5A" w14:textId="77777777" w:rsidR="00042DF5" w:rsidRPr="00042DF5" w:rsidRDefault="00042DF5" w:rsidP="00042DF5">
      <w:pPr>
        <w:spacing w:after="0" w:line="276" w:lineRule="auto"/>
        <w:jc w:val="both"/>
        <w:rPr>
          <w:rFonts w:ascii="Century Gothic" w:eastAsia="Calibri" w:hAnsi="Century Gothic" w:cs="Arial"/>
        </w:rPr>
      </w:pPr>
      <w:r w:rsidRPr="00042DF5">
        <w:rPr>
          <w:rFonts w:ascii="Century Gothic" w:eastAsia="Calibri" w:hAnsi="Century Gothic" w:cs="Arial"/>
        </w:rPr>
        <w:t>Señor</w:t>
      </w:r>
    </w:p>
    <w:p w14:paraId="4E86FDDA" w14:textId="77777777" w:rsidR="00042DF5" w:rsidRPr="00D37F90" w:rsidRDefault="00042DF5" w:rsidP="00042DF5">
      <w:pPr>
        <w:spacing w:after="0" w:line="276" w:lineRule="auto"/>
        <w:jc w:val="both"/>
        <w:rPr>
          <w:rFonts w:ascii="Century Gothic" w:eastAsia="Calibri" w:hAnsi="Century Gothic" w:cs="Arial"/>
          <w:b/>
        </w:rPr>
      </w:pPr>
      <w:r w:rsidRPr="00D37F90">
        <w:rPr>
          <w:rFonts w:ascii="Century Gothic" w:eastAsia="Calibri" w:hAnsi="Century Gothic" w:cs="Arial"/>
          <w:b/>
        </w:rPr>
        <w:t>Ciudadano(a) Anónimo(a)</w:t>
      </w:r>
    </w:p>
    <w:p w14:paraId="2BC56AF7" w14:textId="77777777" w:rsidR="00042DF5" w:rsidRPr="00042DF5" w:rsidRDefault="00042DF5" w:rsidP="00042DF5">
      <w:pPr>
        <w:spacing w:after="0" w:line="276" w:lineRule="auto"/>
        <w:jc w:val="both"/>
        <w:rPr>
          <w:rFonts w:ascii="Century Gothic" w:eastAsia="Calibri" w:hAnsi="Century Gothic" w:cs="Arial"/>
        </w:rPr>
      </w:pPr>
      <w:r w:rsidRPr="00042DF5">
        <w:rPr>
          <w:rFonts w:ascii="Century Gothic" w:eastAsia="Calibri" w:hAnsi="Century Gothic" w:cs="Arial"/>
        </w:rPr>
        <w:t xml:space="preserve">Pasto, Nariño </w:t>
      </w:r>
    </w:p>
    <w:p w14:paraId="4FA5463E" w14:textId="77777777" w:rsidR="00042DF5" w:rsidRPr="00042DF5" w:rsidRDefault="00042DF5" w:rsidP="00042DF5">
      <w:pPr>
        <w:spacing w:after="0" w:line="240" w:lineRule="auto"/>
        <w:jc w:val="both"/>
        <w:rPr>
          <w:rFonts w:ascii="Century Gothic" w:eastAsia="Calibri" w:hAnsi="Century Gothic" w:cs="Arial"/>
        </w:rPr>
      </w:pPr>
    </w:p>
    <w:p w14:paraId="1284A16D" w14:textId="77777777" w:rsidR="00042DF5" w:rsidRPr="00042DF5" w:rsidRDefault="00042DF5" w:rsidP="00042DF5">
      <w:pPr>
        <w:spacing w:after="0" w:line="240" w:lineRule="auto"/>
        <w:jc w:val="both"/>
        <w:rPr>
          <w:rFonts w:ascii="Century Gothic" w:eastAsia="Calibri" w:hAnsi="Century Gothic" w:cs="Arial"/>
        </w:rPr>
      </w:pPr>
    </w:p>
    <w:p w14:paraId="05319177" w14:textId="77777777" w:rsidR="00042DF5" w:rsidRPr="00042DF5" w:rsidRDefault="00042DF5" w:rsidP="00042DF5">
      <w:pPr>
        <w:spacing w:after="0" w:line="240" w:lineRule="auto"/>
        <w:jc w:val="both"/>
        <w:rPr>
          <w:rFonts w:ascii="Century Gothic" w:eastAsia="Calibri" w:hAnsi="Century Gothic" w:cs="Arial"/>
        </w:rPr>
      </w:pPr>
      <w:r w:rsidRPr="00042DF5">
        <w:rPr>
          <w:rFonts w:ascii="Century Gothic" w:eastAsia="Calibri" w:hAnsi="Century Gothic" w:cs="Arial"/>
        </w:rPr>
        <w:t xml:space="preserve">                                            </w:t>
      </w:r>
      <w:r w:rsidRPr="00042DF5">
        <w:rPr>
          <w:rFonts w:ascii="Century Gothic" w:eastAsia="Calibri" w:hAnsi="Century Gothic" w:cs="Arial"/>
          <w:b/>
        </w:rPr>
        <w:t>Concepto C – 077 de 2024</w:t>
      </w:r>
      <w:r w:rsidRPr="00042DF5">
        <w:rPr>
          <w:rFonts w:ascii="Century Gothic" w:eastAsia="Calibri" w:hAnsi="Century Gothic" w:cs="Arial"/>
        </w:rPr>
        <w:t xml:space="preserve"> </w:t>
      </w:r>
    </w:p>
    <w:p w14:paraId="59A644EA" w14:textId="77777777" w:rsidR="00042DF5" w:rsidRPr="00042DF5" w:rsidRDefault="00042DF5" w:rsidP="00042DF5">
      <w:pPr>
        <w:spacing w:after="0" w:line="240" w:lineRule="auto"/>
        <w:jc w:val="both"/>
        <w:rPr>
          <w:rFonts w:ascii="Century Gothic" w:eastAsia="Calibri" w:hAnsi="Century Gothic"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32"/>
      </w:tblGrid>
      <w:tr w:rsidR="00042DF5" w:rsidRPr="00042DF5" w14:paraId="7B4CC272" w14:textId="77777777">
        <w:trPr>
          <w:trHeight w:val="1038"/>
        </w:trPr>
        <w:tc>
          <w:tcPr>
            <w:tcW w:w="2694" w:type="dxa"/>
            <w:hideMark/>
          </w:tcPr>
          <w:p w14:paraId="5AAEB82C" w14:textId="77777777" w:rsidR="00042DF5" w:rsidRPr="00042DF5" w:rsidRDefault="00042DF5" w:rsidP="00042DF5">
            <w:pPr>
              <w:contextualSpacing/>
              <w:rPr>
                <w:rFonts w:ascii="Century Gothic" w:eastAsia="Calibri" w:hAnsi="Century Gothic" w:cs="Arial"/>
                <w:b/>
                <w:noProof/>
              </w:rPr>
            </w:pPr>
            <w:r w:rsidRPr="00042DF5">
              <w:rPr>
                <w:rFonts w:ascii="Century Gothic" w:eastAsia="Calibri" w:hAnsi="Century Gothic" w:cs="Arial"/>
                <w:b/>
                <w:noProof/>
              </w:rPr>
              <w:t xml:space="preserve">Temas:        </w:t>
            </w:r>
          </w:p>
        </w:tc>
        <w:tc>
          <w:tcPr>
            <w:tcW w:w="6232" w:type="dxa"/>
            <w:hideMark/>
          </w:tcPr>
          <w:p w14:paraId="7BDC50CA" w14:textId="77777777" w:rsidR="00042DF5" w:rsidRPr="00042DF5" w:rsidRDefault="00042DF5" w:rsidP="00042DF5">
            <w:pPr>
              <w:spacing w:after="120"/>
              <w:jc w:val="both"/>
              <w:rPr>
                <w:rFonts w:ascii="Century Gothic" w:eastAsia="Calibri" w:hAnsi="Century Gothic" w:cs="Arial"/>
                <w:bCs/>
              </w:rPr>
            </w:pPr>
            <w:r w:rsidRPr="00042DF5">
              <w:rPr>
                <w:rFonts w:ascii="Century Gothic" w:eastAsia="Calibri" w:hAnsi="Century Gothic" w:cs="Arial"/>
                <w:bCs/>
              </w:rPr>
              <w:t xml:space="preserve">CONSTITUCIÓN DE ASOCIACIONES Y FUNDACIONES - Actividades propias de las entidades públicas - Participación de personas jurídicas particulares / </w:t>
            </w:r>
            <w:r w:rsidRPr="00042DF5">
              <w:rPr>
                <w:rFonts w:ascii="Century Gothic" w:eastAsia="Calibri" w:hAnsi="Century Gothic" w:cs="Arial"/>
              </w:rPr>
              <w:t xml:space="preserve">CONVENIOS ADMINISTRATIVOS DE ASOCIACION Y CONVENIOS MIXTOS DE ORGANIZACIÓN –Definición - diferencias – participación de personas jurídicas particulares / </w:t>
            </w:r>
            <w:r w:rsidRPr="00042DF5">
              <w:rPr>
                <w:rFonts w:ascii="Century Gothic" w:eastAsia="Calibri" w:hAnsi="Century Gothic" w:cs="Arial"/>
                <w:bCs/>
              </w:rPr>
              <w:t>ASOCIACIONES Y FUNDACIONES DE CARÁCTER MIXTO - Régimen jurídico – Participación mayoritaria del Estado - Estatuto General de Contratación de la Administración Pública / ASOCIACIONES Y FUNDACIONES DE CARÁCTER MIXTO – Naturaleza jurídica– Participación mayoritaria del Estado – aportes</w:t>
            </w:r>
          </w:p>
          <w:p w14:paraId="4E14494C" w14:textId="77777777" w:rsidR="00042DF5" w:rsidRPr="00042DF5" w:rsidRDefault="00042DF5" w:rsidP="00042DF5">
            <w:pPr>
              <w:contextualSpacing/>
              <w:rPr>
                <w:rFonts w:ascii="Century Gothic" w:eastAsia="Calibri" w:hAnsi="Century Gothic" w:cs="Arial"/>
                <w:bCs/>
              </w:rPr>
            </w:pPr>
          </w:p>
        </w:tc>
      </w:tr>
      <w:tr w:rsidR="00042DF5" w:rsidRPr="00042DF5" w14:paraId="5F659F96" w14:textId="77777777">
        <w:trPr>
          <w:trHeight w:val="198"/>
        </w:trPr>
        <w:tc>
          <w:tcPr>
            <w:tcW w:w="2694" w:type="dxa"/>
          </w:tcPr>
          <w:p w14:paraId="4ACC8773" w14:textId="77777777" w:rsidR="00042DF5" w:rsidRPr="00042DF5" w:rsidRDefault="00042DF5" w:rsidP="00042DF5">
            <w:pPr>
              <w:contextualSpacing/>
              <w:rPr>
                <w:rFonts w:ascii="Century Gothic" w:eastAsia="Calibri" w:hAnsi="Century Gothic" w:cs="Arial"/>
                <w:b/>
                <w:noProof/>
              </w:rPr>
            </w:pPr>
            <w:r w:rsidRPr="00042DF5">
              <w:rPr>
                <w:rFonts w:ascii="Century Gothic" w:eastAsia="Calibri" w:hAnsi="Century Gothic" w:cs="Arial"/>
                <w:b/>
                <w:noProof/>
              </w:rPr>
              <w:t>Radicación:</w:t>
            </w:r>
            <w:r w:rsidRPr="00042DF5">
              <w:rPr>
                <w:rFonts w:ascii="Century Gothic" w:eastAsia="Calibri" w:hAnsi="Century Gothic" w:cs="Arial"/>
                <w:noProof/>
              </w:rPr>
              <w:t xml:space="preserve">                              </w:t>
            </w:r>
          </w:p>
        </w:tc>
        <w:tc>
          <w:tcPr>
            <w:tcW w:w="6232" w:type="dxa"/>
          </w:tcPr>
          <w:p w14:paraId="23752052" w14:textId="77777777" w:rsidR="00042DF5" w:rsidRPr="00042DF5" w:rsidRDefault="00042DF5" w:rsidP="00042DF5">
            <w:pPr>
              <w:contextualSpacing/>
              <w:rPr>
                <w:rFonts w:ascii="Century Gothic" w:eastAsia="Calibri" w:hAnsi="Century Gothic" w:cs="Arial"/>
                <w:noProof/>
              </w:rPr>
            </w:pPr>
            <w:r w:rsidRPr="00042DF5">
              <w:rPr>
                <w:rFonts w:ascii="Century Gothic" w:eastAsia="Calibri" w:hAnsi="Century Gothic" w:cs="Arial"/>
                <w:noProof/>
              </w:rPr>
              <w:t>Respuesta a consulta P20240419004072</w:t>
            </w:r>
          </w:p>
        </w:tc>
      </w:tr>
    </w:tbl>
    <w:p w14:paraId="58A8275D" w14:textId="77777777" w:rsidR="00042DF5" w:rsidRPr="00042DF5" w:rsidRDefault="00042DF5" w:rsidP="00042DF5">
      <w:pPr>
        <w:spacing w:after="0" w:line="240" w:lineRule="auto"/>
        <w:jc w:val="both"/>
        <w:rPr>
          <w:rFonts w:ascii="Century Gothic" w:eastAsia="Calibri" w:hAnsi="Century Gothic" w:cs="Arial"/>
          <w:color w:val="000000"/>
          <w:szCs w:val="24"/>
          <w:lang w:val="es-ES_tradnl" w:eastAsia="es-ES_tradnl"/>
        </w:rPr>
      </w:pPr>
    </w:p>
    <w:p w14:paraId="45FB0DE0" w14:textId="77777777" w:rsidR="00042DF5" w:rsidRPr="00042DF5" w:rsidRDefault="00042DF5" w:rsidP="00042DF5">
      <w:pPr>
        <w:spacing w:after="0" w:line="276" w:lineRule="auto"/>
        <w:jc w:val="both"/>
        <w:rPr>
          <w:rFonts w:ascii="Century Gothic" w:eastAsia="Calibri" w:hAnsi="Century Gothic" w:cs="Arial"/>
          <w:color w:val="000000"/>
          <w:szCs w:val="24"/>
          <w:lang w:val="es-ES_tradnl" w:eastAsia="es-ES_tradnl"/>
        </w:rPr>
      </w:pPr>
      <w:r w:rsidRPr="00042DF5">
        <w:rPr>
          <w:rFonts w:ascii="Century Gothic" w:eastAsia="Calibri" w:hAnsi="Century Gothic" w:cs="Arial"/>
          <w:color w:val="000000"/>
          <w:szCs w:val="24"/>
          <w:lang w:val="es-ES_tradnl" w:eastAsia="es-ES_tradnl"/>
        </w:rPr>
        <w:t>Estimado(a) señor(a):</w:t>
      </w:r>
    </w:p>
    <w:p w14:paraId="4B502437" w14:textId="77777777" w:rsidR="00042DF5" w:rsidRPr="00042DF5" w:rsidRDefault="00042DF5" w:rsidP="00042DF5">
      <w:pPr>
        <w:spacing w:after="0" w:line="276" w:lineRule="auto"/>
        <w:jc w:val="both"/>
        <w:rPr>
          <w:rFonts w:ascii="Century Gothic" w:eastAsia="Calibri" w:hAnsi="Century Gothic" w:cs="Arial"/>
          <w:color w:val="000000"/>
          <w:szCs w:val="24"/>
          <w:lang w:val="es-ES_tradnl" w:eastAsia="es-ES_tradnl"/>
        </w:rPr>
      </w:pPr>
    </w:p>
    <w:p w14:paraId="5C8A23A7" w14:textId="77777777" w:rsidR="00042DF5" w:rsidRPr="00042DF5" w:rsidRDefault="00042DF5" w:rsidP="00042DF5">
      <w:pPr>
        <w:spacing w:after="0" w:line="276" w:lineRule="auto"/>
        <w:jc w:val="both"/>
        <w:rPr>
          <w:rFonts w:ascii="Century Gothic" w:eastAsia="Calibri" w:hAnsi="Century Gothic" w:cs="Arial"/>
          <w:color w:val="000000"/>
          <w:szCs w:val="24"/>
          <w:lang w:val="es-ES_tradnl" w:eastAsia="es-ES_tradnl"/>
        </w:rPr>
      </w:pPr>
      <w:r w:rsidRPr="00042DF5">
        <w:rPr>
          <w:rFonts w:ascii="Century Gothic" w:eastAsia="Calibri" w:hAnsi="Century Gothic" w:cs="Arial"/>
          <w:color w:val="000000"/>
          <w:szCs w:val="24"/>
          <w:lang w:val="es-ES_tradnl" w:eastAsia="es-ES_tradnl"/>
        </w:rPr>
        <w:t xml:space="preserve">En ejercicio de la competencia otorgada por el numeral 8 del artículo 11 y el numeral 5 del artículo 3 del Decreto Ley 4170 de 2011, y dentro de los términos establecidos en el artículo 14 de la Ley 1437 de 2011, modificados por el artículo 5 </w:t>
      </w:r>
      <w:r w:rsidRPr="00042DF5">
        <w:rPr>
          <w:rFonts w:ascii="Century Gothic" w:eastAsia="Calibri" w:hAnsi="Century Gothic" w:cs="Arial"/>
          <w:color w:val="000000"/>
          <w:szCs w:val="24"/>
          <w:lang w:val="es-ES_tradnl" w:eastAsia="es-ES_tradnl"/>
        </w:rPr>
        <w:lastRenderedPageBreak/>
        <w:t xml:space="preserve">del Decreto Legislativo 491 del 28 de marzo de 2020, la Agencia Nacional de Contratación Pública – Colombia Compra Eficiente responde su consulta del 19 de abril de 2024. </w:t>
      </w:r>
    </w:p>
    <w:p w14:paraId="3A86970F" w14:textId="77777777" w:rsidR="00042DF5" w:rsidRPr="00042DF5" w:rsidRDefault="00042DF5" w:rsidP="00042DF5">
      <w:pPr>
        <w:spacing w:after="0" w:line="276" w:lineRule="auto"/>
        <w:jc w:val="both"/>
        <w:rPr>
          <w:rFonts w:ascii="Century Gothic" w:eastAsia="Calibri" w:hAnsi="Century Gothic" w:cs="Arial"/>
          <w:b/>
          <w:color w:val="000000"/>
          <w:szCs w:val="24"/>
          <w:lang w:val="es-ES_tradnl" w:eastAsia="es-ES_tradnl"/>
        </w:rPr>
      </w:pPr>
    </w:p>
    <w:p w14:paraId="585DE8AC" w14:textId="77777777" w:rsidR="00042DF5" w:rsidRPr="00042DF5" w:rsidRDefault="00042DF5" w:rsidP="00042DF5">
      <w:pPr>
        <w:numPr>
          <w:ilvl w:val="0"/>
          <w:numId w:val="6"/>
        </w:numPr>
        <w:tabs>
          <w:tab w:val="left" w:pos="0"/>
          <w:tab w:val="left" w:pos="142"/>
          <w:tab w:val="left" w:pos="284"/>
        </w:tabs>
        <w:spacing w:after="0" w:line="276" w:lineRule="auto"/>
        <w:contextualSpacing/>
        <w:jc w:val="both"/>
        <w:rPr>
          <w:rFonts w:ascii="Century Gothic" w:eastAsia="Calibri" w:hAnsi="Century Gothic" w:cs="Arial"/>
          <w:b/>
          <w:color w:val="000000"/>
          <w:lang w:val="es-ES_tradnl"/>
        </w:rPr>
      </w:pPr>
      <w:r w:rsidRPr="00042DF5">
        <w:rPr>
          <w:rFonts w:ascii="Century Gothic" w:eastAsia="Calibri" w:hAnsi="Century Gothic" w:cs="Arial"/>
          <w:b/>
          <w:color w:val="000000"/>
          <w:lang w:val="es-ES_tradnl"/>
        </w:rPr>
        <w:t xml:space="preserve">Problema planteado </w:t>
      </w:r>
    </w:p>
    <w:p w14:paraId="25B4009A" w14:textId="77777777" w:rsidR="00042DF5" w:rsidRPr="00042DF5" w:rsidRDefault="00042DF5" w:rsidP="00042DF5">
      <w:pPr>
        <w:tabs>
          <w:tab w:val="left" w:pos="0"/>
          <w:tab w:val="left" w:pos="142"/>
          <w:tab w:val="left" w:pos="284"/>
        </w:tabs>
        <w:spacing w:after="0" w:line="276" w:lineRule="auto"/>
        <w:jc w:val="both"/>
        <w:rPr>
          <w:rFonts w:ascii="Century Gothic" w:eastAsia="Calibri" w:hAnsi="Century Gothic" w:cs="Arial"/>
          <w:b/>
          <w:color w:val="000000"/>
          <w:szCs w:val="24"/>
          <w:lang w:val="es-ES_tradnl" w:eastAsia="es-ES_tradnl"/>
        </w:rPr>
      </w:pPr>
    </w:p>
    <w:p w14:paraId="0587DFED" w14:textId="77777777" w:rsidR="00042DF5" w:rsidRPr="00042DF5" w:rsidRDefault="00042DF5" w:rsidP="00042DF5">
      <w:pPr>
        <w:spacing w:after="0" w:line="276" w:lineRule="auto"/>
        <w:jc w:val="both"/>
        <w:rPr>
          <w:rFonts w:ascii="Century Gothic" w:eastAsia="Times New Roman" w:hAnsi="Century Gothic" w:cs="Arial"/>
          <w:lang w:eastAsia="es-ES_tradnl"/>
        </w:rPr>
      </w:pPr>
      <w:r w:rsidRPr="00042DF5">
        <w:rPr>
          <w:rFonts w:ascii="Century Gothic" w:eastAsia="Calibri" w:hAnsi="Century Gothic" w:cs="Arial"/>
          <w:bCs/>
          <w:color w:val="000000"/>
          <w:lang w:val="es-ES_tradnl" w:eastAsia="es-ES_tradnl"/>
        </w:rPr>
        <w:t xml:space="preserve">Usted realiza las siguientes preguntas: </w:t>
      </w:r>
      <w:bookmarkStart w:id="0" w:name="_Hlk82006295"/>
      <w:bookmarkStart w:id="1" w:name="_Hlk82006200"/>
    </w:p>
    <w:p w14:paraId="48A6419E" w14:textId="77777777" w:rsidR="00042DF5" w:rsidRPr="00042DF5" w:rsidRDefault="00042DF5" w:rsidP="00042DF5">
      <w:pPr>
        <w:autoSpaceDE w:val="0"/>
        <w:autoSpaceDN w:val="0"/>
        <w:adjustRightInd w:val="0"/>
        <w:spacing w:after="0" w:line="240" w:lineRule="auto"/>
        <w:rPr>
          <w:rFonts w:ascii="Arial" w:eastAsia="Aptos" w:hAnsi="Arial" w:cs="Arial"/>
          <w:color w:val="000000"/>
          <w:sz w:val="24"/>
          <w:szCs w:val="24"/>
          <w14:ligatures w14:val="standardContextual"/>
        </w:rPr>
      </w:pPr>
    </w:p>
    <w:p w14:paraId="2D301EEB" w14:textId="104693C8" w:rsidR="00042DF5" w:rsidRPr="00042DF5" w:rsidRDefault="008B2B67" w:rsidP="00D37F90">
      <w:pPr>
        <w:numPr>
          <w:ilvl w:val="0"/>
          <w:numId w:val="7"/>
        </w:numPr>
        <w:autoSpaceDE w:val="0"/>
        <w:autoSpaceDN w:val="0"/>
        <w:adjustRightInd w:val="0"/>
        <w:spacing w:after="120" w:line="240" w:lineRule="auto"/>
        <w:ind w:left="709" w:right="709"/>
        <w:jc w:val="both"/>
        <w:rPr>
          <w:rFonts w:ascii="Century Gothic" w:eastAsia="Aptos" w:hAnsi="Century Gothic" w:cs="Arial"/>
          <w:color w:val="000000"/>
          <w:sz w:val="21"/>
          <w:szCs w:val="21"/>
          <w14:ligatures w14:val="standardContextual"/>
        </w:rPr>
      </w:pPr>
      <w:bookmarkStart w:id="2" w:name="_Hlk166231879"/>
      <w:r>
        <w:rPr>
          <w:rFonts w:ascii="Century Gothic" w:eastAsia="Aptos" w:hAnsi="Century Gothic" w:cs="Arial"/>
          <w:color w:val="000000"/>
          <w:sz w:val="21"/>
          <w:szCs w:val="21"/>
          <w14:ligatures w14:val="standardContextual"/>
        </w:rPr>
        <w:t>“</w:t>
      </w:r>
      <w:r w:rsidR="00042DF5" w:rsidRPr="00042DF5">
        <w:rPr>
          <w:rFonts w:ascii="Century Gothic" w:eastAsia="Aptos" w:hAnsi="Century Gothic" w:cs="Arial"/>
          <w:color w:val="000000"/>
          <w:sz w:val="21"/>
          <w:szCs w:val="21"/>
          <w14:ligatures w14:val="standardContextual"/>
        </w:rPr>
        <w:t xml:space="preserve">1. ¿Para definir el régimen de contratación de los fondos mixtos, se tiene en cuenta el porcentaje de participación del Estado según lo previsto en el artículo 2° de la Ley 80 de 1993, o son una excepción al régimen de contratación pública? Es decir, si en un fondo mixto existe una participación mayoritaria, superior al 50% por parte de la entidad pública, ¿su régimen de contratación se regirá por la Ley 80 de 1993, o podrá constituir su propio manual interno de contratación acatando únicamente los principios de la contratación Pública?”. </w:t>
      </w:r>
    </w:p>
    <w:p w14:paraId="2A1EF304" w14:textId="77777777" w:rsidR="00042DF5" w:rsidRPr="00042DF5" w:rsidRDefault="00042DF5" w:rsidP="00D37F90">
      <w:pPr>
        <w:numPr>
          <w:ilvl w:val="0"/>
          <w:numId w:val="8"/>
        </w:numPr>
        <w:autoSpaceDE w:val="0"/>
        <w:autoSpaceDN w:val="0"/>
        <w:adjustRightInd w:val="0"/>
        <w:spacing w:after="120" w:line="240" w:lineRule="auto"/>
        <w:ind w:left="709" w:right="709"/>
        <w:jc w:val="both"/>
        <w:rPr>
          <w:rFonts w:ascii="Century Gothic" w:eastAsia="Aptos" w:hAnsi="Century Gothic" w:cs="Arial"/>
          <w:color w:val="000000"/>
          <w:sz w:val="21"/>
          <w:szCs w:val="21"/>
          <w14:ligatures w14:val="standardContextual"/>
        </w:rPr>
      </w:pPr>
      <w:r w:rsidRPr="00042DF5">
        <w:rPr>
          <w:rFonts w:ascii="Century Gothic" w:eastAsia="Aptos" w:hAnsi="Century Gothic" w:cs="Arial"/>
          <w:color w:val="000000"/>
          <w:sz w:val="21"/>
          <w:szCs w:val="21"/>
          <w14:ligatures w14:val="standardContextual"/>
        </w:rPr>
        <w:t xml:space="preserve">2. “¿Qué régimen de contratación (Estatuto General de la Contratación Pública o derecho privado) aplica a los fondos mixtos con objeto diferente a promoción de arte y cultura, creados con fundamento en el articulo 96 de la Ley 489 de 1998?”. </w:t>
      </w:r>
    </w:p>
    <w:p w14:paraId="005DAB89" w14:textId="77777777" w:rsidR="00042DF5" w:rsidRPr="00042DF5" w:rsidRDefault="00042DF5" w:rsidP="00D37F90">
      <w:pPr>
        <w:numPr>
          <w:ilvl w:val="0"/>
          <w:numId w:val="9"/>
        </w:numPr>
        <w:autoSpaceDE w:val="0"/>
        <w:autoSpaceDN w:val="0"/>
        <w:adjustRightInd w:val="0"/>
        <w:spacing w:after="120" w:line="240" w:lineRule="auto"/>
        <w:ind w:left="709" w:right="709"/>
        <w:jc w:val="both"/>
        <w:rPr>
          <w:rFonts w:ascii="Century Gothic" w:eastAsia="Aptos" w:hAnsi="Century Gothic" w:cs="Arial"/>
          <w:color w:val="000000"/>
          <w:sz w:val="21"/>
          <w:szCs w:val="21"/>
          <w14:ligatures w14:val="standardContextual"/>
        </w:rPr>
      </w:pPr>
      <w:r w:rsidRPr="00042DF5">
        <w:rPr>
          <w:rFonts w:ascii="Century Gothic" w:eastAsia="Aptos" w:hAnsi="Century Gothic" w:cs="Arial"/>
          <w:color w:val="000000"/>
          <w:sz w:val="21"/>
          <w:szCs w:val="21"/>
          <w14:ligatures w14:val="standardContextual"/>
        </w:rPr>
        <w:t>3.</w:t>
      </w:r>
      <w:r w:rsidRPr="00042DF5">
        <w:rPr>
          <w:rFonts w:ascii="Century Gothic" w:eastAsia="Aptos" w:hAnsi="Century Gothic" w:cs="Arial"/>
          <w:b/>
          <w:bCs/>
          <w:color w:val="000000"/>
          <w:sz w:val="21"/>
          <w:szCs w:val="21"/>
          <w14:ligatures w14:val="standardContextual"/>
        </w:rPr>
        <w:t xml:space="preserve"> “</w:t>
      </w:r>
      <w:r w:rsidRPr="00042DF5">
        <w:rPr>
          <w:rFonts w:ascii="Century Gothic" w:eastAsia="Aptos" w:hAnsi="Century Gothic" w:cs="Arial"/>
          <w:color w:val="000000"/>
          <w:sz w:val="21"/>
          <w:szCs w:val="21"/>
          <w14:ligatures w14:val="standardContextual"/>
        </w:rPr>
        <w:t xml:space="preserve">¿En caso de aplicar a los fondos mixtos un régimen contractual regido por el derecho privado, cuál es el fundamento legal para ello?”.  </w:t>
      </w:r>
    </w:p>
    <w:p w14:paraId="248A5A66" w14:textId="77777777" w:rsidR="00042DF5" w:rsidRPr="00042DF5" w:rsidRDefault="00042DF5" w:rsidP="00D37F90">
      <w:pPr>
        <w:numPr>
          <w:ilvl w:val="0"/>
          <w:numId w:val="10"/>
        </w:numPr>
        <w:autoSpaceDE w:val="0"/>
        <w:autoSpaceDN w:val="0"/>
        <w:adjustRightInd w:val="0"/>
        <w:spacing w:after="0" w:line="240" w:lineRule="auto"/>
        <w:ind w:left="709" w:right="709"/>
        <w:jc w:val="both"/>
        <w:rPr>
          <w:rFonts w:ascii="Century Gothic" w:eastAsia="Times New Roman" w:hAnsi="Century Gothic" w:cs="Arial"/>
          <w:lang w:eastAsia="es-ES_tradnl"/>
        </w:rPr>
      </w:pPr>
      <w:r w:rsidRPr="00042DF5">
        <w:rPr>
          <w:rFonts w:ascii="Century Gothic" w:eastAsia="Aptos" w:hAnsi="Century Gothic" w:cs="Arial"/>
          <w:color w:val="000000"/>
          <w:sz w:val="21"/>
          <w:szCs w:val="21"/>
          <w14:ligatures w14:val="standardContextual"/>
        </w:rPr>
        <w:t>4.</w:t>
      </w:r>
      <w:r w:rsidRPr="00042DF5">
        <w:rPr>
          <w:rFonts w:ascii="Century Gothic" w:eastAsia="Aptos" w:hAnsi="Century Gothic" w:cs="Arial"/>
          <w:b/>
          <w:bCs/>
          <w:color w:val="000000"/>
          <w:sz w:val="21"/>
          <w:szCs w:val="21"/>
          <w14:ligatures w14:val="standardContextual"/>
        </w:rPr>
        <w:t xml:space="preserve"> “</w:t>
      </w:r>
      <w:r w:rsidRPr="00042DF5">
        <w:rPr>
          <w:rFonts w:ascii="Century Gothic" w:eastAsia="Aptos" w:hAnsi="Century Gothic" w:cs="Arial"/>
          <w:color w:val="000000"/>
          <w:sz w:val="21"/>
          <w:szCs w:val="21"/>
          <w14:ligatures w14:val="standardContextual"/>
        </w:rPr>
        <w:t xml:space="preserve">En la actualidad, diferentes Fondos Mixtos constituidos por Departamentos y/o Municipios de Colombia en donde tiene porcentaje mayoritario las entidades estatales, han estipulado en sus estatutos que su régimen de contratación será de derecho privado y han creado su propio Manual Interno de Contratación ¿Dicho actuar es legal o existe una vulneración al artículo 2 de la Ley 80 de 1993 y demás normas concordantes?”. </w:t>
      </w:r>
    </w:p>
    <w:bookmarkEnd w:id="0"/>
    <w:bookmarkEnd w:id="1"/>
    <w:bookmarkEnd w:id="2"/>
    <w:p w14:paraId="6ABAB44D" w14:textId="77777777" w:rsidR="00042DF5" w:rsidRPr="00042DF5" w:rsidRDefault="00042DF5" w:rsidP="00042DF5">
      <w:pPr>
        <w:spacing w:after="0" w:line="276" w:lineRule="auto"/>
        <w:ind w:firstLine="708"/>
        <w:jc w:val="both"/>
        <w:rPr>
          <w:rFonts w:ascii="Century Gothic" w:eastAsia="Times New Roman" w:hAnsi="Century Gothic" w:cs="Arial"/>
          <w:lang w:eastAsia="es-ES_tradnl"/>
        </w:rPr>
      </w:pPr>
    </w:p>
    <w:p w14:paraId="17A3CD82" w14:textId="77777777" w:rsidR="00042DF5" w:rsidRPr="00042DF5" w:rsidRDefault="00042DF5" w:rsidP="00042DF5">
      <w:pPr>
        <w:numPr>
          <w:ilvl w:val="0"/>
          <w:numId w:val="6"/>
        </w:numPr>
        <w:tabs>
          <w:tab w:val="left" w:pos="0"/>
          <w:tab w:val="left" w:pos="284"/>
        </w:tabs>
        <w:spacing w:after="0" w:line="276" w:lineRule="auto"/>
        <w:jc w:val="both"/>
        <w:rPr>
          <w:rFonts w:ascii="Century Gothic" w:eastAsia="Calibri" w:hAnsi="Century Gothic" w:cs="Arial"/>
          <w:b/>
          <w:color w:val="000000"/>
          <w:lang w:val="es-ES_tradnl"/>
        </w:rPr>
      </w:pPr>
      <w:r w:rsidRPr="00042DF5">
        <w:rPr>
          <w:rFonts w:ascii="Century Gothic" w:eastAsia="Calibri" w:hAnsi="Century Gothic" w:cs="Arial"/>
          <w:b/>
          <w:color w:val="000000"/>
          <w:lang w:val="es-ES_tradnl"/>
        </w:rPr>
        <w:t>Consideraciones</w:t>
      </w:r>
    </w:p>
    <w:p w14:paraId="020FBE69" w14:textId="77777777" w:rsidR="00042DF5" w:rsidRPr="00042DF5" w:rsidRDefault="00042DF5" w:rsidP="00042DF5">
      <w:pPr>
        <w:spacing w:after="0" w:line="276" w:lineRule="auto"/>
        <w:jc w:val="both"/>
        <w:rPr>
          <w:rFonts w:ascii="Century Gothic" w:eastAsia="Calibri" w:hAnsi="Century Gothic" w:cs="Arial"/>
          <w:color w:val="000000"/>
          <w:lang w:val="es-ES_tradnl" w:eastAsia="es-ES_tradnl"/>
        </w:rPr>
      </w:pPr>
    </w:p>
    <w:p w14:paraId="31086EE1" w14:textId="77777777" w:rsidR="00042DF5" w:rsidRPr="00042DF5" w:rsidRDefault="00042DF5" w:rsidP="00042DF5">
      <w:pPr>
        <w:spacing w:after="0" w:line="276" w:lineRule="auto"/>
        <w:jc w:val="both"/>
        <w:rPr>
          <w:rFonts w:ascii="Century Gothic" w:eastAsia="Calibri" w:hAnsi="Century Gothic" w:cs="Arial"/>
          <w:lang w:val="es-ES"/>
        </w:rPr>
      </w:pPr>
      <w:r w:rsidRPr="00042DF5">
        <w:rPr>
          <w:rFonts w:ascii="Century Gothic" w:eastAsia="Calibri" w:hAnsi="Century Gothic" w:cs="Arial"/>
          <w:bCs/>
        </w:rPr>
        <w:t xml:space="preserve">En ejercicio de las competencias establecidas en los artículos 3.5 y 11.8 del Decreto 4170 de 2011, la Agencia Nacional de Contratación Pública – Colombia Compra Eficiente resuelve consultas sobre </w:t>
      </w:r>
      <w:r w:rsidRPr="00042DF5">
        <w:rPr>
          <w:rFonts w:ascii="Century Gothic" w:eastAsia="Calibri" w:hAnsi="Century Gothic" w:cs="Arial"/>
          <w:lang w:val="es-ES"/>
        </w:rPr>
        <w:t xml:space="preserve">la aplicación de normas de carácter general en materia de compras y contratación pública. En ese sentido, resolver casos particulares desborda las atribuciones asignadas por el legislador extraordinario, </w:t>
      </w:r>
      <w:r w:rsidRPr="00042DF5">
        <w:rPr>
          <w:rFonts w:ascii="Century Gothic" w:eastAsia="Calibri" w:hAnsi="Century Gothic" w:cs="Arial"/>
          <w:lang w:val="es-ES"/>
        </w:rPr>
        <w:lastRenderedPageBreak/>
        <w:t>que no concibió a Colombia Compra Eficiente como una autoridad para solucionar problemas jurídicos concretos</w:t>
      </w:r>
      <w:r w:rsidRPr="00042DF5">
        <w:rPr>
          <w:rFonts w:ascii="Century Gothic" w:eastAsia="Calibri" w:hAnsi="Century Gothic" w:cs="Arial"/>
          <w:bCs/>
        </w:rPr>
        <w:t xml:space="preserve"> de todos los partícipes de la contratación estatal.</w:t>
      </w:r>
    </w:p>
    <w:p w14:paraId="2B927214" w14:textId="77777777" w:rsidR="00042DF5" w:rsidRPr="00042DF5" w:rsidRDefault="00042DF5" w:rsidP="00042DF5">
      <w:pPr>
        <w:spacing w:after="120" w:line="276" w:lineRule="auto"/>
        <w:ind w:firstLine="709"/>
        <w:jc w:val="both"/>
        <w:rPr>
          <w:rFonts w:ascii="Century Gothic" w:eastAsia="Calibri" w:hAnsi="Century Gothic" w:cs="Arial"/>
          <w:lang w:val="es-ES"/>
        </w:rPr>
      </w:pPr>
      <w:r w:rsidRPr="00042DF5">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42DF5">
        <w:rPr>
          <w:rFonts w:ascii="Century Gothic" w:eastAsia="Calibri" w:hAnsi="Century Gothic" w:cs="Arial"/>
          <w:vertAlign w:val="superscript"/>
          <w:lang w:val="es-ES"/>
        </w:rPr>
        <w:footnoteReference w:id="2"/>
      </w:r>
      <w:r w:rsidRPr="00042DF5">
        <w:rPr>
          <w:rFonts w:ascii="Century Gothic" w:eastAsia="Calibri" w:hAnsi="Century Gothic" w:cs="Arial"/>
          <w:lang w:val="es-ES"/>
        </w:rPr>
        <w:t xml:space="preserve">. </w:t>
      </w:r>
      <w:r w:rsidRPr="00042DF5">
        <w:rPr>
          <w:rFonts w:ascii="Century Gothic" w:eastAsia="Calibri" w:hAnsi="Century Gothic" w:cs="Arial"/>
          <w:i/>
          <w:iCs/>
          <w:lang w:val="es-ES"/>
        </w:rPr>
        <w:t>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r w:rsidRPr="00042DF5">
        <w:rPr>
          <w:rFonts w:ascii="Century Gothic" w:eastAsia="Calibri" w:hAnsi="Century Gothic" w:cs="Arial"/>
          <w:lang w:val="es-ES"/>
        </w:rPr>
        <w:t>.</w:t>
      </w:r>
    </w:p>
    <w:p w14:paraId="2C2F268F" w14:textId="77777777" w:rsidR="00042DF5" w:rsidRPr="00042DF5" w:rsidRDefault="00042DF5" w:rsidP="00042DF5">
      <w:pPr>
        <w:spacing w:after="120" w:line="276" w:lineRule="auto"/>
        <w:ind w:firstLine="708"/>
        <w:jc w:val="both"/>
        <w:rPr>
          <w:rFonts w:ascii="Century Gothic" w:eastAsia="Calibri" w:hAnsi="Century Gothic" w:cs="Arial"/>
          <w:bCs/>
        </w:rPr>
      </w:pPr>
      <w:r w:rsidRPr="00042DF5">
        <w:rPr>
          <w:rFonts w:ascii="Century Gothic" w:eastAsia="Calibri" w:hAnsi="Century Gothic" w:cs="Arial"/>
          <w:bCs/>
        </w:rPr>
        <w:t xml:space="preserve">Sin perjuicio de lo anterior, </w:t>
      </w:r>
      <w:r w:rsidRPr="00042DF5">
        <w:rPr>
          <w:rFonts w:ascii="Century Gothic" w:eastAsia="Times New Roman" w:hAnsi="Century Gothic" w:cs="Arial"/>
          <w:lang w:eastAsia="es-ES_tradnl"/>
        </w:rPr>
        <w:t xml:space="preserve">la Subdirección de Gestión Contractual –dentro de los límites de sus atribuciones– resolverá la consulta conforme a las normas generales en materia de contratación estatal. Con este objetivo, a continuación, se analizarán </w:t>
      </w:r>
      <w:r w:rsidRPr="00042DF5">
        <w:rPr>
          <w:rFonts w:ascii="Century Gothic" w:eastAsia="Times New Roman" w:hAnsi="Century Gothic" w:cs="Arial"/>
          <w:szCs w:val="24"/>
          <w:shd w:val="clear" w:color="auto" w:fill="FFFFFF"/>
          <w:lang w:eastAsia="es-ES_tradnl"/>
        </w:rPr>
        <w:t>dos temas: i) naturaleza e implicaciones del artículo 96 de la Ley 489 de 1998; ii) la naturaleza y régimen de las corporaciones y fundaciones mixtas con participación mayoritaria del Estado.</w:t>
      </w:r>
    </w:p>
    <w:p w14:paraId="27E705C1" w14:textId="77777777" w:rsidR="00042DF5" w:rsidRPr="00042DF5" w:rsidRDefault="00042DF5" w:rsidP="00042DF5">
      <w:pPr>
        <w:spacing w:after="120" w:line="276" w:lineRule="auto"/>
        <w:ind w:firstLine="708"/>
        <w:jc w:val="both"/>
        <w:rPr>
          <w:rFonts w:ascii="Century Gothic" w:eastAsia="Times New Roman" w:hAnsi="Century Gothic" w:cs="Arial"/>
          <w:szCs w:val="24"/>
          <w:shd w:val="clear" w:color="auto" w:fill="FFFFFF"/>
          <w:lang w:eastAsia="es-ES_tradnl"/>
        </w:rPr>
      </w:pPr>
      <w:r w:rsidRPr="00042DF5">
        <w:rPr>
          <w:rFonts w:ascii="Century Gothic" w:eastAsia="Times New Roman" w:hAnsi="Century Gothic" w:cs="Arial"/>
          <w:szCs w:val="24"/>
          <w:shd w:val="clear" w:color="auto" w:fill="FFFFFF"/>
          <w:lang w:val="es-ES" w:eastAsia="es-ES_tradnl"/>
        </w:rPr>
        <w:t xml:space="preserve">La Agencia Nacional de Contratación Pública – Colombia Compra Eficiente </w:t>
      </w:r>
      <w:r w:rsidRPr="00042DF5">
        <w:rPr>
          <w:rFonts w:ascii="Century Gothic" w:eastAsia="Times New Roman" w:hAnsi="Century Gothic" w:cs="Arial"/>
          <w:szCs w:val="24"/>
          <w:shd w:val="clear" w:color="auto" w:fill="FFFFFF"/>
          <w:lang w:eastAsia="es-ES_tradnl"/>
        </w:rPr>
        <w:t xml:space="preserve">se ha pronunciado en diferentes conceptos sobre el artículo 96 de la Ley 489 de 1998,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w:t>
      </w:r>
      <w:r w:rsidRPr="00042DF5">
        <w:rPr>
          <w:rFonts w:ascii="Century Gothic" w:eastAsia="Calibri" w:hAnsi="Century Gothic" w:cs="Arial"/>
          <w:bCs/>
        </w:rPr>
        <w:t xml:space="preserve">515 del 19 de agosto de 2020, </w:t>
      </w:r>
      <w:r w:rsidRPr="00042DF5">
        <w:rPr>
          <w:rFonts w:ascii="Century Gothic" w:eastAsia="Times New Roman" w:hAnsi="Century Gothic" w:cs="Arial"/>
          <w:szCs w:val="24"/>
          <w:shd w:val="clear" w:color="auto" w:fill="FFFFFF"/>
          <w:lang w:eastAsia="es-ES_tradnl"/>
        </w:rPr>
        <w:t>C-483 del 06 de agosto de 2020, C-579 del  4 de septiembre de 2020,</w:t>
      </w:r>
      <w:r w:rsidRPr="00042DF5">
        <w:rPr>
          <w:rFonts w:ascii="Century Gothic" w:eastAsia="Calibri" w:hAnsi="Century Gothic" w:cs="Arial"/>
          <w:bCs/>
        </w:rPr>
        <w:t xml:space="preserve"> C-525 de 12 de agosto de 2020,</w:t>
      </w:r>
      <w:r w:rsidRPr="00042DF5">
        <w:rPr>
          <w:rFonts w:ascii="Century Gothic" w:eastAsia="Times New Roman" w:hAnsi="Century Gothic" w:cs="Arial"/>
          <w:szCs w:val="24"/>
          <w:shd w:val="clear" w:color="auto" w:fill="FFFFFF"/>
          <w:lang w:eastAsia="es-ES_tradnl"/>
        </w:rPr>
        <w:t xml:space="preserve"> C-594 del 7 de septiembre de 2020, </w:t>
      </w:r>
      <w:r w:rsidRPr="00042DF5">
        <w:rPr>
          <w:rFonts w:ascii="Century Gothic" w:eastAsia="Calibri" w:hAnsi="Century Gothic" w:cs="Arial"/>
          <w:bCs/>
        </w:rPr>
        <w:t xml:space="preserve">659 del 10 de noviembre del 2020, </w:t>
      </w:r>
      <w:r w:rsidRPr="00042DF5">
        <w:rPr>
          <w:rFonts w:ascii="Century Gothic" w:eastAsia="Times New Roman" w:hAnsi="Century Gothic" w:cs="Arial"/>
          <w:szCs w:val="24"/>
          <w:shd w:val="clear" w:color="auto" w:fill="FFFFFF"/>
          <w:lang w:eastAsia="es-ES_tradnl"/>
        </w:rPr>
        <w:t xml:space="preserve">C-670 del 22 de noviembre de 2020, C-689 del 1 de diciembre de 2020, </w:t>
      </w:r>
      <w:r w:rsidRPr="00042DF5">
        <w:rPr>
          <w:rFonts w:ascii="Century Gothic" w:eastAsia="Calibri" w:hAnsi="Century Gothic" w:cs="Arial"/>
          <w:bCs/>
        </w:rPr>
        <w:t xml:space="preserve">C-723 del 09 de diciembre de 2020, </w:t>
      </w:r>
      <w:r w:rsidRPr="00042DF5">
        <w:rPr>
          <w:rFonts w:ascii="Century Gothic" w:eastAsia="Times New Roman" w:hAnsi="Century Gothic" w:cs="Arial"/>
          <w:szCs w:val="24"/>
          <w:shd w:val="clear" w:color="auto" w:fill="FFFFFF"/>
          <w:lang w:eastAsia="es-ES_tradnl"/>
        </w:rPr>
        <w:t>C-724 de 14 de diciembre de  2020, C-749 del 23 de diciembre de 2020, C-</w:t>
      </w:r>
      <w:r w:rsidRPr="00042DF5">
        <w:rPr>
          <w:rFonts w:ascii="Century Gothic" w:eastAsia="Times New Roman" w:hAnsi="Century Gothic" w:cs="Arial"/>
          <w:szCs w:val="24"/>
          <w:shd w:val="clear" w:color="auto" w:fill="FFFFFF"/>
          <w:lang w:eastAsia="es-ES_tradnl"/>
        </w:rPr>
        <w:lastRenderedPageBreak/>
        <w:t xml:space="preserve">758 del 04 de enero de 2021, C-806 de 8 de febrero de 2021, C-379 de 26 de julio de 2021, C-524 de 13 de octubre de 2021, C-594 del 28 de octubre de 2021, C-585 del 15 de octubre de 2021, C-609 del 29 de octubre de 2021, C-638 del 15 de diciembre de 2021 C-670 de 28 de diciembre de 2021, C-051 del 7 de marzo de 2022, C- 116 del 18 de febrero de 2022, C-236 del 28 de abril de 2022,  C-274 del 05 de mayo de 2022,C-292 del 11 de mayo de 2022 C-297 del 10 de mayo de 2022, C-911 del 22 de diciembre de 2022, C-771 del 29 de diciembre de 2022, C-037 de 05 de abril de 2023, C-041 del 12 de abril de 2023, C-132 del 12 de abril de 2023, C-360 del 12 de septiembre de 2023 , C-172 del 06 de junio de 2023 , C-183 del 08 de junio de 2023  C-027 del 20 de marzo de 2024  , C-045 del 24 de abril de 2024. </w:t>
      </w:r>
    </w:p>
    <w:p w14:paraId="64D493BA" w14:textId="77777777" w:rsidR="00042DF5" w:rsidRPr="00042DF5" w:rsidRDefault="00042DF5" w:rsidP="00042DF5">
      <w:pPr>
        <w:spacing w:after="0" w:line="276" w:lineRule="auto"/>
        <w:jc w:val="both"/>
        <w:rPr>
          <w:rFonts w:ascii="Century Gothic" w:eastAsia="Times New Roman" w:hAnsi="Century Gothic" w:cs="Arial"/>
          <w:szCs w:val="24"/>
          <w:shd w:val="clear" w:color="auto" w:fill="FFFFFF"/>
          <w:lang w:eastAsia="es-ES_tradnl"/>
        </w:rPr>
      </w:pPr>
      <w:r w:rsidRPr="00042DF5">
        <w:rPr>
          <w:rFonts w:ascii="Century Gothic" w:eastAsia="Times New Roman" w:hAnsi="Century Gothic" w:cs="Arial"/>
          <w:szCs w:val="24"/>
          <w:shd w:val="clear" w:color="auto" w:fill="FFFFFF"/>
          <w:lang w:eastAsia="es-ES_tradnl"/>
        </w:rPr>
        <w:tab/>
        <w:t>Finalmente, esta Agencia en los conceptos c-486 del 13 de septiembre de 2021 y C-102 del 24 de marzo de 2023, se pronunció sobre la naturaleza jurídica y régimen de contratación de las de las corporaciones y fundaciones mixtas previstas en el artículo 96 de la Ley 489 de 1998.</w:t>
      </w:r>
    </w:p>
    <w:p w14:paraId="4A3445E0" w14:textId="77777777" w:rsidR="00042DF5" w:rsidRPr="00042DF5" w:rsidRDefault="00042DF5" w:rsidP="00042DF5">
      <w:pPr>
        <w:spacing w:after="0" w:line="276" w:lineRule="auto"/>
        <w:jc w:val="both"/>
        <w:rPr>
          <w:rFonts w:ascii="Century Gothic" w:eastAsia="Times New Roman" w:hAnsi="Century Gothic" w:cs="Arial"/>
          <w:szCs w:val="24"/>
          <w:shd w:val="clear" w:color="auto" w:fill="FFFFFF"/>
          <w:lang w:eastAsia="es-ES_tradnl"/>
        </w:rPr>
      </w:pPr>
    </w:p>
    <w:p w14:paraId="52696D27" w14:textId="77777777" w:rsidR="00042DF5" w:rsidRPr="00042DF5" w:rsidRDefault="00042DF5" w:rsidP="00042DF5">
      <w:pPr>
        <w:spacing w:after="0" w:line="276" w:lineRule="auto"/>
        <w:jc w:val="both"/>
        <w:rPr>
          <w:rFonts w:ascii="Century Gothic" w:eastAsia="Calibri" w:hAnsi="Century Gothic" w:cs="Arial"/>
        </w:rPr>
      </w:pPr>
      <w:r w:rsidRPr="00042DF5">
        <w:rPr>
          <w:rFonts w:ascii="Century Gothic" w:eastAsia="Times New Roman" w:hAnsi="Century Gothic" w:cs="Arial"/>
          <w:b/>
          <w:szCs w:val="24"/>
          <w:shd w:val="clear" w:color="auto" w:fill="FFFFFF"/>
          <w:lang w:eastAsia="es-ES_tradnl"/>
        </w:rPr>
        <w:t xml:space="preserve">2.1. Naturaleza e implicaciones del artículo 96 de la Ley 489 de 1998 </w:t>
      </w:r>
    </w:p>
    <w:p w14:paraId="318D55A6" w14:textId="77777777" w:rsidR="00042DF5" w:rsidRPr="00042DF5" w:rsidRDefault="00042DF5" w:rsidP="00042DF5">
      <w:pPr>
        <w:spacing w:after="0" w:line="276" w:lineRule="auto"/>
        <w:jc w:val="both"/>
        <w:rPr>
          <w:rFonts w:ascii="Century Gothic" w:eastAsia="Times New Roman" w:hAnsi="Century Gothic" w:cs="Arial"/>
          <w:b/>
          <w:szCs w:val="24"/>
          <w:shd w:val="clear" w:color="auto" w:fill="FFFFFF"/>
          <w:lang w:eastAsia="es-ES_tradnl"/>
        </w:rPr>
      </w:pPr>
    </w:p>
    <w:p w14:paraId="161B8B09" w14:textId="77777777" w:rsidR="00042DF5" w:rsidRPr="00042DF5" w:rsidRDefault="00042DF5" w:rsidP="00042DF5">
      <w:pPr>
        <w:spacing w:after="120" w:line="276" w:lineRule="auto"/>
        <w:jc w:val="both"/>
        <w:rPr>
          <w:rFonts w:ascii="Century Gothic" w:eastAsia="Calibri" w:hAnsi="Century Gothic" w:cs="Arial"/>
        </w:rPr>
      </w:pPr>
      <w:bookmarkStart w:id="3" w:name="_Hlk166231901"/>
      <w:r w:rsidRPr="00042DF5">
        <w:rPr>
          <w:rFonts w:ascii="Century Gothic" w:eastAsia="Calibri" w:hAnsi="Century Gothic" w:cs="Arial"/>
        </w:rPr>
        <w:t>El artículo 96 de la Ley 489 de 1998 regula lo concerniente a los convenios de asociación y la constitución de asociaciones o fundaciones para el cumplimiento de las actividades propias de las entidades públicas con participación de personas jurídicas de derecho privado</w:t>
      </w:r>
      <w:r w:rsidRPr="00042DF5">
        <w:rPr>
          <w:rFonts w:ascii="Century Gothic" w:eastAsia="Calibri" w:hAnsi="Century Gothic" w:cs="Arial"/>
          <w:vertAlign w:val="superscript"/>
        </w:rPr>
        <w:footnoteReference w:id="3"/>
      </w:r>
      <w:r w:rsidRPr="00042DF5">
        <w:rPr>
          <w:rFonts w:ascii="Century Gothic" w:eastAsia="Calibri" w:hAnsi="Century Gothic" w:cs="Arial"/>
        </w:rPr>
        <w:t xml:space="preserve">. Esta norma consagra dos instituciones o mecanismos </w:t>
      </w:r>
      <w:r w:rsidRPr="00042DF5">
        <w:rPr>
          <w:rFonts w:ascii="Century Gothic" w:eastAsia="Calibri" w:hAnsi="Century Gothic" w:cs="Arial"/>
        </w:rPr>
        <w:lastRenderedPageBreak/>
        <w:t xml:space="preserve">de colaboración en virtud de los cuales las entidades públicas pueden asociarse con personas jurídicas privadas para el cumplimiento de labores de interés público. </w:t>
      </w:r>
    </w:p>
    <w:p w14:paraId="39B1A7EB" w14:textId="77777777" w:rsidR="00042DF5" w:rsidRPr="00042DF5" w:rsidRDefault="00042DF5" w:rsidP="00042DF5">
      <w:pPr>
        <w:spacing w:after="120" w:line="276" w:lineRule="auto"/>
        <w:ind w:firstLine="709"/>
        <w:jc w:val="both"/>
        <w:rPr>
          <w:rFonts w:ascii="Century Gothic" w:eastAsia="Calibri" w:hAnsi="Century Gothic" w:cs="Arial"/>
        </w:rPr>
      </w:pPr>
      <w:r w:rsidRPr="00042DF5">
        <w:rPr>
          <w:rFonts w:ascii="Century Gothic" w:eastAsia="Calibri" w:hAnsi="Century Gothic" w:cs="Arial"/>
        </w:rPr>
        <w:t xml:space="preserve">Así, el precepto en mención establece que, con independencia de su naturaleza u orden administrativo, las entidades públicas podrán, con la observancia de los principios de la función administrativa señalados en el artículo 209 de la Constitución Política, asociarse con personas jurídicas particulares, mediante la celebración de </w:t>
      </w:r>
      <w:r w:rsidRPr="00042DF5">
        <w:rPr>
          <w:rFonts w:ascii="Century Gothic" w:eastAsia="Calibri" w:hAnsi="Century Gothic" w:cs="Arial"/>
          <w:i/>
          <w:iCs/>
        </w:rPr>
        <w:t>i)</w:t>
      </w:r>
      <w:r w:rsidRPr="00042DF5">
        <w:rPr>
          <w:rFonts w:ascii="Century Gothic" w:eastAsia="Calibri" w:hAnsi="Century Gothic" w:cs="Arial"/>
        </w:rPr>
        <w:t xml:space="preserve"> convenios de asociación o </w:t>
      </w:r>
      <w:r w:rsidRPr="00042DF5">
        <w:rPr>
          <w:rFonts w:ascii="Century Gothic" w:eastAsia="Calibri" w:hAnsi="Century Gothic" w:cs="Arial"/>
          <w:i/>
          <w:iCs/>
        </w:rPr>
        <w:t>ii)</w:t>
      </w:r>
      <w:r w:rsidRPr="00042DF5">
        <w:rPr>
          <w:rFonts w:ascii="Century Gothic" w:eastAsia="Calibri" w:hAnsi="Century Gothic" w:cs="Arial"/>
        </w:rPr>
        <w:t xml:space="preserve"> la creación de personas jurídicas, en ambos casos con un objetivo común: el desarrollo de actividades que guarden relación con los cometidos y las funciones que la ley les haya asignado a las entidades públicas asociadas. </w:t>
      </w:r>
    </w:p>
    <w:p w14:paraId="6F83BF6E" w14:textId="77777777" w:rsidR="00042DF5" w:rsidRPr="00042DF5" w:rsidRDefault="00042DF5" w:rsidP="00042DF5">
      <w:pPr>
        <w:spacing w:after="120" w:line="276" w:lineRule="auto"/>
        <w:ind w:firstLine="709"/>
        <w:jc w:val="both"/>
        <w:rPr>
          <w:rFonts w:ascii="Century Gothic" w:eastAsia="Calibri" w:hAnsi="Century Gothic" w:cs="Arial"/>
          <w:iCs/>
          <w:color w:val="000000"/>
        </w:rPr>
      </w:pPr>
      <w:r w:rsidRPr="00042DF5">
        <w:rPr>
          <w:rFonts w:ascii="Century Gothic" w:eastAsia="Calibri" w:hAnsi="Century Gothic" w:cs="Arial"/>
        </w:rPr>
        <w:t xml:space="preserve">En este sentido, la doctrina plantea que en el artículo 96 de la Ley 489 de 1998 se establecieron dos tipos de compromisos: </w:t>
      </w:r>
      <w:r w:rsidRPr="00042DF5">
        <w:rPr>
          <w:rFonts w:ascii="Century Gothic" w:eastAsia="Calibri" w:hAnsi="Century Gothic" w:cs="Arial"/>
          <w:i/>
          <w:iCs/>
          <w:color w:val="000000"/>
        </w:rPr>
        <w:t>convenios</w:t>
      </w:r>
      <w:r w:rsidRPr="00042DF5">
        <w:rPr>
          <w:rFonts w:ascii="Century Gothic" w:eastAsia="Calibri" w:hAnsi="Century Gothic" w:cs="Arial"/>
        </w:rPr>
        <w:t xml:space="preserve"> </w:t>
      </w:r>
      <w:r w:rsidRPr="00042DF5">
        <w:rPr>
          <w:rFonts w:ascii="Century Gothic" w:eastAsia="Calibri" w:hAnsi="Century Gothic" w:cs="Arial"/>
          <w:i/>
          <w:iCs/>
          <w:color w:val="000000"/>
        </w:rPr>
        <w:t xml:space="preserve">administrativos de asociación </w:t>
      </w:r>
      <w:r w:rsidRPr="00042DF5">
        <w:rPr>
          <w:rFonts w:ascii="Century Gothic" w:eastAsia="Calibri" w:hAnsi="Century Gothic" w:cs="Arial"/>
          <w:color w:val="000000"/>
        </w:rPr>
        <w:t xml:space="preserve">y </w:t>
      </w:r>
      <w:r w:rsidRPr="00042DF5">
        <w:rPr>
          <w:rFonts w:ascii="Century Gothic" w:eastAsia="Calibri" w:hAnsi="Century Gothic" w:cs="Arial"/>
          <w:i/>
          <w:iCs/>
          <w:color w:val="000000"/>
        </w:rPr>
        <w:t>convenios mixtos de organización</w:t>
      </w:r>
      <w:r w:rsidRPr="00042DF5">
        <w:rPr>
          <w:rFonts w:ascii="Century Gothic" w:eastAsia="Calibri" w:hAnsi="Century Gothic" w:cs="Arial"/>
          <w:i/>
          <w:iCs/>
          <w:color w:val="000000"/>
          <w:vertAlign w:val="superscript"/>
        </w:rPr>
        <w:footnoteReference w:id="4"/>
      </w:r>
      <w:r w:rsidRPr="00042DF5">
        <w:rPr>
          <w:rFonts w:ascii="Century Gothic" w:eastAsia="Calibri" w:hAnsi="Century Gothic" w:cs="Arial"/>
          <w:i/>
          <w:iCs/>
          <w:color w:val="000000"/>
        </w:rPr>
        <w:t>.</w:t>
      </w:r>
      <w:r w:rsidRPr="00042DF5">
        <w:rPr>
          <w:rFonts w:ascii="Century Gothic" w:eastAsia="Calibri" w:hAnsi="Century Gothic" w:cs="Arial"/>
          <w:iCs/>
          <w:color w:val="000000"/>
        </w:rPr>
        <w:t xml:space="preserve"> Estos dos tipos de convenios son diferentes a lo dispuesto respecto al ejercicio de funciones administrativas por particulares dispuestos en los artículos 110 a 114 de la Ley 489 de 1998. La distinción radica en que el artículo 96 no implica una transferencia o asignación de funciones a sujetos de derecho privado, toda vez que se asocian de manera temporal o permanente para el cumplimiento de los fines de la función administrativa. </w:t>
      </w:r>
    </w:p>
    <w:p w14:paraId="2C53CFBB" w14:textId="77777777" w:rsidR="00042DF5" w:rsidRPr="00042DF5" w:rsidRDefault="00042DF5" w:rsidP="00042DF5">
      <w:pPr>
        <w:spacing w:after="120" w:line="276" w:lineRule="auto"/>
        <w:ind w:firstLine="709"/>
        <w:jc w:val="both"/>
        <w:rPr>
          <w:rFonts w:ascii="Century Gothic" w:eastAsia="Calibri" w:hAnsi="Century Gothic" w:cs="Arial"/>
          <w:iCs/>
        </w:rPr>
      </w:pPr>
      <w:r w:rsidRPr="00042DF5">
        <w:rPr>
          <w:rFonts w:ascii="Century Gothic" w:eastAsia="Calibri" w:hAnsi="Century Gothic" w:cs="Arial"/>
          <w:iCs/>
        </w:rPr>
        <w:t xml:space="preserve">Así mismo, el artículo 96 de la Ley 1998 se diferencia con lo regulado en el artículo 95 de la misma ley, la cual autoriza a las entidades públicas que se asocien entre sí, con el propósito de cooperar en el cumplimiento de funciones administrativas o de prestación de servicios a su cargo, por medio de la suscripción de convenios interadministrativos o la conformación de personas jurídicas sin ánimo de lucro. </w:t>
      </w:r>
      <w:r w:rsidRPr="00042DF5">
        <w:rPr>
          <w:rFonts w:ascii="Century Gothic" w:eastAsia="Times New Roman" w:hAnsi="Century Gothic" w:cs="Arial"/>
          <w:lang w:eastAsia="es-ES_tradnl"/>
        </w:rPr>
        <w:t>En cuanto al inciso segundo del artículo 95 de la citada Ley 489 de 1998, la Corte observa que en él se dispone que las personas jurídicas sin ánimo de lucro que se conformen por la asociación exclusiva de entidades públicas, “se sujetan a las disposiciones previstas en el Código Civil y en las normas para las entidades de este género”</w:t>
      </w:r>
      <w:r w:rsidRPr="00042DF5">
        <w:rPr>
          <w:rFonts w:ascii="Century Gothic" w:eastAsia="Times New Roman" w:hAnsi="Century Gothic" w:cs="Arial"/>
          <w:vertAlign w:val="superscript"/>
          <w:lang w:eastAsia="es-ES_tradnl"/>
        </w:rPr>
        <w:footnoteReference w:id="5"/>
      </w:r>
      <w:r w:rsidRPr="00042DF5">
        <w:rPr>
          <w:rFonts w:ascii="Century Gothic" w:eastAsia="Times New Roman" w:hAnsi="Century Gothic" w:cs="Arial"/>
          <w:lang w:eastAsia="es-ES_tradnl"/>
        </w:rPr>
        <w:t xml:space="preserve">. De este modo, la distinción con el artículo 96 radica en que la creación de las personas jurídicas sin ánimo de lucro existe una participación de </w:t>
      </w:r>
      <w:r w:rsidRPr="00042DF5">
        <w:rPr>
          <w:rFonts w:ascii="Century Gothic" w:eastAsia="Times New Roman" w:hAnsi="Century Gothic" w:cs="Arial"/>
          <w:lang w:eastAsia="es-ES_tradnl"/>
        </w:rPr>
        <w:lastRenderedPageBreak/>
        <w:t xml:space="preserve">entidades y particulares para el cumplimiento de actividades administrativas, mientras en el artículo 95 de la misma ley las partícipes son solo las entidades. </w:t>
      </w:r>
    </w:p>
    <w:p w14:paraId="2654FAA6" w14:textId="77777777" w:rsidR="00042DF5" w:rsidRPr="00042DF5" w:rsidRDefault="00042DF5" w:rsidP="00042DF5">
      <w:pPr>
        <w:spacing w:after="120" w:line="276" w:lineRule="auto"/>
        <w:ind w:firstLine="709"/>
        <w:jc w:val="both"/>
        <w:rPr>
          <w:rFonts w:ascii="Century Gothic" w:eastAsia="Calibri" w:hAnsi="Century Gothic" w:cs="Times New Roman"/>
          <w:color w:val="000000"/>
        </w:rPr>
      </w:pPr>
      <w:r w:rsidRPr="00042DF5">
        <w:rPr>
          <w:rFonts w:ascii="Century Gothic" w:eastAsia="Calibri" w:hAnsi="Century Gothic" w:cs="Arial"/>
          <w:iCs/>
          <w:color w:val="000000"/>
        </w:rPr>
        <w:t xml:space="preserve">Los </w:t>
      </w:r>
      <w:r w:rsidRPr="00042DF5">
        <w:rPr>
          <w:rFonts w:ascii="Century Gothic" w:eastAsia="Calibri" w:hAnsi="Century Gothic" w:cs="Arial"/>
          <w:i/>
          <w:color w:val="000000"/>
        </w:rPr>
        <w:t>convenios administrativos de asociación</w:t>
      </w:r>
      <w:r w:rsidRPr="00042DF5">
        <w:rPr>
          <w:rFonts w:ascii="Century Gothic" w:eastAsia="Calibri" w:hAnsi="Century Gothic" w:cs="Arial"/>
          <w:iCs/>
          <w:color w:val="000000"/>
        </w:rPr>
        <w:t xml:space="preserve"> del artículo 96 de la Ley 489 de 1998 pueden ser temporales, de acuerdo con las actividades que pretendan desarrollarse entre la entidad y los particulares. En contraste, con los </w:t>
      </w:r>
      <w:r w:rsidRPr="00042DF5">
        <w:rPr>
          <w:rFonts w:ascii="Century Gothic" w:eastAsia="Calibri" w:hAnsi="Century Gothic" w:cs="Arial"/>
          <w:i/>
          <w:color w:val="000000"/>
        </w:rPr>
        <w:t>convenios mixtos de organización</w:t>
      </w:r>
      <w:r w:rsidRPr="00042DF5">
        <w:rPr>
          <w:rFonts w:ascii="Century Gothic" w:eastAsia="Calibri" w:hAnsi="Century Gothic" w:cs="Arial"/>
          <w:iCs/>
          <w:color w:val="000000"/>
        </w:rPr>
        <w:t xml:space="preserve"> se pretende la creación de organismos nuevos, como son las asociaciones y fundaciones de participación mixta, que son un tipo de entidades sin ánimo de lucro. En esta línea, esta </w:t>
      </w:r>
      <w:r w:rsidRPr="00042DF5">
        <w:rPr>
          <w:rFonts w:ascii="Century Gothic" w:eastAsia="Calibri" w:hAnsi="Century Gothic" w:cs="Arial"/>
        </w:rPr>
        <w:t xml:space="preserve">segunda institución que se consagra en el artículo 96 corresponde a las personas jurídicas sin ánimo de lucro que se constituyan entre entidades públicas y personas jurídicas particulares, las cuales de acuerdo con el inciso tercero estarán sujetas </w:t>
      </w:r>
      <w:r w:rsidRPr="00042DF5">
        <w:rPr>
          <w:rFonts w:ascii="Century Gothic" w:eastAsia="Calibri" w:hAnsi="Century Gothic" w:cs="Arial"/>
          <w:color w:val="000000"/>
          <w:sz w:val="19"/>
          <w:szCs w:val="19"/>
          <w:lang w:val="es-MX"/>
        </w:rPr>
        <w:t>«</w:t>
      </w:r>
      <w:r w:rsidRPr="00042DF5">
        <w:rPr>
          <w:rFonts w:ascii="Century Gothic" w:eastAsia="Calibri" w:hAnsi="Century Gothic" w:cs="Arial"/>
        </w:rPr>
        <w:t>a las disposiciones previstas en el Código Civil para las asociaciones civiles de utilidad común</w:t>
      </w:r>
      <w:r w:rsidRPr="00042DF5">
        <w:rPr>
          <w:rFonts w:ascii="Century Gothic" w:eastAsia="Calibri" w:hAnsi="Century Gothic" w:cs="Arial"/>
          <w:color w:val="000000"/>
          <w:sz w:val="19"/>
          <w:szCs w:val="19"/>
          <w:lang w:val="es-MX"/>
        </w:rPr>
        <w:t>»</w:t>
      </w:r>
      <w:r w:rsidRPr="00042DF5">
        <w:rPr>
          <w:rFonts w:ascii="Century Gothic" w:eastAsia="Calibri" w:hAnsi="Century Gothic" w:cs="Arial"/>
        </w:rPr>
        <w:t xml:space="preserve">. </w:t>
      </w:r>
    </w:p>
    <w:p w14:paraId="2520713F" w14:textId="77777777" w:rsidR="00042DF5" w:rsidRPr="00042DF5" w:rsidRDefault="00042DF5" w:rsidP="00042DF5">
      <w:pPr>
        <w:spacing w:after="120" w:line="276" w:lineRule="auto"/>
        <w:ind w:firstLine="709"/>
        <w:jc w:val="both"/>
        <w:rPr>
          <w:rFonts w:ascii="Century Gothic" w:eastAsia="Calibri" w:hAnsi="Century Gothic" w:cs="Arial"/>
        </w:rPr>
      </w:pPr>
      <w:r w:rsidRPr="00042DF5">
        <w:rPr>
          <w:rFonts w:ascii="Century Gothic" w:eastAsia="Calibri" w:hAnsi="Century Gothic" w:cs="Arial"/>
        </w:rPr>
        <w:t>El acto constitutivo que dé origen a una persona jurídica en los términos señalados en la norma debe contener, como mínimo, los siguientes requisitos:</w:t>
      </w:r>
      <w:r w:rsidRPr="00042DF5">
        <w:rPr>
          <w:rFonts w:ascii="Century Gothic" w:eastAsia="Calibri" w:hAnsi="Century Gothic" w:cs="Arial"/>
          <w:i/>
          <w:iCs/>
        </w:rPr>
        <w:t xml:space="preserve"> i)</w:t>
      </w:r>
      <w:r w:rsidRPr="00042DF5">
        <w:rPr>
          <w:rFonts w:ascii="Century Gothic" w:eastAsia="Calibri" w:hAnsi="Century Gothic" w:cs="Arial"/>
        </w:rPr>
        <w:t xml:space="preserve"> los objetivos y actividades a cargo, con precisión de la conexidad con los objetivos, funciones y controles propios de las entidades públicas participantes; </w:t>
      </w:r>
      <w:r w:rsidRPr="00042DF5">
        <w:rPr>
          <w:rFonts w:ascii="Century Gothic" w:eastAsia="Calibri" w:hAnsi="Century Gothic" w:cs="Arial"/>
          <w:i/>
          <w:iCs/>
        </w:rPr>
        <w:t>ii)</w:t>
      </w:r>
      <w:r w:rsidRPr="00042DF5">
        <w:rPr>
          <w:rFonts w:ascii="Century Gothic" w:eastAsia="Calibri" w:hAnsi="Century Gothic" w:cs="Arial"/>
        </w:rPr>
        <w:t xml:space="preserve"> los compromisos y aportes iniciales de las entidades asociadas y su naturaleza y forma de pago, atendiendo a las disposiciones presupuestales y fiscales aplicables; </w:t>
      </w:r>
      <w:r w:rsidRPr="00042DF5">
        <w:rPr>
          <w:rFonts w:ascii="Century Gothic" w:eastAsia="Calibri" w:hAnsi="Century Gothic" w:cs="Arial"/>
          <w:i/>
          <w:iCs/>
        </w:rPr>
        <w:t>iii)</w:t>
      </w:r>
      <w:r w:rsidRPr="00042DF5">
        <w:rPr>
          <w:rFonts w:ascii="Century Gothic" w:eastAsia="Calibri" w:hAnsi="Century Gothic" w:cs="Arial"/>
        </w:rPr>
        <w:t xml:space="preserve"> la participación de las entidades asociadas en el sostenimiento y funcionamiento de la persona jurídica; </w:t>
      </w:r>
      <w:r w:rsidRPr="00042DF5">
        <w:rPr>
          <w:rFonts w:ascii="Century Gothic" w:eastAsia="Calibri" w:hAnsi="Century Gothic" w:cs="Arial"/>
          <w:i/>
          <w:iCs/>
        </w:rPr>
        <w:t>iv)</w:t>
      </w:r>
      <w:r w:rsidRPr="00042DF5">
        <w:rPr>
          <w:rFonts w:ascii="Century Gothic" w:eastAsia="Calibri" w:hAnsi="Century Gothic" w:cs="Arial"/>
        </w:rPr>
        <w:t xml:space="preserve"> la integración de los órganos de dirección y administración, en los cuales deben participar representantes de las entidades públicas y particulares y; </w:t>
      </w:r>
      <w:r w:rsidRPr="00042DF5">
        <w:rPr>
          <w:rFonts w:ascii="Century Gothic" w:eastAsia="Calibri" w:hAnsi="Century Gothic" w:cs="Arial"/>
          <w:i/>
          <w:iCs/>
        </w:rPr>
        <w:t>v)</w:t>
      </w:r>
      <w:r w:rsidRPr="00042DF5">
        <w:rPr>
          <w:rFonts w:ascii="Century Gothic" w:eastAsia="Calibri" w:hAnsi="Century Gothic" w:cs="Arial"/>
        </w:rPr>
        <w:t xml:space="preserve"> la duración de la persona jurídica y las causales para su disolución. </w:t>
      </w:r>
    </w:p>
    <w:p w14:paraId="68A5478A" w14:textId="77777777" w:rsidR="00042DF5" w:rsidRPr="00042DF5" w:rsidRDefault="00042DF5" w:rsidP="00042DF5">
      <w:pPr>
        <w:spacing w:after="0" w:line="276" w:lineRule="auto"/>
        <w:ind w:firstLine="708"/>
        <w:jc w:val="both"/>
        <w:rPr>
          <w:rFonts w:ascii="Century Gothic" w:eastAsia="Calibri" w:hAnsi="Century Gothic" w:cs="Arial"/>
        </w:rPr>
      </w:pPr>
      <w:r w:rsidRPr="00042DF5">
        <w:rPr>
          <w:rFonts w:ascii="Century Gothic" w:eastAsia="Calibri" w:hAnsi="Century Gothic" w:cs="Arial"/>
        </w:rPr>
        <w:t>De acuerdo con estos requisitos, la constitución de personas jurídicas entre entidades públicas y personas jurídicas particulares se encuentra delimitada al desarrollo de actividades de interés público, que se enmarquen en aquellas propias de la naturaleza de</w:t>
      </w:r>
      <w:r w:rsidRPr="00042DF5">
        <w:rPr>
          <w:rFonts w:ascii="Century Gothic" w:eastAsia="Calibri" w:hAnsi="Century Gothic" w:cs="Times New Roman"/>
          <w:sz w:val="24"/>
          <w:lang w:val="es-MX"/>
        </w:rPr>
        <w:t xml:space="preserve"> </w:t>
      </w:r>
      <w:r w:rsidRPr="00042DF5">
        <w:rPr>
          <w:rFonts w:ascii="Century Gothic" w:eastAsia="Calibri" w:hAnsi="Century Gothic" w:cs="Arial"/>
        </w:rPr>
        <w:t>las asociaciones civiles de utilidad común. Así mismo, estas deben relacionarse directamente con las funciones que la ley les haya asignado a las entidades públicas asociadas, de manera que esta figura es excepcional y limitada a su carácter esencial sin ánimo de lucro.</w:t>
      </w:r>
    </w:p>
    <w:bookmarkEnd w:id="3"/>
    <w:p w14:paraId="27B6682E" w14:textId="77777777" w:rsidR="00042DF5" w:rsidRPr="00042DF5" w:rsidRDefault="00042DF5" w:rsidP="00042DF5">
      <w:pPr>
        <w:spacing w:after="0" w:line="276" w:lineRule="auto"/>
        <w:jc w:val="both"/>
        <w:rPr>
          <w:rFonts w:ascii="Century Gothic" w:eastAsia="Times New Roman" w:hAnsi="Century Gothic" w:cs="Arial"/>
          <w:lang w:eastAsia="es-CO"/>
        </w:rPr>
      </w:pPr>
    </w:p>
    <w:p w14:paraId="1BC76788" w14:textId="77777777" w:rsidR="00042DF5" w:rsidRPr="00042DF5" w:rsidRDefault="00042DF5" w:rsidP="00042DF5">
      <w:pPr>
        <w:spacing w:after="0" w:line="276" w:lineRule="auto"/>
        <w:jc w:val="both"/>
        <w:rPr>
          <w:rFonts w:ascii="Century Gothic" w:eastAsia="Times New Roman" w:hAnsi="Century Gothic" w:cs="Arial"/>
          <w:b/>
          <w:lang w:eastAsia="es-CO"/>
        </w:rPr>
      </w:pPr>
      <w:r w:rsidRPr="00042DF5">
        <w:rPr>
          <w:rFonts w:ascii="Century Gothic" w:eastAsia="Times New Roman" w:hAnsi="Century Gothic" w:cs="Arial"/>
          <w:b/>
          <w:lang w:eastAsia="es-CO"/>
        </w:rPr>
        <w:t xml:space="preserve">2. Naturaleza y régimen de las asociaciones y fundaciones para el cumplimiento de las actividades propias de las entidades públicas con participación de particulares </w:t>
      </w:r>
    </w:p>
    <w:p w14:paraId="4BDB966F" w14:textId="77777777" w:rsidR="00042DF5" w:rsidRPr="00042DF5" w:rsidRDefault="00042DF5" w:rsidP="00042DF5">
      <w:pPr>
        <w:spacing w:after="0" w:line="276" w:lineRule="auto"/>
        <w:jc w:val="both"/>
        <w:rPr>
          <w:rFonts w:ascii="Century Gothic" w:eastAsia="Times New Roman" w:hAnsi="Century Gothic" w:cs="Arial"/>
          <w:lang w:eastAsia="es-CO"/>
        </w:rPr>
      </w:pPr>
    </w:p>
    <w:p w14:paraId="42270BD9" w14:textId="77777777" w:rsidR="00042DF5" w:rsidRPr="00042DF5" w:rsidRDefault="00042DF5" w:rsidP="00042DF5">
      <w:pPr>
        <w:spacing w:after="120" w:line="276" w:lineRule="auto"/>
        <w:jc w:val="both"/>
        <w:rPr>
          <w:rFonts w:ascii="Century Gothic" w:eastAsia="Times New Roman" w:hAnsi="Century Gothic" w:cs="Arial"/>
          <w:lang w:eastAsia="es-CO"/>
        </w:rPr>
      </w:pPr>
      <w:bookmarkStart w:id="4" w:name="_Hlk166231887"/>
      <w:r w:rsidRPr="00042DF5">
        <w:rPr>
          <w:rFonts w:ascii="Century Gothic" w:eastAsia="Times New Roman" w:hAnsi="Century Gothic" w:cs="Arial"/>
          <w:lang w:eastAsia="es-CO"/>
        </w:rPr>
        <w:lastRenderedPageBreak/>
        <w:t>Para entender la naturaleza y régimen de las asociaciones y fundaciones para el cumplimiento de las actividades propias de las entidades públicas con participación de particulares, el inciso tercero del artículo 96 de la Ley 489 de 1998 dispone que “Cuando en virtud de lo dispuesto en el presente artículo, surjan personas jurídicas sin ánimo de lucro, éstas se sujetarán a las disposiciones previstas en el Código Civil para las asociaciones civiles de utilidad común”.</w:t>
      </w:r>
    </w:p>
    <w:p w14:paraId="6EFE5068" w14:textId="77777777" w:rsidR="00042DF5" w:rsidRPr="00042DF5" w:rsidRDefault="00042DF5" w:rsidP="00042DF5">
      <w:pPr>
        <w:spacing w:after="120" w:line="276" w:lineRule="auto"/>
        <w:ind w:firstLine="708"/>
        <w:jc w:val="both"/>
        <w:rPr>
          <w:rFonts w:ascii="Century Gothic" w:eastAsia="Times New Roman" w:hAnsi="Century Gothic" w:cs="Arial"/>
          <w:i/>
          <w:iCs/>
          <w:lang w:eastAsia="es-CO"/>
        </w:rPr>
      </w:pPr>
      <w:bookmarkStart w:id="5" w:name="_Hlk82041211"/>
      <w:r w:rsidRPr="00042DF5">
        <w:rPr>
          <w:rFonts w:ascii="Century Gothic" w:eastAsia="Times New Roman" w:hAnsi="Century Gothic" w:cs="Arial"/>
          <w:lang w:eastAsia="es-CO"/>
        </w:rPr>
        <w:t>En cuanto a su régimen jurídico, su naturaleza es de carácter mixto, toda vez que las personas jurídicas creadas en virtud del artículo 96 de la Ley 489 de 1998 se rigen por una parte por el Código Civil en lo relativo a su constitución, organización, funcionamiento y procedimiento de transformación y, por el otro, se encuentran sujetas a las reglas y principios generales de contratación, por encontrarse dentro del ámbito de aplicación de la Ley 80 de 1993</w:t>
      </w:r>
      <w:r w:rsidRPr="00042DF5">
        <w:rPr>
          <w:rFonts w:ascii="Century Gothic" w:eastAsia="Times New Roman" w:hAnsi="Century Gothic" w:cs="Arial"/>
          <w:vertAlign w:val="superscript"/>
          <w:lang w:eastAsia="es-CO"/>
        </w:rPr>
        <w:footnoteReference w:id="6"/>
      </w:r>
      <w:r w:rsidRPr="00042DF5">
        <w:rPr>
          <w:rFonts w:ascii="Century Gothic" w:eastAsia="Times New Roman" w:hAnsi="Century Gothic" w:cs="Arial"/>
          <w:lang w:eastAsia="es-CO"/>
        </w:rPr>
        <w:t>. La conexidad que debe existir entre las actividades de la persona jurídica de carácter mixto y las funciones de las entidades estatales que la integran, así como el carácter público de la participación de las entidades públicas, determinan su sujeción, en algunas materias, a las normas propias del derecho público, evitando que este tipo de entes se conviertan en un mecanismo de “simple traslado de recursos públicos a particulares”</w:t>
      </w:r>
      <w:r w:rsidRPr="00042DF5">
        <w:rPr>
          <w:rFonts w:ascii="Century Gothic" w:eastAsia="Times New Roman" w:hAnsi="Century Gothic" w:cs="Arial"/>
          <w:vertAlign w:val="superscript"/>
          <w:lang w:eastAsia="es-CO"/>
        </w:rPr>
        <w:footnoteReference w:id="7"/>
      </w:r>
      <w:r w:rsidRPr="00042DF5">
        <w:rPr>
          <w:rFonts w:ascii="Century Gothic" w:eastAsia="Times New Roman" w:hAnsi="Century Gothic" w:cs="Arial"/>
          <w:i/>
          <w:iCs/>
          <w:lang w:eastAsia="es-CO"/>
        </w:rPr>
        <w:t xml:space="preserve">. </w:t>
      </w:r>
    </w:p>
    <w:p w14:paraId="2D5F980C" w14:textId="77777777" w:rsidR="00042DF5" w:rsidRPr="00042DF5" w:rsidRDefault="00042DF5" w:rsidP="00042DF5">
      <w:pPr>
        <w:spacing w:after="0" w:line="276" w:lineRule="auto"/>
        <w:ind w:firstLine="708"/>
        <w:jc w:val="both"/>
        <w:rPr>
          <w:rFonts w:ascii="Century Gothic" w:eastAsia="Times New Roman" w:hAnsi="Century Gothic" w:cs="Arial"/>
          <w:lang w:eastAsia="es-CO"/>
        </w:rPr>
      </w:pPr>
      <w:r w:rsidRPr="00042DF5">
        <w:rPr>
          <w:rFonts w:ascii="Century Gothic" w:eastAsia="Times New Roman" w:hAnsi="Century Gothic" w:cs="Arial"/>
          <w:iCs/>
          <w:lang w:eastAsia="es-CO"/>
        </w:rPr>
        <w:t>Para comprender lo afirmado anteriormente, en especial, sobre la naturaleza, estructura de organización y régimen contractual de las asociaciones y fundaciones de participación mixta, se acude a la jurisprudencia constitucional, la cual ha tratado el tema en varias sentencias. Al respecto, la Sentencia C-949 de 2001 analizó el siguiente problema jurídico:</w:t>
      </w:r>
      <w:r w:rsidRPr="00042DF5">
        <w:rPr>
          <w:rFonts w:ascii="Century Gothic" w:eastAsia="Times New Roman" w:hAnsi="Century Gothic" w:cs="Arial"/>
          <w:lang w:eastAsia="es-CO"/>
        </w:rPr>
        <w:t xml:space="preserve"> ¿se vulnera el artículo </w:t>
      </w:r>
      <w:hyperlink r:id="rId11" w:anchor="123" w:history="1">
        <w:r w:rsidRPr="00042DF5">
          <w:rPr>
            <w:rFonts w:ascii="Century Gothic" w:eastAsia="Times New Roman" w:hAnsi="Century Gothic" w:cs="Arial"/>
            <w:lang w:eastAsia="es-CO"/>
          </w:rPr>
          <w:t>123</w:t>
        </w:r>
      </w:hyperlink>
      <w:r w:rsidRPr="00042DF5">
        <w:rPr>
          <w:rFonts w:ascii="Century Gothic" w:eastAsia="Times New Roman" w:hAnsi="Century Gothic" w:cs="Arial"/>
          <w:lang w:eastAsia="es-CO"/>
        </w:rPr>
        <w:t xml:space="preserve"> Constitucional cuando se establece que en tratándose de las asociaciones y fundaciones de participación mixta, sólo se consideran servidores públicos sus representantes legales y los funcionarios de los niveles directivo, asesor o ejecutivo o sus equivalentes, en quienes se delegue la celebración de contratos en representación de estas? En esta decisión, la Corte Constitucional manifestó lo siguiente: </w:t>
      </w:r>
    </w:p>
    <w:p w14:paraId="4758DE59" w14:textId="77777777" w:rsidR="00042DF5" w:rsidRPr="00042DF5" w:rsidRDefault="00042DF5" w:rsidP="00042DF5">
      <w:pPr>
        <w:spacing w:after="0" w:line="276" w:lineRule="auto"/>
        <w:ind w:firstLine="708"/>
        <w:jc w:val="both"/>
        <w:rPr>
          <w:rFonts w:ascii="Century Gothic" w:eastAsia="Times New Roman" w:hAnsi="Century Gothic" w:cs="Arial"/>
          <w:iCs/>
          <w:lang w:eastAsia="es-CO"/>
        </w:rPr>
      </w:pPr>
    </w:p>
    <w:p w14:paraId="3756DBF1" w14:textId="55F768B3" w:rsidR="00042DF5" w:rsidRPr="00042DF5" w:rsidRDefault="00BE4DF3" w:rsidP="00042DF5">
      <w:pPr>
        <w:widowControl w:val="0"/>
        <w:autoSpaceDE w:val="0"/>
        <w:autoSpaceDN w:val="0"/>
        <w:spacing w:after="120" w:line="240" w:lineRule="auto"/>
        <w:ind w:left="709" w:right="709"/>
        <w:jc w:val="both"/>
        <w:rPr>
          <w:rFonts w:ascii="Century Gothic" w:eastAsia="Times New Roman" w:hAnsi="Century Gothic" w:cs="Arial"/>
          <w:sz w:val="21"/>
          <w:szCs w:val="21"/>
          <w:lang w:eastAsia="es-ES"/>
        </w:rPr>
      </w:pPr>
      <w:r>
        <w:rPr>
          <w:rFonts w:ascii="Century Gothic" w:eastAsia="Times New Roman" w:hAnsi="Century Gothic" w:cs="Arial"/>
          <w:i/>
          <w:sz w:val="21"/>
          <w:szCs w:val="21"/>
          <w:lang w:eastAsia="es-ES"/>
        </w:rPr>
        <w:t>“</w:t>
      </w:r>
      <w:r w:rsidR="00042DF5" w:rsidRPr="00042DF5">
        <w:rPr>
          <w:rFonts w:ascii="Century Gothic" w:eastAsia="Times New Roman" w:hAnsi="Century Gothic" w:cs="Arial"/>
          <w:i/>
          <w:sz w:val="21"/>
          <w:szCs w:val="21"/>
          <w:lang w:eastAsia="es-ES"/>
        </w:rPr>
        <w:t xml:space="preserve">La ley permite a las asociaciones y fundaciones de participación mixta, someterse a la Ley 80 de 1993, con la precisión de que los funcionarios </w:t>
      </w:r>
      <w:r w:rsidR="00042DF5" w:rsidRPr="00042DF5">
        <w:rPr>
          <w:rFonts w:ascii="Century Gothic" w:eastAsia="Times New Roman" w:hAnsi="Century Gothic" w:cs="Arial"/>
          <w:i/>
          <w:sz w:val="21"/>
          <w:szCs w:val="21"/>
          <w:lang w:eastAsia="es-ES"/>
        </w:rPr>
        <w:lastRenderedPageBreak/>
        <w:t>autorizados para suscribir contratos en su nombre, tienen la calidad de servidores públicos para esos efectos, pero para adelantar otras actividades ajenas a los procesos contractuales se someten al régimen de los particulares. Significa esto, que dichos funcionarios responden como servidores públicos en materia penal, disciplinaria y fiscal en el evento en que incurran en irregularidades en la gestión contractual</w:t>
      </w:r>
      <w:r w:rsidR="00042DF5" w:rsidRPr="00042DF5">
        <w:rPr>
          <w:rFonts w:ascii="Century Gothic" w:eastAsia="Times New Roman" w:hAnsi="Century Gothic" w:cs="Arial"/>
          <w:sz w:val="21"/>
          <w:szCs w:val="21"/>
          <w:lang w:eastAsia="es-ES"/>
        </w:rPr>
        <w:t>.</w:t>
      </w:r>
    </w:p>
    <w:p w14:paraId="1A407DB3" w14:textId="77777777" w:rsidR="00042DF5" w:rsidRPr="00042DF5" w:rsidRDefault="00042DF5" w:rsidP="00042DF5">
      <w:pPr>
        <w:widowControl w:val="0"/>
        <w:autoSpaceDE w:val="0"/>
        <w:autoSpaceDN w:val="0"/>
        <w:spacing w:after="120" w:line="240" w:lineRule="auto"/>
        <w:ind w:left="709" w:right="709"/>
        <w:jc w:val="both"/>
        <w:rPr>
          <w:rFonts w:ascii="Century Gothic" w:eastAsia="Times New Roman" w:hAnsi="Century Gothic" w:cs="Arial"/>
          <w:sz w:val="21"/>
          <w:szCs w:val="21"/>
          <w:lang w:eastAsia="es-ES"/>
        </w:rPr>
      </w:pPr>
      <w:r w:rsidRPr="00042DF5">
        <w:rPr>
          <w:rFonts w:ascii="Century Gothic" w:eastAsia="Times New Roman" w:hAnsi="Century Gothic" w:cs="Arial"/>
          <w:sz w:val="21"/>
          <w:szCs w:val="21"/>
          <w:lang w:eastAsia="es-ES"/>
        </w:rPr>
        <w:t xml:space="preserve">Las consideraciones que justifican atribuirle la calidad de servidores públicos a estos funcionarios no están relacionadas únicamente con el tema de la responsabilidad, sino también con la capacidad de contratación, en la medida en que si estas asociaciones y fundaciones de participación mixta manejan recursos públicos, su ejecución para los fines de la correspondiente entidad debe hacerse a través de la institución del contrato estatal. </w:t>
      </w:r>
    </w:p>
    <w:p w14:paraId="37230B01" w14:textId="77777777" w:rsidR="00042DF5" w:rsidRPr="00042DF5" w:rsidRDefault="00042DF5" w:rsidP="00042DF5">
      <w:pPr>
        <w:widowControl w:val="0"/>
        <w:autoSpaceDE w:val="0"/>
        <w:autoSpaceDN w:val="0"/>
        <w:spacing w:after="120" w:line="240" w:lineRule="auto"/>
        <w:ind w:left="709" w:right="709"/>
        <w:jc w:val="both"/>
        <w:rPr>
          <w:rFonts w:ascii="Century Gothic" w:eastAsia="Times New Roman" w:hAnsi="Century Gothic" w:cs="Arial"/>
          <w:sz w:val="21"/>
          <w:szCs w:val="21"/>
          <w:lang w:eastAsia="es-ES"/>
        </w:rPr>
      </w:pPr>
      <w:r w:rsidRPr="00042DF5">
        <w:rPr>
          <w:rFonts w:ascii="Century Gothic" w:eastAsia="Times New Roman" w:hAnsi="Century Gothic" w:cs="Arial"/>
          <w:sz w:val="21"/>
          <w:szCs w:val="21"/>
          <w:lang w:eastAsia="es-ES"/>
        </w:rPr>
        <w:t xml:space="preserve">No obstante, es claro que dichos funcionarios no podrían suscribir los respectivos contratos estatales como particulares, porque es bien sabido que una de las características esenciales del contrato estatal consiste en que uno de los extremos de la relación contractual esté representado por el Estado, y en nombre de él sólo pueden actuar personas que tienen la calidad de servidores públicos. </w:t>
      </w:r>
    </w:p>
    <w:p w14:paraId="686934DE" w14:textId="77777777" w:rsidR="00BE4DF3" w:rsidRDefault="00042DF5" w:rsidP="00042DF5">
      <w:pPr>
        <w:widowControl w:val="0"/>
        <w:autoSpaceDE w:val="0"/>
        <w:autoSpaceDN w:val="0"/>
        <w:spacing w:after="0" w:line="240" w:lineRule="auto"/>
        <w:ind w:left="709" w:right="709"/>
        <w:jc w:val="both"/>
        <w:rPr>
          <w:rFonts w:ascii="Century Gothic" w:eastAsia="Times New Roman" w:hAnsi="Century Gothic" w:cs="Arial"/>
          <w:sz w:val="21"/>
          <w:szCs w:val="21"/>
          <w:lang w:eastAsia="es-ES"/>
        </w:rPr>
      </w:pPr>
      <w:r w:rsidRPr="00042DF5">
        <w:rPr>
          <w:rFonts w:ascii="Century Gothic" w:eastAsia="Times New Roman" w:hAnsi="Century Gothic" w:cs="Arial"/>
          <w:sz w:val="21"/>
          <w:szCs w:val="21"/>
          <w:lang w:eastAsia="es-ES"/>
        </w:rPr>
        <w:t>Por lo tanto, es razonable que tratándose de las asociaciones y fundaciones de participación mixta se le atribuya la calidad de servidor público a los representantes legales y funcionarios de los niveles directivo, asesor o ejecutivo o sus equivalentes en quienes se delegue la celebración de contratos en representación de aquéllas, pues es obvio que en virtud del acto de delegación estas personas comprometen contractualmente la respectiva entidad</w:t>
      </w:r>
      <w:r w:rsidR="00BE4DF3">
        <w:rPr>
          <w:rFonts w:ascii="Century Gothic" w:eastAsia="Times New Roman" w:hAnsi="Century Gothic" w:cs="Arial"/>
          <w:sz w:val="21"/>
          <w:szCs w:val="21"/>
          <w:lang w:eastAsia="es-ES"/>
        </w:rPr>
        <w:t>”</w:t>
      </w:r>
      <w:r w:rsidRPr="00042DF5">
        <w:rPr>
          <w:rFonts w:ascii="Century Gothic" w:eastAsia="Times New Roman" w:hAnsi="Century Gothic" w:cs="Arial"/>
          <w:sz w:val="21"/>
          <w:szCs w:val="21"/>
          <w:vertAlign w:val="superscript"/>
          <w:lang w:eastAsia="es-ES"/>
        </w:rPr>
        <w:footnoteReference w:id="8"/>
      </w:r>
      <w:r w:rsidRPr="00042DF5">
        <w:rPr>
          <w:rFonts w:ascii="Century Gothic" w:eastAsia="Times New Roman" w:hAnsi="Century Gothic" w:cs="Arial"/>
          <w:sz w:val="21"/>
          <w:szCs w:val="21"/>
          <w:lang w:eastAsia="es-ES"/>
        </w:rPr>
        <w:t xml:space="preserve"> (énfasis fuera de texto).</w:t>
      </w:r>
    </w:p>
    <w:p w14:paraId="5669EA12" w14:textId="25F5F949" w:rsidR="00042DF5" w:rsidRPr="00042DF5" w:rsidRDefault="00042DF5" w:rsidP="00042DF5">
      <w:pPr>
        <w:widowControl w:val="0"/>
        <w:autoSpaceDE w:val="0"/>
        <w:autoSpaceDN w:val="0"/>
        <w:spacing w:after="0" w:line="240" w:lineRule="auto"/>
        <w:ind w:left="709" w:right="709"/>
        <w:jc w:val="both"/>
        <w:rPr>
          <w:rFonts w:ascii="Century Gothic" w:eastAsia="Times New Roman" w:hAnsi="Century Gothic" w:cs="Arial"/>
          <w:sz w:val="21"/>
          <w:szCs w:val="21"/>
          <w:lang w:eastAsia="es-ES"/>
        </w:rPr>
      </w:pPr>
      <w:r w:rsidRPr="00042DF5">
        <w:rPr>
          <w:rFonts w:ascii="Century Gothic" w:eastAsia="Times New Roman" w:hAnsi="Century Gothic" w:cs="Arial"/>
          <w:sz w:val="21"/>
          <w:szCs w:val="21"/>
          <w:lang w:eastAsia="es-ES"/>
        </w:rPr>
        <w:t xml:space="preserve">      </w:t>
      </w:r>
    </w:p>
    <w:p w14:paraId="3845A408" w14:textId="77777777" w:rsidR="00042DF5" w:rsidRPr="00042DF5" w:rsidRDefault="00042DF5" w:rsidP="00042DF5">
      <w:pPr>
        <w:spacing w:after="0" w:line="276" w:lineRule="auto"/>
        <w:ind w:firstLine="708"/>
        <w:jc w:val="both"/>
        <w:rPr>
          <w:rFonts w:ascii="Century Gothic" w:eastAsia="Times New Roman" w:hAnsi="Century Gothic" w:cs="Arial"/>
          <w:lang w:eastAsia="es-CO"/>
        </w:rPr>
      </w:pPr>
      <w:r w:rsidRPr="00042DF5">
        <w:rPr>
          <w:rFonts w:ascii="Century Gothic" w:eastAsia="Times New Roman" w:hAnsi="Century Gothic" w:cs="Arial"/>
          <w:iCs/>
          <w:lang w:eastAsia="es-CO"/>
        </w:rPr>
        <w:t>Siguiendo con esta línea, también es necesario tener en cuenta la Sentencia C-671 de 1999, en la que se demandaron apartes de los artículos 95 y 96 de la Ley 489 de 1998</w:t>
      </w:r>
      <w:r w:rsidRPr="00042DF5">
        <w:rPr>
          <w:rFonts w:ascii="Century Gothic" w:eastAsia="Times New Roman" w:hAnsi="Century Gothic" w:cs="Arial"/>
          <w:i/>
          <w:iCs/>
          <w:lang w:eastAsia="es-CO"/>
        </w:rPr>
        <w:t xml:space="preserve">, </w:t>
      </w:r>
      <w:r w:rsidRPr="00042DF5">
        <w:rPr>
          <w:rFonts w:ascii="Century Gothic" w:eastAsia="Times New Roman" w:hAnsi="Century Gothic" w:cs="Arial"/>
          <w:lang w:eastAsia="es-CO"/>
        </w:rPr>
        <w:t xml:space="preserve">por presunta violación de los artículos 150 numeral 7º, 189 numeral 26, 209 210, 38, 71 y 103 de la Carta Política. Además, la Corte Constitucional analizó en esa oportunidad si tales normas quebrantan o no el artículo 355 de la Constitución por permitir el otorgamiento de auxilios con dineros públicos a entidades privadas. Dentro de lo explicado, se destaca lo expuesto en la revisión de constitucionalidad del artículo 95 de la Ley 489 de 1998, que si bien tiene un contenido diferente al artículo 96 de la misma ley en algunos aspectos, en ambas </w:t>
      </w:r>
      <w:r w:rsidRPr="00042DF5">
        <w:rPr>
          <w:rFonts w:ascii="Century Gothic" w:eastAsia="Times New Roman" w:hAnsi="Century Gothic" w:cs="Arial"/>
          <w:lang w:eastAsia="es-CO"/>
        </w:rPr>
        <w:lastRenderedPageBreak/>
        <w:t>se regula la creación de corporaciones y fundaciones sin ánimo de lucro, al tiempo que se establece que se sujetan a las disposiciones previstas en el Código Civil. En efecto, la discusión gira entorno a determinar la naturaleza y el régimen jurídico de este tipo de entidades sin ánimo de lucro. Para dilucidar ese punto de derecho, la Corte Constitucional expresó:</w:t>
      </w:r>
    </w:p>
    <w:p w14:paraId="62B2AB88" w14:textId="77777777" w:rsidR="00042DF5" w:rsidRPr="00042DF5" w:rsidRDefault="00042DF5" w:rsidP="00042DF5">
      <w:pPr>
        <w:spacing w:after="0" w:line="240" w:lineRule="auto"/>
        <w:ind w:left="709" w:right="709" w:firstLine="5"/>
        <w:jc w:val="both"/>
        <w:rPr>
          <w:rFonts w:ascii="Century Gothic" w:eastAsia="Times New Roman" w:hAnsi="Century Gothic" w:cs="Arial"/>
          <w:sz w:val="21"/>
          <w:szCs w:val="21"/>
          <w:lang w:eastAsia="es-ES_tradnl"/>
        </w:rPr>
      </w:pPr>
    </w:p>
    <w:p w14:paraId="7B6B7E6F" w14:textId="097DEEB7" w:rsidR="00042DF5" w:rsidRPr="00042DF5" w:rsidRDefault="00BE4DF3" w:rsidP="00042DF5">
      <w:pPr>
        <w:spacing w:after="120" w:line="240" w:lineRule="auto"/>
        <w:ind w:left="709" w:right="709" w:firstLine="6"/>
        <w:jc w:val="both"/>
        <w:rPr>
          <w:rFonts w:ascii="Century Gothic" w:eastAsia="Times New Roman" w:hAnsi="Century Gothic" w:cs="Arial"/>
          <w:sz w:val="21"/>
          <w:szCs w:val="21"/>
          <w:lang w:eastAsia="es-ES_tradnl"/>
        </w:rPr>
      </w:pPr>
      <w:r>
        <w:rPr>
          <w:rFonts w:ascii="Century Gothic" w:eastAsia="Times New Roman" w:hAnsi="Century Gothic" w:cs="Arial"/>
          <w:sz w:val="21"/>
          <w:szCs w:val="21"/>
          <w:lang w:eastAsia="es-ES_tradnl"/>
        </w:rPr>
        <w:t>“</w:t>
      </w:r>
      <w:r w:rsidR="00042DF5" w:rsidRPr="00042DF5">
        <w:rPr>
          <w:rFonts w:ascii="Century Gothic" w:eastAsia="Times New Roman" w:hAnsi="Century Gothic" w:cs="Arial"/>
          <w:sz w:val="21"/>
          <w:szCs w:val="21"/>
          <w:lang w:eastAsia="es-ES_tradnl"/>
        </w:rPr>
        <w:t>[…] la disposición en estudio sólo podrá considerarse ajustada a las normas superiores cuando la asociación surgida se sujete al mismo régimen que, en consonancia con la naturaleza de las entidades participantes y el régimen propio de función administrativa o de servicio público a su cargo hubiere señalado la ley de creación o autorización de éstas.</w:t>
      </w:r>
    </w:p>
    <w:p w14:paraId="65DE5618" w14:textId="77777777" w:rsidR="00042DF5" w:rsidRPr="00042DF5" w:rsidRDefault="00042DF5" w:rsidP="00042DF5">
      <w:pPr>
        <w:spacing w:after="120" w:line="240" w:lineRule="auto"/>
        <w:ind w:left="709" w:right="709" w:firstLine="6"/>
        <w:jc w:val="both"/>
        <w:rPr>
          <w:rFonts w:ascii="Century Gothic" w:eastAsia="Times New Roman" w:hAnsi="Century Gothic" w:cs="Arial"/>
          <w:sz w:val="21"/>
          <w:szCs w:val="21"/>
          <w:lang w:eastAsia="es-ES_tradnl"/>
        </w:rPr>
      </w:pPr>
      <w:r w:rsidRPr="00042DF5">
        <w:rPr>
          <w:rFonts w:ascii="Century Gothic" w:eastAsia="Times New Roman" w:hAnsi="Century Gothic" w:cs="Arial"/>
          <w:sz w:val="21"/>
          <w:szCs w:val="21"/>
          <w:lang w:eastAsia="es-ES_tradnl"/>
        </w:rPr>
        <w:t>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p>
    <w:p w14:paraId="1D99B49B" w14:textId="710BB28A" w:rsidR="00042DF5" w:rsidRPr="00042DF5" w:rsidRDefault="00042DF5" w:rsidP="00042DF5">
      <w:pPr>
        <w:spacing w:after="0" w:line="240" w:lineRule="auto"/>
        <w:ind w:left="709" w:right="709" w:firstLine="5"/>
        <w:jc w:val="both"/>
        <w:rPr>
          <w:rFonts w:ascii="Century Gothic" w:eastAsia="Times New Roman" w:hAnsi="Century Gothic" w:cs="Arial"/>
          <w:sz w:val="21"/>
          <w:szCs w:val="21"/>
          <w:lang w:eastAsia="es-ES_tradnl"/>
        </w:rPr>
      </w:pPr>
      <w:r w:rsidRPr="00042DF5">
        <w:rPr>
          <w:rFonts w:ascii="Century Gothic" w:eastAsia="Times New Roman" w:hAnsi="Century Gothic" w:cs="Arial"/>
          <w:sz w:val="21"/>
          <w:szCs w:val="21"/>
          <w:lang w:eastAsia="es-ES_tradnl"/>
        </w:rPr>
        <w:t>Así las cosas la disposición acusada será declarada exequible bajo la consideración de que las características de persona jurídica sin ánimo de lucro y la sujeción al derecho civil se entienden sin perjuicio de los principios y reglas especiales propios de la función administrativa establecidos en el artículo 209 de la Constitución, que para el derecho civil y normas complementarias no resultan de aplicación estricta e imperativa</w:t>
      </w:r>
      <w:r w:rsidR="00BE4DF3">
        <w:rPr>
          <w:rFonts w:ascii="Century Gothic" w:eastAsia="Times New Roman" w:hAnsi="Century Gothic" w:cs="Arial"/>
          <w:sz w:val="21"/>
          <w:szCs w:val="21"/>
          <w:lang w:eastAsia="es-ES_tradnl"/>
        </w:rPr>
        <w:t>”</w:t>
      </w:r>
      <w:r w:rsidRPr="00042DF5">
        <w:rPr>
          <w:rFonts w:ascii="Century Gothic" w:eastAsia="Times New Roman" w:hAnsi="Century Gothic" w:cs="Arial"/>
          <w:sz w:val="21"/>
          <w:szCs w:val="21"/>
          <w:vertAlign w:val="superscript"/>
          <w:lang w:eastAsia="es-ES_tradnl"/>
        </w:rPr>
        <w:footnoteReference w:id="9"/>
      </w:r>
      <w:r w:rsidRPr="00042DF5">
        <w:rPr>
          <w:rFonts w:ascii="Century Gothic" w:eastAsia="Times New Roman" w:hAnsi="Century Gothic" w:cs="Arial"/>
          <w:sz w:val="21"/>
          <w:szCs w:val="21"/>
          <w:lang w:eastAsia="es-ES_tradnl"/>
        </w:rPr>
        <w:t xml:space="preserve">. </w:t>
      </w:r>
    </w:p>
    <w:p w14:paraId="2CB268A4" w14:textId="77777777" w:rsidR="00042DF5" w:rsidRPr="00042DF5" w:rsidRDefault="00042DF5" w:rsidP="00042DF5">
      <w:pPr>
        <w:spacing w:after="0" w:line="240" w:lineRule="auto"/>
        <w:ind w:left="709" w:right="709" w:firstLine="5"/>
        <w:jc w:val="both"/>
        <w:rPr>
          <w:rFonts w:ascii="Century Gothic" w:eastAsia="Times New Roman" w:hAnsi="Century Gothic" w:cs="Arial"/>
          <w:sz w:val="21"/>
          <w:szCs w:val="21"/>
          <w:lang w:eastAsia="es-ES_tradnl"/>
        </w:rPr>
      </w:pPr>
    </w:p>
    <w:p w14:paraId="5365163F" w14:textId="77777777" w:rsidR="00042DF5" w:rsidRPr="00042DF5" w:rsidRDefault="00042DF5" w:rsidP="00042DF5">
      <w:pPr>
        <w:spacing w:after="0" w:line="276" w:lineRule="auto"/>
        <w:ind w:firstLine="708"/>
        <w:jc w:val="both"/>
        <w:rPr>
          <w:rFonts w:ascii="Century Gothic" w:eastAsia="Times New Roman" w:hAnsi="Century Gothic" w:cs="Arial"/>
          <w:lang w:eastAsia="es-ES_tradnl"/>
        </w:rPr>
      </w:pPr>
      <w:r w:rsidRPr="00042DF5">
        <w:rPr>
          <w:rFonts w:ascii="Century Gothic" w:eastAsia="Times New Roman" w:hAnsi="Century Gothic" w:cs="Arial"/>
          <w:lang w:eastAsia="es-ES_tradnl"/>
        </w:rPr>
        <w:t>En consonancia con lo anterior, la Corte Constitucional en la Sentencia C-230 de 1995, al revisar la constitucionalidad del literal a) del artículo 2.2 de la Ley 80 de 1993, analizó el régimen aplicable a las asociaciones de carácter mixto sin ánimo de lucro que se constituyeron en vigencia del artículo 6º del Decreto Ley 130 de 1976. Manifestó que era perfectamente viable someter las asociaciones que cuenten con una participación pública mayoritaria a las reglas y principios de la contratación pública. Al respecto, la Corte Constitucional señaló lo siguiente:</w:t>
      </w:r>
    </w:p>
    <w:p w14:paraId="68135157" w14:textId="77777777" w:rsidR="00042DF5" w:rsidRPr="00042DF5" w:rsidRDefault="00042DF5" w:rsidP="00042DF5">
      <w:pPr>
        <w:spacing w:after="0" w:line="276" w:lineRule="auto"/>
        <w:ind w:firstLine="567"/>
        <w:jc w:val="both"/>
        <w:rPr>
          <w:rFonts w:ascii="Century Gothic" w:eastAsia="Times New Roman" w:hAnsi="Century Gothic" w:cs="Arial"/>
          <w:lang w:eastAsia="es-ES_tradnl"/>
        </w:rPr>
      </w:pPr>
    </w:p>
    <w:p w14:paraId="48246A5F" w14:textId="0389B7CA" w:rsidR="00042DF5" w:rsidRPr="00042DF5" w:rsidRDefault="00C776FE" w:rsidP="00042DF5">
      <w:pPr>
        <w:spacing w:after="120" w:line="240" w:lineRule="auto"/>
        <w:ind w:left="709" w:right="709"/>
        <w:jc w:val="both"/>
        <w:rPr>
          <w:rFonts w:ascii="Century Gothic" w:eastAsia="Times New Roman" w:hAnsi="Century Gothic" w:cs="Arial"/>
          <w:sz w:val="21"/>
          <w:szCs w:val="21"/>
          <w:lang w:eastAsia="es-ES_tradnl"/>
        </w:rPr>
      </w:pPr>
      <w:r>
        <w:rPr>
          <w:rFonts w:ascii="Century Gothic" w:eastAsia="Times New Roman" w:hAnsi="Century Gothic" w:cs="Arial"/>
          <w:i/>
          <w:sz w:val="21"/>
          <w:szCs w:val="21"/>
          <w:lang w:eastAsia="es-ES_tradnl"/>
        </w:rPr>
        <w:t>“</w:t>
      </w:r>
      <w:r w:rsidR="00042DF5" w:rsidRPr="00042DF5">
        <w:rPr>
          <w:rFonts w:ascii="Century Gothic" w:eastAsia="Times New Roman" w:hAnsi="Century Gothic" w:cs="Arial"/>
          <w:i/>
          <w:sz w:val="21"/>
          <w:szCs w:val="21"/>
          <w:lang w:eastAsia="es-ES_tradnl"/>
        </w:rPr>
        <w:t>La ley 80 de 1993 sometió a las corporaciones y fundaciones, en las cuales el Estado tenga </w:t>
      </w:r>
      <w:r w:rsidR="00042DF5" w:rsidRPr="00042DF5">
        <w:rPr>
          <w:rFonts w:ascii="Century Gothic" w:eastAsia="Times New Roman" w:hAnsi="Century Gothic" w:cs="Arial"/>
          <w:bCs/>
          <w:i/>
          <w:sz w:val="21"/>
          <w:szCs w:val="21"/>
          <w:lang w:eastAsia="es-ES_tradnl"/>
        </w:rPr>
        <w:t>una participación mayoritaria</w:t>
      </w:r>
      <w:r w:rsidR="00042DF5" w:rsidRPr="00042DF5">
        <w:rPr>
          <w:rFonts w:ascii="Century Gothic" w:eastAsia="Times New Roman" w:hAnsi="Century Gothic" w:cs="Arial"/>
          <w:i/>
          <w:sz w:val="21"/>
          <w:szCs w:val="21"/>
          <w:lang w:eastAsia="es-ES_tradnl"/>
        </w:rPr>
        <w:t> (art. 2o., ord. 1o, lit. a.), a las reglas y principios de la contratación de la administración pública y para ello las reconoció en el literal a) del ordinal 1 del art. 2 de dicha ley como entidades estatales.</w:t>
      </w:r>
      <w:r w:rsidR="00042DF5" w:rsidRPr="00042DF5">
        <w:rPr>
          <w:rFonts w:ascii="Century Gothic" w:eastAsia="Times New Roman" w:hAnsi="Century Gothic" w:cs="Arial"/>
          <w:sz w:val="21"/>
          <w:szCs w:val="21"/>
          <w:lang w:eastAsia="es-ES_tradnl"/>
        </w:rPr>
        <w:t xml:space="preserve"> Consecuencialmente se determinó </w:t>
      </w:r>
      <w:r w:rsidR="00042DF5" w:rsidRPr="00042DF5">
        <w:rPr>
          <w:rFonts w:ascii="Century Gothic" w:eastAsia="Times New Roman" w:hAnsi="Century Gothic" w:cs="Arial"/>
          <w:sz w:val="21"/>
          <w:szCs w:val="21"/>
          <w:lang w:eastAsia="es-ES_tradnl"/>
        </w:rPr>
        <w:lastRenderedPageBreak/>
        <w:t>en el fragmento normativo acusado que sus representantes y los funcionarios de determinados niveles en quienes se delegue la celebración de contratos tienen el carácter de servidores públicos. Es claro, que supuesto lo primero tenía que establecerse lo segundo, porque de otra manera no se lograría alcanzar el propósito práctico de vincular al régimen de responsabilidades a quienes obraran en nombre de tales fundaciones y corporaciones, lo cual se adecua a lo establecido en los arts. 6 y 123 de la C.P.</w:t>
      </w:r>
    </w:p>
    <w:p w14:paraId="38118A57" w14:textId="77777777" w:rsidR="00042DF5" w:rsidRPr="00042DF5" w:rsidRDefault="00042DF5" w:rsidP="00042DF5">
      <w:pPr>
        <w:spacing w:after="0" w:line="240" w:lineRule="auto"/>
        <w:ind w:left="709" w:right="709"/>
        <w:jc w:val="both"/>
        <w:rPr>
          <w:rFonts w:ascii="Century Gothic" w:eastAsia="Times New Roman" w:hAnsi="Century Gothic" w:cs="Arial"/>
          <w:sz w:val="21"/>
          <w:szCs w:val="21"/>
          <w:lang w:eastAsia="es-CO"/>
        </w:rPr>
      </w:pPr>
      <w:r w:rsidRPr="00042DF5">
        <w:rPr>
          <w:rFonts w:ascii="Century Gothic" w:eastAsia="Times New Roman" w:hAnsi="Century Gothic" w:cs="Arial"/>
          <w:sz w:val="21"/>
          <w:szCs w:val="21"/>
          <w:lang w:eastAsia="es-CO"/>
        </w:rPr>
        <w:t>El encuadramiento de las corporaciones y fundaciones en la condición de entidades estatales y la calificación de sus directivos como servidores públicos, </w:t>
      </w:r>
      <w:r w:rsidRPr="00042DF5">
        <w:rPr>
          <w:rFonts w:ascii="Century Gothic" w:eastAsia="Times New Roman" w:hAnsi="Century Gothic" w:cs="Arial"/>
          <w:bCs/>
          <w:sz w:val="21"/>
          <w:szCs w:val="21"/>
          <w:lang w:eastAsia="es-CO"/>
        </w:rPr>
        <w:t>para los efectos indicados, no modifica ni la naturaleza de aquéllas ni la situación laboral particular de estos últimos con las referidas entidades</w:t>
      </w:r>
      <w:r w:rsidRPr="00042DF5">
        <w:rPr>
          <w:rFonts w:ascii="Century Gothic" w:eastAsia="Times New Roman" w:hAnsi="Century Gothic" w:cs="Arial"/>
          <w:sz w:val="21"/>
          <w:szCs w:val="21"/>
          <w:lang w:eastAsia="es-CO"/>
        </w:rPr>
        <w:t>, </w:t>
      </w:r>
      <w:r w:rsidRPr="00042DF5">
        <w:rPr>
          <w:rFonts w:ascii="Century Gothic" w:eastAsia="Times New Roman" w:hAnsi="Century Gothic" w:cs="Arial"/>
          <w:bCs/>
          <w:sz w:val="21"/>
          <w:szCs w:val="21"/>
          <w:lang w:eastAsia="es-CO"/>
        </w:rPr>
        <w:t>porque unas y otros siguen sometidos al régimen de derecho privado que les es aplicable</w:t>
      </w:r>
      <w:r w:rsidRPr="00042DF5">
        <w:rPr>
          <w:rFonts w:ascii="Century Gothic" w:eastAsia="Times New Roman" w:hAnsi="Century Gothic" w:cs="Arial"/>
          <w:sz w:val="21"/>
          <w:szCs w:val="21"/>
          <w:lang w:eastAsia="es-CO"/>
        </w:rPr>
        <w:t>, pues, como ya se dijo la referida clasificación se consagró exclusivamente para fines del manejo, control y responsabilidad de la inversión de los recursos públicos mediante la contratación.</w:t>
      </w:r>
    </w:p>
    <w:p w14:paraId="13F4FE8E" w14:textId="77777777" w:rsidR="00042DF5" w:rsidRPr="00042DF5" w:rsidRDefault="00042DF5" w:rsidP="00042DF5">
      <w:pPr>
        <w:spacing w:after="120" w:line="240" w:lineRule="auto"/>
        <w:ind w:left="709" w:right="709"/>
        <w:jc w:val="both"/>
        <w:rPr>
          <w:rFonts w:ascii="Century Gothic" w:eastAsia="Times New Roman" w:hAnsi="Century Gothic" w:cs="Arial"/>
          <w:sz w:val="21"/>
          <w:szCs w:val="21"/>
          <w:lang w:eastAsia="es-CO"/>
        </w:rPr>
      </w:pPr>
      <w:r w:rsidRPr="00042DF5">
        <w:rPr>
          <w:rFonts w:ascii="Century Gothic" w:eastAsia="Times New Roman" w:hAnsi="Century Gothic" w:cs="Arial"/>
          <w:sz w:val="21"/>
          <w:szCs w:val="21"/>
          <w:lang w:eastAsia="es-CO"/>
        </w:rPr>
        <w:t>[…]</w:t>
      </w:r>
    </w:p>
    <w:p w14:paraId="38D643FC" w14:textId="3FF1F803" w:rsidR="00042DF5" w:rsidRPr="00042DF5" w:rsidRDefault="00042DF5" w:rsidP="00042DF5">
      <w:pPr>
        <w:spacing w:after="0" w:line="240" w:lineRule="auto"/>
        <w:ind w:left="709" w:right="709"/>
        <w:jc w:val="both"/>
        <w:rPr>
          <w:rFonts w:ascii="Century Gothic" w:eastAsia="Times New Roman" w:hAnsi="Century Gothic" w:cs="Arial"/>
          <w:sz w:val="21"/>
          <w:szCs w:val="21"/>
          <w:lang w:eastAsia="es-CO"/>
        </w:rPr>
      </w:pPr>
      <w:r w:rsidRPr="00042DF5">
        <w:rPr>
          <w:rFonts w:ascii="Century Gothic" w:eastAsia="Times New Roman" w:hAnsi="Century Gothic" w:cs="Arial"/>
          <w:sz w:val="21"/>
          <w:szCs w:val="21"/>
          <w:lang w:eastAsia="es-CO"/>
        </w:rPr>
        <w:t xml:space="preserve"> “Las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les entrega a título de aporte o participación bienes o recursos públicos</w:t>
      </w:r>
      <w:r w:rsidR="00C776FE">
        <w:rPr>
          <w:rFonts w:ascii="Century Gothic" w:eastAsia="Times New Roman" w:hAnsi="Century Gothic" w:cs="Arial"/>
          <w:sz w:val="21"/>
          <w:szCs w:val="21"/>
          <w:lang w:eastAsia="es-CO"/>
        </w:rPr>
        <w:t>”</w:t>
      </w:r>
      <w:r w:rsidRPr="00042DF5">
        <w:rPr>
          <w:rFonts w:ascii="Century Gothic" w:eastAsia="Times New Roman" w:hAnsi="Century Gothic" w:cs="Arial"/>
          <w:sz w:val="21"/>
          <w:szCs w:val="21"/>
          <w:vertAlign w:val="superscript"/>
          <w:lang w:eastAsia="es-CO"/>
        </w:rPr>
        <w:footnoteReference w:id="10"/>
      </w:r>
      <w:r w:rsidRPr="00042DF5">
        <w:rPr>
          <w:rFonts w:ascii="Century Gothic" w:eastAsia="Times New Roman" w:hAnsi="Century Gothic" w:cs="Arial"/>
          <w:sz w:val="21"/>
          <w:szCs w:val="21"/>
          <w:lang w:eastAsia="es-CO"/>
        </w:rPr>
        <w:t xml:space="preserve"> (énfasis fuera de texto). </w:t>
      </w:r>
    </w:p>
    <w:p w14:paraId="0EFAEF72" w14:textId="77777777" w:rsidR="00042DF5" w:rsidRPr="00042DF5" w:rsidRDefault="00042DF5" w:rsidP="00042DF5">
      <w:pPr>
        <w:spacing w:after="0" w:line="276" w:lineRule="auto"/>
        <w:ind w:left="709" w:right="709"/>
        <w:jc w:val="both"/>
        <w:rPr>
          <w:rFonts w:ascii="Century Gothic" w:eastAsia="Times New Roman" w:hAnsi="Century Gothic" w:cs="Arial"/>
          <w:lang w:eastAsia="es-CO"/>
        </w:rPr>
      </w:pPr>
      <w:r w:rsidRPr="00042DF5">
        <w:rPr>
          <w:rFonts w:ascii="Century Gothic" w:eastAsia="Times New Roman" w:hAnsi="Century Gothic" w:cs="Arial"/>
          <w:sz w:val="21"/>
          <w:szCs w:val="21"/>
          <w:lang w:eastAsia="es-CO"/>
        </w:rPr>
        <w:t xml:space="preserve">   </w:t>
      </w:r>
    </w:p>
    <w:p w14:paraId="4BC0942C" w14:textId="77777777" w:rsidR="00042DF5" w:rsidRPr="00042DF5" w:rsidRDefault="00042DF5" w:rsidP="00042DF5">
      <w:pPr>
        <w:spacing w:after="120" w:line="276" w:lineRule="auto"/>
        <w:ind w:firstLine="709"/>
        <w:jc w:val="both"/>
        <w:rPr>
          <w:rFonts w:ascii="Century Gothic" w:eastAsia="Times New Roman" w:hAnsi="Century Gothic" w:cs="Arial"/>
          <w:lang w:eastAsia="es-CO"/>
        </w:rPr>
      </w:pPr>
      <w:r w:rsidRPr="00042DF5">
        <w:rPr>
          <w:rFonts w:ascii="Century Gothic" w:eastAsia="Times New Roman" w:hAnsi="Century Gothic" w:cs="Arial"/>
          <w:lang w:eastAsia="es-CO"/>
        </w:rPr>
        <w:t xml:space="preserve">Ahora bien,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 así como la participación de las entidades asociadas en el sostenimiento y funcionamiento de la entidad. Bajo esa perspectiva, el legislador diferenció dos (2) elementos importantes para el funcionamiento de estas asociaciones mixtas. Por un lado, los aportes realizados al momento de su constitución, los cuales determinan la participación de los asociados en la creación de la persona jurídica, y con ello la </w:t>
      </w:r>
      <w:r w:rsidRPr="00042DF5">
        <w:rPr>
          <w:rFonts w:ascii="Century Gothic" w:eastAsia="Times New Roman" w:hAnsi="Century Gothic" w:cs="Arial"/>
          <w:lang w:eastAsia="es-CO"/>
        </w:rPr>
        <w:lastRenderedPageBreak/>
        <w:t xml:space="preserve">naturaleza y el régimen jurídico de la entidad. Por otro lado, las contribuciones que se realizan para el sostenimiento y funcionamiento de la entidad sin ánimo de lucro. </w:t>
      </w:r>
    </w:p>
    <w:p w14:paraId="360138D2" w14:textId="77777777" w:rsidR="00042DF5" w:rsidRPr="00042DF5" w:rsidRDefault="00042DF5" w:rsidP="00042DF5">
      <w:pPr>
        <w:spacing w:after="120" w:line="276" w:lineRule="auto"/>
        <w:ind w:firstLine="709"/>
        <w:jc w:val="both"/>
        <w:rPr>
          <w:rFonts w:ascii="Century Gothic" w:eastAsia="Times New Roman" w:hAnsi="Century Gothic" w:cs="Arial"/>
          <w:lang w:eastAsia="es-CO"/>
        </w:rPr>
      </w:pPr>
      <w:r w:rsidRPr="00042DF5">
        <w:rPr>
          <w:rFonts w:ascii="Century Gothic" w:eastAsia="Times New Roman" w:hAnsi="Century Gothic" w:cs="Arial"/>
          <w:lang w:eastAsia="es-CO"/>
        </w:rPr>
        <w:t>En ese sentido, para esta Subdirección las asociaciones de carácter mixto con participación mayoritaria del Estado que se constituyan en virtud del artículo 96 de la Ley 489 de 1998 se consideran como entidades estatales, sometidas al Estatuto General de Contratación de la Administración Pública, cuando los aportes realizados al momento de su constitución son superiores al 50%. Lo anterior, sin perjuicio de cualquier modificación posterior que se realice de dichos aportes y que impliquen un cambio en la participación de los socios, fundadores o constituyentes.</w:t>
      </w:r>
      <w:bookmarkStart w:id="6" w:name="_Hlk82041367"/>
      <w:bookmarkEnd w:id="5"/>
    </w:p>
    <w:p w14:paraId="67EDAC26" w14:textId="77777777" w:rsidR="00042DF5" w:rsidRPr="00042DF5" w:rsidRDefault="00042DF5" w:rsidP="00042DF5">
      <w:pPr>
        <w:spacing w:after="120" w:line="276" w:lineRule="auto"/>
        <w:ind w:firstLine="709"/>
        <w:jc w:val="both"/>
        <w:rPr>
          <w:rFonts w:ascii="Century Gothic" w:eastAsia="Times New Roman" w:hAnsi="Century Gothic" w:cs="Arial"/>
          <w:color w:val="000000"/>
          <w:lang w:eastAsia="es-CO"/>
        </w:rPr>
      </w:pPr>
      <w:r w:rsidRPr="00042DF5">
        <w:rPr>
          <w:rFonts w:ascii="Century Gothic" w:eastAsia="Times New Roman" w:hAnsi="Century Gothic" w:cs="Arial"/>
          <w:lang w:eastAsia="es-CO"/>
        </w:rPr>
        <w:t xml:space="preserve">Se precisa también </w:t>
      </w:r>
      <w:r w:rsidRPr="00042DF5">
        <w:rPr>
          <w:rFonts w:ascii="Century Gothic" w:eastAsia="Times New Roman" w:hAnsi="Century Gothic" w:cs="Arial"/>
          <w:color w:val="000000"/>
          <w:lang w:eastAsia="es-CO"/>
        </w:rPr>
        <w:t xml:space="preserve">que una corporación o fundación mixta con participación minoritaria del Estado adquiere la calidad de entidad pública sujeta al Estatuto General de Contratación de la Administración Pública, cuando la participación del Estado cambie y se torne mayoritaria, siendo igual o superior al 50%. Esta respuesta se fundamenta en el artículo 2.1, literal a), de la Ley 80 de 1993, al establecer que lo que interesa es determinar la participación mayoritaria del Estado, independiente si fue en su constitución o en un momento posterior. El cambio de régimen de contratación dependerá de una participación mayoritaria del Estado, sin importar el tiempo en que se presenta. </w:t>
      </w:r>
    </w:p>
    <w:p w14:paraId="23F2222C" w14:textId="77777777" w:rsidR="00042DF5" w:rsidRPr="00042DF5" w:rsidRDefault="00042DF5" w:rsidP="00042DF5">
      <w:pPr>
        <w:spacing w:after="120" w:line="276" w:lineRule="auto"/>
        <w:ind w:firstLine="709"/>
        <w:jc w:val="both"/>
        <w:rPr>
          <w:rFonts w:ascii="Century Gothic" w:eastAsia="Times New Roman" w:hAnsi="Century Gothic" w:cs="Arial"/>
          <w:iCs/>
          <w:color w:val="4B4949"/>
          <w:sz w:val="21"/>
          <w:szCs w:val="21"/>
          <w:lang w:eastAsia="es-CO"/>
        </w:rPr>
      </w:pPr>
      <w:r w:rsidRPr="00042DF5">
        <w:rPr>
          <w:rFonts w:ascii="Century Gothic" w:eastAsia="Times New Roman" w:hAnsi="Century Gothic" w:cs="Arial"/>
          <w:color w:val="000000"/>
          <w:lang w:eastAsia="es-CO"/>
        </w:rPr>
        <w:t xml:space="preserve">De esta manera, el artículo 96 de la Ley 489 de 1998 no puede interpretarse aisladamente con respecto a lo prescrito en el artículo 2 de la Ley 80 de 1993, la cual no hace una distinción de los momentos de los aportes, sino que lo que importa es la participación mayoritaria del Estado, para efectos de determinar la aplicación del Estatuto General de Contratación de la Administración Pública. Por lo anterior, </w:t>
      </w:r>
      <w:r w:rsidRPr="00042DF5">
        <w:rPr>
          <w:rFonts w:ascii="Century Gothic" w:eastAsia="Times New Roman" w:hAnsi="Century Gothic" w:cs="Arial"/>
          <w:lang w:eastAsia="es-CO"/>
        </w:rPr>
        <w:t>cabe destacar que estas asociaciones son una expresión de la descentralización administrativa, por cuanto hacen parte de las demás entidades de naturaleza especial creadas o autorizadas por la ley, las cuales se encuentran previstas en el artículo 68 de la Ley 489 de 1998</w:t>
      </w:r>
      <w:r w:rsidRPr="00042DF5">
        <w:rPr>
          <w:rFonts w:ascii="Century Gothic" w:eastAsia="Times New Roman" w:hAnsi="Century Gothic" w:cs="Arial"/>
          <w:vertAlign w:val="superscript"/>
          <w:lang w:eastAsia="es-CO"/>
        </w:rPr>
        <w:footnoteReference w:id="11"/>
      </w:r>
      <w:r w:rsidRPr="00042DF5">
        <w:rPr>
          <w:rFonts w:ascii="Century Gothic" w:eastAsia="Times New Roman" w:hAnsi="Century Gothic" w:cs="Arial"/>
          <w:lang w:eastAsia="es-CO"/>
        </w:rPr>
        <w:t xml:space="preserve">. </w:t>
      </w:r>
    </w:p>
    <w:bookmarkEnd w:id="6"/>
    <w:p w14:paraId="1B15A8D6" w14:textId="77777777" w:rsidR="00042DF5" w:rsidRPr="00042DF5" w:rsidRDefault="00042DF5" w:rsidP="00042DF5">
      <w:pPr>
        <w:spacing w:after="0" w:line="276" w:lineRule="auto"/>
        <w:jc w:val="both"/>
        <w:rPr>
          <w:rFonts w:ascii="Century Gothic" w:eastAsia="Calibri" w:hAnsi="Century Gothic" w:cs="Arial"/>
          <w:bCs/>
          <w:lang w:eastAsia="es-CO"/>
        </w:rPr>
      </w:pPr>
      <w:r w:rsidRPr="00042DF5">
        <w:rPr>
          <w:rFonts w:ascii="Century Gothic" w:eastAsia="Calibri" w:hAnsi="Century Gothic" w:cs="Arial"/>
          <w:b/>
          <w:bCs/>
          <w:lang w:eastAsia="es-CO"/>
        </w:rPr>
        <w:lastRenderedPageBreak/>
        <w:tab/>
      </w:r>
      <w:r w:rsidRPr="00042DF5">
        <w:rPr>
          <w:rFonts w:ascii="Century Gothic" w:eastAsia="Calibri" w:hAnsi="Century Gothic" w:cs="Arial"/>
          <w:bCs/>
          <w:lang w:eastAsia="es-CO"/>
        </w:rPr>
        <w:t>A partir de lo expuesto, este tipo de organismos con participación mayoritaria del Estado tienen la calidad de entidades descentralizadas indirectas y son una forma de la descentralización por servicios. Esto en la medida que poseen una vinculación con el Estado, participando en el cumplimiento de actividades que involucran la consecución de los fines estatales, hasta el punto de que aquél –al asociarse con particulares– entrega bienes o recursos públicos a título de aporte. Por tanto, son destinatarias de la Ley 80 de 1993, pues el literal a) del artículo 2.1 prescribe que son entidades públicas, en los siguientes términos:</w:t>
      </w:r>
    </w:p>
    <w:p w14:paraId="28FACBB9" w14:textId="77777777" w:rsidR="00042DF5" w:rsidRPr="00042DF5" w:rsidRDefault="00042DF5" w:rsidP="00042DF5">
      <w:pPr>
        <w:spacing w:after="0" w:line="276" w:lineRule="auto"/>
        <w:jc w:val="both"/>
        <w:rPr>
          <w:rFonts w:ascii="Century Gothic" w:eastAsia="Calibri" w:hAnsi="Century Gothic" w:cs="Arial"/>
          <w:bCs/>
          <w:lang w:eastAsia="es-CO"/>
        </w:rPr>
      </w:pPr>
    </w:p>
    <w:p w14:paraId="3866319A" w14:textId="193AEC7D" w:rsidR="00042DF5" w:rsidRPr="00042DF5" w:rsidRDefault="00C776FE" w:rsidP="00042DF5">
      <w:pPr>
        <w:spacing w:after="0" w:line="240" w:lineRule="auto"/>
        <w:ind w:left="709" w:right="709"/>
        <w:jc w:val="both"/>
        <w:rPr>
          <w:rFonts w:ascii="Century Gothic" w:eastAsia="Times New Roman" w:hAnsi="Century Gothic" w:cs="Arial"/>
          <w:sz w:val="21"/>
          <w:szCs w:val="21"/>
          <w:lang w:eastAsia="es-CO"/>
        </w:rPr>
      </w:pPr>
      <w:r>
        <w:rPr>
          <w:rFonts w:ascii="Century Gothic" w:eastAsia="Times New Roman" w:hAnsi="Century Gothic" w:cs="Arial"/>
          <w:sz w:val="21"/>
          <w:szCs w:val="21"/>
          <w:lang w:eastAsia="es-CO"/>
        </w:rPr>
        <w:t>“</w:t>
      </w:r>
      <w:r w:rsidR="00042DF5" w:rsidRPr="00042DF5">
        <w:rPr>
          <w:rFonts w:ascii="Century Gothic" w:eastAsia="Times New Roman" w:hAnsi="Century Gothic" w:cs="Arial"/>
          <w:sz w:val="21"/>
          <w:szCs w:val="21"/>
          <w:lang w:eastAsia="es-CO"/>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w:t>
      </w:r>
      <w:r w:rsidR="00042DF5" w:rsidRPr="00042DF5">
        <w:rPr>
          <w:rFonts w:ascii="Century Gothic" w:eastAsia="Times New Roman" w:hAnsi="Century Gothic" w:cs="Arial"/>
          <w:i/>
          <w:sz w:val="21"/>
          <w:szCs w:val="21"/>
          <w:lang w:eastAsia="es-CO"/>
        </w:rPr>
        <w:t>así como las entidades descentralizadas indirectas y las demás personas jurídicas en las que exista dicha participación pública mayoritaria</w:t>
      </w:r>
      <w:r w:rsidR="00042DF5" w:rsidRPr="00042DF5">
        <w:rPr>
          <w:rFonts w:ascii="Century Gothic" w:eastAsia="Times New Roman" w:hAnsi="Century Gothic" w:cs="Arial"/>
          <w:sz w:val="21"/>
          <w:szCs w:val="21"/>
          <w:lang w:eastAsia="es-CO"/>
        </w:rPr>
        <w:t>, cualquiera sea la denominación que ellas adopten, en todos los órdenes y niveles</w:t>
      </w:r>
      <w:r>
        <w:rPr>
          <w:rFonts w:ascii="Century Gothic" w:eastAsia="Times New Roman" w:hAnsi="Century Gothic" w:cs="Arial"/>
          <w:sz w:val="21"/>
          <w:szCs w:val="21"/>
          <w:lang w:eastAsia="es-CO"/>
        </w:rPr>
        <w:t>”</w:t>
      </w:r>
      <w:r w:rsidR="00042DF5" w:rsidRPr="00042DF5">
        <w:rPr>
          <w:rFonts w:ascii="Century Gothic" w:eastAsia="Times New Roman" w:hAnsi="Century Gothic" w:cs="Arial"/>
          <w:sz w:val="21"/>
          <w:szCs w:val="21"/>
          <w:lang w:eastAsia="es-CO"/>
        </w:rPr>
        <w:t xml:space="preserve"> (énfasis fuera de texto) </w:t>
      </w:r>
    </w:p>
    <w:p w14:paraId="4389C008" w14:textId="77777777" w:rsidR="00042DF5" w:rsidRPr="00042DF5" w:rsidRDefault="00042DF5" w:rsidP="00042DF5">
      <w:pPr>
        <w:spacing w:after="0" w:line="276" w:lineRule="auto"/>
        <w:ind w:left="709" w:right="709"/>
        <w:jc w:val="both"/>
        <w:rPr>
          <w:rFonts w:ascii="Century Gothic" w:eastAsia="Calibri" w:hAnsi="Century Gothic" w:cs="Arial"/>
          <w:bCs/>
          <w:sz w:val="21"/>
          <w:szCs w:val="21"/>
          <w:lang w:eastAsia="es-CO"/>
        </w:rPr>
      </w:pPr>
    </w:p>
    <w:p w14:paraId="1698B9A4" w14:textId="531C39D4" w:rsidR="00042DF5" w:rsidRPr="00042DF5" w:rsidRDefault="00042DF5" w:rsidP="00042DF5">
      <w:pPr>
        <w:spacing w:after="0" w:line="276" w:lineRule="auto"/>
        <w:jc w:val="both"/>
        <w:rPr>
          <w:rFonts w:ascii="Century Gothic" w:eastAsia="Calibri" w:hAnsi="Century Gothic" w:cs="Arial"/>
          <w:bCs/>
          <w:lang w:eastAsia="es-CO"/>
        </w:rPr>
      </w:pPr>
      <w:r w:rsidRPr="00042DF5">
        <w:rPr>
          <w:rFonts w:ascii="Century Gothic" w:eastAsia="Calibri" w:hAnsi="Century Gothic" w:cs="Arial"/>
          <w:b/>
          <w:bCs/>
          <w:lang w:eastAsia="es-CO"/>
        </w:rPr>
        <w:tab/>
      </w:r>
      <w:r w:rsidRPr="00042DF5">
        <w:rPr>
          <w:rFonts w:ascii="Century Gothic" w:eastAsia="Calibri" w:hAnsi="Century Gothic" w:cs="Arial"/>
          <w:bCs/>
          <w:lang w:eastAsia="es-CO"/>
        </w:rPr>
        <w:t xml:space="preserve">Por tanto, las fundaciones y corporaciones con participación mayoritaria de cualquier entidad del Estado tienen la calidad de entidades públicas sujetas al Estatuto General de Contratación de la Administración pública, independiente que los aportes hayan sido en el acto de constitución o en un momento posterior. Es decir, lo que interesa es que haya una participación mayoritaria del Estado para activar la aplicación del régimen contractual previsto en las leyes 80 de 1993 y 1150 de 2007. De lo anterior se desprende </w:t>
      </w:r>
      <w:r w:rsidR="00C776FE" w:rsidRPr="00042DF5">
        <w:rPr>
          <w:rFonts w:ascii="Century Gothic" w:eastAsia="Calibri" w:hAnsi="Century Gothic" w:cs="Arial"/>
          <w:bCs/>
          <w:lang w:eastAsia="es-CO"/>
        </w:rPr>
        <w:t>que,</w:t>
      </w:r>
      <w:r w:rsidRPr="00042DF5">
        <w:rPr>
          <w:rFonts w:ascii="Century Gothic" w:eastAsia="Calibri" w:hAnsi="Century Gothic" w:cs="Arial"/>
          <w:bCs/>
          <w:lang w:eastAsia="es-CO"/>
        </w:rPr>
        <w:t xml:space="preserve"> a este tipo de entidades sin ánimo de </w:t>
      </w:r>
      <w:r w:rsidRPr="00042DF5">
        <w:rPr>
          <w:rFonts w:ascii="Century Gothic" w:eastAsia="Calibri" w:hAnsi="Century Gothic" w:cs="Arial"/>
          <w:bCs/>
          <w:lang w:eastAsia="es-CO"/>
        </w:rPr>
        <w:lastRenderedPageBreak/>
        <w:t xml:space="preserve">lucro, las cuales tienen la naturaleza de ser entidades descentralizadas indirectas, solo les aplicarán las normas de derecho civil, en cuanto a la constitución, organización y funcionamiento, conforme al artículo 96 de la Ley 489 de 1998. </w:t>
      </w:r>
    </w:p>
    <w:bookmarkEnd w:id="4"/>
    <w:p w14:paraId="7C168E09" w14:textId="77777777" w:rsidR="00042DF5" w:rsidRPr="00042DF5" w:rsidRDefault="00042DF5" w:rsidP="00042DF5">
      <w:pPr>
        <w:spacing w:after="0" w:line="276" w:lineRule="auto"/>
        <w:jc w:val="both"/>
        <w:rPr>
          <w:rFonts w:ascii="Century Gothic" w:eastAsia="Calibri" w:hAnsi="Century Gothic" w:cs="Arial"/>
          <w:b/>
          <w:bCs/>
          <w:lang w:eastAsia="es-CO"/>
        </w:rPr>
      </w:pPr>
    </w:p>
    <w:p w14:paraId="0853D7B9" w14:textId="77777777" w:rsidR="00042DF5" w:rsidRPr="00042DF5" w:rsidRDefault="00042DF5" w:rsidP="00042DF5">
      <w:pPr>
        <w:spacing w:after="0" w:line="276" w:lineRule="auto"/>
        <w:jc w:val="both"/>
        <w:rPr>
          <w:rFonts w:ascii="Century Gothic" w:eastAsia="Times New Roman" w:hAnsi="Century Gothic" w:cs="Arial"/>
          <w:lang w:eastAsia="es-CO"/>
        </w:rPr>
      </w:pPr>
      <w:r w:rsidRPr="00042DF5">
        <w:rPr>
          <w:rFonts w:ascii="Century Gothic" w:eastAsia="Calibri" w:hAnsi="Century Gothic" w:cs="Arial"/>
          <w:b/>
          <w:bCs/>
          <w:szCs w:val="24"/>
          <w:lang w:val="es-ES_tradnl" w:eastAsia="es-CO"/>
        </w:rPr>
        <w:t>3. Respuestas</w:t>
      </w:r>
    </w:p>
    <w:p w14:paraId="13878FC7" w14:textId="77777777" w:rsidR="00042DF5" w:rsidRPr="00042DF5" w:rsidRDefault="00042DF5" w:rsidP="00042DF5">
      <w:pPr>
        <w:spacing w:after="0" w:line="276" w:lineRule="auto"/>
        <w:jc w:val="both"/>
        <w:rPr>
          <w:rFonts w:ascii="Century Gothic" w:eastAsia="Calibri" w:hAnsi="Century Gothic" w:cs="Arial"/>
          <w:sz w:val="21"/>
          <w:szCs w:val="21"/>
          <w:lang w:val="es-MX"/>
        </w:rPr>
      </w:pPr>
    </w:p>
    <w:p w14:paraId="52A38847" w14:textId="77777777" w:rsidR="00042DF5" w:rsidRPr="00042DF5" w:rsidRDefault="00042DF5" w:rsidP="00D37F90">
      <w:pPr>
        <w:numPr>
          <w:ilvl w:val="0"/>
          <w:numId w:val="7"/>
        </w:numPr>
        <w:autoSpaceDE w:val="0"/>
        <w:autoSpaceDN w:val="0"/>
        <w:adjustRightInd w:val="0"/>
        <w:spacing w:after="120" w:line="240" w:lineRule="auto"/>
        <w:ind w:left="709" w:right="709"/>
        <w:jc w:val="both"/>
        <w:rPr>
          <w:rFonts w:ascii="Century Gothic" w:eastAsia="Aptos" w:hAnsi="Century Gothic" w:cs="Arial"/>
          <w:color w:val="000000"/>
          <w:sz w:val="21"/>
          <w:szCs w:val="21"/>
          <w14:ligatures w14:val="standardContextual"/>
        </w:rPr>
      </w:pPr>
      <w:r w:rsidRPr="00042DF5">
        <w:rPr>
          <w:rFonts w:ascii="Century Gothic" w:eastAsia="Aptos" w:hAnsi="Century Gothic" w:cs="Arial"/>
          <w:color w:val="000000"/>
          <w:sz w:val="21"/>
          <w:szCs w:val="21"/>
          <w14:ligatures w14:val="standardContextual"/>
        </w:rPr>
        <w:t xml:space="preserve">1. “¿Para definir el régimen de contratación de los fondos mixtos, se tiene en cuenta el porcentaje de participación del Estado según lo previsto en el artículo 2° de la Ley 80 de 1993, o son una excepción al régimen de contratación pública? Es decir, si en un fondo mixto existe una participación mayoritaria, superior al 50% por parte de la entidad pública, ¿su régimen de contratación se regirá por la Ley 80 de 1993, o podrá constituir su propio manual interno de contratación acatando únicamente los principios de la contratación Pública?”. </w:t>
      </w:r>
    </w:p>
    <w:p w14:paraId="66AFF477" w14:textId="77777777" w:rsidR="00042DF5" w:rsidRPr="00042DF5" w:rsidRDefault="00042DF5" w:rsidP="00D37F90">
      <w:pPr>
        <w:numPr>
          <w:ilvl w:val="0"/>
          <w:numId w:val="8"/>
        </w:numPr>
        <w:autoSpaceDE w:val="0"/>
        <w:autoSpaceDN w:val="0"/>
        <w:adjustRightInd w:val="0"/>
        <w:spacing w:after="120" w:line="240" w:lineRule="auto"/>
        <w:ind w:left="709" w:right="709"/>
        <w:jc w:val="both"/>
        <w:rPr>
          <w:rFonts w:ascii="Century Gothic" w:eastAsia="Aptos" w:hAnsi="Century Gothic" w:cs="Arial"/>
          <w:color w:val="000000"/>
          <w:sz w:val="21"/>
          <w:szCs w:val="21"/>
          <w14:ligatures w14:val="standardContextual"/>
        </w:rPr>
      </w:pPr>
      <w:r w:rsidRPr="00042DF5">
        <w:rPr>
          <w:rFonts w:ascii="Century Gothic" w:eastAsia="Aptos" w:hAnsi="Century Gothic" w:cs="Arial"/>
          <w:color w:val="000000"/>
          <w:sz w:val="21"/>
          <w:szCs w:val="21"/>
          <w14:ligatures w14:val="standardContextual"/>
        </w:rPr>
        <w:t xml:space="preserve">2. “¿Qué régimen de contratación (Estatuto General de la Contratación Pública o derecho privado) aplica a los fondos mixtos con objeto diferente a promoción de arte y cultura, creados con fundamento en el articulo 96 de la Ley 489 de 1998?”. </w:t>
      </w:r>
    </w:p>
    <w:p w14:paraId="07426FEC" w14:textId="77777777" w:rsidR="00042DF5" w:rsidRPr="00042DF5" w:rsidRDefault="00042DF5" w:rsidP="00D37F90">
      <w:pPr>
        <w:numPr>
          <w:ilvl w:val="0"/>
          <w:numId w:val="9"/>
        </w:numPr>
        <w:autoSpaceDE w:val="0"/>
        <w:autoSpaceDN w:val="0"/>
        <w:adjustRightInd w:val="0"/>
        <w:spacing w:after="120" w:line="240" w:lineRule="auto"/>
        <w:ind w:left="709" w:right="709"/>
        <w:jc w:val="both"/>
        <w:rPr>
          <w:rFonts w:ascii="Century Gothic" w:eastAsia="Aptos" w:hAnsi="Century Gothic" w:cs="Arial"/>
          <w:color w:val="000000"/>
          <w:sz w:val="21"/>
          <w:szCs w:val="21"/>
          <w14:ligatures w14:val="standardContextual"/>
        </w:rPr>
      </w:pPr>
      <w:r w:rsidRPr="00042DF5">
        <w:rPr>
          <w:rFonts w:ascii="Century Gothic" w:eastAsia="Aptos" w:hAnsi="Century Gothic" w:cs="Arial"/>
          <w:color w:val="000000"/>
          <w:sz w:val="21"/>
          <w:szCs w:val="21"/>
          <w14:ligatures w14:val="standardContextual"/>
        </w:rPr>
        <w:t>3.</w:t>
      </w:r>
      <w:r w:rsidRPr="00042DF5">
        <w:rPr>
          <w:rFonts w:ascii="Century Gothic" w:eastAsia="Aptos" w:hAnsi="Century Gothic" w:cs="Arial"/>
          <w:b/>
          <w:bCs/>
          <w:color w:val="000000"/>
          <w:sz w:val="21"/>
          <w:szCs w:val="21"/>
          <w14:ligatures w14:val="standardContextual"/>
        </w:rPr>
        <w:t xml:space="preserve"> “</w:t>
      </w:r>
      <w:r w:rsidRPr="00042DF5">
        <w:rPr>
          <w:rFonts w:ascii="Century Gothic" w:eastAsia="Aptos" w:hAnsi="Century Gothic" w:cs="Arial"/>
          <w:color w:val="000000"/>
          <w:sz w:val="21"/>
          <w:szCs w:val="21"/>
          <w14:ligatures w14:val="standardContextual"/>
        </w:rPr>
        <w:t xml:space="preserve">¿En caso de aplicar a los fondos mixtos un régimen contractual regido por el derecho privado, cuál es el fundamento legal para ello?”.  </w:t>
      </w:r>
    </w:p>
    <w:p w14:paraId="1ACC596C" w14:textId="77777777" w:rsidR="00042DF5" w:rsidRPr="00042DF5" w:rsidRDefault="00042DF5" w:rsidP="00D37F90">
      <w:pPr>
        <w:numPr>
          <w:ilvl w:val="0"/>
          <w:numId w:val="10"/>
        </w:numPr>
        <w:autoSpaceDE w:val="0"/>
        <w:autoSpaceDN w:val="0"/>
        <w:adjustRightInd w:val="0"/>
        <w:spacing w:after="0" w:line="240" w:lineRule="auto"/>
        <w:ind w:left="709" w:right="709"/>
        <w:jc w:val="both"/>
        <w:rPr>
          <w:rFonts w:ascii="Century Gothic" w:eastAsia="Times New Roman" w:hAnsi="Century Gothic" w:cs="Arial"/>
          <w:lang w:eastAsia="es-ES_tradnl"/>
        </w:rPr>
      </w:pPr>
      <w:r w:rsidRPr="00042DF5">
        <w:rPr>
          <w:rFonts w:ascii="Century Gothic" w:eastAsia="Aptos" w:hAnsi="Century Gothic" w:cs="Arial"/>
          <w:color w:val="000000"/>
          <w:sz w:val="21"/>
          <w:szCs w:val="21"/>
          <w14:ligatures w14:val="standardContextual"/>
        </w:rPr>
        <w:t>4.</w:t>
      </w:r>
      <w:r w:rsidRPr="00042DF5">
        <w:rPr>
          <w:rFonts w:ascii="Century Gothic" w:eastAsia="Aptos" w:hAnsi="Century Gothic" w:cs="Arial"/>
          <w:b/>
          <w:bCs/>
          <w:color w:val="000000"/>
          <w:sz w:val="21"/>
          <w:szCs w:val="21"/>
          <w14:ligatures w14:val="standardContextual"/>
        </w:rPr>
        <w:t xml:space="preserve"> “</w:t>
      </w:r>
      <w:r w:rsidRPr="00042DF5">
        <w:rPr>
          <w:rFonts w:ascii="Century Gothic" w:eastAsia="Aptos" w:hAnsi="Century Gothic" w:cs="Arial"/>
          <w:color w:val="000000"/>
          <w:sz w:val="21"/>
          <w:szCs w:val="21"/>
          <w14:ligatures w14:val="standardContextual"/>
        </w:rPr>
        <w:t xml:space="preserve">En la actualidad, diferentes Fondos Mixtos constituidos por Departamentos y/o Municipios de Colombia en donde tiene porcentaje mayoritario las entidades estatales, han estipulado en sus estatutos que su régimen de contratación será de derecho privado y han creado su propio Manual Interno de Contratación ¿Dicho actuar es legal o existe una vulneración al artículo 2 de la Ley 80 de 1993 y demás normas concordantes?”. </w:t>
      </w:r>
    </w:p>
    <w:p w14:paraId="2C8F4FEA" w14:textId="77777777" w:rsidR="00042DF5" w:rsidRPr="00042DF5" w:rsidRDefault="00042DF5" w:rsidP="00042DF5">
      <w:pPr>
        <w:spacing w:after="0" w:line="276" w:lineRule="auto"/>
        <w:jc w:val="both"/>
        <w:rPr>
          <w:rFonts w:ascii="Century Gothic" w:eastAsia="Calibri" w:hAnsi="Century Gothic" w:cs="Arial"/>
          <w:sz w:val="21"/>
          <w:szCs w:val="21"/>
          <w:lang w:val="es-MX"/>
        </w:rPr>
      </w:pPr>
    </w:p>
    <w:p w14:paraId="10F98905" w14:textId="11EA1321" w:rsidR="00042DF5" w:rsidRPr="00042DF5" w:rsidRDefault="00042DF5" w:rsidP="00042DF5">
      <w:pPr>
        <w:spacing w:after="120" w:line="276" w:lineRule="auto"/>
        <w:jc w:val="both"/>
        <w:rPr>
          <w:rFonts w:ascii="Century Gothic" w:eastAsia="Calibri" w:hAnsi="Century Gothic" w:cs="Arial"/>
          <w:lang w:val="es-ES"/>
        </w:rPr>
      </w:pPr>
      <w:r w:rsidRPr="00042DF5">
        <w:rPr>
          <w:rFonts w:ascii="Century Gothic" w:eastAsia="Calibri" w:hAnsi="Century Gothic" w:cs="Arial"/>
          <w:bCs/>
        </w:rPr>
        <w:t>Previo a responder sus interrogantes, es pertinente indicar que ejercicio de las competencias establecidas en los artículos 3</w:t>
      </w:r>
      <w:r w:rsidR="00C776FE">
        <w:rPr>
          <w:rFonts w:ascii="Century Gothic" w:eastAsia="Calibri" w:hAnsi="Century Gothic" w:cs="Arial"/>
          <w:bCs/>
        </w:rPr>
        <w:t xml:space="preserve">, numeral </w:t>
      </w:r>
      <w:r w:rsidRPr="00042DF5">
        <w:rPr>
          <w:rFonts w:ascii="Century Gothic" w:eastAsia="Calibri" w:hAnsi="Century Gothic" w:cs="Arial"/>
          <w:bCs/>
        </w:rPr>
        <w:t>5 y 11</w:t>
      </w:r>
      <w:r w:rsidR="00C776FE">
        <w:rPr>
          <w:rFonts w:ascii="Century Gothic" w:eastAsia="Calibri" w:hAnsi="Century Gothic" w:cs="Arial"/>
          <w:bCs/>
        </w:rPr>
        <w:t xml:space="preserve">, numeral </w:t>
      </w:r>
      <w:r w:rsidRPr="00042DF5">
        <w:rPr>
          <w:rFonts w:ascii="Century Gothic" w:eastAsia="Calibri" w:hAnsi="Century Gothic" w:cs="Arial"/>
          <w:bCs/>
        </w:rPr>
        <w:t xml:space="preserve">8 del Decreto 4170 de 2011, la Agencia Nacional de Contratación Pública – Colombia Compra Eficiente resuelve consultas sobre </w:t>
      </w:r>
      <w:r w:rsidRPr="00042DF5">
        <w:rPr>
          <w:rFonts w:ascii="Century Gothic" w:eastAsia="Calibri" w:hAnsi="Century Gothic" w:cs="Arial"/>
          <w:lang w:val="es-ES"/>
        </w:rPr>
        <w:t xml:space="preserve">la aplicación de normas de carácter general en materia de compras y contratación pública. </w:t>
      </w:r>
    </w:p>
    <w:p w14:paraId="500A4375" w14:textId="77777777" w:rsidR="00042DF5" w:rsidRPr="00042DF5" w:rsidRDefault="00042DF5" w:rsidP="00042DF5">
      <w:pPr>
        <w:spacing w:after="120" w:line="276" w:lineRule="auto"/>
        <w:ind w:firstLine="709"/>
        <w:jc w:val="both"/>
        <w:rPr>
          <w:rFonts w:ascii="Century Gothic" w:eastAsia="Calibri" w:hAnsi="Century Gothic" w:cs="Arial"/>
          <w:lang w:val="es-ES"/>
        </w:rPr>
      </w:pPr>
      <w:r w:rsidRPr="00042DF5">
        <w:rPr>
          <w:rFonts w:ascii="Century Gothic" w:eastAsia="Calibri" w:hAnsi="Century Gothic" w:cs="Arial"/>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En este sentido, esta Agencia no puede pronunciarse sobre </w:t>
      </w:r>
      <w:r w:rsidRPr="00042DF5">
        <w:rPr>
          <w:rFonts w:ascii="Century Gothic" w:eastAsia="Calibri" w:hAnsi="Century Gothic" w:cs="Arial"/>
          <w:lang w:val="es-ES"/>
        </w:rPr>
        <w:lastRenderedPageBreak/>
        <w:t xml:space="preserve">la cuarta (4) pregunta de su solicitud, teniendo en cuenta que la competencia de esta Agencia, </w:t>
      </w:r>
      <w:r w:rsidRPr="00042DF5">
        <w:rPr>
          <w:rFonts w:ascii="Century Gothic" w:eastAsia="Calibri" w:hAnsi="Century Gothic" w:cs="Arial"/>
          <w:i/>
          <w:iCs/>
          <w:lang w:val="es-ES"/>
        </w:rPr>
        <w:t>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r w:rsidRPr="00042DF5">
        <w:rPr>
          <w:rFonts w:ascii="Century Gothic" w:eastAsia="Calibri" w:hAnsi="Century Gothic" w:cs="Arial"/>
          <w:lang w:val="es-ES"/>
        </w:rPr>
        <w:t xml:space="preserve">. </w:t>
      </w:r>
    </w:p>
    <w:p w14:paraId="34CAB3A6" w14:textId="77777777" w:rsidR="00042DF5" w:rsidRPr="00042DF5" w:rsidRDefault="00042DF5" w:rsidP="00042DF5">
      <w:pPr>
        <w:spacing w:after="120" w:line="276" w:lineRule="auto"/>
        <w:ind w:firstLine="708"/>
        <w:jc w:val="both"/>
        <w:rPr>
          <w:rFonts w:ascii="Century Gothic" w:eastAsia="Calibri" w:hAnsi="Century Gothic" w:cs="Arial"/>
        </w:rPr>
      </w:pPr>
      <w:r w:rsidRPr="00042DF5">
        <w:rPr>
          <w:rFonts w:ascii="Century Gothic" w:eastAsia="Calibri" w:hAnsi="Century Gothic" w:cs="Arial"/>
        </w:rPr>
        <w:t>Sin perjuicio de lo anterior, teniendo en cuenta la unidad de materia de las tres (3) primeras preguntas de su solicitud, estas se resolverán de forma conjunta en los siguientes términos:</w:t>
      </w:r>
    </w:p>
    <w:p w14:paraId="5F5AC078" w14:textId="77777777" w:rsidR="00042DF5" w:rsidRPr="00042DF5" w:rsidRDefault="00042DF5" w:rsidP="00042DF5">
      <w:pPr>
        <w:spacing w:after="120" w:line="276" w:lineRule="auto"/>
        <w:ind w:firstLine="708"/>
        <w:jc w:val="both"/>
        <w:rPr>
          <w:rFonts w:ascii="Century Gothic" w:eastAsia="Calibri" w:hAnsi="Century Gothic" w:cs="Arial"/>
        </w:rPr>
      </w:pPr>
      <w:r w:rsidRPr="00042DF5">
        <w:rPr>
          <w:rFonts w:ascii="Century Gothic" w:eastAsia="Calibri" w:hAnsi="Century Gothic" w:cs="Arial"/>
        </w:rPr>
        <w:t xml:space="preserve">El artículo 96 de la Ley 489 de 1998 regula lo concerniente a los convenios de asociación y la constitución de asociaciones o fundaciones para el cumplimiento de las actividades propias de las entidades públicas con participación de personas jurídicas de derecho privado. Esta norma consagra dos instituciones o mecanismos de colaboración en virtud de los cuales las entidades públicas pueden asociarse con personas jurídicas privadas para el cumplimiento de labores de interés público. </w:t>
      </w:r>
    </w:p>
    <w:p w14:paraId="37969B47" w14:textId="77777777" w:rsidR="00042DF5" w:rsidRPr="00042DF5" w:rsidRDefault="00042DF5" w:rsidP="00042DF5">
      <w:pPr>
        <w:spacing w:after="120" w:line="276" w:lineRule="auto"/>
        <w:ind w:firstLine="709"/>
        <w:jc w:val="both"/>
        <w:rPr>
          <w:rFonts w:ascii="Century Gothic" w:eastAsia="Calibri" w:hAnsi="Century Gothic" w:cs="Arial"/>
        </w:rPr>
      </w:pPr>
      <w:r w:rsidRPr="00042DF5">
        <w:rPr>
          <w:rFonts w:ascii="Century Gothic" w:eastAsia="Calibri" w:hAnsi="Century Gothic" w:cs="Arial"/>
        </w:rPr>
        <w:t xml:space="preserve">Para efectos de responder a sus interrogantes, es pertinente indagar sobre la segunda de estas instituciones, esto es, la prevista en el inciso tercero del artículo 96 de la Ley 489 de 1998, que corresponde a las personas jurídicas sin ánimo de lucro que se constituyan entre entidades públicas y personas jurídicas particulares. </w:t>
      </w:r>
    </w:p>
    <w:p w14:paraId="27CFCAE9" w14:textId="77777777" w:rsidR="00042DF5" w:rsidRPr="00042DF5" w:rsidRDefault="00042DF5" w:rsidP="00042DF5">
      <w:pPr>
        <w:spacing w:after="120" w:line="276" w:lineRule="auto"/>
        <w:ind w:firstLine="708"/>
        <w:jc w:val="both"/>
        <w:rPr>
          <w:rFonts w:ascii="Century Gothic" w:eastAsia="Times New Roman" w:hAnsi="Century Gothic" w:cs="Arial"/>
          <w:lang w:eastAsia="es-CO"/>
        </w:rPr>
      </w:pPr>
      <w:r w:rsidRPr="00042DF5">
        <w:rPr>
          <w:rFonts w:ascii="Century Gothic" w:eastAsia="Times New Roman" w:hAnsi="Century Gothic" w:cs="Arial"/>
          <w:lang w:eastAsia="es-CO"/>
        </w:rPr>
        <w:t>Para entender la naturaleza y régimen de las asociaciones y fundaciones para el cumplimiento de las actividades propias de las entidades públicas con participación de particulares, el inciso tercero del artículo 96 de la Ley 489 de 1998 dispone que “Cuando en virtud de lo dispuesto en el presente artículo, surjan personas jurídicas sin ánimo de lucro, éstas se sujetarán a las disposiciones previstas en el Código Civil para las asociaciones civiles de utilidad común”.</w:t>
      </w:r>
    </w:p>
    <w:p w14:paraId="69A8177F" w14:textId="77777777" w:rsidR="00042DF5" w:rsidRPr="00042DF5" w:rsidRDefault="00042DF5" w:rsidP="00042DF5">
      <w:pPr>
        <w:spacing w:after="120" w:line="276" w:lineRule="auto"/>
        <w:ind w:firstLine="708"/>
        <w:jc w:val="both"/>
        <w:rPr>
          <w:rFonts w:ascii="Century Gothic" w:eastAsia="Times New Roman" w:hAnsi="Century Gothic" w:cs="Arial"/>
          <w:i/>
          <w:iCs/>
          <w:lang w:eastAsia="es-CO"/>
        </w:rPr>
      </w:pPr>
      <w:r w:rsidRPr="00042DF5">
        <w:rPr>
          <w:rFonts w:ascii="Century Gothic" w:eastAsia="Times New Roman" w:hAnsi="Century Gothic" w:cs="Arial"/>
          <w:lang w:eastAsia="es-CO"/>
        </w:rPr>
        <w:t xml:space="preserve">En cuanto a su régimen jurídico, su naturaleza es de carácter mixto, toda vez que las personas jurídicas creadas en virtud del artículo 96 de la Ley 489 de 1998 se rigen por una parte por el Código Civil en lo relativo a su constitución, organización, funcionamiento y procedimiento de transformación y, por el otro, se encuentran sujetas a las reglas y principios generales de contratación, por encontrarse dentro del ámbito de aplicación de la Ley 80 de 1993. La conexidad que debe existir entre las actividades de la persona jurídica de carácter mixto y las funciones de las entidades estatales que la integran, así como el carácter público de la participación de las entidades públicas, determinan su sujeción, en algunas </w:t>
      </w:r>
      <w:r w:rsidRPr="00042DF5">
        <w:rPr>
          <w:rFonts w:ascii="Century Gothic" w:eastAsia="Times New Roman" w:hAnsi="Century Gothic" w:cs="Arial"/>
          <w:lang w:eastAsia="es-CO"/>
        </w:rPr>
        <w:lastRenderedPageBreak/>
        <w:t>materias, a las normas propias del derecho público, evitando que este tipo de entes se conviertan en un mecanismo de “simple traslado de recursos públicos a particulares”</w:t>
      </w:r>
      <w:r w:rsidRPr="00042DF5">
        <w:rPr>
          <w:rFonts w:ascii="Century Gothic" w:eastAsia="Times New Roman" w:hAnsi="Century Gothic" w:cs="Arial"/>
          <w:i/>
          <w:iCs/>
          <w:lang w:eastAsia="es-CO"/>
        </w:rPr>
        <w:t xml:space="preserve">. </w:t>
      </w:r>
    </w:p>
    <w:p w14:paraId="709A4E95" w14:textId="5BEC9A53" w:rsidR="00042DF5" w:rsidRPr="00042DF5" w:rsidRDefault="00042DF5" w:rsidP="00042DF5">
      <w:pPr>
        <w:spacing w:after="120" w:line="276" w:lineRule="auto"/>
        <w:ind w:firstLine="708"/>
        <w:jc w:val="both"/>
        <w:rPr>
          <w:rFonts w:ascii="Century Gothic" w:eastAsia="Times New Roman" w:hAnsi="Century Gothic" w:cs="Arial"/>
          <w:sz w:val="21"/>
          <w:szCs w:val="21"/>
          <w:lang w:eastAsia="es-CO"/>
        </w:rPr>
      </w:pPr>
      <w:r w:rsidRPr="00042DF5">
        <w:rPr>
          <w:rFonts w:ascii="Century Gothic" w:eastAsia="Times New Roman" w:hAnsi="Century Gothic" w:cs="Arial"/>
          <w:lang w:eastAsia="es-ES_tradnl"/>
        </w:rPr>
        <w:t>La Corte Constitucional en la Sentencia C-230 de 1995, al revisar la constitucionalidad del literal a) del artículo 2</w:t>
      </w:r>
      <w:r w:rsidR="00C776FE">
        <w:rPr>
          <w:rFonts w:ascii="Century Gothic" w:eastAsia="Times New Roman" w:hAnsi="Century Gothic" w:cs="Arial"/>
          <w:lang w:eastAsia="es-ES_tradnl"/>
        </w:rPr>
        <w:t xml:space="preserve">, numeral </w:t>
      </w:r>
      <w:r w:rsidRPr="00042DF5">
        <w:rPr>
          <w:rFonts w:ascii="Century Gothic" w:eastAsia="Times New Roman" w:hAnsi="Century Gothic" w:cs="Arial"/>
          <w:lang w:eastAsia="es-ES_tradnl"/>
        </w:rPr>
        <w:t xml:space="preserve">2 de la Ley 80 de 1993, analizó el régimen aplicable a las asociaciones de carácter mixto sin ánimo de lucro que se constituyeron en vigencia del artículo 6º del Decreto Ley 130 de 1976. Al respecto manifestó que era perfectamente viable someter las asociaciones que cuenten con una participación pública mayoritaria a las reglas y principios de la contratación pública. </w:t>
      </w:r>
    </w:p>
    <w:p w14:paraId="6AC59619" w14:textId="77777777" w:rsidR="00042DF5" w:rsidRPr="00042DF5" w:rsidRDefault="00042DF5" w:rsidP="00042DF5">
      <w:pPr>
        <w:spacing w:after="120" w:line="276" w:lineRule="auto"/>
        <w:ind w:firstLine="708"/>
        <w:jc w:val="both"/>
        <w:rPr>
          <w:rFonts w:ascii="Century Gothic" w:eastAsia="Times New Roman" w:hAnsi="Century Gothic" w:cs="Arial"/>
          <w:lang w:eastAsia="es-ES_tradnl"/>
        </w:rPr>
      </w:pPr>
      <w:r w:rsidRPr="00042DF5">
        <w:rPr>
          <w:rFonts w:ascii="Century Gothic" w:eastAsia="Times New Roman" w:hAnsi="Century Gothic" w:cs="Arial"/>
          <w:lang w:eastAsia="es-ES_tradnl"/>
        </w:rPr>
        <w:t xml:space="preserve">Ahora bien,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 así como la participación de las entidades asociadas en el sostenimiento y funcionamiento de la entidad. Bajo esa perspectiva, el legislador diferenció dos (2) elementos importantes para el funcionamiento de estas asociaciones mixtas. Por un lado, los aportes realizados al momento de su constitución, los cuales determinan la participación de los asociados en la creación de la persona jurídica, y con ello la naturaleza y el régimen jurídico de la entidad. Por otro lado, las contribuciones que se realizan para el sostenimiento y funcionamiento de la entidad sin ánimo de lucro. </w:t>
      </w:r>
    </w:p>
    <w:p w14:paraId="391C338B" w14:textId="77777777" w:rsidR="00042DF5" w:rsidRPr="00042DF5" w:rsidRDefault="00042DF5" w:rsidP="00042DF5">
      <w:pPr>
        <w:spacing w:before="120" w:after="120" w:line="276" w:lineRule="auto"/>
        <w:ind w:firstLine="709"/>
        <w:jc w:val="both"/>
        <w:rPr>
          <w:rFonts w:ascii="Century Gothic" w:eastAsia="Times New Roman" w:hAnsi="Century Gothic" w:cs="Arial"/>
          <w:color w:val="000000"/>
          <w:lang w:eastAsia="es-CO"/>
        </w:rPr>
      </w:pPr>
      <w:r w:rsidRPr="00042DF5">
        <w:rPr>
          <w:rFonts w:ascii="Century Gothic" w:eastAsia="Times New Roman" w:hAnsi="Century Gothic" w:cs="Arial"/>
          <w:lang w:eastAsia="es-CO"/>
        </w:rPr>
        <w:t xml:space="preserve">En ese sentido, para esta Subdirección las asociaciones de carácter mixto con participación mayoritaria del Estado que se constituyan en virtud del artículo 96 de la Ley 489 de 1998 se consideran como entidades estatales, sometidas al Estatuto General de Contratación de la Administración Pública, cuando los aportes realizados al momento de su constitución son superiores al 50%. Lo anterior, sin perjuicio de cualquier modificación posterior que se realice de dichos aportes y que impliquen un cambio en la participación de los socios, fundadores o constituyentes. Se precisa también </w:t>
      </w:r>
      <w:r w:rsidRPr="00042DF5">
        <w:rPr>
          <w:rFonts w:ascii="Century Gothic" w:eastAsia="Times New Roman" w:hAnsi="Century Gothic" w:cs="Arial"/>
          <w:color w:val="000000"/>
          <w:lang w:eastAsia="es-CO"/>
        </w:rPr>
        <w:t xml:space="preserve">que una corporación o fundación mixta con participación minoritaria del Estado adquiere la calidad de entidad pública sujeta al Estatuto General de Contratación de la Administración Pública, cuando la participación del Estado cambie y se torne mayoritaria, siendo igual o superior al 50%. </w:t>
      </w:r>
    </w:p>
    <w:p w14:paraId="09F23C15" w14:textId="77777777" w:rsidR="00042DF5" w:rsidRPr="00042DF5" w:rsidRDefault="00042DF5" w:rsidP="00042DF5">
      <w:pPr>
        <w:spacing w:before="120" w:after="120" w:line="276" w:lineRule="auto"/>
        <w:ind w:firstLine="709"/>
        <w:jc w:val="both"/>
        <w:rPr>
          <w:rFonts w:ascii="Century Gothic" w:eastAsia="Times New Roman" w:hAnsi="Century Gothic" w:cs="Arial"/>
          <w:iCs/>
          <w:color w:val="4B4949"/>
          <w:sz w:val="21"/>
          <w:szCs w:val="21"/>
          <w:lang w:eastAsia="es-CO"/>
        </w:rPr>
      </w:pPr>
      <w:r w:rsidRPr="00042DF5">
        <w:rPr>
          <w:rFonts w:ascii="Century Gothic" w:eastAsia="Times New Roman" w:hAnsi="Century Gothic" w:cs="Arial"/>
          <w:color w:val="000000"/>
          <w:lang w:eastAsia="es-CO"/>
        </w:rPr>
        <w:lastRenderedPageBreak/>
        <w:t xml:space="preserve">De esta manera, el artículo 96 de la Ley 489 de 1998 no puede interpretarse aisladamente con respecto a lo prescrito en el artículo 2 de la Ley 80 de 1993, la cual no hace una distinción de los momentos de los aportes, sino que lo que importa es la participación mayoritaria del Estado, para efectos de determinar la aplicación del Estatuto General de Contratación de la Administración Pública. Por lo anterior, </w:t>
      </w:r>
      <w:r w:rsidRPr="00042DF5">
        <w:rPr>
          <w:rFonts w:ascii="Century Gothic" w:eastAsia="Times New Roman" w:hAnsi="Century Gothic" w:cs="Arial"/>
          <w:lang w:eastAsia="es-CO"/>
        </w:rPr>
        <w:t xml:space="preserve">cabe destacar que estas asociaciones son una expresión de la descentralización administrativa, por cuanto hacen parte de las demás entidades de naturaleza especial creadas o autorizadas por la ley, las cuales se encuentran previstas en el artículo 68 de la Ley 489 de 1998. </w:t>
      </w:r>
    </w:p>
    <w:p w14:paraId="2CF7AA47" w14:textId="77777777" w:rsidR="00042DF5" w:rsidRPr="00042DF5" w:rsidRDefault="00042DF5" w:rsidP="00042DF5">
      <w:pPr>
        <w:spacing w:after="0" w:line="276" w:lineRule="auto"/>
        <w:jc w:val="both"/>
        <w:rPr>
          <w:rFonts w:ascii="Century Gothic" w:eastAsia="Calibri" w:hAnsi="Century Gothic" w:cs="Arial"/>
          <w:bCs/>
          <w:sz w:val="21"/>
          <w:szCs w:val="21"/>
          <w:lang w:eastAsia="es-CO"/>
        </w:rPr>
      </w:pPr>
      <w:r w:rsidRPr="00042DF5">
        <w:rPr>
          <w:rFonts w:ascii="Century Gothic" w:eastAsia="Calibri" w:hAnsi="Century Gothic" w:cs="Arial"/>
          <w:b/>
          <w:bCs/>
          <w:lang w:eastAsia="es-CO"/>
        </w:rPr>
        <w:tab/>
      </w:r>
      <w:r w:rsidRPr="00042DF5">
        <w:rPr>
          <w:rFonts w:ascii="Century Gothic" w:eastAsia="Calibri" w:hAnsi="Century Gothic" w:cs="Arial"/>
          <w:bCs/>
          <w:lang w:eastAsia="es-CO"/>
        </w:rPr>
        <w:t>A partir de lo expuesto, este tipo de organismos con participación mayoritaria del Estado tienen la calidad de entidades descentralizadas indirectas y son una forma de la descentralización por servicios. Esto en la medida que poseen una vinculación con el Estado, participando en el cumplimiento de actividades que involucran la consecución de los fines estatales, hasta el punto de que aquél –al asociarse con particulares– entrega bienes o recursos públicos a título de aporte. Por tanto, son destinatarias de la Ley 80 de 1993, pues el literal a) del artículo 2.1.</w:t>
      </w:r>
    </w:p>
    <w:p w14:paraId="344C258F" w14:textId="1EE94AFB" w:rsidR="00042DF5" w:rsidRPr="00042DF5" w:rsidRDefault="00042DF5" w:rsidP="00042DF5">
      <w:pPr>
        <w:spacing w:after="0" w:line="276" w:lineRule="auto"/>
        <w:jc w:val="both"/>
        <w:rPr>
          <w:rFonts w:ascii="Century Gothic" w:eastAsia="Calibri" w:hAnsi="Century Gothic" w:cs="Arial"/>
          <w:bCs/>
          <w:lang w:eastAsia="es-CO"/>
        </w:rPr>
      </w:pPr>
      <w:r w:rsidRPr="00042DF5">
        <w:rPr>
          <w:rFonts w:ascii="Century Gothic" w:eastAsia="Calibri" w:hAnsi="Century Gothic" w:cs="Arial"/>
          <w:b/>
          <w:bCs/>
          <w:lang w:eastAsia="es-CO"/>
        </w:rPr>
        <w:tab/>
      </w:r>
      <w:r w:rsidRPr="00042DF5">
        <w:rPr>
          <w:rFonts w:ascii="Century Gothic" w:eastAsia="Calibri" w:hAnsi="Century Gothic" w:cs="Arial"/>
          <w:bCs/>
          <w:lang w:eastAsia="es-CO"/>
        </w:rPr>
        <w:t xml:space="preserve">Por tanto, las fundaciones y corporaciones con participación mayoritaria de cualquier entidad del Estado tienen la calidad de entidades públicas sujetas al Estatuto General de Contratación de la Administración pública, independiente que los aportes hayan sido en el acto de constitución o en un momento posterior. Es decir, lo que interesa es que haya una participación mayoritaria del Estado para activar la aplicación del régimen contractual previsto en las leyes 80 de 1993 y 1150 de 2007. De lo anterior se desprende </w:t>
      </w:r>
      <w:r w:rsidR="00964A96" w:rsidRPr="00042DF5">
        <w:rPr>
          <w:rFonts w:ascii="Century Gothic" w:eastAsia="Calibri" w:hAnsi="Century Gothic" w:cs="Arial"/>
          <w:bCs/>
          <w:lang w:eastAsia="es-CO"/>
        </w:rPr>
        <w:t>que,</w:t>
      </w:r>
      <w:r w:rsidRPr="00042DF5">
        <w:rPr>
          <w:rFonts w:ascii="Century Gothic" w:eastAsia="Calibri" w:hAnsi="Century Gothic" w:cs="Arial"/>
          <w:bCs/>
          <w:lang w:eastAsia="es-CO"/>
        </w:rPr>
        <w:t xml:space="preserve"> a este tipo de entidades sin ánimo de lucro, las cuales tienen la naturaleza de ser entidades descentralizadas indirectas, solo les aplicarán las normas de derecho civil, en cuanto a la constitución, organización y funcionamiento, conforme al artículo 96 de la Ley 489 de 1998. </w:t>
      </w:r>
    </w:p>
    <w:p w14:paraId="6849A887" w14:textId="77777777" w:rsidR="00042DF5" w:rsidRPr="00042DF5" w:rsidRDefault="00042DF5" w:rsidP="00042DF5">
      <w:pPr>
        <w:spacing w:after="0" w:line="276" w:lineRule="auto"/>
        <w:rPr>
          <w:rFonts w:ascii="Century Gothic" w:eastAsia="Calibri" w:hAnsi="Century Gothic" w:cs="Arial"/>
          <w:sz w:val="24"/>
          <w:szCs w:val="20"/>
          <w:lang w:val="es-MX" w:eastAsia="es-CO"/>
        </w:rPr>
      </w:pPr>
    </w:p>
    <w:p w14:paraId="6CD32B1E" w14:textId="77777777" w:rsidR="00042DF5" w:rsidRPr="00042DF5" w:rsidRDefault="00042DF5" w:rsidP="00042DF5">
      <w:pPr>
        <w:spacing w:after="0" w:line="276" w:lineRule="auto"/>
        <w:rPr>
          <w:rFonts w:ascii="Century Gothic" w:eastAsia="Calibri" w:hAnsi="Century Gothic" w:cs="Arial"/>
          <w:lang w:val="es-MX" w:eastAsia="es-CO"/>
        </w:rPr>
      </w:pPr>
      <w:r w:rsidRPr="00042DF5">
        <w:rPr>
          <w:rFonts w:ascii="Century Gothic" w:eastAsia="Calibri" w:hAnsi="Century Gothic" w:cs="Arial"/>
          <w:lang w:val="es-MX" w:eastAsia="es-CO"/>
        </w:rPr>
        <w:t>Atentamente,</w:t>
      </w:r>
    </w:p>
    <w:p w14:paraId="7C2A0333" w14:textId="77777777" w:rsidR="00042DF5" w:rsidRPr="00042DF5" w:rsidRDefault="00042DF5" w:rsidP="00042DF5">
      <w:pPr>
        <w:spacing w:after="0" w:line="240" w:lineRule="auto"/>
        <w:ind w:right="709"/>
        <w:jc w:val="both"/>
        <w:rPr>
          <w:rFonts w:ascii="Century Gothic" w:eastAsia="Calibri" w:hAnsi="Century Gothic" w:cs="Arial"/>
          <w:color w:val="000000"/>
          <w:lang w:val="es-MX"/>
        </w:rPr>
      </w:pPr>
    </w:p>
    <w:p w14:paraId="72C9AB8B" w14:textId="357CBE4B" w:rsidR="00042DF5" w:rsidRPr="00042DF5" w:rsidRDefault="00A67749" w:rsidP="00042DF5">
      <w:pPr>
        <w:widowControl w:val="0"/>
        <w:autoSpaceDE w:val="0"/>
        <w:autoSpaceDN w:val="0"/>
        <w:spacing w:after="18"/>
        <w:jc w:val="center"/>
        <w:rPr>
          <w:rFonts w:ascii="Century Gothic" w:eastAsia="Arial" w:hAnsi="Century Gothic" w:cs="Arial"/>
          <w:kern w:val="2"/>
          <w:lang w:val="es-ES" w:eastAsia="es-CO" w:bidi="es-ES"/>
          <w14:ligatures w14:val="standardContextual"/>
        </w:rPr>
      </w:pPr>
      <w:r>
        <w:rPr>
          <w:noProof/>
        </w:rPr>
        <w:lastRenderedPageBreak/>
        <w:drawing>
          <wp:inline distT="0" distB="0" distL="0" distR="0" wp14:anchorId="0D9D0D47" wp14:editId="5D1321F3">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042DF5" w:rsidRPr="00042DF5" w14:paraId="384BD1C2" w14:textId="77777777">
        <w:trPr>
          <w:trHeight w:val="286"/>
        </w:trPr>
        <w:tc>
          <w:tcPr>
            <w:tcW w:w="817" w:type="dxa"/>
            <w:vAlign w:val="center"/>
            <w:hideMark/>
          </w:tcPr>
          <w:p w14:paraId="3DC6E29D" w14:textId="77777777" w:rsidR="00042DF5" w:rsidRPr="00042DF5" w:rsidRDefault="00042DF5" w:rsidP="00042DF5">
            <w:pPr>
              <w:rPr>
                <w:rFonts w:ascii="Century Gothic" w:eastAsia="Arial" w:hAnsi="Century Gothic" w:cs="Arial"/>
                <w:sz w:val="14"/>
                <w:szCs w:val="14"/>
                <w:lang w:val="es-ES" w:eastAsia="es-ES" w:bidi="es-ES"/>
              </w:rPr>
            </w:pPr>
            <w:bookmarkStart w:id="8" w:name="_Hlk70523608"/>
            <w:r w:rsidRPr="00042DF5">
              <w:rPr>
                <w:rFonts w:ascii="Century Gothic" w:eastAsia="Arial" w:hAnsi="Century Gothic" w:cs="Arial"/>
                <w:sz w:val="14"/>
                <w:szCs w:val="14"/>
                <w:lang w:val="es-ES" w:eastAsia="es-ES" w:bidi="es-ES"/>
              </w:rPr>
              <w:t>Elaboró:</w:t>
            </w:r>
          </w:p>
        </w:tc>
        <w:tc>
          <w:tcPr>
            <w:tcW w:w="4003" w:type="dxa"/>
            <w:tcBorders>
              <w:top w:val="nil"/>
              <w:left w:val="nil"/>
              <w:bottom w:val="dotted" w:sz="4" w:space="0" w:color="7F7F7F"/>
              <w:right w:val="nil"/>
            </w:tcBorders>
            <w:vAlign w:val="center"/>
            <w:hideMark/>
          </w:tcPr>
          <w:p w14:paraId="11F08943" w14:textId="76EE3714" w:rsidR="00042DF5" w:rsidRPr="00042DF5" w:rsidRDefault="00042DF5" w:rsidP="00042DF5">
            <w:pPr>
              <w:rPr>
                <w:rFonts w:ascii="Century Gothic" w:eastAsia="Arial" w:hAnsi="Century Gothic" w:cs="Arial"/>
                <w:sz w:val="14"/>
                <w:szCs w:val="14"/>
                <w:lang w:eastAsia="es-ES" w:bidi="es-ES"/>
              </w:rPr>
            </w:pPr>
            <w:r w:rsidRPr="00042DF5">
              <w:rPr>
                <w:rFonts w:ascii="Century Gothic" w:eastAsia="Arial" w:hAnsi="Century Gothic" w:cs="Arial"/>
                <w:sz w:val="14"/>
                <w:szCs w:val="14"/>
                <w:lang w:eastAsia="es-ES" w:bidi="es-ES"/>
              </w:rPr>
              <w:t xml:space="preserve">Carlos Mario </w:t>
            </w:r>
            <w:r w:rsidR="00106C4D" w:rsidRPr="00042DF5">
              <w:rPr>
                <w:rFonts w:ascii="Century Gothic" w:eastAsia="Arial" w:hAnsi="Century Gothic" w:cs="Arial"/>
                <w:sz w:val="14"/>
                <w:szCs w:val="14"/>
                <w:lang w:eastAsia="es-ES" w:bidi="es-ES"/>
              </w:rPr>
              <w:t>Castrillón</w:t>
            </w:r>
            <w:r w:rsidRPr="00042DF5">
              <w:rPr>
                <w:rFonts w:ascii="Century Gothic" w:eastAsia="Arial" w:hAnsi="Century Gothic" w:cs="Arial"/>
                <w:sz w:val="14"/>
                <w:szCs w:val="14"/>
                <w:lang w:eastAsia="es-ES" w:bidi="es-ES"/>
              </w:rPr>
              <w:t xml:space="preserve"> Endo</w:t>
            </w:r>
          </w:p>
          <w:p w14:paraId="53CE9C37" w14:textId="77777777" w:rsidR="00042DF5" w:rsidRPr="00042DF5" w:rsidRDefault="00042DF5" w:rsidP="00042DF5">
            <w:pPr>
              <w:rPr>
                <w:rFonts w:ascii="Century Gothic" w:eastAsia="Arial" w:hAnsi="Century Gothic" w:cs="Arial"/>
                <w:sz w:val="14"/>
                <w:szCs w:val="14"/>
                <w:lang w:val="es-ES" w:eastAsia="es-ES" w:bidi="es-ES"/>
              </w:rPr>
            </w:pPr>
            <w:r w:rsidRPr="00042DF5">
              <w:rPr>
                <w:rFonts w:ascii="Century Gothic" w:eastAsia="Arial" w:hAnsi="Century Gothic" w:cs="Arial"/>
                <w:sz w:val="14"/>
                <w:szCs w:val="14"/>
                <w:lang w:val="es-ES" w:eastAsia="es-ES" w:bidi="es-ES"/>
              </w:rPr>
              <w:t>Contratista de la Subdirección de Gestión Contractual</w:t>
            </w:r>
          </w:p>
        </w:tc>
      </w:tr>
      <w:tr w:rsidR="00042DF5" w:rsidRPr="00042DF5" w14:paraId="761525C6" w14:textId="77777777">
        <w:trPr>
          <w:trHeight w:val="299"/>
        </w:trPr>
        <w:tc>
          <w:tcPr>
            <w:tcW w:w="817" w:type="dxa"/>
            <w:vAlign w:val="center"/>
            <w:hideMark/>
          </w:tcPr>
          <w:p w14:paraId="4FBAC8E8" w14:textId="77777777" w:rsidR="00042DF5" w:rsidRPr="00042DF5" w:rsidRDefault="00042DF5" w:rsidP="00042DF5">
            <w:pPr>
              <w:rPr>
                <w:rFonts w:ascii="Century Gothic" w:eastAsia="Arial" w:hAnsi="Century Gothic" w:cs="Arial"/>
                <w:sz w:val="14"/>
                <w:szCs w:val="14"/>
                <w:lang w:val="es-ES" w:eastAsia="es-ES" w:bidi="es-ES"/>
              </w:rPr>
            </w:pPr>
            <w:r w:rsidRPr="00042DF5">
              <w:rPr>
                <w:rFonts w:ascii="Century Gothic" w:eastAsia="Arial" w:hAnsi="Century Gothic" w:cs="Arial"/>
                <w:sz w:val="14"/>
                <w:szCs w:val="14"/>
                <w:lang w:val="es-ES" w:eastAsia="es-ES" w:bidi="es-ES"/>
              </w:rPr>
              <w:t>Revisó:</w:t>
            </w:r>
          </w:p>
        </w:tc>
        <w:tc>
          <w:tcPr>
            <w:tcW w:w="4003" w:type="dxa"/>
            <w:tcBorders>
              <w:top w:val="dotted" w:sz="4" w:space="0" w:color="7F7F7F"/>
              <w:left w:val="nil"/>
              <w:bottom w:val="dotted" w:sz="4" w:space="0" w:color="7F7F7F"/>
              <w:right w:val="nil"/>
            </w:tcBorders>
            <w:vAlign w:val="center"/>
            <w:hideMark/>
          </w:tcPr>
          <w:p w14:paraId="4BBA466B" w14:textId="77777777" w:rsidR="00042DF5" w:rsidRPr="00042DF5" w:rsidRDefault="00042DF5" w:rsidP="00042DF5">
            <w:pPr>
              <w:rPr>
                <w:rFonts w:ascii="Century Gothic" w:eastAsia="Arial" w:hAnsi="Century Gothic" w:cs="Arial"/>
                <w:sz w:val="14"/>
                <w:szCs w:val="14"/>
                <w:lang w:val="es-ES" w:eastAsia="es-ES" w:bidi="es-ES"/>
              </w:rPr>
            </w:pPr>
            <w:r w:rsidRPr="00042DF5">
              <w:rPr>
                <w:rFonts w:ascii="Century Gothic" w:eastAsia="Arial" w:hAnsi="Century Gothic" w:cs="Arial"/>
                <w:sz w:val="14"/>
                <w:szCs w:val="14"/>
                <w:lang w:val="es-ES" w:eastAsia="es-ES" w:bidi="es-ES"/>
              </w:rPr>
              <w:t xml:space="preserve">Alejandro Sarmiento Cantillo </w:t>
            </w:r>
          </w:p>
          <w:p w14:paraId="442C646B" w14:textId="77777777" w:rsidR="00042DF5" w:rsidRPr="00042DF5" w:rsidRDefault="00042DF5" w:rsidP="00042DF5">
            <w:pPr>
              <w:rPr>
                <w:rFonts w:ascii="Century Gothic" w:eastAsia="Arial" w:hAnsi="Century Gothic" w:cs="Arial"/>
                <w:sz w:val="14"/>
                <w:szCs w:val="14"/>
                <w:lang w:val="es-ES" w:eastAsia="es-ES" w:bidi="es-ES"/>
              </w:rPr>
            </w:pPr>
            <w:r w:rsidRPr="00042DF5">
              <w:rPr>
                <w:rFonts w:ascii="Century Gothic" w:eastAsia="Arial" w:hAnsi="Century Gothic" w:cs="Arial"/>
                <w:sz w:val="14"/>
                <w:szCs w:val="14"/>
                <w:lang w:val="es-ES" w:eastAsia="es-ES" w:bidi="es-ES"/>
              </w:rPr>
              <w:t>Gestor T1-15 de la Subdirección de Gestión contractual</w:t>
            </w:r>
          </w:p>
        </w:tc>
      </w:tr>
      <w:tr w:rsidR="00042DF5" w:rsidRPr="00042DF5" w14:paraId="786B11E3" w14:textId="77777777">
        <w:trPr>
          <w:trHeight w:val="272"/>
        </w:trPr>
        <w:tc>
          <w:tcPr>
            <w:tcW w:w="817" w:type="dxa"/>
            <w:vAlign w:val="center"/>
            <w:hideMark/>
          </w:tcPr>
          <w:p w14:paraId="24571305" w14:textId="77777777" w:rsidR="00042DF5" w:rsidRPr="00042DF5" w:rsidRDefault="00042DF5" w:rsidP="00042DF5">
            <w:pPr>
              <w:rPr>
                <w:rFonts w:ascii="Century Gothic" w:eastAsia="Arial" w:hAnsi="Century Gothic" w:cs="Arial"/>
                <w:sz w:val="14"/>
                <w:szCs w:val="14"/>
                <w:lang w:val="es-ES" w:eastAsia="es-ES" w:bidi="es-ES"/>
              </w:rPr>
            </w:pPr>
            <w:r w:rsidRPr="00042DF5">
              <w:rPr>
                <w:rFonts w:ascii="Century Gothic" w:eastAsia="Arial" w:hAnsi="Century Gothic" w:cs="Arial"/>
                <w:sz w:val="14"/>
                <w:szCs w:val="14"/>
                <w:lang w:val="es-ES" w:eastAsia="es-ES" w:bidi="es-ES"/>
              </w:rPr>
              <w:t>Aprobó:</w:t>
            </w:r>
          </w:p>
        </w:tc>
        <w:tc>
          <w:tcPr>
            <w:tcW w:w="4003" w:type="dxa"/>
            <w:tcBorders>
              <w:top w:val="dotted" w:sz="4" w:space="0" w:color="7F7F7F"/>
              <w:left w:val="nil"/>
              <w:bottom w:val="dotted" w:sz="4" w:space="0" w:color="7F7F7F"/>
              <w:right w:val="nil"/>
            </w:tcBorders>
            <w:vAlign w:val="center"/>
            <w:hideMark/>
          </w:tcPr>
          <w:p w14:paraId="3B81647C" w14:textId="77777777" w:rsidR="00042DF5" w:rsidRPr="00042DF5" w:rsidRDefault="00042DF5" w:rsidP="00042DF5">
            <w:pPr>
              <w:rPr>
                <w:rFonts w:ascii="Century Gothic" w:eastAsia="Arial" w:hAnsi="Century Gothic" w:cs="Arial"/>
                <w:sz w:val="14"/>
                <w:szCs w:val="14"/>
                <w:lang w:val="es-ES" w:eastAsia="es-ES" w:bidi="es-ES"/>
              </w:rPr>
            </w:pPr>
            <w:r w:rsidRPr="00042DF5">
              <w:rPr>
                <w:rFonts w:ascii="Century Gothic" w:eastAsia="Arial" w:hAnsi="Century Gothic" w:cs="Arial"/>
                <w:sz w:val="14"/>
                <w:szCs w:val="14"/>
                <w:lang w:val="es-ES" w:eastAsia="es-ES" w:bidi="es-ES"/>
              </w:rPr>
              <w:t>Nohelia del Carmen Zawady Palacio</w:t>
            </w:r>
          </w:p>
          <w:p w14:paraId="6DF8AF54" w14:textId="77777777" w:rsidR="00042DF5" w:rsidRPr="00042DF5" w:rsidRDefault="00042DF5" w:rsidP="00042DF5">
            <w:pPr>
              <w:rPr>
                <w:rFonts w:ascii="Century Gothic" w:eastAsia="Arial" w:hAnsi="Century Gothic" w:cs="Arial"/>
                <w:sz w:val="14"/>
                <w:szCs w:val="14"/>
                <w:lang w:val="es-ES" w:eastAsia="es-ES" w:bidi="es-ES"/>
              </w:rPr>
            </w:pPr>
            <w:r w:rsidRPr="00042DF5">
              <w:rPr>
                <w:rFonts w:ascii="Century Gothic" w:eastAsia="Arial" w:hAnsi="Century Gothic" w:cs="Arial"/>
                <w:sz w:val="14"/>
                <w:szCs w:val="14"/>
                <w:lang w:val="es-ES" w:eastAsia="es-ES" w:bidi="es-ES"/>
              </w:rPr>
              <w:t>Subdirector de Gestión Contractual ANCP – CCE</w:t>
            </w:r>
          </w:p>
        </w:tc>
      </w:tr>
      <w:bookmarkEnd w:id="8"/>
    </w:tbl>
    <w:p w14:paraId="3E9A32B7" w14:textId="77777777" w:rsidR="00042DF5" w:rsidRPr="00042DF5" w:rsidRDefault="00042DF5" w:rsidP="00042DF5">
      <w:pPr>
        <w:widowControl w:val="0"/>
        <w:autoSpaceDE w:val="0"/>
        <w:autoSpaceDN w:val="0"/>
        <w:spacing w:after="18"/>
        <w:jc w:val="center"/>
        <w:rPr>
          <w:rFonts w:ascii="Century Gothic" w:eastAsia="Arial" w:hAnsi="Century Gothic" w:cs="Arial"/>
          <w:kern w:val="2"/>
          <w:lang w:val="es-ES" w:eastAsia="es-CO" w:bidi="es-ES"/>
          <w14:ligatures w14:val="standardContextual"/>
        </w:rPr>
      </w:pPr>
    </w:p>
    <w:p w14:paraId="3C987D0F" w14:textId="77777777" w:rsidR="00042DF5" w:rsidRPr="00042DF5" w:rsidRDefault="00042DF5" w:rsidP="00042DF5">
      <w:pPr>
        <w:widowControl w:val="0"/>
        <w:autoSpaceDE w:val="0"/>
        <w:autoSpaceDN w:val="0"/>
        <w:rPr>
          <w:rFonts w:ascii="Century Gothic" w:eastAsia="Arial" w:hAnsi="Century Gothic" w:cs="Arial"/>
          <w:kern w:val="2"/>
          <w:lang w:val="es-ES" w:eastAsia="es-ES" w:bidi="es-ES"/>
          <w14:ligatures w14:val="standardContextual"/>
        </w:rPr>
      </w:pPr>
    </w:p>
    <w:p w14:paraId="4102757A" w14:textId="77777777" w:rsidR="00042DF5" w:rsidRPr="00042DF5" w:rsidRDefault="00042DF5" w:rsidP="00042DF5">
      <w:pPr>
        <w:widowControl w:val="0"/>
        <w:autoSpaceDE w:val="0"/>
        <w:autoSpaceDN w:val="0"/>
        <w:rPr>
          <w:rFonts w:ascii="Century Gothic" w:eastAsia="Arial" w:hAnsi="Century Gothic" w:cs="Arial"/>
          <w:kern w:val="2"/>
          <w:lang w:val="es-ES" w:eastAsia="es-ES" w:bidi="es-ES"/>
          <w14:ligatures w14:val="standardContextual"/>
        </w:rPr>
      </w:pPr>
    </w:p>
    <w:p w14:paraId="166198AC" w14:textId="77777777" w:rsidR="00042DF5" w:rsidRPr="00042DF5" w:rsidRDefault="00042DF5" w:rsidP="00042DF5">
      <w:pPr>
        <w:widowControl w:val="0"/>
        <w:autoSpaceDE w:val="0"/>
        <w:autoSpaceDN w:val="0"/>
        <w:spacing w:line="276" w:lineRule="auto"/>
        <w:jc w:val="both"/>
        <w:rPr>
          <w:rFonts w:ascii="Century Gothic" w:eastAsia="Times New Roman" w:hAnsi="Century Gothic" w:cs="Arial"/>
          <w:kern w:val="2"/>
          <w:sz w:val="18"/>
          <w:szCs w:val="18"/>
          <w:lang w:val="es-ES_tradnl" w:eastAsia="es-CO" w:bidi="es-ES"/>
          <w14:ligatures w14:val="standardContextual"/>
        </w:rPr>
      </w:pPr>
    </w:p>
    <w:p w14:paraId="392ABFAC" w14:textId="77777777" w:rsidR="00042DF5" w:rsidRPr="00042DF5" w:rsidRDefault="00042DF5" w:rsidP="00042DF5">
      <w:pPr>
        <w:widowControl w:val="0"/>
        <w:autoSpaceDE w:val="0"/>
        <w:autoSpaceDN w:val="0"/>
        <w:spacing w:line="276" w:lineRule="auto"/>
        <w:jc w:val="both"/>
        <w:rPr>
          <w:rFonts w:ascii="Century Gothic" w:eastAsia="Times New Roman" w:hAnsi="Century Gothic" w:cs="Arial"/>
          <w:kern w:val="2"/>
          <w:sz w:val="18"/>
          <w:szCs w:val="18"/>
          <w:lang w:val="es-ES_tradnl" w:eastAsia="es-CO" w:bidi="es-ES"/>
          <w14:ligatures w14:val="standardContextual"/>
        </w:rPr>
      </w:pPr>
    </w:p>
    <w:p w14:paraId="38080460" w14:textId="77777777" w:rsidR="00042DF5" w:rsidRPr="00042DF5" w:rsidRDefault="00042DF5" w:rsidP="00042DF5">
      <w:pPr>
        <w:spacing w:after="0" w:line="240" w:lineRule="auto"/>
        <w:ind w:right="709"/>
        <w:jc w:val="both"/>
        <w:rPr>
          <w:rFonts w:ascii="Century Gothic" w:eastAsia="Calibri" w:hAnsi="Century Gothic" w:cs="Arial"/>
          <w:color w:val="000000"/>
          <w:lang w:val="es-MX"/>
        </w:rPr>
      </w:pPr>
    </w:p>
    <w:p w14:paraId="269C9704" w14:textId="77777777" w:rsidR="00042DF5" w:rsidRPr="00042DF5" w:rsidRDefault="00042DF5" w:rsidP="00042DF5">
      <w:pPr>
        <w:rPr>
          <w:rFonts w:ascii="Century Gothic" w:eastAsia="Aptos" w:hAnsi="Century Gothic" w:cs="Times New Roman"/>
          <w:kern w:val="2"/>
          <w14:ligatures w14:val="standardContextual"/>
        </w:rPr>
      </w:pPr>
    </w:p>
    <w:p w14:paraId="605A3A82" w14:textId="77777777" w:rsidR="00042DF5" w:rsidRPr="00042DF5" w:rsidRDefault="00042DF5" w:rsidP="00042DF5">
      <w:pPr>
        <w:rPr>
          <w:rFonts w:ascii="Century Gothic" w:eastAsia="Calibri" w:hAnsi="Century Gothic" w:cs="Times New Roman"/>
        </w:rPr>
      </w:pPr>
    </w:p>
    <w:p w14:paraId="00838710" w14:textId="77777777" w:rsidR="00042DF5" w:rsidRPr="00042DF5" w:rsidRDefault="00042DF5" w:rsidP="00042DF5">
      <w:pPr>
        <w:rPr>
          <w:rFonts w:ascii="Century Gothic" w:eastAsia="Aptos" w:hAnsi="Century Gothic" w:cs="Times New Roman"/>
          <w:kern w:val="2"/>
          <w14:ligatures w14:val="standardContextual"/>
        </w:rPr>
      </w:pPr>
    </w:p>
    <w:p w14:paraId="0F293BF4" w14:textId="50E131A0" w:rsidR="00127233" w:rsidRPr="00511090" w:rsidRDefault="00127233" w:rsidP="00511090"/>
    <w:sectPr w:rsidR="00127233" w:rsidRPr="00511090" w:rsidSect="004368BC">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EED118" w14:textId="77777777" w:rsidR="00CF360D" w:rsidRDefault="00CF360D" w:rsidP="004A1847">
      <w:pPr>
        <w:spacing w:after="0" w:line="240" w:lineRule="auto"/>
      </w:pPr>
      <w:r>
        <w:separator/>
      </w:r>
    </w:p>
  </w:endnote>
  <w:endnote w:type="continuationSeparator" w:id="0">
    <w:p w14:paraId="1E94FC9E" w14:textId="77777777" w:rsidR="00CF360D" w:rsidRDefault="00CF360D" w:rsidP="004A1847">
      <w:pPr>
        <w:spacing w:after="0" w:line="240" w:lineRule="auto"/>
      </w:pPr>
      <w:r>
        <w:continuationSeparator/>
      </w:r>
    </w:p>
  </w:endnote>
  <w:endnote w:type="continuationNotice" w:id="1">
    <w:p w14:paraId="6603B881" w14:textId="77777777" w:rsidR="00CF360D" w:rsidRDefault="00CF36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54F2A" w14:textId="77777777" w:rsidR="00CF360D" w:rsidRDefault="00CF360D" w:rsidP="004A1847">
      <w:pPr>
        <w:spacing w:after="0" w:line="240" w:lineRule="auto"/>
      </w:pPr>
      <w:r>
        <w:separator/>
      </w:r>
    </w:p>
  </w:footnote>
  <w:footnote w:type="continuationSeparator" w:id="0">
    <w:p w14:paraId="11FBCFCC" w14:textId="77777777" w:rsidR="00CF360D" w:rsidRDefault="00CF360D" w:rsidP="004A1847">
      <w:pPr>
        <w:spacing w:after="0" w:line="240" w:lineRule="auto"/>
      </w:pPr>
      <w:r>
        <w:continuationSeparator/>
      </w:r>
    </w:p>
  </w:footnote>
  <w:footnote w:type="continuationNotice" w:id="1">
    <w:p w14:paraId="5F1A7339" w14:textId="77777777" w:rsidR="00CF360D" w:rsidRDefault="00CF360D">
      <w:pPr>
        <w:spacing w:after="0" w:line="240" w:lineRule="auto"/>
      </w:pPr>
    </w:p>
  </w:footnote>
  <w:footnote w:id="2">
    <w:p w14:paraId="7CB25159" w14:textId="77777777" w:rsidR="00042DF5" w:rsidRPr="006D425C" w:rsidRDefault="00042DF5" w:rsidP="00042DF5">
      <w:pPr>
        <w:pStyle w:val="Textonotapie"/>
        <w:ind w:firstLine="708"/>
        <w:jc w:val="both"/>
        <w:rPr>
          <w:rFonts w:ascii="Century Gothic" w:hAnsi="Century Gothic" w:cs="Arial"/>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La Agencia Nacional de Contratación Pública </w:t>
      </w:r>
      <w:r w:rsidRPr="006D425C">
        <w:rPr>
          <w:rFonts w:ascii="Arial" w:hAnsi="Arial" w:cs="Arial"/>
          <w:sz w:val="12"/>
          <w:szCs w:val="12"/>
        </w:rPr>
        <w:t>‒</w:t>
      </w:r>
      <w:r w:rsidRPr="006D425C">
        <w:rPr>
          <w:rFonts w:ascii="Century Gothic" w:hAnsi="Century Gothic" w:cs="Arial"/>
          <w:sz w:val="12"/>
          <w:szCs w:val="12"/>
        </w:rPr>
        <w:t xml:space="preserve"> Colombia Compra Eficiente fue creada por el Decreto Ley 4170 de 2011. Su objetivo es servir como ente rector de la pol</w:t>
      </w:r>
      <w:r w:rsidRPr="006D425C">
        <w:rPr>
          <w:rFonts w:ascii="Century Gothic" w:hAnsi="Century Gothic" w:cs="Century Gothic"/>
          <w:sz w:val="12"/>
          <w:szCs w:val="12"/>
        </w:rPr>
        <w:t>í</w:t>
      </w:r>
      <w:r w:rsidRPr="006D425C">
        <w:rPr>
          <w:rFonts w:ascii="Century Gothic" w:hAnsi="Century Gothic" w:cs="Arial"/>
          <w:sz w:val="12"/>
          <w:szCs w:val="12"/>
        </w:rPr>
        <w:t>tica de compras y contrataci</w:t>
      </w:r>
      <w:r w:rsidRPr="006D425C">
        <w:rPr>
          <w:rFonts w:ascii="Century Gothic" w:hAnsi="Century Gothic" w:cs="Century Gothic"/>
          <w:sz w:val="12"/>
          <w:szCs w:val="12"/>
        </w:rPr>
        <w:t>ó</w:t>
      </w:r>
      <w:r w:rsidRPr="006D425C">
        <w:rPr>
          <w:rFonts w:ascii="Century Gothic" w:hAnsi="Century Gothic" w:cs="Arial"/>
          <w:sz w:val="12"/>
          <w:szCs w:val="12"/>
        </w:rPr>
        <w:t xml:space="preserve">n del Estado. Para tales fines, como </w:t>
      </w:r>
      <w:r w:rsidRPr="006D425C">
        <w:rPr>
          <w:rFonts w:ascii="Century Gothic" w:hAnsi="Century Gothic" w:cs="Century Gothic"/>
          <w:sz w:val="12"/>
          <w:szCs w:val="12"/>
        </w:rPr>
        <w:t>ó</w:t>
      </w:r>
      <w:r w:rsidRPr="006D425C">
        <w:rPr>
          <w:rFonts w:ascii="Century Gothic" w:hAnsi="Century Gothic" w:cs="Arial"/>
          <w:sz w:val="12"/>
          <w:szCs w:val="12"/>
        </w:rPr>
        <w:t>rgano t</w:t>
      </w:r>
      <w:r w:rsidRPr="006D425C">
        <w:rPr>
          <w:rFonts w:ascii="Century Gothic" w:hAnsi="Century Gothic" w:cs="Century Gothic"/>
          <w:sz w:val="12"/>
          <w:szCs w:val="12"/>
        </w:rPr>
        <w:t>é</w:t>
      </w:r>
      <w:r w:rsidRPr="006D425C">
        <w:rPr>
          <w:rFonts w:ascii="Century Gothic" w:hAnsi="Century Gothic" w:cs="Arial"/>
          <w:sz w:val="12"/>
          <w:szCs w:val="12"/>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6D425C">
        <w:rPr>
          <w:rFonts w:ascii="Century Gothic" w:hAnsi="Century Gothic" w:cs="Arial"/>
          <w:i/>
          <w:iCs/>
          <w:sz w:val="12"/>
          <w:szCs w:val="12"/>
        </w:rPr>
        <w:t xml:space="preserve">ibidem </w:t>
      </w:r>
      <w:r w:rsidRPr="006D425C">
        <w:rPr>
          <w:rFonts w:ascii="Century Gothic" w:hAnsi="Century Gothic" w:cs="Arial"/>
          <w:sz w:val="12"/>
          <w:szCs w:val="12"/>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5FE7BE10" w14:textId="77777777" w:rsidR="00042DF5" w:rsidRPr="006D425C" w:rsidRDefault="00042DF5" w:rsidP="00042DF5">
      <w:pPr>
        <w:ind w:firstLine="709"/>
        <w:jc w:val="both"/>
        <w:rPr>
          <w:rFonts w:ascii="Century Gothic" w:hAnsi="Century Gothic" w:cs="Arial"/>
          <w:iCs/>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w:t>
      </w:r>
      <w:r w:rsidRPr="006D425C">
        <w:rPr>
          <w:rFonts w:ascii="Century Gothic" w:hAnsi="Century Gothic" w:cs="Arial"/>
          <w:iCs/>
          <w:sz w:val="12"/>
          <w:szCs w:val="12"/>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8735A08" w14:textId="77777777" w:rsidR="00042DF5" w:rsidRPr="006D425C" w:rsidRDefault="00042DF5" w:rsidP="00042DF5">
      <w:pPr>
        <w:ind w:firstLine="709"/>
        <w:jc w:val="both"/>
        <w:rPr>
          <w:rFonts w:ascii="Century Gothic" w:hAnsi="Century Gothic" w:cs="Arial"/>
          <w:iCs/>
          <w:sz w:val="12"/>
          <w:szCs w:val="12"/>
        </w:rPr>
      </w:pPr>
      <w:r w:rsidRPr="006D425C">
        <w:rPr>
          <w:rFonts w:ascii="Century Gothic" w:hAnsi="Century Gothic" w:cs="Arial"/>
          <w:sz w:val="12"/>
          <w:szCs w:val="12"/>
        </w:rPr>
        <w:t>“</w:t>
      </w:r>
      <w:r w:rsidRPr="006D425C">
        <w:rPr>
          <w:rFonts w:ascii="Century Gothic" w:hAnsi="Century Gothic" w:cs="Arial"/>
          <w:iCs/>
          <w:sz w:val="12"/>
          <w:szCs w:val="12"/>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5C51C629" w14:textId="77777777" w:rsidR="00042DF5" w:rsidRPr="006D425C" w:rsidRDefault="00042DF5" w:rsidP="00042DF5">
      <w:pPr>
        <w:ind w:firstLine="709"/>
        <w:jc w:val="both"/>
        <w:rPr>
          <w:rFonts w:ascii="Century Gothic" w:hAnsi="Century Gothic" w:cs="Arial"/>
          <w:iCs/>
          <w:sz w:val="12"/>
          <w:szCs w:val="12"/>
        </w:rPr>
      </w:pPr>
      <w:r w:rsidRPr="006D425C">
        <w:rPr>
          <w:rFonts w:ascii="Century Gothic" w:hAnsi="Century Gothic" w:cs="Arial"/>
          <w:sz w:val="12"/>
          <w:szCs w:val="12"/>
        </w:rPr>
        <w:t>“</w:t>
      </w:r>
      <w:r w:rsidRPr="006D425C">
        <w:rPr>
          <w:rFonts w:ascii="Century Gothic" w:hAnsi="Century Gothic" w:cs="Arial"/>
          <w:iCs/>
          <w:sz w:val="12"/>
          <w:szCs w:val="12"/>
        </w:rPr>
        <w:t>Cuando en virtud de lo dispuesto en el presente artículo, surjan personas jurídicas sin ánimo de lucro, éstas se sujetarán a las disposiciones previstas en el Código Civil para las asociaciones civiles de utilidad común.</w:t>
      </w:r>
    </w:p>
    <w:p w14:paraId="482C0A41" w14:textId="77777777" w:rsidR="00042DF5" w:rsidRPr="006D425C" w:rsidRDefault="00042DF5" w:rsidP="00042DF5">
      <w:pPr>
        <w:ind w:firstLine="709"/>
        <w:jc w:val="both"/>
        <w:rPr>
          <w:rFonts w:ascii="Century Gothic" w:hAnsi="Century Gothic" w:cs="Arial"/>
          <w:iCs/>
          <w:sz w:val="12"/>
          <w:szCs w:val="12"/>
        </w:rPr>
      </w:pPr>
      <w:r w:rsidRPr="006D425C">
        <w:rPr>
          <w:rFonts w:ascii="Century Gothic" w:hAnsi="Century Gothic" w:cs="Arial"/>
          <w:sz w:val="12"/>
          <w:szCs w:val="12"/>
        </w:rPr>
        <w:t>“</w:t>
      </w:r>
      <w:r w:rsidRPr="006D425C">
        <w:rPr>
          <w:rFonts w:ascii="Century Gothic" w:hAnsi="Century Gothic" w:cs="Arial"/>
          <w:iCs/>
          <w:sz w:val="12"/>
          <w:szCs w:val="12"/>
        </w:rPr>
        <w:t>En todo caso, en el correspondiente acto constitutivo que dé origen a una persona jurídica se dispondrá sobre los siguientes aspectos:</w:t>
      </w:r>
    </w:p>
    <w:p w14:paraId="5C924703" w14:textId="77777777" w:rsidR="00042DF5" w:rsidRPr="006D425C" w:rsidRDefault="00042DF5" w:rsidP="00042DF5">
      <w:pPr>
        <w:ind w:firstLine="709"/>
        <w:jc w:val="both"/>
        <w:rPr>
          <w:rFonts w:ascii="Century Gothic" w:hAnsi="Century Gothic" w:cs="Arial"/>
          <w:iCs/>
          <w:sz w:val="12"/>
          <w:szCs w:val="12"/>
        </w:rPr>
      </w:pPr>
      <w:r w:rsidRPr="006D425C">
        <w:rPr>
          <w:rFonts w:ascii="Century Gothic" w:hAnsi="Century Gothic" w:cs="Arial"/>
          <w:sz w:val="12"/>
          <w:szCs w:val="12"/>
        </w:rPr>
        <w:t>“</w:t>
      </w:r>
      <w:r w:rsidRPr="006D425C">
        <w:rPr>
          <w:rFonts w:ascii="Century Gothic" w:hAnsi="Century Gothic" w:cs="Arial"/>
          <w:iCs/>
          <w:sz w:val="12"/>
          <w:szCs w:val="12"/>
        </w:rPr>
        <w:t>a) Los objetivos y actividades a cargo, con precisión de la conexidad con los objetivos, funciones y controles propios de las entidades públicas participantes;</w:t>
      </w:r>
    </w:p>
    <w:p w14:paraId="72BB3167" w14:textId="77777777" w:rsidR="00042DF5" w:rsidRPr="006D425C" w:rsidRDefault="00042DF5" w:rsidP="00042DF5">
      <w:pPr>
        <w:ind w:firstLine="709"/>
        <w:jc w:val="both"/>
        <w:rPr>
          <w:rFonts w:ascii="Century Gothic" w:hAnsi="Century Gothic" w:cs="Arial"/>
          <w:iCs/>
          <w:sz w:val="12"/>
          <w:szCs w:val="12"/>
        </w:rPr>
      </w:pPr>
      <w:r w:rsidRPr="006D425C">
        <w:rPr>
          <w:rFonts w:ascii="Century Gothic" w:hAnsi="Century Gothic" w:cs="Arial"/>
          <w:sz w:val="12"/>
          <w:szCs w:val="12"/>
        </w:rPr>
        <w:t>“</w:t>
      </w:r>
      <w:r w:rsidRPr="006D425C">
        <w:rPr>
          <w:rFonts w:ascii="Century Gothic" w:hAnsi="Century Gothic" w:cs="Arial"/>
          <w:iCs/>
          <w:sz w:val="12"/>
          <w:szCs w:val="12"/>
        </w:rPr>
        <w:t>b) Los compromisos o aportes iniciales de las entidades asociadas y su naturaleza y forma de pago, con sujeción a las disposiciones presupuestales y fiscales, para el caso de las públicas;</w:t>
      </w:r>
    </w:p>
    <w:p w14:paraId="12632B2A" w14:textId="77777777" w:rsidR="00042DF5" w:rsidRPr="006D425C" w:rsidRDefault="00042DF5" w:rsidP="00042DF5">
      <w:pPr>
        <w:ind w:firstLine="709"/>
        <w:jc w:val="both"/>
        <w:rPr>
          <w:rFonts w:ascii="Century Gothic" w:hAnsi="Century Gothic" w:cs="Arial"/>
          <w:iCs/>
          <w:sz w:val="12"/>
          <w:szCs w:val="12"/>
        </w:rPr>
      </w:pPr>
      <w:r w:rsidRPr="006D425C">
        <w:rPr>
          <w:rFonts w:ascii="Century Gothic" w:hAnsi="Century Gothic" w:cs="Arial"/>
          <w:sz w:val="12"/>
          <w:szCs w:val="12"/>
        </w:rPr>
        <w:t>“</w:t>
      </w:r>
      <w:r w:rsidRPr="006D425C">
        <w:rPr>
          <w:rFonts w:ascii="Century Gothic" w:hAnsi="Century Gothic" w:cs="Arial"/>
          <w:iCs/>
          <w:sz w:val="12"/>
          <w:szCs w:val="12"/>
        </w:rPr>
        <w:t>c) La participación de las entidades asociadas en el sostenimiento y funcionamiento de la entidad;</w:t>
      </w:r>
    </w:p>
    <w:p w14:paraId="017BAFB8" w14:textId="77777777" w:rsidR="00042DF5" w:rsidRPr="006D425C" w:rsidRDefault="00042DF5" w:rsidP="00042DF5">
      <w:pPr>
        <w:ind w:firstLine="709"/>
        <w:jc w:val="both"/>
        <w:rPr>
          <w:rFonts w:ascii="Century Gothic" w:hAnsi="Century Gothic" w:cs="Arial"/>
          <w:iCs/>
          <w:sz w:val="12"/>
          <w:szCs w:val="12"/>
        </w:rPr>
      </w:pPr>
      <w:r w:rsidRPr="006D425C">
        <w:rPr>
          <w:rFonts w:ascii="Century Gothic" w:hAnsi="Century Gothic" w:cs="Arial"/>
          <w:sz w:val="12"/>
          <w:szCs w:val="12"/>
        </w:rPr>
        <w:t>“</w:t>
      </w:r>
      <w:r w:rsidRPr="006D425C">
        <w:rPr>
          <w:rFonts w:ascii="Century Gothic" w:hAnsi="Century Gothic" w:cs="Arial"/>
          <w:iCs/>
          <w:sz w:val="12"/>
          <w:szCs w:val="12"/>
        </w:rPr>
        <w:t>d) La integración de los órganos de dirección y administración, en los cuales deben participar representantes de las entidades públicas y de los particulares;</w:t>
      </w:r>
    </w:p>
    <w:p w14:paraId="0110E7EF" w14:textId="77777777" w:rsidR="00042DF5" w:rsidRPr="006D425C" w:rsidRDefault="00042DF5" w:rsidP="00042DF5">
      <w:pPr>
        <w:ind w:firstLine="709"/>
        <w:jc w:val="both"/>
        <w:rPr>
          <w:rFonts w:ascii="Century Gothic" w:hAnsi="Century Gothic" w:cs="Arial"/>
          <w:sz w:val="12"/>
          <w:szCs w:val="12"/>
        </w:rPr>
      </w:pPr>
      <w:r w:rsidRPr="006D425C">
        <w:rPr>
          <w:rFonts w:ascii="Century Gothic" w:hAnsi="Century Gothic" w:cs="Arial"/>
          <w:sz w:val="12"/>
          <w:szCs w:val="12"/>
        </w:rPr>
        <w:t>“</w:t>
      </w:r>
      <w:r w:rsidRPr="006D425C">
        <w:rPr>
          <w:rFonts w:ascii="Century Gothic" w:hAnsi="Century Gothic" w:cs="Arial"/>
          <w:iCs/>
          <w:sz w:val="12"/>
          <w:szCs w:val="12"/>
        </w:rPr>
        <w:t>e) La duración de la asociación y las causales de disolución”.</w:t>
      </w:r>
    </w:p>
  </w:footnote>
  <w:footnote w:id="4">
    <w:p w14:paraId="009E773F" w14:textId="77777777" w:rsidR="00042DF5" w:rsidRPr="006D425C" w:rsidRDefault="00042DF5" w:rsidP="00042DF5">
      <w:pPr>
        <w:pStyle w:val="Textonotapie"/>
        <w:ind w:firstLine="708"/>
        <w:jc w:val="both"/>
        <w:rPr>
          <w:rFonts w:ascii="Century Gothic" w:hAnsi="Century Gothic" w:cs="Arial"/>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CHÁVEZ MARÍN, Augusto Ramón. Los convenios de la administración. Entre la gestión pública y la actividad contractual. Bogotá: Temis, 2020. p. 232. </w:t>
      </w:r>
    </w:p>
  </w:footnote>
  <w:footnote w:id="5">
    <w:p w14:paraId="5A516C6F" w14:textId="77777777" w:rsidR="00042DF5" w:rsidRPr="006D425C" w:rsidRDefault="00042DF5" w:rsidP="00042DF5">
      <w:pPr>
        <w:pStyle w:val="Textonotapie"/>
        <w:ind w:firstLine="708"/>
        <w:rPr>
          <w:rFonts w:ascii="Century Gothic" w:hAnsi="Century Gothic" w:cs="Arial"/>
          <w:sz w:val="12"/>
          <w:szCs w:val="12"/>
          <w:lang w:val="es-CO"/>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Corte Constitucional. Sentencia C-671 de 1999. M.P. Alfredo Beltrán Sierra. </w:t>
      </w:r>
    </w:p>
  </w:footnote>
  <w:footnote w:id="6">
    <w:p w14:paraId="00B9C6E6" w14:textId="77777777" w:rsidR="00042DF5" w:rsidRPr="006D425C" w:rsidRDefault="00042DF5" w:rsidP="00042DF5">
      <w:pPr>
        <w:pStyle w:val="Textonotapie"/>
        <w:ind w:firstLine="708"/>
        <w:jc w:val="both"/>
        <w:rPr>
          <w:rFonts w:ascii="Century Gothic" w:hAnsi="Century Gothic" w:cs="Arial"/>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Consejo de Estado, Sala de lo Contencioso Administrativo, Sección Primera, Sentencia de 5 de febrero de 2015, expediente 76001-2331-000-2008-01176-01. C.P. Marco Antonio Velilla Moreno. </w:t>
      </w:r>
    </w:p>
    <w:p w14:paraId="72101C06" w14:textId="77777777" w:rsidR="00042DF5" w:rsidRPr="006D425C" w:rsidRDefault="00042DF5" w:rsidP="00042DF5">
      <w:pPr>
        <w:pStyle w:val="Textonotapie"/>
        <w:ind w:firstLine="708"/>
        <w:jc w:val="both"/>
        <w:rPr>
          <w:rFonts w:ascii="Century Gothic" w:hAnsi="Century Gothic" w:cs="Arial"/>
          <w:sz w:val="12"/>
          <w:szCs w:val="12"/>
        </w:rPr>
      </w:pPr>
    </w:p>
  </w:footnote>
  <w:footnote w:id="7">
    <w:p w14:paraId="6F101467" w14:textId="77777777" w:rsidR="00042DF5" w:rsidRPr="006D425C" w:rsidRDefault="00042DF5" w:rsidP="00042DF5">
      <w:pPr>
        <w:ind w:firstLine="708"/>
        <w:jc w:val="both"/>
        <w:rPr>
          <w:rFonts w:ascii="Century Gothic" w:hAnsi="Century Gothic"/>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w:t>
      </w:r>
      <w:r w:rsidRPr="006D425C">
        <w:rPr>
          <w:rFonts w:ascii="Century Gothic" w:hAnsi="Century Gothic" w:cs="Arial"/>
          <w:sz w:val="12"/>
          <w:szCs w:val="12"/>
          <w:shd w:val="clear" w:color="auto" w:fill="FFFFFF"/>
        </w:rPr>
        <w:t xml:space="preserve">Corte Constitucional. Sentencia C-506 de 1994. M.P. Fabio Morón Díaz. </w:t>
      </w:r>
    </w:p>
  </w:footnote>
  <w:footnote w:id="8">
    <w:p w14:paraId="56EBB352" w14:textId="77777777" w:rsidR="00042DF5" w:rsidRPr="006D425C" w:rsidRDefault="00042DF5" w:rsidP="00042DF5">
      <w:pPr>
        <w:pStyle w:val="Textonotapie"/>
        <w:ind w:firstLine="708"/>
        <w:rPr>
          <w:rFonts w:ascii="Century Gothic" w:hAnsi="Century Gothic" w:cs="Arial"/>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Corte Constitucional. Sentencia C- 949 de 2001. M.P. Clara Inés Vargas Hernández. </w:t>
      </w:r>
    </w:p>
    <w:p w14:paraId="2B4B2D07" w14:textId="77777777" w:rsidR="00042DF5" w:rsidRPr="006D425C" w:rsidRDefault="00042DF5" w:rsidP="00042DF5">
      <w:pPr>
        <w:pStyle w:val="Textonotapie"/>
        <w:rPr>
          <w:rFonts w:ascii="Century Gothic" w:hAnsi="Century Gothic" w:cs="Arial"/>
          <w:sz w:val="12"/>
          <w:szCs w:val="12"/>
        </w:rPr>
      </w:pPr>
    </w:p>
  </w:footnote>
  <w:footnote w:id="9">
    <w:p w14:paraId="7E0B3005" w14:textId="77777777" w:rsidR="00042DF5" w:rsidRPr="006D425C" w:rsidRDefault="00042DF5" w:rsidP="00042DF5">
      <w:pPr>
        <w:pStyle w:val="Textonotapie"/>
        <w:ind w:firstLine="708"/>
        <w:rPr>
          <w:rFonts w:ascii="Century Gothic" w:hAnsi="Century Gothic" w:cs="Arial"/>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Corte Constitucional. Sentencia C-671 de 1999. M.P. Alfredo Beltrán Sierra. </w:t>
      </w:r>
    </w:p>
  </w:footnote>
  <w:footnote w:id="10">
    <w:p w14:paraId="0E3E1ECA" w14:textId="77777777" w:rsidR="00042DF5" w:rsidRPr="006D425C" w:rsidRDefault="00042DF5" w:rsidP="00042DF5">
      <w:pPr>
        <w:pStyle w:val="Textonotapie"/>
        <w:ind w:firstLine="708"/>
        <w:rPr>
          <w:rFonts w:ascii="Century Gothic" w:hAnsi="Century Gothic" w:cs="Arial"/>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Corte Constitucional. Sentencia C- 230 de 1995. M.P. Antonio Barrera Carbonell. </w:t>
      </w:r>
    </w:p>
  </w:footnote>
  <w:footnote w:id="11">
    <w:p w14:paraId="002FDF50" w14:textId="77777777" w:rsidR="00042DF5" w:rsidRPr="006D425C" w:rsidRDefault="00042DF5" w:rsidP="00042DF5">
      <w:pPr>
        <w:pStyle w:val="NormalWeb"/>
        <w:spacing w:after="0"/>
        <w:ind w:firstLine="708"/>
        <w:jc w:val="both"/>
        <w:rPr>
          <w:rFonts w:ascii="Century Gothic" w:hAnsi="Century Gothic" w:cs="Arial"/>
          <w:sz w:val="12"/>
          <w:szCs w:val="12"/>
        </w:rPr>
      </w:pPr>
      <w:r w:rsidRPr="006D425C">
        <w:rPr>
          <w:rStyle w:val="Refdenotaalpie"/>
          <w:rFonts w:ascii="Century Gothic" w:hAnsi="Century Gothic" w:cs="Arial"/>
          <w:sz w:val="12"/>
          <w:szCs w:val="12"/>
        </w:rPr>
        <w:footnoteRef/>
      </w:r>
      <w:r w:rsidRPr="006D425C">
        <w:rPr>
          <w:rFonts w:ascii="Century Gothic" w:hAnsi="Century Gothic" w:cs="Arial"/>
          <w:sz w:val="12"/>
          <w:szCs w:val="12"/>
        </w:rPr>
        <w:t xml:space="preserve"> </w:t>
      </w:r>
      <w:bookmarkStart w:id="7" w:name="68"/>
      <w:r w:rsidRPr="006D425C">
        <w:rPr>
          <w:rFonts w:ascii="Century Gothic" w:hAnsi="Century Gothic" w:cs="Arial"/>
          <w:sz w:val="12"/>
          <w:szCs w:val="12"/>
        </w:rPr>
        <w:t>“</w:t>
      </w:r>
      <w:r w:rsidRPr="006D425C">
        <w:rPr>
          <w:rFonts w:ascii="Century Gothic" w:hAnsi="Century Gothic" w:cs="Arial"/>
          <w:bCs/>
          <w:sz w:val="12"/>
          <w:szCs w:val="12"/>
        </w:rPr>
        <w:t>ARTICULO 68. ENTIDADES DESCENTRALIZADAS.</w:t>
      </w:r>
      <w:bookmarkEnd w:id="7"/>
      <w:r w:rsidRPr="006D425C">
        <w:rPr>
          <w:rFonts w:ascii="Century Gothic" w:hAnsi="Century Gothic" w:cs="Arial"/>
          <w:sz w:val="12"/>
          <w:szCs w:val="12"/>
        </w:rPr>
        <w:t>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6D425C">
        <w:rPr>
          <w:rFonts w:ascii="Century Gothic" w:hAnsi="Century Gothic" w:cs="Arial"/>
          <w:i/>
          <w:iCs/>
          <w:sz w:val="12"/>
          <w:szCs w:val="12"/>
        </w:rPr>
        <w:t>las empresas oficiales de servicios públicos</w:t>
      </w:r>
      <w:r w:rsidRPr="006D425C">
        <w:rPr>
          <w:rFonts w:ascii="Century Gothic" w:hAnsi="Century Gothic" w:cs="Arial"/>
          <w:sz w:val="12"/>
          <w:szCs w:val="12"/>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4796AED1" w14:textId="77777777" w:rsidR="00042DF5" w:rsidRPr="006D425C" w:rsidRDefault="00042DF5" w:rsidP="00042DF5">
      <w:pPr>
        <w:ind w:firstLine="708"/>
        <w:jc w:val="both"/>
        <w:rPr>
          <w:rFonts w:ascii="Century Gothic" w:hAnsi="Century Gothic" w:cs="Arial"/>
          <w:sz w:val="12"/>
          <w:szCs w:val="12"/>
          <w:lang w:eastAsia="es-CO"/>
        </w:rPr>
      </w:pPr>
      <w:r w:rsidRPr="006D425C">
        <w:rPr>
          <w:rFonts w:ascii="Century Gothic" w:hAnsi="Century Gothic" w:cs="Arial"/>
          <w:sz w:val="12"/>
          <w:szCs w:val="12"/>
        </w:rPr>
        <w:t>“</w:t>
      </w:r>
      <w:r w:rsidRPr="006D425C">
        <w:rPr>
          <w:rFonts w:ascii="Century Gothic" w:hAnsi="Century Gothic" w:cs="Arial"/>
          <w:sz w:val="12"/>
          <w:szCs w:val="12"/>
          <w:lang w:eastAsia="es-CO"/>
        </w:rPr>
        <w:t>Las entidades descentralizadas se sujetan a las reglas señaladas en la Constitución Política, en la presente ley, en las leyes que las creen y determinen su estructura orgánica y a sus estatutos internos.</w:t>
      </w:r>
    </w:p>
    <w:p w14:paraId="7ABD6EF3" w14:textId="77777777" w:rsidR="00042DF5" w:rsidRPr="006D425C" w:rsidRDefault="00042DF5" w:rsidP="00042DF5">
      <w:pPr>
        <w:ind w:firstLine="708"/>
        <w:jc w:val="both"/>
        <w:rPr>
          <w:rFonts w:ascii="Century Gothic" w:hAnsi="Century Gothic" w:cs="Arial"/>
          <w:sz w:val="12"/>
          <w:szCs w:val="12"/>
          <w:lang w:eastAsia="es-CO"/>
        </w:rPr>
      </w:pPr>
      <w:r w:rsidRPr="006D425C">
        <w:rPr>
          <w:rFonts w:ascii="Century Gothic" w:hAnsi="Century Gothic" w:cs="Arial"/>
          <w:sz w:val="12"/>
          <w:szCs w:val="12"/>
          <w:lang w:eastAsia="es-CO"/>
        </w:rPr>
        <w:t>“Los organismos y entidades descentralizados, sujetos a regímenes especiales por mandato de la Constitución Política, se someterán a las disposiciones que para ellos establezca la respectiva ley.</w:t>
      </w:r>
    </w:p>
    <w:p w14:paraId="50566580" w14:textId="77777777" w:rsidR="00042DF5" w:rsidRPr="006D425C" w:rsidRDefault="00042DF5" w:rsidP="00042DF5">
      <w:pPr>
        <w:ind w:firstLine="708"/>
        <w:jc w:val="both"/>
        <w:rPr>
          <w:rFonts w:ascii="Century Gothic" w:hAnsi="Century Gothic" w:cs="Arial"/>
          <w:sz w:val="12"/>
          <w:szCs w:val="12"/>
          <w:lang w:eastAsia="es-CO"/>
        </w:rPr>
      </w:pPr>
      <w:r w:rsidRPr="006D425C">
        <w:rPr>
          <w:rFonts w:ascii="Century Gothic" w:hAnsi="Century Gothic" w:cs="Arial"/>
          <w:sz w:val="12"/>
          <w:szCs w:val="12"/>
        </w:rPr>
        <w:t>“</w:t>
      </w:r>
      <w:r w:rsidRPr="006D425C">
        <w:rPr>
          <w:rFonts w:ascii="Century Gothic" w:hAnsi="Century Gothic" w:cs="Arial"/>
          <w:bCs/>
          <w:sz w:val="12"/>
          <w:szCs w:val="12"/>
          <w:lang w:eastAsia="es-CO"/>
        </w:rPr>
        <w:t>PARAGRAFO 1o.</w:t>
      </w:r>
      <w:r w:rsidRPr="006D425C">
        <w:rPr>
          <w:rFonts w:ascii="Century Gothic" w:hAnsi="Century Gothic" w:cs="Arial"/>
          <w:sz w:val="12"/>
          <w:szCs w:val="12"/>
          <w:lang w:eastAsia="es-CO"/>
        </w:rPr>
        <w:t> De conformidad con el inciso segundo del artículo </w:t>
      </w:r>
      <w:hyperlink r:id="rId1" w:anchor="210" w:history="1">
        <w:r w:rsidRPr="006D425C">
          <w:rPr>
            <w:rFonts w:ascii="Century Gothic" w:hAnsi="Century Gothic" w:cs="Arial"/>
            <w:sz w:val="12"/>
            <w:szCs w:val="12"/>
            <w:lang w:eastAsia="es-CO"/>
          </w:rPr>
          <w:t>210</w:t>
        </w:r>
      </w:hyperlink>
      <w:r w:rsidRPr="006D425C">
        <w:rPr>
          <w:rFonts w:ascii="Century Gothic" w:hAnsi="Century Gothic" w:cs="Arial"/>
          <w:sz w:val="12"/>
          <w:szCs w:val="12"/>
          <w:lang w:eastAsia="es-CO"/>
        </w:rPr>
        <w:t> de la Constitución Política, el régimen jurídico aquí previsto para las entidades descentralizadas es aplicable a las de las entidades territoriales sin perjuicio de las competencias asignadas por la Constitución y la ley a las autoridades del orden territorial.</w:t>
      </w:r>
    </w:p>
    <w:p w14:paraId="1D80B7D8" w14:textId="77777777" w:rsidR="00042DF5" w:rsidRPr="006D425C" w:rsidRDefault="00042DF5" w:rsidP="00042DF5">
      <w:pPr>
        <w:ind w:firstLine="708"/>
        <w:jc w:val="both"/>
        <w:rPr>
          <w:rFonts w:ascii="Century Gothic" w:hAnsi="Century Gothic" w:cs="Arial"/>
          <w:sz w:val="12"/>
          <w:szCs w:val="12"/>
          <w:lang w:eastAsia="es-CO"/>
        </w:rPr>
      </w:pPr>
      <w:r w:rsidRPr="006D425C">
        <w:rPr>
          <w:rFonts w:ascii="Century Gothic" w:hAnsi="Century Gothic" w:cs="Arial"/>
          <w:sz w:val="12"/>
          <w:szCs w:val="12"/>
        </w:rPr>
        <w:t>“</w:t>
      </w:r>
      <w:r w:rsidRPr="006D425C">
        <w:rPr>
          <w:rFonts w:ascii="Century Gothic" w:hAnsi="Century Gothic" w:cs="Arial"/>
          <w:bCs/>
          <w:sz w:val="12"/>
          <w:szCs w:val="12"/>
          <w:lang w:eastAsia="es-CO"/>
        </w:rPr>
        <w:t>PARAGRAFO 2o.</w:t>
      </w:r>
      <w:r w:rsidRPr="006D425C">
        <w:rPr>
          <w:rFonts w:ascii="Century Gothic" w:hAnsi="Century Gothic" w:cs="Arial"/>
          <w:sz w:val="12"/>
          <w:szCs w:val="12"/>
          <w:lang w:eastAsia="es-CO"/>
        </w:rPr>
        <w:t> Los organismos o entidades del Sector Descentralizado que tengan como objetivo desarrollar actividades científicas y tecnológicas, se sujetarán a la Legislación de Ciencia y Tecnología y su organización será determinada por el Gobierno Nacional.</w:t>
      </w:r>
    </w:p>
    <w:p w14:paraId="6E1992DD" w14:textId="77777777" w:rsidR="00042DF5" w:rsidRPr="006D425C" w:rsidRDefault="00042DF5" w:rsidP="00042DF5">
      <w:pPr>
        <w:ind w:firstLine="708"/>
        <w:jc w:val="both"/>
        <w:rPr>
          <w:rFonts w:ascii="Century Gothic" w:hAnsi="Century Gothic" w:cs="Arial"/>
          <w:sz w:val="12"/>
          <w:szCs w:val="12"/>
          <w:lang w:eastAsia="es-CO"/>
        </w:rPr>
      </w:pPr>
      <w:r w:rsidRPr="006D425C">
        <w:rPr>
          <w:rFonts w:ascii="Century Gothic" w:hAnsi="Century Gothic" w:cs="Arial"/>
          <w:sz w:val="12"/>
          <w:szCs w:val="12"/>
        </w:rPr>
        <w:t>“</w:t>
      </w:r>
      <w:r w:rsidRPr="006D425C">
        <w:rPr>
          <w:rFonts w:ascii="Century Gothic" w:hAnsi="Century Gothic" w:cs="Arial"/>
          <w:bCs/>
          <w:sz w:val="12"/>
          <w:szCs w:val="12"/>
          <w:lang w:eastAsia="es-CO"/>
        </w:rPr>
        <w:t>PARAGRAFO 3o.</w:t>
      </w:r>
      <w:r w:rsidRPr="006D425C">
        <w:rPr>
          <w:rFonts w:ascii="Century Gothic" w:hAnsi="Century Gothic" w:cs="Arial"/>
          <w:sz w:val="12"/>
          <w:szCs w:val="12"/>
          <w:lang w:eastAsia="es-CO"/>
        </w:rPr>
        <w:t> Lo dispuesto en el presente artículo no se aplica a las corporaciones civiles sin ánimo de lucro de derecho privado, vinculadas al Ministerio del Medio Ambiente, creadas por la Ley 99 de 1993</w:t>
      </w:r>
      <w:r w:rsidRPr="006D425C">
        <w:rPr>
          <w:rFonts w:ascii="Century Gothic" w:hAnsi="Century Gothic" w:cs="Arial"/>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02577F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C1EC6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65DC3EA4"/>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3363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B56D45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981954">
    <w:abstractNumId w:val="6"/>
  </w:num>
  <w:num w:numId="2" w16cid:durableId="486676265">
    <w:abstractNumId w:val="3"/>
  </w:num>
  <w:num w:numId="3" w16cid:durableId="608313202">
    <w:abstractNumId w:val="4"/>
  </w:num>
  <w:num w:numId="4" w16cid:durableId="266743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3"/>
  </w:num>
  <w:num w:numId="6" w16cid:durableId="1377239490">
    <w:abstractNumId w:val="2"/>
  </w:num>
  <w:num w:numId="7" w16cid:durableId="1979259248">
    <w:abstractNumId w:val="7"/>
  </w:num>
  <w:num w:numId="8" w16cid:durableId="51737710">
    <w:abstractNumId w:val="5"/>
  </w:num>
  <w:num w:numId="9" w16cid:durableId="1880505942">
    <w:abstractNumId w:val="1"/>
  </w:num>
  <w:num w:numId="10" w16cid:durableId="771239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34D11"/>
    <w:rsid w:val="00042DF5"/>
    <w:rsid w:val="00084201"/>
    <w:rsid w:val="000A683E"/>
    <w:rsid w:val="000B19B9"/>
    <w:rsid w:val="000D0334"/>
    <w:rsid w:val="000E4714"/>
    <w:rsid w:val="000F6486"/>
    <w:rsid w:val="00106C4D"/>
    <w:rsid w:val="00125105"/>
    <w:rsid w:val="00127233"/>
    <w:rsid w:val="001E4177"/>
    <w:rsid w:val="002030A6"/>
    <w:rsid w:val="002951A0"/>
    <w:rsid w:val="002962BC"/>
    <w:rsid w:val="002A093D"/>
    <w:rsid w:val="002A49AC"/>
    <w:rsid w:val="002A64FD"/>
    <w:rsid w:val="002C7A84"/>
    <w:rsid w:val="002D1D68"/>
    <w:rsid w:val="002E3AE6"/>
    <w:rsid w:val="003448F4"/>
    <w:rsid w:val="0036489F"/>
    <w:rsid w:val="003A779E"/>
    <w:rsid w:val="003D0F4D"/>
    <w:rsid w:val="003E0499"/>
    <w:rsid w:val="003F3941"/>
    <w:rsid w:val="00400548"/>
    <w:rsid w:val="004368BC"/>
    <w:rsid w:val="004A1847"/>
    <w:rsid w:val="004A305D"/>
    <w:rsid w:val="004F21C4"/>
    <w:rsid w:val="004F685F"/>
    <w:rsid w:val="00511090"/>
    <w:rsid w:val="00533E8F"/>
    <w:rsid w:val="005566E8"/>
    <w:rsid w:val="00574867"/>
    <w:rsid w:val="005A6AA1"/>
    <w:rsid w:val="005B5D8B"/>
    <w:rsid w:val="005C5CDC"/>
    <w:rsid w:val="005D476C"/>
    <w:rsid w:val="005E035B"/>
    <w:rsid w:val="006219F8"/>
    <w:rsid w:val="00665D70"/>
    <w:rsid w:val="006D425C"/>
    <w:rsid w:val="006F5EEF"/>
    <w:rsid w:val="00706C16"/>
    <w:rsid w:val="00727370"/>
    <w:rsid w:val="00732718"/>
    <w:rsid w:val="00756841"/>
    <w:rsid w:val="00763C80"/>
    <w:rsid w:val="007649AB"/>
    <w:rsid w:val="007833AC"/>
    <w:rsid w:val="007B7171"/>
    <w:rsid w:val="007C3DC2"/>
    <w:rsid w:val="007D0EC5"/>
    <w:rsid w:val="007E5497"/>
    <w:rsid w:val="00806F5F"/>
    <w:rsid w:val="00820278"/>
    <w:rsid w:val="0082473E"/>
    <w:rsid w:val="008843B6"/>
    <w:rsid w:val="00891928"/>
    <w:rsid w:val="008A446D"/>
    <w:rsid w:val="008B2B67"/>
    <w:rsid w:val="008F0EA7"/>
    <w:rsid w:val="008F5498"/>
    <w:rsid w:val="00923EEF"/>
    <w:rsid w:val="00941618"/>
    <w:rsid w:val="009419F9"/>
    <w:rsid w:val="00961B09"/>
    <w:rsid w:val="00964A96"/>
    <w:rsid w:val="00965334"/>
    <w:rsid w:val="0097093E"/>
    <w:rsid w:val="009C71FA"/>
    <w:rsid w:val="009C72E7"/>
    <w:rsid w:val="00A17F13"/>
    <w:rsid w:val="00A20739"/>
    <w:rsid w:val="00A33C78"/>
    <w:rsid w:val="00A410F7"/>
    <w:rsid w:val="00A67749"/>
    <w:rsid w:val="00AB0ADB"/>
    <w:rsid w:val="00AD5E99"/>
    <w:rsid w:val="00AF0ED3"/>
    <w:rsid w:val="00B72CD3"/>
    <w:rsid w:val="00B72FFF"/>
    <w:rsid w:val="00B84AC3"/>
    <w:rsid w:val="00BD15D4"/>
    <w:rsid w:val="00BD2E7A"/>
    <w:rsid w:val="00BD7F72"/>
    <w:rsid w:val="00BE4DF3"/>
    <w:rsid w:val="00BF253A"/>
    <w:rsid w:val="00C04FB3"/>
    <w:rsid w:val="00C127F1"/>
    <w:rsid w:val="00C330EB"/>
    <w:rsid w:val="00C754BE"/>
    <w:rsid w:val="00C776FE"/>
    <w:rsid w:val="00CA7228"/>
    <w:rsid w:val="00CB6357"/>
    <w:rsid w:val="00CC1B26"/>
    <w:rsid w:val="00CF360D"/>
    <w:rsid w:val="00D37F90"/>
    <w:rsid w:val="00D423A2"/>
    <w:rsid w:val="00D63AC2"/>
    <w:rsid w:val="00D7383B"/>
    <w:rsid w:val="00DA231B"/>
    <w:rsid w:val="00DD7DEB"/>
    <w:rsid w:val="00E1530D"/>
    <w:rsid w:val="00E16408"/>
    <w:rsid w:val="00E20894"/>
    <w:rsid w:val="00E245AB"/>
    <w:rsid w:val="00E50AFE"/>
    <w:rsid w:val="00E771DC"/>
    <w:rsid w:val="00E8772A"/>
    <w:rsid w:val="00E90F6B"/>
    <w:rsid w:val="00E92C27"/>
    <w:rsid w:val="00EA0E3D"/>
    <w:rsid w:val="00EE1AA8"/>
    <w:rsid w:val="00F17039"/>
    <w:rsid w:val="00F204AB"/>
    <w:rsid w:val="00F31EDC"/>
    <w:rsid w:val="00F5664F"/>
    <w:rsid w:val="00F613A2"/>
    <w:rsid w:val="00F76AFC"/>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912175D-90A4-44F1-9648-ABCA259A4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link w:val="NormalWebCar"/>
    <w:uiPriority w:val="99"/>
    <w:unhideWhenUsed/>
    <w:rsid w:val="00042DF5"/>
    <w:rPr>
      <w:rFonts w:ascii="Times New Roman" w:hAnsi="Times New Roman" w:cs="Times New Roman"/>
      <w:kern w:val="2"/>
      <w:sz w:val="24"/>
      <w:szCs w:val="24"/>
      <w14:ligatures w14:val="standardContextual"/>
    </w:rPr>
  </w:style>
  <w:style w:type="paragraph" w:customStyle="1" w:styleId="Appelnotedebasde">
    <w:name w:val="Appel note de bas de..."/>
    <w:basedOn w:val="Normal"/>
    <w:link w:val="Refdenotaalpie"/>
    <w:uiPriority w:val="99"/>
    <w:rsid w:val="00042DF5"/>
    <w:pPr>
      <w:spacing w:line="240" w:lineRule="exact"/>
    </w:pPr>
    <w:rPr>
      <w:vertAlign w:val="superscript"/>
    </w:rPr>
  </w:style>
  <w:style w:type="character" w:customStyle="1" w:styleId="NormalWebCar">
    <w:name w:val="Normal (Web) Car"/>
    <w:link w:val="NormalWeb"/>
    <w:uiPriority w:val="99"/>
    <w:locked/>
    <w:rsid w:val="00042DF5"/>
    <w:rPr>
      <w:rFonts w:ascii="Times New Roman" w:hAnsi="Times New Roman" w:cs="Times New Roman"/>
      <w:kern w:val="2"/>
      <w:sz w:val="24"/>
      <w:szCs w:val="24"/>
      <w14:ligatures w14:val="standardContextual"/>
    </w:rPr>
  </w:style>
  <w:style w:type="table" w:customStyle="1" w:styleId="Tablaconcuadrcula11">
    <w:name w:val="Tabla con cuadrícula11"/>
    <w:basedOn w:val="Tablanormal"/>
    <w:next w:val="Tablaconcuadrcula"/>
    <w:uiPriority w:val="39"/>
    <w:rsid w:val="00042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B2B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constitucion_politica_1991_pr004.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06.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Carlos Mario Castrillón Endo</DisplayName>
        <AccountId>136</AccountId>
        <AccountType/>
      </UserInfo>
      <UserInfo>
        <DisplayName>Alejandro Sarmiento</DisplayName>
        <AccountId>119</AccountId>
        <AccountType/>
      </UserInfo>
      <UserInfo>
        <DisplayName>Nohelia Del Carmen Zawady Palacio</DisplayName>
        <AccountId>289</AccountId>
        <AccountType/>
      </UserInfo>
      <UserInfo>
        <DisplayName>Maria Valeska Medellín Mora</DisplayName>
        <AccountId>237</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83EC784D-09F3-491C-ACEF-221FFA29BE2E}"/>
</file>

<file path=docProps/app.xml><?xml version="1.0" encoding="utf-8"?>
<Properties xmlns="http://schemas.openxmlformats.org/officeDocument/2006/extended-properties" xmlns:vt="http://schemas.openxmlformats.org/officeDocument/2006/docPropsVTypes">
  <Template>Normal</Template>
  <TotalTime>2</TotalTime>
  <Pages>17</Pages>
  <Words>5399</Words>
  <Characters>29696</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Valeska Medellín Mora</cp:lastModifiedBy>
  <cp:revision>5</cp:revision>
  <cp:lastPrinted>2023-01-11T00:18:00Z</cp:lastPrinted>
  <dcterms:created xsi:type="dcterms:W3CDTF">2024-05-27T12:47:00Z</dcterms:created>
  <dcterms:modified xsi:type="dcterms:W3CDTF">2024-05-27T12:54:00Z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