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52AF5"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ES_tradnl"/>
        </w:rPr>
      </w:pPr>
      <w:bookmarkStart w:id="0" w:name="_Hlk94281581"/>
      <w:bookmarkStart w:id="1" w:name="_Hlk102489058"/>
      <w:bookmarkStart w:id="2" w:name="_Hlk34951122"/>
    </w:p>
    <w:p w14:paraId="670DDD2E" w14:textId="77777777" w:rsidR="00F23ACB" w:rsidRPr="001F461B" w:rsidRDefault="00F23ACB" w:rsidP="00F23ACB">
      <w:pPr>
        <w:spacing w:after="0" w:line="240" w:lineRule="auto"/>
        <w:jc w:val="both"/>
        <w:rPr>
          <w:rFonts w:ascii="Century Gothic" w:eastAsia="Calibri" w:hAnsi="Century Gothic" w:cs="Arial"/>
          <w:b/>
          <w:bCs/>
          <w:color w:val="000000" w:themeColor="text1"/>
          <w:lang w:val="es-ES_tradnl"/>
        </w:rPr>
      </w:pPr>
      <w:r w:rsidRPr="001F461B">
        <w:rPr>
          <w:rFonts w:ascii="Century Gothic" w:eastAsia="Calibri" w:hAnsi="Century Gothic" w:cs="Arial"/>
          <w:b/>
          <w:bCs/>
          <w:color w:val="000000" w:themeColor="text1"/>
          <w:lang w:val="es-ES_tradnl"/>
        </w:rPr>
        <w:t>REGISTRO ÚNICO DE PROPONENTES – Concepto</w:t>
      </w:r>
    </w:p>
    <w:p w14:paraId="19EB284C"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lang w:val="es-ES"/>
        </w:rPr>
      </w:pPr>
    </w:p>
    <w:p w14:paraId="6D75A560"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MX"/>
        </w:rPr>
      </w:pPr>
      <w:r w:rsidRPr="001F461B">
        <w:rPr>
          <w:rFonts w:ascii="Century Gothic" w:eastAsia="Calibri" w:hAnsi="Century Gothic" w:cs="Arial"/>
          <w:bCs/>
          <w:color w:val="000000" w:themeColor="text1"/>
          <w:sz w:val="20"/>
          <w:szCs w:val="20"/>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555655CD"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MX"/>
        </w:rPr>
      </w:pPr>
    </w:p>
    <w:p w14:paraId="6C26721C"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rPr>
      </w:pPr>
      <w:r w:rsidRPr="001F461B">
        <w:rPr>
          <w:rFonts w:ascii="Century Gothic" w:eastAsia="Calibri" w:hAnsi="Century Gothic" w:cs="Arial"/>
          <w:bCs/>
          <w:color w:val="000000" w:themeColor="text1"/>
          <w:sz w:val="20"/>
          <w:szCs w:val="20"/>
        </w:rPr>
        <w:t>El artículo 6.1 de la Ley 1150 de 2007 dispone que el RUP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w:t>
      </w:r>
    </w:p>
    <w:p w14:paraId="19F497CE"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lang w:val="es-ES"/>
        </w:rPr>
      </w:pPr>
      <w:r w:rsidRPr="001F461B">
        <w:rPr>
          <w:rFonts w:ascii="Century Gothic" w:eastAsia="Calibri" w:hAnsi="Century Gothic" w:cs="Arial"/>
          <w:bCs/>
          <w:color w:val="000000" w:themeColor="text1"/>
          <w:sz w:val="20"/>
          <w:szCs w:val="20"/>
          <w:lang w:val="es-ES"/>
        </w:rPr>
        <w:t xml:space="preserve"> </w:t>
      </w:r>
    </w:p>
    <w:p w14:paraId="57708896" w14:textId="77777777" w:rsidR="00F23ACB" w:rsidRPr="001F461B" w:rsidRDefault="00F23ACB" w:rsidP="00F23ACB">
      <w:pPr>
        <w:spacing w:after="0" w:line="240" w:lineRule="auto"/>
        <w:jc w:val="both"/>
        <w:rPr>
          <w:rFonts w:ascii="Century Gothic" w:eastAsia="Calibri" w:hAnsi="Century Gothic" w:cs="Arial"/>
          <w:b/>
          <w:bCs/>
          <w:color w:val="000000" w:themeColor="text1"/>
          <w:lang w:val="es-ES_tradnl"/>
        </w:rPr>
      </w:pPr>
      <w:r w:rsidRPr="001F461B">
        <w:rPr>
          <w:rFonts w:ascii="Century Gothic" w:eastAsia="Calibri" w:hAnsi="Century Gothic" w:cs="Arial"/>
          <w:b/>
          <w:bCs/>
          <w:color w:val="000000" w:themeColor="text1"/>
          <w:lang w:val="es-ES_tradnl"/>
        </w:rPr>
        <w:t>RUP – Sujetos obligados</w:t>
      </w:r>
    </w:p>
    <w:p w14:paraId="1334B8AA"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ES"/>
        </w:rPr>
      </w:pPr>
    </w:p>
    <w:p w14:paraId="689D00E3" w14:textId="77777777" w:rsidR="00F23ACB" w:rsidRPr="001F461B" w:rsidRDefault="00F23ACB" w:rsidP="00F23ACB">
      <w:pPr>
        <w:spacing w:after="0" w:line="240" w:lineRule="auto"/>
        <w:jc w:val="both"/>
        <w:rPr>
          <w:rFonts w:ascii="Century Gothic" w:eastAsia="Calibri" w:hAnsi="Century Gothic" w:cs="Arial"/>
          <w:b/>
          <w:color w:val="000000" w:themeColor="text1"/>
          <w:sz w:val="20"/>
          <w:szCs w:val="20"/>
          <w:lang w:val="es-ES"/>
        </w:rPr>
      </w:pPr>
      <w:r w:rsidRPr="001F461B">
        <w:rPr>
          <w:rFonts w:ascii="Century Gothic" w:eastAsia="Calibri" w:hAnsi="Century Gothic" w:cs="Arial"/>
          <w:color w:val="000000" w:themeColor="text1"/>
          <w:sz w:val="20"/>
          <w:szCs w:val="20"/>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6A37E7F8"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ES"/>
        </w:rPr>
      </w:pPr>
    </w:p>
    <w:p w14:paraId="7DCAF752"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rPr>
      </w:pPr>
      <w:r w:rsidRPr="001F461B">
        <w:rPr>
          <w:rFonts w:ascii="Century Gothic" w:eastAsia="Calibri" w:hAnsi="Century Gothic" w:cs="Arial"/>
          <w:b/>
          <w:bCs/>
          <w:color w:val="000000" w:themeColor="text1"/>
          <w:lang w:val="es-ES_tradnl"/>
        </w:rPr>
        <w:t>RUP – Reporte – Multas, sanciones e inhabilidades</w:t>
      </w:r>
    </w:p>
    <w:p w14:paraId="6E7F0A02" w14:textId="77777777" w:rsidR="00F23ACB" w:rsidRPr="001F461B" w:rsidRDefault="00F23ACB" w:rsidP="00F23ACB">
      <w:pPr>
        <w:spacing w:after="0" w:line="240" w:lineRule="auto"/>
        <w:jc w:val="both"/>
        <w:rPr>
          <w:rFonts w:ascii="Century Gothic" w:eastAsia="Calibri" w:hAnsi="Century Gothic" w:cs="Arial"/>
          <w:color w:val="000000" w:themeColor="text1"/>
          <w:sz w:val="20"/>
          <w:szCs w:val="20"/>
          <w:lang w:val="es-ES"/>
        </w:rPr>
      </w:pPr>
    </w:p>
    <w:p w14:paraId="1AAFED6F"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rPr>
      </w:pPr>
      <w:r w:rsidRPr="001F461B">
        <w:rPr>
          <w:rFonts w:ascii="Century Gothic" w:eastAsia="Calibri" w:hAnsi="Century Gothic" w:cs="Arial"/>
          <w:color w:val="000000" w:themeColor="text1"/>
          <w:sz w:val="20"/>
          <w:szCs w:val="20"/>
        </w:rPr>
        <w:t xml:space="preserve">Es preciso advertir que en los artículos 6.2 de la Ley 1150 y </w:t>
      </w:r>
      <w:r w:rsidRPr="001F461B">
        <w:rPr>
          <w:rFonts w:ascii="Century Gothic" w:eastAsia="Calibri" w:hAnsi="Century Gothic" w:cs="Arial"/>
          <w:iCs/>
          <w:color w:val="000000" w:themeColor="text1"/>
          <w:sz w:val="20"/>
          <w:szCs w:val="20"/>
        </w:rPr>
        <w:t>2.2.1.1.1.5.7 del Decreto 1082 de 2015</w:t>
      </w:r>
      <w:r w:rsidRPr="001F461B">
        <w:rPr>
          <w:rFonts w:ascii="Century Gothic" w:eastAsia="Calibri" w:hAnsi="Century Gothic" w:cs="Arial"/>
          <w:color w:val="000000" w:themeColor="text1"/>
          <w:sz w:val="20"/>
          <w:szCs w:val="20"/>
        </w:rPr>
        <w:t xml:space="preserve"> no se hace alusión expresa al reporte de la información relativa a proponentes que no están obligados a estar en el RUP para participar en Procesos de Contratación o suscribir contratos, como sucede en el caso de las personas naturales extranjeras sin domicilio en el país o de las personas jurídicas extranjeras que no tengan sucursal en Colombia, y que por tanto carecen de inscripción y calificación. No obstante, debe recordarse que el deber de reportar la información relativa a incumplimientos, sanciones e inhabilidades no solo se sustenta en dichas normas, sino también en lo establecido en el artículo 31 de la Ley 80 de 1993, modificado por el artículo 218 del Decreto ley 19 de 2012, que imponen no solo el deber de reportar la información a la cámara de comercio, sino también de publicar la información en el SECOP. De hecho, el artículo </w:t>
      </w:r>
      <w:r w:rsidRPr="001F461B">
        <w:rPr>
          <w:rFonts w:ascii="Century Gothic" w:eastAsia="Calibri" w:hAnsi="Century Gothic" w:cs="Arial"/>
          <w:bCs/>
          <w:color w:val="000000" w:themeColor="text1"/>
          <w:sz w:val="20"/>
          <w:szCs w:val="20"/>
        </w:rPr>
        <w:t xml:space="preserve">2.2.1.1.1.5.7 hace referencia al mecanismo de interoperabilidad para el registro de información entre RUP y SECOP. </w:t>
      </w:r>
    </w:p>
    <w:p w14:paraId="6A3474CB" w14:textId="77777777" w:rsidR="00F23ACB" w:rsidRPr="001F461B" w:rsidRDefault="00F23ACB" w:rsidP="00F23ACB">
      <w:pPr>
        <w:spacing w:after="0" w:line="240" w:lineRule="auto"/>
        <w:jc w:val="both"/>
        <w:rPr>
          <w:rFonts w:ascii="Century Gothic" w:eastAsia="Calibri" w:hAnsi="Century Gothic" w:cs="Arial"/>
          <w:color w:val="000000" w:themeColor="text1"/>
          <w:sz w:val="20"/>
          <w:szCs w:val="20"/>
        </w:rPr>
      </w:pPr>
    </w:p>
    <w:p w14:paraId="797175CC"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rPr>
      </w:pPr>
      <w:r w:rsidRPr="001F461B">
        <w:rPr>
          <w:rFonts w:ascii="Century Gothic" w:eastAsia="Calibri" w:hAnsi="Century Gothic" w:cs="Arial"/>
          <w:bCs/>
          <w:color w:val="000000" w:themeColor="text1"/>
          <w:sz w:val="20"/>
          <w:szCs w:val="20"/>
        </w:rPr>
        <w:t xml:space="preserve">Conforme a lo anterior, el RUP no es el único mecanismo establecido en el Estatuto General de Contratación de la Administración Pública para dar publicidad a los incumplimientos, ni el único ante el que se debe reportar tal información por parte de las entidades estatales. </w:t>
      </w:r>
      <w:r w:rsidRPr="001F461B">
        <w:rPr>
          <w:rFonts w:ascii="Century Gothic" w:eastAsia="Calibri" w:hAnsi="Century Gothic" w:cs="Arial"/>
          <w:color w:val="000000" w:themeColor="text1"/>
          <w:sz w:val="20"/>
          <w:szCs w:val="20"/>
        </w:rPr>
        <w:t xml:space="preserve">Esto dado que el SECOP también es un mecanismo que permite dar publicidad a los incumplimientos que se presenten en los Procesos de Contratación. De acuerdo con esto, el SECOP brinda a las entidades las entidades estatales la posibilidad de publicar los actos administrativos que declaren la caducidad, impongan multas, sanciones o declaren el incumplimiento, una vez ejecutoriados. Del mismo modo, </w:t>
      </w:r>
      <w:r w:rsidRPr="001F461B">
        <w:rPr>
          <w:rFonts w:ascii="Century Gothic" w:eastAsia="Calibri" w:hAnsi="Century Gothic" w:cs="Arial"/>
          <w:bCs/>
          <w:color w:val="000000" w:themeColor="text1"/>
          <w:sz w:val="20"/>
          <w:szCs w:val="20"/>
        </w:rPr>
        <w:t xml:space="preserve">en el SECOP II el expediente electrónico tiene una sección denominada “Incumplimientos” dispuesta para que la entidad estatal registre las inhabilidades o sanciones impuestas al contratista con ocasión </w:t>
      </w:r>
      <w:r w:rsidRPr="001F461B">
        <w:rPr>
          <w:rFonts w:ascii="Century Gothic" w:eastAsia="Calibri" w:hAnsi="Century Gothic" w:cs="Arial"/>
          <w:bCs/>
          <w:color w:val="000000" w:themeColor="text1"/>
          <w:sz w:val="20"/>
          <w:szCs w:val="20"/>
        </w:rPr>
        <w:lastRenderedPageBreak/>
        <w:t>del respectivo contrato. De otra parte, la Procuraduría General de la Nación cuenta con el Sistema de Información de Registro de Sanciones y Causas de Inhabilidad SIRI, en el cual, registra las decisiones ejecutoriadas y notificadas remitidas por las autoridades competentes sobre inhabilidades provenientes de relaciones contractuales con el Estado, entre otras.</w:t>
      </w:r>
    </w:p>
    <w:p w14:paraId="10C0FC16"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rPr>
      </w:pPr>
    </w:p>
    <w:p w14:paraId="56939DE6" w14:textId="77777777" w:rsidR="00F23ACB" w:rsidRPr="001F461B" w:rsidRDefault="00F23ACB" w:rsidP="00F23ACB">
      <w:pPr>
        <w:spacing w:after="0" w:line="240" w:lineRule="auto"/>
        <w:jc w:val="both"/>
        <w:rPr>
          <w:rFonts w:ascii="Century Gothic" w:eastAsia="Calibri" w:hAnsi="Century Gothic" w:cs="Arial"/>
          <w:color w:val="000000" w:themeColor="text1"/>
          <w:sz w:val="20"/>
          <w:szCs w:val="20"/>
        </w:rPr>
      </w:pPr>
      <w:r w:rsidRPr="001F461B">
        <w:rPr>
          <w:rFonts w:ascii="Century Gothic" w:eastAsia="Calibri" w:hAnsi="Century Gothic" w:cs="Arial"/>
          <w:bCs/>
          <w:color w:val="000000" w:themeColor="text1"/>
          <w:sz w:val="20"/>
          <w:szCs w:val="20"/>
        </w:rPr>
        <w:t xml:space="preserve">De acuerdo con lo expuesto, el inciso primero del artículo 6.2 de la Ley 1150 de 2007, en congruencia con el aparte correspondiente al artículo 2.2.1.1.1.5.7 del Decreto 1082 de 2015, imponen a las entidades estatales el deber de </w:t>
      </w:r>
      <w:r w:rsidRPr="001F461B">
        <w:rPr>
          <w:rFonts w:ascii="Century Gothic" w:eastAsia="Calibri" w:hAnsi="Century Gothic" w:cs="Arial"/>
          <w:bCs/>
          <w:i/>
          <w:iCs/>
          <w:color w:val="000000" w:themeColor="text1"/>
          <w:sz w:val="20"/>
          <w:szCs w:val="20"/>
        </w:rPr>
        <w:t>reportar</w:t>
      </w:r>
      <w:r w:rsidRPr="001F461B">
        <w:rPr>
          <w:rFonts w:ascii="Century Gothic" w:eastAsia="Calibri" w:hAnsi="Century Gothic" w:cs="Arial"/>
          <w:bCs/>
          <w:color w:val="000000" w:themeColor="text1"/>
          <w:sz w:val="20"/>
          <w:szCs w:val="20"/>
        </w:rPr>
        <w:t xml:space="preserve"> a las cámaras de comercio la información relativa a los actos administrativos ejecutoriados expedidos con ocasión de incumplimientos presentados en el marco de los contratos estatales que celebran. De este deber no se encuentra excluida la información relativa a incumplimientos de contratistas que carecen de calificación en el RUP, como, por ejemplo, </w:t>
      </w:r>
      <w:r w:rsidRPr="001F461B">
        <w:rPr>
          <w:rFonts w:ascii="Century Gothic" w:eastAsia="Calibri" w:hAnsi="Century Gothic" w:cs="Arial"/>
          <w:color w:val="000000" w:themeColor="text1"/>
          <w:sz w:val="20"/>
          <w:szCs w:val="20"/>
        </w:rPr>
        <w:t>las personas naturales extranjeras sin domicilio en el país o las personas jurídicas extranjeras que no tengan sucursal en Colombia</w:t>
      </w:r>
      <w:r w:rsidRPr="001F461B">
        <w:rPr>
          <w:rFonts w:ascii="Century Gothic" w:eastAsia="Calibri" w:hAnsi="Century Gothic" w:cs="Arial"/>
          <w:bCs/>
          <w:color w:val="000000" w:themeColor="text1"/>
          <w:sz w:val="20"/>
          <w:szCs w:val="20"/>
        </w:rPr>
        <w:t xml:space="preserve">, pues el solo </w:t>
      </w:r>
      <w:r w:rsidRPr="001F461B">
        <w:rPr>
          <w:rFonts w:ascii="Century Gothic" w:eastAsia="Calibri" w:hAnsi="Century Gothic" w:cs="Arial"/>
          <w:bCs/>
          <w:i/>
          <w:iCs/>
          <w:color w:val="000000" w:themeColor="text1"/>
          <w:sz w:val="20"/>
          <w:szCs w:val="20"/>
        </w:rPr>
        <w:t>reporte</w:t>
      </w:r>
      <w:r w:rsidRPr="001F461B">
        <w:rPr>
          <w:rFonts w:ascii="Century Gothic" w:eastAsia="Calibri" w:hAnsi="Century Gothic" w:cs="Arial"/>
          <w:bCs/>
          <w:color w:val="000000" w:themeColor="text1"/>
          <w:sz w:val="20"/>
          <w:szCs w:val="20"/>
        </w:rPr>
        <w:t xml:space="preserve"> se realiza con independencia de que se encuentren o no en el registro, puesto que –sin perjuicio de del artículo 31 de la Ley 80 de 1993– las normas citadas no distinguen al respecto.</w:t>
      </w:r>
      <w:r w:rsidRPr="001F461B">
        <w:rPr>
          <w:rFonts w:ascii="Century Gothic" w:eastAsia="Calibri" w:hAnsi="Century Gothic" w:cs="Arial"/>
          <w:color w:val="000000" w:themeColor="text1"/>
          <w:sz w:val="20"/>
          <w:szCs w:val="20"/>
        </w:rPr>
        <w:t xml:space="preserve"> </w:t>
      </w:r>
    </w:p>
    <w:p w14:paraId="781D6C73"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ES"/>
        </w:rPr>
      </w:pPr>
    </w:p>
    <w:p w14:paraId="1BD66733" w14:textId="77777777" w:rsidR="00F23ACB" w:rsidRPr="001F461B" w:rsidRDefault="00F23ACB" w:rsidP="00F23ACB">
      <w:pPr>
        <w:spacing w:after="0" w:line="240" w:lineRule="auto"/>
        <w:jc w:val="both"/>
        <w:rPr>
          <w:rFonts w:ascii="Century Gothic" w:eastAsia="Calibri" w:hAnsi="Century Gothic" w:cs="Arial"/>
          <w:b/>
          <w:bCs/>
          <w:color w:val="000000" w:themeColor="text1"/>
          <w:lang w:val="es-ES_tradnl"/>
        </w:rPr>
      </w:pPr>
      <w:r w:rsidRPr="001F461B">
        <w:rPr>
          <w:rFonts w:ascii="Century Gothic" w:eastAsia="Calibri" w:hAnsi="Century Gothic" w:cs="Arial"/>
          <w:b/>
          <w:bCs/>
          <w:color w:val="000000" w:themeColor="text1"/>
          <w:lang w:val="es-ES_tradnl"/>
        </w:rPr>
        <w:t>INCUMPLIMIENTO REITERADO – Inhabilidad – Ley 1474 – Artículo 90 – Redacción original – Ley 1955 – Modificación</w:t>
      </w:r>
    </w:p>
    <w:p w14:paraId="0B41C6E7"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lang w:val="es-ES"/>
        </w:rPr>
      </w:pPr>
    </w:p>
    <w:p w14:paraId="7578484F"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lang w:val="es-ES"/>
        </w:rPr>
      </w:pPr>
      <w:r w:rsidRPr="001F461B">
        <w:rPr>
          <w:rFonts w:ascii="Century Gothic" w:eastAsia="Calibri" w:hAnsi="Century Gothic" w:cs="Arial"/>
          <w:bCs/>
          <w:color w:val="000000" w:themeColor="text1"/>
          <w:sz w:val="20"/>
          <w:szCs w:val="20"/>
          <w:lang w:val="es-ES"/>
        </w:rPr>
        <w:t>el texto original de la Ley 1474 de 2011, contemplaba tres supuestos de hecho que daban lugar a la configuración de la inhabilidad: a) el primero relativo a la imposición de cinco (5) multas por incumplimiento –parcial– durante una misma vigencia fiscal, con una o varias entidades estatales; b) un segundo supuesto que consistía en la concurrencia de dos (2) declaratorias de incumplimiento –definitivo</w:t>
      </w:r>
      <w:r w:rsidRPr="001F461B">
        <w:rPr>
          <w:rFonts w:ascii="Century Gothic" w:eastAsia="Calibri" w:hAnsi="Century Gothic" w:cs="Arial"/>
          <w:bCs/>
          <w:color w:val="000000" w:themeColor="text1"/>
          <w:sz w:val="20"/>
          <w:szCs w:val="20"/>
          <w:lang w:val="es-ES"/>
        </w:rPr>
        <w:softHyphen/>
        <w:t>– de contratos durante una misma vigencia fiscal, con una o varias entidades estatales; y c) un tercer supuesto alusivo a la imposición de dos (2) multas y una (1) declaratoria de incumplimiento –definitivo–, durante una misma vigencia fiscal con una o varias entidades estatales. Ante la configuración de cualquiera de tales supuestos, la persona incursa en los mismos quedaba inhabilitada por un periodo de tres (3) años contados a partir de la fecha de inscripción en el RUP de la última multa o declaratoria de incumplimiento.</w:t>
      </w:r>
    </w:p>
    <w:p w14:paraId="227AE7FA"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lang w:val="es-ES"/>
        </w:rPr>
      </w:pPr>
    </w:p>
    <w:p w14:paraId="60221D3D" w14:textId="77777777" w:rsidR="00F23ACB" w:rsidRPr="001F461B" w:rsidRDefault="00F23ACB" w:rsidP="00F23ACB">
      <w:pPr>
        <w:spacing w:after="0" w:line="240" w:lineRule="auto"/>
        <w:jc w:val="both"/>
        <w:rPr>
          <w:rFonts w:ascii="Century Gothic" w:eastAsia="Calibri" w:hAnsi="Century Gothic" w:cs="Arial"/>
          <w:bCs/>
          <w:color w:val="000000" w:themeColor="text1"/>
          <w:sz w:val="20"/>
          <w:szCs w:val="20"/>
        </w:rPr>
      </w:pPr>
      <w:r w:rsidRPr="001F461B">
        <w:rPr>
          <w:rFonts w:ascii="Century Gothic" w:eastAsia="Calibri" w:hAnsi="Century Gothic" w:cs="Arial"/>
          <w:bCs/>
          <w:color w:val="000000" w:themeColor="text1"/>
          <w:sz w:val="20"/>
          <w:szCs w:val="20"/>
          <w:lang w:val="es-ES"/>
        </w:rPr>
        <w:t>Posteriormente, los literales a) y b) transcritos fueron modificados por el artículo 43 de la Ley 1955 de 2019, en lo atinente al intervalo de tiempo dentro del que se deben presentar las multas y declaratorias de incumplimiento para que se den los dos primeros supuestos que dan lugar a la configuración de la inhabilidad por incumplimiento reiterado.</w:t>
      </w:r>
    </w:p>
    <w:p w14:paraId="17C88893" w14:textId="77777777" w:rsidR="00F23ACB" w:rsidRPr="001F461B" w:rsidRDefault="00F23ACB" w:rsidP="00F23ACB">
      <w:pPr>
        <w:spacing w:after="0" w:line="240" w:lineRule="auto"/>
        <w:jc w:val="both"/>
        <w:rPr>
          <w:rFonts w:ascii="Century Gothic" w:eastAsia="Calibri" w:hAnsi="Century Gothic" w:cs="Arial"/>
          <w:b/>
          <w:bCs/>
          <w:color w:val="000000" w:themeColor="text1"/>
          <w:sz w:val="20"/>
          <w:szCs w:val="20"/>
          <w:lang w:val="es-ES"/>
        </w:rPr>
      </w:pPr>
    </w:p>
    <w:p w14:paraId="032C39F6" w14:textId="77777777" w:rsidR="00F23ACB" w:rsidRPr="001F461B" w:rsidRDefault="00F23ACB" w:rsidP="00491E07">
      <w:pPr>
        <w:spacing w:after="0" w:line="240" w:lineRule="auto"/>
        <w:jc w:val="both"/>
        <w:rPr>
          <w:rFonts w:ascii="Century Gothic" w:eastAsia="Calibri" w:hAnsi="Century Gothic" w:cs="Arial"/>
          <w:bCs/>
          <w:color w:val="000000" w:themeColor="text1"/>
          <w:sz w:val="20"/>
          <w:szCs w:val="20"/>
          <w:lang w:val="es-ES"/>
        </w:rPr>
      </w:pPr>
      <w:r w:rsidRPr="001F461B">
        <w:rPr>
          <w:rFonts w:ascii="Century Gothic" w:eastAsia="Calibri" w:hAnsi="Century Gothic" w:cs="Arial"/>
          <w:b/>
          <w:bCs/>
          <w:color w:val="000000" w:themeColor="text1"/>
        </w:rPr>
        <w:t>INCUMPLIMIENTO REITERADO – Inhabilidad – Ley 2195 – Artículo 51 – Adición – Literal d) – PAE</w:t>
      </w:r>
    </w:p>
    <w:p w14:paraId="52B83B94" w14:textId="77777777" w:rsidR="00F23ACB" w:rsidRPr="001F461B" w:rsidRDefault="00F23ACB" w:rsidP="00491E07">
      <w:pPr>
        <w:spacing w:after="0" w:line="240" w:lineRule="auto"/>
        <w:jc w:val="both"/>
        <w:rPr>
          <w:rFonts w:ascii="Century Gothic" w:eastAsia="Calibri" w:hAnsi="Century Gothic" w:cs="Arial"/>
          <w:bCs/>
          <w:color w:val="000000" w:themeColor="text1"/>
          <w:sz w:val="20"/>
          <w:szCs w:val="20"/>
        </w:rPr>
      </w:pPr>
    </w:p>
    <w:p w14:paraId="0645382E" w14:textId="00D272DD" w:rsidR="00F23ACB" w:rsidRDefault="00F23ACB" w:rsidP="00491E07">
      <w:pPr>
        <w:spacing w:after="0"/>
        <w:jc w:val="both"/>
        <w:rPr>
          <w:rFonts w:ascii="Century Gothic" w:eastAsia="Geomanist Light" w:hAnsi="Century Gothic" w:cs="Arial"/>
          <w:color w:val="000000" w:themeColor="text1"/>
          <w:lang w:val="es-MX"/>
        </w:rPr>
      </w:pPr>
      <w:r w:rsidRPr="001F461B">
        <w:rPr>
          <w:rFonts w:ascii="Century Gothic" w:eastAsia="Calibri" w:hAnsi="Century Gothic" w:cs="Arial"/>
          <w:bCs/>
          <w:color w:val="000000" w:themeColor="text1"/>
          <w:sz w:val="20"/>
          <w:szCs w:val="20"/>
          <w:lang w:val="es-ES_tradnl"/>
        </w:rPr>
        <w:t xml:space="preserve">El artículo 51 de la Ley 2195 de 2022 también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w:t>
      </w:r>
      <w:r w:rsidRPr="001F461B">
        <w:rPr>
          <w:rFonts w:ascii="Century Gothic" w:eastAsia="Calibri" w:hAnsi="Century Gothic" w:cs="Arial"/>
          <w:bCs/>
          <w:color w:val="000000" w:themeColor="text1"/>
          <w:sz w:val="20"/>
          <w:szCs w:val="20"/>
          <w:lang w:val="es-ES_tradnl"/>
        </w:rPr>
        <w:lastRenderedPageBreak/>
        <w:t>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2A41FE4A" w14:textId="77777777" w:rsidR="00F23ACB" w:rsidRDefault="00F23ACB" w:rsidP="00176ACA">
      <w:pPr>
        <w:spacing w:after="0"/>
        <w:rPr>
          <w:rFonts w:ascii="Century Gothic" w:eastAsia="Geomanist Light" w:hAnsi="Century Gothic" w:cs="Arial"/>
          <w:color w:val="000000" w:themeColor="text1"/>
          <w:lang w:val="es-MX"/>
        </w:rPr>
      </w:pPr>
    </w:p>
    <w:p w14:paraId="2D052CC6" w14:textId="77777777" w:rsidR="00F23ACB" w:rsidRDefault="00F23ACB" w:rsidP="00176ACA">
      <w:pPr>
        <w:spacing w:after="0"/>
        <w:rPr>
          <w:rFonts w:ascii="Century Gothic" w:eastAsia="Geomanist Light" w:hAnsi="Century Gothic" w:cs="Arial"/>
          <w:color w:val="000000" w:themeColor="text1"/>
          <w:lang w:val="es-MX"/>
        </w:rPr>
      </w:pPr>
    </w:p>
    <w:p w14:paraId="46A6F496" w14:textId="77777777" w:rsidR="00F23ACB" w:rsidRDefault="00F23ACB" w:rsidP="00176ACA">
      <w:pPr>
        <w:spacing w:after="0"/>
        <w:rPr>
          <w:rFonts w:ascii="Century Gothic" w:eastAsia="Geomanist Light" w:hAnsi="Century Gothic" w:cs="Arial"/>
          <w:color w:val="000000" w:themeColor="text1"/>
          <w:lang w:val="es-MX"/>
        </w:rPr>
      </w:pPr>
    </w:p>
    <w:p w14:paraId="7ED6ED12" w14:textId="77777777" w:rsidR="00F23ACB" w:rsidRDefault="00F23ACB" w:rsidP="00176ACA">
      <w:pPr>
        <w:spacing w:after="0"/>
        <w:rPr>
          <w:rFonts w:ascii="Century Gothic" w:eastAsia="Geomanist Light" w:hAnsi="Century Gothic" w:cs="Arial"/>
          <w:color w:val="000000" w:themeColor="text1"/>
          <w:lang w:val="es-MX"/>
        </w:rPr>
      </w:pPr>
    </w:p>
    <w:p w14:paraId="5A02355B" w14:textId="77777777" w:rsidR="00F23ACB" w:rsidRDefault="00F23ACB" w:rsidP="00176ACA">
      <w:pPr>
        <w:spacing w:after="0"/>
        <w:rPr>
          <w:rFonts w:ascii="Century Gothic" w:eastAsia="Geomanist Light" w:hAnsi="Century Gothic" w:cs="Arial"/>
          <w:color w:val="000000" w:themeColor="text1"/>
          <w:lang w:val="es-MX"/>
        </w:rPr>
      </w:pPr>
    </w:p>
    <w:p w14:paraId="3991980C" w14:textId="77777777" w:rsidR="00F23ACB" w:rsidRDefault="00F23ACB" w:rsidP="00176ACA">
      <w:pPr>
        <w:spacing w:after="0"/>
        <w:rPr>
          <w:rFonts w:ascii="Century Gothic" w:eastAsia="Geomanist Light" w:hAnsi="Century Gothic" w:cs="Arial"/>
          <w:color w:val="000000" w:themeColor="text1"/>
          <w:lang w:val="es-MX"/>
        </w:rPr>
      </w:pPr>
    </w:p>
    <w:p w14:paraId="338D87F8" w14:textId="77777777" w:rsidR="00F23ACB" w:rsidRDefault="00F23ACB" w:rsidP="00176ACA">
      <w:pPr>
        <w:spacing w:after="0"/>
        <w:rPr>
          <w:rFonts w:ascii="Century Gothic" w:eastAsia="Geomanist Light" w:hAnsi="Century Gothic" w:cs="Arial"/>
          <w:color w:val="000000" w:themeColor="text1"/>
          <w:lang w:val="es-MX"/>
        </w:rPr>
      </w:pPr>
    </w:p>
    <w:p w14:paraId="173BE826" w14:textId="77777777" w:rsidR="00F23ACB" w:rsidRDefault="00F23ACB" w:rsidP="00176ACA">
      <w:pPr>
        <w:spacing w:after="0"/>
        <w:rPr>
          <w:rFonts w:ascii="Century Gothic" w:eastAsia="Geomanist Light" w:hAnsi="Century Gothic" w:cs="Arial"/>
          <w:color w:val="000000" w:themeColor="text1"/>
          <w:lang w:val="es-MX"/>
        </w:rPr>
      </w:pPr>
    </w:p>
    <w:p w14:paraId="3C0155BC" w14:textId="77777777" w:rsidR="00F23ACB" w:rsidRDefault="00F23ACB" w:rsidP="00176ACA">
      <w:pPr>
        <w:spacing w:after="0"/>
        <w:rPr>
          <w:rFonts w:ascii="Century Gothic" w:eastAsia="Geomanist Light" w:hAnsi="Century Gothic" w:cs="Arial"/>
          <w:color w:val="000000" w:themeColor="text1"/>
          <w:lang w:val="es-MX"/>
        </w:rPr>
      </w:pPr>
    </w:p>
    <w:p w14:paraId="122E8C76" w14:textId="77777777" w:rsidR="00F23ACB" w:rsidRDefault="00F23ACB" w:rsidP="00176ACA">
      <w:pPr>
        <w:spacing w:after="0"/>
        <w:rPr>
          <w:rFonts w:ascii="Century Gothic" w:eastAsia="Geomanist Light" w:hAnsi="Century Gothic" w:cs="Arial"/>
          <w:color w:val="000000" w:themeColor="text1"/>
          <w:lang w:val="es-MX"/>
        </w:rPr>
      </w:pPr>
    </w:p>
    <w:p w14:paraId="108EBC86" w14:textId="77777777" w:rsidR="00F23ACB" w:rsidRDefault="00F23ACB" w:rsidP="00176ACA">
      <w:pPr>
        <w:spacing w:after="0"/>
        <w:rPr>
          <w:rFonts w:ascii="Century Gothic" w:eastAsia="Geomanist Light" w:hAnsi="Century Gothic" w:cs="Arial"/>
          <w:color w:val="000000" w:themeColor="text1"/>
          <w:lang w:val="es-MX"/>
        </w:rPr>
      </w:pPr>
    </w:p>
    <w:p w14:paraId="771924C1" w14:textId="77777777" w:rsidR="00F23ACB" w:rsidRDefault="00F23ACB" w:rsidP="00176ACA">
      <w:pPr>
        <w:spacing w:after="0"/>
        <w:rPr>
          <w:rFonts w:ascii="Century Gothic" w:eastAsia="Geomanist Light" w:hAnsi="Century Gothic" w:cs="Arial"/>
          <w:color w:val="000000" w:themeColor="text1"/>
          <w:lang w:val="es-MX"/>
        </w:rPr>
      </w:pPr>
    </w:p>
    <w:p w14:paraId="1F2BC681" w14:textId="77777777" w:rsidR="00F23ACB" w:rsidRDefault="00F23ACB" w:rsidP="00176ACA">
      <w:pPr>
        <w:spacing w:after="0"/>
        <w:rPr>
          <w:rFonts w:ascii="Century Gothic" w:eastAsia="Geomanist Light" w:hAnsi="Century Gothic" w:cs="Arial"/>
          <w:color w:val="000000" w:themeColor="text1"/>
          <w:lang w:val="es-MX"/>
        </w:rPr>
      </w:pPr>
    </w:p>
    <w:p w14:paraId="3EB7F3E7" w14:textId="77777777" w:rsidR="00F23ACB" w:rsidRDefault="00F23ACB" w:rsidP="00176ACA">
      <w:pPr>
        <w:spacing w:after="0"/>
        <w:rPr>
          <w:rFonts w:ascii="Century Gothic" w:eastAsia="Geomanist Light" w:hAnsi="Century Gothic" w:cs="Arial"/>
          <w:color w:val="000000" w:themeColor="text1"/>
          <w:lang w:val="es-MX"/>
        </w:rPr>
      </w:pPr>
    </w:p>
    <w:p w14:paraId="60966DC5" w14:textId="77777777" w:rsidR="00F23ACB" w:rsidRDefault="00F23ACB" w:rsidP="00176ACA">
      <w:pPr>
        <w:spacing w:after="0"/>
        <w:rPr>
          <w:rFonts w:ascii="Century Gothic" w:eastAsia="Geomanist Light" w:hAnsi="Century Gothic" w:cs="Arial"/>
          <w:color w:val="000000" w:themeColor="text1"/>
          <w:lang w:val="es-MX"/>
        </w:rPr>
      </w:pPr>
    </w:p>
    <w:p w14:paraId="7B29BFB5" w14:textId="77777777" w:rsidR="00F23ACB" w:rsidRDefault="00F23ACB" w:rsidP="00176ACA">
      <w:pPr>
        <w:spacing w:after="0"/>
        <w:rPr>
          <w:rFonts w:ascii="Century Gothic" w:eastAsia="Geomanist Light" w:hAnsi="Century Gothic" w:cs="Arial"/>
          <w:color w:val="000000" w:themeColor="text1"/>
          <w:lang w:val="es-MX"/>
        </w:rPr>
      </w:pPr>
    </w:p>
    <w:p w14:paraId="7553B54C" w14:textId="77777777" w:rsidR="00F23ACB" w:rsidRDefault="00F23ACB" w:rsidP="00176ACA">
      <w:pPr>
        <w:spacing w:after="0"/>
        <w:rPr>
          <w:rFonts w:ascii="Century Gothic" w:eastAsia="Geomanist Light" w:hAnsi="Century Gothic" w:cs="Arial"/>
          <w:color w:val="000000" w:themeColor="text1"/>
          <w:lang w:val="es-MX"/>
        </w:rPr>
      </w:pPr>
    </w:p>
    <w:p w14:paraId="08113184" w14:textId="77777777" w:rsidR="00F23ACB" w:rsidRDefault="00F23ACB" w:rsidP="00176ACA">
      <w:pPr>
        <w:spacing w:after="0"/>
        <w:rPr>
          <w:rFonts w:ascii="Century Gothic" w:eastAsia="Geomanist Light" w:hAnsi="Century Gothic" w:cs="Arial"/>
          <w:color w:val="000000" w:themeColor="text1"/>
          <w:lang w:val="es-MX"/>
        </w:rPr>
      </w:pPr>
    </w:p>
    <w:p w14:paraId="607BF73D" w14:textId="77777777" w:rsidR="00F23ACB" w:rsidRDefault="00F23ACB" w:rsidP="00176ACA">
      <w:pPr>
        <w:spacing w:after="0"/>
        <w:rPr>
          <w:rFonts w:ascii="Century Gothic" w:eastAsia="Geomanist Light" w:hAnsi="Century Gothic" w:cs="Arial"/>
          <w:color w:val="000000" w:themeColor="text1"/>
          <w:lang w:val="es-MX"/>
        </w:rPr>
      </w:pPr>
    </w:p>
    <w:p w14:paraId="49B53566" w14:textId="77777777" w:rsidR="00F23ACB" w:rsidRDefault="00F23ACB" w:rsidP="00176ACA">
      <w:pPr>
        <w:spacing w:after="0"/>
        <w:rPr>
          <w:rFonts w:ascii="Century Gothic" w:eastAsia="Geomanist Light" w:hAnsi="Century Gothic" w:cs="Arial"/>
          <w:color w:val="000000" w:themeColor="text1"/>
          <w:lang w:val="es-MX"/>
        </w:rPr>
      </w:pPr>
    </w:p>
    <w:p w14:paraId="543435DA" w14:textId="77777777" w:rsidR="00F23ACB" w:rsidRDefault="00F23ACB" w:rsidP="00176ACA">
      <w:pPr>
        <w:spacing w:after="0"/>
        <w:rPr>
          <w:rFonts w:ascii="Century Gothic" w:eastAsia="Geomanist Light" w:hAnsi="Century Gothic" w:cs="Arial"/>
          <w:color w:val="000000" w:themeColor="text1"/>
          <w:lang w:val="es-MX"/>
        </w:rPr>
      </w:pPr>
    </w:p>
    <w:p w14:paraId="733CCD5B" w14:textId="77777777" w:rsidR="00F23ACB" w:rsidRDefault="00F23ACB" w:rsidP="00176ACA">
      <w:pPr>
        <w:spacing w:after="0"/>
        <w:rPr>
          <w:rFonts w:ascii="Century Gothic" w:eastAsia="Geomanist Light" w:hAnsi="Century Gothic" w:cs="Arial"/>
          <w:color w:val="000000" w:themeColor="text1"/>
          <w:lang w:val="es-MX"/>
        </w:rPr>
      </w:pPr>
    </w:p>
    <w:p w14:paraId="37D5960E" w14:textId="77777777" w:rsidR="00F23ACB" w:rsidRDefault="00F23ACB" w:rsidP="00176ACA">
      <w:pPr>
        <w:spacing w:after="0"/>
        <w:rPr>
          <w:rFonts w:ascii="Century Gothic" w:eastAsia="Geomanist Light" w:hAnsi="Century Gothic" w:cs="Arial"/>
          <w:color w:val="000000" w:themeColor="text1"/>
          <w:lang w:val="es-MX"/>
        </w:rPr>
      </w:pPr>
    </w:p>
    <w:p w14:paraId="16AD94C6" w14:textId="77777777" w:rsidR="00F23ACB" w:rsidRDefault="00F23ACB" w:rsidP="00176ACA">
      <w:pPr>
        <w:spacing w:after="0"/>
        <w:rPr>
          <w:rFonts w:ascii="Century Gothic" w:eastAsia="Geomanist Light" w:hAnsi="Century Gothic" w:cs="Arial"/>
          <w:color w:val="000000" w:themeColor="text1"/>
          <w:lang w:val="es-MX"/>
        </w:rPr>
      </w:pPr>
    </w:p>
    <w:p w14:paraId="26BD40B6" w14:textId="77777777" w:rsidR="00F23ACB" w:rsidRDefault="00F23ACB" w:rsidP="00176ACA">
      <w:pPr>
        <w:spacing w:after="0"/>
        <w:rPr>
          <w:rFonts w:ascii="Century Gothic" w:eastAsia="Geomanist Light" w:hAnsi="Century Gothic" w:cs="Arial"/>
          <w:color w:val="000000" w:themeColor="text1"/>
          <w:lang w:val="es-MX"/>
        </w:rPr>
      </w:pPr>
    </w:p>
    <w:p w14:paraId="4C143B44" w14:textId="77777777" w:rsidR="00F23ACB" w:rsidRDefault="00F23ACB" w:rsidP="00176ACA">
      <w:pPr>
        <w:spacing w:after="0"/>
        <w:rPr>
          <w:rFonts w:ascii="Century Gothic" w:eastAsia="Geomanist Light" w:hAnsi="Century Gothic" w:cs="Arial"/>
          <w:color w:val="000000" w:themeColor="text1"/>
          <w:lang w:val="es-MX"/>
        </w:rPr>
      </w:pPr>
    </w:p>
    <w:p w14:paraId="116A38C5" w14:textId="77777777" w:rsidR="00F23ACB" w:rsidRDefault="00F23ACB" w:rsidP="00176ACA">
      <w:pPr>
        <w:spacing w:after="0"/>
        <w:rPr>
          <w:rFonts w:ascii="Century Gothic" w:eastAsia="Geomanist Light" w:hAnsi="Century Gothic" w:cs="Arial"/>
          <w:color w:val="000000" w:themeColor="text1"/>
          <w:lang w:val="es-MX"/>
        </w:rPr>
      </w:pPr>
    </w:p>
    <w:p w14:paraId="1FFA8941" w14:textId="77777777" w:rsidR="00F23ACB" w:rsidRDefault="00F23ACB" w:rsidP="00176ACA">
      <w:pPr>
        <w:spacing w:after="0"/>
        <w:rPr>
          <w:rFonts w:ascii="Century Gothic" w:eastAsia="Geomanist Light" w:hAnsi="Century Gothic" w:cs="Arial"/>
          <w:color w:val="000000" w:themeColor="text1"/>
          <w:lang w:val="es-MX"/>
        </w:rPr>
      </w:pPr>
    </w:p>
    <w:p w14:paraId="121413CE" w14:textId="77777777" w:rsidR="00F23ACB" w:rsidRDefault="00F23ACB" w:rsidP="00176ACA">
      <w:pPr>
        <w:spacing w:after="0"/>
        <w:rPr>
          <w:rFonts w:ascii="Century Gothic" w:eastAsia="Geomanist Light" w:hAnsi="Century Gothic" w:cs="Arial"/>
          <w:color w:val="000000" w:themeColor="text1"/>
          <w:lang w:val="es-MX"/>
        </w:rPr>
      </w:pPr>
    </w:p>
    <w:p w14:paraId="235FB85B" w14:textId="77777777" w:rsidR="00F23ACB" w:rsidRDefault="00F23ACB" w:rsidP="00176ACA">
      <w:pPr>
        <w:spacing w:after="0"/>
        <w:rPr>
          <w:rFonts w:ascii="Century Gothic" w:eastAsia="Geomanist Light" w:hAnsi="Century Gothic" w:cs="Arial"/>
          <w:color w:val="000000" w:themeColor="text1"/>
          <w:lang w:val="es-MX"/>
        </w:rPr>
      </w:pPr>
    </w:p>
    <w:p w14:paraId="1889AC02" w14:textId="77777777" w:rsidR="00F23ACB" w:rsidRDefault="00F23ACB" w:rsidP="00176ACA">
      <w:pPr>
        <w:spacing w:after="0"/>
        <w:rPr>
          <w:rFonts w:ascii="Century Gothic" w:eastAsia="Geomanist Light" w:hAnsi="Century Gothic" w:cs="Arial"/>
          <w:color w:val="000000" w:themeColor="text1"/>
          <w:lang w:val="es-MX"/>
        </w:rPr>
      </w:pPr>
    </w:p>
    <w:p w14:paraId="1C1203D6" w14:textId="77777777" w:rsidR="00F23ACB" w:rsidRDefault="00F23ACB" w:rsidP="00176ACA">
      <w:pPr>
        <w:spacing w:after="0"/>
        <w:rPr>
          <w:rFonts w:ascii="Century Gothic" w:eastAsia="Geomanist Light" w:hAnsi="Century Gothic" w:cs="Arial"/>
          <w:color w:val="000000" w:themeColor="text1"/>
          <w:lang w:val="es-MX"/>
        </w:rPr>
      </w:pPr>
    </w:p>
    <w:p w14:paraId="35BB01F2" w14:textId="77777777" w:rsidR="00F23ACB" w:rsidRDefault="00F23ACB" w:rsidP="00176ACA">
      <w:pPr>
        <w:spacing w:after="0"/>
        <w:rPr>
          <w:rFonts w:ascii="Century Gothic" w:eastAsia="Geomanist Light" w:hAnsi="Century Gothic" w:cs="Arial"/>
          <w:color w:val="000000" w:themeColor="text1"/>
          <w:lang w:val="es-MX"/>
        </w:rPr>
      </w:pPr>
    </w:p>
    <w:p w14:paraId="4125BAB9" w14:textId="77777777" w:rsidR="00F23ACB" w:rsidRDefault="00F23ACB" w:rsidP="00176ACA">
      <w:pPr>
        <w:spacing w:after="0"/>
        <w:rPr>
          <w:rFonts w:ascii="Century Gothic" w:eastAsia="Geomanist Light" w:hAnsi="Century Gothic" w:cs="Arial"/>
          <w:color w:val="000000" w:themeColor="text1"/>
          <w:lang w:val="es-MX"/>
        </w:rPr>
      </w:pPr>
    </w:p>
    <w:p w14:paraId="438F660D" w14:textId="77777777" w:rsidR="00F23ACB" w:rsidRDefault="00F23ACB" w:rsidP="00176ACA">
      <w:pPr>
        <w:spacing w:after="0"/>
        <w:rPr>
          <w:rFonts w:ascii="Century Gothic" w:eastAsia="Geomanist Light" w:hAnsi="Century Gothic" w:cs="Arial"/>
          <w:color w:val="000000" w:themeColor="text1"/>
          <w:lang w:val="es-MX"/>
        </w:rPr>
      </w:pPr>
    </w:p>
    <w:p w14:paraId="66AE997A" w14:textId="5F7917B5" w:rsidR="00176ACA" w:rsidRPr="001F461B" w:rsidRDefault="00176ACA" w:rsidP="00176ACA">
      <w:pPr>
        <w:spacing w:after="0"/>
        <w:rPr>
          <w:rFonts w:ascii="Century Gothic" w:eastAsia="Geomanist Light" w:hAnsi="Century Gothic" w:cs="Arial"/>
          <w:color w:val="201F1E"/>
          <w:lang w:val="es-MX"/>
        </w:rPr>
      </w:pPr>
      <w:r w:rsidRPr="001F461B">
        <w:rPr>
          <w:rFonts w:ascii="Century Gothic" w:eastAsia="Geomanist Light" w:hAnsi="Century Gothic" w:cs="Arial"/>
          <w:color w:val="000000" w:themeColor="text1"/>
          <w:lang w:val="es-MX"/>
        </w:rPr>
        <w:lastRenderedPageBreak/>
        <w:t>Bogotá D.C., </w:t>
      </w:r>
      <w:r w:rsidR="00215E89" w:rsidRPr="00215E89">
        <w:rPr>
          <w:rFonts w:ascii="Century Gothic" w:eastAsia="Geomanist Light" w:hAnsi="Century Gothic" w:cs="Arial"/>
          <w:color w:val="201F1E"/>
          <w:lang w:val="es-MX"/>
        </w:rPr>
        <w:t xml:space="preserve">04 de </w:t>
      </w:r>
      <w:proofErr w:type="gramStart"/>
      <w:r w:rsidR="00215E89" w:rsidRPr="00215E89">
        <w:rPr>
          <w:rFonts w:ascii="Century Gothic" w:eastAsia="Geomanist Light" w:hAnsi="Century Gothic" w:cs="Arial"/>
          <w:color w:val="201F1E"/>
          <w:lang w:val="es-MX"/>
        </w:rPr>
        <w:t>Junio</w:t>
      </w:r>
      <w:proofErr w:type="gramEnd"/>
      <w:r w:rsidR="00215E89" w:rsidRPr="00215E89">
        <w:rPr>
          <w:rFonts w:ascii="Century Gothic" w:eastAsia="Geomanist Light" w:hAnsi="Century Gothic" w:cs="Arial"/>
          <w:color w:val="201F1E"/>
          <w:lang w:val="es-MX"/>
        </w:rPr>
        <w:t xml:space="preserve"> de 2024</w:t>
      </w:r>
    </w:p>
    <w:p w14:paraId="5342D56E" w14:textId="77777777" w:rsidR="00176ACA" w:rsidRPr="001F461B" w:rsidRDefault="00176ACA" w:rsidP="00176ACA">
      <w:pPr>
        <w:spacing w:after="0"/>
        <w:rPr>
          <w:rFonts w:ascii="Century Gothic" w:eastAsia="Geomanist Light" w:hAnsi="Century Gothic" w:cs="Arial"/>
          <w:color w:val="201F1E"/>
          <w:lang w:val="es-MX"/>
        </w:rPr>
      </w:pPr>
    </w:p>
    <w:p w14:paraId="4602BD52" w14:textId="652B3316" w:rsidR="00176ACA" w:rsidRDefault="00215E89" w:rsidP="00215E89">
      <w:pPr>
        <w:spacing w:after="0"/>
        <w:contextualSpacing/>
        <w:jc w:val="right"/>
        <w:rPr>
          <w:rFonts w:ascii="Century Gothic" w:eastAsia="Calibri" w:hAnsi="Century Gothic" w:cs="Arial"/>
          <w:lang w:val="es-ES_tradnl" w:eastAsia="es-ES_tradnl"/>
        </w:rPr>
      </w:pPr>
      <w:r>
        <w:rPr>
          <w:noProof/>
        </w:rPr>
        <w:drawing>
          <wp:inline distT="0" distB="0" distL="0" distR="0" wp14:anchorId="4553B453" wp14:editId="3739AC1E">
            <wp:extent cx="3253476" cy="904813"/>
            <wp:effectExtent l="0" t="0" r="4445" b="0"/>
            <wp:docPr id="577531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31053" name=""/>
                    <pic:cNvPicPr/>
                  </pic:nvPicPr>
                  <pic:blipFill>
                    <a:blip r:embed="rId10"/>
                    <a:stretch>
                      <a:fillRect/>
                    </a:stretch>
                  </pic:blipFill>
                  <pic:spPr>
                    <a:xfrm>
                      <a:off x="0" y="0"/>
                      <a:ext cx="3253476" cy="904813"/>
                    </a:xfrm>
                    <a:prstGeom prst="rect">
                      <a:avLst/>
                    </a:prstGeom>
                  </pic:spPr>
                </pic:pic>
              </a:graphicData>
            </a:graphic>
          </wp:inline>
        </w:drawing>
      </w:r>
    </w:p>
    <w:p w14:paraId="71A51F09" w14:textId="77777777" w:rsidR="00215E89" w:rsidRPr="001F461B" w:rsidRDefault="00215E89" w:rsidP="00176ACA">
      <w:pPr>
        <w:spacing w:after="0"/>
        <w:contextualSpacing/>
        <w:jc w:val="both"/>
        <w:rPr>
          <w:rFonts w:ascii="Century Gothic" w:eastAsia="Calibri" w:hAnsi="Century Gothic" w:cs="Arial"/>
          <w:lang w:val="es-ES_tradnl" w:eastAsia="es-ES_tradnl"/>
        </w:rPr>
      </w:pPr>
    </w:p>
    <w:p w14:paraId="7225BCE4" w14:textId="77777777" w:rsidR="00176ACA" w:rsidRPr="001F461B" w:rsidRDefault="00176ACA" w:rsidP="00176ACA">
      <w:pPr>
        <w:contextualSpacing/>
        <w:jc w:val="both"/>
        <w:rPr>
          <w:rFonts w:ascii="Century Gothic" w:eastAsia="Calibri" w:hAnsi="Century Gothic" w:cs="Arial"/>
          <w:lang w:eastAsia="es-ES_tradnl"/>
        </w:rPr>
      </w:pPr>
      <w:r w:rsidRPr="001F461B">
        <w:rPr>
          <w:rFonts w:ascii="Century Gothic" w:eastAsia="Calibri" w:hAnsi="Century Gothic" w:cs="Arial"/>
          <w:lang w:eastAsia="es-ES_tradnl"/>
        </w:rPr>
        <w:t>Señora</w:t>
      </w:r>
    </w:p>
    <w:p w14:paraId="2CCC6952" w14:textId="77777777" w:rsidR="00176ACA" w:rsidRPr="001F461B" w:rsidRDefault="00176ACA" w:rsidP="00176ACA">
      <w:pPr>
        <w:contextualSpacing/>
        <w:jc w:val="both"/>
        <w:rPr>
          <w:rFonts w:ascii="Century Gothic" w:eastAsia="Calibri" w:hAnsi="Century Gothic" w:cs="Arial"/>
          <w:b/>
          <w:lang w:eastAsia="es-ES_tradnl"/>
        </w:rPr>
      </w:pPr>
      <w:r w:rsidRPr="001F461B">
        <w:rPr>
          <w:rFonts w:ascii="Century Gothic" w:eastAsia="Calibri" w:hAnsi="Century Gothic" w:cs="Arial"/>
          <w:b/>
          <w:lang w:eastAsia="es-ES_tradnl"/>
        </w:rPr>
        <w:t>Isabella Esquivel Gómez</w:t>
      </w:r>
    </w:p>
    <w:p w14:paraId="38F1373F" w14:textId="77777777" w:rsidR="00176ACA" w:rsidRPr="001F461B" w:rsidRDefault="00176ACA" w:rsidP="00176ACA">
      <w:pPr>
        <w:contextualSpacing/>
        <w:jc w:val="both"/>
        <w:rPr>
          <w:rFonts w:ascii="Century Gothic" w:eastAsia="Calibri" w:hAnsi="Century Gothic" w:cs="Arial"/>
          <w:bCs/>
          <w:lang w:eastAsia="es-ES_tradnl"/>
        </w:rPr>
      </w:pPr>
      <w:r w:rsidRPr="001F461B">
        <w:rPr>
          <w:rFonts w:ascii="Century Gothic" w:eastAsia="Calibri" w:hAnsi="Century Gothic" w:cs="Arial"/>
          <w:lang w:eastAsia="es-ES_tradnl"/>
        </w:rPr>
        <w:t>Bogotá D.C.</w:t>
      </w:r>
    </w:p>
    <w:p w14:paraId="18E1382B" w14:textId="77777777" w:rsidR="00176ACA" w:rsidRPr="001F461B" w:rsidRDefault="00176ACA" w:rsidP="00176ACA">
      <w:pPr>
        <w:contextualSpacing/>
        <w:jc w:val="both"/>
        <w:rPr>
          <w:rFonts w:ascii="Century Gothic" w:eastAsia="Calibri" w:hAnsi="Century Gothic" w:cs="Arial"/>
          <w:lang w:val="es-ES_tradnl" w:eastAsia="es-ES_tradnl"/>
        </w:rPr>
      </w:pPr>
    </w:p>
    <w:p w14:paraId="133479A7" w14:textId="77777777" w:rsidR="00176ACA" w:rsidRPr="001F461B" w:rsidRDefault="00176ACA" w:rsidP="00176ACA">
      <w:pPr>
        <w:contextualSpacing/>
        <w:rPr>
          <w:rFonts w:ascii="Century Gothic" w:eastAsia="Calibri" w:hAnsi="Century Gothic" w:cs="Arial"/>
          <w:b/>
          <w:bCs/>
          <w:lang w:val="es-ES_tradnl" w:eastAsia="es-ES_tradnl"/>
        </w:rPr>
      </w:pPr>
    </w:p>
    <w:p w14:paraId="5F2BBFB4" w14:textId="77777777" w:rsidR="00176ACA" w:rsidRPr="001F461B" w:rsidRDefault="00176ACA" w:rsidP="00176ACA">
      <w:pPr>
        <w:ind w:left="2124" w:firstLine="570"/>
        <w:contextualSpacing/>
        <w:rPr>
          <w:rFonts w:ascii="Century Gothic" w:eastAsia="Calibri" w:hAnsi="Century Gothic" w:cs="Arial"/>
          <w:b/>
          <w:bCs/>
          <w:lang w:val="es-ES_tradnl" w:eastAsia="es-ES_tradnl"/>
        </w:rPr>
      </w:pPr>
      <w:r w:rsidRPr="001F461B">
        <w:rPr>
          <w:rFonts w:ascii="Century Gothic" w:eastAsia="Calibri" w:hAnsi="Century Gothic" w:cs="Arial"/>
          <w:b/>
          <w:bCs/>
          <w:lang w:val="es-ES_tradnl" w:eastAsia="es-ES_tradnl"/>
        </w:rPr>
        <w:t>Concepto C – 078 de 2024</w:t>
      </w:r>
    </w:p>
    <w:p w14:paraId="2C663389" w14:textId="77777777" w:rsidR="00176ACA" w:rsidRPr="001F461B" w:rsidRDefault="00176ACA" w:rsidP="00176ACA">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76ACA" w:rsidRPr="001F461B" w14:paraId="7DDA0894" w14:textId="77777777" w:rsidTr="00F13B4E">
        <w:tc>
          <w:tcPr>
            <w:tcW w:w="2689" w:type="dxa"/>
          </w:tcPr>
          <w:p w14:paraId="67D3CBC2" w14:textId="77777777" w:rsidR="00176ACA" w:rsidRPr="001F461B" w:rsidRDefault="00176ACA" w:rsidP="00F13B4E">
            <w:pPr>
              <w:contextualSpacing/>
              <w:jc w:val="both"/>
              <w:rPr>
                <w:rFonts w:ascii="Century Gothic" w:eastAsia="Calibri" w:hAnsi="Century Gothic" w:cs="Arial"/>
                <w:lang w:val="es-ES_tradnl" w:eastAsia="es-ES_tradnl"/>
              </w:rPr>
            </w:pPr>
            <w:r w:rsidRPr="001F461B">
              <w:rPr>
                <w:rFonts w:ascii="Century Gothic" w:eastAsia="Calibri" w:hAnsi="Century Gothic" w:cs="Arial"/>
                <w:b/>
                <w:lang w:val="es-ES_tradnl" w:eastAsia="es-ES_tradnl"/>
              </w:rPr>
              <w:t>Temas:</w:t>
            </w:r>
            <w:r w:rsidRPr="001F461B">
              <w:rPr>
                <w:rFonts w:ascii="Century Gothic" w:eastAsia="Calibri" w:hAnsi="Century Gothic" w:cs="Arial"/>
                <w:lang w:val="es-ES_tradnl" w:eastAsia="es-ES_tradnl"/>
              </w:rPr>
              <w:t xml:space="preserve">                                      </w:t>
            </w:r>
          </w:p>
        </w:tc>
        <w:tc>
          <w:tcPr>
            <w:tcW w:w="6237" w:type="dxa"/>
          </w:tcPr>
          <w:p w14:paraId="433CCC22" w14:textId="77777777" w:rsidR="00176ACA" w:rsidRPr="001F461B" w:rsidRDefault="00176ACA" w:rsidP="00F13B4E">
            <w:pPr>
              <w:spacing w:after="120"/>
              <w:contextualSpacing/>
              <w:jc w:val="both"/>
              <w:rPr>
                <w:rFonts w:ascii="Century Gothic" w:eastAsia="Calibri" w:hAnsi="Century Gothic" w:cs="Arial"/>
                <w:bCs/>
                <w:lang w:val="es-MX" w:eastAsia="es-ES_tradnl"/>
              </w:rPr>
            </w:pPr>
            <w:r w:rsidRPr="001F461B">
              <w:rPr>
                <w:rFonts w:ascii="Century Gothic" w:eastAsia="Calibri" w:hAnsi="Century Gothic" w:cs="Arial"/>
                <w:bCs/>
                <w:lang w:val="es-MX" w:eastAsia="es-ES_tradnl"/>
              </w:rPr>
              <w:t>REGISTRO ÚNICO DE PROPONENTES – Concepto / RUP – Sujetos obligados / RUP – Reporte – Multas, sanciones e inhabilidades / INCUMPLIMIENTO REITERADO – Inhabilidad – Ley 1474 – Artículo 90 – Redacción original – Ley 1955 – Modificación / INCUMPLIMIENTO REITERADO – Inhabilidad – Ley 2195 – Artículo 51 – Adición – Literal d) – PAE</w:t>
            </w:r>
          </w:p>
          <w:p w14:paraId="0E701B75" w14:textId="77777777" w:rsidR="00176ACA" w:rsidRPr="001F461B" w:rsidRDefault="00176ACA" w:rsidP="00F13B4E">
            <w:pPr>
              <w:spacing w:after="120"/>
              <w:contextualSpacing/>
              <w:jc w:val="both"/>
              <w:rPr>
                <w:rFonts w:ascii="Century Gothic" w:eastAsia="Calibri" w:hAnsi="Century Gothic" w:cs="Arial"/>
                <w:bCs/>
                <w:sz w:val="12"/>
                <w:szCs w:val="12"/>
                <w:lang w:val="es-ES_tradnl" w:eastAsia="es-ES_tradnl"/>
              </w:rPr>
            </w:pPr>
          </w:p>
        </w:tc>
      </w:tr>
      <w:tr w:rsidR="00176ACA" w:rsidRPr="001F461B" w14:paraId="0B6043C2" w14:textId="77777777" w:rsidTr="00F13B4E">
        <w:trPr>
          <w:trHeight w:val="227"/>
        </w:trPr>
        <w:tc>
          <w:tcPr>
            <w:tcW w:w="2689" w:type="dxa"/>
          </w:tcPr>
          <w:p w14:paraId="308814FF" w14:textId="77777777" w:rsidR="00176ACA" w:rsidRPr="001F461B" w:rsidRDefault="00176ACA" w:rsidP="00F13B4E">
            <w:pPr>
              <w:contextualSpacing/>
              <w:jc w:val="both"/>
              <w:rPr>
                <w:rFonts w:ascii="Century Gothic" w:eastAsia="Calibri" w:hAnsi="Century Gothic" w:cs="Arial"/>
                <w:b/>
                <w:lang w:val="es-ES_tradnl" w:eastAsia="es-ES_tradnl"/>
              </w:rPr>
            </w:pPr>
            <w:r w:rsidRPr="001F461B">
              <w:rPr>
                <w:rFonts w:ascii="Century Gothic" w:eastAsia="Calibri" w:hAnsi="Century Gothic" w:cs="Arial"/>
                <w:b/>
                <w:lang w:val="es-ES_tradnl" w:eastAsia="es-ES_tradnl"/>
              </w:rPr>
              <w:t>Radicación:</w:t>
            </w:r>
            <w:r w:rsidRPr="001F461B">
              <w:rPr>
                <w:rFonts w:ascii="Century Gothic" w:eastAsia="Calibri" w:hAnsi="Century Gothic" w:cs="Arial"/>
                <w:lang w:val="es-ES_tradnl" w:eastAsia="es-ES_tradnl"/>
              </w:rPr>
              <w:t xml:space="preserve">                             </w:t>
            </w:r>
          </w:p>
        </w:tc>
        <w:tc>
          <w:tcPr>
            <w:tcW w:w="6237" w:type="dxa"/>
          </w:tcPr>
          <w:p w14:paraId="6F9A3E98" w14:textId="77777777" w:rsidR="00176ACA" w:rsidRPr="001F461B" w:rsidRDefault="00176ACA" w:rsidP="00F13B4E">
            <w:pPr>
              <w:contextualSpacing/>
              <w:jc w:val="both"/>
              <w:rPr>
                <w:rFonts w:ascii="Century Gothic" w:eastAsia="Calibri" w:hAnsi="Century Gothic" w:cs="Arial"/>
                <w:lang w:val="es-ES_tradnl" w:eastAsia="es-ES_tradnl"/>
              </w:rPr>
            </w:pPr>
            <w:r w:rsidRPr="001F461B">
              <w:rPr>
                <w:rFonts w:ascii="Century Gothic" w:eastAsia="Calibri" w:hAnsi="Century Gothic" w:cs="Arial"/>
                <w:lang w:val="es-ES_tradnl" w:eastAsia="es-ES_tradnl"/>
              </w:rPr>
              <w:t>Respuesta a consulta P20240422004103</w:t>
            </w:r>
          </w:p>
        </w:tc>
      </w:tr>
    </w:tbl>
    <w:p w14:paraId="07142ABE" w14:textId="77777777" w:rsidR="00176ACA" w:rsidRPr="001F461B" w:rsidRDefault="00176ACA" w:rsidP="00176ACA">
      <w:pPr>
        <w:contextualSpacing/>
        <w:jc w:val="both"/>
        <w:rPr>
          <w:rFonts w:ascii="Century Gothic" w:eastAsia="Calibri" w:hAnsi="Century Gothic" w:cs="Arial"/>
          <w:lang w:val="es-ES_tradnl" w:eastAsia="es-ES_tradnl"/>
        </w:rPr>
      </w:pPr>
    </w:p>
    <w:p w14:paraId="2BB87685" w14:textId="77777777" w:rsidR="00176ACA" w:rsidRPr="001F461B" w:rsidRDefault="00176ACA" w:rsidP="00176ACA">
      <w:pPr>
        <w:contextualSpacing/>
        <w:jc w:val="both"/>
        <w:rPr>
          <w:rFonts w:ascii="Century Gothic" w:eastAsia="Calibri" w:hAnsi="Century Gothic" w:cs="Arial"/>
          <w:lang w:val="es-ES_tradnl" w:eastAsia="es-ES_tradnl"/>
        </w:rPr>
      </w:pPr>
    </w:p>
    <w:p w14:paraId="5EA78855" w14:textId="77777777" w:rsidR="00176ACA" w:rsidRPr="001F461B" w:rsidRDefault="00176ACA" w:rsidP="00176ACA">
      <w:pPr>
        <w:contextualSpacing/>
        <w:jc w:val="both"/>
        <w:rPr>
          <w:rFonts w:ascii="Century Gothic" w:eastAsia="Calibri" w:hAnsi="Century Gothic" w:cs="Arial"/>
          <w:lang w:val="es-ES" w:eastAsia="es-ES"/>
        </w:rPr>
      </w:pPr>
      <w:r w:rsidRPr="001F461B">
        <w:rPr>
          <w:rFonts w:ascii="Century Gothic" w:eastAsia="Calibri" w:hAnsi="Century Gothic" w:cs="Arial"/>
          <w:lang w:val="es-ES" w:eastAsia="es-ES"/>
        </w:rPr>
        <w:t xml:space="preserve">Respetada señora Esquivel Gómez: </w:t>
      </w:r>
    </w:p>
    <w:p w14:paraId="5C2611AC" w14:textId="77777777" w:rsidR="00176ACA" w:rsidRPr="001F461B" w:rsidRDefault="00176ACA" w:rsidP="00176ACA">
      <w:pPr>
        <w:spacing w:line="276" w:lineRule="auto"/>
        <w:contextualSpacing/>
        <w:jc w:val="both"/>
        <w:rPr>
          <w:rFonts w:ascii="Century Gothic" w:eastAsia="Calibri" w:hAnsi="Century Gothic" w:cs="Arial"/>
          <w:szCs w:val="24"/>
          <w:lang w:val="es-ES_tradnl" w:eastAsia="es-ES_tradnl"/>
        </w:rPr>
      </w:pPr>
    </w:p>
    <w:bookmarkEnd w:id="0"/>
    <w:bookmarkEnd w:id="1"/>
    <w:p w14:paraId="3B80E9CC" w14:textId="1019276F" w:rsidR="00176ACA" w:rsidRPr="001F461B" w:rsidRDefault="00176ACA" w:rsidP="00176ACA">
      <w:pPr>
        <w:spacing w:after="0" w:line="276" w:lineRule="auto"/>
        <w:jc w:val="both"/>
        <w:rPr>
          <w:rFonts w:ascii="Century Gothic" w:eastAsia="Calibri" w:hAnsi="Century Gothic" w:cs="Arial"/>
          <w:color w:val="000000" w:themeColor="text1"/>
          <w:lang w:val="es-ES_tradnl"/>
        </w:rPr>
      </w:pPr>
      <w:r w:rsidRPr="001F461B">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1F461B">
        <w:rPr>
          <w:rFonts w:ascii="Century Gothic" w:eastAsia="Arial MT" w:hAnsi="Century Gothic" w:cs="Arial MT"/>
          <w:lang w:val="es-ES"/>
        </w:rPr>
        <w:t xml:space="preserve">, </w:t>
      </w:r>
      <w:bookmarkEnd w:id="3"/>
      <w:r w:rsidRPr="001F461B">
        <w:rPr>
          <w:rFonts w:ascii="Century Gothic" w:eastAsia="Calibri" w:hAnsi="Century Gothic" w:cs="Arial"/>
          <w:color w:val="000000" w:themeColor="text1"/>
          <w:lang w:val="es-ES_tradnl"/>
        </w:rPr>
        <w:t xml:space="preserve">la Agencia Nacional de Contratación Pública – Colombia Compra Eficiente </w:t>
      </w:r>
      <w:r w:rsidR="006028F1">
        <w:rPr>
          <w:rFonts w:ascii="Century Gothic" w:eastAsia="Calibri" w:hAnsi="Century Gothic" w:cs="Arial"/>
          <w:color w:val="000000" w:themeColor="text1"/>
          <w:lang w:val="es-ES_tradnl"/>
        </w:rPr>
        <w:t xml:space="preserve">- </w:t>
      </w:r>
      <w:r w:rsidRPr="001F461B">
        <w:rPr>
          <w:rFonts w:ascii="Century Gothic" w:eastAsia="Calibri" w:hAnsi="Century Gothic" w:cs="Arial"/>
          <w:color w:val="000000" w:themeColor="text1"/>
          <w:lang w:val="es-ES_tradnl"/>
        </w:rPr>
        <w:t>responde la consulta remita mediante correo electrónico del 18 de abril de 2024.</w:t>
      </w:r>
    </w:p>
    <w:p w14:paraId="5B9609AE" w14:textId="77777777" w:rsidR="00176ACA" w:rsidRPr="001F461B" w:rsidRDefault="00176ACA" w:rsidP="00176ACA">
      <w:pPr>
        <w:spacing w:after="0" w:line="276" w:lineRule="auto"/>
        <w:jc w:val="both"/>
        <w:rPr>
          <w:rFonts w:ascii="Century Gothic" w:eastAsia="Calibri" w:hAnsi="Century Gothic" w:cs="Arial"/>
          <w:b/>
          <w:color w:val="000000" w:themeColor="text1"/>
          <w:lang w:val="es-ES_tradnl"/>
        </w:rPr>
      </w:pPr>
    </w:p>
    <w:p w14:paraId="25FE387F" w14:textId="77777777" w:rsidR="00176ACA" w:rsidRPr="001F461B" w:rsidRDefault="00176ACA" w:rsidP="00176ACA">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1F461B">
        <w:rPr>
          <w:rFonts w:ascii="Century Gothic" w:eastAsia="Calibri" w:hAnsi="Century Gothic" w:cs="Arial"/>
          <w:b/>
          <w:color w:val="000000" w:themeColor="text1"/>
          <w:lang w:val="es-ES_tradnl"/>
        </w:rPr>
        <w:t xml:space="preserve">Problemas planteados </w:t>
      </w:r>
    </w:p>
    <w:p w14:paraId="24CA2346" w14:textId="77777777" w:rsidR="00176ACA" w:rsidRPr="001F461B" w:rsidRDefault="00176ACA" w:rsidP="00176ACA">
      <w:pPr>
        <w:tabs>
          <w:tab w:val="left" w:pos="426"/>
        </w:tabs>
        <w:spacing w:after="0" w:line="276" w:lineRule="auto"/>
        <w:jc w:val="both"/>
        <w:rPr>
          <w:rFonts w:ascii="Century Gothic" w:eastAsia="Calibri" w:hAnsi="Century Gothic" w:cs="Arial"/>
          <w:b/>
          <w:color w:val="000000" w:themeColor="text1"/>
          <w:lang w:val="es-ES_tradnl"/>
        </w:rPr>
      </w:pPr>
    </w:p>
    <w:p w14:paraId="79B804AD" w14:textId="77777777" w:rsidR="00176ACA" w:rsidRPr="001F461B" w:rsidRDefault="00176ACA" w:rsidP="00176ACA">
      <w:pPr>
        <w:spacing w:after="0" w:line="276" w:lineRule="auto"/>
        <w:jc w:val="both"/>
        <w:rPr>
          <w:rFonts w:ascii="Century Gothic" w:hAnsi="Century Gothic" w:cs="Arial"/>
          <w:color w:val="000000" w:themeColor="text1"/>
          <w:lang w:val="es-ES_tradnl"/>
        </w:rPr>
      </w:pPr>
      <w:bookmarkStart w:id="4" w:name="_Hlk165279467"/>
      <w:r w:rsidRPr="001F461B">
        <w:rPr>
          <w:rFonts w:ascii="Century Gothic" w:hAnsi="Century Gothic" w:cs="Arial"/>
          <w:color w:val="000000" w:themeColor="text1"/>
          <w:lang w:val="es-ES_tradnl"/>
        </w:rPr>
        <w:t xml:space="preserve">De acuerdo con las </w:t>
      </w:r>
      <w:r w:rsidRPr="001F461B">
        <w:rPr>
          <w:rFonts w:ascii="Century Gothic" w:hAnsi="Century Gothic" w:cs="Arial"/>
          <w:i/>
          <w:iCs/>
          <w:color w:val="000000" w:themeColor="text1"/>
          <w:lang w:val="es-ES_tradnl"/>
        </w:rPr>
        <w:t>consideraciones fácticas</w:t>
      </w:r>
      <w:r w:rsidRPr="001F461B">
        <w:rPr>
          <w:rFonts w:ascii="Century Gothic" w:hAnsi="Century Gothic" w:cs="Arial"/>
          <w:color w:val="000000" w:themeColor="text1"/>
          <w:lang w:val="es-ES_tradnl"/>
        </w:rPr>
        <w:t xml:space="preserve"> planteadas en la petición, usted pregunta lo siguiente: </w:t>
      </w:r>
      <w:bookmarkStart w:id="5" w:name="_Hlk131957553"/>
      <w:r w:rsidRPr="001F461B">
        <w:rPr>
          <w:rFonts w:ascii="Century Gothic" w:hAnsi="Century Gothic" w:cs="Arial"/>
          <w:color w:val="000000" w:themeColor="text1"/>
          <w:lang w:val="es-ES_tradnl"/>
        </w:rPr>
        <w:t>i) “</w:t>
      </w:r>
      <w:bookmarkEnd w:id="5"/>
      <w:r w:rsidRPr="001F461B">
        <w:rPr>
          <w:rFonts w:ascii="Century Gothic" w:hAnsi="Century Gothic" w:cs="Arial"/>
          <w:color w:val="000000" w:themeColor="text1"/>
          <w:lang w:val="es-ES_tradnl"/>
        </w:rPr>
        <w:t xml:space="preserve">¿Se debe hacer explícita la inhabilidad en el Registro Único de Proponentes, incluso si uno de los incumplimientos fue registrado con posterioridad al vencimiento del plazo de la sanción?”, </w:t>
      </w:r>
      <w:proofErr w:type="spellStart"/>
      <w:r w:rsidRPr="001F461B">
        <w:rPr>
          <w:rFonts w:ascii="Century Gothic" w:hAnsi="Century Gothic" w:cs="Arial"/>
          <w:color w:val="000000" w:themeColor="text1"/>
          <w:lang w:val="es-ES_tradnl"/>
        </w:rPr>
        <w:t>ii</w:t>
      </w:r>
      <w:proofErr w:type="spellEnd"/>
      <w:r w:rsidRPr="001F461B">
        <w:rPr>
          <w:rFonts w:ascii="Century Gothic" w:hAnsi="Century Gothic" w:cs="Arial"/>
          <w:color w:val="000000" w:themeColor="text1"/>
          <w:lang w:val="es-ES_tradnl"/>
        </w:rPr>
        <w:t>) “</w:t>
      </w:r>
      <w:proofErr w:type="gramStart"/>
      <w:r w:rsidRPr="001F461B">
        <w:rPr>
          <w:rFonts w:ascii="Century Gothic" w:hAnsi="Century Gothic" w:cs="Arial"/>
          <w:color w:val="000000" w:themeColor="text1"/>
          <w:lang w:val="es-ES_tradnl"/>
        </w:rPr>
        <w:t>En caso que</w:t>
      </w:r>
      <w:proofErr w:type="gramEnd"/>
      <w:r w:rsidRPr="001F461B">
        <w:rPr>
          <w:rFonts w:ascii="Century Gothic" w:hAnsi="Century Gothic" w:cs="Arial"/>
          <w:color w:val="000000" w:themeColor="text1"/>
          <w:lang w:val="es-ES_tradnl"/>
        </w:rPr>
        <w:t xml:space="preserve"> se deba hacer explícita la inhabilidad en el Registro Único de Proponentes ¿desde qué </w:t>
      </w:r>
      <w:r w:rsidRPr="001F461B">
        <w:rPr>
          <w:rFonts w:ascii="Century Gothic" w:hAnsi="Century Gothic" w:cs="Arial"/>
          <w:color w:val="000000" w:themeColor="text1"/>
          <w:lang w:val="es-ES_tradnl"/>
        </w:rPr>
        <w:lastRenderedPageBreak/>
        <w:t>momento se deben contar los tres años por los que se extiende el término de la inhabilidad?”.</w:t>
      </w:r>
      <w:r w:rsidRPr="001F461B">
        <w:rPr>
          <w:rFonts w:ascii="Century Gothic" w:hAnsi="Century Gothic" w:cs="Arial"/>
          <w:color w:val="000000" w:themeColor="text1"/>
          <w:sz w:val="21"/>
          <w:szCs w:val="21"/>
        </w:rPr>
        <w:t xml:space="preserve"> </w:t>
      </w:r>
    </w:p>
    <w:bookmarkEnd w:id="4"/>
    <w:p w14:paraId="23984F4B" w14:textId="77777777" w:rsidR="00176ACA" w:rsidRPr="001F461B" w:rsidRDefault="00176ACA" w:rsidP="00176ACA">
      <w:pPr>
        <w:spacing w:after="0" w:line="276" w:lineRule="auto"/>
        <w:ind w:right="709"/>
        <w:jc w:val="both"/>
        <w:rPr>
          <w:rFonts w:ascii="Century Gothic" w:hAnsi="Century Gothic" w:cs="Arial"/>
          <w:color w:val="000000" w:themeColor="text1"/>
        </w:rPr>
      </w:pPr>
    </w:p>
    <w:p w14:paraId="2526C032" w14:textId="77777777" w:rsidR="00176ACA" w:rsidRPr="001F461B" w:rsidRDefault="00176ACA" w:rsidP="00176ACA">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1F461B">
        <w:rPr>
          <w:rFonts w:ascii="Century Gothic" w:eastAsia="Calibri" w:hAnsi="Century Gothic" w:cs="Arial"/>
          <w:b/>
          <w:color w:val="000000" w:themeColor="text1"/>
          <w:lang w:val="es-ES_tradnl"/>
        </w:rPr>
        <w:t>Consideraciones</w:t>
      </w:r>
    </w:p>
    <w:p w14:paraId="5AA810BC" w14:textId="77777777" w:rsidR="00176ACA" w:rsidRPr="001F461B" w:rsidRDefault="00176ACA" w:rsidP="00176ACA">
      <w:pPr>
        <w:spacing w:after="0" w:line="276" w:lineRule="auto"/>
        <w:jc w:val="both"/>
        <w:rPr>
          <w:rFonts w:ascii="Century Gothic" w:eastAsia="Calibri" w:hAnsi="Century Gothic" w:cs="Arial"/>
          <w:color w:val="000000" w:themeColor="text1"/>
          <w:lang w:val="es-ES"/>
        </w:rPr>
      </w:pPr>
    </w:p>
    <w:p w14:paraId="7C96DC94" w14:textId="77777777" w:rsidR="00176ACA" w:rsidRPr="001F461B" w:rsidRDefault="00176ACA" w:rsidP="00176ACA">
      <w:pPr>
        <w:spacing w:after="120" w:line="276" w:lineRule="auto"/>
        <w:jc w:val="both"/>
        <w:rPr>
          <w:rFonts w:ascii="Century Gothic" w:hAnsi="Century Gothic" w:cs="Arial"/>
          <w:lang w:val="es-ES"/>
        </w:rPr>
      </w:pPr>
      <w:r w:rsidRPr="001F461B">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1F461B">
        <w:rPr>
          <w:rFonts w:ascii="Century Gothic" w:hAnsi="Century Gothic"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1F461B">
        <w:rPr>
          <w:rFonts w:ascii="Century Gothic" w:hAnsi="Century Gothic" w:cs="Arial"/>
          <w:bCs/>
        </w:rPr>
        <w:t xml:space="preserve"> de todos los partícipes de la contratación estatal.</w:t>
      </w:r>
    </w:p>
    <w:p w14:paraId="42990344" w14:textId="77777777" w:rsidR="00176ACA" w:rsidRPr="001F461B" w:rsidRDefault="00176ACA" w:rsidP="00176ACA">
      <w:pPr>
        <w:spacing w:after="120" w:line="276" w:lineRule="auto"/>
        <w:ind w:firstLine="708"/>
        <w:jc w:val="both"/>
        <w:rPr>
          <w:rFonts w:ascii="Century Gothic" w:hAnsi="Century Gothic" w:cs="Arial"/>
          <w:lang w:val="es-ES"/>
        </w:rPr>
      </w:pPr>
      <w:r w:rsidRPr="001F461B">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F461B">
        <w:rPr>
          <w:rFonts w:ascii="Century Gothic" w:hAnsi="Century Gothic" w:cs="Arial"/>
          <w:vertAlign w:val="superscript"/>
          <w:lang w:val="es-ES"/>
        </w:rPr>
        <w:footnoteReference w:id="1"/>
      </w:r>
      <w:r w:rsidRPr="001F461B">
        <w:rPr>
          <w:rFonts w:ascii="Century Gothic" w:hAnsi="Century Gothic" w:cs="Arial"/>
          <w:lang w:val="es-ES"/>
        </w:rPr>
        <w:t xml:space="preserve">. Esta competencia de interpretación de normas generales, por definición, no puede extenderse a la resolución de controversias ni brindar asesorías sobre casos puntuales. Por lo anterior, previo concepto de sus órganos asesores, la solución de situaciones particulares corresponde a la entidad de adoptar la decisión correspondiente y, en caso de conflicto, a las autoridades judiciales, fiscales y disciplinarias. </w:t>
      </w:r>
    </w:p>
    <w:p w14:paraId="031F17F5" w14:textId="1BD7706A" w:rsidR="00176ACA" w:rsidRPr="001F461B" w:rsidRDefault="00176ACA" w:rsidP="00176ACA">
      <w:pPr>
        <w:spacing w:line="276" w:lineRule="auto"/>
        <w:ind w:firstLine="708"/>
        <w:jc w:val="both"/>
        <w:rPr>
          <w:rFonts w:ascii="Century Gothic" w:eastAsia="Calibri" w:hAnsi="Century Gothic" w:cs="Arial"/>
          <w:bCs/>
          <w:color w:val="000000" w:themeColor="text1"/>
        </w:rPr>
      </w:pPr>
      <w:r w:rsidRPr="001F461B">
        <w:rPr>
          <w:rFonts w:ascii="Century Gothic" w:eastAsia="Calibri" w:hAnsi="Century Gothic" w:cs="Arial"/>
        </w:rPr>
        <w:t xml:space="preserve">Sin perjuicio de lo anterior, </w:t>
      </w:r>
      <w:r w:rsidRPr="001F461B">
        <w:rPr>
          <w:rFonts w:ascii="Century Gothic" w:eastAsia="Calibri" w:hAnsi="Century Gothic" w:cs="Arial"/>
          <w:lang w:val="es-ES"/>
        </w:rPr>
        <w:t xml:space="preserve">la Agencia –dentro de los límites de sus atribuciones, es decir, </w:t>
      </w:r>
      <w:bookmarkStart w:id="6" w:name="_Hlk61025408"/>
      <w:r w:rsidRPr="001F461B">
        <w:rPr>
          <w:rFonts w:ascii="Century Gothic" w:eastAsia="Calibri" w:hAnsi="Century Gothic" w:cs="Arial"/>
          <w:lang w:val="es-ES"/>
        </w:rPr>
        <w:t xml:space="preserve">haciendo abstracción </w:t>
      </w:r>
      <w:bookmarkEnd w:id="6"/>
      <w:r w:rsidRPr="001F461B">
        <w:rPr>
          <w:rFonts w:ascii="Century Gothic" w:eastAsia="Calibri" w:hAnsi="Century Gothic" w:cs="Arial"/>
          <w:lang w:val="es-ES"/>
        </w:rPr>
        <w:t xml:space="preserve">de las </w:t>
      </w:r>
      <w:r w:rsidRPr="001F461B">
        <w:rPr>
          <w:rFonts w:ascii="Century Gothic" w:eastAsia="Calibri" w:hAnsi="Century Gothic" w:cs="Arial"/>
          <w:i/>
          <w:iCs/>
          <w:lang w:val="es-ES"/>
        </w:rPr>
        <w:t>consideraciones fácticas</w:t>
      </w:r>
      <w:r w:rsidRPr="001F461B">
        <w:rPr>
          <w:rFonts w:ascii="Century Gothic" w:eastAsia="Calibri" w:hAnsi="Century Gothic" w:cs="Arial"/>
          <w:lang w:val="es-ES"/>
        </w:rPr>
        <w:t xml:space="preserve"> expuestas por usted– resolverá la consulta conforme a las normas generales del sistema de compras públicas. Con este objetivo se analizarán los siguientes temas:</w:t>
      </w:r>
      <w:r w:rsidRPr="001F461B">
        <w:rPr>
          <w:rFonts w:ascii="Century Gothic" w:hAnsi="Century Gothic" w:cs="Arial"/>
          <w:color w:val="000000" w:themeColor="text1"/>
          <w:lang w:val="es-ES"/>
        </w:rPr>
        <w:t xml:space="preserve"> </w:t>
      </w:r>
      <w:r w:rsidRPr="001F461B">
        <w:rPr>
          <w:rFonts w:ascii="Century Gothic" w:hAnsi="Century Gothic" w:cs="Arial"/>
          <w:color w:val="000000" w:themeColor="text1"/>
          <w:lang w:val="es-ES_tradnl"/>
        </w:rPr>
        <w:t>i) obligatoriedad del Registro Único de Proponentes,</w:t>
      </w:r>
      <w:r w:rsidRPr="001F461B">
        <w:rPr>
          <w:rFonts w:ascii="Century Gothic" w:hAnsi="Century Gothic" w:cs="Arial"/>
          <w:color w:val="000000" w:themeColor="text1"/>
          <w:lang w:val="es-ES"/>
        </w:rPr>
        <w:t xml:space="preserve"> </w:t>
      </w:r>
      <w:proofErr w:type="spellStart"/>
      <w:r w:rsidRPr="001F461B">
        <w:rPr>
          <w:rFonts w:ascii="Century Gothic" w:hAnsi="Century Gothic" w:cs="Arial"/>
          <w:color w:val="000000" w:themeColor="text1"/>
          <w:lang w:val="es-ES"/>
        </w:rPr>
        <w:t>ii</w:t>
      </w:r>
      <w:proofErr w:type="spellEnd"/>
      <w:r w:rsidRPr="001F461B">
        <w:rPr>
          <w:rFonts w:ascii="Century Gothic" w:hAnsi="Century Gothic" w:cs="Arial"/>
          <w:color w:val="000000" w:themeColor="text1"/>
          <w:lang w:val="es-ES"/>
        </w:rPr>
        <w:t xml:space="preserve">) </w:t>
      </w:r>
      <w:r w:rsidRPr="001F461B">
        <w:rPr>
          <w:rFonts w:ascii="Century Gothic" w:eastAsia="Calibri" w:hAnsi="Century Gothic" w:cs="Arial"/>
          <w:bCs/>
          <w:color w:val="000000" w:themeColor="text1"/>
        </w:rPr>
        <w:t>reporte, registro y publicación de multas, sanciones e inhabilidades en el R</w:t>
      </w:r>
      <w:r w:rsidR="006028F1">
        <w:rPr>
          <w:rFonts w:ascii="Century Gothic" w:eastAsia="Calibri" w:hAnsi="Century Gothic" w:cs="Arial"/>
          <w:bCs/>
          <w:color w:val="000000" w:themeColor="text1"/>
        </w:rPr>
        <w:t xml:space="preserve">egistro Único de </w:t>
      </w:r>
      <w:r w:rsidRPr="001F461B">
        <w:rPr>
          <w:rFonts w:ascii="Century Gothic" w:eastAsia="Calibri" w:hAnsi="Century Gothic" w:cs="Arial"/>
          <w:bCs/>
          <w:color w:val="000000" w:themeColor="text1"/>
        </w:rPr>
        <w:lastRenderedPageBreak/>
        <w:t>P</w:t>
      </w:r>
      <w:r w:rsidR="006028F1">
        <w:rPr>
          <w:rFonts w:ascii="Century Gothic" w:eastAsia="Calibri" w:hAnsi="Century Gothic" w:cs="Arial"/>
          <w:bCs/>
          <w:color w:val="000000" w:themeColor="text1"/>
        </w:rPr>
        <w:t>roponentes</w:t>
      </w:r>
      <w:r w:rsidRPr="001F461B">
        <w:rPr>
          <w:rFonts w:ascii="Century Gothic" w:eastAsia="Calibri" w:hAnsi="Century Gothic" w:cs="Arial"/>
          <w:bCs/>
          <w:color w:val="000000" w:themeColor="text1"/>
        </w:rPr>
        <w:t xml:space="preserve"> y </w:t>
      </w:r>
      <w:proofErr w:type="spellStart"/>
      <w:r w:rsidRPr="001F461B">
        <w:rPr>
          <w:rFonts w:ascii="Century Gothic" w:eastAsia="Calibri" w:hAnsi="Century Gothic" w:cs="Arial"/>
          <w:bCs/>
          <w:color w:val="000000" w:themeColor="text1"/>
        </w:rPr>
        <w:t>iii</w:t>
      </w:r>
      <w:proofErr w:type="spellEnd"/>
      <w:r w:rsidRPr="001F461B">
        <w:rPr>
          <w:rFonts w:ascii="Century Gothic" w:eastAsia="Calibri" w:hAnsi="Century Gothic" w:cs="Arial"/>
          <w:bCs/>
          <w:color w:val="000000" w:themeColor="text1"/>
        </w:rPr>
        <w:t>) inhabili</w:t>
      </w:r>
      <w:r w:rsidR="00AC108C">
        <w:rPr>
          <w:rFonts w:ascii="Century Gothic" w:eastAsia="Calibri" w:hAnsi="Century Gothic" w:cs="Arial"/>
          <w:bCs/>
          <w:color w:val="000000" w:themeColor="text1"/>
        </w:rPr>
        <w:t>d</w:t>
      </w:r>
      <w:r w:rsidRPr="001F461B">
        <w:rPr>
          <w:rFonts w:ascii="Century Gothic" w:eastAsia="Calibri" w:hAnsi="Century Gothic" w:cs="Arial"/>
          <w:bCs/>
          <w:color w:val="000000" w:themeColor="text1"/>
        </w:rPr>
        <w:t>ad por incumplimiento reiterado conforme al artículo 90 de la Ley 1474 de 2011.</w:t>
      </w:r>
    </w:p>
    <w:p w14:paraId="5AE6B3B8" w14:textId="33005C17" w:rsidR="00176ACA" w:rsidRPr="001F461B" w:rsidRDefault="00176ACA" w:rsidP="00176ACA">
      <w:pPr>
        <w:spacing w:after="0" w:line="276" w:lineRule="auto"/>
        <w:jc w:val="both"/>
        <w:rPr>
          <w:rFonts w:ascii="Century Gothic" w:hAnsi="Century Gothic" w:cs="Arial"/>
          <w:bCs/>
          <w:color w:val="1A1A1A" w:themeColor="background1" w:themeShade="1A"/>
        </w:rPr>
      </w:pPr>
      <w:r w:rsidRPr="001F461B">
        <w:rPr>
          <w:rFonts w:ascii="Century Gothic" w:eastAsia="Calibri" w:hAnsi="Century Gothic" w:cs="Arial"/>
          <w:bCs/>
          <w:color w:val="000000" w:themeColor="text1"/>
        </w:rPr>
        <w:tab/>
      </w:r>
      <w:r w:rsidRPr="001F461B">
        <w:rPr>
          <w:rFonts w:ascii="Century Gothic" w:hAnsi="Century Gothic" w:cs="Arial"/>
          <w:bCs/>
          <w:color w:val="1A1A1A" w:themeColor="background1" w:themeShade="1A"/>
        </w:rPr>
        <w:t xml:space="preserve">La Agencia Nacional de Contratación Pública </w:t>
      </w:r>
      <w:r w:rsidRPr="001F461B">
        <w:rPr>
          <w:rFonts w:ascii="Arial" w:hAnsi="Arial" w:cs="Arial"/>
          <w:bCs/>
          <w:color w:val="1A1A1A" w:themeColor="background1" w:themeShade="1A"/>
        </w:rPr>
        <w:t>‒</w:t>
      </w:r>
      <w:r w:rsidRPr="001F461B">
        <w:rPr>
          <w:rFonts w:ascii="Century Gothic" w:hAnsi="Century Gothic" w:cs="Arial"/>
          <w:bCs/>
          <w:color w:val="1A1A1A" w:themeColor="background1" w:themeShade="1A"/>
        </w:rPr>
        <w:t xml:space="preserve"> Colombia Compra Eficiente</w:t>
      </w:r>
      <w:r w:rsidR="006028F1">
        <w:rPr>
          <w:rFonts w:ascii="Century Gothic" w:hAnsi="Century Gothic" w:cs="Arial"/>
          <w:bCs/>
          <w:color w:val="1A1A1A" w:themeColor="background1" w:themeShade="1A"/>
        </w:rPr>
        <w:t>-</w:t>
      </w:r>
      <w:r w:rsidRPr="001F461B">
        <w:rPr>
          <w:rFonts w:ascii="Century Gothic" w:hAnsi="Century Gothic" w:cs="Arial"/>
          <w:bCs/>
          <w:color w:val="1A1A1A" w:themeColor="background1" w:themeShade="1A"/>
        </w:rPr>
        <w:t xml:space="preserve">, en los Conceptos 4201912000004669 del 26 de agosto de 2019, 4202013000000064 de 4 de enero de 2020, C-031 del 6 de febrero de 2020, </w:t>
      </w:r>
      <w:r w:rsidRPr="001F461B">
        <w:rPr>
          <w:rStyle w:val="normaltextrun"/>
          <w:rFonts w:ascii="Century Gothic" w:hAnsi="Century Gothic" w:cs="Arial"/>
          <w:color w:val="000000"/>
          <w:shd w:val="clear" w:color="auto" w:fill="FFFFFF"/>
        </w:rPr>
        <w:t>C-051 del 2 de marzo de 2020</w:t>
      </w:r>
      <w:r w:rsidRPr="001F461B">
        <w:rPr>
          <w:rFonts w:ascii="Century Gothic" w:hAnsi="Century Gothic" w:cs="Arial"/>
          <w:bCs/>
          <w:color w:val="1A1A1A" w:themeColor="background1" w:themeShade="1A"/>
        </w:rPr>
        <w:t xml:space="preserve">, C-096 del 17 de marzo de 2020, C-098 del 16 de marzo de 2020, </w:t>
      </w:r>
      <w:r w:rsidRPr="001F461B">
        <w:rPr>
          <w:rStyle w:val="normaltextrun"/>
          <w:rFonts w:ascii="Century Gothic" w:hAnsi="Century Gothic" w:cs="Arial"/>
          <w:color w:val="000000"/>
          <w:shd w:val="clear" w:color="auto" w:fill="FFFFFF"/>
        </w:rPr>
        <w:t>C-113 del 25 de marzo de 2020,</w:t>
      </w:r>
      <w:r w:rsidRPr="001F461B">
        <w:rPr>
          <w:rFonts w:ascii="Century Gothic" w:hAnsi="Century Gothic" w:cs="Arial"/>
          <w:bCs/>
          <w:color w:val="1A1A1A" w:themeColor="background1" w:themeShade="1A"/>
        </w:rPr>
        <w:t xml:space="preserve"> C-120 del 3 de marzo de 2020, C-152 del 16 de marzo de 2020, C-227 del 26 de mayo de 2020, C-400 del 30 de junio de 2020, C-786 del 19 de enero de 2021, C-800 de 01 de febrero de 2021, </w:t>
      </w:r>
      <w:r w:rsidRPr="001F461B">
        <w:rPr>
          <w:rStyle w:val="normaltextrun"/>
          <w:rFonts w:ascii="Century Gothic" w:hAnsi="Century Gothic" w:cs="Arial"/>
          <w:color w:val="000000"/>
          <w:bdr w:val="none" w:sz="0" w:space="0" w:color="auto" w:frame="1"/>
          <w:lang w:val="es-ES"/>
        </w:rPr>
        <w:t xml:space="preserve">C-103 del 24 de marzo del 2021, C-140 del 9 de abril del 2021, </w:t>
      </w:r>
      <w:r w:rsidRPr="001F461B">
        <w:rPr>
          <w:rStyle w:val="normaltextrun"/>
          <w:rFonts w:ascii="Century Gothic" w:hAnsi="Century Gothic" w:cs="Arial"/>
          <w:color w:val="000000"/>
          <w:shd w:val="clear" w:color="auto" w:fill="FFFFFF"/>
        </w:rPr>
        <w:t>C-237 del 26 de mayo de 2021, C- 133 del 7 de abril de 2021, C-318 del 29 de junio de 2021,</w:t>
      </w:r>
      <w:r w:rsidRPr="001F461B">
        <w:rPr>
          <w:rFonts w:ascii="Century Gothic" w:hAnsi="Century Gothic" w:cs="Arial"/>
          <w:bCs/>
          <w:color w:val="1A1A1A" w:themeColor="background1" w:themeShade="1A"/>
        </w:rPr>
        <w:t xml:space="preserve"> C-329 de 8 de julio de 2021, </w:t>
      </w:r>
      <w:r w:rsidRPr="001F461B">
        <w:rPr>
          <w:rStyle w:val="normaltextrun"/>
          <w:rFonts w:ascii="Century Gothic" w:hAnsi="Century Gothic" w:cs="Arial"/>
          <w:color w:val="000000"/>
          <w:bdr w:val="none" w:sz="0" w:space="0" w:color="auto" w:frame="1"/>
          <w:lang w:val="es-ES"/>
        </w:rPr>
        <w:t>C-406 del 13 de agosto de 2021</w:t>
      </w:r>
      <w:r w:rsidRPr="001F461B">
        <w:rPr>
          <w:rFonts w:ascii="Century Gothic" w:hAnsi="Century Gothic" w:cs="Arial"/>
          <w:bCs/>
          <w:color w:val="1A1A1A" w:themeColor="background1" w:themeShade="1A"/>
        </w:rPr>
        <w:t xml:space="preserve">, C-407 del 25 de agosto de 2021, C-416 del 18 de agosto de 2021, C-538 del 27 de setiembre de 2021, C-560 del 22 de diciembre de 2021, C-142 del 30 de marzo de 2022, C-293 del 12 de abril de 2022, C-324 del 20 de mayo de 2022, C-395 del 17 de junio de 2022, C-401 del 30 de junio de 2022, C-426 del 5 de julio de 2022, C-490 del 21 de octubre de 2022, se pronunció sobre la obligatoriedad del Registro Único de Proponentes. De igual forma, en los Conceptos C-136 del 29 de marzo de 2022 y C-324 del 20 de mayo de 2022, esta Agencia se pronunció sobre el </w:t>
      </w:r>
      <w:bookmarkStart w:id="7" w:name="_Hlk131602368"/>
      <w:r w:rsidRPr="001F461B">
        <w:rPr>
          <w:rFonts w:ascii="Century Gothic" w:eastAsia="Calibri" w:hAnsi="Century Gothic" w:cs="Arial"/>
          <w:bCs/>
          <w:color w:val="000000" w:themeColor="text1"/>
        </w:rPr>
        <w:t>reporte, registro y publicación de multas, sanciones e inhabilidades en el RUP</w:t>
      </w:r>
      <w:bookmarkEnd w:id="7"/>
      <w:r w:rsidRPr="001F461B">
        <w:rPr>
          <w:rFonts w:ascii="Century Gothic" w:eastAsia="Calibri" w:hAnsi="Century Gothic" w:cs="Arial"/>
          <w:bCs/>
          <w:color w:val="000000" w:themeColor="text1"/>
        </w:rPr>
        <w:t xml:space="preserve">, ahondado también la inhabilidad por incumplimiento reiterado en los Conceptos </w:t>
      </w:r>
      <w:r w:rsidRPr="001F461B">
        <w:rPr>
          <w:rStyle w:val="normaltextrun"/>
          <w:rFonts w:ascii="Century Gothic" w:hAnsi="Century Gothic" w:cs="Arial"/>
          <w:color w:val="000000"/>
          <w:bdr w:val="none" w:sz="0" w:space="0" w:color="auto" w:frame="1"/>
        </w:rPr>
        <w:t xml:space="preserve">4201913000005694 del </w:t>
      </w:r>
      <w:r w:rsidRPr="001F461B">
        <w:rPr>
          <w:rStyle w:val="normaltextrun"/>
          <w:rFonts w:ascii="Century Gothic" w:hAnsi="Century Gothic" w:cs="Arial"/>
          <w:color w:val="000000"/>
          <w:shd w:val="clear" w:color="auto" w:fill="FFFFFF"/>
        </w:rPr>
        <w:t xml:space="preserve">3 de octubre de 2019, 4201912000006259 del 13 de noviembre de 2019, 4201912000007281 del 5 de diciembre de 2019, 4201912000007060 del 11 de diciembre de 2019, C-128 del 28 de marzo de 2022, C-934 del 7 de junio de 2022, </w:t>
      </w:r>
      <w:r w:rsidRPr="001F461B">
        <w:rPr>
          <w:rStyle w:val="normaltextrun"/>
          <w:rFonts w:ascii="Century Gothic" w:hAnsi="Century Gothic" w:cs="Arial"/>
          <w:color w:val="000000"/>
          <w:shd w:val="clear" w:color="auto" w:fill="FFFFFF"/>
          <w:lang w:val="es-ES"/>
        </w:rPr>
        <w:t xml:space="preserve">C-709 del 7 de diciembre de 2020, C-973 del 27 de diciembre de 2022 </w:t>
      </w:r>
      <w:r w:rsidR="006028F1">
        <w:rPr>
          <w:rStyle w:val="normaltextrun"/>
          <w:rFonts w:ascii="Century Gothic" w:hAnsi="Century Gothic" w:cs="Arial"/>
          <w:color w:val="000000"/>
          <w:shd w:val="clear" w:color="auto" w:fill="FFFFFF"/>
          <w:lang w:val="es-ES"/>
        </w:rPr>
        <w:t>,</w:t>
      </w:r>
      <w:r w:rsidRPr="001F461B">
        <w:rPr>
          <w:rStyle w:val="normaltextrun"/>
          <w:rFonts w:ascii="Century Gothic" w:hAnsi="Century Gothic" w:cs="Arial"/>
          <w:color w:val="000000"/>
          <w:shd w:val="clear" w:color="auto" w:fill="FFFFFF"/>
          <w:lang w:val="es-ES"/>
        </w:rPr>
        <w:t xml:space="preserve"> C-119 del 4 de mayo de 2023</w:t>
      </w:r>
      <w:r w:rsidRPr="001F461B">
        <w:rPr>
          <w:rStyle w:val="Refdenotaalpie"/>
          <w:rFonts w:ascii="Century Gothic" w:eastAsia="Calibri" w:hAnsi="Century Gothic" w:cs="Arial"/>
        </w:rPr>
        <w:footnoteReference w:id="2"/>
      </w:r>
      <w:r w:rsidR="006028F1">
        <w:rPr>
          <w:rStyle w:val="normaltextrun"/>
          <w:rFonts w:ascii="Century Gothic" w:hAnsi="Century Gothic" w:cs="Arial"/>
          <w:color w:val="000000"/>
          <w:shd w:val="clear" w:color="auto" w:fill="FFFFFF"/>
          <w:lang w:val="es-ES"/>
        </w:rPr>
        <w:t>, entre otros</w:t>
      </w:r>
      <w:r w:rsidRPr="001F461B">
        <w:rPr>
          <w:rFonts w:ascii="Century Gothic" w:hAnsi="Century Gothic" w:cs="Arial"/>
          <w:bCs/>
          <w:color w:val="1A1A1A" w:themeColor="background1" w:themeShade="1A"/>
        </w:rPr>
        <w:t>. En lo pertinente, algunas consideraciones realizadas en los conceptos mencionados se reiteran a continuación.</w:t>
      </w:r>
    </w:p>
    <w:p w14:paraId="5F899002" w14:textId="77777777" w:rsidR="00176ACA" w:rsidRPr="001F461B" w:rsidRDefault="00176ACA" w:rsidP="00176ACA">
      <w:pPr>
        <w:spacing w:after="0" w:line="276" w:lineRule="auto"/>
        <w:jc w:val="both"/>
        <w:rPr>
          <w:rFonts w:ascii="Century Gothic" w:hAnsi="Century Gothic" w:cs="Arial"/>
          <w:bCs/>
          <w:color w:val="1A1A1A" w:themeColor="background1" w:themeShade="1A"/>
        </w:rPr>
      </w:pPr>
    </w:p>
    <w:p w14:paraId="3B66785D" w14:textId="77777777" w:rsidR="00176ACA" w:rsidRPr="001F461B" w:rsidRDefault="00176ACA" w:rsidP="00176ACA">
      <w:pPr>
        <w:spacing w:after="0" w:line="276" w:lineRule="auto"/>
        <w:contextualSpacing/>
        <w:jc w:val="both"/>
        <w:rPr>
          <w:rFonts w:ascii="Century Gothic" w:eastAsia="Times New Roman" w:hAnsi="Century Gothic" w:cs="Arial"/>
          <w:b/>
          <w:bCs/>
          <w:color w:val="000000"/>
          <w:szCs w:val="24"/>
          <w:lang w:val="es-ES_tradnl" w:eastAsia="es-ES_tradnl"/>
        </w:rPr>
      </w:pPr>
      <w:r w:rsidRPr="001F461B">
        <w:rPr>
          <w:rFonts w:ascii="Century Gothic" w:eastAsia="Times New Roman" w:hAnsi="Century Gothic" w:cs="Arial"/>
          <w:b/>
          <w:bCs/>
          <w:color w:val="000000"/>
          <w:szCs w:val="24"/>
          <w:lang w:val="es-ES_tradnl" w:eastAsia="es-ES_tradnl"/>
        </w:rPr>
        <w:t xml:space="preserve">2.1. Registro Único de Proponentes. Concepto y sujetos obligados a la inscripción </w:t>
      </w:r>
    </w:p>
    <w:p w14:paraId="6524673E" w14:textId="77777777" w:rsidR="00176ACA" w:rsidRPr="001F461B" w:rsidRDefault="00176ACA" w:rsidP="00176ACA">
      <w:pPr>
        <w:spacing w:after="0" w:line="276" w:lineRule="auto"/>
        <w:contextualSpacing/>
        <w:jc w:val="both"/>
        <w:rPr>
          <w:rFonts w:ascii="Century Gothic" w:eastAsia="Calibri" w:hAnsi="Century Gothic" w:cs="Arial"/>
          <w:b/>
          <w:bCs/>
          <w:sz w:val="20"/>
          <w:szCs w:val="20"/>
          <w:lang w:val="es-ES_tradnl" w:eastAsia="es-ES_tradnl"/>
        </w:rPr>
      </w:pPr>
    </w:p>
    <w:p w14:paraId="40999F19" w14:textId="77777777" w:rsidR="00176ACA" w:rsidRPr="001F461B" w:rsidRDefault="00176ACA" w:rsidP="00176ACA">
      <w:pPr>
        <w:spacing w:after="0" w:line="276" w:lineRule="auto"/>
        <w:contextualSpacing/>
        <w:jc w:val="both"/>
        <w:rPr>
          <w:rFonts w:ascii="Century Gothic" w:eastAsia="Times New Roman" w:hAnsi="Century Gothic" w:cs="Arial"/>
          <w:color w:val="000000"/>
          <w:szCs w:val="24"/>
          <w:lang w:eastAsia="es-ES_tradnl"/>
        </w:rPr>
      </w:pPr>
      <w:r w:rsidRPr="001F461B">
        <w:rPr>
          <w:rFonts w:ascii="Century Gothic" w:eastAsia="Times New Roman" w:hAnsi="Century Gothic" w:cs="Arial"/>
          <w:color w:val="000000"/>
          <w:szCs w:val="24"/>
          <w:lang w:eastAsia="es-ES_tradnl"/>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w:t>
      </w:r>
      <w:r w:rsidRPr="001F461B">
        <w:rPr>
          <w:rFonts w:ascii="Century Gothic" w:eastAsia="Times New Roman" w:hAnsi="Century Gothic" w:cs="Arial"/>
          <w:color w:val="000000"/>
          <w:szCs w:val="24"/>
          <w:lang w:eastAsia="es-ES_tradnl"/>
        </w:rPr>
        <w:lastRenderedPageBreak/>
        <w:t>a la capacidad jurídica, técnica, financiera y organizacional de los posibles proponentes. El Consejo de Estado definió la naturaleza y finalidad del RUP de la siguiente forma:</w:t>
      </w:r>
    </w:p>
    <w:p w14:paraId="6079594C" w14:textId="77777777" w:rsidR="00176ACA" w:rsidRPr="001F461B" w:rsidRDefault="00176ACA" w:rsidP="00176ACA">
      <w:pPr>
        <w:spacing w:after="0" w:line="240" w:lineRule="auto"/>
        <w:ind w:right="426"/>
        <w:contextualSpacing/>
        <w:rPr>
          <w:rFonts w:ascii="Century Gothic" w:eastAsia="Times New Roman" w:hAnsi="Century Gothic" w:cs="Arial"/>
          <w:color w:val="000000"/>
          <w:szCs w:val="24"/>
          <w:lang w:eastAsia="es-ES_tradnl"/>
        </w:rPr>
      </w:pPr>
    </w:p>
    <w:p w14:paraId="2A63A2EF" w14:textId="77777777" w:rsidR="00176ACA" w:rsidRPr="001F461B" w:rsidRDefault="00176ACA" w:rsidP="00176ACA">
      <w:pPr>
        <w:tabs>
          <w:tab w:val="left" w:pos="8505"/>
        </w:tabs>
        <w:spacing w:after="0" w:line="240" w:lineRule="auto"/>
        <w:ind w:left="709" w:right="709"/>
        <w:contextualSpacing/>
        <w:jc w:val="both"/>
        <w:rPr>
          <w:rFonts w:ascii="Century Gothic" w:eastAsia="Times New Roman" w:hAnsi="Century Gothic" w:cs="Arial"/>
          <w:color w:val="000000"/>
          <w:sz w:val="21"/>
          <w:szCs w:val="21"/>
          <w:lang w:eastAsia="es-ES_tradnl"/>
        </w:rPr>
      </w:pPr>
      <w:r w:rsidRPr="001F461B">
        <w:rPr>
          <w:rFonts w:ascii="Century Gothic" w:eastAsia="Times New Roman" w:hAnsi="Century Gothic" w:cs="Arial"/>
          <w:color w:val="000000"/>
          <w:sz w:val="21"/>
          <w:szCs w:val="21"/>
          <w:lang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1F461B">
        <w:rPr>
          <w:rFonts w:ascii="Century Gothic" w:eastAsia="Times New Roman" w:hAnsi="Century Gothic" w:cs="Arial"/>
          <w:color w:val="000000"/>
          <w:sz w:val="21"/>
          <w:szCs w:val="21"/>
          <w:lang w:eastAsia="es-ES_tradnl"/>
        </w:rPr>
        <w:t>estatales,</w:t>
      </w:r>
      <w:proofErr w:type="gramEnd"/>
      <w:r w:rsidRPr="001F461B">
        <w:rPr>
          <w:rFonts w:ascii="Century Gothic" w:eastAsia="Times New Roman" w:hAnsi="Century Gothic" w:cs="Arial"/>
          <w:color w:val="000000"/>
          <w:sz w:val="21"/>
          <w:szCs w:val="21"/>
          <w:lang w:eastAsia="es-ES_tradnl"/>
        </w:rPr>
        <w:t xml:space="preserve"> deberán inscribirse en el Registro de Proponentes de la Cámara de Comercio de su jurisdicción y deberán estar clasificadas y calificadas según lo dispuesto en esta norma”</w:t>
      </w:r>
      <w:r w:rsidRPr="001F461B">
        <w:rPr>
          <w:rFonts w:ascii="Century Gothic" w:eastAsia="Times New Roman" w:hAnsi="Century Gothic" w:cs="Arial"/>
          <w:color w:val="000000"/>
          <w:sz w:val="21"/>
          <w:szCs w:val="21"/>
          <w:vertAlign w:val="superscript"/>
          <w:lang w:eastAsia="es-ES_tradnl"/>
        </w:rPr>
        <w:footnoteReference w:id="3"/>
      </w:r>
      <w:r w:rsidRPr="001F461B">
        <w:rPr>
          <w:rFonts w:ascii="Century Gothic" w:eastAsia="Times New Roman" w:hAnsi="Century Gothic" w:cs="Arial"/>
          <w:color w:val="000000"/>
          <w:sz w:val="21"/>
          <w:szCs w:val="21"/>
          <w:lang w:eastAsia="es-ES_tradnl"/>
        </w:rPr>
        <w:t>.</w:t>
      </w:r>
    </w:p>
    <w:p w14:paraId="4B6E7AFF" w14:textId="77777777" w:rsidR="00176ACA" w:rsidRPr="001F461B" w:rsidRDefault="00176ACA" w:rsidP="00176ACA">
      <w:pPr>
        <w:spacing w:after="0" w:line="276" w:lineRule="auto"/>
        <w:contextualSpacing/>
        <w:jc w:val="both"/>
        <w:rPr>
          <w:rFonts w:ascii="Century Gothic" w:eastAsia="Times New Roman" w:hAnsi="Century Gothic" w:cs="Arial"/>
          <w:color w:val="000000"/>
          <w:lang w:eastAsia="es-ES_tradnl"/>
        </w:rPr>
      </w:pPr>
    </w:p>
    <w:p w14:paraId="6871701C" w14:textId="77777777" w:rsidR="00176ACA" w:rsidRPr="001F461B" w:rsidRDefault="00176ACA" w:rsidP="00176ACA">
      <w:pPr>
        <w:spacing w:after="120" w:line="276" w:lineRule="auto"/>
        <w:ind w:firstLine="709"/>
        <w:jc w:val="both"/>
        <w:rPr>
          <w:rFonts w:ascii="Century Gothic" w:eastAsia="Times New Roman" w:hAnsi="Century Gothic" w:cs="Arial"/>
          <w:color w:val="000000"/>
          <w:szCs w:val="24"/>
          <w:lang w:eastAsia="es-ES_tradnl"/>
        </w:rPr>
      </w:pPr>
      <w:r w:rsidRPr="001F461B">
        <w:rPr>
          <w:rFonts w:ascii="Century Gothic" w:eastAsia="Times New Roman" w:hAnsi="Century Gothic" w:cs="Arial"/>
          <w:color w:val="000000"/>
          <w:szCs w:val="24"/>
          <w:lang w:eastAsia="es-ES_tradnl"/>
        </w:rPr>
        <w:t>El artículo 6.1 de la Ley 1150 de 2007 dispone que el RUP es plena prueba de la información que contiene</w:t>
      </w:r>
      <w:r w:rsidRPr="001F461B">
        <w:rPr>
          <w:rFonts w:ascii="Century Gothic" w:eastAsia="Times New Roman" w:hAnsi="Century Gothic" w:cs="Arial"/>
          <w:color w:val="000000"/>
          <w:szCs w:val="24"/>
          <w:vertAlign w:val="superscript"/>
          <w:lang w:eastAsia="es-ES_tradnl"/>
        </w:rPr>
        <w:footnoteReference w:id="4"/>
      </w:r>
      <w:r w:rsidRPr="001F461B">
        <w:rPr>
          <w:rFonts w:ascii="Century Gothic" w:eastAsia="Times New Roman" w:hAnsi="Century Gothic" w:cs="Arial"/>
          <w:color w:val="000000"/>
          <w:szCs w:val="24"/>
          <w:lang w:eastAsia="es-ES_tradnl"/>
        </w:rPr>
        <w:t>. Por su parte, el artículo 5.1, al fijar los criterios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1F461B">
        <w:rPr>
          <w:rFonts w:ascii="Century Gothic" w:eastAsia="Times New Roman" w:hAnsi="Century Gothic" w:cs="Arial"/>
          <w:color w:val="000000"/>
          <w:szCs w:val="24"/>
          <w:vertAlign w:val="superscript"/>
          <w:lang w:eastAsia="es-ES_tradnl"/>
        </w:rPr>
        <w:footnoteReference w:id="5"/>
      </w:r>
      <w:r w:rsidRPr="001F461B">
        <w:rPr>
          <w:rFonts w:ascii="Century Gothic" w:eastAsia="Times New Roman" w:hAnsi="Century Gothic" w:cs="Arial"/>
          <w:color w:val="000000"/>
          <w:szCs w:val="24"/>
          <w:lang w:eastAsia="es-ES_tradnl"/>
        </w:rPr>
        <w:t xml:space="preserve">. De </w:t>
      </w:r>
      <w:r w:rsidRPr="001F461B">
        <w:rPr>
          <w:rFonts w:ascii="Century Gothic" w:eastAsia="Times New Roman" w:hAnsi="Century Gothic" w:cs="Arial"/>
          <w:color w:val="000000"/>
          <w:szCs w:val="24"/>
          <w:lang w:eastAsia="es-ES_tradnl"/>
        </w:rPr>
        <w:lastRenderedPageBreak/>
        <w:t>esta forma, la capacidad jurídica y las condiciones de experiencia, capacidad financiera y de organización de los proponentes deberán verificarse exclusivamente a través del RUP, pues este documento es plena prueba de la información financiera, de experiencia y de capacidad acreditada por la persona natural o jurídica</w:t>
      </w:r>
      <w:r w:rsidRPr="001F461B">
        <w:rPr>
          <w:rFonts w:ascii="Century Gothic" w:eastAsia="Times New Roman" w:hAnsi="Century Gothic" w:cs="Arial"/>
          <w:color w:val="000000"/>
          <w:szCs w:val="24"/>
          <w:vertAlign w:val="superscript"/>
          <w:lang w:eastAsia="es-ES_tradnl"/>
        </w:rPr>
        <w:footnoteReference w:id="6"/>
      </w:r>
      <w:r w:rsidRPr="001F461B">
        <w:rPr>
          <w:rFonts w:ascii="Century Gothic" w:eastAsia="Times New Roman" w:hAnsi="Century Gothic" w:cs="Arial"/>
          <w:color w:val="000000"/>
          <w:szCs w:val="24"/>
          <w:lang w:eastAsia="es-ES_tradnl"/>
        </w:rPr>
        <w:t xml:space="preserve">. </w:t>
      </w:r>
    </w:p>
    <w:p w14:paraId="62E6DC74" w14:textId="77777777" w:rsidR="00176ACA" w:rsidRPr="001F461B" w:rsidRDefault="00176ACA" w:rsidP="00176ACA">
      <w:pPr>
        <w:spacing w:before="120" w:after="120" w:line="276" w:lineRule="auto"/>
        <w:ind w:firstLine="709"/>
        <w:jc w:val="both"/>
        <w:rPr>
          <w:rFonts w:ascii="Century Gothic" w:eastAsia="Times New Roman" w:hAnsi="Century Gothic" w:cs="Arial"/>
          <w:color w:val="000000"/>
          <w:szCs w:val="24"/>
          <w:lang w:eastAsia="es-ES_tradnl"/>
        </w:rPr>
      </w:pPr>
      <w:r w:rsidRPr="001F461B">
        <w:rPr>
          <w:rFonts w:ascii="Century Gothic" w:eastAsia="Times New Roman" w:hAnsi="Century Gothic" w:cs="Arial"/>
          <w:color w:val="000000"/>
          <w:szCs w:val="24"/>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1F461B">
        <w:rPr>
          <w:rFonts w:ascii="Century Gothic" w:eastAsia="Times New Roman" w:hAnsi="Century Gothic" w:cs="Arial"/>
          <w:color w:val="000000"/>
          <w:szCs w:val="24"/>
          <w:vertAlign w:val="superscript"/>
          <w:lang w:eastAsia="es-ES_tradnl"/>
        </w:rPr>
        <w:footnoteReference w:id="7"/>
      </w:r>
      <w:r w:rsidRPr="001F461B">
        <w:rPr>
          <w:rFonts w:ascii="Century Gothic" w:eastAsia="Times New Roman" w:hAnsi="Century Gothic" w:cs="Arial"/>
          <w:color w:val="000000"/>
          <w:szCs w:val="24"/>
          <w:lang w:eastAsia="es-ES_tradnl"/>
        </w:rPr>
        <w:t xml:space="preserve">. </w:t>
      </w:r>
      <w:r w:rsidRPr="001F461B">
        <w:rPr>
          <w:rFonts w:ascii="Century Gothic" w:eastAsia="Times New Roman" w:hAnsi="Century Gothic" w:cs="Arial"/>
          <w:szCs w:val="24"/>
          <w:lang w:val="es-ES_tradnl" w:eastAsia="es-ES_tradnl"/>
        </w:rPr>
        <w:t xml:space="preserve">Estas excepciones son de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1F461B">
        <w:rPr>
          <w:rFonts w:ascii="Century Gothic" w:eastAsia="Times New Roman" w:hAnsi="Century Gothic" w:cs="Arial"/>
          <w:color w:val="000000"/>
          <w:szCs w:val="24"/>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1F461B">
        <w:rPr>
          <w:rFonts w:ascii="Century Gothic" w:eastAsia="Times New Roman" w:hAnsi="Century Gothic" w:cs="Arial"/>
          <w:color w:val="000000"/>
          <w:szCs w:val="24"/>
          <w:vertAlign w:val="superscript"/>
          <w:lang w:eastAsia="es-ES_tradnl"/>
        </w:rPr>
        <w:footnoteReference w:id="8"/>
      </w:r>
      <w:r w:rsidRPr="001F461B">
        <w:rPr>
          <w:rFonts w:ascii="Century Gothic" w:eastAsia="Times New Roman" w:hAnsi="Century Gothic" w:cs="Arial"/>
          <w:color w:val="000000"/>
          <w:szCs w:val="24"/>
          <w:lang w:eastAsia="es-ES_tradnl"/>
        </w:rPr>
        <w:t>.</w:t>
      </w:r>
    </w:p>
    <w:p w14:paraId="4DA438C3" w14:textId="77777777" w:rsidR="00176ACA" w:rsidRPr="001F461B" w:rsidRDefault="00176ACA" w:rsidP="00176ACA">
      <w:pPr>
        <w:spacing w:before="120" w:after="120" w:line="276" w:lineRule="auto"/>
        <w:ind w:firstLine="709"/>
        <w:jc w:val="both"/>
        <w:rPr>
          <w:rFonts w:ascii="Century Gothic" w:eastAsia="Times New Roman" w:hAnsi="Century Gothic" w:cs="Arial"/>
          <w:color w:val="000000"/>
          <w:szCs w:val="24"/>
          <w:lang w:eastAsia="es-ES_tradnl"/>
        </w:rPr>
      </w:pPr>
      <w:r w:rsidRPr="001F461B">
        <w:rPr>
          <w:rFonts w:ascii="Century Gothic" w:eastAsia="Times New Roman" w:hAnsi="Century Gothic" w:cs="Arial"/>
          <w:color w:val="000000"/>
          <w:szCs w:val="24"/>
          <w:lang w:eastAsia="es-ES_tradnl"/>
        </w:rPr>
        <w:t xml:space="preserve">En la exposición de motivos de la Ley 1150 de 2007 se expresa la necesidad de establecer excepciones a la regla general de la exigencia del RUP a las </w:t>
      </w:r>
      <w:r w:rsidRPr="001F461B">
        <w:rPr>
          <w:rFonts w:ascii="Century Gothic" w:eastAsia="Times New Roman" w:hAnsi="Century Gothic" w:cs="Arial"/>
          <w:color w:val="000000"/>
          <w:szCs w:val="24"/>
          <w:lang w:eastAsia="es-ES_tradnl"/>
        </w:rPr>
        <w:lastRenderedPageBreak/>
        <w:t>personas naturales 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sidRPr="001F461B">
        <w:rPr>
          <w:rFonts w:ascii="Century Gothic" w:eastAsia="Times New Roman" w:hAnsi="Century Gothic" w:cs="Arial"/>
          <w:color w:val="000000"/>
          <w:szCs w:val="24"/>
          <w:vertAlign w:val="superscript"/>
          <w:lang w:eastAsia="es-ES_tradnl"/>
        </w:rPr>
        <w:footnoteReference w:id="9"/>
      </w:r>
      <w:r w:rsidRPr="001F461B">
        <w:rPr>
          <w:rFonts w:ascii="Century Gothic" w:eastAsia="Times New Roman" w:hAnsi="Century Gothic" w:cs="Arial"/>
          <w:color w:val="000000"/>
          <w:szCs w:val="24"/>
          <w:lang w:eastAsia="es-ES_tradnl"/>
        </w:rPr>
        <w:t>.</w:t>
      </w:r>
    </w:p>
    <w:p w14:paraId="30227CE3" w14:textId="77777777" w:rsidR="00176ACA" w:rsidRPr="001F461B" w:rsidRDefault="00176ACA" w:rsidP="00176ACA">
      <w:pPr>
        <w:spacing w:before="120" w:after="120" w:line="276" w:lineRule="auto"/>
        <w:ind w:firstLine="709"/>
        <w:jc w:val="both"/>
        <w:rPr>
          <w:rFonts w:ascii="Century Gothic" w:eastAsia="Times New Roman" w:hAnsi="Century Gothic" w:cs="Arial"/>
          <w:color w:val="000000"/>
          <w:szCs w:val="24"/>
          <w:lang w:eastAsia="es-ES_tradnl"/>
        </w:rPr>
      </w:pPr>
      <w:r w:rsidRPr="001F461B">
        <w:rPr>
          <w:rFonts w:ascii="Century Gothic" w:eastAsia="Times New Roman" w:hAnsi="Century Gothic" w:cs="Arial"/>
          <w:color w:val="000000"/>
          <w:szCs w:val="24"/>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1F461B">
        <w:rPr>
          <w:rFonts w:ascii="Century Gothic" w:eastAsia="Times New Roman" w:hAnsi="Century Gothic" w:cs="Arial"/>
          <w:color w:val="000000"/>
          <w:szCs w:val="24"/>
          <w:vertAlign w:val="superscript"/>
          <w:lang w:eastAsia="es-ES_tradnl"/>
        </w:rPr>
        <w:footnoteReference w:id="10"/>
      </w:r>
      <w:r w:rsidRPr="001F461B">
        <w:rPr>
          <w:rFonts w:ascii="Century Gothic" w:eastAsia="Times New Roman" w:hAnsi="Century Gothic" w:cs="Arial"/>
          <w:color w:val="000000"/>
          <w:szCs w:val="24"/>
          <w:lang w:eastAsia="es-ES_tradnl"/>
        </w:rPr>
        <w:t xml:space="preserve">.  </w:t>
      </w:r>
    </w:p>
    <w:p w14:paraId="361DE775" w14:textId="77777777" w:rsidR="00176ACA" w:rsidRPr="001F461B" w:rsidRDefault="00176ACA" w:rsidP="00176ACA">
      <w:pPr>
        <w:spacing w:before="120" w:after="120" w:line="276" w:lineRule="auto"/>
        <w:ind w:firstLine="709"/>
        <w:jc w:val="both"/>
        <w:rPr>
          <w:rFonts w:ascii="Century Gothic" w:eastAsia="Times New Roman" w:hAnsi="Century Gothic" w:cs="Arial"/>
          <w:color w:val="000000"/>
          <w:szCs w:val="24"/>
          <w:lang w:eastAsia="es-ES_tradnl"/>
        </w:rPr>
      </w:pPr>
      <w:r w:rsidRPr="001F461B">
        <w:rPr>
          <w:rFonts w:ascii="Century Gothic" w:eastAsia="Times New Roman" w:hAnsi="Century Gothic" w:cs="Arial"/>
          <w:color w:val="000000"/>
          <w:szCs w:val="24"/>
          <w:lang w:eastAsia="es-ES_tradnl"/>
        </w:rPr>
        <w:t>Ahora bien, el inciso 1 del artículo 6 de la Ley 1150 de 2007, mediante el cual se regulan los sujetos que deben inscribirse en el RUP, señaló que deben hacerlo las personas, naturales o jurídicas, nacionales o extranjeras que tengan domicilio o sucursal en el país</w:t>
      </w:r>
      <w:r w:rsidRPr="001F461B">
        <w:rPr>
          <w:rFonts w:ascii="Century Gothic" w:eastAsia="Times New Roman" w:hAnsi="Century Gothic" w:cs="Arial"/>
          <w:color w:val="000000"/>
          <w:szCs w:val="24"/>
          <w:vertAlign w:val="superscript"/>
          <w:lang w:eastAsia="es-ES_tradnl"/>
        </w:rPr>
        <w:footnoteReference w:id="11"/>
      </w:r>
      <w:r w:rsidRPr="001F461B">
        <w:rPr>
          <w:rFonts w:ascii="Century Gothic" w:eastAsia="Times New Roman" w:hAnsi="Century Gothic" w:cs="Arial"/>
          <w:color w:val="000000"/>
          <w:szCs w:val="24"/>
          <w:lang w:eastAsia="es-ES_tradnl"/>
        </w:rPr>
        <w:t xml:space="preserve">. Estas personas tienen la obligación de registrarse en el RUP, en dos (2) casos: a) pretendan celebrar contratos estatales y b) el procedimiento de </w:t>
      </w:r>
      <w:r w:rsidRPr="001F461B">
        <w:rPr>
          <w:rFonts w:ascii="Century Gothic" w:eastAsia="Times New Roman" w:hAnsi="Century Gothic" w:cs="Arial"/>
          <w:color w:val="000000"/>
          <w:szCs w:val="24"/>
          <w:lang w:eastAsia="es-ES_tradnl"/>
        </w:rPr>
        <w:lastRenderedPageBreak/>
        <w:t xml:space="preserve">contratación sea de aquellos en los cuales no se exceptúa el RUP, de acuerdo con el inciso 2 del artículo 6 de la Ley 1150 de 2007. </w:t>
      </w:r>
    </w:p>
    <w:p w14:paraId="344548EC" w14:textId="77777777" w:rsidR="00176ACA" w:rsidRPr="001F461B" w:rsidRDefault="00176ACA" w:rsidP="00176ACA">
      <w:pPr>
        <w:spacing w:after="120" w:line="276" w:lineRule="auto"/>
        <w:ind w:firstLine="709"/>
        <w:jc w:val="both"/>
        <w:rPr>
          <w:rFonts w:ascii="Century Gothic" w:eastAsia="Calibri" w:hAnsi="Century Gothic" w:cs="Arial"/>
        </w:rPr>
      </w:pPr>
      <w:r w:rsidRPr="001F461B">
        <w:rPr>
          <w:rFonts w:ascii="Century Gothic" w:eastAsia="Calibri" w:hAnsi="Century Gothic" w:cs="Arial"/>
        </w:rPr>
        <w:t>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610B6245" w14:textId="77777777" w:rsidR="00176ACA" w:rsidRPr="001F461B" w:rsidRDefault="00176ACA" w:rsidP="00176ACA">
      <w:pPr>
        <w:spacing w:after="0" w:line="276" w:lineRule="auto"/>
        <w:ind w:firstLine="708"/>
        <w:jc w:val="both"/>
        <w:rPr>
          <w:rFonts w:ascii="Century Gothic" w:eastAsia="Calibri" w:hAnsi="Century Gothic" w:cs="Arial"/>
        </w:rPr>
      </w:pPr>
      <w:r w:rsidRPr="001F461B">
        <w:rPr>
          <w:rFonts w:ascii="Century Gothic" w:eastAsia="Calibri" w:hAnsi="Century Gothic"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0CC5D76C" w14:textId="77777777" w:rsidR="00176ACA" w:rsidRPr="001F461B" w:rsidRDefault="00176ACA" w:rsidP="00176ACA">
      <w:pPr>
        <w:spacing w:after="0" w:line="276" w:lineRule="auto"/>
        <w:ind w:firstLine="708"/>
        <w:jc w:val="both"/>
        <w:rPr>
          <w:rFonts w:ascii="Century Gothic" w:eastAsia="Calibri" w:hAnsi="Century Gothic" w:cs="Arial"/>
        </w:rPr>
      </w:pPr>
    </w:p>
    <w:p w14:paraId="1CE6025C" w14:textId="77777777" w:rsidR="00176ACA" w:rsidRPr="001F461B" w:rsidRDefault="00176ACA" w:rsidP="00176ACA">
      <w:pPr>
        <w:pStyle w:val="Prrafodelista"/>
        <w:numPr>
          <w:ilvl w:val="0"/>
          <w:numId w:val="7"/>
        </w:numPr>
        <w:spacing w:after="0" w:line="276" w:lineRule="auto"/>
        <w:jc w:val="both"/>
        <w:rPr>
          <w:rFonts w:ascii="Century Gothic" w:eastAsia="Calibri" w:hAnsi="Century Gothic" w:cs="Arial"/>
        </w:rPr>
      </w:pPr>
      <w:r w:rsidRPr="001F461B">
        <w:rPr>
          <w:rFonts w:ascii="Century Gothic" w:eastAsia="Calibri" w:hAnsi="Century Gothic" w:cs="Arial"/>
        </w:rPr>
        <w:t>No se requiere el RUP respecto de los proponentes que pretenden celebrar los contratos enunciados en el inciso segundo del artículo 6 de la ley 1150, así como en los eventos de contratación directa.</w:t>
      </w:r>
    </w:p>
    <w:p w14:paraId="3EF538C5" w14:textId="77777777" w:rsidR="00176ACA" w:rsidRPr="001F461B" w:rsidRDefault="00176ACA" w:rsidP="00176ACA">
      <w:pPr>
        <w:pStyle w:val="Prrafodelista"/>
        <w:numPr>
          <w:ilvl w:val="0"/>
          <w:numId w:val="7"/>
        </w:numPr>
        <w:spacing w:before="240" w:after="0" w:line="276" w:lineRule="auto"/>
        <w:jc w:val="both"/>
        <w:rPr>
          <w:rFonts w:ascii="Century Gothic" w:eastAsia="Calibri" w:hAnsi="Century Gothic" w:cs="Arial"/>
        </w:rPr>
      </w:pPr>
      <w:r w:rsidRPr="001F461B">
        <w:rPr>
          <w:rFonts w:ascii="Century Gothic" w:eastAsia="Calibri" w:hAnsi="Century Gothic"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608FC3FE" w14:textId="77777777" w:rsidR="00176ACA" w:rsidRPr="001F461B" w:rsidRDefault="00176ACA" w:rsidP="00176ACA">
      <w:pPr>
        <w:pStyle w:val="Prrafodelista"/>
        <w:numPr>
          <w:ilvl w:val="0"/>
          <w:numId w:val="7"/>
        </w:numPr>
        <w:spacing w:after="0" w:line="276" w:lineRule="auto"/>
        <w:jc w:val="both"/>
        <w:rPr>
          <w:rFonts w:ascii="Century Gothic" w:eastAsia="Calibri" w:hAnsi="Century Gothic" w:cs="Arial"/>
        </w:rPr>
      </w:pPr>
      <w:r w:rsidRPr="001F461B">
        <w:rPr>
          <w:rFonts w:ascii="Century Gothic" w:eastAsia="Calibri" w:hAnsi="Century Gothic"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065ECCBB" w14:textId="77777777" w:rsidR="00176ACA" w:rsidRPr="001F461B" w:rsidRDefault="00176ACA" w:rsidP="00176ACA">
      <w:pPr>
        <w:spacing w:after="0" w:line="276" w:lineRule="auto"/>
        <w:ind w:firstLine="708"/>
        <w:jc w:val="both"/>
        <w:rPr>
          <w:rFonts w:ascii="Century Gothic" w:eastAsia="Calibri" w:hAnsi="Century Gothic" w:cs="Arial"/>
        </w:rPr>
      </w:pPr>
    </w:p>
    <w:p w14:paraId="7DE0D328" w14:textId="77777777" w:rsidR="00176ACA" w:rsidRPr="001F461B" w:rsidRDefault="00176ACA" w:rsidP="00176ACA">
      <w:pPr>
        <w:spacing w:after="120" w:line="276" w:lineRule="auto"/>
        <w:ind w:firstLine="709"/>
        <w:jc w:val="both"/>
        <w:rPr>
          <w:rFonts w:ascii="Century Gothic" w:eastAsia="Times New Roman" w:hAnsi="Century Gothic" w:cs="Arial"/>
          <w:color w:val="000000"/>
          <w:szCs w:val="24"/>
          <w:lang w:eastAsia="es-ES_tradnl"/>
        </w:rPr>
      </w:pPr>
      <w:r w:rsidRPr="001F461B">
        <w:rPr>
          <w:rFonts w:ascii="Century Gothic" w:eastAsia="Calibri" w:hAnsi="Century Gothic" w:cs="Arial"/>
        </w:rPr>
        <w:t xml:space="preserve">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w:t>
      </w:r>
      <w:r w:rsidRPr="001F461B">
        <w:rPr>
          <w:rFonts w:ascii="Century Gothic" w:eastAsia="Calibri" w:hAnsi="Century Gothic" w:cs="Arial"/>
        </w:rPr>
        <w:lastRenderedPageBreak/>
        <w:t>el Estatuto General de Contratación de la Administración Pública, esto es, para celebrar contratos que tienen un régimen especial.</w:t>
      </w:r>
    </w:p>
    <w:p w14:paraId="3511B2B2" w14:textId="77777777" w:rsidR="00176ACA" w:rsidRPr="001F461B" w:rsidRDefault="00176ACA" w:rsidP="00176ACA">
      <w:pPr>
        <w:spacing w:after="0" w:line="276" w:lineRule="auto"/>
        <w:ind w:firstLine="708"/>
        <w:jc w:val="both"/>
        <w:rPr>
          <w:rStyle w:val="eop"/>
          <w:rFonts w:ascii="Century Gothic" w:hAnsi="Century Gothic" w:cs="Arial"/>
          <w:color w:val="000000"/>
          <w:shd w:val="clear" w:color="auto" w:fill="FFFFFF"/>
        </w:rPr>
      </w:pPr>
      <w:r w:rsidRPr="001F461B">
        <w:rPr>
          <w:rFonts w:ascii="Century Gothic" w:eastAsia="Times New Roman" w:hAnsi="Century Gothic" w:cs="Arial"/>
          <w:color w:val="000000"/>
          <w:szCs w:val="24"/>
          <w:lang w:eastAsia="es-ES_tradnl"/>
        </w:rPr>
        <w:t>Finalmente,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1F461B">
        <w:rPr>
          <w:rFonts w:ascii="Century Gothic" w:eastAsia="Times New Roman" w:hAnsi="Century Gothic" w:cs="Arial"/>
          <w:color w:val="000000"/>
          <w:szCs w:val="24"/>
          <w:vertAlign w:val="superscript"/>
          <w:lang w:eastAsia="es-ES_tradnl"/>
        </w:rPr>
        <w:footnoteReference w:id="12"/>
      </w:r>
      <w:r w:rsidRPr="001F461B">
        <w:rPr>
          <w:rFonts w:ascii="Century Gothic" w:eastAsia="Times New Roman" w:hAnsi="Century Gothic" w:cs="Arial"/>
          <w:color w:val="000000"/>
          <w:szCs w:val="24"/>
          <w:lang w:eastAsia="es-ES_tradnl"/>
        </w:rPr>
        <w:t xml:space="preserve">. </w:t>
      </w:r>
      <w:r w:rsidRPr="001F461B">
        <w:rPr>
          <w:rStyle w:val="normaltextrun"/>
          <w:rFonts w:ascii="Century Gothic" w:hAnsi="Century Gothic" w:cs="Arial"/>
          <w:color w:val="000000"/>
          <w:shd w:val="clear" w:color="auto" w:fill="FFFFFF"/>
          <w:lang w:val="es-ES"/>
        </w:rPr>
        <w:t>En este sentido, salvo las excepciones enunciadas, por regla general 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estatales efectuar su verificación, en aplicación de los principios que rigen la función administrativa, especialmente, los de selección objetiva y economía.</w:t>
      </w:r>
      <w:r w:rsidRPr="001F461B">
        <w:rPr>
          <w:rStyle w:val="eop"/>
          <w:rFonts w:ascii="Century Gothic" w:hAnsi="Century Gothic" w:cs="Arial"/>
          <w:color w:val="000000"/>
          <w:shd w:val="clear" w:color="auto" w:fill="FFFFFF"/>
        </w:rPr>
        <w:t> </w:t>
      </w:r>
    </w:p>
    <w:p w14:paraId="03013899" w14:textId="77777777" w:rsidR="00176ACA" w:rsidRPr="001F461B" w:rsidRDefault="00176ACA" w:rsidP="00176ACA">
      <w:pPr>
        <w:spacing w:after="0" w:line="276" w:lineRule="auto"/>
        <w:jc w:val="both"/>
        <w:rPr>
          <w:rStyle w:val="eop"/>
          <w:rFonts w:ascii="Century Gothic" w:hAnsi="Century Gothic" w:cs="Arial"/>
          <w:color w:val="000000"/>
          <w:shd w:val="clear" w:color="auto" w:fill="FFFFFF"/>
        </w:rPr>
      </w:pPr>
    </w:p>
    <w:p w14:paraId="60E50891" w14:textId="2FD9A012" w:rsidR="00176ACA" w:rsidRPr="001F461B" w:rsidRDefault="00176ACA" w:rsidP="00176ACA">
      <w:pPr>
        <w:widowControl w:val="0"/>
        <w:autoSpaceDE w:val="0"/>
        <w:autoSpaceDN w:val="0"/>
        <w:spacing w:after="0" w:line="278" w:lineRule="auto"/>
        <w:ind w:right="49"/>
        <w:jc w:val="both"/>
        <w:rPr>
          <w:rFonts w:ascii="Century Gothic" w:eastAsia="Arial" w:hAnsi="Century Gothic" w:cs="Arial"/>
          <w:b/>
          <w:bCs/>
          <w:lang w:val="es-ES" w:eastAsia="es-ES" w:bidi="es-ES"/>
        </w:rPr>
      </w:pPr>
      <w:r w:rsidRPr="001F461B">
        <w:rPr>
          <w:rFonts w:ascii="Century Gothic" w:eastAsia="Arial" w:hAnsi="Century Gothic" w:cs="Arial"/>
          <w:b/>
          <w:bCs/>
          <w:lang w:val="es-ES" w:eastAsia="es-ES" w:bidi="es-ES"/>
        </w:rPr>
        <w:t>2.</w:t>
      </w:r>
      <w:r w:rsidR="00A43808">
        <w:rPr>
          <w:rFonts w:ascii="Century Gothic" w:eastAsia="Arial" w:hAnsi="Century Gothic" w:cs="Arial"/>
          <w:b/>
          <w:bCs/>
          <w:lang w:val="es-ES" w:eastAsia="es-ES" w:bidi="es-ES"/>
        </w:rPr>
        <w:t>2</w:t>
      </w:r>
      <w:r w:rsidRPr="001F461B">
        <w:rPr>
          <w:rFonts w:ascii="Century Gothic" w:eastAsia="Arial" w:hAnsi="Century Gothic" w:cs="Arial"/>
          <w:b/>
          <w:bCs/>
          <w:lang w:val="es-ES" w:eastAsia="es-ES" w:bidi="es-ES"/>
        </w:rPr>
        <w:t xml:space="preserve">. Reporte, registro y publicación de multas, sanciones e inhabilidades en el RUP </w:t>
      </w:r>
    </w:p>
    <w:p w14:paraId="4D868B5A" w14:textId="77777777" w:rsidR="00176ACA" w:rsidRPr="001F461B" w:rsidRDefault="00176ACA" w:rsidP="00176ACA">
      <w:pPr>
        <w:widowControl w:val="0"/>
        <w:autoSpaceDE w:val="0"/>
        <w:autoSpaceDN w:val="0"/>
        <w:spacing w:after="0" w:line="278" w:lineRule="auto"/>
        <w:ind w:right="49"/>
        <w:jc w:val="both"/>
        <w:rPr>
          <w:rFonts w:ascii="Century Gothic" w:eastAsia="Arial" w:hAnsi="Century Gothic" w:cs="Arial"/>
          <w:b/>
          <w:bCs/>
          <w:lang w:val="es-ES" w:eastAsia="es-ES" w:bidi="es-ES"/>
        </w:rPr>
      </w:pPr>
    </w:p>
    <w:p w14:paraId="3D9CE306" w14:textId="77777777" w:rsidR="00176ACA" w:rsidRPr="001F461B" w:rsidRDefault="00176ACA" w:rsidP="00176ACA">
      <w:pPr>
        <w:spacing w:after="120" w:line="276" w:lineRule="auto"/>
        <w:jc w:val="both"/>
        <w:rPr>
          <w:rFonts w:ascii="Century Gothic" w:eastAsia="Calibri" w:hAnsi="Century Gothic" w:cs="Arial"/>
          <w:lang w:val="es-MX"/>
        </w:rPr>
      </w:pPr>
      <w:r w:rsidRPr="001F461B">
        <w:rPr>
          <w:rFonts w:ascii="Century Gothic" w:eastAsia="Calibri" w:hAnsi="Century Gothic" w:cs="Arial"/>
          <w:lang w:val="es-MX"/>
        </w:rPr>
        <w:t>El artículo 6.2 de la Ley 1150 de 2007 obliga a las entidades públicas a reportar a la Cámara de Comercio correspondiente la información sobre contratos, multas y sanciones</w:t>
      </w:r>
      <w:r w:rsidRPr="001F461B">
        <w:rPr>
          <w:rFonts w:ascii="Century Gothic" w:eastAsia="Calibri" w:hAnsi="Century Gothic" w:cs="Arial"/>
          <w:vertAlign w:val="superscript"/>
          <w:lang w:val="es-MX"/>
        </w:rPr>
        <w:footnoteReference w:id="13"/>
      </w:r>
      <w:r w:rsidRPr="001F461B">
        <w:rPr>
          <w:rFonts w:ascii="Century Gothic" w:eastAsia="Calibri" w:hAnsi="Century Gothic" w:cs="Arial"/>
          <w:lang w:val="es-MX"/>
        </w:rPr>
        <w:t xml:space="preserve">.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19 de 2012, que estableció los deberes de publicar en el SECOP y de </w:t>
      </w:r>
      <w:r w:rsidRPr="001F461B">
        <w:rPr>
          <w:rFonts w:ascii="Century Gothic" w:eastAsia="Calibri" w:hAnsi="Century Gothic" w:cs="Arial"/>
          <w:lang w:val="es-MX"/>
        </w:rPr>
        <w:lastRenderedPageBreak/>
        <w:t>comunicar a las Cámaras de Comercio, la parte resolutiva, de los actos que impongan multas y sanciones, entre otras decisiones</w:t>
      </w:r>
      <w:r w:rsidRPr="001F461B">
        <w:rPr>
          <w:rFonts w:ascii="Century Gothic" w:eastAsia="Calibri" w:hAnsi="Century Gothic" w:cs="Arial"/>
          <w:vertAlign w:val="superscript"/>
          <w:lang w:val="es-MX"/>
        </w:rPr>
        <w:footnoteReference w:id="14"/>
      </w:r>
      <w:r w:rsidRPr="001F461B">
        <w:rPr>
          <w:rFonts w:ascii="Century Gothic" w:eastAsia="Calibri" w:hAnsi="Century Gothic" w:cs="Arial"/>
          <w:lang w:val="es-MX"/>
        </w:rPr>
        <w:t xml:space="preserve">. </w:t>
      </w:r>
    </w:p>
    <w:p w14:paraId="46BE232A" w14:textId="77777777" w:rsidR="00176ACA" w:rsidRPr="001F461B" w:rsidRDefault="00176ACA" w:rsidP="00176ACA">
      <w:pPr>
        <w:spacing w:after="120" w:line="276" w:lineRule="auto"/>
        <w:ind w:firstLine="708"/>
        <w:jc w:val="both"/>
        <w:rPr>
          <w:rFonts w:ascii="Century Gothic" w:eastAsia="Calibri" w:hAnsi="Century Gothic" w:cs="Arial"/>
          <w:lang w:val="es-MX"/>
        </w:rPr>
      </w:pPr>
      <w:r w:rsidRPr="001F461B">
        <w:rPr>
          <w:rFonts w:ascii="Century Gothic" w:eastAsia="Calibri" w:hAnsi="Century Gothic" w:cs="Arial"/>
          <w:lang w:val="es-MX"/>
        </w:rPr>
        <w:t>En la Ley 80 de 1993 se observa la voluntad del legislador de divulgar el comportamiento contractual de los participantes en el sistema de compras públicas. En este contexto, el artículo 6.2 de la Ley 1150 de 2007 constituye un desarrollo material de los principios aplicables a las actuaciones contractuales en los términos del artículo 23 del Estatuto General de Contratación de la Administración Pública</w:t>
      </w:r>
      <w:r w:rsidRPr="001F461B">
        <w:rPr>
          <w:rFonts w:ascii="Century Gothic" w:eastAsia="Calibri" w:hAnsi="Century Gothic" w:cs="Arial"/>
          <w:vertAlign w:val="superscript"/>
          <w:lang w:val="es-MX"/>
        </w:rPr>
        <w:footnoteReference w:id="15"/>
      </w:r>
      <w:r w:rsidRPr="001F461B">
        <w:rPr>
          <w:rFonts w:ascii="Century Gothic" w:eastAsia="Calibri" w:hAnsi="Century Gothic" w:cs="Arial"/>
          <w:lang w:val="es-MX"/>
        </w:rPr>
        <w:t xml:space="preserve">. Entre otros, la Ley 80 de 1993 concreta el principio de transparencia de la actividad contractual, objeto de regulación expresa en el artículo 24 </w:t>
      </w:r>
      <w:r w:rsidRPr="001F461B">
        <w:rPr>
          <w:rFonts w:ascii="Century Gothic" w:eastAsia="Calibri" w:hAnsi="Century Gothic" w:cs="Arial"/>
          <w:i/>
          <w:iCs/>
          <w:lang w:val="es-MX"/>
        </w:rPr>
        <w:t>ibidem</w:t>
      </w:r>
      <w:r w:rsidRPr="001F461B">
        <w:rPr>
          <w:rFonts w:ascii="Century Gothic" w:eastAsia="Calibri" w:hAnsi="Century Gothic" w:cs="Arial"/>
          <w:lang w:val="es-MX"/>
        </w:rPr>
        <w:t xml:space="preserve">, que guarda estrecha relación con el de publicidad, el cual rige el ejercicio de la función administrativa, según el artículo 209 de la Constitución Política.  </w:t>
      </w:r>
    </w:p>
    <w:p w14:paraId="0757CEC3" w14:textId="77777777" w:rsidR="00176ACA" w:rsidRPr="001F461B" w:rsidRDefault="00176ACA" w:rsidP="00176ACA">
      <w:pPr>
        <w:spacing w:after="120" w:line="276" w:lineRule="auto"/>
        <w:ind w:firstLine="708"/>
        <w:jc w:val="both"/>
        <w:rPr>
          <w:rFonts w:ascii="Century Gothic" w:eastAsia="Calibri" w:hAnsi="Century Gothic" w:cs="Arial"/>
          <w:lang w:val="es-MX"/>
        </w:rPr>
      </w:pPr>
      <w:r w:rsidRPr="001F461B">
        <w:rPr>
          <w:rFonts w:ascii="Century Gothic" w:eastAsia="Calibri" w:hAnsi="Century Gothic" w:cs="Arial"/>
          <w:lang w:val="es-MX"/>
        </w:rPr>
        <w:t>Ahora bien, el numeral 6.2. de la Ley 1150 de 2007 estableció la información que deberá registrarse en el Registro Único de Proponentes, precisando que “</w:t>
      </w:r>
      <w:r w:rsidRPr="001F461B">
        <w:rPr>
          <w:rFonts w:ascii="Century Gothic" w:eastAsia="Calibri" w:hAnsi="Century Gothic" w:cs="Arial"/>
        </w:rPr>
        <w:t xml:space="preserve">Las entidades estatales enviarán mensualmente a la Cámara de Comercio de su domicilio, la información concerniente a los contratos, su cuantía, cumplimiento, </w:t>
      </w:r>
      <w:r w:rsidRPr="001F461B">
        <w:rPr>
          <w:rFonts w:ascii="Century Gothic" w:eastAsia="Calibri" w:hAnsi="Century Gothic" w:cs="Arial"/>
          <w:i/>
          <w:iCs/>
        </w:rPr>
        <w:t>multas y sanciones</w:t>
      </w:r>
      <w:r w:rsidRPr="001F461B">
        <w:rPr>
          <w:rFonts w:ascii="Century Gothic" w:eastAsia="Calibri" w:hAnsi="Century Gothic" w:cs="Arial"/>
        </w:rPr>
        <w:t xml:space="preserve"> relacionadas con los contratos que hayan sido adjudicados, los que se encuentren en ejecución y los ejecutados” (Énfasis fuera de texto)</w:t>
      </w:r>
      <w:r w:rsidRPr="001F461B">
        <w:rPr>
          <w:rFonts w:ascii="Century Gothic" w:eastAsia="Calibri" w:hAnsi="Century Gothic" w:cs="Arial"/>
          <w:lang w:val="es-MX"/>
        </w:rPr>
        <w:t xml:space="preserve">. </w:t>
      </w:r>
    </w:p>
    <w:p w14:paraId="4EA3D3C6" w14:textId="77777777" w:rsidR="00176ACA" w:rsidRPr="001F461B" w:rsidRDefault="00176ACA" w:rsidP="00176ACA">
      <w:pPr>
        <w:spacing w:after="0" w:line="276" w:lineRule="auto"/>
        <w:ind w:firstLine="708"/>
        <w:jc w:val="both"/>
        <w:rPr>
          <w:rFonts w:ascii="Century Gothic" w:eastAsia="Calibri" w:hAnsi="Century Gothic" w:cs="Arial"/>
          <w:iCs/>
          <w:lang w:val="es-MX"/>
        </w:rPr>
      </w:pPr>
      <w:r w:rsidRPr="001F461B">
        <w:rPr>
          <w:rFonts w:ascii="Century Gothic" w:eastAsia="Calibri" w:hAnsi="Century Gothic" w:cs="Arial"/>
          <w:iCs/>
          <w:lang w:val="es-MX"/>
        </w:rPr>
        <w:t xml:space="preserve">Asimismo, consagró una atribución reglamentaria sobre el tema. Para estos efectos dispuso que “Las condiciones de remisión de la información y los plazos de permanencia de </w:t>
      </w:r>
      <w:proofErr w:type="gramStart"/>
      <w:r w:rsidRPr="001F461B">
        <w:rPr>
          <w:rFonts w:ascii="Century Gothic" w:eastAsia="Calibri" w:hAnsi="Century Gothic" w:cs="Arial"/>
          <w:iCs/>
          <w:lang w:val="es-MX"/>
        </w:rPr>
        <w:t>la misma</w:t>
      </w:r>
      <w:proofErr w:type="gramEnd"/>
      <w:r w:rsidRPr="001F461B">
        <w:rPr>
          <w:rFonts w:ascii="Century Gothic" w:eastAsia="Calibri" w:hAnsi="Century Gothic" w:cs="Arial"/>
          <w:iCs/>
          <w:lang w:val="es-MX"/>
        </w:rPr>
        <w:t xml:space="preserve"> en el registro serán señalados por el Gobierno Nacional”. Actualmente, este mandato se desarrolla en el artículo 14 del Decreto 1510 de 17 de julio de 2013, compilado posteriormente en el artículo 2.2.1.1.1.5.7 del Decreto 1082 de 2015, que dispone lo siguiente: </w:t>
      </w:r>
    </w:p>
    <w:p w14:paraId="7E0030F6" w14:textId="77777777" w:rsidR="00176ACA" w:rsidRPr="001F461B" w:rsidRDefault="00176ACA" w:rsidP="00176ACA">
      <w:pPr>
        <w:spacing w:after="0" w:line="276" w:lineRule="auto"/>
        <w:ind w:firstLine="708"/>
        <w:jc w:val="both"/>
        <w:rPr>
          <w:rFonts w:ascii="Century Gothic" w:eastAsia="Calibri" w:hAnsi="Century Gothic" w:cs="Arial"/>
          <w:iCs/>
          <w:lang w:val="es-MX"/>
        </w:rPr>
      </w:pPr>
    </w:p>
    <w:p w14:paraId="68634BFE" w14:textId="77777777" w:rsidR="00176ACA" w:rsidRPr="001F461B" w:rsidRDefault="00176ACA" w:rsidP="00176ACA">
      <w:pPr>
        <w:spacing w:after="120" w:line="240" w:lineRule="auto"/>
        <w:ind w:left="709" w:right="709"/>
        <w:contextualSpacing/>
        <w:jc w:val="both"/>
        <w:rPr>
          <w:rFonts w:ascii="Century Gothic" w:eastAsia="Calibri" w:hAnsi="Century Gothic" w:cs="Arial"/>
          <w:sz w:val="21"/>
          <w:szCs w:val="21"/>
          <w:lang w:val="es-MX"/>
        </w:rPr>
      </w:pPr>
      <w:r w:rsidRPr="001F461B">
        <w:rPr>
          <w:rFonts w:ascii="Century Gothic" w:eastAsia="Calibri" w:hAnsi="Century Gothic" w:cs="Arial"/>
          <w:sz w:val="21"/>
          <w:szCs w:val="21"/>
          <w:lang w:val="es-MX"/>
        </w:rPr>
        <w:t xml:space="preserve">“Las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w:t>
      </w:r>
      <w:r w:rsidRPr="001F461B">
        <w:rPr>
          <w:rFonts w:ascii="Century Gothic" w:eastAsia="Calibri" w:hAnsi="Century Gothic" w:cs="Arial"/>
          <w:sz w:val="21"/>
          <w:szCs w:val="21"/>
          <w:lang w:val="es-MX"/>
        </w:rPr>
        <w:lastRenderedPageBreak/>
        <w:t xml:space="preserve">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w:t>
      </w:r>
      <w:proofErr w:type="gramStart"/>
      <w:r w:rsidRPr="001F461B">
        <w:rPr>
          <w:rFonts w:ascii="Century Gothic" w:eastAsia="Calibri" w:hAnsi="Century Gothic" w:cs="Arial"/>
          <w:sz w:val="21"/>
          <w:szCs w:val="21"/>
          <w:lang w:val="es-MX"/>
        </w:rPr>
        <w:t>la misma</w:t>
      </w:r>
      <w:proofErr w:type="gramEnd"/>
      <w:r w:rsidRPr="001F461B">
        <w:rPr>
          <w:rFonts w:ascii="Century Gothic" w:eastAsia="Calibri" w:hAnsi="Century Gothic" w:cs="Arial"/>
          <w:sz w:val="21"/>
          <w:szCs w:val="21"/>
          <w:lang w:val="es-MX"/>
        </w:rPr>
        <w:t>.</w:t>
      </w:r>
    </w:p>
    <w:p w14:paraId="44674E94" w14:textId="77777777" w:rsidR="00176ACA" w:rsidRPr="001F461B" w:rsidRDefault="00176ACA" w:rsidP="00176ACA">
      <w:pPr>
        <w:spacing w:after="120" w:line="240" w:lineRule="auto"/>
        <w:ind w:left="709" w:right="709"/>
        <w:contextualSpacing/>
        <w:jc w:val="both"/>
        <w:rPr>
          <w:rFonts w:ascii="Century Gothic" w:eastAsia="Calibri" w:hAnsi="Century Gothic" w:cs="Arial"/>
          <w:sz w:val="12"/>
          <w:szCs w:val="12"/>
          <w:lang w:val="es-MX"/>
        </w:rPr>
      </w:pPr>
    </w:p>
    <w:p w14:paraId="4A3E4E8B" w14:textId="77777777" w:rsidR="00176ACA" w:rsidRPr="001F461B" w:rsidRDefault="00176ACA" w:rsidP="00176ACA">
      <w:pPr>
        <w:spacing w:after="0" w:line="240" w:lineRule="auto"/>
        <w:ind w:left="709" w:right="709"/>
        <w:contextualSpacing/>
        <w:jc w:val="both"/>
        <w:rPr>
          <w:rFonts w:ascii="Century Gothic" w:eastAsia="Calibri" w:hAnsi="Century Gothic" w:cs="Arial"/>
          <w:sz w:val="21"/>
          <w:szCs w:val="21"/>
          <w:lang w:val="es-MX"/>
        </w:rPr>
      </w:pPr>
      <w:r w:rsidRPr="001F461B">
        <w:rPr>
          <w:rFonts w:ascii="Century Gothic" w:eastAsia="Calibri" w:hAnsi="Century Gothic" w:cs="Arial"/>
          <w:sz w:val="21"/>
          <w:szCs w:val="21"/>
          <w:lang w:val="es-MX"/>
        </w:rPr>
        <w:t>Las cámaras de comercio deben tener un mecanismo de interoperabilidad con el SECOP para el registro de la información de que trata el presente artículo”.</w:t>
      </w:r>
    </w:p>
    <w:p w14:paraId="53580EF9" w14:textId="77777777" w:rsidR="00176ACA" w:rsidRPr="001F461B" w:rsidRDefault="00176ACA" w:rsidP="00176ACA">
      <w:pPr>
        <w:spacing w:after="0" w:line="276" w:lineRule="auto"/>
        <w:ind w:firstLine="708"/>
        <w:jc w:val="both"/>
        <w:rPr>
          <w:rFonts w:ascii="Century Gothic" w:eastAsia="Calibri" w:hAnsi="Century Gothic" w:cs="Arial"/>
          <w:iCs/>
          <w:lang w:val="es-MX"/>
        </w:rPr>
      </w:pPr>
    </w:p>
    <w:p w14:paraId="7443568C" w14:textId="550C8338" w:rsidR="00176ACA" w:rsidRPr="001F461B" w:rsidRDefault="00176ACA" w:rsidP="00176ACA">
      <w:pPr>
        <w:spacing w:after="120" w:line="276" w:lineRule="auto"/>
        <w:ind w:firstLine="708"/>
        <w:jc w:val="both"/>
        <w:rPr>
          <w:rFonts w:ascii="Century Gothic" w:eastAsia="Calibri" w:hAnsi="Century Gothic" w:cs="Arial"/>
          <w:iCs/>
          <w:lang w:val="es-MX"/>
        </w:rPr>
      </w:pPr>
      <w:r w:rsidRPr="001F461B">
        <w:rPr>
          <w:rFonts w:ascii="Century Gothic" w:eastAsia="Calibri" w:hAnsi="Century Gothic" w:cs="Arial"/>
          <w:iCs/>
          <w:lang w:val="es-MX"/>
        </w:rPr>
        <w:t xml:space="preserve">La norma precisa los elementos para cumplir con el artículo 6.2. de la Ley 1150 de 2007, los cuales se concretan en los siguientes tres (3) puntos: i) </w:t>
      </w:r>
      <w:r w:rsidRPr="001F461B">
        <w:rPr>
          <w:rFonts w:ascii="Century Gothic" w:eastAsia="Calibri" w:hAnsi="Century Gothic" w:cs="Arial"/>
          <w:i/>
          <w:lang w:val="es-MX"/>
        </w:rPr>
        <w:t>reporte</w:t>
      </w:r>
      <w:r w:rsidRPr="001F461B">
        <w:rPr>
          <w:rFonts w:ascii="Century Gothic" w:eastAsia="Calibri" w:hAnsi="Century Gothic" w:cs="Arial"/>
          <w:iCs/>
          <w:lang w:val="es-MX"/>
        </w:rPr>
        <w:t xml:space="preserve"> de las multas y sanciones por parte de las entidades estatales, </w:t>
      </w:r>
      <w:proofErr w:type="spellStart"/>
      <w:r w:rsidRPr="001F461B">
        <w:rPr>
          <w:rFonts w:ascii="Century Gothic" w:eastAsia="Calibri" w:hAnsi="Century Gothic" w:cs="Arial"/>
          <w:iCs/>
          <w:lang w:val="es-MX"/>
        </w:rPr>
        <w:t>ii</w:t>
      </w:r>
      <w:proofErr w:type="spellEnd"/>
      <w:r w:rsidRPr="001F461B">
        <w:rPr>
          <w:rFonts w:ascii="Century Gothic" w:eastAsia="Calibri" w:hAnsi="Century Gothic" w:cs="Arial"/>
          <w:iCs/>
          <w:lang w:val="es-MX"/>
        </w:rPr>
        <w:t xml:space="preserve">) </w:t>
      </w:r>
      <w:r w:rsidRPr="001F461B">
        <w:rPr>
          <w:rFonts w:ascii="Century Gothic" w:eastAsia="Calibri" w:hAnsi="Century Gothic" w:cs="Arial"/>
          <w:i/>
          <w:lang w:val="es-MX"/>
        </w:rPr>
        <w:t>registro</w:t>
      </w:r>
      <w:r w:rsidRPr="001F461B">
        <w:rPr>
          <w:rFonts w:ascii="Century Gothic" w:eastAsia="Calibri" w:hAnsi="Century Gothic" w:cs="Arial"/>
          <w:iCs/>
          <w:lang w:val="es-MX"/>
        </w:rPr>
        <w:t xml:space="preserve"> de las multas y sanciones en el RUP por parte de las Cámaras de Comercio y </w:t>
      </w:r>
      <w:proofErr w:type="spellStart"/>
      <w:r w:rsidRPr="001F461B">
        <w:rPr>
          <w:rFonts w:ascii="Century Gothic" w:eastAsia="Calibri" w:hAnsi="Century Gothic" w:cs="Arial"/>
          <w:iCs/>
          <w:lang w:val="es-MX"/>
        </w:rPr>
        <w:t>iii</w:t>
      </w:r>
      <w:proofErr w:type="spellEnd"/>
      <w:r w:rsidRPr="001F461B">
        <w:rPr>
          <w:rFonts w:ascii="Century Gothic" w:eastAsia="Calibri" w:hAnsi="Century Gothic" w:cs="Arial"/>
          <w:iCs/>
          <w:lang w:val="es-MX"/>
        </w:rPr>
        <w:t xml:space="preserve">) </w:t>
      </w:r>
      <w:r w:rsidRPr="001F461B">
        <w:rPr>
          <w:rFonts w:ascii="Century Gothic" w:eastAsia="Calibri" w:hAnsi="Century Gothic" w:cs="Arial"/>
          <w:i/>
          <w:lang w:val="es-MX"/>
        </w:rPr>
        <w:t xml:space="preserve">término de permanencia </w:t>
      </w:r>
      <w:r w:rsidRPr="001F461B">
        <w:rPr>
          <w:rFonts w:ascii="Century Gothic" w:eastAsia="Calibri" w:hAnsi="Century Gothic" w:cs="Arial"/>
          <w:iCs/>
          <w:lang w:val="es-MX"/>
        </w:rPr>
        <w:t xml:space="preserve">de las anotaciones en el registro. En relación con el </w:t>
      </w:r>
      <w:r w:rsidRPr="001F461B">
        <w:rPr>
          <w:rFonts w:ascii="Century Gothic" w:eastAsia="Calibri" w:hAnsi="Century Gothic" w:cs="Arial"/>
          <w:i/>
          <w:lang w:val="es-MX"/>
        </w:rPr>
        <w:t>reporte</w:t>
      </w:r>
      <w:r w:rsidRPr="001F461B">
        <w:rPr>
          <w:rFonts w:ascii="Century Gothic" w:eastAsia="Calibri" w:hAnsi="Century Gothic" w:cs="Arial"/>
          <w:iCs/>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1F461B">
        <w:rPr>
          <w:rFonts w:ascii="Century Gothic" w:eastAsia="Calibri" w:hAnsi="Century Gothic" w:cs="Arial"/>
          <w:i/>
          <w:lang w:val="es-MX"/>
        </w:rPr>
        <w:t>registro</w:t>
      </w:r>
      <w:r w:rsidRPr="001F461B">
        <w:rPr>
          <w:rFonts w:ascii="Century Gothic" w:eastAsia="Calibri" w:hAnsi="Century Gothic" w:cs="Arial"/>
          <w:iCs/>
          <w:lang w:val="es-MX"/>
        </w:rPr>
        <w:t xml:space="preserve">¸ la disposición estableció la obligación a las cámaras de comercio de consignar las sanciones e inhabilidades remitidas por las entidades estatales en el RUP, con el propósito de concretar aspectos de publicidad y transparencia en la actividad contractual. Finalmente, en relación con el </w:t>
      </w:r>
      <w:r w:rsidRPr="001F461B">
        <w:rPr>
          <w:rFonts w:ascii="Century Gothic" w:eastAsia="Calibri" w:hAnsi="Century Gothic" w:cs="Arial"/>
          <w:i/>
          <w:lang w:val="es-MX"/>
        </w:rPr>
        <w:t xml:space="preserve">término, </w:t>
      </w:r>
      <w:r w:rsidRPr="001F461B">
        <w:rPr>
          <w:rFonts w:ascii="Century Gothic" w:eastAsia="Calibri" w:hAnsi="Century Gothic" w:cs="Arial"/>
          <w:iCs/>
          <w:lang w:val="es-MX"/>
        </w:rPr>
        <w:t>es decir, el periodo en que debe constar la anotación correspondiente, la norma estableció que las sanciones e inhabilidades permanecerán en el registro por el término de la sanción o inhabilidad, según el caso. Igualmente, estableció que</w:t>
      </w:r>
      <w:r w:rsidR="00A43808">
        <w:rPr>
          <w:rFonts w:ascii="Century Gothic" w:eastAsia="Calibri" w:hAnsi="Century Gothic" w:cs="Arial"/>
          <w:iCs/>
          <w:lang w:val="es-MX"/>
        </w:rPr>
        <w:t>,</w:t>
      </w:r>
      <w:r w:rsidRPr="001F461B">
        <w:rPr>
          <w:rFonts w:ascii="Century Gothic" w:eastAsia="Calibri" w:hAnsi="Century Gothic" w:cs="Arial"/>
          <w:iCs/>
          <w:lang w:val="es-MX"/>
        </w:rPr>
        <w:t xml:space="preserve"> en el caso de las multas, deberán permanecer por el término de un año, contado a partir de la publicación de </w:t>
      </w:r>
      <w:proofErr w:type="gramStart"/>
      <w:r w:rsidRPr="001F461B">
        <w:rPr>
          <w:rFonts w:ascii="Century Gothic" w:eastAsia="Calibri" w:hAnsi="Century Gothic" w:cs="Arial"/>
          <w:iCs/>
          <w:lang w:val="es-MX"/>
        </w:rPr>
        <w:t>la misma</w:t>
      </w:r>
      <w:proofErr w:type="gramEnd"/>
      <w:r w:rsidRPr="001F461B">
        <w:rPr>
          <w:rFonts w:ascii="Century Gothic" w:eastAsia="Calibri" w:hAnsi="Century Gothic" w:cs="Arial"/>
          <w:iCs/>
          <w:lang w:val="es-MX"/>
        </w:rPr>
        <w:t>.</w:t>
      </w:r>
    </w:p>
    <w:p w14:paraId="565C2EDF" w14:textId="77777777" w:rsidR="00176ACA" w:rsidRPr="001F461B" w:rsidRDefault="00176ACA" w:rsidP="00176ACA">
      <w:pPr>
        <w:tabs>
          <w:tab w:val="left" w:pos="8789"/>
        </w:tabs>
        <w:spacing w:after="120" w:line="276" w:lineRule="auto"/>
        <w:ind w:firstLine="709"/>
        <w:jc w:val="both"/>
        <w:rPr>
          <w:rFonts w:ascii="Century Gothic" w:hAnsi="Century Gothic" w:cs="Arial"/>
        </w:rPr>
      </w:pPr>
      <w:r w:rsidRPr="001F461B">
        <w:rPr>
          <w:rFonts w:ascii="Century Gothic" w:hAnsi="Century Gothic" w:cs="Arial"/>
        </w:rPr>
        <w:t xml:space="preserve">Es preciso advertir que en los artículos 6.2 de la Ley 1150 y </w:t>
      </w:r>
      <w:r w:rsidRPr="001F461B">
        <w:rPr>
          <w:rFonts w:ascii="Century Gothic" w:eastAsia="Calibri" w:hAnsi="Century Gothic" w:cs="Arial"/>
          <w:iCs/>
        </w:rPr>
        <w:t>2.2.1.1.1.5.7 del Decreto 1082 de 2015</w:t>
      </w:r>
      <w:r w:rsidRPr="001F461B">
        <w:rPr>
          <w:rFonts w:ascii="Century Gothic" w:hAnsi="Century Gothic" w:cs="Arial"/>
        </w:rPr>
        <w:t xml:space="preserve"> no se hace alusión expresa al reporte de la información relativa a proponentes que no están obligados a estar en el RUP para participar en Procesos de Contratación o suscribir contratos, como sucede en el caso de las </w:t>
      </w:r>
      <w:r w:rsidRPr="001F461B">
        <w:rPr>
          <w:rFonts w:ascii="Century Gothic" w:eastAsia="Calibri" w:hAnsi="Century Gothic" w:cs="Arial"/>
        </w:rPr>
        <w:t>personas naturales extranjeras sin domicilio en el país o de las personas jurídicas extranjeras que no tengan sucursal en Colombia, y que por tanto carecen de inscripción y calificación</w:t>
      </w:r>
      <w:r w:rsidRPr="001F461B">
        <w:rPr>
          <w:rFonts w:ascii="Century Gothic" w:hAnsi="Century Gothic" w:cs="Arial"/>
        </w:rPr>
        <w:t xml:space="preserve">. No obstante, debe recordarse que el deber de reportar la información relativa a incumplimientos, sanciones e inhabilidades no solo se sustenta en dichas normas, sino también en lo establecido en el artículo 31 de la </w:t>
      </w:r>
      <w:r w:rsidRPr="001F461B">
        <w:rPr>
          <w:rFonts w:ascii="Century Gothic" w:hAnsi="Century Gothic" w:cs="Arial"/>
        </w:rPr>
        <w:lastRenderedPageBreak/>
        <w:t xml:space="preserve">Ley 80 de 1993, modificado por el artículo 218 del Decreto ley 19 de 2012, que imponen no solo el deber de reportar la información a la cámara de comercio, sino también de publicar la información en el SECOP. De hecho, el artículo </w:t>
      </w:r>
      <w:r w:rsidRPr="001F461B">
        <w:rPr>
          <w:rFonts w:ascii="Century Gothic" w:hAnsi="Century Gothic" w:cs="Arial"/>
          <w:bCs/>
          <w:color w:val="000000" w:themeColor="text1"/>
        </w:rPr>
        <w:t xml:space="preserve">2.2.1.1.1.5.7 hace referencia al mecanismo de interoperabilidad para el registro de información entre RUP y SECOP. </w:t>
      </w:r>
    </w:p>
    <w:p w14:paraId="297EFE26" w14:textId="77777777" w:rsidR="00176ACA" w:rsidRPr="001F461B" w:rsidRDefault="00176ACA" w:rsidP="00176ACA">
      <w:pPr>
        <w:spacing w:before="120" w:line="276" w:lineRule="auto"/>
        <w:ind w:firstLine="708"/>
        <w:jc w:val="both"/>
        <w:rPr>
          <w:rFonts w:ascii="Century Gothic" w:hAnsi="Century Gothic" w:cs="Arial"/>
          <w:bCs/>
          <w:color w:val="000000" w:themeColor="text1"/>
        </w:rPr>
      </w:pPr>
      <w:r w:rsidRPr="001F461B">
        <w:rPr>
          <w:rFonts w:ascii="Century Gothic" w:hAnsi="Century Gothic" w:cs="Arial"/>
          <w:bCs/>
          <w:color w:val="000000" w:themeColor="text1"/>
        </w:rPr>
        <w:t xml:space="preserve">Conforme a lo anterior, el RUP no es el único mecanismo establecido en el Estatuto General de Contratación de la Administración Pública para dar publicidad a los incumplimientos, ni el único ante el que se debe reportar tal información por parte de las entidades estatales. </w:t>
      </w:r>
      <w:r w:rsidRPr="001F461B">
        <w:rPr>
          <w:rFonts w:ascii="Century Gothic" w:hAnsi="Century Gothic" w:cs="Arial"/>
        </w:rPr>
        <w:t xml:space="preserve">Esto dado que el SECOP también es un mecanismo que permite dar publicidad a los incumplimientos que se presenten en los Procesos de Contratación. De acuerdo con esto, el SECOP brinda a las entidades las entidades estatales la posibilidad de publicar los actos administrativos que declaren la caducidad, impongan multas, sanciones o declaren el incumplimiento, una vez ejecutoriados. Del mismo modo, </w:t>
      </w:r>
      <w:r w:rsidRPr="001F461B">
        <w:rPr>
          <w:rFonts w:ascii="Century Gothic" w:hAnsi="Century Gothic" w:cs="Arial"/>
          <w:bCs/>
          <w:color w:val="000000" w:themeColor="text1"/>
        </w:rPr>
        <w:t>en el SECOP II el expediente electrónico tiene una sección denominada “Incumplimientos” dispuesta para que la entidad estatal registre las inhabilidades o sanciones impuestas al contratista con ocasión del respectivo contrato. De otra parte, la Procuraduría General de la Nación cuenta con el Sistema de Información de Registro de Sanciones y Causas de Inhabilidad SIRI</w:t>
      </w:r>
      <w:r w:rsidRPr="001F461B">
        <w:rPr>
          <w:rStyle w:val="Refdenotaalpie"/>
          <w:rFonts w:ascii="Century Gothic" w:hAnsi="Century Gothic" w:cs="Arial"/>
          <w:bCs/>
          <w:color w:val="000000" w:themeColor="text1"/>
        </w:rPr>
        <w:footnoteReference w:id="16"/>
      </w:r>
      <w:r w:rsidRPr="001F461B">
        <w:rPr>
          <w:rFonts w:ascii="Century Gothic" w:hAnsi="Century Gothic" w:cs="Arial"/>
          <w:bCs/>
          <w:color w:val="000000" w:themeColor="text1"/>
        </w:rPr>
        <w:t>, en el cual, registra las decisiones ejecutoriadas y notificadas remitidas por las autoridades competentes sobre inhabilidades provenientes de relaciones contractuales con el Estado, entre otras.</w:t>
      </w:r>
    </w:p>
    <w:p w14:paraId="07E8C92E" w14:textId="77777777" w:rsidR="00176ACA" w:rsidRPr="001F461B" w:rsidRDefault="00176ACA" w:rsidP="00176ACA">
      <w:pPr>
        <w:spacing w:before="120" w:after="0" w:line="276" w:lineRule="auto"/>
        <w:ind w:firstLine="708"/>
        <w:jc w:val="both"/>
        <w:rPr>
          <w:rFonts w:ascii="Century Gothic" w:hAnsi="Century Gothic" w:cs="Arial"/>
          <w:bCs/>
          <w:color w:val="000000" w:themeColor="text1"/>
        </w:rPr>
      </w:pPr>
      <w:r w:rsidRPr="001F461B">
        <w:rPr>
          <w:rFonts w:ascii="Century Gothic" w:hAnsi="Century Gothic" w:cs="Arial"/>
          <w:bCs/>
          <w:color w:val="000000" w:themeColor="text1"/>
        </w:rPr>
        <w:t xml:space="preserve">De acuerdo con lo expuesto, el inciso primero del artículo 6.2 de la Ley 1150 de 2007, en congruencia con el aparte correspondiente al artículo 2.2.1.1.1.5.7 del Decreto 1082 de 2015, imponen a las entidades estatales el deber de </w:t>
      </w:r>
      <w:r w:rsidRPr="001F461B">
        <w:rPr>
          <w:rFonts w:ascii="Century Gothic" w:hAnsi="Century Gothic" w:cs="Arial"/>
          <w:bCs/>
          <w:i/>
          <w:iCs/>
          <w:color w:val="000000" w:themeColor="text1"/>
        </w:rPr>
        <w:t>reportar</w:t>
      </w:r>
      <w:r w:rsidRPr="001F461B">
        <w:rPr>
          <w:rFonts w:ascii="Century Gothic" w:hAnsi="Century Gothic" w:cs="Arial"/>
          <w:bCs/>
          <w:color w:val="000000" w:themeColor="text1"/>
        </w:rPr>
        <w:t xml:space="preserve"> a las cámaras de comercio la información relativa a los actos administrativos ejecutoriados expedidos con ocasión de incumplimientos presentados en el marco de los contratos estatales que celebran. De este deber no se encuentra excluida la información relativa a incumplimientos de contratistas que carecen de calificación en el RUP, como, por ejemplo, </w:t>
      </w:r>
      <w:r w:rsidRPr="001F461B">
        <w:rPr>
          <w:rFonts w:ascii="Century Gothic" w:hAnsi="Century Gothic" w:cs="Arial"/>
        </w:rPr>
        <w:t xml:space="preserve">las </w:t>
      </w:r>
      <w:r w:rsidRPr="001F461B">
        <w:rPr>
          <w:rFonts w:ascii="Century Gothic" w:eastAsia="Calibri" w:hAnsi="Century Gothic" w:cs="Arial"/>
        </w:rPr>
        <w:t>personas naturales extranjeras sin domicilio en el país o las personas jurídicas extranjeras que no tengan sucursal en Colombia</w:t>
      </w:r>
      <w:r w:rsidRPr="001F461B">
        <w:rPr>
          <w:rFonts w:ascii="Century Gothic" w:hAnsi="Century Gothic" w:cs="Arial"/>
          <w:bCs/>
          <w:color w:val="000000" w:themeColor="text1"/>
        </w:rPr>
        <w:t xml:space="preserve">, pues el solo </w:t>
      </w:r>
      <w:r w:rsidRPr="001F461B">
        <w:rPr>
          <w:rFonts w:ascii="Century Gothic" w:hAnsi="Century Gothic" w:cs="Arial"/>
          <w:bCs/>
          <w:i/>
          <w:iCs/>
          <w:color w:val="000000" w:themeColor="text1"/>
        </w:rPr>
        <w:t>reporte</w:t>
      </w:r>
      <w:r w:rsidRPr="001F461B">
        <w:rPr>
          <w:rFonts w:ascii="Century Gothic" w:hAnsi="Century Gothic" w:cs="Arial"/>
          <w:bCs/>
          <w:color w:val="000000" w:themeColor="text1"/>
        </w:rPr>
        <w:t xml:space="preserve"> se realiza con independencia de que se encuentren o no en el registro, puesto que –sin perjuicio de del artículo 31 de la Ley 80 de 1993– las normas citadas no distinguen al respecto. No obstante, la posibilidad o no del </w:t>
      </w:r>
      <w:r w:rsidRPr="001F461B">
        <w:rPr>
          <w:rFonts w:ascii="Century Gothic" w:hAnsi="Century Gothic" w:cs="Arial"/>
          <w:bCs/>
          <w:i/>
          <w:iCs/>
          <w:color w:val="000000" w:themeColor="text1"/>
        </w:rPr>
        <w:t>registro</w:t>
      </w:r>
      <w:r w:rsidRPr="001F461B">
        <w:rPr>
          <w:rFonts w:ascii="Century Gothic" w:hAnsi="Century Gothic" w:cs="Arial"/>
          <w:bCs/>
          <w:color w:val="000000" w:themeColor="text1"/>
        </w:rPr>
        <w:t xml:space="preserve"> en </w:t>
      </w:r>
      <w:r w:rsidRPr="001F461B">
        <w:rPr>
          <w:rFonts w:ascii="Century Gothic" w:hAnsi="Century Gothic" w:cs="Arial"/>
          <w:bCs/>
          <w:color w:val="000000" w:themeColor="text1"/>
        </w:rPr>
        <w:lastRenderedPageBreak/>
        <w:t xml:space="preserve">función de la inscripción previa guarda relación con la inhabilidad del artículo 90 de la Ley 1474 de 2011. Este aspecto se analizará en el siguiente acápite. </w:t>
      </w:r>
    </w:p>
    <w:p w14:paraId="087AA73B" w14:textId="77777777" w:rsidR="00176ACA" w:rsidRPr="001F461B" w:rsidRDefault="00176ACA" w:rsidP="00176ACA">
      <w:pPr>
        <w:spacing w:after="0" w:line="276" w:lineRule="auto"/>
        <w:jc w:val="both"/>
        <w:rPr>
          <w:rFonts w:ascii="Century Gothic" w:hAnsi="Century Gothic" w:cs="Arial"/>
          <w:b/>
          <w:bCs/>
          <w:color w:val="000000" w:themeColor="text1"/>
          <w:lang w:val="es-ES_tradnl"/>
        </w:rPr>
      </w:pPr>
    </w:p>
    <w:p w14:paraId="646E3AC7" w14:textId="4ADE917A" w:rsidR="00176ACA" w:rsidRPr="001F461B" w:rsidRDefault="00176ACA" w:rsidP="00176ACA">
      <w:pPr>
        <w:spacing w:after="0" w:line="276" w:lineRule="auto"/>
        <w:jc w:val="both"/>
        <w:rPr>
          <w:rFonts w:ascii="Century Gothic" w:hAnsi="Century Gothic" w:cs="Arial"/>
          <w:b/>
          <w:bCs/>
          <w:color w:val="000000" w:themeColor="text1"/>
          <w:lang w:val="es-ES_tradnl"/>
        </w:rPr>
      </w:pPr>
      <w:r w:rsidRPr="001F461B">
        <w:rPr>
          <w:rFonts w:ascii="Century Gothic" w:hAnsi="Century Gothic" w:cs="Arial"/>
          <w:b/>
          <w:bCs/>
          <w:color w:val="000000" w:themeColor="text1"/>
          <w:lang w:val="es-ES_tradnl"/>
        </w:rPr>
        <w:t>2.</w:t>
      </w:r>
      <w:r w:rsidR="00A43808">
        <w:rPr>
          <w:rFonts w:ascii="Century Gothic" w:hAnsi="Century Gothic" w:cs="Arial"/>
          <w:b/>
          <w:bCs/>
          <w:color w:val="000000" w:themeColor="text1"/>
          <w:lang w:val="es-ES_tradnl"/>
        </w:rPr>
        <w:t>3</w:t>
      </w:r>
      <w:r w:rsidRPr="001F461B">
        <w:rPr>
          <w:rFonts w:ascii="Century Gothic" w:hAnsi="Century Gothic" w:cs="Arial"/>
          <w:b/>
          <w:bCs/>
          <w:color w:val="000000" w:themeColor="text1"/>
          <w:lang w:val="es-ES_tradnl"/>
        </w:rPr>
        <w:t>. Interpretación de la causal de inhabilidad por incumplimiento reiterado del artículo 90 de la Ley 1474 de 2011, modificado por las Leyes 1955 de 2019 y 2195 de 2022</w:t>
      </w:r>
    </w:p>
    <w:p w14:paraId="73D1D4E8" w14:textId="77777777" w:rsidR="00176ACA" w:rsidRPr="001F461B" w:rsidRDefault="00176ACA" w:rsidP="00176ACA">
      <w:pPr>
        <w:spacing w:after="0" w:line="276" w:lineRule="auto"/>
        <w:jc w:val="both"/>
        <w:rPr>
          <w:rFonts w:ascii="Century Gothic" w:eastAsia="Calibri" w:hAnsi="Century Gothic" w:cs="Arial"/>
          <w:color w:val="000000" w:themeColor="text1"/>
          <w:lang w:val="es-ES_tradnl"/>
        </w:rPr>
      </w:pPr>
    </w:p>
    <w:p w14:paraId="53E1C8B5" w14:textId="77777777" w:rsidR="00176ACA" w:rsidRPr="001F461B" w:rsidRDefault="00176ACA" w:rsidP="00176ACA">
      <w:pPr>
        <w:widowControl w:val="0"/>
        <w:autoSpaceDE w:val="0"/>
        <w:autoSpaceDN w:val="0"/>
        <w:spacing w:after="120" w:line="276" w:lineRule="auto"/>
        <w:ind w:right="49"/>
        <w:jc w:val="both"/>
        <w:rPr>
          <w:rFonts w:ascii="Century Gothic" w:eastAsia="Arial" w:hAnsi="Century Gothic" w:cs="Arial"/>
          <w:color w:val="000000" w:themeColor="text1"/>
          <w:lang w:val="es-ES"/>
        </w:rPr>
      </w:pPr>
      <w:r w:rsidRPr="001F461B">
        <w:rPr>
          <w:rFonts w:ascii="Century Gothic" w:eastAsia="Arial" w:hAnsi="Century Gothic" w:cs="Arial"/>
          <w:color w:val="000000" w:themeColor="text1"/>
          <w:lang w:val="es-ES"/>
        </w:rPr>
        <w:t>Las multas y la declaratoria de incumplimiento son sanciones administrativas impuestas por la entidad en cada contrato, frente a la falta, el retardo y/o imperfectos en la ejecución de las obligaciones pactadas. En principio, las consecuencias de estas sanciones no se proyectan</w:t>
      </w:r>
      <w:r w:rsidRPr="001F461B">
        <w:rPr>
          <w:rFonts w:ascii="Century Gothic" w:eastAsia="Arial" w:hAnsi="Century Gothic" w:cs="Arial"/>
          <w:color w:val="000000" w:themeColor="text1"/>
          <w:spacing w:val="34"/>
          <w:lang w:val="es-ES"/>
        </w:rPr>
        <w:t xml:space="preserve"> </w:t>
      </w:r>
      <w:r w:rsidRPr="001F461B">
        <w:rPr>
          <w:rFonts w:ascii="Century Gothic" w:eastAsia="Arial" w:hAnsi="Century Gothic" w:cs="Arial"/>
          <w:color w:val="000000" w:themeColor="text1"/>
          <w:lang w:val="es-ES"/>
        </w:rPr>
        <w:t>más</w:t>
      </w:r>
      <w:r w:rsidRPr="001F461B">
        <w:rPr>
          <w:rFonts w:ascii="Century Gothic" w:eastAsia="Arial" w:hAnsi="Century Gothic" w:cs="Arial"/>
          <w:color w:val="000000" w:themeColor="text1"/>
          <w:spacing w:val="35"/>
          <w:lang w:val="es-ES"/>
        </w:rPr>
        <w:t xml:space="preserve"> </w:t>
      </w:r>
      <w:r w:rsidRPr="001F461B">
        <w:rPr>
          <w:rFonts w:ascii="Century Gothic" w:eastAsia="Arial" w:hAnsi="Century Gothic" w:cs="Arial"/>
          <w:color w:val="000000" w:themeColor="text1"/>
          <w:lang w:val="es-ES"/>
        </w:rPr>
        <w:t>allá</w:t>
      </w:r>
      <w:r w:rsidRPr="001F461B">
        <w:rPr>
          <w:rFonts w:ascii="Century Gothic" w:eastAsia="Arial" w:hAnsi="Century Gothic" w:cs="Arial"/>
          <w:color w:val="000000" w:themeColor="text1"/>
          <w:spacing w:val="33"/>
          <w:lang w:val="es-ES"/>
        </w:rPr>
        <w:t xml:space="preserve"> </w:t>
      </w:r>
      <w:r w:rsidRPr="001F461B">
        <w:rPr>
          <w:rFonts w:ascii="Century Gothic" w:eastAsia="Arial" w:hAnsi="Century Gothic" w:cs="Arial"/>
          <w:color w:val="000000" w:themeColor="text1"/>
          <w:lang w:val="es-ES"/>
        </w:rPr>
        <w:t>del</w:t>
      </w:r>
      <w:r w:rsidRPr="001F461B">
        <w:rPr>
          <w:rFonts w:ascii="Century Gothic" w:eastAsia="Arial" w:hAnsi="Century Gothic" w:cs="Arial"/>
          <w:color w:val="000000" w:themeColor="text1"/>
          <w:spacing w:val="32"/>
          <w:lang w:val="es-ES"/>
        </w:rPr>
        <w:t xml:space="preserve"> </w:t>
      </w:r>
      <w:r w:rsidRPr="001F461B">
        <w:rPr>
          <w:rFonts w:ascii="Century Gothic" w:eastAsia="Arial" w:hAnsi="Century Gothic" w:cs="Arial"/>
          <w:color w:val="000000" w:themeColor="text1"/>
          <w:lang w:val="es-ES"/>
        </w:rPr>
        <w:t>marco</w:t>
      </w:r>
      <w:r w:rsidRPr="001F461B">
        <w:rPr>
          <w:rFonts w:ascii="Century Gothic" w:eastAsia="Arial" w:hAnsi="Century Gothic" w:cs="Arial"/>
          <w:color w:val="000000" w:themeColor="text1"/>
          <w:spacing w:val="35"/>
          <w:lang w:val="es-ES"/>
        </w:rPr>
        <w:t xml:space="preserve"> </w:t>
      </w:r>
      <w:r w:rsidRPr="001F461B">
        <w:rPr>
          <w:rFonts w:ascii="Century Gothic" w:eastAsia="Arial" w:hAnsi="Century Gothic" w:cs="Arial"/>
          <w:color w:val="000000" w:themeColor="text1"/>
          <w:lang w:val="es-ES"/>
        </w:rPr>
        <w:t>del</w:t>
      </w:r>
      <w:r w:rsidRPr="001F461B">
        <w:rPr>
          <w:rFonts w:ascii="Century Gothic" w:eastAsia="Arial" w:hAnsi="Century Gothic" w:cs="Arial"/>
          <w:color w:val="000000" w:themeColor="text1"/>
          <w:spacing w:val="34"/>
          <w:lang w:val="es-ES"/>
        </w:rPr>
        <w:t xml:space="preserve"> </w:t>
      </w:r>
      <w:r w:rsidRPr="001F461B">
        <w:rPr>
          <w:rFonts w:ascii="Century Gothic" w:eastAsia="Arial" w:hAnsi="Century Gothic" w:cs="Arial"/>
          <w:color w:val="000000" w:themeColor="text1"/>
          <w:lang w:val="es-ES"/>
        </w:rPr>
        <w:t>contrato</w:t>
      </w:r>
      <w:r w:rsidRPr="001F461B">
        <w:rPr>
          <w:rFonts w:ascii="Century Gothic" w:eastAsia="Arial" w:hAnsi="Century Gothic" w:cs="Arial"/>
          <w:color w:val="000000" w:themeColor="text1"/>
          <w:spacing w:val="35"/>
          <w:lang w:val="es-ES"/>
        </w:rPr>
        <w:t xml:space="preserve"> </w:t>
      </w:r>
      <w:r w:rsidRPr="001F461B">
        <w:rPr>
          <w:rFonts w:ascii="Century Gothic" w:eastAsia="Arial" w:hAnsi="Century Gothic" w:cs="Arial"/>
          <w:color w:val="000000" w:themeColor="text1"/>
          <w:lang w:val="es-ES"/>
        </w:rPr>
        <w:t>en</w:t>
      </w:r>
      <w:r w:rsidRPr="001F461B">
        <w:rPr>
          <w:rFonts w:ascii="Century Gothic" w:eastAsia="Arial" w:hAnsi="Century Gothic" w:cs="Arial"/>
          <w:color w:val="000000" w:themeColor="text1"/>
          <w:spacing w:val="35"/>
          <w:lang w:val="es-ES"/>
        </w:rPr>
        <w:t xml:space="preserve"> </w:t>
      </w:r>
      <w:r w:rsidRPr="001F461B">
        <w:rPr>
          <w:rFonts w:ascii="Century Gothic" w:eastAsia="Arial" w:hAnsi="Century Gothic" w:cs="Arial"/>
          <w:color w:val="000000" w:themeColor="text1"/>
          <w:lang w:val="es-ES"/>
        </w:rPr>
        <w:t>el</w:t>
      </w:r>
      <w:r w:rsidRPr="001F461B">
        <w:rPr>
          <w:rFonts w:ascii="Century Gothic" w:eastAsia="Arial" w:hAnsi="Century Gothic" w:cs="Arial"/>
          <w:color w:val="000000" w:themeColor="text1"/>
          <w:spacing w:val="34"/>
          <w:lang w:val="es-ES"/>
        </w:rPr>
        <w:t xml:space="preserve"> </w:t>
      </w:r>
      <w:r w:rsidRPr="001F461B">
        <w:rPr>
          <w:rFonts w:ascii="Century Gothic" w:eastAsia="Arial" w:hAnsi="Century Gothic" w:cs="Arial"/>
          <w:color w:val="000000" w:themeColor="text1"/>
          <w:lang w:val="es-ES"/>
        </w:rPr>
        <w:t>que</w:t>
      </w:r>
      <w:r w:rsidRPr="001F461B">
        <w:rPr>
          <w:rFonts w:ascii="Century Gothic" w:eastAsia="Arial" w:hAnsi="Century Gothic" w:cs="Arial"/>
          <w:color w:val="000000" w:themeColor="text1"/>
          <w:spacing w:val="33"/>
          <w:lang w:val="es-ES"/>
        </w:rPr>
        <w:t xml:space="preserve"> </w:t>
      </w:r>
      <w:r w:rsidRPr="001F461B">
        <w:rPr>
          <w:rFonts w:ascii="Century Gothic" w:eastAsia="Arial" w:hAnsi="Century Gothic" w:cs="Arial"/>
          <w:color w:val="000000" w:themeColor="text1"/>
          <w:lang w:val="es-ES"/>
        </w:rPr>
        <w:t>fueron</w:t>
      </w:r>
      <w:r w:rsidRPr="001F461B">
        <w:rPr>
          <w:rFonts w:ascii="Century Gothic" w:eastAsia="Arial" w:hAnsi="Century Gothic" w:cs="Arial"/>
          <w:color w:val="000000" w:themeColor="text1"/>
          <w:spacing w:val="35"/>
          <w:lang w:val="es-ES"/>
        </w:rPr>
        <w:t xml:space="preserve"> </w:t>
      </w:r>
      <w:r w:rsidRPr="001F461B">
        <w:rPr>
          <w:rFonts w:ascii="Century Gothic" w:eastAsia="Arial" w:hAnsi="Century Gothic" w:cs="Arial"/>
          <w:color w:val="000000" w:themeColor="text1"/>
          <w:lang w:val="es-ES"/>
        </w:rPr>
        <w:t>impuestas.</w:t>
      </w:r>
      <w:r w:rsidRPr="001F461B">
        <w:rPr>
          <w:rFonts w:ascii="Century Gothic" w:eastAsia="Arial" w:hAnsi="Century Gothic" w:cs="Arial"/>
          <w:color w:val="000000" w:themeColor="text1"/>
          <w:spacing w:val="31"/>
          <w:lang w:val="es-ES"/>
        </w:rPr>
        <w:t xml:space="preserve"> </w:t>
      </w:r>
      <w:r w:rsidRPr="001F461B">
        <w:rPr>
          <w:rFonts w:ascii="Century Gothic" w:eastAsia="Arial" w:hAnsi="Century Gothic" w:cs="Arial"/>
          <w:color w:val="000000" w:themeColor="text1"/>
          <w:lang w:val="es-ES"/>
        </w:rPr>
        <w:t>No</w:t>
      </w:r>
      <w:r w:rsidRPr="001F461B">
        <w:rPr>
          <w:rFonts w:ascii="Century Gothic" w:eastAsia="Arial" w:hAnsi="Century Gothic" w:cs="Arial"/>
          <w:color w:val="000000" w:themeColor="text1"/>
          <w:spacing w:val="35"/>
          <w:lang w:val="es-ES"/>
        </w:rPr>
        <w:t xml:space="preserve"> </w:t>
      </w:r>
      <w:r w:rsidRPr="001F461B">
        <w:rPr>
          <w:rFonts w:ascii="Century Gothic" w:eastAsia="Arial" w:hAnsi="Century Gothic" w:cs="Arial"/>
          <w:color w:val="000000" w:themeColor="text1"/>
          <w:lang w:val="es-ES"/>
        </w:rPr>
        <w:t xml:space="preserve">obstante, dada la prevalencia de los principios de 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 los incumplimientos contractuales que las generaron. </w:t>
      </w:r>
    </w:p>
    <w:p w14:paraId="17DDAE7C" w14:textId="77777777" w:rsidR="00176ACA" w:rsidRPr="001F461B" w:rsidRDefault="00176ACA" w:rsidP="00176ACA">
      <w:pPr>
        <w:widowControl w:val="0"/>
        <w:autoSpaceDE w:val="0"/>
        <w:autoSpaceDN w:val="0"/>
        <w:spacing w:after="0" w:line="276" w:lineRule="auto"/>
        <w:ind w:right="49" w:firstLine="708"/>
        <w:jc w:val="both"/>
        <w:rPr>
          <w:rFonts w:ascii="Century Gothic" w:eastAsia="Arial" w:hAnsi="Century Gothic" w:cs="Arial"/>
          <w:color w:val="000000" w:themeColor="text1"/>
          <w:lang w:val="es-ES"/>
        </w:rPr>
      </w:pPr>
      <w:r w:rsidRPr="001F461B">
        <w:rPr>
          <w:rFonts w:ascii="Century Gothic" w:eastAsia="Arial" w:hAnsi="Century Gothic" w:cs="Arial"/>
          <w:color w:val="000000" w:themeColor="text1"/>
          <w:lang w:val="es-ES"/>
        </w:rPr>
        <w:t>En ese sentido, dentro del conjunto de medidas administrativas, fiscales y penales adoptadas por la Ley 1474 de 2011, conocida como Estatuto Anticorrupción, se incluyó la creación de una inhabilidad para contratar por el incumplimiento reiterado en la ejecución de otros contratos estatales. Conforme a esto, el artículo 90 de la Ley 1474 de 2011 estableció, originalmente, la inhabilidad de 3 años, que se configuraba bajo las siguientes tres (3) causales:</w:t>
      </w:r>
    </w:p>
    <w:p w14:paraId="2E7B7FA6" w14:textId="77777777" w:rsidR="00176ACA" w:rsidRPr="001F461B" w:rsidRDefault="00176ACA" w:rsidP="00176ACA">
      <w:pPr>
        <w:widowControl w:val="0"/>
        <w:autoSpaceDE w:val="0"/>
        <w:autoSpaceDN w:val="0"/>
        <w:spacing w:after="0" w:line="276" w:lineRule="auto"/>
        <w:ind w:right="105" w:firstLine="708"/>
        <w:jc w:val="both"/>
        <w:rPr>
          <w:rFonts w:ascii="Century Gothic" w:eastAsia="Arial" w:hAnsi="Century Gothic" w:cs="Arial"/>
          <w:color w:val="000000" w:themeColor="text1"/>
          <w:lang w:val="es-ES"/>
        </w:rPr>
      </w:pPr>
    </w:p>
    <w:p w14:paraId="52DCCA69" w14:textId="77777777" w:rsidR="00176ACA" w:rsidRPr="001F461B" w:rsidRDefault="00176ACA" w:rsidP="00176ACA">
      <w:pPr>
        <w:widowControl w:val="0"/>
        <w:autoSpaceDE w:val="0"/>
        <w:autoSpaceDN w:val="0"/>
        <w:spacing w:after="120"/>
        <w:ind w:left="709" w:right="709"/>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 xml:space="preserve">“Artículo 90. Inhabilidad por incumplimiento reiterado. Quedará inhabilitado el contratista que incurra en alguna de las siguientes conductas:  </w:t>
      </w:r>
    </w:p>
    <w:p w14:paraId="7B4E0671" w14:textId="77777777" w:rsidR="00176ACA" w:rsidRPr="001F461B" w:rsidRDefault="00176ACA" w:rsidP="00176ACA">
      <w:pPr>
        <w:widowControl w:val="0"/>
        <w:numPr>
          <w:ilvl w:val="2"/>
          <w:numId w:val="8"/>
        </w:numPr>
        <w:tabs>
          <w:tab w:val="left" w:pos="1078"/>
        </w:tabs>
        <w:autoSpaceDE w:val="0"/>
        <w:autoSpaceDN w:val="0"/>
        <w:spacing w:after="120" w:line="240" w:lineRule="auto"/>
        <w:ind w:left="709" w:right="709" w:firstLine="0"/>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Haber sido objeto de imposición de cinco (5) o más multas durante la ejecución de uno o varios contratos, durante una misma vigencia fiscal con una o varias entidades</w:t>
      </w:r>
      <w:r w:rsidRPr="001F461B">
        <w:rPr>
          <w:rFonts w:ascii="Century Gothic" w:eastAsia="Arial" w:hAnsi="Century Gothic" w:cs="Arial"/>
          <w:color w:val="000000" w:themeColor="text1"/>
          <w:spacing w:val="-3"/>
          <w:sz w:val="21"/>
          <w:szCs w:val="21"/>
          <w:lang w:val="es-ES"/>
        </w:rPr>
        <w:t xml:space="preserve"> </w:t>
      </w:r>
      <w:r w:rsidRPr="001F461B">
        <w:rPr>
          <w:rFonts w:ascii="Century Gothic" w:eastAsia="Arial" w:hAnsi="Century Gothic" w:cs="Arial"/>
          <w:color w:val="000000" w:themeColor="text1"/>
          <w:sz w:val="21"/>
          <w:szCs w:val="21"/>
          <w:lang w:val="es-ES"/>
        </w:rPr>
        <w:t>estatales;</w:t>
      </w:r>
    </w:p>
    <w:p w14:paraId="7B5A1741" w14:textId="77777777" w:rsidR="00176ACA" w:rsidRPr="001F461B" w:rsidRDefault="00176ACA" w:rsidP="00176ACA">
      <w:pPr>
        <w:widowControl w:val="0"/>
        <w:numPr>
          <w:ilvl w:val="2"/>
          <w:numId w:val="8"/>
        </w:numPr>
        <w:tabs>
          <w:tab w:val="left" w:pos="1118"/>
        </w:tabs>
        <w:autoSpaceDE w:val="0"/>
        <w:autoSpaceDN w:val="0"/>
        <w:spacing w:after="120" w:line="240" w:lineRule="auto"/>
        <w:ind w:left="709" w:right="709" w:firstLine="0"/>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Haber sido objeto de declaratorias de incumplimiento contractual en por los menos dos (2) contratos durante una misma vigencia fiscal, con una o varias entidades</w:t>
      </w:r>
      <w:r w:rsidRPr="001F461B">
        <w:rPr>
          <w:rFonts w:ascii="Century Gothic" w:eastAsia="Arial" w:hAnsi="Century Gothic" w:cs="Arial"/>
          <w:color w:val="000000" w:themeColor="text1"/>
          <w:spacing w:val="-3"/>
          <w:sz w:val="21"/>
          <w:szCs w:val="21"/>
          <w:lang w:val="es-ES"/>
        </w:rPr>
        <w:t xml:space="preserve"> </w:t>
      </w:r>
      <w:r w:rsidRPr="001F461B">
        <w:rPr>
          <w:rFonts w:ascii="Century Gothic" w:eastAsia="Arial" w:hAnsi="Century Gothic" w:cs="Arial"/>
          <w:color w:val="000000" w:themeColor="text1"/>
          <w:sz w:val="21"/>
          <w:szCs w:val="21"/>
          <w:lang w:val="es-ES"/>
        </w:rPr>
        <w:t>estatales;</w:t>
      </w:r>
    </w:p>
    <w:p w14:paraId="4A3B22B5" w14:textId="77777777" w:rsidR="00176ACA" w:rsidRPr="001F461B" w:rsidRDefault="00176ACA" w:rsidP="00176ACA">
      <w:pPr>
        <w:widowControl w:val="0"/>
        <w:numPr>
          <w:ilvl w:val="2"/>
          <w:numId w:val="8"/>
        </w:numPr>
        <w:tabs>
          <w:tab w:val="left" w:pos="1108"/>
        </w:tabs>
        <w:autoSpaceDE w:val="0"/>
        <w:autoSpaceDN w:val="0"/>
        <w:spacing w:before="1" w:after="120" w:line="240" w:lineRule="auto"/>
        <w:ind w:left="709" w:right="709" w:firstLine="0"/>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Haber sido objeto de imposición de dos (2) multas y un (1) incumplimiento durante una misma vigencia fiscal, con una o varias entidades</w:t>
      </w:r>
      <w:r w:rsidRPr="001F461B">
        <w:rPr>
          <w:rFonts w:ascii="Century Gothic" w:eastAsia="Arial" w:hAnsi="Century Gothic" w:cs="Arial"/>
          <w:color w:val="000000" w:themeColor="text1"/>
          <w:spacing w:val="-24"/>
          <w:sz w:val="21"/>
          <w:szCs w:val="21"/>
          <w:lang w:val="es-ES"/>
        </w:rPr>
        <w:t xml:space="preserve"> </w:t>
      </w:r>
      <w:r w:rsidRPr="001F461B">
        <w:rPr>
          <w:rFonts w:ascii="Century Gothic" w:eastAsia="Arial" w:hAnsi="Century Gothic" w:cs="Arial"/>
          <w:color w:val="000000" w:themeColor="text1"/>
          <w:sz w:val="21"/>
          <w:szCs w:val="21"/>
          <w:lang w:val="es-ES"/>
        </w:rPr>
        <w:t>estatales.</w:t>
      </w:r>
    </w:p>
    <w:p w14:paraId="59AF4A9A" w14:textId="77777777" w:rsidR="00176ACA" w:rsidRPr="001F461B" w:rsidRDefault="00176ACA" w:rsidP="00176ACA">
      <w:pPr>
        <w:widowControl w:val="0"/>
        <w:autoSpaceDE w:val="0"/>
        <w:autoSpaceDN w:val="0"/>
        <w:spacing w:after="120"/>
        <w:ind w:left="709" w:right="709"/>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 xml:space="preserve">La inhabilidad se extenderá por un término de tres (3) años, contados a </w:t>
      </w:r>
      <w:r w:rsidRPr="001F461B">
        <w:rPr>
          <w:rFonts w:ascii="Century Gothic" w:eastAsia="Arial" w:hAnsi="Century Gothic" w:cs="Arial"/>
          <w:color w:val="000000" w:themeColor="text1"/>
          <w:sz w:val="21"/>
          <w:szCs w:val="21"/>
          <w:lang w:val="es-ES"/>
        </w:rPr>
        <w:lastRenderedPageBreak/>
        <w:t>partir de la inscripción de la última multa o incumplimiento en el Registro Único de Proponentes, de acuerdo con la información remitida por las entidades públicas. La inhabilidad pertinente se hará explícita en el texto del respectivo</w:t>
      </w:r>
      <w:r w:rsidRPr="001F461B">
        <w:rPr>
          <w:rFonts w:ascii="Century Gothic" w:eastAsia="Arial" w:hAnsi="Century Gothic" w:cs="Arial"/>
          <w:color w:val="000000" w:themeColor="text1"/>
          <w:spacing w:val="-25"/>
          <w:sz w:val="21"/>
          <w:szCs w:val="21"/>
          <w:lang w:val="es-ES"/>
        </w:rPr>
        <w:t xml:space="preserve"> </w:t>
      </w:r>
      <w:r w:rsidRPr="001F461B">
        <w:rPr>
          <w:rFonts w:ascii="Century Gothic" w:eastAsia="Arial" w:hAnsi="Century Gothic" w:cs="Arial"/>
          <w:color w:val="000000" w:themeColor="text1"/>
          <w:sz w:val="21"/>
          <w:szCs w:val="21"/>
          <w:lang w:val="es-ES"/>
        </w:rPr>
        <w:t>certificado.</w:t>
      </w:r>
    </w:p>
    <w:p w14:paraId="34CDCF69" w14:textId="77777777" w:rsidR="00176ACA" w:rsidRPr="001F461B" w:rsidRDefault="00176ACA" w:rsidP="00176ACA">
      <w:pPr>
        <w:widowControl w:val="0"/>
        <w:autoSpaceDE w:val="0"/>
        <w:autoSpaceDN w:val="0"/>
        <w:spacing w:after="0"/>
        <w:ind w:left="709" w:right="709"/>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Parágrafo. La inhabilidad a que se refiere el presente artículo se extenderá a los socios de sociedades de personas a las cuales se haya declarado esta inhabilidad, así como las sociedades de personas de las que aquellos formen parte con posterioridad a dicha declaratoria”.</w:t>
      </w:r>
    </w:p>
    <w:p w14:paraId="569AC456" w14:textId="77777777" w:rsidR="00176ACA" w:rsidRPr="001F461B" w:rsidRDefault="00176ACA" w:rsidP="00176ACA">
      <w:pPr>
        <w:widowControl w:val="0"/>
        <w:autoSpaceDE w:val="0"/>
        <w:autoSpaceDN w:val="0"/>
        <w:spacing w:after="0" w:line="276" w:lineRule="auto"/>
        <w:ind w:left="100" w:right="108" w:firstLine="608"/>
        <w:jc w:val="both"/>
        <w:rPr>
          <w:rFonts w:ascii="Century Gothic" w:eastAsia="Arial" w:hAnsi="Century Gothic" w:cs="Arial"/>
          <w:color w:val="000000" w:themeColor="text1"/>
          <w:lang w:val="es-ES"/>
        </w:rPr>
      </w:pPr>
    </w:p>
    <w:p w14:paraId="0A6B053E" w14:textId="77777777" w:rsidR="00176ACA" w:rsidRPr="001F461B" w:rsidRDefault="00176ACA" w:rsidP="00176ACA">
      <w:pPr>
        <w:widowControl w:val="0"/>
        <w:autoSpaceDE w:val="0"/>
        <w:autoSpaceDN w:val="0"/>
        <w:spacing w:after="120" w:line="276" w:lineRule="auto"/>
        <w:ind w:right="108" w:firstLine="709"/>
        <w:jc w:val="both"/>
        <w:rPr>
          <w:rFonts w:ascii="Century Gothic" w:eastAsia="Arial" w:hAnsi="Century Gothic" w:cs="Arial"/>
          <w:color w:val="000000" w:themeColor="text1"/>
          <w:lang w:val="es-ES"/>
        </w:rPr>
      </w:pPr>
      <w:r w:rsidRPr="001F461B">
        <w:rPr>
          <w:rFonts w:ascii="Century Gothic" w:eastAsia="Arial" w:hAnsi="Century Gothic" w:cs="Arial"/>
          <w:color w:val="000000" w:themeColor="text1"/>
          <w:lang w:val="es-ES"/>
        </w:rPr>
        <w:t>Como se aprecia, el texto original de la Ley 1474 de 2011, contemplaba tres (3) supuestos de hecho que daban lugar a la configuración de la inhabilidad: a) el primero relativo a la imposición de cinco (5) multas por incumplimiento –parcial– durante una misma vigencia fiscal, con una o varias entidades estatales; b) un segundo supuesto que consistía en la concurrencia de dos (2) declaratorias de incumplimiento –definitivo</w:t>
      </w:r>
      <w:r w:rsidRPr="001F461B">
        <w:rPr>
          <w:rFonts w:ascii="Century Gothic" w:eastAsia="Arial" w:hAnsi="Century Gothic" w:cs="Arial"/>
          <w:color w:val="000000" w:themeColor="text1"/>
          <w:lang w:val="es-ES"/>
        </w:rPr>
        <w:softHyphen/>
        <w:t>– de contratos durante una misma vigencia fiscal, con una o varias entidades estatales; y c) un tercer supuesto alusivo a la imposición de dos (2) multas y una (1) declaratoria de incumplimiento –definitivo–, durante una misma vigencia fiscal con una o varias entidades estatales</w:t>
      </w:r>
      <w:r w:rsidRPr="001F461B">
        <w:rPr>
          <w:rStyle w:val="Refdenotaalpie"/>
          <w:rFonts w:ascii="Century Gothic" w:eastAsia="Arial" w:hAnsi="Century Gothic" w:cs="Arial"/>
        </w:rPr>
        <w:footnoteReference w:id="17"/>
      </w:r>
      <w:r w:rsidRPr="001F461B">
        <w:rPr>
          <w:rFonts w:ascii="Century Gothic" w:eastAsia="Arial" w:hAnsi="Century Gothic" w:cs="Arial"/>
          <w:color w:val="000000" w:themeColor="text1"/>
          <w:lang w:val="es-ES"/>
        </w:rPr>
        <w:t>. Ante la configuración de cualquiera de tales supuestos, la persona incursa en los mismos quedaba inhabilitada por un periodo de tres (3) años contados a partir de la fecha de inscripción en el RUP de la última multa o declaratoria de incumplimiento.</w:t>
      </w:r>
    </w:p>
    <w:p w14:paraId="46B4C183" w14:textId="77777777" w:rsidR="00176ACA" w:rsidRPr="001F461B" w:rsidRDefault="00176ACA" w:rsidP="00176ACA">
      <w:pPr>
        <w:widowControl w:val="0"/>
        <w:autoSpaceDE w:val="0"/>
        <w:autoSpaceDN w:val="0"/>
        <w:spacing w:after="0" w:line="276" w:lineRule="auto"/>
        <w:ind w:right="108" w:firstLine="709"/>
        <w:jc w:val="both"/>
        <w:rPr>
          <w:rFonts w:ascii="Century Gothic" w:eastAsia="Arial" w:hAnsi="Century Gothic" w:cs="Arial"/>
          <w:color w:val="000000" w:themeColor="text1"/>
          <w:lang w:val="es-ES"/>
        </w:rPr>
      </w:pPr>
      <w:r w:rsidRPr="001F461B">
        <w:rPr>
          <w:rFonts w:ascii="Century Gothic" w:eastAsia="Arial" w:hAnsi="Century Gothic" w:cs="Arial"/>
          <w:color w:val="000000" w:themeColor="text1"/>
          <w:lang w:val="es-ES"/>
        </w:rPr>
        <w:t>Posteriormente, los literales a) y b) transcritos fueron modificados por el artículo 43 de la Ley 1955 de 2019, en lo atinente al intervalo de tiempo dentro del que se deben presentar las multas y declaratorias de incumplimiento para que se den los dos primeros supuestos que dan lugar a la configuración de la inhabilidad por incumplimiento reiterado. Los literales a) y b) quedaron de la siguiente manera:</w:t>
      </w:r>
    </w:p>
    <w:p w14:paraId="1F709BF4" w14:textId="77777777" w:rsidR="00176ACA" w:rsidRPr="001F461B" w:rsidRDefault="00176ACA" w:rsidP="00176ACA">
      <w:pPr>
        <w:widowControl w:val="0"/>
        <w:autoSpaceDE w:val="0"/>
        <w:autoSpaceDN w:val="0"/>
        <w:spacing w:before="3" w:after="0"/>
        <w:rPr>
          <w:rFonts w:ascii="Century Gothic" w:eastAsia="Arial" w:hAnsi="Century Gothic" w:cs="Arial"/>
          <w:color w:val="000000" w:themeColor="text1"/>
          <w:lang w:val="es-ES"/>
        </w:rPr>
      </w:pPr>
    </w:p>
    <w:p w14:paraId="3E1B9F8E" w14:textId="77777777" w:rsidR="00176ACA" w:rsidRPr="001F461B" w:rsidRDefault="00176ACA" w:rsidP="00176ACA">
      <w:pPr>
        <w:widowControl w:val="0"/>
        <w:tabs>
          <w:tab w:val="left" w:pos="1078"/>
        </w:tabs>
        <w:autoSpaceDE w:val="0"/>
        <w:autoSpaceDN w:val="0"/>
        <w:spacing w:after="120" w:line="240" w:lineRule="auto"/>
        <w:ind w:left="709" w:right="709"/>
        <w:jc w:val="both"/>
        <w:rPr>
          <w:rFonts w:ascii="Century Gothic" w:eastAsia="Arial" w:hAnsi="Century Gothic" w:cs="Arial"/>
          <w:color w:val="000000" w:themeColor="text1"/>
          <w:sz w:val="21"/>
          <w:szCs w:val="21"/>
          <w:lang w:val="es-ES"/>
        </w:rPr>
      </w:pPr>
      <w:r w:rsidRPr="001F461B">
        <w:rPr>
          <w:rFonts w:ascii="Century Gothic" w:eastAsia="Arial" w:hAnsi="Century Gothic" w:cs="Arial"/>
          <w:color w:val="000000" w:themeColor="text1"/>
          <w:sz w:val="21"/>
          <w:szCs w:val="21"/>
          <w:lang w:val="es-ES"/>
        </w:rPr>
        <w:t xml:space="preserve">“a) Haber sido objeto de imposición de cinco (5) o más multas durante la ejecución de uno o varios contratos, con una o varias entidades estatales, </w:t>
      </w:r>
      <w:r w:rsidRPr="001F461B">
        <w:rPr>
          <w:rFonts w:ascii="Century Gothic" w:eastAsia="Arial" w:hAnsi="Century Gothic" w:cs="Arial"/>
          <w:i/>
          <w:color w:val="000000" w:themeColor="text1"/>
          <w:sz w:val="21"/>
          <w:szCs w:val="21"/>
          <w:lang w:val="es-ES"/>
        </w:rPr>
        <w:t>durante los últimos tres (3)</w:t>
      </w:r>
      <w:r w:rsidRPr="001F461B">
        <w:rPr>
          <w:rFonts w:ascii="Century Gothic" w:eastAsia="Arial" w:hAnsi="Century Gothic" w:cs="Arial"/>
          <w:i/>
          <w:color w:val="000000" w:themeColor="text1"/>
          <w:spacing w:val="-4"/>
          <w:sz w:val="21"/>
          <w:szCs w:val="21"/>
          <w:lang w:val="es-ES"/>
        </w:rPr>
        <w:t xml:space="preserve"> </w:t>
      </w:r>
      <w:r w:rsidRPr="001F461B">
        <w:rPr>
          <w:rFonts w:ascii="Century Gothic" w:eastAsia="Arial" w:hAnsi="Century Gothic" w:cs="Arial"/>
          <w:i/>
          <w:color w:val="000000" w:themeColor="text1"/>
          <w:sz w:val="21"/>
          <w:szCs w:val="21"/>
          <w:lang w:val="es-ES"/>
        </w:rPr>
        <w:t>años</w:t>
      </w:r>
      <w:r w:rsidRPr="001F461B">
        <w:rPr>
          <w:rFonts w:ascii="Century Gothic" w:eastAsia="Arial" w:hAnsi="Century Gothic" w:cs="Arial"/>
          <w:color w:val="000000" w:themeColor="text1"/>
          <w:sz w:val="21"/>
          <w:szCs w:val="21"/>
          <w:lang w:val="es-ES"/>
        </w:rPr>
        <w:t>;</w:t>
      </w:r>
    </w:p>
    <w:p w14:paraId="44C4E21A" w14:textId="77777777" w:rsidR="00176ACA" w:rsidRPr="001F461B" w:rsidRDefault="00176ACA" w:rsidP="00176ACA">
      <w:pPr>
        <w:widowControl w:val="0"/>
        <w:tabs>
          <w:tab w:val="left" w:pos="851"/>
        </w:tabs>
        <w:autoSpaceDE w:val="0"/>
        <w:autoSpaceDN w:val="0"/>
        <w:spacing w:before="1" w:after="0" w:line="240" w:lineRule="auto"/>
        <w:ind w:left="709" w:right="709"/>
        <w:jc w:val="both"/>
        <w:rPr>
          <w:rFonts w:ascii="Century Gothic" w:eastAsia="Arial" w:hAnsi="Century Gothic" w:cs="Arial"/>
          <w:color w:val="000000" w:themeColor="text1"/>
          <w:sz w:val="21"/>
          <w:szCs w:val="21"/>
        </w:rPr>
      </w:pPr>
      <w:r w:rsidRPr="001F461B">
        <w:rPr>
          <w:rFonts w:ascii="Century Gothic" w:eastAsia="Arial" w:hAnsi="Century Gothic" w:cs="Arial"/>
          <w:color w:val="000000" w:themeColor="text1"/>
          <w:sz w:val="21"/>
          <w:szCs w:val="21"/>
        </w:rPr>
        <w:t xml:space="preserve">b) Haber sido objeto de declaratorias de incumplimiento contractual en por lo menos dos (2) contratos, con una o varias entidades estatales, </w:t>
      </w:r>
      <w:r w:rsidRPr="001F461B">
        <w:rPr>
          <w:rFonts w:ascii="Century Gothic" w:eastAsia="Arial" w:hAnsi="Century Gothic" w:cs="Arial"/>
          <w:i/>
          <w:color w:val="000000" w:themeColor="text1"/>
          <w:sz w:val="21"/>
          <w:szCs w:val="21"/>
        </w:rPr>
        <w:t xml:space="preserve">durante los últimos tres (3) años </w:t>
      </w:r>
      <w:r w:rsidRPr="001F461B">
        <w:rPr>
          <w:rFonts w:ascii="Century Gothic" w:eastAsia="Arial" w:hAnsi="Century Gothic" w:cs="Arial"/>
          <w:color w:val="000000" w:themeColor="text1"/>
          <w:sz w:val="21"/>
          <w:szCs w:val="21"/>
        </w:rPr>
        <w:t>[…]”. (Énfasis fuera de</w:t>
      </w:r>
      <w:r w:rsidRPr="001F461B">
        <w:rPr>
          <w:rFonts w:ascii="Century Gothic" w:eastAsia="Arial" w:hAnsi="Century Gothic" w:cs="Arial"/>
          <w:color w:val="000000" w:themeColor="text1"/>
          <w:spacing w:val="-6"/>
          <w:sz w:val="21"/>
          <w:szCs w:val="21"/>
        </w:rPr>
        <w:t xml:space="preserve"> </w:t>
      </w:r>
      <w:r w:rsidRPr="001F461B">
        <w:rPr>
          <w:rFonts w:ascii="Century Gothic" w:eastAsia="Arial" w:hAnsi="Century Gothic" w:cs="Arial"/>
          <w:color w:val="000000" w:themeColor="text1"/>
          <w:sz w:val="21"/>
          <w:szCs w:val="21"/>
        </w:rPr>
        <w:t>texto).</w:t>
      </w:r>
    </w:p>
    <w:p w14:paraId="5022DF47" w14:textId="77777777" w:rsidR="00176ACA" w:rsidRPr="001F461B" w:rsidRDefault="00176ACA" w:rsidP="00176ACA">
      <w:pPr>
        <w:widowControl w:val="0"/>
        <w:autoSpaceDE w:val="0"/>
        <w:autoSpaceDN w:val="0"/>
        <w:spacing w:after="0"/>
        <w:rPr>
          <w:rFonts w:ascii="Century Gothic" w:eastAsia="Arial" w:hAnsi="Century Gothic" w:cs="Arial"/>
          <w:color w:val="000000" w:themeColor="text1"/>
          <w:lang w:val="es-ES"/>
        </w:rPr>
      </w:pPr>
    </w:p>
    <w:p w14:paraId="64DC8CD8" w14:textId="77777777" w:rsidR="00176ACA" w:rsidRPr="001F461B" w:rsidRDefault="00176ACA" w:rsidP="00176ACA">
      <w:pPr>
        <w:widowControl w:val="0"/>
        <w:autoSpaceDE w:val="0"/>
        <w:autoSpaceDN w:val="0"/>
        <w:spacing w:line="276" w:lineRule="auto"/>
        <w:ind w:right="114" w:firstLine="708"/>
        <w:jc w:val="both"/>
        <w:rPr>
          <w:rFonts w:ascii="Century Gothic" w:eastAsia="Arial" w:hAnsi="Century Gothic" w:cs="Arial"/>
          <w:color w:val="000000" w:themeColor="text1"/>
          <w:lang w:val="es-ES"/>
        </w:rPr>
      </w:pPr>
      <w:r w:rsidRPr="001F461B">
        <w:rPr>
          <w:rFonts w:ascii="Century Gothic" w:eastAsia="Arial" w:hAnsi="Century Gothic" w:cs="Arial"/>
          <w:color w:val="000000" w:themeColor="text1"/>
          <w:lang w:val="es-ES"/>
        </w:rPr>
        <w:t xml:space="preserve">En ese orden, a la luz del texto original de la Ley 1474 de 2011, para que se </w:t>
      </w:r>
      <w:r w:rsidRPr="001F461B">
        <w:rPr>
          <w:rFonts w:ascii="Century Gothic" w:eastAsia="Arial" w:hAnsi="Century Gothic" w:cs="Arial"/>
          <w:color w:val="000000" w:themeColor="text1"/>
          <w:lang w:val="es-ES"/>
        </w:rPr>
        <w:lastRenderedPageBreak/>
        <w:t>configurara la inhabilidad era necesario que las cinco multas –literal a)– o los dos incumplimientos –literal b)– fueran declarados en la misma vigencia fiscal, esto es, en el mismo año. Después de la modificación introducida por la Ley 1955 de 2019, basta que las dos declaratorias de incumplimiento o las cinco multas se hayan impuesto dentro de los últimos tres años.</w:t>
      </w:r>
    </w:p>
    <w:p w14:paraId="7C142371" w14:textId="77777777" w:rsidR="00176ACA" w:rsidRPr="001F461B" w:rsidRDefault="00176ACA" w:rsidP="00176ACA">
      <w:pPr>
        <w:spacing w:before="120" w:line="276" w:lineRule="auto"/>
        <w:jc w:val="both"/>
        <w:rPr>
          <w:rFonts w:ascii="Century Gothic" w:hAnsi="Century Gothic" w:cs="Arial"/>
          <w:color w:val="000000" w:themeColor="text1"/>
          <w:lang w:val="es-MX"/>
        </w:rPr>
      </w:pPr>
      <w:r w:rsidRPr="001F461B">
        <w:rPr>
          <w:rFonts w:ascii="Century Gothic" w:eastAsia="Calibri" w:hAnsi="Century Gothic" w:cs="Arial"/>
          <w:color w:val="000000" w:themeColor="text1"/>
          <w:lang w:val="es-ES_tradnl"/>
        </w:rPr>
        <w:tab/>
        <w:t xml:space="preserve">Ahora bien, tal modificación, conlleva, en principio, un problema hermenéutico relativo a la aplicación de la ley en el tiempo. Al respecto conviene recordar que </w:t>
      </w:r>
      <w:r w:rsidRPr="001F461B">
        <w:rPr>
          <w:rFonts w:ascii="Century Gothic" w:hAnsi="Century Gothic" w:cs="Arial"/>
          <w:color w:val="000000" w:themeColor="text1"/>
          <w:lang w:val="es-MX"/>
        </w:rPr>
        <w:t>los efectos de una ley se producen a partir de su vigencia, lo que quiere decir que, por regla general, en las leyes colombianas opera la irretroactividad. Así se desprende de la Ley 153 de 1887, que dispuso que la ley posterior prevalece sobre la ley anterior y en el evento en que existan discrepancias entre las mismas se debe aplicar la ley posterior</w:t>
      </w:r>
      <w:r w:rsidRPr="001F461B">
        <w:rPr>
          <w:rStyle w:val="Refdenotaalpie"/>
          <w:rFonts w:ascii="Century Gothic" w:hAnsi="Century Gothic" w:cs="Arial"/>
        </w:rPr>
        <w:footnoteReference w:id="18"/>
      </w:r>
      <w:r w:rsidRPr="001F461B">
        <w:rPr>
          <w:rFonts w:ascii="Century Gothic" w:hAnsi="Century Gothic" w:cs="Arial"/>
          <w:color w:val="000000" w:themeColor="text1"/>
          <w:lang w:val="es-MX"/>
        </w:rPr>
        <w:t>.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social</w:t>
      </w:r>
      <w:r w:rsidRPr="001F461B">
        <w:rPr>
          <w:rStyle w:val="Refdenotaalpie"/>
          <w:rFonts w:ascii="Century Gothic" w:hAnsi="Century Gothic" w:cs="Arial"/>
        </w:rPr>
        <w:footnoteReference w:id="19"/>
      </w:r>
      <w:r w:rsidRPr="001F461B">
        <w:rPr>
          <w:rFonts w:ascii="Century Gothic" w:hAnsi="Century Gothic" w:cs="Arial"/>
          <w:color w:val="000000" w:themeColor="text1"/>
          <w:lang w:val="es-MX"/>
        </w:rPr>
        <w:t>.</w:t>
      </w:r>
    </w:p>
    <w:p w14:paraId="2BA09240" w14:textId="77777777" w:rsidR="00176ACA" w:rsidRPr="001F461B" w:rsidRDefault="00176ACA" w:rsidP="00176ACA">
      <w:pPr>
        <w:widowControl w:val="0"/>
        <w:autoSpaceDE w:val="0"/>
        <w:autoSpaceDN w:val="0"/>
        <w:spacing w:after="120" w:line="274" w:lineRule="auto"/>
        <w:ind w:right="51" w:firstLine="709"/>
        <w:jc w:val="both"/>
        <w:rPr>
          <w:rFonts w:ascii="Century Gothic" w:eastAsia="Arial" w:hAnsi="Century Gothic" w:cs="Arial"/>
          <w:color w:val="000000" w:themeColor="text1"/>
          <w:lang w:val="es-ES" w:eastAsia="es-ES" w:bidi="es-ES"/>
        </w:rPr>
      </w:pPr>
      <w:r w:rsidRPr="001F461B">
        <w:rPr>
          <w:rFonts w:ascii="Century Gothic" w:eastAsia="Arial" w:hAnsi="Century Gothic" w:cs="Arial"/>
          <w:color w:val="000000" w:themeColor="text1"/>
          <w:lang w:val="es-ES" w:eastAsia="es-ES" w:bidi="es-ES"/>
        </w:rPr>
        <w:t>Conforme a lo anterior, el conflicto sobre la aplicación de una ley se presenta cuando en vigencia de la ley anterior nace un hecho allí previsto, sin que se consolide situación jurídica alguna, pero los efectos se producen bajo la vigencia de la ley posterior. De igual forma, cuando se realiza un hecho jurídico bajo la ley anterior pero la ley posterior contempla nuevas condiciones para el reconocimiento de sus efectos, es decir, en vigencia de la ley anterior solo se presentaron situaciones que generaron una simple expectativa</w:t>
      </w:r>
      <w:r w:rsidRPr="001F461B">
        <w:rPr>
          <w:rStyle w:val="Refdenotaalpie"/>
          <w:rFonts w:ascii="Century Gothic" w:eastAsia="Arial" w:hAnsi="Century Gothic" w:cs="Arial"/>
        </w:rPr>
        <w:footnoteReference w:id="20"/>
      </w:r>
      <w:r w:rsidRPr="001F461B">
        <w:rPr>
          <w:rFonts w:ascii="Century Gothic" w:eastAsia="Arial" w:hAnsi="Century Gothic" w:cs="Arial"/>
          <w:color w:val="000000" w:themeColor="text1"/>
          <w:lang w:val="es-ES" w:eastAsia="es-ES" w:bidi="es-ES"/>
        </w:rPr>
        <w:t>.</w:t>
      </w:r>
    </w:p>
    <w:p w14:paraId="4A175FD1" w14:textId="77777777" w:rsidR="00176ACA" w:rsidRPr="001F461B" w:rsidRDefault="00176ACA" w:rsidP="00176ACA">
      <w:pPr>
        <w:widowControl w:val="0"/>
        <w:autoSpaceDE w:val="0"/>
        <w:autoSpaceDN w:val="0"/>
        <w:spacing w:after="0" w:line="276" w:lineRule="auto"/>
        <w:ind w:right="49" w:firstLine="708"/>
        <w:jc w:val="both"/>
        <w:rPr>
          <w:rFonts w:ascii="Century Gothic" w:eastAsia="Arial" w:hAnsi="Century Gothic" w:cs="Arial"/>
          <w:color w:val="000000" w:themeColor="text1"/>
          <w:lang w:val="es-ES" w:eastAsia="es-ES" w:bidi="es-ES"/>
        </w:rPr>
      </w:pPr>
      <w:r w:rsidRPr="001F461B">
        <w:rPr>
          <w:rFonts w:ascii="Century Gothic" w:eastAsia="Arial" w:hAnsi="Century Gothic" w:cs="Arial"/>
          <w:color w:val="000000" w:themeColor="text1"/>
          <w:lang w:val="es-ES" w:eastAsia="es-ES" w:bidi="es-ES"/>
        </w:rPr>
        <w:lastRenderedPageBreak/>
        <w:t>En ese sentido, ¿cómo debe resolverse el conflicto de la aplicación de la ley en el tiempo en lo relativo al supuesto de hecho del literal b) del artículo 90 de la Ley 1474 de 2011, tras su modificación por cuenta del artículo 43 de la Ley 1955 de 2019? Lo anterior obliga a determinar a partir de cuándo debe contarse el término de tres (3) años, o si para la configuración de la inhabilidad resulta válido tener en cuenta declaratorias de incumplimiento consolidadas antes de la vigencia de la Ley 1955 de 2019. Sobre este particular esta Agencia, en el Concepto 4201913000005694 del 3 de octubre de 2019, explicó lo siguiente:</w:t>
      </w:r>
    </w:p>
    <w:p w14:paraId="7DC3A219" w14:textId="77777777" w:rsidR="00176ACA" w:rsidRPr="001F461B" w:rsidRDefault="00176ACA" w:rsidP="00176ACA">
      <w:pPr>
        <w:widowControl w:val="0"/>
        <w:autoSpaceDE w:val="0"/>
        <w:autoSpaceDN w:val="0"/>
        <w:spacing w:after="0" w:line="276" w:lineRule="auto"/>
        <w:ind w:right="49" w:firstLine="708"/>
        <w:jc w:val="both"/>
        <w:rPr>
          <w:rFonts w:ascii="Century Gothic" w:eastAsia="Arial" w:hAnsi="Century Gothic" w:cs="Arial"/>
          <w:color w:val="000000" w:themeColor="text1"/>
          <w:lang w:val="es-ES" w:eastAsia="es-ES" w:bidi="es-ES"/>
        </w:rPr>
      </w:pPr>
    </w:p>
    <w:p w14:paraId="552E9CBB" w14:textId="77777777" w:rsidR="00176ACA" w:rsidRPr="001F461B" w:rsidRDefault="00176ACA" w:rsidP="00176ACA">
      <w:pPr>
        <w:widowControl w:val="0"/>
        <w:autoSpaceDE w:val="0"/>
        <w:autoSpaceDN w:val="0"/>
        <w:spacing w:after="120"/>
        <w:ind w:left="709" w:right="709"/>
        <w:jc w:val="both"/>
        <w:rPr>
          <w:rFonts w:ascii="Century Gothic" w:eastAsia="Arial" w:hAnsi="Century Gothic" w:cs="Arial"/>
          <w:color w:val="000000" w:themeColor="text1"/>
          <w:sz w:val="21"/>
          <w:szCs w:val="21"/>
          <w:lang w:val="es-ES" w:eastAsia="es-ES" w:bidi="es-ES"/>
        </w:rPr>
      </w:pPr>
      <w:r w:rsidRPr="001F461B">
        <w:rPr>
          <w:rFonts w:ascii="Century Gothic" w:eastAsia="Arial" w:hAnsi="Century Gothic" w:cs="Arial"/>
          <w:color w:val="000000" w:themeColor="text1"/>
          <w:sz w:val="21"/>
          <w:szCs w:val="21"/>
          <w:lang w:val="es-ES" w:eastAsia="es-ES" w:bidi="es-ES"/>
        </w:rPr>
        <w:t>“El 25 de mayo del presente año entró a regir la Ley 1955 de 2019, la cual modificó lo dispuesto en el artículo 90 de la Ley 1474 de 2011, ampliando el plazo durante el cual se deben declarar las sanciones a un contratista para que se configure la inhabilidad por incumplimiento reiterado.</w:t>
      </w:r>
    </w:p>
    <w:p w14:paraId="783F9150" w14:textId="77777777" w:rsidR="00176ACA" w:rsidRPr="001F461B" w:rsidRDefault="00176ACA" w:rsidP="00176ACA">
      <w:pPr>
        <w:widowControl w:val="0"/>
        <w:autoSpaceDE w:val="0"/>
        <w:autoSpaceDN w:val="0"/>
        <w:spacing w:after="120"/>
        <w:ind w:left="709" w:right="709"/>
        <w:jc w:val="both"/>
        <w:rPr>
          <w:rFonts w:ascii="Century Gothic" w:eastAsia="Arial" w:hAnsi="Century Gothic" w:cs="Arial"/>
          <w:color w:val="000000" w:themeColor="text1"/>
          <w:sz w:val="21"/>
          <w:szCs w:val="21"/>
          <w:lang w:val="es-ES" w:eastAsia="es-ES" w:bidi="es-ES"/>
        </w:rPr>
      </w:pPr>
      <w:r w:rsidRPr="001F461B">
        <w:rPr>
          <w:rFonts w:ascii="Century Gothic" w:eastAsia="Arial" w:hAnsi="Century Gothic" w:cs="Arial"/>
          <w:color w:val="000000" w:themeColor="text1"/>
          <w:sz w:val="21"/>
          <w:szCs w:val="21"/>
          <w:lang w:val="es-ES" w:eastAsia="es-ES" w:bidi="es-ES"/>
        </w:rPr>
        <w:t>El legislador no contemplo excepción frente a la aplicación retroactiva de la Ley 1955 de 2019, y si bien la inhabilidad del artículo 43 es de carácter sancionatorio, por tratarse de la potestad punitiva del Estado, el principio de favorabilidad es aplicable al proceso sancionatorio administrativo en virtud de lo establecido en el artículo 29 de la Constitución Política y en la Ley 1437 de 2011.</w:t>
      </w:r>
    </w:p>
    <w:p w14:paraId="39B6B308" w14:textId="77777777" w:rsidR="00176ACA" w:rsidRPr="001F461B" w:rsidRDefault="00176ACA" w:rsidP="00176ACA">
      <w:pPr>
        <w:widowControl w:val="0"/>
        <w:autoSpaceDE w:val="0"/>
        <w:autoSpaceDN w:val="0"/>
        <w:spacing w:after="120"/>
        <w:ind w:left="709" w:right="709"/>
        <w:jc w:val="both"/>
        <w:rPr>
          <w:rFonts w:ascii="Century Gothic" w:eastAsia="Arial" w:hAnsi="Century Gothic" w:cs="Arial"/>
          <w:color w:val="000000" w:themeColor="text1"/>
          <w:sz w:val="21"/>
          <w:szCs w:val="21"/>
          <w:lang w:val="es-ES" w:eastAsia="es-ES" w:bidi="es-ES"/>
        </w:rPr>
      </w:pPr>
      <w:r w:rsidRPr="001F461B">
        <w:rPr>
          <w:rFonts w:ascii="Century Gothic" w:eastAsia="Arial" w:hAnsi="Century Gothic" w:cs="Arial"/>
          <w:color w:val="000000" w:themeColor="text1"/>
          <w:sz w:val="21"/>
          <w:szCs w:val="21"/>
          <w:lang w:val="es-ES" w:eastAsia="es-ES" w:bidi="es-ES"/>
        </w:rPr>
        <w:t xml:space="preserve">Ahora, la Ley en mención tampoco contempló su aplicación retrospectiva a las situaciones de hecho que tuvieron lugar antes de su </w:t>
      </w:r>
      <w:proofErr w:type="gramStart"/>
      <w:r w:rsidRPr="001F461B">
        <w:rPr>
          <w:rFonts w:ascii="Century Gothic" w:eastAsia="Arial" w:hAnsi="Century Gothic" w:cs="Arial"/>
          <w:color w:val="000000" w:themeColor="text1"/>
          <w:sz w:val="21"/>
          <w:szCs w:val="21"/>
          <w:lang w:val="es-ES" w:eastAsia="es-ES" w:bidi="es-ES"/>
        </w:rPr>
        <w:t>entrada en vigencia</w:t>
      </w:r>
      <w:proofErr w:type="gramEnd"/>
      <w:r w:rsidRPr="001F461B">
        <w:rPr>
          <w:rFonts w:ascii="Century Gothic" w:eastAsia="Arial" w:hAnsi="Century Gothic" w:cs="Arial"/>
          <w:color w:val="000000" w:themeColor="text1"/>
          <w:sz w:val="21"/>
          <w:szCs w:val="21"/>
          <w:lang w:val="es-ES" w:eastAsia="es-ES" w:bidi="es-ES"/>
        </w:rPr>
        <w:t xml:space="preserve">, porque sencillamente si dichas situaciones se hubiesen presentado en vigencia del artículo 90 de la Ley 1474 de 2011 se hubiera configurado la inhabilidad; en este sentido sus efectos tampoco serían </w:t>
      </w:r>
      <w:proofErr w:type="spellStart"/>
      <w:r w:rsidRPr="001F461B">
        <w:rPr>
          <w:rFonts w:ascii="Century Gothic" w:eastAsia="Arial" w:hAnsi="Century Gothic" w:cs="Arial"/>
          <w:color w:val="000000" w:themeColor="text1"/>
          <w:sz w:val="21"/>
          <w:szCs w:val="21"/>
          <w:lang w:val="es-ES" w:eastAsia="es-ES" w:bidi="es-ES"/>
        </w:rPr>
        <w:t>ultraactivos</w:t>
      </w:r>
      <w:proofErr w:type="spellEnd"/>
      <w:r w:rsidRPr="001F461B">
        <w:rPr>
          <w:rFonts w:ascii="Century Gothic" w:eastAsia="Arial" w:hAnsi="Century Gothic" w:cs="Arial"/>
          <w:color w:val="000000" w:themeColor="text1"/>
          <w:sz w:val="21"/>
          <w:szCs w:val="21"/>
          <w:lang w:val="es-ES" w:eastAsia="es-ES" w:bidi="es-ES"/>
        </w:rPr>
        <w:t>.</w:t>
      </w:r>
    </w:p>
    <w:p w14:paraId="30FF153F" w14:textId="77777777" w:rsidR="00176ACA" w:rsidRPr="001F461B" w:rsidRDefault="00176ACA" w:rsidP="00176ACA">
      <w:pPr>
        <w:widowControl w:val="0"/>
        <w:autoSpaceDE w:val="0"/>
        <w:autoSpaceDN w:val="0"/>
        <w:spacing w:after="120"/>
        <w:ind w:left="709" w:right="709"/>
        <w:jc w:val="both"/>
        <w:rPr>
          <w:rFonts w:ascii="Century Gothic" w:eastAsia="Arial" w:hAnsi="Century Gothic" w:cs="Arial"/>
          <w:color w:val="000000" w:themeColor="text1"/>
          <w:sz w:val="21"/>
          <w:szCs w:val="21"/>
          <w:lang w:val="es-ES" w:eastAsia="es-ES" w:bidi="es-ES"/>
        </w:rPr>
      </w:pPr>
      <w:r w:rsidRPr="001F461B">
        <w:rPr>
          <w:rFonts w:ascii="Century Gothic" w:eastAsia="Arial" w:hAnsi="Century Gothic" w:cs="Arial"/>
          <w:color w:val="000000" w:themeColor="text1"/>
          <w:sz w:val="21"/>
          <w:szCs w:val="21"/>
          <w:lang w:val="es-ES" w:eastAsia="es-ES" w:bidi="es-ES"/>
        </w:rPr>
        <w:t xml:space="preserve">Así las cosas, los efectos del artículo 43 de la Ley 1955 de 2019 se producen hacia el futuro, y en este sentido no se podrán tener en cuenta las sanciones impuestas antes del 25 de mayo de 2019, ya que la Ley 1955 de 2019 derogó todas las disposiciones contrarias.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w:t>
      </w:r>
      <w:r w:rsidRPr="001F461B">
        <w:rPr>
          <w:rFonts w:ascii="Century Gothic" w:eastAsia="Arial" w:hAnsi="Century Gothic" w:cs="Arial"/>
          <w:color w:val="000000" w:themeColor="text1"/>
          <w:sz w:val="21"/>
          <w:szCs w:val="21"/>
          <w:lang w:val="es-ES" w:eastAsia="es-ES" w:bidi="es-ES"/>
        </w:rPr>
        <w:lastRenderedPageBreak/>
        <w:t>de incumplimiento contractual en por lo menos dos (2) contratos. Esto quiere decir que no es posible acumular las sanciones anteriores ni tampoco los años durante los cuales aquellas fueron impuestas.</w:t>
      </w:r>
    </w:p>
    <w:p w14:paraId="44DED579" w14:textId="77777777" w:rsidR="00176ACA" w:rsidRPr="001F461B" w:rsidRDefault="00176ACA" w:rsidP="00176ACA">
      <w:pPr>
        <w:widowControl w:val="0"/>
        <w:autoSpaceDE w:val="0"/>
        <w:autoSpaceDN w:val="0"/>
        <w:spacing w:after="0"/>
        <w:ind w:left="709" w:right="709"/>
        <w:jc w:val="both"/>
        <w:rPr>
          <w:rFonts w:ascii="Century Gothic" w:eastAsia="Arial" w:hAnsi="Century Gothic" w:cs="Arial"/>
          <w:color w:val="000000" w:themeColor="text1"/>
          <w:sz w:val="21"/>
          <w:szCs w:val="21"/>
          <w:lang w:val="es-ES" w:eastAsia="es-ES" w:bidi="es-ES"/>
        </w:rPr>
      </w:pPr>
      <w:r w:rsidRPr="001F461B">
        <w:rPr>
          <w:rFonts w:ascii="Century Gothic" w:eastAsia="Arial" w:hAnsi="Century Gothic" w:cs="Arial"/>
          <w:color w:val="000000" w:themeColor="text1"/>
          <w:sz w:val="21"/>
          <w:szCs w:val="21"/>
          <w:lang w:val="es-ES" w:eastAsia="es-ES" w:bidi="es-ES"/>
        </w:rPr>
        <w:t xml:space="preserve">[…] la Constitución Política dispone en materia del derecho al debido proceso, que nadie podrá ser juzgado sino conforme a leyes preexistentes al acto que se le imputa, lo cual aplica para el caso de las inhabilidades de naturaleza sancionatoria, pues como se anotó en precedencia, estas limitan derechos subjetivos. Por lo anterior, la inhabilidad por incumplimiento reiterado después del 25 de mayo de 2019 se debe configurar según lo indicado en el artículo 43 de la Ley 1955 de 2019, a menos que antes de su </w:t>
      </w:r>
      <w:proofErr w:type="gramStart"/>
      <w:r w:rsidRPr="001F461B">
        <w:rPr>
          <w:rFonts w:ascii="Century Gothic" w:eastAsia="Arial" w:hAnsi="Century Gothic" w:cs="Arial"/>
          <w:color w:val="000000" w:themeColor="text1"/>
          <w:sz w:val="21"/>
          <w:szCs w:val="21"/>
          <w:lang w:val="es-ES" w:eastAsia="es-ES" w:bidi="es-ES"/>
        </w:rPr>
        <w:t>entrada en vigencia</w:t>
      </w:r>
      <w:proofErr w:type="gramEnd"/>
      <w:r w:rsidRPr="001F461B">
        <w:rPr>
          <w:rFonts w:ascii="Century Gothic" w:eastAsia="Arial" w:hAnsi="Century Gothic" w:cs="Arial"/>
          <w:color w:val="000000" w:themeColor="text1"/>
          <w:sz w:val="21"/>
          <w:szCs w:val="21"/>
          <w:lang w:val="es-ES" w:eastAsia="es-ES" w:bidi="es-ES"/>
        </w:rPr>
        <w:t xml:space="preserve"> se hubiese consolidado la situación jurídica prevista en el artículo 90 de la Ley 1474 de 2011”</w:t>
      </w:r>
      <w:r w:rsidRPr="001F461B">
        <w:rPr>
          <w:rStyle w:val="Refdenotaalpie"/>
          <w:rFonts w:ascii="Century Gothic" w:eastAsia="Arial" w:hAnsi="Century Gothic" w:cs="Arial"/>
          <w:sz w:val="21"/>
          <w:szCs w:val="21"/>
        </w:rPr>
        <w:footnoteReference w:id="21"/>
      </w:r>
      <w:r w:rsidRPr="001F461B">
        <w:rPr>
          <w:rFonts w:ascii="Century Gothic" w:eastAsia="Arial" w:hAnsi="Century Gothic" w:cs="Arial"/>
          <w:color w:val="000000" w:themeColor="text1"/>
          <w:sz w:val="21"/>
          <w:szCs w:val="21"/>
          <w:lang w:val="es-ES" w:eastAsia="es-ES" w:bidi="es-ES"/>
        </w:rPr>
        <w:t>.</w:t>
      </w:r>
    </w:p>
    <w:p w14:paraId="33B056A7" w14:textId="77777777" w:rsidR="00176ACA" w:rsidRPr="001F461B" w:rsidRDefault="00176ACA" w:rsidP="00176ACA">
      <w:pPr>
        <w:widowControl w:val="0"/>
        <w:autoSpaceDE w:val="0"/>
        <w:autoSpaceDN w:val="0"/>
        <w:spacing w:after="0" w:line="273" w:lineRule="auto"/>
        <w:ind w:right="49" w:firstLine="708"/>
        <w:jc w:val="both"/>
        <w:rPr>
          <w:rFonts w:ascii="Century Gothic" w:eastAsia="Arial" w:hAnsi="Century Gothic" w:cs="Arial"/>
          <w:color w:val="000000" w:themeColor="text1"/>
          <w:lang w:val="es-ES" w:eastAsia="es-ES" w:bidi="es-ES"/>
        </w:rPr>
      </w:pPr>
    </w:p>
    <w:p w14:paraId="0EF91A64" w14:textId="77777777" w:rsidR="00176ACA" w:rsidRPr="001F461B" w:rsidRDefault="00176ACA" w:rsidP="00176ACA">
      <w:pPr>
        <w:spacing w:after="120" w:line="276" w:lineRule="auto"/>
        <w:jc w:val="both"/>
        <w:rPr>
          <w:rFonts w:ascii="Century Gothic" w:hAnsi="Century Gothic" w:cs="Arial"/>
          <w:color w:val="000000" w:themeColor="text1"/>
          <w:lang w:val="es-MX"/>
        </w:rPr>
      </w:pPr>
      <w:r w:rsidRPr="001F461B">
        <w:rPr>
          <w:rFonts w:ascii="Century Gothic" w:hAnsi="Century Gothic" w:cs="Arial"/>
          <w:color w:val="000000" w:themeColor="text1"/>
          <w:lang w:val="es-MX"/>
        </w:rPr>
        <w:tab/>
        <w:t xml:space="preserve">De acuerdo con tales consideraciones, dado que los efectos del artículo 43 de la Ley 1955 de 2019 se producen hacia al futuro, y al haberse derogado el texto original de los literales a y b del artículo 90 de la Ley 1474 de 2011 –y no haberse dispuesto efectos </w:t>
      </w:r>
      <w:proofErr w:type="spellStart"/>
      <w:r w:rsidRPr="001F461B">
        <w:rPr>
          <w:rFonts w:ascii="Century Gothic" w:hAnsi="Century Gothic" w:cs="Arial"/>
          <w:color w:val="000000" w:themeColor="text1"/>
          <w:lang w:val="es-MX"/>
        </w:rPr>
        <w:t>ultractivos</w:t>
      </w:r>
      <w:proofErr w:type="spellEnd"/>
      <w:r w:rsidRPr="001F461B">
        <w:rPr>
          <w:rFonts w:ascii="Century Gothic" w:hAnsi="Century Gothic" w:cs="Arial"/>
          <w:color w:val="000000" w:themeColor="text1"/>
          <w:lang w:val="es-MX"/>
        </w:rPr>
        <w:t>–, para que se configure la causal de inhabilidad aludida es necesario que las declaratorias de incumplimiento se hayan consolidado con posterioridad a la entrada en vigencia de la Ley 1955 de 2019, esto es, del 25 de mayo de 2019 en adelante.</w:t>
      </w:r>
    </w:p>
    <w:p w14:paraId="05761A04" w14:textId="77777777" w:rsidR="00176ACA" w:rsidRPr="001F461B" w:rsidRDefault="00176ACA" w:rsidP="00176ACA">
      <w:pPr>
        <w:spacing w:after="120" w:line="276" w:lineRule="auto"/>
        <w:jc w:val="both"/>
        <w:rPr>
          <w:rFonts w:ascii="Century Gothic" w:hAnsi="Century Gothic" w:cs="Arial"/>
          <w:color w:val="000000" w:themeColor="text1"/>
          <w:lang w:val="es-MX"/>
        </w:rPr>
      </w:pPr>
      <w:r w:rsidRPr="001F461B">
        <w:rPr>
          <w:rFonts w:ascii="Century Gothic" w:hAnsi="Century Gothic" w:cs="Arial"/>
          <w:color w:val="000000" w:themeColor="text1"/>
          <w:lang w:val="es-MX"/>
        </w:rPr>
        <w:tab/>
        <w:t xml:space="preserve">Tal interpretación además se impone con ocasión del carácter sancionador o </w:t>
      </w:r>
      <w:r w:rsidRPr="001F461B">
        <w:rPr>
          <w:rFonts w:ascii="Century Gothic" w:hAnsi="Century Gothic" w:cs="Arial"/>
          <w:i/>
          <w:iCs/>
          <w:color w:val="000000" w:themeColor="text1"/>
          <w:lang w:val="es-MX"/>
        </w:rPr>
        <w:t>punitivo</w:t>
      </w:r>
      <w:r w:rsidRPr="001F461B">
        <w:rPr>
          <w:rStyle w:val="Refdenotaalpie"/>
          <w:rFonts w:ascii="Century Gothic" w:hAnsi="Century Gothic" w:cs="Arial"/>
        </w:rPr>
        <w:footnoteReference w:id="22"/>
      </w:r>
      <w:r w:rsidRPr="001F461B">
        <w:rPr>
          <w:rFonts w:ascii="Century Gothic" w:hAnsi="Century Gothic" w:cs="Arial"/>
          <w:color w:val="000000" w:themeColor="text1"/>
          <w:lang w:val="es-MX"/>
        </w:rPr>
        <w:t xml:space="preserve"> de la inhabilidad por incumplimiento reiterado, que implica que su aplicación deba ser respetuosa del debido proceso</w:t>
      </w:r>
      <w:r w:rsidRPr="001F461B">
        <w:rPr>
          <w:rStyle w:val="Refdenotaalpie"/>
          <w:rFonts w:ascii="Century Gothic" w:hAnsi="Century Gothic" w:cs="Arial"/>
        </w:rPr>
        <w:footnoteReference w:id="23"/>
      </w:r>
      <w:r w:rsidRPr="001F461B">
        <w:rPr>
          <w:rFonts w:ascii="Century Gothic" w:hAnsi="Century Gothic" w:cs="Arial"/>
          <w:color w:val="000000" w:themeColor="text1"/>
          <w:lang w:val="es-MX"/>
        </w:rPr>
        <w:t xml:space="preserve"> y el principio de legalidad de </w:t>
      </w:r>
      <w:r w:rsidRPr="001F461B">
        <w:rPr>
          <w:rFonts w:ascii="Century Gothic" w:hAnsi="Century Gothic" w:cs="Arial"/>
          <w:color w:val="000000" w:themeColor="text1"/>
          <w:lang w:val="es-MX"/>
        </w:rPr>
        <w:lastRenderedPageBreak/>
        <w:t>las faltas y de las sanciones</w:t>
      </w:r>
      <w:r w:rsidRPr="001F461B">
        <w:rPr>
          <w:rStyle w:val="Refdenotaalpie"/>
          <w:rFonts w:ascii="Century Gothic" w:hAnsi="Century Gothic" w:cs="Arial"/>
        </w:rPr>
        <w:footnoteReference w:id="24"/>
      </w:r>
      <w:r w:rsidRPr="001F461B">
        <w:rPr>
          <w:rFonts w:ascii="Century Gothic" w:hAnsi="Century Gothic" w:cs="Arial"/>
          <w:color w:val="000000" w:themeColor="text1"/>
          <w:lang w:val="es-MX"/>
        </w:rPr>
        <w:t xml:space="preserve">, por lo que circunstancias consolidadas con anterioridad a la entrada en vigencia de la Ley 1955 de 2019 no pueden ser tenidas en cuenta a efectos de configurar la referida inhabilidad, en la medida que el contenido del supuesto de hecho de la falta sancionada con la inhabilidad cambió con la entrada en vigencia de la Ley 1955 de 2019. En tal sentido, admitir la configuración de la inhabilidad conforme al supuesto de hecho vigente respecto de circunstancias anteriores a su entrada en vigor no solo constituiría una aplicación retroactiva de la ley, sino también una vulneración al principio de legalidad y los postulados del derecho al debido proceso. </w:t>
      </w:r>
    </w:p>
    <w:p w14:paraId="1ED0BAF6" w14:textId="77777777" w:rsidR="00176ACA" w:rsidRPr="001F461B" w:rsidRDefault="00176ACA" w:rsidP="718AB5D5">
      <w:pPr>
        <w:spacing w:after="120" w:line="276" w:lineRule="auto"/>
        <w:ind w:firstLine="709"/>
        <w:jc w:val="both"/>
        <w:rPr>
          <w:rFonts w:ascii="Century Gothic" w:eastAsia="Calibri" w:hAnsi="Century Gothic" w:cs="Arial"/>
          <w:color w:val="000000" w:themeColor="text1"/>
          <w:lang w:val="es-ES"/>
        </w:rPr>
      </w:pPr>
      <w:r w:rsidRPr="718AB5D5">
        <w:rPr>
          <w:rFonts w:ascii="Century Gothic" w:eastAsia="Calibri" w:hAnsi="Century Gothic" w:cs="Arial"/>
          <w:color w:val="000000" w:themeColor="text1"/>
          <w:lang w:val="es-ES"/>
        </w:rPr>
        <w:t xml:space="preserve">La postura anterior además se encuentra de acuerdo con el principio </w:t>
      </w:r>
      <w:r w:rsidRPr="718AB5D5">
        <w:rPr>
          <w:rFonts w:ascii="Century Gothic" w:eastAsia="Calibri" w:hAnsi="Century Gothic" w:cs="Arial"/>
          <w:i/>
          <w:iCs/>
          <w:color w:val="000000" w:themeColor="text1"/>
          <w:lang w:val="es-ES"/>
        </w:rPr>
        <w:t xml:space="preserve">pro </w:t>
      </w:r>
      <w:proofErr w:type="spellStart"/>
      <w:r w:rsidRPr="718AB5D5">
        <w:rPr>
          <w:rFonts w:ascii="Century Gothic" w:eastAsia="Calibri" w:hAnsi="Century Gothic" w:cs="Arial"/>
          <w:i/>
          <w:iCs/>
          <w:color w:val="000000" w:themeColor="text1"/>
          <w:lang w:val="es-ES"/>
        </w:rPr>
        <w:t>libertate</w:t>
      </w:r>
      <w:proofErr w:type="spellEnd"/>
      <w:r w:rsidRPr="718AB5D5">
        <w:rPr>
          <w:rFonts w:ascii="Century Gothic" w:eastAsia="Calibri" w:hAnsi="Century Gothic" w:cs="Arial"/>
          <w:color w:val="000000" w:themeColor="text1"/>
          <w:lang w:val="es-ES"/>
        </w:rPr>
        <w:t xml:space="preserve"> que debe dirigir la interpretación de las disposiciones normativas que consagran restricciones de derechos, como son las inhabilidades. Esto en la medida en que asumir una interpretación contraria a la esbozada, esto es, la que indicaría que configurar la causal de inhabilidad en comento resultaría válido considerar hechos ocurridos –en un intervalo de 3 años–, antes de la entrada en vigencia de la Ley 1955 de 2019, implicaría una mayor restricción de derechos, ya que se extenderían los efectos de la norma a un mayor número de casos particulares, lo cual resultaría contrario a la interpretación restrictiva que amerita la norma bajo estudio. </w:t>
      </w:r>
    </w:p>
    <w:p w14:paraId="48A128FD" w14:textId="77777777" w:rsidR="00176ACA" w:rsidRPr="001F461B" w:rsidRDefault="00176ACA" w:rsidP="00176ACA">
      <w:pPr>
        <w:spacing w:after="120" w:line="276" w:lineRule="auto"/>
        <w:ind w:firstLine="709"/>
        <w:jc w:val="both"/>
        <w:rPr>
          <w:rFonts w:ascii="Century Gothic" w:hAnsi="Century Gothic" w:cs="Arial"/>
          <w:color w:val="000000" w:themeColor="text1"/>
          <w:lang w:val="es-MX"/>
        </w:rPr>
      </w:pPr>
      <w:r w:rsidRPr="001F461B">
        <w:rPr>
          <w:rFonts w:ascii="Century Gothic" w:eastAsia="Calibri" w:hAnsi="Century Gothic" w:cs="Arial"/>
          <w:color w:val="000000" w:themeColor="text1"/>
          <w:lang w:val="es-ES_tradnl"/>
        </w:rPr>
        <w:t xml:space="preserve">De otra parte, conviene recordar </w:t>
      </w:r>
      <w:r w:rsidRPr="001F461B">
        <w:rPr>
          <w:rFonts w:ascii="Century Gothic" w:hAnsi="Century Gothic" w:cs="Arial"/>
          <w:color w:val="000000" w:themeColor="text1"/>
          <w:lang w:val="es-MX"/>
        </w:rPr>
        <w:t>que, de conformidad con el inciso anterior al parágrafo del artículo 90 de la Ley 1474 de 2011, la inhabilidad por incumplimiento reiterado surge a partir de la inscripción en el Registro Único de Proponentes de la última multa o declaratoria de incumplimiento requerida para su configuración. Por lo tanto, no se podrá extender la inhabilidad desde que se declaró la sanción por parte de la entidad, pues esto implicaría afectar la interpretación restrictiva que rige en el régimen de inhabilidades e incompatibilidades.</w:t>
      </w:r>
    </w:p>
    <w:p w14:paraId="69AE3F89" w14:textId="77777777" w:rsidR="00176ACA" w:rsidRPr="001F461B" w:rsidRDefault="00176ACA" w:rsidP="00176ACA">
      <w:pPr>
        <w:widowControl w:val="0"/>
        <w:autoSpaceDE w:val="0"/>
        <w:autoSpaceDN w:val="0"/>
        <w:spacing w:after="120" w:line="274" w:lineRule="auto"/>
        <w:ind w:right="51" w:firstLine="709"/>
        <w:jc w:val="both"/>
        <w:rPr>
          <w:rFonts w:ascii="Century Gothic" w:eastAsia="Arial" w:hAnsi="Century Gothic" w:cs="Arial"/>
          <w:color w:val="000000" w:themeColor="text1"/>
          <w:lang w:val="es-ES" w:eastAsia="es-ES" w:bidi="es-ES"/>
        </w:rPr>
      </w:pPr>
      <w:r w:rsidRPr="001F461B">
        <w:rPr>
          <w:rFonts w:ascii="Century Gothic" w:eastAsia="Arial" w:hAnsi="Century Gothic" w:cs="Arial"/>
          <w:color w:val="000000" w:themeColor="text1"/>
          <w:lang w:val="es-ES" w:eastAsia="es-ES" w:bidi="es-ES"/>
        </w:rPr>
        <w:t xml:space="preserve"> Resulta relevante poner esto de presente, pues frente a otras causales de </w:t>
      </w:r>
      <w:r w:rsidRPr="001F461B">
        <w:rPr>
          <w:rFonts w:ascii="Century Gothic" w:eastAsia="Arial" w:hAnsi="Century Gothic" w:cs="Arial"/>
          <w:color w:val="000000" w:themeColor="text1"/>
          <w:lang w:val="es-ES" w:eastAsia="es-ES" w:bidi="es-ES"/>
        </w:rPr>
        <w:lastRenderedPageBreak/>
        <w:t>inhabilidad e incompatibilidad el legislador previó que la inhabilidad se cuenta desde el momento en que se materializa en un acto administrativo en firme el hecho sancionado con la inhabilidad, como en los casos de la declaratoria de la caducidad del contrato o cuando se declara el incumplimiento del interventor. 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1F461B">
        <w:rPr>
          <w:rStyle w:val="Refdenotaalpie"/>
          <w:rFonts w:ascii="Century Gothic" w:eastAsia="Arial" w:hAnsi="Century Gothic" w:cs="Arial"/>
        </w:rPr>
        <w:footnoteReference w:id="25"/>
      </w:r>
      <w:r w:rsidRPr="001F461B">
        <w:rPr>
          <w:rFonts w:ascii="Century Gothic" w:eastAsia="Arial" w:hAnsi="Century Gothic" w:cs="Arial"/>
          <w:color w:val="000000" w:themeColor="text1"/>
          <w:lang w:val="es-ES" w:eastAsia="es-ES" w:bidi="es-ES"/>
        </w:rPr>
        <w:t>; y el literal k) establece que la inhabilidad se extenderá por cinco (5) años, contados a partir de la ejecutoria del acto administrativo que declare el incumplimiento por parte del interventor al deber de entregar información a la entidad contratante</w:t>
      </w:r>
      <w:r w:rsidRPr="001F461B">
        <w:rPr>
          <w:rStyle w:val="Refdenotaalpie"/>
          <w:rFonts w:ascii="Century Gothic" w:eastAsia="Arial" w:hAnsi="Century Gothic" w:cs="Arial"/>
        </w:rPr>
        <w:footnoteReference w:id="26"/>
      </w:r>
      <w:r w:rsidRPr="001F461B">
        <w:rPr>
          <w:rFonts w:ascii="Century Gothic" w:eastAsia="Arial" w:hAnsi="Century Gothic" w:cs="Arial"/>
          <w:color w:val="000000" w:themeColor="text1"/>
          <w:lang w:val="es-ES" w:eastAsia="es-ES" w:bidi="es-ES"/>
        </w:rPr>
        <w:t xml:space="preserve">. </w:t>
      </w:r>
    </w:p>
    <w:p w14:paraId="5CC84B80" w14:textId="77777777" w:rsidR="00176ACA" w:rsidRPr="001F461B" w:rsidRDefault="00176ACA" w:rsidP="00176ACA">
      <w:pPr>
        <w:widowControl w:val="0"/>
        <w:autoSpaceDE w:val="0"/>
        <w:autoSpaceDN w:val="0"/>
        <w:spacing w:after="120" w:line="274" w:lineRule="auto"/>
        <w:ind w:right="51" w:firstLine="709"/>
        <w:jc w:val="both"/>
        <w:rPr>
          <w:rFonts w:ascii="Century Gothic" w:eastAsia="Arial" w:hAnsi="Century Gothic" w:cs="Arial"/>
          <w:color w:val="000000" w:themeColor="text1"/>
          <w:lang w:val="es-ES" w:eastAsia="es-ES" w:bidi="es-ES"/>
        </w:rPr>
      </w:pPr>
      <w:r w:rsidRPr="001F461B">
        <w:rPr>
          <w:rFonts w:ascii="Century Gothic" w:eastAsia="Arial" w:hAnsi="Century Gothic" w:cs="Arial"/>
          <w:color w:val="000000" w:themeColor="text1"/>
          <w:lang w:val="es-ES" w:eastAsia="es-ES" w:bidi="es-ES"/>
        </w:rPr>
        <w:t xml:space="preserve">Conforme a esto, no fue accidental que el legislador, en el artículo 90 de la Ley 1474 de 2011, dispusiera que la inhabilidad se configura con la </w:t>
      </w:r>
      <w:r w:rsidRPr="001F461B">
        <w:rPr>
          <w:rFonts w:ascii="Century Gothic" w:eastAsia="Arial" w:hAnsi="Century Gothic" w:cs="Arial"/>
          <w:i/>
          <w:iCs/>
          <w:color w:val="000000" w:themeColor="text1"/>
          <w:lang w:val="es-ES" w:eastAsia="es-ES" w:bidi="es-ES"/>
        </w:rPr>
        <w:t>publicación</w:t>
      </w:r>
      <w:r w:rsidRPr="001F461B">
        <w:rPr>
          <w:rFonts w:ascii="Century Gothic" w:eastAsia="Arial" w:hAnsi="Century Gothic" w:cs="Arial"/>
          <w:color w:val="000000" w:themeColor="text1"/>
          <w:lang w:val="es-ES" w:eastAsia="es-ES" w:bidi="es-ES"/>
        </w:rPr>
        <w:t xml:space="preserve"> del acto administrativo que impone la inscripción de la última multa o incumplimiento en el Registro Único de Proponentes y no cuando la entidad lo declara en el acto administrativo. En este contexto, cuando dispone que “[…] </w:t>
      </w:r>
      <w:r w:rsidRPr="001F461B">
        <w:rPr>
          <w:rFonts w:ascii="Century Gothic" w:eastAsia="Arial" w:hAnsi="Century Gothic" w:cs="Arial"/>
          <w:color w:val="000000" w:themeColor="text1"/>
          <w:lang w:eastAsia="es-ES" w:bidi="es-ES"/>
        </w:rPr>
        <w:t xml:space="preserve">La inhabilidad pertinente se hará explícita en el Registro Único de Proponentes cuando a ello haya lugar” significa que afecta principalmente a los contratistas obligados a estar inscritos, razón por la que existe una imposibilidad fáctica de verificarla cuando quien incurrió en los incumplimientos no está obligado a registrarse en el RUP, pues la cámara de comercio –conforme a los artículos </w:t>
      </w:r>
      <w:r w:rsidRPr="001F461B">
        <w:rPr>
          <w:rFonts w:ascii="Century Gothic" w:hAnsi="Century Gothic" w:cs="Arial"/>
          <w:color w:val="000000" w:themeColor="text1"/>
          <w:lang w:val="es-ES_tradnl"/>
        </w:rPr>
        <w:t xml:space="preserve">6.2 de la Ley 1150 de 2007 y 2.2.1.1.1.5.7 del Decreto 1082 de 2015, en concordancia con el artículo 31 de la Ley 80 de 1993– únicamente podría </w:t>
      </w:r>
      <w:r w:rsidRPr="001F461B">
        <w:rPr>
          <w:rFonts w:ascii="Century Gothic" w:hAnsi="Century Gothic" w:cs="Arial"/>
          <w:i/>
          <w:iCs/>
          <w:color w:val="000000" w:themeColor="text1"/>
          <w:lang w:val="es-ES_tradnl"/>
        </w:rPr>
        <w:t>registrarla</w:t>
      </w:r>
      <w:r w:rsidRPr="001F461B">
        <w:rPr>
          <w:rFonts w:ascii="Century Gothic" w:hAnsi="Century Gothic" w:cs="Arial"/>
          <w:color w:val="000000" w:themeColor="text1"/>
          <w:lang w:val="es-ES_tradnl"/>
        </w:rPr>
        <w:t xml:space="preserve"> cuando surja el deber de inscripción.</w:t>
      </w:r>
      <w:r w:rsidRPr="001F461B">
        <w:rPr>
          <w:rFonts w:ascii="Century Gothic" w:eastAsia="Arial" w:hAnsi="Century Gothic" w:cs="Arial"/>
          <w:color w:val="000000" w:themeColor="text1"/>
          <w:lang w:eastAsia="es-ES" w:bidi="es-ES"/>
        </w:rPr>
        <w:t xml:space="preserve"> </w:t>
      </w:r>
    </w:p>
    <w:p w14:paraId="0B055A73" w14:textId="77777777" w:rsidR="00176ACA" w:rsidRPr="001F461B" w:rsidRDefault="00176ACA" w:rsidP="00176ACA">
      <w:pPr>
        <w:widowControl w:val="0"/>
        <w:autoSpaceDE w:val="0"/>
        <w:autoSpaceDN w:val="0"/>
        <w:spacing w:before="120" w:line="274" w:lineRule="auto"/>
        <w:ind w:firstLine="709"/>
        <w:jc w:val="both"/>
        <w:rPr>
          <w:rFonts w:ascii="Century Gothic" w:hAnsi="Century Gothic" w:cs="Arial"/>
          <w:color w:val="000000" w:themeColor="text1"/>
          <w:sz w:val="24"/>
          <w:lang w:val="es-MX"/>
        </w:rPr>
      </w:pPr>
      <w:r w:rsidRPr="001F461B">
        <w:rPr>
          <w:rFonts w:ascii="Century Gothic" w:hAnsi="Century Gothic" w:cs="Arial"/>
          <w:color w:val="000000" w:themeColor="text1"/>
          <w:lang w:val="es-ES_tradnl"/>
        </w:rPr>
        <w:t xml:space="preserve">Ahora bien, </w:t>
      </w:r>
      <w:bookmarkStart w:id="10" w:name="_Hlk131959696"/>
      <w:r w:rsidRPr="001F461B">
        <w:rPr>
          <w:rFonts w:ascii="Century Gothic" w:hAnsi="Century Gothic" w:cs="Arial"/>
          <w:color w:val="000000" w:themeColor="text1"/>
          <w:lang w:val="es-ES_tradnl"/>
        </w:rPr>
        <w:t xml:space="preserve">el artículo 51 de la Ley 2195 de 2022 también adicionó el literal d) al artículo 43 de la Ley 1955 de 2019, mediante el cual se modificó el artículo 90 de la Ley 1474 de 2011. En el mencionado literal el legislador establece que </w:t>
      </w:r>
      <w:r w:rsidRPr="001F461B">
        <w:rPr>
          <w:rFonts w:ascii="Century Gothic" w:hAnsi="Century Gothic" w:cs="Arial"/>
          <w:color w:val="000000" w:themeColor="text1"/>
          <w:lang w:val="es-ES_tradnl"/>
        </w:rPr>
        <w:lastRenderedPageBreak/>
        <w:t>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bookmarkEnd w:id="10"/>
      <w:r w:rsidRPr="001F461B">
        <w:rPr>
          <w:rFonts w:ascii="Century Gothic" w:hAnsi="Century Gothic" w:cs="Arial"/>
          <w:color w:val="000000" w:themeColor="text1"/>
          <w:lang w:val="es-MX"/>
        </w:rPr>
        <w:t xml:space="preserve"> </w:t>
      </w:r>
      <w:r w:rsidRPr="001F461B">
        <w:rPr>
          <w:rFonts w:ascii="Century Gothic" w:hAnsi="Century Gothic" w:cs="Arial"/>
          <w:color w:val="000000" w:themeColor="text1"/>
          <w:lang w:val="es-ES_tradnl"/>
        </w:rPr>
        <w:t>Como se observa, de esta disposición normativa se deducen las reglas que se indican a continuación:</w:t>
      </w:r>
    </w:p>
    <w:p w14:paraId="676BA54C" w14:textId="77777777" w:rsidR="00176ACA" w:rsidRPr="001F461B" w:rsidRDefault="00176ACA" w:rsidP="00176ACA">
      <w:pPr>
        <w:spacing w:before="12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i) Dicho precepto solo se aplica a los contratos que tengan por objeto la ejecución del Programa de Alimentación Escolar. Este se define por el Ministerio de Educación Nacional como el programa que “brinda un complemento alimentario a los niños, niñas y adolescentes de todo el territorio nacional, registrados en el Sistema de Matrícula -SIMAT- como estudiantes oficiales, financiados con recursos del Sistema General de Participaciones”</w:t>
      </w:r>
      <w:r w:rsidRPr="001F461B">
        <w:rPr>
          <w:rStyle w:val="Refdenotaalpie"/>
          <w:rFonts w:ascii="Century Gothic" w:hAnsi="Century Gothic" w:cs="Arial"/>
        </w:rPr>
        <w:footnoteReference w:id="27"/>
      </w:r>
      <w:r w:rsidRPr="001F461B">
        <w:rPr>
          <w:rFonts w:ascii="Century Gothic" w:hAnsi="Century Gothic" w:cs="Arial"/>
          <w:color w:val="000000" w:themeColor="text1"/>
          <w:lang w:val="es-ES_tradnl"/>
        </w:rPr>
        <w:t>, indicando, a su vez, que el objetivo de este programa es “contribuir con la permanencia de los estudiantes del sistema escolar y aportar, durante la jornada escolar, macronutrientes (carbohidratos, proteínas y grasas) y los micronutrientes (zinc, hierro, vitamina A y calcio) en los porcentajes que se definan para cada modalidad”</w:t>
      </w:r>
      <w:r w:rsidRPr="001F461B">
        <w:rPr>
          <w:rStyle w:val="Refdenotaalpie"/>
          <w:rFonts w:ascii="Century Gothic" w:hAnsi="Century Gothic" w:cs="Arial"/>
        </w:rPr>
        <w:footnoteReference w:id="28"/>
      </w:r>
      <w:r w:rsidRPr="001F461B">
        <w:rPr>
          <w:rFonts w:ascii="Century Gothic" w:hAnsi="Century Gothic" w:cs="Arial"/>
          <w:color w:val="000000" w:themeColor="text1"/>
          <w:lang w:val="es-ES_tradnl"/>
        </w:rPr>
        <w:t>.</w:t>
      </w:r>
    </w:p>
    <w:p w14:paraId="27B1454E" w14:textId="77777777" w:rsidR="00176ACA" w:rsidRPr="001F461B" w:rsidRDefault="00176ACA" w:rsidP="718AB5D5">
      <w:pPr>
        <w:spacing w:before="120" w:line="276" w:lineRule="auto"/>
        <w:ind w:firstLine="709"/>
        <w:jc w:val="both"/>
        <w:rPr>
          <w:rFonts w:ascii="Century Gothic" w:hAnsi="Century Gothic" w:cs="Arial"/>
          <w:color w:val="000000" w:themeColor="text1"/>
          <w:lang w:val="es-ES"/>
        </w:rPr>
      </w:pPr>
      <w:proofErr w:type="spellStart"/>
      <w:r w:rsidRPr="718AB5D5">
        <w:rPr>
          <w:rFonts w:ascii="Century Gothic" w:hAnsi="Century Gothic" w:cs="Arial"/>
          <w:color w:val="000000" w:themeColor="text1"/>
          <w:lang w:val="es-ES"/>
        </w:rPr>
        <w:t>ii</w:t>
      </w:r>
      <w:proofErr w:type="spellEnd"/>
      <w:r w:rsidRPr="718AB5D5">
        <w:rPr>
          <w:rFonts w:ascii="Century Gothic" w:hAnsi="Century Gothic" w:cs="Arial"/>
          <w:color w:val="000000" w:themeColor="text1"/>
          <w:lang w:val="es-ES"/>
        </w:rPr>
        <w:t xml:space="preserve">) La causa jurídica que da lugar a la inhabilidad es “Haber sido objeto de incumplimiento contractual o de imposición de dos (2) o más multas, con una o varias entidades” durante la ejecución de contratos de alimentación escolar. En otras palabras, para que se aplique la causal de inhabilidad del literal d) del artículo en comento –adicionada por el artículo 51 de la Ley 2195 de 2022– es necesario que al contratista se le haya impuesto </w:t>
      </w:r>
      <w:r w:rsidRPr="718AB5D5">
        <w:rPr>
          <w:rFonts w:ascii="Century Gothic" w:hAnsi="Century Gothic" w:cs="Arial"/>
          <w:i/>
          <w:iCs/>
          <w:color w:val="000000" w:themeColor="text1"/>
          <w:lang w:val="es-ES"/>
        </w:rPr>
        <w:t>dos (2) o más incumplimientos o multas</w:t>
      </w:r>
      <w:r w:rsidRPr="718AB5D5">
        <w:rPr>
          <w:rFonts w:ascii="Century Gothic" w:hAnsi="Century Gothic" w:cs="Arial"/>
          <w:color w:val="000000" w:themeColor="text1"/>
          <w:lang w:val="es-ES"/>
        </w:rPr>
        <w:t xml:space="preserve"> en uno o varios contratos de alimentación escolar. Aunque de la redacción de la norma pareciera desprenderse la idea de que basta un incumplimiento –pues comienza diciendo que la inhabilidad se aplica por “Haber sido objeto de incumplimiento contractual […]”–, para la Agencia esta no es la interpretación válida, por varias razones: </w:t>
      </w:r>
    </w:p>
    <w:p w14:paraId="56BC7C01" w14:textId="77777777" w:rsidR="00176ACA" w:rsidRPr="001F461B" w:rsidRDefault="00176ACA" w:rsidP="00176ACA">
      <w:pPr>
        <w:spacing w:before="12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 xml:space="preserve">En primer lugar, porque el título del artículo 51 señala que esta norma consagra una “inhabilidad por incumplimiento </w:t>
      </w:r>
      <w:r w:rsidRPr="001F461B">
        <w:rPr>
          <w:rFonts w:ascii="Century Gothic" w:hAnsi="Century Gothic" w:cs="Arial"/>
          <w:i/>
          <w:iCs/>
          <w:color w:val="000000" w:themeColor="text1"/>
          <w:lang w:val="es-ES_tradnl"/>
        </w:rPr>
        <w:t>reiterado</w:t>
      </w:r>
      <w:r w:rsidRPr="001F461B">
        <w:rPr>
          <w:rFonts w:ascii="Century Gothic" w:hAnsi="Century Gothic" w:cs="Arial"/>
          <w:color w:val="000000" w:themeColor="text1"/>
          <w:lang w:val="es-ES_tradnl"/>
        </w:rPr>
        <w:t xml:space="preserve"> en contratos de </w:t>
      </w:r>
      <w:r w:rsidRPr="001F461B">
        <w:rPr>
          <w:rFonts w:ascii="Century Gothic" w:hAnsi="Century Gothic" w:cs="Arial"/>
          <w:color w:val="000000" w:themeColor="text1"/>
          <w:lang w:val="es-ES_tradnl"/>
        </w:rPr>
        <w:lastRenderedPageBreak/>
        <w:t xml:space="preserve">alimentación escolar” (énfasis fuera de texto), es decir que el incumplimiento </w:t>
      </w:r>
      <w:r w:rsidRPr="001F461B">
        <w:rPr>
          <w:rFonts w:ascii="Century Gothic" w:hAnsi="Century Gothic" w:cs="Arial"/>
          <w:i/>
          <w:iCs/>
          <w:color w:val="000000" w:themeColor="text1"/>
          <w:lang w:val="es-ES_tradnl"/>
        </w:rPr>
        <w:t>no</w:t>
      </w:r>
      <w:r w:rsidRPr="001F461B">
        <w:rPr>
          <w:rFonts w:ascii="Century Gothic" w:hAnsi="Century Gothic" w:cs="Arial"/>
          <w:color w:val="000000" w:themeColor="text1"/>
          <w:lang w:val="es-ES_tradnl"/>
        </w:rPr>
        <w:t xml:space="preserve"> reiterado –o sea, el que solo se impone una vez– está excluido del ámbito de aplicación de dicho artículo.</w:t>
      </w:r>
    </w:p>
    <w:p w14:paraId="17EE14D2" w14:textId="77777777" w:rsidR="00176ACA" w:rsidRPr="001F461B" w:rsidRDefault="00176ACA" w:rsidP="00176ACA">
      <w:pPr>
        <w:spacing w:before="12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 xml:space="preserve">En segundo lugar, porque el literal d) dispone que el término de diez (10) años de duración de la inhabilidad se cuenta “a partir de la publicación del acto administrativo que impone la inscripción </w:t>
      </w:r>
      <w:r w:rsidRPr="001F461B">
        <w:rPr>
          <w:rFonts w:ascii="Century Gothic" w:hAnsi="Century Gothic" w:cs="Arial"/>
          <w:i/>
          <w:iCs/>
          <w:color w:val="000000" w:themeColor="text1"/>
          <w:lang w:val="es-ES_tradnl"/>
        </w:rPr>
        <w:t>de la última multa o incumplimiento</w:t>
      </w:r>
      <w:r w:rsidRPr="001F461B">
        <w:rPr>
          <w:rFonts w:ascii="Century Gothic" w:hAnsi="Century Gothic" w:cs="Arial"/>
          <w:color w:val="000000" w:themeColor="text1"/>
          <w:lang w:val="es-ES_tradnl"/>
        </w:rPr>
        <w:t xml:space="preserve"> en el Registro Único de Proponentes” (énfasis fuera de texto), lo que significa que debe haber varios incumplimientos, pues no tendría sentido que se hable del “último” si solo se ha declarado uno solo –de hecho la RAE define “último” como algo “Que está al final de una línea, de una serie o de una sucesión”</w:t>
      </w:r>
      <w:r w:rsidRPr="001F461B">
        <w:rPr>
          <w:rStyle w:val="Refdenotaalpie"/>
          <w:rFonts w:ascii="Century Gothic" w:hAnsi="Century Gothic" w:cs="Arial"/>
        </w:rPr>
        <w:footnoteReference w:id="29"/>
      </w:r>
      <w:r w:rsidRPr="001F461B">
        <w:rPr>
          <w:rFonts w:ascii="Century Gothic" w:hAnsi="Century Gothic" w:cs="Arial"/>
          <w:color w:val="000000" w:themeColor="text1"/>
          <w:lang w:val="es-ES_tradnl"/>
        </w:rPr>
        <w:t>, es decir, como el lugar final ocupado por algo en una lista plural de elementos o circunstancias.</w:t>
      </w:r>
    </w:p>
    <w:p w14:paraId="23A189B1" w14:textId="77777777" w:rsidR="00176ACA" w:rsidRPr="001F461B" w:rsidRDefault="00176ACA" w:rsidP="00176ACA">
      <w:pPr>
        <w:spacing w:before="12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 xml:space="preserve">En tercer lugar, porque, como se explicó, en la lectura de las causales de inhabilidad e incompatibilidad debe primar una </w:t>
      </w:r>
      <w:r w:rsidRPr="001F461B">
        <w:rPr>
          <w:rFonts w:ascii="Century Gothic" w:hAnsi="Century Gothic" w:cs="Arial"/>
          <w:i/>
          <w:iCs/>
          <w:color w:val="000000" w:themeColor="text1"/>
          <w:lang w:val="es-ES_tradnl"/>
        </w:rPr>
        <w:t>interpretación favorable</w:t>
      </w:r>
      <w:r w:rsidRPr="001F461B">
        <w:rPr>
          <w:rFonts w:ascii="Century Gothic" w:hAnsi="Century Gothic" w:cs="Arial"/>
          <w:color w:val="000000" w:themeColor="text1"/>
          <w:lang w:val="es-ES_tradnl"/>
        </w:rPr>
        <w:t xml:space="preserve">, en caso de dudas o aparentes antinomias en el lenguaje empleado por el autor del enunciado normativo –de allí que deba prevalecer el entendimiento de que el incumplimiento singular, esto es, el no reiterado, no da lugar por sí solo a la causal de inhabilidad regulada en el referido literal d)–. Esto guarda consonancia con lo que ha indicado la jurisprudencia contencioso-administrativa, según la cual “la aplicación de estos preceptos exige una interpretación restrictiva, dado que según el principio hermenéutico </w:t>
      </w:r>
      <w:r w:rsidRPr="001F461B">
        <w:rPr>
          <w:rFonts w:ascii="Century Gothic" w:hAnsi="Century Gothic" w:cs="Arial"/>
          <w:i/>
          <w:iCs/>
          <w:color w:val="000000" w:themeColor="text1"/>
          <w:lang w:val="es-ES_tradnl"/>
        </w:rPr>
        <w:t xml:space="preserve">pro </w:t>
      </w:r>
      <w:proofErr w:type="spellStart"/>
      <w:r w:rsidRPr="001F461B">
        <w:rPr>
          <w:rFonts w:ascii="Century Gothic" w:hAnsi="Century Gothic" w:cs="Arial"/>
          <w:i/>
          <w:iCs/>
          <w:color w:val="000000" w:themeColor="text1"/>
          <w:lang w:val="es-ES_tradnl"/>
        </w:rPr>
        <w:t>libertate</w:t>
      </w:r>
      <w:proofErr w:type="spellEnd"/>
      <w:r w:rsidRPr="001F461B">
        <w:rPr>
          <w:rFonts w:ascii="Century Gothic" w:hAnsi="Century Gothic" w:cs="Arial"/>
          <w:color w:val="000000" w:themeColor="text1"/>
          <w:lang w:val="es-ES_tradnl"/>
        </w:rPr>
        <w:t>, entre varias interpretaciones posibles de una norma que regula una inhabilidad, debe preferirse aquella que menos limita el derecho de las personas”</w:t>
      </w:r>
      <w:r w:rsidRPr="001F461B">
        <w:rPr>
          <w:rStyle w:val="Refdenotaalpie"/>
          <w:rFonts w:ascii="Century Gothic" w:hAnsi="Century Gothic" w:cs="Arial"/>
        </w:rPr>
        <w:footnoteReference w:id="30"/>
      </w:r>
      <w:r w:rsidRPr="001F461B">
        <w:rPr>
          <w:rFonts w:ascii="Century Gothic" w:hAnsi="Century Gothic" w:cs="Arial"/>
          <w:color w:val="000000" w:themeColor="text1"/>
          <w:lang w:val="es-ES_tradnl"/>
        </w:rPr>
        <w:t>.</w:t>
      </w:r>
    </w:p>
    <w:p w14:paraId="072C1722" w14:textId="77777777" w:rsidR="00176ACA" w:rsidRPr="001F461B" w:rsidRDefault="00176ACA" w:rsidP="00176ACA">
      <w:pPr>
        <w:spacing w:before="120" w:after="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 xml:space="preserve">Y, en cuarto lugar, porque si se revisan los antecedentes de la Ley 2195 de 2022 se advierte que la voluntad del legislador estuvo dirigida a sancionar con esta causal de inhabilidad a quien incurriera en </w:t>
      </w:r>
      <w:r w:rsidRPr="001F461B">
        <w:rPr>
          <w:rFonts w:ascii="Century Gothic" w:hAnsi="Century Gothic" w:cs="Arial"/>
          <w:i/>
          <w:iCs/>
          <w:color w:val="000000" w:themeColor="text1"/>
          <w:lang w:val="es-ES_tradnl"/>
        </w:rPr>
        <w:t>incumplimientos</w:t>
      </w:r>
      <w:r w:rsidRPr="001F461B">
        <w:rPr>
          <w:rFonts w:ascii="Century Gothic" w:hAnsi="Century Gothic" w:cs="Arial"/>
          <w:color w:val="000000" w:themeColor="text1"/>
          <w:lang w:val="es-ES_tradnl"/>
        </w:rPr>
        <w:t xml:space="preserve"> –es decir, en la inobservancia reiterada de sus obligaciones– en contratos de alimentación escolar. Así se lee en la exposición de motivos:</w:t>
      </w:r>
    </w:p>
    <w:p w14:paraId="41801FEF" w14:textId="77777777" w:rsidR="00176ACA" w:rsidRPr="001F461B" w:rsidRDefault="00176ACA" w:rsidP="00176ACA">
      <w:pPr>
        <w:spacing w:after="0"/>
        <w:ind w:left="709" w:right="709"/>
        <w:jc w:val="both"/>
        <w:rPr>
          <w:rFonts w:ascii="Century Gothic" w:hAnsi="Century Gothic" w:cs="Arial"/>
          <w:color w:val="000000" w:themeColor="text1"/>
          <w:sz w:val="21"/>
          <w:szCs w:val="21"/>
          <w:lang w:val="es-ES_tradnl"/>
        </w:rPr>
      </w:pPr>
    </w:p>
    <w:p w14:paraId="6B55F095" w14:textId="77777777" w:rsidR="00176ACA" w:rsidRPr="001F461B" w:rsidRDefault="00176ACA" w:rsidP="00176ACA">
      <w:pPr>
        <w:spacing w:after="120"/>
        <w:ind w:left="709" w:right="709"/>
        <w:jc w:val="both"/>
        <w:rPr>
          <w:rFonts w:ascii="Century Gothic" w:hAnsi="Century Gothic" w:cs="Arial"/>
          <w:color w:val="000000" w:themeColor="text1"/>
          <w:sz w:val="21"/>
          <w:szCs w:val="21"/>
          <w:lang w:val="es-ES_tradnl"/>
        </w:rPr>
      </w:pPr>
      <w:r w:rsidRPr="001F461B">
        <w:rPr>
          <w:rFonts w:ascii="Century Gothic" w:hAnsi="Century Gothic" w:cs="Arial"/>
          <w:color w:val="000000" w:themeColor="text1"/>
          <w:sz w:val="21"/>
          <w:szCs w:val="21"/>
          <w:lang w:val="es-ES_tradnl"/>
        </w:rPr>
        <w:t>“Por último, la importancia del buen manejo de los recursos del Plan de Alimentación Escolar (en adelante PAE), es fundamental para la transparencia y lucha contra la corrupción, y más aún cuando se habla de los recursos que están destinados a la niñez del país.</w:t>
      </w:r>
    </w:p>
    <w:p w14:paraId="5AFB7F62" w14:textId="77777777" w:rsidR="00176ACA" w:rsidRPr="001F461B" w:rsidRDefault="00176ACA" w:rsidP="00176ACA">
      <w:pPr>
        <w:spacing w:after="0"/>
        <w:ind w:left="709" w:right="709"/>
        <w:jc w:val="both"/>
        <w:rPr>
          <w:rFonts w:ascii="Century Gothic" w:hAnsi="Century Gothic" w:cs="Arial"/>
          <w:color w:val="000000" w:themeColor="text1"/>
          <w:sz w:val="21"/>
          <w:szCs w:val="21"/>
          <w:lang w:val="es-ES_tradnl"/>
        </w:rPr>
      </w:pPr>
      <w:r w:rsidRPr="001F461B">
        <w:rPr>
          <w:rFonts w:ascii="Century Gothic" w:hAnsi="Century Gothic" w:cs="Arial"/>
          <w:color w:val="000000" w:themeColor="text1"/>
          <w:sz w:val="21"/>
          <w:szCs w:val="21"/>
          <w:lang w:val="es-ES_tradnl"/>
        </w:rPr>
        <w:lastRenderedPageBreak/>
        <w:t xml:space="preserve">Por ello, con esta propuesta se busca incorporar tres medidas para que se cumplan los contratos del PAE, en garantía de los derechos fundamentales de los niños, niñas y adolescentes de Colombia. Estas consisten en: i) mayor tiempo de inhabilidad por la imposición de dos (2) multas por </w:t>
      </w:r>
      <w:r w:rsidRPr="001F461B">
        <w:rPr>
          <w:rFonts w:ascii="Century Gothic" w:hAnsi="Century Gothic" w:cs="Arial"/>
          <w:i/>
          <w:iCs/>
          <w:color w:val="000000" w:themeColor="text1"/>
          <w:sz w:val="21"/>
          <w:szCs w:val="21"/>
          <w:lang w:val="es-ES_tradnl"/>
        </w:rPr>
        <w:t>incumplimientos</w:t>
      </w:r>
      <w:r w:rsidRPr="001F461B">
        <w:rPr>
          <w:rFonts w:ascii="Century Gothic" w:hAnsi="Century Gothic" w:cs="Arial"/>
          <w:color w:val="000000" w:themeColor="text1"/>
          <w:sz w:val="21"/>
          <w:szCs w:val="21"/>
          <w:lang w:val="es-ES_tradnl"/>
        </w:rPr>
        <w:t xml:space="preserve"> o mora en el cumplimiento de las obligaciones contractuales; […]”</w:t>
      </w:r>
      <w:r w:rsidRPr="001F461B">
        <w:rPr>
          <w:rStyle w:val="Refdenotaalpie"/>
          <w:rFonts w:ascii="Century Gothic" w:hAnsi="Century Gothic" w:cs="Arial"/>
          <w:sz w:val="21"/>
          <w:szCs w:val="21"/>
        </w:rPr>
        <w:footnoteReference w:id="31"/>
      </w:r>
      <w:r w:rsidRPr="001F461B">
        <w:rPr>
          <w:rFonts w:ascii="Century Gothic" w:hAnsi="Century Gothic" w:cs="Arial"/>
          <w:color w:val="000000" w:themeColor="text1"/>
          <w:sz w:val="21"/>
          <w:szCs w:val="21"/>
          <w:lang w:val="es-ES_tradnl"/>
        </w:rPr>
        <w:t xml:space="preserve"> (Énfasis fuera de texto).</w:t>
      </w:r>
    </w:p>
    <w:p w14:paraId="7D52CB28" w14:textId="77777777" w:rsidR="00176ACA" w:rsidRPr="001F461B" w:rsidRDefault="00176ACA" w:rsidP="00176ACA">
      <w:pPr>
        <w:spacing w:after="0" w:line="276" w:lineRule="auto"/>
        <w:ind w:firstLine="709"/>
        <w:jc w:val="both"/>
        <w:rPr>
          <w:rFonts w:ascii="Century Gothic" w:hAnsi="Century Gothic" w:cs="Arial"/>
          <w:color w:val="000000" w:themeColor="text1"/>
          <w:sz w:val="21"/>
          <w:szCs w:val="21"/>
          <w:lang w:val="es-ES_tradnl"/>
        </w:rPr>
      </w:pPr>
    </w:p>
    <w:p w14:paraId="6C48C7B2" w14:textId="77777777" w:rsidR="00176ACA" w:rsidRPr="001F461B" w:rsidRDefault="00176ACA" w:rsidP="00176ACA">
      <w:pPr>
        <w:spacing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Se destaca que en la exposición de motivos se alude al término “</w:t>
      </w:r>
      <w:r w:rsidRPr="001F461B">
        <w:rPr>
          <w:rFonts w:ascii="Century Gothic" w:hAnsi="Century Gothic" w:cs="Arial"/>
          <w:i/>
          <w:iCs/>
          <w:color w:val="000000" w:themeColor="text1"/>
          <w:lang w:val="es-ES_tradnl"/>
        </w:rPr>
        <w:t>incumplimientos</w:t>
      </w:r>
      <w:r w:rsidRPr="001F461B">
        <w:rPr>
          <w:rFonts w:ascii="Century Gothic" w:hAnsi="Century Gothic" w:cs="Arial"/>
          <w:color w:val="000000" w:themeColor="text1"/>
          <w:lang w:val="es-ES_tradnl"/>
        </w:rPr>
        <w:t>” –en plural–, lo que supone concurrencia; y además se otorga claridad en que deben ser, como mínimo, dos (2) incumplimientos o multas.</w:t>
      </w:r>
    </w:p>
    <w:p w14:paraId="3F21F5C5" w14:textId="77777777" w:rsidR="00176ACA" w:rsidRPr="001F461B" w:rsidRDefault="00176ACA" w:rsidP="718AB5D5">
      <w:pPr>
        <w:spacing w:before="120" w:after="120" w:line="276" w:lineRule="auto"/>
        <w:ind w:firstLine="709"/>
        <w:jc w:val="both"/>
        <w:rPr>
          <w:rFonts w:ascii="Century Gothic" w:hAnsi="Century Gothic" w:cs="Arial"/>
          <w:color w:val="000000" w:themeColor="text1"/>
          <w:sz w:val="21"/>
          <w:szCs w:val="21"/>
          <w:lang w:val="es-ES"/>
        </w:rPr>
      </w:pPr>
      <w:proofErr w:type="spellStart"/>
      <w:r w:rsidRPr="718AB5D5">
        <w:rPr>
          <w:rFonts w:ascii="Century Gothic" w:hAnsi="Century Gothic" w:cs="Arial"/>
          <w:color w:val="000000" w:themeColor="text1"/>
          <w:lang w:val="es-ES"/>
        </w:rPr>
        <w:t>iii</w:t>
      </w:r>
      <w:proofErr w:type="spellEnd"/>
      <w:r w:rsidRPr="718AB5D5">
        <w:rPr>
          <w:rFonts w:ascii="Century Gothic" w:hAnsi="Century Gothic" w:cs="Arial"/>
          <w:color w:val="000000" w:themeColor="text1"/>
          <w:lang w:val="es-ES"/>
        </w:rPr>
        <w:t>) Finalmente, el literal d), adicionado por el artículo 51 de la Ley 2195 de 2022, indica que el término de la inhabilidad es de diez (10) años, “contados a partir de la publicación del acto administrativo que impone la inscripción de la última multa o incumplimiento en el Registro Único de Proponentes, de acuerdo con la información remitida por las entidades públicas”. Esta norma debe interpretarse en armonía con el artículo 31 de la Ley 80 de 1993, el artículo 6.2 de la Ley 1150 de 2007 y el artículo 2.2.1.1.1.5.7 del Decreto 1082 de 2015, como se explicó en el acápite anterior.</w:t>
      </w:r>
    </w:p>
    <w:p w14:paraId="14DE5505" w14:textId="77777777" w:rsidR="00176ACA" w:rsidRPr="001F461B" w:rsidRDefault="00176ACA" w:rsidP="00176ACA">
      <w:pPr>
        <w:spacing w:after="12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 xml:space="preserve">Por tanto, se concluye que el término de diez (10) años de la causal de inhabilidad prevista en el artículo 51 de la Ley 2195 de 2022 se comienza a contar a partir de la publicación del último incumplimiento o multa en el Registro Único de Proponentes. En consecuencia, el término de la inhabilidad no se activa con la sola expedición del acto administrativo que declara el incumplimiento o la multa y ni siquiera con su </w:t>
      </w:r>
      <w:r w:rsidRPr="001F461B">
        <w:rPr>
          <w:rFonts w:ascii="Century Gothic" w:hAnsi="Century Gothic" w:cs="Arial"/>
          <w:i/>
          <w:iCs/>
          <w:color w:val="000000" w:themeColor="text1"/>
          <w:lang w:val="es-ES_tradnl"/>
        </w:rPr>
        <w:t>firmeza</w:t>
      </w:r>
      <w:r w:rsidRPr="001F461B">
        <w:rPr>
          <w:rStyle w:val="Refdenotaalpie"/>
          <w:rFonts w:ascii="Century Gothic" w:hAnsi="Century Gothic" w:cs="Arial"/>
        </w:rPr>
        <w:footnoteReference w:id="32"/>
      </w:r>
      <w:r w:rsidRPr="001F461B">
        <w:rPr>
          <w:rFonts w:ascii="Century Gothic" w:hAnsi="Century Gothic" w:cs="Arial"/>
          <w:color w:val="000000" w:themeColor="text1"/>
          <w:lang w:val="es-ES_tradnl"/>
        </w:rPr>
        <w:t xml:space="preserve"> o desde la publicación </w:t>
      </w:r>
      <w:r w:rsidRPr="001F461B">
        <w:rPr>
          <w:rFonts w:ascii="Century Gothic" w:hAnsi="Century Gothic" w:cs="Arial"/>
          <w:i/>
          <w:iCs/>
          <w:color w:val="000000" w:themeColor="text1"/>
          <w:lang w:val="es-ES_tradnl"/>
        </w:rPr>
        <w:t>del primer</w:t>
      </w:r>
      <w:r w:rsidRPr="001F461B">
        <w:rPr>
          <w:rFonts w:ascii="Century Gothic" w:hAnsi="Century Gothic" w:cs="Arial"/>
          <w:color w:val="000000" w:themeColor="text1"/>
          <w:lang w:val="es-ES_tradnl"/>
        </w:rPr>
        <w:t xml:space="preserve"> incumplimiento o multa, sino desde la publicación en el Registro Único de Proponentes del acto administrativo que impone </w:t>
      </w:r>
      <w:r w:rsidRPr="001F461B">
        <w:rPr>
          <w:rFonts w:ascii="Century Gothic" w:hAnsi="Century Gothic" w:cs="Arial"/>
          <w:i/>
          <w:iCs/>
          <w:color w:val="000000" w:themeColor="text1"/>
          <w:lang w:val="es-ES_tradnl"/>
        </w:rPr>
        <w:t>la última</w:t>
      </w:r>
      <w:r w:rsidRPr="001F461B">
        <w:rPr>
          <w:rFonts w:ascii="Century Gothic" w:hAnsi="Century Gothic" w:cs="Arial"/>
          <w:color w:val="000000" w:themeColor="text1"/>
          <w:lang w:val="es-ES_tradnl"/>
        </w:rPr>
        <w:t xml:space="preserve"> multa o incumplimiento, luego del trámite del procedimiento administrativo sancionatorio correspondiente. Así, las entidades </w:t>
      </w:r>
      <w:r w:rsidRPr="001F461B">
        <w:rPr>
          <w:rFonts w:ascii="Century Gothic" w:hAnsi="Century Gothic" w:cs="Arial"/>
          <w:color w:val="000000" w:themeColor="text1"/>
          <w:lang w:val="es-ES_tradnl"/>
        </w:rPr>
        <w:lastRenderedPageBreak/>
        <w:t xml:space="preserve">estatales están obligadas a enviar a las cámaras de comercio la copia de los actos administrativos en firme que han declarado los incumplimientos o multas, para que estas hagan la anotación en el RUP, pues el artículo 51 de la Ley 2195 de 2022, en el último inciso, establece que “La inhabilidad pertinente se hará explicita en el Registro Único de Proponentes cuando a ello haya lugar”, </w:t>
      </w:r>
      <w:r w:rsidRPr="001F461B">
        <w:rPr>
          <w:rFonts w:ascii="Century Gothic" w:eastAsia="Arial" w:hAnsi="Century Gothic" w:cs="Arial"/>
          <w:color w:val="000000" w:themeColor="text1"/>
          <w:lang w:eastAsia="es-ES" w:bidi="es-ES"/>
        </w:rPr>
        <w:t xml:space="preserve">afectando principalmente a los contratistas obligados a estar inscritos por las razones indicadas </w:t>
      </w:r>
      <w:r w:rsidRPr="001F461B">
        <w:rPr>
          <w:rFonts w:ascii="Century Gothic" w:eastAsia="Arial" w:hAnsi="Century Gothic" w:cs="Arial"/>
          <w:i/>
          <w:iCs/>
          <w:color w:val="000000" w:themeColor="text1"/>
          <w:lang w:eastAsia="es-ES" w:bidi="es-ES"/>
        </w:rPr>
        <w:t>ut supra</w:t>
      </w:r>
      <w:r w:rsidRPr="001F461B">
        <w:rPr>
          <w:rFonts w:ascii="Century Gothic" w:hAnsi="Century Gothic" w:cs="Arial"/>
          <w:color w:val="000000" w:themeColor="text1"/>
          <w:lang w:val="es-ES_tradnl"/>
        </w:rPr>
        <w:t>.</w:t>
      </w:r>
      <w:r w:rsidRPr="001F461B">
        <w:rPr>
          <w:rFonts w:ascii="Century Gothic" w:eastAsia="Arial" w:hAnsi="Century Gothic" w:cs="Arial"/>
          <w:color w:val="000000" w:themeColor="text1"/>
          <w:lang w:eastAsia="es-ES" w:bidi="es-ES"/>
        </w:rPr>
        <w:t xml:space="preserve"> </w:t>
      </w:r>
      <w:r w:rsidRPr="001F461B">
        <w:rPr>
          <w:rFonts w:ascii="Century Gothic" w:hAnsi="Century Gothic" w:cs="Arial"/>
          <w:color w:val="000000" w:themeColor="text1"/>
          <w:lang w:val="es-ES_tradnl"/>
        </w:rPr>
        <w:t xml:space="preserve"> </w:t>
      </w:r>
    </w:p>
    <w:p w14:paraId="30705B1D" w14:textId="77777777" w:rsidR="00176ACA" w:rsidRPr="001F461B" w:rsidRDefault="00176ACA" w:rsidP="718AB5D5">
      <w:pPr>
        <w:spacing w:after="0" w:line="276" w:lineRule="auto"/>
        <w:ind w:firstLine="709"/>
        <w:jc w:val="both"/>
        <w:rPr>
          <w:rFonts w:ascii="Century Gothic" w:hAnsi="Century Gothic" w:cs="Arial"/>
          <w:color w:val="000000" w:themeColor="text1"/>
          <w:lang w:val="es-ES"/>
        </w:rPr>
      </w:pPr>
      <w:r w:rsidRPr="718AB5D5">
        <w:rPr>
          <w:rFonts w:ascii="Century Gothic" w:hAnsi="Century Gothic" w:cs="Arial"/>
          <w:color w:val="000000" w:themeColor="text1"/>
          <w:lang w:val="es-ES"/>
        </w:rPr>
        <w:t xml:space="preserve">En tal sentido, las cámaras de comercio deben revisar las anotaciones vigentes en el RUP cuando a ello haya lugar, contrastándolas con cada incumplimiento o multa que hayan reportado las entidades estatales en los contratos de alimentación escolar, para dejar explícita la anotación de la inhabilidad a partir del último incumplimiento o multa. Si, por ejemplo, solo se ha impuesto una multa –y no hay otros incumplimientos o multas en contratos de alimentación escolar frente a un proponente–, debe quedar la anotación de esta en el RUP, pero aún no la de la inhabilidad, dado que todavía no existiría incumplimiento </w:t>
      </w:r>
      <w:r w:rsidRPr="718AB5D5">
        <w:rPr>
          <w:rFonts w:ascii="Century Gothic" w:hAnsi="Century Gothic" w:cs="Arial"/>
          <w:i/>
          <w:iCs/>
          <w:color w:val="000000" w:themeColor="text1"/>
          <w:lang w:val="es-ES"/>
        </w:rPr>
        <w:t>reiterado</w:t>
      </w:r>
      <w:r w:rsidRPr="718AB5D5">
        <w:rPr>
          <w:rFonts w:ascii="Century Gothic" w:hAnsi="Century Gothic" w:cs="Arial"/>
          <w:color w:val="000000" w:themeColor="text1"/>
          <w:lang w:val="es-ES"/>
        </w:rPr>
        <w:t>. Sin embargo, esta anotación ha de ser tenida en cuenta por la cámara de comercio respectiva para cuando le envíen copia de otro incumplimiento o multa en contra del mismo proponente, para hacer explícita, a partir de allí, la inhabilidad regulada en el artículo 51 de la Ley 2195 de 2022, por el período que esta norma establece.</w:t>
      </w:r>
    </w:p>
    <w:p w14:paraId="61642726" w14:textId="77777777" w:rsidR="00176ACA" w:rsidRPr="001F461B" w:rsidRDefault="00176ACA" w:rsidP="00176ACA">
      <w:pPr>
        <w:spacing w:after="0" w:line="276" w:lineRule="auto"/>
        <w:ind w:firstLine="709"/>
        <w:jc w:val="both"/>
        <w:rPr>
          <w:rFonts w:ascii="Century Gothic" w:hAnsi="Century Gothic" w:cs="Arial"/>
          <w:color w:val="000000" w:themeColor="text1"/>
          <w:lang w:val="es-ES_tradnl"/>
        </w:rPr>
      </w:pPr>
    </w:p>
    <w:p w14:paraId="5A3EBECF" w14:textId="77777777" w:rsidR="00176ACA" w:rsidRPr="001F461B" w:rsidRDefault="00176ACA" w:rsidP="00176ACA">
      <w:pPr>
        <w:tabs>
          <w:tab w:val="left" w:pos="0"/>
        </w:tabs>
        <w:spacing w:after="0"/>
        <w:jc w:val="both"/>
        <w:rPr>
          <w:rFonts w:ascii="Century Gothic" w:eastAsia="Calibri" w:hAnsi="Century Gothic" w:cs="Arial"/>
          <w:b/>
          <w:color w:val="000000" w:themeColor="text1"/>
          <w:lang w:val="es-ES_tradnl"/>
        </w:rPr>
      </w:pPr>
      <w:r w:rsidRPr="001F461B">
        <w:rPr>
          <w:rFonts w:ascii="Century Gothic" w:eastAsia="Calibri" w:hAnsi="Century Gothic" w:cs="Arial"/>
          <w:b/>
          <w:color w:val="000000" w:themeColor="text1"/>
          <w:lang w:val="es-ES_tradnl"/>
        </w:rPr>
        <w:t>3. Respuesta</w:t>
      </w:r>
    </w:p>
    <w:p w14:paraId="342AFB85" w14:textId="77777777" w:rsidR="00176ACA" w:rsidRPr="001F461B" w:rsidRDefault="00176ACA" w:rsidP="00176ACA">
      <w:pPr>
        <w:tabs>
          <w:tab w:val="left" w:pos="0"/>
        </w:tabs>
        <w:spacing w:after="0"/>
        <w:jc w:val="both"/>
        <w:rPr>
          <w:rFonts w:ascii="Century Gothic" w:eastAsia="Calibri" w:hAnsi="Century Gothic" w:cs="Arial"/>
          <w:b/>
          <w:color w:val="000000" w:themeColor="text1"/>
          <w:lang w:val="es-ES_tradnl"/>
        </w:rPr>
      </w:pPr>
    </w:p>
    <w:p w14:paraId="6FFFDB81" w14:textId="77777777" w:rsidR="00176ACA" w:rsidRPr="001F461B" w:rsidRDefault="00176ACA" w:rsidP="00176ACA">
      <w:pPr>
        <w:spacing w:after="120" w:line="240" w:lineRule="auto"/>
        <w:ind w:left="709" w:right="709"/>
        <w:jc w:val="both"/>
        <w:rPr>
          <w:rFonts w:ascii="Century Gothic" w:hAnsi="Century Gothic" w:cs="Arial"/>
          <w:color w:val="000000" w:themeColor="text1"/>
          <w:sz w:val="21"/>
          <w:szCs w:val="21"/>
          <w:lang w:val="es-ES_tradnl"/>
        </w:rPr>
      </w:pPr>
      <w:r w:rsidRPr="001F461B">
        <w:rPr>
          <w:rFonts w:ascii="Century Gothic" w:hAnsi="Century Gothic" w:cs="Arial"/>
          <w:color w:val="000000" w:themeColor="text1"/>
          <w:sz w:val="21"/>
          <w:szCs w:val="21"/>
          <w:lang w:val="es-ES_tradnl"/>
        </w:rPr>
        <w:t>i) “¿Se debe hacer explícita la inhabilidad en el Registro Único de Proponentes, incluso si uno de los incumplimientos fue registrado con posterioridad al vencimiento del plazo de la sanción?”.</w:t>
      </w:r>
    </w:p>
    <w:p w14:paraId="4594DAED" w14:textId="77777777" w:rsidR="00176ACA" w:rsidRPr="001F461B" w:rsidRDefault="00176ACA" w:rsidP="00176ACA">
      <w:pPr>
        <w:spacing w:after="0" w:line="240" w:lineRule="auto"/>
        <w:ind w:left="709" w:right="709"/>
        <w:jc w:val="both"/>
        <w:rPr>
          <w:rFonts w:ascii="Century Gothic" w:hAnsi="Century Gothic" w:cs="Arial"/>
          <w:color w:val="000000" w:themeColor="text1"/>
          <w:sz w:val="21"/>
          <w:szCs w:val="21"/>
        </w:rPr>
      </w:pPr>
      <w:proofErr w:type="spellStart"/>
      <w:r w:rsidRPr="001F461B">
        <w:rPr>
          <w:rFonts w:ascii="Century Gothic" w:hAnsi="Century Gothic" w:cs="Arial"/>
          <w:color w:val="000000" w:themeColor="text1"/>
          <w:sz w:val="21"/>
          <w:szCs w:val="21"/>
          <w:lang w:val="es-ES_tradnl"/>
        </w:rPr>
        <w:t>ii</w:t>
      </w:r>
      <w:proofErr w:type="spellEnd"/>
      <w:r w:rsidRPr="001F461B">
        <w:rPr>
          <w:rFonts w:ascii="Century Gothic" w:hAnsi="Century Gothic" w:cs="Arial"/>
          <w:color w:val="000000" w:themeColor="text1"/>
          <w:sz w:val="21"/>
          <w:szCs w:val="21"/>
          <w:lang w:val="es-ES_tradnl"/>
        </w:rPr>
        <w:t>) “</w:t>
      </w:r>
      <w:proofErr w:type="gramStart"/>
      <w:r w:rsidRPr="001F461B">
        <w:rPr>
          <w:rFonts w:ascii="Century Gothic" w:hAnsi="Century Gothic" w:cs="Arial"/>
          <w:color w:val="000000" w:themeColor="text1"/>
          <w:sz w:val="21"/>
          <w:szCs w:val="21"/>
          <w:lang w:val="es-ES_tradnl"/>
        </w:rPr>
        <w:t>En caso que</w:t>
      </w:r>
      <w:proofErr w:type="gramEnd"/>
      <w:r w:rsidRPr="001F461B">
        <w:rPr>
          <w:rFonts w:ascii="Century Gothic" w:hAnsi="Century Gothic" w:cs="Arial"/>
          <w:color w:val="000000" w:themeColor="text1"/>
          <w:sz w:val="21"/>
          <w:szCs w:val="21"/>
          <w:lang w:val="es-ES_tradnl"/>
        </w:rPr>
        <w:t xml:space="preserve"> se deba hacer explícita la inhabilidad en el Registro Único de Proponentes ¿desde qué momento se deben contar los tres años por los que se extiende el término de la inhabilidad?”</w:t>
      </w:r>
      <w:r w:rsidRPr="001F461B">
        <w:rPr>
          <w:rFonts w:ascii="Century Gothic" w:hAnsi="Century Gothic" w:cs="Arial"/>
          <w:color w:val="000000" w:themeColor="text1"/>
          <w:sz w:val="21"/>
          <w:szCs w:val="21"/>
        </w:rPr>
        <w:t>.</w:t>
      </w:r>
    </w:p>
    <w:p w14:paraId="7A9F81B2" w14:textId="77777777" w:rsidR="00176ACA" w:rsidRPr="001F461B" w:rsidRDefault="00176ACA" w:rsidP="00176ACA">
      <w:pPr>
        <w:spacing w:after="0" w:line="276" w:lineRule="auto"/>
        <w:jc w:val="both"/>
        <w:rPr>
          <w:rFonts w:ascii="Century Gothic" w:hAnsi="Century Gothic" w:cs="Arial"/>
          <w:color w:val="000000" w:themeColor="text1"/>
        </w:rPr>
      </w:pPr>
    </w:p>
    <w:p w14:paraId="543F946E" w14:textId="77777777" w:rsidR="00176ACA" w:rsidRPr="001F461B" w:rsidRDefault="00176ACA" w:rsidP="00176ACA">
      <w:pPr>
        <w:tabs>
          <w:tab w:val="left" w:pos="8789"/>
        </w:tabs>
        <w:spacing w:after="120" w:line="276" w:lineRule="auto"/>
        <w:jc w:val="both"/>
        <w:rPr>
          <w:rFonts w:ascii="Century Gothic" w:hAnsi="Century Gothic" w:cs="Arial"/>
          <w:color w:val="000000" w:themeColor="text1"/>
          <w:lang w:val="es-MX"/>
        </w:rPr>
      </w:pPr>
      <w:r w:rsidRPr="001F461B">
        <w:rPr>
          <w:rFonts w:ascii="Century Gothic" w:eastAsia="Calibri" w:hAnsi="Century Gothic" w:cs="Arial"/>
        </w:rPr>
        <w:t xml:space="preserve">De acuerdo con la interpretación de las normas generales del sistema de compras públicas, </w:t>
      </w:r>
      <w:r w:rsidRPr="001F461B">
        <w:rPr>
          <w:rFonts w:ascii="Century Gothic" w:hAnsi="Century Gothic" w:cs="Arial"/>
          <w:color w:val="000000" w:themeColor="text1"/>
          <w:lang w:val="es-MX"/>
        </w:rPr>
        <w:t>en los términos del inciso anterior al parágrafo del artículo 90 de la Ley 1474 de 2011, la inhabilidad por incumplimiento reiterado surge a partir de la inscripción en el Registro Único de Proponentes de la última multa o declaratoria de incumplimiento requerida para su configuración. Por lo tanto, no se podrá extender la inhabilidad desde que se declaró la sanción por parte de la entidad, pues esto implicaría afectar la interpretación restrictiva que rige en el régimen de inhabilidades e incompatibilidades.</w:t>
      </w:r>
    </w:p>
    <w:p w14:paraId="262E2916" w14:textId="77777777" w:rsidR="00176ACA" w:rsidRPr="001F461B" w:rsidRDefault="00176ACA" w:rsidP="00176ACA">
      <w:pPr>
        <w:widowControl w:val="0"/>
        <w:autoSpaceDE w:val="0"/>
        <w:autoSpaceDN w:val="0"/>
        <w:spacing w:after="120" w:line="274" w:lineRule="auto"/>
        <w:ind w:right="51" w:firstLine="709"/>
        <w:jc w:val="both"/>
        <w:rPr>
          <w:rFonts w:ascii="Century Gothic" w:eastAsia="Arial" w:hAnsi="Century Gothic" w:cs="Arial"/>
          <w:color w:val="000000" w:themeColor="text1"/>
          <w:lang w:val="es-ES" w:eastAsia="es-ES" w:bidi="es-ES"/>
        </w:rPr>
      </w:pPr>
      <w:r w:rsidRPr="001F461B">
        <w:rPr>
          <w:rFonts w:ascii="Century Gothic" w:eastAsia="Arial" w:hAnsi="Century Gothic" w:cs="Arial"/>
          <w:color w:val="000000" w:themeColor="text1"/>
          <w:lang w:val="es-ES" w:eastAsia="es-ES" w:bidi="es-ES"/>
        </w:rPr>
        <w:lastRenderedPageBreak/>
        <w:t xml:space="preserve"> Resulta relevante poner esto de presente, pues frente a otras causales de inhabilidad e incompatibilidad el legislador previó que la inhabilidad se cuenta desde el momento en que se materializa en un acto administrativo en firme el hecho sancionado con la inhabilidad, como en los casos de la declaratoria de la caducidad del contrato o cuando se declara el incumplimiento del interventor. Es así como el literal c) del numeral 1, del artículo 8 de la Ley 80 de 1993, referido a la declaratoria de caducidad, señala que la inhabilidad de cinco (5) años empezará a contar a partir de la ejecutoria del acto administrativo que declara la caducidad del contrato; y el literal k) establece que la inhabilidad se extenderá por cinco (5) años, contados a partir de la ejecutoria del acto administrativo que declare el incumplimiento por parte del interventor al deber de entregar información a la entidad contratante. </w:t>
      </w:r>
    </w:p>
    <w:p w14:paraId="53EB04C3" w14:textId="77777777" w:rsidR="00176ACA" w:rsidRPr="001F461B" w:rsidRDefault="00176ACA" w:rsidP="00176ACA">
      <w:pPr>
        <w:widowControl w:val="0"/>
        <w:autoSpaceDE w:val="0"/>
        <w:autoSpaceDN w:val="0"/>
        <w:spacing w:after="120" w:line="274" w:lineRule="auto"/>
        <w:ind w:right="51" w:firstLine="709"/>
        <w:jc w:val="both"/>
        <w:rPr>
          <w:rFonts w:ascii="Century Gothic" w:eastAsia="Arial" w:hAnsi="Century Gothic" w:cs="Arial"/>
          <w:color w:val="000000" w:themeColor="text1"/>
          <w:lang w:val="es-ES" w:eastAsia="es-ES" w:bidi="es-ES"/>
        </w:rPr>
      </w:pPr>
      <w:r w:rsidRPr="001F461B">
        <w:rPr>
          <w:rFonts w:ascii="Century Gothic" w:eastAsia="Arial" w:hAnsi="Century Gothic" w:cs="Arial"/>
          <w:color w:val="000000" w:themeColor="text1"/>
          <w:lang w:val="es-ES" w:eastAsia="es-ES" w:bidi="es-ES"/>
        </w:rPr>
        <w:t xml:space="preserve">Conforme a esto, no fue accidental que el legislador, en el artículo 90 de la Ley 1474 de 2011, dispusiera que la inhabilidad se configura con la </w:t>
      </w:r>
      <w:r w:rsidRPr="001F461B">
        <w:rPr>
          <w:rFonts w:ascii="Century Gothic" w:eastAsia="Arial" w:hAnsi="Century Gothic" w:cs="Arial"/>
          <w:i/>
          <w:iCs/>
          <w:color w:val="000000" w:themeColor="text1"/>
          <w:lang w:val="es-ES" w:eastAsia="es-ES" w:bidi="es-ES"/>
        </w:rPr>
        <w:t>publicación</w:t>
      </w:r>
      <w:r w:rsidRPr="001F461B">
        <w:rPr>
          <w:rFonts w:ascii="Century Gothic" w:eastAsia="Arial" w:hAnsi="Century Gothic" w:cs="Arial"/>
          <w:color w:val="000000" w:themeColor="text1"/>
          <w:lang w:val="es-ES" w:eastAsia="es-ES" w:bidi="es-ES"/>
        </w:rPr>
        <w:t xml:space="preserve"> del acto administrativo que impone la inscripción de la última multa o incumplimiento en el Registro Único de Proponentes y no cuando la entidad lo declara en el acto administrativo. En este contexto, cuando dispone que “[…] </w:t>
      </w:r>
      <w:r w:rsidRPr="001F461B">
        <w:rPr>
          <w:rFonts w:ascii="Century Gothic" w:eastAsia="Arial" w:hAnsi="Century Gothic" w:cs="Arial"/>
          <w:color w:val="000000" w:themeColor="text1"/>
          <w:lang w:eastAsia="es-ES" w:bidi="es-ES"/>
        </w:rPr>
        <w:t xml:space="preserve">La inhabilidad pertinente se hará explícita en el Registro Único de Proponentes cuando a ello haya lugar” significa que afecta principalmente a los contratistas obligados a estar inscritos, razón por la que existe una imposibilidad fáctica de verificarla cuando quien incurrió en los incumplimientos no está obligado a registrarse en el RUP, pues la cámara de comercio –conforme a los artículos </w:t>
      </w:r>
      <w:r w:rsidRPr="001F461B">
        <w:rPr>
          <w:rFonts w:ascii="Century Gothic" w:hAnsi="Century Gothic" w:cs="Arial"/>
          <w:color w:val="000000" w:themeColor="text1"/>
          <w:lang w:val="es-ES_tradnl"/>
        </w:rPr>
        <w:t xml:space="preserve">6.2 de la Ley 1150 de 2007 y 2.2.1.1.1.5.7 del Decreto 1082 de 2015, en concordancia con el artículo 31 de la Ley 80 de 1993– únicamente podría </w:t>
      </w:r>
      <w:r w:rsidRPr="001F461B">
        <w:rPr>
          <w:rFonts w:ascii="Century Gothic" w:hAnsi="Century Gothic" w:cs="Arial"/>
          <w:i/>
          <w:iCs/>
          <w:color w:val="000000" w:themeColor="text1"/>
          <w:lang w:val="es-ES_tradnl"/>
        </w:rPr>
        <w:t>registrarla</w:t>
      </w:r>
      <w:r w:rsidRPr="001F461B">
        <w:rPr>
          <w:rFonts w:ascii="Century Gothic" w:hAnsi="Century Gothic" w:cs="Arial"/>
          <w:color w:val="000000" w:themeColor="text1"/>
          <w:lang w:val="es-ES_tradnl"/>
        </w:rPr>
        <w:t xml:space="preserve"> cuando surja el deber de inscripción.</w:t>
      </w:r>
      <w:r w:rsidRPr="001F461B">
        <w:rPr>
          <w:rFonts w:ascii="Century Gothic" w:eastAsia="Arial" w:hAnsi="Century Gothic" w:cs="Arial"/>
          <w:color w:val="000000" w:themeColor="text1"/>
          <w:lang w:eastAsia="es-ES" w:bidi="es-ES"/>
        </w:rPr>
        <w:t xml:space="preserve"> </w:t>
      </w:r>
    </w:p>
    <w:p w14:paraId="7A228986" w14:textId="77777777" w:rsidR="00176ACA" w:rsidRPr="001F461B" w:rsidRDefault="00176ACA" w:rsidP="00176ACA">
      <w:pPr>
        <w:spacing w:before="120" w:after="120" w:line="276" w:lineRule="auto"/>
        <w:ind w:firstLine="709"/>
        <w:jc w:val="both"/>
        <w:rPr>
          <w:rFonts w:ascii="Century Gothic" w:hAnsi="Century Gothic" w:cs="Arial"/>
          <w:color w:val="000000" w:themeColor="text1"/>
          <w:sz w:val="21"/>
          <w:szCs w:val="21"/>
          <w:lang w:val="es-ES_tradnl"/>
        </w:rPr>
      </w:pPr>
      <w:r w:rsidRPr="001F461B">
        <w:rPr>
          <w:rFonts w:ascii="Century Gothic" w:hAnsi="Century Gothic" w:cs="Arial"/>
          <w:color w:val="000000" w:themeColor="text1"/>
          <w:lang w:val="es-ES_tradnl"/>
        </w:rPr>
        <w:t xml:space="preserve">Ahora bien, el artículo 51 de la Ley 2195 de 2022 también adicionó el literal d) al artículo 43 de la Ley 1955 de 2019, mediante el cual se modificó el artículo 90 de la Ley 1474 de 2011. En el mencionado literal el legislador establece que quedará inhabilitado el contratista que incurra en la siguiente conducta: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 Esta norma debe interpretarse en armonía con el artículo 31 de la Ley 80 de 1993, el artículo 6.2 de la Ley 1150 de 2007 y el artículo 2.2.1.1.1.5.7 </w:t>
      </w:r>
      <w:r w:rsidRPr="001F461B">
        <w:rPr>
          <w:rFonts w:ascii="Century Gothic" w:hAnsi="Century Gothic" w:cs="Arial"/>
          <w:color w:val="000000" w:themeColor="text1"/>
          <w:lang w:val="es-ES_tradnl"/>
        </w:rPr>
        <w:lastRenderedPageBreak/>
        <w:t>del Decreto 1082 de 2015, como se explicó en el acápite 2.2 del presente concepto.</w:t>
      </w:r>
    </w:p>
    <w:p w14:paraId="1A02CDF9" w14:textId="4320E8B4" w:rsidR="00176ACA" w:rsidRPr="001F461B" w:rsidRDefault="00176ACA" w:rsidP="00176ACA">
      <w:pPr>
        <w:spacing w:after="120" w:line="276" w:lineRule="auto"/>
        <w:ind w:firstLine="709"/>
        <w:jc w:val="both"/>
        <w:rPr>
          <w:rFonts w:ascii="Century Gothic" w:hAnsi="Century Gothic" w:cs="Arial"/>
          <w:color w:val="000000" w:themeColor="text1"/>
          <w:lang w:val="es-ES_tradnl"/>
        </w:rPr>
      </w:pPr>
      <w:r w:rsidRPr="001F461B">
        <w:rPr>
          <w:rFonts w:ascii="Century Gothic" w:hAnsi="Century Gothic" w:cs="Arial"/>
          <w:color w:val="000000" w:themeColor="text1"/>
          <w:lang w:val="es-ES_tradnl"/>
        </w:rPr>
        <w:t xml:space="preserve">Por tanto, se concluye que el término de diez (10) años de la causal de inhabilidad prevista en el artículo 51 de la Ley 2195 de 2022 se comienza a contar a partir de la publicación del último incumplimiento o multa en el </w:t>
      </w:r>
      <w:r w:rsidR="00E10750">
        <w:rPr>
          <w:rFonts w:ascii="Century Gothic" w:hAnsi="Century Gothic" w:cs="Arial"/>
          <w:color w:val="000000" w:themeColor="text1"/>
          <w:lang w:val="es-ES_tradnl"/>
        </w:rPr>
        <w:t>RUP</w:t>
      </w:r>
      <w:r w:rsidRPr="001F461B">
        <w:rPr>
          <w:rFonts w:ascii="Century Gothic" w:hAnsi="Century Gothic" w:cs="Arial"/>
          <w:color w:val="000000" w:themeColor="text1"/>
          <w:lang w:val="es-ES_tradnl"/>
        </w:rPr>
        <w:t xml:space="preserve">. En consecuencia, el término de la inhabilidad no se activa con la sola expedición del acto administrativo que declara el incumplimiento o la multa y ni siquiera con su </w:t>
      </w:r>
      <w:r w:rsidRPr="001F461B">
        <w:rPr>
          <w:rFonts w:ascii="Century Gothic" w:hAnsi="Century Gothic" w:cs="Arial"/>
          <w:i/>
          <w:iCs/>
          <w:color w:val="000000" w:themeColor="text1"/>
          <w:lang w:val="es-ES_tradnl"/>
        </w:rPr>
        <w:t>firmeza</w:t>
      </w:r>
      <w:r w:rsidRPr="001F461B">
        <w:rPr>
          <w:rFonts w:ascii="Century Gothic" w:hAnsi="Century Gothic" w:cs="Arial"/>
          <w:color w:val="000000" w:themeColor="text1"/>
          <w:lang w:val="es-ES_tradnl"/>
        </w:rPr>
        <w:t xml:space="preserve"> o desde la publicación </w:t>
      </w:r>
      <w:r w:rsidRPr="001F461B">
        <w:rPr>
          <w:rFonts w:ascii="Century Gothic" w:hAnsi="Century Gothic" w:cs="Arial"/>
          <w:i/>
          <w:iCs/>
          <w:color w:val="000000" w:themeColor="text1"/>
          <w:lang w:val="es-ES_tradnl"/>
        </w:rPr>
        <w:t>del primer</w:t>
      </w:r>
      <w:r w:rsidRPr="001F461B">
        <w:rPr>
          <w:rFonts w:ascii="Century Gothic" w:hAnsi="Century Gothic" w:cs="Arial"/>
          <w:color w:val="000000" w:themeColor="text1"/>
          <w:lang w:val="es-ES_tradnl"/>
        </w:rPr>
        <w:t xml:space="preserve"> incumplimiento o multa, sino desde la publicación en el Registro Único de Proponentes del acto administrativo que impone </w:t>
      </w:r>
      <w:r w:rsidRPr="001F461B">
        <w:rPr>
          <w:rFonts w:ascii="Century Gothic" w:hAnsi="Century Gothic" w:cs="Arial"/>
          <w:i/>
          <w:iCs/>
          <w:color w:val="000000" w:themeColor="text1"/>
          <w:lang w:val="es-ES_tradnl"/>
        </w:rPr>
        <w:t>la última</w:t>
      </w:r>
      <w:r w:rsidRPr="001F461B">
        <w:rPr>
          <w:rFonts w:ascii="Century Gothic" w:hAnsi="Century Gothic" w:cs="Arial"/>
          <w:color w:val="000000" w:themeColor="text1"/>
          <w:lang w:val="es-ES_tradnl"/>
        </w:rPr>
        <w:t xml:space="preserve"> multa o incumplimiento, luego del trámite del procedimiento administrativo sancionatorio correspondiente. Así, las </w:t>
      </w:r>
      <w:r w:rsidR="005C4A17">
        <w:rPr>
          <w:rFonts w:ascii="Century Gothic" w:hAnsi="Century Gothic" w:cs="Arial"/>
          <w:color w:val="000000" w:themeColor="text1"/>
          <w:lang w:val="es-ES_tradnl"/>
        </w:rPr>
        <w:t>E</w:t>
      </w:r>
      <w:r w:rsidRPr="001F461B">
        <w:rPr>
          <w:rFonts w:ascii="Century Gothic" w:hAnsi="Century Gothic" w:cs="Arial"/>
          <w:color w:val="000000" w:themeColor="text1"/>
          <w:lang w:val="es-ES_tradnl"/>
        </w:rPr>
        <w:t xml:space="preserve">ntidades </w:t>
      </w:r>
      <w:r w:rsidR="005C4A17">
        <w:rPr>
          <w:rFonts w:ascii="Century Gothic" w:hAnsi="Century Gothic" w:cs="Arial"/>
          <w:color w:val="000000" w:themeColor="text1"/>
          <w:lang w:val="es-ES_tradnl"/>
        </w:rPr>
        <w:t>E</w:t>
      </w:r>
      <w:r w:rsidRPr="001F461B">
        <w:rPr>
          <w:rFonts w:ascii="Century Gothic" w:hAnsi="Century Gothic" w:cs="Arial"/>
          <w:color w:val="000000" w:themeColor="text1"/>
          <w:lang w:val="es-ES_tradnl"/>
        </w:rPr>
        <w:t xml:space="preserve">statales están obligadas a enviar a las cámaras de comercio la copia de los actos administrativos en firme que han declarado los incumplimientos o multas, para que estas hagan la anotación en el RUP, pues el artículo 51 de la Ley 2195 de 2022, en el último inciso, establece que “La inhabilidad pertinente se hará explicita en el Registro Único de Proponentes cuando a ello haya lugar”, </w:t>
      </w:r>
      <w:r w:rsidRPr="001F461B">
        <w:rPr>
          <w:rFonts w:ascii="Century Gothic" w:eastAsia="Arial" w:hAnsi="Century Gothic" w:cs="Arial"/>
          <w:color w:val="000000" w:themeColor="text1"/>
          <w:lang w:eastAsia="es-ES" w:bidi="es-ES"/>
        </w:rPr>
        <w:t xml:space="preserve">afectando principalmente a los contratistas obligados a estar inscritos por las razones indicadas </w:t>
      </w:r>
      <w:r w:rsidRPr="001F461B">
        <w:rPr>
          <w:rFonts w:ascii="Century Gothic" w:eastAsia="Arial" w:hAnsi="Century Gothic" w:cs="Arial"/>
          <w:i/>
          <w:iCs/>
          <w:color w:val="000000" w:themeColor="text1"/>
          <w:lang w:eastAsia="es-ES" w:bidi="es-ES"/>
        </w:rPr>
        <w:t>ut supra</w:t>
      </w:r>
      <w:r w:rsidRPr="001F461B">
        <w:rPr>
          <w:rFonts w:ascii="Century Gothic" w:hAnsi="Century Gothic" w:cs="Arial"/>
          <w:color w:val="000000" w:themeColor="text1"/>
          <w:lang w:val="es-ES_tradnl"/>
        </w:rPr>
        <w:t>.</w:t>
      </w:r>
      <w:r w:rsidRPr="001F461B">
        <w:rPr>
          <w:rFonts w:ascii="Century Gothic" w:eastAsia="Arial" w:hAnsi="Century Gothic" w:cs="Arial"/>
          <w:color w:val="000000" w:themeColor="text1"/>
          <w:lang w:eastAsia="es-ES" w:bidi="es-ES"/>
        </w:rPr>
        <w:t xml:space="preserve"> </w:t>
      </w:r>
      <w:r w:rsidRPr="001F461B">
        <w:rPr>
          <w:rFonts w:ascii="Century Gothic" w:hAnsi="Century Gothic" w:cs="Arial"/>
          <w:color w:val="000000" w:themeColor="text1"/>
          <w:lang w:val="es-ES_tradnl"/>
        </w:rPr>
        <w:t xml:space="preserve"> </w:t>
      </w:r>
    </w:p>
    <w:p w14:paraId="78A47955" w14:textId="77777777" w:rsidR="00176ACA" w:rsidRPr="001F461B" w:rsidRDefault="00176ACA" w:rsidP="00176ACA">
      <w:pPr>
        <w:spacing w:after="0" w:line="276" w:lineRule="auto"/>
        <w:jc w:val="both"/>
        <w:rPr>
          <w:rFonts w:ascii="Century Gothic" w:hAnsi="Century Gothic" w:cs="Arial"/>
          <w:color w:val="000000" w:themeColor="text1"/>
          <w:lang w:eastAsia="es-MX"/>
        </w:rPr>
      </w:pPr>
    </w:p>
    <w:p w14:paraId="58CFB4B4" w14:textId="608C0B6B" w:rsidR="00176ACA" w:rsidRPr="001F461B" w:rsidRDefault="00176ACA" w:rsidP="00176ACA">
      <w:pPr>
        <w:widowControl w:val="0"/>
        <w:autoSpaceDE w:val="0"/>
        <w:autoSpaceDN w:val="0"/>
        <w:spacing w:after="0" w:line="276" w:lineRule="auto"/>
        <w:jc w:val="both"/>
        <w:rPr>
          <w:rFonts w:ascii="Century Gothic" w:hAnsi="Century Gothic" w:cs="Arial"/>
          <w:color w:val="000000" w:themeColor="text1"/>
          <w:lang w:val="es-ES_tradnl" w:bidi="es-ES"/>
        </w:rPr>
      </w:pPr>
      <w:r w:rsidRPr="001F461B">
        <w:rPr>
          <w:rFonts w:ascii="Century Gothic" w:hAnsi="Century Gothic" w:cs="Arial"/>
          <w:color w:val="000000" w:themeColor="text1"/>
          <w:lang w:val="es-ES_tradnl"/>
        </w:rPr>
        <w:t>Este concepto tiene el alcance previsto en el artículo 28 del Código de Procedimiento Administrativo y de lo Contencioso Administrativo</w:t>
      </w:r>
      <w:r w:rsidR="005A4BEE">
        <w:rPr>
          <w:rFonts w:ascii="Century Gothic" w:hAnsi="Century Gothic" w:cs="Arial"/>
          <w:color w:val="000000" w:themeColor="text1"/>
          <w:lang w:val="es-ES_tradnl"/>
        </w:rPr>
        <w:t xml:space="preserve"> </w:t>
      </w:r>
      <w:r w:rsidR="005A4BEE" w:rsidRPr="003A6581">
        <w:rPr>
          <w:rFonts w:ascii="Century Gothic" w:eastAsia="Calibri" w:hAnsi="Century Gothic" w:cs="Arial"/>
          <w:color w:val="000000"/>
          <w:lang w:eastAsia="es-MX"/>
        </w:rPr>
        <w:t>y las expresiones aquí utilizadas con mayúscula inicial deben ser entendidas con el significado que les otorga el artículo 2.2.1.1.1.3.1. del Decreto 1082 de 2015.</w:t>
      </w:r>
    </w:p>
    <w:p w14:paraId="33543CED" w14:textId="77777777" w:rsidR="00176ACA" w:rsidRPr="001F461B" w:rsidRDefault="00176ACA" w:rsidP="00176ACA">
      <w:pPr>
        <w:widowControl w:val="0"/>
        <w:autoSpaceDE w:val="0"/>
        <w:autoSpaceDN w:val="0"/>
        <w:spacing w:after="0" w:line="276" w:lineRule="auto"/>
        <w:jc w:val="both"/>
        <w:rPr>
          <w:rFonts w:ascii="Century Gothic" w:hAnsi="Century Gothic" w:cs="Arial"/>
          <w:color w:val="000000" w:themeColor="text1"/>
          <w:lang w:val="es-ES_tradnl" w:bidi="es-ES"/>
        </w:rPr>
      </w:pPr>
    </w:p>
    <w:p w14:paraId="41B21A47" w14:textId="77777777" w:rsidR="00176ACA" w:rsidRPr="001F461B" w:rsidRDefault="00176ACA" w:rsidP="00176ACA">
      <w:pPr>
        <w:tabs>
          <w:tab w:val="left" w:pos="426"/>
        </w:tabs>
        <w:spacing w:line="276" w:lineRule="auto"/>
        <w:jc w:val="both"/>
        <w:rPr>
          <w:rFonts w:ascii="Century Gothic" w:eastAsia="Times New Roman" w:hAnsi="Century Gothic" w:cs="Arial"/>
          <w:color w:val="000000" w:themeColor="text1"/>
        </w:rPr>
      </w:pPr>
      <w:r w:rsidRPr="001F461B">
        <w:rPr>
          <w:rFonts w:ascii="Century Gothic" w:eastAsia="Times New Roman" w:hAnsi="Century Gothic" w:cs="Arial"/>
          <w:color w:val="000000" w:themeColor="text1"/>
        </w:rPr>
        <w:t>Atentamente,</w:t>
      </w:r>
    </w:p>
    <w:p w14:paraId="68A6E8E3" w14:textId="26F2F323" w:rsidR="00176ACA" w:rsidRPr="001F461B" w:rsidRDefault="004436F9" w:rsidP="00176ACA">
      <w:pPr>
        <w:jc w:val="center"/>
        <w:rPr>
          <w:rFonts w:ascii="Century Gothic" w:eastAsia="Times New Roman" w:hAnsi="Century Gothic" w:cs="Arial"/>
          <w:lang w:eastAsia="es-CO"/>
        </w:rPr>
      </w:pPr>
      <w:r>
        <w:rPr>
          <w:noProof/>
        </w:rPr>
        <w:drawing>
          <wp:inline distT="0" distB="0" distL="0" distR="0" wp14:anchorId="51663EBC" wp14:editId="5A8194E7">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76ACA" w:rsidRPr="001F461B" w14:paraId="5BBC68E5" w14:textId="77777777" w:rsidTr="00F13B4E">
        <w:trPr>
          <w:trHeight w:val="409"/>
        </w:trPr>
        <w:tc>
          <w:tcPr>
            <w:tcW w:w="817" w:type="dxa"/>
            <w:tcBorders>
              <w:top w:val="nil"/>
              <w:left w:val="nil"/>
              <w:bottom w:val="nil"/>
              <w:right w:val="nil"/>
            </w:tcBorders>
            <w:vAlign w:val="center"/>
            <w:hideMark/>
          </w:tcPr>
          <w:p w14:paraId="66413729"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EEE12E8"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Juan David Montoya Penagos</w:t>
            </w:r>
          </w:p>
          <w:p w14:paraId="3E584784"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Contratista de la Subdirección de Gestión Contractual</w:t>
            </w:r>
          </w:p>
        </w:tc>
      </w:tr>
      <w:tr w:rsidR="00176ACA" w:rsidRPr="001F461B" w14:paraId="03230E3F" w14:textId="77777777" w:rsidTr="00F13B4E">
        <w:trPr>
          <w:trHeight w:val="409"/>
        </w:trPr>
        <w:tc>
          <w:tcPr>
            <w:tcW w:w="817" w:type="dxa"/>
            <w:tcBorders>
              <w:top w:val="nil"/>
              <w:left w:val="nil"/>
              <w:right w:val="nil"/>
            </w:tcBorders>
            <w:vAlign w:val="center"/>
          </w:tcPr>
          <w:p w14:paraId="66110024" w14:textId="77777777" w:rsidR="00176ACA" w:rsidRPr="001F461B" w:rsidRDefault="00176ACA" w:rsidP="00F13B4E">
            <w:pPr>
              <w:jc w:val="both"/>
              <w:rPr>
                <w:rFonts w:ascii="Century Gothic" w:hAnsi="Century Gothic" w:cs="Arial"/>
                <w:sz w:val="16"/>
                <w:szCs w:val="16"/>
              </w:rPr>
            </w:pPr>
            <w:r w:rsidRPr="001F461B">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353F54F2"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Martha Alicia Romero Vargas</w:t>
            </w:r>
          </w:p>
          <w:p w14:paraId="59AAA905"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 xml:space="preserve">Gestor T1 </w:t>
            </w:r>
            <w:r w:rsidRPr="001F461B">
              <w:rPr>
                <w:rFonts w:ascii="Arial" w:hAnsi="Arial" w:cs="Arial"/>
                <w:sz w:val="16"/>
                <w:szCs w:val="16"/>
              </w:rPr>
              <w:t>‒</w:t>
            </w:r>
            <w:r w:rsidRPr="001F461B">
              <w:rPr>
                <w:rFonts w:ascii="Century Gothic" w:hAnsi="Century Gothic" w:cs="Arial"/>
                <w:sz w:val="16"/>
                <w:szCs w:val="16"/>
              </w:rPr>
              <w:t xml:space="preserve"> 15 de la Subdirecci</w:t>
            </w:r>
            <w:r w:rsidRPr="001F461B">
              <w:rPr>
                <w:rFonts w:ascii="Century Gothic" w:hAnsi="Century Gothic" w:cs="Century Gothic"/>
                <w:sz w:val="16"/>
                <w:szCs w:val="16"/>
              </w:rPr>
              <w:t>ó</w:t>
            </w:r>
            <w:r w:rsidRPr="001F461B">
              <w:rPr>
                <w:rFonts w:ascii="Century Gothic" w:hAnsi="Century Gothic" w:cs="Arial"/>
                <w:sz w:val="16"/>
                <w:szCs w:val="16"/>
              </w:rPr>
              <w:t>n de Gesti</w:t>
            </w:r>
            <w:r w:rsidRPr="001F461B">
              <w:rPr>
                <w:rFonts w:ascii="Century Gothic" w:hAnsi="Century Gothic" w:cs="Century Gothic"/>
                <w:sz w:val="16"/>
                <w:szCs w:val="16"/>
              </w:rPr>
              <w:t>ó</w:t>
            </w:r>
            <w:r w:rsidRPr="001F461B">
              <w:rPr>
                <w:rFonts w:ascii="Century Gothic" w:hAnsi="Century Gothic" w:cs="Arial"/>
                <w:sz w:val="16"/>
                <w:szCs w:val="16"/>
              </w:rPr>
              <w:t>n Contractual</w:t>
            </w:r>
          </w:p>
        </w:tc>
      </w:tr>
      <w:tr w:rsidR="00176ACA" w:rsidRPr="001F461B" w14:paraId="137D42E8" w14:textId="77777777" w:rsidTr="00F13B4E">
        <w:trPr>
          <w:trHeight w:val="389"/>
        </w:trPr>
        <w:tc>
          <w:tcPr>
            <w:tcW w:w="817" w:type="dxa"/>
            <w:tcBorders>
              <w:top w:val="nil"/>
              <w:left w:val="nil"/>
              <w:bottom w:val="nil"/>
              <w:right w:val="nil"/>
            </w:tcBorders>
            <w:vAlign w:val="center"/>
            <w:hideMark/>
          </w:tcPr>
          <w:p w14:paraId="72E629CD"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2DE900B"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 xml:space="preserve">Nohelia del Carmen </w:t>
            </w:r>
            <w:proofErr w:type="spellStart"/>
            <w:r w:rsidRPr="001F461B">
              <w:rPr>
                <w:rFonts w:ascii="Century Gothic" w:hAnsi="Century Gothic" w:cs="Arial"/>
                <w:sz w:val="16"/>
                <w:szCs w:val="16"/>
              </w:rPr>
              <w:t>Zawady</w:t>
            </w:r>
            <w:proofErr w:type="spellEnd"/>
            <w:r w:rsidRPr="001F461B">
              <w:rPr>
                <w:rFonts w:ascii="Century Gothic" w:hAnsi="Century Gothic" w:cs="Arial"/>
                <w:sz w:val="16"/>
                <w:szCs w:val="16"/>
              </w:rPr>
              <w:t xml:space="preserve"> Palacio</w:t>
            </w:r>
          </w:p>
          <w:p w14:paraId="2F48B610" w14:textId="77777777" w:rsidR="00176ACA" w:rsidRPr="001F461B" w:rsidRDefault="00176ACA" w:rsidP="00F13B4E">
            <w:pPr>
              <w:spacing w:after="0" w:line="240" w:lineRule="auto"/>
              <w:jc w:val="both"/>
              <w:rPr>
                <w:rFonts w:ascii="Century Gothic" w:hAnsi="Century Gothic" w:cs="Arial"/>
                <w:sz w:val="16"/>
                <w:szCs w:val="16"/>
              </w:rPr>
            </w:pPr>
            <w:r w:rsidRPr="001F461B">
              <w:rPr>
                <w:rFonts w:ascii="Century Gothic" w:hAnsi="Century Gothic" w:cs="Arial"/>
                <w:sz w:val="16"/>
                <w:szCs w:val="16"/>
              </w:rPr>
              <w:t>Subdirectora de Gestión Contractual ANCP – CCE</w:t>
            </w:r>
          </w:p>
        </w:tc>
      </w:tr>
      <w:bookmarkEnd w:id="2"/>
    </w:tbl>
    <w:p w14:paraId="0F293BF4" w14:textId="6F4ADEC1" w:rsidR="00127233" w:rsidRPr="00C86251" w:rsidRDefault="00127233" w:rsidP="00F23ACB"/>
    <w:sectPr w:rsidR="00127233" w:rsidRPr="00C86251" w:rsidSect="002E1CB7">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79EE0" w14:textId="77777777" w:rsidR="007167C8" w:rsidRDefault="007167C8" w:rsidP="004A1847">
      <w:pPr>
        <w:spacing w:after="0" w:line="240" w:lineRule="auto"/>
      </w:pPr>
      <w:r>
        <w:separator/>
      </w:r>
    </w:p>
  </w:endnote>
  <w:endnote w:type="continuationSeparator" w:id="0">
    <w:p w14:paraId="791DE8E1" w14:textId="77777777" w:rsidR="007167C8" w:rsidRDefault="007167C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81137" w14:textId="77777777" w:rsidR="007167C8" w:rsidRDefault="007167C8" w:rsidP="004A1847">
      <w:pPr>
        <w:spacing w:after="0" w:line="240" w:lineRule="auto"/>
      </w:pPr>
      <w:r>
        <w:separator/>
      </w:r>
    </w:p>
  </w:footnote>
  <w:footnote w:type="continuationSeparator" w:id="0">
    <w:p w14:paraId="58832CA1" w14:textId="77777777" w:rsidR="007167C8" w:rsidRDefault="007167C8" w:rsidP="004A1847">
      <w:pPr>
        <w:spacing w:after="0" w:line="240" w:lineRule="auto"/>
      </w:pPr>
      <w:r>
        <w:continuationSeparator/>
      </w:r>
    </w:p>
  </w:footnote>
  <w:footnote w:id="1">
    <w:p w14:paraId="60F3CC8E" w14:textId="77777777" w:rsidR="00176ACA" w:rsidRPr="00CB7EC9" w:rsidRDefault="00176ACA" w:rsidP="00176ACA">
      <w:pPr>
        <w:pStyle w:val="Textonotapie"/>
        <w:ind w:firstLine="708"/>
        <w:jc w:val="both"/>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La Agencia Nacional de Contratación Pública </w:t>
      </w:r>
      <w:r w:rsidRPr="00CB7EC9">
        <w:rPr>
          <w:rFonts w:ascii="Arial" w:hAnsi="Arial" w:cs="Arial"/>
          <w:sz w:val="16"/>
          <w:szCs w:val="16"/>
        </w:rPr>
        <w:t>‒</w:t>
      </w:r>
      <w:r w:rsidRPr="00CB7EC9">
        <w:rPr>
          <w:rFonts w:ascii="Century Gothic" w:hAnsi="Century Gothic" w:cs="Arial"/>
          <w:sz w:val="16"/>
          <w:szCs w:val="16"/>
        </w:rPr>
        <w:t xml:space="preserve"> Colombia Compra Eficiente fue creada por el Decreto Ley 4170 de 2011. Su objetivo es servir como ente rector de la pol</w:t>
      </w:r>
      <w:r w:rsidRPr="00CB7EC9">
        <w:rPr>
          <w:rFonts w:ascii="Century Gothic" w:hAnsi="Century Gothic" w:cs="Century Gothic"/>
          <w:sz w:val="16"/>
          <w:szCs w:val="16"/>
        </w:rPr>
        <w:t>í</w:t>
      </w:r>
      <w:r w:rsidRPr="00CB7EC9">
        <w:rPr>
          <w:rFonts w:ascii="Century Gothic" w:hAnsi="Century Gothic" w:cs="Arial"/>
          <w:sz w:val="16"/>
          <w:szCs w:val="16"/>
        </w:rPr>
        <w:t>tica de compras y contrataci</w:t>
      </w:r>
      <w:r w:rsidRPr="00CB7EC9">
        <w:rPr>
          <w:rFonts w:ascii="Century Gothic" w:hAnsi="Century Gothic" w:cs="Century Gothic"/>
          <w:sz w:val="16"/>
          <w:szCs w:val="16"/>
        </w:rPr>
        <w:t>ó</w:t>
      </w:r>
      <w:r w:rsidRPr="00CB7EC9">
        <w:rPr>
          <w:rFonts w:ascii="Century Gothic" w:hAnsi="Century Gothic" w:cs="Arial"/>
          <w:sz w:val="16"/>
          <w:szCs w:val="16"/>
        </w:rPr>
        <w:t xml:space="preserve">n del Estado. Para tales fines, como </w:t>
      </w:r>
      <w:r w:rsidRPr="00CB7EC9">
        <w:rPr>
          <w:rFonts w:ascii="Century Gothic" w:hAnsi="Century Gothic" w:cs="Century Gothic"/>
          <w:sz w:val="16"/>
          <w:szCs w:val="16"/>
        </w:rPr>
        <w:t>ó</w:t>
      </w:r>
      <w:r w:rsidRPr="00CB7EC9">
        <w:rPr>
          <w:rFonts w:ascii="Century Gothic" w:hAnsi="Century Gothic" w:cs="Arial"/>
          <w:sz w:val="16"/>
          <w:szCs w:val="16"/>
        </w:rPr>
        <w:t>rgano t</w:t>
      </w:r>
      <w:r w:rsidRPr="00CB7EC9">
        <w:rPr>
          <w:rFonts w:ascii="Century Gothic" w:hAnsi="Century Gothic" w:cs="Century Gothic"/>
          <w:sz w:val="16"/>
          <w:szCs w:val="16"/>
        </w:rPr>
        <w:t>é</w:t>
      </w:r>
      <w:r w:rsidRPr="00CB7EC9">
        <w:rPr>
          <w:rFonts w:ascii="Century Gothic" w:hAnsi="Century Gothic" w:cs="Arial"/>
          <w:sz w:val="16"/>
          <w:szCs w:val="16"/>
        </w:rPr>
        <w:t>cnico especializado, le corresponde formular pol</w:t>
      </w:r>
      <w:r w:rsidRPr="00CB7EC9">
        <w:rPr>
          <w:rFonts w:ascii="Century Gothic" w:hAnsi="Century Gothic" w:cs="Century Gothic"/>
          <w:sz w:val="16"/>
          <w:szCs w:val="16"/>
        </w:rPr>
        <w:t>í</w:t>
      </w:r>
      <w:r w:rsidRPr="00CB7EC9">
        <w:rPr>
          <w:rFonts w:ascii="Century Gothic" w:hAnsi="Century Gothic" w:cs="Arial"/>
          <w:sz w:val="16"/>
          <w:szCs w:val="16"/>
        </w:rPr>
        <w:t>ticas p</w:t>
      </w:r>
      <w:r w:rsidRPr="00CB7EC9">
        <w:rPr>
          <w:rFonts w:ascii="Century Gothic" w:hAnsi="Century Gothic" w:cs="Century Gothic"/>
          <w:sz w:val="16"/>
          <w:szCs w:val="16"/>
        </w:rPr>
        <w:t>ú</w:t>
      </w:r>
      <w:r w:rsidRPr="00CB7EC9">
        <w:rPr>
          <w:rFonts w:ascii="Century Gothic" w:hAnsi="Century Gothic" w:cs="Arial"/>
          <w:sz w:val="16"/>
          <w:szCs w:val="16"/>
        </w:rPr>
        <w:t>blicas y normas y unificar los procesos de contrataci</w:t>
      </w:r>
      <w:r w:rsidRPr="00CB7EC9">
        <w:rPr>
          <w:rFonts w:ascii="Century Gothic" w:hAnsi="Century Gothic" w:cs="Century Gothic"/>
          <w:sz w:val="16"/>
          <w:szCs w:val="16"/>
        </w:rPr>
        <w:t>ó</w:t>
      </w:r>
      <w:r w:rsidRPr="00CB7EC9">
        <w:rPr>
          <w:rFonts w:ascii="Century Gothic" w:hAnsi="Century Gothic" w:cs="Arial"/>
          <w:sz w:val="16"/>
          <w:szCs w:val="16"/>
        </w:rPr>
        <w:t>n estatal, con el fin de lograr una mayor eficiencia, transparencia y optimizaci</w:t>
      </w:r>
      <w:r w:rsidRPr="00CB7EC9">
        <w:rPr>
          <w:rFonts w:ascii="Century Gothic" w:hAnsi="Century Gothic" w:cs="Century Gothic"/>
          <w:sz w:val="16"/>
          <w:szCs w:val="16"/>
        </w:rPr>
        <w:t>ó</w:t>
      </w:r>
      <w:r w:rsidRPr="00CB7EC9">
        <w:rPr>
          <w:rFonts w:ascii="Century Gothic" w:hAnsi="Century Gothic" w:cs="Arial"/>
          <w:sz w:val="16"/>
          <w:szCs w:val="16"/>
        </w:rPr>
        <w:t>n de los recursos del Estado. El art</w:t>
      </w:r>
      <w:r w:rsidRPr="00CB7EC9">
        <w:rPr>
          <w:rFonts w:ascii="Century Gothic" w:hAnsi="Century Gothic" w:cs="Century Gothic"/>
          <w:sz w:val="16"/>
          <w:szCs w:val="16"/>
        </w:rPr>
        <w:t>í</w:t>
      </w:r>
      <w:r w:rsidRPr="00CB7EC9">
        <w:rPr>
          <w:rFonts w:ascii="Century Gothic" w:hAnsi="Century Gothic" w:cs="Arial"/>
          <w:sz w:val="16"/>
          <w:szCs w:val="16"/>
        </w:rPr>
        <w:t xml:space="preserve">culo 3 </w:t>
      </w:r>
      <w:r w:rsidRPr="00CB7EC9">
        <w:rPr>
          <w:rFonts w:ascii="Century Gothic" w:hAnsi="Century Gothic" w:cs="Arial"/>
          <w:i/>
          <w:iCs/>
          <w:sz w:val="16"/>
          <w:szCs w:val="16"/>
        </w:rPr>
        <w:t xml:space="preserve">ibidem </w:t>
      </w:r>
      <w:r w:rsidRPr="00CB7EC9">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CB7EC9">
        <w:rPr>
          <w:rFonts w:ascii="Century Gothic" w:hAnsi="Century Gothic" w:cs="Arial"/>
          <w:sz w:val="16"/>
          <w:szCs w:val="16"/>
        </w:rPr>
        <w:t>bsolver</w:t>
      </w:r>
      <w:proofErr w:type="spellEnd"/>
      <w:r w:rsidRPr="00CB7EC9">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B7EC9">
        <w:rPr>
          <w:rFonts w:ascii="Century Gothic" w:hAnsi="Century Gothic" w:cs="Arial"/>
          <w:sz w:val="16"/>
          <w:szCs w:val="16"/>
        </w:rPr>
        <w:t>bsolver</w:t>
      </w:r>
      <w:proofErr w:type="spellEnd"/>
      <w:r w:rsidRPr="00CB7EC9">
        <w:rPr>
          <w:rFonts w:ascii="Century Gothic" w:hAnsi="Century Gothic" w:cs="Arial"/>
          <w:sz w:val="16"/>
          <w:szCs w:val="16"/>
        </w:rPr>
        <w:t xml:space="preserve"> consultas sobre la aplicación de normas de carácter general”.</w:t>
      </w:r>
    </w:p>
  </w:footnote>
  <w:footnote w:id="2">
    <w:p w14:paraId="03FB454C" w14:textId="77777777" w:rsidR="00176ACA" w:rsidRPr="00CB7EC9" w:rsidRDefault="00176ACA" w:rsidP="00176ACA">
      <w:pPr>
        <w:pStyle w:val="Textonotapie"/>
        <w:ind w:firstLine="708"/>
        <w:jc w:val="both"/>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B7EC9">
          <w:rPr>
            <w:rStyle w:val="Hipervnculo"/>
            <w:rFonts w:ascii="Century Gothic" w:hAnsi="Century Gothic" w:cs="Arial"/>
            <w:sz w:val="16"/>
            <w:szCs w:val="16"/>
          </w:rPr>
          <w:t>https://relatoria.colombiacompra.gov.co/busqueda/conceptos</w:t>
        </w:r>
      </w:hyperlink>
      <w:r w:rsidRPr="00CB7EC9">
        <w:rPr>
          <w:rStyle w:val="Hipervnculo"/>
          <w:rFonts w:ascii="Century Gothic" w:hAnsi="Century Gothic" w:cs="Arial"/>
          <w:sz w:val="16"/>
          <w:szCs w:val="16"/>
        </w:rPr>
        <w:t xml:space="preserve">. </w:t>
      </w:r>
      <w:r w:rsidRPr="00CB7EC9">
        <w:rPr>
          <w:rFonts w:ascii="Century Gothic" w:hAnsi="Century Gothic" w:cs="Arial"/>
          <w:sz w:val="16"/>
          <w:szCs w:val="16"/>
          <w:shd w:val="clear" w:color="auto" w:fill="E6E6E6"/>
        </w:rPr>
        <w:t xml:space="preserve"> </w:t>
      </w:r>
    </w:p>
  </w:footnote>
  <w:footnote w:id="3">
    <w:p w14:paraId="599E22B0" w14:textId="77777777" w:rsidR="00176ACA" w:rsidRPr="00CB7EC9" w:rsidRDefault="00176ACA" w:rsidP="00176ACA">
      <w:pPr>
        <w:pStyle w:val="Textonotapie"/>
        <w:ind w:firstLine="708"/>
        <w:contextualSpacing/>
        <w:jc w:val="both"/>
        <w:rPr>
          <w:rFonts w:ascii="Century Gothic" w:hAnsi="Century Gothic" w:cs="Arial"/>
          <w:color w:val="000000"/>
          <w:sz w:val="16"/>
          <w:szCs w:val="16"/>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Consejo de Estado. Sección Tercera. Subsección B. Sentencia del 6 de junio de 2013. </w:t>
      </w:r>
      <w:proofErr w:type="spellStart"/>
      <w:r w:rsidRPr="00CB7EC9">
        <w:rPr>
          <w:rFonts w:ascii="Century Gothic" w:hAnsi="Century Gothic" w:cs="Arial"/>
          <w:color w:val="000000"/>
          <w:sz w:val="16"/>
          <w:szCs w:val="16"/>
        </w:rPr>
        <w:t>Exp</w:t>
      </w:r>
      <w:proofErr w:type="spellEnd"/>
      <w:r w:rsidRPr="00CB7EC9">
        <w:rPr>
          <w:rFonts w:ascii="Century Gothic" w:hAnsi="Century Gothic" w:cs="Arial"/>
          <w:color w:val="000000"/>
          <w:sz w:val="16"/>
          <w:szCs w:val="16"/>
        </w:rPr>
        <w:t>. 25151. C.P. Stella Conto Díaz del Castillo.</w:t>
      </w:r>
    </w:p>
  </w:footnote>
  <w:footnote w:id="4">
    <w:p w14:paraId="22A5AEFA" w14:textId="77777777" w:rsidR="00176ACA" w:rsidRPr="00CB7EC9" w:rsidRDefault="00176ACA" w:rsidP="00176ACA">
      <w:pPr>
        <w:pStyle w:val="Textonotapie"/>
        <w:ind w:firstLine="709"/>
        <w:contextualSpacing/>
        <w:jc w:val="both"/>
        <w:rPr>
          <w:rFonts w:ascii="Century Gothic" w:hAnsi="Century Gothic" w:cs="Arial"/>
          <w:color w:val="000000"/>
          <w:sz w:val="16"/>
          <w:szCs w:val="16"/>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Ley 1150 de 2007: “Artículo 6. De la verificación de las condiciones de los proponentes.</w:t>
      </w:r>
    </w:p>
    <w:p w14:paraId="49367C05"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w:t>
      </w:r>
    </w:p>
    <w:p w14:paraId="4A40A56E"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6.1. […]</w:t>
      </w:r>
    </w:p>
    <w:p w14:paraId="2D175018"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268681B"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A6EC746"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w:t>
      </w:r>
    </w:p>
  </w:footnote>
  <w:footnote w:id="5">
    <w:p w14:paraId="76DF9ED2"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Ley 1150 de 2007: “Artículo 5. De la selección objetiva.</w:t>
      </w:r>
      <w:r w:rsidRPr="00CB7EC9">
        <w:rPr>
          <w:rFonts w:ascii="Century Gothic" w:hAnsi="Century Gothic" w:cs="Arial"/>
          <w:color w:val="000000"/>
          <w:sz w:val="16"/>
          <w:szCs w:val="16"/>
          <w:lang w:eastAsia="es-CO"/>
        </w:rPr>
        <w:t xml:space="preserve"> </w:t>
      </w:r>
    </w:p>
    <w:p w14:paraId="7BDCC8AF"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w:t>
      </w:r>
    </w:p>
    <w:p w14:paraId="600BDF14"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val="es-ES"/>
        </w:rPr>
      </w:pPr>
      <w:r w:rsidRPr="00CB7EC9">
        <w:rPr>
          <w:rFonts w:ascii="Century Gothic" w:hAnsi="Century Gothic" w:cs="Arial"/>
          <w:color w:val="000000"/>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footnote>
  <w:footnote w:id="6">
    <w:p w14:paraId="4279E5B2" w14:textId="77777777" w:rsidR="00176ACA" w:rsidRPr="00CB7EC9" w:rsidRDefault="00176ACA" w:rsidP="00176ACA">
      <w:pPr>
        <w:pStyle w:val="Textonotapie"/>
        <w:ind w:firstLine="709"/>
        <w:contextualSpacing/>
        <w:jc w:val="both"/>
        <w:rPr>
          <w:rFonts w:ascii="Century Gothic" w:hAnsi="Century Gothic" w:cs="Arial"/>
          <w:color w:val="000000"/>
          <w:sz w:val="16"/>
          <w:szCs w:val="16"/>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w:t>
      </w:r>
      <w:r w:rsidRPr="00CB7EC9">
        <w:rPr>
          <w:rFonts w:ascii="Century Gothic" w:hAnsi="Century Gothic" w:cs="Arial"/>
          <w:color w:val="000000"/>
          <w:sz w:val="16"/>
          <w:szCs w:val="16"/>
          <w:lang w:eastAsia="es-CO"/>
        </w:rPr>
        <w:t xml:space="preserve">Consejo de Estado. Sección Tercera. Subsección A. Sentencia del 12 de febrero de 2014. </w:t>
      </w:r>
      <w:proofErr w:type="spellStart"/>
      <w:r w:rsidRPr="00CB7EC9">
        <w:rPr>
          <w:rFonts w:ascii="Century Gothic" w:hAnsi="Century Gothic" w:cs="Arial"/>
          <w:color w:val="000000"/>
          <w:sz w:val="16"/>
          <w:szCs w:val="16"/>
          <w:lang w:eastAsia="es-CO"/>
        </w:rPr>
        <w:t>Exp</w:t>
      </w:r>
      <w:proofErr w:type="spellEnd"/>
      <w:r w:rsidRPr="00CB7EC9">
        <w:rPr>
          <w:rFonts w:ascii="Century Gothic" w:hAnsi="Century Gothic" w:cs="Arial"/>
          <w:color w:val="000000"/>
          <w:sz w:val="16"/>
          <w:szCs w:val="16"/>
          <w:lang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7">
    <w:p w14:paraId="596DB8ED"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w:t>
      </w:r>
      <w:r w:rsidRPr="00CB7EC9">
        <w:rPr>
          <w:rFonts w:ascii="Century Gothic" w:hAnsi="Century Gothic" w:cs="Arial"/>
          <w:color w:val="000000"/>
          <w:sz w:val="16"/>
          <w:szCs w:val="16"/>
          <w:lang w:eastAsia="es-CO"/>
        </w:rPr>
        <w:t xml:space="preserve">Ley 1150 de 2007: “Artículo 6.  De la verificación de las condiciones de los proponentes. </w:t>
      </w:r>
    </w:p>
    <w:p w14:paraId="615C3F14"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 xml:space="preserve">[...] </w:t>
      </w:r>
    </w:p>
    <w:p w14:paraId="2AECBA15"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6AB8CF9"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 xml:space="preserve">[...]”. </w:t>
      </w:r>
    </w:p>
  </w:footnote>
  <w:footnote w:id="8">
    <w:p w14:paraId="0E4C0207"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w:t>
      </w:r>
      <w:r w:rsidRPr="00CB7EC9">
        <w:rPr>
          <w:rFonts w:ascii="Century Gothic" w:hAnsi="Century Gothic" w:cs="Arial"/>
          <w:color w:val="000000"/>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9">
    <w:p w14:paraId="14F68AA8"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 </w:t>
      </w:r>
      <w:r w:rsidRPr="00CB7EC9">
        <w:rPr>
          <w:rFonts w:ascii="Century Gothic" w:hAnsi="Century Gothic" w:cs="Arial"/>
          <w:color w:val="000000"/>
          <w:sz w:val="16"/>
          <w:szCs w:val="16"/>
          <w:lang w:eastAsia="es-CO"/>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w:t>
      </w:r>
      <w:proofErr w:type="spellStart"/>
      <w:r w:rsidRPr="00CB7EC9">
        <w:rPr>
          <w:rFonts w:ascii="Century Gothic" w:hAnsi="Century Gothic" w:cs="Arial"/>
          <w:color w:val="000000"/>
          <w:sz w:val="16"/>
          <w:szCs w:val="16"/>
          <w:lang w:eastAsia="es-CO"/>
        </w:rPr>
        <w:t>esta</w:t>
      </w:r>
      <w:proofErr w:type="spellEnd"/>
      <w:r w:rsidRPr="00CB7EC9">
        <w:rPr>
          <w:rFonts w:ascii="Century Gothic" w:hAnsi="Century Gothic" w:cs="Arial"/>
          <w:color w:val="000000"/>
          <w:sz w:val="16"/>
          <w:szCs w:val="16"/>
          <w:lang w:eastAsia="es-CO"/>
        </w:rPr>
        <w:t xml:space="preserve">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513206C7"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 (Exposición de motivos de la Ley 1150 de 2007. En: Gaceta del Congreso 458 del 1° de agosto de 2005. pp. 8 y 10).</w:t>
      </w:r>
    </w:p>
  </w:footnote>
  <w:footnote w:id="10">
    <w:p w14:paraId="073ADF88" w14:textId="77777777" w:rsidR="00176ACA" w:rsidRPr="00CB7EC9" w:rsidRDefault="00176ACA" w:rsidP="00176ACA">
      <w:pPr>
        <w:pStyle w:val="Textonotapie"/>
        <w:ind w:firstLine="709"/>
        <w:contextualSpacing/>
        <w:jc w:val="both"/>
        <w:rPr>
          <w:rFonts w:ascii="Century Gothic" w:hAnsi="Century Gothic" w:cs="Arial"/>
          <w:color w:val="000000"/>
          <w:sz w:val="16"/>
          <w:szCs w:val="16"/>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w:t>
      </w:r>
      <w:r w:rsidRPr="00CB7EC9">
        <w:rPr>
          <w:rFonts w:ascii="Century Gothic" w:hAnsi="Century Gothic" w:cs="Arial"/>
          <w:color w:val="000000"/>
          <w:sz w:val="16"/>
          <w:szCs w:val="16"/>
          <w:lang w:eastAsia="es-CO"/>
        </w:rPr>
        <w:t>Consejo de Estado. Sala de Consulta y Servicio Civil. Consulta del 20 de mayo de 2010. Exp.1992. C. P. Enrique José Arboleda Perdomo.</w:t>
      </w:r>
    </w:p>
  </w:footnote>
  <w:footnote w:id="11">
    <w:p w14:paraId="789E12B5"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lang w:eastAsia="es-CO"/>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340B3B2" w14:textId="77777777" w:rsidR="00176ACA" w:rsidRPr="00CB7EC9" w:rsidRDefault="00176ACA" w:rsidP="00176ACA">
      <w:pPr>
        <w:pStyle w:val="Textonotapie"/>
        <w:ind w:firstLine="708"/>
        <w:contextualSpacing/>
        <w:jc w:val="both"/>
        <w:rPr>
          <w:rFonts w:ascii="Century Gothic" w:hAnsi="Century Gothic" w:cs="Arial"/>
          <w:color w:val="000000"/>
          <w:sz w:val="16"/>
          <w:szCs w:val="16"/>
        </w:rPr>
      </w:pPr>
      <w:r w:rsidRPr="00CB7EC9">
        <w:rPr>
          <w:rFonts w:ascii="Century Gothic" w:hAnsi="Century Gothic" w:cs="Arial"/>
          <w:color w:val="000000"/>
          <w:sz w:val="16"/>
          <w:szCs w:val="16"/>
          <w:lang w:eastAsia="es-CO"/>
        </w:rPr>
        <w:t xml:space="preserve">[...]”. </w:t>
      </w:r>
      <w:r w:rsidRPr="00CB7EC9">
        <w:rPr>
          <w:rFonts w:ascii="Century Gothic" w:hAnsi="Century Gothic" w:cs="Arial"/>
          <w:color w:val="000000"/>
          <w:sz w:val="16"/>
          <w:szCs w:val="16"/>
        </w:rPr>
        <w:t xml:space="preserve"> </w:t>
      </w:r>
    </w:p>
  </w:footnote>
  <w:footnote w:id="12">
    <w:p w14:paraId="443A9CF0"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Style w:val="Refdenotaalpie"/>
          <w:rFonts w:ascii="Century Gothic" w:hAnsi="Century Gothic" w:cs="Arial"/>
          <w:color w:val="000000"/>
          <w:sz w:val="16"/>
          <w:szCs w:val="16"/>
        </w:rPr>
        <w:footnoteRef/>
      </w:r>
      <w:r w:rsidRPr="00CB7EC9">
        <w:rPr>
          <w:rFonts w:ascii="Century Gothic" w:hAnsi="Century Gothic" w:cs="Arial"/>
          <w:color w:val="000000"/>
          <w:sz w:val="16"/>
          <w:szCs w:val="16"/>
        </w:rPr>
        <w:t xml:space="preserve"> </w:t>
      </w:r>
      <w:r w:rsidRPr="00CB7EC9">
        <w:rPr>
          <w:rFonts w:ascii="Century Gothic" w:hAnsi="Century Gothic" w:cs="Arial"/>
          <w:color w:val="000000"/>
          <w:sz w:val="16"/>
          <w:szCs w:val="16"/>
          <w:lang w:eastAsia="es-CO"/>
        </w:rPr>
        <w:t>Decreto 1082 de 2015:</w:t>
      </w:r>
      <w:r w:rsidRPr="00CB7EC9">
        <w:rPr>
          <w:rFonts w:ascii="Century Gothic" w:hAnsi="Century Gothic" w:cs="Arial"/>
          <w:color w:val="000000"/>
          <w:sz w:val="16"/>
          <w:szCs w:val="16"/>
        </w:rPr>
        <w:t xml:space="preserve"> </w:t>
      </w:r>
      <w:r w:rsidRPr="00CB7EC9">
        <w:rPr>
          <w:rFonts w:ascii="Century Gothic" w:hAnsi="Century Gothic" w:cs="Arial"/>
          <w:color w:val="000000"/>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17A384E6"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772E19A2" w14:textId="77777777" w:rsidR="00176ACA" w:rsidRPr="00CB7EC9" w:rsidRDefault="00176ACA" w:rsidP="00176ACA">
      <w:pPr>
        <w:pStyle w:val="Textonotapie"/>
        <w:ind w:firstLine="709"/>
        <w:contextualSpacing/>
        <w:jc w:val="both"/>
        <w:rPr>
          <w:rFonts w:ascii="Century Gothic" w:hAnsi="Century Gothic" w:cs="Arial"/>
          <w:color w:val="000000"/>
          <w:sz w:val="16"/>
          <w:szCs w:val="16"/>
          <w:lang w:eastAsia="es-CO"/>
        </w:rPr>
      </w:pPr>
      <w:r w:rsidRPr="00CB7EC9">
        <w:rPr>
          <w:rFonts w:ascii="Century Gothic" w:hAnsi="Century Gothic" w:cs="Arial"/>
          <w:color w:val="000000"/>
          <w:sz w:val="16"/>
          <w:szCs w:val="16"/>
          <w:lang w:eastAsia="es-CO"/>
        </w:rPr>
        <w:t xml:space="preserve">Los inscritos en el RUP pueden en cualquier momento solicitar a la cámara de comercio cancelar su inscripción”. </w:t>
      </w:r>
    </w:p>
  </w:footnote>
  <w:footnote w:id="13">
    <w:p w14:paraId="3E9A50E4" w14:textId="77777777" w:rsidR="00176ACA" w:rsidRPr="00CB7EC9" w:rsidRDefault="00176ACA" w:rsidP="00176ACA">
      <w:pPr>
        <w:pStyle w:val="Textonotapie"/>
        <w:ind w:firstLine="708"/>
        <w:contextualSpacing/>
        <w:jc w:val="both"/>
        <w:rPr>
          <w:rFonts w:ascii="Century Gothic" w:hAnsi="Century Gothic" w:cs="Arial"/>
          <w:sz w:val="16"/>
          <w:szCs w:val="16"/>
          <w:lang w:val="es-CO"/>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En lo pertinente, la norma dispone que </w:t>
      </w:r>
      <w:bookmarkStart w:id="8" w:name="_Hlk98942284"/>
      <w:r w:rsidRPr="00CB7EC9">
        <w:rPr>
          <w:rFonts w:ascii="Century Gothic" w:hAnsi="Century Gothic" w:cs="Arial"/>
          <w:sz w:val="16"/>
          <w:szCs w:val="16"/>
        </w:rPr>
        <w:t>“</w:t>
      </w:r>
      <w:r w:rsidRPr="00CB7EC9">
        <w:rPr>
          <w:rFonts w:ascii="Century Gothic" w:hAnsi="Century Gothic" w:cs="Arial"/>
          <w:sz w:val="16"/>
          <w:szCs w:val="16"/>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8"/>
      <w:r w:rsidRPr="00CB7EC9">
        <w:rPr>
          <w:rFonts w:ascii="Century Gothic" w:hAnsi="Century Gothic" w:cs="Arial"/>
          <w:sz w:val="16"/>
          <w:szCs w:val="16"/>
          <w:lang w:val="es-CO"/>
        </w:rPr>
        <w:t>.</w:t>
      </w:r>
    </w:p>
    <w:p w14:paraId="411E0A2D" w14:textId="77777777" w:rsidR="00176ACA" w:rsidRPr="00CB7EC9" w:rsidRDefault="00176ACA" w:rsidP="00176ACA">
      <w:pPr>
        <w:pStyle w:val="Textonotapie"/>
        <w:ind w:firstLine="708"/>
        <w:contextualSpacing/>
        <w:jc w:val="both"/>
        <w:rPr>
          <w:rFonts w:ascii="Century Gothic" w:hAnsi="Century Gothic" w:cs="Arial"/>
          <w:sz w:val="16"/>
          <w:szCs w:val="16"/>
          <w:lang w:val="es-CO"/>
        </w:rPr>
      </w:pPr>
      <w:r w:rsidRPr="00CB7EC9">
        <w:rPr>
          <w:rFonts w:ascii="Century Gothic" w:hAnsi="Century Gothic" w:cs="Arial"/>
          <w:sz w:val="16"/>
          <w:szCs w:val="16"/>
          <w:lang w:val="es-CO"/>
        </w:rPr>
        <w:t xml:space="preserve">Las condiciones de remisión de la información y los plazos de permanencia de la misma en el registro serán </w:t>
      </w:r>
      <w:proofErr w:type="gramStart"/>
      <w:r w:rsidRPr="00CB7EC9">
        <w:rPr>
          <w:rFonts w:ascii="Century Gothic" w:hAnsi="Century Gothic" w:cs="Arial"/>
          <w:sz w:val="16"/>
          <w:szCs w:val="16"/>
          <w:lang w:val="es-CO"/>
        </w:rPr>
        <w:t>señalados</w:t>
      </w:r>
      <w:proofErr w:type="gramEnd"/>
      <w:r w:rsidRPr="00CB7EC9">
        <w:rPr>
          <w:rFonts w:ascii="Century Gothic" w:hAnsi="Century Gothic" w:cs="Arial"/>
          <w:sz w:val="16"/>
          <w:szCs w:val="16"/>
          <w:lang w:val="es-CO"/>
        </w:rPr>
        <w:t xml:space="preserve"> por el Gobierno Nacional.</w:t>
      </w:r>
    </w:p>
    <w:p w14:paraId="387947E6" w14:textId="77777777" w:rsidR="00176ACA" w:rsidRPr="00CB7EC9" w:rsidRDefault="00176ACA" w:rsidP="00176ACA">
      <w:pPr>
        <w:pStyle w:val="Textonotapie"/>
        <w:ind w:firstLine="708"/>
        <w:contextualSpacing/>
        <w:jc w:val="both"/>
        <w:rPr>
          <w:rFonts w:ascii="Century Gothic" w:hAnsi="Century Gothic" w:cs="Arial"/>
          <w:sz w:val="16"/>
          <w:szCs w:val="16"/>
          <w:lang w:val="es-CO"/>
        </w:rPr>
      </w:pPr>
      <w:r w:rsidRPr="00CB7EC9">
        <w:rPr>
          <w:rFonts w:ascii="Century Gothic" w:hAnsi="Century Gothic" w:cs="Arial"/>
          <w:sz w:val="16"/>
          <w:szCs w:val="16"/>
          <w:lang w:val="es-CO"/>
        </w:rPr>
        <w:t>El servidor público encargado de remitir la información, que incumpla esta obligación incurrirá en causal de mala conducta”.</w:t>
      </w:r>
    </w:p>
  </w:footnote>
  <w:footnote w:id="14">
    <w:p w14:paraId="1FC81D72" w14:textId="77777777" w:rsidR="00176ACA" w:rsidRPr="00CB7EC9" w:rsidRDefault="00176ACA" w:rsidP="00176ACA">
      <w:pPr>
        <w:pStyle w:val="Textonotapie"/>
        <w:ind w:firstLine="708"/>
        <w:contextualSpacing/>
        <w:jc w:val="both"/>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80 de 1993: “Artículo 31. De la publicación de los actos y sentencias sancionatorias. &lt;Artículo modificado por el artículo </w:t>
      </w:r>
      <w:hyperlink r:id="rId2" w:anchor="218" w:history="1">
        <w:r w:rsidRPr="00CB7EC9">
          <w:rPr>
            <w:rFonts w:ascii="Century Gothic" w:hAnsi="Century Gothic" w:cs="Arial"/>
            <w:sz w:val="16"/>
            <w:szCs w:val="16"/>
          </w:rPr>
          <w:t>218</w:t>
        </w:r>
      </w:hyperlink>
      <w:r w:rsidRPr="00CB7EC9">
        <w:rPr>
          <w:rFonts w:ascii="Century Gothic" w:hAnsi="Century Gothic" w:cs="Arial"/>
          <w:sz w:val="16"/>
          <w:szCs w:val="16"/>
        </w:rPr>
        <w:t xml:space="preserve"> del Decreto 19 de 2012. El nuevo texto es el siguiente:&gt; La parte resolutiva de los actos que declaren </w:t>
      </w:r>
      <w:proofErr w:type="spellStart"/>
      <w:r w:rsidRPr="00CB7EC9">
        <w:rPr>
          <w:rFonts w:ascii="Century Gothic" w:hAnsi="Century Gothic" w:cs="Arial"/>
          <w:sz w:val="16"/>
          <w:szCs w:val="16"/>
        </w:rPr>
        <w:t>Ia</w:t>
      </w:r>
      <w:proofErr w:type="spellEnd"/>
      <w:r w:rsidRPr="00CB7EC9">
        <w:rPr>
          <w:rFonts w:ascii="Century Gothic" w:hAnsi="Century Gothic" w:cs="Arial"/>
          <w:sz w:val="16"/>
          <w:szCs w:val="16"/>
        </w:rPr>
        <w:t xml:space="preserve"> caducidad, impongan multas, sanciones o declaren el incumplimiento, una vez ejecutoriados, se publicarán en el SECOP y se comunicarán a </w:t>
      </w:r>
      <w:proofErr w:type="spellStart"/>
      <w:r w:rsidRPr="00CB7EC9">
        <w:rPr>
          <w:rFonts w:ascii="Century Gothic" w:hAnsi="Century Gothic" w:cs="Arial"/>
          <w:sz w:val="16"/>
          <w:szCs w:val="16"/>
        </w:rPr>
        <w:t>Ia</w:t>
      </w:r>
      <w:proofErr w:type="spellEnd"/>
      <w:r w:rsidRPr="00CB7EC9">
        <w:rPr>
          <w:rFonts w:ascii="Century Gothic" w:hAnsi="Century Gothic" w:cs="Arial"/>
          <w:sz w:val="16"/>
          <w:szCs w:val="16"/>
        </w:rPr>
        <w:t xml:space="preserve"> cámara de comercio en que se encuentre inscrito el contratista respectivo. También se comunicarán a </w:t>
      </w:r>
      <w:proofErr w:type="spellStart"/>
      <w:r w:rsidRPr="00CB7EC9">
        <w:rPr>
          <w:rFonts w:ascii="Century Gothic" w:hAnsi="Century Gothic" w:cs="Arial"/>
          <w:sz w:val="16"/>
          <w:szCs w:val="16"/>
        </w:rPr>
        <w:t>Ia</w:t>
      </w:r>
      <w:proofErr w:type="spellEnd"/>
      <w:r w:rsidRPr="00CB7EC9">
        <w:rPr>
          <w:rFonts w:ascii="Century Gothic" w:hAnsi="Century Gothic" w:cs="Arial"/>
          <w:sz w:val="16"/>
          <w:szCs w:val="16"/>
        </w:rPr>
        <w:t xml:space="preserve"> Procuraduría General de </w:t>
      </w:r>
      <w:proofErr w:type="spellStart"/>
      <w:r w:rsidRPr="00CB7EC9">
        <w:rPr>
          <w:rFonts w:ascii="Century Gothic" w:hAnsi="Century Gothic" w:cs="Arial"/>
          <w:sz w:val="16"/>
          <w:szCs w:val="16"/>
        </w:rPr>
        <w:t>Ia</w:t>
      </w:r>
      <w:proofErr w:type="spellEnd"/>
      <w:r w:rsidRPr="00CB7EC9">
        <w:rPr>
          <w:rFonts w:ascii="Century Gothic" w:hAnsi="Century Gothic" w:cs="Arial"/>
          <w:sz w:val="16"/>
          <w:szCs w:val="16"/>
        </w:rPr>
        <w:t xml:space="preserve"> Nación”.</w:t>
      </w:r>
    </w:p>
  </w:footnote>
  <w:footnote w:id="15">
    <w:p w14:paraId="5B1E5E8D" w14:textId="77777777" w:rsidR="00176ACA" w:rsidRPr="00CB7EC9" w:rsidRDefault="00176ACA" w:rsidP="00176ACA">
      <w:pPr>
        <w:pStyle w:val="Textonotapie"/>
        <w:ind w:firstLine="709"/>
        <w:contextualSpacing/>
        <w:jc w:val="both"/>
        <w:rPr>
          <w:rFonts w:ascii="Century Gothic" w:hAnsi="Century Gothic" w:cs="Arial"/>
          <w:sz w:val="16"/>
          <w:szCs w:val="16"/>
          <w:lang w:val="es-CO"/>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16">
    <w:p w14:paraId="371E33A5" w14:textId="77777777" w:rsidR="00176ACA" w:rsidRPr="00CB7EC9" w:rsidRDefault="00176ACA" w:rsidP="00176ACA">
      <w:pPr>
        <w:pStyle w:val="Textonotapie"/>
        <w:ind w:firstLine="708"/>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w:t>
      </w:r>
      <w:r w:rsidRPr="00CB7EC9">
        <w:rPr>
          <w:rFonts w:ascii="Century Gothic" w:hAnsi="Century Gothic" w:cs="Arial"/>
          <w:sz w:val="16"/>
          <w:szCs w:val="16"/>
          <w:lang w:val="es-ES"/>
        </w:rPr>
        <w:t>Creado por la Resolución No. 143 del 27 de mayo de 2002 expedida por la Procuraduría General de la Nación.</w:t>
      </w:r>
    </w:p>
  </w:footnote>
  <w:footnote w:id="17">
    <w:p w14:paraId="1CB0146A"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AGENCIA NACIONAL DE CONTRATACIÓN PÚBLICA, Concepto de 11 de diciembre de 2019. Radicado de entrada No. 4201912000007060, Radicado de salida No. 2201913000009165.</w:t>
      </w:r>
    </w:p>
    <w:p w14:paraId="2A0BE753" w14:textId="77777777" w:rsidR="00176ACA" w:rsidRPr="00CB7EC9" w:rsidRDefault="00176ACA" w:rsidP="00176ACA">
      <w:pPr>
        <w:pStyle w:val="Textonotapie"/>
        <w:ind w:firstLine="709"/>
        <w:jc w:val="both"/>
        <w:outlineLvl w:val="0"/>
        <w:rPr>
          <w:rFonts w:ascii="Century Gothic" w:hAnsi="Century Gothic" w:cs="Arial"/>
          <w:sz w:val="16"/>
          <w:szCs w:val="16"/>
        </w:rPr>
      </w:pPr>
    </w:p>
  </w:footnote>
  <w:footnote w:id="18">
    <w:p w14:paraId="25B61333"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153 de 1887 “Artículo 2. La ley posterior prevalece sobre la ley anterior. En caso de que una ley posterior sea contraria a otra anterior, y ambas preexistentes al hecho que se juzga, se aplicará la ley posterior”.</w:t>
      </w:r>
    </w:p>
  </w:footnote>
  <w:footnote w:id="19">
    <w:p w14:paraId="550B6045"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Constitución Política de Colombia “Artículo 29. El debido proceso se aplicará a toda clase de actuaciones judiciales y administrativas.</w:t>
      </w:r>
    </w:p>
    <w:p w14:paraId="3079219E"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w:t>
      </w:r>
    </w:p>
    <w:p w14:paraId="320B691D"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Nadie podrá ser juzgado sino conforme a leyes preexistentes al acto que se le imputa, ante juez o tribunal competente y con observancia de la plenitud de las formas propias de cada juicio.</w:t>
      </w:r>
    </w:p>
    <w:p w14:paraId="7ACC58A5"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En materia penal, la ley permisiva o favorable, aun cuando sea posterior, se aplicará de preferencia a la restrictiva o desfavorable.</w:t>
      </w:r>
    </w:p>
    <w:p w14:paraId="0C71AD5A" w14:textId="77777777" w:rsidR="00176ACA" w:rsidRPr="00CB7EC9" w:rsidRDefault="00176ACA" w:rsidP="00176ACA">
      <w:pPr>
        <w:pStyle w:val="Textoindependiente"/>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w:t>
      </w:r>
    </w:p>
    <w:p w14:paraId="00140F78"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footnote>
  <w:footnote w:id="20">
    <w:p w14:paraId="1CA223CC"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CB7EC9">
        <w:rPr>
          <w:rFonts w:ascii="Century Gothic" w:hAnsi="Century Gothic" w:cs="Arial"/>
          <w:spacing w:val="-4"/>
          <w:sz w:val="16"/>
          <w:szCs w:val="16"/>
        </w:rPr>
        <w:t xml:space="preserve"> </w:t>
      </w:r>
      <w:r w:rsidRPr="00CB7EC9">
        <w:rPr>
          <w:rFonts w:ascii="Century Gothic" w:hAnsi="Century Gothic" w:cs="Arial"/>
          <w:sz w:val="16"/>
          <w:szCs w:val="16"/>
        </w:rPr>
        <w:t>él,</w:t>
      </w:r>
      <w:r w:rsidRPr="00CB7EC9">
        <w:rPr>
          <w:rFonts w:ascii="Century Gothic" w:hAnsi="Century Gothic" w:cs="Arial"/>
          <w:spacing w:val="-3"/>
          <w:sz w:val="16"/>
          <w:szCs w:val="16"/>
        </w:rPr>
        <w:t xml:space="preserve"> </w:t>
      </w:r>
      <w:r w:rsidRPr="00CB7EC9">
        <w:rPr>
          <w:rFonts w:ascii="Century Gothic" w:hAnsi="Century Gothic" w:cs="Arial"/>
          <w:sz w:val="16"/>
          <w:szCs w:val="16"/>
        </w:rPr>
        <w:t>y</w:t>
      </w:r>
      <w:r w:rsidRPr="00CB7EC9">
        <w:rPr>
          <w:rFonts w:ascii="Century Gothic" w:hAnsi="Century Gothic" w:cs="Arial"/>
          <w:spacing w:val="-6"/>
          <w:sz w:val="16"/>
          <w:szCs w:val="16"/>
        </w:rPr>
        <w:t xml:space="preserve"> </w:t>
      </w:r>
      <w:r w:rsidRPr="00CB7EC9">
        <w:rPr>
          <w:rFonts w:ascii="Century Gothic" w:hAnsi="Century Gothic" w:cs="Arial"/>
          <w:sz w:val="16"/>
          <w:szCs w:val="16"/>
        </w:rPr>
        <w:t>que</w:t>
      </w:r>
      <w:r w:rsidRPr="00CB7EC9">
        <w:rPr>
          <w:rFonts w:ascii="Century Gothic" w:hAnsi="Century Gothic" w:cs="Arial"/>
          <w:spacing w:val="-3"/>
          <w:sz w:val="16"/>
          <w:szCs w:val="16"/>
        </w:rPr>
        <w:t xml:space="preserve"> </w:t>
      </w:r>
      <w:r w:rsidRPr="00CB7EC9">
        <w:rPr>
          <w:rFonts w:ascii="Century Gothic" w:hAnsi="Century Gothic" w:cs="Arial"/>
          <w:sz w:val="16"/>
          <w:szCs w:val="16"/>
        </w:rPr>
        <w:t>por</w:t>
      </w:r>
      <w:r w:rsidRPr="00CB7EC9">
        <w:rPr>
          <w:rFonts w:ascii="Century Gothic" w:hAnsi="Century Gothic" w:cs="Arial"/>
          <w:spacing w:val="-3"/>
          <w:sz w:val="16"/>
          <w:szCs w:val="16"/>
        </w:rPr>
        <w:t xml:space="preserve"> </w:t>
      </w:r>
      <w:r w:rsidRPr="00CB7EC9">
        <w:rPr>
          <w:rFonts w:ascii="Century Gothic" w:hAnsi="Century Gothic" w:cs="Arial"/>
          <w:sz w:val="16"/>
          <w:szCs w:val="16"/>
        </w:rPr>
        <w:t>lo</w:t>
      </w:r>
      <w:r w:rsidRPr="00CB7EC9">
        <w:rPr>
          <w:rFonts w:ascii="Century Gothic" w:hAnsi="Century Gothic" w:cs="Arial"/>
          <w:spacing w:val="-1"/>
          <w:sz w:val="16"/>
          <w:szCs w:val="16"/>
        </w:rPr>
        <w:t xml:space="preserve"> </w:t>
      </w:r>
      <w:r w:rsidRPr="00CB7EC9">
        <w:rPr>
          <w:rFonts w:ascii="Century Gothic" w:hAnsi="Century Gothic" w:cs="Arial"/>
          <w:sz w:val="16"/>
          <w:szCs w:val="16"/>
        </w:rPr>
        <w:t>mismo,</w:t>
      </w:r>
      <w:r w:rsidRPr="00CB7EC9">
        <w:rPr>
          <w:rFonts w:ascii="Century Gothic" w:hAnsi="Century Gothic" w:cs="Arial"/>
          <w:spacing w:val="-3"/>
          <w:sz w:val="16"/>
          <w:szCs w:val="16"/>
        </w:rPr>
        <w:t xml:space="preserve"> </w:t>
      </w:r>
      <w:r w:rsidRPr="00CB7EC9">
        <w:rPr>
          <w:rFonts w:ascii="Century Gothic" w:hAnsi="Century Gothic" w:cs="Arial"/>
          <w:sz w:val="16"/>
          <w:szCs w:val="16"/>
        </w:rPr>
        <w:t>no</w:t>
      </w:r>
      <w:r w:rsidRPr="00CB7EC9">
        <w:rPr>
          <w:rFonts w:ascii="Century Gothic" w:hAnsi="Century Gothic" w:cs="Arial"/>
          <w:spacing w:val="-1"/>
          <w:sz w:val="16"/>
          <w:szCs w:val="16"/>
        </w:rPr>
        <w:t xml:space="preserve"> </w:t>
      </w:r>
      <w:r w:rsidRPr="00CB7EC9">
        <w:rPr>
          <w:rFonts w:ascii="Century Gothic" w:hAnsi="Century Gothic" w:cs="Arial"/>
          <w:sz w:val="16"/>
          <w:szCs w:val="16"/>
        </w:rPr>
        <w:t>puede</w:t>
      </w:r>
      <w:r w:rsidRPr="00CB7EC9">
        <w:rPr>
          <w:rFonts w:ascii="Century Gothic" w:hAnsi="Century Gothic" w:cs="Arial"/>
          <w:spacing w:val="-3"/>
          <w:sz w:val="16"/>
          <w:szCs w:val="16"/>
        </w:rPr>
        <w:t xml:space="preserve"> </w:t>
      </w:r>
      <w:r w:rsidRPr="00CB7EC9">
        <w:rPr>
          <w:rFonts w:ascii="Century Gothic" w:hAnsi="Century Gothic" w:cs="Arial"/>
          <w:sz w:val="16"/>
          <w:szCs w:val="16"/>
        </w:rPr>
        <w:t>ser</w:t>
      </w:r>
      <w:r w:rsidRPr="00CB7EC9">
        <w:rPr>
          <w:rFonts w:ascii="Century Gothic" w:hAnsi="Century Gothic" w:cs="Arial"/>
          <w:spacing w:val="-4"/>
          <w:sz w:val="16"/>
          <w:szCs w:val="16"/>
        </w:rPr>
        <w:t xml:space="preserve"> </w:t>
      </w:r>
      <w:r w:rsidRPr="00CB7EC9">
        <w:rPr>
          <w:rFonts w:ascii="Century Gothic" w:hAnsi="Century Gothic" w:cs="Arial"/>
          <w:sz w:val="16"/>
          <w:szCs w:val="16"/>
        </w:rPr>
        <w:t>arrebatado</w:t>
      </w:r>
      <w:r w:rsidRPr="00CB7EC9">
        <w:rPr>
          <w:rFonts w:ascii="Century Gothic" w:hAnsi="Century Gothic" w:cs="Arial"/>
          <w:spacing w:val="-3"/>
          <w:sz w:val="16"/>
          <w:szCs w:val="16"/>
        </w:rPr>
        <w:t xml:space="preserve"> </w:t>
      </w:r>
      <w:r w:rsidRPr="00CB7EC9">
        <w:rPr>
          <w:rFonts w:ascii="Century Gothic" w:hAnsi="Century Gothic" w:cs="Arial"/>
          <w:sz w:val="16"/>
          <w:szCs w:val="16"/>
        </w:rPr>
        <w:t>o</w:t>
      </w:r>
      <w:r w:rsidRPr="00CB7EC9">
        <w:rPr>
          <w:rFonts w:ascii="Century Gothic" w:hAnsi="Century Gothic" w:cs="Arial"/>
          <w:spacing w:val="-3"/>
          <w:sz w:val="16"/>
          <w:szCs w:val="16"/>
        </w:rPr>
        <w:t xml:space="preserve"> </w:t>
      </w:r>
      <w:r w:rsidRPr="00CB7EC9">
        <w:rPr>
          <w:rFonts w:ascii="Century Gothic" w:hAnsi="Century Gothic" w:cs="Arial"/>
          <w:sz w:val="16"/>
          <w:szCs w:val="16"/>
        </w:rPr>
        <w:t>vulnerado</w:t>
      </w:r>
      <w:r w:rsidRPr="00CB7EC9">
        <w:rPr>
          <w:rFonts w:ascii="Century Gothic" w:hAnsi="Century Gothic" w:cs="Arial"/>
          <w:spacing w:val="-4"/>
          <w:sz w:val="16"/>
          <w:szCs w:val="16"/>
        </w:rPr>
        <w:t xml:space="preserve"> </w:t>
      </w:r>
      <w:r w:rsidRPr="00CB7EC9">
        <w:rPr>
          <w:rFonts w:ascii="Century Gothic" w:hAnsi="Century Gothic" w:cs="Arial"/>
          <w:sz w:val="16"/>
          <w:szCs w:val="16"/>
        </w:rPr>
        <w:t>por</w:t>
      </w:r>
      <w:r w:rsidRPr="00CB7EC9">
        <w:rPr>
          <w:rFonts w:ascii="Century Gothic" w:hAnsi="Century Gothic" w:cs="Arial"/>
          <w:spacing w:val="-3"/>
          <w:sz w:val="16"/>
          <w:szCs w:val="16"/>
        </w:rPr>
        <w:t xml:space="preserve"> </w:t>
      </w:r>
      <w:r w:rsidRPr="00CB7EC9">
        <w:rPr>
          <w:rFonts w:ascii="Century Gothic" w:hAnsi="Century Gothic" w:cs="Arial"/>
          <w:sz w:val="16"/>
          <w:szCs w:val="16"/>
        </w:rPr>
        <w:t>quien</w:t>
      </w:r>
      <w:r w:rsidRPr="00CB7EC9">
        <w:rPr>
          <w:rFonts w:ascii="Century Gothic" w:hAnsi="Century Gothic" w:cs="Arial"/>
          <w:spacing w:val="-3"/>
          <w:sz w:val="16"/>
          <w:szCs w:val="16"/>
        </w:rPr>
        <w:t xml:space="preserve"> </w:t>
      </w:r>
      <w:r w:rsidRPr="00CB7EC9">
        <w:rPr>
          <w:rFonts w:ascii="Century Gothic" w:hAnsi="Century Gothic" w:cs="Arial"/>
          <w:sz w:val="16"/>
          <w:szCs w:val="16"/>
        </w:rPr>
        <w:t>lo</w:t>
      </w:r>
      <w:r w:rsidRPr="00CB7EC9">
        <w:rPr>
          <w:rFonts w:ascii="Century Gothic" w:hAnsi="Century Gothic" w:cs="Arial"/>
          <w:spacing w:val="-4"/>
          <w:sz w:val="16"/>
          <w:szCs w:val="16"/>
        </w:rPr>
        <w:t xml:space="preserve"> </w:t>
      </w:r>
      <w:r w:rsidRPr="00CB7EC9">
        <w:rPr>
          <w:rFonts w:ascii="Century Gothic" w:hAnsi="Century Gothic" w:cs="Arial"/>
          <w:sz w:val="16"/>
          <w:szCs w:val="16"/>
        </w:rPr>
        <w:t>creó</w:t>
      </w:r>
      <w:r w:rsidRPr="00CB7EC9">
        <w:rPr>
          <w:rFonts w:ascii="Century Gothic" w:hAnsi="Century Gothic" w:cs="Arial"/>
          <w:spacing w:val="-3"/>
          <w:sz w:val="16"/>
          <w:szCs w:val="16"/>
        </w:rPr>
        <w:t xml:space="preserve"> </w:t>
      </w:r>
      <w:r w:rsidRPr="00CB7EC9">
        <w:rPr>
          <w:rFonts w:ascii="Century Gothic" w:hAnsi="Century Gothic" w:cs="Arial"/>
          <w:sz w:val="16"/>
          <w:szCs w:val="16"/>
        </w:rPr>
        <w:t>o</w:t>
      </w:r>
      <w:r w:rsidRPr="00CB7EC9">
        <w:rPr>
          <w:rFonts w:ascii="Century Gothic" w:hAnsi="Century Gothic" w:cs="Arial"/>
          <w:spacing w:val="-4"/>
          <w:sz w:val="16"/>
          <w:szCs w:val="16"/>
        </w:rPr>
        <w:t xml:space="preserve"> </w:t>
      </w:r>
      <w:r w:rsidRPr="00CB7EC9">
        <w:rPr>
          <w:rFonts w:ascii="Century Gothic" w:hAnsi="Century Gothic" w:cs="Arial"/>
          <w:sz w:val="16"/>
          <w:szCs w:val="16"/>
        </w:rPr>
        <w:t>reconoció legítimamente.</w:t>
      </w:r>
    </w:p>
    <w:p w14:paraId="1343FB3E"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Lo anterior conduce a afirmar que el derecho adquirido es la ventaja o el beneficio cuya conservación o integridad, está garantizada, en favor del titular del derecho, por una acción o por una excepción.</w:t>
      </w:r>
    </w:p>
    <w:p w14:paraId="320A2821"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footnote>
  <w:footnote w:id="21">
    <w:p w14:paraId="4AB25314" w14:textId="77777777" w:rsidR="00176ACA" w:rsidRPr="00CB7EC9" w:rsidRDefault="00176ACA" w:rsidP="00176ACA">
      <w:pPr>
        <w:pStyle w:val="Textonotapie"/>
        <w:ind w:firstLine="709"/>
        <w:jc w:val="both"/>
        <w:outlineLvl w:val="0"/>
        <w:rPr>
          <w:rFonts w:ascii="Century Gothic" w:hAnsi="Century Gothic" w:cs="Arial"/>
          <w:sz w:val="16"/>
          <w:szCs w:val="16"/>
          <w:lang w:val="es-CO"/>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w:t>
      </w:r>
      <w:r w:rsidRPr="00CB7EC9">
        <w:rPr>
          <w:rFonts w:ascii="Century Gothic" w:hAnsi="Century Gothic" w:cs="Arial"/>
          <w:sz w:val="16"/>
          <w:szCs w:val="16"/>
          <w:lang w:val="es-CO"/>
        </w:rPr>
        <w:t xml:space="preserve">AGENCIA NACIONAL DE CONTRATACIÓN PÚBLICA, Concepto de 3 de octubre de 2019, Radicado de entrada No. </w:t>
      </w:r>
      <w:bookmarkStart w:id="9" w:name="_Hlk131949480"/>
      <w:r w:rsidRPr="00CB7EC9">
        <w:rPr>
          <w:rFonts w:ascii="Century Gothic" w:hAnsi="Century Gothic" w:cs="Arial"/>
          <w:sz w:val="16"/>
          <w:szCs w:val="16"/>
        </w:rPr>
        <w:t>4201913000005694</w:t>
      </w:r>
      <w:bookmarkEnd w:id="9"/>
      <w:r w:rsidRPr="00CB7EC9">
        <w:rPr>
          <w:rFonts w:ascii="Century Gothic" w:hAnsi="Century Gothic" w:cs="Arial"/>
          <w:sz w:val="16"/>
          <w:szCs w:val="16"/>
        </w:rPr>
        <w:t>, Radicado de salida No. 2201913000007385.</w:t>
      </w:r>
    </w:p>
  </w:footnote>
  <w:footnote w:id="22">
    <w:p w14:paraId="3629FEFB"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Dicha naturaleza sancionatoria de la inhabilidad por incumplimiento reiterado, la hace asimilable a una pena en los términos del artículo 38 de la Ley 153 de 1887, que dispone que para efectos de determinar la pena procedente la infracción correspondiente deberá ser castigada con arreglo a la ley bajo la cual se hubiere cometido. Este artículo señala que: “En todo contrato se entenderán incorporadas las leyes vigentes al tiempo de su celebración.</w:t>
      </w:r>
    </w:p>
    <w:p w14:paraId="0427BF6D" w14:textId="77777777" w:rsidR="00176ACA" w:rsidRPr="00CB7EC9" w:rsidRDefault="00176ACA" w:rsidP="00176ACA">
      <w:pPr>
        <w:pStyle w:val="Textonotapie"/>
        <w:ind w:firstLine="709"/>
        <w:jc w:val="both"/>
        <w:outlineLvl w:val="0"/>
        <w:rPr>
          <w:rFonts w:ascii="Century Gothic" w:hAnsi="Century Gothic" w:cs="Arial"/>
          <w:sz w:val="16"/>
          <w:szCs w:val="16"/>
        </w:rPr>
      </w:pPr>
      <w:proofErr w:type="spellStart"/>
      <w:r w:rsidRPr="00CB7EC9">
        <w:rPr>
          <w:rFonts w:ascii="Century Gothic" w:hAnsi="Century Gothic" w:cs="Arial"/>
          <w:sz w:val="16"/>
          <w:szCs w:val="16"/>
        </w:rPr>
        <w:t>Exceptúanse</w:t>
      </w:r>
      <w:proofErr w:type="spellEnd"/>
      <w:r w:rsidRPr="00CB7EC9">
        <w:rPr>
          <w:rFonts w:ascii="Century Gothic" w:hAnsi="Century Gothic" w:cs="Arial"/>
          <w:sz w:val="16"/>
          <w:szCs w:val="16"/>
        </w:rPr>
        <w:t xml:space="preserve"> de esta disposición:</w:t>
      </w:r>
    </w:p>
    <w:p w14:paraId="03E75CB8"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Fonts w:ascii="Century Gothic" w:hAnsi="Century Gothic" w:cs="Arial"/>
          <w:sz w:val="16"/>
          <w:szCs w:val="16"/>
        </w:rPr>
        <w:t>1. Las leyes concernientes al modo de reclamar en juicio los derechos que resultaren del contrato, y</w:t>
      </w:r>
    </w:p>
    <w:p w14:paraId="5DDCA116" w14:textId="77777777" w:rsidR="00176ACA" w:rsidRPr="00CB7EC9" w:rsidRDefault="00176ACA" w:rsidP="00176ACA">
      <w:pPr>
        <w:pStyle w:val="Textonotapie"/>
        <w:ind w:firstLine="709"/>
        <w:jc w:val="both"/>
        <w:outlineLvl w:val="0"/>
        <w:rPr>
          <w:rFonts w:ascii="Century Gothic" w:hAnsi="Century Gothic" w:cs="Arial"/>
          <w:sz w:val="16"/>
          <w:szCs w:val="16"/>
          <w:lang w:val="es-CO"/>
        </w:rPr>
      </w:pPr>
      <w:r w:rsidRPr="00CB7EC9">
        <w:rPr>
          <w:rFonts w:ascii="Century Gothic" w:hAnsi="Century Gothic" w:cs="Arial"/>
          <w:sz w:val="16"/>
          <w:szCs w:val="16"/>
        </w:rPr>
        <w:t xml:space="preserve">2. Las que señalan penas para el caso de infracción de lo estipulado; la cual infracción será castigada con arreglo </w:t>
      </w:r>
      <w:proofErr w:type="spellStart"/>
      <w:r w:rsidRPr="00CB7EC9">
        <w:rPr>
          <w:rFonts w:ascii="Century Gothic" w:hAnsi="Century Gothic" w:cs="Arial"/>
          <w:sz w:val="16"/>
          <w:szCs w:val="16"/>
        </w:rPr>
        <w:t>á</w:t>
      </w:r>
      <w:proofErr w:type="spellEnd"/>
      <w:r w:rsidRPr="00CB7EC9">
        <w:rPr>
          <w:rFonts w:ascii="Century Gothic" w:hAnsi="Century Gothic" w:cs="Arial"/>
          <w:sz w:val="16"/>
          <w:szCs w:val="16"/>
        </w:rPr>
        <w:t xml:space="preserve"> la ley bajo la cual se hubiere cometido”.</w:t>
      </w:r>
    </w:p>
  </w:footnote>
  <w:footnote w:id="23">
    <w:p w14:paraId="741CA334"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Constitución Política de Colombia “Artículo 29. El debido proceso se aplicará a toda clase de actuaciones judiciales y administrativas.</w:t>
      </w:r>
    </w:p>
    <w:p w14:paraId="09ADF668"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Fonts w:ascii="Century Gothic" w:hAnsi="Century Gothic" w:cs="Arial"/>
          <w:sz w:val="16"/>
          <w:szCs w:val="16"/>
        </w:rPr>
        <w:t>Nadie podrá ser juzgado sino conforme a leyes preexistentes al acto que se le imputa, ante juez o tribunal competente y con observancia de la plenitud de las formas propias de cada juicio.</w:t>
      </w:r>
    </w:p>
    <w:p w14:paraId="71D2B8A3" w14:textId="77777777" w:rsidR="00176ACA" w:rsidRPr="00CB7EC9" w:rsidRDefault="00176ACA" w:rsidP="00176ACA">
      <w:pPr>
        <w:pStyle w:val="Textonotapie"/>
        <w:ind w:firstLine="709"/>
        <w:jc w:val="both"/>
        <w:outlineLvl w:val="0"/>
        <w:rPr>
          <w:rFonts w:ascii="Century Gothic" w:hAnsi="Century Gothic" w:cs="Arial"/>
          <w:sz w:val="16"/>
          <w:szCs w:val="16"/>
          <w:lang w:val="es-CO"/>
        </w:rPr>
      </w:pPr>
      <w:r w:rsidRPr="00CB7EC9">
        <w:rPr>
          <w:rFonts w:ascii="Century Gothic" w:hAnsi="Century Gothic" w:cs="Arial"/>
          <w:sz w:val="16"/>
          <w:szCs w:val="16"/>
        </w:rPr>
        <w:t>En materia penal, la ley permisiva o favorable, aun cuando sea posterior, se aplicará de preferencia a la restrictiva o desfavorable […]”.</w:t>
      </w:r>
    </w:p>
  </w:footnote>
  <w:footnote w:id="24">
    <w:p w14:paraId="3C0242A5"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3DC3907A"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Fonts w:ascii="Century Gothic" w:hAnsi="Century Gothic" w:cs="Arial"/>
          <w:sz w:val="16"/>
          <w:szCs w:val="16"/>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128A7EAD" w14:textId="77777777" w:rsidR="00176ACA" w:rsidRPr="00CB7EC9" w:rsidRDefault="00176ACA" w:rsidP="00176ACA">
      <w:pPr>
        <w:pStyle w:val="Textonotapie"/>
        <w:ind w:firstLine="709"/>
        <w:jc w:val="both"/>
        <w:outlineLvl w:val="0"/>
        <w:rPr>
          <w:rFonts w:ascii="Century Gothic" w:hAnsi="Century Gothic" w:cs="Arial"/>
          <w:sz w:val="16"/>
          <w:szCs w:val="16"/>
        </w:rPr>
      </w:pPr>
      <w:r w:rsidRPr="00CB7EC9">
        <w:rPr>
          <w:rFonts w:ascii="Century Gothic" w:hAnsi="Century Gothic" w:cs="Arial"/>
          <w:sz w:val="16"/>
          <w:szCs w:val="16"/>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662A6AF8" w14:textId="77777777" w:rsidR="00176ACA" w:rsidRPr="00CB7EC9" w:rsidRDefault="00176ACA" w:rsidP="00176ACA">
      <w:pPr>
        <w:pStyle w:val="Textonotapie"/>
        <w:ind w:firstLine="709"/>
        <w:jc w:val="both"/>
        <w:outlineLvl w:val="0"/>
        <w:rPr>
          <w:rFonts w:ascii="Century Gothic" w:hAnsi="Century Gothic" w:cs="Arial"/>
          <w:sz w:val="16"/>
          <w:szCs w:val="16"/>
          <w:lang w:val="es-CO"/>
        </w:rPr>
      </w:pPr>
      <w:r w:rsidRPr="00CB7EC9">
        <w:rPr>
          <w:rFonts w:ascii="Century Gothic" w:hAnsi="Century Gothic" w:cs="Arial"/>
          <w:sz w:val="16"/>
          <w:szCs w:val="16"/>
        </w:rPr>
        <w:t xml:space="preserve">En materia administrativa sancionatoria, se observarán adicionalmente los principios de legalidad de las faltas y de las sanciones, de presunción de inocencia, de no </w:t>
      </w:r>
      <w:proofErr w:type="spellStart"/>
      <w:r w:rsidRPr="00CB7EC9">
        <w:rPr>
          <w:rFonts w:ascii="Century Gothic" w:hAnsi="Century Gothic" w:cs="Arial"/>
          <w:sz w:val="16"/>
          <w:szCs w:val="16"/>
        </w:rPr>
        <w:t>reformatio</w:t>
      </w:r>
      <w:proofErr w:type="spellEnd"/>
      <w:r w:rsidRPr="00CB7EC9">
        <w:rPr>
          <w:rFonts w:ascii="Century Gothic" w:hAnsi="Century Gothic" w:cs="Arial"/>
          <w:sz w:val="16"/>
          <w:szCs w:val="16"/>
        </w:rPr>
        <w:t xml:space="preserve"> in </w:t>
      </w:r>
      <w:proofErr w:type="spellStart"/>
      <w:r w:rsidRPr="00CB7EC9">
        <w:rPr>
          <w:rFonts w:ascii="Century Gothic" w:hAnsi="Century Gothic" w:cs="Arial"/>
          <w:sz w:val="16"/>
          <w:szCs w:val="16"/>
        </w:rPr>
        <w:t>pejus</w:t>
      </w:r>
      <w:proofErr w:type="spellEnd"/>
      <w:r w:rsidRPr="00CB7EC9">
        <w:rPr>
          <w:rFonts w:ascii="Century Gothic" w:hAnsi="Century Gothic" w:cs="Arial"/>
          <w:sz w:val="16"/>
          <w:szCs w:val="16"/>
        </w:rPr>
        <w:t xml:space="preserve"> y non bis in </w:t>
      </w:r>
      <w:proofErr w:type="spellStart"/>
      <w:r w:rsidRPr="00CB7EC9">
        <w:rPr>
          <w:rFonts w:ascii="Century Gothic" w:hAnsi="Century Gothic" w:cs="Arial"/>
          <w:sz w:val="16"/>
          <w:szCs w:val="16"/>
        </w:rPr>
        <w:t>idem</w:t>
      </w:r>
      <w:proofErr w:type="spellEnd"/>
      <w:r w:rsidRPr="00CB7EC9">
        <w:rPr>
          <w:rFonts w:ascii="Century Gothic" w:hAnsi="Century Gothic" w:cs="Arial"/>
          <w:sz w:val="16"/>
          <w:szCs w:val="16"/>
        </w:rPr>
        <w:t xml:space="preserve"> […]”.</w:t>
      </w:r>
    </w:p>
  </w:footnote>
  <w:footnote w:id="25">
    <w:p w14:paraId="045687CF"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80 de 1993: “Artículo 8 De las inhabilidades e incompatibilidades para contratar:</w:t>
      </w:r>
    </w:p>
    <w:p w14:paraId="06A4D044"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w:t>
      </w:r>
    </w:p>
    <w:p w14:paraId="7BD67FCA"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c) Quienes dieron lugar a la declaratoria de caducidad.</w:t>
      </w:r>
    </w:p>
    <w:p w14:paraId="6EF16656" w14:textId="77777777" w:rsidR="00176ACA" w:rsidRPr="00CB7EC9" w:rsidRDefault="00176ACA" w:rsidP="00176ACA">
      <w:pPr>
        <w:pStyle w:val="Textonotapie"/>
        <w:ind w:firstLine="709"/>
        <w:jc w:val="both"/>
        <w:outlineLvl w:val="0"/>
        <w:rPr>
          <w:rFonts w:ascii="Century Gothic" w:hAnsi="Century Gothic" w:cs="Arial"/>
          <w:sz w:val="16"/>
          <w:szCs w:val="16"/>
          <w:lang w:val="es-CO"/>
        </w:rPr>
      </w:pPr>
      <w:r w:rsidRPr="00CB7EC9">
        <w:rPr>
          <w:rFonts w:ascii="Century Gothic" w:hAnsi="Century Gothic" w:cs="Arial"/>
          <w:sz w:val="16"/>
          <w:szCs w:val="16"/>
          <w:lang w:val="es-CO"/>
        </w:rPr>
        <w:t>[…]</w:t>
      </w:r>
    </w:p>
    <w:p w14:paraId="3DEFD81F"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Pr="00CB7EC9">
        <w:rPr>
          <w:rFonts w:ascii="Century Gothic" w:hAnsi="Century Gothic" w:cs="Arial"/>
          <w:spacing w:val="-19"/>
          <w:sz w:val="16"/>
          <w:szCs w:val="16"/>
        </w:rPr>
        <w:t xml:space="preserve"> </w:t>
      </w:r>
      <w:r w:rsidRPr="00CB7EC9">
        <w:rPr>
          <w:rFonts w:ascii="Century Gothic" w:hAnsi="Century Gothic" w:cs="Arial"/>
          <w:sz w:val="16"/>
          <w:szCs w:val="16"/>
        </w:rPr>
        <w:t>firma”.</w:t>
      </w:r>
    </w:p>
  </w:footnote>
  <w:footnote w:id="26">
    <w:p w14:paraId="3542DFE0"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80 de 1993: “Artículo 8 De las inhabilidades e incompatibilidades para contratar</w:t>
      </w:r>
    </w:p>
    <w:p w14:paraId="61935A35"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k)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6CF8882E" w14:textId="77777777" w:rsidR="00176ACA" w:rsidRPr="00CB7EC9" w:rsidRDefault="00176ACA" w:rsidP="00176ACA">
      <w:pPr>
        <w:spacing w:after="0" w:line="240" w:lineRule="auto"/>
        <w:ind w:firstLine="709"/>
        <w:jc w:val="both"/>
        <w:outlineLvl w:val="0"/>
        <w:rPr>
          <w:rFonts w:ascii="Century Gothic" w:hAnsi="Century Gothic" w:cs="Arial"/>
          <w:sz w:val="16"/>
          <w:szCs w:val="16"/>
        </w:rPr>
      </w:pPr>
      <w:r w:rsidRPr="00CB7EC9">
        <w:rPr>
          <w:rFonts w:ascii="Century Gothic" w:hAnsi="Century Gothic" w:cs="Arial"/>
          <w:sz w:val="16"/>
          <w:szCs w:val="16"/>
        </w:rPr>
        <w:t>Esta inhabilidad se extenderá por un término de cinco (5) años, contados a partir de la ejecutoria del acto administrativo que así lo declare, previa la actuación administrativa correspondiente”.</w:t>
      </w:r>
    </w:p>
  </w:footnote>
  <w:footnote w:id="27">
    <w:p w14:paraId="158D4041"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En sitio web: </w:t>
      </w:r>
      <w:hyperlink r:id="rId3" w:anchor=":~:text=%C2%BFQu%C3%A9%20es%20el%20PAE%3F,del%20Sistema%20General%20de%20Participaciones" w:history="1">
        <w:r w:rsidRPr="00CB7EC9">
          <w:rPr>
            <w:rStyle w:val="Hipervnculo"/>
            <w:rFonts w:ascii="Century Gothic" w:hAnsi="Century Gothic" w:cs="Arial"/>
            <w:sz w:val="16"/>
            <w:szCs w:val="16"/>
          </w:rPr>
          <w:t>https://www.mineducacion.gov.co/1621/w3-printer-235135.html#:~:text=%C2%BFQu%C3%A9%20es%20el%20PAE%3F,del%20Sistema%20General%20de%20Participaciones</w:t>
        </w:r>
      </w:hyperlink>
      <w:r w:rsidRPr="00CB7EC9">
        <w:rPr>
          <w:rFonts w:ascii="Century Gothic" w:hAnsi="Century Gothic" w:cs="Arial"/>
          <w:sz w:val="16"/>
          <w:szCs w:val="16"/>
        </w:rPr>
        <w:t>.</w:t>
      </w:r>
    </w:p>
  </w:footnote>
  <w:footnote w:id="28">
    <w:p w14:paraId="66E6B4AF"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w:t>
      </w:r>
      <w:proofErr w:type="spellStart"/>
      <w:r w:rsidRPr="00CB7EC9">
        <w:rPr>
          <w:rFonts w:ascii="Century Gothic" w:hAnsi="Century Gothic" w:cs="Arial"/>
          <w:sz w:val="16"/>
          <w:szCs w:val="16"/>
          <w:lang w:val="es-ES"/>
        </w:rPr>
        <w:t>Ibíd</w:t>
      </w:r>
      <w:proofErr w:type="spellEnd"/>
      <w:r w:rsidRPr="00CB7EC9">
        <w:rPr>
          <w:rFonts w:ascii="Century Gothic" w:hAnsi="Century Gothic" w:cs="Arial"/>
          <w:sz w:val="16"/>
          <w:szCs w:val="16"/>
          <w:lang w:val="es-ES"/>
        </w:rPr>
        <w:t>.</w:t>
      </w:r>
    </w:p>
  </w:footnote>
  <w:footnote w:id="29">
    <w:p w14:paraId="3BAE8AD2"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w:t>
      </w:r>
      <w:hyperlink r:id="rId4" w:history="1">
        <w:r w:rsidRPr="00CB7EC9">
          <w:rPr>
            <w:rStyle w:val="Hipervnculo"/>
            <w:rFonts w:ascii="Century Gothic" w:hAnsi="Century Gothic" w:cs="Arial"/>
            <w:sz w:val="16"/>
            <w:szCs w:val="16"/>
          </w:rPr>
          <w:t>https://dle.rae.es/%C3%BAltimo</w:t>
        </w:r>
      </w:hyperlink>
      <w:r w:rsidRPr="00CB7EC9">
        <w:rPr>
          <w:rFonts w:ascii="Century Gothic" w:hAnsi="Century Gothic" w:cs="Arial"/>
          <w:sz w:val="16"/>
          <w:szCs w:val="16"/>
        </w:rPr>
        <w:t xml:space="preserve">. </w:t>
      </w:r>
    </w:p>
  </w:footnote>
  <w:footnote w:id="30">
    <w:p w14:paraId="32106DAF" w14:textId="77777777" w:rsidR="00176ACA" w:rsidRPr="00CB7EC9" w:rsidRDefault="00176ACA" w:rsidP="00176ACA">
      <w:pPr>
        <w:pStyle w:val="Textonotapie"/>
        <w:ind w:firstLine="709"/>
        <w:jc w:val="both"/>
        <w:outlineLvl w:val="0"/>
        <w:rPr>
          <w:rFonts w:ascii="Century Gothic" w:hAnsi="Century Gothic" w:cs="Arial"/>
          <w:color w:val="000000" w:themeColor="text1"/>
          <w:sz w:val="16"/>
          <w:szCs w:val="16"/>
        </w:rPr>
      </w:pPr>
      <w:r w:rsidRPr="00CB7EC9">
        <w:rPr>
          <w:rStyle w:val="Refdenotaalpie"/>
          <w:rFonts w:ascii="Century Gothic" w:hAnsi="Century Gothic" w:cs="Arial"/>
          <w:sz w:val="16"/>
          <w:szCs w:val="16"/>
        </w:rPr>
        <w:footnoteRef/>
      </w:r>
      <w:r w:rsidRPr="00CB7EC9">
        <w:rPr>
          <w:rFonts w:ascii="Century Gothic" w:hAnsi="Century Gothic" w:cs="Arial"/>
          <w:color w:val="000000" w:themeColor="text1"/>
          <w:sz w:val="16"/>
          <w:szCs w:val="16"/>
        </w:rPr>
        <w:t xml:space="preserve"> Consejo de Estado. Sección Tercera. Subsección C. Sentencia del 22 de mayo de 2013. </w:t>
      </w:r>
      <w:proofErr w:type="spellStart"/>
      <w:r w:rsidRPr="00CB7EC9">
        <w:rPr>
          <w:rFonts w:ascii="Century Gothic" w:hAnsi="Century Gothic" w:cs="Arial"/>
          <w:color w:val="000000" w:themeColor="text1"/>
          <w:sz w:val="16"/>
          <w:szCs w:val="16"/>
        </w:rPr>
        <w:t>Exp</w:t>
      </w:r>
      <w:proofErr w:type="spellEnd"/>
      <w:r w:rsidRPr="00CB7EC9">
        <w:rPr>
          <w:rFonts w:ascii="Century Gothic" w:hAnsi="Century Gothic" w:cs="Arial"/>
          <w:color w:val="000000" w:themeColor="text1"/>
          <w:sz w:val="16"/>
          <w:szCs w:val="16"/>
        </w:rPr>
        <w:t xml:space="preserve">. 24.057. Consejera Ponente: Olga </w:t>
      </w:r>
      <w:proofErr w:type="spellStart"/>
      <w:r w:rsidRPr="00CB7EC9">
        <w:rPr>
          <w:rFonts w:ascii="Century Gothic" w:hAnsi="Century Gothic" w:cs="Arial"/>
          <w:color w:val="000000" w:themeColor="text1"/>
          <w:sz w:val="16"/>
          <w:szCs w:val="16"/>
        </w:rPr>
        <w:t>Melida</w:t>
      </w:r>
      <w:proofErr w:type="spellEnd"/>
      <w:r w:rsidRPr="00CB7EC9">
        <w:rPr>
          <w:rFonts w:ascii="Century Gothic" w:hAnsi="Century Gothic" w:cs="Arial"/>
          <w:color w:val="000000" w:themeColor="text1"/>
          <w:sz w:val="16"/>
          <w:szCs w:val="16"/>
        </w:rPr>
        <w:t xml:space="preserve"> Valle De </w:t>
      </w:r>
      <w:proofErr w:type="spellStart"/>
      <w:r w:rsidRPr="00CB7EC9">
        <w:rPr>
          <w:rFonts w:ascii="Century Gothic" w:hAnsi="Century Gothic" w:cs="Arial"/>
          <w:color w:val="000000" w:themeColor="text1"/>
          <w:sz w:val="16"/>
          <w:szCs w:val="16"/>
        </w:rPr>
        <w:t>De</w:t>
      </w:r>
      <w:proofErr w:type="spellEnd"/>
      <w:r w:rsidRPr="00CB7EC9">
        <w:rPr>
          <w:rFonts w:ascii="Century Gothic" w:hAnsi="Century Gothic" w:cs="Arial"/>
          <w:color w:val="000000" w:themeColor="text1"/>
          <w:sz w:val="16"/>
          <w:szCs w:val="16"/>
        </w:rPr>
        <w:t xml:space="preserve"> La Hoz.</w:t>
      </w:r>
    </w:p>
  </w:footnote>
  <w:footnote w:id="31">
    <w:p w14:paraId="3B4CB2C8"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w:t>
      </w:r>
      <w:r w:rsidRPr="00CB7EC9">
        <w:rPr>
          <w:rFonts w:ascii="Century Gothic" w:hAnsi="Century Gothic" w:cs="Arial"/>
          <w:sz w:val="16"/>
          <w:szCs w:val="16"/>
          <w:lang w:val="es-ES"/>
        </w:rPr>
        <w:t>Gaceta No. 1249. Año XXIX, del 4 de noviembre de 2020, p. 28. En: http://leyes.senado.gov.co/proyectos/images/documentos/Textos%20Radicados/Ponencias/2020/gaceta_1249.pdf</w:t>
      </w:r>
    </w:p>
  </w:footnote>
  <w:footnote w:id="32">
    <w:p w14:paraId="08738531"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w:t>
      </w:r>
      <w:r w:rsidRPr="00CB7EC9">
        <w:rPr>
          <w:rFonts w:ascii="Century Gothic" w:hAnsi="Century Gothic" w:cs="Arial"/>
          <w:sz w:val="16"/>
          <w:szCs w:val="16"/>
          <w:lang w:val="es-ES"/>
        </w:rPr>
        <w:t>El fenómeno de la firmeza de los actos administrativos se define en el artículo 87 de la Ley 1437 de 2011, del siguiente modo: “Los actos administrativos quedarán en firme:</w:t>
      </w:r>
    </w:p>
    <w:p w14:paraId="52C956CE"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Fonts w:ascii="Century Gothic" w:hAnsi="Century Gothic" w:cs="Arial"/>
          <w:sz w:val="16"/>
          <w:szCs w:val="16"/>
          <w:lang w:val="es-ES"/>
        </w:rPr>
        <w:t>1. Cuando contra ellos no proceda ningún recurso, desde el día siguiente al de su notificación, comunicación o publicación según el caso.</w:t>
      </w:r>
    </w:p>
    <w:p w14:paraId="11140AE9"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Fonts w:ascii="Century Gothic" w:hAnsi="Century Gothic" w:cs="Arial"/>
          <w:sz w:val="16"/>
          <w:szCs w:val="16"/>
          <w:lang w:val="es-ES"/>
        </w:rPr>
        <w:t>2. Desde el día siguiente a la publicación, comunicación o notificación de la decisión sobre los recursos interpuestos.</w:t>
      </w:r>
    </w:p>
    <w:p w14:paraId="48F3399A"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Fonts w:ascii="Century Gothic" w:hAnsi="Century Gothic" w:cs="Arial"/>
          <w:sz w:val="16"/>
          <w:szCs w:val="16"/>
          <w:lang w:val="es-ES"/>
        </w:rPr>
        <w:t>3. Desde el día siguiente al del vencimiento del término para interponer los recursos, si estos no fueron interpuestos, o se hubiere renunciado expresamente a ellos.</w:t>
      </w:r>
    </w:p>
    <w:p w14:paraId="35F5A230"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Fonts w:ascii="Century Gothic" w:hAnsi="Century Gothic" w:cs="Arial"/>
          <w:sz w:val="16"/>
          <w:szCs w:val="16"/>
          <w:lang w:val="es-ES"/>
        </w:rPr>
        <w:t>4. Desde el día siguiente al de la notificación de la aceptación del desistimiento de los recursos.</w:t>
      </w:r>
    </w:p>
    <w:p w14:paraId="2B5BCBBA" w14:textId="77777777" w:rsidR="00176ACA" w:rsidRPr="00CB7EC9" w:rsidRDefault="00176ACA" w:rsidP="00176ACA">
      <w:pPr>
        <w:pStyle w:val="Textonotapie"/>
        <w:ind w:firstLine="709"/>
        <w:jc w:val="both"/>
        <w:outlineLvl w:val="0"/>
        <w:rPr>
          <w:rFonts w:ascii="Century Gothic" w:hAnsi="Century Gothic" w:cs="Arial"/>
          <w:sz w:val="16"/>
          <w:szCs w:val="16"/>
          <w:lang w:val="es-ES"/>
        </w:rPr>
      </w:pPr>
      <w:r w:rsidRPr="00CB7EC9">
        <w:rPr>
          <w:rFonts w:ascii="Century Gothic" w:hAnsi="Century Gothic" w:cs="Arial"/>
          <w:sz w:val="16"/>
          <w:szCs w:val="16"/>
          <w:lang w:val="es-ES"/>
        </w:rPr>
        <w:t>5. Desde el día siguiente al de la protocolización a que alude el artículo 85 para el silencio administrativo positivo”.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6C9C4A7E" w:rsidR="005B5D8B" w:rsidRPr="00C86251" w:rsidRDefault="004A305D" w:rsidP="00C86251">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5" w15:restartNumberingAfterBreak="0">
    <w:nsid w:val="751C0253"/>
    <w:multiLevelType w:val="hybridMultilevel"/>
    <w:tmpl w:val="BE9E2BB6"/>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044789257">
    <w:abstractNumId w:val="0"/>
  </w:num>
  <w:num w:numId="7" w16cid:durableId="1927642512">
    <w:abstractNumId w:val="5"/>
  </w:num>
  <w:num w:numId="8" w16cid:durableId="1313489545">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769AD"/>
    <w:rsid w:val="000A683E"/>
    <w:rsid w:val="000B19B9"/>
    <w:rsid w:val="000B636D"/>
    <w:rsid w:val="000D0334"/>
    <w:rsid w:val="000E4714"/>
    <w:rsid w:val="000F6486"/>
    <w:rsid w:val="00125105"/>
    <w:rsid w:val="00127233"/>
    <w:rsid w:val="00176ACA"/>
    <w:rsid w:val="001E4177"/>
    <w:rsid w:val="00215E89"/>
    <w:rsid w:val="002951A0"/>
    <w:rsid w:val="002962BC"/>
    <w:rsid w:val="002A093D"/>
    <w:rsid w:val="002A49AC"/>
    <w:rsid w:val="002A64FD"/>
    <w:rsid w:val="002C7A84"/>
    <w:rsid w:val="002E1CB7"/>
    <w:rsid w:val="003448F4"/>
    <w:rsid w:val="003A779E"/>
    <w:rsid w:val="003D0F4D"/>
    <w:rsid w:val="003E0499"/>
    <w:rsid w:val="003F3941"/>
    <w:rsid w:val="00400548"/>
    <w:rsid w:val="004368BC"/>
    <w:rsid w:val="00440C65"/>
    <w:rsid w:val="004436F9"/>
    <w:rsid w:val="00491E07"/>
    <w:rsid w:val="004A1847"/>
    <w:rsid w:val="004A305D"/>
    <w:rsid w:val="004F21C4"/>
    <w:rsid w:val="004F685F"/>
    <w:rsid w:val="00533E8F"/>
    <w:rsid w:val="005566E8"/>
    <w:rsid w:val="00574867"/>
    <w:rsid w:val="005A4BEE"/>
    <w:rsid w:val="005A6AA1"/>
    <w:rsid w:val="005B5D8B"/>
    <w:rsid w:val="005C4A17"/>
    <w:rsid w:val="005C5CDC"/>
    <w:rsid w:val="005D476C"/>
    <w:rsid w:val="006028F1"/>
    <w:rsid w:val="006219F8"/>
    <w:rsid w:val="00665D70"/>
    <w:rsid w:val="00706C16"/>
    <w:rsid w:val="007167C8"/>
    <w:rsid w:val="00727370"/>
    <w:rsid w:val="00756841"/>
    <w:rsid w:val="00763C80"/>
    <w:rsid w:val="007649AB"/>
    <w:rsid w:val="00782FDD"/>
    <w:rsid w:val="007833AC"/>
    <w:rsid w:val="007B7171"/>
    <w:rsid w:val="007C3DC2"/>
    <w:rsid w:val="007E5497"/>
    <w:rsid w:val="007F72EF"/>
    <w:rsid w:val="00806F5F"/>
    <w:rsid w:val="00820278"/>
    <w:rsid w:val="008843B6"/>
    <w:rsid w:val="00891928"/>
    <w:rsid w:val="008A446D"/>
    <w:rsid w:val="008F0EA7"/>
    <w:rsid w:val="00917D12"/>
    <w:rsid w:val="00923EEF"/>
    <w:rsid w:val="009419F9"/>
    <w:rsid w:val="00961B09"/>
    <w:rsid w:val="00965334"/>
    <w:rsid w:val="0097093E"/>
    <w:rsid w:val="009A1585"/>
    <w:rsid w:val="009A3F64"/>
    <w:rsid w:val="009C71FA"/>
    <w:rsid w:val="009C72E7"/>
    <w:rsid w:val="009E77DA"/>
    <w:rsid w:val="00A17F13"/>
    <w:rsid w:val="00A20739"/>
    <w:rsid w:val="00A33C78"/>
    <w:rsid w:val="00A43808"/>
    <w:rsid w:val="00AB0ADB"/>
    <w:rsid w:val="00AC108C"/>
    <w:rsid w:val="00AD5E99"/>
    <w:rsid w:val="00B72CD3"/>
    <w:rsid w:val="00B72FFF"/>
    <w:rsid w:val="00BD15D4"/>
    <w:rsid w:val="00BD2E7A"/>
    <w:rsid w:val="00BD7F72"/>
    <w:rsid w:val="00C04FB3"/>
    <w:rsid w:val="00C330EB"/>
    <w:rsid w:val="00C754BE"/>
    <w:rsid w:val="00C86251"/>
    <w:rsid w:val="00CB6357"/>
    <w:rsid w:val="00CB7EC9"/>
    <w:rsid w:val="00CC1B26"/>
    <w:rsid w:val="00CF750A"/>
    <w:rsid w:val="00D423A2"/>
    <w:rsid w:val="00D63AC2"/>
    <w:rsid w:val="00D7383B"/>
    <w:rsid w:val="00DA231B"/>
    <w:rsid w:val="00DB6D37"/>
    <w:rsid w:val="00E10750"/>
    <w:rsid w:val="00E16408"/>
    <w:rsid w:val="00E20894"/>
    <w:rsid w:val="00E245AB"/>
    <w:rsid w:val="00E50AFE"/>
    <w:rsid w:val="00E771DC"/>
    <w:rsid w:val="00E8772A"/>
    <w:rsid w:val="00E90F6B"/>
    <w:rsid w:val="00E92C27"/>
    <w:rsid w:val="00EA0E3D"/>
    <w:rsid w:val="00EE1AA8"/>
    <w:rsid w:val="00F17039"/>
    <w:rsid w:val="00F204AB"/>
    <w:rsid w:val="00F23ACB"/>
    <w:rsid w:val="00F31EDC"/>
    <w:rsid w:val="00F5664F"/>
    <w:rsid w:val="00F56D1D"/>
    <w:rsid w:val="00F613A2"/>
    <w:rsid w:val="00F76AFC"/>
    <w:rsid w:val="00FA0A7D"/>
    <w:rsid w:val="00FB5DD1"/>
    <w:rsid w:val="00FC2B5D"/>
    <w:rsid w:val="00FD3D35"/>
    <w:rsid w:val="00FE506D"/>
    <w:rsid w:val="00FF1449"/>
    <w:rsid w:val="687B05C8"/>
    <w:rsid w:val="718AB5D5"/>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176AC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76ACA"/>
    <w:rPr>
      <w:rFonts w:ascii="Geomanist Light" w:hAnsi="Geomanist Light"/>
      <w:lang w:val="es-ES"/>
    </w:rPr>
  </w:style>
  <w:style w:type="character" w:customStyle="1" w:styleId="eop">
    <w:name w:val="eop"/>
    <w:basedOn w:val="Fuentedeprrafopredeter"/>
    <w:rsid w:val="00176ACA"/>
  </w:style>
  <w:style w:type="paragraph" w:styleId="Textoindependiente">
    <w:name w:val="Body Text"/>
    <w:basedOn w:val="Normal"/>
    <w:link w:val="TextoindependienteCar"/>
    <w:uiPriority w:val="99"/>
    <w:unhideWhenUsed/>
    <w:rsid w:val="00176ACA"/>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76ACA"/>
    <w:rPr>
      <w:rFonts w:eastAsiaTheme="minorEastAsia"/>
      <w:lang w:eastAsia="es-CO"/>
    </w:rPr>
  </w:style>
  <w:style w:type="paragraph" w:styleId="Revisin">
    <w:name w:val="Revision"/>
    <w:hidden/>
    <w:uiPriority w:val="99"/>
    <w:semiHidden/>
    <w:rsid w:val="00A43808"/>
    <w:pPr>
      <w:spacing w:after="0" w:line="240" w:lineRule="auto"/>
    </w:pPr>
  </w:style>
  <w:style w:type="character" w:styleId="Refdecomentario">
    <w:name w:val="annotation reference"/>
    <w:basedOn w:val="Fuentedeprrafopredeter"/>
    <w:uiPriority w:val="99"/>
    <w:semiHidden/>
    <w:unhideWhenUsed/>
    <w:rsid w:val="005A4BEE"/>
    <w:rPr>
      <w:sz w:val="16"/>
      <w:szCs w:val="16"/>
    </w:rPr>
  </w:style>
  <w:style w:type="paragraph" w:styleId="Textocomentario">
    <w:name w:val="annotation text"/>
    <w:basedOn w:val="Normal"/>
    <w:link w:val="TextocomentarioCar"/>
    <w:uiPriority w:val="99"/>
    <w:unhideWhenUsed/>
    <w:rsid w:val="005A4BEE"/>
    <w:pPr>
      <w:spacing w:line="240" w:lineRule="auto"/>
    </w:pPr>
    <w:rPr>
      <w:sz w:val="20"/>
      <w:szCs w:val="20"/>
    </w:rPr>
  </w:style>
  <w:style w:type="character" w:customStyle="1" w:styleId="TextocomentarioCar">
    <w:name w:val="Texto comentario Car"/>
    <w:basedOn w:val="Fuentedeprrafopredeter"/>
    <w:link w:val="Textocomentario"/>
    <w:uiPriority w:val="99"/>
    <w:rsid w:val="005A4BEE"/>
    <w:rPr>
      <w:sz w:val="20"/>
      <w:szCs w:val="20"/>
    </w:rPr>
  </w:style>
  <w:style w:type="paragraph" w:styleId="Asuntodelcomentario">
    <w:name w:val="annotation subject"/>
    <w:basedOn w:val="Textocomentario"/>
    <w:next w:val="Textocomentario"/>
    <w:link w:val="AsuntodelcomentarioCar"/>
    <w:uiPriority w:val="99"/>
    <w:semiHidden/>
    <w:unhideWhenUsed/>
    <w:rsid w:val="005A4BEE"/>
    <w:rPr>
      <w:b/>
      <w:bCs/>
    </w:rPr>
  </w:style>
  <w:style w:type="character" w:customStyle="1" w:styleId="AsuntodelcomentarioCar">
    <w:name w:val="Asunto del comentario Car"/>
    <w:basedOn w:val="TextocomentarioCar"/>
    <w:link w:val="Asuntodelcomentario"/>
    <w:uiPriority w:val="99"/>
    <w:semiHidden/>
    <w:rsid w:val="005A4B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mineducacion.gov.co/1621/w3-printer-235135.html" TargetMode="External"/><Relationship Id="rId2" Type="http://schemas.openxmlformats.org/officeDocument/2006/relationships/hyperlink" Target="http://www.secretariasenado.gov.co/senado/basedoc/decreto_0019_2012_pr004.html"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dle.rae.es/%C3%BAltim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Martha Alicia Romero Vargas</DisplayName>
        <AccountId>215</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2E46CD9-659A-4A43-9BAD-2A8DAE108061}"/>
</file>

<file path=docProps/app.xml><?xml version="1.0" encoding="utf-8"?>
<Properties xmlns="http://schemas.openxmlformats.org/officeDocument/2006/extended-properties" xmlns:vt="http://schemas.openxmlformats.org/officeDocument/2006/docPropsVTypes">
  <Template>Normal</Template>
  <TotalTime>10</TotalTime>
  <Pages>27</Pages>
  <Words>8729</Words>
  <Characters>48014</Characters>
  <Application>Microsoft Office Word</Application>
  <DocSecurity>0</DocSecurity>
  <Lines>400</Lines>
  <Paragraphs>113</Paragraphs>
  <ScaleCrop>false</ScaleCrop>
  <Company/>
  <LinksUpToDate>false</LinksUpToDate>
  <CharactersWithSpaces>56630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7</cp:revision>
  <cp:lastPrinted>2023-01-10T21:18:00Z</cp:lastPrinted>
  <dcterms:created xsi:type="dcterms:W3CDTF">2024-05-17T01:32:00Z</dcterms:created>
  <dcterms:modified xsi:type="dcterms:W3CDTF">2024-06-07T16:38:00Z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