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2D92D" w14:textId="77777777" w:rsidR="002F4AD4" w:rsidRPr="002F4AD4" w:rsidRDefault="002F4AD4" w:rsidP="002F4AD4">
      <w:pPr>
        <w:pStyle w:val="Textoindependiente"/>
        <w:spacing w:before="90"/>
        <w:ind w:left="141"/>
        <w:jc w:val="both"/>
        <w:rPr>
          <w:rFonts w:ascii="Verdana" w:hAnsi="Verdana"/>
          <w:b/>
          <w:lang w:val="es-ES_tradnl"/>
        </w:rPr>
      </w:pPr>
      <w:r w:rsidRPr="002F4AD4">
        <w:rPr>
          <w:rFonts w:ascii="Verdana" w:hAnsi="Verdana"/>
          <w:b/>
          <w:lang w:val="es-ES_tradnl"/>
        </w:rPr>
        <w:t xml:space="preserve">GARANTÍA DE ÚNICA DE CUMPLIMIENTO – Definición – Fundamento normativo </w:t>
      </w:r>
    </w:p>
    <w:p w14:paraId="69D27B32" w14:textId="77777777" w:rsidR="002F4AD4" w:rsidRPr="002F4AD4" w:rsidRDefault="002F4AD4" w:rsidP="002F4AD4">
      <w:pPr>
        <w:pStyle w:val="Textoindependiente"/>
        <w:spacing w:before="90"/>
        <w:ind w:left="141"/>
        <w:jc w:val="both"/>
        <w:rPr>
          <w:rFonts w:ascii="Verdana" w:hAnsi="Verdana"/>
          <w:b/>
          <w:lang w:val="es-ES_tradnl"/>
        </w:rPr>
      </w:pPr>
    </w:p>
    <w:p w14:paraId="4ACD23ED" w14:textId="77777777" w:rsidR="002F4AD4" w:rsidRPr="002F4AD4" w:rsidRDefault="002F4AD4" w:rsidP="002F4AD4">
      <w:pPr>
        <w:pStyle w:val="Textoindependiente"/>
        <w:spacing w:before="90"/>
        <w:ind w:left="141"/>
        <w:jc w:val="both"/>
        <w:rPr>
          <w:rFonts w:ascii="Verdana" w:hAnsi="Verdana"/>
          <w:lang w:val="es-ES_tradnl"/>
        </w:rPr>
      </w:pPr>
      <w:r w:rsidRPr="002F4AD4">
        <w:rPr>
          <w:rFonts w:ascii="Verdana" w:hAnsi="Verdana"/>
          <w:lang w:val="es-ES_tradnl"/>
        </w:rPr>
        <w:t xml:space="preserve">[…] mediante la </w:t>
      </w:r>
      <w:r w:rsidRPr="002F4AD4">
        <w:rPr>
          <w:rFonts w:ascii="Verdana" w:hAnsi="Verdana"/>
          <w:i/>
          <w:iCs/>
          <w:lang w:val="es-ES_tradnl"/>
        </w:rPr>
        <w:t>garantía de única de cumplimiento</w:t>
      </w:r>
      <w:r w:rsidRPr="002F4AD4">
        <w:rPr>
          <w:rFonts w:ascii="Verdana" w:hAnsi="Verdana"/>
          <w:lang w:val="es-ES_tradnl"/>
        </w:rPr>
        <w:t xml:space="preserve">, el contratista ampara los perjuicios que le pueda generar a la entidad el incumplimiento de las obligaciones derivadas del contrato. En esta medida, tienen como objetivo reparar los perjuicios causados por conductas atribuibles al contratista, por lo que estos últimos son un presupuesto necesario para el pago que cubre la garantía. Para estos efectos es única, ya que “[…] La prioridad […] es que no haya garantías separadas para los diferentes riesgos, aunque existan varias garantías para diferentes proporciones del interés asegurado […]”.    </w:t>
      </w:r>
    </w:p>
    <w:p w14:paraId="3AE8111E" w14:textId="77777777" w:rsidR="002F4AD4" w:rsidRPr="002F4AD4" w:rsidRDefault="002F4AD4" w:rsidP="002F4AD4">
      <w:pPr>
        <w:pStyle w:val="Textoindependiente"/>
        <w:spacing w:before="90"/>
        <w:ind w:left="141"/>
        <w:jc w:val="both"/>
        <w:rPr>
          <w:rFonts w:ascii="Verdana" w:hAnsi="Verdana"/>
          <w:lang w:val="es-ES_tradnl"/>
        </w:rPr>
      </w:pPr>
    </w:p>
    <w:p w14:paraId="73E57374" w14:textId="77777777" w:rsidR="002F4AD4" w:rsidRPr="002F4AD4" w:rsidRDefault="002F4AD4" w:rsidP="002F4AD4">
      <w:pPr>
        <w:pStyle w:val="Textoindependiente"/>
        <w:spacing w:before="90"/>
        <w:ind w:left="141"/>
        <w:jc w:val="both"/>
        <w:rPr>
          <w:rFonts w:ascii="Verdana" w:hAnsi="Verdana"/>
        </w:rPr>
      </w:pPr>
      <w:r w:rsidRPr="002F4AD4">
        <w:rPr>
          <w:rFonts w:ascii="Verdana" w:hAnsi="Verdana"/>
        </w:rPr>
        <w:t xml:space="preserve">Desde esta perspectiva, ambas garantías constituyen una obligación de seguridad, es decir, aquella donde el interés del acreedor no consiste en una utilidad específica y tangible, sino en la tranquilidad frente a ciertos riesgos por la cobertura de sus consecuencias nocivas. Conforme al inciso segundo del artículo 7 de la Ley 1150 de 2007, pueden otorgarse a través de: i) contratos de seguro, </w:t>
      </w:r>
      <w:proofErr w:type="spellStart"/>
      <w:r w:rsidRPr="002F4AD4">
        <w:rPr>
          <w:rFonts w:ascii="Verdana" w:hAnsi="Verdana"/>
        </w:rPr>
        <w:t>ii</w:t>
      </w:r>
      <w:proofErr w:type="spellEnd"/>
      <w:r w:rsidRPr="002F4AD4">
        <w:rPr>
          <w:rFonts w:ascii="Verdana" w:hAnsi="Verdana"/>
        </w:rPr>
        <w:t xml:space="preserve">) garantías bancarias o </w:t>
      </w:r>
      <w:proofErr w:type="spellStart"/>
      <w:r w:rsidRPr="002F4AD4">
        <w:rPr>
          <w:rFonts w:ascii="Verdana" w:hAnsi="Verdana"/>
        </w:rPr>
        <w:t>iii</w:t>
      </w:r>
      <w:proofErr w:type="spellEnd"/>
      <w:r w:rsidRPr="002F4AD4">
        <w:rPr>
          <w:rFonts w:ascii="Verdana" w:hAnsi="Verdana"/>
        </w:rPr>
        <w:t>) los demás mecanismos de cobertura del riesgo que disponga el reglamento. Igualmente establece que “[…] tratándose de pólizas, las mismas no expirarán por falta de pago de la prima o por revocatoria unilateral […]”. Esta norma es una excepción a la terminación automática del contrato de seguro prevista en los artículos 1068 y 1071 del Código de Comercio. De esta manera, las garantías previstas en la ley tienen como objetivo asegurar la solvencia del garante.</w:t>
      </w:r>
    </w:p>
    <w:p w14:paraId="448B14E3" w14:textId="77777777" w:rsidR="002F4AD4" w:rsidRPr="002F4AD4" w:rsidRDefault="002F4AD4" w:rsidP="002F4AD4">
      <w:pPr>
        <w:pStyle w:val="Textoindependiente"/>
        <w:spacing w:before="90"/>
        <w:ind w:left="141"/>
        <w:jc w:val="both"/>
        <w:rPr>
          <w:rFonts w:ascii="Verdana" w:hAnsi="Verdana"/>
          <w:b/>
          <w:lang w:val="es-ES_tradnl"/>
        </w:rPr>
      </w:pPr>
    </w:p>
    <w:p w14:paraId="26AD2A19" w14:textId="77777777" w:rsidR="002F4AD4" w:rsidRPr="002F4AD4" w:rsidRDefault="002F4AD4" w:rsidP="002F4AD4">
      <w:pPr>
        <w:pStyle w:val="Textoindependiente"/>
        <w:spacing w:before="90"/>
        <w:ind w:left="141"/>
        <w:jc w:val="both"/>
        <w:rPr>
          <w:rFonts w:ascii="Verdana" w:hAnsi="Verdana"/>
          <w:b/>
          <w:lang w:val="es-ES_tradnl"/>
        </w:rPr>
      </w:pPr>
      <w:r w:rsidRPr="002F4AD4">
        <w:rPr>
          <w:rFonts w:ascii="Verdana" w:hAnsi="Verdana"/>
          <w:b/>
          <w:lang w:val="es-ES_tradnl"/>
        </w:rPr>
        <w:t xml:space="preserve">LIQUIDACIÓN DEL CONTRATO – Definición – Objetivo </w:t>
      </w:r>
    </w:p>
    <w:p w14:paraId="5C34CE8E" w14:textId="77777777" w:rsidR="002F4AD4" w:rsidRPr="002F4AD4" w:rsidRDefault="002F4AD4" w:rsidP="002F4AD4">
      <w:pPr>
        <w:pStyle w:val="Textoindependiente"/>
        <w:spacing w:before="90"/>
        <w:ind w:left="141"/>
        <w:jc w:val="both"/>
        <w:rPr>
          <w:rFonts w:ascii="Verdana" w:hAnsi="Verdana"/>
          <w:b/>
          <w:lang w:val="es-ES_tradnl"/>
        </w:rPr>
      </w:pPr>
    </w:p>
    <w:p w14:paraId="70E516BE" w14:textId="77777777" w:rsidR="002F4AD4" w:rsidRPr="002F4AD4" w:rsidRDefault="002F4AD4" w:rsidP="002F4AD4">
      <w:pPr>
        <w:pStyle w:val="Textoindependiente"/>
        <w:spacing w:before="90"/>
        <w:ind w:left="141"/>
        <w:jc w:val="both"/>
        <w:rPr>
          <w:rFonts w:ascii="Verdana" w:hAnsi="Verdana"/>
        </w:rPr>
      </w:pPr>
      <w:r w:rsidRPr="002F4AD4">
        <w:rPr>
          <w:rFonts w:ascii="Verdana" w:hAnsi="Verdana"/>
        </w:rPr>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2F4AD4">
        <w:rPr>
          <w:rFonts w:ascii="Verdana" w:hAnsi="Verdana"/>
          <w:i/>
          <w:iCs/>
        </w:rPr>
        <w:t>liquidar</w:t>
      </w:r>
      <w:r w:rsidRPr="002F4AD4">
        <w:rPr>
          <w:rFonts w:ascii="Verdana" w:hAnsi="Verdana"/>
        </w:rPr>
        <w:t xml:space="preserve"> supone un ajuste en relación con las cuentas y el estado de cumplimiento del contrato estatal y, por otro, que la </w:t>
      </w:r>
      <w:r w:rsidRPr="002F4AD4">
        <w:rPr>
          <w:rFonts w:ascii="Verdana" w:hAnsi="Verdana"/>
          <w:i/>
          <w:iCs/>
        </w:rPr>
        <w:t>liquidación</w:t>
      </w:r>
      <w:r w:rsidRPr="002F4AD4">
        <w:rPr>
          <w:rFonts w:ascii="Verdana" w:hAnsi="Verdana"/>
        </w:rPr>
        <w:t xml:space="preserve"> debe incluir el análisis de las condiciones de calidad y oportunidad </w:t>
      </w:r>
      <w:r w:rsidRPr="002F4AD4">
        <w:rPr>
          <w:rFonts w:ascii="Verdana" w:hAnsi="Verdana"/>
        </w:rPr>
        <w:lastRenderedPageBreak/>
        <w:t>en la entrega de los bienes, obras o servicios, así como el balance económico y el comportamiento financiero del negocio.</w:t>
      </w:r>
    </w:p>
    <w:p w14:paraId="1FA66C37" w14:textId="77777777" w:rsidR="002F4AD4" w:rsidRPr="002F4AD4" w:rsidRDefault="002F4AD4" w:rsidP="002F4AD4">
      <w:pPr>
        <w:pStyle w:val="Textoindependiente"/>
        <w:spacing w:before="90"/>
        <w:ind w:left="141"/>
        <w:jc w:val="both"/>
        <w:rPr>
          <w:rFonts w:ascii="Verdana" w:hAnsi="Verdana"/>
          <w:lang w:val="es-ES_tradnl"/>
        </w:rPr>
      </w:pPr>
    </w:p>
    <w:p w14:paraId="4E9230C1" w14:textId="77777777" w:rsidR="002F4AD4" w:rsidRPr="002F4AD4" w:rsidRDefault="002F4AD4" w:rsidP="002F4AD4">
      <w:pPr>
        <w:pStyle w:val="Textoindependiente"/>
        <w:spacing w:before="90"/>
        <w:ind w:left="141"/>
        <w:jc w:val="both"/>
        <w:rPr>
          <w:rFonts w:ascii="Verdana" w:hAnsi="Verdana"/>
          <w:b/>
          <w:lang w:val="es-ES_tradnl"/>
        </w:rPr>
      </w:pPr>
      <w:r w:rsidRPr="002F4AD4">
        <w:rPr>
          <w:rFonts w:ascii="Verdana" w:hAnsi="Verdana"/>
          <w:b/>
          <w:lang w:val="es-ES_tradnl"/>
        </w:rPr>
        <w:t xml:space="preserve">LIQUIDACIÓN DEL CONTRATO – Normativa </w:t>
      </w:r>
    </w:p>
    <w:p w14:paraId="59652D7C" w14:textId="77777777" w:rsidR="002F4AD4" w:rsidRPr="002F4AD4" w:rsidRDefault="002F4AD4" w:rsidP="002F4AD4">
      <w:pPr>
        <w:pStyle w:val="Textoindependiente"/>
        <w:spacing w:before="90"/>
        <w:ind w:left="141"/>
        <w:jc w:val="both"/>
        <w:rPr>
          <w:rFonts w:ascii="Verdana" w:hAnsi="Verdana"/>
          <w:lang w:val="es-ES_tradnl"/>
        </w:rPr>
      </w:pPr>
    </w:p>
    <w:p w14:paraId="198ED1EE" w14:textId="77777777" w:rsidR="002F4AD4" w:rsidRPr="002F4AD4" w:rsidRDefault="002F4AD4" w:rsidP="002F4AD4">
      <w:pPr>
        <w:pStyle w:val="Textoindependiente"/>
        <w:spacing w:before="90"/>
        <w:ind w:left="141"/>
        <w:jc w:val="both"/>
        <w:rPr>
          <w:rFonts w:ascii="Verdana" w:hAnsi="Verdana"/>
        </w:rPr>
      </w:pPr>
      <w:r w:rsidRPr="002F4AD4">
        <w:rPr>
          <w:rFonts w:ascii="Verdana" w:hAnsi="Verdana"/>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profesionales y de apoyo a la gestión. El artículo 11 de la Ley 1150 de </w:t>
      </w:r>
      <w:proofErr w:type="gramStart"/>
      <w:r w:rsidRPr="002F4AD4">
        <w:rPr>
          <w:rFonts w:ascii="Verdana" w:hAnsi="Verdana"/>
        </w:rPr>
        <w:t>2007  contiene</w:t>
      </w:r>
      <w:proofErr w:type="gramEnd"/>
      <w:r w:rsidRPr="002F4AD4">
        <w:rPr>
          <w:rFonts w:ascii="Verdana" w:hAnsi="Verdana"/>
        </w:rPr>
        <w:t xml:space="preserve"> las reglas de tipo procedimental para liquidar los contratos estatales, […].</w:t>
      </w:r>
    </w:p>
    <w:p w14:paraId="17184FCF" w14:textId="77777777" w:rsidR="002F4AD4" w:rsidRPr="002F4AD4" w:rsidRDefault="002F4AD4" w:rsidP="002F4AD4">
      <w:pPr>
        <w:pStyle w:val="Textoindependiente"/>
        <w:spacing w:before="90"/>
        <w:ind w:left="141"/>
        <w:jc w:val="both"/>
        <w:rPr>
          <w:rFonts w:ascii="Verdana" w:hAnsi="Verdana"/>
        </w:rPr>
      </w:pPr>
    </w:p>
    <w:p w14:paraId="002B7635" w14:textId="77777777" w:rsidR="002F4AD4" w:rsidRPr="002F4AD4" w:rsidRDefault="002F4AD4" w:rsidP="002F4AD4">
      <w:pPr>
        <w:pStyle w:val="Textoindependiente"/>
        <w:spacing w:before="90"/>
        <w:ind w:left="141"/>
        <w:jc w:val="both"/>
        <w:rPr>
          <w:rFonts w:ascii="Verdana" w:hAnsi="Verdana"/>
          <w:b/>
          <w:lang w:val="es-ES_tradnl"/>
        </w:rPr>
      </w:pPr>
      <w:r w:rsidRPr="002F4AD4">
        <w:rPr>
          <w:rFonts w:ascii="Verdana" w:hAnsi="Verdana"/>
          <w:b/>
          <w:lang w:val="es-ES_tradnl"/>
        </w:rPr>
        <w:t>LIQUIDACIÓN DEL CONTRATO – Garantía única de cumplimiento – Suficiencia</w:t>
      </w:r>
    </w:p>
    <w:p w14:paraId="1E628F78" w14:textId="77777777" w:rsidR="002F4AD4" w:rsidRPr="002F4AD4" w:rsidRDefault="002F4AD4" w:rsidP="002F4AD4">
      <w:pPr>
        <w:pStyle w:val="Textoindependiente"/>
        <w:spacing w:before="90"/>
        <w:ind w:left="141"/>
        <w:jc w:val="both"/>
        <w:rPr>
          <w:rFonts w:ascii="Verdana" w:hAnsi="Verdana"/>
          <w:b/>
        </w:rPr>
      </w:pPr>
    </w:p>
    <w:p w14:paraId="4626BB9F" w14:textId="77777777" w:rsidR="002F4AD4" w:rsidRPr="002F4AD4" w:rsidRDefault="002F4AD4" w:rsidP="002F4AD4">
      <w:pPr>
        <w:pStyle w:val="Textoindependiente"/>
        <w:spacing w:before="90"/>
        <w:ind w:left="141"/>
        <w:jc w:val="both"/>
        <w:rPr>
          <w:rFonts w:ascii="Verdana" w:hAnsi="Verdana"/>
        </w:rPr>
      </w:pPr>
      <w:r w:rsidRPr="002F4AD4">
        <w:rPr>
          <w:rFonts w:ascii="Verdana" w:hAnsi="Verdana"/>
        </w:rPr>
        <w:t xml:space="preserve">El artículo 2.2.1.2.3.1.12 regula la suficiencia de la garantía de cumplimiento. Esta debe tener una vigencia mínima hasta la liquidación y, por regla general un valor de por lo menos el diez por ciento (10%) del total del contrato, siempre que este sea inferior a un millón (1.000.000) de </w:t>
      </w:r>
      <w:proofErr w:type="spellStart"/>
      <w:r w:rsidRPr="002F4AD4">
        <w:rPr>
          <w:rFonts w:ascii="Verdana" w:hAnsi="Verdana"/>
        </w:rPr>
        <w:t>smmlv</w:t>
      </w:r>
      <w:proofErr w:type="spellEnd"/>
      <w:r w:rsidRPr="002F4AD4">
        <w:rPr>
          <w:rFonts w:ascii="Verdana" w:hAnsi="Verdana"/>
        </w:rPr>
        <w:t>. Conforme la norma citada, el amparo cubre tanto el plazo de ejecución como el plazo de vigencia del contrato. Así, la cobertura mínima del amparo de cumplimiento cubre el plazo de ejecución y el plazo de vigencia,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p>
    <w:p w14:paraId="56F8A07F" w14:textId="77777777" w:rsidR="002F4AD4" w:rsidRPr="002F4AD4" w:rsidRDefault="002F4AD4" w:rsidP="002F4AD4">
      <w:pPr>
        <w:pStyle w:val="Textoindependiente"/>
        <w:spacing w:before="90"/>
        <w:ind w:left="141"/>
        <w:jc w:val="both"/>
        <w:rPr>
          <w:rFonts w:ascii="Verdana" w:hAnsi="Verdana"/>
        </w:rPr>
      </w:pPr>
    </w:p>
    <w:p w14:paraId="1B320AE5" w14:textId="77777777" w:rsidR="002F4AD4" w:rsidRPr="002F4AD4" w:rsidRDefault="002F4AD4" w:rsidP="002F4AD4">
      <w:pPr>
        <w:pStyle w:val="Textoindependiente"/>
        <w:spacing w:before="90"/>
        <w:ind w:left="141"/>
        <w:jc w:val="both"/>
        <w:rPr>
          <w:rFonts w:ascii="Verdana" w:hAnsi="Verdana"/>
        </w:rPr>
      </w:pPr>
      <w:r w:rsidRPr="002F4AD4">
        <w:rPr>
          <w:rFonts w:ascii="Verdana" w:hAnsi="Verdana"/>
        </w:rPr>
        <w:lastRenderedPageBreak/>
        <w:t>Dentro de este marco, los interesados adoptarán las medidas que estimen pertinentes respecto a la vigencia del amparo de cumplimiento después de vencer el término para liquidar. Especialmente, previa asesoría de sus representantes legales, los contratistas del Estado deberán evaluar los cursos de acción disponibles frente a la falta de liquidación oportuna. En ambos casos,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p>
    <w:p w14:paraId="7E810E6B" w14:textId="49907F20" w:rsidR="002F4AD4" w:rsidRDefault="002F4AD4">
      <w:pPr>
        <w:rPr>
          <w:rFonts w:ascii="Verdana" w:eastAsia="Times New Roman" w:hAnsi="Verdana" w:cs="Times New Roman"/>
          <w:lang w:eastAsia="es-ES"/>
        </w:rPr>
      </w:pPr>
      <w:r>
        <w:rPr>
          <w:rFonts w:ascii="Verdana" w:hAnsi="Verdana"/>
        </w:rPr>
        <w:br w:type="page"/>
      </w:r>
    </w:p>
    <w:p w14:paraId="37F4A2EE" w14:textId="53E07B11" w:rsidR="002611AF" w:rsidRPr="00093B55" w:rsidRDefault="002611AF" w:rsidP="00093B55">
      <w:pPr>
        <w:spacing w:after="0" w:line="276" w:lineRule="auto"/>
        <w:rPr>
          <w:rFonts w:ascii="Verdana" w:eastAsia="Times New Roman" w:hAnsi="Verdana" w:cs="Arial"/>
          <w:lang w:eastAsia="es-ES_tradnl"/>
        </w:rPr>
      </w:pPr>
      <w:r w:rsidRPr="00093B55">
        <w:rPr>
          <w:rFonts w:ascii="Verdana" w:eastAsia="Times New Roman" w:hAnsi="Verdana" w:cs="Arial"/>
          <w:lang w:eastAsia="es-ES_tradnl"/>
        </w:rPr>
        <w:lastRenderedPageBreak/>
        <w:t>Bogotá D.C., [Día] de [</w:t>
      </w:r>
      <w:proofErr w:type="spellStart"/>
      <w:r w:rsidRPr="00093B55">
        <w:rPr>
          <w:rFonts w:ascii="Verdana" w:eastAsia="Times New Roman" w:hAnsi="Verdana" w:cs="Arial"/>
          <w:lang w:eastAsia="es-ES_tradnl"/>
        </w:rPr>
        <w:t>Mes.NombreCapitalizado</w:t>
      </w:r>
      <w:proofErr w:type="spellEnd"/>
      <w:r w:rsidRPr="00093B55">
        <w:rPr>
          <w:rFonts w:ascii="Verdana" w:eastAsia="Times New Roman" w:hAnsi="Verdana" w:cs="Arial"/>
          <w:lang w:eastAsia="es-ES_tradnl"/>
        </w:rPr>
        <w:t>] de [Año] </w:t>
      </w:r>
    </w:p>
    <w:p w14:paraId="18E6572C" w14:textId="77777777" w:rsidR="002611AF" w:rsidRPr="00093B55" w:rsidRDefault="002611AF" w:rsidP="00093B55">
      <w:pPr>
        <w:spacing w:after="0" w:line="276" w:lineRule="auto"/>
        <w:jc w:val="right"/>
        <w:rPr>
          <w:rFonts w:ascii="Verdana" w:eastAsia="Times New Roman" w:hAnsi="Verdana" w:cs="Arial"/>
          <w:lang w:eastAsia="es-ES_tradnl"/>
        </w:rPr>
      </w:pPr>
    </w:p>
    <w:p w14:paraId="57AAF179" w14:textId="77777777" w:rsidR="002611AF" w:rsidRPr="00093B55" w:rsidRDefault="002611AF" w:rsidP="00093B55">
      <w:pPr>
        <w:spacing w:after="0" w:line="276" w:lineRule="auto"/>
        <w:jc w:val="right"/>
        <w:rPr>
          <w:rFonts w:ascii="Verdana" w:eastAsia="Calibri" w:hAnsi="Verdana" w:cs="Arial"/>
          <w:lang w:eastAsia="es-ES_tradnl"/>
        </w:rPr>
      </w:pPr>
    </w:p>
    <w:p w14:paraId="78F50F88" w14:textId="77777777" w:rsidR="005F334A" w:rsidRPr="00E03546" w:rsidRDefault="005F334A" w:rsidP="005F334A">
      <w:pPr>
        <w:spacing w:after="0" w:line="276" w:lineRule="auto"/>
        <w:jc w:val="both"/>
        <w:rPr>
          <w:rFonts w:ascii="Verdana" w:eastAsia="Calibri" w:hAnsi="Verdana" w:cs="Arial"/>
          <w:lang w:eastAsia="es-ES_tradnl"/>
        </w:rPr>
      </w:pPr>
      <w:r w:rsidRPr="00E03546">
        <w:rPr>
          <w:rFonts w:ascii="Verdana" w:eastAsia="Calibri" w:hAnsi="Verdana" w:cs="Arial"/>
          <w:lang w:eastAsia="es-ES_tradnl"/>
        </w:rPr>
        <w:t>Señora</w:t>
      </w:r>
    </w:p>
    <w:p w14:paraId="6C61CC70" w14:textId="77777777" w:rsidR="005F334A" w:rsidRPr="00E03546" w:rsidRDefault="005F334A" w:rsidP="005F334A">
      <w:pPr>
        <w:spacing w:after="0" w:line="276" w:lineRule="auto"/>
        <w:rPr>
          <w:rFonts w:ascii="Verdana" w:eastAsia="Calibri" w:hAnsi="Verdana" w:cs="Arial"/>
          <w:b/>
          <w:bCs/>
          <w:lang w:eastAsia="es-ES_tradnl"/>
        </w:rPr>
      </w:pPr>
      <w:r w:rsidRPr="00E03546">
        <w:rPr>
          <w:rFonts w:ascii="Verdana" w:eastAsia="Calibri" w:hAnsi="Verdana" w:cs="Arial"/>
          <w:b/>
          <w:bCs/>
          <w:lang w:eastAsia="es-ES_tradnl"/>
        </w:rPr>
        <w:t>ANA VERGEL</w:t>
      </w:r>
    </w:p>
    <w:p w14:paraId="7EECE496" w14:textId="77777777" w:rsidR="005F334A" w:rsidRPr="00E03546" w:rsidRDefault="005F334A" w:rsidP="005F334A">
      <w:pPr>
        <w:spacing w:after="0" w:line="276" w:lineRule="auto"/>
        <w:rPr>
          <w:rFonts w:ascii="Verdana" w:eastAsia="Calibri" w:hAnsi="Verdana" w:cs="Arial"/>
          <w:b/>
          <w:bCs/>
          <w:lang w:eastAsia="es-ES_tradnl"/>
        </w:rPr>
      </w:pPr>
      <w:r w:rsidRPr="00E03546">
        <w:rPr>
          <w:rFonts w:ascii="Verdana" w:eastAsia="Calibri" w:hAnsi="Verdana" w:cs="Arial"/>
          <w:u w:val="single"/>
          <w:lang w:eastAsia="es-ES_tradnl"/>
        </w:rPr>
        <w:t>Anacaro_v@hotmail.com</w:t>
      </w:r>
    </w:p>
    <w:p w14:paraId="610A5117" w14:textId="77777777" w:rsidR="005F334A" w:rsidRDefault="005F334A" w:rsidP="005F334A">
      <w:pPr>
        <w:spacing w:after="0" w:line="276" w:lineRule="auto"/>
        <w:rPr>
          <w:rFonts w:ascii="Verdana" w:eastAsia="Calibri" w:hAnsi="Verdana" w:cs="Arial"/>
          <w:lang w:eastAsia="es-ES_tradnl"/>
        </w:rPr>
      </w:pPr>
      <w:r w:rsidRPr="00E03546">
        <w:rPr>
          <w:rFonts w:ascii="Verdana" w:eastAsia="Calibri" w:hAnsi="Verdana" w:cs="Arial"/>
          <w:lang w:eastAsia="es-ES_tradnl"/>
        </w:rPr>
        <w:t xml:space="preserve">Bogotá D.C. </w:t>
      </w:r>
    </w:p>
    <w:p w14:paraId="24754A9C" w14:textId="6B833A61" w:rsidR="008A416B" w:rsidRPr="00E03546" w:rsidRDefault="008A416B" w:rsidP="008A416B">
      <w:pPr>
        <w:spacing w:after="0" w:line="276" w:lineRule="auto"/>
        <w:jc w:val="right"/>
        <w:rPr>
          <w:rFonts w:ascii="Verdana" w:eastAsia="Calibri" w:hAnsi="Verdana" w:cs="Arial"/>
          <w:lang w:eastAsia="es-ES_tradnl"/>
        </w:rPr>
      </w:pPr>
      <w:r w:rsidRPr="008A416B">
        <w:rPr>
          <w:rFonts w:ascii="Verdana" w:eastAsia="Calibri" w:hAnsi="Verdana" w:cs="Arial"/>
          <w:noProof/>
          <w:lang w:eastAsia="es-ES_tradnl"/>
        </w:rPr>
        <w:drawing>
          <wp:inline distT="0" distB="0" distL="0" distR="0" wp14:anchorId="24638B09" wp14:editId="19D9A320">
            <wp:extent cx="3292125" cy="990686"/>
            <wp:effectExtent l="0" t="0" r="3810" b="0"/>
            <wp:docPr id="2389839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3959" name=""/>
                    <pic:cNvPicPr/>
                  </pic:nvPicPr>
                  <pic:blipFill>
                    <a:blip r:embed="rId11"/>
                    <a:stretch>
                      <a:fillRect/>
                    </a:stretch>
                  </pic:blipFill>
                  <pic:spPr>
                    <a:xfrm>
                      <a:off x="0" y="0"/>
                      <a:ext cx="3292125" cy="990686"/>
                    </a:xfrm>
                    <a:prstGeom prst="rect">
                      <a:avLst/>
                    </a:prstGeom>
                  </pic:spPr>
                </pic:pic>
              </a:graphicData>
            </a:graphic>
          </wp:inline>
        </w:drawing>
      </w:r>
    </w:p>
    <w:p w14:paraId="63D5D045" w14:textId="77777777" w:rsidR="005F334A" w:rsidRPr="00E03546" w:rsidRDefault="005F334A" w:rsidP="005F334A">
      <w:pPr>
        <w:spacing w:after="0" w:line="276" w:lineRule="auto"/>
        <w:rPr>
          <w:rFonts w:ascii="Verdana" w:eastAsia="Calibri" w:hAnsi="Verdana" w:cs="Arial"/>
          <w:lang w:val="fr-FR" w:eastAsia="es-ES_tradnl"/>
        </w:rPr>
      </w:pPr>
    </w:p>
    <w:p w14:paraId="1CA3DD02" w14:textId="77777777" w:rsidR="005F334A" w:rsidRPr="00E03546" w:rsidRDefault="005F334A" w:rsidP="005F334A">
      <w:pPr>
        <w:spacing w:after="0" w:line="276" w:lineRule="auto"/>
        <w:rPr>
          <w:rFonts w:ascii="Verdana" w:eastAsia="Calibri" w:hAnsi="Verdana" w:cs="Arial"/>
          <w:b/>
          <w:bCs/>
          <w:lang w:val="fr-FR" w:eastAsia="es-ES_tradnl"/>
        </w:rPr>
      </w:pPr>
      <w:r w:rsidRPr="00E03546">
        <w:rPr>
          <w:rFonts w:ascii="Verdana" w:eastAsia="Calibri" w:hAnsi="Verdana" w:cs="Arial"/>
          <w:lang w:val="fr-FR" w:eastAsia="es-ES_tradnl"/>
        </w:rPr>
        <w:tab/>
      </w:r>
      <w:r w:rsidRPr="00E03546">
        <w:rPr>
          <w:rFonts w:ascii="Verdana" w:eastAsia="Calibri" w:hAnsi="Verdana" w:cs="Arial"/>
          <w:lang w:val="fr-FR" w:eastAsia="es-ES_tradnl"/>
        </w:rPr>
        <w:tab/>
      </w:r>
      <w:r w:rsidRPr="00E03546">
        <w:rPr>
          <w:rFonts w:ascii="Verdana" w:eastAsia="Calibri" w:hAnsi="Verdana" w:cs="Arial"/>
          <w:lang w:val="fr-FR" w:eastAsia="es-ES_tradnl"/>
        </w:rPr>
        <w:tab/>
      </w:r>
      <w:r w:rsidRPr="00E03546">
        <w:rPr>
          <w:rFonts w:ascii="Verdana" w:eastAsia="Calibri" w:hAnsi="Verdana" w:cs="Arial"/>
          <w:lang w:val="fr-FR" w:eastAsia="es-ES_tradnl"/>
        </w:rPr>
        <w:tab/>
        <w:t xml:space="preserve">    </w:t>
      </w:r>
      <w:proofErr w:type="spellStart"/>
      <w:r w:rsidRPr="00E03546">
        <w:rPr>
          <w:rFonts w:ascii="Verdana" w:eastAsia="Calibri" w:hAnsi="Verdana" w:cs="Arial"/>
          <w:b/>
          <w:bCs/>
          <w:lang w:val="fr-FR" w:eastAsia="es-ES_tradnl"/>
        </w:rPr>
        <w:t>Concepto</w:t>
      </w:r>
      <w:proofErr w:type="spellEnd"/>
      <w:r w:rsidRPr="00E03546">
        <w:rPr>
          <w:rFonts w:ascii="Verdana" w:eastAsia="Calibri" w:hAnsi="Verdana" w:cs="Arial"/>
          <w:b/>
          <w:bCs/>
          <w:lang w:val="fr-FR" w:eastAsia="es-ES_tradnl"/>
        </w:rPr>
        <w:t xml:space="preserve"> C- 078</w:t>
      </w:r>
      <w:r>
        <w:rPr>
          <w:rFonts w:ascii="Verdana" w:eastAsia="Calibri" w:hAnsi="Verdana" w:cs="Arial"/>
          <w:b/>
          <w:bCs/>
          <w:lang w:val="fr-FR" w:eastAsia="es-ES_tradnl"/>
        </w:rPr>
        <w:t xml:space="preserve"> de </w:t>
      </w:r>
      <w:r w:rsidRPr="00E03546">
        <w:rPr>
          <w:rFonts w:ascii="Verdana" w:eastAsia="Calibri" w:hAnsi="Verdana" w:cs="Arial"/>
          <w:b/>
          <w:bCs/>
          <w:lang w:val="fr-FR" w:eastAsia="es-ES_tradnl"/>
        </w:rPr>
        <w:t>2025</w:t>
      </w:r>
    </w:p>
    <w:p w14:paraId="360F6808" w14:textId="77777777" w:rsidR="005F334A" w:rsidRPr="00E03546" w:rsidRDefault="005F334A" w:rsidP="005F334A">
      <w:pPr>
        <w:spacing w:after="0" w:line="276" w:lineRule="auto"/>
        <w:jc w:val="both"/>
        <w:rPr>
          <w:rFonts w:ascii="Verdana" w:eastAsia="Calibri" w:hAnsi="Verdana" w:cs="Arial"/>
          <w:lang w:val="fr-FR" w:eastAsia="es-ES_tradnl"/>
        </w:rPr>
      </w:pPr>
    </w:p>
    <w:tbl>
      <w:tblPr>
        <w:tblStyle w:val="Tablaconcuadrcula"/>
        <w:tblW w:w="8788"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8"/>
        <w:gridCol w:w="6100"/>
      </w:tblGrid>
      <w:tr w:rsidR="005F334A" w:rsidRPr="00E03546" w14:paraId="4BDFC679" w14:textId="77777777" w:rsidTr="009B078E">
        <w:trPr>
          <w:trHeight w:val="661"/>
          <w:jc w:val="right"/>
        </w:trPr>
        <w:tc>
          <w:tcPr>
            <w:tcW w:w="2688" w:type="dxa"/>
          </w:tcPr>
          <w:p w14:paraId="0816BC2C" w14:textId="77777777" w:rsidR="005F334A" w:rsidRPr="00E03546" w:rsidRDefault="005F334A" w:rsidP="009B078E">
            <w:pPr>
              <w:spacing w:line="276" w:lineRule="auto"/>
              <w:rPr>
                <w:rFonts w:ascii="Verdana" w:eastAsia="Calibri" w:hAnsi="Verdana" w:cs="Arial"/>
                <w:b/>
                <w:bCs/>
                <w:lang w:eastAsia="es-ES_tradnl"/>
              </w:rPr>
            </w:pPr>
            <w:r w:rsidRPr="00E03546">
              <w:rPr>
                <w:rFonts w:ascii="Verdana" w:eastAsia="Calibri" w:hAnsi="Verdana" w:cs="Arial"/>
                <w:lang w:eastAsia="es-ES_tradnl"/>
              </w:rPr>
              <w:t xml:space="preserve">        </w:t>
            </w:r>
            <w:r w:rsidRPr="00E03546">
              <w:rPr>
                <w:rFonts w:ascii="Verdana" w:eastAsia="Calibri" w:hAnsi="Verdana" w:cs="Arial"/>
                <w:b/>
                <w:bCs/>
                <w:lang w:eastAsia="es-ES_tradnl"/>
              </w:rPr>
              <w:t>Temas:</w:t>
            </w:r>
          </w:p>
        </w:tc>
        <w:tc>
          <w:tcPr>
            <w:tcW w:w="6100" w:type="dxa"/>
          </w:tcPr>
          <w:p w14:paraId="6B3D9F7A" w14:textId="77777777" w:rsidR="005F334A" w:rsidRPr="00E03546" w:rsidRDefault="005F334A" w:rsidP="009B078E">
            <w:pPr>
              <w:tabs>
                <w:tab w:val="left" w:pos="1332"/>
              </w:tabs>
              <w:spacing w:after="120"/>
              <w:ind w:left="429" w:right="899"/>
              <w:jc w:val="both"/>
              <w:rPr>
                <w:rFonts w:ascii="Verdana" w:eastAsia="Verdana" w:hAnsi="Verdana" w:cs="Verdana"/>
                <w:spacing w:val="2"/>
                <w:lang w:val="es-ES"/>
              </w:rPr>
            </w:pPr>
            <w:bookmarkStart w:id="0" w:name="_Hlk178601733"/>
            <w:r w:rsidRPr="00E03546">
              <w:rPr>
                <w:rFonts w:ascii="Verdana" w:eastAsia="Verdana" w:hAnsi="Verdana" w:cs="Verdana"/>
                <w:spacing w:val="2"/>
                <w:lang w:val="es-ES"/>
              </w:rPr>
              <w:t>GARANTÍA DE ÚNICA DE CUMPLIMIENTO – Definición – Fundamento normativo / LIQUIDACIÓN DEL CONTRATO – Definición</w:t>
            </w:r>
            <w:r>
              <w:rPr>
                <w:rFonts w:ascii="Verdana" w:eastAsia="Verdana" w:hAnsi="Verdana" w:cs="Verdana"/>
                <w:spacing w:val="2"/>
                <w:lang w:val="es-ES"/>
              </w:rPr>
              <w:t xml:space="preserve"> </w:t>
            </w:r>
            <w:r w:rsidRPr="00E03546">
              <w:rPr>
                <w:rFonts w:ascii="Verdana" w:eastAsia="Verdana" w:hAnsi="Verdana" w:cs="Verdana"/>
                <w:spacing w:val="2"/>
                <w:lang w:val="es-ES"/>
              </w:rPr>
              <w:t>- Objetivo   / LIQUIDACIÓN DEL CONTRATO – Normativa / LIQUIDACIÓ</w:t>
            </w:r>
            <w:r>
              <w:rPr>
                <w:rFonts w:ascii="Verdana" w:eastAsia="Verdana" w:hAnsi="Verdana" w:cs="Verdana"/>
                <w:spacing w:val="2"/>
                <w:lang w:val="es-ES"/>
              </w:rPr>
              <w:t>N</w:t>
            </w:r>
            <w:r w:rsidRPr="00E03546">
              <w:rPr>
                <w:rFonts w:ascii="Verdana" w:eastAsia="Verdana" w:hAnsi="Verdana" w:cs="Verdana"/>
                <w:spacing w:val="2"/>
                <w:lang w:val="es-ES"/>
              </w:rPr>
              <w:t xml:space="preserve"> DEL CONTRATO – Garantía Única de Cumplimiento – Suficiencia </w:t>
            </w:r>
          </w:p>
          <w:bookmarkEnd w:id="0"/>
          <w:p w14:paraId="361BEDB4" w14:textId="77777777" w:rsidR="005F334A" w:rsidRPr="00E03546" w:rsidRDefault="005F334A" w:rsidP="009B078E">
            <w:pPr>
              <w:tabs>
                <w:tab w:val="left" w:pos="5193"/>
              </w:tabs>
              <w:spacing w:line="276" w:lineRule="auto"/>
              <w:jc w:val="both"/>
              <w:rPr>
                <w:rFonts w:ascii="Verdana" w:eastAsia="Calibri" w:hAnsi="Verdana" w:cs="Arial"/>
                <w:bCs/>
                <w:color w:val="000000"/>
              </w:rPr>
            </w:pPr>
          </w:p>
          <w:p w14:paraId="687AD8E5" w14:textId="77777777" w:rsidR="005F334A" w:rsidRPr="00E03546" w:rsidRDefault="005F334A" w:rsidP="009B078E">
            <w:pPr>
              <w:tabs>
                <w:tab w:val="left" w:pos="5193"/>
              </w:tabs>
              <w:spacing w:line="276" w:lineRule="auto"/>
              <w:jc w:val="both"/>
              <w:rPr>
                <w:rFonts w:ascii="Verdana" w:eastAsia="Calibri" w:hAnsi="Verdana" w:cs="Arial"/>
                <w:lang w:val="es-MX" w:eastAsia="es-ES_tradnl"/>
              </w:rPr>
            </w:pPr>
          </w:p>
        </w:tc>
      </w:tr>
      <w:tr w:rsidR="005F334A" w:rsidRPr="00E03546" w14:paraId="6081DAAA" w14:textId="77777777" w:rsidTr="009B078E">
        <w:trPr>
          <w:trHeight w:val="83"/>
          <w:jc w:val="right"/>
        </w:trPr>
        <w:tc>
          <w:tcPr>
            <w:tcW w:w="2688" w:type="dxa"/>
          </w:tcPr>
          <w:p w14:paraId="62CDDE68" w14:textId="77777777" w:rsidR="005F334A" w:rsidRPr="00E03546" w:rsidRDefault="005F334A" w:rsidP="009B078E">
            <w:pPr>
              <w:spacing w:line="276" w:lineRule="auto"/>
              <w:jc w:val="center"/>
              <w:rPr>
                <w:rFonts w:ascii="Verdana" w:eastAsia="Calibri" w:hAnsi="Verdana" w:cs="Arial"/>
                <w:b/>
                <w:lang w:eastAsia="es-ES_tradnl"/>
              </w:rPr>
            </w:pPr>
            <w:r w:rsidRPr="00E03546">
              <w:rPr>
                <w:rFonts w:ascii="Verdana" w:eastAsia="Calibri" w:hAnsi="Verdana" w:cs="Arial"/>
                <w:b/>
                <w:lang w:eastAsia="es-ES_tradnl"/>
              </w:rPr>
              <w:t>Radicación:</w:t>
            </w:r>
          </w:p>
        </w:tc>
        <w:tc>
          <w:tcPr>
            <w:tcW w:w="6100" w:type="dxa"/>
          </w:tcPr>
          <w:p w14:paraId="0EDA1C71" w14:textId="77777777" w:rsidR="005F334A" w:rsidRPr="00E03546" w:rsidRDefault="005F334A" w:rsidP="009B078E">
            <w:pPr>
              <w:tabs>
                <w:tab w:val="left" w:pos="6092"/>
              </w:tabs>
              <w:spacing w:line="276" w:lineRule="auto"/>
              <w:ind w:left="429"/>
              <w:jc w:val="both"/>
              <w:rPr>
                <w:rFonts w:ascii="Verdana" w:eastAsia="Calibri" w:hAnsi="Verdana" w:cs="Arial"/>
                <w:lang w:eastAsia="es-ES_tradnl"/>
              </w:rPr>
            </w:pPr>
            <w:r w:rsidRPr="00E03546">
              <w:rPr>
                <w:rFonts w:ascii="Verdana" w:eastAsia="Calibri" w:hAnsi="Verdana" w:cs="Arial"/>
                <w:lang w:eastAsia="es-ES_tradnl"/>
              </w:rPr>
              <w:t>Respuesta de consulta No.  P20250124000631</w:t>
            </w:r>
            <w:r>
              <w:rPr>
                <w:rFonts w:ascii="Verdana" w:eastAsia="Calibri" w:hAnsi="Verdana" w:cs="Arial"/>
                <w:lang w:eastAsia="es-ES_tradnl"/>
              </w:rPr>
              <w:t xml:space="preserve"> acumulada con </w:t>
            </w:r>
            <w:r w:rsidRPr="00CD4064">
              <w:rPr>
                <w:rFonts w:ascii="Verdana" w:eastAsia="Calibri" w:hAnsi="Verdana" w:cs="Arial"/>
                <w:lang w:eastAsia="es-ES_tradnl"/>
              </w:rPr>
              <w:t>P20250129000798</w:t>
            </w:r>
          </w:p>
        </w:tc>
      </w:tr>
    </w:tbl>
    <w:p w14:paraId="70AE8DC3" w14:textId="77777777" w:rsidR="005F334A" w:rsidRPr="00E03546" w:rsidRDefault="005F334A" w:rsidP="005F334A">
      <w:pPr>
        <w:spacing w:after="0" w:line="276" w:lineRule="auto"/>
        <w:jc w:val="both"/>
        <w:rPr>
          <w:rFonts w:ascii="Verdana" w:eastAsia="Calibri" w:hAnsi="Verdana" w:cs="Arial"/>
          <w:lang w:eastAsia="es-ES_tradnl"/>
        </w:rPr>
      </w:pPr>
    </w:p>
    <w:p w14:paraId="73816228" w14:textId="77777777" w:rsidR="005F334A" w:rsidRPr="00E03546" w:rsidRDefault="005F334A" w:rsidP="005F334A">
      <w:pPr>
        <w:spacing w:after="0" w:line="276" w:lineRule="auto"/>
        <w:jc w:val="both"/>
        <w:rPr>
          <w:rFonts w:ascii="Verdana" w:eastAsia="Calibri" w:hAnsi="Verdana" w:cs="Arial"/>
          <w:lang w:eastAsia="es-ES_tradnl"/>
        </w:rPr>
      </w:pPr>
    </w:p>
    <w:p w14:paraId="459F7D29" w14:textId="77777777" w:rsidR="005F334A" w:rsidRPr="00E03546" w:rsidRDefault="005F334A" w:rsidP="005F334A">
      <w:pPr>
        <w:spacing w:after="0" w:line="276" w:lineRule="auto"/>
        <w:contextualSpacing/>
        <w:jc w:val="both"/>
        <w:rPr>
          <w:rFonts w:ascii="Verdana" w:eastAsia="Calibri" w:hAnsi="Verdana" w:cs="Arial"/>
          <w:bCs/>
          <w:lang w:eastAsia="es-ES_tradnl"/>
        </w:rPr>
      </w:pPr>
      <w:r w:rsidRPr="00E03546">
        <w:rPr>
          <w:rFonts w:ascii="Verdana" w:eastAsia="Calibri" w:hAnsi="Verdana" w:cs="Arial"/>
          <w:lang w:eastAsia="es-ES_tradnl"/>
        </w:rPr>
        <w:t>Estimada señora Ver</w:t>
      </w:r>
      <w:r>
        <w:rPr>
          <w:rFonts w:ascii="Verdana" w:eastAsia="Calibri" w:hAnsi="Verdana" w:cs="Arial"/>
          <w:lang w:eastAsia="es-ES_tradnl"/>
        </w:rPr>
        <w:t>g</w:t>
      </w:r>
      <w:r w:rsidRPr="00E03546">
        <w:rPr>
          <w:rFonts w:ascii="Verdana" w:eastAsia="Calibri" w:hAnsi="Verdana" w:cs="Arial"/>
          <w:lang w:eastAsia="es-ES_tradnl"/>
        </w:rPr>
        <w:t>el,</w:t>
      </w:r>
    </w:p>
    <w:p w14:paraId="129165A3" w14:textId="77777777" w:rsidR="005F334A" w:rsidRPr="00E03546" w:rsidRDefault="005F334A" w:rsidP="005F334A">
      <w:pPr>
        <w:spacing w:after="0" w:line="276" w:lineRule="auto"/>
        <w:contextualSpacing/>
        <w:jc w:val="both"/>
        <w:rPr>
          <w:rFonts w:ascii="Verdana" w:eastAsia="Calibri" w:hAnsi="Verdana" w:cs="Arial"/>
          <w:lang w:eastAsia="es-ES_tradnl"/>
        </w:rPr>
      </w:pPr>
    </w:p>
    <w:p w14:paraId="6EF4EC96" w14:textId="77777777" w:rsidR="005F334A" w:rsidRPr="00E03546" w:rsidRDefault="005F334A" w:rsidP="005F334A">
      <w:pPr>
        <w:spacing w:line="276" w:lineRule="auto"/>
        <w:jc w:val="both"/>
        <w:rPr>
          <w:rFonts w:ascii="Verdana" w:eastAsia="Calibri" w:hAnsi="Verdana" w:cs="Arial"/>
          <w:lang w:eastAsia="es-ES_tradnl"/>
        </w:rPr>
      </w:pPr>
      <w:r w:rsidRPr="00E03546">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 responde su solicitud de consulta de fecha 24 de enero de 2025, en la cual consulta lo siguiente: </w:t>
      </w:r>
    </w:p>
    <w:p w14:paraId="4525368B" w14:textId="77777777" w:rsidR="005F334A" w:rsidRPr="00E03546" w:rsidRDefault="005F334A" w:rsidP="005F334A">
      <w:pPr>
        <w:spacing w:after="0" w:line="276" w:lineRule="auto"/>
        <w:jc w:val="both"/>
        <w:rPr>
          <w:rFonts w:ascii="Verdana" w:eastAsia="Calibri" w:hAnsi="Verdana" w:cs="Arial"/>
          <w:lang w:eastAsia="es-ES_tradnl"/>
        </w:rPr>
      </w:pPr>
    </w:p>
    <w:p w14:paraId="3FAA5CAB" w14:textId="77777777" w:rsidR="005F334A" w:rsidRPr="00E03546" w:rsidRDefault="005F334A" w:rsidP="005F334A">
      <w:pPr>
        <w:spacing w:after="120" w:line="276" w:lineRule="auto"/>
        <w:ind w:left="709" w:right="709"/>
        <w:jc w:val="both"/>
        <w:rPr>
          <w:rFonts w:ascii="Verdana" w:eastAsia="Times New Roman" w:hAnsi="Verdana" w:cs="Arial"/>
          <w:iCs/>
          <w:lang w:eastAsia="es-ES_tradnl"/>
        </w:rPr>
      </w:pPr>
      <w:r w:rsidRPr="00E03546">
        <w:rPr>
          <w:rFonts w:ascii="Verdana" w:eastAsia="Times New Roman" w:hAnsi="Verdana" w:cs="Arial"/>
          <w:iCs/>
          <w:lang w:eastAsia="es-ES_tradnl"/>
        </w:rPr>
        <w:t xml:space="preserve">“De conformidad con el artículo 2.2.1.2.3.1.12. del Decreto 1082 de 2015, la </w:t>
      </w:r>
      <w:proofErr w:type="spellStart"/>
      <w:r w:rsidRPr="00E03546">
        <w:rPr>
          <w:rFonts w:ascii="Verdana" w:eastAsia="Times New Roman" w:hAnsi="Verdana" w:cs="Arial"/>
          <w:iCs/>
          <w:lang w:eastAsia="es-ES_tradnl"/>
        </w:rPr>
        <w:t>La</w:t>
      </w:r>
      <w:proofErr w:type="spellEnd"/>
      <w:r w:rsidRPr="00E03546">
        <w:rPr>
          <w:rFonts w:ascii="Verdana" w:eastAsia="Times New Roman" w:hAnsi="Verdana" w:cs="Arial"/>
          <w:iCs/>
          <w:lang w:eastAsia="es-ES_tradnl"/>
        </w:rPr>
        <w:t xml:space="preserve"> garantía de cumplimiento del contrato debe tener una vigencia mínima hasta la liquidación del contrato. </w:t>
      </w:r>
      <w:proofErr w:type="gramStart"/>
      <w:r w:rsidRPr="00E03546">
        <w:rPr>
          <w:rFonts w:ascii="Verdana" w:eastAsia="Times New Roman" w:hAnsi="Verdana" w:cs="Arial"/>
          <w:iCs/>
          <w:lang w:eastAsia="es-ES_tradnl"/>
        </w:rPr>
        <w:t>En el evento en que el contratista no realice la ampliación de la garantía de cumplimiento, puede a Entidad proceder a liquidar?</w:t>
      </w:r>
      <w:proofErr w:type="gramEnd"/>
      <w:r w:rsidRPr="00E03546">
        <w:rPr>
          <w:rFonts w:ascii="Verdana" w:eastAsia="Times New Roman" w:hAnsi="Verdana" w:cs="Arial"/>
          <w:iCs/>
          <w:lang w:eastAsia="es-ES_tradnl"/>
        </w:rPr>
        <w:t>” [SIC].</w:t>
      </w:r>
    </w:p>
    <w:p w14:paraId="05B1F4BA" w14:textId="77777777" w:rsidR="005F334A" w:rsidRPr="00E03546" w:rsidRDefault="005F334A" w:rsidP="005F334A">
      <w:pPr>
        <w:spacing w:after="120" w:line="276" w:lineRule="auto"/>
        <w:ind w:left="709" w:right="709"/>
        <w:jc w:val="both"/>
        <w:rPr>
          <w:rFonts w:ascii="Verdana" w:eastAsia="Times New Roman" w:hAnsi="Verdana" w:cs="Arial"/>
          <w:i/>
          <w:lang w:eastAsia="es-ES_tradnl"/>
        </w:rPr>
      </w:pPr>
    </w:p>
    <w:p w14:paraId="17062691" w14:textId="77777777" w:rsidR="005F334A" w:rsidRPr="00E03546" w:rsidRDefault="005F334A" w:rsidP="005F334A">
      <w:pPr>
        <w:spacing w:after="120" w:line="276" w:lineRule="auto"/>
        <w:ind w:firstLine="709"/>
        <w:jc w:val="both"/>
        <w:rPr>
          <w:rFonts w:ascii="Verdana" w:eastAsia="Calibri" w:hAnsi="Verdana" w:cs="Arial"/>
          <w:color w:val="000000"/>
          <w:lang w:eastAsia="es-ES_tradnl"/>
        </w:rPr>
      </w:pPr>
      <w:r w:rsidRPr="00E0354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ni para definir la modalidad de selección o la tipología del negocio jurídico que pretendan adelantar las entidades estatales en su actividad contractual.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03546">
        <w:rPr>
          <w:rFonts w:ascii="Verdana" w:eastAsia="Calibri" w:hAnsi="Verdana" w:cs="Arial"/>
          <w:color w:val="000000"/>
          <w:lang w:eastAsia="es-ES_tradnl"/>
        </w:rPr>
        <w:tab/>
      </w:r>
    </w:p>
    <w:p w14:paraId="6202357B" w14:textId="77777777" w:rsidR="005F334A" w:rsidRPr="00E03546" w:rsidRDefault="005F334A" w:rsidP="005F334A">
      <w:pPr>
        <w:spacing w:after="120" w:line="276" w:lineRule="auto"/>
        <w:ind w:firstLine="709"/>
        <w:jc w:val="both"/>
        <w:rPr>
          <w:rFonts w:ascii="Verdana" w:eastAsia="Calibri" w:hAnsi="Verdana" w:cs="Arial"/>
          <w:lang w:eastAsia="es-ES"/>
        </w:rPr>
      </w:pPr>
      <w:r w:rsidRPr="00E03546">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exponiendo algunas consideraciones sobre las normas generales relacionadas con el problema jurídico de su consulta. </w:t>
      </w:r>
    </w:p>
    <w:p w14:paraId="09CAA15A" w14:textId="77777777" w:rsidR="005F334A" w:rsidRPr="00E03546" w:rsidRDefault="005F334A" w:rsidP="005F334A">
      <w:pPr>
        <w:spacing w:after="0" w:line="276" w:lineRule="auto"/>
        <w:ind w:firstLine="709"/>
        <w:jc w:val="both"/>
        <w:rPr>
          <w:rFonts w:ascii="Verdana" w:eastAsia="Times New Roman" w:hAnsi="Verdana" w:cs="Arial"/>
          <w:lang w:eastAsia="es-ES_tradnl"/>
        </w:rPr>
      </w:pPr>
    </w:p>
    <w:p w14:paraId="3D9CC23A" w14:textId="77777777" w:rsidR="005F334A" w:rsidRPr="00E03546" w:rsidRDefault="005F334A" w:rsidP="005F334A">
      <w:pPr>
        <w:tabs>
          <w:tab w:val="left" w:pos="0"/>
          <w:tab w:val="left" w:pos="284"/>
        </w:tabs>
        <w:spacing w:after="0" w:line="276" w:lineRule="auto"/>
        <w:contextualSpacing/>
        <w:jc w:val="both"/>
        <w:rPr>
          <w:rFonts w:ascii="Verdana" w:eastAsia="Calibri" w:hAnsi="Verdana" w:cs="Arial"/>
          <w:b/>
        </w:rPr>
      </w:pPr>
      <w:r w:rsidRPr="00E03546">
        <w:rPr>
          <w:rFonts w:ascii="Verdana" w:eastAsia="Calibri" w:hAnsi="Verdana" w:cs="Arial"/>
          <w:b/>
        </w:rPr>
        <w:t>1. Problema planteado:</w:t>
      </w:r>
    </w:p>
    <w:p w14:paraId="41D3FE51" w14:textId="77777777" w:rsidR="005F334A" w:rsidRPr="00E03546" w:rsidRDefault="005F334A" w:rsidP="005F334A">
      <w:pPr>
        <w:spacing w:after="0" w:line="276" w:lineRule="auto"/>
        <w:jc w:val="both"/>
        <w:rPr>
          <w:rFonts w:ascii="Verdana" w:eastAsia="Century Gothic" w:hAnsi="Verdana" w:cs="Century Gothic"/>
        </w:rPr>
      </w:pPr>
    </w:p>
    <w:p w14:paraId="7CD03BB2" w14:textId="77777777" w:rsidR="005F334A" w:rsidRPr="00126A32" w:rsidRDefault="005F334A" w:rsidP="005F334A">
      <w:pPr>
        <w:spacing w:after="0" w:line="276" w:lineRule="auto"/>
        <w:jc w:val="both"/>
        <w:rPr>
          <w:rFonts w:ascii="Verdana" w:eastAsia="Verdana" w:hAnsi="Verdana" w:cs="Verdana"/>
        </w:rPr>
      </w:pPr>
      <w:r w:rsidRPr="00E03546">
        <w:rPr>
          <w:rFonts w:ascii="Verdana" w:eastAsia="Century Gothic" w:hAnsi="Verdana" w:cs="Century Gothic"/>
        </w:rPr>
        <w:t xml:space="preserve">De acuerdo con el contenido de su solicitud, esta Agencia resolverá el siguiente problema jurídico: i) </w:t>
      </w:r>
      <w:proofErr w:type="gramStart"/>
      <w:r w:rsidRPr="00E03546">
        <w:rPr>
          <w:rFonts w:ascii="Verdana" w:eastAsia="Verdana" w:hAnsi="Verdana" w:cs="Verdana"/>
          <w:lang w:val="es-ES"/>
        </w:rPr>
        <w:t>¿</w:t>
      </w:r>
      <w:r w:rsidRPr="00E03546">
        <w:rPr>
          <w:rFonts w:ascii="Verdana" w:eastAsia="Calibri" w:hAnsi="Verdana" w:cs="Arial"/>
        </w:rPr>
        <w:t>De acuerdo con 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w:t>
      </w:r>
      <w:proofErr w:type="gramEnd"/>
      <w:r w:rsidRPr="00E03546">
        <w:rPr>
          <w:rFonts w:ascii="Verdana" w:eastAsia="Calibri" w:hAnsi="Verdana" w:cs="Arial"/>
        </w:rPr>
        <w:t>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cual debe ser la vigencia mínima de la garantía de cumplimiento?</w:t>
      </w:r>
      <w:r w:rsidRPr="00E03546">
        <w:rPr>
          <w:rFonts w:ascii="Verdana" w:eastAsia="Century Gothic" w:hAnsi="Verdana" w:cs="Century Gothic"/>
        </w:rPr>
        <w:t xml:space="preserve"> </w:t>
      </w:r>
      <w:r w:rsidRPr="00890BD0">
        <w:rPr>
          <w:rFonts w:ascii="Verdana" w:eastAsia="Verdana" w:hAnsi="Verdana" w:cs="Verdana"/>
        </w:rPr>
        <w:t>¿Qué sucede si el contratista no amplía la garantía? ¿Es posible liquidar el contrato sin una garantía de cumplimiento vigente?</w:t>
      </w:r>
    </w:p>
    <w:p w14:paraId="5B8F066F" w14:textId="77777777" w:rsidR="005F334A" w:rsidRPr="00E03546" w:rsidRDefault="005F334A" w:rsidP="005F334A">
      <w:pPr>
        <w:spacing w:after="0" w:line="276" w:lineRule="auto"/>
        <w:jc w:val="both"/>
        <w:rPr>
          <w:rFonts w:ascii="Verdana" w:eastAsia="Century Gothic" w:hAnsi="Verdana" w:cs="Century Gothic"/>
          <w:color w:val="7030A0"/>
        </w:rPr>
      </w:pPr>
    </w:p>
    <w:p w14:paraId="18F6CA63" w14:textId="77777777" w:rsidR="005F334A" w:rsidRPr="00E03546" w:rsidRDefault="005F334A" w:rsidP="005F334A">
      <w:pPr>
        <w:tabs>
          <w:tab w:val="left" w:pos="0"/>
          <w:tab w:val="left" w:pos="284"/>
        </w:tabs>
        <w:spacing w:after="0" w:line="276" w:lineRule="auto"/>
        <w:contextualSpacing/>
        <w:jc w:val="both"/>
        <w:rPr>
          <w:rFonts w:ascii="Verdana" w:eastAsia="Calibri" w:hAnsi="Verdana" w:cs="Arial"/>
          <w:b/>
        </w:rPr>
      </w:pPr>
      <w:r w:rsidRPr="00E03546">
        <w:rPr>
          <w:rFonts w:ascii="Verdana" w:eastAsia="Calibri" w:hAnsi="Verdana" w:cs="Arial"/>
          <w:b/>
        </w:rPr>
        <w:t>2. Respuesta:</w:t>
      </w:r>
    </w:p>
    <w:p w14:paraId="4EBEE752" w14:textId="77777777" w:rsidR="005F334A" w:rsidRPr="00E03546" w:rsidRDefault="005F334A" w:rsidP="005F334A">
      <w:pPr>
        <w:spacing w:before="120" w:after="120" w:line="276" w:lineRule="auto"/>
        <w:ind w:left="103" w:right="101"/>
        <w:jc w:val="both"/>
        <w:rPr>
          <w:rFonts w:ascii="Verdana" w:eastAsia="Calibri" w:hAnsi="Verdana" w:cs="Arial"/>
        </w:rPr>
      </w:pPr>
      <w:r>
        <w:rPr>
          <w:rFonts w:ascii="Verdana" w:eastAsia="Calibri" w:hAnsi="Verdana" w:cs="Arial"/>
        </w:rPr>
        <w:t xml:space="preserve">i) </w:t>
      </w:r>
      <w:r w:rsidRPr="00E03546">
        <w:rPr>
          <w:rFonts w:ascii="Verdana" w:eastAsia="Calibri" w:hAnsi="Verdana" w:cs="Arial"/>
        </w:rPr>
        <w:t>El</w:t>
      </w:r>
      <w:r w:rsidRPr="00E03546">
        <w:rPr>
          <w:rFonts w:ascii="Verdana" w:eastAsia="Calibri" w:hAnsi="Verdana" w:cs="Arial"/>
          <w:spacing w:val="-5"/>
        </w:rPr>
        <w:t xml:space="preserve"> </w:t>
      </w:r>
      <w:r w:rsidRPr="00E03546">
        <w:rPr>
          <w:rFonts w:ascii="Verdana" w:eastAsia="Calibri" w:hAnsi="Verdana" w:cs="Arial"/>
        </w:rPr>
        <w:t>artículo</w:t>
      </w:r>
      <w:r w:rsidRPr="00E03546">
        <w:rPr>
          <w:rFonts w:ascii="Verdana" w:eastAsia="Calibri" w:hAnsi="Verdana" w:cs="Arial"/>
          <w:spacing w:val="-3"/>
        </w:rPr>
        <w:t xml:space="preserve"> </w:t>
      </w:r>
      <w:r w:rsidRPr="00E03546">
        <w:rPr>
          <w:rFonts w:ascii="Verdana" w:eastAsia="Calibri" w:hAnsi="Verdana" w:cs="Arial"/>
        </w:rPr>
        <w:t>2.2.1.2.3.1.12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regula</w:t>
      </w:r>
      <w:r w:rsidRPr="00E03546">
        <w:rPr>
          <w:rFonts w:ascii="Verdana" w:eastAsia="Calibri" w:hAnsi="Verdana" w:cs="Arial"/>
          <w:spacing w:val="-4"/>
        </w:rPr>
        <w:t xml:space="preserve"> </w:t>
      </w:r>
      <w:r w:rsidRPr="00E03546">
        <w:rPr>
          <w:rFonts w:ascii="Verdana" w:eastAsia="Calibri" w:hAnsi="Verdana" w:cs="Arial"/>
        </w:rPr>
        <w:t>la</w:t>
      </w:r>
      <w:r w:rsidRPr="00E03546">
        <w:rPr>
          <w:rFonts w:ascii="Verdana" w:eastAsia="Calibri" w:hAnsi="Verdana" w:cs="Arial"/>
          <w:spacing w:val="-5"/>
        </w:rPr>
        <w:t xml:space="preserve"> </w:t>
      </w:r>
      <w:r w:rsidRPr="00E03546">
        <w:rPr>
          <w:rFonts w:ascii="Verdana" w:eastAsia="Calibri" w:hAnsi="Verdana" w:cs="Arial"/>
        </w:rPr>
        <w:t>suficiencia</w:t>
      </w:r>
      <w:r w:rsidRPr="00E03546">
        <w:rPr>
          <w:rFonts w:ascii="Verdana" w:eastAsia="Calibri" w:hAnsi="Verdana" w:cs="Arial"/>
          <w:spacing w:val="-2"/>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 xml:space="preserve">la garantía de cumplimiento. Esta debe tener una vigencia mínima hasta la liquidación y, por regla general un valor de por lo menos el diez por ciento (10%) del total del contrato, siempre que este sea inferior a un millón (1.000.000) de </w:t>
      </w:r>
      <w:proofErr w:type="spellStart"/>
      <w:r w:rsidRPr="00E03546">
        <w:rPr>
          <w:rFonts w:ascii="Verdana" w:eastAsia="Calibri" w:hAnsi="Verdana" w:cs="Arial"/>
        </w:rPr>
        <w:t>smmlv</w:t>
      </w:r>
      <w:proofErr w:type="spellEnd"/>
      <w:r w:rsidRPr="00E03546">
        <w:rPr>
          <w:rFonts w:ascii="Verdana" w:eastAsia="Calibri" w:hAnsi="Verdana" w:cs="Arial"/>
        </w:rPr>
        <w:t xml:space="preserve">. Conforme la norma citada, el amparo cubre tanto el </w:t>
      </w:r>
      <w:r w:rsidRPr="00E03546">
        <w:rPr>
          <w:rFonts w:ascii="Verdana" w:eastAsia="Calibri" w:hAnsi="Verdana" w:cs="Arial"/>
          <w:i/>
        </w:rPr>
        <w:t xml:space="preserve">plazo de ejecución </w:t>
      </w:r>
      <w:r w:rsidRPr="00E03546">
        <w:rPr>
          <w:rFonts w:ascii="Verdana" w:eastAsia="Calibri" w:hAnsi="Verdana" w:cs="Arial"/>
        </w:rPr>
        <w:t xml:space="preserve">como el </w:t>
      </w:r>
      <w:r w:rsidRPr="00E03546">
        <w:rPr>
          <w:rFonts w:ascii="Verdana" w:eastAsia="Calibri" w:hAnsi="Verdana" w:cs="Arial"/>
          <w:i/>
        </w:rPr>
        <w:t xml:space="preserve">plazo de vigencia </w:t>
      </w:r>
      <w:r w:rsidRPr="00E03546">
        <w:rPr>
          <w:rFonts w:ascii="Verdana" w:eastAsia="Calibri" w:hAnsi="Verdana" w:cs="Arial"/>
        </w:rPr>
        <w:t>del contrato.</w:t>
      </w:r>
    </w:p>
    <w:p w14:paraId="0CBD06D7" w14:textId="77777777" w:rsidR="005F334A" w:rsidRPr="00E03546" w:rsidRDefault="005F334A" w:rsidP="005F334A">
      <w:pPr>
        <w:spacing w:before="95" w:after="120" w:line="276" w:lineRule="auto"/>
        <w:ind w:left="142" w:right="49"/>
        <w:jc w:val="both"/>
        <w:rPr>
          <w:rFonts w:ascii="Verdana" w:eastAsia="Calibri" w:hAnsi="Verdana" w:cs="Arial"/>
        </w:rPr>
      </w:pPr>
      <w:r w:rsidRPr="00E03546">
        <w:rPr>
          <w:rFonts w:ascii="Verdana" w:eastAsia="Calibri" w:hAnsi="Verdana" w:cs="Arial"/>
        </w:rPr>
        <w:t>Así,</w:t>
      </w:r>
      <w:r w:rsidRPr="00E03546">
        <w:rPr>
          <w:rFonts w:ascii="Verdana" w:eastAsia="Calibri" w:hAnsi="Verdana" w:cs="Arial"/>
          <w:spacing w:val="-5"/>
        </w:rPr>
        <w:t xml:space="preserve"> </w:t>
      </w:r>
      <w:r w:rsidRPr="00E03546">
        <w:rPr>
          <w:rFonts w:ascii="Verdana" w:eastAsia="Calibri" w:hAnsi="Verdana" w:cs="Arial"/>
        </w:rPr>
        <w:t>la</w:t>
      </w:r>
      <w:r w:rsidRPr="00E03546">
        <w:rPr>
          <w:rFonts w:ascii="Verdana" w:eastAsia="Calibri" w:hAnsi="Verdana" w:cs="Arial"/>
          <w:spacing w:val="-6"/>
        </w:rPr>
        <w:t xml:space="preserve"> </w:t>
      </w:r>
      <w:r w:rsidRPr="00E03546">
        <w:rPr>
          <w:rFonts w:ascii="Verdana" w:eastAsia="Calibri" w:hAnsi="Verdana" w:cs="Arial"/>
        </w:rPr>
        <w:t>cobertura</w:t>
      </w:r>
      <w:r w:rsidRPr="00E03546">
        <w:rPr>
          <w:rFonts w:ascii="Verdana" w:eastAsia="Calibri" w:hAnsi="Verdana" w:cs="Arial"/>
          <w:spacing w:val="-4"/>
        </w:rPr>
        <w:t xml:space="preserve"> </w:t>
      </w:r>
      <w:r w:rsidRPr="00E03546">
        <w:rPr>
          <w:rFonts w:ascii="Verdana" w:eastAsia="Calibri" w:hAnsi="Verdana" w:cs="Arial"/>
        </w:rPr>
        <w:t>mínima</w:t>
      </w:r>
      <w:r w:rsidRPr="00E03546">
        <w:rPr>
          <w:rFonts w:ascii="Verdana" w:eastAsia="Calibri" w:hAnsi="Verdana" w:cs="Arial"/>
          <w:spacing w:val="-5"/>
        </w:rPr>
        <w:t xml:space="preserve"> </w:t>
      </w:r>
      <w:r w:rsidRPr="00E03546">
        <w:rPr>
          <w:rFonts w:ascii="Verdana" w:eastAsia="Calibri" w:hAnsi="Verdana" w:cs="Arial"/>
        </w:rPr>
        <w:t>del</w:t>
      </w:r>
      <w:r w:rsidRPr="00E03546">
        <w:rPr>
          <w:rFonts w:ascii="Verdana" w:eastAsia="Calibri" w:hAnsi="Verdana" w:cs="Arial"/>
          <w:spacing w:val="-6"/>
        </w:rPr>
        <w:t xml:space="preserve"> </w:t>
      </w:r>
      <w:r w:rsidRPr="00E03546">
        <w:rPr>
          <w:rFonts w:ascii="Verdana" w:eastAsia="Calibri" w:hAnsi="Verdana" w:cs="Arial"/>
        </w:rPr>
        <w:t>amparo</w:t>
      </w:r>
      <w:r w:rsidRPr="00E03546">
        <w:rPr>
          <w:rFonts w:ascii="Verdana" w:eastAsia="Calibri" w:hAnsi="Verdana" w:cs="Arial"/>
          <w:spacing w:val="-5"/>
        </w:rPr>
        <w:t xml:space="preserve"> </w:t>
      </w:r>
      <w:r w:rsidRPr="00E03546">
        <w:rPr>
          <w:rFonts w:ascii="Verdana" w:eastAsia="Calibri" w:hAnsi="Verdana" w:cs="Arial"/>
        </w:rPr>
        <w:t>de</w:t>
      </w:r>
      <w:r w:rsidRPr="00E03546">
        <w:rPr>
          <w:rFonts w:ascii="Verdana" w:eastAsia="Calibri" w:hAnsi="Verdana" w:cs="Arial"/>
          <w:spacing w:val="-6"/>
        </w:rPr>
        <w:t xml:space="preserve"> </w:t>
      </w:r>
      <w:r w:rsidRPr="00E03546">
        <w:rPr>
          <w:rFonts w:ascii="Verdana" w:eastAsia="Calibri" w:hAnsi="Verdana" w:cs="Arial"/>
        </w:rPr>
        <w:t>cumplimiento</w:t>
      </w:r>
      <w:r w:rsidRPr="00E03546">
        <w:rPr>
          <w:rFonts w:ascii="Verdana" w:eastAsia="Calibri" w:hAnsi="Verdana" w:cs="Arial"/>
          <w:spacing w:val="-2"/>
        </w:rPr>
        <w:t xml:space="preserve"> </w:t>
      </w:r>
      <w:r w:rsidRPr="00E03546">
        <w:rPr>
          <w:rFonts w:ascii="Verdana" w:eastAsia="Calibri" w:hAnsi="Verdana" w:cs="Arial"/>
        </w:rPr>
        <w:t>cubre</w:t>
      </w:r>
      <w:r w:rsidRPr="00E03546">
        <w:rPr>
          <w:rFonts w:ascii="Verdana" w:eastAsia="Calibri" w:hAnsi="Verdana" w:cs="Arial"/>
          <w:spacing w:val="-5"/>
        </w:rPr>
        <w:t xml:space="preserve"> </w:t>
      </w:r>
      <w:r w:rsidRPr="00E03546">
        <w:rPr>
          <w:rFonts w:ascii="Verdana" w:eastAsia="Calibri" w:hAnsi="Verdana" w:cs="Arial"/>
        </w:rPr>
        <w:t>el</w:t>
      </w:r>
      <w:r w:rsidRPr="00E03546">
        <w:rPr>
          <w:rFonts w:ascii="Verdana" w:eastAsia="Calibri" w:hAnsi="Verdana" w:cs="Arial"/>
          <w:spacing w:val="-6"/>
        </w:rPr>
        <w:t xml:space="preserve"> </w:t>
      </w:r>
      <w:r w:rsidRPr="00E03546">
        <w:rPr>
          <w:rFonts w:ascii="Verdana" w:eastAsia="Calibri" w:hAnsi="Verdana" w:cs="Arial"/>
          <w:i/>
        </w:rPr>
        <w:t>plazo</w:t>
      </w:r>
      <w:r w:rsidRPr="00E03546">
        <w:rPr>
          <w:rFonts w:ascii="Verdana" w:eastAsia="Calibri" w:hAnsi="Verdana" w:cs="Arial"/>
          <w:i/>
          <w:spacing w:val="-5"/>
        </w:rPr>
        <w:t xml:space="preserve"> </w:t>
      </w:r>
      <w:r w:rsidRPr="00E03546">
        <w:rPr>
          <w:rFonts w:ascii="Verdana" w:eastAsia="Calibri" w:hAnsi="Verdana" w:cs="Arial"/>
          <w:i/>
        </w:rPr>
        <w:t>de ejecución</w:t>
      </w:r>
      <w:r w:rsidRPr="00E03546">
        <w:rPr>
          <w:rFonts w:ascii="Verdana" w:eastAsia="Calibri" w:hAnsi="Verdana" w:cs="Arial"/>
          <w:i/>
          <w:spacing w:val="-5"/>
        </w:rPr>
        <w:t xml:space="preserve"> </w:t>
      </w:r>
      <w:r w:rsidRPr="00E03546">
        <w:rPr>
          <w:rFonts w:ascii="Verdana" w:eastAsia="Calibri" w:hAnsi="Verdana" w:cs="Arial"/>
        </w:rPr>
        <w:t>y</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i/>
        </w:rPr>
        <w:t>plazo</w:t>
      </w:r>
      <w:r w:rsidRPr="00E03546">
        <w:rPr>
          <w:rFonts w:ascii="Verdana" w:eastAsia="Calibri" w:hAnsi="Verdana" w:cs="Arial"/>
          <w:i/>
          <w:spacing w:val="-7"/>
        </w:rPr>
        <w:t xml:space="preserve"> </w:t>
      </w:r>
      <w:r w:rsidRPr="00E03546">
        <w:rPr>
          <w:rFonts w:ascii="Verdana" w:eastAsia="Calibri" w:hAnsi="Verdana" w:cs="Arial"/>
          <w:i/>
        </w:rPr>
        <w:t>de</w:t>
      </w:r>
      <w:r w:rsidRPr="00E03546">
        <w:rPr>
          <w:rFonts w:ascii="Verdana" w:eastAsia="Calibri" w:hAnsi="Verdana" w:cs="Arial"/>
          <w:i/>
          <w:spacing w:val="-8"/>
        </w:rPr>
        <w:t xml:space="preserve"> </w:t>
      </w:r>
      <w:r w:rsidRPr="00E03546">
        <w:rPr>
          <w:rFonts w:ascii="Verdana" w:eastAsia="Calibri" w:hAnsi="Verdana" w:cs="Arial"/>
          <w:i/>
        </w:rPr>
        <w:t>vigencia</w:t>
      </w:r>
      <w:r w:rsidRPr="00E03546">
        <w:rPr>
          <w:rFonts w:ascii="Verdana" w:eastAsia="Calibri" w:hAnsi="Verdana" w:cs="Arial"/>
        </w:rPr>
        <w:t>,</w:t>
      </w:r>
      <w:r w:rsidRPr="00E03546">
        <w:rPr>
          <w:rFonts w:ascii="Verdana" w:eastAsia="Calibri" w:hAnsi="Verdana" w:cs="Arial"/>
          <w:spacing w:val="-8"/>
        </w:rPr>
        <w:t xml:space="preserve"> </w:t>
      </w:r>
      <w:r w:rsidRPr="00E03546">
        <w:rPr>
          <w:rFonts w:ascii="Verdana" w:eastAsia="Calibri" w:hAnsi="Verdana" w:cs="Arial"/>
        </w:rPr>
        <w:t>el</w:t>
      </w:r>
      <w:r w:rsidRPr="00E03546">
        <w:rPr>
          <w:rFonts w:ascii="Verdana" w:eastAsia="Calibri" w:hAnsi="Verdana" w:cs="Arial"/>
          <w:spacing w:val="-8"/>
        </w:rPr>
        <w:t xml:space="preserve"> </w:t>
      </w:r>
      <w:r w:rsidRPr="00E03546">
        <w:rPr>
          <w:rFonts w:ascii="Verdana" w:eastAsia="Calibri" w:hAnsi="Verdana" w:cs="Arial"/>
        </w:rPr>
        <w:t>cual</w:t>
      </w:r>
      <w:r w:rsidRPr="00E03546">
        <w:rPr>
          <w:rFonts w:ascii="Verdana" w:eastAsia="Calibri" w:hAnsi="Verdana" w:cs="Arial"/>
          <w:spacing w:val="-7"/>
        </w:rPr>
        <w:t xml:space="preserve"> </w:t>
      </w:r>
      <w:r w:rsidRPr="00E03546">
        <w:rPr>
          <w:rFonts w:ascii="Verdana" w:eastAsia="Calibri" w:hAnsi="Verdana" w:cs="Arial"/>
        </w:rPr>
        <w:t>finaliza</w:t>
      </w:r>
      <w:r w:rsidRPr="00E03546">
        <w:rPr>
          <w:rFonts w:ascii="Verdana" w:eastAsia="Calibri" w:hAnsi="Verdana" w:cs="Arial"/>
          <w:spacing w:val="-6"/>
        </w:rPr>
        <w:t xml:space="preserve"> </w:t>
      </w:r>
      <w:r w:rsidRPr="00E03546">
        <w:rPr>
          <w:rFonts w:ascii="Verdana" w:eastAsia="Calibri" w:hAnsi="Verdana" w:cs="Arial"/>
        </w:rPr>
        <w:t>con</w:t>
      </w:r>
      <w:r w:rsidRPr="00E03546">
        <w:rPr>
          <w:rFonts w:ascii="Verdana" w:eastAsia="Calibri" w:hAnsi="Verdana" w:cs="Arial"/>
          <w:spacing w:val="-8"/>
        </w:rPr>
        <w:t xml:space="preserve"> </w:t>
      </w:r>
      <w:r w:rsidRPr="00E03546">
        <w:rPr>
          <w:rFonts w:ascii="Verdana" w:eastAsia="Calibri" w:hAnsi="Verdana" w:cs="Arial"/>
        </w:rPr>
        <w:t>la</w:t>
      </w:r>
      <w:r w:rsidRPr="00E03546">
        <w:rPr>
          <w:rFonts w:ascii="Verdana" w:eastAsia="Calibri" w:hAnsi="Verdana" w:cs="Arial"/>
          <w:spacing w:val="-8"/>
        </w:rPr>
        <w:t xml:space="preserve"> </w:t>
      </w:r>
      <w:r w:rsidRPr="00E03546">
        <w:rPr>
          <w:rFonts w:ascii="Verdana" w:eastAsia="Calibri" w:hAnsi="Verdana" w:cs="Arial"/>
        </w:rPr>
        <w:t>liquidación.</w:t>
      </w:r>
      <w:r w:rsidRPr="00E03546">
        <w:rPr>
          <w:rFonts w:ascii="Verdana" w:eastAsia="Calibri" w:hAnsi="Verdana" w:cs="Arial"/>
          <w:spacing w:val="-5"/>
        </w:rPr>
        <w:t xml:space="preserve"> </w:t>
      </w:r>
      <w:r w:rsidRPr="00E03546">
        <w:rPr>
          <w:rFonts w:ascii="Verdana" w:eastAsia="Calibri" w:hAnsi="Verdana" w:cs="Arial"/>
        </w:rPr>
        <w:t>En</w:t>
      </w:r>
      <w:r w:rsidRPr="00E03546">
        <w:rPr>
          <w:rFonts w:ascii="Verdana" w:eastAsia="Calibri" w:hAnsi="Verdana" w:cs="Arial"/>
          <w:spacing w:val="-8"/>
        </w:rPr>
        <w:t xml:space="preserve"> </w:t>
      </w:r>
      <w:r w:rsidRPr="00E03546">
        <w:rPr>
          <w:rFonts w:ascii="Verdana" w:eastAsia="Calibri" w:hAnsi="Verdana" w:cs="Arial"/>
        </w:rPr>
        <w:t>palabras de la doctrina, “[…] el contratista deberá otorgarla con una vigencia igual al plazo</w:t>
      </w:r>
      <w:r w:rsidRPr="00E03546">
        <w:rPr>
          <w:rFonts w:ascii="Verdana" w:eastAsia="Calibri" w:hAnsi="Verdana" w:cs="Arial"/>
          <w:spacing w:val="63"/>
        </w:rPr>
        <w:t xml:space="preserve"> </w:t>
      </w:r>
      <w:r w:rsidRPr="00E03546">
        <w:rPr>
          <w:rFonts w:ascii="Verdana" w:eastAsia="Calibri" w:hAnsi="Verdana" w:cs="Arial"/>
        </w:rPr>
        <w:t>del</w:t>
      </w:r>
      <w:r w:rsidRPr="00E03546">
        <w:rPr>
          <w:rFonts w:ascii="Verdana" w:eastAsia="Calibri" w:hAnsi="Verdana" w:cs="Arial"/>
          <w:spacing w:val="62"/>
        </w:rPr>
        <w:t xml:space="preserve"> </w:t>
      </w:r>
      <w:r w:rsidRPr="00E03546">
        <w:rPr>
          <w:rFonts w:ascii="Verdana" w:eastAsia="Calibri" w:hAnsi="Verdana" w:cs="Arial"/>
        </w:rPr>
        <w:t>contrato</w:t>
      </w:r>
      <w:r w:rsidRPr="00E03546">
        <w:rPr>
          <w:rFonts w:ascii="Verdana" w:eastAsia="Calibri" w:hAnsi="Verdana" w:cs="Arial"/>
          <w:spacing w:val="64"/>
        </w:rPr>
        <w:t xml:space="preserve"> </w:t>
      </w:r>
      <w:r w:rsidRPr="00E03546">
        <w:rPr>
          <w:rFonts w:ascii="Verdana" w:eastAsia="Calibri" w:hAnsi="Verdana" w:cs="Arial"/>
        </w:rPr>
        <w:t>garantizado</w:t>
      </w:r>
      <w:r w:rsidRPr="00E03546">
        <w:rPr>
          <w:rFonts w:ascii="Verdana" w:eastAsia="Calibri" w:hAnsi="Verdana" w:cs="Arial"/>
          <w:spacing w:val="65"/>
        </w:rPr>
        <w:t xml:space="preserve"> </w:t>
      </w:r>
      <w:r w:rsidRPr="00E03546">
        <w:rPr>
          <w:rFonts w:ascii="Verdana" w:eastAsia="Calibri" w:hAnsi="Verdana" w:cs="Arial"/>
        </w:rPr>
        <w:t>más</w:t>
      </w:r>
      <w:r w:rsidRPr="00E03546">
        <w:rPr>
          <w:rFonts w:ascii="Verdana" w:eastAsia="Calibri" w:hAnsi="Verdana" w:cs="Arial"/>
          <w:spacing w:val="62"/>
        </w:rPr>
        <w:t xml:space="preserve"> </w:t>
      </w:r>
      <w:r w:rsidRPr="00E03546">
        <w:rPr>
          <w:rFonts w:ascii="Verdana" w:eastAsia="Calibri" w:hAnsi="Verdana" w:cs="Arial"/>
        </w:rPr>
        <w:t>el</w:t>
      </w:r>
      <w:r w:rsidRPr="00E03546">
        <w:rPr>
          <w:rFonts w:ascii="Verdana" w:eastAsia="Calibri" w:hAnsi="Verdana" w:cs="Arial"/>
          <w:spacing w:val="62"/>
        </w:rPr>
        <w:t xml:space="preserve"> </w:t>
      </w:r>
      <w:r w:rsidRPr="00E03546">
        <w:rPr>
          <w:rFonts w:ascii="Verdana" w:eastAsia="Calibri" w:hAnsi="Verdana" w:cs="Arial"/>
        </w:rPr>
        <w:t>plazo</w:t>
      </w:r>
      <w:r w:rsidRPr="00E03546">
        <w:rPr>
          <w:rFonts w:ascii="Verdana" w:eastAsia="Calibri" w:hAnsi="Verdana" w:cs="Arial"/>
          <w:spacing w:val="63"/>
        </w:rPr>
        <w:t xml:space="preserve"> </w:t>
      </w:r>
      <w:r w:rsidRPr="00E03546">
        <w:rPr>
          <w:rFonts w:ascii="Verdana" w:eastAsia="Calibri" w:hAnsi="Verdana" w:cs="Arial"/>
        </w:rPr>
        <w:t>contractual</w:t>
      </w:r>
      <w:r w:rsidRPr="00E03546">
        <w:rPr>
          <w:rFonts w:ascii="Verdana" w:eastAsia="Calibri" w:hAnsi="Verdana" w:cs="Arial"/>
          <w:spacing w:val="65"/>
        </w:rPr>
        <w:t xml:space="preserve"> </w:t>
      </w:r>
      <w:r w:rsidRPr="00E03546">
        <w:rPr>
          <w:rFonts w:ascii="Verdana" w:eastAsia="Calibri" w:hAnsi="Verdana" w:cs="Arial"/>
        </w:rPr>
        <w:t>previsto</w:t>
      </w:r>
      <w:r w:rsidRPr="00E03546">
        <w:rPr>
          <w:rFonts w:ascii="Verdana" w:eastAsia="Calibri" w:hAnsi="Verdana" w:cs="Arial"/>
          <w:spacing w:val="64"/>
        </w:rPr>
        <w:t xml:space="preserve"> </w:t>
      </w:r>
      <w:r w:rsidRPr="00E03546">
        <w:rPr>
          <w:rFonts w:ascii="Verdana" w:eastAsia="Calibri" w:hAnsi="Verdana" w:cs="Arial"/>
        </w:rPr>
        <w:t>para</w:t>
      </w:r>
      <w:r w:rsidRPr="00E03546">
        <w:rPr>
          <w:rFonts w:ascii="Verdana" w:eastAsia="Calibri" w:hAnsi="Verdana" w:cs="Arial"/>
          <w:spacing w:val="63"/>
        </w:rPr>
        <w:t xml:space="preserve"> </w:t>
      </w:r>
      <w:r w:rsidRPr="00E03546">
        <w:rPr>
          <w:rFonts w:ascii="Verdana" w:eastAsia="Calibri" w:hAnsi="Verdana" w:cs="Arial"/>
        </w:rPr>
        <w:t>la liquidación de aquel. En caso de no haberse convenido por las partes un término para la liquidación del contrato, la garantía deberá mantenerse vigente por el término legal previsto para este efecto […]”.</w:t>
      </w:r>
    </w:p>
    <w:p w14:paraId="4ABC159C" w14:textId="77777777" w:rsidR="005F334A" w:rsidRDefault="005F334A" w:rsidP="005F334A">
      <w:pPr>
        <w:spacing w:before="120" w:after="120" w:line="276" w:lineRule="auto"/>
        <w:ind w:left="142" w:right="49"/>
        <w:jc w:val="both"/>
        <w:rPr>
          <w:rFonts w:ascii="Verdana" w:eastAsia="Calibri" w:hAnsi="Verdana" w:cs="Arial"/>
        </w:rPr>
      </w:pPr>
      <w:proofErr w:type="spellStart"/>
      <w:r>
        <w:rPr>
          <w:rFonts w:ascii="Verdana" w:eastAsia="Calibri" w:hAnsi="Verdana" w:cs="Arial"/>
        </w:rPr>
        <w:t>ii</w:t>
      </w:r>
      <w:proofErr w:type="spellEnd"/>
      <w:r>
        <w:rPr>
          <w:rFonts w:ascii="Verdana" w:eastAsia="Calibri" w:hAnsi="Verdana" w:cs="Arial"/>
        </w:rPr>
        <w:t>) Aquí es menester precisar que l</w:t>
      </w:r>
      <w:r w:rsidRPr="00B82EC3">
        <w:rPr>
          <w:rFonts w:ascii="Verdana" w:eastAsia="Calibri" w:hAnsi="Verdana" w:cs="Arial"/>
        </w:rPr>
        <w:t>a liquidación es el procedimiento por el cual las partes cruzan cuentas respecto a sus obligaciones una vez concluido el contrato. El objetivo es determinar si las partes pueden declararse a paz y salvo mutuo. </w:t>
      </w:r>
      <w:r>
        <w:rPr>
          <w:rFonts w:ascii="Verdana" w:eastAsia="Calibri" w:hAnsi="Verdana" w:cs="Arial"/>
        </w:rPr>
        <w:t>En este sentido no es posible liquidar el contrato si una de las obligaciones de las partes se encuentra pendiente, en este caso el deber de mantener vigente la garantía de cumplimiento hasta la liquidación del contrato.</w:t>
      </w:r>
    </w:p>
    <w:p w14:paraId="2C95E1A8" w14:textId="77777777" w:rsidR="005F334A" w:rsidRDefault="005F334A" w:rsidP="005F334A">
      <w:pPr>
        <w:spacing w:before="120" w:after="120" w:line="276" w:lineRule="auto"/>
        <w:ind w:left="142" w:right="49"/>
        <w:jc w:val="both"/>
        <w:rPr>
          <w:rFonts w:ascii="Verdana" w:eastAsia="Calibri" w:hAnsi="Verdana" w:cs="Arial"/>
        </w:rPr>
      </w:pPr>
      <w:r>
        <w:rPr>
          <w:rFonts w:ascii="Verdana" w:eastAsia="Calibri" w:hAnsi="Verdana" w:cs="Arial"/>
        </w:rPr>
        <w:t>Sin embargo, es necesario destacar que d</w:t>
      </w:r>
      <w:r w:rsidRPr="00B82EC3">
        <w:rPr>
          <w:rFonts w:ascii="Verdana" w:eastAsia="Calibri" w:hAnsi="Verdana" w:cs="Arial"/>
        </w:rPr>
        <w:t>urante la liquidación la Entidad Estatal puede exigir al contratista la extensión o ampliación, si es del caso, de la garantía del contrato para los amparos de cumplimiento, buen manejo e inversión del anticipo o pago anticipado y calidad del bien o servicio.</w:t>
      </w:r>
      <w:r>
        <w:rPr>
          <w:rStyle w:val="Refdenotaalpie"/>
          <w:rFonts w:ascii="Verdana" w:eastAsia="Calibri" w:hAnsi="Verdana" w:cs="Arial"/>
        </w:rPr>
        <w:footnoteReference w:id="1"/>
      </w:r>
    </w:p>
    <w:p w14:paraId="0CFEB7A9" w14:textId="77777777" w:rsidR="005F334A" w:rsidRDefault="005F334A" w:rsidP="005F334A">
      <w:pPr>
        <w:spacing w:before="120" w:after="120" w:line="276" w:lineRule="auto"/>
        <w:ind w:left="142" w:right="49"/>
        <w:jc w:val="both"/>
        <w:rPr>
          <w:rFonts w:ascii="Verdana" w:eastAsia="Calibri" w:hAnsi="Verdana" w:cs="Arial"/>
        </w:rPr>
      </w:pPr>
      <w:r>
        <w:rPr>
          <w:rFonts w:ascii="Verdana" w:eastAsia="Calibri" w:hAnsi="Verdana" w:cs="Arial"/>
        </w:rPr>
        <w:t xml:space="preserve">Adicionalmente, si la entidad considera que no se está cumpliendo lo pactado en el contrato puede acudir a lo dispuesto en el artículo 86 de la Ley 1474 de 2011. Asimismo, si las partes se encuentran a paz y salvo en todo concepto proceder con la liquidación de acuerdo con los términos establecidos en el artículo 11 de la Ley 1150 de 2007. </w:t>
      </w:r>
    </w:p>
    <w:p w14:paraId="22D888C4" w14:textId="77777777" w:rsidR="005F334A" w:rsidRDefault="005F334A" w:rsidP="005F334A">
      <w:pPr>
        <w:spacing w:before="120" w:after="120" w:line="276" w:lineRule="auto"/>
        <w:ind w:left="142" w:right="49"/>
        <w:jc w:val="both"/>
        <w:rPr>
          <w:rFonts w:ascii="Verdana" w:eastAsia="Calibri" w:hAnsi="Verdana" w:cs="Arial"/>
          <w:spacing w:val="-9"/>
        </w:rPr>
      </w:pPr>
      <w:r w:rsidRPr="00E03546">
        <w:rPr>
          <w:rFonts w:ascii="Verdana" w:eastAsia="Calibri" w:hAnsi="Verdana" w:cs="Arial"/>
        </w:rPr>
        <w:lastRenderedPageBreak/>
        <w:t>En</w:t>
      </w:r>
      <w:r w:rsidRPr="00E03546">
        <w:rPr>
          <w:rFonts w:ascii="Verdana" w:eastAsia="Calibri" w:hAnsi="Verdana" w:cs="Arial"/>
          <w:spacing w:val="-16"/>
        </w:rPr>
        <w:t xml:space="preserve"> </w:t>
      </w:r>
      <w:r w:rsidRPr="00E03546">
        <w:rPr>
          <w:rFonts w:ascii="Verdana" w:eastAsia="Calibri" w:hAnsi="Verdana" w:cs="Arial"/>
        </w:rPr>
        <w:t>este</w:t>
      </w:r>
      <w:r w:rsidRPr="00E03546">
        <w:rPr>
          <w:rFonts w:ascii="Verdana" w:eastAsia="Calibri" w:hAnsi="Verdana" w:cs="Arial"/>
          <w:spacing w:val="-15"/>
        </w:rPr>
        <w:t xml:space="preserve"> </w:t>
      </w:r>
      <w:r w:rsidRPr="00E03546">
        <w:rPr>
          <w:rFonts w:ascii="Verdana" w:eastAsia="Calibri" w:hAnsi="Verdana" w:cs="Arial"/>
        </w:rPr>
        <w:t>sentido,</w:t>
      </w:r>
      <w:r w:rsidRPr="00E03546">
        <w:rPr>
          <w:rFonts w:ascii="Verdana" w:eastAsia="Calibri" w:hAnsi="Verdana" w:cs="Arial"/>
          <w:spacing w:val="-16"/>
        </w:rPr>
        <w:t xml:space="preserve"> </w:t>
      </w:r>
      <w:r w:rsidRPr="00E03546">
        <w:rPr>
          <w:rFonts w:ascii="Verdana" w:eastAsia="Calibri" w:hAnsi="Verdana" w:cs="Arial"/>
        </w:rPr>
        <w:t>es</w:t>
      </w:r>
      <w:r w:rsidRPr="00E03546">
        <w:rPr>
          <w:rFonts w:ascii="Verdana" w:eastAsia="Calibri" w:hAnsi="Verdana" w:cs="Arial"/>
          <w:spacing w:val="-16"/>
        </w:rPr>
        <w:t xml:space="preserve"> </w:t>
      </w:r>
      <w:r w:rsidRPr="00E03546">
        <w:rPr>
          <w:rFonts w:ascii="Verdana" w:eastAsia="Calibri" w:hAnsi="Verdana" w:cs="Arial"/>
        </w:rPr>
        <w:t>menester</w:t>
      </w:r>
      <w:r w:rsidRPr="00E03546">
        <w:rPr>
          <w:rFonts w:ascii="Verdana" w:eastAsia="Calibri" w:hAnsi="Verdana" w:cs="Arial"/>
          <w:spacing w:val="-14"/>
        </w:rPr>
        <w:t xml:space="preserve"> </w:t>
      </w:r>
      <w:r w:rsidRPr="00E03546">
        <w:rPr>
          <w:rFonts w:ascii="Verdana" w:eastAsia="Calibri" w:hAnsi="Verdana" w:cs="Arial"/>
        </w:rPr>
        <w:t>recordar</w:t>
      </w:r>
      <w:r w:rsidRPr="00E03546">
        <w:rPr>
          <w:rFonts w:ascii="Verdana" w:eastAsia="Calibri" w:hAnsi="Verdana" w:cs="Arial"/>
          <w:spacing w:val="-14"/>
        </w:rPr>
        <w:t xml:space="preserve"> </w:t>
      </w:r>
      <w:r w:rsidRPr="00E03546">
        <w:rPr>
          <w:rFonts w:ascii="Verdana" w:eastAsia="Calibri" w:hAnsi="Verdana" w:cs="Arial"/>
        </w:rPr>
        <w:t>que,</w:t>
      </w:r>
      <w:r w:rsidRPr="00E03546">
        <w:rPr>
          <w:rFonts w:ascii="Verdana" w:eastAsia="Calibri" w:hAnsi="Verdana" w:cs="Arial"/>
          <w:spacing w:val="-15"/>
        </w:rPr>
        <w:t xml:space="preserve"> </w:t>
      </w:r>
      <w:r w:rsidRPr="00E03546">
        <w:rPr>
          <w:rFonts w:ascii="Verdana" w:eastAsia="Calibri" w:hAnsi="Verdana" w:cs="Arial"/>
        </w:rPr>
        <w:t>en</w:t>
      </w:r>
      <w:r w:rsidRPr="00E03546">
        <w:rPr>
          <w:rFonts w:ascii="Verdana" w:eastAsia="Calibri" w:hAnsi="Verdana" w:cs="Arial"/>
          <w:spacing w:val="-16"/>
        </w:rPr>
        <w:t xml:space="preserve"> </w:t>
      </w:r>
      <w:r w:rsidRPr="00E03546">
        <w:rPr>
          <w:rFonts w:ascii="Verdana" w:eastAsia="Calibri" w:hAnsi="Verdana" w:cs="Arial"/>
        </w:rPr>
        <w:t>cumplimiento</w:t>
      </w:r>
      <w:r w:rsidRPr="00E03546">
        <w:rPr>
          <w:rFonts w:ascii="Verdana" w:eastAsia="Calibri" w:hAnsi="Verdana" w:cs="Arial"/>
          <w:spacing w:val="-13"/>
        </w:rPr>
        <w:t xml:space="preserve"> </w:t>
      </w:r>
      <w:r w:rsidRPr="00E03546">
        <w:rPr>
          <w:rFonts w:ascii="Verdana" w:eastAsia="Calibri" w:hAnsi="Verdana" w:cs="Arial"/>
        </w:rPr>
        <w:t>del</w:t>
      </w:r>
      <w:r w:rsidRPr="00E03546">
        <w:rPr>
          <w:rFonts w:ascii="Verdana" w:eastAsia="Calibri" w:hAnsi="Verdana" w:cs="Arial"/>
          <w:spacing w:val="-16"/>
        </w:rPr>
        <w:t xml:space="preserve"> </w:t>
      </w:r>
      <w:r w:rsidRPr="00E03546">
        <w:rPr>
          <w:rFonts w:ascii="Verdana" w:eastAsia="Calibri" w:hAnsi="Verdana" w:cs="Arial"/>
        </w:rPr>
        <w:t>artículo 2.2.1.2.3.1.18. del</w:t>
      </w:r>
      <w:r w:rsidRPr="00E03546">
        <w:rPr>
          <w:rFonts w:ascii="Verdana" w:eastAsia="Calibri" w:hAnsi="Verdana" w:cs="Arial"/>
          <w:spacing w:val="-5"/>
        </w:rPr>
        <w:t xml:space="preserve"> </w:t>
      </w:r>
      <w:r w:rsidRPr="00E03546">
        <w:rPr>
          <w:rFonts w:ascii="Verdana" w:eastAsia="Calibri" w:hAnsi="Verdana" w:cs="Arial"/>
        </w:rPr>
        <w:t>Decreto</w:t>
      </w:r>
      <w:r w:rsidRPr="00E03546">
        <w:rPr>
          <w:rFonts w:ascii="Verdana" w:eastAsia="Calibri" w:hAnsi="Verdana" w:cs="Arial"/>
          <w:spacing w:val="-3"/>
        </w:rPr>
        <w:t xml:space="preserve"> </w:t>
      </w:r>
      <w:r w:rsidRPr="00E03546">
        <w:rPr>
          <w:rFonts w:ascii="Verdana" w:eastAsia="Calibri" w:hAnsi="Verdana" w:cs="Arial"/>
        </w:rPr>
        <w:t>1082</w:t>
      </w:r>
      <w:r w:rsidRPr="00E03546">
        <w:rPr>
          <w:rFonts w:ascii="Verdana" w:eastAsia="Calibri" w:hAnsi="Verdana" w:cs="Arial"/>
          <w:spacing w:val="-4"/>
        </w:rPr>
        <w:t xml:space="preserve"> </w:t>
      </w:r>
      <w:r w:rsidRPr="00E03546">
        <w:rPr>
          <w:rFonts w:ascii="Verdana" w:eastAsia="Calibri" w:hAnsi="Verdana" w:cs="Arial"/>
        </w:rPr>
        <w:t>de</w:t>
      </w:r>
      <w:r w:rsidRPr="00E03546">
        <w:rPr>
          <w:rFonts w:ascii="Verdana" w:eastAsia="Calibri" w:hAnsi="Verdana" w:cs="Arial"/>
          <w:spacing w:val="-5"/>
        </w:rPr>
        <w:t xml:space="preserve"> </w:t>
      </w:r>
      <w:r w:rsidRPr="00E03546">
        <w:rPr>
          <w:rFonts w:ascii="Verdana" w:eastAsia="Calibri" w:hAnsi="Verdana" w:cs="Arial"/>
        </w:rPr>
        <w:t>2015,</w:t>
      </w:r>
      <w:r w:rsidRPr="00E03546">
        <w:rPr>
          <w:rFonts w:ascii="Verdana" w:eastAsia="Calibri" w:hAnsi="Verdana" w:cs="Arial"/>
          <w:spacing w:val="-4"/>
        </w:rPr>
        <w:t xml:space="preserve"> </w:t>
      </w:r>
      <w:r w:rsidRPr="00E03546">
        <w:rPr>
          <w:rFonts w:ascii="Verdana" w:eastAsia="Calibri" w:hAnsi="Verdana" w:cs="Arial"/>
        </w:rPr>
        <w:t>solo</w:t>
      </w:r>
      <w:r w:rsidRPr="00E03546">
        <w:rPr>
          <w:rFonts w:ascii="Verdana" w:eastAsia="Calibri" w:hAnsi="Verdana" w:cs="Arial"/>
          <w:spacing w:val="-4"/>
        </w:rPr>
        <w:t xml:space="preserve"> </w:t>
      </w:r>
      <w:r w:rsidRPr="00E03546">
        <w:rPr>
          <w:rFonts w:ascii="Verdana" w:eastAsia="Calibri" w:hAnsi="Verdana" w:cs="Arial"/>
        </w:rPr>
        <w:t>se</w:t>
      </w:r>
      <w:r w:rsidRPr="00E03546">
        <w:rPr>
          <w:rFonts w:ascii="Verdana" w:eastAsia="Calibri" w:hAnsi="Verdana" w:cs="Arial"/>
          <w:spacing w:val="-5"/>
        </w:rPr>
        <w:t xml:space="preserve"> </w:t>
      </w:r>
      <w:r w:rsidRPr="00E03546">
        <w:rPr>
          <w:rFonts w:ascii="Verdana" w:eastAsia="Calibri" w:hAnsi="Verdana" w:cs="Arial"/>
        </w:rPr>
        <w:t>le</w:t>
      </w:r>
      <w:r w:rsidRPr="00E03546">
        <w:rPr>
          <w:rFonts w:ascii="Verdana" w:eastAsia="Calibri" w:hAnsi="Verdana" w:cs="Arial"/>
          <w:spacing w:val="-5"/>
        </w:rPr>
        <w:t xml:space="preserve"> </w:t>
      </w:r>
      <w:r w:rsidRPr="00E03546">
        <w:rPr>
          <w:rFonts w:ascii="Verdana" w:eastAsia="Calibri" w:hAnsi="Verdana" w:cs="Arial"/>
        </w:rPr>
        <w:t>exige</w:t>
      </w:r>
      <w:r w:rsidRPr="00E03546">
        <w:rPr>
          <w:rFonts w:ascii="Verdana" w:eastAsia="Calibri" w:hAnsi="Verdana" w:cs="Arial"/>
          <w:spacing w:val="-4"/>
        </w:rPr>
        <w:t xml:space="preserve"> </w:t>
      </w:r>
      <w:r w:rsidRPr="00E03546">
        <w:rPr>
          <w:rFonts w:ascii="Verdana" w:eastAsia="Calibri" w:hAnsi="Verdana" w:cs="Arial"/>
        </w:rPr>
        <w:t>al</w:t>
      </w:r>
      <w:r w:rsidRPr="00E03546">
        <w:rPr>
          <w:rFonts w:ascii="Verdana" w:eastAsia="Calibri" w:hAnsi="Verdana" w:cs="Arial"/>
          <w:spacing w:val="-5"/>
        </w:rPr>
        <w:t xml:space="preserve"> </w:t>
      </w:r>
      <w:r w:rsidRPr="00E03546">
        <w:rPr>
          <w:rFonts w:ascii="Verdana" w:eastAsia="Calibri" w:hAnsi="Verdana" w:cs="Arial"/>
        </w:rPr>
        <w:t>contratista</w:t>
      </w:r>
      <w:r w:rsidRPr="00E03546">
        <w:rPr>
          <w:rFonts w:ascii="Verdana" w:eastAsia="Calibri" w:hAnsi="Verdana" w:cs="Arial"/>
          <w:spacing w:val="-2"/>
        </w:rPr>
        <w:t xml:space="preserve"> </w:t>
      </w:r>
      <w:r w:rsidRPr="00E03546">
        <w:rPr>
          <w:rFonts w:ascii="Verdana" w:eastAsia="Calibri" w:hAnsi="Verdana" w:cs="Arial"/>
        </w:rPr>
        <w:t xml:space="preserve">que: i) amplié el valor de la garantía cuando hay una adición, y </w:t>
      </w:r>
      <w:proofErr w:type="spellStart"/>
      <w:r w:rsidRPr="00E03546">
        <w:rPr>
          <w:rFonts w:ascii="Verdana" w:eastAsia="Calibri" w:hAnsi="Verdana" w:cs="Arial"/>
        </w:rPr>
        <w:t>ii</w:t>
      </w:r>
      <w:proofErr w:type="spellEnd"/>
      <w:r w:rsidRPr="00E03546">
        <w:rPr>
          <w:rFonts w:ascii="Verdana" w:eastAsia="Calibri" w:hAnsi="Verdana" w:cs="Arial"/>
        </w:rPr>
        <w:t>) que amplié su vigencia cuando se modifica el plazo del contrato; y en ninguna de las dos hipótesis</w:t>
      </w:r>
      <w:r w:rsidRPr="00E03546">
        <w:rPr>
          <w:rFonts w:ascii="Verdana" w:eastAsia="Calibri" w:hAnsi="Verdana" w:cs="Arial"/>
          <w:spacing w:val="-6"/>
        </w:rPr>
        <w:t xml:space="preserve"> </w:t>
      </w:r>
      <w:r w:rsidRPr="00E03546">
        <w:rPr>
          <w:rFonts w:ascii="Verdana" w:eastAsia="Calibri" w:hAnsi="Verdana" w:cs="Arial"/>
        </w:rPr>
        <w:t>es</w:t>
      </w:r>
      <w:r w:rsidRPr="00E03546">
        <w:rPr>
          <w:rFonts w:ascii="Verdana" w:eastAsia="Calibri" w:hAnsi="Verdana" w:cs="Arial"/>
          <w:spacing w:val="-8"/>
        </w:rPr>
        <w:t xml:space="preserve"> </w:t>
      </w:r>
      <w:r w:rsidRPr="00E03546">
        <w:rPr>
          <w:rFonts w:ascii="Verdana" w:eastAsia="Calibri" w:hAnsi="Verdana" w:cs="Arial"/>
        </w:rPr>
        <w:t>necesario</w:t>
      </w:r>
      <w:r w:rsidRPr="00E03546">
        <w:rPr>
          <w:rFonts w:ascii="Verdana" w:eastAsia="Calibri" w:hAnsi="Verdana" w:cs="Arial"/>
          <w:spacing w:val="-5"/>
        </w:rPr>
        <w:t xml:space="preserve"> </w:t>
      </w:r>
      <w:r w:rsidRPr="00E03546">
        <w:rPr>
          <w:rFonts w:ascii="Verdana" w:eastAsia="Calibri" w:hAnsi="Verdana" w:cs="Arial"/>
        </w:rPr>
        <w:t>que</w:t>
      </w:r>
      <w:r w:rsidRPr="00E03546">
        <w:rPr>
          <w:rFonts w:ascii="Verdana" w:eastAsia="Calibri" w:hAnsi="Verdana" w:cs="Arial"/>
          <w:spacing w:val="-8"/>
        </w:rPr>
        <w:t xml:space="preserve"> </w:t>
      </w:r>
      <w:r w:rsidRPr="00E03546">
        <w:rPr>
          <w:rFonts w:ascii="Verdana" w:eastAsia="Calibri" w:hAnsi="Verdana" w:cs="Arial"/>
        </w:rPr>
        <w:t>se</w:t>
      </w:r>
      <w:r w:rsidRPr="00E03546">
        <w:rPr>
          <w:rFonts w:ascii="Verdana" w:eastAsia="Calibri" w:hAnsi="Verdana" w:cs="Arial"/>
          <w:spacing w:val="-8"/>
        </w:rPr>
        <w:t xml:space="preserve"> </w:t>
      </w:r>
      <w:r w:rsidRPr="00E03546">
        <w:rPr>
          <w:rFonts w:ascii="Verdana" w:eastAsia="Calibri" w:hAnsi="Verdana" w:cs="Arial"/>
        </w:rPr>
        <w:t>modifiquen</w:t>
      </w:r>
      <w:r w:rsidRPr="00E03546">
        <w:rPr>
          <w:rFonts w:ascii="Verdana" w:eastAsia="Calibri" w:hAnsi="Verdana" w:cs="Arial"/>
          <w:spacing w:val="-6"/>
        </w:rPr>
        <w:t xml:space="preserve"> </w:t>
      </w:r>
      <w:r w:rsidRPr="00E03546">
        <w:rPr>
          <w:rFonts w:ascii="Verdana" w:eastAsia="Calibri" w:hAnsi="Verdana" w:cs="Arial"/>
        </w:rPr>
        <w:t>otras</w:t>
      </w:r>
      <w:r w:rsidRPr="00E03546">
        <w:rPr>
          <w:rFonts w:ascii="Verdana" w:eastAsia="Calibri" w:hAnsi="Verdana" w:cs="Arial"/>
          <w:spacing w:val="-8"/>
        </w:rPr>
        <w:t xml:space="preserve"> </w:t>
      </w:r>
      <w:r w:rsidRPr="00E03546">
        <w:rPr>
          <w:rFonts w:ascii="Verdana" w:eastAsia="Calibri" w:hAnsi="Verdana" w:cs="Arial"/>
        </w:rPr>
        <w:t>condiciones</w:t>
      </w:r>
      <w:r w:rsidRPr="00E03546">
        <w:rPr>
          <w:rFonts w:ascii="Verdana" w:eastAsia="Calibri" w:hAnsi="Verdana" w:cs="Arial"/>
          <w:spacing w:val="-6"/>
        </w:rPr>
        <w:t xml:space="preserve"> </w:t>
      </w:r>
      <w:r w:rsidRPr="00E03546">
        <w:rPr>
          <w:rFonts w:ascii="Verdana" w:eastAsia="Calibri" w:hAnsi="Verdana" w:cs="Arial"/>
        </w:rPr>
        <w:t>de</w:t>
      </w:r>
      <w:r w:rsidRPr="00E03546">
        <w:rPr>
          <w:rFonts w:ascii="Verdana" w:eastAsia="Calibri" w:hAnsi="Verdana" w:cs="Arial"/>
          <w:spacing w:val="-8"/>
        </w:rPr>
        <w:t xml:space="preserve"> </w:t>
      </w:r>
      <w:r w:rsidRPr="00E03546">
        <w:rPr>
          <w:rFonts w:ascii="Verdana" w:eastAsia="Calibri" w:hAnsi="Verdana" w:cs="Arial"/>
        </w:rPr>
        <w:t>la</w:t>
      </w:r>
      <w:r w:rsidRPr="00E03546">
        <w:rPr>
          <w:rFonts w:ascii="Verdana" w:eastAsia="Calibri" w:hAnsi="Verdana" w:cs="Arial"/>
          <w:spacing w:val="-8"/>
        </w:rPr>
        <w:t xml:space="preserve"> </w:t>
      </w:r>
      <w:r w:rsidRPr="00E03546">
        <w:rPr>
          <w:rFonts w:ascii="Verdana" w:eastAsia="Calibri" w:hAnsi="Verdana" w:cs="Arial"/>
        </w:rPr>
        <w:t>garantía.</w:t>
      </w:r>
      <w:r w:rsidRPr="00E03546">
        <w:rPr>
          <w:rFonts w:ascii="Verdana" w:eastAsia="Calibri" w:hAnsi="Verdana" w:cs="Arial"/>
          <w:spacing w:val="-9"/>
        </w:rPr>
        <w:t xml:space="preserve"> </w:t>
      </w:r>
    </w:p>
    <w:p w14:paraId="68038DC9" w14:textId="77777777" w:rsidR="005F334A" w:rsidRPr="00FB49A3" w:rsidRDefault="005F334A" w:rsidP="005F334A">
      <w:pPr>
        <w:spacing w:before="120" w:after="120" w:line="276" w:lineRule="auto"/>
        <w:ind w:left="142" w:right="49"/>
        <w:jc w:val="both"/>
        <w:rPr>
          <w:rFonts w:ascii="Verdana" w:eastAsia="Calibri" w:hAnsi="Verdana" w:cs="Arial"/>
        </w:rPr>
      </w:pPr>
      <w:r>
        <w:rPr>
          <w:rFonts w:ascii="Verdana" w:eastAsia="Calibri" w:hAnsi="Verdana" w:cs="Arial"/>
        </w:rPr>
        <w:t>A pesar de ello</w:t>
      </w:r>
      <w:r w:rsidRPr="00E03546">
        <w:rPr>
          <w:rFonts w:ascii="Verdana" w:eastAsia="Calibri" w:hAnsi="Verdana" w:cs="Arial"/>
        </w:rPr>
        <w:t xml:space="preserve">, </w:t>
      </w:r>
      <w:r w:rsidRPr="00FB49A3">
        <w:rPr>
          <w:rFonts w:ascii="Verdana" w:eastAsia="Calibri" w:hAnsi="Verdana" w:cs="Arial"/>
        </w:rPr>
        <w:t>los interesados adoptarán las medidas que estimen pertinentes respecto a la vigencia del amparo de cumplimiento después de vencer el término para liquidar. Especialmente, previa asesoría de sus representantes legales, los contratistas del Estado deberán evaluar los cursos de acción disponibles frente a la falta de liquidación oportuna. En ambos casos, al tratarse de un análisis que debe realizarse en cada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De esta manera, cada uno de ellos definirá la forma de adelantar su gestión contractual, sin que sea atribución de Colombia Compra Eficiente validar sus actuaciones.</w:t>
      </w:r>
    </w:p>
    <w:p w14:paraId="6B6335E7" w14:textId="77777777" w:rsidR="005F334A" w:rsidRPr="00E03546" w:rsidRDefault="005F334A" w:rsidP="005F334A">
      <w:pPr>
        <w:spacing w:after="0" w:line="276" w:lineRule="auto"/>
        <w:contextualSpacing/>
        <w:jc w:val="both"/>
        <w:rPr>
          <w:rFonts w:ascii="Verdana" w:eastAsia="Times New Roman" w:hAnsi="Verdana" w:cs="Arial"/>
          <w:lang w:eastAsia="es-ES_tradnl"/>
        </w:rPr>
      </w:pPr>
    </w:p>
    <w:p w14:paraId="5817CF9C" w14:textId="77777777" w:rsidR="005F334A" w:rsidRPr="00E03546" w:rsidRDefault="005F334A" w:rsidP="005F334A">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3. Razones de la respuesta:</w:t>
      </w:r>
    </w:p>
    <w:p w14:paraId="248474B5" w14:textId="77777777" w:rsidR="005F334A" w:rsidRPr="00E03546" w:rsidRDefault="005F334A" w:rsidP="005F334A">
      <w:pPr>
        <w:spacing w:line="276" w:lineRule="auto"/>
        <w:rPr>
          <w:rFonts w:ascii="Verdana" w:eastAsia="Calibri" w:hAnsi="Verdana" w:cs="Arial"/>
          <w:color w:val="000000"/>
        </w:rPr>
      </w:pPr>
      <w:bookmarkStart w:id="1" w:name="_Hlk36018082"/>
    </w:p>
    <w:p w14:paraId="087DFFDA" w14:textId="77777777" w:rsidR="005F334A" w:rsidRPr="00E03546" w:rsidRDefault="005F334A" w:rsidP="005F334A">
      <w:pPr>
        <w:spacing w:line="276" w:lineRule="auto"/>
        <w:jc w:val="both"/>
        <w:rPr>
          <w:rFonts w:ascii="Verdana" w:eastAsia="Calibri" w:hAnsi="Verdana" w:cs="Arial"/>
        </w:rPr>
      </w:pPr>
      <w:r w:rsidRPr="00E03546">
        <w:rPr>
          <w:rFonts w:ascii="Verdana" w:eastAsia="Calibri" w:hAnsi="Verdana" w:cs="Arial"/>
        </w:rPr>
        <w:t xml:space="preserve">Lo anterior se sustenta en las siguientes consideraciones: </w:t>
      </w:r>
    </w:p>
    <w:bookmarkEnd w:id="1"/>
    <w:p w14:paraId="64CCF53B" w14:textId="77777777" w:rsidR="005F334A" w:rsidRPr="00E03546" w:rsidRDefault="005F334A" w:rsidP="005F334A">
      <w:pPr>
        <w:spacing w:before="120" w:after="0" w:line="276" w:lineRule="auto"/>
        <w:ind w:firstLine="708"/>
        <w:jc w:val="both"/>
        <w:rPr>
          <w:rFonts w:ascii="Verdana" w:eastAsia="Calibri" w:hAnsi="Verdana" w:cs="Arial"/>
        </w:rPr>
      </w:pPr>
      <w:r>
        <w:rPr>
          <w:rFonts w:ascii="Verdana" w:eastAsia="Times New Roman" w:hAnsi="Verdana" w:cs="Arial"/>
          <w:color w:val="000000"/>
          <w:lang w:eastAsia="es-CO"/>
        </w:rPr>
        <w:t>E</w:t>
      </w:r>
      <w:r w:rsidRPr="00E03546">
        <w:rPr>
          <w:rFonts w:ascii="Verdana" w:eastAsia="Times New Roman" w:hAnsi="Verdana" w:cs="Arial"/>
          <w:color w:val="000000"/>
          <w:lang w:eastAsia="es-CO"/>
        </w:rPr>
        <w:t xml:space="preserve">l artículo 2.2.1.2.3.1.12 regula la suficiencia de la garantía de cumplimiento. Esta debe tener una vigencia mínima hasta la liquidación y, por regla general un valor de por lo menos el diez por ciento (10%) del total del contrato, siempre que este sea inferior a un millón (1.000.000) de </w:t>
      </w:r>
      <w:proofErr w:type="spellStart"/>
      <w:r w:rsidRPr="00E03546">
        <w:rPr>
          <w:rFonts w:ascii="Verdana" w:eastAsia="Times New Roman" w:hAnsi="Verdana" w:cs="Arial"/>
          <w:color w:val="000000"/>
          <w:lang w:eastAsia="es-CO"/>
        </w:rPr>
        <w:t>smmlv</w:t>
      </w:r>
      <w:proofErr w:type="spellEnd"/>
      <w:r w:rsidRPr="00E03546">
        <w:rPr>
          <w:rFonts w:ascii="Verdana" w:eastAsia="Times New Roman" w:hAnsi="Verdana" w:cs="Arial"/>
          <w:color w:val="000000"/>
          <w:vertAlign w:val="superscript"/>
          <w:lang w:eastAsia="es-CO"/>
        </w:rPr>
        <w:footnoteReference w:id="2"/>
      </w:r>
      <w:r w:rsidRPr="00E03546">
        <w:rPr>
          <w:rFonts w:ascii="Verdana" w:eastAsia="Times New Roman" w:hAnsi="Verdana" w:cs="Arial"/>
          <w:color w:val="000000"/>
          <w:lang w:eastAsia="es-CO"/>
        </w:rPr>
        <w:t xml:space="preserve">. </w:t>
      </w:r>
      <w:r w:rsidRPr="00E03546">
        <w:rPr>
          <w:rFonts w:ascii="Verdana" w:eastAsia="Times New Roman" w:hAnsi="Verdana" w:cs="Arial"/>
          <w:color w:val="000000"/>
          <w:lang w:eastAsia="es-CO"/>
        </w:rPr>
        <w:lastRenderedPageBreak/>
        <w:t xml:space="preserve">Conforme la norma citada, el amparo cubre tanto el </w:t>
      </w:r>
      <w:r w:rsidRPr="00E03546">
        <w:rPr>
          <w:rFonts w:ascii="Verdana" w:eastAsia="Times New Roman" w:hAnsi="Verdana" w:cs="Arial"/>
          <w:i/>
          <w:iCs/>
          <w:color w:val="000000"/>
          <w:lang w:eastAsia="es-CO"/>
        </w:rPr>
        <w:t>plazo de ejecución</w:t>
      </w:r>
      <w:r w:rsidRPr="00E03546">
        <w:rPr>
          <w:rFonts w:ascii="Verdana" w:eastAsia="Times New Roman" w:hAnsi="Verdana" w:cs="Arial"/>
          <w:color w:val="000000"/>
          <w:lang w:eastAsia="es-CO"/>
        </w:rPr>
        <w:t xml:space="preserve"> como el </w:t>
      </w:r>
      <w:r w:rsidRPr="00E03546">
        <w:rPr>
          <w:rFonts w:ascii="Verdana" w:eastAsia="Times New Roman" w:hAnsi="Verdana" w:cs="Arial"/>
          <w:i/>
          <w:iCs/>
          <w:color w:val="000000"/>
          <w:lang w:eastAsia="es-CO"/>
        </w:rPr>
        <w:t>plazo de vigencia</w:t>
      </w:r>
      <w:r w:rsidRPr="00E03546">
        <w:rPr>
          <w:rFonts w:ascii="Verdana" w:eastAsia="Times New Roman" w:hAnsi="Verdana" w:cs="Arial"/>
          <w:color w:val="000000"/>
          <w:lang w:eastAsia="es-CO"/>
        </w:rPr>
        <w:t xml:space="preserve"> del contrato. </w:t>
      </w:r>
      <w:r w:rsidRPr="00E03546">
        <w:rPr>
          <w:rFonts w:ascii="Verdana" w:eastAsia="Calibri" w:hAnsi="Verdana" w:cs="Arial"/>
        </w:rPr>
        <w:t xml:space="preserve">Al respecto, la jurisprudencia define el </w:t>
      </w:r>
      <w:r w:rsidRPr="00E03546">
        <w:rPr>
          <w:rFonts w:ascii="Verdana" w:eastAsia="Calibri" w:hAnsi="Verdana" w:cs="Arial"/>
          <w:i/>
          <w:iCs/>
        </w:rPr>
        <w:t>plazo de ejecución</w:t>
      </w:r>
      <w:r w:rsidRPr="00E03546">
        <w:rPr>
          <w:rFonts w:ascii="Verdana" w:eastAsia="Calibri" w:hAnsi="Verdana" w:cs="Arial"/>
        </w:rPr>
        <w:t xml:space="preserve"> como el establecido para la realización de las prestaciones contractuales y, de igual forma, considera que el </w:t>
      </w:r>
      <w:r w:rsidRPr="00E03546">
        <w:rPr>
          <w:rFonts w:ascii="Verdana" w:eastAsia="Calibri" w:hAnsi="Verdana" w:cs="Arial"/>
          <w:i/>
          <w:iCs/>
        </w:rPr>
        <w:t>plazo de vigencia</w:t>
      </w:r>
      <w:r w:rsidRPr="00E03546">
        <w:rPr>
          <w:rFonts w:ascii="Verdana" w:eastAsia="Calibri" w:hAnsi="Verdana" w:cs="Arial"/>
        </w:rPr>
        <w:t xml:space="preserve"> de este no ha finalizado mientras subsista la obligación para las partes de liquidar el contrato</w:t>
      </w:r>
      <w:r w:rsidRPr="00E03546">
        <w:rPr>
          <w:rFonts w:ascii="Verdana" w:eastAsia="Calibri" w:hAnsi="Verdana" w:cs="Arial"/>
          <w:vertAlign w:val="superscript"/>
        </w:rPr>
        <w:footnoteReference w:id="3"/>
      </w:r>
      <w:r w:rsidRPr="00E03546">
        <w:rPr>
          <w:rFonts w:ascii="Verdana" w:eastAsia="Calibri" w:hAnsi="Verdana" w:cs="Arial"/>
        </w:rPr>
        <w:t>. Por ello, explica lo siguiente:</w:t>
      </w:r>
    </w:p>
    <w:p w14:paraId="25E8CAA0" w14:textId="77777777" w:rsidR="005F334A" w:rsidRPr="00E03546" w:rsidRDefault="005F334A" w:rsidP="005F334A">
      <w:pPr>
        <w:spacing w:after="0" w:line="276" w:lineRule="auto"/>
        <w:ind w:firstLine="708"/>
        <w:jc w:val="both"/>
        <w:rPr>
          <w:rFonts w:ascii="Verdana" w:eastAsia="Calibri" w:hAnsi="Verdana" w:cs="Arial"/>
        </w:rPr>
      </w:pPr>
    </w:p>
    <w:p w14:paraId="6EB22F11" w14:textId="77777777" w:rsidR="005F334A" w:rsidRPr="00E03546" w:rsidRDefault="005F334A" w:rsidP="005F334A">
      <w:pPr>
        <w:spacing w:after="0" w:line="276" w:lineRule="auto"/>
        <w:ind w:left="709" w:right="709"/>
        <w:jc w:val="both"/>
        <w:rPr>
          <w:rFonts w:ascii="Verdana" w:eastAsia="Times New Roman" w:hAnsi="Verdana" w:cs="Arial"/>
          <w:color w:val="000000"/>
          <w:sz w:val="20"/>
          <w:szCs w:val="20"/>
          <w:lang w:eastAsia="es-CO"/>
        </w:rPr>
      </w:pPr>
      <w:r w:rsidRPr="00E03546">
        <w:rPr>
          <w:rFonts w:ascii="Verdana" w:eastAsia="Times New Roman" w:hAnsi="Verdana" w:cs="Arial"/>
          <w:color w:val="000000"/>
          <w:sz w:val="20"/>
          <w:szCs w:val="20"/>
          <w:lang w:eastAsia="es-CO"/>
        </w:rPr>
        <w:t>“[…] si bien es cierto en la mayoría de los casos el plazo del contrato coincide con el de ejecución de la obra, con la entrega del suministro, con la prestación del servicio, también lo es, que este plazo no constituye propiamente hablando el periodo de ejecución del contrato porque al finalizar el plazo que se ha destinado para el cumplimiento de la obligación principal por parte del contratista las partes no quedan liberadas de pleno derecho mientras no se extingan todas las obligaciones adquiridas, lo cual se cumple necesariamente en la etapa de liquidación del contrato en la cual es donde la administración puede valorar el cumplimiento total de las obligaciones a cargo del contratista y es la que le pone término a la vinculación de las partes”</w:t>
      </w:r>
      <w:r w:rsidRPr="00E03546">
        <w:rPr>
          <w:rFonts w:ascii="Verdana" w:eastAsia="Times New Roman" w:hAnsi="Verdana" w:cs="Arial"/>
          <w:color w:val="000000"/>
          <w:sz w:val="20"/>
          <w:szCs w:val="20"/>
          <w:vertAlign w:val="superscript"/>
          <w:lang w:eastAsia="es-CO"/>
        </w:rPr>
        <w:footnoteReference w:id="4"/>
      </w:r>
      <w:r w:rsidRPr="00E03546">
        <w:rPr>
          <w:rFonts w:ascii="Verdana" w:eastAsia="Times New Roman" w:hAnsi="Verdana" w:cs="Arial"/>
          <w:color w:val="000000"/>
          <w:sz w:val="20"/>
          <w:szCs w:val="20"/>
          <w:lang w:eastAsia="es-CO"/>
        </w:rPr>
        <w:t>.</w:t>
      </w:r>
    </w:p>
    <w:p w14:paraId="44C4A24D" w14:textId="77777777" w:rsidR="005F334A" w:rsidRPr="00E03546" w:rsidRDefault="005F334A" w:rsidP="005F334A">
      <w:pPr>
        <w:spacing w:after="0" w:line="276" w:lineRule="auto"/>
        <w:jc w:val="both"/>
        <w:rPr>
          <w:rFonts w:ascii="Verdana" w:eastAsia="Times New Roman" w:hAnsi="Verdana" w:cs="Arial"/>
          <w:color w:val="000000"/>
          <w:lang w:eastAsia="es-CO"/>
        </w:rPr>
      </w:pPr>
    </w:p>
    <w:p w14:paraId="46933904" w14:textId="77777777" w:rsidR="005F334A" w:rsidRPr="00E03546" w:rsidRDefault="005F334A" w:rsidP="005F334A">
      <w:pPr>
        <w:spacing w:after="0" w:line="276" w:lineRule="auto"/>
        <w:ind w:firstLine="709"/>
        <w:jc w:val="both"/>
        <w:rPr>
          <w:rFonts w:ascii="Verdana" w:eastAsia="Times New Roman" w:hAnsi="Verdana" w:cs="Arial"/>
          <w:color w:val="000000"/>
          <w:lang w:eastAsia="es-CO"/>
        </w:rPr>
      </w:pPr>
      <w:r w:rsidRPr="00E03546">
        <w:rPr>
          <w:rFonts w:ascii="Verdana" w:eastAsia="Times New Roman" w:hAnsi="Verdana" w:cs="Arial"/>
          <w:color w:val="000000"/>
          <w:lang w:eastAsia="es-CO"/>
        </w:rPr>
        <w:t xml:space="preserve">Así, la cobertura mínima del amparo de cumplimiento cubre el </w:t>
      </w:r>
      <w:r w:rsidRPr="00E03546">
        <w:rPr>
          <w:rFonts w:ascii="Verdana" w:eastAsia="Times New Roman" w:hAnsi="Verdana" w:cs="Arial"/>
          <w:i/>
          <w:iCs/>
          <w:color w:val="000000"/>
          <w:lang w:eastAsia="es-CO"/>
        </w:rPr>
        <w:t>plazo de ejecución</w:t>
      </w:r>
      <w:r w:rsidRPr="00E03546">
        <w:rPr>
          <w:rFonts w:ascii="Verdana" w:eastAsia="Times New Roman" w:hAnsi="Verdana" w:cs="Arial"/>
          <w:color w:val="000000"/>
          <w:lang w:eastAsia="es-CO"/>
        </w:rPr>
        <w:t xml:space="preserve"> y el </w:t>
      </w:r>
      <w:r w:rsidRPr="00E03546">
        <w:rPr>
          <w:rFonts w:ascii="Verdana" w:eastAsia="Times New Roman" w:hAnsi="Verdana" w:cs="Arial"/>
          <w:i/>
          <w:iCs/>
          <w:color w:val="000000"/>
          <w:lang w:eastAsia="es-CO"/>
        </w:rPr>
        <w:t>plazo de vigencia</w:t>
      </w:r>
      <w:r w:rsidRPr="00E03546">
        <w:rPr>
          <w:rFonts w:ascii="Verdana" w:eastAsia="Times New Roman" w:hAnsi="Verdana" w:cs="Arial"/>
          <w:color w:val="000000"/>
          <w:lang w:eastAsia="es-CO"/>
        </w:rPr>
        <w:t>, el cual finaliza con la liquidación. En palabras de la doctrina, “[…] el contratista deberá otorgarla con una vigencia igual al plazo del contrato garantizado más el plazo contractual previsto para la liquidación de aquel. En caso de no haberse convenido por las partes un término para la liquidación del contrato, la garantía deberá mantenerse vigente por el término legal previsto para este efecto […]”</w:t>
      </w:r>
      <w:r w:rsidRPr="00E03546">
        <w:rPr>
          <w:rFonts w:ascii="Verdana" w:eastAsia="Times New Roman" w:hAnsi="Verdana" w:cs="Arial"/>
          <w:color w:val="000000"/>
          <w:vertAlign w:val="superscript"/>
          <w:lang w:eastAsia="es-CO"/>
        </w:rPr>
        <w:footnoteReference w:id="5"/>
      </w:r>
      <w:r w:rsidRPr="00E03546">
        <w:rPr>
          <w:rFonts w:ascii="Verdana" w:eastAsia="Times New Roman" w:hAnsi="Verdana" w:cs="Arial"/>
          <w:color w:val="000000"/>
          <w:lang w:eastAsia="es-CO"/>
        </w:rPr>
        <w:t>. Teniendo en cuenta lo anterior, corresponde analizar los plazos para liquidar los contratos estatales, aspecto que se abordará en el siguiente apartado.</w:t>
      </w:r>
    </w:p>
    <w:p w14:paraId="18FF2E84" w14:textId="77777777" w:rsidR="005F334A" w:rsidRPr="00E03546" w:rsidRDefault="005F334A" w:rsidP="005F334A">
      <w:pPr>
        <w:spacing w:after="0" w:line="276" w:lineRule="auto"/>
        <w:ind w:firstLine="709"/>
        <w:jc w:val="both"/>
        <w:rPr>
          <w:rFonts w:ascii="Verdana" w:eastAsia="Times New Roman" w:hAnsi="Verdana" w:cs="Arial"/>
          <w:color w:val="000000"/>
          <w:lang w:eastAsia="es-CO"/>
        </w:rPr>
      </w:pPr>
    </w:p>
    <w:p w14:paraId="10A82C30" w14:textId="77777777" w:rsidR="005F334A" w:rsidRPr="00E03546" w:rsidRDefault="005F334A" w:rsidP="005F334A">
      <w:pPr>
        <w:spacing w:after="0" w:line="276" w:lineRule="auto"/>
        <w:jc w:val="both"/>
        <w:rPr>
          <w:rFonts w:ascii="Verdana" w:eastAsia="Calibri" w:hAnsi="Verdana" w:cs="Arial"/>
          <w:lang w:val="es-ES"/>
        </w:rPr>
      </w:pPr>
      <w:r w:rsidRPr="00E03546">
        <w:rPr>
          <w:rFonts w:ascii="Verdana" w:eastAsia="Calibri" w:hAnsi="Verdana" w:cs="Arial"/>
          <w:lang w:val="es-ES"/>
        </w:rPr>
        <w:lastRenderedPageBreak/>
        <w:t xml:space="preserve">La liquidación del contrato estatal es el ajuste de cuentas en el cual se realiza un balance económico, técnico y jurídico del negocio. Así lo manifestó el Consejo de Estado en la sentencia del 20 de octubre de 2014, en la que consideró, por un lado, que </w:t>
      </w:r>
      <w:r w:rsidRPr="00E03546">
        <w:rPr>
          <w:rFonts w:ascii="Verdana" w:eastAsia="Calibri" w:hAnsi="Verdana" w:cs="Arial"/>
          <w:i/>
          <w:lang w:val="es-ES"/>
        </w:rPr>
        <w:t>liquidar</w:t>
      </w:r>
      <w:r w:rsidRPr="00E03546">
        <w:rPr>
          <w:rFonts w:ascii="Verdana" w:eastAsia="Calibri" w:hAnsi="Verdana" w:cs="Arial"/>
          <w:lang w:val="es-ES"/>
        </w:rPr>
        <w:t xml:space="preserve"> supone un ajuste en relación con las cuentas y el estado de cumplimiento del contrato estatal y, por otro, que la </w:t>
      </w:r>
      <w:r w:rsidRPr="00E03546">
        <w:rPr>
          <w:rFonts w:ascii="Verdana" w:eastAsia="Calibri" w:hAnsi="Verdana" w:cs="Arial"/>
          <w:i/>
          <w:lang w:val="es-ES"/>
        </w:rPr>
        <w:t>liquidación</w:t>
      </w:r>
      <w:r w:rsidRPr="00E03546">
        <w:rPr>
          <w:rFonts w:ascii="Verdana" w:eastAsia="Calibri" w:hAnsi="Verdana" w:cs="Arial"/>
          <w:lang w:val="es-ES"/>
        </w:rPr>
        <w:t xml:space="preserve"> debe incluir el análisis de las condiciones de calidad y oportunidad en la entrega de los bienes, obras o servicios, así como el balance económico y el comportamiento financiero del negocio</w:t>
      </w:r>
      <w:r w:rsidRPr="00E03546">
        <w:rPr>
          <w:rFonts w:ascii="Verdana" w:eastAsia="Calibri" w:hAnsi="Verdana" w:cs="Arial"/>
          <w:vertAlign w:val="superscript"/>
          <w:lang w:val="es-ES"/>
        </w:rPr>
        <w:footnoteReference w:id="6"/>
      </w:r>
      <w:r w:rsidRPr="00E03546">
        <w:rPr>
          <w:rFonts w:ascii="Verdana" w:eastAsia="Calibri" w:hAnsi="Verdana" w:cs="Arial"/>
          <w:lang w:val="es-ES"/>
        </w:rPr>
        <w:t>. En tal sentido, explica:</w:t>
      </w:r>
    </w:p>
    <w:p w14:paraId="1EB3E3B0" w14:textId="77777777" w:rsidR="005F334A" w:rsidRPr="00E03546" w:rsidRDefault="005F334A" w:rsidP="005F334A">
      <w:pPr>
        <w:spacing w:after="0" w:line="276" w:lineRule="auto"/>
        <w:ind w:firstLine="708"/>
        <w:jc w:val="both"/>
        <w:rPr>
          <w:rFonts w:ascii="Verdana" w:eastAsia="Calibri" w:hAnsi="Verdana" w:cs="Arial"/>
          <w:lang w:val="es-ES_tradnl"/>
        </w:rPr>
      </w:pPr>
    </w:p>
    <w:p w14:paraId="76329DE4" w14:textId="77777777" w:rsidR="005F334A" w:rsidRPr="00E03546" w:rsidRDefault="005F334A" w:rsidP="005F334A">
      <w:pPr>
        <w:spacing w:after="0" w:line="276" w:lineRule="auto"/>
        <w:ind w:left="709" w:right="709"/>
        <w:jc w:val="both"/>
        <w:rPr>
          <w:rFonts w:ascii="Verdana" w:eastAsia="Calibri" w:hAnsi="Verdana" w:cs="Arial"/>
          <w:sz w:val="20"/>
          <w:szCs w:val="20"/>
          <w:lang w:val="es-ES_tradnl"/>
        </w:rPr>
      </w:pPr>
      <w:r w:rsidRPr="00E03546">
        <w:rPr>
          <w:rFonts w:ascii="Verdana" w:eastAsia="Calibri" w:hAnsi="Verdana" w:cs="Arial"/>
          <w:sz w:val="20"/>
          <w:szCs w:val="20"/>
          <w:lang w:val="es-ES_tradnl"/>
        </w:rPr>
        <w:t>“[…]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r w:rsidRPr="00E03546">
        <w:rPr>
          <w:rFonts w:ascii="Verdana" w:eastAsia="Calibri" w:hAnsi="Verdana" w:cs="Arial"/>
          <w:sz w:val="20"/>
          <w:szCs w:val="20"/>
          <w:vertAlign w:val="superscript"/>
          <w:lang w:val="es-ES_tradnl"/>
        </w:rPr>
        <w:footnoteReference w:id="7"/>
      </w:r>
      <w:r w:rsidRPr="00E03546">
        <w:rPr>
          <w:rFonts w:ascii="Verdana" w:eastAsia="Calibri" w:hAnsi="Verdana" w:cs="Arial"/>
          <w:sz w:val="20"/>
          <w:szCs w:val="20"/>
          <w:lang w:val="es-ES_tradnl"/>
        </w:rPr>
        <w:t>.</w:t>
      </w:r>
    </w:p>
    <w:p w14:paraId="0EE0348F" w14:textId="77777777" w:rsidR="005F334A" w:rsidRPr="00E03546" w:rsidRDefault="005F334A" w:rsidP="005F334A">
      <w:pPr>
        <w:spacing w:after="0" w:line="276" w:lineRule="auto"/>
        <w:ind w:left="709" w:right="709"/>
        <w:jc w:val="both"/>
        <w:rPr>
          <w:rFonts w:ascii="Verdana" w:eastAsia="Calibri" w:hAnsi="Verdana" w:cs="Arial"/>
          <w:lang w:val="es-ES_tradnl"/>
        </w:rPr>
      </w:pPr>
    </w:p>
    <w:p w14:paraId="4A4D07D3" w14:textId="77777777" w:rsidR="005F334A" w:rsidRPr="00E03546" w:rsidRDefault="005F334A" w:rsidP="005F334A">
      <w:pPr>
        <w:spacing w:after="120" w:line="276" w:lineRule="auto"/>
        <w:ind w:right="-68" w:firstLine="708"/>
        <w:jc w:val="both"/>
        <w:rPr>
          <w:rFonts w:ascii="Verdana" w:eastAsia="Times New Roman" w:hAnsi="Verdana" w:cs="Arial"/>
          <w:lang w:val="es-ES_tradnl" w:eastAsia="es-ES"/>
        </w:rPr>
      </w:pPr>
      <w:r w:rsidRPr="00E03546">
        <w:rPr>
          <w:rFonts w:ascii="Verdana" w:eastAsia="Times New Roman" w:hAnsi="Verdana" w:cs="Arial"/>
          <w:lang w:val="es-ES_tradnl" w:eastAsia="es-ES"/>
        </w:rPr>
        <w:t xml:space="preserve">Las disposiciones legales que regulan la etapa de liquidación de los contratos estatales son: el artículo 60 de la Ley 80 de 1993, modificado por el artículo 217 del Decreto 019 de 2012, y el artículo 11 de la Ley 1150 de 2007. El primero de estos artículos se refiere al alcance sustantivo de la liquidación, mientras que el segundo contiene reglas procedimentales para su realización. De acuerdo con el artículo 60 de la Ley 80 de 1993, los contratos de tracto sucesivo, aquellos cuyo cumplimiento o ejecución se prolongue en el tiempo y los demás que lo requieran “serán objeto de liquidación”. El mismo artículo prescribe que no será obligatoria la liquidación en los contratos de prestación de servicios </w:t>
      </w:r>
      <w:r w:rsidRPr="00E03546">
        <w:rPr>
          <w:rFonts w:ascii="Verdana" w:eastAsia="Times New Roman" w:hAnsi="Verdana" w:cs="Arial"/>
          <w:lang w:val="es-ES_tradnl" w:eastAsia="es-ES"/>
        </w:rPr>
        <w:lastRenderedPageBreak/>
        <w:t>profesionales y de apoyo a la gestión. El artículo 11 de la Ley 1150 de 2007</w:t>
      </w:r>
      <w:r w:rsidRPr="00E03546">
        <w:rPr>
          <w:rFonts w:ascii="Verdana" w:eastAsia="Times New Roman" w:hAnsi="Verdana" w:cs="Arial"/>
          <w:vertAlign w:val="superscript"/>
          <w:lang w:val="es-ES_tradnl" w:eastAsia="es-ES"/>
        </w:rPr>
        <w:footnoteReference w:id="8"/>
      </w:r>
      <w:r w:rsidRPr="00E03546">
        <w:rPr>
          <w:rFonts w:ascii="Verdana" w:eastAsia="Times New Roman" w:hAnsi="Verdana" w:cs="Arial"/>
          <w:lang w:val="es-ES_tradnl" w:eastAsia="es-ES"/>
        </w:rPr>
        <w:t xml:space="preserve"> contiene las reglas de tipo procedimental para liquidar los contratos estatales, que se pasan a explicar. </w:t>
      </w:r>
    </w:p>
    <w:p w14:paraId="0831F423" w14:textId="77777777" w:rsidR="005F334A" w:rsidRPr="00E03546" w:rsidRDefault="005F334A" w:rsidP="005F334A">
      <w:pPr>
        <w:spacing w:after="120" w:line="276" w:lineRule="auto"/>
        <w:ind w:firstLine="709"/>
        <w:jc w:val="both"/>
        <w:rPr>
          <w:rFonts w:ascii="Verdana" w:eastAsia="Calibri" w:hAnsi="Verdana" w:cs="Arial"/>
          <w:lang w:val="es-ES"/>
        </w:rPr>
      </w:pPr>
      <w:r w:rsidRPr="00E03546">
        <w:rPr>
          <w:rFonts w:ascii="Verdana" w:eastAsia="Calibri" w:hAnsi="Verdana" w:cs="Arial"/>
          <w:lang w:val="es-ES"/>
        </w:rPr>
        <w:t xml:space="preserve">En primer lugar, en ejercicio de la autonomía de la voluntad y de conformidad con la naturaleza, el objeto y el plazo del contrato, la entidad estatal puede definir en el pliego de condiciones o el documento equivalente el plazo para efectuar la liquidación de mutuo acuerdo. Al respecto, el artículo 11 de la Ley 1150 de 2007 señala que la liquidación de mutuo acuerdo se deberá realizar dentro del plazo previsto en “los pliegos de condiciones o sus equivalentes, o dentro del que acuerden las partes para el efecto”. De otro lado, cuando el artículo 11 de la Ley 1150 de 2007 hace referencia al término que “acuerden las partes” para la liquidación de mutuo acuerdo, claramente está habilitando a las partes para que, en ejercicio de la autonomía de la voluntad que les asiste, prevean de común acuerdo un plazo para la liquidación bilateral, el cual, en principio, debe estar recogido en el contrato, al ser este el acto jurídico bilateral en el que se consigna originalmente la voluntad de las partes. </w:t>
      </w:r>
    </w:p>
    <w:p w14:paraId="7F6F84F4" w14:textId="77777777" w:rsidR="005F334A" w:rsidRPr="00E03546" w:rsidRDefault="005F334A" w:rsidP="005F334A">
      <w:pPr>
        <w:spacing w:after="0" w:line="276" w:lineRule="auto"/>
        <w:ind w:firstLine="709"/>
        <w:jc w:val="both"/>
        <w:rPr>
          <w:rFonts w:ascii="Verdana" w:eastAsia="Calibri" w:hAnsi="Verdana" w:cs="Arial"/>
          <w:lang w:val="es-ES"/>
        </w:rPr>
      </w:pPr>
      <w:r w:rsidRPr="00E03546">
        <w:rPr>
          <w:rFonts w:ascii="Verdana" w:eastAsia="Calibri" w:hAnsi="Verdana" w:cs="Arial"/>
          <w:lang w:val="es-ES"/>
        </w:rPr>
        <w:t xml:space="preserve">En segundo lugar, en ausencia de pacto, el artículo 11 de la Ley 1150 de 2007 dispone un término supletivo de cuatro (4) meses contados desde: i) el vencimiento del plazo previsto para la ejecución del contrato, </w:t>
      </w:r>
      <w:proofErr w:type="spellStart"/>
      <w:r w:rsidRPr="00E03546">
        <w:rPr>
          <w:rFonts w:ascii="Verdana" w:eastAsia="Calibri" w:hAnsi="Verdana" w:cs="Arial"/>
          <w:lang w:val="es-ES"/>
        </w:rPr>
        <w:t>ii</w:t>
      </w:r>
      <w:proofErr w:type="spellEnd"/>
      <w:r w:rsidRPr="00E03546">
        <w:rPr>
          <w:rFonts w:ascii="Verdana" w:eastAsia="Calibri" w:hAnsi="Verdana" w:cs="Arial"/>
          <w:lang w:val="es-ES"/>
        </w:rPr>
        <w:t xml:space="preserve">) la expedición del acto administrativo que ordene la terminación del contrato o </w:t>
      </w:r>
      <w:proofErr w:type="spellStart"/>
      <w:r w:rsidRPr="00E03546">
        <w:rPr>
          <w:rFonts w:ascii="Verdana" w:eastAsia="Calibri" w:hAnsi="Verdana" w:cs="Arial"/>
          <w:lang w:val="es-ES"/>
        </w:rPr>
        <w:t>iii</w:t>
      </w:r>
      <w:proofErr w:type="spellEnd"/>
      <w:r w:rsidRPr="00E03546">
        <w:rPr>
          <w:rFonts w:ascii="Verdana" w:eastAsia="Calibri" w:hAnsi="Verdana" w:cs="Arial"/>
          <w:lang w:val="es-ES"/>
        </w:rPr>
        <w:t xml:space="preserve">) la fecha del acuerdo que disponga la terminación del contrato.  Ahora bien, el término de cuatro (4) </w:t>
      </w:r>
      <w:proofErr w:type="gramStart"/>
      <w:r w:rsidRPr="00E03546">
        <w:rPr>
          <w:rFonts w:ascii="Verdana" w:eastAsia="Calibri" w:hAnsi="Verdana" w:cs="Arial"/>
          <w:lang w:val="es-ES"/>
        </w:rPr>
        <w:t>meses previsto</w:t>
      </w:r>
      <w:proofErr w:type="gramEnd"/>
      <w:r w:rsidRPr="00E03546">
        <w:rPr>
          <w:rFonts w:ascii="Verdana" w:eastAsia="Calibri" w:hAnsi="Verdana" w:cs="Arial"/>
          <w:lang w:val="es-ES"/>
        </w:rPr>
        <w:t xml:space="preserve"> en el artículo 11 de la Ley 1150 de 2007, dado su carácter supletivo, solo resulta aplicable ante la ausencia de regulación del </w:t>
      </w:r>
      <w:r w:rsidRPr="00E03546">
        <w:rPr>
          <w:rFonts w:ascii="Verdana" w:eastAsia="Calibri" w:hAnsi="Verdana" w:cs="Arial"/>
          <w:lang w:val="es-ES"/>
        </w:rPr>
        <w:lastRenderedPageBreak/>
        <w:t>mismo en el pliego de condiciones –documento equivalente– y ante la falta de acuerdo entre las partes en torno al plazo de liquidación bilateral. Durante este término el contratista puede solicitar que se adelante el trámite de liquidación. Sin embargo, es responsabilidad de la entidad estatal convocarlo para adelantar la liquidación de común acuerdo o notificarlo para que se presente a la liquidación</w:t>
      </w:r>
      <w:r w:rsidRPr="00E03546">
        <w:rPr>
          <w:rFonts w:ascii="Verdana" w:eastAsia="Calibri" w:hAnsi="Verdana" w:cs="Arial"/>
          <w:vertAlign w:val="superscript"/>
          <w:lang w:val="es-ES"/>
        </w:rPr>
        <w:footnoteReference w:id="9"/>
      </w:r>
      <w:r w:rsidRPr="00E03546">
        <w:rPr>
          <w:rFonts w:ascii="Verdana" w:eastAsia="Calibri" w:hAnsi="Verdana" w:cs="Arial"/>
          <w:lang w:val="es-ES"/>
        </w:rPr>
        <w:t>, de manera que el contrato pueda ser liquidado bilateralmente, bien sea en el plazo previsto en el pliego de condiciones, el acordado por las partes, o en los cuatro meses señalados en la Ley, según corresponda. Esta liquidación bilateral puede ser total o parcial</w:t>
      </w:r>
      <w:r w:rsidRPr="00E03546">
        <w:rPr>
          <w:rFonts w:ascii="Verdana" w:eastAsia="Calibri" w:hAnsi="Verdana" w:cs="Arial"/>
          <w:vertAlign w:val="superscript"/>
          <w:lang w:val="es-ES"/>
        </w:rPr>
        <w:footnoteReference w:id="10"/>
      </w:r>
      <w:r w:rsidRPr="00E03546">
        <w:rPr>
          <w:rFonts w:ascii="Verdana" w:eastAsia="Calibri" w:hAnsi="Verdana" w:cs="Arial"/>
          <w:lang w:val="es-ES"/>
        </w:rPr>
        <w:t>. Si no es posible efectuar la liquidación de manera bilateral en los términos anteriormente explicados, el ordenamiento jurídico prevé una habilitación competencial, de carácter subsidiario, para que la entidad estatal realice la liquidación unilateralmente. Sobre el punto, el Consejo de Estado ha señalado:</w:t>
      </w:r>
    </w:p>
    <w:p w14:paraId="744C8537" w14:textId="77777777" w:rsidR="005F334A" w:rsidRPr="00E03546" w:rsidRDefault="005F334A" w:rsidP="005F334A">
      <w:pPr>
        <w:spacing w:after="0" w:line="276" w:lineRule="auto"/>
        <w:ind w:left="709" w:right="760"/>
        <w:jc w:val="both"/>
        <w:rPr>
          <w:rFonts w:ascii="Verdana" w:eastAsia="Times New Roman" w:hAnsi="Verdana" w:cs="Arial"/>
          <w:lang w:val="es-ES_tradnl" w:eastAsia="es-ES"/>
        </w:rPr>
      </w:pPr>
    </w:p>
    <w:p w14:paraId="369F837F" w14:textId="77777777" w:rsidR="005F334A" w:rsidRPr="00E03546" w:rsidRDefault="005F334A" w:rsidP="005F334A">
      <w:pPr>
        <w:spacing w:after="0" w:line="276" w:lineRule="auto"/>
        <w:ind w:left="709" w:right="709"/>
        <w:jc w:val="both"/>
        <w:rPr>
          <w:rFonts w:ascii="Verdana" w:eastAsia="Times New Roman" w:hAnsi="Verdana" w:cs="Arial"/>
          <w:sz w:val="20"/>
          <w:szCs w:val="20"/>
          <w:lang w:val="es-ES_tradnl" w:eastAsia="es-ES"/>
        </w:rPr>
      </w:pPr>
      <w:r w:rsidRPr="00E03546">
        <w:rPr>
          <w:rFonts w:ascii="Verdana" w:eastAsia="Times New Roman" w:hAnsi="Verdana" w:cs="Arial"/>
          <w:sz w:val="20"/>
          <w:szCs w:val="20"/>
          <w:lang w:val="es-ES_tradnl" w:eastAsia="es-ES"/>
        </w:rPr>
        <w:t>“Al respecto se debe tener en cuenta que la liquidación unilateral es subsidiaria o supletoria frente a la bilateral, dado que el contratista tiene derecho a acordar la liquidación, debidamente reconocido por el ordenamiento jurídico. Para tal efecto, el contratista debe ser convocado o citado por la entidad contratante con el fin de intentar la liquidación bilateral, puesto que en el supuesto caso de que no sea así, la liquidación unilateral posterior que llegase a practicar la administración resultaría inválida, dado que no tendría competencia material para hacerla y por cuanto su adopción con tal omisión vulneraría el derecho del contratista al debido proceso y sus corolarios de defensa y contradicción y, además, configuraría un abuso de poder”</w:t>
      </w:r>
      <w:r w:rsidRPr="00E03546">
        <w:rPr>
          <w:rFonts w:ascii="Verdana" w:eastAsia="Times New Roman" w:hAnsi="Verdana" w:cs="Arial"/>
          <w:sz w:val="20"/>
          <w:szCs w:val="20"/>
          <w:vertAlign w:val="superscript"/>
          <w:lang w:val="es-ES_tradnl" w:eastAsia="es-ES"/>
        </w:rPr>
        <w:footnoteReference w:id="11"/>
      </w:r>
      <w:r w:rsidRPr="00E03546">
        <w:rPr>
          <w:rFonts w:ascii="Verdana" w:eastAsia="Times New Roman" w:hAnsi="Verdana" w:cs="Arial"/>
          <w:sz w:val="20"/>
          <w:szCs w:val="20"/>
          <w:lang w:val="es-ES_tradnl" w:eastAsia="es-ES"/>
        </w:rPr>
        <w:t xml:space="preserve">. </w:t>
      </w:r>
    </w:p>
    <w:p w14:paraId="20846400" w14:textId="77777777" w:rsidR="005F334A" w:rsidRPr="00E03546" w:rsidRDefault="005F334A" w:rsidP="005F334A">
      <w:pPr>
        <w:spacing w:after="0" w:line="276" w:lineRule="auto"/>
        <w:ind w:left="709" w:right="760"/>
        <w:jc w:val="both"/>
        <w:rPr>
          <w:rFonts w:ascii="Verdana" w:eastAsia="Times New Roman" w:hAnsi="Verdana" w:cs="Arial"/>
          <w:lang w:val="es-ES_tradnl" w:eastAsia="es-ES"/>
        </w:rPr>
      </w:pPr>
    </w:p>
    <w:p w14:paraId="11FD04B5" w14:textId="77777777" w:rsidR="005F334A" w:rsidRPr="00E03546" w:rsidRDefault="005F334A" w:rsidP="005F334A">
      <w:pPr>
        <w:spacing w:after="0" w:line="276" w:lineRule="auto"/>
        <w:ind w:right="-68" w:firstLine="709"/>
        <w:jc w:val="both"/>
        <w:rPr>
          <w:rFonts w:ascii="Verdana" w:eastAsia="Times New Roman" w:hAnsi="Verdana" w:cs="Arial"/>
          <w:lang w:val="es-ES" w:eastAsia="es-ES"/>
        </w:rPr>
      </w:pPr>
      <w:r w:rsidRPr="00E03546">
        <w:rPr>
          <w:rFonts w:ascii="Verdana" w:eastAsia="Times New Roman" w:hAnsi="Verdana" w:cs="Arial"/>
          <w:lang w:val="es-ES" w:eastAsia="es-ES"/>
        </w:rPr>
        <w:t xml:space="preserve">Por lo tanto, si no se logra la liquidación bilateral del contrato en el término convencional o subsidiario, la entidad estatal tiene la facultad de liquidarlo unilateralmente durante el término de dos (2) meses contados a partir del </w:t>
      </w:r>
      <w:r w:rsidRPr="00E03546">
        <w:rPr>
          <w:rFonts w:ascii="Verdana" w:eastAsia="Times New Roman" w:hAnsi="Verdana" w:cs="Arial"/>
          <w:lang w:val="es-ES" w:eastAsia="es-ES"/>
        </w:rPr>
        <w:lastRenderedPageBreak/>
        <w:t>vencimiento del plazo que acuerden las partes para liquidar bilateralmente, o ante el silencio de estas, del vencimiento de los cuatro (4) meses establecidos por la ley</w:t>
      </w:r>
      <w:r w:rsidRPr="00E03546">
        <w:rPr>
          <w:rFonts w:ascii="Verdana" w:eastAsia="Times New Roman" w:hAnsi="Verdana" w:cs="Arial"/>
          <w:vertAlign w:val="superscript"/>
          <w:lang w:val="es-ES" w:eastAsia="es-ES"/>
        </w:rPr>
        <w:footnoteReference w:id="12"/>
      </w:r>
      <w:r w:rsidRPr="00E03546">
        <w:rPr>
          <w:rFonts w:ascii="Verdana" w:eastAsia="Times New Roman" w:hAnsi="Verdana" w:cs="Arial"/>
          <w:lang w:val="es-ES" w:eastAsia="es-ES"/>
        </w:rPr>
        <w:t xml:space="preserve">. Finalmente, transcurridos estos dos (2) meses, sin que se haya efectuado, la liquidación podrá realizarse en cualquier tiempo dentro de los dos años siguientes al vencimiento del término referido. Durante estos dos años la liquidación podrá hacerse de mutuo acuerdo, unilateralmente por la entidad, o podrá ser solicitada judicialmente. En este sentido, en decisión de unificación, el Consejo de Estado dijo: </w:t>
      </w:r>
    </w:p>
    <w:p w14:paraId="32AA49C7" w14:textId="77777777" w:rsidR="005F334A" w:rsidRPr="00E03546" w:rsidRDefault="005F334A" w:rsidP="005F334A">
      <w:pPr>
        <w:spacing w:after="0" w:line="276" w:lineRule="auto"/>
        <w:ind w:left="709" w:right="760"/>
        <w:jc w:val="both"/>
        <w:rPr>
          <w:rFonts w:ascii="Verdana" w:eastAsia="Times New Roman" w:hAnsi="Verdana" w:cs="Arial"/>
          <w:sz w:val="20"/>
          <w:szCs w:val="20"/>
          <w:lang w:val="es-ES_tradnl" w:eastAsia="es-ES"/>
        </w:rPr>
      </w:pPr>
    </w:p>
    <w:p w14:paraId="49DD2FB5" w14:textId="77777777" w:rsidR="005F334A" w:rsidRPr="00E03546" w:rsidRDefault="005F334A" w:rsidP="005F334A">
      <w:pPr>
        <w:spacing w:after="0" w:line="276" w:lineRule="auto"/>
        <w:ind w:left="709" w:right="709"/>
        <w:jc w:val="both"/>
        <w:rPr>
          <w:rFonts w:ascii="Verdana" w:eastAsia="Times New Roman" w:hAnsi="Verdana" w:cs="Arial"/>
          <w:sz w:val="20"/>
          <w:szCs w:val="20"/>
          <w:lang w:val="es-ES" w:eastAsia="es-ES"/>
        </w:rPr>
      </w:pPr>
      <w:r w:rsidRPr="00E03546">
        <w:rPr>
          <w:rFonts w:ascii="Verdana" w:eastAsia="Times New Roman" w:hAnsi="Verdana" w:cs="Arial"/>
          <w:sz w:val="20"/>
          <w:szCs w:val="20"/>
          <w:lang w:val="es-ES" w:eastAsia="es-ES"/>
        </w:rPr>
        <w:t xml:space="preserve">“Como pudo apreciarse, este precepto legal permite que la liquidación bilateral se acuerde después del vencimiento del término pactado en el contrato o previsto en los documentos antepuestos, o, del término supletorio que para la concertación de la liquidación establece la ley, e  incluso, después de haber pasado los dos meses subsiguientes a dicho vencimiento sin que la administración lo hubiera liquidado unilateralmente, bajo condición de que el acuerdo </w:t>
      </w:r>
      <w:proofErr w:type="spellStart"/>
      <w:r w:rsidRPr="00E03546">
        <w:rPr>
          <w:rFonts w:ascii="Verdana" w:eastAsia="Times New Roman" w:hAnsi="Verdana" w:cs="Arial"/>
          <w:sz w:val="20"/>
          <w:szCs w:val="20"/>
          <w:lang w:val="es-ES" w:eastAsia="es-ES"/>
        </w:rPr>
        <w:t>liquidatorio</w:t>
      </w:r>
      <w:proofErr w:type="spellEnd"/>
      <w:r w:rsidRPr="00E03546">
        <w:rPr>
          <w:rFonts w:ascii="Verdana" w:eastAsia="Times New Roman" w:hAnsi="Verdana" w:cs="Arial"/>
          <w:sz w:val="20"/>
          <w:szCs w:val="20"/>
          <w:lang w:val="es-ES" w:eastAsia="es-ES"/>
        </w:rPr>
        <w:t xml:space="preserve"> se logre dentro del lapso de dos años contados a partir del vencimiento del término legalmente conocido para la liquidación unilateral, pues ese es el lapso que el ordenamiento ha fijado para el ejercicio oportuno de la acción”</w:t>
      </w:r>
      <w:r w:rsidRPr="00E03546">
        <w:rPr>
          <w:rFonts w:ascii="Verdana" w:eastAsia="Times New Roman" w:hAnsi="Verdana" w:cs="Arial"/>
          <w:sz w:val="20"/>
          <w:szCs w:val="20"/>
          <w:vertAlign w:val="superscript"/>
          <w:lang w:val="es-ES" w:eastAsia="es-ES"/>
        </w:rPr>
        <w:footnoteReference w:id="13"/>
      </w:r>
      <w:r w:rsidRPr="00E03546">
        <w:rPr>
          <w:rFonts w:ascii="Verdana" w:eastAsia="Times New Roman" w:hAnsi="Verdana" w:cs="Arial"/>
          <w:sz w:val="20"/>
          <w:szCs w:val="20"/>
          <w:lang w:val="es-ES" w:eastAsia="es-ES"/>
        </w:rPr>
        <w:t>.</w:t>
      </w:r>
    </w:p>
    <w:p w14:paraId="457C197B" w14:textId="77777777" w:rsidR="005F334A" w:rsidRPr="00E03546" w:rsidRDefault="005F334A" w:rsidP="005F334A">
      <w:pPr>
        <w:spacing w:after="0" w:line="276" w:lineRule="auto"/>
        <w:ind w:left="709" w:right="760"/>
        <w:jc w:val="both"/>
        <w:rPr>
          <w:rFonts w:ascii="Verdana" w:eastAsia="Times New Roman" w:hAnsi="Verdana" w:cs="Arial"/>
          <w:lang w:val="es-ES_tradnl" w:eastAsia="es-ES"/>
        </w:rPr>
      </w:pPr>
    </w:p>
    <w:p w14:paraId="44EA5EA6" w14:textId="77777777" w:rsidR="005F334A" w:rsidRPr="00E03546" w:rsidRDefault="005F334A" w:rsidP="005F334A">
      <w:pPr>
        <w:spacing w:after="120" w:line="276" w:lineRule="auto"/>
        <w:jc w:val="both"/>
        <w:rPr>
          <w:rFonts w:ascii="Verdana" w:eastAsia="Calibri" w:hAnsi="Verdana" w:cs="Arial"/>
          <w:lang w:val="es-ES_tradnl"/>
        </w:rPr>
      </w:pPr>
      <w:r w:rsidRPr="00E03546">
        <w:rPr>
          <w:rFonts w:ascii="Verdana" w:eastAsia="Calibri" w:hAnsi="Verdana" w:cs="Arial"/>
          <w:lang w:val="es-ES_tradnl"/>
        </w:rPr>
        <w:tab/>
        <w:t>Así las cosas,</w:t>
      </w:r>
      <w:r w:rsidRPr="00E03546">
        <w:rPr>
          <w:rFonts w:ascii="Verdana" w:eastAsia="Calibri" w:hAnsi="Verdana" w:cs="Arial"/>
          <w:lang w:val="es-ES_tradnl"/>
        </w:rPr>
        <w:tab/>
        <w:t>es claro que el ordenamiento jurídico vigente permite la liquidación unilateral o bilateral, una vez vencido el plazo de dos meses para la liquidación unilateral de que trata el inciso segundo del artículo 11 de la Ley 1150 de 2007, siempre y cuando la liquidación se realice dentro del plazo de dos años “a partir del vencimiento del término legalmente conocido para la liquidación unilateral, pues este es el lapso que el ordenamiento ha fijado para el ejercicio oportuno de la acción”</w:t>
      </w:r>
      <w:r w:rsidRPr="00E03546">
        <w:rPr>
          <w:rFonts w:ascii="Verdana" w:eastAsia="Calibri" w:hAnsi="Verdana" w:cs="Arial"/>
          <w:vertAlign w:val="superscript"/>
          <w:lang w:val="es-ES_tradnl"/>
        </w:rPr>
        <w:footnoteReference w:id="14"/>
      </w:r>
      <w:r w:rsidRPr="00E03546">
        <w:rPr>
          <w:rFonts w:ascii="Verdana" w:eastAsia="Calibri" w:hAnsi="Verdana" w:cs="Arial"/>
          <w:lang w:val="es-ES_tradnl"/>
        </w:rPr>
        <w:t xml:space="preserve">. </w:t>
      </w:r>
    </w:p>
    <w:p w14:paraId="6E3DCD69" w14:textId="77777777" w:rsidR="005F334A" w:rsidRPr="00E03546" w:rsidRDefault="005F334A" w:rsidP="005F334A">
      <w:pPr>
        <w:spacing w:line="276" w:lineRule="auto"/>
        <w:ind w:firstLine="709"/>
        <w:jc w:val="both"/>
        <w:rPr>
          <w:rFonts w:ascii="Verdana" w:eastAsia="Calibri" w:hAnsi="Verdana" w:cs="Arial"/>
          <w:lang w:val="es-ES"/>
        </w:rPr>
      </w:pPr>
      <w:r w:rsidRPr="00E03546">
        <w:rPr>
          <w:rFonts w:ascii="Verdana" w:eastAsia="Calibri" w:hAnsi="Verdana" w:cs="Arial"/>
          <w:lang w:val="es-ES"/>
        </w:rPr>
        <w:t xml:space="preserve">En suma, de acuerdo con el artículo 11 de la Ley 1150 de 2007, existen tres (3) tipos de liquidación: i) bilateral, </w:t>
      </w:r>
      <w:proofErr w:type="spellStart"/>
      <w:r w:rsidRPr="00E03546">
        <w:rPr>
          <w:rFonts w:ascii="Verdana" w:eastAsia="Calibri" w:hAnsi="Verdana" w:cs="Arial"/>
          <w:lang w:val="es-ES"/>
        </w:rPr>
        <w:t>ii</w:t>
      </w:r>
      <w:proofErr w:type="spellEnd"/>
      <w:r w:rsidRPr="00E03546">
        <w:rPr>
          <w:rFonts w:ascii="Verdana" w:eastAsia="Calibri" w:hAnsi="Verdana" w:cs="Arial"/>
          <w:lang w:val="es-ES"/>
        </w:rPr>
        <w:t xml:space="preserve">) unilateral y </w:t>
      </w:r>
      <w:proofErr w:type="spellStart"/>
      <w:r w:rsidRPr="00E03546">
        <w:rPr>
          <w:rFonts w:ascii="Verdana" w:eastAsia="Calibri" w:hAnsi="Verdana" w:cs="Arial"/>
          <w:lang w:val="es-ES"/>
        </w:rPr>
        <w:t>iii</w:t>
      </w:r>
      <w:proofErr w:type="spellEnd"/>
      <w:r w:rsidRPr="00E03546">
        <w:rPr>
          <w:rFonts w:ascii="Verdana" w:eastAsia="Calibri" w:hAnsi="Verdana" w:cs="Arial"/>
          <w:lang w:val="es-ES"/>
        </w:rPr>
        <w:t xml:space="preserve">) judicial. En términos generales, la primera, que puede ser total o parcial, debe hacerse en el término que estipulen las partes o, en su defecto, dentro del término supletivo de cuatro </w:t>
      </w:r>
      <w:r w:rsidRPr="00E03546">
        <w:rPr>
          <w:rFonts w:ascii="Verdana" w:eastAsia="Calibri" w:hAnsi="Verdana" w:cs="Arial"/>
          <w:lang w:val="es-ES"/>
        </w:rPr>
        <w:lastRenderedPageBreak/>
        <w:t>(4) meses. La segunda se debe practicar dentro de los dos (2) meses siguientes al vencimiento del término que acuerden las partes, o ante el silencio de estas, luego de los cuatro (4) meses para realizar la liquidación bilateral, sin que esta se efectúe. Finalmente, la tercera la realiza la Jurisdicción de lo Contencioso Administrativo o un tribunal de arbitramento dentro de un proceso judicial de controversias contractuales, y puede darse con ocasión de una demanda del interesado solicitando dicha liquidación. Para ello, existe un plazo máximo de dos (2) años contados a partir de los dos meses establecidos en la Ley para realizar la liquidación unilateral, de conformidad con el citado auto de unificación jurisprudencial del Consejo de Estado.</w:t>
      </w:r>
    </w:p>
    <w:p w14:paraId="53FE1D72" w14:textId="77777777" w:rsidR="005F334A" w:rsidRPr="00E03546" w:rsidRDefault="005F334A" w:rsidP="005F334A">
      <w:pPr>
        <w:spacing w:after="0" w:line="276" w:lineRule="auto"/>
        <w:jc w:val="both"/>
        <w:rPr>
          <w:rFonts w:ascii="Verdana" w:eastAsia="Calibri" w:hAnsi="Verdana" w:cs="Arial"/>
        </w:rPr>
      </w:pPr>
    </w:p>
    <w:p w14:paraId="56BC7242" w14:textId="77777777" w:rsidR="005F334A" w:rsidRPr="00E03546" w:rsidRDefault="005F334A" w:rsidP="005F334A">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4. Referencias normativas, jurisprudenciales y otras fuentes:</w:t>
      </w:r>
    </w:p>
    <w:p w14:paraId="167831A2" w14:textId="77777777" w:rsidR="005F334A" w:rsidRPr="00E03546" w:rsidRDefault="005F334A" w:rsidP="005F334A">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F334A" w:rsidRPr="00E03546" w14:paraId="4AC991C4" w14:textId="77777777" w:rsidTr="009B078E">
        <w:trPr>
          <w:trHeight w:val="359"/>
        </w:trPr>
        <w:tc>
          <w:tcPr>
            <w:tcW w:w="8647" w:type="dxa"/>
          </w:tcPr>
          <w:p w14:paraId="1C14DDA9"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Ley 80 de 1993, artículo 60. Disponible en: </w:t>
            </w:r>
            <w:hyperlink r:id="rId12" w:history="1">
              <w:r w:rsidRPr="00E03546">
                <w:rPr>
                  <w:rFonts w:ascii="Verdana" w:eastAsia="Calibri" w:hAnsi="Verdana" w:cs="Arial"/>
                  <w:color w:val="0000FF"/>
                  <w:u w:val="single"/>
                </w:rPr>
                <w:t>https://relatoria.colombiacompra.gov.co/normativa/ley-80-de-1993/</w:t>
              </w:r>
            </w:hyperlink>
          </w:p>
          <w:p w14:paraId="67884CA5"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p>
          <w:p w14:paraId="72F1553E"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Ley 1150 de 2007, artículo 11. Disponible en: </w:t>
            </w:r>
            <w:hyperlink r:id="rId13" w:history="1">
              <w:r w:rsidRPr="00E03546">
                <w:rPr>
                  <w:rFonts w:ascii="Verdana" w:eastAsia="Calibri" w:hAnsi="Verdana" w:cs="Arial"/>
                  <w:color w:val="0000FF"/>
                  <w:u w:val="single"/>
                </w:rPr>
                <w:t>https://relatoria.colombiacompra.gov.co/normativa/ley-1150-de-2007/</w:t>
              </w:r>
            </w:hyperlink>
          </w:p>
          <w:p w14:paraId="2F601CAB"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Código de Comercio, artículo 1048. Disponible en: </w:t>
            </w:r>
            <w:hyperlink r:id="rId14" w:history="1">
              <w:r w:rsidRPr="00E03546">
                <w:rPr>
                  <w:rFonts w:ascii="Verdana" w:eastAsia="Calibri" w:hAnsi="Verdana" w:cs="Arial"/>
                  <w:color w:val="0000FF"/>
                  <w:u w:val="single"/>
                </w:rPr>
                <w:t>https://relatoria.colombiacompra.gov.co/normativa/codigo-de-comercio-decreto-410-de-1971/</w:t>
              </w:r>
            </w:hyperlink>
          </w:p>
          <w:p w14:paraId="15388A64"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p>
          <w:p w14:paraId="3521CFA2"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Decreto</w:t>
            </w:r>
            <w:r w:rsidRPr="00E03546">
              <w:rPr>
                <w:rFonts w:ascii="Verdana" w:eastAsia="Calibri" w:hAnsi="Verdana" w:cs="Arial"/>
              </w:rPr>
              <w:tab/>
              <w:t>1082</w:t>
            </w:r>
            <w:r w:rsidRPr="00E03546">
              <w:rPr>
                <w:rFonts w:ascii="Verdana" w:eastAsia="Calibri" w:hAnsi="Verdana" w:cs="Arial"/>
              </w:rPr>
              <w:tab/>
              <w:t>de</w:t>
            </w:r>
            <w:r w:rsidRPr="00E03546">
              <w:rPr>
                <w:rFonts w:ascii="Verdana" w:eastAsia="Calibri" w:hAnsi="Verdana" w:cs="Arial"/>
              </w:rPr>
              <w:tab/>
              <w:t>2015,</w:t>
            </w:r>
            <w:r w:rsidRPr="00E03546">
              <w:rPr>
                <w:rFonts w:ascii="Verdana" w:eastAsia="Calibri" w:hAnsi="Verdana" w:cs="Arial"/>
              </w:rPr>
              <w:tab/>
              <w:t>artículos</w:t>
            </w:r>
            <w:r w:rsidRPr="00E03546">
              <w:rPr>
                <w:rFonts w:ascii="Verdana" w:eastAsia="Calibri" w:hAnsi="Verdana" w:cs="Arial"/>
              </w:rPr>
              <w:tab/>
              <w:t>2.2.1.2.3.1.3,</w:t>
            </w:r>
            <w:r w:rsidRPr="00E03546">
              <w:rPr>
                <w:rFonts w:ascii="Verdana" w:eastAsia="Calibri" w:hAnsi="Verdana" w:cs="Arial"/>
              </w:rPr>
              <w:tab/>
              <w:t xml:space="preserve">2.2.1.2.3.1.7, 2.2.1.2.3.1.12. Disponible en: </w:t>
            </w:r>
            <w:hyperlink r:id="rId15" w:history="1">
              <w:r w:rsidRPr="00E03546">
                <w:rPr>
                  <w:rFonts w:ascii="Verdana" w:eastAsia="Calibri" w:hAnsi="Verdana" w:cs="Arial"/>
                  <w:color w:val="0000FF"/>
                  <w:u w:val="single"/>
                </w:rPr>
                <w:t>https://relatoria.colombiacompra.gov.co/normativa/decreto-1082-de-2015/</w:t>
              </w:r>
            </w:hyperlink>
          </w:p>
          <w:p w14:paraId="6D274141"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p>
          <w:p w14:paraId="15FF5ECA"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Sección Tercera. Subsección A. Sentencia del 12 de febrero de 2015. </w:t>
            </w:r>
            <w:proofErr w:type="spellStart"/>
            <w:r w:rsidRPr="00E03546">
              <w:rPr>
                <w:rFonts w:ascii="Verdana" w:eastAsia="Calibri" w:hAnsi="Verdana" w:cs="Arial"/>
              </w:rPr>
              <w:t>Exp</w:t>
            </w:r>
            <w:proofErr w:type="spellEnd"/>
            <w:r w:rsidRPr="00E03546">
              <w:rPr>
                <w:rFonts w:ascii="Verdana" w:eastAsia="Calibri" w:hAnsi="Verdana" w:cs="Arial"/>
              </w:rPr>
              <w:t xml:space="preserve">. 28278. C.P. Carlos Alberto Zambrano Barrera. Disponible: </w:t>
            </w:r>
            <w:hyperlink r:id="rId16" w:history="1">
              <w:r w:rsidRPr="00E03546">
                <w:rPr>
                  <w:rFonts w:ascii="Verdana" w:eastAsia="Calibri" w:hAnsi="Verdana" w:cs="Arial"/>
                  <w:color w:val="0000FF"/>
                  <w:u w:val="single"/>
                </w:rPr>
                <w:t>https://relatoria.colombiacompra.gov.co/providencias/25000-23-26-000-2003-00874-01_28278/</w:t>
              </w:r>
            </w:hyperlink>
          </w:p>
          <w:p w14:paraId="00E42EBF"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p>
          <w:p w14:paraId="4CE2142D"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Sección Tercera. Sentencia del 29 de julio de 2015. </w:t>
            </w:r>
            <w:proofErr w:type="spellStart"/>
            <w:r w:rsidRPr="00E03546">
              <w:rPr>
                <w:rFonts w:ascii="Verdana" w:eastAsia="Calibri" w:hAnsi="Verdana" w:cs="Arial"/>
              </w:rPr>
              <w:t>Exp</w:t>
            </w:r>
            <w:proofErr w:type="spellEnd"/>
            <w:r w:rsidRPr="00E03546">
              <w:rPr>
                <w:rFonts w:ascii="Verdana" w:eastAsia="Calibri" w:hAnsi="Verdana" w:cs="Arial"/>
              </w:rPr>
              <w:t xml:space="preserve">. 42.494. C.P. Jaime Orlando Santofimio Gamboa. Disponible en: </w:t>
            </w:r>
            <w:hyperlink r:id="rId17" w:history="1">
              <w:r w:rsidRPr="00E03546">
                <w:rPr>
                  <w:rFonts w:ascii="Verdana" w:eastAsia="Calibri" w:hAnsi="Verdana" w:cs="Arial"/>
                  <w:color w:val="0000FF"/>
                  <w:u w:val="single"/>
                </w:rPr>
                <w:t>https://relatoria.colombiacompra.gov.co/providencias/25000-23-26-</w:t>
              </w:r>
              <w:r w:rsidRPr="00E03546">
                <w:rPr>
                  <w:rFonts w:ascii="Verdana" w:eastAsia="Calibri" w:hAnsi="Verdana" w:cs="Arial"/>
                  <w:color w:val="0000FF"/>
                  <w:u w:val="single"/>
                </w:rPr>
                <w:lastRenderedPageBreak/>
                <w:t>000-2007-00108-01_42494/</w:t>
              </w:r>
            </w:hyperlink>
          </w:p>
          <w:p w14:paraId="182CE46F"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p>
          <w:p w14:paraId="0D442C5A"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CONSEJO DE ESTADO. Sección Tercera. Subsección C. Radicado No. 05001-23-31-000-1998-00038-01. Número Interno 27.777. M.P.</w:t>
            </w:r>
          </w:p>
          <w:p w14:paraId="0B662AC0"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r w:rsidRPr="00E03546">
              <w:rPr>
                <w:rFonts w:ascii="Verdana" w:eastAsia="Calibri" w:hAnsi="Verdana" w:cs="Arial"/>
              </w:rPr>
              <w:t>Enrique Gil Botero</w:t>
            </w:r>
          </w:p>
          <w:p w14:paraId="6982C81C" w14:textId="77777777" w:rsidR="005F334A" w:rsidRPr="00E03546" w:rsidRDefault="005F334A" w:rsidP="009B078E">
            <w:pPr>
              <w:widowControl w:val="0"/>
              <w:autoSpaceDE w:val="0"/>
              <w:autoSpaceDN w:val="0"/>
              <w:spacing w:after="120"/>
              <w:jc w:val="both"/>
              <w:rPr>
                <w:rFonts w:ascii="Verdana" w:eastAsia="Calibri" w:hAnsi="Verdana" w:cs="Arial"/>
              </w:rPr>
            </w:pPr>
          </w:p>
          <w:p w14:paraId="5943DB7F"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Sección Tercera. Sentencia del 13 de septiembre de 1999. </w:t>
            </w:r>
            <w:proofErr w:type="spellStart"/>
            <w:r w:rsidRPr="00E03546">
              <w:rPr>
                <w:rFonts w:ascii="Verdana" w:eastAsia="Calibri" w:hAnsi="Verdana" w:cs="Arial"/>
              </w:rPr>
              <w:t>Exp</w:t>
            </w:r>
            <w:proofErr w:type="spellEnd"/>
            <w:r w:rsidRPr="00E03546">
              <w:rPr>
                <w:rFonts w:ascii="Verdana" w:eastAsia="Calibri" w:hAnsi="Verdana" w:cs="Arial"/>
              </w:rPr>
              <w:t>. 10.264. C.P. Ricardo Hoyos Duque.</w:t>
            </w:r>
          </w:p>
          <w:p w14:paraId="1B48849C"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p>
          <w:p w14:paraId="4814169C"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Sala de Consulta y Servicio Civil. Concepto de 28 de junio de 2016. Radicación: 2253. C.P. Álvaro </w:t>
            </w:r>
            <w:proofErr w:type="spellStart"/>
            <w:r w:rsidRPr="00E03546">
              <w:rPr>
                <w:rFonts w:ascii="Verdana" w:eastAsia="Calibri" w:hAnsi="Verdana" w:cs="Arial"/>
              </w:rPr>
              <w:t>Namén</w:t>
            </w:r>
            <w:proofErr w:type="spellEnd"/>
            <w:r w:rsidRPr="00E03546">
              <w:rPr>
                <w:rFonts w:ascii="Verdana" w:eastAsia="Calibri" w:hAnsi="Verdana" w:cs="Arial"/>
              </w:rPr>
              <w:t xml:space="preserve"> Vargas</w:t>
            </w:r>
          </w:p>
          <w:p w14:paraId="45B43284" w14:textId="77777777" w:rsidR="005F334A" w:rsidRPr="00E03546" w:rsidRDefault="005F334A" w:rsidP="005F334A">
            <w:pPr>
              <w:widowControl w:val="0"/>
              <w:numPr>
                <w:ilvl w:val="0"/>
                <w:numId w:val="2"/>
              </w:numPr>
              <w:autoSpaceDE w:val="0"/>
              <w:autoSpaceDN w:val="0"/>
              <w:spacing w:after="120"/>
              <w:contextualSpacing/>
              <w:jc w:val="both"/>
              <w:rPr>
                <w:rFonts w:ascii="Verdana" w:eastAsia="Calibri" w:hAnsi="Verdana" w:cs="Arial"/>
              </w:rPr>
            </w:pPr>
            <w:r w:rsidRPr="00E03546">
              <w:rPr>
                <w:rFonts w:ascii="Verdana" w:eastAsia="Calibri" w:hAnsi="Verdana" w:cs="Arial"/>
              </w:rPr>
              <w:t xml:space="preserve">CONSEJO DE ESTADO. Sección Tercera. Sala Plena. Auto de 1 de agosto de 2019. </w:t>
            </w:r>
            <w:proofErr w:type="spellStart"/>
            <w:r w:rsidRPr="00E03546">
              <w:rPr>
                <w:rFonts w:ascii="Verdana" w:eastAsia="Calibri" w:hAnsi="Verdana" w:cs="Arial"/>
              </w:rPr>
              <w:t>Exp</w:t>
            </w:r>
            <w:proofErr w:type="spellEnd"/>
            <w:r w:rsidRPr="00E03546">
              <w:rPr>
                <w:rFonts w:ascii="Verdana" w:eastAsia="Calibri" w:hAnsi="Verdana" w:cs="Arial"/>
              </w:rPr>
              <w:t xml:space="preserve">. 62009. C.P. Jaime Enrique Rodríguez Navas. Disponible en: </w:t>
            </w:r>
            <w:hyperlink r:id="rId18" w:history="1">
              <w:r w:rsidRPr="00E03546">
                <w:rPr>
                  <w:rFonts w:ascii="Verdana" w:eastAsia="Calibri" w:hAnsi="Verdana" w:cs="Arial"/>
                  <w:color w:val="0000FF"/>
                  <w:u w:val="single"/>
                </w:rPr>
                <w:t>https://relatoria.colombiacompra.gov.co/providencias/2019_05001-23-33-000-2018-00342-01_62009/</w:t>
              </w:r>
            </w:hyperlink>
          </w:p>
          <w:p w14:paraId="2D02D59C"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p>
          <w:p w14:paraId="60C98B79" w14:textId="77777777" w:rsidR="005F334A" w:rsidRPr="00E03546" w:rsidRDefault="005F334A" w:rsidP="005F334A">
            <w:pPr>
              <w:widowControl w:val="0"/>
              <w:numPr>
                <w:ilvl w:val="0"/>
                <w:numId w:val="2"/>
              </w:numPr>
              <w:autoSpaceDE w:val="0"/>
              <w:autoSpaceDN w:val="0"/>
              <w:spacing w:after="120"/>
              <w:contextualSpacing/>
              <w:rPr>
                <w:rFonts w:ascii="Verdana" w:eastAsia="Calibri" w:hAnsi="Verdana" w:cs="Arial"/>
              </w:rPr>
            </w:pPr>
            <w:r w:rsidRPr="00E03546">
              <w:rPr>
                <w:rFonts w:ascii="Verdana" w:eastAsia="Calibri" w:hAnsi="Verdana" w:cs="Arial"/>
              </w:rPr>
              <w:t>COLOMBIA COMPRA EFICIENTE. Guía para la Liquidación de los Procesos</w:t>
            </w:r>
            <w:r w:rsidRPr="00E03546">
              <w:rPr>
                <w:rFonts w:ascii="Verdana" w:eastAsia="Calibri" w:hAnsi="Verdana" w:cs="Arial"/>
              </w:rPr>
              <w:tab/>
              <w:t>de</w:t>
            </w:r>
            <w:r w:rsidRPr="00E03546">
              <w:rPr>
                <w:rFonts w:ascii="Verdana" w:eastAsia="Calibri" w:hAnsi="Verdana" w:cs="Arial"/>
              </w:rPr>
              <w:tab/>
              <w:t>Contratación.</w:t>
            </w:r>
            <w:r w:rsidRPr="00E03546">
              <w:rPr>
                <w:rFonts w:ascii="Verdana" w:eastAsia="Calibri" w:hAnsi="Verdana" w:cs="Arial"/>
              </w:rPr>
              <w:tab/>
              <w:t>Disponible</w:t>
            </w:r>
            <w:r w:rsidRPr="00E03546">
              <w:rPr>
                <w:rFonts w:ascii="Verdana" w:eastAsia="Calibri" w:hAnsi="Verdana" w:cs="Arial"/>
              </w:rPr>
              <w:tab/>
              <w:t xml:space="preserve">en: </w:t>
            </w:r>
            <w:hyperlink r:id="rId19" w:history="1">
              <w:r w:rsidRPr="00E03546">
                <w:rPr>
                  <w:rFonts w:ascii="Verdana" w:eastAsia="Calibri" w:hAnsi="Verdana" w:cs="Arial"/>
                  <w:color w:val="0000FF"/>
                  <w:u w:val="single"/>
                </w:rPr>
                <w:t>https://www.colombiacompra.gov.co/sites/cce_public/files/cce_documents/cce_guia_liquidacion_procesos.pdf</w:t>
              </w:r>
            </w:hyperlink>
          </w:p>
          <w:p w14:paraId="2EF89DF0" w14:textId="77777777" w:rsidR="005F334A" w:rsidRPr="00E03546" w:rsidRDefault="005F334A" w:rsidP="009B078E">
            <w:pPr>
              <w:widowControl w:val="0"/>
              <w:autoSpaceDE w:val="0"/>
              <w:autoSpaceDN w:val="0"/>
              <w:spacing w:after="120"/>
              <w:ind w:left="720"/>
              <w:contextualSpacing/>
              <w:jc w:val="both"/>
              <w:rPr>
                <w:rFonts w:ascii="Verdana" w:eastAsia="Calibri" w:hAnsi="Verdana" w:cs="Arial"/>
              </w:rPr>
            </w:pPr>
          </w:p>
          <w:p w14:paraId="12CFD921" w14:textId="77777777" w:rsidR="005F334A" w:rsidRPr="00E03546" w:rsidRDefault="005F334A" w:rsidP="005F334A">
            <w:pPr>
              <w:numPr>
                <w:ilvl w:val="0"/>
                <w:numId w:val="2"/>
              </w:numPr>
              <w:spacing w:after="120" w:line="276" w:lineRule="auto"/>
              <w:contextualSpacing/>
              <w:jc w:val="both"/>
              <w:rPr>
                <w:rFonts w:ascii="Verdana" w:eastAsia="Calibri" w:hAnsi="Verdana" w:cs="Arial"/>
              </w:rPr>
            </w:pPr>
            <w:r w:rsidRPr="00E03546">
              <w:rPr>
                <w:rFonts w:ascii="Verdana" w:eastAsia="Calibri" w:hAnsi="Verdana" w:cs="Arial"/>
              </w:rPr>
              <w:t>PALACIO HINCAPIÉ, Juan Ángel. La contratación de las entidades estatales. Octava edición. Medellín: Librería Jurídica Sánchez R. SAS, 2020.</w:t>
            </w:r>
          </w:p>
        </w:tc>
      </w:tr>
    </w:tbl>
    <w:p w14:paraId="31E9F0AF" w14:textId="77777777" w:rsidR="005F334A" w:rsidRPr="00E03546" w:rsidRDefault="005F334A" w:rsidP="005F334A">
      <w:pPr>
        <w:tabs>
          <w:tab w:val="left" w:pos="142"/>
          <w:tab w:val="left" w:pos="284"/>
        </w:tabs>
        <w:spacing w:after="0" w:line="276" w:lineRule="auto"/>
        <w:jc w:val="both"/>
        <w:rPr>
          <w:rFonts w:ascii="Verdana" w:eastAsia="Century Gothic" w:hAnsi="Verdana" w:cs="Century Gothic"/>
          <w:b/>
          <w:bCs/>
        </w:rPr>
      </w:pPr>
    </w:p>
    <w:p w14:paraId="76C3334D" w14:textId="77777777" w:rsidR="005F334A" w:rsidRPr="00E03546" w:rsidRDefault="005F334A" w:rsidP="005F334A">
      <w:pPr>
        <w:tabs>
          <w:tab w:val="left" w:pos="142"/>
          <w:tab w:val="left" w:pos="284"/>
        </w:tabs>
        <w:spacing w:after="0" w:line="276" w:lineRule="auto"/>
        <w:jc w:val="both"/>
        <w:rPr>
          <w:rFonts w:ascii="Verdana" w:eastAsia="Century Gothic" w:hAnsi="Verdana" w:cs="Century Gothic"/>
          <w:b/>
          <w:bCs/>
        </w:rPr>
      </w:pPr>
      <w:r w:rsidRPr="00E03546">
        <w:rPr>
          <w:rFonts w:ascii="Verdana" w:eastAsia="Century Gothic" w:hAnsi="Verdana" w:cs="Century Gothic"/>
          <w:b/>
          <w:bCs/>
        </w:rPr>
        <w:t>5. Doctrina de la Agencia Nacional de Contratación Pública:</w:t>
      </w:r>
    </w:p>
    <w:p w14:paraId="399406FC" w14:textId="77777777" w:rsidR="005F334A" w:rsidRPr="00E03546" w:rsidRDefault="005F334A" w:rsidP="005F334A">
      <w:pPr>
        <w:spacing w:after="0" w:line="276" w:lineRule="auto"/>
        <w:ind w:firstLine="709"/>
        <w:jc w:val="both"/>
        <w:rPr>
          <w:rFonts w:ascii="Verdana" w:eastAsia="Times New Roman" w:hAnsi="Verdana" w:cs="Arial"/>
          <w:lang w:eastAsia="es-ES_tradnl"/>
        </w:rPr>
      </w:pPr>
    </w:p>
    <w:p w14:paraId="7EDCCEAE" w14:textId="77777777" w:rsidR="005F334A" w:rsidRPr="00E03546" w:rsidRDefault="005F334A" w:rsidP="005F334A">
      <w:pPr>
        <w:widowControl w:val="0"/>
        <w:autoSpaceDE w:val="0"/>
        <w:autoSpaceDN w:val="0"/>
        <w:spacing w:after="0" w:line="276" w:lineRule="auto"/>
        <w:jc w:val="both"/>
        <w:rPr>
          <w:rFonts w:ascii="Verdana" w:eastAsia="Calibri" w:hAnsi="Verdana" w:cs="Arial"/>
          <w:lang w:eastAsia="es-ES_tradnl"/>
        </w:rPr>
      </w:pPr>
      <w:r w:rsidRPr="00E03546">
        <w:rPr>
          <w:rFonts w:ascii="Verdana" w:eastAsia="Calibri" w:hAnsi="Verdana" w:cs="Arial"/>
          <w:lang w:val="es-ES_tradnl" w:eastAsia="es-ES_tradnl"/>
        </w:rPr>
        <w:t>La Agencia Nacional de Contratación Pública – Colombia Compra Eficiente se ha pronunciado s</w:t>
      </w:r>
      <w:r w:rsidRPr="00E03546">
        <w:rPr>
          <w:rFonts w:ascii="Verdana" w:eastAsia="Calibri" w:hAnsi="Verdana" w:cs="Arial"/>
          <w:color w:val="000000"/>
          <w:shd w:val="clear" w:color="auto" w:fill="FFFFFF"/>
          <w:lang w:val="es-ES"/>
        </w:rPr>
        <w:t xml:space="preserve">obre las garantías en la contratación estatal en los conceptos 2201913000009075 del 9 de diciembre de 2019, C-080 del 8 de abril de 2021, C-525 del 24 de septiembre de 2021, C-584 del 26 de septiembre de 2022 y C-066 del 21 de abril de 2024, entre otros. También se ha pronunciado sobre la liquidación de los contratos estatales en los conceptos 4201912000004908 del 27 de septiembre de 2019, CU-028 de 25 de febrero de 2020, C-221 de 21 de abril de 2020, C-078 del 17 de marzo de 2021, C-220 del 18 de mayo de 2021, C-548 del 5 de octubre de 2021 y C-739 del 29 de noviembre de 2022, C-144 del 9 de julio de 2024 y C-129 del 29 de julio de 2024, C-335 del 26 de agosto </w:t>
      </w:r>
      <w:r w:rsidRPr="00E03546">
        <w:rPr>
          <w:rFonts w:ascii="Verdana" w:eastAsia="Calibri" w:hAnsi="Verdana" w:cs="Arial"/>
          <w:color w:val="000000"/>
          <w:shd w:val="clear" w:color="auto" w:fill="FFFFFF"/>
          <w:lang w:val="es-ES"/>
        </w:rPr>
        <w:lastRenderedPageBreak/>
        <w:t>de 2024</w:t>
      </w:r>
      <w:r w:rsidRPr="00E03546">
        <w:rPr>
          <w:rFonts w:ascii="Verdana" w:eastAsia="Calibri" w:hAnsi="Verdana" w:cs="Arial"/>
          <w:color w:val="000000"/>
          <w:shd w:val="clear" w:color="auto" w:fill="FFFFFF"/>
          <w:lang w:val="es-ES_tradnl"/>
        </w:rPr>
        <w:t xml:space="preserve">, </w:t>
      </w:r>
      <w:r w:rsidRPr="00E03546">
        <w:rPr>
          <w:rFonts w:ascii="Verdana" w:eastAsia="Calibri" w:hAnsi="Verdana" w:cs="Arial"/>
          <w:color w:val="000000"/>
          <w:shd w:val="clear" w:color="auto" w:fill="FFFFFF"/>
          <w:lang w:val="es-ES"/>
        </w:rPr>
        <w:t>entre otros</w:t>
      </w:r>
      <w:r w:rsidRPr="00E03546">
        <w:rPr>
          <w:rFonts w:ascii="Verdana" w:eastAsia="Calibri" w:hAnsi="Verdana" w:cs="Arial"/>
          <w:lang w:val="es-ES" w:eastAsia="es-ES_tradnl"/>
        </w:rPr>
        <w:t>.</w:t>
      </w:r>
      <w:r w:rsidRPr="00E03546">
        <w:rPr>
          <w:rFonts w:ascii="Verdana" w:eastAsia="Calibri" w:hAnsi="Verdana" w:cs="Arial"/>
          <w:lang w:eastAsia="es-ES_tradnl"/>
        </w:rPr>
        <w:t xml:space="preserve"> </w:t>
      </w:r>
      <w:r w:rsidRPr="00E03546">
        <w:rPr>
          <w:rFonts w:ascii="Verdana" w:eastAsia="Calibri" w:hAnsi="Verdana" w:cs="Arial"/>
          <w:shd w:val="clear" w:color="auto" w:fill="FFFFFF"/>
        </w:rPr>
        <w:t xml:space="preserve">Estos y otros conceptos los podrá consultar en el siguiente enlace: </w:t>
      </w:r>
      <w:hyperlink r:id="rId20" w:tooltip="Dirección URL original: https://relatoria.colombiacompra.gov.co/. Haga clic o pulse si confía en este vínculo." w:history="1">
        <w:r w:rsidRPr="00E03546">
          <w:rPr>
            <w:rFonts w:ascii="Verdana" w:eastAsia="Calibri" w:hAnsi="Verdana" w:cs="Arial"/>
            <w:color w:val="0000FF"/>
            <w:u w:val="single"/>
            <w:lang w:eastAsia="es-ES_tradnl"/>
          </w:rPr>
          <w:t>https://relatoria.colombiacompra.gov.co/</w:t>
        </w:r>
      </w:hyperlink>
      <w:r w:rsidRPr="00E03546">
        <w:rPr>
          <w:rFonts w:ascii="Verdana" w:eastAsia="Calibri" w:hAnsi="Verdana" w:cs="Arial"/>
          <w:lang w:eastAsia="es-ES_tradnl"/>
        </w:rPr>
        <w:t> </w:t>
      </w:r>
    </w:p>
    <w:p w14:paraId="77F1E0F1" w14:textId="77777777" w:rsidR="005F334A" w:rsidRPr="00E03546" w:rsidRDefault="005F334A" w:rsidP="005F334A">
      <w:pPr>
        <w:widowControl w:val="0"/>
        <w:autoSpaceDE w:val="0"/>
        <w:autoSpaceDN w:val="0"/>
        <w:spacing w:after="0" w:line="276" w:lineRule="auto"/>
        <w:jc w:val="both"/>
        <w:rPr>
          <w:rFonts w:ascii="Verdana" w:eastAsia="Aptos" w:hAnsi="Verdana" w:cs="Arial"/>
          <w:shd w:val="clear" w:color="auto" w:fill="FFFFFF"/>
        </w:rPr>
      </w:pPr>
    </w:p>
    <w:p w14:paraId="154F87F2" w14:textId="77777777" w:rsidR="005F334A" w:rsidRPr="00E03546" w:rsidRDefault="005F334A" w:rsidP="005F334A">
      <w:pPr>
        <w:spacing w:after="0" w:line="276" w:lineRule="auto"/>
        <w:jc w:val="both"/>
        <w:rPr>
          <w:rFonts w:ascii="Verdana" w:eastAsia="Calibri" w:hAnsi="Verdana" w:cs="Arial"/>
        </w:rPr>
      </w:pPr>
      <w:r w:rsidRPr="00E03546">
        <w:rPr>
          <w:rFonts w:ascii="Verdana" w:eastAsia="Calibri" w:hAnsi="Verdana" w:cs="Arial"/>
        </w:rPr>
        <w:t>Te informamos que ya se encuentra disponible la </w:t>
      </w:r>
      <w:r w:rsidRPr="00E03546">
        <w:rPr>
          <w:rFonts w:ascii="Verdana" w:eastAsia="Calibri" w:hAnsi="Verdana" w:cs="Arial"/>
          <w:b/>
          <w:bCs/>
        </w:rPr>
        <w:t>Cartilla para incentivar y fortalecer el acceso a las compras y contratación pública de los pueblos y comunidades étnicas en Colombia.</w:t>
      </w:r>
      <w:r w:rsidRPr="00E03546">
        <w:rPr>
          <w:rFonts w:ascii="Verdana" w:eastAsia="Calibri" w:hAnsi="Verdana" w:cs="Arial"/>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21" w:tgtFrame="_blank" w:tooltip="Dirección URL original: https://www.colombiacompra.gov.co/manuales-guias-y-pliegos-tipo/manuales-y-guias/cartilla-para-incentivar-y-fortalecer-el-acceso-las. Haga clic o pulse si confía en este vínculo." w:history="1">
        <w:r w:rsidRPr="00E03546">
          <w:rPr>
            <w:rFonts w:ascii="Verdana" w:eastAsia="Calibri" w:hAnsi="Verdana" w:cs="Arial"/>
            <w:color w:val="0000FF"/>
            <w:u w:val="single"/>
          </w:rPr>
          <w:t>Cartilla para incentivar y fortalecer el acceso a las compras y contratación pública de los pueblos y comunidades étnicas en Colombia | Colombia Compra Eficiente | Agencia Nacional de Contratación Pública</w:t>
        </w:r>
      </w:hyperlink>
    </w:p>
    <w:p w14:paraId="271F1546" w14:textId="77777777" w:rsidR="005F334A" w:rsidRPr="00E03546" w:rsidRDefault="005F334A" w:rsidP="005F334A">
      <w:pPr>
        <w:spacing w:after="0" w:line="276" w:lineRule="auto"/>
        <w:jc w:val="both"/>
        <w:rPr>
          <w:rFonts w:ascii="Verdana" w:eastAsia="Calibri" w:hAnsi="Verdana" w:cs="Arial"/>
        </w:rPr>
      </w:pPr>
    </w:p>
    <w:p w14:paraId="6E7FE768" w14:textId="77777777" w:rsidR="005F334A" w:rsidRPr="00E03546" w:rsidRDefault="005F334A" w:rsidP="005F334A">
      <w:pPr>
        <w:spacing w:after="0" w:line="276" w:lineRule="auto"/>
        <w:jc w:val="both"/>
        <w:rPr>
          <w:rFonts w:ascii="Verdana" w:eastAsia="Calibri" w:hAnsi="Verdana" w:cs="Arial"/>
        </w:rPr>
      </w:pPr>
      <w:r w:rsidRPr="00E03546">
        <w:rPr>
          <w:rFonts w:ascii="Verdana" w:eastAsia="Calibri" w:hAnsi="Verdana" w:cs="Arial"/>
        </w:rPr>
        <w:t>De otra parte, te informamos que, con el objetivo de garantizar un conocimiento adecuado de las </w:t>
      </w:r>
      <w:r w:rsidRPr="00E03546">
        <w:rPr>
          <w:rFonts w:ascii="Verdana" w:eastAsia="Calibri" w:hAnsi="Verdana" w:cs="Arial"/>
          <w:b/>
          <w:bCs/>
        </w:rPr>
        <w:t>modificaciones y/o actualizaciones realizadas a los Documentos Tipo</w:t>
      </w:r>
      <w:r w:rsidRPr="00E03546">
        <w:rPr>
          <w:rFonts w:ascii="Verdana" w:eastAsia="Calibri" w:hAnsi="Verdana" w:cs="Arial"/>
        </w:rPr>
        <w:t>, hemos programado una serie de </w:t>
      </w:r>
      <w:r w:rsidRPr="00E03546">
        <w:rPr>
          <w:rFonts w:ascii="Verdana" w:eastAsia="Calibri" w:hAnsi="Verdana" w:cs="Arial"/>
          <w:b/>
          <w:bCs/>
        </w:rPr>
        <w:t>capacitaciones </w:t>
      </w:r>
      <w:r w:rsidRPr="00E03546">
        <w:rPr>
          <w:rFonts w:ascii="Verdana" w:eastAsia="Calibri" w:hAnsi="Verdana" w:cs="Arial"/>
        </w:rPr>
        <w:t>dirigidas a todos los actores involucrados en los procesos de selección. Podrás conocer la programación y realizar tu inscripción a estas capacitaciones a través del siguiente enlace: </w:t>
      </w:r>
      <w:hyperlink r:id="rId22" w:tgtFrame="_blank" w:tooltip="Dirección URL original: https://www.colombiacompra.gov.co/ciudadanos/calendario. Haga clic o pulse si confía en este vínculo." w:history="1">
        <w:r w:rsidRPr="00E03546">
          <w:rPr>
            <w:rFonts w:ascii="Verdana" w:eastAsia="Calibri" w:hAnsi="Verdana" w:cs="Arial"/>
            <w:color w:val="0000FF"/>
            <w:u w:val="single"/>
          </w:rPr>
          <w:t>Calendario | Colombia Compra Eficiente | Agencia Nacional de Contratación Pública</w:t>
        </w:r>
      </w:hyperlink>
    </w:p>
    <w:p w14:paraId="3BDD7DD6" w14:textId="77777777" w:rsidR="005F334A" w:rsidRPr="00E03546" w:rsidRDefault="005F334A" w:rsidP="005F334A">
      <w:pPr>
        <w:spacing w:after="0" w:line="276" w:lineRule="auto"/>
        <w:jc w:val="both"/>
        <w:rPr>
          <w:rFonts w:ascii="Verdana" w:eastAsia="Calibri" w:hAnsi="Verdana" w:cs="Arial"/>
        </w:rPr>
      </w:pPr>
    </w:p>
    <w:p w14:paraId="3B315ABA" w14:textId="77777777" w:rsidR="005F334A" w:rsidRPr="00E03546" w:rsidRDefault="005F334A" w:rsidP="005F334A">
      <w:pPr>
        <w:spacing w:after="0" w:line="276" w:lineRule="auto"/>
        <w:jc w:val="both"/>
        <w:rPr>
          <w:rFonts w:ascii="Verdana" w:eastAsia="Calibri" w:hAnsi="Verdana" w:cs="Arial"/>
        </w:rPr>
      </w:pPr>
      <w:r w:rsidRPr="00E03546">
        <w:rPr>
          <w:rFonts w:ascii="Verdana" w:eastAsia="Calibri" w:hAnsi="Verdana" w:cs="Arial"/>
        </w:rPr>
        <w:t>También, te contamos que ya publicamos </w:t>
      </w:r>
      <w:r w:rsidRPr="00E03546">
        <w:rPr>
          <w:rFonts w:ascii="Verdana" w:eastAsia="Calibri" w:hAnsi="Verdana" w:cs="Arial"/>
          <w:b/>
          <w:bCs/>
        </w:rPr>
        <w:t>la nueva Guía de Contratación Pública Sostenible y Socialmente Responsable</w:t>
      </w:r>
      <w:r w:rsidRPr="00E03546">
        <w:rPr>
          <w:rFonts w:ascii="Verdana" w:eastAsia="Calibri" w:hAnsi="Verdana" w:cs="Arial"/>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23" w:tgtFrame="_blank" w:tooltip="Dirección URL original: https://www.colombiacompra.gov.co/manuales-guias-y-pliegos-tipo/manuales-y-guias/guia-de-contratacion-publica-sostenible-y-socialmente. Haga clic o pulse si confía en este vínculo." w:history="1">
        <w:r w:rsidRPr="00E03546">
          <w:rPr>
            <w:rFonts w:ascii="Verdana" w:eastAsia="Calibri" w:hAnsi="Verdana" w:cs="Arial"/>
            <w:color w:val="0000FF"/>
            <w:u w:val="single"/>
          </w:rPr>
          <w:t>Guía de Contratación Pública Sostenible y Socialmente Responsable | Colombia Compra Eficiente | Agencia Nacional de Contratación Pública</w:t>
        </w:r>
      </w:hyperlink>
    </w:p>
    <w:p w14:paraId="6F725F32" w14:textId="77777777" w:rsidR="005F334A" w:rsidRPr="00E03546" w:rsidRDefault="005F334A" w:rsidP="005F334A">
      <w:pPr>
        <w:spacing w:after="0" w:line="276" w:lineRule="auto"/>
        <w:jc w:val="both"/>
        <w:rPr>
          <w:rFonts w:ascii="Verdana" w:eastAsia="Calibri" w:hAnsi="Verdana" w:cs="Arial"/>
        </w:rPr>
      </w:pPr>
    </w:p>
    <w:p w14:paraId="11BAE1E6" w14:textId="77777777" w:rsidR="005F334A" w:rsidRPr="00E03546" w:rsidRDefault="005F334A" w:rsidP="005F334A">
      <w:pPr>
        <w:spacing w:after="0" w:line="276" w:lineRule="auto"/>
        <w:jc w:val="both"/>
        <w:rPr>
          <w:rFonts w:ascii="Verdana" w:eastAsia="Calibri" w:hAnsi="Verdana" w:cs="Arial"/>
        </w:rPr>
      </w:pPr>
      <w:r w:rsidRPr="00E03546">
        <w:rPr>
          <w:rFonts w:ascii="Verdana" w:eastAsia="Calibri" w:hAnsi="Verdana" w:cs="Arial"/>
        </w:rPr>
        <w:t xml:space="preserve">Por último, lo invitamos a seguirnos en las redes sociales en las cuales se difunde información institucional: </w:t>
      </w:r>
    </w:p>
    <w:p w14:paraId="4978FB36" w14:textId="77777777" w:rsidR="005F334A" w:rsidRPr="00E03546" w:rsidRDefault="005F334A" w:rsidP="005F334A">
      <w:pPr>
        <w:spacing w:after="0" w:line="276" w:lineRule="auto"/>
        <w:jc w:val="both"/>
        <w:rPr>
          <w:rFonts w:ascii="Verdana" w:eastAsia="Calibri" w:hAnsi="Verdana" w:cs="Arial"/>
        </w:rPr>
      </w:pPr>
    </w:p>
    <w:p w14:paraId="414A2B79" w14:textId="77777777" w:rsidR="005F334A" w:rsidRPr="00E03546" w:rsidRDefault="005F334A" w:rsidP="005F334A">
      <w:pPr>
        <w:spacing w:after="0" w:line="276" w:lineRule="auto"/>
        <w:jc w:val="both"/>
        <w:rPr>
          <w:rFonts w:ascii="Verdana" w:eastAsia="Calibri" w:hAnsi="Verdana" w:cs="Arial"/>
        </w:rPr>
      </w:pPr>
      <w:r w:rsidRPr="00E03546">
        <w:rPr>
          <w:rFonts w:ascii="Verdana" w:eastAsia="Calibri" w:hAnsi="Verdana" w:cs="Arial"/>
        </w:rPr>
        <w:t xml:space="preserve">Twitter: </w:t>
      </w:r>
      <w:r w:rsidRPr="00E03546">
        <w:rPr>
          <w:rFonts w:ascii="Verdana" w:eastAsia="Calibri" w:hAnsi="Verdana" w:cs="Arial"/>
          <w:color w:val="4472C4"/>
          <w:u w:val="single"/>
        </w:rPr>
        <w:t>@colombiacompra</w:t>
      </w:r>
      <w:r w:rsidRPr="00E03546">
        <w:rPr>
          <w:rFonts w:ascii="Verdana" w:eastAsia="Calibri" w:hAnsi="Verdana" w:cs="Arial"/>
          <w:color w:val="4472C4"/>
        </w:rPr>
        <w:t xml:space="preserve"> </w:t>
      </w:r>
    </w:p>
    <w:p w14:paraId="5572872A" w14:textId="77777777" w:rsidR="005F334A" w:rsidRPr="00E03546" w:rsidRDefault="005F334A" w:rsidP="005F334A">
      <w:pPr>
        <w:spacing w:after="0" w:line="276" w:lineRule="auto"/>
        <w:jc w:val="both"/>
        <w:rPr>
          <w:rFonts w:ascii="Verdana" w:eastAsia="Calibri" w:hAnsi="Verdana" w:cs="Arial"/>
        </w:rPr>
      </w:pPr>
      <w:r w:rsidRPr="00E03546">
        <w:rPr>
          <w:rFonts w:ascii="Verdana" w:eastAsia="Calibri" w:hAnsi="Verdana" w:cs="Arial"/>
        </w:rPr>
        <w:lastRenderedPageBreak/>
        <w:t xml:space="preserve">Facebook: </w:t>
      </w:r>
      <w:proofErr w:type="spellStart"/>
      <w:r w:rsidRPr="00E03546">
        <w:rPr>
          <w:rFonts w:ascii="Verdana" w:eastAsia="Calibri" w:hAnsi="Verdana" w:cs="Arial"/>
          <w:color w:val="4472C4"/>
          <w:u w:val="single"/>
        </w:rPr>
        <w:t>ColombiaCompraEficiente</w:t>
      </w:r>
      <w:proofErr w:type="spellEnd"/>
    </w:p>
    <w:p w14:paraId="25B837AB" w14:textId="77777777" w:rsidR="005F334A" w:rsidRPr="00E03546" w:rsidRDefault="005F334A" w:rsidP="005F334A">
      <w:pPr>
        <w:spacing w:after="0" w:line="276" w:lineRule="auto"/>
        <w:jc w:val="both"/>
        <w:rPr>
          <w:rFonts w:ascii="Verdana" w:eastAsia="Calibri" w:hAnsi="Verdana" w:cs="Arial"/>
        </w:rPr>
      </w:pPr>
      <w:r w:rsidRPr="00E03546">
        <w:rPr>
          <w:rFonts w:ascii="Verdana" w:eastAsia="Calibri" w:hAnsi="Verdana" w:cs="Arial"/>
        </w:rPr>
        <w:t xml:space="preserve">LinkedIn: </w:t>
      </w:r>
      <w:r w:rsidRPr="00E03546">
        <w:rPr>
          <w:rFonts w:ascii="Verdana" w:eastAsia="Calibri" w:hAnsi="Verdana" w:cs="Arial"/>
          <w:color w:val="4472C4"/>
          <w:u w:val="single"/>
        </w:rPr>
        <w:t>Agencia Nacional de Contratación Pública - Colombia Compra Eficiente</w:t>
      </w:r>
      <w:r w:rsidRPr="00E03546">
        <w:rPr>
          <w:rFonts w:ascii="Verdana" w:eastAsia="Calibri" w:hAnsi="Verdana" w:cs="Arial"/>
          <w:color w:val="4472C4"/>
        </w:rPr>
        <w:t xml:space="preserve"> </w:t>
      </w:r>
      <w:r w:rsidRPr="00E03546">
        <w:rPr>
          <w:rFonts w:ascii="Verdana" w:eastAsia="Calibri" w:hAnsi="Verdana" w:cs="Arial"/>
        </w:rPr>
        <w:t xml:space="preserve">Instagram: </w:t>
      </w:r>
      <w:r w:rsidRPr="00E03546">
        <w:rPr>
          <w:rFonts w:ascii="Verdana" w:eastAsia="Calibri" w:hAnsi="Verdana" w:cs="Arial"/>
          <w:color w:val="4472C4"/>
          <w:u w:val="single"/>
        </w:rPr>
        <w:t>@colombiacompraeficiente_cce</w:t>
      </w:r>
    </w:p>
    <w:p w14:paraId="273C53B2" w14:textId="77777777" w:rsidR="005F334A" w:rsidRPr="00E03546" w:rsidRDefault="005F334A" w:rsidP="005F334A">
      <w:pPr>
        <w:widowControl w:val="0"/>
        <w:autoSpaceDE w:val="0"/>
        <w:autoSpaceDN w:val="0"/>
        <w:spacing w:after="0" w:line="276" w:lineRule="auto"/>
        <w:jc w:val="both"/>
        <w:rPr>
          <w:rFonts w:ascii="Verdana" w:eastAsia="Calibri" w:hAnsi="Verdana" w:cs="Arial"/>
        </w:rPr>
      </w:pPr>
    </w:p>
    <w:p w14:paraId="50638C76" w14:textId="77777777" w:rsidR="005F334A" w:rsidRPr="00E03546" w:rsidRDefault="005F334A" w:rsidP="005F334A">
      <w:pPr>
        <w:widowControl w:val="0"/>
        <w:autoSpaceDE w:val="0"/>
        <w:autoSpaceDN w:val="0"/>
        <w:spacing w:after="0" w:line="276" w:lineRule="auto"/>
        <w:jc w:val="both"/>
        <w:rPr>
          <w:rFonts w:ascii="Verdana" w:eastAsia="Calibri" w:hAnsi="Verdana" w:cs="Arial"/>
        </w:rPr>
      </w:pPr>
      <w:r w:rsidRPr="00E03546">
        <w:rPr>
          <w:rFonts w:ascii="Verdana" w:eastAsia="Calibri"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6105892" w14:textId="77777777" w:rsidR="005F334A" w:rsidRPr="00E03546" w:rsidRDefault="005F334A" w:rsidP="005F334A">
      <w:pPr>
        <w:spacing w:after="0" w:line="276" w:lineRule="auto"/>
        <w:ind w:firstLine="709"/>
        <w:jc w:val="both"/>
        <w:rPr>
          <w:rFonts w:ascii="Verdana" w:eastAsia="Times New Roman" w:hAnsi="Verdana" w:cs="Arial"/>
          <w:lang w:eastAsia="es-ES_tradnl"/>
        </w:rPr>
      </w:pPr>
    </w:p>
    <w:p w14:paraId="0C229A61" w14:textId="77777777" w:rsidR="005F334A" w:rsidRPr="00E03546" w:rsidRDefault="005F334A" w:rsidP="005F334A">
      <w:pPr>
        <w:spacing w:after="0" w:line="276" w:lineRule="auto"/>
        <w:jc w:val="both"/>
        <w:rPr>
          <w:rFonts w:ascii="Verdana" w:eastAsia="Times New Roman" w:hAnsi="Verdana" w:cs="Arial"/>
          <w:lang w:eastAsia="es-CO"/>
        </w:rPr>
      </w:pPr>
      <w:bookmarkStart w:id="2" w:name="_Hlk117695077"/>
      <w:r w:rsidRPr="00E03546">
        <w:rPr>
          <w:rFonts w:ascii="Verdana" w:eastAsia="Times New Roman" w:hAnsi="Verdana" w:cs="Arial"/>
          <w:lang w:eastAsia="es-CO"/>
        </w:rPr>
        <w:t>Atentamente,</w:t>
      </w:r>
    </w:p>
    <w:bookmarkEnd w:id="2"/>
    <w:p w14:paraId="26893DB4" w14:textId="02D3CB47" w:rsidR="005F334A" w:rsidRPr="00E03546" w:rsidRDefault="00D2421E" w:rsidP="005F334A">
      <w:pPr>
        <w:spacing w:after="18" w:line="276" w:lineRule="auto"/>
        <w:jc w:val="center"/>
        <w:rPr>
          <w:rFonts w:ascii="Verdana" w:eastAsia="Times New Roman" w:hAnsi="Verdana" w:cs="Arial"/>
          <w:lang w:eastAsia="es-CO"/>
        </w:rPr>
      </w:pPr>
      <w:r w:rsidRPr="002C3AD6">
        <w:rPr>
          <w:rFonts w:ascii="Century Gothic" w:hAnsi="Century Gothic"/>
          <w:noProof/>
        </w:rPr>
        <w:drawing>
          <wp:inline distT="0" distB="0" distL="0" distR="0" wp14:anchorId="122A021E" wp14:editId="709FE98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4"/>
                    <a:stretch>
                      <a:fillRect/>
                    </a:stretch>
                  </pic:blipFill>
                  <pic:spPr>
                    <a:xfrm>
                      <a:off x="0" y="0"/>
                      <a:ext cx="3772426" cy="1400370"/>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
        <w:gridCol w:w="4552"/>
      </w:tblGrid>
      <w:tr w:rsidR="005F334A" w:rsidRPr="00E03546" w14:paraId="502A34D8" w14:textId="77777777" w:rsidTr="009B078E">
        <w:trPr>
          <w:trHeight w:val="286"/>
        </w:trPr>
        <w:tc>
          <w:tcPr>
            <w:tcW w:w="977" w:type="dxa"/>
            <w:vAlign w:val="center"/>
            <w:hideMark/>
          </w:tcPr>
          <w:p w14:paraId="7A10DA49" w14:textId="77777777" w:rsidR="005F334A" w:rsidRPr="00E03546" w:rsidRDefault="005F334A" w:rsidP="009B078E">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Elaboró:</w:t>
            </w:r>
          </w:p>
        </w:tc>
        <w:tc>
          <w:tcPr>
            <w:tcW w:w="4552" w:type="dxa"/>
            <w:tcBorders>
              <w:top w:val="nil"/>
              <w:left w:val="nil"/>
              <w:bottom w:val="dotted" w:sz="4" w:space="0" w:color="7F7F7F"/>
              <w:right w:val="nil"/>
            </w:tcBorders>
            <w:vAlign w:val="center"/>
            <w:hideMark/>
          </w:tcPr>
          <w:p w14:paraId="73930FB0" w14:textId="77777777" w:rsidR="005F334A" w:rsidRPr="00E03546" w:rsidRDefault="005F334A" w:rsidP="009B078E">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 xml:space="preserve">Diana Carolina Blanco </w:t>
            </w:r>
            <w:proofErr w:type="spellStart"/>
            <w:r w:rsidRPr="00E03546">
              <w:rPr>
                <w:rFonts w:ascii="Verdana" w:eastAsia="Times New Roman" w:hAnsi="Verdana" w:cs="Arial"/>
                <w:sz w:val="18"/>
                <w:szCs w:val="18"/>
                <w:lang w:eastAsia="es-ES"/>
              </w:rPr>
              <w:t>Rodriguez</w:t>
            </w:r>
            <w:proofErr w:type="spellEnd"/>
            <w:r w:rsidRPr="00E03546">
              <w:rPr>
                <w:rFonts w:ascii="Verdana" w:eastAsia="Times New Roman" w:hAnsi="Verdana" w:cs="Arial"/>
                <w:sz w:val="18"/>
                <w:szCs w:val="18"/>
                <w:lang w:eastAsia="es-ES"/>
              </w:rPr>
              <w:t xml:space="preserve"> </w:t>
            </w:r>
          </w:p>
          <w:p w14:paraId="6BCDC5CD" w14:textId="77777777" w:rsidR="005F334A" w:rsidRPr="00E03546" w:rsidRDefault="005F334A" w:rsidP="009B078E">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Contratista de la Subdirección de Gestión Contractual</w:t>
            </w:r>
          </w:p>
        </w:tc>
      </w:tr>
      <w:tr w:rsidR="005F334A" w:rsidRPr="00E03546" w14:paraId="2B417F8F" w14:textId="77777777" w:rsidTr="009B078E">
        <w:trPr>
          <w:trHeight w:val="299"/>
        </w:trPr>
        <w:tc>
          <w:tcPr>
            <w:tcW w:w="977" w:type="dxa"/>
            <w:vAlign w:val="center"/>
            <w:hideMark/>
          </w:tcPr>
          <w:p w14:paraId="7E3A278B" w14:textId="77777777" w:rsidR="005F334A" w:rsidRPr="00E03546" w:rsidRDefault="005F334A" w:rsidP="009B078E">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Revisó:</w:t>
            </w:r>
          </w:p>
        </w:tc>
        <w:tc>
          <w:tcPr>
            <w:tcW w:w="4552" w:type="dxa"/>
            <w:tcBorders>
              <w:top w:val="dotted" w:sz="4" w:space="0" w:color="7F7F7F"/>
              <w:left w:val="nil"/>
              <w:bottom w:val="dotted" w:sz="4" w:space="0" w:color="7F7F7F"/>
              <w:right w:val="nil"/>
            </w:tcBorders>
            <w:vAlign w:val="center"/>
            <w:hideMark/>
          </w:tcPr>
          <w:p w14:paraId="180C00FA" w14:textId="77777777" w:rsidR="005F334A" w:rsidRPr="00E03546" w:rsidRDefault="005F334A" w:rsidP="009B078E">
            <w:pPr>
              <w:rPr>
                <w:rFonts w:ascii="Verdana" w:eastAsia="Times New Roman" w:hAnsi="Verdana" w:cs="Arial"/>
                <w:sz w:val="18"/>
                <w:szCs w:val="18"/>
                <w:lang w:eastAsia="es-ES"/>
              </w:rPr>
            </w:pPr>
            <w:r>
              <w:rPr>
                <w:rFonts w:ascii="Verdana" w:eastAsia="Times New Roman" w:hAnsi="Verdana" w:cs="Arial"/>
                <w:sz w:val="18"/>
                <w:szCs w:val="18"/>
                <w:lang w:eastAsia="es-ES"/>
              </w:rPr>
              <w:t>Juan Carlos González</w:t>
            </w:r>
          </w:p>
          <w:p w14:paraId="1F8E2581" w14:textId="77777777" w:rsidR="005F334A" w:rsidRPr="00E03546" w:rsidRDefault="005F334A" w:rsidP="009B078E">
            <w:pPr>
              <w:rPr>
                <w:rFonts w:ascii="Verdana" w:eastAsia="Times New Roman" w:hAnsi="Verdana" w:cs="Arial"/>
                <w:sz w:val="18"/>
                <w:szCs w:val="18"/>
                <w:lang w:eastAsia="es-ES"/>
              </w:rPr>
            </w:pPr>
            <w:r>
              <w:rPr>
                <w:rFonts w:ascii="Verdana" w:eastAsia="Times New Roman" w:hAnsi="Verdana" w:cs="Arial"/>
                <w:sz w:val="18"/>
                <w:szCs w:val="18"/>
                <w:lang w:eastAsia="es-ES"/>
              </w:rPr>
              <w:t xml:space="preserve">Contratista </w:t>
            </w:r>
            <w:r w:rsidRPr="00E03546">
              <w:rPr>
                <w:rFonts w:ascii="Verdana" w:eastAsia="Times New Roman" w:hAnsi="Verdana" w:cs="Arial"/>
                <w:sz w:val="18"/>
                <w:szCs w:val="18"/>
                <w:lang w:eastAsia="es-ES"/>
              </w:rPr>
              <w:t>de la Subdirección de Gestión Contractual</w:t>
            </w:r>
          </w:p>
        </w:tc>
      </w:tr>
      <w:tr w:rsidR="005F334A" w:rsidRPr="00E03546" w14:paraId="6D203359" w14:textId="77777777" w:rsidTr="009B078E">
        <w:trPr>
          <w:trHeight w:val="272"/>
        </w:trPr>
        <w:tc>
          <w:tcPr>
            <w:tcW w:w="977" w:type="dxa"/>
            <w:vAlign w:val="center"/>
            <w:hideMark/>
          </w:tcPr>
          <w:p w14:paraId="0AC7658C" w14:textId="77777777" w:rsidR="005F334A" w:rsidRPr="00E03546" w:rsidRDefault="005F334A" w:rsidP="009B078E">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Aprobó:</w:t>
            </w:r>
          </w:p>
        </w:tc>
        <w:tc>
          <w:tcPr>
            <w:tcW w:w="4552" w:type="dxa"/>
            <w:tcBorders>
              <w:top w:val="dotted" w:sz="4" w:space="0" w:color="7F7F7F"/>
              <w:left w:val="nil"/>
              <w:bottom w:val="dotted" w:sz="4" w:space="0" w:color="7F7F7F"/>
              <w:right w:val="nil"/>
            </w:tcBorders>
            <w:vAlign w:val="center"/>
            <w:hideMark/>
          </w:tcPr>
          <w:p w14:paraId="1E8F621C" w14:textId="77777777" w:rsidR="005F334A" w:rsidRPr="00E03546" w:rsidRDefault="005F334A" w:rsidP="009B078E">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 xml:space="preserve">Carolina Quintero </w:t>
            </w:r>
            <w:proofErr w:type="spellStart"/>
            <w:r w:rsidRPr="00E03546">
              <w:rPr>
                <w:rFonts w:ascii="Verdana" w:eastAsia="Times New Roman" w:hAnsi="Verdana" w:cs="Arial"/>
                <w:sz w:val="18"/>
                <w:szCs w:val="18"/>
                <w:lang w:eastAsia="es-ES"/>
              </w:rPr>
              <w:t>Gacharná</w:t>
            </w:r>
            <w:proofErr w:type="spellEnd"/>
          </w:p>
          <w:p w14:paraId="7DB39320" w14:textId="77777777" w:rsidR="005F334A" w:rsidRPr="00E03546" w:rsidRDefault="005F334A" w:rsidP="009B078E">
            <w:pPr>
              <w:rPr>
                <w:rFonts w:ascii="Verdana" w:eastAsia="Times New Roman" w:hAnsi="Verdana" w:cs="Arial"/>
                <w:sz w:val="18"/>
                <w:szCs w:val="18"/>
                <w:lang w:eastAsia="es-ES"/>
              </w:rPr>
            </w:pPr>
            <w:r w:rsidRPr="00E03546">
              <w:rPr>
                <w:rFonts w:ascii="Verdana" w:eastAsia="Times New Roman" w:hAnsi="Verdana" w:cs="Arial"/>
                <w:sz w:val="18"/>
                <w:szCs w:val="18"/>
                <w:lang w:eastAsia="es-ES"/>
              </w:rPr>
              <w:t>Subdirectora de Gestión Contractual ANCP – CCE</w:t>
            </w:r>
          </w:p>
        </w:tc>
      </w:tr>
    </w:tbl>
    <w:p w14:paraId="075EDFF0" w14:textId="77777777" w:rsidR="005F334A" w:rsidRPr="00E03546" w:rsidRDefault="005F334A" w:rsidP="005F334A">
      <w:pPr>
        <w:spacing w:after="0" w:line="276" w:lineRule="auto"/>
        <w:jc w:val="both"/>
        <w:rPr>
          <w:rFonts w:ascii="Verdana" w:eastAsia="Times New Roman" w:hAnsi="Verdana" w:cs="Arial"/>
        </w:rPr>
      </w:pPr>
    </w:p>
    <w:p w14:paraId="5DC19E60" w14:textId="77777777" w:rsidR="005F334A" w:rsidRPr="00E03546" w:rsidRDefault="005F334A" w:rsidP="005F334A">
      <w:pPr>
        <w:spacing w:line="276" w:lineRule="auto"/>
        <w:rPr>
          <w:rFonts w:ascii="Verdana" w:eastAsia="Calibri" w:hAnsi="Verdana" w:cs="Arial"/>
        </w:rPr>
      </w:pPr>
    </w:p>
    <w:p w14:paraId="67E5BECF" w14:textId="77777777" w:rsidR="005F334A" w:rsidRPr="00E03546" w:rsidRDefault="005F334A" w:rsidP="005F334A">
      <w:pPr>
        <w:spacing w:line="276" w:lineRule="auto"/>
        <w:rPr>
          <w:rFonts w:ascii="Verdana" w:eastAsia="Calibri" w:hAnsi="Verdana" w:cs="Arial"/>
        </w:rPr>
      </w:pPr>
    </w:p>
    <w:p w14:paraId="73D607A7" w14:textId="77777777" w:rsidR="005F334A" w:rsidRPr="0044528D" w:rsidRDefault="005F334A" w:rsidP="005F334A">
      <w:pPr>
        <w:spacing w:after="0"/>
        <w:rPr>
          <w:rFonts w:ascii="Verdana" w:hAnsi="Verdana"/>
        </w:rPr>
      </w:pPr>
    </w:p>
    <w:p w14:paraId="045305D9" w14:textId="77777777" w:rsidR="002611AF" w:rsidRPr="00093B55" w:rsidRDefault="002611AF" w:rsidP="00093B55">
      <w:pPr>
        <w:spacing w:line="276" w:lineRule="auto"/>
        <w:rPr>
          <w:rFonts w:ascii="Verdana" w:hAnsi="Verdana"/>
        </w:rPr>
      </w:pPr>
    </w:p>
    <w:sectPr w:rsidR="002611AF" w:rsidRPr="00093B55" w:rsidSect="002611AF">
      <w:headerReference w:type="default" r:id="rId25"/>
      <w:footerReference w:type="default" r:id="rId2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E4C91" w14:textId="77777777" w:rsidR="00CA6F13" w:rsidRDefault="00CA6F13" w:rsidP="002611AF">
      <w:pPr>
        <w:spacing w:after="0" w:line="240" w:lineRule="auto"/>
      </w:pPr>
      <w:r>
        <w:separator/>
      </w:r>
    </w:p>
  </w:endnote>
  <w:endnote w:type="continuationSeparator" w:id="0">
    <w:p w14:paraId="16AC3938" w14:textId="77777777" w:rsidR="00CA6F13" w:rsidRDefault="00CA6F13" w:rsidP="002611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77534" w14:textId="77777777" w:rsidR="00DD5C94" w:rsidRDefault="00DD5C94">
    <w:pPr>
      <w:pStyle w:val="Piedepgina"/>
    </w:pPr>
  </w:p>
  <w:p w14:paraId="5588061C" w14:textId="77777777" w:rsidR="00DD5C94"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5E5F3F2E" w14:textId="77777777" w:rsidR="00DD5C94"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707ADD8" w14:textId="77777777" w:rsidR="00DD5C94"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4CA4DAAF" w14:textId="77777777" w:rsidR="00DD5C94"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p w14:paraId="236BABA3" w14:textId="77777777" w:rsidR="005A3B4F" w:rsidRDefault="005A3B4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CA793" w14:textId="77777777" w:rsidR="00CA6F13" w:rsidRDefault="00CA6F13" w:rsidP="002611AF">
      <w:pPr>
        <w:spacing w:after="0" w:line="240" w:lineRule="auto"/>
      </w:pPr>
      <w:r>
        <w:separator/>
      </w:r>
    </w:p>
  </w:footnote>
  <w:footnote w:type="continuationSeparator" w:id="0">
    <w:p w14:paraId="61F81348" w14:textId="77777777" w:rsidR="00CA6F13" w:rsidRDefault="00CA6F13" w:rsidP="002611AF">
      <w:pPr>
        <w:spacing w:after="0" w:line="240" w:lineRule="auto"/>
      </w:pPr>
      <w:r>
        <w:continuationSeparator/>
      </w:r>
    </w:p>
  </w:footnote>
  <w:footnote w:id="1">
    <w:p w14:paraId="6741428C" w14:textId="77777777" w:rsidR="005F334A" w:rsidRDefault="005F334A" w:rsidP="005F334A">
      <w:pPr>
        <w:pStyle w:val="Textonotapie"/>
      </w:pPr>
      <w:r>
        <w:rPr>
          <w:rStyle w:val="Refdenotaalpie"/>
        </w:rPr>
        <w:footnoteRef/>
      </w:r>
      <w:r>
        <w:t xml:space="preserve"> </w:t>
      </w:r>
      <w:r w:rsidRPr="00B82EC3">
        <w:rPr>
          <w:sz w:val="18"/>
          <w:szCs w:val="18"/>
        </w:rPr>
        <w:t>Https://www.colombiacompra.gov.co/sites/cce_public/files/cce_documents/cce_guia_liquidacion_procesos.pdf</w:t>
      </w:r>
    </w:p>
  </w:footnote>
  <w:footnote w:id="2">
    <w:p w14:paraId="4DA2DE35" w14:textId="77777777" w:rsidR="005F334A" w:rsidRPr="00E03546" w:rsidRDefault="005F334A" w:rsidP="005F334A">
      <w:pPr>
        <w:pStyle w:val="Textonotapie"/>
        <w:ind w:firstLine="708"/>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“Artículo 2.2.1.2.3.1.12. Suficiencia de la garantía de cumplimiento. 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 </w:t>
      </w:r>
    </w:p>
    <w:p w14:paraId="7C337FED" w14:textId="77777777" w:rsidR="005F334A" w:rsidRPr="00E03546" w:rsidRDefault="005F334A" w:rsidP="005F334A">
      <w:pPr>
        <w:pStyle w:val="Textonotapie"/>
        <w:ind w:firstLine="708"/>
        <w:jc w:val="both"/>
        <w:rPr>
          <w:rFonts w:ascii="Century Gothic" w:hAnsi="Century Gothic" w:cs="Arial"/>
          <w:color w:val="000000"/>
          <w:sz w:val="16"/>
          <w:szCs w:val="16"/>
        </w:rPr>
      </w:pPr>
      <w:r w:rsidRPr="00E03546">
        <w:rPr>
          <w:rFonts w:ascii="Century Gothic" w:hAnsi="Century Gothic" w:cs="Arial"/>
          <w:color w:val="000000"/>
          <w:sz w:val="16"/>
          <w:szCs w:val="16"/>
        </w:rPr>
        <w:t xml:space="preserve">1. Si el valor del contrato es superior a un millón (1.000.000) de smmlv y hasta cinco millones (5.000.000) de smmlv, la Entidad Estatal puede aceptar garantías que cubran al menos el dos punto cinco por ciento (2,5%) del valor del contrato. </w:t>
      </w:r>
    </w:p>
    <w:p w14:paraId="5EBF9DC8" w14:textId="77777777" w:rsidR="005F334A" w:rsidRPr="00E03546" w:rsidRDefault="005F334A" w:rsidP="005F334A">
      <w:pPr>
        <w:pStyle w:val="Textonotapie"/>
        <w:ind w:firstLine="708"/>
        <w:jc w:val="both"/>
        <w:rPr>
          <w:rFonts w:ascii="Century Gothic" w:hAnsi="Century Gothic" w:cs="Arial"/>
          <w:color w:val="000000"/>
          <w:sz w:val="16"/>
          <w:szCs w:val="16"/>
        </w:rPr>
      </w:pPr>
      <w:r w:rsidRPr="00E03546">
        <w:rPr>
          <w:rFonts w:ascii="Century Gothic" w:hAnsi="Century Gothic" w:cs="Arial"/>
          <w:color w:val="000000"/>
          <w:sz w:val="16"/>
          <w:szCs w:val="16"/>
        </w:rPr>
        <w:t xml:space="preserve">2. Si el valor del contrato es superior a cinco millones (5.000.000) de smmlv y hasta diez millones (10.000.000) de smmlv, la Entidad Estatal puede aceptar garantías que cubran al menos el uno por ciento (1%) del valor del contrato. </w:t>
      </w:r>
    </w:p>
    <w:p w14:paraId="7814F711" w14:textId="77777777" w:rsidR="005F334A" w:rsidRPr="00E03546" w:rsidRDefault="005F334A" w:rsidP="005F334A">
      <w:pPr>
        <w:pStyle w:val="Textonotapie"/>
        <w:ind w:firstLine="708"/>
        <w:jc w:val="both"/>
        <w:rPr>
          <w:rFonts w:ascii="Century Gothic" w:hAnsi="Century Gothic" w:cs="Arial"/>
          <w:color w:val="000000"/>
          <w:sz w:val="16"/>
          <w:szCs w:val="16"/>
        </w:rPr>
      </w:pPr>
      <w:r w:rsidRPr="00E03546">
        <w:rPr>
          <w:rFonts w:ascii="Century Gothic" w:hAnsi="Century Gothic" w:cs="Arial"/>
          <w:color w:val="000000"/>
          <w:sz w:val="16"/>
          <w:szCs w:val="16"/>
        </w:rPr>
        <w:t>3. Si el valor del contrato es superior a diez millones (10.000.000) de smmlv, la Entidad Estatal puede aceptar garantías que cubran al menos el cero punto cinco por ciento (0,5%) del valor del contrato.</w:t>
      </w:r>
    </w:p>
    <w:p w14:paraId="57573937" w14:textId="77777777" w:rsidR="005F334A" w:rsidRPr="00E03546" w:rsidRDefault="005F334A" w:rsidP="005F334A">
      <w:pPr>
        <w:pStyle w:val="Textonotapie"/>
        <w:ind w:firstLine="708"/>
        <w:jc w:val="both"/>
        <w:rPr>
          <w:rFonts w:ascii="Century Gothic" w:hAnsi="Century Gothic" w:cs="Arial"/>
          <w:color w:val="000000"/>
          <w:sz w:val="16"/>
          <w:szCs w:val="16"/>
        </w:rPr>
      </w:pPr>
      <w:r w:rsidRPr="00E03546">
        <w:rPr>
          <w:rFonts w:ascii="Century Gothic" w:hAnsi="Century Gothic" w:cs="Arial"/>
          <w:color w:val="000000"/>
          <w:sz w:val="16"/>
          <w:szCs w:val="16"/>
        </w:rPr>
        <w:t>4. Colombia Compra Eficiente debe determinar el valor de la garantía única de cumplimiento del Acuerdo Marco de Precios de acuerdo con el objeto, el valor, la naturaleza y las obligaciones contenidas en este”.</w:t>
      </w:r>
    </w:p>
  </w:footnote>
  <w:footnote w:id="3">
    <w:p w14:paraId="483ADE81" w14:textId="77777777" w:rsidR="005F334A" w:rsidRPr="00411232" w:rsidRDefault="005F334A" w:rsidP="005F334A">
      <w:pPr>
        <w:pStyle w:val="Textonotapie"/>
        <w:ind w:firstLine="709"/>
        <w:jc w:val="both"/>
        <w:rPr>
          <w:rFonts w:ascii="Century Gothic" w:hAnsi="Century Gothic" w:cs="Arial"/>
          <w:sz w:val="16"/>
          <w:szCs w:val="16"/>
        </w:rPr>
      </w:pPr>
      <w:r w:rsidRPr="00411232">
        <w:rPr>
          <w:rStyle w:val="Refdenotaalpie"/>
          <w:rFonts w:ascii="Century Gothic" w:hAnsi="Century Gothic" w:cs="Arial"/>
          <w:sz w:val="16"/>
          <w:szCs w:val="16"/>
        </w:rPr>
        <w:footnoteRef/>
      </w:r>
      <w:r w:rsidRPr="00411232">
        <w:rPr>
          <w:rFonts w:ascii="Century Gothic" w:hAnsi="Century Gothic" w:cs="Arial"/>
          <w:sz w:val="16"/>
          <w:szCs w:val="16"/>
        </w:rPr>
        <w:t xml:space="preserve"> CONSEJO DE ESTADO. Sección Tercera. Sentencia del 29 de julio de 2015. Exp. 42.494. C.P. Jaime Orlando Santofimio Gamboa.</w:t>
      </w:r>
    </w:p>
  </w:footnote>
  <w:footnote w:id="4">
    <w:p w14:paraId="1576C771" w14:textId="77777777" w:rsidR="005F334A" w:rsidRPr="00411232" w:rsidRDefault="005F334A" w:rsidP="005F334A">
      <w:pPr>
        <w:pStyle w:val="Textonotapie"/>
        <w:ind w:firstLine="708"/>
        <w:jc w:val="both"/>
        <w:rPr>
          <w:rFonts w:ascii="Century Gothic" w:hAnsi="Century Gothic" w:cs="Arial"/>
          <w:sz w:val="16"/>
          <w:szCs w:val="16"/>
        </w:rPr>
      </w:pPr>
      <w:r w:rsidRPr="00411232">
        <w:rPr>
          <w:rStyle w:val="Refdenotaalpie"/>
          <w:rFonts w:ascii="Century Gothic" w:hAnsi="Century Gothic" w:cs="Arial"/>
          <w:sz w:val="16"/>
          <w:szCs w:val="16"/>
        </w:rPr>
        <w:footnoteRef/>
      </w:r>
      <w:r w:rsidRPr="00411232">
        <w:rPr>
          <w:rFonts w:ascii="Century Gothic" w:hAnsi="Century Gothic" w:cs="Arial"/>
          <w:sz w:val="16"/>
          <w:szCs w:val="16"/>
        </w:rPr>
        <w:t xml:space="preserve"> CONSEJO DE ESTADO. Sección Tercera. Sentencia del 13 de septiembre de 1999. Exp. 10.264. C.P. Ricardo Hoyos Duque.</w:t>
      </w:r>
    </w:p>
  </w:footnote>
  <w:footnote w:id="5">
    <w:p w14:paraId="08CE05F5" w14:textId="77777777" w:rsidR="005F334A" w:rsidRPr="00411232" w:rsidRDefault="005F334A" w:rsidP="005F334A">
      <w:pPr>
        <w:pStyle w:val="Textonotapie"/>
        <w:ind w:firstLine="708"/>
        <w:jc w:val="both"/>
        <w:rPr>
          <w:rFonts w:ascii="Century Gothic" w:hAnsi="Century Gothic" w:cs="Arial"/>
          <w:sz w:val="16"/>
          <w:szCs w:val="16"/>
          <w:lang w:val="es-ES"/>
        </w:rPr>
      </w:pPr>
      <w:r w:rsidRPr="00411232">
        <w:rPr>
          <w:rStyle w:val="Refdenotaalpie"/>
          <w:rFonts w:ascii="Century Gothic" w:hAnsi="Century Gothic" w:cs="Arial"/>
          <w:sz w:val="16"/>
          <w:szCs w:val="16"/>
        </w:rPr>
        <w:footnoteRef/>
      </w:r>
      <w:r w:rsidRPr="00411232">
        <w:rPr>
          <w:rFonts w:ascii="Century Gothic" w:hAnsi="Century Gothic" w:cs="Arial"/>
          <w:sz w:val="16"/>
          <w:szCs w:val="16"/>
        </w:rPr>
        <w:t xml:space="preserve"> PALACIO HINCAPIÉ, Juan Ángel. La contratación de las entidades estatales. Octava edición. Medellín: Librería Jurídica Sánchez R. SAS, 2020. p. 659.</w:t>
      </w:r>
    </w:p>
  </w:footnote>
  <w:footnote w:id="6">
    <w:p w14:paraId="62C73B8E" w14:textId="77777777" w:rsidR="005F334A" w:rsidRPr="00E03546" w:rsidRDefault="005F334A" w:rsidP="005F334A">
      <w:pPr>
        <w:spacing w:after="0" w:line="240" w:lineRule="auto"/>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Consejo de Estado. Sección Tercera. Subsección C. Radicado No. 05001-23-31-000-1998-00038-01. Número Interno 27.777. M.P. Enrique Gil Botero. Allí se dijo: “[…] liquidar supone un ajuste expreso y claro sobre las cuentas y el estado de cumplimiento de un contrato, de tal manera que conste el balance tanto técnico como económico de las obligaciones que estuvieron a cargo de las partes. En cuanto a lo primero, la liquidación debe incluir un análisis detallado de las condiciones de calidad y oportunidad en la entrega de los bienes, obras o servicios, y el balance económico dará cuenta del comportamiento financiero del negocio: recursos recibidos, pagos efectuados, estado del crédito o de la deuda de cada parte, entre otros detalles mínimos y necesarios para finiquitar una relación jurídica contractual”.</w:t>
      </w:r>
    </w:p>
  </w:footnote>
  <w:footnote w:id="7">
    <w:p w14:paraId="10448F3B" w14:textId="77777777" w:rsidR="005F334A" w:rsidRPr="00E03546" w:rsidRDefault="005F334A" w:rsidP="005F334A">
      <w:pPr>
        <w:pStyle w:val="Textonotapie"/>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w:t>
      </w:r>
      <w:r w:rsidRPr="00E03546">
        <w:rPr>
          <w:rFonts w:ascii="Century Gothic" w:hAnsi="Century Gothic" w:cs="Arial"/>
          <w:i/>
          <w:iCs/>
          <w:color w:val="000000"/>
          <w:sz w:val="16"/>
          <w:szCs w:val="16"/>
        </w:rPr>
        <w:t>Ibidem</w:t>
      </w:r>
      <w:r w:rsidRPr="00E03546">
        <w:rPr>
          <w:rFonts w:ascii="Century Gothic" w:hAnsi="Century Gothic" w:cs="Arial"/>
          <w:color w:val="000000"/>
          <w:sz w:val="16"/>
          <w:szCs w:val="16"/>
        </w:rPr>
        <w:t>.</w:t>
      </w:r>
    </w:p>
  </w:footnote>
  <w:footnote w:id="8">
    <w:p w14:paraId="31377957" w14:textId="77777777" w:rsidR="005F334A" w:rsidRPr="00E03546" w:rsidRDefault="005F334A" w:rsidP="005F334A">
      <w:pPr>
        <w:pStyle w:val="Textonotapie"/>
        <w:ind w:firstLine="709"/>
        <w:jc w:val="both"/>
        <w:rPr>
          <w:rFonts w:ascii="Century Gothic" w:hAnsi="Century Gothic" w:cs="Arial"/>
          <w:color w:val="000000"/>
          <w:sz w:val="16"/>
          <w:szCs w:val="16"/>
          <w:lang w:val="es-ES"/>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w:t>
      </w:r>
      <w:r w:rsidRPr="00E03546">
        <w:rPr>
          <w:rFonts w:ascii="Century Gothic" w:hAnsi="Century Gothic" w:cs="Arial"/>
          <w:color w:val="000000"/>
          <w:sz w:val="16"/>
          <w:szCs w:val="16"/>
          <w:lang w:val="es-ES"/>
        </w:rPr>
        <w:t>El artículo 11 de la Ley 1150 de 2007 prescribe: “Artículo 11. Del plazo para la liquidación de los contratos. La liquidación de los contratos se hará de mutuo acuerdo dentro del término fijado en los pliegos de condiciones o sus equivalentes, o dentro del que acuerden las partes para el efecto. De no existir tal término, la liquidación se realizará dentro de los cuatro (4) meses siguientes a la expiración del término previsto para la ejecución del contrato o a la expedición del acto administrativo que ordene la terminación, o a la fecha del acuerdo que la disponga.</w:t>
      </w:r>
    </w:p>
    <w:p w14:paraId="3836CD35" w14:textId="77777777" w:rsidR="005F334A" w:rsidRPr="00E03546" w:rsidRDefault="005F334A" w:rsidP="005F334A">
      <w:pPr>
        <w:pStyle w:val="Textonotapie"/>
        <w:ind w:firstLine="709"/>
        <w:jc w:val="both"/>
        <w:rPr>
          <w:rFonts w:ascii="Century Gothic" w:hAnsi="Century Gothic" w:cs="Arial"/>
          <w:color w:val="000000"/>
          <w:sz w:val="16"/>
          <w:szCs w:val="16"/>
          <w:lang w:val="es-ES"/>
        </w:rPr>
      </w:pPr>
      <w:r w:rsidRPr="00E03546">
        <w:rPr>
          <w:rFonts w:ascii="Century Gothic" w:hAnsi="Century Gothic" w:cs="Arial"/>
          <w:color w:val="000000"/>
          <w:sz w:val="16"/>
          <w:szCs w:val="16"/>
          <w:lang w:val="es-ES"/>
        </w:rPr>
        <w:t>En aquellos casos en que el contratista no se presente a la liquidación previa notificación o convocatoria que le haga la entidad, o las partes no lleguen a un acuerdo sobre su contenido, la entidad tendrá la facultad de liquidar en forma unilateral dentro de los dos (2) meses siguientes, de conformidad con lo dispuesto en el artículo 136 del C. C. A.</w:t>
      </w:r>
    </w:p>
    <w:p w14:paraId="296B327D" w14:textId="77777777" w:rsidR="005F334A" w:rsidRPr="00E03546" w:rsidRDefault="005F334A" w:rsidP="005F334A">
      <w:pPr>
        <w:pStyle w:val="Textonotapie"/>
        <w:ind w:firstLine="709"/>
        <w:jc w:val="both"/>
        <w:rPr>
          <w:rFonts w:ascii="Century Gothic" w:hAnsi="Century Gothic" w:cs="Arial"/>
          <w:color w:val="000000"/>
          <w:sz w:val="16"/>
          <w:szCs w:val="16"/>
          <w:lang w:val="es-ES"/>
        </w:rPr>
      </w:pPr>
      <w:r w:rsidRPr="00E03546">
        <w:rPr>
          <w:rFonts w:ascii="Century Gothic" w:hAnsi="Century Gothic" w:cs="Arial"/>
          <w:color w:val="000000"/>
          <w:sz w:val="16"/>
          <w:szCs w:val="16"/>
          <w:lang w:val="es-ES"/>
        </w:rPr>
        <w:t>Si vencido el plazo anteriormente establecido no se ha realizado la liquidación, la misma podrá ser realizada en cualquier tiempo dentro de los dos años siguientes al vencimiento del término a que se refieren los incisos anteriores, de mutuo acuerdo o unilateralmente, sin perjuicio de lo previsto en el artículo 136 del C. C. A.</w:t>
      </w:r>
    </w:p>
    <w:p w14:paraId="107C9CC9" w14:textId="77777777" w:rsidR="005F334A" w:rsidRPr="00E03546" w:rsidRDefault="005F334A" w:rsidP="005F334A">
      <w:pPr>
        <w:pStyle w:val="Textonotapie"/>
        <w:ind w:firstLine="709"/>
        <w:jc w:val="both"/>
        <w:rPr>
          <w:rFonts w:ascii="Century Gothic" w:hAnsi="Century Gothic" w:cs="Arial"/>
          <w:color w:val="000000"/>
          <w:sz w:val="16"/>
          <w:szCs w:val="16"/>
          <w:lang w:val="es-ES"/>
        </w:rPr>
      </w:pPr>
      <w:r w:rsidRPr="00E03546">
        <w:rPr>
          <w:rFonts w:ascii="Century Gothic" w:hAnsi="Century Gothic" w:cs="Arial"/>
          <w:color w:val="000000"/>
          <w:sz w:val="16"/>
          <w:szCs w:val="16"/>
          <w:lang w:val="es-ES"/>
        </w:rPr>
        <w:t>Los contratistas tendrán derecho a efectuar salvedades a la liquidación por mutuo acuerdo, y en este evento la liquidación unilateral solo procederá en relación con los aspectos que no hayan sido objeto de acuerdo”.</w:t>
      </w:r>
    </w:p>
  </w:footnote>
  <w:footnote w:id="9">
    <w:p w14:paraId="1797876A" w14:textId="77777777" w:rsidR="005F334A" w:rsidRPr="00E03546" w:rsidRDefault="005F334A" w:rsidP="005F334A">
      <w:pPr>
        <w:pStyle w:val="Textonotapie"/>
        <w:ind w:firstLine="709"/>
        <w:jc w:val="both"/>
        <w:rPr>
          <w:rFonts w:ascii="Century Gothic" w:hAnsi="Century Gothic" w:cs="Arial"/>
          <w:color w:val="000000"/>
          <w:sz w:val="16"/>
          <w:szCs w:val="16"/>
          <w:lang w:val="es-ES"/>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COLOMBIA COMPRA EFICIENTE. Guía para la Liquidación de los Procesos de Contratación. página 5, disponible en: </w:t>
      </w:r>
      <w:hyperlink r:id="rId1" w:history="1">
        <w:r w:rsidRPr="00E03546">
          <w:rPr>
            <w:rStyle w:val="Hipervnculo"/>
            <w:rFonts w:ascii="Century Gothic" w:hAnsi="Century Gothic" w:cs="Arial"/>
            <w:color w:val="000000"/>
            <w:sz w:val="16"/>
            <w:szCs w:val="16"/>
          </w:rPr>
          <w:t>https://www.colombiacompra.gov.co/sites/cce_public/files/cce_documents/cce_guia_liquidacion_procesos.pdf</w:t>
        </w:r>
      </w:hyperlink>
      <w:r w:rsidRPr="00E03546">
        <w:rPr>
          <w:rFonts w:ascii="Century Gothic" w:hAnsi="Century Gothic" w:cs="Arial"/>
          <w:color w:val="000000"/>
          <w:sz w:val="16"/>
          <w:szCs w:val="16"/>
        </w:rPr>
        <w:t xml:space="preserve"> </w:t>
      </w:r>
    </w:p>
  </w:footnote>
  <w:footnote w:id="10">
    <w:p w14:paraId="2B32B06C" w14:textId="77777777" w:rsidR="005F334A" w:rsidRPr="00E03546" w:rsidRDefault="005F334A" w:rsidP="005F334A">
      <w:pPr>
        <w:pStyle w:val="Textonotapie"/>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Conviene recordar que es válida la liquidación bilateral parcial, debido a que las partes no logran ponerse de acuerdo en todos los asuntos referentes al contrato. En este evento, se debe hacer uso de las glosas o salvedades, y únicamente sobre tal glosa o salvedad girará el debate judicial que se da con ocasión de la demanda en ejercicio del medio de control de controversias contractuales.</w:t>
      </w:r>
    </w:p>
  </w:footnote>
  <w:footnote w:id="11">
    <w:p w14:paraId="52A6DA94" w14:textId="77777777" w:rsidR="005F334A" w:rsidRPr="00E03546" w:rsidRDefault="005F334A" w:rsidP="005F334A">
      <w:pPr>
        <w:pStyle w:val="Textonotapie"/>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CONSEJO DE ESTADO. Sala de Consulta y Servicio Civil. Concepto de 28 de junio de 2016. Radicación: 2253. C.P. Álvaro Namén Vargas. </w:t>
      </w:r>
    </w:p>
  </w:footnote>
  <w:footnote w:id="12">
    <w:p w14:paraId="661C3435" w14:textId="77777777" w:rsidR="005F334A" w:rsidRPr="00E03546" w:rsidRDefault="005F334A" w:rsidP="005F334A">
      <w:pPr>
        <w:pStyle w:val="Textonotapie"/>
        <w:ind w:firstLine="709"/>
        <w:jc w:val="both"/>
        <w:rPr>
          <w:rFonts w:ascii="Century Gothic" w:hAnsi="Century Gothic" w:cs="Arial"/>
          <w:color w:val="000000"/>
          <w:sz w:val="16"/>
          <w:szCs w:val="16"/>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Es importante advertir que también durante estos dos meses se podrá realizar una liquidación bilateral, esto es, de mutuo acuerdo, lo cual significa que el plazo para hacer la liquidación bilateral no es un término perentorio, sino sencillamente indicativo.</w:t>
      </w:r>
    </w:p>
  </w:footnote>
  <w:footnote w:id="13">
    <w:p w14:paraId="630BCA4A" w14:textId="77777777" w:rsidR="005F334A" w:rsidRPr="00E03546" w:rsidRDefault="005F334A" w:rsidP="005F334A">
      <w:pPr>
        <w:pStyle w:val="Textonotapie"/>
        <w:ind w:firstLine="709"/>
        <w:jc w:val="both"/>
        <w:rPr>
          <w:rFonts w:ascii="Century Gothic" w:hAnsi="Century Gothic" w:cs="Arial"/>
          <w:color w:val="000000"/>
          <w:sz w:val="16"/>
          <w:szCs w:val="16"/>
          <w:lang w:val="es-ES"/>
        </w:rPr>
      </w:pPr>
      <w:r w:rsidRPr="00E03546">
        <w:rPr>
          <w:rStyle w:val="Refdenotaalpie"/>
          <w:rFonts w:ascii="Century Gothic" w:hAnsi="Century Gothic" w:cs="Arial"/>
          <w:color w:val="000000"/>
          <w:sz w:val="16"/>
          <w:szCs w:val="16"/>
        </w:rPr>
        <w:footnoteRef/>
      </w:r>
      <w:r w:rsidRPr="00E03546">
        <w:rPr>
          <w:rFonts w:ascii="Century Gothic" w:hAnsi="Century Gothic" w:cs="Arial"/>
          <w:color w:val="000000"/>
          <w:sz w:val="16"/>
          <w:szCs w:val="16"/>
        </w:rPr>
        <w:t xml:space="preserve"> CONSEJO DE ESTADO. Sección Tercera. Sala Plena. Auto de 1 de agosto de 2019. Exp. 62009. C.P. Jaime Enrique Rodríguez Navas. </w:t>
      </w:r>
    </w:p>
  </w:footnote>
  <w:footnote w:id="14">
    <w:p w14:paraId="565C6E72" w14:textId="77777777" w:rsidR="005F334A" w:rsidRPr="00411232" w:rsidRDefault="005F334A" w:rsidP="005F334A">
      <w:pPr>
        <w:pStyle w:val="Textonotapie"/>
        <w:ind w:firstLine="709"/>
        <w:jc w:val="both"/>
        <w:rPr>
          <w:rFonts w:ascii="Century Gothic" w:hAnsi="Century Gothic" w:cs="Arial"/>
          <w:sz w:val="16"/>
          <w:szCs w:val="16"/>
          <w:lang w:val="es-ES"/>
        </w:rPr>
      </w:pPr>
      <w:r w:rsidRPr="00411232">
        <w:rPr>
          <w:rStyle w:val="Refdenotaalpie"/>
          <w:rFonts w:ascii="Century Gothic" w:hAnsi="Century Gothic" w:cs="Arial"/>
          <w:sz w:val="16"/>
          <w:szCs w:val="16"/>
        </w:rPr>
        <w:footnoteRef/>
      </w:r>
      <w:r w:rsidRPr="00411232">
        <w:rPr>
          <w:rFonts w:ascii="Century Gothic" w:hAnsi="Century Gothic" w:cs="Arial"/>
          <w:sz w:val="16"/>
          <w:szCs w:val="16"/>
        </w:rPr>
        <w:t xml:space="preserve"> </w:t>
      </w:r>
      <w:r w:rsidRPr="00411232">
        <w:rPr>
          <w:rFonts w:ascii="Century Gothic" w:hAnsi="Century Gothic" w:cs="Arial"/>
          <w:sz w:val="16"/>
          <w:szCs w:val="16"/>
          <w:lang w:val="es-ES"/>
        </w:rPr>
        <w:t>Ibidem.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9091D" w14:textId="77777777" w:rsidR="00DD5C94"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FA3EC9B" wp14:editId="5EB8E653">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7668ED31" wp14:editId="32607859">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71F858A" w14:textId="77777777" w:rsidR="00DD5C94" w:rsidRDefault="00DD5C94">
    <w:pPr>
      <w:pStyle w:val="Encabezado"/>
    </w:pPr>
  </w:p>
  <w:p w14:paraId="5F52B71A" w14:textId="77777777" w:rsidR="00DD5C94" w:rsidRDefault="00DD5C94" w:rsidP="004A305D">
    <w:pPr>
      <w:spacing w:after="0"/>
      <w:rPr>
        <w:rFonts w:ascii="Verdana" w:hAnsi="Verdana"/>
        <w:b/>
        <w:bCs/>
      </w:rPr>
    </w:pPr>
  </w:p>
  <w:p w14:paraId="03475497" w14:textId="77777777" w:rsidR="00DD5C94" w:rsidRPr="004A305D" w:rsidRDefault="00DD5C94" w:rsidP="00B01B1A">
    <w:pPr>
      <w:spacing w:after="0" w:line="120" w:lineRule="auto"/>
      <w:rPr>
        <w:rFonts w:ascii="Century Gothic" w:eastAsia="Geo" w:hAnsi="Century Gothic" w:cs="Geo"/>
        <w:sz w:val="16"/>
        <w:szCs w:val="16"/>
        <w:lang w:eastAsia="es-CO"/>
      </w:rPr>
    </w:pPr>
  </w:p>
  <w:p w14:paraId="6284C6CC" w14:textId="77777777" w:rsidR="00DD5C94" w:rsidRDefault="00DD5C94" w:rsidP="00061B2A">
    <w:pPr>
      <w:pStyle w:val="Encabezado"/>
      <w:spacing w:line="120" w:lineRule="auto"/>
    </w:pPr>
  </w:p>
  <w:p w14:paraId="5D325E34" w14:textId="77777777" w:rsidR="005A3B4F" w:rsidRDefault="005A3B4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7571E"/>
    <w:multiLevelType w:val="hybridMultilevel"/>
    <w:tmpl w:val="F2B462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9D66E05"/>
    <w:multiLevelType w:val="hybridMultilevel"/>
    <w:tmpl w:val="6A60630C"/>
    <w:lvl w:ilvl="0" w:tplc="9ED84FEC">
      <w:start w:val="1"/>
      <w:numFmt w:val="lowerRoman"/>
      <w:lvlText w:val="%1)"/>
      <w:lvlJc w:val="left"/>
      <w:pPr>
        <w:ind w:left="742" w:hanging="720"/>
      </w:pPr>
      <w:rPr>
        <w:rFonts w:hint="default"/>
      </w:rPr>
    </w:lvl>
    <w:lvl w:ilvl="1" w:tplc="240A0019" w:tentative="1">
      <w:start w:val="1"/>
      <w:numFmt w:val="lowerLetter"/>
      <w:lvlText w:val="%2."/>
      <w:lvlJc w:val="left"/>
      <w:pPr>
        <w:ind w:left="1102" w:hanging="360"/>
      </w:pPr>
    </w:lvl>
    <w:lvl w:ilvl="2" w:tplc="240A001B" w:tentative="1">
      <w:start w:val="1"/>
      <w:numFmt w:val="lowerRoman"/>
      <w:lvlText w:val="%3."/>
      <w:lvlJc w:val="right"/>
      <w:pPr>
        <w:ind w:left="1822" w:hanging="180"/>
      </w:pPr>
    </w:lvl>
    <w:lvl w:ilvl="3" w:tplc="240A000F" w:tentative="1">
      <w:start w:val="1"/>
      <w:numFmt w:val="decimal"/>
      <w:lvlText w:val="%4."/>
      <w:lvlJc w:val="left"/>
      <w:pPr>
        <w:ind w:left="2542" w:hanging="360"/>
      </w:pPr>
    </w:lvl>
    <w:lvl w:ilvl="4" w:tplc="240A0019" w:tentative="1">
      <w:start w:val="1"/>
      <w:numFmt w:val="lowerLetter"/>
      <w:lvlText w:val="%5."/>
      <w:lvlJc w:val="left"/>
      <w:pPr>
        <w:ind w:left="3262" w:hanging="360"/>
      </w:pPr>
    </w:lvl>
    <w:lvl w:ilvl="5" w:tplc="240A001B" w:tentative="1">
      <w:start w:val="1"/>
      <w:numFmt w:val="lowerRoman"/>
      <w:lvlText w:val="%6."/>
      <w:lvlJc w:val="right"/>
      <w:pPr>
        <w:ind w:left="3982" w:hanging="180"/>
      </w:pPr>
    </w:lvl>
    <w:lvl w:ilvl="6" w:tplc="240A000F" w:tentative="1">
      <w:start w:val="1"/>
      <w:numFmt w:val="decimal"/>
      <w:lvlText w:val="%7."/>
      <w:lvlJc w:val="left"/>
      <w:pPr>
        <w:ind w:left="4702" w:hanging="360"/>
      </w:pPr>
    </w:lvl>
    <w:lvl w:ilvl="7" w:tplc="240A0019" w:tentative="1">
      <w:start w:val="1"/>
      <w:numFmt w:val="lowerLetter"/>
      <w:lvlText w:val="%8."/>
      <w:lvlJc w:val="left"/>
      <w:pPr>
        <w:ind w:left="5422" w:hanging="360"/>
      </w:pPr>
    </w:lvl>
    <w:lvl w:ilvl="8" w:tplc="240A001B" w:tentative="1">
      <w:start w:val="1"/>
      <w:numFmt w:val="lowerRoman"/>
      <w:lvlText w:val="%9."/>
      <w:lvlJc w:val="right"/>
      <w:pPr>
        <w:ind w:left="6142" w:hanging="180"/>
      </w:pPr>
    </w:lvl>
  </w:abstractNum>
  <w:abstractNum w:abstractNumId="3" w15:restartNumberingAfterBreak="0">
    <w:nsid w:val="1D853F55"/>
    <w:multiLevelType w:val="hybridMultilevel"/>
    <w:tmpl w:val="FD984F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ED4745E"/>
    <w:multiLevelType w:val="hybridMultilevel"/>
    <w:tmpl w:val="5150D3D4"/>
    <w:lvl w:ilvl="0" w:tplc="CEE4892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9EF4B51"/>
    <w:multiLevelType w:val="hybridMultilevel"/>
    <w:tmpl w:val="8B70B36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A4E145F"/>
    <w:multiLevelType w:val="hybridMultilevel"/>
    <w:tmpl w:val="21AAEB9E"/>
    <w:lvl w:ilvl="0" w:tplc="EF309B7A">
      <w:start w:val="1"/>
      <w:numFmt w:val="lowerRoman"/>
      <w:lvlText w:val="%1)"/>
      <w:lvlJc w:val="left"/>
      <w:pPr>
        <w:ind w:left="823" w:hanging="720"/>
      </w:pPr>
      <w:rPr>
        <w:rFonts w:hint="default"/>
      </w:rPr>
    </w:lvl>
    <w:lvl w:ilvl="1" w:tplc="240A0019" w:tentative="1">
      <w:start w:val="1"/>
      <w:numFmt w:val="lowerLetter"/>
      <w:lvlText w:val="%2."/>
      <w:lvlJc w:val="left"/>
      <w:pPr>
        <w:ind w:left="1183" w:hanging="360"/>
      </w:pPr>
    </w:lvl>
    <w:lvl w:ilvl="2" w:tplc="240A001B" w:tentative="1">
      <w:start w:val="1"/>
      <w:numFmt w:val="lowerRoman"/>
      <w:lvlText w:val="%3."/>
      <w:lvlJc w:val="right"/>
      <w:pPr>
        <w:ind w:left="1903" w:hanging="180"/>
      </w:pPr>
    </w:lvl>
    <w:lvl w:ilvl="3" w:tplc="240A000F" w:tentative="1">
      <w:start w:val="1"/>
      <w:numFmt w:val="decimal"/>
      <w:lvlText w:val="%4."/>
      <w:lvlJc w:val="left"/>
      <w:pPr>
        <w:ind w:left="2623" w:hanging="360"/>
      </w:pPr>
    </w:lvl>
    <w:lvl w:ilvl="4" w:tplc="240A0019" w:tentative="1">
      <w:start w:val="1"/>
      <w:numFmt w:val="lowerLetter"/>
      <w:lvlText w:val="%5."/>
      <w:lvlJc w:val="left"/>
      <w:pPr>
        <w:ind w:left="3343" w:hanging="360"/>
      </w:pPr>
    </w:lvl>
    <w:lvl w:ilvl="5" w:tplc="240A001B" w:tentative="1">
      <w:start w:val="1"/>
      <w:numFmt w:val="lowerRoman"/>
      <w:lvlText w:val="%6."/>
      <w:lvlJc w:val="right"/>
      <w:pPr>
        <w:ind w:left="4063" w:hanging="180"/>
      </w:pPr>
    </w:lvl>
    <w:lvl w:ilvl="6" w:tplc="240A000F" w:tentative="1">
      <w:start w:val="1"/>
      <w:numFmt w:val="decimal"/>
      <w:lvlText w:val="%7."/>
      <w:lvlJc w:val="left"/>
      <w:pPr>
        <w:ind w:left="4783" w:hanging="360"/>
      </w:pPr>
    </w:lvl>
    <w:lvl w:ilvl="7" w:tplc="240A0019" w:tentative="1">
      <w:start w:val="1"/>
      <w:numFmt w:val="lowerLetter"/>
      <w:lvlText w:val="%8."/>
      <w:lvlJc w:val="left"/>
      <w:pPr>
        <w:ind w:left="5503" w:hanging="360"/>
      </w:pPr>
    </w:lvl>
    <w:lvl w:ilvl="8" w:tplc="240A001B" w:tentative="1">
      <w:start w:val="1"/>
      <w:numFmt w:val="lowerRoman"/>
      <w:lvlText w:val="%9."/>
      <w:lvlJc w:val="right"/>
      <w:pPr>
        <w:ind w:left="6223" w:hanging="180"/>
      </w:pPr>
    </w:lvl>
  </w:abstractNum>
  <w:abstractNum w:abstractNumId="8" w15:restartNumberingAfterBreak="0">
    <w:nsid w:val="53511E6D"/>
    <w:multiLevelType w:val="multilevel"/>
    <w:tmpl w:val="F202E2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8910801"/>
    <w:multiLevelType w:val="hybridMultilevel"/>
    <w:tmpl w:val="7E4CC06E"/>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0" w15:restartNumberingAfterBreak="0">
    <w:nsid w:val="6B1B3725"/>
    <w:multiLevelType w:val="hybridMultilevel"/>
    <w:tmpl w:val="76D66C2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DF81C52"/>
    <w:multiLevelType w:val="multilevel"/>
    <w:tmpl w:val="74A0B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A80D29"/>
    <w:multiLevelType w:val="hybridMultilevel"/>
    <w:tmpl w:val="2DC6572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79796081"/>
    <w:multiLevelType w:val="hybridMultilevel"/>
    <w:tmpl w:val="20DAD2D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7BCD33FF"/>
    <w:multiLevelType w:val="hybridMultilevel"/>
    <w:tmpl w:val="7ED63C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7CBB6B73"/>
    <w:multiLevelType w:val="hybridMultilevel"/>
    <w:tmpl w:val="7340EB2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1611006927">
    <w:abstractNumId w:val="6"/>
  </w:num>
  <w:num w:numId="2" w16cid:durableId="1580360366">
    <w:abstractNumId w:val="13"/>
  </w:num>
  <w:num w:numId="3" w16cid:durableId="1963998732">
    <w:abstractNumId w:val="0"/>
  </w:num>
  <w:num w:numId="4" w16cid:durableId="1127311022">
    <w:abstractNumId w:val="12"/>
  </w:num>
  <w:num w:numId="5" w16cid:durableId="884607282">
    <w:abstractNumId w:val="10"/>
  </w:num>
  <w:num w:numId="6" w16cid:durableId="679089576">
    <w:abstractNumId w:val="5"/>
  </w:num>
  <w:num w:numId="7" w16cid:durableId="1483427513">
    <w:abstractNumId w:val="3"/>
  </w:num>
  <w:num w:numId="8" w16cid:durableId="587815110">
    <w:abstractNumId w:val="8"/>
  </w:num>
  <w:num w:numId="9" w16cid:durableId="1965697405">
    <w:abstractNumId w:val="4"/>
  </w:num>
  <w:num w:numId="10" w16cid:durableId="959460920">
    <w:abstractNumId w:val="15"/>
  </w:num>
  <w:num w:numId="11" w16cid:durableId="249657663">
    <w:abstractNumId w:val="11"/>
  </w:num>
  <w:num w:numId="12" w16cid:durableId="983923433">
    <w:abstractNumId w:val="14"/>
  </w:num>
  <w:num w:numId="13" w16cid:durableId="779639591">
    <w:abstractNumId w:val="9"/>
  </w:num>
  <w:num w:numId="14" w16cid:durableId="833641384">
    <w:abstractNumId w:val="7"/>
  </w:num>
  <w:num w:numId="15" w16cid:durableId="1808816949">
    <w:abstractNumId w:val="2"/>
  </w:num>
  <w:num w:numId="16" w16cid:durableId="4285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1AF"/>
    <w:rsid w:val="00082530"/>
    <w:rsid w:val="00085E3A"/>
    <w:rsid w:val="00093B55"/>
    <w:rsid w:val="000C48BB"/>
    <w:rsid w:val="00146B68"/>
    <w:rsid w:val="00147B00"/>
    <w:rsid w:val="00163C8F"/>
    <w:rsid w:val="00191D6C"/>
    <w:rsid w:val="001A0C4B"/>
    <w:rsid w:val="001A2699"/>
    <w:rsid w:val="001E53EE"/>
    <w:rsid w:val="001F067C"/>
    <w:rsid w:val="001F37D3"/>
    <w:rsid w:val="00202889"/>
    <w:rsid w:val="002111C5"/>
    <w:rsid w:val="002611AF"/>
    <w:rsid w:val="002B5B14"/>
    <w:rsid w:val="002C353E"/>
    <w:rsid w:val="002D3179"/>
    <w:rsid w:val="002F1323"/>
    <w:rsid w:val="002F27FA"/>
    <w:rsid w:val="002F43CB"/>
    <w:rsid w:val="002F4AD4"/>
    <w:rsid w:val="00300A33"/>
    <w:rsid w:val="00306298"/>
    <w:rsid w:val="00324D9F"/>
    <w:rsid w:val="00336DF4"/>
    <w:rsid w:val="003520C1"/>
    <w:rsid w:val="00380471"/>
    <w:rsid w:val="003A0174"/>
    <w:rsid w:val="00433E9A"/>
    <w:rsid w:val="00465783"/>
    <w:rsid w:val="00467E59"/>
    <w:rsid w:val="004738B6"/>
    <w:rsid w:val="00474DF4"/>
    <w:rsid w:val="004B4CB9"/>
    <w:rsid w:val="004E40AF"/>
    <w:rsid w:val="004F471F"/>
    <w:rsid w:val="005017A9"/>
    <w:rsid w:val="00530FDB"/>
    <w:rsid w:val="00535336"/>
    <w:rsid w:val="0054429A"/>
    <w:rsid w:val="0054651B"/>
    <w:rsid w:val="005510F2"/>
    <w:rsid w:val="005661A3"/>
    <w:rsid w:val="00581A24"/>
    <w:rsid w:val="00591D99"/>
    <w:rsid w:val="005A3B4F"/>
    <w:rsid w:val="005C38A2"/>
    <w:rsid w:val="005F334A"/>
    <w:rsid w:val="00607E0A"/>
    <w:rsid w:val="00616CAA"/>
    <w:rsid w:val="006624DF"/>
    <w:rsid w:val="00674890"/>
    <w:rsid w:val="00682008"/>
    <w:rsid w:val="006943F5"/>
    <w:rsid w:val="00696A94"/>
    <w:rsid w:val="006C25B3"/>
    <w:rsid w:val="006C3F6D"/>
    <w:rsid w:val="006E6190"/>
    <w:rsid w:val="00710CD7"/>
    <w:rsid w:val="00712228"/>
    <w:rsid w:val="00766A49"/>
    <w:rsid w:val="00771B6C"/>
    <w:rsid w:val="00796B08"/>
    <w:rsid w:val="007C3915"/>
    <w:rsid w:val="00815005"/>
    <w:rsid w:val="00830D0F"/>
    <w:rsid w:val="00831E7E"/>
    <w:rsid w:val="008672AC"/>
    <w:rsid w:val="008969A0"/>
    <w:rsid w:val="008A416B"/>
    <w:rsid w:val="008B38B5"/>
    <w:rsid w:val="008D2F2D"/>
    <w:rsid w:val="008E5FC4"/>
    <w:rsid w:val="008F1591"/>
    <w:rsid w:val="00902023"/>
    <w:rsid w:val="009138BF"/>
    <w:rsid w:val="00937E1D"/>
    <w:rsid w:val="009A376F"/>
    <w:rsid w:val="00A00A12"/>
    <w:rsid w:val="00A35384"/>
    <w:rsid w:val="00A40F14"/>
    <w:rsid w:val="00A71C2D"/>
    <w:rsid w:val="00A966DD"/>
    <w:rsid w:val="00AB122B"/>
    <w:rsid w:val="00AB4D6C"/>
    <w:rsid w:val="00AC37C8"/>
    <w:rsid w:val="00AD3B0B"/>
    <w:rsid w:val="00B47868"/>
    <w:rsid w:val="00B62A1A"/>
    <w:rsid w:val="00BB0336"/>
    <w:rsid w:val="00C02672"/>
    <w:rsid w:val="00C24FFE"/>
    <w:rsid w:val="00C42663"/>
    <w:rsid w:val="00C74713"/>
    <w:rsid w:val="00C922C0"/>
    <w:rsid w:val="00CA6F13"/>
    <w:rsid w:val="00CD30D9"/>
    <w:rsid w:val="00CE22A5"/>
    <w:rsid w:val="00D04744"/>
    <w:rsid w:val="00D2421E"/>
    <w:rsid w:val="00D30AF2"/>
    <w:rsid w:val="00D54CEE"/>
    <w:rsid w:val="00D66736"/>
    <w:rsid w:val="00D832E5"/>
    <w:rsid w:val="00DA0A84"/>
    <w:rsid w:val="00DC11A3"/>
    <w:rsid w:val="00DD0DE3"/>
    <w:rsid w:val="00DD5C94"/>
    <w:rsid w:val="00DE5F05"/>
    <w:rsid w:val="00E478DB"/>
    <w:rsid w:val="00E55C14"/>
    <w:rsid w:val="00E70E15"/>
    <w:rsid w:val="00EC4C35"/>
    <w:rsid w:val="00EC7FF7"/>
    <w:rsid w:val="00ED0BF7"/>
    <w:rsid w:val="00F17C02"/>
    <w:rsid w:val="00F26374"/>
    <w:rsid w:val="00F456C8"/>
    <w:rsid w:val="00F72AAE"/>
    <w:rsid w:val="00F82FEE"/>
    <w:rsid w:val="00F94311"/>
    <w:rsid w:val="00FA13CB"/>
    <w:rsid w:val="00FA2496"/>
    <w:rsid w:val="00FA4825"/>
    <w:rsid w:val="00FB46EE"/>
    <w:rsid w:val="00FC4476"/>
    <w:rsid w:val="00FD2735"/>
    <w:rsid w:val="00FE2FA7"/>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045E3"/>
  <w15:chartTrackingRefBased/>
  <w15:docId w15:val="{3ADD4B5A-DA86-4F8D-8D24-01619919E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11AF"/>
    <w:rPr>
      <w:kern w:val="0"/>
      <w14:ligatures w14:val="none"/>
    </w:rPr>
  </w:style>
  <w:style w:type="paragraph" w:styleId="Ttulo1">
    <w:name w:val="heading 1"/>
    <w:basedOn w:val="Normal"/>
    <w:next w:val="Normal"/>
    <w:link w:val="Ttulo1Car"/>
    <w:uiPriority w:val="9"/>
    <w:qFormat/>
    <w:rsid w:val="002611A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611A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611AF"/>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611AF"/>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611AF"/>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611A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11A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11A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11A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11AF"/>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611AF"/>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611AF"/>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611AF"/>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611AF"/>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611A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11A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11A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11AF"/>
    <w:rPr>
      <w:rFonts w:eastAsiaTheme="majorEastAsia" w:cstheme="majorBidi"/>
      <w:color w:val="272727" w:themeColor="text1" w:themeTint="D8"/>
    </w:rPr>
  </w:style>
  <w:style w:type="paragraph" w:styleId="Ttulo">
    <w:name w:val="Title"/>
    <w:basedOn w:val="Normal"/>
    <w:next w:val="Normal"/>
    <w:link w:val="TtuloCar"/>
    <w:uiPriority w:val="10"/>
    <w:qFormat/>
    <w:rsid w:val="002611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11A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11A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11A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11AF"/>
    <w:pPr>
      <w:spacing w:before="160"/>
      <w:jc w:val="center"/>
    </w:pPr>
    <w:rPr>
      <w:i/>
      <w:iCs/>
      <w:color w:val="404040" w:themeColor="text1" w:themeTint="BF"/>
    </w:rPr>
  </w:style>
  <w:style w:type="character" w:customStyle="1" w:styleId="CitaCar">
    <w:name w:val="Cita Car"/>
    <w:basedOn w:val="Fuentedeprrafopredeter"/>
    <w:link w:val="Cita"/>
    <w:uiPriority w:val="29"/>
    <w:rsid w:val="002611AF"/>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2611AF"/>
    <w:pPr>
      <w:ind w:left="720"/>
      <w:contextualSpacing/>
    </w:pPr>
  </w:style>
  <w:style w:type="character" w:styleId="nfasisintenso">
    <w:name w:val="Intense Emphasis"/>
    <w:basedOn w:val="Fuentedeprrafopredeter"/>
    <w:uiPriority w:val="21"/>
    <w:qFormat/>
    <w:rsid w:val="002611AF"/>
    <w:rPr>
      <w:i/>
      <w:iCs/>
      <w:color w:val="2F5496" w:themeColor="accent1" w:themeShade="BF"/>
    </w:rPr>
  </w:style>
  <w:style w:type="paragraph" w:styleId="Citadestacada">
    <w:name w:val="Intense Quote"/>
    <w:basedOn w:val="Normal"/>
    <w:next w:val="Normal"/>
    <w:link w:val="CitadestacadaCar"/>
    <w:uiPriority w:val="30"/>
    <w:qFormat/>
    <w:rsid w:val="002611A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611AF"/>
    <w:rPr>
      <w:i/>
      <w:iCs/>
      <w:color w:val="2F5496" w:themeColor="accent1" w:themeShade="BF"/>
    </w:rPr>
  </w:style>
  <w:style w:type="character" w:styleId="Referenciaintensa">
    <w:name w:val="Intense Reference"/>
    <w:basedOn w:val="Fuentedeprrafopredeter"/>
    <w:uiPriority w:val="32"/>
    <w:qFormat/>
    <w:rsid w:val="002611AF"/>
    <w:rPr>
      <w:b/>
      <w:bCs/>
      <w:smallCaps/>
      <w:color w:val="2F5496" w:themeColor="accent1" w:themeShade="BF"/>
      <w:spacing w:val="5"/>
    </w:rPr>
  </w:style>
  <w:style w:type="paragraph" w:styleId="Encabezado">
    <w:name w:val="header"/>
    <w:basedOn w:val="Normal"/>
    <w:link w:val="EncabezadoCar"/>
    <w:uiPriority w:val="99"/>
    <w:unhideWhenUsed/>
    <w:rsid w:val="002611A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611AF"/>
    <w:rPr>
      <w:kern w:val="0"/>
      <w14:ligatures w14:val="none"/>
    </w:rPr>
  </w:style>
  <w:style w:type="paragraph" w:styleId="Piedepgina">
    <w:name w:val="footer"/>
    <w:basedOn w:val="Normal"/>
    <w:link w:val="PiedepginaCar"/>
    <w:uiPriority w:val="99"/>
    <w:unhideWhenUsed/>
    <w:rsid w:val="002611A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611AF"/>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611AF"/>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611AF"/>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611AF"/>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611AF"/>
    <w:rPr>
      <w:vertAlign w:val="superscript"/>
    </w:rPr>
  </w:style>
  <w:style w:type="table" w:styleId="Tablaconcuadrcula">
    <w:name w:val="Table Grid"/>
    <w:basedOn w:val="Tablanormal"/>
    <w:uiPriority w:val="39"/>
    <w:qFormat/>
    <w:rsid w:val="002611AF"/>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611AF"/>
    <w:rPr>
      <w:color w:val="0000FF"/>
      <w:u w:val="single"/>
    </w:rPr>
  </w:style>
  <w:style w:type="paragraph" w:styleId="NormalWeb">
    <w:name w:val="Normal (Web)"/>
    <w:basedOn w:val="Normal"/>
    <w:link w:val="NormalWebCar"/>
    <w:uiPriority w:val="99"/>
    <w:unhideWhenUsed/>
    <w:rsid w:val="002611AF"/>
    <w:pPr>
      <w:spacing w:before="100" w:beforeAutospacing="1" w:after="100" w:afterAutospacing="1" w:line="240" w:lineRule="auto"/>
    </w:pPr>
    <w:rPr>
      <w:rFonts w:ascii="Times New Roman" w:eastAsia="Times New Roman" w:hAnsi="Times New Roman" w:cs="Times New Roman"/>
      <w:sz w:val="24"/>
      <w:szCs w:val="24"/>
      <w:lang w:eastAsia="es-CO"/>
    </w:rPr>
  </w:style>
  <w:style w:type="table" w:customStyle="1" w:styleId="Tablaconcuadrcula1">
    <w:name w:val="Tabla con cuadrícula1"/>
    <w:basedOn w:val="Tablanormal"/>
    <w:next w:val="Tablaconcuadrcula"/>
    <w:uiPriority w:val="59"/>
    <w:rsid w:val="002611AF"/>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611AF"/>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611AF"/>
  </w:style>
  <w:style w:type="character" w:customStyle="1" w:styleId="NormalWebCar">
    <w:name w:val="Normal (Web) Car"/>
    <w:link w:val="NormalWeb"/>
    <w:uiPriority w:val="99"/>
    <w:rsid w:val="002611AF"/>
    <w:rPr>
      <w:rFonts w:ascii="Times New Roman" w:eastAsia="Times New Roman" w:hAnsi="Times New Roman" w:cs="Times New Roman"/>
      <w:kern w:val="0"/>
      <w:sz w:val="24"/>
      <w:szCs w:val="24"/>
      <w:lang w:eastAsia="es-CO"/>
      <w14:ligatures w14:val="none"/>
    </w:rPr>
  </w:style>
  <w:style w:type="character" w:styleId="Mencinsinresolver">
    <w:name w:val="Unresolved Mention"/>
    <w:basedOn w:val="Fuentedeprrafopredeter"/>
    <w:uiPriority w:val="99"/>
    <w:semiHidden/>
    <w:unhideWhenUsed/>
    <w:rsid w:val="002611AF"/>
    <w:rPr>
      <w:color w:val="605E5C"/>
      <w:shd w:val="clear" w:color="auto" w:fill="E1DFDD"/>
    </w:rPr>
  </w:style>
  <w:style w:type="character" w:styleId="Textoennegrita">
    <w:name w:val="Strong"/>
    <w:basedOn w:val="Fuentedeprrafopredeter"/>
    <w:uiPriority w:val="22"/>
    <w:qFormat/>
    <w:rsid w:val="00CD30D9"/>
    <w:rPr>
      <w:b/>
      <w:bCs/>
    </w:rPr>
  </w:style>
  <w:style w:type="character" w:styleId="nfasis">
    <w:name w:val="Emphasis"/>
    <w:basedOn w:val="Fuentedeprrafopredeter"/>
    <w:uiPriority w:val="20"/>
    <w:qFormat/>
    <w:rsid w:val="00CD30D9"/>
    <w:rPr>
      <w:i/>
      <w:iCs/>
    </w:rPr>
  </w:style>
  <w:style w:type="paragraph" w:styleId="Revisin">
    <w:name w:val="Revision"/>
    <w:hidden/>
    <w:uiPriority w:val="99"/>
    <w:semiHidden/>
    <w:rsid w:val="00FD2735"/>
    <w:pPr>
      <w:spacing w:after="0" w:line="240" w:lineRule="auto"/>
    </w:pPr>
    <w:rPr>
      <w:kern w:val="0"/>
      <w14:ligatures w14:val="none"/>
    </w:rPr>
  </w:style>
  <w:style w:type="character" w:styleId="Refdecomentario">
    <w:name w:val="annotation reference"/>
    <w:basedOn w:val="Fuentedeprrafopredeter"/>
    <w:uiPriority w:val="99"/>
    <w:semiHidden/>
    <w:unhideWhenUsed/>
    <w:rsid w:val="00FD2735"/>
    <w:rPr>
      <w:sz w:val="16"/>
      <w:szCs w:val="16"/>
    </w:rPr>
  </w:style>
  <w:style w:type="paragraph" w:styleId="Textocomentario">
    <w:name w:val="annotation text"/>
    <w:basedOn w:val="Normal"/>
    <w:link w:val="TextocomentarioCar"/>
    <w:uiPriority w:val="99"/>
    <w:unhideWhenUsed/>
    <w:rsid w:val="00FD2735"/>
    <w:pPr>
      <w:spacing w:line="240" w:lineRule="auto"/>
    </w:pPr>
    <w:rPr>
      <w:sz w:val="20"/>
      <w:szCs w:val="20"/>
    </w:rPr>
  </w:style>
  <w:style w:type="character" w:customStyle="1" w:styleId="TextocomentarioCar">
    <w:name w:val="Texto comentario Car"/>
    <w:basedOn w:val="Fuentedeprrafopredeter"/>
    <w:link w:val="Textocomentario"/>
    <w:uiPriority w:val="99"/>
    <w:rsid w:val="00FD2735"/>
    <w:rPr>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FD2735"/>
    <w:rPr>
      <w:b/>
      <w:bCs/>
    </w:rPr>
  </w:style>
  <w:style w:type="character" w:customStyle="1" w:styleId="AsuntodelcomentarioCar">
    <w:name w:val="Asunto del comentario Car"/>
    <w:basedOn w:val="TextocomentarioCar"/>
    <w:link w:val="Asuntodelcomentario"/>
    <w:uiPriority w:val="99"/>
    <w:semiHidden/>
    <w:rsid w:val="00FD2735"/>
    <w:rPr>
      <w:b/>
      <w:bCs/>
      <w:kern w:val="0"/>
      <w:sz w:val="20"/>
      <w:szCs w:val="20"/>
      <w14:ligatures w14:val="none"/>
    </w:rPr>
  </w:style>
  <w:style w:type="paragraph" w:styleId="Sinespaciado">
    <w:name w:val="No Spacing"/>
    <w:aliases w:val="No Indent"/>
    <w:uiPriority w:val="3"/>
    <w:qFormat/>
    <w:rsid w:val="002B5B14"/>
    <w:pPr>
      <w:spacing w:after="0" w:line="240" w:lineRule="auto"/>
      <w:ind w:right="-68"/>
      <w:jc w:val="both"/>
    </w:pPr>
    <w:rPr>
      <w:rFonts w:ascii="Times New Roman" w:eastAsia="Times New Roman" w:hAnsi="Times New Roman" w:cs="Times New Roman"/>
      <w:kern w:val="0"/>
      <w:sz w:val="28"/>
      <w:szCs w:val="28"/>
      <w:lang w:eastAsia="es-ES"/>
      <w14:ligatures w14:val="none"/>
    </w:rPr>
  </w:style>
  <w:style w:type="character" w:customStyle="1" w:styleId="normaltextrun">
    <w:name w:val="normaltextrun"/>
    <w:basedOn w:val="Fuentedeprrafopredeter"/>
    <w:rsid w:val="00147B00"/>
  </w:style>
  <w:style w:type="paragraph" w:styleId="Textoindependiente">
    <w:name w:val="Body Text"/>
    <w:basedOn w:val="Normal"/>
    <w:link w:val="TextoindependienteCar"/>
    <w:uiPriority w:val="1"/>
    <w:unhideWhenUsed/>
    <w:qFormat/>
    <w:rsid w:val="001E53EE"/>
    <w:pPr>
      <w:spacing w:after="120"/>
    </w:pPr>
  </w:style>
  <w:style w:type="character" w:customStyle="1" w:styleId="TextoindependienteCar">
    <w:name w:val="Texto independiente Car"/>
    <w:basedOn w:val="Fuentedeprrafopredeter"/>
    <w:link w:val="Textoindependiente"/>
    <w:uiPriority w:val="99"/>
    <w:rsid w:val="001E53EE"/>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461022">
      <w:bodyDiv w:val="1"/>
      <w:marLeft w:val="0"/>
      <w:marRight w:val="0"/>
      <w:marTop w:val="0"/>
      <w:marBottom w:val="0"/>
      <w:divBdr>
        <w:top w:val="none" w:sz="0" w:space="0" w:color="auto"/>
        <w:left w:val="none" w:sz="0" w:space="0" w:color="auto"/>
        <w:bottom w:val="none" w:sz="0" w:space="0" w:color="auto"/>
        <w:right w:val="none" w:sz="0" w:space="0" w:color="auto"/>
      </w:divBdr>
      <w:divsChild>
        <w:div w:id="262345353">
          <w:marLeft w:val="0"/>
          <w:marRight w:val="0"/>
          <w:marTop w:val="0"/>
          <w:marBottom w:val="160"/>
          <w:divBdr>
            <w:top w:val="none" w:sz="0" w:space="0" w:color="auto"/>
            <w:left w:val="none" w:sz="0" w:space="0" w:color="auto"/>
            <w:bottom w:val="none" w:sz="0" w:space="0" w:color="auto"/>
            <w:right w:val="none" w:sz="0" w:space="0" w:color="auto"/>
          </w:divBdr>
        </w:div>
        <w:div w:id="523641985">
          <w:marLeft w:val="0"/>
          <w:marRight w:val="0"/>
          <w:marTop w:val="0"/>
          <w:marBottom w:val="160"/>
          <w:divBdr>
            <w:top w:val="none" w:sz="0" w:space="0" w:color="auto"/>
            <w:left w:val="none" w:sz="0" w:space="0" w:color="auto"/>
            <w:bottom w:val="none" w:sz="0" w:space="0" w:color="auto"/>
            <w:right w:val="none" w:sz="0" w:space="0" w:color="auto"/>
          </w:divBdr>
        </w:div>
      </w:divsChild>
    </w:div>
    <w:div w:id="278799604">
      <w:bodyDiv w:val="1"/>
      <w:marLeft w:val="0"/>
      <w:marRight w:val="0"/>
      <w:marTop w:val="0"/>
      <w:marBottom w:val="0"/>
      <w:divBdr>
        <w:top w:val="none" w:sz="0" w:space="0" w:color="auto"/>
        <w:left w:val="none" w:sz="0" w:space="0" w:color="auto"/>
        <w:bottom w:val="none" w:sz="0" w:space="0" w:color="auto"/>
        <w:right w:val="none" w:sz="0" w:space="0" w:color="auto"/>
      </w:divBdr>
    </w:div>
    <w:div w:id="290063326">
      <w:bodyDiv w:val="1"/>
      <w:marLeft w:val="0"/>
      <w:marRight w:val="0"/>
      <w:marTop w:val="0"/>
      <w:marBottom w:val="0"/>
      <w:divBdr>
        <w:top w:val="none" w:sz="0" w:space="0" w:color="auto"/>
        <w:left w:val="none" w:sz="0" w:space="0" w:color="auto"/>
        <w:bottom w:val="none" w:sz="0" w:space="0" w:color="auto"/>
        <w:right w:val="none" w:sz="0" w:space="0" w:color="auto"/>
      </w:divBdr>
    </w:div>
    <w:div w:id="429089381">
      <w:bodyDiv w:val="1"/>
      <w:marLeft w:val="0"/>
      <w:marRight w:val="0"/>
      <w:marTop w:val="0"/>
      <w:marBottom w:val="0"/>
      <w:divBdr>
        <w:top w:val="none" w:sz="0" w:space="0" w:color="auto"/>
        <w:left w:val="none" w:sz="0" w:space="0" w:color="auto"/>
        <w:bottom w:val="none" w:sz="0" w:space="0" w:color="auto"/>
        <w:right w:val="none" w:sz="0" w:space="0" w:color="auto"/>
      </w:divBdr>
      <w:divsChild>
        <w:div w:id="362050621">
          <w:marLeft w:val="0"/>
          <w:marRight w:val="0"/>
          <w:marTop w:val="0"/>
          <w:marBottom w:val="160"/>
          <w:divBdr>
            <w:top w:val="none" w:sz="0" w:space="0" w:color="auto"/>
            <w:left w:val="none" w:sz="0" w:space="0" w:color="auto"/>
            <w:bottom w:val="none" w:sz="0" w:space="0" w:color="auto"/>
            <w:right w:val="none" w:sz="0" w:space="0" w:color="auto"/>
          </w:divBdr>
        </w:div>
        <w:div w:id="1864440174">
          <w:marLeft w:val="0"/>
          <w:marRight w:val="0"/>
          <w:marTop w:val="0"/>
          <w:marBottom w:val="160"/>
          <w:divBdr>
            <w:top w:val="none" w:sz="0" w:space="0" w:color="auto"/>
            <w:left w:val="none" w:sz="0" w:space="0" w:color="auto"/>
            <w:bottom w:val="none" w:sz="0" w:space="0" w:color="auto"/>
            <w:right w:val="none" w:sz="0" w:space="0" w:color="auto"/>
          </w:divBdr>
        </w:div>
      </w:divsChild>
    </w:div>
    <w:div w:id="478497041">
      <w:bodyDiv w:val="1"/>
      <w:marLeft w:val="0"/>
      <w:marRight w:val="0"/>
      <w:marTop w:val="0"/>
      <w:marBottom w:val="0"/>
      <w:divBdr>
        <w:top w:val="none" w:sz="0" w:space="0" w:color="auto"/>
        <w:left w:val="none" w:sz="0" w:space="0" w:color="auto"/>
        <w:bottom w:val="none" w:sz="0" w:space="0" w:color="auto"/>
        <w:right w:val="none" w:sz="0" w:space="0" w:color="auto"/>
      </w:divBdr>
      <w:divsChild>
        <w:div w:id="802506627">
          <w:marLeft w:val="0"/>
          <w:marRight w:val="0"/>
          <w:marTop w:val="0"/>
          <w:marBottom w:val="160"/>
          <w:divBdr>
            <w:top w:val="none" w:sz="0" w:space="0" w:color="auto"/>
            <w:left w:val="none" w:sz="0" w:space="0" w:color="auto"/>
            <w:bottom w:val="none" w:sz="0" w:space="0" w:color="auto"/>
            <w:right w:val="none" w:sz="0" w:space="0" w:color="auto"/>
          </w:divBdr>
        </w:div>
        <w:div w:id="2029061046">
          <w:marLeft w:val="0"/>
          <w:marRight w:val="0"/>
          <w:marTop w:val="0"/>
          <w:marBottom w:val="160"/>
          <w:divBdr>
            <w:top w:val="none" w:sz="0" w:space="0" w:color="auto"/>
            <w:left w:val="none" w:sz="0" w:space="0" w:color="auto"/>
            <w:bottom w:val="none" w:sz="0" w:space="0" w:color="auto"/>
            <w:right w:val="none" w:sz="0" w:space="0" w:color="auto"/>
          </w:divBdr>
        </w:div>
        <w:div w:id="2005619835">
          <w:marLeft w:val="0"/>
          <w:marRight w:val="0"/>
          <w:marTop w:val="0"/>
          <w:marBottom w:val="160"/>
          <w:divBdr>
            <w:top w:val="none" w:sz="0" w:space="0" w:color="auto"/>
            <w:left w:val="none" w:sz="0" w:space="0" w:color="auto"/>
            <w:bottom w:val="none" w:sz="0" w:space="0" w:color="auto"/>
            <w:right w:val="none" w:sz="0" w:space="0" w:color="auto"/>
          </w:divBdr>
        </w:div>
      </w:divsChild>
    </w:div>
    <w:div w:id="532771437">
      <w:bodyDiv w:val="1"/>
      <w:marLeft w:val="0"/>
      <w:marRight w:val="0"/>
      <w:marTop w:val="0"/>
      <w:marBottom w:val="0"/>
      <w:divBdr>
        <w:top w:val="none" w:sz="0" w:space="0" w:color="auto"/>
        <w:left w:val="none" w:sz="0" w:space="0" w:color="auto"/>
        <w:bottom w:val="none" w:sz="0" w:space="0" w:color="auto"/>
        <w:right w:val="none" w:sz="0" w:space="0" w:color="auto"/>
      </w:divBdr>
    </w:div>
    <w:div w:id="694773810">
      <w:bodyDiv w:val="1"/>
      <w:marLeft w:val="0"/>
      <w:marRight w:val="0"/>
      <w:marTop w:val="0"/>
      <w:marBottom w:val="0"/>
      <w:divBdr>
        <w:top w:val="none" w:sz="0" w:space="0" w:color="auto"/>
        <w:left w:val="none" w:sz="0" w:space="0" w:color="auto"/>
        <w:bottom w:val="none" w:sz="0" w:space="0" w:color="auto"/>
        <w:right w:val="none" w:sz="0" w:space="0" w:color="auto"/>
      </w:divBdr>
    </w:div>
    <w:div w:id="792989710">
      <w:bodyDiv w:val="1"/>
      <w:marLeft w:val="0"/>
      <w:marRight w:val="0"/>
      <w:marTop w:val="0"/>
      <w:marBottom w:val="0"/>
      <w:divBdr>
        <w:top w:val="none" w:sz="0" w:space="0" w:color="auto"/>
        <w:left w:val="none" w:sz="0" w:space="0" w:color="auto"/>
        <w:bottom w:val="none" w:sz="0" w:space="0" w:color="auto"/>
        <w:right w:val="none" w:sz="0" w:space="0" w:color="auto"/>
      </w:divBdr>
    </w:div>
    <w:div w:id="844396099">
      <w:bodyDiv w:val="1"/>
      <w:marLeft w:val="0"/>
      <w:marRight w:val="0"/>
      <w:marTop w:val="0"/>
      <w:marBottom w:val="0"/>
      <w:divBdr>
        <w:top w:val="none" w:sz="0" w:space="0" w:color="auto"/>
        <w:left w:val="none" w:sz="0" w:space="0" w:color="auto"/>
        <w:bottom w:val="none" w:sz="0" w:space="0" w:color="auto"/>
        <w:right w:val="none" w:sz="0" w:space="0" w:color="auto"/>
      </w:divBdr>
      <w:divsChild>
        <w:div w:id="1529445568">
          <w:marLeft w:val="0"/>
          <w:marRight w:val="0"/>
          <w:marTop w:val="0"/>
          <w:marBottom w:val="0"/>
          <w:divBdr>
            <w:top w:val="none" w:sz="0" w:space="0" w:color="auto"/>
            <w:left w:val="none" w:sz="0" w:space="0" w:color="auto"/>
            <w:bottom w:val="none" w:sz="0" w:space="0" w:color="auto"/>
            <w:right w:val="none" w:sz="0" w:space="0" w:color="auto"/>
          </w:divBdr>
        </w:div>
        <w:div w:id="2140996414">
          <w:marLeft w:val="0"/>
          <w:marRight w:val="0"/>
          <w:marTop w:val="0"/>
          <w:marBottom w:val="0"/>
          <w:divBdr>
            <w:top w:val="none" w:sz="0" w:space="0" w:color="auto"/>
            <w:left w:val="none" w:sz="0" w:space="0" w:color="auto"/>
            <w:bottom w:val="none" w:sz="0" w:space="0" w:color="auto"/>
            <w:right w:val="none" w:sz="0" w:space="0" w:color="auto"/>
          </w:divBdr>
        </w:div>
        <w:div w:id="1718816234">
          <w:marLeft w:val="0"/>
          <w:marRight w:val="0"/>
          <w:marTop w:val="0"/>
          <w:marBottom w:val="0"/>
          <w:divBdr>
            <w:top w:val="none" w:sz="0" w:space="0" w:color="auto"/>
            <w:left w:val="none" w:sz="0" w:space="0" w:color="auto"/>
            <w:bottom w:val="none" w:sz="0" w:space="0" w:color="auto"/>
            <w:right w:val="none" w:sz="0" w:space="0" w:color="auto"/>
          </w:divBdr>
        </w:div>
        <w:div w:id="1567884679">
          <w:marLeft w:val="0"/>
          <w:marRight w:val="0"/>
          <w:marTop w:val="0"/>
          <w:marBottom w:val="0"/>
          <w:divBdr>
            <w:top w:val="none" w:sz="0" w:space="0" w:color="auto"/>
            <w:left w:val="none" w:sz="0" w:space="0" w:color="auto"/>
            <w:bottom w:val="none" w:sz="0" w:space="0" w:color="auto"/>
            <w:right w:val="none" w:sz="0" w:space="0" w:color="auto"/>
          </w:divBdr>
        </w:div>
        <w:div w:id="431434983">
          <w:marLeft w:val="0"/>
          <w:marRight w:val="0"/>
          <w:marTop w:val="0"/>
          <w:marBottom w:val="0"/>
          <w:divBdr>
            <w:top w:val="none" w:sz="0" w:space="0" w:color="auto"/>
            <w:left w:val="none" w:sz="0" w:space="0" w:color="auto"/>
            <w:bottom w:val="none" w:sz="0" w:space="0" w:color="auto"/>
            <w:right w:val="none" w:sz="0" w:space="0" w:color="auto"/>
          </w:divBdr>
        </w:div>
        <w:div w:id="589585971">
          <w:marLeft w:val="0"/>
          <w:marRight w:val="0"/>
          <w:marTop w:val="0"/>
          <w:marBottom w:val="0"/>
          <w:divBdr>
            <w:top w:val="none" w:sz="0" w:space="0" w:color="auto"/>
            <w:left w:val="none" w:sz="0" w:space="0" w:color="auto"/>
            <w:bottom w:val="none" w:sz="0" w:space="0" w:color="auto"/>
            <w:right w:val="none" w:sz="0" w:space="0" w:color="auto"/>
          </w:divBdr>
        </w:div>
        <w:div w:id="1815289466">
          <w:marLeft w:val="0"/>
          <w:marRight w:val="0"/>
          <w:marTop w:val="0"/>
          <w:marBottom w:val="0"/>
          <w:divBdr>
            <w:top w:val="none" w:sz="0" w:space="0" w:color="auto"/>
            <w:left w:val="none" w:sz="0" w:space="0" w:color="auto"/>
            <w:bottom w:val="none" w:sz="0" w:space="0" w:color="auto"/>
            <w:right w:val="none" w:sz="0" w:space="0" w:color="auto"/>
          </w:divBdr>
        </w:div>
        <w:div w:id="1298951927">
          <w:marLeft w:val="0"/>
          <w:marRight w:val="0"/>
          <w:marTop w:val="0"/>
          <w:marBottom w:val="0"/>
          <w:divBdr>
            <w:top w:val="none" w:sz="0" w:space="0" w:color="auto"/>
            <w:left w:val="none" w:sz="0" w:space="0" w:color="auto"/>
            <w:bottom w:val="none" w:sz="0" w:space="0" w:color="auto"/>
            <w:right w:val="none" w:sz="0" w:space="0" w:color="auto"/>
          </w:divBdr>
        </w:div>
        <w:div w:id="374737222">
          <w:marLeft w:val="0"/>
          <w:marRight w:val="0"/>
          <w:marTop w:val="0"/>
          <w:marBottom w:val="0"/>
          <w:divBdr>
            <w:top w:val="none" w:sz="0" w:space="0" w:color="auto"/>
            <w:left w:val="none" w:sz="0" w:space="0" w:color="auto"/>
            <w:bottom w:val="none" w:sz="0" w:space="0" w:color="auto"/>
            <w:right w:val="none" w:sz="0" w:space="0" w:color="auto"/>
          </w:divBdr>
        </w:div>
        <w:div w:id="978193387">
          <w:marLeft w:val="0"/>
          <w:marRight w:val="0"/>
          <w:marTop w:val="0"/>
          <w:marBottom w:val="0"/>
          <w:divBdr>
            <w:top w:val="none" w:sz="0" w:space="0" w:color="auto"/>
            <w:left w:val="none" w:sz="0" w:space="0" w:color="auto"/>
            <w:bottom w:val="none" w:sz="0" w:space="0" w:color="auto"/>
            <w:right w:val="none" w:sz="0" w:space="0" w:color="auto"/>
          </w:divBdr>
        </w:div>
        <w:div w:id="871921550">
          <w:marLeft w:val="0"/>
          <w:marRight w:val="0"/>
          <w:marTop w:val="0"/>
          <w:marBottom w:val="0"/>
          <w:divBdr>
            <w:top w:val="none" w:sz="0" w:space="0" w:color="auto"/>
            <w:left w:val="none" w:sz="0" w:space="0" w:color="auto"/>
            <w:bottom w:val="none" w:sz="0" w:space="0" w:color="auto"/>
            <w:right w:val="none" w:sz="0" w:space="0" w:color="auto"/>
          </w:divBdr>
        </w:div>
      </w:divsChild>
    </w:div>
    <w:div w:id="909195781">
      <w:bodyDiv w:val="1"/>
      <w:marLeft w:val="0"/>
      <w:marRight w:val="0"/>
      <w:marTop w:val="0"/>
      <w:marBottom w:val="0"/>
      <w:divBdr>
        <w:top w:val="none" w:sz="0" w:space="0" w:color="auto"/>
        <w:left w:val="none" w:sz="0" w:space="0" w:color="auto"/>
        <w:bottom w:val="none" w:sz="0" w:space="0" w:color="auto"/>
        <w:right w:val="none" w:sz="0" w:space="0" w:color="auto"/>
      </w:divBdr>
    </w:div>
    <w:div w:id="929970777">
      <w:bodyDiv w:val="1"/>
      <w:marLeft w:val="0"/>
      <w:marRight w:val="0"/>
      <w:marTop w:val="0"/>
      <w:marBottom w:val="0"/>
      <w:divBdr>
        <w:top w:val="none" w:sz="0" w:space="0" w:color="auto"/>
        <w:left w:val="none" w:sz="0" w:space="0" w:color="auto"/>
        <w:bottom w:val="none" w:sz="0" w:space="0" w:color="auto"/>
        <w:right w:val="none" w:sz="0" w:space="0" w:color="auto"/>
      </w:divBdr>
    </w:div>
    <w:div w:id="990061477">
      <w:bodyDiv w:val="1"/>
      <w:marLeft w:val="0"/>
      <w:marRight w:val="0"/>
      <w:marTop w:val="0"/>
      <w:marBottom w:val="0"/>
      <w:divBdr>
        <w:top w:val="none" w:sz="0" w:space="0" w:color="auto"/>
        <w:left w:val="none" w:sz="0" w:space="0" w:color="auto"/>
        <w:bottom w:val="none" w:sz="0" w:space="0" w:color="auto"/>
        <w:right w:val="none" w:sz="0" w:space="0" w:color="auto"/>
      </w:divBdr>
    </w:div>
    <w:div w:id="1007828288">
      <w:bodyDiv w:val="1"/>
      <w:marLeft w:val="0"/>
      <w:marRight w:val="0"/>
      <w:marTop w:val="0"/>
      <w:marBottom w:val="0"/>
      <w:divBdr>
        <w:top w:val="none" w:sz="0" w:space="0" w:color="auto"/>
        <w:left w:val="none" w:sz="0" w:space="0" w:color="auto"/>
        <w:bottom w:val="none" w:sz="0" w:space="0" w:color="auto"/>
        <w:right w:val="none" w:sz="0" w:space="0" w:color="auto"/>
      </w:divBdr>
      <w:divsChild>
        <w:div w:id="1859662162">
          <w:marLeft w:val="0"/>
          <w:marRight w:val="0"/>
          <w:marTop w:val="0"/>
          <w:marBottom w:val="160"/>
          <w:divBdr>
            <w:top w:val="none" w:sz="0" w:space="0" w:color="auto"/>
            <w:left w:val="none" w:sz="0" w:space="0" w:color="auto"/>
            <w:bottom w:val="none" w:sz="0" w:space="0" w:color="auto"/>
            <w:right w:val="none" w:sz="0" w:space="0" w:color="auto"/>
          </w:divBdr>
        </w:div>
        <w:div w:id="669021682">
          <w:marLeft w:val="0"/>
          <w:marRight w:val="0"/>
          <w:marTop w:val="0"/>
          <w:marBottom w:val="160"/>
          <w:divBdr>
            <w:top w:val="none" w:sz="0" w:space="0" w:color="auto"/>
            <w:left w:val="none" w:sz="0" w:space="0" w:color="auto"/>
            <w:bottom w:val="none" w:sz="0" w:space="0" w:color="auto"/>
            <w:right w:val="none" w:sz="0" w:space="0" w:color="auto"/>
          </w:divBdr>
        </w:div>
        <w:div w:id="1773283849">
          <w:marLeft w:val="0"/>
          <w:marRight w:val="0"/>
          <w:marTop w:val="0"/>
          <w:marBottom w:val="160"/>
          <w:divBdr>
            <w:top w:val="none" w:sz="0" w:space="0" w:color="auto"/>
            <w:left w:val="none" w:sz="0" w:space="0" w:color="auto"/>
            <w:bottom w:val="none" w:sz="0" w:space="0" w:color="auto"/>
            <w:right w:val="none" w:sz="0" w:space="0" w:color="auto"/>
          </w:divBdr>
        </w:div>
      </w:divsChild>
    </w:div>
    <w:div w:id="1105809339">
      <w:bodyDiv w:val="1"/>
      <w:marLeft w:val="0"/>
      <w:marRight w:val="0"/>
      <w:marTop w:val="0"/>
      <w:marBottom w:val="0"/>
      <w:divBdr>
        <w:top w:val="none" w:sz="0" w:space="0" w:color="auto"/>
        <w:left w:val="none" w:sz="0" w:space="0" w:color="auto"/>
        <w:bottom w:val="none" w:sz="0" w:space="0" w:color="auto"/>
        <w:right w:val="none" w:sz="0" w:space="0" w:color="auto"/>
      </w:divBdr>
    </w:div>
    <w:div w:id="1109815359">
      <w:bodyDiv w:val="1"/>
      <w:marLeft w:val="0"/>
      <w:marRight w:val="0"/>
      <w:marTop w:val="0"/>
      <w:marBottom w:val="0"/>
      <w:divBdr>
        <w:top w:val="none" w:sz="0" w:space="0" w:color="auto"/>
        <w:left w:val="none" w:sz="0" w:space="0" w:color="auto"/>
        <w:bottom w:val="none" w:sz="0" w:space="0" w:color="auto"/>
        <w:right w:val="none" w:sz="0" w:space="0" w:color="auto"/>
      </w:divBdr>
    </w:div>
    <w:div w:id="1375691447">
      <w:bodyDiv w:val="1"/>
      <w:marLeft w:val="0"/>
      <w:marRight w:val="0"/>
      <w:marTop w:val="0"/>
      <w:marBottom w:val="0"/>
      <w:divBdr>
        <w:top w:val="none" w:sz="0" w:space="0" w:color="auto"/>
        <w:left w:val="none" w:sz="0" w:space="0" w:color="auto"/>
        <w:bottom w:val="none" w:sz="0" w:space="0" w:color="auto"/>
        <w:right w:val="none" w:sz="0" w:space="0" w:color="auto"/>
      </w:divBdr>
      <w:divsChild>
        <w:div w:id="920800624">
          <w:marLeft w:val="0"/>
          <w:marRight w:val="0"/>
          <w:marTop w:val="0"/>
          <w:marBottom w:val="0"/>
          <w:divBdr>
            <w:top w:val="none" w:sz="0" w:space="0" w:color="auto"/>
            <w:left w:val="none" w:sz="0" w:space="0" w:color="auto"/>
            <w:bottom w:val="none" w:sz="0" w:space="0" w:color="auto"/>
            <w:right w:val="none" w:sz="0" w:space="0" w:color="auto"/>
          </w:divBdr>
          <w:divsChild>
            <w:div w:id="2140175243">
              <w:marLeft w:val="0"/>
              <w:marRight w:val="0"/>
              <w:marTop w:val="0"/>
              <w:marBottom w:val="0"/>
              <w:divBdr>
                <w:top w:val="none" w:sz="0" w:space="0" w:color="auto"/>
                <w:left w:val="none" w:sz="0" w:space="0" w:color="auto"/>
                <w:bottom w:val="none" w:sz="0" w:space="0" w:color="auto"/>
                <w:right w:val="none" w:sz="0" w:space="0" w:color="auto"/>
              </w:divBdr>
              <w:divsChild>
                <w:div w:id="654377484">
                  <w:marLeft w:val="0"/>
                  <w:marRight w:val="0"/>
                  <w:marTop w:val="0"/>
                  <w:marBottom w:val="0"/>
                  <w:divBdr>
                    <w:top w:val="none" w:sz="0" w:space="0" w:color="auto"/>
                    <w:left w:val="none" w:sz="0" w:space="0" w:color="auto"/>
                    <w:bottom w:val="none" w:sz="0" w:space="0" w:color="auto"/>
                    <w:right w:val="none" w:sz="0" w:space="0" w:color="auto"/>
                  </w:divBdr>
                  <w:divsChild>
                    <w:div w:id="1442802793">
                      <w:marLeft w:val="0"/>
                      <w:marRight w:val="0"/>
                      <w:marTop w:val="0"/>
                      <w:marBottom w:val="0"/>
                      <w:divBdr>
                        <w:top w:val="none" w:sz="0" w:space="0" w:color="auto"/>
                        <w:left w:val="none" w:sz="0" w:space="0" w:color="auto"/>
                        <w:bottom w:val="none" w:sz="0" w:space="0" w:color="auto"/>
                        <w:right w:val="none" w:sz="0" w:space="0" w:color="auto"/>
                      </w:divBdr>
                      <w:divsChild>
                        <w:div w:id="531039148">
                          <w:marLeft w:val="0"/>
                          <w:marRight w:val="0"/>
                          <w:marTop w:val="0"/>
                          <w:marBottom w:val="0"/>
                          <w:divBdr>
                            <w:top w:val="none" w:sz="0" w:space="0" w:color="auto"/>
                            <w:left w:val="none" w:sz="0" w:space="0" w:color="auto"/>
                            <w:bottom w:val="none" w:sz="0" w:space="0" w:color="auto"/>
                            <w:right w:val="none" w:sz="0" w:space="0" w:color="auto"/>
                          </w:divBdr>
                          <w:divsChild>
                            <w:div w:id="1071732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8401503">
      <w:bodyDiv w:val="1"/>
      <w:marLeft w:val="0"/>
      <w:marRight w:val="0"/>
      <w:marTop w:val="0"/>
      <w:marBottom w:val="0"/>
      <w:divBdr>
        <w:top w:val="none" w:sz="0" w:space="0" w:color="auto"/>
        <w:left w:val="none" w:sz="0" w:space="0" w:color="auto"/>
        <w:bottom w:val="none" w:sz="0" w:space="0" w:color="auto"/>
        <w:right w:val="none" w:sz="0" w:space="0" w:color="auto"/>
      </w:divBdr>
    </w:div>
    <w:div w:id="1595438830">
      <w:bodyDiv w:val="1"/>
      <w:marLeft w:val="0"/>
      <w:marRight w:val="0"/>
      <w:marTop w:val="0"/>
      <w:marBottom w:val="0"/>
      <w:divBdr>
        <w:top w:val="none" w:sz="0" w:space="0" w:color="auto"/>
        <w:left w:val="none" w:sz="0" w:space="0" w:color="auto"/>
        <w:bottom w:val="none" w:sz="0" w:space="0" w:color="auto"/>
        <w:right w:val="none" w:sz="0" w:space="0" w:color="auto"/>
      </w:divBdr>
      <w:divsChild>
        <w:div w:id="1214846831">
          <w:marLeft w:val="0"/>
          <w:marRight w:val="0"/>
          <w:marTop w:val="0"/>
          <w:marBottom w:val="160"/>
          <w:divBdr>
            <w:top w:val="none" w:sz="0" w:space="0" w:color="auto"/>
            <w:left w:val="none" w:sz="0" w:space="0" w:color="auto"/>
            <w:bottom w:val="none" w:sz="0" w:space="0" w:color="auto"/>
            <w:right w:val="none" w:sz="0" w:space="0" w:color="auto"/>
          </w:divBdr>
        </w:div>
        <w:div w:id="58602866">
          <w:marLeft w:val="0"/>
          <w:marRight w:val="0"/>
          <w:marTop w:val="0"/>
          <w:marBottom w:val="160"/>
          <w:divBdr>
            <w:top w:val="none" w:sz="0" w:space="0" w:color="auto"/>
            <w:left w:val="none" w:sz="0" w:space="0" w:color="auto"/>
            <w:bottom w:val="none" w:sz="0" w:space="0" w:color="auto"/>
            <w:right w:val="none" w:sz="0" w:space="0" w:color="auto"/>
          </w:divBdr>
        </w:div>
      </w:divsChild>
    </w:div>
    <w:div w:id="1672295936">
      <w:bodyDiv w:val="1"/>
      <w:marLeft w:val="0"/>
      <w:marRight w:val="0"/>
      <w:marTop w:val="0"/>
      <w:marBottom w:val="0"/>
      <w:divBdr>
        <w:top w:val="none" w:sz="0" w:space="0" w:color="auto"/>
        <w:left w:val="none" w:sz="0" w:space="0" w:color="auto"/>
        <w:bottom w:val="none" w:sz="0" w:space="0" w:color="auto"/>
        <w:right w:val="none" w:sz="0" w:space="0" w:color="auto"/>
      </w:divBdr>
    </w:div>
    <w:div w:id="1692686557">
      <w:bodyDiv w:val="1"/>
      <w:marLeft w:val="0"/>
      <w:marRight w:val="0"/>
      <w:marTop w:val="0"/>
      <w:marBottom w:val="0"/>
      <w:divBdr>
        <w:top w:val="none" w:sz="0" w:space="0" w:color="auto"/>
        <w:left w:val="none" w:sz="0" w:space="0" w:color="auto"/>
        <w:bottom w:val="none" w:sz="0" w:space="0" w:color="auto"/>
        <w:right w:val="none" w:sz="0" w:space="0" w:color="auto"/>
      </w:divBdr>
      <w:divsChild>
        <w:div w:id="1177236163">
          <w:marLeft w:val="0"/>
          <w:marRight w:val="0"/>
          <w:marTop w:val="0"/>
          <w:marBottom w:val="160"/>
          <w:divBdr>
            <w:top w:val="none" w:sz="0" w:space="0" w:color="auto"/>
            <w:left w:val="none" w:sz="0" w:space="0" w:color="auto"/>
            <w:bottom w:val="none" w:sz="0" w:space="0" w:color="auto"/>
            <w:right w:val="none" w:sz="0" w:space="0" w:color="auto"/>
          </w:divBdr>
        </w:div>
        <w:div w:id="174341517">
          <w:marLeft w:val="0"/>
          <w:marRight w:val="0"/>
          <w:marTop w:val="0"/>
          <w:marBottom w:val="160"/>
          <w:divBdr>
            <w:top w:val="none" w:sz="0" w:space="0" w:color="auto"/>
            <w:left w:val="none" w:sz="0" w:space="0" w:color="auto"/>
            <w:bottom w:val="none" w:sz="0" w:space="0" w:color="auto"/>
            <w:right w:val="none" w:sz="0" w:space="0" w:color="auto"/>
          </w:divBdr>
        </w:div>
      </w:divsChild>
    </w:div>
    <w:div w:id="1710640602">
      <w:bodyDiv w:val="1"/>
      <w:marLeft w:val="0"/>
      <w:marRight w:val="0"/>
      <w:marTop w:val="0"/>
      <w:marBottom w:val="0"/>
      <w:divBdr>
        <w:top w:val="none" w:sz="0" w:space="0" w:color="auto"/>
        <w:left w:val="none" w:sz="0" w:space="0" w:color="auto"/>
        <w:bottom w:val="none" w:sz="0" w:space="0" w:color="auto"/>
        <w:right w:val="none" w:sz="0" w:space="0" w:color="auto"/>
      </w:divBdr>
      <w:divsChild>
        <w:div w:id="850799421">
          <w:marLeft w:val="0"/>
          <w:marRight w:val="0"/>
          <w:marTop w:val="0"/>
          <w:marBottom w:val="0"/>
          <w:divBdr>
            <w:top w:val="none" w:sz="0" w:space="0" w:color="auto"/>
            <w:left w:val="none" w:sz="0" w:space="0" w:color="auto"/>
            <w:bottom w:val="none" w:sz="0" w:space="0" w:color="auto"/>
            <w:right w:val="none" w:sz="0" w:space="0" w:color="auto"/>
          </w:divBdr>
        </w:div>
        <w:div w:id="1354263270">
          <w:marLeft w:val="0"/>
          <w:marRight w:val="0"/>
          <w:marTop w:val="0"/>
          <w:marBottom w:val="0"/>
          <w:divBdr>
            <w:top w:val="none" w:sz="0" w:space="0" w:color="auto"/>
            <w:left w:val="none" w:sz="0" w:space="0" w:color="auto"/>
            <w:bottom w:val="none" w:sz="0" w:space="0" w:color="auto"/>
            <w:right w:val="none" w:sz="0" w:space="0" w:color="auto"/>
          </w:divBdr>
        </w:div>
        <w:div w:id="780681475">
          <w:marLeft w:val="0"/>
          <w:marRight w:val="0"/>
          <w:marTop w:val="0"/>
          <w:marBottom w:val="0"/>
          <w:divBdr>
            <w:top w:val="none" w:sz="0" w:space="0" w:color="auto"/>
            <w:left w:val="none" w:sz="0" w:space="0" w:color="auto"/>
            <w:bottom w:val="none" w:sz="0" w:space="0" w:color="auto"/>
            <w:right w:val="none" w:sz="0" w:space="0" w:color="auto"/>
          </w:divBdr>
        </w:div>
        <w:div w:id="580526952">
          <w:marLeft w:val="0"/>
          <w:marRight w:val="0"/>
          <w:marTop w:val="0"/>
          <w:marBottom w:val="0"/>
          <w:divBdr>
            <w:top w:val="none" w:sz="0" w:space="0" w:color="auto"/>
            <w:left w:val="none" w:sz="0" w:space="0" w:color="auto"/>
            <w:bottom w:val="none" w:sz="0" w:space="0" w:color="auto"/>
            <w:right w:val="none" w:sz="0" w:space="0" w:color="auto"/>
          </w:divBdr>
        </w:div>
        <w:div w:id="1629623609">
          <w:marLeft w:val="0"/>
          <w:marRight w:val="0"/>
          <w:marTop w:val="0"/>
          <w:marBottom w:val="0"/>
          <w:divBdr>
            <w:top w:val="none" w:sz="0" w:space="0" w:color="auto"/>
            <w:left w:val="none" w:sz="0" w:space="0" w:color="auto"/>
            <w:bottom w:val="none" w:sz="0" w:space="0" w:color="auto"/>
            <w:right w:val="none" w:sz="0" w:space="0" w:color="auto"/>
          </w:divBdr>
        </w:div>
        <w:div w:id="1292132676">
          <w:marLeft w:val="0"/>
          <w:marRight w:val="0"/>
          <w:marTop w:val="0"/>
          <w:marBottom w:val="0"/>
          <w:divBdr>
            <w:top w:val="none" w:sz="0" w:space="0" w:color="auto"/>
            <w:left w:val="none" w:sz="0" w:space="0" w:color="auto"/>
            <w:bottom w:val="none" w:sz="0" w:space="0" w:color="auto"/>
            <w:right w:val="none" w:sz="0" w:space="0" w:color="auto"/>
          </w:divBdr>
        </w:div>
        <w:div w:id="220598142">
          <w:marLeft w:val="0"/>
          <w:marRight w:val="0"/>
          <w:marTop w:val="0"/>
          <w:marBottom w:val="0"/>
          <w:divBdr>
            <w:top w:val="none" w:sz="0" w:space="0" w:color="auto"/>
            <w:left w:val="none" w:sz="0" w:space="0" w:color="auto"/>
            <w:bottom w:val="none" w:sz="0" w:space="0" w:color="auto"/>
            <w:right w:val="none" w:sz="0" w:space="0" w:color="auto"/>
          </w:divBdr>
        </w:div>
        <w:div w:id="1914388488">
          <w:marLeft w:val="0"/>
          <w:marRight w:val="0"/>
          <w:marTop w:val="0"/>
          <w:marBottom w:val="0"/>
          <w:divBdr>
            <w:top w:val="none" w:sz="0" w:space="0" w:color="auto"/>
            <w:left w:val="none" w:sz="0" w:space="0" w:color="auto"/>
            <w:bottom w:val="none" w:sz="0" w:space="0" w:color="auto"/>
            <w:right w:val="none" w:sz="0" w:space="0" w:color="auto"/>
          </w:divBdr>
        </w:div>
        <w:div w:id="159733193">
          <w:marLeft w:val="0"/>
          <w:marRight w:val="0"/>
          <w:marTop w:val="0"/>
          <w:marBottom w:val="0"/>
          <w:divBdr>
            <w:top w:val="none" w:sz="0" w:space="0" w:color="auto"/>
            <w:left w:val="none" w:sz="0" w:space="0" w:color="auto"/>
            <w:bottom w:val="none" w:sz="0" w:space="0" w:color="auto"/>
            <w:right w:val="none" w:sz="0" w:space="0" w:color="auto"/>
          </w:divBdr>
        </w:div>
        <w:div w:id="460461258">
          <w:marLeft w:val="0"/>
          <w:marRight w:val="0"/>
          <w:marTop w:val="0"/>
          <w:marBottom w:val="0"/>
          <w:divBdr>
            <w:top w:val="none" w:sz="0" w:space="0" w:color="auto"/>
            <w:left w:val="none" w:sz="0" w:space="0" w:color="auto"/>
            <w:bottom w:val="none" w:sz="0" w:space="0" w:color="auto"/>
            <w:right w:val="none" w:sz="0" w:space="0" w:color="auto"/>
          </w:divBdr>
        </w:div>
        <w:div w:id="423301724">
          <w:marLeft w:val="0"/>
          <w:marRight w:val="0"/>
          <w:marTop w:val="0"/>
          <w:marBottom w:val="0"/>
          <w:divBdr>
            <w:top w:val="none" w:sz="0" w:space="0" w:color="auto"/>
            <w:left w:val="none" w:sz="0" w:space="0" w:color="auto"/>
            <w:bottom w:val="none" w:sz="0" w:space="0" w:color="auto"/>
            <w:right w:val="none" w:sz="0" w:space="0" w:color="auto"/>
          </w:divBdr>
        </w:div>
      </w:divsChild>
    </w:div>
    <w:div w:id="1778215803">
      <w:bodyDiv w:val="1"/>
      <w:marLeft w:val="0"/>
      <w:marRight w:val="0"/>
      <w:marTop w:val="0"/>
      <w:marBottom w:val="0"/>
      <w:divBdr>
        <w:top w:val="none" w:sz="0" w:space="0" w:color="auto"/>
        <w:left w:val="none" w:sz="0" w:space="0" w:color="auto"/>
        <w:bottom w:val="none" w:sz="0" w:space="0" w:color="auto"/>
        <w:right w:val="none" w:sz="0" w:space="0" w:color="auto"/>
      </w:divBdr>
      <w:divsChild>
        <w:div w:id="777872236">
          <w:marLeft w:val="0"/>
          <w:marRight w:val="0"/>
          <w:marTop w:val="0"/>
          <w:marBottom w:val="160"/>
          <w:divBdr>
            <w:top w:val="none" w:sz="0" w:space="0" w:color="auto"/>
            <w:left w:val="none" w:sz="0" w:space="0" w:color="auto"/>
            <w:bottom w:val="none" w:sz="0" w:space="0" w:color="auto"/>
            <w:right w:val="none" w:sz="0" w:space="0" w:color="auto"/>
          </w:divBdr>
        </w:div>
        <w:div w:id="975839831">
          <w:marLeft w:val="0"/>
          <w:marRight w:val="0"/>
          <w:marTop w:val="0"/>
          <w:marBottom w:val="160"/>
          <w:divBdr>
            <w:top w:val="none" w:sz="0" w:space="0" w:color="auto"/>
            <w:left w:val="none" w:sz="0" w:space="0" w:color="auto"/>
            <w:bottom w:val="none" w:sz="0" w:space="0" w:color="auto"/>
            <w:right w:val="none" w:sz="0" w:space="0" w:color="auto"/>
          </w:divBdr>
        </w:div>
      </w:divsChild>
    </w:div>
    <w:div w:id="1852991593">
      <w:bodyDiv w:val="1"/>
      <w:marLeft w:val="0"/>
      <w:marRight w:val="0"/>
      <w:marTop w:val="0"/>
      <w:marBottom w:val="0"/>
      <w:divBdr>
        <w:top w:val="none" w:sz="0" w:space="0" w:color="auto"/>
        <w:left w:val="none" w:sz="0" w:space="0" w:color="auto"/>
        <w:bottom w:val="none" w:sz="0" w:space="0" w:color="auto"/>
        <w:right w:val="none" w:sz="0" w:space="0" w:color="auto"/>
      </w:divBdr>
    </w:div>
    <w:div w:id="1870756064">
      <w:bodyDiv w:val="1"/>
      <w:marLeft w:val="0"/>
      <w:marRight w:val="0"/>
      <w:marTop w:val="0"/>
      <w:marBottom w:val="0"/>
      <w:divBdr>
        <w:top w:val="none" w:sz="0" w:space="0" w:color="auto"/>
        <w:left w:val="none" w:sz="0" w:space="0" w:color="auto"/>
        <w:bottom w:val="none" w:sz="0" w:space="0" w:color="auto"/>
        <w:right w:val="none" w:sz="0" w:space="0" w:color="auto"/>
      </w:divBdr>
    </w:div>
    <w:div w:id="1998723385">
      <w:bodyDiv w:val="1"/>
      <w:marLeft w:val="0"/>
      <w:marRight w:val="0"/>
      <w:marTop w:val="0"/>
      <w:marBottom w:val="0"/>
      <w:divBdr>
        <w:top w:val="none" w:sz="0" w:space="0" w:color="auto"/>
        <w:left w:val="none" w:sz="0" w:space="0" w:color="auto"/>
        <w:bottom w:val="none" w:sz="0" w:space="0" w:color="auto"/>
        <w:right w:val="none" w:sz="0" w:space="0" w:color="auto"/>
      </w:divBdr>
    </w:div>
    <w:div w:id="2021081283">
      <w:bodyDiv w:val="1"/>
      <w:marLeft w:val="0"/>
      <w:marRight w:val="0"/>
      <w:marTop w:val="0"/>
      <w:marBottom w:val="0"/>
      <w:divBdr>
        <w:top w:val="none" w:sz="0" w:space="0" w:color="auto"/>
        <w:left w:val="none" w:sz="0" w:space="0" w:color="auto"/>
        <w:bottom w:val="none" w:sz="0" w:space="0" w:color="auto"/>
        <w:right w:val="none" w:sz="0" w:space="0" w:color="auto"/>
      </w:divBdr>
      <w:divsChild>
        <w:div w:id="1195003836">
          <w:marLeft w:val="0"/>
          <w:marRight w:val="0"/>
          <w:marTop w:val="0"/>
          <w:marBottom w:val="0"/>
          <w:divBdr>
            <w:top w:val="none" w:sz="0" w:space="0" w:color="auto"/>
            <w:left w:val="none" w:sz="0" w:space="0" w:color="auto"/>
            <w:bottom w:val="none" w:sz="0" w:space="0" w:color="auto"/>
            <w:right w:val="none" w:sz="0" w:space="0" w:color="auto"/>
          </w:divBdr>
          <w:divsChild>
            <w:div w:id="1895651466">
              <w:marLeft w:val="0"/>
              <w:marRight w:val="0"/>
              <w:marTop w:val="0"/>
              <w:marBottom w:val="0"/>
              <w:divBdr>
                <w:top w:val="none" w:sz="0" w:space="0" w:color="auto"/>
                <w:left w:val="none" w:sz="0" w:space="0" w:color="auto"/>
                <w:bottom w:val="none" w:sz="0" w:space="0" w:color="auto"/>
                <w:right w:val="none" w:sz="0" w:space="0" w:color="auto"/>
              </w:divBdr>
              <w:divsChild>
                <w:div w:id="1656186163">
                  <w:marLeft w:val="0"/>
                  <w:marRight w:val="0"/>
                  <w:marTop w:val="0"/>
                  <w:marBottom w:val="0"/>
                  <w:divBdr>
                    <w:top w:val="none" w:sz="0" w:space="0" w:color="auto"/>
                    <w:left w:val="none" w:sz="0" w:space="0" w:color="auto"/>
                    <w:bottom w:val="none" w:sz="0" w:space="0" w:color="auto"/>
                    <w:right w:val="none" w:sz="0" w:space="0" w:color="auto"/>
                  </w:divBdr>
                  <w:divsChild>
                    <w:div w:id="870460568">
                      <w:marLeft w:val="0"/>
                      <w:marRight w:val="0"/>
                      <w:marTop w:val="0"/>
                      <w:marBottom w:val="0"/>
                      <w:divBdr>
                        <w:top w:val="none" w:sz="0" w:space="0" w:color="auto"/>
                        <w:left w:val="none" w:sz="0" w:space="0" w:color="auto"/>
                        <w:bottom w:val="none" w:sz="0" w:space="0" w:color="auto"/>
                        <w:right w:val="none" w:sz="0" w:space="0" w:color="auto"/>
                      </w:divBdr>
                      <w:divsChild>
                        <w:div w:id="501772804">
                          <w:marLeft w:val="0"/>
                          <w:marRight w:val="0"/>
                          <w:marTop w:val="0"/>
                          <w:marBottom w:val="0"/>
                          <w:divBdr>
                            <w:top w:val="none" w:sz="0" w:space="0" w:color="auto"/>
                            <w:left w:val="none" w:sz="0" w:space="0" w:color="auto"/>
                            <w:bottom w:val="none" w:sz="0" w:space="0" w:color="auto"/>
                            <w:right w:val="none" w:sz="0" w:space="0" w:color="auto"/>
                          </w:divBdr>
                          <w:divsChild>
                            <w:div w:id="23108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80708553">
      <w:bodyDiv w:val="1"/>
      <w:marLeft w:val="0"/>
      <w:marRight w:val="0"/>
      <w:marTop w:val="0"/>
      <w:marBottom w:val="0"/>
      <w:divBdr>
        <w:top w:val="none" w:sz="0" w:space="0" w:color="auto"/>
        <w:left w:val="none" w:sz="0" w:space="0" w:color="auto"/>
        <w:bottom w:val="none" w:sz="0" w:space="0" w:color="auto"/>
        <w:right w:val="none" w:sz="0" w:space="0" w:color="auto"/>
      </w:divBdr>
    </w:div>
    <w:div w:id="2117022860">
      <w:bodyDiv w:val="1"/>
      <w:marLeft w:val="0"/>
      <w:marRight w:val="0"/>
      <w:marTop w:val="0"/>
      <w:marBottom w:val="0"/>
      <w:divBdr>
        <w:top w:val="none" w:sz="0" w:space="0" w:color="auto"/>
        <w:left w:val="none" w:sz="0" w:space="0" w:color="auto"/>
        <w:bottom w:val="none" w:sz="0" w:space="0" w:color="auto"/>
        <w:right w:val="none" w:sz="0" w:space="0" w:color="auto"/>
      </w:divBdr>
      <w:divsChild>
        <w:div w:id="924654905">
          <w:marLeft w:val="0"/>
          <w:marRight w:val="0"/>
          <w:marTop w:val="0"/>
          <w:marBottom w:val="160"/>
          <w:divBdr>
            <w:top w:val="none" w:sz="0" w:space="0" w:color="auto"/>
            <w:left w:val="none" w:sz="0" w:space="0" w:color="auto"/>
            <w:bottom w:val="none" w:sz="0" w:space="0" w:color="auto"/>
            <w:right w:val="none" w:sz="0" w:space="0" w:color="auto"/>
          </w:divBdr>
        </w:div>
        <w:div w:id="870342042">
          <w:marLeft w:val="0"/>
          <w:marRight w:val="0"/>
          <w:marTop w:val="0"/>
          <w:marBottom w:val="16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providencias/2019_05001-23-33-000-2018-00342-01_62009/"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cartilla-para-incentivar-y-fortalecer-el-acceso-las&amp;data=05%7C02%7Cmartha.romero%40colombiacompra.gov.co%7Ceb0fd05604104aa4d3bc08dd4c4ad35e%7C7b09041e245149d08cb179d5e3d8c1be%7C0%7C0%7C638750606448637423%7CUnknown%7CTWFpbGZsb3d8eyJFbXB0eU1hcGkiOnRydWUsIlYiOiIwLjAuMDAwMCIsIlAiOiJXaW4zMiIsIkFOIjoiTWFpbCIsIldUIjoyfQ%3D%3D%7C0%7C%7C%7C&amp;sdata=A3YK7jNEkvtbDxh5nXtXi%2FZkzWcbC7%2FsT8xKSXACzv4%3D&amp;reserved=0" TargetMode="External"/><Relationship Id="rId7" Type="http://schemas.openxmlformats.org/officeDocument/2006/relationships/settings" Target="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relatoria.colombiacompra.gov.co/providencias/25000-23-26-000-2007-00108-01_42494/"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relatoria.colombiacompra.gov.co/providencias/25000-23-26-000-2003-00874-01_28278/" TargetMode="External"/><Relationship Id="rId2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relatoria.colombiacompra.gov.co/normativa/decreto-1082-de-2015/" TargetMode="External"/><Relationship Id="rId23" Type="http://schemas.openxmlformats.org/officeDocument/2006/relationships/hyperlink" Target="https://nam02.safelinks.protection.outlook.com/?url=https%3A%2F%2Fwww.colombiacompra.gov.co%2Fmanuales-guias-y-pliegos-tipo%2Fmanuales-y-guias%2Fguia-de-contratacion-publica-sostenible-y-socialmente&amp;data=05%7C02%7Cmartha.romero%40colombiacompra.gov.co%7Ceb0fd05604104aa4d3bc08dd4c4ad35e%7C7b09041e245149d08cb179d5e3d8c1be%7C0%7C0%7C638750606448700641%7CUnknown%7CTWFpbGZsb3d8eyJFbXB0eU1hcGkiOnRydWUsIlYiOiIwLjAuMDAwMCIsIlAiOiJXaW4zMiIsIkFOIjoiTWFpbCIsIldUIjoyfQ%3D%3D%7C0%7C%7C%7C&amp;sdata=%2Fw7NDlydm1sAVaZ5nsuc%2Fx3xkTlP0SRNi%2BF7vBnsE2g%3D&amp;reserved=0"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olombiacompra.gov.co/sites/cce_public/files/cce_documents/cce_guia_liquidacion_proceso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codigo-de-comercio-decreto-410-de-1971/" TargetMode="External"/><Relationship Id="rId22" Type="http://schemas.openxmlformats.org/officeDocument/2006/relationships/hyperlink" Target="https://nam02.safelinks.protection.outlook.com/?url=https%3A%2F%2Fwww.colombiacompra.gov.co%2Fciudadanos%2Fcalendario&amp;data=05%7C02%7Cmartha.romero%40colombiacompra.gov.co%7Ceb0fd05604104aa4d3bc08dd4c4ad35e%7C7b09041e245149d08cb179d5e3d8c1be%7C0%7C0%7C638750606448672693%7CUnknown%7CTWFpbGZsb3d8eyJFbXB0eU1hcGkiOnRydWUsIlYiOiIwLjAuMDAwMCIsIlAiOiJXaW4zMiIsIkFOIjoiTWFpbCIsIldUIjoyfQ%3D%3D%7C0%7C%7C%7C&amp;sdata=UfvSsm4TL1pYTQnK3t4X5lFS45SfS4BE6%2FlRoeQ4e3A%3D&amp;reserved=0"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liquidacion_proceso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3F6D7-6521-425E-A15B-EFA4619DE4A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55C579B-8B31-48F7-9E9E-1B21C4FF6305}">
  <ds:schemaRefs>
    <ds:schemaRef ds:uri="http://schemas.microsoft.com/sharepoint/v3/contenttype/forms"/>
  </ds:schemaRefs>
</ds:datastoreItem>
</file>

<file path=customXml/itemProps3.xml><?xml version="1.0" encoding="utf-8"?>
<ds:datastoreItem xmlns:ds="http://schemas.openxmlformats.org/officeDocument/2006/customXml" ds:itemID="{E8278323-94AC-4BBA-92D1-53F29E896E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8D5F94-5E1B-4D25-80D7-CFF5FFEA2B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16</Pages>
  <Words>4840</Words>
  <Characters>26625</Characters>
  <Application>Microsoft Office Word</Application>
  <DocSecurity>0</DocSecurity>
  <Lines>221</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Keila Margarita Reyes Cassiani</cp:lastModifiedBy>
  <cp:revision>7</cp:revision>
  <dcterms:created xsi:type="dcterms:W3CDTF">2025-02-14T19:43:00Z</dcterms:created>
  <dcterms:modified xsi:type="dcterms:W3CDTF">2025-03-06T17:43:00Z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