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74277" w14:textId="77777777" w:rsidR="00B03E39" w:rsidRPr="00B03E39" w:rsidRDefault="00B03E39" w:rsidP="00B03E39">
      <w:pPr>
        <w:spacing w:after="0" w:line="240" w:lineRule="auto"/>
        <w:contextualSpacing/>
        <w:jc w:val="both"/>
        <w:rPr>
          <w:rFonts w:ascii="Century Gothic" w:eastAsia="Calibri" w:hAnsi="Century Gothic" w:cs="Arial"/>
          <w:b/>
          <w:kern w:val="2"/>
          <w:lang w:val="es-ES_tradnl" w:eastAsia="es-ES_tradnl"/>
          <w14:ligatures w14:val="standardContextual"/>
        </w:rPr>
      </w:pPr>
      <w:bookmarkStart w:id="0" w:name="_Hlk143780582"/>
      <w:r w:rsidRPr="00B03E39">
        <w:rPr>
          <w:rFonts w:ascii="Century Gothic" w:eastAsia="Calibri" w:hAnsi="Century Gothic" w:cs="Arial"/>
          <w:b/>
          <w:kern w:val="2"/>
          <w:lang w:val="es-ES_tradnl" w:eastAsia="es-ES_tradnl"/>
          <w14:ligatures w14:val="standardContextual"/>
        </w:rPr>
        <w:t xml:space="preserve">DOCUMENTOS TIPO – Fundamento normativo – Ley 2022 de 2020 </w:t>
      </w:r>
    </w:p>
    <w:p w14:paraId="277D98A9" w14:textId="77777777" w:rsidR="00B03E39" w:rsidRPr="00B03E39" w:rsidRDefault="00B03E39" w:rsidP="00B03E39">
      <w:pPr>
        <w:spacing w:after="0" w:line="240" w:lineRule="auto"/>
        <w:contextualSpacing/>
        <w:jc w:val="both"/>
        <w:rPr>
          <w:rFonts w:ascii="Century Gothic" w:eastAsia="Calibri" w:hAnsi="Century Gothic" w:cs="Arial"/>
          <w:kern w:val="2"/>
          <w:lang w:val="es-ES_tradnl" w:eastAsia="es-ES"/>
          <w14:ligatures w14:val="standardContextual"/>
        </w:rPr>
      </w:pPr>
    </w:p>
    <w:p w14:paraId="68791D50" w14:textId="52AF2157" w:rsidR="006407CA" w:rsidRDefault="006407CA" w:rsidP="006407CA">
      <w:pPr>
        <w:spacing w:after="0" w:line="240" w:lineRule="auto"/>
        <w:contextualSpacing/>
        <w:jc w:val="both"/>
        <w:rPr>
          <w:rFonts w:ascii="Century Gothic" w:eastAsia="Calibri" w:hAnsi="Century Gothic" w:cs="Arial"/>
          <w:kern w:val="2"/>
          <w:sz w:val="20"/>
          <w:szCs w:val="20"/>
          <w:lang w:val="es-ES" w:eastAsia="es-ES"/>
          <w14:ligatures w14:val="standardContextual"/>
        </w:rPr>
      </w:pPr>
      <w:r w:rsidRPr="006407CA">
        <w:rPr>
          <w:rFonts w:ascii="Century Gothic" w:eastAsia="Calibri" w:hAnsi="Century Gothic" w:cs="Arial"/>
          <w:kern w:val="2"/>
          <w:sz w:val="20"/>
          <w:szCs w:val="20"/>
          <w:lang w:val="es-ES" w:eastAsia="es-ES"/>
          <w14:ligatures w14:val="standardContextual"/>
        </w:rPr>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 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24EF3ABB" w14:textId="77777777" w:rsidR="006407CA" w:rsidRPr="006407CA" w:rsidRDefault="006407CA" w:rsidP="006407CA">
      <w:pPr>
        <w:spacing w:after="0" w:line="240" w:lineRule="auto"/>
        <w:contextualSpacing/>
        <w:jc w:val="both"/>
        <w:rPr>
          <w:rFonts w:ascii="Century Gothic" w:eastAsia="Calibri" w:hAnsi="Century Gothic" w:cs="Arial"/>
          <w:kern w:val="2"/>
          <w:sz w:val="20"/>
          <w:szCs w:val="20"/>
          <w:lang w:val="es-ES" w:eastAsia="es-ES"/>
          <w14:ligatures w14:val="standardContextual"/>
        </w:rPr>
      </w:pPr>
    </w:p>
    <w:p w14:paraId="2744FC8C" w14:textId="68D62360" w:rsidR="00B03E39" w:rsidRPr="00B03E39" w:rsidRDefault="006407CA" w:rsidP="006407CA">
      <w:pPr>
        <w:spacing w:after="0" w:line="240" w:lineRule="auto"/>
        <w:contextualSpacing/>
        <w:jc w:val="both"/>
        <w:rPr>
          <w:rFonts w:ascii="Century Gothic" w:eastAsia="Times New Roman" w:hAnsi="Century Gothic" w:cs="Arial"/>
          <w:kern w:val="2"/>
          <w:sz w:val="20"/>
          <w:szCs w:val="20"/>
          <w:lang w:val="es-ES" w:eastAsia="es-ES"/>
          <w14:ligatures w14:val="standardContextual"/>
        </w:rPr>
      </w:pPr>
      <w:r w:rsidRPr="006407CA">
        <w:rPr>
          <w:rFonts w:ascii="Century Gothic" w:eastAsia="Calibri" w:hAnsi="Century Gothic" w:cs="Arial"/>
          <w:kern w:val="2"/>
          <w:sz w:val="20"/>
          <w:szCs w:val="20"/>
          <w:lang w:val="es-ES" w:eastAsia="es-ES"/>
          <w14:ligatures w14:val="standardContextual"/>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1C995696" w14:textId="77777777" w:rsidR="00B03E39" w:rsidRPr="00B03E39" w:rsidRDefault="00B03E39" w:rsidP="00B03E39">
      <w:pPr>
        <w:spacing w:after="0" w:line="240" w:lineRule="auto"/>
        <w:contextualSpacing/>
        <w:jc w:val="both"/>
        <w:rPr>
          <w:rFonts w:ascii="Century Gothic" w:eastAsia="Calibri" w:hAnsi="Century Gothic" w:cs="Arial"/>
          <w:b/>
          <w:kern w:val="2"/>
          <w:lang w:val="es-ES_tradnl" w:eastAsia="es-ES_tradnl"/>
          <w14:ligatures w14:val="standardContextual"/>
        </w:rPr>
      </w:pPr>
    </w:p>
    <w:p w14:paraId="419B7629" w14:textId="77777777" w:rsidR="00B03E39" w:rsidRPr="00B03E39" w:rsidRDefault="00B03E39" w:rsidP="00B03E39">
      <w:pPr>
        <w:spacing w:after="0" w:line="240" w:lineRule="auto"/>
        <w:contextualSpacing/>
        <w:jc w:val="both"/>
        <w:rPr>
          <w:rFonts w:ascii="Century Gothic" w:eastAsia="Calibri" w:hAnsi="Century Gothic" w:cs="Arial"/>
          <w:b/>
          <w:kern w:val="2"/>
          <w:lang w:val="es-ES_tradnl" w:eastAsia="es-ES_tradnl"/>
          <w14:ligatures w14:val="standardContextual"/>
        </w:rPr>
      </w:pPr>
      <w:r w:rsidRPr="00B03E39">
        <w:rPr>
          <w:rFonts w:ascii="Century Gothic" w:eastAsia="Calibri" w:hAnsi="Century Gothic" w:cs="Arial"/>
          <w:b/>
          <w:kern w:val="2"/>
          <w:lang w:val="es-ES_tradnl" w:eastAsia="es-ES_tradnl"/>
          <w14:ligatures w14:val="standardContextual"/>
        </w:rPr>
        <w:t xml:space="preserve">LEY 2195 DE 2022 – Artículo 56 – Ámbito de aplicación </w:t>
      </w:r>
    </w:p>
    <w:p w14:paraId="0410C92E" w14:textId="77777777" w:rsidR="00B03E39" w:rsidRPr="00B03E39" w:rsidRDefault="00B03E39" w:rsidP="00B03E39">
      <w:pPr>
        <w:spacing w:after="0" w:line="240" w:lineRule="auto"/>
        <w:contextualSpacing/>
        <w:jc w:val="both"/>
        <w:rPr>
          <w:rFonts w:ascii="Century Gothic" w:eastAsia="Calibri" w:hAnsi="Century Gothic" w:cs="Arial"/>
          <w:bCs/>
          <w:kern w:val="2"/>
          <w:lang w:val="es-ES_tradnl" w:eastAsia="es-ES_tradnl"/>
          <w14:ligatures w14:val="standardContextual"/>
        </w:rPr>
      </w:pPr>
    </w:p>
    <w:p w14:paraId="6EDA04FB" w14:textId="1E20A5EA" w:rsidR="006407CA" w:rsidRPr="006407CA" w:rsidRDefault="006407CA" w:rsidP="006407CA">
      <w:pPr>
        <w:spacing w:after="0" w:line="240" w:lineRule="auto"/>
        <w:contextualSpacing/>
        <w:jc w:val="both"/>
        <w:rPr>
          <w:rFonts w:ascii="Century Gothic" w:eastAsia="Calibri" w:hAnsi="Century Gothic" w:cs="Arial"/>
          <w:bCs/>
          <w:kern w:val="2"/>
          <w:sz w:val="20"/>
          <w:szCs w:val="20"/>
          <w:lang w:val="es-ES_tradnl" w:eastAsia="es-ES_tradnl"/>
          <w14:ligatures w14:val="standardContextual"/>
        </w:rPr>
      </w:pPr>
      <w:r w:rsidRPr="006407CA">
        <w:rPr>
          <w:rFonts w:ascii="Century Gothic" w:eastAsia="Calibri" w:hAnsi="Century Gothic" w:cs="Arial"/>
          <w:bCs/>
          <w:kern w:val="2"/>
          <w:sz w:val="20"/>
          <w:szCs w:val="20"/>
          <w:lang w:val="es-ES_tradnl" w:eastAsia="es-ES_tradnl"/>
          <w14:ligatures w14:val="standardContextual"/>
        </w:rPr>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Por esto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3CFE162F" w14:textId="7C989645" w:rsidR="006407CA" w:rsidRPr="006407CA" w:rsidRDefault="006407CA" w:rsidP="006407CA">
      <w:pPr>
        <w:spacing w:after="0" w:line="240" w:lineRule="auto"/>
        <w:contextualSpacing/>
        <w:jc w:val="both"/>
        <w:rPr>
          <w:rFonts w:ascii="Century Gothic" w:eastAsia="Calibri" w:hAnsi="Century Gothic" w:cs="Arial"/>
          <w:bCs/>
          <w:kern w:val="2"/>
          <w:sz w:val="20"/>
          <w:szCs w:val="20"/>
          <w:lang w:val="es-ES_tradnl" w:eastAsia="es-ES_tradnl"/>
          <w14:ligatures w14:val="standardContextual"/>
        </w:rPr>
      </w:pPr>
      <w:r>
        <w:rPr>
          <w:rFonts w:ascii="Century Gothic" w:eastAsia="Calibri" w:hAnsi="Century Gothic" w:cs="Arial"/>
          <w:bCs/>
          <w:kern w:val="2"/>
          <w:sz w:val="20"/>
          <w:szCs w:val="20"/>
          <w:lang w:val="es-ES_tradnl" w:eastAsia="es-ES_tradnl"/>
          <w14:ligatures w14:val="standardContextual"/>
        </w:rPr>
        <w:t>[…]</w:t>
      </w:r>
      <w:r w:rsidRPr="006407CA">
        <w:rPr>
          <w:rFonts w:ascii="Century Gothic" w:eastAsia="Calibri" w:hAnsi="Century Gothic" w:cs="Arial"/>
          <w:bCs/>
          <w:kern w:val="2"/>
          <w:sz w:val="20"/>
          <w:szCs w:val="20"/>
          <w:lang w:val="es-ES_tradnl" w:eastAsia="es-ES_tradnl"/>
          <w14:ligatures w14:val="standardContextual"/>
        </w:rPr>
        <w:t xml:space="preserve"> </w:t>
      </w:r>
    </w:p>
    <w:p w14:paraId="791AA659" w14:textId="726B2088" w:rsidR="00B03E39" w:rsidRPr="00B03E39" w:rsidRDefault="006407CA" w:rsidP="006407CA">
      <w:pPr>
        <w:spacing w:after="0" w:line="240" w:lineRule="auto"/>
        <w:contextualSpacing/>
        <w:jc w:val="both"/>
        <w:rPr>
          <w:rFonts w:ascii="Century Gothic" w:eastAsia="Calibri" w:hAnsi="Century Gothic" w:cs="Arial"/>
          <w:kern w:val="2"/>
          <w:sz w:val="20"/>
          <w:szCs w:val="20"/>
          <w:lang w:val="es-ES_tradnl" w:eastAsia="es-ES_tradnl"/>
          <w14:ligatures w14:val="standardContextual"/>
        </w:rPr>
      </w:pPr>
      <w:r w:rsidRPr="006407CA">
        <w:rPr>
          <w:rFonts w:ascii="Century Gothic" w:eastAsia="Calibri" w:hAnsi="Century Gothic" w:cs="Arial"/>
          <w:bCs/>
          <w:kern w:val="2"/>
          <w:sz w:val="20"/>
          <w:szCs w:val="20"/>
          <w:lang w:val="es-ES_tradnl" w:eastAsia="es-ES_tradnl"/>
          <w14:ligatures w14:val="standardContextua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por contexto conforme al criterio hermenéutico del artículo 30 del Código Civil, según el cual “Los pasajes oscuros de una ley pueden ser ilustrados por medio de otras leyes, particularmente si versan sobre el mismo asunto”, y de interpretación por extensión </w:t>
      </w:r>
      <w:r w:rsidRPr="006407CA">
        <w:rPr>
          <w:rFonts w:ascii="Century Gothic" w:eastAsia="Calibri" w:hAnsi="Century Gothic" w:cs="Arial"/>
          <w:bCs/>
          <w:kern w:val="2"/>
          <w:sz w:val="20"/>
          <w:szCs w:val="20"/>
          <w:lang w:val="es-ES_tradnl" w:eastAsia="es-ES_tradnl"/>
          <w14:ligatures w14:val="standardContextual"/>
        </w:rPr>
        <w:lastRenderedPageBreak/>
        <w:t>de una ley consagrada en el artículo 31 ibidem, conforme al cual “Lo favorable u odioso de una disposición no se tomará en cuenta para ampliar o restringir su interpretación. La extensión que deba darse a toda ley se determinará por su genuino sentido, y según las reglas de interpretación precedentes”. Desde esta perspectiva, no pudiera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 la obligatoriedad de utilizar documentos pliego tipo se extiende en los convenios o contratos interadministrativos o de cualquier otra índole, ya las diferentes modalidades de selección de los Procesos de Contratación adelantados por entidades sometidas al EGCAP.</w:t>
      </w:r>
    </w:p>
    <w:p w14:paraId="0E6C94E1" w14:textId="77777777" w:rsidR="00B03E39" w:rsidRPr="00B03E39" w:rsidRDefault="00B03E39" w:rsidP="00B03E39">
      <w:pPr>
        <w:spacing w:after="0" w:line="240" w:lineRule="auto"/>
        <w:contextualSpacing/>
        <w:jc w:val="both"/>
        <w:rPr>
          <w:rFonts w:ascii="Century Gothic" w:eastAsia="Calibri" w:hAnsi="Century Gothic" w:cs="Arial"/>
          <w:b/>
          <w:kern w:val="2"/>
          <w:lang w:val="es-ES_tradnl" w:eastAsia="es-ES_tradnl"/>
          <w14:ligatures w14:val="standardContextual"/>
        </w:rPr>
      </w:pPr>
    </w:p>
    <w:p w14:paraId="7698289E" w14:textId="77777777" w:rsidR="00B03E39" w:rsidRPr="00B03E39" w:rsidRDefault="00B03E39" w:rsidP="00B03E39">
      <w:pPr>
        <w:spacing w:after="0" w:line="240" w:lineRule="auto"/>
        <w:contextualSpacing/>
        <w:jc w:val="both"/>
        <w:rPr>
          <w:rFonts w:ascii="Century Gothic" w:eastAsia="Calibri" w:hAnsi="Century Gothic" w:cs="Arial"/>
          <w:b/>
          <w:kern w:val="2"/>
          <w:lang w:val="es-ES_tradnl" w:eastAsia="es-ES_tradnl"/>
          <w14:ligatures w14:val="standardContextual"/>
        </w:rPr>
      </w:pPr>
      <w:r w:rsidRPr="00B03E39">
        <w:rPr>
          <w:rFonts w:ascii="Century Gothic" w:eastAsia="Calibri" w:hAnsi="Century Gothic" w:cs="Arial"/>
          <w:b/>
          <w:kern w:val="2"/>
          <w:lang w:val="es-ES_tradnl" w:eastAsia="es-ES_tradnl"/>
          <w14:ligatures w14:val="standardContextual"/>
        </w:rPr>
        <w:t xml:space="preserve">LEY 2195 DE 2022 – Artículo 56 – Finalidad </w:t>
      </w:r>
    </w:p>
    <w:p w14:paraId="465B2E08" w14:textId="77777777" w:rsidR="00B03E39" w:rsidRPr="00B03E39" w:rsidRDefault="00B03E39" w:rsidP="00B03E39">
      <w:pPr>
        <w:spacing w:after="0" w:line="240" w:lineRule="auto"/>
        <w:contextualSpacing/>
        <w:jc w:val="both"/>
        <w:rPr>
          <w:rFonts w:ascii="Century Gothic" w:eastAsia="Times New Roman" w:hAnsi="Century Gothic" w:cs="Arial"/>
          <w:kern w:val="2"/>
          <w:lang w:val="es-ES_tradnl" w:eastAsia="es-ES_tradnl"/>
          <w14:ligatures w14:val="standardContextual"/>
        </w:rPr>
      </w:pPr>
    </w:p>
    <w:p w14:paraId="10A7124E" w14:textId="5942D420" w:rsidR="000A1933" w:rsidRDefault="00B03E39" w:rsidP="000A1933">
      <w:pPr>
        <w:tabs>
          <w:tab w:val="left" w:pos="0"/>
        </w:tabs>
        <w:spacing w:after="0" w:line="240" w:lineRule="auto"/>
        <w:jc w:val="both"/>
        <w:rPr>
          <w:rFonts w:ascii="Century Gothic" w:eastAsia="Calibri" w:hAnsi="Century Gothic" w:cs="Arial"/>
          <w:sz w:val="20"/>
          <w:szCs w:val="20"/>
          <w:lang w:val="es-ES_tradnl" w:eastAsia="es-ES_tradnl"/>
        </w:rPr>
      </w:pPr>
      <w:r w:rsidRPr="00B03E39">
        <w:rPr>
          <w:rFonts w:ascii="Century Gothic" w:eastAsia="Times New Roman" w:hAnsi="Century Gothic" w:cs="Arial"/>
          <w:kern w:val="2"/>
          <w:sz w:val="20"/>
          <w:szCs w:val="20"/>
          <w:lang w:val="es-ES_tradnl" w:eastAsia="es-ES_tradnl"/>
          <w14:ligatures w14:val="standardContextual"/>
        </w:rPr>
        <w:t>[…]</w:t>
      </w:r>
      <w:r w:rsidRPr="00B03E39">
        <w:rPr>
          <w:rFonts w:ascii="Century Gothic" w:eastAsia="Calibri" w:hAnsi="Century Gothic" w:cs="Arial"/>
          <w:sz w:val="20"/>
          <w:szCs w:val="20"/>
          <w:lang w:val="es-ES_tradnl" w:eastAsia="es-ES_tradnl"/>
        </w:rPr>
        <w:t xml:space="preserve"> </w:t>
      </w:r>
      <w:r w:rsidR="000A1933" w:rsidRPr="000A1933">
        <w:rPr>
          <w:rFonts w:ascii="Century Gothic" w:eastAsia="Calibri" w:hAnsi="Century Gothic" w:cs="Arial"/>
          <w:sz w:val="20"/>
          <w:szCs w:val="20"/>
          <w:lang w:val="es-ES_tradnl" w:eastAsia="es-ES_tradnl"/>
        </w:rPr>
        <w:t>la adición del articulado en mención tiene como fin “Extender la obligatoriedad de la aplicación del régimen de contratación estatal y pliegos tipo, cuando se celebran convenios interadministrativos con una entidad que tiene régimen de contratación privada con el fin de evitar la contratación directa con recursos del estado y proveer de mayores garantías al proceso” (Énfasis fuera de texto). En ese orden de ideas, es claro que la incorporación de este articulado por parte del legislador tiene como fin principal que las entidades sometidas al EGCAP, obligadas a aplicar documentos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7CA4BFA7" w14:textId="77777777" w:rsidR="000A1933" w:rsidRPr="000A1933" w:rsidRDefault="000A1933" w:rsidP="000A1933">
      <w:pPr>
        <w:tabs>
          <w:tab w:val="left" w:pos="0"/>
        </w:tabs>
        <w:spacing w:after="0" w:line="240" w:lineRule="auto"/>
        <w:jc w:val="both"/>
        <w:rPr>
          <w:rFonts w:ascii="Century Gothic" w:eastAsia="Calibri" w:hAnsi="Century Gothic" w:cs="Arial"/>
          <w:sz w:val="20"/>
          <w:szCs w:val="20"/>
          <w:lang w:val="es-ES_tradnl" w:eastAsia="es-ES_tradnl"/>
        </w:rPr>
      </w:pPr>
    </w:p>
    <w:p w14:paraId="6D34C6E8" w14:textId="4EC2C4B3" w:rsidR="00B03E39" w:rsidRPr="00B03E39" w:rsidRDefault="000A1933" w:rsidP="000A1933">
      <w:pPr>
        <w:tabs>
          <w:tab w:val="left" w:pos="0"/>
        </w:tabs>
        <w:spacing w:after="0" w:line="240" w:lineRule="auto"/>
        <w:jc w:val="both"/>
        <w:rPr>
          <w:rFonts w:ascii="Century Gothic" w:eastAsia="Calibri" w:hAnsi="Century Gothic" w:cs="Arial"/>
          <w:bCs/>
          <w:sz w:val="20"/>
          <w:szCs w:val="20"/>
          <w:lang w:val="es-ES_tradnl" w:eastAsia="es-ES_tradnl"/>
        </w:rPr>
      </w:pPr>
      <w:r w:rsidRPr="000A1933">
        <w:rPr>
          <w:rFonts w:ascii="Century Gothic" w:eastAsia="Calibri" w:hAnsi="Century Gothic" w:cs="Arial"/>
          <w:sz w:val="20"/>
          <w:szCs w:val="20"/>
          <w:lang w:val="es-ES_tradnl" w:eastAsia="es-ES_tradnl"/>
        </w:rPr>
        <w:t>Sin embargo, para segunda ponencia del Senado se propuso eliminar el artículo en mención con motivo a la inconveniencia que podría generar en su aplicación, aceptándose su eliminación. No obstante, para Plenaria de Senado se propuso un nuevo artículo para su trámite ante la Cámara de Representantes, que dispone lo siguiente:</w:t>
      </w:r>
      <w:r>
        <w:rPr>
          <w:rFonts w:ascii="Century Gothic" w:eastAsia="Calibri" w:hAnsi="Century Gothic" w:cs="Arial"/>
          <w:sz w:val="20"/>
          <w:szCs w:val="20"/>
          <w:lang w:val="es-ES_tradnl" w:eastAsia="es-ES_tradnl"/>
        </w:rPr>
        <w:t xml:space="preserve"> […]</w:t>
      </w:r>
    </w:p>
    <w:p w14:paraId="1CBFAF90" w14:textId="77777777" w:rsidR="00B03E39" w:rsidRPr="00B03E39" w:rsidRDefault="00B03E39" w:rsidP="00B03E39">
      <w:pPr>
        <w:spacing w:after="0" w:line="240" w:lineRule="auto"/>
        <w:contextualSpacing/>
        <w:jc w:val="both"/>
        <w:rPr>
          <w:rFonts w:ascii="Century Gothic" w:eastAsia="Calibri" w:hAnsi="Century Gothic" w:cs="Arial"/>
          <w:b/>
          <w:kern w:val="2"/>
          <w:lang w:val="es-ES_tradnl" w:eastAsia="es-ES_tradnl"/>
          <w14:ligatures w14:val="standardContextual"/>
        </w:rPr>
      </w:pPr>
    </w:p>
    <w:p w14:paraId="00BEF5C4" w14:textId="77777777" w:rsidR="00B03E39" w:rsidRPr="00B03E39" w:rsidRDefault="00B03E39" w:rsidP="00B03E39">
      <w:pPr>
        <w:spacing w:after="0" w:line="240" w:lineRule="auto"/>
        <w:contextualSpacing/>
        <w:jc w:val="both"/>
        <w:rPr>
          <w:rFonts w:ascii="Century Gothic" w:eastAsia="Calibri" w:hAnsi="Century Gothic" w:cs="Arial"/>
          <w:b/>
          <w:kern w:val="2"/>
          <w:sz w:val="24"/>
          <w:szCs w:val="24"/>
          <w:lang w:val="es-ES_tradnl" w:eastAsia="es-ES_tradnl"/>
          <w14:ligatures w14:val="standardContextual"/>
        </w:rPr>
      </w:pPr>
      <w:r w:rsidRPr="00B03E39">
        <w:rPr>
          <w:rFonts w:ascii="Century Gothic" w:eastAsia="Calibri" w:hAnsi="Century Gothic" w:cs="Arial"/>
          <w:b/>
          <w:kern w:val="2"/>
          <w:lang w:val="es-ES_tradnl" w:eastAsia="es-ES_tradnl"/>
          <w14:ligatures w14:val="standardContextual"/>
        </w:rPr>
        <w:t>LEY 2195 DE 2022 – Artículo 56 – Incisos 1 y 2 – Interpretación conjunta – Aplicación de documentos tipo</w:t>
      </w:r>
    </w:p>
    <w:p w14:paraId="38E71A80" w14:textId="77777777" w:rsidR="00B03E39" w:rsidRPr="00B03E39" w:rsidRDefault="00B03E39" w:rsidP="00B03E39">
      <w:pPr>
        <w:tabs>
          <w:tab w:val="left" w:pos="0"/>
        </w:tabs>
        <w:spacing w:after="0" w:line="240" w:lineRule="auto"/>
        <w:jc w:val="both"/>
        <w:rPr>
          <w:rFonts w:ascii="Century Gothic" w:eastAsia="Calibri" w:hAnsi="Century Gothic" w:cs="Arial"/>
          <w:bCs/>
          <w:kern w:val="2"/>
          <w:lang w:val="es-ES_tradnl" w:eastAsia="es-ES_tradnl"/>
          <w14:ligatures w14:val="standardContextual"/>
        </w:rPr>
      </w:pPr>
    </w:p>
    <w:p w14:paraId="63BC02BD" w14:textId="26033CA2" w:rsidR="007D3E08" w:rsidRDefault="007D3E08" w:rsidP="007D3E08">
      <w:pPr>
        <w:tabs>
          <w:tab w:val="left" w:pos="0"/>
        </w:tabs>
        <w:spacing w:after="0" w:line="240" w:lineRule="auto"/>
        <w:jc w:val="both"/>
        <w:rPr>
          <w:rFonts w:ascii="Century Gothic" w:eastAsia="Calibri" w:hAnsi="Century Gothic" w:cs="Arial"/>
          <w:bCs/>
          <w:sz w:val="20"/>
          <w:szCs w:val="20"/>
          <w:lang w:val="es-ES_tradnl" w:eastAsia="es-ES_tradnl"/>
        </w:rPr>
      </w:pPr>
      <w:r w:rsidRPr="007D3E08">
        <w:rPr>
          <w:rFonts w:ascii="Century Gothic" w:eastAsia="Calibri" w:hAnsi="Century Gothic" w:cs="Arial"/>
          <w:bCs/>
          <w:sz w:val="20"/>
          <w:szCs w:val="20"/>
          <w:lang w:val="es-ES_tradnl" w:eastAsia="es-ES_tradnl"/>
        </w:rPr>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w:t>
      </w:r>
      <w:r w:rsidRPr="007D3E08">
        <w:rPr>
          <w:rFonts w:ascii="Century Gothic" w:eastAsia="Calibri" w:hAnsi="Century Gothic" w:cs="Arial"/>
          <w:bCs/>
          <w:sz w:val="20"/>
          <w:szCs w:val="20"/>
          <w:lang w:val="es-ES_tradnl" w:eastAsia="es-ES_tradnl"/>
        </w:rPr>
        <w:lastRenderedPageBreak/>
        <w:t xml:space="preserve">especial o de derecho privado. En ese sentido, el primer inciso de la norma reafirma el deber de las entidades sometidas al EGCAP de aplicar los documentos tipo. </w:t>
      </w:r>
    </w:p>
    <w:p w14:paraId="047696C9" w14:textId="77777777" w:rsidR="007D3E08" w:rsidRPr="007D3E08" w:rsidRDefault="007D3E08" w:rsidP="007D3E08">
      <w:pPr>
        <w:tabs>
          <w:tab w:val="left" w:pos="0"/>
        </w:tabs>
        <w:spacing w:after="0" w:line="240" w:lineRule="auto"/>
        <w:jc w:val="both"/>
        <w:rPr>
          <w:rFonts w:ascii="Century Gothic" w:eastAsia="Calibri" w:hAnsi="Century Gothic" w:cs="Arial"/>
          <w:bCs/>
          <w:sz w:val="20"/>
          <w:szCs w:val="20"/>
          <w:lang w:val="es-ES_tradnl" w:eastAsia="es-ES_tradnl"/>
        </w:rPr>
      </w:pPr>
    </w:p>
    <w:p w14:paraId="0852DCAB" w14:textId="49D80C92" w:rsidR="00B03E39" w:rsidRPr="007D3E08" w:rsidRDefault="007D3E08" w:rsidP="00B03E39">
      <w:pPr>
        <w:tabs>
          <w:tab w:val="left" w:pos="0"/>
        </w:tabs>
        <w:spacing w:after="0" w:line="240" w:lineRule="auto"/>
        <w:jc w:val="both"/>
        <w:rPr>
          <w:rFonts w:ascii="Century Gothic" w:eastAsia="Calibri" w:hAnsi="Century Gothic" w:cs="Arial"/>
          <w:bCs/>
          <w:sz w:val="20"/>
          <w:szCs w:val="20"/>
          <w:lang w:val="es-ES_tradnl" w:eastAsia="es-ES_tradnl"/>
        </w:rPr>
      </w:pPr>
      <w:r w:rsidRPr="007D3E08">
        <w:rPr>
          <w:rFonts w:ascii="Century Gothic" w:eastAsia="Calibri" w:hAnsi="Century Gothic" w:cs="Arial"/>
          <w:bCs/>
          <w:sz w:val="20"/>
          <w:szCs w:val="20"/>
          <w:lang w:val="es-ES_tradnl" w:eastAsia="es-ES_tradnl"/>
        </w:rPr>
        <w:t>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por contexto conforme al criterio hermenéutico del artículo 30 del Código Civil, según el cual “Los pasajes oscuros de una ley pueden ser ilustrados por medio de otras leyes, particularmente si versan sobre el mismo asunto”, y de interpretación por extensión de una ley consagrada en el artículo 31 ibidem, conforme al cual “Lo favorable u odioso de una disposición no se tomará en cuenta para ampliar o restringir su interpretación. La extensión que deba darse a toda ley se determinará por su genuino sentido, y según las reglas de interpretación precedentes”. Desde esta perspectiva, no pudiera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 la obligatoriedad de utilizar documentos pliego tipo se extiende en los convenios o contratos interadministrativos o de cualquier otra índole, ya las diferentes modalidades de selección de los Procesos de Contratación adelantados por entidades sometidas al EGCAP.</w:t>
      </w:r>
    </w:p>
    <w:p w14:paraId="6DE8399A" w14:textId="77777777" w:rsidR="00B03E39" w:rsidRPr="00B03E39" w:rsidRDefault="00B03E39" w:rsidP="00B03E39">
      <w:pPr>
        <w:tabs>
          <w:tab w:val="left" w:pos="0"/>
        </w:tabs>
        <w:spacing w:after="0" w:line="240" w:lineRule="auto"/>
        <w:jc w:val="both"/>
        <w:rPr>
          <w:rFonts w:ascii="Century Gothic" w:eastAsia="Times New Roman" w:hAnsi="Century Gothic" w:cs="Arial"/>
          <w:kern w:val="2"/>
          <w:sz w:val="20"/>
          <w:szCs w:val="20"/>
          <w:lang w:val="es-ES_tradnl" w:eastAsia="es-ES_tradnl"/>
          <w14:ligatures w14:val="standardContextual"/>
        </w:rPr>
      </w:pPr>
      <w:r w:rsidRPr="00B03E39">
        <w:rPr>
          <w:rFonts w:ascii="Century Gothic" w:eastAsia="Times New Roman" w:hAnsi="Century Gothic" w:cs="Arial"/>
          <w:kern w:val="2"/>
          <w:sz w:val="20"/>
          <w:szCs w:val="20"/>
          <w:lang w:val="es-ES_tradnl" w:eastAsia="es-ES_tradnl"/>
          <w14:ligatures w14:val="standardContextual"/>
        </w:rPr>
        <w:t>[…]</w:t>
      </w:r>
    </w:p>
    <w:p w14:paraId="530A5C91" w14:textId="01561EC3" w:rsidR="006E1B14" w:rsidRDefault="006E1B14" w:rsidP="006E1B14">
      <w:pPr>
        <w:tabs>
          <w:tab w:val="left" w:pos="0"/>
        </w:tabs>
        <w:spacing w:after="0" w:line="240" w:lineRule="auto"/>
        <w:jc w:val="both"/>
        <w:rPr>
          <w:rFonts w:ascii="Century Gothic" w:eastAsia="Calibri" w:hAnsi="Century Gothic" w:cs="Arial"/>
          <w:bCs/>
          <w:kern w:val="2"/>
          <w:sz w:val="20"/>
          <w:szCs w:val="20"/>
          <w:lang w:val="es-ES_tradnl" w:eastAsia="es-ES_tradnl"/>
          <w14:ligatures w14:val="standardContextual"/>
        </w:rPr>
      </w:pPr>
      <w:r w:rsidRPr="006E1B14">
        <w:rPr>
          <w:rFonts w:ascii="Century Gothic" w:eastAsia="Calibri" w:hAnsi="Century Gothic" w:cs="Arial"/>
          <w:bCs/>
          <w:kern w:val="2"/>
          <w:sz w:val="20"/>
          <w:szCs w:val="20"/>
          <w:lang w:val="es-ES_tradnl" w:eastAsia="es-ES_tradnl"/>
          <w14:ligatures w14:val="standardContextual"/>
        </w:rPr>
        <w:t xml:space="preserve">El segundo inciso de la norma bajo estudio usa la expresión “los procedimientos de selección y contratos que realicen en desarrollo de los anteriores negocios jurídicos”. Pudiera entenderse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en un objeto del que se desprende el suministro de un bien, obra o servicio cobijada por un documento tipo.  En ese sentido, la norma parte de la base de que para desarrollar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3558BC83" w14:textId="77777777" w:rsidR="006E1B14" w:rsidRPr="006E1B14" w:rsidRDefault="006E1B14" w:rsidP="006E1B14">
      <w:pPr>
        <w:tabs>
          <w:tab w:val="left" w:pos="0"/>
        </w:tabs>
        <w:spacing w:after="0" w:line="240" w:lineRule="auto"/>
        <w:jc w:val="both"/>
        <w:rPr>
          <w:rFonts w:ascii="Century Gothic" w:eastAsia="Calibri" w:hAnsi="Century Gothic" w:cs="Arial"/>
          <w:bCs/>
          <w:kern w:val="2"/>
          <w:sz w:val="20"/>
          <w:szCs w:val="20"/>
          <w:lang w:val="es-ES_tradnl" w:eastAsia="es-ES_tradnl"/>
          <w14:ligatures w14:val="standardContextual"/>
        </w:rPr>
      </w:pPr>
    </w:p>
    <w:p w14:paraId="7CADB11B" w14:textId="3E5D1E19" w:rsidR="00B03E39" w:rsidRPr="00B03E39" w:rsidRDefault="006E1B14" w:rsidP="006E1B14">
      <w:pPr>
        <w:tabs>
          <w:tab w:val="left" w:pos="0"/>
        </w:tabs>
        <w:spacing w:after="0" w:line="240" w:lineRule="auto"/>
        <w:jc w:val="both"/>
        <w:rPr>
          <w:rFonts w:ascii="Century Gothic" w:eastAsia="Calibri" w:hAnsi="Century Gothic" w:cs="Arial"/>
          <w:kern w:val="2"/>
          <w:sz w:val="20"/>
          <w:szCs w:val="20"/>
          <w:lang w:val="es-ES" w:eastAsia="es-ES"/>
          <w14:ligatures w14:val="standardContextual"/>
        </w:rPr>
      </w:pPr>
      <w:r w:rsidRPr="006E1B14">
        <w:rPr>
          <w:rFonts w:ascii="Century Gothic" w:eastAsia="Calibri" w:hAnsi="Century Gothic" w:cs="Arial"/>
          <w:bCs/>
          <w:kern w:val="2"/>
          <w:sz w:val="20"/>
          <w:szCs w:val="20"/>
          <w:lang w:val="es-ES_tradnl" w:eastAsia="es-ES_tradnl"/>
          <w14:ligatures w14:val="standardContextual"/>
        </w:rPr>
        <w:t xml:space="preserve">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w:t>
      </w:r>
      <w:r w:rsidRPr="006E1B14">
        <w:rPr>
          <w:rFonts w:ascii="Century Gothic" w:eastAsia="Calibri" w:hAnsi="Century Gothic" w:cs="Arial"/>
          <w:bCs/>
          <w:kern w:val="2"/>
          <w:sz w:val="20"/>
          <w:szCs w:val="20"/>
          <w:lang w:val="es-ES_tradnl" w:eastAsia="es-ES_tradnl"/>
          <w14:ligatures w14:val="standardContextual"/>
        </w:rPr>
        <w:lastRenderedPageBreak/>
        <w:t>contratos con entidades exceptuadas o particulares sometidos al derecho privado, haciendo prevalecer el régimen de las entidades no sometidas, con el fin inaplicar los documentos tipo y el EGCAP.</w:t>
      </w:r>
    </w:p>
    <w:p w14:paraId="2E705B5F" w14:textId="77777777" w:rsidR="00B03E39" w:rsidRPr="00B03E39" w:rsidRDefault="00B03E39" w:rsidP="00B03E39">
      <w:pPr>
        <w:tabs>
          <w:tab w:val="left" w:pos="0"/>
        </w:tabs>
        <w:spacing w:after="0" w:line="240" w:lineRule="auto"/>
        <w:jc w:val="both"/>
        <w:rPr>
          <w:rFonts w:ascii="Century Gothic" w:eastAsia="Calibri" w:hAnsi="Century Gothic" w:cs="Arial"/>
          <w:sz w:val="20"/>
          <w:szCs w:val="20"/>
        </w:rPr>
      </w:pPr>
    </w:p>
    <w:p w14:paraId="276E25CD" w14:textId="77777777" w:rsidR="00B03E39" w:rsidRPr="00B03E39" w:rsidRDefault="00B03E39" w:rsidP="00B03E39">
      <w:pPr>
        <w:tabs>
          <w:tab w:val="left" w:pos="0"/>
        </w:tabs>
        <w:spacing w:after="0" w:line="240" w:lineRule="auto"/>
        <w:jc w:val="both"/>
        <w:rPr>
          <w:rFonts w:ascii="Century Gothic" w:eastAsia="Calibri" w:hAnsi="Century Gothic" w:cs="Arial"/>
          <w:b/>
          <w:kern w:val="2"/>
          <w:lang w:val="es-ES_tradnl"/>
          <w14:ligatures w14:val="standardContextual"/>
        </w:rPr>
      </w:pPr>
      <w:r w:rsidRPr="00B03E39">
        <w:rPr>
          <w:rFonts w:ascii="Century Gothic" w:eastAsia="Calibri" w:hAnsi="Century Gothic" w:cs="Arial"/>
          <w:b/>
          <w:kern w:val="2"/>
          <w:lang w:val="es-ES_tradnl"/>
          <w14:ligatures w14:val="standardContextual"/>
        </w:rPr>
        <w:t>LEY 2195 DE 2022 – Artículo 56 – Parágrafo – Excepciones – Giro ordinario</w:t>
      </w:r>
    </w:p>
    <w:p w14:paraId="47ACFE97" w14:textId="77777777" w:rsidR="00B03E39" w:rsidRPr="00B03E39" w:rsidRDefault="00B03E39" w:rsidP="00B03E39">
      <w:pPr>
        <w:tabs>
          <w:tab w:val="left" w:pos="0"/>
        </w:tabs>
        <w:spacing w:after="0" w:line="240" w:lineRule="auto"/>
        <w:jc w:val="both"/>
        <w:rPr>
          <w:rFonts w:ascii="Century Gothic" w:eastAsia="Calibri" w:hAnsi="Century Gothic" w:cs="Arial"/>
          <w:bCs/>
          <w:kern w:val="2"/>
          <w:sz w:val="20"/>
          <w:szCs w:val="20"/>
          <w:lang w:val="es-ES_tradnl"/>
          <w14:ligatures w14:val="standardContextual"/>
        </w:rPr>
      </w:pPr>
    </w:p>
    <w:p w14:paraId="6880E89C" w14:textId="13483571" w:rsidR="006E1B14" w:rsidRDefault="006E1B14" w:rsidP="006E1B14">
      <w:pPr>
        <w:spacing w:after="0" w:line="240" w:lineRule="auto"/>
        <w:jc w:val="both"/>
        <w:rPr>
          <w:rFonts w:ascii="Century Gothic" w:eastAsia="Calibri" w:hAnsi="Century Gothic" w:cs="Arial"/>
          <w:kern w:val="2"/>
          <w:sz w:val="20"/>
          <w:szCs w:val="20"/>
          <w:lang w:val="es-ES"/>
          <w14:ligatures w14:val="standardContextual"/>
        </w:rPr>
      </w:pPr>
      <w:r w:rsidRPr="006E1B14">
        <w:rPr>
          <w:rFonts w:ascii="Century Gothic" w:eastAsia="Calibri" w:hAnsi="Century Gothic" w:cs="Arial"/>
          <w:kern w:val="2"/>
          <w:sz w:val="20"/>
          <w:szCs w:val="20"/>
          <w:lang w:val="es-ES"/>
          <w14:ligatures w14:val="standardContextual"/>
        </w:rPr>
        <w:t xml:space="preserve">Para responder la consulta, 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giro ordinario.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giro ordinario. Esto significa que, en la contratación asociada a su giro ordinario, 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573115D2" w14:textId="77777777" w:rsidR="006E1B14" w:rsidRPr="006E1B14" w:rsidRDefault="006E1B14" w:rsidP="006E1B14">
      <w:pPr>
        <w:spacing w:after="0" w:line="240" w:lineRule="auto"/>
        <w:jc w:val="both"/>
        <w:rPr>
          <w:rFonts w:ascii="Century Gothic" w:eastAsia="Calibri" w:hAnsi="Century Gothic" w:cs="Arial"/>
          <w:kern w:val="2"/>
          <w:sz w:val="20"/>
          <w:szCs w:val="20"/>
          <w:lang w:val="es-ES"/>
          <w14:ligatures w14:val="standardContextual"/>
        </w:rPr>
      </w:pPr>
    </w:p>
    <w:p w14:paraId="124D0F64" w14:textId="57FD28A6" w:rsidR="00B03E39" w:rsidRPr="006E1B14" w:rsidRDefault="006E1B14" w:rsidP="006E1B14">
      <w:pPr>
        <w:spacing w:after="0" w:line="240" w:lineRule="auto"/>
        <w:jc w:val="both"/>
        <w:rPr>
          <w:rFonts w:ascii="Century Gothic" w:eastAsia="Calibri" w:hAnsi="Century Gothic" w:cs="Arial"/>
          <w:kern w:val="2"/>
          <w:sz w:val="20"/>
          <w:szCs w:val="20"/>
          <w:lang w:val="es-ES"/>
          <w14:ligatures w14:val="standardContextual"/>
        </w:rPr>
      </w:pPr>
      <w:r w:rsidRPr="006E1B14">
        <w:rPr>
          <w:rFonts w:ascii="Century Gothic" w:eastAsia="Calibri" w:hAnsi="Century Gothic" w:cs="Arial"/>
          <w:kern w:val="2"/>
          <w:sz w:val="20"/>
          <w:szCs w:val="20"/>
          <w:lang w:val="es-ES"/>
          <w14:ligatures w14:val="standardContextual"/>
        </w:rPr>
        <w:t>Ahora, es importante tener en cuenta que cuando la norma se refiere a la contratación del giro ordinario, emplea un concepto jurídico indeterminado. 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w:t>
      </w:r>
    </w:p>
    <w:p w14:paraId="315432C4" w14:textId="77777777" w:rsidR="00B03E39" w:rsidRPr="00B03E39" w:rsidRDefault="00B03E39" w:rsidP="00B03E39">
      <w:pPr>
        <w:spacing w:after="0" w:line="240" w:lineRule="auto"/>
        <w:contextualSpacing/>
        <w:jc w:val="both"/>
        <w:rPr>
          <w:rFonts w:ascii="Century Gothic" w:eastAsia="Aptos" w:hAnsi="Century Gothic" w:cs="Arial"/>
          <w:kern w:val="2"/>
          <w:sz w:val="20"/>
          <w:szCs w:val="20"/>
          <w:lang w:val="es-ES"/>
          <w14:ligatures w14:val="standardContextual"/>
        </w:rPr>
      </w:pPr>
    </w:p>
    <w:p w14:paraId="062C4EF7" w14:textId="77777777" w:rsidR="00B03E39" w:rsidRPr="00B03E39" w:rsidRDefault="00B03E39" w:rsidP="00B03E39">
      <w:pPr>
        <w:spacing w:after="0" w:line="240" w:lineRule="auto"/>
        <w:rPr>
          <w:rFonts w:ascii="Century Gothic" w:eastAsia="Calibri" w:hAnsi="Century Gothic" w:cs="Arial"/>
          <w:sz w:val="20"/>
          <w:szCs w:val="20"/>
        </w:rPr>
      </w:pPr>
    </w:p>
    <w:p w14:paraId="6CDE1153" w14:textId="77777777" w:rsidR="00B03E39" w:rsidRPr="00B03E39" w:rsidRDefault="00B03E39" w:rsidP="00B03E39">
      <w:pPr>
        <w:spacing w:after="0"/>
        <w:rPr>
          <w:rFonts w:ascii="Century Gothic" w:eastAsia="Calibri" w:hAnsi="Century Gothic" w:cs="Arial"/>
        </w:rPr>
      </w:pPr>
    </w:p>
    <w:p w14:paraId="1E4B94D1" w14:textId="77777777" w:rsidR="00B03E39" w:rsidRPr="00B03E39" w:rsidRDefault="00B03E39" w:rsidP="00B03E39">
      <w:pPr>
        <w:spacing w:after="0"/>
        <w:rPr>
          <w:rFonts w:ascii="Century Gothic" w:eastAsia="Calibri" w:hAnsi="Century Gothic" w:cs="Arial"/>
        </w:rPr>
      </w:pPr>
    </w:p>
    <w:p w14:paraId="5498CC8C" w14:textId="77777777" w:rsidR="00B03E39" w:rsidRPr="00B03E39" w:rsidRDefault="00B03E39" w:rsidP="00B03E39">
      <w:pPr>
        <w:spacing w:after="0"/>
        <w:rPr>
          <w:rFonts w:ascii="Century Gothic" w:eastAsia="Calibri" w:hAnsi="Century Gothic" w:cs="Arial"/>
        </w:rPr>
      </w:pPr>
    </w:p>
    <w:p w14:paraId="04EC00A9" w14:textId="77777777" w:rsidR="00B03E39" w:rsidRPr="00B03E39" w:rsidRDefault="00B03E39" w:rsidP="00B03E39">
      <w:pPr>
        <w:spacing w:after="0"/>
        <w:rPr>
          <w:rFonts w:ascii="Century Gothic" w:eastAsia="Calibri" w:hAnsi="Century Gothic" w:cs="Arial"/>
        </w:rPr>
      </w:pPr>
    </w:p>
    <w:p w14:paraId="6CE21926" w14:textId="77777777" w:rsidR="00B03E39" w:rsidRPr="00B03E39" w:rsidRDefault="00B03E39" w:rsidP="00B03E39">
      <w:pPr>
        <w:rPr>
          <w:rFonts w:ascii="Century Gothic" w:eastAsia="Calibri" w:hAnsi="Century Gothic" w:cs="Times New Roman"/>
        </w:rPr>
      </w:pPr>
    </w:p>
    <w:p w14:paraId="38EBCB21" w14:textId="77777777" w:rsidR="00B03E39" w:rsidRPr="00B03E39" w:rsidRDefault="00B03E39" w:rsidP="00B03E39">
      <w:pPr>
        <w:rPr>
          <w:rFonts w:ascii="Century Gothic" w:eastAsia="Calibri" w:hAnsi="Century Gothic" w:cs="Times New Roman"/>
        </w:rPr>
      </w:pPr>
    </w:p>
    <w:p w14:paraId="48DC826F" w14:textId="77777777" w:rsidR="00B03E39" w:rsidRPr="00B03E39" w:rsidRDefault="00B03E39" w:rsidP="00B03E39">
      <w:pPr>
        <w:rPr>
          <w:rFonts w:ascii="Century Gothic" w:eastAsia="Calibri" w:hAnsi="Century Gothic" w:cs="Times New Roman"/>
        </w:rPr>
      </w:pPr>
    </w:p>
    <w:p w14:paraId="4E84C72C" w14:textId="77777777" w:rsidR="00B03E39" w:rsidRPr="00B03E39" w:rsidRDefault="00B03E39" w:rsidP="00B03E39">
      <w:pPr>
        <w:rPr>
          <w:rFonts w:ascii="Century Gothic" w:eastAsia="Calibri" w:hAnsi="Century Gothic" w:cs="Times New Roman"/>
        </w:rPr>
      </w:pPr>
    </w:p>
    <w:p w14:paraId="56D9BD92" w14:textId="77777777" w:rsidR="00B03E39" w:rsidRPr="00B03E39" w:rsidRDefault="00B03E39" w:rsidP="00B03E39">
      <w:pPr>
        <w:rPr>
          <w:rFonts w:ascii="Century Gothic" w:eastAsia="Calibri" w:hAnsi="Century Gothic" w:cs="Times New Roman"/>
        </w:rPr>
      </w:pPr>
    </w:p>
    <w:p w14:paraId="0351EE24" w14:textId="77777777" w:rsidR="00845EE5" w:rsidRDefault="00845EE5" w:rsidP="00B03E39">
      <w:pPr>
        <w:spacing w:after="0"/>
        <w:rPr>
          <w:rFonts w:ascii="Century Gothic" w:eastAsia="Calibri" w:hAnsi="Century Gothic" w:cs="Times New Roman"/>
        </w:rPr>
      </w:pPr>
    </w:p>
    <w:p w14:paraId="76888C9C" w14:textId="1DFD88A0" w:rsidR="00B03E39" w:rsidRPr="00B03E39" w:rsidRDefault="00B03E39" w:rsidP="00B03E39">
      <w:pPr>
        <w:spacing w:after="0"/>
        <w:rPr>
          <w:rFonts w:ascii="Century Gothic" w:eastAsia="Calibri" w:hAnsi="Century Gothic" w:cs="Arial"/>
        </w:rPr>
      </w:pPr>
      <w:r w:rsidRPr="687B05C8">
        <w:rPr>
          <w:rFonts w:ascii="Century Gothic" w:hAnsi="Century Gothic"/>
        </w:rPr>
        <w:lastRenderedPageBreak/>
        <w:t>Bogotá D.C.</w:t>
      </w:r>
    </w:p>
    <w:p w14:paraId="6F872D5D" w14:textId="5E7DAF32" w:rsidR="00B03E39" w:rsidRDefault="0067533C" w:rsidP="0067533C">
      <w:pPr>
        <w:spacing w:after="0"/>
        <w:jc w:val="right"/>
        <w:rPr>
          <w:rFonts w:ascii="Century Gothic" w:eastAsia="Calibri" w:hAnsi="Century Gothic" w:cs="Arial"/>
        </w:rPr>
      </w:pPr>
      <w:bookmarkStart w:id="1" w:name="_Hlk94281581"/>
      <w:bookmarkStart w:id="2" w:name="_Hlk102489058"/>
      <w:bookmarkStart w:id="3" w:name="_Hlk34951122"/>
      <w:r>
        <w:rPr>
          <w:rFonts w:ascii="Century Gothic" w:eastAsia="Calibri" w:hAnsi="Century Gothic" w:cs="Arial"/>
          <w:noProof/>
        </w:rPr>
        <w:drawing>
          <wp:inline distT="0" distB="0" distL="0" distR="0" wp14:anchorId="16B6FC2A" wp14:editId="0BA2F1EE">
            <wp:extent cx="3042092" cy="879137"/>
            <wp:effectExtent l="0" t="0" r="6350" b="0"/>
            <wp:docPr id="2013410164"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10164" name="Imagen 1" descr="Interfaz de usuario gráfica, Texto, Aplicación, Chat o mensaje de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067624" cy="886515"/>
                    </a:xfrm>
                    <a:prstGeom prst="rect">
                      <a:avLst/>
                    </a:prstGeom>
                  </pic:spPr>
                </pic:pic>
              </a:graphicData>
            </a:graphic>
          </wp:inline>
        </w:drawing>
      </w:r>
    </w:p>
    <w:p w14:paraId="2FE429D2" w14:textId="77777777" w:rsidR="00B03E39" w:rsidRPr="00B03E39" w:rsidRDefault="00B03E39" w:rsidP="00B03E39">
      <w:pPr>
        <w:spacing w:after="0"/>
        <w:rPr>
          <w:rFonts w:ascii="Century Gothic" w:eastAsia="Calibri" w:hAnsi="Century Gothic" w:cs="Arial"/>
        </w:rPr>
      </w:pPr>
      <w:r w:rsidRPr="00B03E39">
        <w:rPr>
          <w:rFonts w:ascii="Century Gothic" w:eastAsia="Calibri" w:hAnsi="Century Gothic" w:cs="Arial"/>
        </w:rPr>
        <w:t>Señora</w:t>
      </w:r>
    </w:p>
    <w:p w14:paraId="5F251974" w14:textId="77777777" w:rsidR="00B03E39" w:rsidRPr="00B03E39" w:rsidRDefault="00B03E39" w:rsidP="00B03E39">
      <w:pPr>
        <w:spacing w:after="0"/>
        <w:rPr>
          <w:rFonts w:ascii="Century Gothic" w:eastAsia="Calibri" w:hAnsi="Century Gothic" w:cs="Arial"/>
          <w:b/>
          <w:bCs/>
        </w:rPr>
      </w:pPr>
      <w:r w:rsidRPr="00B03E39">
        <w:rPr>
          <w:rFonts w:ascii="Century Gothic" w:eastAsia="Calibri" w:hAnsi="Century Gothic" w:cs="Arial"/>
          <w:b/>
          <w:bCs/>
        </w:rPr>
        <w:t>Nicolle Daniela Rueda Fernández</w:t>
      </w:r>
    </w:p>
    <w:p w14:paraId="2D4E71E0" w14:textId="77777777" w:rsidR="00B03E39" w:rsidRPr="00B03E39" w:rsidRDefault="00B03E39" w:rsidP="00B03E39">
      <w:pPr>
        <w:spacing w:after="0"/>
        <w:rPr>
          <w:rFonts w:ascii="Century Gothic" w:eastAsia="Calibri" w:hAnsi="Century Gothic" w:cs="Arial"/>
        </w:rPr>
      </w:pPr>
      <w:r w:rsidRPr="00B03E39">
        <w:rPr>
          <w:rFonts w:ascii="Century Gothic" w:eastAsia="Calibri" w:hAnsi="Century Gothic" w:cs="Arial"/>
        </w:rPr>
        <w:t>Bucaramanga, Santander</w:t>
      </w:r>
    </w:p>
    <w:p w14:paraId="35736615" w14:textId="77777777" w:rsidR="00B03E39" w:rsidRPr="00B03E39" w:rsidRDefault="00B03E39" w:rsidP="00B03E39">
      <w:pPr>
        <w:spacing w:after="0"/>
        <w:rPr>
          <w:rFonts w:ascii="Century Gothic" w:eastAsia="Calibri" w:hAnsi="Century Gothic" w:cs="Arial"/>
        </w:rPr>
      </w:pPr>
    </w:p>
    <w:p w14:paraId="272006F3" w14:textId="77777777" w:rsidR="00B03E39" w:rsidRPr="00B03E39" w:rsidRDefault="00B03E39" w:rsidP="00B03E39">
      <w:pPr>
        <w:shd w:val="clear" w:color="auto" w:fill="FFFFFF"/>
        <w:ind w:left="2124" w:firstLine="570"/>
        <w:contextualSpacing/>
        <w:rPr>
          <w:rFonts w:ascii="Century Gothic" w:eastAsia="Calibri" w:hAnsi="Century Gothic" w:cs="Arial"/>
          <w:b/>
          <w:bCs/>
          <w:lang w:val="es-ES_tradnl" w:eastAsia="es-ES_tradnl"/>
        </w:rPr>
      </w:pPr>
      <w:r w:rsidRPr="00B03E39">
        <w:rPr>
          <w:rFonts w:ascii="Century Gothic" w:eastAsia="Calibri" w:hAnsi="Century Gothic" w:cs="Arial"/>
          <w:b/>
          <w:bCs/>
          <w:lang w:val="es-ES_tradnl" w:eastAsia="es-ES_tradnl"/>
        </w:rPr>
        <w:t>Concepto C – 079 de 2024</w:t>
      </w:r>
    </w:p>
    <w:p w14:paraId="12B77185" w14:textId="77777777" w:rsidR="00B03E39" w:rsidRPr="00B03E39" w:rsidRDefault="00B03E39" w:rsidP="00B03E39">
      <w:pPr>
        <w:shd w:val="clear" w:color="auto" w:fill="FFFFFF"/>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03E39" w:rsidRPr="00B03E39" w14:paraId="24BBD03D" w14:textId="77777777" w:rsidTr="00ED0B26">
        <w:tc>
          <w:tcPr>
            <w:tcW w:w="2689" w:type="dxa"/>
          </w:tcPr>
          <w:p w14:paraId="228ABB9B" w14:textId="77777777" w:rsidR="00B03E39" w:rsidRPr="00B03E39" w:rsidRDefault="00B03E39" w:rsidP="00B03E39">
            <w:pPr>
              <w:shd w:val="clear" w:color="auto" w:fill="FFFFFF"/>
              <w:contextualSpacing/>
              <w:jc w:val="both"/>
              <w:rPr>
                <w:rFonts w:ascii="Century Gothic" w:eastAsia="Calibri" w:hAnsi="Century Gothic" w:cs="Arial"/>
                <w:lang w:val="es-ES_tradnl" w:eastAsia="es-ES_tradnl"/>
              </w:rPr>
            </w:pPr>
            <w:r w:rsidRPr="00B03E39">
              <w:rPr>
                <w:rFonts w:ascii="Century Gothic" w:eastAsia="Calibri" w:hAnsi="Century Gothic" w:cs="Arial"/>
                <w:b/>
                <w:lang w:val="es-ES_tradnl" w:eastAsia="es-ES_tradnl"/>
              </w:rPr>
              <w:t>Temas:</w:t>
            </w:r>
            <w:r w:rsidRPr="00B03E39">
              <w:rPr>
                <w:rFonts w:ascii="Century Gothic" w:eastAsia="Calibri" w:hAnsi="Century Gothic" w:cs="Arial"/>
                <w:lang w:val="es-ES_tradnl" w:eastAsia="es-ES_tradnl"/>
              </w:rPr>
              <w:t xml:space="preserve">                                      </w:t>
            </w:r>
          </w:p>
        </w:tc>
        <w:tc>
          <w:tcPr>
            <w:tcW w:w="6237" w:type="dxa"/>
          </w:tcPr>
          <w:p w14:paraId="3F4BFD4E" w14:textId="77777777" w:rsidR="00B03E39" w:rsidRPr="00B03E39" w:rsidRDefault="00B03E39" w:rsidP="00B03E39">
            <w:pPr>
              <w:shd w:val="clear" w:color="auto" w:fill="FFFFFF"/>
              <w:spacing w:after="120"/>
              <w:contextualSpacing/>
              <w:jc w:val="both"/>
              <w:rPr>
                <w:rFonts w:ascii="Century Gothic" w:eastAsia="Calibri" w:hAnsi="Century Gothic" w:cs="Arial"/>
                <w:bCs/>
                <w:lang w:val="es-MX" w:eastAsia="es-ES_tradnl"/>
              </w:rPr>
            </w:pPr>
            <w:r w:rsidRPr="00B03E39">
              <w:rPr>
                <w:rFonts w:ascii="Century Gothic" w:eastAsia="Calibri" w:hAnsi="Century Gothic" w:cs="Arial"/>
                <w:bCs/>
                <w:lang w:val="es-MX" w:eastAsia="es-ES_tradnl"/>
              </w:rPr>
              <w:t>DOCUMENTOS TIPO – Fundamento normativo – Ley 2022 de 2020 / LEY 2195 DE 2022 – Artículo 56 – Ámbito de aplicación / LEY 2195 DE 2022 – Artículo 56 – Finalidad / LEY 2195 DE 2022 – Artículo 56 – Incisos 1 y 2 – Interpretación conjunta – Aplicación de documentos tipo / LEY 2195 DE 2022 – Artículo 56 – Parágrafo – Excepciones – Giro ordinario</w:t>
            </w:r>
          </w:p>
          <w:p w14:paraId="61416490" w14:textId="77777777" w:rsidR="00B03E39" w:rsidRPr="00B03E39" w:rsidRDefault="00B03E39" w:rsidP="00B03E39">
            <w:pPr>
              <w:shd w:val="clear" w:color="auto" w:fill="FFFFFF"/>
              <w:spacing w:after="120"/>
              <w:contextualSpacing/>
              <w:jc w:val="both"/>
              <w:rPr>
                <w:rFonts w:ascii="Century Gothic" w:eastAsia="Calibri" w:hAnsi="Century Gothic" w:cs="Arial"/>
                <w:bCs/>
                <w:sz w:val="12"/>
                <w:szCs w:val="12"/>
                <w:lang w:val="es-ES_tradnl" w:eastAsia="es-ES_tradnl"/>
              </w:rPr>
            </w:pPr>
          </w:p>
        </w:tc>
      </w:tr>
      <w:tr w:rsidR="00B03E39" w:rsidRPr="00B03E39" w14:paraId="03B6647C" w14:textId="77777777" w:rsidTr="00ED0B26">
        <w:trPr>
          <w:trHeight w:val="309"/>
        </w:trPr>
        <w:tc>
          <w:tcPr>
            <w:tcW w:w="2689" w:type="dxa"/>
          </w:tcPr>
          <w:p w14:paraId="54308B87" w14:textId="77777777" w:rsidR="00B03E39" w:rsidRPr="00B03E39" w:rsidRDefault="00B03E39" w:rsidP="00B03E39">
            <w:pPr>
              <w:shd w:val="clear" w:color="auto" w:fill="FFFFFF"/>
              <w:contextualSpacing/>
              <w:jc w:val="both"/>
              <w:rPr>
                <w:rFonts w:ascii="Century Gothic" w:eastAsia="Calibri" w:hAnsi="Century Gothic" w:cs="Arial"/>
                <w:b/>
                <w:lang w:val="es-ES_tradnl" w:eastAsia="es-ES_tradnl"/>
              </w:rPr>
            </w:pPr>
            <w:r w:rsidRPr="00B03E39">
              <w:rPr>
                <w:rFonts w:ascii="Century Gothic" w:eastAsia="Calibri" w:hAnsi="Century Gothic" w:cs="Arial"/>
                <w:b/>
                <w:lang w:val="es-ES_tradnl" w:eastAsia="es-ES_tradnl"/>
              </w:rPr>
              <w:t>Radicación:</w:t>
            </w:r>
            <w:r w:rsidRPr="00B03E39">
              <w:rPr>
                <w:rFonts w:ascii="Century Gothic" w:eastAsia="Calibri" w:hAnsi="Century Gothic" w:cs="Arial"/>
                <w:lang w:val="es-ES_tradnl" w:eastAsia="es-ES_tradnl"/>
              </w:rPr>
              <w:t xml:space="preserve">                             </w:t>
            </w:r>
          </w:p>
        </w:tc>
        <w:tc>
          <w:tcPr>
            <w:tcW w:w="6237" w:type="dxa"/>
          </w:tcPr>
          <w:p w14:paraId="65658BF0" w14:textId="77777777" w:rsidR="00B03E39" w:rsidRPr="00B03E39" w:rsidRDefault="00B03E39" w:rsidP="00B03E39">
            <w:pPr>
              <w:shd w:val="clear" w:color="auto" w:fill="FFFFFF"/>
              <w:contextualSpacing/>
              <w:jc w:val="both"/>
              <w:rPr>
                <w:rFonts w:ascii="Century Gothic" w:eastAsia="Calibri" w:hAnsi="Century Gothic" w:cs="Arial"/>
                <w:lang w:val="es-ES_tradnl" w:eastAsia="es-ES_tradnl"/>
              </w:rPr>
            </w:pPr>
            <w:r w:rsidRPr="00B03E39">
              <w:rPr>
                <w:rFonts w:ascii="Century Gothic" w:eastAsia="Calibri" w:hAnsi="Century Gothic" w:cs="Arial"/>
                <w:lang w:val="es-ES_tradnl" w:eastAsia="es-ES_tradnl"/>
              </w:rPr>
              <w:t>Respuesta a consulta P20240422004154</w:t>
            </w:r>
          </w:p>
        </w:tc>
      </w:tr>
    </w:tbl>
    <w:p w14:paraId="0739AAEA" w14:textId="77777777" w:rsidR="00B03E39" w:rsidRPr="00B03E39" w:rsidRDefault="00B03E39" w:rsidP="00B03E39">
      <w:pPr>
        <w:shd w:val="clear" w:color="auto" w:fill="FFFFFF"/>
        <w:contextualSpacing/>
        <w:jc w:val="both"/>
        <w:rPr>
          <w:rFonts w:ascii="Century Gothic" w:eastAsia="Calibri" w:hAnsi="Century Gothic" w:cs="Arial"/>
          <w:lang w:val="es-ES_tradnl" w:eastAsia="es-ES_tradnl"/>
        </w:rPr>
      </w:pPr>
    </w:p>
    <w:p w14:paraId="4A5E7985" w14:textId="77777777" w:rsidR="00B03E39" w:rsidRPr="00B03E39" w:rsidRDefault="00B03E39" w:rsidP="00B03E39">
      <w:pPr>
        <w:shd w:val="clear" w:color="auto" w:fill="FFFFFF"/>
        <w:contextualSpacing/>
        <w:jc w:val="both"/>
        <w:rPr>
          <w:rFonts w:ascii="Century Gothic" w:eastAsia="Calibri" w:hAnsi="Century Gothic" w:cs="Arial"/>
          <w:lang w:val="es-ES" w:eastAsia="es-ES"/>
        </w:rPr>
      </w:pPr>
      <w:r w:rsidRPr="00B03E39">
        <w:rPr>
          <w:rFonts w:ascii="Century Gothic" w:eastAsia="Calibri" w:hAnsi="Century Gothic" w:cs="Arial"/>
          <w:lang w:val="es-ES" w:eastAsia="es-ES"/>
        </w:rPr>
        <w:t xml:space="preserve">Respetada señora Rueda Fernández: </w:t>
      </w:r>
    </w:p>
    <w:p w14:paraId="2568CB18" w14:textId="77777777" w:rsidR="00B03E39" w:rsidRPr="00B03E39" w:rsidRDefault="00B03E39" w:rsidP="00B03E39">
      <w:pPr>
        <w:shd w:val="clear" w:color="auto" w:fill="FFFFFF"/>
        <w:spacing w:line="276" w:lineRule="auto"/>
        <w:contextualSpacing/>
        <w:jc w:val="both"/>
        <w:rPr>
          <w:rFonts w:ascii="Century Gothic" w:eastAsia="Calibri" w:hAnsi="Century Gothic" w:cs="Arial"/>
          <w:szCs w:val="24"/>
          <w:lang w:val="es-ES_tradnl" w:eastAsia="es-ES_tradnl"/>
        </w:rPr>
      </w:pPr>
    </w:p>
    <w:bookmarkEnd w:id="1"/>
    <w:bookmarkEnd w:id="2"/>
    <w:p w14:paraId="40442126" w14:textId="77777777" w:rsidR="00B03E39" w:rsidRPr="00B03E39" w:rsidRDefault="00B03E39" w:rsidP="00B03E39">
      <w:pPr>
        <w:shd w:val="clear" w:color="auto" w:fill="FFFFFF"/>
        <w:spacing w:after="0" w:line="276" w:lineRule="auto"/>
        <w:jc w:val="both"/>
        <w:rPr>
          <w:rFonts w:ascii="Century Gothic" w:eastAsia="Calibri" w:hAnsi="Century Gothic" w:cs="Arial"/>
          <w:color w:val="000000"/>
          <w:lang w:val="es-ES_tradnl"/>
        </w:rPr>
      </w:pPr>
      <w:r w:rsidRPr="00B03E39">
        <w:rPr>
          <w:rFonts w:ascii="Century Gothic" w:eastAsia="Calibri" w:hAnsi="Century Gothic" w:cs="Arial"/>
          <w:color w:val="000000"/>
          <w:lang w:val="es-ES_tradnl"/>
        </w:rPr>
        <w:t>En ejercicio de la competencia otorgada por el numeral 8 del artículo 11 y el numeral 5 del artículo 3 del Decreto Ley 4170 de 2011</w:t>
      </w:r>
      <w:bookmarkStart w:id="4" w:name="_Hlk99120496"/>
      <w:r w:rsidRPr="00B03E39">
        <w:rPr>
          <w:rFonts w:ascii="Century Gothic" w:eastAsia="Arial MT" w:hAnsi="Century Gothic" w:cs="Arial"/>
          <w:lang w:val="es-ES"/>
        </w:rPr>
        <w:t xml:space="preserve">, </w:t>
      </w:r>
      <w:bookmarkEnd w:id="4"/>
      <w:r w:rsidRPr="00B03E39">
        <w:rPr>
          <w:rFonts w:ascii="Century Gothic" w:eastAsia="Calibri" w:hAnsi="Century Gothic" w:cs="Arial"/>
          <w:color w:val="000000"/>
          <w:lang w:val="es-ES_tradnl"/>
        </w:rPr>
        <w:t>la Agencia Nacional de Contratación Pública –Colombia Compra Eficiente– responde la consulta radicada el 21 de abril de 2024.</w:t>
      </w:r>
    </w:p>
    <w:p w14:paraId="10B888F2" w14:textId="77777777" w:rsidR="00B03E39" w:rsidRPr="00B03E39" w:rsidRDefault="00B03E39" w:rsidP="00B03E39">
      <w:pPr>
        <w:shd w:val="clear" w:color="auto" w:fill="FFFFFF"/>
        <w:spacing w:after="0" w:line="276" w:lineRule="auto"/>
        <w:jc w:val="both"/>
        <w:rPr>
          <w:rFonts w:ascii="Century Gothic" w:eastAsia="Calibri" w:hAnsi="Century Gothic" w:cs="Arial"/>
          <w:b/>
          <w:color w:val="000000"/>
          <w:lang w:val="es-ES_tradnl"/>
        </w:rPr>
      </w:pPr>
    </w:p>
    <w:p w14:paraId="126A7319" w14:textId="77777777" w:rsidR="00B03E39" w:rsidRPr="00B03E39" w:rsidRDefault="00B03E39" w:rsidP="00B03E39">
      <w:pPr>
        <w:numPr>
          <w:ilvl w:val="0"/>
          <w:numId w:val="6"/>
        </w:numPr>
        <w:shd w:val="clear" w:color="auto" w:fill="FFFFFF"/>
        <w:tabs>
          <w:tab w:val="left" w:pos="0"/>
          <w:tab w:val="left" w:pos="142"/>
          <w:tab w:val="left" w:pos="284"/>
        </w:tabs>
        <w:spacing w:after="0" w:line="276" w:lineRule="auto"/>
        <w:ind w:left="357" w:hanging="357"/>
        <w:contextualSpacing/>
        <w:rPr>
          <w:rFonts w:ascii="Century Gothic" w:eastAsia="Calibri" w:hAnsi="Century Gothic" w:cs="Arial"/>
          <w:b/>
          <w:color w:val="000000"/>
          <w:lang w:val="es-ES_tradnl"/>
        </w:rPr>
      </w:pPr>
      <w:r w:rsidRPr="00B03E39">
        <w:rPr>
          <w:rFonts w:ascii="Century Gothic" w:eastAsia="Calibri" w:hAnsi="Century Gothic" w:cs="Arial"/>
          <w:b/>
          <w:color w:val="000000"/>
          <w:lang w:val="es-ES_tradnl"/>
        </w:rPr>
        <w:t xml:space="preserve">Problema planteado </w:t>
      </w:r>
    </w:p>
    <w:p w14:paraId="18CE4EFD" w14:textId="77777777" w:rsidR="00B03E39" w:rsidRPr="00B03E39" w:rsidRDefault="00B03E39" w:rsidP="00B03E39">
      <w:pPr>
        <w:shd w:val="clear" w:color="auto" w:fill="FFFFFF"/>
        <w:tabs>
          <w:tab w:val="left" w:pos="426"/>
        </w:tabs>
        <w:spacing w:after="0" w:line="276" w:lineRule="auto"/>
        <w:jc w:val="both"/>
        <w:rPr>
          <w:rFonts w:ascii="Century Gothic" w:eastAsia="Calibri" w:hAnsi="Century Gothic" w:cs="Arial"/>
          <w:b/>
          <w:color w:val="000000"/>
          <w:lang w:val="es-ES_tradnl"/>
        </w:rPr>
      </w:pPr>
    </w:p>
    <w:p w14:paraId="3DB90FA2" w14:textId="77777777" w:rsidR="00B03E39" w:rsidRPr="00B03E39" w:rsidRDefault="00B03E39" w:rsidP="00B03E39">
      <w:pPr>
        <w:shd w:val="clear" w:color="auto" w:fill="FFFFFF"/>
        <w:spacing w:after="0" w:line="276" w:lineRule="auto"/>
        <w:jc w:val="both"/>
        <w:rPr>
          <w:rFonts w:ascii="Century Gothic" w:eastAsia="Calibri" w:hAnsi="Century Gothic" w:cs="Arial"/>
          <w:color w:val="000000"/>
        </w:rPr>
      </w:pPr>
      <w:r w:rsidRPr="00B03E39">
        <w:rPr>
          <w:rFonts w:ascii="Century Gothic" w:eastAsia="Calibri" w:hAnsi="Century Gothic" w:cs="Arial"/>
          <w:color w:val="000000"/>
          <w:lang w:val="es-ES_tradnl"/>
        </w:rPr>
        <w:t>En relación con el artículo 56 de la Ley 2195 de 2022, usted realiza las siguientes preguntas:</w:t>
      </w:r>
    </w:p>
    <w:p w14:paraId="7F999DE1" w14:textId="77777777" w:rsidR="00B03E39" w:rsidRPr="00B03E39" w:rsidRDefault="00B03E39" w:rsidP="00B03E39">
      <w:pPr>
        <w:shd w:val="clear" w:color="auto" w:fill="FFFFFF"/>
        <w:spacing w:after="0" w:line="276" w:lineRule="auto"/>
        <w:jc w:val="both"/>
        <w:rPr>
          <w:rFonts w:ascii="Century Gothic" w:eastAsia="Calibri" w:hAnsi="Century Gothic" w:cs="Arial"/>
          <w:color w:val="000000"/>
        </w:rPr>
      </w:pPr>
    </w:p>
    <w:p w14:paraId="434AAD62" w14:textId="77777777" w:rsidR="00B03E39" w:rsidRPr="00B03E39" w:rsidRDefault="00B03E39" w:rsidP="00B03E39">
      <w:pPr>
        <w:shd w:val="clear" w:color="auto" w:fill="FFFFFF"/>
        <w:spacing w:after="0" w:line="240" w:lineRule="auto"/>
        <w:ind w:left="709" w:right="709"/>
        <w:jc w:val="both"/>
        <w:rPr>
          <w:rFonts w:ascii="Century Gothic" w:eastAsia="Calibri" w:hAnsi="Century Gothic" w:cs="Arial"/>
          <w:color w:val="000000"/>
          <w:sz w:val="21"/>
          <w:szCs w:val="21"/>
          <w:lang w:val="es-ES_tradnl"/>
        </w:rPr>
      </w:pPr>
      <w:r w:rsidRPr="00B03E39">
        <w:rPr>
          <w:rFonts w:ascii="Century Gothic" w:eastAsia="Calibri" w:hAnsi="Century Gothic" w:cs="Arial"/>
          <w:color w:val="000000"/>
          <w:sz w:val="21"/>
          <w:szCs w:val="21"/>
          <w:lang w:val="es-ES_tradnl"/>
        </w:rPr>
        <w:t>“a) Dice en el inciso primero, que si las entidades estatales sin importar su régimen contractual, si suscriben contratos o convenios interadministrativos ¿deben aplicar pliegos tipo?</w:t>
      </w:r>
    </w:p>
    <w:p w14:paraId="22EA7121" w14:textId="77777777" w:rsidR="00B03E39" w:rsidRPr="00B03E39" w:rsidRDefault="00B03E39" w:rsidP="00B03E39">
      <w:pPr>
        <w:shd w:val="clear" w:color="auto" w:fill="FFFFFF"/>
        <w:spacing w:after="0" w:line="240" w:lineRule="auto"/>
        <w:ind w:left="709" w:right="709"/>
        <w:jc w:val="both"/>
        <w:rPr>
          <w:rFonts w:ascii="Century Gothic" w:eastAsia="Calibri" w:hAnsi="Century Gothic" w:cs="Arial"/>
          <w:color w:val="000000"/>
          <w:sz w:val="21"/>
          <w:szCs w:val="21"/>
          <w:lang w:val="es-ES_tradnl"/>
        </w:rPr>
      </w:pPr>
    </w:p>
    <w:p w14:paraId="1702C161" w14:textId="77777777" w:rsidR="00B03E39" w:rsidRPr="00B03E39" w:rsidRDefault="00B03E39" w:rsidP="3E2CA965">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3E2CA965">
        <w:rPr>
          <w:rFonts w:ascii="Century Gothic" w:eastAsia="Calibri" w:hAnsi="Century Gothic" w:cs="Arial"/>
          <w:color w:val="000000" w:themeColor="text1"/>
          <w:sz w:val="21"/>
          <w:szCs w:val="21"/>
          <w:lang w:val="es-ES"/>
        </w:rPr>
        <w:lastRenderedPageBreak/>
        <w:t>b) Pero dice el parágrafo, “se exceptúan (…) únicamente en cuanto a la contratación de su giro ordinario.” Según el parágrafo está exceptuadas unas entidades estatales, respecto de su giro ordinario, entonces ya están interpretando, que si se suscribe un contrato o convenio interadministrativo con esas entidades, y si los recursos enviados</w:t>
      </w:r>
    </w:p>
    <w:p w14:paraId="5FC1572A" w14:textId="77777777" w:rsidR="00B03E39" w:rsidRPr="00B03E39" w:rsidRDefault="00B03E39" w:rsidP="3E2CA965">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3E2CA965">
        <w:rPr>
          <w:rFonts w:ascii="Century Gothic" w:eastAsia="Calibri" w:hAnsi="Century Gothic" w:cs="Arial"/>
          <w:color w:val="000000" w:themeColor="text1"/>
          <w:sz w:val="21"/>
          <w:szCs w:val="21"/>
          <w:lang w:val="es-ES"/>
        </w:rPr>
        <w:t>son para su giro ordinario están exceptuados de aplicar los pliegos tipo. Entonces ¿Cuándo se entienden para su giro ordinario? Cuando se administran sus propios recursos? O también se entienden cuando vía convenio o contrato reciben recursos para su giro ordinario?”</w:t>
      </w:r>
    </w:p>
    <w:p w14:paraId="1739D78D" w14:textId="77777777" w:rsidR="00B03E39" w:rsidRPr="00B03E39" w:rsidRDefault="00B03E39" w:rsidP="00B03E39">
      <w:pPr>
        <w:shd w:val="clear" w:color="auto" w:fill="FFFFFF"/>
        <w:spacing w:after="0" w:line="240" w:lineRule="auto"/>
        <w:ind w:left="709" w:right="709"/>
        <w:jc w:val="both"/>
        <w:rPr>
          <w:rFonts w:ascii="Century Gothic" w:eastAsia="Calibri" w:hAnsi="Century Gothic" w:cs="Arial"/>
          <w:color w:val="000000"/>
          <w:lang w:val="es-ES_tradnl"/>
        </w:rPr>
      </w:pPr>
    </w:p>
    <w:p w14:paraId="210F0847" w14:textId="77777777" w:rsidR="00B03E39" w:rsidRPr="00B03E39" w:rsidRDefault="00B03E39" w:rsidP="00B03E39">
      <w:pPr>
        <w:numPr>
          <w:ilvl w:val="0"/>
          <w:numId w:val="6"/>
        </w:numPr>
        <w:shd w:val="clear" w:color="auto" w:fill="FFFFFF"/>
        <w:tabs>
          <w:tab w:val="left" w:pos="0"/>
          <w:tab w:val="left" w:pos="284"/>
        </w:tabs>
        <w:spacing w:after="0" w:line="278" w:lineRule="auto"/>
        <w:ind w:left="357" w:hanging="357"/>
        <w:contextualSpacing/>
        <w:jc w:val="both"/>
        <w:rPr>
          <w:rFonts w:ascii="Century Gothic" w:eastAsia="Calibri" w:hAnsi="Century Gothic" w:cs="Arial"/>
          <w:b/>
          <w:color w:val="000000"/>
          <w:lang w:val="es-ES_tradnl"/>
        </w:rPr>
      </w:pPr>
      <w:r w:rsidRPr="00B03E39">
        <w:rPr>
          <w:rFonts w:ascii="Century Gothic" w:eastAsia="Calibri" w:hAnsi="Century Gothic" w:cs="Arial"/>
          <w:b/>
          <w:color w:val="000000"/>
          <w:lang w:val="es-ES_tradnl"/>
        </w:rPr>
        <w:t>Consideraciones</w:t>
      </w:r>
    </w:p>
    <w:p w14:paraId="58BD4D47" w14:textId="77777777" w:rsidR="00B03E39" w:rsidRPr="00B03E39" w:rsidRDefault="00B03E39" w:rsidP="00B03E39">
      <w:pPr>
        <w:shd w:val="clear" w:color="auto" w:fill="FFFFFF"/>
        <w:spacing w:after="0" w:line="276" w:lineRule="auto"/>
        <w:jc w:val="both"/>
        <w:rPr>
          <w:rFonts w:ascii="Century Gothic" w:eastAsia="Calibri" w:hAnsi="Century Gothic" w:cs="Arial"/>
          <w:color w:val="000000"/>
          <w:lang w:val="es-ES"/>
        </w:rPr>
      </w:pPr>
    </w:p>
    <w:p w14:paraId="714A938D" w14:textId="77777777" w:rsidR="00B03E39" w:rsidRPr="00B03E39" w:rsidRDefault="00B03E39" w:rsidP="00B03E39">
      <w:pPr>
        <w:shd w:val="clear" w:color="auto" w:fill="FFFFFF"/>
        <w:spacing w:after="120" w:line="276" w:lineRule="auto"/>
        <w:jc w:val="both"/>
        <w:rPr>
          <w:rFonts w:ascii="Century Gothic" w:eastAsia="Calibri" w:hAnsi="Century Gothic" w:cs="Arial"/>
          <w:color w:val="000000"/>
        </w:rPr>
      </w:pPr>
      <w:r w:rsidRPr="00B03E39">
        <w:rPr>
          <w:rFonts w:ascii="Century Gothic" w:eastAsia="Calibri" w:hAnsi="Century Gothic" w:cs="Arial"/>
          <w:color w:val="000000"/>
        </w:rPr>
        <w:t>La Agencia Nacional de Contratación Pública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550B849A" w14:textId="77777777" w:rsidR="00B03E39" w:rsidRPr="00B03E39" w:rsidRDefault="00B03E39" w:rsidP="00B03E39">
      <w:pPr>
        <w:shd w:val="clear" w:color="auto" w:fill="FFFFFF"/>
        <w:spacing w:after="120" w:line="276" w:lineRule="auto"/>
        <w:ind w:firstLine="708"/>
        <w:jc w:val="both"/>
        <w:rPr>
          <w:rFonts w:ascii="Century Gothic" w:eastAsia="Calibri" w:hAnsi="Century Gothic" w:cs="Arial"/>
          <w:color w:val="000000"/>
        </w:rPr>
      </w:pPr>
      <w:r w:rsidRPr="00B03E39">
        <w:rPr>
          <w:rFonts w:ascii="Century Gothic" w:eastAsia="Calibri" w:hAnsi="Century Gothic" w:cs="Arial"/>
          <w:color w:val="00000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35EAF5DE" w14:textId="77777777" w:rsidR="00B03E39" w:rsidRPr="00B03E39" w:rsidRDefault="00B03E39" w:rsidP="00B03E39">
      <w:pPr>
        <w:shd w:val="clear" w:color="auto" w:fill="FFFFFF"/>
        <w:spacing w:after="120" w:line="276" w:lineRule="auto"/>
        <w:jc w:val="both"/>
        <w:rPr>
          <w:rFonts w:ascii="Century Gothic" w:eastAsia="Calibri" w:hAnsi="Century Gothic" w:cs="Arial"/>
          <w:bCs/>
          <w:color w:val="000000"/>
          <w:lang w:val="es-ES"/>
        </w:rPr>
      </w:pPr>
      <w:r w:rsidRPr="00B03E39">
        <w:rPr>
          <w:rFonts w:ascii="Century Gothic" w:eastAsia="Calibri" w:hAnsi="Century Gothic" w:cs="Arial"/>
          <w:color w:val="000000"/>
        </w:rPr>
        <w:tab/>
        <w:t>En este contexto, la Subdirección de Gestión Contractual, dentro de los límites de sus atribuciones, resolverá la consulta conforme a las normas generales en materia de contratación estatal. Con este objetivo se analizarán</w:t>
      </w:r>
      <w:r w:rsidRPr="00B03E39">
        <w:rPr>
          <w:rFonts w:ascii="Century Gothic" w:eastAsia="Calibri" w:hAnsi="Century Gothic" w:cs="Arial"/>
          <w:color w:val="000000"/>
          <w:lang w:val="es-ES"/>
        </w:rPr>
        <w:t xml:space="preserve"> los siguientes temas: </w:t>
      </w:r>
      <w:r w:rsidRPr="00B03E39">
        <w:rPr>
          <w:rFonts w:ascii="Century Gothic" w:eastAsia="Calibri" w:hAnsi="Century Gothic" w:cs="Arial"/>
          <w:color w:val="000000"/>
          <w:lang w:val="es-ES_tradnl"/>
        </w:rPr>
        <w:t xml:space="preserve">i) fundamento normativo y ámbito de aplicación de los documentos tipo; ii) alcance del artículo 56 de la Ley 2195 de 2022 frente a la implementación obligatoria del Estatuto General de Contratación de la Administración Pública y de los documentos tipo en la celebración de convenios o contratos interadministrativos o de cualquier otra índole con entidades estatales </w:t>
      </w:r>
      <w:r w:rsidRPr="00B03E39">
        <w:rPr>
          <w:rFonts w:ascii="Century Gothic" w:eastAsia="Calibri" w:hAnsi="Century Gothic" w:cs="Arial"/>
          <w:color w:val="000000"/>
          <w:lang w:val="es-ES_tradnl"/>
        </w:rPr>
        <w:lastRenderedPageBreak/>
        <w:t>exceptuadas y particulares, y iii)</w:t>
      </w:r>
      <w:r w:rsidRPr="00B03E39">
        <w:rPr>
          <w:rFonts w:ascii="Century Gothic" w:eastAsia="Aptos" w:hAnsi="Century Gothic" w:cs="Times New Roman"/>
          <w:kern w:val="2"/>
          <w:lang w:val="es-ES_tradnl"/>
          <w14:ligatures w14:val="standardContextual"/>
        </w:rPr>
        <w:t xml:space="preserve"> la noción de </w:t>
      </w:r>
      <w:r w:rsidRPr="00B03E39">
        <w:rPr>
          <w:rFonts w:ascii="Century Gothic" w:eastAsia="Aptos" w:hAnsi="Century Gothic" w:cs="Times New Roman"/>
          <w:i/>
          <w:iCs/>
          <w:kern w:val="2"/>
          <w:lang w:val="es-ES_tradnl"/>
          <w14:ligatures w14:val="standardContextual"/>
        </w:rPr>
        <w:t>giro ordinario</w:t>
      </w:r>
      <w:r w:rsidRPr="00B03E39">
        <w:rPr>
          <w:rFonts w:ascii="Century Gothic" w:eastAsia="Aptos" w:hAnsi="Century Gothic" w:cs="Times New Roman"/>
          <w:kern w:val="2"/>
          <w:lang w:val="es-ES_tradnl"/>
          <w14:ligatures w14:val="standardContextual"/>
        </w:rPr>
        <w:t xml:space="preserve"> y su relevancia para la aplicación del artículo 56 de la Ley 2195 de 2022.</w:t>
      </w:r>
    </w:p>
    <w:p w14:paraId="11E70B09" w14:textId="77777777" w:rsidR="00B03E39" w:rsidRPr="00B03E39" w:rsidRDefault="00B03E39" w:rsidP="00B03E39">
      <w:pPr>
        <w:shd w:val="clear" w:color="auto" w:fill="FFFFFF"/>
        <w:spacing w:after="0" w:line="276" w:lineRule="auto"/>
        <w:ind w:firstLine="709"/>
        <w:jc w:val="both"/>
        <w:rPr>
          <w:rFonts w:ascii="Century Gothic" w:eastAsia="Calibri" w:hAnsi="Century Gothic" w:cs="Arial"/>
          <w:color w:val="000000"/>
        </w:rPr>
      </w:pPr>
      <w:r w:rsidRPr="00B03E39">
        <w:rPr>
          <w:rFonts w:ascii="Century Gothic" w:eastAsia="Calibri" w:hAnsi="Century Gothic" w:cs="Arial"/>
          <w:color w:val="000000"/>
        </w:rPr>
        <w:t>La Agencia Nacional de Contratación Pública – Colombia Compra Eficiente se ha pronunciado sobre el alcance del artículo 56 de la Ley 2195 de 2022, específicamente, a partir del concepto C-066 del 28 de enero de 2022, cuya tesis se desarrolló y complementó en varios conceptos, como el C-320 del 20 de mayo de 2022, C-333 del 24 de mayo de 2022, C-404 del 26 de mayo de 2023, C-341 del 27 de mayo de 2022, C-382 del 27 de mayo de 2022, C-388 del 15 de junio de 2022, C-423 del 5 de julio de 2022, C-435 del 6 de julio de 2023, C-453 del 15 de julio de 2022, C-449 del 25 de julio de 2022, C-494 del 26 de julio de 2022, C-488 del 29 de julio de 2022, C-483 del 5 de agosto de 2022, C-496 del 3 de agosto de 2022, C-501 del 29 de julio de 2022, C-556 del 3 de agosto de 2022 y C-532 del 22 de agosto de 2022, entre otros. El mismo tema ha sido estudiado por esta Subdirección en los conceptos C-486 del 2 de septiembre de 2022, C-671 del 19 de octubre de 2022, C-576 del 25 de octubre de 2022, C-042 del 29 de marzo de 2023, C-299 del 24 de julio de 2023, C-399 del 29 de septiembre de 2023 y C-055 del 9 de mayo de 2024.</w:t>
      </w:r>
      <w:r w:rsidRPr="00B03E39">
        <w:rPr>
          <w:rFonts w:ascii="Century Gothic" w:eastAsia="Aptos" w:hAnsi="Century Gothic" w:cs="Arial"/>
          <w:color w:val="000000"/>
          <w:kern w:val="2"/>
          <w:sz w:val="24"/>
          <w:szCs w:val="24"/>
          <w:vertAlign w:val="superscript"/>
          <w:lang w:val="es-ES_tradnl"/>
          <w14:ligatures w14:val="standardContextual"/>
        </w:rPr>
        <w:footnoteReference w:id="2"/>
      </w:r>
      <w:r w:rsidRPr="00B03E39">
        <w:rPr>
          <w:rFonts w:ascii="Century Gothic" w:eastAsia="Calibri" w:hAnsi="Century Gothic" w:cs="Arial"/>
          <w:color w:val="000000"/>
        </w:rPr>
        <w:t xml:space="preserve"> La tesis propuesta en estos conceptos se reiteran a continuación y se complementa en lo pertinente, de acuerdo con las preguntas realizadas.  </w:t>
      </w:r>
    </w:p>
    <w:p w14:paraId="679F1363" w14:textId="77777777" w:rsidR="00B03E39" w:rsidRPr="00B03E39" w:rsidRDefault="00B03E39" w:rsidP="00B03E39">
      <w:pPr>
        <w:shd w:val="clear" w:color="auto" w:fill="FFFFFF"/>
        <w:spacing w:after="0" w:line="276" w:lineRule="auto"/>
        <w:ind w:firstLine="709"/>
        <w:jc w:val="both"/>
        <w:rPr>
          <w:rFonts w:ascii="Century Gothic" w:eastAsia="Calibri" w:hAnsi="Century Gothic" w:cs="Arial"/>
          <w:color w:val="000000"/>
        </w:rPr>
      </w:pPr>
    </w:p>
    <w:p w14:paraId="5CB7A2DE" w14:textId="77777777" w:rsidR="00B03E39" w:rsidRPr="00B03E39" w:rsidRDefault="00B03E39" w:rsidP="00B03E39">
      <w:pPr>
        <w:spacing w:after="0" w:line="276" w:lineRule="auto"/>
        <w:contextualSpacing/>
        <w:jc w:val="both"/>
        <w:rPr>
          <w:rFonts w:ascii="Century Gothic" w:eastAsia="Arial" w:hAnsi="Century Gothic" w:cs="Arial"/>
          <w:b/>
          <w:bCs/>
          <w:lang w:val="es-ES_tradnl" w:eastAsia="es-ES_tradnl"/>
        </w:rPr>
      </w:pPr>
      <w:r w:rsidRPr="00B03E39">
        <w:rPr>
          <w:rFonts w:ascii="Century Gothic" w:eastAsia="Arial" w:hAnsi="Century Gothic" w:cs="Arial"/>
          <w:b/>
          <w:bCs/>
          <w:lang w:val="es-ES_tradnl" w:eastAsia="es-ES_tradnl"/>
        </w:rPr>
        <w:t xml:space="preserve">2.1. </w:t>
      </w:r>
      <w:bookmarkStart w:id="5" w:name="_Hlk110852287"/>
      <w:r w:rsidRPr="00B03E39">
        <w:rPr>
          <w:rFonts w:ascii="Century Gothic" w:eastAsia="Arial" w:hAnsi="Century Gothic" w:cs="Arial"/>
          <w:b/>
          <w:bCs/>
          <w:lang w:val="es-ES_tradnl" w:eastAsia="es-ES_tradnl"/>
        </w:rPr>
        <w:t xml:space="preserve">Fundamento normativo y ámbito de aplicación de los documentos tipo </w:t>
      </w:r>
      <w:bookmarkEnd w:id="5"/>
    </w:p>
    <w:p w14:paraId="0BEFF9B1" w14:textId="77777777" w:rsidR="00B03E39" w:rsidRPr="00B03E39" w:rsidRDefault="00B03E39" w:rsidP="00B03E39">
      <w:pPr>
        <w:spacing w:after="0" w:line="240" w:lineRule="auto"/>
        <w:contextualSpacing/>
        <w:jc w:val="both"/>
        <w:rPr>
          <w:rFonts w:ascii="Century Gothic" w:eastAsia="Arial" w:hAnsi="Century Gothic" w:cs="Arial"/>
          <w:b/>
          <w:bCs/>
          <w:lang w:val="es-ES_tradnl" w:eastAsia="es-ES_tradnl"/>
        </w:rPr>
      </w:pPr>
    </w:p>
    <w:p w14:paraId="104AA304" w14:textId="77777777" w:rsidR="00B03E39" w:rsidRPr="00B03E39" w:rsidRDefault="00B03E39" w:rsidP="00B03E39">
      <w:pPr>
        <w:spacing w:after="120" w:line="276" w:lineRule="auto"/>
        <w:jc w:val="both"/>
        <w:rPr>
          <w:rFonts w:ascii="Century Gothic" w:eastAsia="Calibri" w:hAnsi="Century Gothic" w:cs="Arial"/>
          <w:color w:val="000000"/>
          <w:szCs w:val="24"/>
          <w:lang w:val="es-ES" w:eastAsia="es-ES_tradnl"/>
        </w:rPr>
      </w:pPr>
      <w:bookmarkStart w:id="6" w:name="_Hlk113022941"/>
      <w:r w:rsidRPr="00B03E39">
        <w:rPr>
          <w:rFonts w:ascii="Century Gothic" w:eastAsia="Calibri" w:hAnsi="Century Gothic" w:cs="Arial"/>
          <w:color w:val="000000"/>
          <w:szCs w:val="24"/>
          <w:lang w:val="es-ES" w:eastAsia="es-ES_tradnl"/>
        </w:rPr>
        <w:t>La adopción de los documentos tipo obligatorios en el ordenamiento jurídico colombiano se incluyó por primera vez en el parágrafo 3 del artículo 2 de la Ley 1150 de 2007</w:t>
      </w:r>
      <w:r w:rsidRPr="00B03E39">
        <w:rPr>
          <w:rFonts w:ascii="Century Gothic" w:eastAsia="Calibri" w:hAnsi="Century Gothic" w:cs="Arial"/>
          <w:color w:val="000000"/>
          <w:szCs w:val="24"/>
          <w:vertAlign w:val="superscript"/>
          <w:lang w:val="es-ES" w:eastAsia="es-ES_tradnl"/>
        </w:rPr>
        <w:footnoteReference w:id="3"/>
      </w:r>
      <w:r w:rsidRPr="00B03E39">
        <w:rPr>
          <w:rFonts w:ascii="Century Gothic" w:eastAsia="Calibri" w:hAnsi="Century Gothic"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Como esta atribución no ha sido ejercida hasta la actualidad, el artículo 4 de la Ley 1882 de 2018 es el antecedente más relevante de la expedición de documentos tipo con alcance obligatorio. </w:t>
      </w:r>
    </w:p>
    <w:p w14:paraId="1A5C8E46" w14:textId="77777777" w:rsidR="00B03E39" w:rsidRPr="00B03E39" w:rsidRDefault="00B03E39" w:rsidP="00B03E39">
      <w:pPr>
        <w:spacing w:after="120" w:line="276" w:lineRule="auto"/>
        <w:ind w:firstLine="708"/>
        <w:jc w:val="both"/>
        <w:rPr>
          <w:rFonts w:ascii="Century Gothic" w:eastAsia="Calibri" w:hAnsi="Century Gothic" w:cs="Arial"/>
          <w:color w:val="000000"/>
          <w:szCs w:val="24"/>
          <w:lang w:val="es-ES" w:eastAsia="es-ES_tradnl"/>
        </w:rPr>
      </w:pPr>
      <w:r w:rsidRPr="00B03E39">
        <w:rPr>
          <w:rFonts w:ascii="Century Gothic" w:eastAsia="Calibri" w:hAnsi="Century Gothic" w:cs="Arial"/>
          <w:color w:val="000000"/>
          <w:szCs w:val="24"/>
          <w:lang w:val="es-ES" w:eastAsia="es-ES_tradnl"/>
        </w:rPr>
        <w:lastRenderedPageBreak/>
        <w:t>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B03E39">
        <w:rPr>
          <w:rFonts w:ascii="Century Gothic" w:eastAsia="Calibri" w:hAnsi="Century Gothic" w:cs="Arial"/>
          <w:color w:val="000000"/>
          <w:szCs w:val="24"/>
          <w:vertAlign w:val="superscript"/>
          <w:lang w:val="es-ES" w:eastAsia="es-ES_tradnl"/>
        </w:rPr>
        <w:footnoteReference w:id="4"/>
      </w:r>
      <w:r w:rsidRPr="00B03E39">
        <w:rPr>
          <w:rFonts w:ascii="Century Gothic" w:eastAsia="Calibri" w:hAnsi="Century Gothic" w:cs="Arial"/>
          <w:color w:val="000000"/>
          <w:szCs w:val="24"/>
          <w:lang w:val="es-ES" w:eastAsia="es-ES_tradnl"/>
        </w:rPr>
        <w:t>.</w:t>
      </w:r>
    </w:p>
    <w:p w14:paraId="6BCAC149" w14:textId="77777777" w:rsidR="00B03E39" w:rsidRPr="00B03E39" w:rsidRDefault="00B03E39" w:rsidP="00B03E39">
      <w:pPr>
        <w:spacing w:before="120" w:after="120" w:line="276" w:lineRule="auto"/>
        <w:jc w:val="both"/>
        <w:rPr>
          <w:rFonts w:ascii="Century Gothic" w:eastAsia="Calibri" w:hAnsi="Century Gothic" w:cs="Arial"/>
          <w:color w:val="000000"/>
          <w:szCs w:val="24"/>
          <w:lang w:val="es-ES" w:eastAsia="es-ES_tradnl"/>
        </w:rPr>
      </w:pPr>
      <w:r w:rsidRPr="00B03E39">
        <w:rPr>
          <w:rFonts w:ascii="Century Gothic" w:eastAsia="Calibri" w:hAnsi="Century Gothic"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C65EDA7" w14:textId="77777777" w:rsidR="00B03E39" w:rsidRPr="00B03E39" w:rsidRDefault="00B03E39" w:rsidP="00B03E39">
      <w:pPr>
        <w:spacing w:before="120" w:after="120" w:line="276" w:lineRule="auto"/>
        <w:jc w:val="both"/>
        <w:rPr>
          <w:rFonts w:ascii="Century Gothic" w:eastAsia="Calibri" w:hAnsi="Century Gothic" w:cs="Arial"/>
          <w:color w:val="000000"/>
          <w:szCs w:val="24"/>
          <w:lang w:val="es-ES" w:eastAsia="es-ES_tradnl"/>
        </w:rPr>
      </w:pPr>
      <w:r w:rsidRPr="00B03E39">
        <w:rPr>
          <w:rFonts w:ascii="Century Gothic" w:eastAsia="Calibri" w:hAnsi="Century Gothic" w:cs="Arial"/>
          <w:color w:val="000000"/>
          <w:szCs w:val="24"/>
          <w:lang w:val="es-ES" w:eastAsia="es-ES_tradnl"/>
        </w:rPr>
        <w:lastRenderedPageBreak/>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4D5AFB4E" w14:textId="77777777" w:rsidR="00B03E39" w:rsidRPr="00B03E39" w:rsidRDefault="00B03E39" w:rsidP="00B03E39">
      <w:pPr>
        <w:spacing w:before="120" w:after="120" w:line="276" w:lineRule="auto"/>
        <w:jc w:val="both"/>
        <w:rPr>
          <w:rFonts w:ascii="Century Gothic" w:eastAsia="Calibri" w:hAnsi="Century Gothic" w:cs="Arial"/>
          <w:color w:val="000000"/>
          <w:szCs w:val="24"/>
          <w:lang w:val="es-ES" w:eastAsia="es-ES_tradnl"/>
        </w:rPr>
      </w:pPr>
      <w:r w:rsidRPr="00B03E39">
        <w:rPr>
          <w:rFonts w:ascii="Century Gothic" w:eastAsia="Calibri" w:hAnsi="Century Gothic"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B03E39">
        <w:rPr>
          <w:rFonts w:ascii="Century Gothic" w:eastAsia="Calibri" w:hAnsi="Century Gothic" w:cs="Arial"/>
          <w:color w:val="000000"/>
          <w:szCs w:val="24"/>
          <w:vertAlign w:val="superscript"/>
          <w:lang w:val="es-ES" w:eastAsia="es-ES_tradnl"/>
        </w:rPr>
        <w:footnoteReference w:id="5"/>
      </w:r>
      <w:r w:rsidRPr="00B03E39">
        <w:rPr>
          <w:rFonts w:ascii="Century Gothic" w:eastAsia="Calibri" w:hAnsi="Century Gothic" w:cs="Arial"/>
          <w:color w:val="000000"/>
          <w:szCs w:val="24"/>
          <w:lang w:val="es-ES" w:eastAsia="es-ES_tradnl"/>
        </w:rPr>
        <w:t>.</w:t>
      </w:r>
    </w:p>
    <w:p w14:paraId="3667BECC" w14:textId="77777777" w:rsidR="00B03E39" w:rsidRPr="00B03E39" w:rsidRDefault="00B03E39" w:rsidP="00B03E39">
      <w:pPr>
        <w:spacing w:before="120" w:after="120" w:line="276" w:lineRule="auto"/>
        <w:jc w:val="both"/>
        <w:rPr>
          <w:rFonts w:ascii="Century Gothic" w:eastAsia="Calibri" w:hAnsi="Century Gothic" w:cs="Arial"/>
          <w:color w:val="000000"/>
          <w:szCs w:val="24"/>
          <w:lang w:val="es-ES" w:eastAsia="es-ES_tradnl"/>
        </w:rPr>
      </w:pPr>
      <w:r w:rsidRPr="00B03E39">
        <w:rPr>
          <w:rFonts w:ascii="Century Gothic" w:eastAsia="Calibri" w:hAnsi="Century Gothic" w:cs="Arial"/>
          <w:color w:val="000000"/>
          <w:szCs w:val="24"/>
          <w:lang w:val="es-ES" w:eastAsia="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w:t>
      </w:r>
      <w:r w:rsidRPr="00B03E39">
        <w:rPr>
          <w:rFonts w:ascii="Century Gothic" w:eastAsia="Calibri" w:hAnsi="Century Gothic" w:cs="Arial"/>
          <w:color w:val="000000"/>
          <w:szCs w:val="24"/>
          <w:lang w:val="es-ES" w:eastAsia="es-ES_tradnl"/>
        </w:rPr>
        <w:lastRenderedPageBreak/>
        <w:t>deciden iniciar un proceso de convocatoria para satisfacer sus necesidades para la adquisición de un bien, obra o servicio, y además se incluyen en la minuta del contrato las condiciones particulares del negocio jurídico a celebrar.</w:t>
      </w:r>
    </w:p>
    <w:p w14:paraId="450F5B52" w14:textId="77777777" w:rsidR="00B03E39" w:rsidRPr="00B03E39" w:rsidRDefault="00B03E39" w:rsidP="00B03E39">
      <w:pPr>
        <w:spacing w:before="120" w:after="120" w:line="276" w:lineRule="auto"/>
        <w:jc w:val="both"/>
        <w:rPr>
          <w:rFonts w:ascii="Century Gothic" w:eastAsia="Calibri" w:hAnsi="Century Gothic" w:cs="Arial"/>
          <w:lang w:val="es-ES"/>
        </w:rPr>
      </w:pPr>
      <w:r w:rsidRPr="00B03E39">
        <w:rPr>
          <w:rFonts w:ascii="Century Gothic" w:eastAsia="Calibri" w:hAnsi="Century Gothic"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B03E39">
        <w:rPr>
          <w:rFonts w:ascii="Century Gothic" w:eastAsia="Calibri" w:hAnsi="Century Gothic"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792F3001" w14:textId="77777777" w:rsidR="00B03E39" w:rsidRPr="00B03E39" w:rsidRDefault="00B03E39" w:rsidP="00B03E39">
      <w:pPr>
        <w:spacing w:before="120" w:after="120" w:line="276" w:lineRule="auto"/>
        <w:jc w:val="both"/>
        <w:rPr>
          <w:rFonts w:ascii="Century Gothic" w:eastAsia="Calibri" w:hAnsi="Century Gothic" w:cs="Arial"/>
          <w:color w:val="000000"/>
          <w:lang w:val="es-ES" w:eastAsia="es-ES_tradnl"/>
        </w:rPr>
      </w:pPr>
      <w:r w:rsidRPr="00B03E39">
        <w:rPr>
          <w:rFonts w:ascii="Century Gothic" w:eastAsia="Calibri" w:hAnsi="Century Gothic"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B03E39" w:rsidDel="00A434AB">
        <w:rPr>
          <w:rFonts w:ascii="Century Gothic" w:eastAsia="Calibri" w:hAnsi="Century Gothic" w:cs="Arial"/>
          <w:lang w:val="es-ES"/>
        </w:rPr>
        <w:t xml:space="preserve"> </w:t>
      </w:r>
      <w:r w:rsidRPr="00B03E39">
        <w:rPr>
          <w:rFonts w:ascii="Century Gothic" w:eastAsia="Calibri" w:hAnsi="Century Gothic"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225180B0" w14:textId="77777777" w:rsidR="00B03E39" w:rsidRPr="00B03E39" w:rsidRDefault="00B03E39" w:rsidP="00B03E39">
      <w:pPr>
        <w:spacing w:before="120" w:after="120" w:line="276" w:lineRule="auto"/>
        <w:ind w:firstLine="709"/>
        <w:jc w:val="both"/>
        <w:rPr>
          <w:rFonts w:ascii="Century Gothic" w:eastAsia="Calibri" w:hAnsi="Century Gothic" w:cs="Arial"/>
          <w:bdr w:val="none" w:sz="0" w:space="0" w:color="auto" w:frame="1"/>
        </w:rPr>
      </w:pPr>
      <w:bookmarkStart w:id="7" w:name="_Hlk143271549"/>
      <w:r w:rsidRPr="00B03E39">
        <w:rPr>
          <w:rFonts w:ascii="Century Gothic" w:eastAsia="Calibri" w:hAnsi="Century Gothic" w:cs="Arial"/>
          <w:color w:val="000000"/>
          <w:lang w:val="es-ES" w:eastAsia="es-ES"/>
        </w:rPr>
        <w:t>Por otra parte</w:t>
      </w:r>
      <w:r w:rsidRPr="00B03E39">
        <w:rPr>
          <w:rFonts w:ascii="Century Gothic" w:eastAsia="Calibri" w:hAnsi="Century Gothic" w:cs="Arial"/>
          <w:i/>
          <w:iCs/>
          <w:color w:val="000000"/>
          <w:lang w:val="es-ES" w:eastAsia="es-ES"/>
        </w:rPr>
        <w:t>,</w:t>
      </w:r>
      <w:r w:rsidRPr="00B03E39">
        <w:rPr>
          <w:rFonts w:ascii="Century Gothic" w:eastAsia="Calibri" w:hAnsi="Century Gothic" w:cs="Arial"/>
          <w:color w:val="00000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B03E39">
        <w:rPr>
          <w:rFonts w:ascii="Century Gothic" w:eastAsia="Calibri" w:hAnsi="Century Gothic" w:cs="Arial"/>
          <w:color w:val="000000"/>
          <w:vertAlign w:val="superscript"/>
          <w:lang w:val="es-ES" w:eastAsia="es-ES"/>
        </w:rPr>
        <w:footnoteReference w:id="6"/>
      </w:r>
      <w:r w:rsidRPr="00B03E39">
        <w:rPr>
          <w:rFonts w:ascii="Century Gothic" w:eastAsia="Calibri" w:hAnsi="Century Gothic" w:cs="Arial"/>
          <w:color w:val="000000"/>
          <w:lang w:val="es-ES" w:eastAsia="es-ES"/>
        </w:rPr>
        <w:t xml:space="preserve">. En este sentido, con la finalidad de </w:t>
      </w:r>
      <w:r w:rsidRPr="00B03E39">
        <w:rPr>
          <w:rFonts w:ascii="Century Gothic" w:eastAsia="Calibri" w:hAnsi="Century Gothic" w:cs="Arial"/>
          <w:color w:val="000000"/>
          <w:lang w:val="es-ES" w:eastAsia="es-ES"/>
        </w:rPr>
        <w:lastRenderedPageBreak/>
        <w:t xml:space="preserve">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bookmarkEnd w:id="7"/>
    <w:p w14:paraId="2BC2B030" w14:textId="77777777" w:rsidR="00B03E39" w:rsidRPr="00B03E39" w:rsidRDefault="00B03E39" w:rsidP="00B03E39">
      <w:pPr>
        <w:spacing w:before="120" w:after="120" w:line="276" w:lineRule="auto"/>
        <w:ind w:firstLine="709"/>
        <w:jc w:val="both"/>
        <w:rPr>
          <w:rFonts w:ascii="Century Gothic" w:eastAsia="Calibri" w:hAnsi="Century Gothic" w:cs="Arial"/>
          <w:lang w:val="es-ES" w:eastAsia="es-ES"/>
        </w:rPr>
      </w:pPr>
      <w:r w:rsidRPr="00B03E39">
        <w:rPr>
          <w:rFonts w:ascii="Century Gothic" w:eastAsia="Calibri" w:hAnsi="Century Gothic"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66EDE984" w14:textId="77777777" w:rsidR="00B03E39" w:rsidRPr="00B03E39" w:rsidRDefault="00B03E39" w:rsidP="00B03E39">
      <w:pPr>
        <w:spacing w:before="120" w:after="120" w:line="276" w:lineRule="auto"/>
        <w:ind w:firstLine="709"/>
        <w:jc w:val="both"/>
        <w:rPr>
          <w:rFonts w:ascii="Century Gothic" w:eastAsia="Calibri" w:hAnsi="Century Gothic" w:cs="Arial"/>
          <w:lang w:val="es-ES" w:eastAsia="es-ES"/>
        </w:rPr>
      </w:pPr>
      <w:r w:rsidRPr="00B03E39">
        <w:rPr>
          <w:rFonts w:ascii="Century Gothic" w:eastAsia="Calibri" w:hAnsi="Century Gothic" w:cs="Arial"/>
          <w:lang w:val="es-ES" w:eastAsia="es-ES"/>
        </w:rPr>
        <w:lastRenderedPageBreak/>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5024631D" w14:textId="77777777" w:rsidR="00B03E39" w:rsidRPr="00B03E39" w:rsidRDefault="00B03E39" w:rsidP="00B03E39">
      <w:pPr>
        <w:spacing w:before="120" w:after="120" w:line="276" w:lineRule="auto"/>
        <w:ind w:firstLine="709"/>
        <w:jc w:val="both"/>
        <w:rPr>
          <w:rFonts w:ascii="Century Gothic" w:eastAsia="Calibri" w:hAnsi="Century Gothic" w:cs="Arial"/>
        </w:rPr>
      </w:pPr>
      <w:r w:rsidRPr="00B03E39">
        <w:rPr>
          <w:rFonts w:ascii="Century Gothic" w:eastAsia="Calibri" w:hAnsi="Century Gothic" w:cs="Arial"/>
          <w:color w:val="000000"/>
          <w:lang w:val="es-ES" w:eastAsia="es-ES"/>
        </w:rPr>
        <w:t xml:space="preserve">Asimismo, en el transcurso del año 2021, esta Agencia expidió la Resolución 193 del 14 de julio de 2021, “Por la cual se adoptan los documentos tipo para los procesos de </w:t>
      </w:r>
      <w:r w:rsidRPr="00B03E39">
        <w:rPr>
          <w:rFonts w:ascii="Century Gothic" w:eastAsia="Calibri" w:hAnsi="Century Gothic"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B03E39">
        <w:rPr>
          <w:rFonts w:ascii="Century Gothic" w:eastAsia="Calibri" w:hAnsi="Century Gothic" w:cs="Arial"/>
          <w:bCs/>
          <w:iCs/>
          <w:shd w:val="clear" w:color="auto" w:fill="FFFFFF"/>
        </w:rPr>
        <w:t>Por la cual se adoptan los documentos tipo complementarios para los procesos de licitación de obra pública de infraestructura social relacionados con el sector salud</w:t>
      </w:r>
      <w:r w:rsidRPr="00B03E39">
        <w:rPr>
          <w:rFonts w:ascii="Century Gothic" w:eastAsia="Calibri" w:hAnsi="Century Gothic" w:cs="Arial"/>
          <w:lang w:val="es-ES" w:eastAsia="es-ES"/>
        </w:rPr>
        <w:t>”. Luego, se expidió la Resolución 454 del 16 de diciembre de 2021, “</w:t>
      </w:r>
      <w:r w:rsidRPr="00B03E39">
        <w:rPr>
          <w:rFonts w:ascii="Century Gothic" w:eastAsia="Calibri" w:hAnsi="Century Gothic" w:cs="Arial"/>
        </w:rPr>
        <w:t>Por la cual se adoptan los documentos tipo complementarios para los procesos de licitación de obra pública de infraestructura social relacionados con el sector cultura, recreación y deporte</w:t>
      </w:r>
      <w:r w:rsidRPr="00B03E39">
        <w:rPr>
          <w:rFonts w:ascii="Century Gothic" w:eastAsia="Calibri" w:hAnsi="Century Gothic" w:cs="Arial"/>
          <w:lang w:val="es-ES" w:eastAsia="es-ES"/>
        </w:rPr>
        <w:t>”</w:t>
      </w:r>
      <w:r w:rsidRPr="00B03E39">
        <w:rPr>
          <w:rFonts w:ascii="Century Gothic" w:eastAsia="Calibri" w:hAnsi="Century Gothic" w:cs="Arial"/>
        </w:rPr>
        <w:t>.</w:t>
      </w:r>
    </w:p>
    <w:p w14:paraId="1EFB3A89" w14:textId="77777777" w:rsidR="00B03E39" w:rsidRPr="00B03E39" w:rsidRDefault="00B03E39" w:rsidP="00B03E39">
      <w:pPr>
        <w:spacing w:before="120" w:after="120" w:line="276" w:lineRule="auto"/>
        <w:ind w:firstLine="709"/>
        <w:jc w:val="both"/>
        <w:rPr>
          <w:rFonts w:ascii="Century Gothic" w:eastAsia="Times New Roman" w:hAnsi="Century Gothic" w:cs="Arial"/>
          <w:bdr w:val="none" w:sz="0" w:space="0" w:color="auto" w:frame="1"/>
          <w:lang w:val="es-ES_tradnl" w:eastAsia="es-CO"/>
        </w:rPr>
      </w:pPr>
      <w:r w:rsidRPr="00B03E39">
        <w:rPr>
          <w:rFonts w:ascii="Century Gothic" w:eastAsia="Times New Roman" w:hAnsi="Century Gothic"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27015BEF" w14:textId="77777777" w:rsidR="00B03E39" w:rsidRPr="00B03E39" w:rsidRDefault="00B03E39" w:rsidP="00B03E39">
      <w:pPr>
        <w:spacing w:before="120" w:after="120" w:line="276" w:lineRule="auto"/>
        <w:ind w:firstLine="709"/>
        <w:jc w:val="both"/>
        <w:rPr>
          <w:rFonts w:ascii="Century Gothic" w:eastAsia="Calibri" w:hAnsi="Century Gothic" w:cs="Arial"/>
          <w:lang w:val="es-ES" w:eastAsia="es-ES"/>
        </w:rPr>
      </w:pPr>
      <w:r w:rsidRPr="00B03E39">
        <w:rPr>
          <w:rFonts w:ascii="Century Gothic" w:eastAsia="Calibri" w:hAnsi="Century Gothic" w:cs="Arial"/>
          <w:lang w:val="es-ES" w:eastAsia="es-ES"/>
        </w:rPr>
        <w:t xml:space="preserve">Es importante resaltar que la Agencia Nacional de Contratación Pública – Colombia Compra Eficiente, el 13 de octubre de 2021, expidió la Resolución 304 </w:t>
      </w:r>
      <w:r w:rsidRPr="00B03E39">
        <w:rPr>
          <w:rFonts w:ascii="Century Gothic" w:eastAsia="Calibri" w:hAnsi="Century Gothic" w:cs="Arial"/>
          <w:lang w:val="es-ES" w:eastAsia="es-ES"/>
        </w:rPr>
        <w:lastRenderedPageBreak/>
        <w:t>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7A30A235" w14:textId="77777777" w:rsidR="00B03E39" w:rsidRPr="00B03E39" w:rsidRDefault="00B03E39" w:rsidP="00B03E39">
      <w:pPr>
        <w:spacing w:after="0" w:line="276" w:lineRule="auto"/>
        <w:ind w:firstLine="709"/>
        <w:jc w:val="both"/>
        <w:rPr>
          <w:rFonts w:ascii="Century Gothic" w:eastAsia="Calibri" w:hAnsi="Century Gothic" w:cs="Arial"/>
          <w:spacing w:val="2"/>
          <w:lang w:eastAsia="es-CO"/>
        </w:rPr>
      </w:pPr>
      <w:r w:rsidRPr="00B03E39">
        <w:rPr>
          <w:rFonts w:ascii="Century Gothic" w:eastAsia="Calibri" w:hAnsi="Century Gothic" w:cs="Arial"/>
          <w:spacing w:val="2"/>
          <w:lang w:eastAsia="es-CO"/>
        </w:rPr>
        <w:t xml:space="preserve">Con posterioridad, el Decreto 1860 de 2021 modificó </w:t>
      </w:r>
      <w:r w:rsidRPr="00B03E39">
        <w:rPr>
          <w:rFonts w:ascii="Century Gothic" w:eastAsia="Arial" w:hAnsi="Century Gothic"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B03E39">
        <w:rPr>
          <w:rFonts w:ascii="Century Gothic" w:eastAsia="Times New Roman" w:hAnsi="Century Gothic" w:cs="Arial"/>
          <w:szCs w:val="24"/>
          <w:lang w:eastAsia="es-MX"/>
        </w:rPr>
        <w:t>además de incluir algunas disposiciones adicionales para la reglamentación efectiva de la citada Ley.</w:t>
      </w:r>
      <w:r w:rsidRPr="00B03E39">
        <w:rPr>
          <w:rFonts w:ascii="Century Gothic" w:eastAsia="Arial" w:hAnsi="Century Gothic" w:cs="Arial"/>
          <w:szCs w:val="24"/>
          <w:lang w:eastAsia="es-CO"/>
        </w:rPr>
        <w:t xml:space="preserve"> </w:t>
      </w:r>
      <w:r w:rsidRPr="00B03E39">
        <w:rPr>
          <w:rFonts w:ascii="Century Gothic" w:eastAsia="Times New Roman" w:hAnsi="Century Gothic"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B03E39">
        <w:rPr>
          <w:rFonts w:ascii="Century Gothic" w:eastAsia="Calibri" w:hAnsi="Century Gothic"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36CBC8E9" w14:textId="77777777" w:rsidR="00B03E39" w:rsidRPr="00B03E39" w:rsidRDefault="00B03E39" w:rsidP="00B03E39">
      <w:pPr>
        <w:spacing w:before="120" w:after="0" w:line="276" w:lineRule="auto"/>
        <w:ind w:firstLine="709"/>
        <w:jc w:val="both"/>
        <w:rPr>
          <w:rFonts w:ascii="Century Gothic" w:eastAsia="Calibri" w:hAnsi="Century Gothic" w:cs="Arial"/>
          <w:spacing w:val="2"/>
          <w:lang w:eastAsia="es-CO"/>
        </w:rPr>
      </w:pPr>
      <w:r w:rsidRPr="00B03E39">
        <w:rPr>
          <w:rFonts w:ascii="Century Gothic" w:eastAsia="Calibri" w:hAnsi="Century Gothic" w:cs="Arial"/>
          <w:spacing w:val="2"/>
          <w:lang w:eastAsia="es-CO"/>
        </w:rPr>
        <w:t>Por lo demás,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y la Resolución 625 del 16 de diciembre del 2022, "Por la cual se actualizan los documentos tipo para los procesos de obra pública de infraestructura de transporte que se adelanten por la modalidad de mínima cuantía y se deroga la Resolución 094 de 2020"</w:t>
      </w:r>
      <w:r w:rsidRPr="00B03E39">
        <w:rPr>
          <w:rFonts w:ascii="Century Gothic" w:eastAsia="Calibri" w:hAnsi="Century Gothic" w:cs="Arial"/>
          <w:spacing w:val="2"/>
          <w:vertAlign w:val="superscript"/>
          <w:lang w:eastAsia="es-CO"/>
        </w:rPr>
        <w:footnoteReference w:id="7"/>
      </w:r>
      <w:r w:rsidRPr="00B03E39">
        <w:rPr>
          <w:rFonts w:ascii="Century Gothic" w:eastAsia="Calibri" w:hAnsi="Century Gothic" w:cs="Arial"/>
          <w:spacing w:val="2"/>
          <w:lang w:eastAsia="es-CO"/>
        </w:rPr>
        <w:t xml:space="preserve">. </w:t>
      </w:r>
    </w:p>
    <w:p w14:paraId="42E75DA6" w14:textId="77777777" w:rsidR="00B03E39" w:rsidRPr="00B03E39" w:rsidRDefault="00B03E39" w:rsidP="00B03E39">
      <w:pPr>
        <w:spacing w:before="120" w:after="0" w:line="276" w:lineRule="auto"/>
        <w:ind w:firstLine="709"/>
        <w:jc w:val="both"/>
        <w:rPr>
          <w:rFonts w:ascii="Century Gothic" w:eastAsia="Calibri" w:hAnsi="Century Gothic" w:cs="Arial"/>
          <w:spacing w:val="2"/>
          <w:lang w:eastAsia="es-CO"/>
        </w:rPr>
      </w:pPr>
      <w:r w:rsidRPr="00B03E39">
        <w:rPr>
          <w:rFonts w:ascii="Century Gothic" w:eastAsia="Calibri" w:hAnsi="Century Gothic" w:cs="Arial"/>
          <w:spacing w:val="2"/>
          <w:lang w:eastAsia="es-CO"/>
        </w:rPr>
        <w:lastRenderedPageBreak/>
        <w:t xml:space="preserve">Para efectos del artículo 95 de la Ley 2166 de 2021, Colombia Compra Eficiente también expidió la Resolución 358 del 30 de junio de 2023, “Por la cual se adopta el documento tipo para la contratación directa de convenios solidarios para la ejecución de obras hasta la menor cuantía con organismos de acción comunal”. </w:t>
      </w:r>
      <w:r w:rsidRPr="00B03E39">
        <w:rPr>
          <w:rFonts w:ascii="Century Gothic" w:eastAsia="Calibri" w:hAnsi="Century Gothic" w:cs="Arial"/>
          <w:spacing w:val="2"/>
          <w:kern w:val="2"/>
          <w:lang w:val="es-ES_tradnl" w:eastAsia="es-CO"/>
          <w14:ligatures w14:val="standardContextual"/>
        </w:rPr>
        <w:t>Finalmente, la Agencia expidió la Resolución 798 de 2023,</w:t>
      </w:r>
      <w:r w:rsidRPr="00B03E39">
        <w:rPr>
          <w:rFonts w:ascii="Aptos" w:eastAsia="Aptos" w:hAnsi="Aptos" w:cs="Times New Roman"/>
          <w:kern w:val="2"/>
          <w:lang w:val="es-ES_tradnl"/>
          <w14:ligatures w14:val="standardContextual"/>
        </w:rPr>
        <w:t xml:space="preserve"> “</w:t>
      </w:r>
      <w:r w:rsidRPr="00B03E39">
        <w:rPr>
          <w:rFonts w:ascii="Century Gothic" w:eastAsia="Calibri" w:hAnsi="Century Gothic" w:cs="Arial"/>
          <w:spacing w:val="2"/>
          <w:kern w:val="2"/>
          <w:lang w:val="es-ES_tradnl" w:eastAsia="es-CO"/>
          <w14:ligatures w14:val="standardContextual"/>
        </w:rPr>
        <w:t xml:space="preserve">Por la cual se adoptan los documentos tipo para los procesos de concurso de méritos para contratar la interventoría de obras públicas de infraestructura social; que agrupa los sectores de educación, salud, cultura, recreación y deporte”. Para mayor información sobre los </w:t>
      </w:r>
      <w:r w:rsidRPr="00B03E39">
        <w:rPr>
          <w:rFonts w:ascii="Century Gothic" w:eastAsia="Calibri" w:hAnsi="Century Gothic" w:cs="Arial"/>
          <w:spacing w:val="2"/>
          <w:lang w:eastAsia="es-CO"/>
        </w:rPr>
        <w:t xml:space="preserve">actos administrativos que han implementado documentos tipo en el ordenamiento jurídico, puede consultar el siguiente enlace: </w:t>
      </w:r>
      <w:hyperlink r:id="rId12" w:history="1">
        <w:r w:rsidRPr="00B03E39">
          <w:rPr>
            <w:rFonts w:ascii="Century Gothic" w:eastAsia="Calibri" w:hAnsi="Century Gothic" w:cs="Arial"/>
            <w:color w:val="0000FF"/>
            <w:spacing w:val="2"/>
            <w:u w:val="single"/>
          </w:rPr>
          <w:t>https://www.colombiacompra.gov.co/documentos-tipo/documentos-tipo</w:t>
        </w:r>
      </w:hyperlink>
      <w:r w:rsidRPr="00B03E39">
        <w:rPr>
          <w:rFonts w:ascii="Century Gothic" w:eastAsia="Calibri" w:hAnsi="Century Gothic" w:cs="Arial"/>
          <w:spacing w:val="2"/>
          <w:lang w:eastAsia="es-CO"/>
        </w:rPr>
        <w:t xml:space="preserve">. </w:t>
      </w:r>
      <w:r w:rsidRPr="00B03E39">
        <w:rPr>
          <w:rFonts w:ascii="Century Gothic" w:eastAsia="Calibri" w:hAnsi="Century Gothic" w:cs="Arial"/>
          <w:lang w:eastAsia="en-GB"/>
        </w:rPr>
        <w:t xml:space="preserve"> </w:t>
      </w:r>
    </w:p>
    <w:bookmarkEnd w:id="6"/>
    <w:p w14:paraId="41007C53" w14:textId="77777777" w:rsidR="00B03E39" w:rsidRPr="00B03E39" w:rsidRDefault="00B03E39" w:rsidP="00B03E39">
      <w:pPr>
        <w:tabs>
          <w:tab w:val="left" w:pos="0"/>
        </w:tabs>
        <w:spacing w:after="0" w:line="276" w:lineRule="auto"/>
        <w:contextualSpacing/>
        <w:jc w:val="both"/>
        <w:rPr>
          <w:rFonts w:ascii="Century Gothic" w:eastAsia="Calibri" w:hAnsi="Century Gothic" w:cs="Arial"/>
          <w:b/>
          <w:lang w:val="es-ES_tradnl" w:eastAsia="es-ES_tradnl"/>
        </w:rPr>
      </w:pPr>
      <w:r w:rsidRPr="00B03E39">
        <w:rPr>
          <w:rFonts w:ascii="Century Gothic" w:eastAsia="Calibri" w:hAnsi="Century Gothic" w:cs="Arial"/>
          <w:lang w:eastAsia="en-GB"/>
        </w:rPr>
        <w:t xml:space="preserve"> </w:t>
      </w:r>
    </w:p>
    <w:p w14:paraId="4AAE5FE2" w14:textId="77777777" w:rsidR="00B03E39" w:rsidRPr="00B03E39" w:rsidRDefault="00B03E39" w:rsidP="00B03E39">
      <w:pPr>
        <w:tabs>
          <w:tab w:val="left" w:pos="0"/>
        </w:tabs>
        <w:spacing w:after="0" w:line="276" w:lineRule="auto"/>
        <w:contextualSpacing/>
        <w:jc w:val="both"/>
        <w:rPr>
          <w:rFonts w:ascii="Century Gothic" w:eastAsia="Calibri" w:hAnsi="Century Gothic" w:cs="Arial"/>
          <w:b/>
          <w:lang w:val="es-ES_tradnl" w:eastAsia="es-ES_tradnl"/>
        </w:rPr>
      </w:pPr>
      <w:r w:rsidRPr="00B03E39">
        <w:rPr>
          <w:rFonts w:ascii="Century Gothic" w:eastAsia="Calibri" w:hAnsi="Century Gothic" w:cs="Arial"/>
          <w:b/>
          <w:lang w:val="es-ES_tradnl" w:eastAsia="es-ES_tradnl"/>
        </w:rPr>
        <w:t xml:space="preserve">2.2. </w:t>
      </w:r>
      <w:bookmarkStart w:id="8" w:name="_Hlk95322387"/>
      <w:r w:rsidRPr="00B03E39">
        <w:rPr>
          <w:rFonts w:ascii="Century Gothic" w:eastAsia="Calibri" w:hAnsi="Century Gothic" w:cs="Arial"/>
          <w:b/>
          <w:lang w:val="es-ES_tradnl"/>
        </w:rPr>
        <w:t xml:space="preserve">Alcance del artículo 56 de la Ley 2195 de 2022 frente a la implementación obligatoria del </w:t>
      </w:r>
      <w:r w:rsidRPr="00B03E39">
        <w:rPr>
          <w:rFonts w:ascii="Century Gothic" w:eastAsia="Calibri" w:hAnsi="Century Gothic" w:cs="Arial"/>
          <w:b/>
          <w:lang w:val="es-ES_tradnl" w:eastAsia="es-ES_tradnl"/>
        </w:rPr>
        <w:t xml:space="preserve">Estatuto General de Contratación de la Administración Pública </w:t>
      </w:r>
      <w:r w:rsidRPr="00B03E39">
        <w:rPr>
          <w:rFonts w:ascii="Century Gothic" w:eastAsia="Calibri" w:hAnsi="Century Gothic" w:cs="Arial"/>
          <w:b/>
          <w:lang w:val="es-ES_tradnl"/>
        </w:rPr>
        <w:t>y de los documentos tipo en la celebración de convenios o contratos interadministrativos o de cualquier otra índole con entidades estatales exceptuadas y particulares</w:t>
      </w:r>
    </w:p>
    <w:bookmarkEnd w:id="8"/>
    <w:p w14:paraId="1EA131E0" w14:textId="77777777" w:rsidR="00B03E39" w:rsidRPr="00B03E39" w:rsidRDefault="00B03E39" w:rsidP="00B03E39">
      <w:pPr>
        <w:tabs>
          <w:tab w:val="left" w:pos="0"/>
        </w:tabs>
        <w:spacing w:after="0" w:line="276" w:lineRule="auto"/>
        <w:contextualSpacing/>
        <w:jc w:val="both"/>
        <w:rPr>
          <w:rFonts w:ascii="Century Gothic" w:eastAsia="Calibri" w:hAnsi="Century Gothic" w:cs="Arial"/>
          <w:bCs/>
          <w:lang w:val="es-ES_tradnl" w:eastAsia="es-ES_tradnl"/>
        </w:rPr>
      </w:pPr>
    </w:p>
    <w:p w14:paraId="290330DF" w14:textId="77777777" w:rsidR="00B03E39" w:rsidRPr="00B03E39" w:rsidRDefault="00B03E39" w:rsidP="00B03E39">
      <w:pPr>
        <w:spacing w:after="120" w:line="276" w:lineRule="auto"/>
        <w:jc w:val="both"/>
        <w:rPr>
          <w:rFonts w:ascii="Century Gothic" w:eastAsia="Calibri" w:hAnsi="Century Gothic" w:cs="Arial"/>
          <w:lang w:val="es-ES" w:eastAsia="es-ES"/>
        </w:rPr>
      </w:pPr>
      <w:r w:rsidRPr="00B03E39">
        <w:rPr>
          <w:rFonts w:ascii="Century Gothic" w:eastAsia="Calibri" w:hAnsi="Century Gothic" w:cs="Arial"/>
          <w:lang w:val="es-ES" w:eastAsia="es-ES"/>
        </w:rPr>
        <w:t xml:space="preserve">En virtud de la Ley 2022 de 2020, los documentos tipo expedidos por la Agencia Nacional de Contratación Pública – Colombia Compra Eficiente– son de aplicación obligatoria para las entidades estatales sometidas al Estatuto General de Contratación de la Administración Pública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7A76B453" w14:textId="77777777" w:rsidR="00B03E39" w:rsidRPr="00B03E39" w:rsidRDefault="00B03E39" w:rsidP="00B03E39">
      <w:pPr>
        <w:tabs>
          <w:tab w:val="left" w:pos="0"/>
        </w:tabs>
        <w:spacing w:after="12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
          <w:lang w:val="es-ES_tradnl" w:eastAsia="es-ES_tradnl"/>
        </w:rPr>
        <w:tab/>
      </w:r>
      <w:bookmarkStart w:id="9" w:name="_Hlk113023000"/>
      <w:r w:rsidRPr="00B03E39">
        <w:rPr>
          <w:rFonts w:ascii="Century Gothic" w:eastAsia="Calibri" w:hAnsi="Century Gothic" w:cs="Arial"/>
          <w:bCs/>
          <w:lang w:val="es-ES_tradnl" w:eastAsia="es-ES_tradnl"/>
        </w:rPr>
        <w:t xml:space="preserve">En este contexto, se expidió la Ley 2195 de 2022, “Por medio de la cual se adoptan medidas en materia de transparencia, prevención y lucha contra la corrupción y se dictan otras disposiciones”. Según su artículo 1°, este cuerpo normativo </w:t>
      </w:r>
      <w:r w:rsidRPr="00B03E39">
        <w:rPr>
          <w:rFonts w:ascii="Century Gothic" w:eastAsia="Calibri" w:hAnsi="Century Gothic" w:cs="Arial"/>
          <w:lang w:val="es-ES_tradnl" w:eastAsia="es-ES_tradnl"/>
        </w:rPr>
        <w:t>“</w:t>
      </w:r>
      <w:r w:rsidRPr="00B03E39">
        <w:rPr>
          <w:rFonts w:ascii="Century Gothic" w:eastAsia="Times New Roman" w:hAnsi="Century Gothic" w:cs="Arial"/>
          <w:lang w:val="es-ES_tradnl" w:eastAsia="es-ES_tradnl"/>
        </w:rPr>
        <w:t xml:space="preserve">[…] </w:t>
      </w:r>
      <w:r w:rsidRPr="00B03E39">
        <w:rPr>
          <w:rFonts w:ascii="Century Gothic" w:eastAsia="Calibri" w:hAnsi="Century Gothic"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w:t>
      </w:r>
      <w:r w:rsidRPr="00B03E39">
        <w:rPr>
          <w:rFonts w:ascii="Century Gothic" w:eastAsia="Calibri" w:hAnsi="Century Gothic" w:cs="Arial"/>
          <w:lang w:val="es-ES_tradnl" w:eastAsia="es-ES_tradnl"/>
        </w:rPr>
        <w:lastRenderedPageBreak/>
        <w:t xml:space="preserve">y promover la cultura de la legalidad e integridad y recuperar la confianza ciudadana y el respeto por lo público”. Dentro del capítulo VIII de la Ley en mención, que lleva por título “Disposiciones en materia contractual para la moralización y la transparencia”, se </w:t>
      </w:r>
      <w:r w:rsidRPr="00B03E39">
        <w:rPr>
          <w:rFonts w:ascii="Century Gothic" w:eastAsia="Calibri" w:hAnsi="Century Gothic" w:cs="Arial"/>
          <w:bCs/>
          <w:lang w:val="es-ES_tradnl" w:eastAsia="es-ES_tradnl"/>
        </w:rPr>
        <w:t>destaca el artículo 56.</w:t>
      </w:r>
    </w:p>
    <w:p w14:paraId="36F0C1C6" w14:textId="77777777" w:rsidR="00B03E39" w:rsidRPr="00B03E39" w:rsidRDefault="00B03E39" w:rsidP="00B03E39">
      <w:pPr>
        <w:tabs>
          <w:tab w:val="left" w:pos="0"/>
        </w:tabs>
        <w:spacing w:after="12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t>Para comenzar el análisis del contenido de la referida disposición, es pertinente iniciar estudiando su trámite legislativo. Al respecto, el Proyecto de Ley No. 341 de 2020</w:t>
      </w:r>
      <w:r w:rsidRPr="00B03E39">
        <w:rPr>
          <w:rFonts w:ascii="Century Gothic" w:eastAsia="Calibri" w:hAnsi="Century Gothic" w:cs="Arial"/>
          <w:bCs/>
          <w:vertAlign w:val="superscript"/>
          <w:lang w:val="es-ES_tradnl" w:eastAsia="es-ES_tradnl"/>
        </w:rPr>
        <w:footnoteReference w:id="8"/>
      </w:r>
      <w:r w:rsidRPr="00B03E39">
        <w:rPr>
          <w:rFonts w:ascii="Century Gothic" w:eastAsia="Calibri" w:hAnsi="Century Gothic" w:cs="Arial"/>
          <w:bCs/>
          <w:lang w:val="es-ES_tradnl" w:eastAsia="es-ES_tradnl"/>
        </w:rPr>
        <w:t xml:space="preserve"> radicado el 20 de octubre de 2020 por el gobierno nacional ante el Congreso de la República no previó en su articulado norma que sea igual o similar al contenido que actualmente observamos en el artículo 56 de la Ley 2195 de 2022, pues este fue agregado con posterioridad en plenaria del Senado y después fue complementada y ajustada en el debate legislativo que cursó en Cámara de Representantes mediante Proyecto de Ley No. 369 de 2021</w:t>
      </w:r>
      <w:r w:rsidRPr="00B03E39">
        <w:rPr>
          <w:rFonts w:ascii="Century Gothic" w:eastAsia="Calibri" w:hAnsi="Century Gothic" w:cs="Arial"/>
          <w:bCs/>
          <w:vertAlign w:val="superscript"/>
          <w:lang w:val="es-ES_tradnl" w:eastAsia="es-ES_tradnl"/>
        </w:rPr>
        <w:footnoteReference w:id="9"/>
      </w:r>
      <w:r w:rsidRPr="00B03E39">
        <w:rPr>
          <w:rFonts w:ascii="Century Gothic" w:eastAsia="Calibri" w:hAnsi="Century Gothic" w:cs="Arial"/>
          <w:bCs/>
          <w:lang w:val="es-ES_tradnl" w:eastAsia="es-ES_tradnl"/>
        </w:rPr>
        <w:t xml:space="preserve"> y a continuación conciliado por ambas cámaras el 16 y 15 de diciembre de 2021, respectivamente.</w:t>
      </w:r>
    </w:p>
    <w:p w14:paraId="4D4698E1" w14:textId="77777777" w:rsidR="00B03E39" w:rsidRPr="00B03E39" w:rsidRDefault="00B03E39" w:rsidP="00B03E39">
      <w:pPr>
        <w:tabs>
          <w:tab w:val="left" w:pos="0"/>
        </w:tabs>
        <w:spacing w:after="0" w:line="276" w:lineRule="auto"/>
        <w:jc w:val="both"/>
        <w:rPr>
          <w:rFonts w:ascii="Century Gothic" w:eastAsia="Calibri" w:hAnsi="Century Gothic" w:cs="Arial"/>
          <w:lang w:val="es-ES_tradnl" w:eastAsia="es-ES_tradnl"/>
        </w:rPr>
      </w:pPr>
      <w:r w:rsidRPr="00B03E39">
        <w:rPr>
          <w:rFonts w:ascii="Century Gothic" w:eastAsia="Calibri" w:hAnsi="Century Gothic" w:cs="Arial"/>
          <w:bCs/>
          <w:lang w:val="es-ES_tradnl" w:eastAsia="es-ES_tradnl"/>
        </w:rPr>
        <w:tab/>
        <w:t xml:space="preserve">Sobre el tema, es importante indicar que, en el informe de ponencia para primer debate legislativo en Senado, previo a la intervención realizada por la Subdirección de Gestión Contractual de la Agencia, </w:t>
      </w:r>
      <w:r w:rsidRPr="00B03E39">
        <w:rPr>
          <w:rFonts w:ascii="Century Gothic" w:eastAsia="Calibri" w:hAnsi="Century Gothic" w:cs="Arial"/>
          <w:lang w:val="es-ES_tradnl" w:eastAsia="es-ES_tradnl"/>
        </w:rPr>
        <w:t xml:space="preserve">en audiencia pública realizada por la </w:t>
      </w:r>
      <w:r w:rsidRPr="00B03E39">
        <w:rPr>
          <w:rFonts w:ascii="Century Gothic" w:eastAsia="Calibri" w:hAnsi="Century Gothic" w:cs="Arial"/>
        </w:rPr>
        <w:t xml:space="preserve">Comisión Primera del Senado </w:t>
      </w:r>
      <w:r w:rsidRPr="00B03E39">
        <w:rPr>
          <w:rFonts w:ascii="Century Gothic" w:eastAsia="Calibri" w:hAnsi="Century Gothic" w:cs="Arial"/>
          <w:lang w:val="es-ES_tradnl" w:eastAsia="es-ES_tradnl"/>
        </w:rPr>
        <w:t xml:space="preserve">el día </w:t>
      </w:r>
      <w:r w:rsidRPr="00B03E39">
        <w:rPr>
          <w:rFonts w:ascii="Century Gothic" w:eastAsia="Calibri" w:hAnsi="Century Gothic" w:cs="Arial"/>
        </w:rPr>
        <w:t xml:space="preserve">14 de diciembre de 2020, </w:t>
      </w:r>
      <w:r w:rsidRPr="00B03E39">
        <w:rPr>
          <w:rFonts w:ascii="Century Gothic" w:eastAsia="Calibri" w:hAnsi="Century Gothic" w:cs="Arial"/>
          <w:bCs/>
          <w:lang w:val="es-ES_tradnl" w:eastAsia="es-ES_tradnl"/>
        </w:rPr>
        <w:t xml:space="preserve">se incluyeron disposiciones en el proyecto de Ley relacionadas por ejemplo con: </w:t>
      </w:r>
      <w:r w:rsidRPr="00B03E39">
        <w:rPr>
          <w:rFonts w:ascii="Century Gothic" w:eastAsia="Calibri" w:hAnsi="Century Gothic" w:cs="Arial"/>
          <w:lang w:val="es-ES_tradnl" w:eastAsia="es-ES_tradnl"/>
        </w:rPr>
        <w:t>“impedir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 algunos objetos que tienen un régimen especial y a los patrimonios autónomos, así como a las empresas de servicios públicos; y finalmente, hacer obligatorio que las entidades exceptuadas de la contratación estén obligadas a publicar los documentos en el SECOP”</w:t>
      </w:r>
      <w:r w:rsidRPr="00B03E39">
        <w:rPr>
          <w:rFonts w:ascii="Century Gothic" w:eastAsia="Calibri" w:hAnsi="Century Gothic" w:cs="Arial"/>
          <w:vertAlign w:val="superscript"/>
          <w:lang w:val="es-ES_tradnl" w:eastAsia="es-ES_tradnl"/>
        </w:rPr>
        <w:footnoteReference w:id="10"/>
      </w:r>
      <w:r w:rsidRPr="00B03E39">
        <w:rPr>
          <w:rFonts w:ascii="Century Gothic" w:eastAsia="Calibri" w:hAnsi="Century Gothic" w:cs="Arial"/>
          <w:lang w:val="es-ES_tradnl" w:eastAsia="es-ES_tradnl"/>
        </w:rPr>
        <w:t xml:space="preserve">. </w:t>
      </w:r>
      <w:r w:rsidRPr="00B03E39">
        <w:rPr>
          <w:rFonts w:ascii="Century Gothic" w:eastAsia="Calibri" w:hAnsi="Century Gothic" w:cs="Arial"/>
          <w:lang w:val="es-ES" w:eastAsia="es-ES"/>
        </w:rPr>
        <w:t xml:space="preserve">En ese orden de ideas, </w:t>
      </w:r>
      <w:r w:rsidRPr="00B03E39">
        <w:rPr>
          <w:rFonts w:ascii="Century Gothic" w:eastAsia="Calibri" w:hAnsi="Century Gothic" w:cs="Arial"/>
          <w:lang w:val="es-ES" w:eastAsia="es-ES"/>
        </w:rPr>
        <w:lastRenderedPageBreak/>
        <w:t xml:space="preserve">se incorporó en el informe para primer debate legislativo el artículo 85, denominado “Aplicación del Régimen de Contratación Pública en Entidades del Régimen Privado o Especial”, que disponía: </w:t>
      </w:r>
    </w:p>
    <w:p w14:paraId="2863C250" w14:textId="77777777" w:rsidR="00B03E39" w:rsidRPr="00B03E39" w:rsidRDefault="00B03E39" w:rsidP="00B03E39">
      <w:pPr>
        <w:spacing w:after="0" w:line="276" w:lineRule="auto"/>
        <w:jc w:val="both"/>
        <w:rPr>
          <w:rFonts w:ascii="Century Gothic" w:eastAsia="Calibri" w:hAnsi="Century Gothic" w:cs="Arial"/>
          <w:lang w:val="es-ES" w:eastAsia="es-ES"/>
        </w:rPr>
      </w:pPr>
    </w:p>
    <w:p w14:paraId="162230FC" w14:textId="77777777" w:rsidR="00B03E39" w:rsidRPr="00B03E39" w:rsidRDefault="00B03E39" w:rsidP="00B03E39">
      <w:pPr>
        <w:tabs>
          <w:tab w:val="left" w:pos="0"/>
        </w:tabs>
        <w:spacing w:after="120" w:line="240" w:lineRule="auto"/>
        <w:ind w:left="709" w:right="709"/>
        <w:jc w:val="both"/>
        <w:rPr>
          <w:rFonts w:ascii="Century Gothic" w:eastAsia="Calibri" w:hAnsi="Century Gothic" w:cs="Arial"/>
          <w:bCs/>
          <w:sz w:val="21"/>
          <w:szCs w:val="21"/>
          <w:lang w:val="es-ES_tradnl" w:eastAsia="es-ES_tradnl"/>
        </w:rPr>
      </w:pPr>
      <w:r w:rsidRPr="00B03E39">
        <w:rPr>
          <w:rFonts w:ascii="Century Gothic" w:eastAsia="Calibri" w:hAnsi="Century Gothic" w:cs="Arial"/>
          <w:bCs/>
          <w:sz w:val="21"/>
          <w:szCs w:val="21"/>
          <w:lang w:val="es-ES_tradnl" w:eastAsia="es-ES_tradnl"/>
        </w:rPr>
        <w:t xml:space="preserve">“En los casos en que las entidades estatales sometidas al Estatuto General de Contratación de la Administración Pública celebren contratos o convenios interadministrativos o de cualquier otra índole, con personas naturales o jurídicas de derecho público o privado, patrimonios autónomos, o cualquier otra clase de Entidad Estatal con capacidad para contratar, cuyo régimen de contratación sea especial o de derecho privado, para la adquisición de bienes, obras o servicios a través de estas entidades, el régimen aplicable a los procedimientos de selección y los contratos que realicen en desarrollo de los anteriores negocios jurídicos también será el Estatuto General de Contratación de la Administración Pública”. </w:t>
      </w:r>
    </w:p>
    <w:p w14:paraId="38BDF6AF" w14:textId="77777777" w:rsidR="00B03E39" w:rsidRPr="00B03E39" w:rsidRDefault="00B03E39" w:rsidP="00B03E39">
      <w:pPr>
        <w:spacing w:after="0" w:line="240" w:lineRule="auto"/>
        <w:ind w:left="709" w:right="709"/>
        <w:jc w:val="both"/>
        <w:rPr>
          <w:rFonts w:ascii="Century Gothic" w:eastAsia="Calibri" w:hAnsi="Century Gothic" w:cs="Arial"/>
          <w:sz w:val="21"/>
          <w:szCs w:val="21"/>
          <w:lang w:val="es-ES" w:eastAsia="es-ES"/>
        </w:rPr>
      </w:pPr>
      <w:r w:rsidRPr="00B03E39">
        <w:rPr>
          <w:rFonts w:ascii="Century Gothic" w:eastAsia="Calibri" w:hAnsi="Century Gothic" w:cs="Arial"/>
          <w:sz w:val="21"/>
          <w:szCs w:val="21"/>
          <w:lang w:val="es-ES" w:eastAsia="es-ES"/>
        </w:rPr>
        <w:t>Parágrafo: Para los casos descritos en el inciso anterior, también serán obligatorios los documentos tipo adoptados por la Agencia Nacional de Contratación Pública – Colombia Compra Eficiente- o quien haga sus veces, conforme al parágrafo 7 del artículo 2 de la Ley 1150 de 2007 o las normas que lo modifiquen o sustituyan”.</w:t>
      </w:r>
      <w:r w:rsidRPr="00B03E39">
        <w:rPr>
          <w:rFonts w:ascii="Century Gothic" w:eastAsia="Calibri" w:hAnsi="Century Gothic" w:cs="Arial"/>
          <w:sz w:val="21"/>
          <w:szCs w:val="21"/>
          <w:vertAlign w:val="superscript"/>
          <w:lang w:val="es-ES" w:eastAsia="es-ES"/>
        </w:rPr>
        <w:footnoteReference w:id="11"/>
      </w:r>
    </w:p>
    <w:p w14:paraId="6AAD67D2" w14:textId="77777777" w:rsidR="00B03E39" w:rsidRPr="00B03E39" w:rsidRDefault="00B03E39" w:rsidP="00B03E39">
      <w:pPr>
        <w:spacing w:after="0" w:line="276" w:lineRule="auto"/>
        <w:ind w:left="709" w:right="709"/>
        <w:jc w:val="both"/>
        <w:rPr>
          <w:rFonts w:ascii="Century Gothic" w:eastAsia="Calibri" w:hAnsi="Century Gothic" w:cs="Arial"/>
          <w:lang w:val="es-ES" w:eastAsia="es-ES"/>
        </w:rPr>
      </w:pPr>
    </w:p>
    <w:p w14:paraId="1974D1BC" w14:textId="77777777" w:rsidR="00B03E39" w:rsidRPr="00B03E39" w:rsidRDefault="00B03E39" w:rsidP="00B03E39">
      <w:pPr>
        <w:tabs>
          <w:tab w:val="left" w:pos="0"/>
        </w:tabs>
        <w:spacing w:after="120" w:line="276" w:lineRule="auto"/>
        <w:jc w:val="both"/>
        <w:rPr>
          <w:rFonts w:ascii="Century Gothic" w:eastAsia="Calibri" w:hAnsi="Century Gothic" w:cs="Arial"/>
        </w:rPr>
      </w:pPr>
      <w:r w:rsidRPr="00B03E39">
        <w:rPr>
          <w:rFonts w:ascii="Century Gothic" w:eastAsia="Calibri" w:hAnsi="Century Gothic" w:cs="Arial"/>
          <w:bCs/>
          <w:lang w:val="es-ES_tradnl" w:eastAsia="es-ES_tradnl"/>
        </w:rPr>
        <w:tab/>
      </w:r>
      <w:r w:rsidRPr="00B03E39">
        <w:rPr>
          <w:rFonts w:ascii="Century Gothic" w:eastAsia="Calibri" w:hAnsi="Century Gothic" w:cs="Arial"/>
          <w:lang w:val="es-ES_tradnl" w:eastAsia="es-ES_tradnl"/>
        </w:rPr>
        <w:t xml:space="preserve">Conforme a lo expuesto en el pliego de modificaciones al proyecto de Ley, la adición del articulado en mención tiene como fin </w:t>
      </w:r>
      <w:r w:rsidRPr="00B03E39">
        <w:rPr>
          <w:rFonts w:ascii="Century Gothic" w:eastAsia="Calibri" w:hAnsi="Century Gothic" w:cs="Arial"/>
        </w:rPr>
        <w:t xml:space="preserve">“Extender la </w:t>
      </w:r>
      <w:r w:rsidRPr="00B03E39">
        <w:rPr>
          <w:rFonts w:ascii="Century Gothic" w:eastAsia="Calibri" w:hAnsi="Century Gothic" w:cs="Arial"/>
          <w:i/>
        </w:rPr>
        <w:t>obligatoriedad de la aplicación del régimen de contratación estatal y pliegos tipo, cuando se celebran convenios interadministrativos</w:t>
      </w:r>
      <w:r w:rsidRPr="00B03E39">
        <w:rPr>
          <w:rFonts w:ascii="Century Gothic" w:eastAsia="Calibri" w:hAnsi="Century Gothic" w:cs="Arial"/>
        </w:rPr>
        <w:t xml:space="preserve"> con una entidad que tiene régimen de contratación privada </w:t>
      </w:r>
      <w:r w:rsidRPr="00B03E39">
        <w:rPr>
          <w:rFonts w:ascii="Century Gothic" w:eastAsia="Calibri" w:hAnsi="Century Gothic" w:cs="Arial"/>
          <w:i/>
        </w:rPr>
        <w:t>con el fin de evitar la contratación directa con recursos del estado y proveer de mayores garantías al proceso</w:t>
      </w:r>
      <w:r w:rsidRPr="00B03E39">
        <w:rPr>
          <w:rFonts w:ascii="Century Gothic" w:eastAsia="Calibri" w:hAnsi="Century Gothic" w:cs="Arial"/>
        </w:rPr>
        <w:t>”</w:t>
      </w:r>
      <w:r w:rsidRPr="00B03E39">
        <w:rPr>
          <w:rFonts w:ascii="Century Gothic" w:eastAsia="Calibri" w:hAnsi="Century Gothic" w:cs="Arial"/>
          <w:vertAlign w:val="superscript"/>
        </w:rPr>
        <w:footnoteReference w:id="12"/>
      </w:r>
      <w:r w:rsidRPr="00B03E39">
        <w:rPr>
          <w:rFonts w:ascii="Century Gothic" w:eastAsia="Calibri" w:hAnsi="Century Gothic" w:cs="Arial"/>
        </w:rPr>
        <w:t xml:space="preserve"> (Énfasis fuera de texto). En ese orden de ideas, es claro que la incorporación de este articulado por parte del legislador tiene como fin principal que las entidades sometidas al EGCAP, obligadas a aplicar documentos tipo, lo realicen también cuando celebran convenios interadministrativos con entidades o personas cuyo régimen de </w:t>
      </w:r>
      <w:r w:rsidRPr="00B03E39">
        <w:rPr>
          <w:rFonts w:ascii="Century Gothic" w:eastAsia="Calibri" w:hAnsi="Century Gothic" w:cs="Arial"/>
        </w:rPr>
        <w:lastRenderedPageBreak/>
        <w:t>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319EE919" w14:textId="77777777" w:rsidR="00B03E39" w:rsidRPr="00B03E39" w:rsidRDefault="00B03E39" w:rsidP="00B03E39">
      <w:pPr>
        <w:tabs>
          <w:tab w:val="left" w:pos="0"/>
        </w:tabs>
        <w:spacing w:after="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t>Sin embargo, para segunda ponencia del Senado</w:t>
      </w:r>
      <w:r w:rsidRPr="00B03E39">
        <w:rPr>
          <w:rFonts w:ascii="Century Gothic" w:eastAsia="Calibri" w:hAnsi="Century Gothic" w:cs="Arial"/>
          <w:bCs/>
          <w:vertAlign w:val="superscript"/>
          <w:lang w:val="es-ES_tradnl" w:eastAsia="es-ES_tradnl"/>
        </w:rPr>
        <w:footnoteReference w:id="13"/>
      </w:r>
      <w:r w:rsidRPr="00B03E39">
        <w:rPr>
          <w:rFonts w:ascii="Century Gothic" w:eastAsia="Calibri" w:hAnsi="Century Gothic" w:cs="Arial"/>
          <w:bCs/>
          <w:lang w:val="es-ES_tradnl" w:eastAsia="es-ES_tradnl"/>
        </w:rPr>
        <w:t xml:space="preserve"> se propuso eliminar el artículo en mención con motivo a la inconveniencia que podría generar en su aplicación, aceptándose su eliminación. No obstante, para Plenaria de Senado se propuso un nuevo artículo para su trámite ante la Cámara de Representantes, que dispone lo siguiente:</w:t>
      </w:r>
    </w:p>
    <w:p w14:paraId="386128B8" w14:textId="77777777" w:rsidR="00B03E39" w:rsidRPr="00B03E39" w:rsidRDefault="00B03E39" w:rsidP="00B03E39">
      <w:pPr>
        <w:tabs>
          <w:tab w:val="left" w:pos="0"/>
        </w:tabs>
        <w:spacing w:after="0" w:line="276" w:lineRule="auto"/>
        <w:jc w:val="both"/>
        <w:rPr>
          <w:rFonts w:ascii="Century Gothic" w:eastAsia="Calibri" w:hAnsi="Century Gothic" w:cs="Arial"/>
          <w:bCs/>
          <w:lang w:val="es-ES_tradnl" w:eastAsia="es-ES_tradnl"/>
        </w:rPr>
      </w:pPr>
    </w:p>
    <w:p w14:paraId="0263DD02" w14:textId="77777777" w:rsidR="00B03E39" w:rsidRPr="00B03E39" w:rsidRDefault="00B03E39" w:rsidP="00B03E39">
      <w:pPr>
        <w:tabs>
          <w:tab w:val="left" w:pos="0"/>
        </w:tabs>
        <w:spacing w:after="120" w:line="240" w:lineRule="auto"/>
        <w:ind w:left="709" w:right="709"/>
        <w:jc w:val="both"/>
        <w:rPr>
          <w:rFonts w:ascii="Century Gothic" w:eastAsia="Calibri" w:hAnsi="Century Gothic" w:cs="Arial"/>
          <w:sz w:val="21"/>
          <w:szCs w:val="21"/>
        </w:rPr>
      </w:pPr>
      <w:r w:rsidRPr="00B03E39">
        <w:rPr>
          <w:rFonts w:ascii="Century Gothic" w:eastAsia="Calibri" w:hAnsi="Century Gothic" w:cs="Arial"/>
          <w:sz w:val="21"/>
          <w:szCs w:val="21"/>
        </w:rPr>
        <w:t>“ARTÍCULO 62 (NUEVO).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Los procedimientos de selección y los contratos que realicen en desarrollo de los anteriores negocios jurídicos, donde apliquen los documentos tipo se regirán por el Estatuto General de Contratación de la Administración Pública.</w:t>
      </w:r>
    </w:p>
    <w:p w14:paraId="4C22581D" w14:textId="77777777" w:rsidR="00B03E39" w:rsidRPr="00B03E39" w:rsidRDefault="00B03E39" w:rsidP="00B03E39">
      <w:pPr>
        <w:tabs>
          <w:tab w:val="left" w:pos="0"/>
        </w:tabs>
        <w:spacing w:after="0" w:line="240" w:lineRule="auto"/>
        <w:ind w:left="709" w:right="709"/>
        <w:jc w:val="both"/>
        <w:rPr>
          <w:rFonts w:ascii="Century Gothic" w:eastAsia="Calibri" w:hAnsi="Century Gothic" w:cs="Arial"/>
          <w:bCs/>
          <w:sz w:val="21"/>
          <w:szCs w:val="21"/>
          <w:lang w:val="es-ES_tradnl" w:eastAsia="es-ES_tradnl"/>
        </w:rPr>
      </w:pPr>
      <w:r w:rsidRPr="00B03E39">
        <w:rPr>
          <w:rFonts w:ascii="Century Gothic" w:eastAsia="Calibri" w:hAnsi="Century Gothic" w:cs="Arial"/>
          <w:sz w:val="21"/>
          <w:szCs w:val="21"/>
        </w:rPr>
        <w:t>Parágrafo: Se exceptúan del presente artículo las Universidades, las empresas sociales del estado, las sociedades de economía mixta y las empresas industriales y comerciales del Estado en cuanto a las actividades propias del servicio que prestan o de su objeto social. En estas entidades se fomentará como buena práctica la aplicación de los pliegos tipo”.</w:t>
      </w:r>
      <w:r w:rsidRPr="00B03E39">
        <w:rPr>
          <w:rFonts w:ascii="Century Gothic" w:eastAsia="Calibri" w:hAnsi="Century Gothic" w:cs="Arial"/>
          <w:sz w:val="21"/>
          <w:szCs w:val="21"/>
          <w:vertAlign w:val="superscript"/>
        </w:rPr>
        <w:footnoteReference w:id="14"/>
      </w:r>
    </w:p>
    <w:p w14:paraId="5C9B27D4" w14:textId="77777777" w:rsidR="00B03E39" w:rsidRPr="00B03E39" w:rsidRDefault="00B03E39" w:rsidP="00B03E39">
      <w:pPr>
        <w:tabs>
          <w:tab w:val="left" w:pos="0"/>
        </w:tabs>
        <w:spacing w:after="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r>
    </w:p>
    <w:p w14:paraId="4753D1F2" w14:textId="77777777" w:rsidR="00B03E39" w:rsidRPr="00B03E39" w:rsidRDefault="00B03E39" w:rsidP="00B03E39">
      <w:pPr>
        <w:tabs>
          <w:tab w:val="left" w:pos="0"/>
        </w:tabs>
        <w:spacing w:after="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lastRenderedPageBreak/>
        <w:tab/>
      </w:r>
      <w:r w:rsidRPr="00B03E39">
        <w:rPr>
          <w:rFonts w:ascii="Century Gothic" w:eastAsia="Calibri" w:hAnsi="Century Gothic" w:cs="Arial"/>
          <w:lang w:val="es-ES_tradnl" w:eastAsia="es-ES_tradnl"/>
        </w:rPr>
        <w:t>La mencionada disposición pasó el debate en Cámara de Representantes con algunos ajustes en la redacción del artículo</w:t>
      </w:r>
      <w:r w:rsidRPr="00B03E39">
        <w:rPr>
          <w:rFonts w:ascii="Century Gothic" w:eastAsia="Calibri" w:hAnsi="Century Gothic" w:cs="Arial"/>
          <w:vertAlign w:val="superscript"/>
          <w:lang w:val="es-ES_tradnl" w:eastAsia="es-ES_tradnl"/>
        </w:rPr>
        <w:footnoteReference w:id="15"/>
      </w:r>
      <w:r w:rsidRPr="00B03E39">
        <w:rPr>
          <w:rFonts w:ascii="Century Gothic" w:eastAsia="Calibri" w:hAnsi="Century Gothic" w:cs="Arial"/>
          <w:lang w:val="es-ES_tradnl" w:eastAsia="es-ES_tradnl"/>
        </w:rPr>
        <w:t xml:space="preserve">, pero manteniendo su fin principal, y esto es, que los documentos tipo deban ser aplicados en general por todas las entidades sometidas al EGCAP, independientemente de la celebración de contratos o convenios interadministrativos o de cualquier otra índole, </w:t>
      </w:r>
      <w:bookmarkEnd w:id="9"/>
      <w:r w:rsidRPr="00B03E39">
        <w:rPr>
          <w:rFonts w:ascii="Century Gothic" w:eastAsia="Calibri" w:hAnsi="Century Gothic" w:cs="Arial"/>
          <w:lang w:val="es-ES_tradnl" w:eastAsia="es-ES_tradnl"/>
        </w:rPr>
        <w:t>con entidades estatales exceptuadas o con régimen especial de contratación, patrimonios autónomos o particulares. Consecuentemente, fue aprobada su redacción en conciliación del texto en ambas cámaras</w:t>
      </w:r>
      <w:r w:rsidRPr="00B03E39">
        <w:rPr>
          <w:rFonts w:ascii="Century Gothic" w:eastAsia="Times New Roman" w:hAnsi="Century Gothic" w:cs="Arial"/>
          <w:vertAlign w:val="superscript"/>
          <w:lang w:val="es-ES_tradnl" w:eastAsia="es-ES_tradnl"/>
        </w:rPr>
        <w:footnoteReference w:id="16"/>
      </w:r>
      <w:r w:rsidRPr="00B03E39">
        <w:rPr>
          <w:rFonts w:ascii="Century Gothic" w:eastAsia="Calibri" w:hAnsi="Century Gothic" w:cs="Arial"/>
          <w:lang w:val="es-ES_tradnl" w:eastAsia="es-ES_tradnl"/>
        </w:rPr>
        <w:t xml:space="preserve"> prescribiendo la redacción de la norma hoy día vigente, en los siguientes términos:</w:t>
      </w:r>
      <w:r w:rsidRPr="00B03E39">
        <w:rPr>
          <w:rFonts w:ascii="Century Gothic" w:eastAsia="Calibri" w:hAnsi="Century Gothic" w:cs="Arial"/>
          <w:bCs/>
          <w:lang w:val="es-ES_tradnl" w:eastAsia="es-ES_tradnl"/>
        </w:rPr>
        <w:t xml:space="preserve"> </w:t>
      </w:r>
    </w:p>
    <w:p w14:paraId="75AA1A43" w14:textId="77777777" w:rsidR="00B03E39" w:rsidRPr="00B03E39" w:rsidRDefault="00B03E39" w:rsidP="00B03E39">
      <w:pPr>
        <w:tabs>
          <w:tab w:val="left" w:pos="0"/>
        </w:tabs>
        <w:spacing w:after="0" w:line="276" w:lineRule="auto"/>
        <w:jc w:val="both"/>
        <w:rPr>
          <w:rFonts w:ascii="Century Gothic" w:eastAsia="Calibri" w:hAnsi="Century Gothic" w:cs="Arial"/>
          <w:bCs/>
          <w:lang w:val="es-ES_tradnl" w:eastAsia="es-ES_tradnl"/>
        </w:rPr>
      </w:pPr>
    </w:p>
    <w:p w14:paraId="19BE6504" w14:textId="77777777" w:rsidR="00B03E39" w:rsidRPr="00B03E39" w:rsidRDefault="00B03E39" w:rsidP="00B03E39">
      <w:pPr>
        <w:tabs>
          <w:tab w:val="left" w:pos="0"/>
        </w:tabs>
        <w:spacing w:after="0" w:line="240" w:lineRule="auto"/>
        <w:ind w:left="709" w:right="709"/>
        <w:contextualSpacing/>
        <w:jc w:val="both"/>
        <w:rPr>
          <w:rFonts w:ascii="Century Gothic" w:eastAsia="Times New Roman" w:hAnsi="Century Gothic" w:cs="Arial"/>
          <w:sz w:val="21"/>
          <w:szCs w:val="21"/>
          <w:lang w:val="es-ES_tradnl" w:eastAsia="es-ES_tradnl"/>
        </w:rPr>
      </w:pPr>
      <w:r w:rsidRPr="00B03E39">
        <w:rPr>
          <w:rFonts w:ascii="Century Gothic" w:eastAsia="Times New Roman" w:hAnsi="Century Gothic"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8361ADA" w14:textId="77777777" w:rsidR="00B03E39" w:rsidRPr="00B03E39" w:rsidRDefault="00B03E39" w:rsidP="00B03E39">
      <w:pPr>
        <w:tabs>
          <w:tab w:val="left" w:pos="0"/>
        </w:tabs>
        <w:spacing w:after="0" w:line="240" w:lineRule="auto"/>
        <w:ind w:left="709" w:right="709"/>
        <w:contextualSpacing/>
        <w:jc w:val="both"/>
        <w:rPr>
          <w:rFonts w:ascii="Century Gothic" w:eastAsia="Times New Roman" w:hAnsi="Century Gothic" w:cs="Arial"/>
          <w:sz w:val="12"/>
          <w:szCs w:val="12"/>
          <w:lang w:val="es-ES_tradnl" w:eastAsia="es-ES_tradnl"/>
        </w:rPr>
      </w:pPr>
    </w:p>
    <w:p w14:paraId="0EB0F337" w14:textId="77777777" w:rsidR="00B03E39" w:rsidRPr="00B03E39" w:rsidRDefault="00B03E39" w:rsidP="00B03E39">
      <w:pPr>
        <w:tabs>
          <w:tab w:val="left" w:pos="0"/>
        </w:tabs>
        <w:spacing w:after="0" w:line="240" w:lineRule="auto"/>
        <w:ind w:left="709" w:right="709"/>
        <w:contextualSpacing/>
        <w:jc w:val="both"/>
        <w:rPr>
          <w:rFonts w:ascii="Century Gothic" w:eastAsia="Times New Roman" w:hAnsi="Century Gothic" w:cs="Arial"/>
          <w:sz w:val="21"/>
          <w:szCs w:val="21"/>
          <w:lang w:val="es-ES_tradnl" w:eastAsia="es-ES_tradnl"/>
        </w:rPr>
      </w:pPr>
      <w:r w:rsidRPr="00B03E39">
        <w:rPr>
          <w:rFonts w:ascii="Century Gothic" w:eastAsia="Times New Roman" w:hAnsi="Century Gothic"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356F4C8A" w14:textId="77777777" w:rsidR="00B03E39" w:rsidRPr="00B03E39" w:rsidRDefault="00B03E39" w:rsidP="00B03E39">
      <w:pPr>
        <w:tabs>
          <w:tab w:val="left" w:pos="0"/>
        </w:tabs>
        <w:spacing w:after="0" w:line="240" w:lineRule="auto"/>
        <w:ind w:left="709" w:right="709"/>
        <w:contextualSpacing/>
        <w:jc w:val="both"/>
        <w:rPr>
          <w:rFonts w:ascii="Century Gothic" w:eastAsia="Times New Roman" w:hAnsi="Century Gothic" w:cs="Arial"/>
          <w:sz w:val="12"/>
          <w:szCs w:val="12"/>
          <w:lang w:val="es-ES_tradnl" w:eastAsia="es-ES_tradnl"/>
        </w:rPr>
      </w:pPr>
    </w:p>
    <w:p w14:paraId="09D80F85" w14:textId="77777777" w:rsidR="00B03E39" w:rsidRPr="00B03E39" w:rsidRDefault="00B03E39" w:rsidP="00B03E39">
      <w:pPr>
        <w:spacing w:after="0" w:line="240" w:lineRule="auto"/>
        <w:ind w:left="709" w:right="709"/>
        <w:contextualSpacing/>
        <w:jc w:val="both"/>
        <w:rPr>
          <w:rFonts w:ascii="Century Gothic" w:eastAsia="Calibri" w:hAnsi="Century Gothic" w:cs="Arial"/>
          <w:sz w:val="21"/>
          <w:szCs w:val="21"/>
          <w:lang w:val="es-ES" w:eastAsia="es-ES"/>
        </w:rPr>
      </w:pPr>
      <w:r w:rsidRPr="00B03E39">
        <w:rPr>
          <w:rFonts w:ascii="Century Gothic" w:eastAsia="Times New Roman" w:hAnsi="Century Gothic" w:cs="Arial"/>
          <w:sz w:val="21"/>
          <w:szCs w:val="21"/>
          <w:lang w:val="es-ES" w:eastAsia="es-ES"/>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40D81C6F" w14:textId="77777777" w:rsidR="00B03E39" w:rsidRPr="00B03E39" w:rsidRDefault="00B03E39" w:rsidP="00B03E39">
      <w:pPr>
        <w:tabs>
          <w:tab w:val="left" w:pos="0"/>
        </w:tabs>
        <w:spacing w:after="0" w:line="276" w:lineRule="auto"/>
        <w:contextualSpacing/>
        <w:jc w:val="both"/>
        <w:rPr>
          <w:rFonts w:ascii="Century Gothic" w:eastAsia="Calibri" w:hAnsi="Century Gothic" w:cs="Arial"/>
          <w:bCs/>
          <w:lang w:val="es-ES_tradnl" w:eastAsia="es-ES_tradnl"/>
        </w:rPr>
      </w:pPr>
    </w:p>
    <w:p w14:paraId="3DC7B43A" w14:textId="77777777" w:rsidR="00B03E39" w:rsidRPr="00B03E39" w:rsidRDefault="00B03E39" w:rsidP="00B03E39">
      <w:pPr>
        <w:tabs>
          <w:tab w:val="left" w:pos="0"/>
        </w:tabs>
        <w:spacing w:after="12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lastRenderedPageBreak/>
        <w:tab/>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Por esto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3159F01C" w14:textId="77777777" w:rsidR="00B03E39" w:rsidRPr="00B03E39" w:rsidRDefault="00B03E39" w:rsidP="00B03E39">
      <w:pPr>
        <w:tabs>
          <w:tab w:val="left" w:pos="0"/>
        </w:tabs>
        <w:spacing w:after="12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625D303F" w14:textId="77777777" w:rsidR="00B03E39" w:rsidRPr="00B03E39" w:rsidRDefault="00B03E39" w:rsidP="00B03E39">
      <w:pPr>
        <w:tabs>
          <w:tab w:val="left" w:pos="0"/>
        </w:tabs>
        <w:spacing w:after="120" w:line="276" w:lineRule="auto"/>
        <w:jc w:val="both"/>
        <w:rPr>
          <w:rFonts w:ascii="Century Gothic" w:eastAsia="Calibri" w:hAnsi="Century Gothic" w:cs="Arial"/>
          <w:lang w:val="es-ES_tradnl" w:eastAsia="es-ES_tradnl"/>
        </w:rPr>
      </w:pPr>
      <w:r w:rsidRPr="00B03E39">
        <w:rPr>
          <w:rFonts w:ascii="Century Gothic" w:eastAsia="Calibri" w:hAnsi="Century Gothic" w:cs="Arial"/>
          <w:bCs/>
          <w:lang w:val="es-ES_tradnl" w:eastAsia="es-ES_tradnl"/>
        </w:rPr>
        <w:tab/>
      </w:r>
      <w:r w:rsidRPr="00B03E39">
        <w:rPr>
          <w:rFonts w:ascii="Century Gothic" w:eastAsia="Calibri" w:hAnsi="Century Gothic" w:cs="Arial"/>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por contexto conforme al criterio hermenéutico del artículo 30 del Código Civil, según el cual “Los pasajes oscuros de una ley pueden ser ilustrados por medio de otras leyes, particularmente si versan sobre el mismo asunto”, y de interpretación por extensión de una ley consagrada en el artículo 31 </w:t>
      </w:r>
      <w:r w:rsidRPr="00B03E39">
        <w:rPr>
          <w:rFonts w:ascii="Century Gothic" w:eastAsia="Calibri" w:hAnsi="Century Gothic" w:cs="Arial"/>
          <w:i/>
          <w:iCs/>
          <w:lang w:val="es-ES_tradnl" w:eastAsia="es-ES_tradnl"/>
        </w:rPr>
        <w:t>ibidem</w:t>
      </w:r>
      <w:r w:rsidRPr="00B03E39">
        <w:rPr>
          <w:rFonts w:ascii="Century Gothic" w:eastAsia="Calibri" w:hAnsi="Century Gothic" w:cs="Arial"/>
          <w:lang w:val="es-ES_tradnl" w:eastAsia="es-ES_tradnl"/>
        </w:rPr>
        <w:t xml:space="preserve">, conforme al cual “Lo favorable u odioso de una disposición no se tomará en cuenta para ampliar o restringir su interpretación. La extensión que deba darse a toda ley se determinará por su genuino sentido, y según las reglas de interpretación precedentes”. </w:t>
      </w:r>
      <w:r w:rsidRPr="00B03E39">
        <w:rPr>
          <w:rFonts w:ascii="Century Gothic" w:eastAsia="Calibri" w:hAnsi="Century Gothic" w:cs="Arial"/>
          <w:bCs/>
          <w:lang w:val="es-ES_tradnl" w:eastAsia="es-ES_tradnl"/>
        </w:rPr>
        <w:t>Desde esta perspectiva, no pudiera</w:t>
      </w:r>
      <w:r w:rsidRPr="00B03E39">
        <w:rPr>
          <w:rFonts w:ascii="Century Gothic" w:eastAsia="Calibri" w:hAnsi="Century Gothic" w:cs="Arial"/>
          <w:lang w:val="es-ES_tradnl" w:eastAsia="es-ES_tradnl"/>
        </w:rPr>
        <w:t xml:space="preserve"> pensarse entonces que se extiende la aplicación a particulares y a entidades con régimen de contratación especial la obligatoriedad de adelantar </w:t>
      </w:r>
      <w:r w:rsidRPr="00B03E39">
        <w:rPr>
          <w:rFonts w:ascii="Century Gothic" w:eastAsia="Calibri" w:hAnsi="Century Gothic" w:cs="Arial"/>
          <w:lang w:val="es-ES_tradnl" w:eastAsia="es-ES_tradnl"/>
        </w:rPr>
        <w:lastRenderedPageBreak/>
        <w:t>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w:t>
      </w:r>
      <w:r w:rsidRPr="00B03E39">
        <w:rPr>
          <w:rFonts w:ascii="Century Gothic" w:eastAsia="Calibri" w:hAnsi="Century Gothic" w:cs="Arial"/>
          <w:bCs/>
          <w:lang w:val="es-ES_tradnl" w:eastAsia="es-ES_tradnl"/>
        </w:rPr>
        <w:t xml:space="preserve"> </w:t>
      </w:r>
      <w:r w:rsidRPr="00B03E39">
        <w:rPr>
          <w:rFonts w:ascii="Century Gothic" w:eastAsia="Calibri" w:hAnsi="Century Gothic" w:cs="Arial"/>
          <w:lang w:val="es-ES_tradnl" w:eastAsia="es-ES_tradnl"/>
        </w:rPr>
        <w:t xml:space="preserve">la obligatoriedad de utilizar documentos pliego tipo </w:t>
      </w:r>
      <w:r w:rsidRPr="00B03E39">
        <w:rPr>
          <w:rFonts w:ascii="Century Gothic" w:eastAsia="Calibri" w:hAnsi="Century Gothic" w:cs="Arial"/>
          <w:bCs/>
          <w:lang w:val="es-ES_tradnl" w:eastAsia="es-ES_tradnl"/>
        </w:rPr>
        <w:t xml:space="preserve">se extiende </w:t>
      </w:r>
      <w:r w:rsidRPr="00B03E39">
        <w:rPr>
          <w:rFonts w:ascii="Century Gothic" w:eastAsia="Calibri" w:hAnsi="Century Gothic" w:cs="Arial"/>
          <w:lang w:val="es-ES_tradnl" w:eastAsia="es-ES_tradnl"/>
        </w:rPr>
        <w:t xml:space="preserve">en los convenios o contratos interadministrativos o de cualquier otra índole, </w:t>
      </w:r>
      <w:r w:rsidRPr="00B03E39">
        <w:rPr>
          <w:rFonts w:ascii="Century Gothic" w:eastAsia="Calibri" w:hAnsi="Century Gothic" w:cs="Arial"/>
          <w:bCs/>
          <w:lang w:val="es-ES_tradnl" w:eastAsia="es-ES_tradnl"/>
        </w:rPr>
        <w:t>y</w:t>
      </w:r>
      <w:r w:rsidRPr="00B03E39">
        <w:rPr>
          <w:rFonts w:ascii="Century Gothic" w:eastAsia="Calibri" w:hAnsi="Century Gothic" w:cs="Arial"/>
          <w:lang w:val="es-ES_tradnl" w:eastAsia="es-ES_tradnl"/>
        </w:rPr>
        <w:t>a las diferentes modalidades de selección de los Procesos de Contratación adelantados por entidades sometidas al EGCAP</w:t>
      </w:r>
      <w:r w:rsidRPr="00B03E39">
        <w:rPr>
          <w:rFonts w:ascii="Century Gothic" w:eastAsia="Calibri" w:hAnsi="Century Gothic" w:cs="Arial"/>
          <w:bCs/>
          <w:lang w:val="es-ES_tradnl" w:eastAsia="es-ES_tradnl"/>
        </w:rPr>
        <w:t>.</w:t>
      </w:r>
    </w:p>
    <w:p w14:paraId="2C10C511" w14:textId="77777777" w:rsidR="00B03E39" w:rsidRPr="00B03E39" w:rsidRDefault="00B03E39" w:rsidP="00B03E39">
      <w:pPr>
        <w:tabs>
          <w:tab w:val="left" w:pos="0"/>
        </w:tabs>
        <w:spacing w:after="12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t>Antes de la expedición del artículo 56 de la Ley 2195 de 2022, ya se había establecido el mandato de aplicación obligatoria de los documentos tipo para las entidades estatales sometidas al EGCAP, atribuyendo a esta Agencia la competencia para expedirlos. Esta norma imperativa debía observarse siempre y cuando el objeto contratar esté cobijado por algún documento tipo vigente, no obstante, si la Entidad Estatal optaba bajo la modalidad de selección de contratación directa, celebrar convenios o contratos interadministrativos, o de cualquier otra índole, con entidades con regímenes especiales o de derecho privado, era un asunto que escapaba del ámbito de aplicación de lo establecido por la Ley 2022 de 2020, incluso tratándose de obras o servicios para cuya contratación le fuese aplicable los documentos tipo vigentes.</w:t>
      </w:r>
    </w:p>
    <w:p w14:paraId="1A64F166" w14:textId="77777777" w:rsidR="00B03E39" w:rsidRPr="00B03E39" w:rsidRDefault="00B03E39" w:rsidP="00B03E39">
      <w:pPr>
        <w:tabs>
          <w:tab w:val="left" w:pos="0"/>
        </w:tabs>
        <w:spacing w:after="12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r>
      <w:r w:rsidRPr="00B03E39">
        <w:rPr>
          <w:rFonts w:ascii="Century Gothic" w:eastAsia="Calibri" w:hAnsi="Century Gothic" w:cs="Arial"/>
          <w:lang w:val="es-ES_tradnl" w:eastAsia="es-ES_tradnl"/>
        </w:rPr>
        <w:t>Ahora,</w:t>
      </w:r>
      <w:r w:rsidRPr="00B03E39">
        <w:rPr>
          <w:rFonts w:ascii="Century Gothic" w:eastAsia="Calibri" w:hAnsi="Century Gothic" w:cs="Arial"/>
          <w:bCs/>
          <w:lang w:val="es-ES_tradnl" w:eastAsia="es-ES_tradnl"/>
        </w:rPr>
        <w:t xml:space="preserve"> con la entrada en vigencia del artículo 56 de la Ley 2195 de 2022, la aplicación de documentos pliego tipo resulta obligatoria cuando la Entidad Estatal opta por celebrar convenios o contratos interadministrativos, o de cualquier otra índole, sin que por ello implique que las entidades de regímenes especiales de contratación, patrimonios autónomos o personas naturales o jurídicas de derecho privado se las haya habilitado legalmente para que apliquen documentos pliego tipo en su contratación privada, por cuanto, la norma parte de la premisa fundamental de que la aplicación de estos solo es procedente para entidades cuyo régimen contractual corresponde al EGCAP. Esto en la medida en que, </w:t>
      </w:r>
      <w:bookmarkStart w:id="10" w:name="_Hlk109963698"/>
      <w:r w:rsidRPr="00B03E39">
        <w:rPr>
          <w:rFonts w:ascii="Century Gothic" w:eastAsia="Calibri" w:hAnsi="Century Gothic" w:cs="Arial"/>
          <w:bCs/>
          <w:lang w:val="es-ES_tradnl" w:eastAsia="es-ES_tradnl"/>
        </w:rPr>
        <w:t>el parágrafo 7 del artículo 2 de la Ley 1150 de 2007, modificado por la Ley 2022 de 2020, solo se refiere a la obligación de aplicar los documentos tipo en los procesos de contratación que adelanten las entidades sometidas al EGCAP.</w:t>
      </w:r>
      <w:r w:rsidRPr="00B03E39">
        <w:rPr>
          <w:rFonts w:ascii="Century Gothic" w:eastAsia="Calibri" w:hAnsi="Century Gothic" w:cs="Arial"/>
          <w:bCs/>
          <w:strike/>
          <w:lang w:val="es-ES_tradnl" w:eastAsia="es-ES_tradnl"/>
        </w:rPr>
        <w:t xml:space="preserve"> </w:t>
      </w:r>
      <w:bookmarkEnd w:id="10"/>
    </w:p>
    <w:p w14:paraId="2D8D8FD3" w14:textId="77777777" w:rsidR="00B03E39" w:rsidRPr="00B03E39" w:rsidRDefault="00B03E39" w:rsidP="00B03E39">
      <w:pPr>
        <w:spacing w:after="120" w:line="276" w:lineRule="auto"/>
        <w:ind w:firstLine="709"/>
        <w:jc w:val="both"/>
        <w:rPr>
          <w:rFonts w:ascii="Century Gothic" w:eastAsia="Calibri" w:hAnsi="Century Gothic" w:cs="Arial"/>
          <w:lang w:val="es-ES" w:eastAsia="es-ES"/>
        </w:rPr>
      </w:pPr>
      <w:r w:rsidRPr="00B03E39">
        <w:rPr>
          <w:rFonts w:ascii="Century Gothic" w:eastAsia="Calibri" w:hAnsi="Century Gothic" w:cs="Arial"/>
        </w:rPr>
        <w:t xml:space="preserve">Esta Agencia ha considerado, como se explicó </w:t>
      </w:r>
      <w:r w:rsidRPr="00B03E39">
        <w:rPr>
          <w:rFonts w:ascii="Century Gothic" w:eastAsia="Calibri" w:hAnsi="Century Gothic" w:cs="Arial"/>
          <w:i/>
          <w:iCs/>
        </w:rPr>
        <w:t>ut supra</w:t>
      </w:r>
      <w:r w:rsidRPr="00B03E39">
        <w:rPr>
          <w:rFonts w:ascii="Century Gothic" w:eastAsia="Calibri" w:hAnsi="Century Gothic" w:cs="Arial"/>
        </w:rPr>
        <w:t xml:space="preserve">, que </w:t>
      </w:r>
      <w:r w:rsidRPr="00B03E39">
        <w:rPr>
          <w:rFonts w:ascii="Century Gothic" w:eastAsia="Calibri" w:hAnsi="Century Gothic" w:cs="Arial"/>
          <w:lang w:val="es-ES" w:eastAsia="es-ES"/>
        </w:rPr>
        <w:t xml:space="preserve">el artículo 56 de la Ley 2195 de 2022 surge como una disposición complementaria de la Ley 2022 de 2020, en la medida en que la norma busca extender la aplicación obligatoria </w:t>
      </w:r>
      <w:r w:rsidRPr="00B03E39">
        <w:rPr>
          <w:rFonts w:ascii="Century Gothic" w:eastAsia="Calibri" w:hAnsi="Century Gothic" w:cs="Arial"/>
          <w:lang w:val="es-ES" w:eastAsia="es-ES"/>
        </w:rPr>
        <w:lastRenderedPageBreak/>
        <w:t>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Pr="00B03E39">
        <w:rPr>
          <w:rFonts w:ascii="Century Gothic" w:eastAsia="Calibri" w:hAnsi="Century Gothic" w:cs="Arial"/>
          <w:vertAlign w:val="superscript"/>
          <w:lang w:val="es-ES" w:eastAsia="es-ES"/>
        </w:rPr>
        <w:footnoteReference w:id="17"/>
      </w:r>
      <w:r w:rsidRPr="00B03E39">
        <w:rPr>
          <w:rFonts w:ascii="Century Gothic" w:eastAsia="Calibri" w:hAnsi="Century Gothic" w:cs="Arial"/>
          <w:lang w:val="es-ES" w:eastAsia="es-ES"/>
        </w:rPr>
        <w:t xml:space="preserve">, ahora deberán tenerse en cuenta las siguientes reglas: i) </w:t>
      </w:r>
      <w:r w:rsidRPr="00B03E39">
        <w:rPr>
          <w:rFonts w:ascii="Century Gothic" w:eastAsia="Calibri" w:hAnsi="Century Gothic" w:cs="Arial"/>
          <w:i/>
          <w:lang w:val="es-ES" w:eastAsia="es-ES"/>
        </w:rPr>
        <w:t>en el caso de los convenios interadministrativos o de cualquier otra índole:</w:t>
      </w:r>
      <w:r w:rsidRPr="00B03E39">
        <w:rPr>
          <w:rFonts w:ascii="Century Gothic" w:eastAsia="Calibri" w:hAnsi="Century Gothic"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ii) </w:t>
      </w:r>
      <w:r w:rsidRPr="00B03E39">
        <w:rPr>
          <w:rFonts w:ascii="Century Gothic" w:eastAsia="Calibri" w:hAnsi="Century Gothic" w:cs="Arial"/>
          <w:i/>
          <w:lang w:val="es-ES" w:eastAsia="es-ES"/>
        </w:rPr>
        <w:t>en el caso de los contratos interadministrativos</w:t>
      </w:r>
      <w:r w:rsidRPr="00B03E39">
        <w:rPr>
          <w:rFonts w:ascii="Century Gothic" w:eastAsia="Calibri" w:hAnsi="Century Gothic" w:cs="Arial"/>
          <w:lang w:val="es-ES" w:eastAsia="es-ES"/>
        </w:rPr>
        <w:t xml:space="preserve"> </w:t>
      </w:r>
      <w:r w:rsidRPr="00B03E39">
        <w:rPr>
          <w:rFonts w:ascii="Century Gothic" w:eastAsia="Calibri" w:hAnsi="Century Gothic" w:cs="Arial"/>
          <w:i/>
          <w:lang w:val="es-ES" w:eastAsia="es-ES"/>
        </w:rPr>
        <w:t>o de cualquier otra índole</w:t>
      </w:r>
      <w:r w:rsidRPr="00B03E39">
        <w:rPr>
          <w:rFonts w:ascii="Century Gothic" w:eastAsia="Calibri" w:hAnsi="Century Gothic" w:cs="Arial"/>
          <w:lang w:val="es-ES" w:eastAsia="es-ES"/>
        </w:rPr>
        <w:t xml:space="preserve">: </w:t>
      </w:r>
      <w:r w:rsidRPr="00B03E39">
        <w:rPr>
          <w:rFonts w:ascii="Century Gothic" w:eastAsia="Times New Roman" w:hAnsi="Century Gothic" w:cs="Arial"/>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00B03E39">
        <w:rPr>
          <w:rFonts w:ascii="Century Gothic" w:eastAsia="Calibri" w:hAnsi="Century Gothic" w:cs="Arial"/>
          <w:lang w:val="es-ES" w:eastAsia="es-ES"/>
        </w:rPr>
        <w:t>entidad sometida al EGCAP.</w:t>
      </w:r>
    </w:p>
    <w:p w14:paraId="2AD36D37" w14:textId="77777777" w:rsidR="00B03E39" w:rsidRPr="00B03E39" w:rsidRDefault="00B03E39" w:rsidP="00B03E39">
      <w:pPr>
        <w:tabs>
          <w:tab w:val="left" w:pos="0"/>
        </w:tabs>
        <w:spacing w:after="12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t xml:space="preserve"> </w:t>
      </w:r>
      <w:bookmarkStart w:id="12" w:name="_Hlk113023365"/>
      <w:r w:rsidRPr="00B03E39">
        <w:rPr>
          <w:rFonts w:ascii="Century Gothic" w:eastAsia="Calibri" w:hAnsi="Century Gothic" w:cs="Arial"/>
          <w:bCs/>
          <w:lang w:val="es-ES_tradnl" w:eastAsia="es-ES_tradnl"/>
        </w:rPr>
        <w:t xml:space="preserve">El segundo inciso de la norma bajo estudio usa la expresión </w:t>
      </w:r>
      <w:r w:rsidRPr="00B03E39">
        <w:rPr>
          <w:rFonts w:ascii="Century Gothic" w:eastAsia="Calibri" w:hAnsi="Century Gothic" w:cs="Arial"/>
          <w:lang w:val="es-ES_tradnl" w:eastAsia="es-ES_tradnl"/>
        </w:rPr>
        <w:t>“</w:t>
      </w:r>
      <w:r w:rsidRPr="00B03E39">
        <w:rPr>
          <w:rFonts w:ascii="Century Gothic" w:eastAsia="Times New Roman" w:hAnsi="Century Gothic" w:cs="Arial"/>
          <w:lang w:eastAsia="es-ES_tradnl"/>
        </w:rPr>
        <w:t>los procedimientos de selección y contratos que realicen en desarrollo de los anteriores negocios jurídicos</w:t>
      </w:r>
      <w:r w:rsidRPr="00B03E39">
        <w:rPr>
          <w:rFonts w:ascii="Century Gothic" w:eastAsia="Calibri" w:hAnsi="Century Gothic" w:cs="Arial"/>
          <w:lang w:val="es-ES_tradnl" w:eastAsia="es-ES_tradnl"/>
        </w:rPr>
        <w:t>”</w:t>
      </w:r>
      <w:r w:rsidRPr="00B03E39">
        <w:rPr>
          <w:rFonts w:ascii="Century Gothic" w:eastAsia="Times New Roman" w:hAnsi="Century Gothic" w:cs="Arial"/>
          <w:lang w:eastAsia="es-ES_tradnl"/>
        </w:rPr>
        <w:t xml:space="preserve">. Pudiera entenderse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en un objeto del que se desprende el suministro de un bien, </w:t>
      </w:r>
      <w:r w:rsidRPr="00B03E39">
        <w:rPr>
          <w:rFonts w:ascii="Century Gothic" w:eastAsia="Times New Roman" w:hAnsi="Century Gothic" w:cs="Arial"/>
          <w:lang w:eastAsia="es-ES_tradnl"/>
        </w:rPr>
        <w:lastRenderedPageBreak/>
        <w:t xml:space="preserve">obra o servicio cobijada por un documento tipo.  En ese sentido, la norma parte de la base de que para </w:t>
      </w:r>
      <w:r w:rsidRPr="00B03E39">
        <w:rPr>
          <w:rFonts w:ascii="Century Gothic" w:eastAsia="Times New Roman" w:hAnsi="Century Gothic" w:cs="Arial"/>
          <w:i/>
          <w:iCs/>
          <w:lang w:eastAsia="es-ES_tradnl"/>
        </w:rPr>
        <w:t>desarrollar</w:t>
      </w:r>
      <w:r w:rsidRPr="00B03E39">
        <w:rPr>
          <w:rFonts w:ascii="Century Gothic" w:eastAsia="Times New Roman" w:hAnsi="Century Gothic" w:cs="Arial"/>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0C11AF79" w14:textId="77777777" w:rsidR="00B03E39" w:rsidRPr="00B03E39" w:rsidRDefault="00B03E39" w:rsidP="00B03E39">
      <w:pPr>
        <w:spacing w:after="120" w:line="276" w:lineRule="auto"/>
        <w:jc w:val="both"/>
        <w:rPr>
          <w:rFonts w:ascii="Century Gothic" w:eastAsia="Calibri" w:hAnsi="Century Gothic" w:cs="Arial"/>
          <w:lang w:val="es-ES" w:eastAsia="es-ES"/>
        </w:rPr>
      </w:pPr>
      <w:r w:rsidRPr="00B03E39">
        <w:rPr>
          <w:rFonts w:ascii="Century Gothic" w:eastAsia="Calibri" w:hAnsi="Century Gothic" w:cs="Arial"/>
          <w:bCs/>
          <w:lang w:val="es-ES_tradnl" w:eastAsia="es-ES_tradnl"/>
        </w:rPr>
        <w:tab/>
      </w:r>
      <w:r w:rsidRPr="00B03E39">
        <w:rPr>
          <w:rFonts w:ascii="Century Gothic" w:eastAsia="Calibri" w:hAnsi="Century Gothic" w:cs="Arial"/>
          <w:lang w:val="es-ES" w:eastAsia="es-ES"/>
        </w:rPr>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bookmarkStart w:id="13" w:name="_Hlk113023433"/>
      <w:bookmarkEnd w:id="12"/>
      <w:r w:rsidRPr="00B03E39">
        <w:rPr>
          <w:rFonts w:ascii="Century Gothic" w:eastAsia="Calibri" w:hAnsi="Century Gothic" w:cs="Arial"/>
          <w:lang w:val="es-ES" w:eastAsia="es-ES"/>
        </w:rPr>
        <w:t xml:space="preserve">. 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13"/>
    </w:p>
    <w:p w14:paraId="1D857C4B" w14:textId="77777777" w:rsidR="00B03E39" w:rsidRPr="00B03E39" w:rsidRDefault="00B03E39" w:rsidP="00B03E39">
      <w:pPr>
        <w:spacing w:after="0" w:line="276" w:lineRule="auto"/>
        <w:jc w:val="both"/>
        <w:rPr>
          <w:rFonts w:ascii="Century Gothic" w:eastAsia="Calibri" w:hAnsi="Century Gothic" w:cs="Arial"/>
          <w:lang w:val="es-ES" w:eastAsia="es-ES"/>
        </w:rPr>
      </w:pPr>
      <w:r w:rsidRPr="00B03E39">
        <w:rPr>
          <w:rFonts w:ascii="Century Gothic" w:eastAsia="Calibri" w:hAnsi="Century Gothic" w:cs="Arial"/>
          <w:bCs/>
          <w:lang w:val="es-ES_tradnl" w:eastAsia="es-ES_tradnl"/>
        </w:rPr>
        <w:tab/>
      </w:r>
      <w:r w:rsidRPr="00B03E39">
        <w:rPr>
          <w:rFonts w:ascii="Century Gothic" w:eastAsia="Calibri" w:hAnsi="Century Gothic" w:cs="Arial"/>
          <w:lang w:val="es-ES" w:eastAsia="es-ES"/>
        </w:rPr>
        <w:t xml:space="preserve">Por tanto, el hecho de que la norma esté dirigida a las entidades sometidas al EGCAP, no tiene otro fin más que el de indicar que la obligación de emplear los documentos pliego tipo en el marco de un contrato o convenio interadministrativo, o de cualquier otra índole, recae sobre la misma,  pues solo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14:paraId="24FDF9BA" w14:textId="77777777" w:rsidR="00B03E39" w:rsidRPr="00B03E39" w:rsidRDefault="00B03E39" w:rsidP="00B03E39">
      <w:pPr>
        <w:spacing w:after="0" w:line="276" w:lineRule="auto"/>
        <w:contextualSpacing/>
        <w:jc w:val="both"/>
        <w:rPr>
          <w:rFonts w:ascii="Century Gothic" w:eastAsia="Calibri" w:hAnsi="Century Gothic" w:cs="Arial"/>
          <w:b/>
          <w:lang w:val="es-MX"/>
        </w:rPr>
      </w:pPr>
    </w:p>
    <w:p w14:paraId="3E621C0D" w14:textId="77777777" w:rsidR="00B03E39" w:rsidRPr="00B03E39" w:rsidRDefault="00B03E39" w:rsidP="00B03E39">
      <w:pPr>
        <w:tabs>
          <w:tab w:val="left" w:pos="0"/>
        </w:tabs>
        <w:spacing w:after="0" w:line="276" w:lineRule="auto"/>
        <w:jc w:val="both"/>
        <w:rPr>
          <w:rFonts w:ascii="Century Gothic" w:eastAsia="Calibri" w:hAnsi="Century Gothic" w:cs="Arial"/>
          <w:b/>
          <w:szCs w:val="24"/>
          <w:lang w:val="es-ES_tradnl" w:eastAsia="es-ES_tradnl"/>
        </w:rPr>
      </w:pPr>
      <w:r w:rsidRPr="00B03E39">
        <w:rPr>
          <w:rFonts w:ascii="Century Gothic" w:eastAsia="Calibri" w:hAnsi="Century Gothic" w:cs="Arial"/>
          <w:b/>
          <w:lang w:val="es-MX"/>
        </w:rPr>
        <w:t xml:space="preserve">2.3. </w:t>
      </w:r>
      <w:r w:rsidRPr="00B03E39">
        <w:rPr>
          <w:rFonts w:ascii="Century Gothic" w:eastAsia="Calibri" w:hAnsi="Century Gothic" w:cs="Arial"/>
          <w:b/>
          <w:szCs w:val="24"/>
          <w:lang w:val="es-ES_tradnl" w:eastAsia="es-ES_tradnl"/>
        </w:rPr>
        <w:t xml:space="preserve">La noción de </w:t>
      </w:r>
      <w:r w:rsidRPr="00B03E39">
        <w:rPr>
          <w:rFonts w:ascii="Century Gothic" w:eastAsia="Calibri" w:hAnsi="Century Gothic" w:cs="Arial"/>
          <w:b/>
          <w:i/>
          <w:iCs/>
          <w:szCs w:val="24"/>
          <w:lang w:val="es-ES_tradnl" w:eastAsia="es-ES_tradnl"/>
        </w:rPr>
        <w:t xml:space="preserve">giro ordinario </w:t>
      </w:r>
      <w:r w:rsidRPr="00B03E39">
        <w:rPr>
          <w:rFonts w:ascii="Century Gothic" w:eastAsia="Calibri" w:hAnsi="Century Gothic" w:cs="Arial"/>
          <w:b/>
          <w:szCs w:val="24"/>
          <w:lang w:val="es-ES_tradnl" w:eastAsia="es-ES_tradnl"/>
        </w:rPr>
        <w:t>y su relevancia para la aplicación del artículo 56 de la Ley 2195 de 2022</w:t>
      </w:r>
    </w:p>
    <w:p w14:paraId="54DB0380" w14:textId="77777777" w:rsidR="00B03E39" w:rsidRPr="00B03E39" w:rsidRDefault="00B03E39" w:rsidP="00B03E39">
      <w:pPr>
        <w:tabs>
          <w:tab w:val="left" w:pos="0"/>
        </w:tabs>
        <w:spacing w:after="0" w:line="276" w:lineRule="auto"/>
        <w:jc w:val="both"/>
        <w:rPr>
          <w:rFonts w:ascii="Century Gothic" w:eastAsia="Calibri" w:hAnsi="Century Gothic" w:cs="Arial"/>
          <w:b/>
          <w:szCs w:val="24"/>
          <w:lang w:val="es-ES_tradnl" w:eastAsia="es-ES_tradnl"/>
        </w:rPr>
      </w:pPr>
    </w:p>
    <w:p w14:paraId="71222B1A" w14:textId="77777777" w:rsidR="00B03E39" w:rsidRPr="00B03E39" w:rsidRDefault="00B03E39" w:rsidP="3E2CA965">
      <w:pPr>
        <w:spacing w:after="120" w:line="276" w:lineRule="auto"/>
        <w:jc w:val="both"/>
        <w:rPr>
          <w:rFonts w:ascii="Century Gothic" w:eastAsia="Calibri" w:hAnsi="Century Gothic" w:cs="Arial"/>
          <w:lang w:val="es-ES" w:eastAsia="es-ES"/>
        </w:rPr>
      </w:pPr>
      <w:r w:rsidRPr="3E2CA965">
        <w:rPr>
          <w:rFonts w:ascii="Century Gothic" w:eastAsia="Calibri" w:hAnsi="Century Gothic" w:cs="Arial"/>
          <w:lang w:val="es-ES" w:eastAsia="es-ES"/>
        </w:rPr>
        <w:t xml:space="preserve">Para responder la consulta, 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3E2CA965">
        <w:rPr>
          <w:rFonts w:ascii="Century Gothic" w:eastAsia="Calibri" w:hAnsi="Century Gothic" w:cs="Arial"/>
          <w:i/>
          <w:lang w:val="es-ES" w:eastAsia="es-ES"/>
        </w:rPr>
        <w:t>giro ordinario</w:t>
      </w:r>
      <w:r w:rsidRPr="3E2CA965">
        <w:rPr>
          <w:rFonts w:ascii="Century Gothic" w:eastAsia="Calibri" w:hAnsi="Century Gothic" w:cs="Arial"/>
          <w:lang w:val="es-ES" w:eastAsia="es-ES"/>
        </w:rPr>
        <w:t xml:space="preserve">. Conforme </w:t>
      </w:r>
      <w:r w:rsidRPr="3E2CA965">
        <w:rPr>
          <w:rFonts w:ascii="Century Gothic" w:eastAsia="Calibri" w:hAnsi="Century Gothic" w:cs="Arial"/>
          <w:lang w:val="es-ES" w:eastAsia="es-ES"/>
        </w:rPr>
        <w:lastRenderedPageBreak/>
        <w:t xml:space="preserve">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3E2CA965">
        <w:rPr>
          <w:rFonts w:ascii="Century Gothic" w:eastAsia="Calibri" w:hAnsi="Century Gothic" w:cs="Arial"/>
          <w:i/>
          <w:lang w:val="es-ES" w:eastAsia="es-ES"/>
        </w:rPr>
        <w:t>giro ordinario.</w:t>
      </w:r>
      <w:r w:rsidRPr="3E2CA965">
        <w:rPr>
          <w:rFonts w:ascii="Century Gothic" w:eastAsia="Calibri" w:hAnsi="Century Gothic" w:cs="Arial"/>
          <w:lang w:val="es-ES" w:eastAsia="es-ES"/>
        </w:rPr>
        <w:t xml:space="preserve"> Esto significa que, en la contratación asociada a su </w:t>
      </w:r>
      <w:r w:rsidRPr="3E2CA965">
        <w:rPr>
          <w:rFonts w:ascii="Century Gothic" w:eastAsia="Calibri" w:hAnsi="Century Gothic" w:cs="Arial"/>
          <w:i/>
          <w:lang w:val="es-ES" w:eastAsia="es-ES"/>
        </w:rPr>
        <w:t xml:space="preserve">giro ordinario, </w:t>
      </w:r>
      <w:r w:rsidRPr="3E2CA965">
        <w:rPr>
          <w:rFonts w:ascii="Century Gothic" w:eastAsia="Calibri" w:hAnsi="Century Gothic" w:cs="Arial"/>
          <w:lang w:val="es-ES" w:eastAsia="es-ES"/>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46DC69F9" w14:textId="77777777" w:rsidR="00B03E39" w:rsidRPr="00B03E39" w:rsidRDefault="00B03E39" w:rsidP="00B03E39">
      <w:pPr>
        <w:tabs>
          <w:tab w:val="left" w:pos="0"/>
        </w:tabs>
        <w:spacing w:after="120" w:line="276" w:lineRule="auto"/>
        <w:jc w:val="both"/>
        <w:rPr>
          <w:rFonts w:ascii="Century Gothic" w:eastAsia="Arial" w:hAnsi="Century Gothic" w:cs="Arial"/>
          <w:szCs w:val="24"/>
          <w:lang w:val="es-ES_tradnl" w:eastAsia="es-ES_tradnl"/>
        </w:rPr>
      </w:pPr>
      <w:r w:rsidRPr="00B03E39">
        <w:rPr>
          <w:rFonts w:ascii="Century Gothic" w:eastAsia="Calibri" w:hAnsi="Century Gothic" w:cs="Arial"/>
          <w:bCs/>
          <w:szCs w:val="24"/>
          <w:lang w:val="es-ES_tradnl" w:eastAsia="es-ES_tradnl"/>
        </w:rPr>
        <w:tab/>
        <w:t xml:space="preserve">Ahora, es importante tener en cuenta que cuando la norma se refiere a la contratación del </w:t>
      </w:r>
      <w:r w:rsidRPr="00B03E39">
        <w:rPr>
          <w:rFonts w:ascii="Century Gothic" w:eastAsia="Calibri" w:hAnsi="Century Gothic" w:cs="Arial"/>
          <w:bCs/>
          <w:i/>
          <w:iCs/>
          <w:szCs w:val="24"/>
          <w:lang w:val="es-ES_tradnl" w:eastAsia="es-ES_tradnl"/>
        </w:rPr>
        <w:t>giro ordinario</w:t>
      </w:r>
      <w:r w:rsidRPr="00B03E39">
        <w:rPr>
          <w:rFonts w:ascii="Century Gothic" w:eastAsia="Calibri" w:hAnsi="Century Gothic" w:cs="Arial"/>
          <w:bCs/>
          <w:szCs w:val="24"/>
          <w:lang w:val="es-ES_tradnl" w:eastAsia="es-ES_tradnl"/>
        </w:rPr>
        <w:t>, emplea un concepto jurídico indeterminado</w:t>
      </w:r>
      <w:r w:rsidRPr="00B03E39">
        <w:rPr>
          <w:rFonts w:ascii="Century Gothic" w:eastAsia="Calibri" w:hAnsi="Century Gothic" w:cs="Arial"/>
          <w:sz w:val="24"/>
          <w:szCs w:val="24"/>
          <w:vertAlign w:val="superscript"/>
          <w:lang w:eastAsia="es-ES_tradnl"/>
        </w:rPr>
        <w:footnoteReference w:id="18"/>
      </w:r>
      <w:r w:rsidRPr="00B03E39">
        <w:rPr>
          <w:rFonts w:ascii="Century Gothic" w:eastAsia="Calibri" w:hAnsi="Century Gothic" w:cs="Arial"/>
          <w:bCs/>
          <w:szCs w:val="24"/>
          <w:lang w:val="es-ES_tradnl" w:eastAsia="es-ES_tradnl"/>
        </w:rPr>
        <w:t xml:space="preserve">. </w:t>
      </w:r>
      <w:r w:rsidRPr="00B03E39">
        <w:rPr>
          <w:rFonts w:ascii="Century Gothic" w:eastAsia="Arial" w:hAnsi="Century Gothic" w:cs="Arial"/>
          <w:szCs w:val="24"/>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10DA5418" w14:textId="77777777" w:rsidR="00B03E39" w:rsidRPr="00B03E39" w:rsidRDefault="00B03E39" w:rsidP="00B03E39">
      <w:pPr>
        <w:tabs>
          <w:tab w:val="left" w:pos="0"/>
        </w:tabs>
        <w:spacing w:after="0" w:line="276" w:lineRule="auto"/>
        <w:ind w:firstLine="709"/>
        <w:jc w:val="both"/>
        <w:rPr>
          <w:rFonts w:ascii="Century Gothic" w:eastAsia="Calibri" w:hAnsi="Century Gothic" w:cs="Arial"/>
          <w:bCs/>
          <w:szCs w:val="24"/>
          <w:lang w:val="es-ES_tradnl" w:eastAsia="es-ES_tradnl"/>
        </w:rPr>
      </w:pPr>
      <w:r w:rsidRPr="00B03E39">
        <w:rPr>
          <w:rFonts w:ascii="Century Gothic" w:eastAsia="Arial" w:hAnsi="Century Gothic" w:cs="Arial"/>
          <w:szCs w:val="24"/>
          <w:lang w:val="es-ES_tradnl" w:eastAsia="es-ES_tradnl"/>
        </w:rPr>
        <w:t>La Corte Constitucional</w:t>
      </w:r>
      <w:r w:rsidRPr="00B03E39">
        <w:rPr>
          <w:rFonts w:ascii="Century Gothic" w:eastAsia="Arial" w:hAnsi="Century Gothic" w:cs="Arial"/>
          <w:sz w:val="24"/>
          <w:szCs w:val="24"/>
          <w:vertAlign w:val="superscript"/>
          <w:lang w:eastAsia="es-ES_tradnl"/>
        </w:rPr>
        <w:footnoteReference w:id="19"/>
      </w:r>
      <w:r w:rsidRPr="00B03E39">
        <w:rPr>
          <w:rFonts w:ascii="Century Gothic" w:eastAsia="Arial" w:hAnsi="Century Gothic" w:cs="Arial"/>
          <w:szCs w:val="24"/>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22D8E002" w14:textId="77777777" w:rsidR="00B03E39" w:rsidRPr="00B03E39" w:rsidRDefault="00B03E39" w:rsidP="00B03E39">
      <w:pPr>
        <w:tabs>
          <w:tab w:val="left" w:pos="0"/>
        </w:tabs>
        <w:spacing w:before="120" w:after="0" w:line="276" w:lineRule="auto"/>
        <w:ind w:firstLine="709"/>
        <w:jc w:val="both"/>
        <w:rPr>
          <w:rFonts w:ascii="Century Gothic" w:eastAsia="Calibri" w:hAnsi="Century Gothic" w:cs="Arial"/>
          <w:bCs/>
          <w:szCs w:val="24"/>
          <w:lang w:val="es-ES_tradnl" w:eastAsia="es-ES_tradnl"/>
        </w:rPr>
      </w:pPr>
      <w:r w:rsidRPr="00B03E39">
        <w:rPr>
          <w:rFonts w:ascii="Century Gothic" w:eastAsia="Calibri" w:hAnsi="Century Gothic" w:cs="Arial"/>
          <w:bCs/>
          <w:szCs w:val="24"/>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w:t>
      </w:r>
      <w:r w:rsidRPr="00B03E39">
        <w:rPr>
          <w:rFonts w:ascii="Century Gothic" w:eastAsia="Calibri" w:hAnsi="Century Gothic" w:cs="Arial"/>
          <w:bCs/>
          <w:szCs w:val="24"/>
          <w:lang w:val="es-ES_tradnl" w:eastAsia="es-ES_tradnl"/>
        </w:rPr>
        <w:lastRenderedPageBreak/>
        <w:t xml:space="preserve">expresión </w:t>
      </w:r>
      <w:r w:rsidRPr="00B03E39">
        <w:rPr>
          <w:rFonts w:ascii="Century Gothic" w:eastAsia="Calibri" w:hAnsi="Century Gothic" w:cs="Arial"/>
          <w:bCs/>
          <w:i/>
          <w:iCs/>
          <w:szCs w:val="24"/>
          <w:lang w:val="es-ES_tradnl" w:eastAsia="es-ES_tradnl"/>
        </w:rPr>
        <w:t xml:space="preserve">giro ordinario </w:t>
      </w:r>
      <w:r w:rsidRPr="00B03E39">
        <w:rPr>
          <w:rFonts w:ascii="Century Gothic" w:eastAsia="Calibri" w:hAnsi="Century Gothic" w:cs="Arial"/>
          <w:bCs/>
          <w:szCs w:val="24"/>
          <w:lang w:val="es-ES_tradnl" w:eastAsia="es-ES_tradnl"/>
        </w:rPr>
        <w:t>incluida en la redacción original del parágrafo 1 del artículo 32 de la Ley 80 de 1993</w:t>
      </w:r>
      <w:r w:rsidRPr="00B03E39">
        <w:rPr>
          <w:rFonts w:ascii="Century Gothic" w:eastAsia="Calibri" w:hAnsi="Century Gothic" w:cs="Arial"/>
          <w:sz w:val="24"/>
          <w:szCs w:val="24"/>
          <w:vertAlign w:val="superscript"/>
          <w:lang w:eastAsia="es-ES_tradnl"/>
        </w:rPr>
        <w:footnoteReference w:id="20"/>
      </w:r>
      <w:r w:rsidRPr="00B03E39">
        <w:rPr>
          <w:rFonts w:ascii="Century Gothic" w:eastAsia="Calibri" w:hAnsi="Century Gothic" w:cs="Arial"/>
          <w:bCs/>
          <w:szCs w:val="24"/>
          <w:lang w:val="es-ES_tradnl" w:eastAsia="es-ES_tradnl"/>
        </w:rPr>
        <w:t xml:space="preserve">, la Sección Tercera manifestó lo siguiente: </w:t>
      </w:r>
    </w:p>
    <w:p w14:paraId="7516648C" w14:textId="77777777" w:rsidR="00B03E39" w:rsidRPr="00B03E39" w:rsidRDefault="00B03E39" w:rsidP="00B03E39">
      <w:pPr>
        <w:tabs>
          <w:tab w:val="left" w:pos="0"/>
        </w:tabs>
        <w:spacing w:after="0" w:line="276" w:lineRule="auto"/>
        <w:jc w:val="both"/>
        <w:rPr>
          <w:rFonts w:ascii="Century Gothic" w:eastAsia="Calibri" w:hAnsi="Century Gothic" w:cs="Arial"/>
          <w:bCs/>
          <w:szCs w:val="24"/>
          <w:lang w:val="es-ES_tradnl" w:eastAsia="es-ES_tradnl"/>
        </w:rPr>
      </w:pPr>
    </w:p>
    <w:p w14:paraId="771C350F" w14:textId="77777777" w:rsidR="00B03E39" w:rsidRPr="00B03E39" w:rsidRDefault="00B03E39" w:rsidP="00B03E39">
      <w:pPr>
        <w:spacing w:after="0" w:line="240" w:lineRule="auto"/>
        <w:ind w:left="709" w:right="709"/>
        <w:jc w:val="both"/>
        <w:rPr>
          <w:rFonts w:ascii="Century Gothic" w:eastAsia="Times New Roman" w:hAnsi="Century Gothic" w:cs="Arial"/>
          <w:sz w:val="21"/>
          <w:szCs w:val="21"/>
          <w:lang w:val="es-ES_tradnl" w:eastAsia="es-CO"/>
        </w:rPr>
      </w:pPr>
      <w:r w:rsidRPr="00B03E39">
        <w:rPr>
          <w:rFonts w:ascii="Century Gothic" w:eastAsia="Times New Roman" w:hAnsi="Century Gothic" w:cs="Arial"/>
          <w:sz w:val="21"/>
          <w:szCs w:val="21"/>
          <w:lang w:val="es-ES_tradnl" w:eastAsia="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B03E39">
        <w:rPr>
          <w:rFonts w:ascii="Century Gothic" w:eastAsia="Times New Roman" w:hAnsi="Century Gothic" w:cs="Arial"/>
          <w:sz w:val="24"/>
          <w:szCs w:val="24"/>
          <w:vertAlign w:val="superscript"/>
          <w:lang w:eastAsia="es-ES_tradnl"/>
        </w:rPr>
        <w:footnoteReference w:id="21"/>
      </w:r>
      <w:r w:rsidRPr="00B03E39">
        <w:rPr>
          <w:rFonts w:ascii="Century Gothic" w:eastAsia="Times New Roman" w:hAnsi="Century Gothic" w:cs="Arial"/>
          <w:sz w:val="21"/>
          <w:szCs w:val="21"/>
          <w:lang w:val="es-ES_tradnl" w:eastAsia="es-ES_tradnl"/>
        </w:rPr>
        <w:t>.</w:t>
      </w:r>
    </w:p>
    <w:p w14:paraId="102C775D" w14:textId="77777777" w:rsidR="00B03E39" w:rsidRPr="00B03E39" w:rsidRDefault="00B03E39" w:rsidP="00B03E39">
      <w:pPr>
        <w:tabs>
          <w:tab w:val="left" w:pos="0"/>
        </w:tabs>
        <w:spacing w:after="0" w:line="276" w:lineRule="auto"/>
        <w:jc w:val="both"/>
        <w:rPr>
          <w:rFonts w:ascii="Century Gothic" w:eastAsia="Calibri" w:hAnsi="Century Gothic" w:cs="Arial"/>
          <w:bCs/>
          <w:i/>
          <w:iCs/>
          <w:szCs w:val="24"/>
          <w:lang w:val="es-ES_tradnl" w:eastAsia="es-ES_tradnl"/>
        </w:rPr>
      </w:pPr>
    </w:p>
    <w:p w14:paraId="14EBE874" w14:textId="77777777" w:rsidR="00B03E39" w:rsidRPr="00B03E39" w:rsidRDefault="00B03E39" w:rsidP="00B03E39">
      <w:pPr>
        <w:tabs>
          <w:tab w:val="left" w:pos="0"/>
        </w:tabs>
        <w:spacing w:after="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t xml:space="preserve">En el mismo sentido se pronunció el Alto Tribunal de lo Contencioso Administrativo, reiterando las anteriores consideraciones, al expresar que: </w:t>
      </w:r>
    </w:p>
    <w:p w14:paraId="3941706D" w14:textId="77777777" w:rsidR="00B03E39" w:rsidRPr="00B03E39" w:rsidRDefault="00B03E39" w:rsidP="00B03E39">
      <w:pPr>
        <w:tabs>
          <w:tab w:val="left" w:pos="0"/>
        </w:tabs>
        <w:spacing w:after="0" w:line="240" w:lineRule="auto"/>
        <w:ind w:left="709" w:right="709"/>
        <w:jc w:val="both"/>
        <w:rPr>
          <w:rFonts w:ascii="Century Gothic" w:eastAsia="Calibri" w:hAnsi="Century Gothic" w:cs="Arial"/>
          <w:bCs/>
          <w:sz w:val="21"/>
          <w:szCs w:val="21"/>
          <w:lang w:val="es-ES_tradnl" w:eastAsia="es-ES_tradnl"/>
        </w:rPr>
      </w:pPr>
    </w:p>
    <w:p w14:paraId="1E82C79D" w14:textId="77777777" w:rsidR="00B03E39" w:rsidRPr="00B03E39" w:rsidRDefault="00B03E39" w:rsidP="3E2CA965">
      <w:pPr>
        <w:spacing w:after="0" w:line="240" w:lineRule="auto"/>
        <w:ind w:left="709" w:right="709"/>
        <w:jc w:val="both"/>
        <w:rPr>
          <w:rFonts w:ascii="Century Gothic" w:eastAsia="Calibri" w:hAnsi="Century Gothic" w:cs="Arial"/>
          <w:sz w:val="21"/>
          <w:szCs w:val="21"/>
          <w:lang w:val="es-ES" w:eastAsia="es-ES"/>
        </w:rPr>
      </w:pPr>
      <w:r w:rsidRPr="3E2CA965">
        <w:rPr>
          <w:rFonts w:ascii="Century Gothic" w:eastAsia="Calibri" w:hAnsi="Century Gothic" w:cs="Arial"/>
          <w:sz w:val="21"/>
          <w:szCs w:val="21"/>
          <w:lang w:val="es-ES" w:eastAsia="es-ES"/>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1A30867D" w14:textId="77777777" w:rsidR="00B03E39" w:rsidRPr="00B03E39" w:rsidRDefault="00B03E39" w:rsidP="00B03E39">
      <w:pPr>
        <w:tabs>
          <w:tab w:val="left" w:pos="0"/>
        </w:tabs>
        <w:spacing w:after="0" w:line="240" w:lineRule="auto"/>
        <w:ind w:left="709" w:right="709"/>
        <w:jc w:val="both"/>
        <w:rPr>
          <w:rFonts w:ascii="Century Gothic" w:eastAsia="Calibri" w:hAnsi="Century Gothic" w:cs="Arial"/>
          <w:bCs/>
          <w:sz w:val="21"/>
          <w:szCs w:val="21"/>
          <w:lang w:val="es-ES_tradnl" w:eastAsia="es-ES_tradnl"/>
        </w:rPr>
      </w:pPr>
    </w:p>
    <w:p w14:paraId="52A42294" w14:textId="77777777" w:rsidR="00B03E39" w:rsidRPr="00B03E39" w:rsidRDefault="00B03E39" w:rsidP="3E2CA965">
      <w:pPr>
        <w:spacing w:after="0" w:line="240" w:lineRule="auto"/>
        <w:ind w:left="709" w:right="709"/>
        <w:jc w:val="both"/>
        <w:rPr>
          <w:rFonts w:ascii="Century Gothic" w:eastAsia="Calibri" w:hAnsi="Century Gothic" w:cs="Arial"/>
          <w:sz w:val="21"/>
          <w:szCs w:val="21"/>
          <w:lang w:val="es-ES" w:eastAsia="es-ES"/>
        </w:rPr>
      </w:pPr>
      <w:r w:rsidRPr="3E2CA965">
        <w:rPr>
          <w:rFonts w:ascii="Century Gothic" w:eastAsia="Calibri" w:hAnsi="Century Gothic" w:cs="Arial"/>
          <w:sz w:val="21"/>
          <w:szCs w:val="21"/>
          <w:lang w:val="es-ES" w:eastAsia="es-ES"/>
        </w:rPr>
        <w:t xml:space="preserve">Así las cosas, es razonable que el concepto de “giro ordinario de los negocios” sea compatible, de cara al sub lite, con el objeto y funciones de las empresas industriales y comerciales del estado –EICE– de carácter financiero, como lo es Fonade,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7DCF784E" w14:textId="77777777" w:rsidR="00B03E39" w:rsidRPr="00B03E39" w:rsidRDefault="00B03E39" w:rsidP="00B03E39">
      <w:pPr>
        <w:tabs>
          <w:tab w:val="left" w:pos="0"/>
        </w:tabs>
        <w:spacing w:after="0" w:line="240" w:lineRule="auto"/>
        <w:ind w:left="709" w:right="709"/>
        <w:jc w:val="both"/>
        <w:rPr>
          <w:rFonts w:ascii="Century Gothic" w:eastAsia="Calibri" w:hAnsi="Century Gothic" w:cs="Arial"/>
          <w:bCs/>
          <w:sz w:val="21"/>
          <w:szCs w:val="21"/>
          <w:lang w:val="es-ES_tradnl" w:eastAsia="es-ES_tradnl"/>
        </w:rPr>
      </w:pPr>
    </w:p>
    <w:p w14:paraId="1B4741CC" w14:textId="77777777" w:rsidR="00B03E39" w:rsidRPr="00B03E39" w:rsidRDefault="00B03E39" w:rsidP="00B03E39">
      <w:pPr>
        <w:tabs>
          <w:tab w:val="left" w:pos="0"/>
        </w:tabs>
        <w:spacing w:after="0" w:line="240" w:lineRule="auto"/>
        <w:ind w:left="709" w:right="709"/>
        <w:jc w:val="both"/>
        <w:rPr>
          <w:rFonts w:ascii="Century Gothic" w:eastAsia="Calibri" w:hAnsi="Century Gothic" w:cs="Arial"/>
          <w:bCs/>
          <w:sz w:val="21"/>
          <w:szCs w:val="21"/>
          <w:lang w:val="es-ES_tradnl" w:eastAsia="es-ES_tradnl"/>
        </w:rPr>
      </w:pPr>
      <w:r w:rsidRPr="00B03E39">
        <w:rPr>
          <w:rFonts w:ascii="Century Gothic" w:eastAsia="Calibri" w:hAnsi="Century Gothic" w:cs="Arial"/>
          <w:bCs/>
          <w:sz w:val="21"/>
          <w:szCs w:val="21"/>
          <w:lang w:val="es-ES_tradnl" w:eastAsia="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B03E39">
        <w:rPr>
          <w:rFonts w:ascii="Century Gothic" w:eastAsia="Calibri" w:hAnsi="Century Gothic" w:cs="Arial"/>
          <w:sz w:val="24"/>
          <w:szCs w:val="24"/>
          <w:vertAlign w:val="superscript"/>
          <w:lang w:eastAsia="es-ES_tradnl"/>
        </w:rPr>
        <w:footnoteReference w:id="22"/>
      </w:r>
      <w:r w:rsidRPr="00B03E39">
        <w:rPr>
          <w:rFonts w:ascii="Century Gothic" w:eastAsia="Calibri" w:hAnsi="Century Gothic" w:cs="Arial"/>
          <w:bCs/>
          <w:sz w:val="21"/>
          <w:szCs w:val="21"/>
          <w:lang w:val="es-ES_tradnl" w:eastAsia="es-ES_tradnl"/>
        </w:rPr>
        <w:t xml:space="preserve">. </w:t>
      </w:r>
    </w:p>
    <w:p w14:paraId="17B3F386" w14:textId="77777777" w:rsidR="00B03E39" w:rsidRPr="00B03E39" w:rsidRDefault="00B03E39" w:rsidP="00B03E39">
      <w:pPr>
        <w:tabs>
          <w:tab w:val="left" w:pos="0"/>
        </w:tabs>
        <w:spacing w:after="0" w:line="276" w:lineRule="auto"/>
        <w:jc w:val="both"/>
        <w:rPr>
          <w:rFonts w:ascii="Century Gothic" w:eastAsia="Calibri" w:hAnsi="Century Gothic" w:cs="Arial"/>
          <w:bCs/>
          <w:szCs w:val="24"/>
          <w:lang w:val="es-ES_tradnl" w:eastAsia="es-ES_tradnl"/>
        </w:rPr>
      </w:pPr>
      <w:r w:rsidRPr="00B03E39">
        <w:rPr>
          <w:rFonts w:ascii="Century Gothic" w:eastAsia="Calibri" w:hAnsi="Century Gothic" w:cs="Arial"/>
          <w:bCs/>
          <w:szCs w:val="24"/>
          <w:lang w:val="es-ES_tradnl" w:eastAsia="es-ES_tradnl"/>
        </w:rPr>
        <w:tab/>
      </w:r>
    </w:p>
    <w:p w14:paraId="6D9208EF" w14:textId="77777777" w:rsidR="00B03E39" w:rsidRPr="00B03E39" w:rsidRDefault="00B03E39" w:rsidP="00B03E39">
      <w:pPr>
        <w:tabs>
          <w:tab w:val="left" w:pos="0"/>
        </w:tabs>
        <w:spacing w:after="12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t xml:space="preserve">Conforme con lo expresado en estas providencias, el </w:t>
      </w:r>
      <w:r w:rsidRPr="00B03E39">
        <w:rPr>
          <w:rFonts w:ascii="Century Gothic" w:eastAsia="Calibri" w:hAnsi="Century Gothic" w:cs="Arial"/>
          <w:bCs/>
          <w:i/>
          <w:iCs/>
          <w:lang w:val="es-ES_tradnl" w:eastAsia="es-ES_tradnl"/>
        </w:rPr>
        <w:t xml:space="preserve">giro ordinario </w:t>
      </w:r>
      <w:r w:rsidRPr="00B03E39">
        <w:rPr>
          <w:rFonts w:ascii="Century Gothic" w:eastAsia="Calibri" w:hAnsi="Century Gothic" w:cs="Arial"/>
          <w:bCs/>
          <w:lang w:val="es-ES_tradnl" w:eastAsia="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B03E39">
        <w:rPr>
          <w:rFonts w:ascii="Century Gothic" w:eastAsia="Times New Roman" w:hAnsi="Century Gothic" w:cs="Arial"/>
          <w:lang w:val="es-ES_tradnl" w:eastAsia="es-ES_tradnl"/>
        </w:rPr>
        <w:t>s]e</w:t>
      </w:r>
      <w:r w:rsidRPr="00B03E39">
        <w:rPr>
          <w:rFonts w:ascii="Century Gothic" w:eastAsia="Calibri" w:hAnsi="Century Gothic" w:cs="Arial"/>
          <w:bCs/>
          <w:lang w:val="es-ES_tradnl" w:eastAsia="es-ES_tradnl"/>
        </w:rPr>
        <w:t xml:space="preserve"> entenderán incluidos en el objeto social los actos directamente relacionados con el mismo y los que tengan como finalidad ejercer </w:t>
      </w:r>
      <w:r w:rsidRPr="00B03E39">
        <w:rPr>
          <w:rFonts w:ascii="Century Gothic" w:eastAsia="Calibri" w:hAnsi="Century Gothic" w:cs="Arial"/>
          <w:bCs/>
          <w:lang w:val="es-ES_tradnl" w:eastAsia="es-ES_tradnl"/>
        </w:rPr>
        <w:lastRenderedPageBreak/>
        <w:t>los derechos o cumplir las obligaciones, legal o convencionalmente derivados de la existencia y actividad de la sociedad”</w:t>
      </w:r>
      <w:r w:rsidRPr="00B03E39">
        <w:rPr>
          <w:rFonts w:ascii="Century Gothic" w:eastAsia="Calibri" w:hAnsi="Century Gothic" w:cs="Arial"/>
          <w:sz w:val="24"/>
          <w:szCs w:val="24"/>
          <w:vertAlign w:val="superscript"/>
          <w:lang w:eastAsia="es-ES_tradnl"/>
        </w:rPr>
        <w:footnoteReference w:id="23"/>
      </w:r>
      <w:r w:rsidRPr="00B03E39">
        <w:rPr>
          <w:rFonts w:ascii="Century Gothic" w:eastAsia="Calibri" w:hAnsi="Century Gothic" w:cs="Arial"/>
          <w:bCs/>
          <w:lang w:val="es-ES_tradnl" w:eastAsia="es-ES_tradnl"/>
        </w:rPr>
        <w:t xml:space="preserve">. </w:t>
      </w:r>
    </w:p>
    <w:p w14:paraId="166DADF1" w14:textId="77777777" w:rsidR="00B03E39" w:rsidRPr="00B03E39" w:rsidRDefault="00B03E39" w:rsidP="00B03E39">
      <w:pPr>
        <w:tabs>
          <w:tab w:val="left" w:pos="0"/>
        </w:tabs>
        <w:spacing w:after="0" w:line="276" w:lineRule="auto"/>
        <w:jc w:val="both"/>
        <w:rPr>
          <w:rFonts w:ascii="Century Gothic" w:eastAsia="Calibri" w:hAnsi="Century Gothic" w:cs="Arial"/>
          <w:bCs/>
          <w:lang w:val="es-ES_tradnl" w:eastAsia="es-ES_tradnl"/>
        </w:rPr>
      </w:pPr>
      <w:r w:rsidRPr="00B03E39">
        <w:rPr>
          <w:rFonts w:ascii="Century Gothic" w:eastAsia="Calibri" w:hAnsi="Century Gothic" w:cs="Arial"/>
          <w:bCs/>
          <w:lang w:val="es-ES_tradnl" w:eastAsia="es-ES_tradnl"/>
        </w:rPr>
        <w:tab/>
        <w:t xml:space="preserve">De otra parte, la doctrina societaria también se ha encargado de definir el </w:t>
      </w:r>
      <w:r w:rsidRPr="00B03E39">
        <w:rPr>
          <w:rFonts w:ascii="Century Gothic" w:eastAsia="Calibri" w:hAnsi="Century Gothic" w:cs="Arial"/>
          <w:bCs/>
          <w:i/>
          <w:iCs/>
          <w:lang w:val="es-ES_tradnl" w:eastAsia="es-ES_tradnl"/>
        </w:rPr>
        <w:t>objeto social</w:t>
      </w:r>
      <w:r w:rsidRPr="00B03E39">
        <w:rPr>
          <w:rFonts w:ascii="Century Gothic" w:eastAsia="Calibri" w:hAnsi="Century Gothic" w:cs="Arial"/>
          <w:bCs/>
          <w:lang w:val="es-ES_tradnl" w:eastAsia="es-ES_tradnl"/>
        </w:rPr>
        <w:t xml:space="preserve">, así como su relación con el concepto de </w:t>
      </w:r>
      <w:r w:rsidRPr="00B03E39">
        <w:rPr>
          <w:rFonts w:ascii="Century Gothic" w:eastAsia="Calibri" w:hAnsi="Century Gothic" w:cs="Arial"/>
          <w:bCs/>
          <w:i/>
          <w:iCs/>
          <w:lang w:val="es-ES_tradnl" w:eastAsia="es-ES_tradnl"/>
        </w:rPr>
        <w:t>giro ordinario</w:t>
      </w:r>
      <w:r w:rsidRPr="00B03E39">
        <w:rPr>
          <w:rFonts w:ascii="Century Gothic" w:eastAsia="Calibri" w:hAnsi="Century Gothic" w:cs="Arial"/>
          <w:bCs/>
          <w:lang w:val="es-ES_tradnl" w:eastAsia="es-ES_tradnl"/>
        </w:rPr>
        <w:t>. Al respecto, la Superintendencia de Sociedades, citando doctrina autorizada en la materia, ha señalado:</w:t>
      </w:r>
    </w:p>
    <w:p w14:paraId="08B6A66F" w14:textId="77777777" w:rsidR="00B03E39" w:rsidRPr="00B03E39" w:rsidRDefault="00B03E39" w:rsidP="00B03E39">
      <w:pPr>
        <w:tabs>
          <w:tab w:val="left" w:pos="0"/>
        </w:tabs>
        <w:spacing w:after="0" w:line="276" w:lineRule="auto"/>
        <w:jc w:val="both"/>
        <w:rPr>
          <w:rFonts w:ascii="Century Gothic" w:eastAsia="Calibri" w:hAnsi="Century Gothic" w:cs="Arial"/>
          <w:bCs/>
          <w:lang w:val="es-ES_tradnl" w:eastAsia="es-ES_tradnl"/>
        </w:rPr>
      </w:pPr>
    </w:p>
    <w:p w14:paraId="621BA66C" w14:textId="77777777" w:rsidR="00B03E39" w:rsidRPr="00B03E39" w:rsidRDefault="00B03E39" w:rsidP="3E2CA965">
      <w:pPr>
        <w:spacing w:after="120" w:line="240" w:lineRule="auto"/>
        <w:ind w:left="709" w:right="709"/>
        <w:jc w:val="both"/>
        <w:rPr>
          <w:rFonts w:ascii="Century Gothic" w:eastAsia="Times New Roman" w:hAnsi="Century Gothic" w:cs="Arial"/>
          <w:sz w:val="21"/>
          <w:szCs w:val="21"/>
          <w:lang w:val="es-ES" w:eastAsia="es-ES"/>
        </w:rPr>
      </w:pPr>
      <w:r w:rsidRPr="3E2CA965">
        <w:rPr>
          <w:rFonts w:ascii="Century Gothic" w:eastAsia="Times New Roman" w:hAnsi="Century Gothic" w:cs="Arial"/>
          <w:sz w:val="21"/>
          <w:szCs w:val="21"/>
          <w:lang w:val="es-ES" w:eastAsia="es-ES"/>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59CC5C9E" w14:textId="77777777" w:rsidR="00B03E39" w:rsidRPr="00B03E39" w:rsidRDefault="00B03E39" w:rsidP="00B03E39">
      <w:pPr>
        <w:tabs>
          <w:tab w:val="left" w:pos="0"/>
        </w:tabs>
        <w:spacing w:after="0" w:line="240" w:lineRule="auto"/>
        <w:ind w:left="709" w:right="709"/>
        <w:jc w:val="both"/>
        <w:rPr>
          <w:rFonts w:ascii="Century Gothic" w:eastAsia="Calibri" w:hAnsi="Century Gothic" w:cs="Arial"/>
          <w:bCs/>
          <w:sz w:val="21"/>
          <w:szCs w:val="21"/>
          <w:lang w:val="es-ES_tradnl" w:eastAsia="es-ES_tradnl"/>
        </w:rPr>
      </w:pPr>
      <w:r w:rsidRPr="00B03E39">
        <w:rPr>
          <w:rFonts w:ascii="Century Gothic" w:eastAsia="Times New Roman" w:hAnsi="Century Gothic" w:cs="Arial"/>
          <w:sz w:val="21"/>
          <w:szCs w:val="21"/>
          <w:lang w:val="es-ES_tradnl" w:eastAsia="es-ES_tradnl"/>
        </w:rPr>
        <w:t xml:space="preserve">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w:t>
      </w:r>
      <w:r w:rsidRPr="00B03E39">
        <w:rPr>
          <w:rFonts w:ascii="Century Gothic" w:eastAsia="Times New Roman" w:hAnsi="Century Gothic" w:cs="Arial"/>
          <w:sz w:val="21"/>
          <w:szCs w:val="21"/>
          <w:lang w:val="es-ES_tradnl" w:eastAsia="es-ES_tradnl"/>
        </w:rPr>
        <w:lastRenderedPageBreak/>
        <w:t>conceptos, siendo el giro ordinario una especie que se enmarca al interior del genérico objeto social”</w:t>
      </w:r>
      <w:r w:rsidRPr="00B03E39">
        <w:rPr>
          <w:rFonts w:ascii="Century Gothic" w:eastAsia="Times New Roman" w:hAnsi="Century Gothic" w:cs="Arial"/>
          <w:sz w:val="24"/>
          <w:szCs w:val="24"/>
          <w:vertAlign w:val="superscript"/>
          <w:lang w:eastAsia="es-ES_tradnl"/>
        </w:rPr>
        <w:footnoteReference w:id="24"/>
      </w:r>
      <w:r w:rsidRPr="00B03E39">
        <w:rPr>
          <w:rFonts w:ascii="Century Gothic" w:eastAsia="Times New Roman" w:hAnsi="Century Gothic" w:cs="Arial"/>
          <w:sz w:val="21"/>
          <w:szCs w:val="21"/>
          <w:lang w:val="es-ES_tradnl" w:eastAsia="es-ES_tradnl"/>
        </w:rPr>
        <w:t>.</w:t>
      </w:r>
    </w:p>
    <w:p w14:paraId="1009FC02" w14:textId="77777777" w:rsidR="00B03E39" w:rsidRPr="00B03E39" w:rsidRDefault="00B03E39" w:rsidP="00B03E39">
      <w:pPr>
        <w:tabs>
          <w:tab w:val="left" w:pos="0"/>
        </w:tabs>
        <w:spacing w:after="0" w:line="276" w:lineRule="auto"/>
        <w:jc w:val="both"/>
        <w:rPr>
          <w:rFonts w:ascii="Century Gothic" w:eastAsia="Calibri" w:hAnsi="Century Gothic" w:cs="Arial"/>
          <w:bCs/>
          <w:szCs w:val="24"/>
          <w:lang w:val="es-ES_tradnl" w:eastAsia="es-ES_tradnl"/>
        </w:rPr>
      </w:pPr>
    </w:p>
    <w:p w14:paraId="6A158DB3" w14:textId="77777777" w:rsidR="00B03E39" w:rsidRPr="00B03E39" w:rsidRDefault="00B03E39" w:rsidP="3E2CA965">
      <w:pPr>
        <w:spacing w:after="120" w:line="276" w:lineRule="auto"/>
        <w:jc w:val="both"/>
        <w:rPr>
          <w:rFonts w:ascii="Century Gothic" w:eastAsia="Calibri" w:hAnsi="Century Gothic" w:cs="Arial"/>
          <w:lang w:val="es-ES" w:eastAsia="es-ES"/>
        </w:rPr>
      </w:pPr>
      <w:r w:rsidRPr="00B03E39">
        <w:rPr>
          <w:rFonts w:ascii="Century Gothic" w:eastAsia="Calibri" w:hAnsi="Century Gothic" w:cs="Arial"/>
          <w:bCs/>
          <w:szCs w:val="24"/>
          <w:lang w:val="es-ES_tradnl" w:eastAsia="es-ES_tradnl"/>
        </w:rPr>
        <w:tab/>
      </w:r>
      <w:r w:rsidRPr="3E2CA965">
        <w:rPr>
          <w:rFonts w:ascii="Century Gothic" w:eastAsia="Calibri" w:hAnsi="Century Gothic" w:cs="Arial"/>
          <w:lang w:val="es-ES" w:eastAsia="es-ES"/>
        </w:rPr>
        <w:t xml:space="preserve">De acuerdo con estas consideraciones, no hay una plena equivalencia entre las </w:t>
      </w:r>
      <w:bookmarkStart w:id="14" w:name="_Hlk95322109"/>
      <w:r w:rsidRPr="3E2CA965">
        <w:rPr>
          <w:rFonts w:ascii="Century Gothic" w:eastAsia="Calibri" w:hAnsi="Century Gothic" w:cs="Arial"/>
          <w:lang w:val="es-ES" w:eastAsia="es-ES"/>
        </w:rPr>
        <w:t xml:space="preserve">actividades que hacen parte del desarrollo del </w:t>
      </w:r>
      <w:r w:rsidRPr="3E2CA965">
        <w:rPr>
          <w:rFonts w:ascii="Century Gothic" w:eastAsia="Calibri" w:hAnsi="Century Gothic" w:cs="Arial"/>
          <w:i/>
          <w:lang w:val="es-ES" w:eastAsia="es-ES"/>
        </w:rPr>
        <w:t>objeto social</w:t>
      </w:r>
      <w:r w:rsidRPr="3E2CA965">
        <w:rPr>
          <w:rFonts w:ascii="Century Gothic" w:eastAsia="Calibri" w:hAnsi="Century Gothic" w:cs="Arial"/>
          <w:lang w:val="es-ES" w:eastAsia="es-ES"/>
        </w:rPr>
        <w:t xml:space="preserve"> y las que comprende el </w:t>
      </w:r>
      <w:r w:rsidRPr="3E2CA965">
        <w:rPr>
          <w:rFonts w:ascii="Century Gothic" w:eastAsia="Calibri" w:hAnsi="Century Gothic" w:cs="Arial"/>
          <w:i/>
          <w:lang w:val="es-ES" w:eastAsia="es-ES"/>
        </w:rPr>
        <w:t>giro ordinario</w:t>
      </w:r>
      <w:r w:rsidRPr="3E2CA965">
        <w:rPr>
          <w:rFonts w:ascii="Century Gothic" w:eastAsia="Calibri" w:hAnsi="Century Gothic" w:cs="Arial"/>
          <w:lang w:val="es-ES" w:eastAsia="es-ES"/>
        </w:rPr>
        <w:t xml:space="preserve">, pues, como precisa la Superintendencia de Sociedades, entre lo que designan estas categorías existe una relación de género a especie. </w:t>
      </w:r>
    </w:p>
    <w:p w14:paraId="57E9F5FA" w14:textId="77777777" w:rsidR="00B03E39" w:rsidRPr="00B03E39" w:rsidRDefault="00B03E39" w:rsidP="3E2CA965">
      <w:pPr>
        <w:spacing w:after="120" w:line="276" w:lineRule="auto"/>
        <w:jc w:val="both"/>
        <w:rPr>
          <w:rFonts w:ascii="Century Gothic" w:eastAsia="Calibri" w:hAnsi="Century Gothic" w:cs="Arial"/>
          <w:lang w:val="es-ES" w:eastAsia="es-ES"/>
        </w:rPr>
      </w:pPr>
      <w:r w:rsidRPr="00B03E39">
        <w:rPr>
          <w:rFonts w:ascii="Century Gothic" w:eastAsia="Calibri" w:hAnsi="Century Gothic" w:cs="Arial"/>
          <w:bCs/>
          <w:szCs w:val="24"/>
          <w:lang w:val="es-ES_tradnl" w:eastAsia="es-ES_tradnl"/>
        </w:rPr>
        <w:tab/>
      </w:r>
      <w:r w:rsidRPr="3E2CA965">
        <w:rPr>
          <w:rFonts w:ascii="Century Gothic" w:eastAsia="Calibri" w:hAnsi="Century Gothic" w:cs="Arial"/>
          <w:lang w:val="es-ES" w:eastAsia="es-ES"/>
        </w:rPr>
        <w:t xml:space="preserve">En relación con la aplicación de lo dispuesto en el parágrafo del artículo 56 de la Ley 2195 de 2022, conviene aclarar que, a juicio de esta Agencia, la expresión </w:t>
      </w:r>
      <w:r w:rsidRPr="3E2CA965">
        <w:rPr>
          <w:rFonts w:ascii="Century Gothic" w:eastAsia="Calibri" w:hAnsi="Century Gothic" w:cs="Arial"/>
          <w:i/>
          <w:lang w:val="es-ES" w:eastAsia="es-ES"/>
        </w:rPr>
        <w:t xml:space="preserve">giro ordinario </w:t>
      </w:r>
      <w:r w:rsidRPr="3E2CA965">
        <w:rPr>
          <w:rFonts w:ascii="Century Gothic" w:eastAsia="Calibri" w:hAnsi="Century Gothic" w:cs="Arial"/>
          <w:lang w:val="es-ES" w:eastAsia="es-ES"/>
        </w:rPr>
        <w:t xml:space="preserve">en dicha norma se usa para designar a la contratación relacionada con los asuntos de la gestión habitual u ordinaria de los tipos de entidades mencionadas en el parágrafo. No obstante, la determinación de las actividades que comprenden el </w:t>
      </w:r>
      <w:r w:rsidRPr="3E2CA965">
        <w:rPr>
          <w:rFonts w:ascii="Century Gothic" w:eastAsia="Calibri" w:hAnsi="Century Gothic" w:cs="Arial"/>
          <w:i/>
          <w:lang w:val="es-ES" w:eastAsia="es-ES"/>
        </w:rPr>
        <w:t>giro ordinario</w:t>
      </w:r>
      <w:r w:rsidRPr="3E2CA965">
        <w:rPr>
          <w:rFonts w:ascii="Century Gothic" w:eastAsia="Calibri" w:hAnsi="Century Gothic" w:cs="Arial"/>
          <w:lang w:val="es-ES" w:eastAsia="es-ES"/>
        </w:rPr>
        <w:t xml:space="preserve"> es un asunto que se debe definir en cada caso concreto por parte de las entidades estatales –analizando lo establecido en sus actos de creación y verificando los negocios habituales u ordinarios que desarrollan–, pues el parágrafo del artículo 56 </w:t>
      </w:r>
      <w:r w:rsidRPr="3E2CA965">
        <w:rPr>
          <w:rFonts w:ascii="Century Gothic" w:eastAsia="Calibri" w:hAnsi="Century Gothic" w:cs="Arial"/>
          <w:i/>
          <w:lang w:val="es-ES" w:eastAsia="es-ES"/>
        </w:rPr>
        <w:t>ejusdem</w:t>
      </w:r>
      <w:r w:rsidRPr="3E2CA965">
        <w:rPr>
          <w:rFonts w:ascii="Century Gothic" w:eastAsia="Calibri" w:hAnsi="Century Gothic" w:cs="Arial"/>
          <w:lang w:val="es-ES" w:eastAsia="es-ES"/>
        </w:rPr>
        <w:t xml:space="preserve"> se limita a enunciar algunos tipos de entidades estatales, las cuales no solo difieren en su naturaleza jurídica, sino también en las actividades que realizan. </w:t>
      </w:r>
    </w:p>
    <w:p w14:paraId="458E4B84" w14:textId="77777777" w:rsidR="00B03E39" w:rsidRPr="00B03E39" w:rsidRDefault="00B03E39" w:rsidP="3E2CA965">
      <w:pPr>
        <w:spacing w:after="120" w:line="276" w:lineRule="auto"/>
        <w:ind w:firstLine="709"/>
        <w:jc w:val="both"/>
        <w:rPr>
          <w:rFonts w:ascii="Century Gothic" w:eastAsia="Calibri" w:hAnsi="Century Gothic" w:cs="Arial"/>
          <w:lang w:val="es-ES" w:eastAsia="es-ES"/>
        </w:rPr>
      </w:pPr>
      <w:r w:rsidRPr="3E2CA965">
        <w:rPr>
          <w:rFonts w:ascii="Century Gothic" w:eastAsia="Calibri" w:hAnsi="Century Gothic" w:cs="Arial"/>
          <w:lang w:val="es-ES" w:eastAsia="es-ES"/>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3E2CA965">
        <w:rPr>
          <w:rFonts w:ascii="Century Gothic" w:eastAsia="Calibri" w:hAnsi="Century Gothic" w:cs="Arial"/>
          <w:i/>
          <w:lang w:val="es-ES" w:eastAsia="es-ES"/>
        </w:rPr>
        <w:t>giro ordinario</w:t>
      </w:r>
      <w:r w:rsidRPr="3E2CA965">
        <w:rPr>
          <w:rFonts w:ascii="Century Gothic" w:eastAsia="Calibri" w:hAnsi="Century Gothic" w:cs="Arial"/>
          <w:lang w:val="es-ES" w:eastAsia="es-ES"/>
        </w:rPr>
        <w:t xml:space="preserve"> debe hacerse en el caso concreto, empleando un criterio de interpretación restrictiva. Ello en la medida en que el parágrafo del artículo 56 consagra una excepción a una regla general. Además, cada una de las entidades </w:t>
      </w:r>
      <w:r w:rsidRPr="3E2CA965">
        <w:rPr>
          <w:rFonts w:ascii="Century Gothic" w:eastAsia="Calibri" w:hAnsi="Century Gothic" w:cs="Arial"/>
          <w:lang w:val="es-ES" w:eastAsia="es-ES"/>
        </w:rPr>
        <w:lastRenderedPageBreak/>
        <w:t>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14"/>
    <w:p w14:paraId="7EF3DCAB" w14:textId="77777777" w:rsidR="00B03E39" w:rsidRPr="00B03E39" w:rsidRDefault="00B03E39" w:rsidP="3E2CA965">
      <w:pPr>
        <w:spacing w:after="120" w:line="276" w:lineRule="auto"/>
        <w:jc w:val="both"/>
        <w:rPr>
          <w:rFonts w:ascii="Century Gothic" w:eastAsia="Calibri" w:hAnsi="Century Gothic" w:cs="Arial"/>
          <w:lang w:val="es-ES" w:eastAsia="es-ES"/>
        </w:rPr>
      </w:pPr>
      <w:r w:rsidRPr="00B03E39">
        <w:rPr>
          <w:rFonts w:ascii="Century Gothic" w:eastAsia="Calibri" w:hAnsi="Century Gothic" w:cs="Arial"/>
          <w:bCs/>
          <w:szCs w:val="24"/>
          <w:lang w:val="es-ES_tradnl" w:eastAsia="es-ES_tradnl"/>
        </w:rPr>
        <w:tab/>
      </w:r>
      <w:r w:rsidRPr="3E2CA965">
        <w:rPr>
          <w:rFonts w:ascii="Century Gothic" w:eastAsia="Calibri" w:hAnsi="Century Gothic"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3E2CA965">
        <w:rPr>
          <w:rFonts w:ascii="Century Gothic" w:eastAsia="Calibri" w:hAnsi="Century Gothic" w:cs="Arial"/>
          <w:i/>
          <w:lang w:val="es-ES" w:eastAsia="es-ES"/>
        </w:rPr>
        <w:t xml:space="preserve">giro ordinario </w:t>
      </w:r>
      <w:r w:rsidRPr="3E2CA965">
        <w:rPr>
          <w:rFonts w:ascii="Century Gothic" w:eastAsia="Calibri" w:hAnsi="Century Gothic"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3E2CA965">
        <w:rPr>
          <w:rFonts w:ascii="Century Gothic" w:eastAsia="Calibri" w:hAnsi="Century Gothic" w:cs="Arial"/>
          <w:i/>
          <w:lang w:val="es-ES" w:eastAsia="es-ES"/>
        </w:rPr>
        <w:t>su giro ordinario</w:t>
      </w:r>
      <w:r w:rsidRPr="3E2CA965">
        <w:rPr>
          <w:rFonts w:ascii="Century Gothic" w:eastAsia="Calibri" w:hAnsi="Century Gothic" w:cs="Arial"/>
          <w:lang w:val="es-ES" w:eastAsia="es-ES"/>
        </w:rPr>
        <w:t xml:space="preserve">, entendido este conforme a los criterios jurisprudenciales y doctrinarios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3E2CA965">
        <w:rPr>
          <w:rFonts w:ascii="Century Gothic" w:eastAsia="Calibri" w:hAnsi="Century Gothic" w:cs="Arial"/>
          <w:i/>
          <w:lang w:val="es-ES" w:eastAsia="es-ES"/>
        </w:rPr>
        <w:t>giro ordinario</w:t>
      </w:r>
      <w:r w:rsidRPr="3E2CA965">
        <w:rPr>
          <w:rFonts w:ascii="Century Gothic" w:eastAsia="Calibri" w:hAnsi="Century Gothic" w:cs="Arial"/>
          <w:lang w:val="es-ES" w:eastAsia="es-ES"/>
        </w:rPr>
        <w:t xml:space="preserve">, a menos que su manual de contratación establezca lo contrario. </w:t>
      </w:r>
    </w:p>
    <w:p w14:paraId="6C658487" w14:textId="77777777" w:rsidR="00B03E39" w:rsidRPr="00B03E39" w:rsidRDefault="00B03E39" w:rsidP="00B03E39">
      <w:pPr>
        <w:tabs>
          <w:tab w:val="left" w:pos="0"/>
        </w:tabs>
        <w:spacing w:after="120" w:line="276" w:lineRule="auto"/>
        <w:jc w:val="both"/>
        <w:rPr>
          <w:rFonts w:ascii="Century Gothic" w:eastAsia="Calibri" w:hAnsi="Century Gothic" w:cs="Arial"/>
          <w:bCs/>
          <w:szCs w:val="24"/>
          <w:lang w:val="es-ES_tradnl" w:eastAsia="es-ES_tradnl"/>
        </w:rPr>
      </w:pPr>
      <w:r w:rsidRPr="00B03E39">
        <w:rPr>
          <w:rFonts w:ascii="Century Gothic" w:eastAsia="Calibri" w:hAnsi="Century Gothic" w:cs="Arial"/>
          <w:bCs/>
          <w:szCs w:val="24"/>
          <w:lang w:val="es-ES_tradnl" w:eastAsia="es-ES_tradnl"/>
        </w:rPr>
        <w:tab/>
        <w:t>Esta interpretación, a juicio de la Agencia, no solo se desprende de la literalidad del texto de la norma en comento, sino que además está en armonía con la voluntad del órgano legislativo. Al respecto se estima que, el Legislador, en materia de contratación estatal, goza de un amplio margen de configuración normativa, de conformidad con lo dispuesto en el inciso final del artículo 150 de la Constitución Política</w:t>
      </w:r>
      <w:r w:rsidRPr="00B03E39">
        <w:rPr>
          <w:rFonts w:ascii="Century Gothic" w:eastAsia="Calibri" w:hAnsi="Century Gothic" w:cs="Arial"/>
          <w:sz w:val="24"/>
          <w:szCs w:val="24"/>
          <w:vertAlign w:val="superscript"/>
          <w:lang w:eastAsia="es-ES_tradnl"/>
        </w:rPr>
        <w:footnoteReference w:id="25"/>
      </w:r>
      <w:r w:rsidRPr="00B03E39">
        <w:rPr>
          <w:rFonts w:ascii="Century Gothic" w:eastAsia="Calibri" w:hAnsi="Century Gothic" w:cs="Arial"/>
          <w:bCs/>
          <w:szCs w:val="24"/>
          <w:lang w:val="es-ES_tradnl" w:eastAsia="es-ES_tradnl"/>
        </w:rPr>
        <w:t xml:space="preserve">. En ese sentido, en virtud de esta potestad de configuración </w:t>
      </w:r>
      <w:r w:rsidRPr="00B03E39">
        <w:rPr>
          <w:rFonts w:ascii="Century Gothic" w:eastAsia="Calibri" w:hAnsi="Century Gothic" w:cs="Arial"/>
          <w:bCs/>
          <w:szCs w:val="24"/>
          <w:lang w:val="es-ES_tradnl" w:eastAsia="es-ES_tradnl"/>
        </w:rPr>
        <w:lastRenderedPageBreak/>
        <w:t xml:space="preserve">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B03E39">
        <w:rPr>
          <w:rFonts w:ascii="Century Gothic" w:eastAsia="Calibri" w:hAnsi="Century Gothic" w:cs="Arial"/>
          <w:bCs/>
          <w:i/>
          <w:iCs/>
          <w:szCs w:val="24"/>
          <w:lang w:val="es-ES_tradnl" w:eastAsia="es-ES_tradnl"/>
        </w:rPr>
        <w:t>giro ordinario.</w:t>
      </w:r>
      <w:r w:rsidRPr="00B03E39">
        <w:rPr>
          <w:rFonts w:ascii="Century Gothic" w:eastAsia="Calibri" w:hAnsi="Century Gothic" w:cs="Arial"/>
          <w:bCs/>
          <w:szCs w:val="24"/>
          <w:lang w:val="es-ES_tradnl" w:eastAsia="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B03E39">
        <w:rPr>
          <w:rFonts w:ascii="Century Gothic" w:eastAsia="Calibri" w:hAnsi="Century Gothic" w:cs="Arial"/>
          <w:sz w:val="24"/>
          <w:szCs w:val="24"/>
          <w:vertAlign w:val="superscript"/>
          <w:lang w:eastAsia="es-ES_tradnl"/>
        </w:rPr>
        <w:footnoteReference w:id="26"/>
      </w:r>
      <w:r w:rsidRPr="00B03E39">
        <w:rPr>
          <w:rFonts w:ascii="Century Gothic" w:eastAsia="Calibri" w:hAnsi="Century Gothic" w:cs="Arial"/>
          <w:bCs/>
          <w:szCs w:val="24"/>
          <w:lang w:val="es-ES_tradnl" w:eastAsia="es-ES_tradnl"/>
        </w:rPr>
        <w:t>.</w:t>
      </w:r>
    </w:p>
    <w:p w14:paraId="0D9A2B5A" w14:textId="77777777" w:rsidR="00B03E39" w:rsidRPr="00B03E39" w:rsidRDefault="00B03E39" w:rsidP="00B03E39">
      <w:pPr>
        <w:tabs>
          <w:tab w:val="left" w:pos="0"/>
        </w:tabs>
        <w:spacing w:before="120" w:after="0" w:line="276" w:lineRule="auto"/>
        <w:ind w:firstLine="709"/>
        <w:jc w:val="both"/>
        <w:rPr>
          <w:rFonts w:ascii="Century Gothic" w:eastAsia="Times New Roman" w:hAnsi="Century Gothic" w:cs="Arial"/>
          <w:lang w:eastAsia="es-ES_tradnl"/>
        </w:rPr>
      </w:pPr>
      <w:r w:rsidRPr="00B03E39">
        <w:rPr>
          <w:rFonts w:ascii="Century Gothic" w:eastAsia="Calibri" w:hAnsi="Century Gothic" w:cs="Arial"/>
          <w:bCs/>
          <w:lang w:val="es-ES_tradnl" w:eastAsia="es-ES_tradnl"/>
        </w:rPr>
        <w:t>De acuerdo con esta interpretación restrictiva</w:t>
      </w:r>
      <w:r w:rsidRPr="00B03E39">
        <w:rPr>
          <w:rFonts w:ascii="Century Gothic" w:eastAsia="Calibri" w:hAnsi="Century Gothic" w:cs="Arial"/>
          <w:sz w:val="24"/>
          <w:szCs w:val="24"/>
          <w:vertAlign w:val="superscript"/>
          <w:lang w:eastAsia="es-ES_tradnl"/>
        </w:rPr>
        <w:footnoteReference w:id="27"/>
      </w:r>
      <w:r w:rsidRPr="00B03E39">
        <w:rPr>
          <w:rFonts w:ascii="Century Gothic" w:eastAsia="Calibri" w:hAnsi="Century Gothic" w:cs="Arial"/>
          <w:bCs/>
          <w:lang w:val="es-ES_tradnl" w:eastAsia="es-ES_tradnl"/>
        </w:rPr>
        <w:t xml:space="preserve">, el parágrafo del artículo 56 de la Ley 2195 de 2022 es claro al excluir a las instituciones de educación superior </w:t>
      </w:r>
      <w:r w:rsidRPr="00B03E39">
        <w:rPr>
          <w:rFonts w:ascii="Century Gothic" w:eastAsia="Calibri" w:hAnsi="Century Gothic" w:cs="Arial"/>
          <w:bCs/>
          <w:lang w:val="es-ES_tradnl" w:eastAsia="es-ES_tradnl"/>
        </w:rPr>
        <w:lastRenderedPageBreak/>
        <w:t xml:space="preserve">públicas, las empresas sociales del Estado, las sociedades de economía mixta y las empresas industriales y comerciales del Estado, de la aplicación de los documentos tipo y del EGCAP, únicamente en la contratación asociada a su </w:t>
      </w:r>
      <w:r w:rsidRPr="00B03E39">
        <w:rPr>
          <w:rFonts w:ascii="Century Gothic" w:eastAsia="Calibri" w:hAnsi="Century Gothic" w:cs="Arial"/>
          <w:bCs/>
          <w:i/>
          <w:iCs/>
          <w:lang w:val="es-ES_tradnl" w:eastAsia="es-ES_tradnl"/>
        </w:rPr>
        <w:t>giro ordinario</w:t>
      </w:r>
      <w:r w:rsidRPr="00B03E39">
        <w:rPr>
          <w:rFonts w:ascii="Century Gothic" w:eastAsia="Calibri" w:hAnsi="Century Gothic" w:cs="Arial"/>
          <w:bCs/>
          <w:lang w:val="es-ES_tradnl" w:eastAsia="es-ES_tradnl"/>
        </w:rPr>
        <w:t>.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B03E39">
        <w:rPr>
          <w:rFonts w:ascii="Century Gothic" w:eastAsia="Times New Roman" w:hAnsi="Century Gothic" w:cs="Arial"/>
          <w:sz w:val="24"/>
          <w:szCs w:val="24"/>
          <w:vertAlign w:val="superscript"/>
          <w:lang w:eastAsia="es-ES_tradnl"/>
        </w:rPr>
        <w:footnoteReference w:id="28"/>
      </w:r>
      <w:r w:rsidRPr="00B03E39">
        <w:rPr>
          <w:rFonts w:ascii="Century Gothic" w:eastAsia="Calibri" w:hAnsi="Century Gothic" w:cs="Arial"/>
          <w:bCs/>
          <w:lang w:val="es-ES_tradnl" w:eastAsia="es-ES_tradnl"/>
        </w:rPr>
        <w:t>, al igual que la regla según la cual “</w:t>
      </w:r>
      <w:r w:rsidRPr="00B03E39">
        <w:rPr>
          <w:rFonts w:ascii="Century Gothic" w:eastAsia="Times New Roman" w:hAnsi="Century Gothic" w:cs="Arial"/>
          <w:lang w:eastAsia="es-ES_tradnl"/>
        </w:rPr>
        <w:t>Lo favorable u odioso de una disposición no se tomará en cuenta para ampliar o restringir su interpretación”</w:t>
      </w:r>
      <w:r w:rsidRPr="00B03E39">
        <w:rPr>
          <w:rFonts w:ascii="Century Gothic" w:eastAsia="Times New Roman" w:hAnsi="Century Gothic" w:cs="Arial"/>
          <w:sz w:val="24"/>
          <w:szCs w:val="24"/>
          <w:vertAlign w:val="superscript"/>
          <w:lang w:eastAsia="es-ES_tradnl"/>
        </w:rPr>
        <w:footnoteReference w:id="29"/>
      </w:r>
      <w:r w:rsidRPr="00B03E39">
        <w:rPr>
          <w:rFonts w:ascii="Century Gothic" w:eastAsia="Times New Roman" w:hAnsi="Century Gothic" w:cs="Arial"/>
          <w:lang w:eastAsia="es-ES_tradnl"/>
        </w:rPr>
        <w:t xml:space="preserve">. </w:t>
      </w:r>
    </w:p>
    <w:p w14:paraId="6E7DDC5B" w14:textId="77777777" w:rsidR="00B03E39" w:rsidRPr="00B03E39" w:rsidRDefault="00B03E39" w:rsidP="00B03E39">
      <w:pPr>
        <w:shd w:val="clear" w:color="auto" w:fill="FFFFFF"/>
        <w:tabs>
          <w:tab w:val="left" w:pos="0"/>
        </w:tabs>
        <w:spacing w:after="0"/>
        <w:jc w:val="both"/>
        <w:rPr>
          <w:rFonts w:ascii="Century Gothic" w:eastAsia="Calibri" w:hAnsi="Century Gothic" w:cs="Arial"/>
          <w:b/>
          <w:color w:val="000000"/>
          <w:lang w:val="es-ES_tradnl"/>
        </w:rPr>
      </w:pPr>
    </w:p>
    <w:p w14:paraId="6D7B85E4" w14:textId="77777777" w:rsidR="00B03E39" w:rsidRPr="00B03E39" w:rsidRDefault="00B03E39" w:rsidP="00B03E39">
      <w:pPr>
        <w:shd w:val="clear" w:color="auto" w:fill="FFFFFF"/>
        <w:tabs>
          <w:tab w:val="left" w:pos="0"/>
        </w:tabs>
        <w:spacing w:after="0"/>
        <w:jc w:val="both"/>
        <w:rPr>
          <w:rFonts w:ascii="Century Gothic" w:eastAsia="Calibri" w:hAnsi="Century Gothic" w:cs="Arial"/>
          <w:b/>
          <w:color w:val="000000"/>
          <w:lang w:val="es-ES_tradnl"/>
        </w:rPr>
      </w:pPr>
      <w:r w:rsidRPr="00B03E39">
        <w:rPr>
          <w:rFonts w:ascii="Century Gothic" w:eastAsia="Calibri" w:hAnsi="Century Gothic" w:cs="Arial"/>
          <w:b/>
          <w:color w:val="000000"/>
          <w:lang w:val="es-ES_tradnl"/>
        </w:rPr>
        <w:t>3. Respuesta</w:t>
      </w:r>
    </w:p>
    <w:p w14:paraId="36CC7F54" w14:textId="77777777" w:rsidR="00B03E39" w:rsidRPr="00B03E39" w:rsidRDefault="00B03E39" w:rsidP="00B03E39">
      <w:pPr>
        <w:shd w:val="clear" w:color="auto" w:fill="FFFFFF"/>
        <w:spacing w:after="0" w:line="240" w:lineRule="auto"/>
        <w:ind w:right="709"/>
        <w:jc w:val="both"/>
        <w:rPr>
          <w:rFonts w:ascii="Century Gothic" w:eastAsia="Calibri" w:hAnsi="Century Gothic" w:cs="Arial"/>
          <w:color w:val="000000"/>
          <w:lang w:val="es-ES_tradnl"/>
        </w:rPr>
      </w:pPr>
    </w:p>
    <w:p w14:paraId="5E3D8AF6" w14:textId="77777777" w:rsidR="00B03E39" w:rsidRPr="00B03E39" w:rsidRDefault="00B03E39" w:rsidP="00B03E39">
      <w:pPr>
        <w:shd w:val="clear" w:color="auto" w:fill="FFFFFF"/>
        <w:spacing w:after="0" w:line="240" w:lineRule="auto"/>
        <w:ind w:left="709" w:right="709"/>
        <w:jc w:val="both"/>
        <w:rPr>
          <w:rFonts w:ascii="Century Gothic" w:eastAsia="Calibri" w:hAnsi="Century Gothic" w:cs="Arial"/>
          <w:color w:val="000000"/>
          <w:sz w:val="21"/>
          <w:szCs w:val="21"/>
          <w:lang w:val="es-ES_tradnl"/>
        </w:rPr>
      </w:pPr>
      <w:r w:rsidRPr="00B03E39">
        <w:rPr>
          <w:rFonts w:ascii="Century Gothic" w:eastAsia="Calibri" w:hAnsi="Century Gothic" w:cs="Arial"/>
          <w:color w:val="000000"/>
          <w:sz w:val="21"/>
          <w:szCs w:val="21"/>
          <w:lang w:val="es-ES_tradnl"/>
        </w:rPr>
        <w:t>“a) Dice en el inciso primero, que si las entidades estatales sin importar su régimen contractual, si suscriben contratos o convenios interadministrativos ¿deben aplicar pliegos tipo?</w:t>
      </w:r>
    </w:p>
    <w:p w14:paraId="7A08EA36" w14:textId="77777777" w:rsidR="00B03E39" w:rsidRPr="00B03E39" w:rsidRDefault="00B03E39" w:rsidP="00B03E39">
      <w:pPr>
        <w:shd w:val="clear" w:color="auto" w:fill="FFFFFF"/>
        <w:spacing w:after="0" w:line="240" w:lineRule="auto"/>
        <w:ind w:left="709" w:right="709"/>
        <w:jc w:val="both"/>
        <w:rPr>
          <w:rFonts w:ascii="Century Gothic" w:eastAsia="Calibri" w:hAnsi="Century Gothic" w:cs="Arial"/>
          <w:color w:val="000000"/>
          <w:sz w:val="21"/>
          <w:szCs w:val="21"/>
          <w:lang w:val="es-ES_tradnl"/>
        </w:rPr>
      </w:pPr>
    </w:p>
    <w:p w14:paraId="430E1A92" w14:textId="77777777" w:rsidR="00B03E39" w:rsidRPr="00B03E39" w:rsidRDefault="00B03E39" w:rsidP="3E2CA965">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3E2CA965">
        <w:rPr>
          <w:rFonts w:ascii="Century Gothic" w:eastAsia="Calibri" w:hAnsi="Century Gothic" w:cs="Arial"/>
          <w:color w:val="000000" w:themeColor="text1"/>
          <w:sz w:val="21"/>
          <w:szCs w:val="21"/>
          <w:lang w:val="es-ES"/>
        </w:rPr>
        <w:t>b) Pero dice el parágrafo, “se exceptúan (…) únicamente en cuanto a la contratación de su giro ordinario.” Según el parágrafo está exceptuadas unas entidades estatales, respecto de su giro ordinario, entonces ya están interpretando, que si se suscribe un contrato o convenio interadministrativo con esas entidades, y si los recursos enviados</w:t>
      </w:r>
    </w:p>
    <w:p w14:paraId="0F1E1DBF" w14:textId="77777777" w:rsidR="00B03E39" w:rsidRPr="00B03E39" w:rsidRDefault="00B03E39" w:rsidP="3E2CA965">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3E2CA965">
        <w:rPr>
          <w:rFonts w:ascii="Century Gothic" w:eastAsia="Calibri" w:hAnsi="Century Gothic" w:cs="Arial"/>
          <w:color w:val="000000" w:themeColor="text1"/>
          <w:sz w:val="21"/>
          <w:szCs w:val="21"/>
          <w:lang w:val="es-ES"/>
        </w:rPr>
        <w:t>son para su giro ordinario están exceptuados de aplicar los pliegos tipo. Entonces ¿Cuándo se entienden para su giro ordinario? Cuando se administran sus propios recursos? O también se entienden cuando vía convenio o contrato reciben recursos para su giro ordinario?”</w:t>
      </w:r>
    </w:p>
    <w:p w14:paraId="1167DF8A" w14:textId="77777777" w:rsidR="00B03E39" w:rsidRPr="00B03E39" w:rsidRDefault="00B03E39" w:rsidP="00B03E39">
      <w:pPr>
        <w:shd w:val="clear" w:color="auto" w:fill="FFFFFF"/>
        <w:spacing w:after="0" w:line="240" w:lineRule="auto"/>
        <w:ind w:right="709"/>
        <w:jc w:val="both"/>
        <w:rPr>
          <w:rFonts w:ascii="Century Gothic" w:eastAsia="Calibri" w:hAnsi="Century Gothic" w:cs="Arial"/>
          <w:color w:val="000000"/>
          <w:lang w:val="es-ES_tradnl"/>
        </w:rPr>
      </w:pPr>
    </w:p>
    <w:p w14:paraId="58F7589E" w14:textId="77777777" w:rsidR="00B03E39" w:rsidRPr="00B03E39" w:rsidRDefault="00B03E39" w:rsidP="00B03E39">
      <w:pPr>
        <w:spacing w:after="120" w:line="276" w:lineRule="auto"/>
        <w:jc w:val="both"/>
        <w:rPr>
          <w:rFonts w:ascii="Century Gothic" w:eastAsia="Calibri" w:hAnsi="Century Gothic" w:cs="Arial"/>
          <w:lang w:val="es-ES_tradnl"/>
        </w:rPr>
      </w:pPr>
      <w:r w:rsidRPr="00B03E39">
        <w:rPr>
          <w:rFonts w:ascii="Century Gothic" w:eastAsia="Calibri" w:hAnsi="Century Gothic" w:cs="Arial"/>
          <w:lang w:val="es-ES" w:eastAsia="es-ES"/>
        </w:rPr>
        <w:lastRenderedPageBreak/>
        <w:t>Conforme a la interpretación de las normas generales del sistema de compras públicas</w:t>
      </w:r>
      <w:r w:rsidRPr="00B03E39">
        <w:rPr>
          <w:rFonts w:ascii="Century Gothic" w:eastAsia="Calibri" w:hAnsi="Century Gothic" w:cs="Arial"/>
          <w:lang w:val="es-ES_tradnl"/>
        </w:rPr>
        <w:t xml:space="preserve">, en virtud de lo establecido en el parágrafo 7 del artículo 2 de la Ley 1150 de 2007, modificado por el artículo 1 de la Ley 2022 de 2020, las entidades estatales regidas por el Estatuto General de Contratación de la Administración Pública están obligadas a aplicar los documentos tipo en los procedimientos y contratos que adelanten en aplicación de dicha normativa. </w:t>
      </w:r>
    </w:p>
    <w:p w14:paraId="240F9B0A" w14:textId="77777777" w:rsidR="00B03E39" w:rsidRPr="00B03E39" w:rsidRDefault="00B03E39" w:rsidP="00B03E39">
      <w:pPr>
        <w:spacing w:after="120" w:line="276" w:lineRule="auto"/>
        <w:ind w:firstLine="708"/>
        <w:jc w:val="both"/>
        <w:rPr>
          <w:rFonts w:ascii="Century Gothic" w:eastAsia="Calibri" w:hAnsi="Century Gothic" w:cs="Arial"/>
          <w:lang w:val="es-ES_tradnl"/>
        </w:rPr>
      </w:pPr>
      <w:r w:rsidRPr="00B03E39">
        <w:rPr>
          <w:rFonts w:ascii="Century Gothic" w:eastAsia="Calibri" w:hAnsi="Century Gothic" w:cs="Arial"/>
          <w:lang w:val="es-ES_tradnl"/>
        </w:rPr>
        <w:t xml:space="preserve">Adicionalmente, en atención a lo dispuesto en los dos primeros incisos del artículo 56 de la Ley 2195 de 2022, cuando estas entidades suscriban convenios o contratos de cualquier índole con entidades estatales de régimen especial o exceptuado, patrimonios autónomos, personas naturales o jurídicas de derecho privado, también deberán aplicar documentos tipo, y en general, las disposiciones del Estatuto General de Contratación de la Administración Pública. </w:t>
      </w:r>
      <w:r w:rsidRPr="00B03E39">
        <w:rPr>
          <w:rFonts w:ascii="Century Gothic" w:eastAsia="Calibri" w:hAnsi="Century Gothic" w:cs="Arial"/>
          <w:shd w:val="clear" w:color="auto" w:fill="FFFFFF"/>
          <w:lang w:val="es-ES_tradnl"/>
        </w:rPr>
        <w:t xml:space="preserve">No obstante, se encuentran exceptuadas del ámbito de aplicación de la norma </w:t>
      </w:r>
      <w:r w:rsidRPr="00B03E39">
        <w:rPr>
          <w:rFonts w:ascii="Century Gothic" w:eastAsia="Calibri" w:hAnsi="Century Gothic" w:cs="Arial"/>
          <w:shd w:val="clear" w:color="auto" w:fill="FFFFFF"/>
        </w:rPr>
        <w:t xml:space="preserve">las instituciones de educación superior públicas, las empresas sociales del Estado, las sociedades de economía mixta y las empresas industriales y comerciales del Estado, únicamente en cuanto a la contratación de su </w:t>
      </w:r>
      <w:r w:rsidRPr="00B03E39">
        <w:rPr>
          <w:rFonts w:ascii="Century Gothic" w:eastAsia="Calibri" w:hAnsi="Century Gothic" w:cs="Arial"/>
          <w:i/>
          <w:iCs/>
          <w:shd w:val="clear" w:color="auto" w:fill="FFFFFF"/>
        </w:rPr>
        <w:t>giro ordinario</w:t>
      </w:r>
      <w:r w:rsidRPr="00B03E39">
        <w:rPr>
          <w:rFonts w:ascii="Century Gothic" w:eastAsia="Calibri" w:hAnsi="Century Gothic" w:cs="Arial"/>
          <w:shd w:val="clear" w:color="auto" w:fill="FFFFFF"/>
          <w:lang w:val="es-ES_tradnl"/>
        </w:rPr>
        <w:t xml:space="preserve">. </w:t>
      </w:r>
      <w:r w:rsidRPr="00B03E39">
        <w:rPr>
          <w:rFonts w:ascii="Century Gothic" w:eastAsia="Calibri" w:hAnsi="Century Gothic" w:cs="Arial"/>
          <w:color w:val="000000"/>
          <w:shd w:val="clear" w:color="auto" w:fill="FFFFFF"/>
          <w:lang w:val="es-ES_tradnl"/>
        </w:rPr>
        <w:t xml:space="preserve">Bajo los lineamientos descritos en el concepto, cada entidad pública debe hacer un ejercicio de subsunción a efectos de determinar si la norma en cita resulta aplicable, dada su naturaleza jurídica. </w:t>
      </w:r>
    </w:p>
    <w:p w14:paraId="05BB88DB" w14:textId="77777777" w:rsidR="00B03E39" w:rsidRPr="00B03E39" w:rsidRDefault="00B03E39" w:rsidP="00B03E39">
      <w:pPr>
        <w:widowControl w:val="0"/>
        <w:autoSpaceDE w:val="0"/>
        <w:autoSpaceDN w:val="0"/>
        <w:spacing w:after="0" w:line="276" w:lineRule="auto"/>
        <w:ind w:right="113" w:firstLine="709"/>
        <w:jc w:val="both"/>
        <w:rPr>
          <w:rFonts w:ascii="Century Gothic" w:eastAsia="Calibri" w:hAnsi="Century Gothic" w:cs="Arial"/>
          <w:color w:val="000000"/>
          <w:lang w:val="es-ES"/>
        </w:rPr>
      </w:pPr>
      <w:r w:rsidRPr="00B03E39">
        <w:rPr>
          <w:rFonts w:ascii="Century Gothic" w:eastAsia="Calibri" w:hAnsi="Century Gothic" w:cs="Arial"/>
          <w:color w:val="000000"/>
          <w:lang w:val="es-ES"/>
        </w:rPr>
        <w:t>Dentro de este marco, la entidad contratante definirá la aplicación o no de los documentos tipo en cada caso concreto. Al tratarse de un análisis que debe realizarse en el procedimiento contractual específico, la Agencia Nacional de Contratación Pública – Colombia Compra Eficiente-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067DF235" w14:textId="77777777" w:rsidR="00B03E39" w:rsidRPr="00B03E39" w:rsidRDefault="00B03E39" w:rsidP="00B03E39">
      <w:pPr>
        <w:shd w:val="clear" w:color="auto" w:fill="FFFFFF"/>
        <w:spacing w:after="0" w:line="276" w:lineRule="auto"/>
        <w:jc w:val="both"/>
        <w:rPr>
          <w:rFonts w:ascii="Century Gothic" w:eastAsia="Calibri" w:hAnsi="Century Gothic" w:cs="Arial"/>
          <w:color w:val="000000"/>
          <w:lang w:eastAsia="es-MX"/>
        </w:rPr>
      </w:pPr>
    </w:p>
    <w:p w14:paraId="28C19B05" w14:textId="77777777" w:rsidR="00B03E39" w:rsidRPr="00B03E39" w:rsidRDefault="00B03E39" w:rsidP="00B03E39">
      <w:pPr>
        <w:shd w:val="clear" w:color="auto" w:fill="FFFFFF"/>
        <w:spacing w:after="0" w:line="276" w:lineRule="auto"/>
        <w:jc w:val="both"/>
        <w:rPr>
          <w:rFonts w:ascii="Century Gothic" w:eastAsia="Calibri" w:hAnsi="Century Gothic" w:cs="Arial"/>
          <w:lang w:eastAsia="es-MX"/>
        </w:rPr>
      </w:pPr>
      <w:r w:rsidRPr="00B03E39">
        <w:rPr>
          <w:rFonts w:ascii="Century Gothic" w:eastAsia="Calibri" w:hAnsi="Century Gothic" w:cs="Arial"/>
          <w:color w:val="000000"/>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664D866" w14:textId="77777777" w:rsidR="00B03E39" w:rsidRPr="00B03E39" w:rsidRDefault="00B03E39" w:rsidP="00B03E39">
      <w:pPr>
        <w:widowControl w:val="0"/>
        <w:shd w:val="clear" w:color="auto" w:fill="FFFFFF"/>
        <w:autoSpaceDE w:val="0"/>
        <w:autoSpaceDN w:val="0"/>
        <w:spacing w:after="0" w:line="276" w:lineRule="auto"/>
        <w:jc w:val="both"/>
        <w:rPr>
          <w:rFonts w:ascii="Century Gothic" w:eastAsia="Calibri" w:hAnsi="Century Gothic" w:cs="Arial"/>
          <w:color w:val="000000"/>
          <w:lang w:val="es-ES_tradnl" w:bidi="es-ES"/>
        </w:rPr>
      </w:pPr>
    </w:p>
    <w:p w14:paraId="05CE82C5" w14:textId="77777777" w:rsidR="00B03E39" w:rsidRPr="00B03E39" w:rsidRDefault="00B03E39" w:rsidP="00B03E39">
      <w:pPr>
        <w:shd w:val="clear" w:color="auto" w:fill="FFFFFF"/>
        <w:tabs>
          <w:tab w:val="left" w:pos="426"/>
        </w:tabs>
        <w:spacing w:line="276" w:lineRule="auto"/>
        <w:jc w:val="both"/>
        <w:rPr>
          <w:rFonts w:ascii="Century Gothic" w:eastAsia="Times New Roman" w:hAnsi="Century Gothic" w:cs="Arial"/>
          <w:color w:val="000000"/>
        </w:rPr>
      </w:pPr>
      <w:r w:rsidRPr="00B03E39">
        <w:rPr>
          <w:rFonts w:ascii="Century Gothic" w:eastAsia="Times New Roman" w:hAnsi="Century Gothic" w:cs="Arial"/>
          <w:color w:val="000000"/>
        </w:rPr>
        <w:t>Atentamente,</w:t>
      </w:r>
    </w:p>
    <w:p w14:paraId="5E7B7E81" w14:textId="666C0F73" w:rsidR="00B03E39" w:rsidRPr="00B03E39" w:rsidRDefault="00845EE5" w:rsidP="00B03E39">
      <w:pPr>
        <w:jc w:val="center"/>
        <w:rPr>
          <w:rFonts w:ascii="Century Gothic" w:eastAsia="Calibri" w:hAnsi="Century Gothic" w:cs="Arial"/>
        </w:rPr>
      </w:pPr>
      <w:r>
        <w:rPr>
          <w:rFonts w:ascii="Arial" w:hAnsi="Arial" w:cs="Arial"/>
          <w:noProof/>
          <w:sz w:val="18"/>
          <w:szCs w:val="18"/>
          <w:lang w:val="es-MX" w:eastAsia="es-CO"/>
        </w:rPr>
        <w:lastRenderedPageBreak/>
        <w:drawing>
          <wp:inline distT="0" distB="0" distL="0" distR="0" wp14:anchorId="5A999B7F" wp14:editId="51EF467B">
            <wp:extent cx="2856245" cy="1099352"/>
            <wp:effectExtent l="0" t="0" r="1270" b="5715"/>
            <wp:docPr id="149058390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2386" cy="1120960"/>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03E39" w:rsidRPr="00B03E39" w14:paraId="53675F22" w14:textId="77777777" w:rsidTr="00ED0B26">
        <w:trPr>
          <w:trHeight w:val="409"/>
        </w:trPr>
        <w:tc>
          <w:tcPr>
            <w:tcW w:w="817" w:type="dxa"/>
            <w:tcBorders>
              <w:top w:val="nil"/>
              <w:left w:val="nil"/>
              <w:bottom w:val="nil"/>
              <w:right w:val="nil"/>
            </w:tcBorders>
            <w:vAlign w:val="center"/>
            <w:hideMark/>
          </w:tcPr>
          <w:p w14:paraId="42B10AE2" w14:textId="77777777" w:rsidR="00B03E39" w:rsidRPr="00B03E39" w:rsidRDefault="00B03E39" w:rsidP="00B03E39">
            <w:pPr>
              <w:shd w:val="clear" w:color="auto" w:fill="FFFFFF"/>
              <w:spacing w:after="0" w:line="240" w:lineRule="auto"/>
              <w:jc w:val="both"/>
              <w:rPr>
                <w:rFonts w:ascii="Century Gothic" w:eastAsia="Calibri" w:hAnsi="Century Gothic" w:cs="Arial"/>
                <w:sz w:val="16"/>
                <w:szCs w:val="16"/>
              </w:rPr>
            </w:pPr>
            <w:r w:rsidRPr="00B03E39">
              <w:rPr>
                <w:rFonts w:ascii="Century Gothic" w:eastAsia="Calibri" w:hAnsi="Century Gothic" w:cs="Arial"/>
                <w:sz w:val="16"/>
                <w:szCs w:val="16"/>
              </w:rPr>
              <w:t>Elaboró: </w:t>
            </w:r>
          </w:p>
        </w:tc>
        <w:tc>
          <w:tcPr>
            <w:tcW w:w="4937" w:type="dxa"/>
            <w:tcBorders>
              <w:top w:val="nil"/>
              <w:left w:val="nil"/>
              <w:bottom w:val="dotted" w:sz="6" w:space="0" w:color="7F7F7F"/>
              <w:right w:val="nil"/>
            </w:tcBorders>
            <w:vAlign w:val="center"/>
            <w:hideMark/>
          </w:tcPr>
          <w:p w14:paraId="1CFB48C9" w14:textId="77777777" w:rsidR="00B03E39" w:rsidRPr="00B03E39" w:rsidRDefault="00B03E39" w:rsidP="00B03E39">
            <w:pPr>
              <w:shd w:val="clear" w:color="auto" w:fill="FFFFFF"/>
              <w:spacing w:after="0" w:line="240" w:lineRule="auto"/>
              <w:jc w:val="both"/>
              <w:rPr>
                <w:rFonts w:ascii="Century Gothic" w:eastAsia="Calibri" w:hAnsi="Century Gothic" w:cs="Arial"/>
                <w:sz w:val="16"/>
                <w:szCs w:val="16"/>
              </w:rPr>
            </w:pPr>
            <w:r w:rsidRPr="00B03E39">
              <w:rPr>
                <w:rFonts w:ascii="Century Gothic" w:eastAsia="Calibri" w:hAnsi="Century Gothic" w:cs="Arial"/>
                <w:sz w:val="16"/>
                <w:szCs w:val="16"/>
              </w:rPr>
              <w:t>Kevin Arlid Herrera Santa</w:t>
            </w:r>
          </w:p>
          <w:p w14:paraId="6F2401D6" w14:textId="77777777" w:rsidR="00B03E39" w:rsidRPr="00B03E39" w:rsidRDefault="00B03E39" w:rsidP="00B03E39">
            <w:pPr>
              <w:shd w:val="clear" w:color="auto" w:fill="FFFFFF"/>
              <w:spacing w:after="0" w:line="240" w:lineRule="auto"/>
              <w:jc w:val="both"/>
              <w:rPr>
                <w:rFonts w:ascii="Century Gothic" w:eastAsia="Calibri" w:hAnsi="Century Gothic" w:cs="Arial"/>
                <w:sz w:val="16"/>
                <w:szCs w:val="16"/>
              </w:rPr>
            </w:pPr>
            <w:r w:rsidRPr="00B03E39">
              <w:rPr>
                <w:rFonts w:ascii="Century Gothic" w:eastAsia="Calibri" w:hAnsi="Century Gothic" w:cs="Arial"/>
                <w:sz w:val="16"/>
                <w:szCs w:val="16"/>
              </w:rPr>
              <w:t>Contratista de la Subdirección de Gestión Contractual</w:t>
            </w:r>
          </w:p>
        </w:tc>
      </w:tr>
      <w:tr w:rsidR="00B03E39" w:rsidRPr="00B03E39" w14:paraId="6617BD68" w14:textId="77777777" w:rsidTr="00ED0B26">
        <w:trPr>
          <w:trHeight w:val="409"/>
        </w:trPr>
        <w:tc>
          <w:tcPr>
            <w:tcW w:w="817" w:type="dxa"/>
            <w:tcBorders>
              <w:top w:val="nil"/>
              <w:left w:val="nil"/>
              <w:right w:val="nil"/>
            </w:tcBorders>
            <w:vAlign w:val="center"/>
          </w:tcPr>
          <w:p w14:paraId="3FB986E0" w14:textId="77777777" w:rsidR="00B03E39" w:rsidRPr="00B03E39" w:rsidRDefault="00B03E39" w:rsidP="00B03E39">
            <w:pPr>
              <w:shd w:val="clear" w:color="auto" w:fill="FFFFFF"/>
              <w:jc w:val="both"/>
              <w:rPr>
                <w:rFonts w:ascii="Century Gothic" w:eastAsia="Calibri" w:hAnsi="Century Gothic" w:cs="Arial"/>
                <w:sz w:val="16"/>
                <w:szCs w:val="16"/>
              </w:rPr>
            </w:pPr>
            <w:r w:rsidRPr="00B03E39">
              <w:rPr>
                <w:rFonts w:ascii="Century Gothic" w:eastAsia="Calibri" w:hAnsi="Century Gothic" w:cs="Arial"/>
                <w:sz w:val="16"/>
                <w:szCs w:val="16"/>
              </w:rPr>
              <w:t>Revisó</w:t>
            </w:r>
          </w:p>
        </w:tc>
        <w:tc>
          <w:tcPr>
            <w:tcW w:w="4937" w:type="dxa"/>
            <w:tcBorders>
              <w:top w:val="dotted" w:sz="6" w:space="0" w:color="7F7F7F"/>
              <w:left w:val="nil"/>
              <w:bottom w:val="dotted" w:sz="6" w:space="0" w:color="7F7F7F"/>
              <w:right w:val="nil"/>
            </w:tcBorders>
            <w:vAlign w:val="center"/>
          </w:tcPr>
          <w:p w14:paraId="4B780BF4" w14:textId="77777777" w:rsidR="00B03E39" w:rsidRPr="00B03E39" w:rsidRDefault="00B03E39" w:rsidP="00B03E39">
            <w:pPr>
              <w:shd w:val="clear" w:color="auto" w:fill="FFFFFF"/>
              <w:spacing w:after="0" w:line="240" w:lineRule="auto"/>
              <w:jc w:val="both"/>
              <w:rPr>
                <w:rFonts w:ascii="Century Gothic" w:eastAsia="Calibri" w:hAnsi="Century Gothic" w:cs="Arial"/>
                <w:sz w:val="16"/>
                <w:szCs w:val="16"/>
              </w:rPr>
            </w:pPr>
            <w:r w:rsidRPr="00B03E39">
              <w:rPr>
                <w:rFonts w:ascii="Century Gothic" w:eastAsia="Calibri" w:hAnsi="Century Gothic" w:cs="Arial"/>
                <w:sz w:val="16"/>
                <w:szCs w:val="16"/>
              </w:rPr>
              <w:t>Martha Alicia Romero Vargas</w:t>
            </w:r>
          </w:p>
          <w:p w14:paraId="576F5B8B" w14:textId="77777777" w:rsidR="00B03E39" w:rsidRPr="00B03E39" w:rsidRDefault="00B03E39" w:rsidP="00B03E39">
            <w:pPr>
              <w:shd w:val="clear" w:color="auto" w:fill="FFFFFF"/>
              <w:spacing w:after="0" w:line="240" w:lineRule="auto"/>
              <w:jc w:val="both"/>
              <w:rPr>
                <w:rFonts w:ascii="Century Gothic" w:eastAsia="Calibri" w:hAnsi="Century Gothic" w:cs="Arial"/>
                <w:sz w:val="16"/>
                <w:szCs w:val="16"/>
              </w:rPr>
            </w:pPr>
            <w:r w:rsidRPr="00B03E39">
              <w:rPr>
                <w:rFonts w:ascii="Century Gothic" w:eastAsia="Calibri" w:hAnsi="Century Gothic" w:cs="Arial"/>
                <w:sz w:val="16"/>
                <w:szCs w:val="16"/>
              </w:rPr>
              <w:t>Gestor T1-15 de la Subdirección de Gestión Contractual</w:t>
            </w:r>
          </w:p>
        </w:tc>
      </w:tr>
      <w:tr w:rsidR="00B03E39" w:rsidRPr="00B03E39" w14:paraId="73445346" w14:textId="77777777" w:rsidTr="00ED0B26">
        <w:trPr>
          <w:trHeight w:val="389"/>
        </w:trPr>
        <w:tc>
          <w:tcPr>
            <w:tcW w:w="817" w:type="dxa"/>
            <w:tcBorders>
              <w:top w:val="nil"/>
              <w:left w:val="nil"/>
              <w:bottom w:val="nil"/>
              <w:right w:val="nil"/>
            </w:tcBorders>
            <w:vAlign w:val="center"/>
            <w:hideMark/>
          </w:tcPr>
          <w:p w14:paraId="37CA3DC9" w14:textId="77777777" w:rsidR="00B03E39" w:rsidRPr="00B03E39" w:rsidRDefault="00B03E39" w:rsidP="00B03E39">
            <w:pPr>
              <w:shd w:val="clear" w:color="auto" w:fill="FFFFFF"/>
              <w:spacing w:after="0" w:line="240" w:lineRule="auto"/>
              <w:jc w:val="both"/>
              <w:rPr>
                <w:rFonts w:ascii="Century Gothic" w:eastAsia="Calibri" w:hAnsi="Century Gothic" w:cs="Arial"/>
                <w:sz w:val="16"/>
                <w:szCs w:val="16"/>
              </w:rPr>
            </w:pPr>
            <w:r w:rsidRPr="00B03E39">
              <w:rPr>
                <w:rFonts w:ascii="Century Gothic" w:eastAsia="Calibri" w:hAnsi="Century Gothic" w:cs="Arial"/>
                <w:sz w:val="16"/>
                <w:szCs w:val="16"/>
              </w:rPr>
              <w:t>Aprobó: </w:t>
            </w:r>
          </w:p>
        </w:tc>
        <w:tc>
          <w:tcPr>
            <w:tcW w:w="4937" w:type="dxa"/>
            <w:tcBorders>
              <w:top w:val="dotted" w:sz="6" w:space="0" w:color="7F7F7F"/>
              <w:left w:val="nil"/>
              <w:bottom w:val="dotted" w:sz="6" w:space="0" w:color="7F7F7F"/>
              <w:right w:val="nil"/>
            </w:tcBorders>
            <w:vAlign w:val="center"/>
            <w:hideMark/>
          </w:tcPr>
          <w:p w14:paraId="64B11D49" w14:textId="77777777" w:rsidR="00B03E39" w:rsidRPr="00B03E39" w:rsidRDefault="00B03E39" w:rsidP="00B03E39">
            <w:pPr>
              <w:shd w:val="clear" w:color="auto" w:fill="FFFFFF"/>
              <w:spacing w:after="0" w:line="240" w:lineRule="auto"/>
              <w:jc w:val="both"/>
              <w:rPr>
                <w:rFonts w:ascii="Century Gothic" w:eastAsia="Calibri" w:hAnsi="Century Gothic" w:cs="Arial"/>
                <w:sz w:val="16"/>
                <w:szCs w:val="16"/>
              </w:rPr>
            </w:pPr>
            <w:r w:rsidRPr="00B03E39">
              <w:rPr>
                <w:rFonts w:ascii="Century Gothic" w:eastAsia="Calibri" w:hAnsi="Century Gothic" w:cs="Arial"/>
                <w:sz w:val="16"/>
                <w:szCs w:val="16"/>
              </w:rPr>
              <w:t>Nohelia del Carmen Zawady Palacio</w:t>
            </w:r>
          </w:p>
          <w:p w14:paraId="79BD6E7B" w14:textId="77777777" w:rsidR="00B03E39" w:rsidRPr="00B03E39" w:rsidRDefault="00B03E39" w:rsidP="00B03E39">
            <w:pPr>
              <w:shd w:val="clear" w:color="auto" w:fill="FFFFFF"/>
              <w:spacing w:after="0" w:line="240" w:lineRule="auto"/>
              <w:jc w:val="both"/>
              <w:rPr>
                <w:rFonts w:ascii="Century Gothic" w:eastAsia="Calibri" w:hAnsi="Century Gothic" w:cs="Arial"/>
                <w:sz w:val="16"/>
                <w:szCs w:val="16"/>
              </w:rPr>
            </w:pPr>
            <w:r w:rsidRPr="00B03E39">
              <w:rPr>
                <w:rFonts w:ascii="Century Gothic" w:eastAsia="Calibri" w:hAnsi="Century Gothic" w:cs="Arial"/>
                <w:sz w:val="16"/>
                <w:szCs w:val="16"/>
              </w:rPr>
              <w:t>Subdirectora de Gestión Contractual ANCP - CCE</w:t>
            </w:r>
          </w:p>
        </w:tc>
      </w:tr>
      <w:bookmarkEnd w:id="0"/>
      <w:bookmarkEnd w:id="3"/>
    </w:tbl>
    <w:p w14:paraId="1F3BA888" w14:textId="77777777" w:rsidR="00B03E39" w:rsidRPr="00B03E39" w:rsidRDefault="00B03E39" w:rsidP="00B03E39">
      <w:pPr>
        <w:spacing w:after="0" w:line="240" w:lineRule="auto"/>
        <w:rPr>
          <w:rFonts w:ascii="Aptos" w:eastAsia="Aptos" w:hAnsi="Aptos" w:cs="Times New Roman"/>
          <w:kern w:val="2"/>
          <w:sz w:val="24"/>
          <w:szCs w:val="24"/>
          <w:lang w:val="es-ES_tradnl"/>
          <w14:ligatures w14:val="standardContextual"/>
        </w:rPr>
      </w:pPr>
    </w:p>
    <w:p w14:paraId="4EBD25DF" w14:textId="77777777" w:rsidR="00B03E39" w:rsidRPr="00B03E39" w:rsidRDefault="00B03E39" w:rsidP="00B03E39">
      <w:pPr>
        <w:spacing w:after="0"/>
        <w:rPr>
          <w:rFonts w:ascii="Century Gothic" w:eastAsia="Calibri" w:hAnsi="Century Gothic" w:cs="Times New Roman"/>
          <w:lang w:val="es-MX"/>
        </w:rPr>
      </w:pPr>
    </w:p>
    <w:p w14:paraId="4962CC41" w14:textId="77777777" w:rsidR="00B03E39" w:rsidRPr="00B03E39" w:rsidRDefault="00B03E39" w:rsidP="00B03E39">
      <w:pPr>
        <w:spacing w:after="0" w:line="240" w:lineRule="auto"/>
        <w:rPr>
          <w:rFonts w:ascii="Aptos" w:eastAsia="Aptos" w:hAnsi="Aptos" w:cs="Times New Roman"/>
          <w:kern w:val="2"/>
          <w:sz w:val="24"/>
          <w:szCs w:val="24"/>
          <w:lang w:val="es-ES_tradnl"/>
          <w14:ligatures w14:val="standardContextual"/>
        </w:rPr>
      </w:pPr>
    </w:p>
    <w:p w14:paraId="6E42B732" w14:textId="77777777" w:rsidR="00B03E39" w:rsidRPr="00B03E39" w:rsidRDefault="00B03E39" w:rsidP="00B03E39">
      <w:pPr>
        <w:spacing w:after="0" w:line="240" w:lineRule="auto"/>
        <w:rPr>
          <w:rFonts w:ascii="Aptos" w:eastAsia="Aptos" w:hAnsi="Aptos" w:cs="Times New Roman"/>
          <w:kern w:val="2"/>
          <w:sz w:val="24"/>
          <w:szCs w:val="24"/>
          <w:lang w:val="es-ES_tradnl"/>
          <w14:ligatures w14:val="standardContextual"/>
        </w:rPr>
      </w:pPr>
    </w:p>
    <w:p w14:paraId="107AF459" w14:textId="77777777" w:rsidR="00B03E39" w:rsidRPr="00B03E39" w:rsidRDefault="00B03E39" w:rsidP="00B03E39">
      <w:pPr>
        <w:spacing w:after="0" w:line="240" w:lineRule="auto"/>
        <w:rPr>
          <w:rFonts w:ascii="Aptos" w:eastAsia="Aptos" w:hAnsi="Aptos" w:cs="Times New Roman"/>
          <w:kern w:val="2"/>
          <w:sz w:val="24"/>
          <w:szCs w:val="24"/>
          <w:lang w:val="es-ES_tradnl"/>
          <w14:ligatures w14:val="standardContextual"/>
        </w:rPr>
      </w:pPr>
    </w:p>
    <w:p w14:paraId="7EBFAB6A" w14:textId="77777777" w:rsidR="005A6AA1" w:rsidRDefault="005A6AA1" w:rsidP="00400548">
      <w:pPr>
        <w:spacing w:after="0"/>
        <w:rPr>
          <w:rFonts w:ascii="Century Gothic" w:hAnsi="Century Gothic"/>
          <w:lang w:val="es-MX"/>
        </w:rPr>
      </w:pPr>
    </w:p>
    <w:sectPr w:rsidR="005A6AA1" w:rsidSect="004368BC">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AEE9D" w14:textId="77777777" w:rsidR="001C02C5" w:rsidRDefault="001C02C5" w:rsidP="004A1847">
      <w:pPr>
        <w:spacing w:after="0" w:line="240" w:lineRule="auto"/>
      </w:pPr>
      <w:r>
        <w:separator/>
      </w:r>
    </w:p>
  </w:endnote>
  <w:endnote w:type="continuationSeparator" w:id="0">
    <w:p w14:paraId="7095138A" w14:textId="77777777" w:rsidR="001C02C5" w:rsidRDefault="001C02C5" w:rsidP="004A1847">
      <w:pPr>
        <w:spacing w:after="0" w:line="240" w:lineRule="auto"/>
      </w:pPr>
      <w:r>
        <w:continuationSeparator/>
      </w:r>
    </w:p>
  </w:endnote>
  <w:endnote w:type="continuationNotice" w:id="1">
    <w:p w14:paraId="137FA122" w14:textId="77777777" w:rsidR="001C02C5" w:rsidRDefault="001C02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13AC1" w14:textId="77777777" w:rsidR="001C02C5" w:rsidRDefault="001C02C5" w:rsidP="004A1847">
      <w:pPr>
        <w:spacing w:after="0" w:line="240" w:lineRule="auto"/>
      </w:pPr>
      <w:r>
        <w:separator/>
      </w:r>
    </w:p>
  </w:footnote>
  <w:footnote w:type="continuationSeparator" w:id="0">
    <w:p w14:paraId="63A0EB72" w14:textId="77777777" w:rsidR="001C02C5" w:rsidRDefault="001C02C5" w:rsidP="004A1847">
      <w:pPr>
        <w:spacing w:after="0" w:line="240" w:lineRule="auto"/>
      </w:pPr>
      <w:r>
        <w:continuationSeparator/>
      </w:r>
    </w:p>
  </w:footnote>
  <w:footnote w:type="continuationNotice" w:id="1">
    <w:p w14:paraId="46EB0FE0" w14:textId="77777777" w:rsidR="001C02C5" w:rsidRDefault="001C02C5">
      <w:pPr>
        <w:spacing w:after="0" w:line="240" w:lineRule="auto"/>
      </w:pPr>
    </w:p>
  </w:footnote>
  <w:footnote w:id="2">
    <w:p w14:paraId="4EE68CDA" w14:textId="77777777" w:rsidR="00B03E39" w:rsidRPr="00FD174C" w:rsidRDefault="00B03E39" w:rsidP="00B03E39">
      <w:pPr>
        <w:pStyle w:val="Textonotapie"/>
        <w:ind w:firstLine="709"/>
        <w:jc w:val="both"/>
        <w:rPr>
          <w:rFonts w:ascii="Century Gothic" w:hAnsi="Century Gothic" w:cs="Arial"/>
          <w:sz w:val="18"/>
          <w:szCs w:val="18"/>
          <w:lang w:val="es-CO"/>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w:t>
      </w:r>
      <w:r w:rsidRPr="00FD174C">
        <w:rPr>
          <w:rFonts w:ascii="Century Gothic" w:hAnsi="Century Gothic" w:cs="Arial"/>
          <w:sz w:val="18"/>
          <w:szCs w:val="18"/>
          <w:lang w:val="es-CO"/>
        </w:rPr>
        <w:t xml:space="preserve">Estos conceptos pueden ser consultados en la Relatoría de esta Agencia en el siguiente Link: </w:t>
      </w:r>
      <w:hyperlink r:id="rId1" w:history="1">
        <w:r w:rsidRPr="00FD174C">
          <w:rPr>
            <w:rStyle w:val="Hipervnculo"/>
            <w:rFonts w:ascii="Century Gothic" w:hAnsi="Century Gothic" w:cs="Arial"/>
            <w:sz w:val="18"/>
            <w:szCs w:val="18"/>
            <w:lang w:val="es-CO"/>
          </w:rPr>
          <w:t>https://relatoria.colombiacompra.gov.co/busqueda/conceptos</w:t>
        </w:r>
      </w:hyperlink>
      <w:r w:rsidRPr="00FD174C">
        <w:rPr>
          <w:rFonts w:ascii="Century Gothic" w:hAnsi="Century Gothic" w:cs="Arial"/>
          <w:sz w:val="18"/>
          <w:szCs w:val="18"/>
          <w:lang w:val="es-CO"/>
        </w:rPr>
        <w:t>.</w:t>
      </w:r>
    </w:p>
  </w:footnote>
  <w:footnote w:id="3">
    <w:p w14:paraId="7DB658B7" w14:textId="77777777" w:rsidR="00B03E39" w:rsidRPr="00FD174C" w:rsidRDefault="00B03E39" w:rsidP="00B03E39">
      <w:pPr>
        <w:pStyle w:val="Textonotapie"/>
        <w:ind w:firstLine="709"/>
        <w:jc w:val="both"/>
        <w:rPr>
          <w:rFonts w:ascii="Century Gothic" w:hAnsi="Century Gothic" w:cs="Arial"/>
          <w:color w:val="000000"/>
          <w:sz w:val="18"/>
          <w:szCs w:val="18"/>
          <w:lang w:val="es-CO"/>
        </w:rPr>
      </w:pPr>
      <w:r w:rsidRPr="00FD174C">
        <w:rPr>
          <w:rStyle w:val="Refdenotaalpie"/>
          <w:rFonts w:ascii="Century Gothic" w:hAnsi="Century Gothic" w:cs="Arial"/>
          <w:color w:val="000000"/>
          <w:sz w:val="18"/>
          <w:szCs w:val="18"/>
        </w:rPr>
        <w:footnoteRef/>
      </w:r>
      <w:r w:rsidRPr="00FD174C">
        <w:rPr>
          <w:rFonts w:ascii="Century Gothic" w:hAnsi="Century Gothic" w:cs="Arial"/>
          <w:color w:val="000000"/>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5776564C"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color w:val="000000"/>
          <w:sz w:val="18"/>
          <w:szCs w:val="18"/>
        </w:rPr>
        <w:footnoteRef/>
      </w:r>
      <w:r w:rsidRPr="00FD174C">
        <w:rPr>
          <w:rFonts w:ascii="Century Gothic" w:hAnsi="Century Gothic" w:cs="Arial"/>
          <w:color w:val="000000"/>
          <w:sz w:val="18"/>
          <w:szCs w:val="18"/>
        </w:rPr>
        <w:t xml:space="preserve"> </w:t>
      </w:r>
      <w:r w:rsidRPr="00FD174C">
        <w:rPr>
          <w:rFonts w:ascii="Century Gothic" w:hAnsi="Century Gothic" w:cs="Arial"/>
          <w:color w:val="000000"/>
          <w:sz w:val="18"/>
          <w:szCs w:val="18"/>
          <w:lang w:val="es-CO"/>
        </w:rPr>
        <w:t xml:space="preserve">Ley 1882 de 2018: “Artículo 4. </w:t>
      </w:r>
      <w:r w:rsidRPr="00FD174C">
        <w:rPr>
          <w:rFonts w:ascii="Century Gothic" w:hAnsi="Century Gothic" w:cs="Arial"/>
          <w:color w:val="000000"/>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1D97826" w14:textId="77777777" w:rsidR="00B03E39" w:rsidRPr="00FD174C" w:rsidRDefault="00B03E39" w:rsidP="00B03E39">
      <w:pPr>
        <w:pStyle w:val="Textonotapie"/>
        <w:ind w:firstLine="709"/>
        <w:jc w:val="both"/>
        <w:rPr>
          <w:rFonts w:ascii="Century Gothic" w:hAnsi="Century Gothic" w:cs="Arial"/>
          <w:color w:val="000000"/>
          <w:sz w:val="18"/>
          <w:szCs w:val="18"/>
          <w:lang w:val="es-CO"/>
        </w:rPr>
      </w:pPr>
      <w:r w:rsidRPr="00FD174C">
        <w:rPr>
          <w:rFonts w:ascii="Century Gothic" w:hAnsi="Century Gothic" w:cs="Arial"/>
          <w:color w:val="000000"/>
          <w:sz w:val="18"/>
          <w:szCs w:val="18"/>
          <w:lang w:val="es-CO"/>
        </w:rPr>
        <w:t>La facultad de adoptar documentos tipo la tendrá el Gobierno nacional, cuando lo considere necesario, en relación con otros contratos o procesos de selección.</w:t>
      </w:r>
    </w:p>
    <w:p w14:paraId="3EE34224" w14:textId="77777777" w:rsidR="00B03E39" w:rsidRPr="00FD174C" w:rsidRDefault="00B03E39" w:rsidP="00B03E39">
      <w:pPr>
        <w:pStyle w:val="Textonotapie"/>
        <w:ind w:firstLine="709"/>
        <w:jc w:val="both"/>
        <w:rPr>
          <w:rFonts w:ascii="Century Gothic" w:hAnsi="Century Gothic" w:cs="Arial"/>
          <w:color w:val="000000"/>
          <w:sz w:val="18"/>
          <w:szCs w:val="18"/>
          <w:lang w:val="es-CO"/>
        </w:rPr>
      </w:pPr>
      <w:r w:rsidRPr="00FD174C">
        <w:rPr>
          <w:rFonts w:ascii="Century Gothic" w:hAnsi="Century Gothic" w:cs="Arial"/>
          <w:color w:val="000000"/>
          <w:sz w:val="18"/>
          <w:szCs w:val="18"/>
          <w:lang w:val="es-CO"/>
        </w:rPr>
        <w:t>Los pliegos tipo se adoptarán por categorías de acuerdo con la cuantía de la contratación, según la reglamentación que expida el Gobierno nacional”.</w:t>
      </w:r>
    </w:p>
  </w:footnote>
  <w:footnote w:id="5">
    <w:p w14:paraId="2F6D2E21"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color w:val="000000"/>
          <w:sz w:val="18"/>
          <w:szCs w:val="18"/>
        </w:rPr>
        <w:footnoteRef/>
      </w:r>
      <w:r w:rsidRPr="00FD174C">
        <w:rPr>
          <w:rFonts w:ascii="Century Gothic" w:hAnsi="Century Gothic" w:cs="Arial"/>
          <w:color w:val="000000"/>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0A8F73AB" w14:textId="77777777" w:rsidR="00B03E39" w:rsidRPr="00FD174C" w:rsidRDefault="00B03E39" w:rsidP="00B03E39">
      <w:pPr>
        <w:pStyle w:val="Textonotapie"/>
        <w:ind w:firstLine="708"/>
        <w:jc w:val="both"/>
        <w:rPr>
          <w:rFonts w:ascii="Century Gothic" w:hAnsi="Century Gothic" w:cs="Arial"/>
          <w:color w:val="000000"/>
          <w:sz w:val="18"/>
          <w:szCs w:val="18"/>
        </w:rPr>
      </w:pPr>
      <w:r w:rsidRPr="00FD174C">
        <w:rPr>
          <w:rStyle w:val="Refdenotaalpie"/>
          <w:rFonts w:ascii="Century Gothic" w:hAnsi="Century Gothic" w:cs="Arial"/>
          <w:color w:val="000000"/>
          <w:sz w:val="18"/>
          <w:szCs w:val="18"/>
        </w:rPr>
        <w:footnoteRef/>
      </w:r>
      <w:r w:rsidRPr="00FD174C">
        <w:rPr>
          <w:rFonts w:ascii="Century Gothic" w:hAnsi="Century Gothic" w:cs="Arial"/>
          <w:color w:val="000000"/>
          <w:sz w:val="18"/>
          <w:szCs w:val="18"/>
        </w:rPr>
        <w:t xml:space="preserve"> Sin perjuicio de la extensión del ámbito de aplicación de acuerdo con el artículo 56 de la Ley 2195 de 2022, la norma citada en el cuerpo del concepto dispone lo siguiente: “ARTÍCULO 1o. Modifíquese el artículo 4o de la Ley 1882 de 2018, el cual quedará así:</w:t>
      </w:r>
    </w:p>
    <w:p w14:paraId="3C552C21" w14:textId="77777777" w:rsidR="00B03E39" w:rsidRPr="00FD174C" w:rsidRDefault="00B03E39" w:rsidP="00B03E39">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Artículo 4o. Adiciónese el siguiente parágrafo al artículo 2o de la Ley 1150 de 2007.</w:t>
      </w:r>
    </w:p>
    <w:p w14:paraId="2A8AD2FE" w14:textId="77777777" w:rsidR="00B03E39" w:rsidRPr="00FD174C" w:rsidRDefault="00B03E39" w:rsidP="00B03E39">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ACD2E6B" w14:textId="77777777" w:rsidR="00B03E39" w:rsidRPr="00FD174C" w:rsidRDefault="00B03E39" w:rsidP="00B03E39">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C7A980A" w14:textId="77777777" w:rsidR="00B03E39" w:rsidRPr="00FD174C" w:rsidRDefault="00B03E39" w:rsidP="00B03E39">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62770F4" w14:textId="77777777" w:rsidR="00B03E39" w:rsidRPr="00FD174C" w:rsidRDefault="00B03E39" w:rsidP="00B03E39">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22518C1" w14:textId="77777777" w:rsidR="00B03E39" w:rsidRPr="00FD174C" w:rsidRDefault="00B03E39" w:rsidP="00B03E39">
      <w:pPr>
        <w:pStyle w:val="Textonotapie"/>
        <w:ind w:firstLine="708"/>
        <w:jc w:val="both"/>
        <w:rPr>
          <w:rFonts w:ascii="Century Gothic" w:hAnsi="Century Gothic" w:cs="Arial"/>
          <w:color w:val="000000"/>
          <w:sz w:val="18"/>
          <w:szCs w:val="18"/>
        </w:rPr>
      </w:pPr>
      <w:r w:rsidRPr="00FD174C">
        <w:rPr>
          <w:rFonts w:ascii="Century Gothic" w:hAnsi="Century Gothic"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74339554" w14:textId="77777777" w:rsidR="00B03E39" w:rsidRPr="00FD174C" w:rsidRDefault="00B03E39" w:rsidP="00B03E39">
      <w:pPr>
        <w:pStyle w:val="Textonotapie"/>
        <w:ind w:firstLine="709"/>
        <w:jc w:val="both"/>
        <w:rPr>
          <w:rFonts w:ascii="Century Gothic" w:hAnsi="Century Gothic" w:cs="Arial"/>
          <w:sz w:val="18"/>
          <w:szCs w:val="18"/>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El artículo 5 dispone que “</w:t>
      </w:r>
      <w:r w:rsidRPr="00FD174C">
        <w:rPr>
          <w:rFonts w:ascii="Century Gothic" w:hAnsi="Century Gothic" w:cs="Arial"/>
          <w:sz w:val="18"/>
          <w:szCs w:val="18"/>
          <w:lang w:val="es-CO"/>
        </w:rPr>
        <w:t>La presente resolución rige a partir de su publicación, deroga la Resolución 094 de 2020 y sus modificaciones posteriores, y aplica a los procesos de obra pública de infraestructura de transporte que se adelanten bajo la modalidad de mínima cuantía, cuya invitación se publique a partir del 27 de febrero del 2023”.</w:t>
      </w:r>
    </w:p>
  </w:footnote>
  <w:footnote w:id="8">
    <w:p w14:paraId="79F4A2F6" w14:textId="77777777" w:rsidR="00B03E39" w:rsidRPr="00FD174C" w:rsidRDefault="00B03E39" w:rsidP="00B03E39">
      <w:pPr>
        <w:pStyle w:val="Textonotapie"/>
        <w:ind w:firstLine="708"/>
        <w:jc w:val="both"/>
        <w:rPr>
          <w:rFonts w:ascii="Century Gothic" w:hAnsi="Century Gothic" w:cs="Arial"/>
          <w:sz w:val="18"/>
          <w:szCs w:val="18"/>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CONGRESO DE LA REPÚBLICA., Gaceta legislativa No. 1249 de 4 de noviembre de 2020 – Senado.</w:t>
      </w:r>
    </w:p>
  </w:footnote>
  <w:footnote w:id="9">
    <w:p w14:paraId="391CA37D" w14:textId="77777777" w:rsidR="00B03E39" w:rsidRPr="00FD174C" w:rsidRDefault="00B03E39" w:rsidP="00B03E39">
      <w:pPr>
        <w:pStyle w:val="Textonotapie"/>
        <w:ind w:firstLine="708"/>
        <w:jc w:val="both"/>
        <w:rPr>
          <w:rFonts w:ascii="Century Gothic" w:hAnsi="Century Gothic" w:cs="Arial"/>
          <w:sz w:val="18"/>
          <w:szCs w:val="18"/>
          <w:lang w:val="es-CO"/>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CONGRESO DE LA REPÚBLICA., </w:t>
      </w:r>
      <w:r w:rsidRPr="00FD174C">
        <w:rPr>
          <w:rFonts w:ascii="Century Gothic" w:hAnsi="Century Gothic" w:cs="Arial"/>
          <w:sz w:val="18"/>
          <w:szCs w:val="18"/>
          <w:lang w:val="es-CO"/>
        </w:rPr>
        <w:t>Gaceta legislativa No.1677 de 23 de noviembre de 2021 – Cámara de Representantes.</w:t>
      </w:r>
    </w:p>
  </w:footnote>
  <w:footnote w:id="10">
    <w:p w14:paraId="1AB8D073" w14:textId="77777777" w:rsidR="00B03E39" w:rsidRPr="00FD174C" w:rsidRDefault="00B03E39" w:rsidP="00B03E39">
      <w:pPr>
        <w:pStyle w:val="Textonotapie"/>
        <w:jc w:val="both"/>
        <w:rPr>
          <w:rFonts w:ascii="Century Gothic" w:hAnsi="Century Gothic" w:cs="Arial"/>
          <w:sz w:val="18"/>
          <w:szCs w:val="18"/>
        </w:rPr>
      </w:pPr>
    </w:p>
    <w:p w14:paraId="3F217DAE" w14:textId="77777777" w:rsidR="00B03E39" w:rsidRPr="00FD174C" w:rsidRDefault="00B03E39" w:rsidP="00B03E39">
      <w:pPr>
        <w:pStyle w:val="Textonotapie"/>
        <w:ind w:firstLine="708"/>
        <w:jc w:val="both"/>
        <w:rPr>
          <w:rFonts w:ascii="Century Gothic" w:hAnsi="Century Gothic" w:cs="Arial"/>
          <w:sz w:val="18"/>
          <w:szCs w:val="18"/>
          <w:lang w:val="es-CO"/>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w:t>
      </w:r>
      <w:r w:rsidRPr="00FD174C">
        <w:rPr>
          <w:rFonts w:ascii="Century Gothic" w:hAnsi="Century Gothic" w:cs="Arial"/>
          <w:sz w:val="18"/>
          <w:szCs w:val="18"/>
          <w:lang w:val="es-CO"/>
        </w:rPr>
        <w:t xml:space="preserve">Intervención realizada por </w:t>
      </w:r>
      <w:r w:rsidRPr="00FD174C">
        <w:rPr>
          <w:rFonts w:ascii="Century Gothic" w:eastAsia="Calibri" w:hAnsi="Century Gothic" w:cs="Arial"/>
          <w:sz w:val="18"/>
          <w:szCs w:val="18"/>
          <w:lang w:val="es-ES_tradnl" w:eastAsia="es-ES_tradnl"/>
        </w:rPr>
        <w:t xml:space="preserve">el Subdirector de Gestión Contractual de la Agencia, en ese entonces, el abogado Jorge Tirado, que reposa en la gaceta legislativa No. 274 del 13 de abril de 2021 - </w:t>
      </w:r>
      <w:r w:rsidRPr="00FD174C">
        <w:rPr>
          <w:rFonts w:ascii="Century Gothic" w:hAnsi="Century Gothic" w:cs="Arial"/>
          <w:sz w:val="18"/>
          <w:szCs w:val="18"/>
        </w:rPr>
        <w:t>Senado del Congreso de la República.</w:t>
      </w:r>
    </w:p>
  </w:footnote>
  <w:footnote w:id="11">
    <w:p w14:paraId="02DF5501" w14:textId="77777777" w:rsidR="00B03E39" w:rsidRPr="00FD174C" w:rsidRDefault="00B03E39" w:rsidP="00B03E39">
      <w:pPr>
        <w:pStyle w:val="Textonotapie"/>
        <w:ind w:firstLine="708"/>
        <w:jc w:val="both"/>
        <w:rPr>
          <w:rFonts w:ascii="Century Gothic" w:hAnsi="Century Gothic" w:cs="Arial"/>
          <w:sz w:val="18"/>
          <w:szCs w:val="18"/>
          <w:lang w:val="es-CO"/>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Ver articulado propuesto en el informe de ponencia para primer debate del </w:t>
      </w:r>
      <w:r w:rsidRPr="00FD174C">
        <w:rPr>
          <w:rFonts w:ascii="Century Gothic" w:eastAsia="Calibri" w:hAnsi="Century Gothic" w:cs="Arial"/>
          <w:sz w:val="18"/>
          <w:szCs w:val="18"/>
          <w:lang w:val="es-ES_tradnl" w:eastAsia="es-ES_tradnl"/>
        </w:rPr>
        <w:t>Proyecto de Ley No. 341 de 2020</w:t>
      </w:r>
      <w:r w:rsidRPr="00FD174C">
        <w:rPr>
          <w:rFonts w:ascii="Century Gothic" w:hAnsi="Century Gothic" w:cs="Arial"/>
          <w:sz w:val="18"/>
          <w:szCs w:val="18"/>
        </w:rPr>
        <w:t xml:space="preserve">del </w:t>
      </w:r>
      <w:r w:rsidRPr="00FD174C">
        <w:rPr>
          <w:rFonts w:ascii="Century Gothic" w:eastAsia="Calibri" w:hAnsi="Century Gothic" w:cs="Arial"/>
          <w:sz w:val="18"/>
          <w:szCs w:val="18"/>
          <w:lang w:val="es-ES_tradnl" w:eastAsia="es-ES_tradnl"/>
        </w:rPr>
        <w:t xml:space="preserve">gaceta legislativa No. 274 del 13 de abril de 2021 - </w:t>
      </w:r>
      <w:r w:rsidRPr="00FD174C">
        <w:rPr>
          <w:rFonts w:ascii="Century Gothic" w:hAnsi="Century Gothic" w:cs="Arial"/>
          <w:sz w:val="18"/>
          <w:szCs w:val="18"/>
        </w:rPr>
        <w:t>Senado del Congreso de la República.</w:t>
      </w:r>
    </w:p>
  </w:footnote>
  <w:footnote w:id="12">
    <w:p w14:paraId="4CCCC434" w14:textId="77777777" w:rsidR="00B03E39" w:rsidRPr="00FD174C" w:rsidRDefault="00B03E39" w:rsidP="00B03E39">
      <w:pPr>
        <w:pStyle w:val="Textonotapie"/>
        <w:ind w:firstLine="708"/>
        <w:jc w:val="both"/>
        <w:rPr>
          <w:rFonts w:ascii="Century Gothic" w:hAnsi="Century Gothic" w:cs="Arial"/>
          <w:sz w:val="18"/>
          <w:szCs w:val="18"/>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Ver aparte de pliego de modificaciones en el informe de ponencia para primer debate del </w:t>
      </w:r>
      <w:r w:rsidRPr="00FD174C">
        <w:rPr>
          <w:rFonts w:ascii="Century Gothic" w:eastAsia="Calibri" w:hAnsi="Century Gothic" w:cs="Arial"/>
          <w:sz w:val="18"/>
          <w:szCs w:val="18"/>
          <w:lang w:val="es-ES_tradnl" w:eastAsia="es-ES_tradnl"/>
        </w:rPr>
        <w:t>Proyecto de Ley No. 341 de 2020</w:t>
      </w:r>
      <w:r w:rsidRPr="00FD174C">
        <w:rPr>
          <w:rFonts w:ascii="Century Gothic" w:hAnsi="Century Gothic" w:cs="Arial"/>
          <w:sz w:val="18"/>
          <w:szCs w:val="18"/>
        </w:rPr>
        <w:t xml:space="preserve">del </w:t>
      </w:r>
      <w:r w:rsidRPr="00FD174C">
        <w:rPr>
          <w:rFonts w:ascii="Century Gothic" w:eastAsia="Calibri" w:hAnsi="Century Gothic" w:cs="Arial"/>
          <w:sz w:val="18"/>
          <w:szCs w:val="18"/>
          <w:lang w:val="es-ES_tradnl" w:eastAsia="es-ES_tradnl"/>
        </w:rPr>
        <w:t xml:space="preserve">gaceta legislativa No. 274 del 13 de abril de 2021 - </w:t>
      </w:r>
      <w:r w:rsidRPr="00FD174C">
        <w:rPr>
          <w:rFonts w:ascii="Century Gothic" w:hAnsi="Century Gothic" w:cs="Arial"/>
          <w:sz w:val="18"/>
          <w:szCs w:val="18"/>
        </w:rPr>
        <w:t>Senado del Congreso de la República.</w:t>
      </w:r>
    </w:p>
    <w:p w14:paraId="668FEB9D" w14:textId="77777777" w:rsidR="00B03E39" w:rsidRPr="00FD174C" w:rsidRDefault="00B03E39" w:rsidP="00B03E39">
      <w:pPr>
        <w:pStyle w:val="Textonotapie"/>
        <w:ind w:firstLine="708"/>
        <w:jc w:val="both"/>
        <w:rPr>
          <w:rFonts w:ascii="Century Gothic" w:hAnsi="Century Gothic" w:cs="Arial"/>
          <w:sz w:val="18"/>
          <w:szCs w:val="18"/>
          <w:lang w:val="es-CO"/>
        </w:rPr>
      </w:pPr>
    </w:p>
  </w:footnote>
  <w:footnote w:id="13">
    <w:p w14:paraId="3A4EC605" w14:textId="77777777" w:rsidR="00B03E39" w:rsidRPr="00FD174C" w:rsidRDefault="00B03E39" w:rsidP="00B03E39">
      <w:pPr>
        <w:pStyle w:val="Textonotapie"/>
        <w:ind w:firstLine="708"/>
        <w:jc w:val="both"/>
        <w:rPr>
          <w:rFonts w:ascii="Century Gothic" w:hAnsi="Century Gothic" w:cs="Arial"/>
          <w:sz w:val="18"/>
          <w:szCs w:val="18"/>
          <w:lang w:val="es-CO"/>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CONGRESO DE LA REPÚBLICA.</w:t>
      </w:r>
      <w:r>
        <w:rPr>
          <w:rFonts w:ascii="Century Gothic" w:hAnsi="Century Gothic" w:cs="Arial"/>
          <w:sz w:val="18"/>
          <w:szCs w:val="18"/>
        </w:rPr>
        <w:t xml:space="preserve"> </w:t>
      </w:r>
      <w:r w:rsidRPr="00FD174C">
        <w:rPr>
          <w:rFonts w:ascii="Century Gothic" w:hAnsi="Century Gothic" w:cs="Arial"/>
          <w:sz w:val="18"/>
          <w:szCs w:val="18"/>
        </w:rPr>
        <w:t>Gaceta legislativa No. 1160 del 9 de septiembre de 2021</w:t>
      </w:r>
      <w:r w:rsidRPr="00FD174C">
        <w:rPr>
          <w:rFonts w:ascii="Century Gothic" w:eastAsia="Calibri" w:hAnsi="Century Gothic" w:cs="Arial"/>
          <w:sz w:val="18"/>
          <w:szCs w:val="18"/>
          <w:lang w:val="es-ES_tradnl" w:eastAsia="es-ES_tradnl"/>
        </w:rPr>
        <w:t xml:space="preserve">- </w:t>
      </w:r>
      <w:r w:rsidRPr="00FD174C">
        <w:rPr>
          <w:rFonts w:ascii="Century Gothic" w:hAnsi="Century Gothic" w:cs="Arial"/>
          <w:sz w:val="18"/>
          <w:szCs w:val="18"/>
        </w:rPr>
        <w:t>Senado.</w:t>
      </w:r>
    </w:p>
  </w:footnote>
  <w:footnote w:id="14">
    <w:p w14:paraId="7B0F7B70" w14:textId="77777777" w:rsidR="00B03E39" w:rsidRPr="00FD174C" w:rsidRDefault="00B03E39" w:rsidP="00B03E39">
      <w:pPr>
        <w:pStyle w:val="Textonotapie"/>
        <w:ind w:firstLine="708"/>
        <w:jc w:val="both"/>
        <w:rPr>
          <w:rFonts w:ascii="Century Gothic" w:hAnsi="Century Gothic" w:cs="Arial"/>
          <w:sz w:val="18"/>
          <w:szCs w:val="18"/>
          <w:lang w:val="es-CO"/>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CONGRESO DE LA REPÚBLICA.</w:t>
      </w:r>
      <w:r>
        <w:rPr>
          <w:rFonts w:ascii="Century Gothic" w:hAnsi="Century Gothic" w:cs="Arial"/>
          <w:sz w:val="18"/>
          <w:szCs w:val="18"/>
        </w:rPr>
        <w:t xml:space="preserve"> </w:t>
      </w:r>
      <w:r w:rsidRPr="00FD174C">
        <w:rPr>
          <w:rFonts w:ascii="Century Gothic" w:hAnsi="Century Gothic" w:cs="Arial"/>
          <w:sz w:val="18"/>
          <w:szCs w:val="18"/>
          <w:lang w:val="es-CO"/>
        </w:rPr>
        <w:t>Gaceta legislativa No. 1589 del 9 de noviembre de 2021 – Senado.</w:t>
      </w:r>
    </w:p>
  </w:footnote>
  <w:footnote w:id="15">
    <w:p w14:paraId="1BFF7EC9" w14:textId="77777777" w:rsidR="00B03E39" w:rsidRPr="00FD174C" w:rsidRDefault="00B03E39" w:rsidP="00B03E39">
      <w:pPr>
        <w:pStyle w:val="Textonotapie"/>
        <w:jc w:val="both"/>
        <w:rPr>
          <w:rFonts w:ascii="Century Gothic" w:hAnsi="Century Gothic" w:cs="Arial"/>
          <w:sz w:val="18"/>
          <w:szCs w:val="18"/>
        </w:rPr>
      </w:pPr>
    </w:p>
    <w:p w14:paraId="33AFABAE" w14:textId="77777777" w:rsidR="00B03E39" w:rsidRPr="00FD174C" w:rsidRDefault="00B03E39" w:rsidP="00B03E39">
      <w:pPr>
        <w:pStyle w:val="Textonotapie"/>
        <w:ind w:firstLine="708"/>
        <w:jc w:val="both"/>
        <w:rPr>
          <w:rFonts w:ascii="Century Gothic" w:hAnsi="Century Gothic" w:cs="Arial"/>
          <w:sz w:val="18"/>
          <w:szCs w:val="18"/>
          <w:lang w:val="es-CO"/>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w:t>
      </w:r>
      <w:r w:rsidRPr="00FD174C">
        <w:rPr>
          <w:rFonts w:ascii="Century Gothic" w:hAnsi="Century Gothic" w:cs="Arial"/>
          <w:sz w:val="18"/>
          <w:szCs w:val="18"/>
          <w:lang w:val="es-CO"/>
        </w:rPr>
        <w:t xml:space="preserve">Ver gacetas legislativas No. 1677 de 23 de noviembre de 2021, No. 1752 de 1 de diciembre de 2021 y No. 1828 del 14 de diciembre – Cámara de Representantes del Congreso de la República </w:t>
      </w:r>
    </w:p>
  </w:footnote>
  <w:footnote w:id="16">
    <w:p w14:paraId="7559F0B3" w14:textId="77777777" w:rsidR="00B03E39" w:rsidRPr="00FD174C" w:rsidRDefault="00B03E39" w:rsidP="00B03E39">
      <w:pPr>
        <w:pStyle w:val="Textonotapie"/>
        <w:ind w:firstLine="708"/>
        <w:jc w:val="both"/>
        <w:rPr>
          <w:rFonts w:ascii="Century Gothic" w:hAnsi="Century Gothic" w:cs="Arial"/>
          <w:sz w:val="18"/>
          <w:szCs w:val="18"/>
        </w:rPr>
      </w:pPr>
    </w:p>
    <w:p w14:paraId="1673EF9A" w14:textId="77777777" w:rsidR="00B03E39" w:rsidRPr="00FD174C" w:rsidRDefault="00B03E39" w:rsidP="00B03E39">
      <w:pPr>
        <w:pStyle w:val="Textonotapie"/>
        <w:ind w:firstLine="708"/>
        <w:jc w:val="both"/>
        <w:rPr>
          <w:rFonts w:ascii="Century Gothic" w:hAnsi="Century Gothic" w:cs="Arial"/>
          <w:sz w:val="18"/>
          <w:szCs w:val="18"/>
          <w:lang w:val="es-CO"/>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CONGRESO DE LA REPÚBLICA.</w:t>
      </w:r>
      <w:r>
        <w:rPr>
          <w:rFonts w:ascii="Century Gothic" w:hAnsi="Century Gothic" w:cs="Arial"/>
          <w:sz w:val="18"/>
          <w:szCs w:val="18"/>
        </w:rPr>
        <w:t xml:space="preserve"> </w:t>
      </w:r>
      <w:r w:rsidRPr="00FD174C">
        <w:rPr>
          <w:rFonts w:ascii="Century Gothic" w:hAnsi="Century Gothic" w:cs="Arial"/>
          <w:sz w:val="18"/>
          <w:szCs w:val="18"/>
        </w:rPr>
        <w:t>Gacetas</w:t>
      </w:r>
      <w:r w:rsidRPr="00FD174C">
        <w:rPr>
          <w:rFonts w:ascii="Century Gothic" w:hAnsi="Century Gothic" w:cs="Arial"/>
          <w:sz w:val="18"/>
          <w:szCs w:val="18"/>
          <w:lang w:val="es-CO"/>
        </w:rPr>
        <w:t xml:space="preserve"> legislativas No. 1860 y 1861 de 2021, de Cámara de Representantes y Senado, respectivamente.</w:t>
      </w:r>
    </w:p>
  </w:footnote>
  <w:footnote w:id="17">
    <w:p w14:paraId="78BBA210" w14:textId="77777777" w:rsidR="00B03E39" w:rsidRPr="00FD174C" w:rsidRDefault="00B03E39" w:rsidP="00B03E39">
      <w:pPr>
        <w:pStyle w:val="Textonotapie"/>
        <w:ind w:firstLine="708"/>
        <w:contextualSpacing/>
        <w:jc w:val="both"/>
        <w:rPr>
          <w:rFonts w:ascii="Century Gothic" w:hAnsi="Century Gothic" w:cs="Arial"/>
          <w:sz w:val="18"/>
          <w:szCs w:val="18"/>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w:t>
      </w:r>
      <w:bookmarkStart w:id="11" w:name="2"/>
      <w:r w:rsidRPr="00FD174C">
        <w:rPr>
          <w:rFonts w:ascii="Century Gothic" w:hAnsi="Century Gothic" w:cs="Arial"/>
          <w:sz w:val="18"/>
          <w:szCs w:val="18"/>
        </w:rPr>
        <w:t>“Artículo 2o. De las modalidades de selección.</w:t>
      </w:r>
      <w:bookmarkEnd w:id="11"/>
      <w:r w:rsidRPr="00FD174C">
        <w:rPr>
          <w:rFonts w:ascii="Century Gothic" w:hAnsi="Century Gothic" w:cs="Arial"/>
          <w:sz w:val="18"/>
          <w:szCs w:val="18"/>
        </w:rPr>
        <w:t> La escogencia del contratista se efectuará con arreglo a las modalidades de selección de licitación pública, selección abreviada, concurso de méritos y contratación directa, con base en las siguientes reglas:</w:t>
      </w:r>
    </w:p>
    <w:p w14:paraId="514525B7" w14:textId="77777777" w:rsidR="00B03E39" w:rsidRPr="00FD174C" w:rsidRDefault="00B03E39" w:rsidP="00B03E39">
      <w:pPr>
        <w:pStyle w:val="Textonotapie"/>
        <w:ind w:firstLine="708"/>
        <w:contextualSpacing/>
        <w:jc w:val="both"/>
        <w:rPr>
          <w:rFonts w:ascii="Century Gothic" w:hAnsi="Century Gothic" w:cs="Arial"/>
          <w:sz w:val="18"/>
          <w:szCs w:val="18"/>
        </w:rPr>
      </w:pPr>
      <w:r w:rsidRPr="00FD174C">
        <w:rPr>
          <w:rFonts w:ascii="Century Gothic" w:hAnsi="Century Gothic" w:cs="Arial"/>
          <w:sz w:val="18"/>
          <w:szCs w:val="18"/>
        </w:rPr>
        <w:t>[…]</w:t>
      </w:r>
    </w:p>
    <w:p w14:paraId="64C4B884" w14:textId="77777777" w:rsidR="00B03E39" w:rsidRPr="00FD174C" w:rsidRDefault="00B03E39" w:rsidP="00B03E39">
      <w:pPr>
        <w:pStyle w:val="Textonotapie"/>
        <w:ind w:firstLine="708"/>
        <w:contextualSpacing/>
        <w:jc w:val="both"/>
        <w:rPr>
          <w:rFonts w:ascii="Century Gothic" w:hAnsi="Century Gothic" w:cs="Arial"/>
          <w:sz w:val="18"/>
          <w:szCs w:val="18"/>
        </w:rPr>
      </w:pPr>
      <w:r w:rsidRPr="00FD174C">
        <w:rPr>
          <w:rFonts w:ascii="Century Gothic" w:hAnsi="Century Gothic" w:cs="Arial"/>
          <w:sz w:val="18"/>
          <w:szCs w:val="18"/>
        </w:rPr>
        <w:t>4. </w:t>
      </w:r>
      <w:r w:rsidRPr="00FD174C">
        <w:rPr>
          <w:rStyle w:val="baj"/>
          <w:rFonts w:ascii="Century Gothic" w:hAnsi="Century Gothic" w:cs="Arial"/>
          <w:sz w:val="18"/>
          <w:szCs w:val="18"/>
        </w:rPr>
        <w:t>Contratación directa. </w:t>
      </w:r>
      <w:r w:rsidRPr="00FD174C">
        <w:rPr>
          <w:rFonts w:ascii="Century Gothic" w:hAnsi="Century Gothic" w:cs="Arial"/>
          <w:sz w:val="18"/>
          <w:szCs w:val="18"/>
        </w:rPr>
        <w:t>La modalidad de selección de contratación directa solamente procederá en los siguientes casos:</w:t>
      </w:r>
    </w:p>
    <w:p w14:paraId="69E79464" w14:textId="77777777" w:rsidR="00B03E39" w:rsidRPr="00FD174C" w:rsidRDefault="00B03E39" w:rsidP="00B03E39">
      <w:pPr>
        <w:pStyle w:val="Textonotapie"/>
        <w:ind w:firstLine="708"/>
        <w:contextualSpacing/>
        <w:jc w:val="both"/>
        <w:rPr>
          <w:rFonts w:ascii="Century Gothic" w:hAnsi="Century Gothic" w:cs="Arial"/>
          <w:sz w:val="18"/>
          <w:szCs w:val="18"/>
        </w:rPr>
      </w:pPr>
      <w:r w:rsidRPr="00FD174C">
        <w:rPr>
          <w:rFonts w:ascii="Century Gothic" w:hAnsi="Century Gothic" w:cs="Arial"/>
          <w:sz w:val="18"/>
          <w:szCs w:val="18"/>
        </w:rPr>
        <w:t>[…]</w:t>
      </w:r>
    </w:p>
    <w:p w14:paraId="7434A481" w14:textId="77777777" w:rsidR="00B03E39" w:rsidRPr="00FD174C" w:rsidRDefault="00B03E39" w:rsidP="00B03E39">
      <w:pPr>
        <w:pStyle w:val="Textonotapie"/>
        <w:ind w:firstLine="708"/>
        <w:contextualSpacing/>
        <w:jc w:val="both"/>
        <w:rPr>
          <w:rFonts w:ascii="Century Gothic" w:hAnsi="Century Gothic" w:cs="Arial"/>
          <w:sz w:val="18"/>
          <w:szCs w:val="18"/>
        </w:rPr>
      </w:pPr>
      <w:r w:rsidRPr="00FD174C">
        <w:rPr>
          <w:rFonts w:ascii="Century Gothic" w:hAnsi="Century Gothic" w:cs="Arial"/>
          <w:sz w:val="18"/>
          <w:szCs w:val="18"/>
        </w:rPr>
        <w:t>C. […]</w:t>
      </w:r>
    </w:p>
    <w:p w14:paraId="2297E373" w14:textId="77777777" w:rsidR="00B03E39" w:rsidRPr="00FD174C" w:rsidRDefault="00B03E39" w:rsidP="00B03E39">
      <w:pPr>
        <w:pStyle w:val="Textonotapie"/>
        <w:ind w:firstLine="708"/>
        <w:contextualSpacing/>
        <w:jc w:val="both"/>
        <w:rPr>
          <w:rFonts w:ascii="Century Gothic" w:hAnsi="Century Gothic" w:cs="Arial"/>
          <w:sz w:val="18"/>
          <w:szCs w:val="18"/>
        </w:rPr>
      </w:pPr>
      <w:r w:rsidRPr="00FD174C">
        <w:rPr>
          <w:rFonts w:ascii="Century Gothic" w:hAnsi="Century Gothic" w:cs="Arial"/>
          <w:sz w:val="18"/>
          <w:szCs w:val="18"/>
        </w:rPr>
        <w:t>Inciso 2o. modificado por el artículo 95 de la Ley 1474 de 2011–</w:t>
      </w:r>
      <w:r w:rsidRPr="00FD174C" w:rsidDel="002C5C6D">
        <w:rPr>
          <w:rFonts w:ascii="Century Gothic" w:hAnsi="Century Gothic" w:cs="Arial"/>
          <w:sz w:val="18"/>
          <w:szCs w:val="18"/>
        </w:rPr>
        <w:t xml:space="preserve"> </w:t>
      </w:r>
      <w:r w:rsidRPr="00FD174C">
        <w:rPr>
          <w:rFonts w:ascii="Century Gothic" w:hAnsi="Century Gothic" w:cs="Arial"/>
          <w:sz w:val="18"/>
          <w:szCs w:val="18"/>
        </w:rPr>
        <w:t xml:space="preserve"> 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18">
    <w:p w14:paraId="37FD6C8C" w14:textId="77777777" w:rsidR="00B03E39" w:rsidRPr="00FD174C" w:rsidRDefault="00B03E39" w:rsidP="00B03E39">
      <w:pPr>
        <w:pStyle w:val="Textonotapie"/>
        <w:ind w:firstLine="709"/>
        <w:jc w:val="both"/>
        <w:rPr>
          <w:rFonts w:ascii="Century Gothic" w:hAnsi="Century Gothic" w:cs="Arial"/>
          <w:sz w:val="18"/>
          <w:szCs w:val="18"/>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w:t>
      </w:r>
      <w:r w:rsidRPr="00FD174C">
        <w:rPr>
          <w:rFonts w:ascii="Century Gothic" w:hAnsi="Century Gothic" w:cs="Arial"/>
          <w:color w:val="000000"/>
          <w:sz w:val="18"/>
          <w:szCs w:val="18"/>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9">
    <w:p w14:paraId="103A126D" w14:textId="77777777" w:rsidR="00B03E39" w:rsidRPr="00FD174C" w:rsidRDefault="00B03E39" w:rsidP="00B03E39">
      <w:pPr>
        <w:pStyle w:val="Textonotapie"/>
        <w:ind w:firstLine="709"/>
        <w:jc w:val="both"/>
        <w:rPr>
          <w:rFonts w:ascii="Century Gothic" w:hAnsi="Century Gothic" w:cs="Arial"/>
          <w:sz w:val="18"/>
          <w:szCs w:val="18"/>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Sentencia C-382 de 2019, M.P. Alejandro Linares Cantillo.</w:t>
      </w:r>
    </w:p>
  </w:footnote>
  <w:footnote w:id="20">
    <w:p w14:paraId="1EE191BA"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sz w:val="18"/>
          <w:szCs w:val="18"/>
        </w:rPr>
        <w:footnoteRef/>
      </w:r>
      <w:r w:rsidRPr="00FD174C">
        <w:rPr>
          <w:rFonts w:ascii="Century Gothic" w:hAnsi="Century Gothic" w:cs="Arial"/>
          <w:color w:val="000000"/>
          <w:sz w:val="18"/>
          <w:szCs w:val="18"/>
        </w:rPr>
        <w:t xml:space="preserve"> La redacción original del parágrafo primero del artículo 32 de la Ley 80 de 1993, incluía la expresión </w:t>
      </w:r>
      <w:r w:rsidRPr="00FD174C">
        <w:rPr>
          <w:rFonts w:ascii="Century Gothic" w:hAnsi="Century Gothic" w:cs="Arial"/>
          <w:i/>
          <w:iCs/>
          <w:color w:val="000000"/>
          <w:sz w:val="18"/>
          <w:szCs w:val="18"/>
        </w:rPr>
        <w:t>giro ordinario</w:t>
      </w:r>
      <w:r w:rsidRPr="00FD174C">
        <w:rPr>
          <w:rFonts w:ascii="Century Gothic" w:hAnsi="Century Gothic" w:cs="Arial"/>
          <w:color w:val="000000"/>
          <w:sz w:val="18"/>
          <w:szCs w:val="18"/>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FD174C">
        <w:rPr>
          <w:rFonts w:ascii="Century Gothic" w:hAnsi="Century Gothic" w:cs="Arial"/>
          <w:i/>
          <w:iCs/>
          <w:color w:val="000000"/>
          <w:sz w:val="18"/>
          <w:szCs w:val="18"/>
        </w:rPr>
        <w:t>al giro ordinario de las actividades propias de su objeto social,</w:t>
      </w:r>
      <w:r w:rsidRPr="00FD174C">
        <w:rPr>
          <w:rFonts w:ascii="Century Gothic" w:hAnsi="Century Gothic" w:cs="Arial"/>
          <w:color w:val="000000"/>
          <w:sz w:val="18"/>
          <w:szCs w:val="18"/>
        </w:rPr>
        <w:t xml:space="preserve"> no estarán sujetos a las disposiciones del presente estatuto y se regirán por las disposiciones legales y reglamentarias aplicables a dichas actividades” [Énfasis fuera de texto].</w:t>
      </w:r>
    </w:p>
    <w:p w14:paraId="4EA053E7" w14:textId="77777777" w:rsidR="00B03E39" w:rsidRPr="00FD174C" w:rsidRDefault="00B03E39" w:rsidP="00B03E39">
      <w:pPr>
        <w:pStyle w:val="Textonotapie"/>
        <w:ind w:firstLine="709"/>
        <w:jc w:val="both"/>
        <w:rPr>
          <w:rFonts w:ascii="Century Gothic" w:hAnsi="Century Gothic" w:cs="Arial"/>
          <w:color w:val="000000"/>
          <w:sz w:val="18"/>
          <w:szCs w:val="18"/>
        </w:rPr>
      </w:pPr>
    </w:p>
  </w:footnote>
  <w:footnote w:id="21">
    <w:p w14:paraId="77BF9BC2"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sz w:val="18"/>
          <w:szCs w:val="18"/>
        </w:rPr>
        <w:footnoteRef/>
      </w:r>
      <w:r w:rsidRPr="00FD174C">
        <w:rPr>
          <w:rFonts w:ascii="Century Gothic" w:hAnsi="Century Gothic" w:cs="Arial"/>
          <w:color w:val="000000"/>
          <w:sz w:val="18"/>
          <w:szCs w:val="18"/>
        </w:rPr>
        <w:t xml:space="preserve"> Consejo de Estado. Sección Tercera. Subsección B. Sentencia del 12 de octubre de 2011. Exp. No. 20070. C.P. Danilo Rojas Betancourt.</w:t>
      </w:r>
    </w:p>
    <w:p w14:paraId="0CC74F53" w14:textId="77777777" w:rsidR="00B03E39" w:rsidRPr="00FD174C" w:rsidRDefault="00B03E39" w:rsidP="00B03E39">
      <w:pPr>
        <w:pStyle w:val="Textonotapie"/>
        <w:ind w:firstLine="709"/>
        <w:jc w:val="both"/>
        <w:rPr>
          <w:rFonts w:ascii="Century Gothic" w:hAnsi="Century Gothic" w:cs="Arial"/>
          <w:color w:val="000000"/>
          <w:sz w:val="18"/>
          <w:szCs w:val="18"/>
          <w:lang w:val="es-ES"/>
        </w:rPr>
      </w:pPr>
    </w:p>
  </w:footnote>
  <w:footnote w:id="22">
    <w:p w14:paraId="553AE1B7" w14:textId="77777777" w:rsidR="00B03E39" w:rsidRPr="00FD174C" w:rsidRDefault="00B03E39" w:rsidP="00B03E39">
      <w:pPr>
        <w:spacing w:line="240" w:lineRule="auto"/>
        <w:ind w:firstLine="709"/>
        <w:jc w:val="both"/>
        <w:rPr>
          <w:rFonts w:ascii="Century Gothic" w:hAnsi="Century Gothic" w:cs="Arial"/>
          <w:color w:val="000000"/>
          <w:sz w:val="18"/>
          <w:szCs w:val="18"/>
        </w:rPr>
      </w:pPr>
      <w:r w:rsidRPr="00FD174C">
        <w:rPr>
          <w:rStyle w:val="Refdenotaalpie"/>
          <w:rFonts w:ascii="Century Gothic" w:hAnsi="Century Gothic" w:cs="Arial"/>
          <w:sz w:val="18"/>
          <w:szCs w:val="18"/>
        </w:rPr>
        <w:footnoteRef/>
      </w:r>
      <w:r w:rsidRPr="00FD174C">
        <w:rPr>
          <w:rFonts w:ascii="Century Gothic" w:hAnsi="Century Gothic" w:cs="Arial"/>
          <w:color w:val="000000"/>
          <w:sz w:val="18"/>
          <w:szCs w:val="18"/>
        </w:rPr>
        <w:t xml:space="preserve"> Consejo de Estado. Sección Tercera. Subsección A. Sentencia del 3 de marzo de 2021. Exp. No. 51373. C.P. José Roberto Sáchica Méndez.</w:t>
      </w:r>
    </w:p>
    <w:p w14:paraId="4EF21D05" w14:textId="77777777" w:rsidR="00B03E39" w:rsidRPr="00FD174C" w:rsidRDefault="00B03E39" w:rsidP="00B03E39">
      <w:pPr>
        <w:spacing w:line="240" w:lineRule="auto"/>
        <w:ind w:firstLine="709"/>
        <w:jc w:val="both"/>
        <w:rPr>
          <w:rFonts w:ascii="Century Gothic" w:hAnsi="Century Gothic" w:cs="Arial"/>
          <w:color w:val="000000"/>
          <w:sz w:val="18"/>
          <w:szCs w:val="18"/>
        </w:rPr>
      </w:pPr>
      <w:r w:rsidRPr="00FD174C">
        <w:rPr>
          <w:rFonts w:ascii="Century Gothic" w:hAnsi="Century Gothic" w:cs="Arial"/>
          <w:color w:val="000000"/>
          <w:sz w:val="18"/>
          <w:szCs w:val="18"/>
        </w:rPr>
        <w:t xml:space="preserve"> </w:t>
      </w:r>
    </w:p>
  </w:footnote>
  <w:footnote w:id="23">
    <w:p w14:paraId="3950261A"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sz w:val="18"/>
          <w:szCs w:val="18"/>
        </w:rPr>
        <w:footnoteRef/>
      </w:r>
      <w:r w:rsidRPr="00FD174C">
        <w:rPr>
          <w:rFonts w:ascii="Century Gothic" w:hAnsi="Century Gothic" w:cs="Arial"/>
          <w:color w:val="000000"/>
          <w:sz w:val="18"/>
          <w:szCs w:val="18"/>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52D292C1"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Fonts w:ascii="Century Gothic" w:hAnsi="Century Gothic" w:cs="Arial"/>
          <w:color w:val="000000"/>
          <w:sz w:val="18"/>
          <w:szCs w:val="18"/>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24">
    <w:p w14:paraId="7354D1BF" w14:textId="77777777" w:rsidR="00B03E39" w:rsidRPr="00FD174C" w:rsidRDefault="00B03E39" w:rsidP="00B03E39">
      <w:pPr>
        <w:pStyle w:val="Textonotapie"/>
        <w:ind w:firstLine="709"/>
        <w:jc w:val="both"/>
        <w:rPr>
          <w:rFonts w:ascii="Century Gothic" w:hAnsi="Century Gothic" w:cs="Arial"/>
          <w:color w:val="000000"/>
          <w:sz w:val="18"/>
          <w:szCs w:val="18"/>
        </w:rPr>
      </w:pPr>
    </w:p>
    <w:p w14:paraId="17FF9236"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sz w:val="18"/>
          <w:szCs w:val="18"/>
        </w:rPr>
        <w:footnoteRef/>
      </w:r>
      <w:r w:rsidRPr="00FD174C">
        <w:rPr>
          <w:rFonts w:ascii="Century Gothic" w:hAnsi="Century Gothic" w:cs="Arial"/>
          <w:color w:val="000000"/>
          <w:sz w:val="18"/>
          <w:szCs w:val="18"/>
        </w:rPr>
        <w:t xml:space="preserve"> Superintendencia de Sociedades. Oficio 220-014111 del 18 de febrero de 2015. Consultado el </w:t>
      </w:r>
      <w:r>
        <w:rPr>
          <w:rFonts w:ascii="Century Gothic" w:hAnsi="Century Gothic" w:cs="Arial"/>
          <w:color w:val="000000"/>
          <w:sz w:val="18"/>
          <w:szCs w:val="18"/>
        </w:rPr>
        <w:t>4</w:t>
      </w:r>
      <w:r w:rsidRPr="00FD174C">
        <w:rPr>
          <w:rFonts w:ascii="Century Gothic" w:hAnsi="Century Gothic" w:cs="Arial"/>
          <w:color w:val="000000"/>
          <w:sz w:val="18"/>
          <w:szCs w:val="18"/>
        </w:rPr>
        <w:t xml:space="preserve"> de </w:t>
      </w:r>
      <w:r>
        <w:rPr>
          <w:rFonts w:ascii="Century Gothic" w:hAnsi="Century Gothic" w:cs="Arial"/>
          <w:color w:val="000000"/>
          <w:sz w:val="18"/>
          <w:szCs w:val="18"/>
        </w:rPr>
        <w:t xml:space="preserve">junio </w:t>
      </w:r>
      <w:r w:rsidRPr="00FD174C">
        <w:rPr>
          <w:rFonts w:ascii="Century Gothic" w:hAnsi="Century Gothic" w:cs="Arial"/>
          <w:color w:val="000000"/>
          <w:sz w:val="18"/>
          <w:szCs w:val="18"/>
        </w:rPr>
        <w:t>de 202</w:t>
      </w:r>
      <w:r>
        <w:rPr>
          <w:rFonts w:ascii="Century Gothic" w:hAnsi="Century Gothic" w:cs="Arial"/>
          <w:color w:val="000000"/>
          <w:sz w:val="18"/>
          <w:szCs w:val="18"/>
        </w:rPr>
        <w:t>4</w:t>
      </w:r>
      <w:r w:rsidRPr="00FD174C">
        <w:rPr>
          <w:rFonts w:ascii="Century Gothic" w:hAnsi="Century Gothic" w:cs="Arial"/>
          <w:color w:val="000000"/>
          <w:sz w:val="18"/>
          <w:szCs w:val="18"/>
        </w:rPr>
        <w:t xml:space="preserve"> en: </w:t>
      </w:r>
      <w:hyperlink r:id="rId2" w:history="1">
        <w:r w:rsidRPr="00694729">
          <w:rPr>
            <w:rStyle w:val="Hipervnculo"/>
            <w:rFonts w:ascii="Century Gothic" w:hAnsi="Century Gothic" w:cs="Arial"/>
            <w:sz w:val="18"/>
            <w:szCs w:val="18"/>
          </w:rPr>
          <w:t>https://www.google.com/url?sa=t&amp;source=web&amp;rct=j&amp;opi=89978449&amp;url=https://www.supersociedades.gov.co/documents/107391/159040/OFICIO%2B220-014111%2BDE%2B2015.pdf/eb5e710f-d8b7-df76-125b-960ff46a9304%3Ft%3D1670899573061%26download%3Dtrue&amp;ved=2ahUKEwj9kJParMKGAxXuTTABHaENC7wQFnoECBIQAQ&amp;usg=AOvVaw3ndDRzYhuwXRRSLBYPpr25</w:t>
        </w:r>
      </w:hyperlink>
      <w:r>
        <w:rPr>
          <w:rFonts w:ascii="Century Gothic" w:hAnsi="Century Gothic" w:cs="Arial"/>
          <w:color w:val="000000"/>
          <w:sz w:val="18"/>
          <w:szCs w:val="18"/>
        </w:rPr>
        <w:t xml:space="preserve"> </w:t>
      </w:r>
    </w:p>
  </w:footnote>
  <w:footnote w:id="25">
    <w:p w14:paraId="4298E4FA"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sz w:val="18"/>
          <w:szCs w:val="18"/>
        </w:rPr>
        <w:footnoteRef/>
      </w:r>
      <w:r w:rsidRPr="00FD174C">
        <w:rPr>
          <w:rFonts w:ascii="Century Gothic" w:hAnsi="Century Gothic" w:cs="Arial"/>
          <w:color w:val="000000"/>
          <w:sz w:val="18"/>
          <w:szCs w:val="18"/>
        </w:rPr>
        <w:t xml:space="preserve"> Al respecto ha señalado la Corte Constitucional: “En relación con el ámbito de configuración del legislador en materia contractual la jurisprudencia constitucional ha señalado los siguientes criterios:</w:t>
      </w:r>
    </w:p>
    <w:p w14:paraId="7E952FF8"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Fonts w:ascii="Century Gothic" w:hAnsi="Century Gothic" w:cs="Arial"/>
          <w:color w:val="000000"/>
          <w:sz w:val="18"/>
          <w:szCs w:val="18"/>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w:t>
      </w:r>
    </w:p>
    <w:p w14:paraId="3C5E458A"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Fonts w:ascii="Century Gothic" w:hAnsi="Century Gothic" w:cs="Arial"/>
          <w:color w:val="000000"/>
          <w:sz w:val="18"/>
          <w:szCs w:val="18"/>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w:t>
      </w:r>
    </w:p>
    <w:p w14:paraId="079E9022"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Fonts w:ascii="Century Gothic" w:hAnsi="Century Gothic" w:cs="Arial"/>
          <w:color w:val="000000"/>
          <w:sz w:val="18"/>
          <w:szCs w:val="18"/>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690C2963"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Fonts w:ascii="Century Gothic" w:hAnsi="Century Gothic" w:cs="Arial"/>
          <w:color w:val="000000"/>
          <w:sz w:val="18"/>
          <w:szCs w:val="18"/>
        </w:rPr>
        <w:t xml:space="preserve"> </w:t>
      </w:r>
    </w:p>
  </w:footnote>
  <w:footnote w:id="26">
    <w:p w14:paraId="129CAE48"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w:t>
      </w:r>
      <w:r w:rsidRPr="00FD174C">
        <w:rPr>
          <w:rFonts w:ascii="Century Gothic" w:hAnsi="Century Gothic" w:cs="Arial"/>
          <w:color w:val="000000"/>
          <w:sz w:val="18"/>
          <w:szCs w:val="18"/>
        </w:rPr>
        <w:t>Consejo de Estado. Sección Tercera. Subsección A. Sentencia del 24 de junio de 2015. Exp. 40.635. Consejero Ponente: Hernán Andrade Rincón (E).</w:t>
      </w:r>
    </w:p>
    <w:p w14:paraId="1FD6C88A" w14:textId="77777777" w:rsidR="00B03E39" w:rsidRPr="00FD174C" w:rsidRDefault="00B03E39" w:rsidP="00B03E39">
      <w:pPr>
        <w:pStyle w:val="Textonotapie"/>
        <w:ind w:firstLine="709"/>
        <w:jc w:val="both"/>
        <w:rPr>
          <w:rFonts w:ascii="Century Gothic" w:hAnsi="Century Gothic" w:cs="Arial"/>
          <w:sz w:val="18"/>
          <w:szCs w:val="18"/>
          <w:lang w:val="es-ES"/>
        </w:rPr>
      </w:pPr>
    </w:p>
  </w:footnote>
  <w:footnote w:id="27">
    <w:p w14:paraId="0DD81B72" w14:textId="77777777" w:rsidR="00B03E39" w:rsidRPr="00FD174C" w:rsidRDefault="00B03E39" w:rsidP="00B03E39">
      <w:pPr>
        <w:pStyle w:val="Textonotapie"/>
        <w:ind w:firstLine="709"/>
        <w:jc w:val="both"/>
        <w:rPr>
          <w:rFonts w:ascii="Century Gothic" w:hAnsi="Century Gothic" w:cs="Arial"/>
          <w:color w:val="000000"/>
          <w:sz w:val="18"/>
          <w:szCs w:val="18"/>
          <w:lang w:val="es-ES"/>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w:t>
      </w:r>
      <w:r w:rsidRPr="00FD174C">
        <w:rPr>
          <w:rFonts w:ascii="Century Gothic" w:hAnsi="Century Gothic" w:cs="Arial"/>
          <w:color w:val="000000"/>
          <w:sz w:val="18"/>
          <w:szCs w:val="18"/>
          <w:lang w:val="es-ES"/>
        </w:rPr>
        <w:t>Consejo de Estado. Sala de Consulta y Servicio Civil. Concepto del 30 de abril de 2015. Expediente: 2251. Consejero Ponente: Álvaro Namén Vargas.</w:t>
      </w:r>
    </w:p>
    <w:p w14:paraId="36A19891" w14:textId="77777777" w:rsidR="00B03E39" w:rsidRPr="00FD174C" w:rsidRDefault="00B03E39" w:rsidP="00B03E39">
      <w:pPr>
        <w:pStyle w:val="Textonotapie"/>
        <w:ind w:firstLine="709"/>
        <w:jc w:val="both"/>
        <w:rPr>
          <w:rFonts w:ascii="Century Gothic" w:hAnsi="Century Gothic" w:cs="Arial"/>
          <w:sz w:val="18"/>
          <w:szCs w:val="18"/>
          <w:lang w:val="es-ES"/>
        </w:rPr>
      </w:pPr>
    </w:p>
  </w:footnote>
  <w:footnote w:id="28">
    <w:p w14:paraId="7066B655"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Style w:val="Refdenotaalpie"/>
          <w:rFonts w:ascii="Century Gothic" w:hAnsi="Century Gothic" w:cs="Arial"/>
          <w:sz w:val="18"/>
          <w:szCs w:val="18"/>
        </w:rPr>
        <w:footnoteRef/>
      </w:r>
      <w:r w:rsidRPr="00FD174C">
        <w:rPr>
          <w:rFonts w:ascii="Century Gothic" w:hAnsi="Century Gothic" w:cs="Arial"/>
          <w:color w:val="000000"/>
          <w:sz w:val="18"/>
          <w:szCs w:val="18"/>
        </w:rPr>
        <w:t xml:space="preserve"> Código Civil: “Artículo 27. Interpretación Gramatical. Cuando el sentido de la ley sea claro, no se desatenderá su tenor literal a pretexto de consultar su espíritu.</w:t>
      </w:r>
    </w:p>
    <w:p w14:paraId="2F6DDBE8" w14:textId="77777777" w:rsidR="00B03E39" w:rsidRPr="00FD174C" w:rsidRDefault="00B03E39" w:rsidP="00B03E39">
      <w:pPr>
        <w:pStyle w:val="Textonotapie"/>
        <w:ind w:firstLine="709"/>
        <w:jc w:val="both"/>
        <w:rPr>
          <w:rFonts w:ascii="Century Gothic" w:hAnsi="Century Gothic" w:cs="Arial"/>
          <w:color w:val="000000"/>
          <w:sz w:val="18"/>
          <w:szCs w:val="18"/>
        </w:rPr>
      </w:pPr>
      <w:r w:rsidRPr="00FD174C">
        <w:rPr>
          <w:rFonts w:ascii="Century Gothic" w:hAnsi="Century Gothic" w:cs="Arial"/>
          <w:color w:val="000000"/>
          <w:sz w:val="18"/>
          <w:szCs w:val="18"/>
        </w:rPr>
        <w:t>Pero bien se puede, para interpretar una expresión oscura de la ley, recurrir a su intención o espíritu, claramente manifestados en ella misma o en la historia fidedigna de su establecimiento”.</w:t>
      </w:r>
    </w:p>
  </w:footnote>
  <w:footnote w:id="29">
    <w:p w14:paraId="249A2508" w14:textId="77777777" w:rsidR="00B03E39" w:rsidRPr="00FD174C" w:rsidRDefault="00B03E39" w:rsidP="00B03E39">
      <w:pPr>
        <w:pStyle w:val="Textonotapie"/>
        <w:ind w:firstLine="708"/>
        <w:jc w:val="both"/>
        <w:rPr>
          <w:rFonts w:ascii="Century Gothic" w:hAnsi="Century Gothic" w:cs="Arial"/>
          <w:sz w:val="18"/>
          <w:szCs w:val="18"/>
        </w:rPr>
      </w:pPr>
    </w:p>
    <w:p w14:paraId="488B5DE7" w14:textId="77777777" w:rsidR="00B03E39" w:rsidRPr="00FD174C" w:rsidRDefault="00B03E39" w:rsidP="00B03E39">
      <w:pPr>
        <w:spacing w:line="240" w:lineRule="auto"/>
        <w:ind w:firstLine="708"/>
        <w:jc w:val="both"/>
        <w:rPr>
          <w:rFonts w:ascii="Century Gothic" w:hAnsi="Century Gothic" w:cs="Arial"/>
          <w:sz w:val="18"/>
          <w:szCs w:val="18"/>
          <w:lang w:val="es-MX"/>
        </w:rPr>
      </w:pPr>
      <w:r w:rsidRPr="00FD174C">
        <w:rPr>
          <w:rStyle w:val="Refdenotaalpie"/>
          <w:rFonts w:ascii="Century Gothic" w:hAnsi="Century Gothic" w:cs="Arial"/>
          <w:sz w:val="18"/>
          <w:szCs w:val="18"/>
        </w:rPr>
        <w:footnoteRef/>
      </w:r>
      <w:r w:rsidRPr="00FD174C">
        <w:rPr>
          <w:rFonts w:ascii="Century Gothic" w:hAnsi="Century Gothic" w:cs="Arial"/>
          <w:sz w:val="18"/>
          <w:szCs w:val="18"/>
        </w:rPr>
        <w:t xml:space="preserve"> Código Civil: “</w:t>
      </w:r>
      <w:r w:rsidRPr="00FD174C">
        <w:rPr>
          <w:rFonts w:ascii="Century Gothic" w:hAnsi="Century Gothic" w:cs="Arial"/>
          <w:sz w:val="18"/>
          <w:szCs w:val="18"/>
          <w:lang w:val="es-MX"/>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259E3106" w14:textId="77777777" w:rsidR="00B03E39" w:rsidRPr="00FD174C" w:rsidRDefault="00B03E39" w:rsidP="00B03E39">
      <w:pPr>
        <w:pStyle w:val="Textonotapie"/>
        <w:ind w:firstLine="708"/>
        <w:jc w:val="both"/>
        <w:rPr>
          <w:rFonts w:ascii="Century Gothic" w:hAnsi="Century Gothic" w:cs="Arial"/>
          <w:sz w:val="18"/>
          <w:szCs w:val="18"/>
          <w:lang w:val="es-CO"/>
        </w:rPr>
      </w:pPr>
      <w:r w:rsidRPr="00FD174C">
        <w:rPr>
          <w:rFonts w:ascii="Century Gothic" w:hAnsi="Century Gothic"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36124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1933"/>
    <w:rsid w:val="000A3C58"/>
    <w:rsid w:val="000A683E"/>
    <w:rsid w:val="000B19B9"/>
    <w:rsid w:val="000D0334"/>
    <w:rsid w:val="000E4714"/>
    <w:rsid w:val="000F6486"/>
    <w:rsid w:val="00125105"/>
    <w:rsid w:val="00127233"/>
    <w:rsid w:val="001C02C5"/>
    <w:rsid w:val="001E4177"/>
    <w:rsid w:val="002951A0"/>
    <w:rsid w:val="002962BC"/>
    <w:rsid w:val="002A093D"/>
    <w:rsid w:val="002A49AC"/>
    <w:rsid w:val="002A64FD"/>
    <w:rsid w:val="002C0F2F"/>
    <w:rsid w:val="002C7A84"/>
    <w:rsid w:val="003448F4"/>
    <w:rsid w:val="003A779E"/>
    <w:rsid w:val="003D0F4D"/>
    <w:rsid w:val="003E0499"/>
    <w:rsid w:val="003F3941"/>
    <w:rsid w:val="00400548"/>
    <w:rsid w:val="004368BC"/>
    <w:rsid w:val="004A1847"/>
    <w:rsid w:val="004A305D"/>
    <w:rsid w:val="004F21C4"/>
    <w:rsid w:val="004F685F"/>
    <w:rsid w:val="00533E8F"/>
    <w:rsid w:val="005566E8"/>
    <w:rsid w:val="00574867"/>
    <w:rsid w:val="005A6AA1"/>
    <w:rsid w:val="005B5D8B"/>
    <w:rsid w:val="005C5CDC"/>
    <w:rsid w:val="005D476C"/>
    <w:rsid w:val="006219F8"/>
    <w:rsid w:val="006407CA"/>
    <w:rsid w:val="00665D70"/>
    <w:rsid w:val="0067533C"/>
    <w:rsid w:val="006E1B14"/>
    <w:rsid w:val="00706C16"/>
    <w:rsid w:val="00727370"/>
    <w:rsid w:val="00756841"/>
    <w:rsid w:val="00763C80"/>
    <w:rsid w:val="007649AB"/>
    <w:rsid w:val="007811A2"/>
    <w:rsid w:val="007833AC"/>
    <w:rsid w:val="007B7171"/>
    <w:rsid w:val="007C3DC2"/>
    <w:rsid w:val="007D3E08"/>
    <w:rsid w:val="007E5497"/>
    <w:rsid w:val="00806F5F"/>
    <w:rsid w:val="00820278"/>
    <w:rsid w:val="00843F31"/>
    <w:rsid w:val="00845EE5"/>
    <w:rsid w:val="008843B6"/>
    <w:rsid w:val="00891928"/>
    <w:rsid w:val="008A446D"/>
    <w:rsid w:val="008F0EA7"/>
    <w:rsid w:val="00923EEF"/>
    <w:rsid w:val="009419F9"/>
    <w:rsid w:val="00961B09"/>
    <w:rsid w:val="00965334"/>
    <w:rsid w:val="0097093E"/>
    <w:rsid w:val="009843BB"/>
    <w:rsid w:val="009C71FA"/>
    <w:rsid w:val="009C72E7"/>
    <w:rsid w:val="009D0755"/>
    <w:rsid w:val="00A17F13"/>
    <w:rsid w:val="00A20739"/>
    <w:rsid w:val="00A33C78"/>
    <w:rsid w:val="00A81030"/>
    <w:rsid w:val="00A854DA"/>
    <w:rsid w:val="00AB0ADB"/>
    <w:rsid w:val="00AD5E99"/>
    <w:rsid w:val="00B03E39"/>
    <w:rsid w:val="00B72CD3"/>
    <w:rsid w:val="00B72FFF"/>
    <w:rsid w:val="00B922EF"/>
    <w:rsid w:val="00BD15D4"/>
    <w:rsid w:val="00BD2E7A"/>
    <w:rsid w:val="00BD7F72"/>
    <w:rsid w:val="00C04FB3"/>
    <w:rsid w:val="00C330EB"/>
    <w:rsid w:val="00C754BE"/>
    <w:rsid w:val="00CB6357"/>
    <w:rsid w:val="00CC1B26"/>
    <w:rsid w:val="00D423A2"/>
    <w:rsid w:val="00D63AC2"/>
    <w:rsid w:val="00D7383B"/>
    <w:rsid w:val="00DA231B"/>
    <w:rsid w:val="00DE3A97"/>
    <w:rsid w:val="00E16408"/>
    <w:rsid w:val="00E20894"/>
    <w:rsid w:val="00E20955"/>
    <w:rsid w:val="00E245AB"/>
    <w:rsid w:val="00E50AFE"/>
    <w:rsid w:val="00E54DBA"/>
    <w:rsid w:val="00E771DC"/>
    <w:rsid w:val="00E8772A"/>
    <w:rsid w:val="00E90F6B"/>
    <w:rsid w:val="00E92C27"/>
    <w:rsid w:val="00EA0E3D"/>
    <w:rsid w:val="00EE1AA8"/>
    <w:rsid w:val="00F17039"/>
    <w:rsid w:val="00F204AB"/>
    <w:rsid w:val="00F31EDC"/>
    <w:rsid w:val="00F5664F"/>
    <w:rsid w:val="00F613A2"/>
    <w:rsid w:val="00F76AFC"/>
    <w:rsid w:val="00FB5DD1"/>
    <w:rsid w:val="00FC2B5D"/>
    <w:rsid w:val="00FF1449"/>
    <w:rsid w:val="3E2CA965"/>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B03E39"/>
    <w:pPr>
      <w:spacing w:line="240" w:lineRule="exact"/>
    </w:pPr>
    <w:rPr>
      <w:vertAlign w:val="superscript"/>
    </w:rPr>
  </w:style>
  <w:style w:type="character" w:customStyle="1" w:styleId="baj">
    <w:name w:val="b_aj"/>
    <w:basedOn w:val="Fuentedeprrafopredeter"/>
    <w:rsid w:val="00B03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google.com/url?sa=t&amp;source=web&amp;rct=j&amp;opi=89978449&amp;url=https://www.supersociedades.gov.co/documents/107391/159040/OFICIO%2B220-014111%2BDE%2B2015.pdf/eb5e710f-d8b7-df76-125b-960ff46a9304%3Ft%3D1670899573061%26download%3Dtrue&amp;ved=2ahUKEwj9kJParMKGAxXuTTABHaENC7wQFnoECBIQAQ&amp;usg=AOvVaw3ndDRzYhuwXRRSLBYPpr25"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Kevin Arlid Herrera Santa</DisplayName>
        <AccountId>221</AccountId>
        <AccountType/>
      </UserInfo>
      <UserInfo>
        <DisplayName>Martha Alicia Romero Vargas</DisplayName>
        <AccountId>215</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B4510-49EA-458F-AC42-124BAE919146}"/>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1600DAE-7431-F843-A68C-E4B5CE309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10130</Words>
  <Characters>55716</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2024-06-07T16:46:00Z</dcterms:created>
  <dcterms:modified xsi:type="dcterms:W3CDTF">2024-06-07T16:49:00Z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