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48674" w14:textId="6BC38D69" w:rsidR="007F16C6" w:rsidRDefault="00DD5D31" w:rsidP="00B35D33">
      <w:pPr>
        <w:spacing w:after="0" w:line="240" w:lineRule="auto"/>
        <w:rPr>
          <w:rFonts w:ascii="Verdana" w:eastAsia="Geomanist Light" w:hAnsi="Verdana" w:cs="Arial"/>
          <w:b/>
          <w:color w:val="000000" w:themeColor="text1"/>
          <w:sz w:val="20"/>
          <w:szCs w:val="20"/>
          <w:lang w:val="es-MX"/>
        </w:rPr>
      </w:pPr>
      <w:r w:rsidRPr="00231723">
        <w:rPr>
          <w:rFonts w:ascii="Verdana" w:eastAsia="Calibri" w:hAnsi="Verdana" w:cs="Arial"/>
          <w:b/>
          <w:color w:val="000000"/>
          <w:sz w:val="20"/>
          <w:szCs w:val="20"/>
          <w:lang w:val="es-ES_tradnl"/>
        </w:rPr>
        <w:t xml:space="preserve">CONTRATO DE PRESTACIÓN DE SERVICIOS – Concepto </w:t>
      </w:r>
      <w:r w:rsidR="00D01A6B">
        <w:rPr>
          <w:rFonts w:ascii="Verdana" w:eastAsia="Calibri" w:hAnsi="Verdana" w:cs="Arial"/>
          <w:b/>
          <w:color w:val="000000"/>
          <w:sz w:val="20"/>
          <w:szCs w:val="20"/>
          <w:lang w:val="es-ES_tradnl"/>
        </w:rPr>
        <w:t>–</w:t>
      </w:r>
      <w:r w:rsidRPr="00231723">
        <w:rPr>
          <w:rFonts w:ascii="Verdana" w:eastAsia="Calibri" w:hAnsi="Verdana" w:cs="Arial"/>
          <w:b/>
          <w:color w:val="000000"/>
          <w:sz w:val="20"/>
          <w:szCs w:val="20"/>
          <w:lang w:val="es-ES_tradnl"/>
        </w:rPr>
        <w:t xml:space="preserve"> Características</w:t>
      </w:r>
    </w:p>
    <w:p w14:paraId="507A271B" w14:textId="77777777" w:rsidR="00D01A6B" w:rsidRPr="00D01A6B" w:rsidRDefault="00D01A6B" w:rsidP="00B35D33">
      <w:pPr>
        <w:spacing w:after="0" w:line="240" w:lineRule="auto"/>
        <w:rPr>
          <w:rFonts w:ascii="Verdana" w:eastAsia="Geomanist Light" w:hAnsi="Verdana" w:cs="Arial"/>
          <w:b/>
          <w:color w:val="000000" w:themeColor="text1"/>
          <w:sz w:val="20"/>
          <w:szCs w:val="20"/>
          <w:lang w:val="es-MX"/>
        </w:rPr>
      </w:pPr>
    </w:p>
    <w:p w14:paraId="51186FBC" w14:textId="3BCF4434" w:rsidR="007F16C6" w:rsidRPr="00231723" w:rsidRDefault="00B35D33" w:rsidP="00B35D33">
      <w:pPr>
        <w:spacing w:after="0" w:line="240" w:lineRule="auto"/>
        <w:jc w:val="both"/>
        <w:rPr>
          <w:rFonts w:ascii="Verdana" w:eastAsia="Geomanist Light" w:hAnsi="Verdana" w:cs="Arial"/>
          <w:color w:val="000000" w:themeColor="text1"/>
          <w:sz w:val="20"/>
          <w:szCs w:val="20"/>
          <w:lang w:val="es-MX"/>
        </w:rPr>
      </w:pPr>
      <w:r w:rsidRPr="00231723">
        <w:rPr>
          <w:rFonts w:ascii="Verdana" w:eastAsia="Calibri" w:hAnsi="Verdana" w:cs="Arial"/>
          <w:sz w:val="20"/>
          <w:szCs w:val="20"/>
          <w:lang w:val="es-ES_tradnl" w:eastAsia="es-ES_tradnl"/>
        </w:rPr>
        <w:t>“[</w:t>
      </w:r>
      <w:r w:rsidR="00DD5D31" w:rsidRPr="00231723">
        <w:rPr>
          <w:rFonts w:ascii="Verdana" w:eastAsia="Calibri" w:hAnsi="Verdana" w:cs="Arial"/>
          <w:sz w:val="20"/>
          <w:szCs w:val="20"/>
          <w:lang w:val="es-ES_tradnl" w:eastAsia="es-ES_tradnl"/>
        </w:rPr>
        <w:t>…] Inicialmente es menester definir que, 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w:t>
      </w:r>
    </w:p>
    <w:p w14:paraId="19F36360" w14:textId="77777777" w:rsidR="007F16C6" w:rsidRPr="00231723" w:rsidRDefault="007F16C6" w:rsidP="00B35D33">
      <w:pPr>
        <w:spacing w:after="0" w:line="240" w:lineRule="auto"/>
        <w:rPr>
          <w:rFonts w:ascii="Verdana" w:eastAsia="Geomanist Light" w:hAnsi="Verdana" w:cs="Arial"/>
          <w:color w:val="000000" w:themeColor="text1"/>
          <w:sz w:val="20"/>
          <w:szCs w:val="20"/>
          <w:lang w:val="es-MX"/>
        </w:rPr>
      </w:pPr>
    </w:p>
    <w:p w14:paraId="47743433" w14:textId="77777777" w:rsidR="00231723" w:rsidRPr="00231723" w:rsidRDefault="00231723" w:rsidP="00B35D33">
      <w:pPr>
        <w:spacing w:after="120" w:line="240" w:lineRule="auto"/>
        <w:jc w:val="both"/>
        <w:rPr>
          <w:rFonts w:ascii="Verdana" w:eastAsia="Calibri" w:hAnsi="Verdana" w:cs="Arial"/>
          <w:sz w:val="20"/>
          <w:szCs w:val="20"/>
          <w:lang w:val="es-ES_tradnl" w:eastAsia="es-ES_tradnl"/>
        </w:rPr>
      </w:pPr>
      <w:r w:rsidRPr="00231723">
        <w:rPr>
          <w:rFonts w:ascii="Verdana" w:eastAsia="Calibri" w:hAnsi="Verdana" w:cs="Arial"/>
          <w:sz w:val="20"/>
          <w:szCs w:val="2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0035973" w14:textId="77777777" w:rsidR="00231723" w:rsidRPr="00231723" w:rsidRDefault="00231723" w:rsidP="00B35D33">
      <w:pPr>
        <w:spacing w:after="120" w:line="240" w:lineRule="auto"/>
        <w:jc w:val="both"/>
        <w:rPr>
          <w:rFonts w:ascii="Verdana" w:eastAsia="Calibri" w:hAnsi="Verdana" w:cs="Arial"/>
          <w:sz w:val="20"/>
          <w:szCs w:val="20"/>
          <w:lang w:val="es-ES_tradnl" w:eastAsia="es-ES_tradnl"/>
        </w:rPr>
      </w:pPr>
      <w:r w:rsidRPr="00231723">
        <w:rPr>
          <w:rFonts w:ascii="Verdana" w:eastAsia="Calibri" w:hAnsi="Verdana" w:cs="Arial"/>
          <w:sz w:val="20"/>
          <w:szCs w:val="20"/>
          <w:lang w:val="es-ES_tradnl" w:eastAsia="es-ES_tradnl"/>
        </w:rPr>
        <w:t>i) Solo puede celebrarse para realizar “actividades relacionadas con la administración o funcionamiento de la entidad”, es decir, que hagan parte de su giro ordinario o quehacer cotidiano.</w:t>
      </w:r>
    </w:p>
    <w:p w14:paraId="2B8B7136" w14:textId="65B0E78E" w:rsidR="00231723" w:rsidRPr="00231723" w:rsidRDefault="00231723" w:rsidP="00B35D33">
      <w:pPr>
        <w:spacing w:after="120" w:line="240" w:lineRule="auto"/>
        <w:jc w:val="both"/>
        <w:rPr>
          <w:rFonts w:ascii="Verdana" w:eastAsia="Calibri" w:hAnsi="Verdana" w:cs="Arial"/>
          <w:sz w:val="20"/>
          <w:szCs w:val="20"/>
          <w:lang w:val="es-ES" w:eastAsia="es-ES"/>
        </w:rPr>
      </w:pPr>
      <w:proofErr w:type="spellStart"/>
      <w:r w:rsidRPr="00231723">
        <w:rPr>
          <w:rFonts w:ascii="Verdana" w:eastAsia="Calibri" w:hAnsi="Verdana" w:cs="Arial"/>
          <w:sz w:val="20"/>
          <w:szCs w:val="20"/>
          <w:lang w:val="es-ES" w:eastAsia="es-ES"/>
        </w:rPr>
        <w:t>ii</w:t>
      </w:r>
      <w:proofErr w:type="spellEnd"/>
      <w:r w:rsidRPr="00231723">
        <w:rPr>
          <w:rFonts w:ascii="Verdana" w:eastAsia="Calibri" w:hAnsi="Verdana" w:cs="Arial"/>
          <w:sz w:val="20"/>
          <w:szCs w:val="20"/>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847A753" w14:textId="6361C671" w:rsidR="00DD5D31" w:rsidRPr="00231723" w:rsidRDefault="00231723" w:rsidP="00B35D33">
      <w:pPr>
        <w:spacing w:after="0" w:line="240" w:lineRule="auto"/>
        <w:jc w:val="both"/>
        <w:rPr>
          <w:rFonts w:ascii="Verdana" w:eastAsia="Geomanist Light" w:hAnsi="Verdana" w:cs="Arial"/>
          <w:color w:val="000000" w:themeColor="text1"/>
          <w:sz w:val="20"/>
          <w:szCs w:val="20"/>
          <w:lang w:val="es-MX"/>
        </w:rPr>
      </w:pPr>
      <w:proofErr w:type="spellStart"/>
      <w:r w:rsidRPr="00231723">
        <w:rPr>
          <w:rFonts w:ascii="Verdana" w:eastAsia="Calibri" w:hAnsi="Verdana" w:cs="Arial"/>
          <w:sz w:val="20"/>
          <w:szCs w:val="20"/>
          <w:lang w:val="es-ES" w:eastAsia="es-ES"/>
        </w:rPr>
        <w:t>iii</w:t>
      </w:r>
      <w:proofErr w:type="spellEnd"/>
      <w:r w:rsidRPr="00231723">
        <w:rPr>
          <w:rFonts w:ascii="Verdana" w:eastAsia="Calibri" w:hAnsi="Verdana" w:cs="Arial"/>
          <w:sz w:val="20"/>
          <w:szCs w:val="20"/>
          <w:lang w:val="es-ES" w:eastAsia="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231723">
        <w:rPr>
          <w:rFonts w:ascii="Verdana" w:eastAsia="Calibri" w:hAnsi="Verdana" w:cs="Arial"/>
          <w:i/>
          <w:sz w:val="20"/>
          <w:szCs w:val="20"/>
          <w:lang w:val="es-ES" w:eastAsia="es-ES"/>
        </w:rPr>
        <w:t>subordinación y dependencia</w:t>
      </w:r>
      <w:r w:rsidRPr="00231723">
        <w:rPr>
          <w:rFonts w:ascii="Verdana" w:eastAsia="Calibri" w:hAnsi="Verdana" w:cs="Arial"/>
          <w:sz w:val="20"/>
          <w:szCs w:val="20"/>
          <w:lang w:val="es-ES" w:eastAsia="es-ES"/>
        </w:rPr>
        <w:t xml:space="preserve">, que es uno de los elementos constitutivos del vínculo laboral. Por ello, el numeral 3º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231723">
        <w:rPr>
          <w:rFonts w:ascii="Verdana" w:eastAsia="Calibri" w:hAnsi="Verdana" w:cs="Arial"/>
          <w:i/>
          <w:sz w:val="20"/>
          <w:szCs w:val="20"/>
          <w:lang w:val="es-ES" w:eastAsia="es-ES"/>
        </w:rPr>
        <w:t>no pueden</w:t>
      </w:r>
      <w:r w:rsidRPr="00231723">
        <w:rPr>
          <w:rFonts w:ascii="Verdana" w:eastAsia="Calibri" w:hAnsi="Verdana" w:cs="Arial"/>
          <w:sz w:val="20"/>
          <w:szCs w:val="20"/>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231723">
        <w:rPr>
          <w:rFonts w:ascii="Verdana" w:eastAsia="Calibri" w:hAnsi="Verdana" w:cs="Arial"/>
          <w:i/>
          <w:sz w:val="20"/>
          <w:szCs w:val="20"/>
          <w:lang w:val="es-ES" w:eastAsia="es-ES"/>
        </w:rPr>
        <w:t>contrato realidad</w:t>
      </w:r>
      <w:r w:rsidRPr="00231723">
        <w:rPr>
          <w:rFonts w:ascii="Verdana" w:eastAsia="Calibri" w:hAnsi="Verdana" w:cs="Arial"/>
          <w:sz w:val="20"/>
          <w:szCs w:val="20"/>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00B35D33">
        <w:rPr>
          <w:rFonts w:ascii="Verdana" w:eastAsia="Calibri" w:hAnsi="Verdana" w:cs="Arial"/>
          <w:sz w:val="20"/>
          <w:szCs w:val="20"/>
          <w:lang w:val="es-ES" w:eastAsia="es-ES"/>
        </w:rPr>
        <w:t xml:space="preserve"> […]”</w:t>
      </w:r>
    </w:p>
    <w:p w14:paraId="6AA0B69C" w14:textId="77777777" w:rsidR="007F16C6" w:rsidRDefault="007F16C6" w:rsidP="00BB4885">
      <w:pPr>
        <w:spacing w:after="0" w:line="240" w:lineRule="auto"/>
        <w:rPr>
          <w:rFonts w:ascii="Verdana" w:eastAsia="Geomanist Light" w:hAnsi="Verdana" w:cs="Arial"/>
          <w:color w:val="000000" w:themeColor="text1"/>
          <w:lang w:val="es-MX"/>
        </w:rPr>
      </w:pPr>
    </w:p>
    <w:p w14:paraId="612EBDA7" w14:textId="77777777" w:rsidR="00D01A6B" w:rsidRPr="00D01A6B" w:rsidRDefault="00D01A6B" w:rsidP="00D01A6B">
      <w:pPr>
        <w:spacing w:line="276" w:lineRule="auto"/>
        <w:jc w:val="both"/>
        <w:rPr>
          <w:rFonts w:ascii="Verdana" w:eastAsia="Calibri" w:hAnsi="Verdana" w:cs="Arial"/>
          <w:b/>
          <w:color w:val="000000"/>
          <w:sz w:val="20"/>
          <w:szCs w:val="20"/>
          <w:lang w:val="es-ES_tradnl"/>
        </w:rPr>
      </w:pPr>
      <w:r w:rsidRPr="00D01A6B">
        <w:rPr>
          <w:rFonts w:ascii="Verdana" w:eastAsia="Calibri" w:hAnsi="Verdana" w:cs="Arial"/>
          <w:b/>
          <w:color w:val="000000"/>
          <w:sz w:val="20"/>
          <w:szCs w:val="20"/>
          <w:lang w:val="es-ES_tradnl"/>
        </w:rPr>
        <w:t xml:space="preserve">CONTRATOS DE PRESTACIÓN DE SERVICIOS – Fijación de honorarios – </w:t>
      </w:r>
      <w:r w:rsidRPr="00D01A6B">
        <w:rPr>
          <w:rFonts w:ascii="Verdana" w:eastAsia="Times New Roman" w:hAnsi="Verdana" w:cs="Arial"/>
          <w:b/>
          <w:sz w:val="20"/>
          <w:szCs w:val="20"/>
          <w:lang w:eastAsia="es-ES_tradnl"/>
        </w:rPr>
        <w:t>Límite Remuneración</w:t>
      </w:r>
      <w:r w:rsidRPr="00D01A6B">
        <w:rPr>
          <w:rFonts w:ascii="Verdana" w:eastAsia="Calibri" w:hAnsi="Verdana" w:cs="Arial"/>
          <w:b/>
          <w:color w:val="000000"/>
          <w:sz w:val="20"/>
          <w:szCs w:val="20"/>
          <w:lang w:val="es-ES_tradnl"/>
        </w:rPr>
        <w:t>.</w:t>
      </w:r>
    </w:p>
    <w:p w14:paraId="01699BB6" w14:textId="77777777" w:rsidR="00D01A6B" w:rsidRPr="00D01A6B" w:rsidRDefault="00D01A6B" w:rsidP="00D01A6B">
      <w:pPr>
        <w:spacing w:after="0" w:line="240" w:lineRule="auto"/>
        <w:jc w:val="both"/>
        <w:rPr>
          <w:rFonts w:ascii="Verdana" w:eastAsia="Calibri" w:hAnsi="Verdana" w:cs="Arial"/>
          <w:iCs/>
          <w:sz w:val="20"/>
          <w:szCs w:val="20"/>
        </w:rPr>
      </w:pPr>
      <w:r w:rsidRPr="00D01A6B">
        <w:rPr>
          <w:rFonts w:ascii="Verdana" w:eastAsia="Calibri" w:hAnsi="Verdana" w:cs="Arial"/>
          <w:iCs/>
          <w:sz w:val="20"/>
          <w:szCs w:val="20"/>
        </w:rPr>
        <w:t>En virtud del principio de la autonomía de la voluntad, y, teniendo en cuenta que no existe en el sistema de compra pública una disposición que imponga un límite en los honorarios de los contratos de prestación de servicio profesionales y de apoyo a la gestión, las partes pueden determinar el contenido de los contratos estatales y demás disposiciones que consideren necesarias para desarrollar el objeto contractual, siempre que no sean contrarias a la Constitución, la ley y el orden público. Es así como las condiciones mínimas exigidas para suplir la necesidad de la entidad, así como los requisitos que debe acreditar el futuro contratista para el cumplimiento del objeto contractual, se constatan en los documentos precontractuales, por lo que las Entidades Estatales determinan el monto de los honorarios de los contratos de prestación de servicios y apoyo a la gestión de conformidad con lo establecido en el análisis del sector y en los documentos o estudios previos.</w:t>
      </w:r>
    </w:p>
    <w:p w14:paraId="6943A0CA" w14:textId="77777777" w:rsidR="00D01A6B" w:rsidRDefault="00D01A6B" w:rsidP="00D01A6B">
      <w:pPr>
        <w:spacing w:line="240" w:lineRule="auto"/>
        <w:jc w:val="both"/>
        <w:rPr>
          <w:rFonts w:ascii="Verdana" w:hAnsi="Verdana"/>
          <w:sz w:val="20"/>
          <w:szCs w:val="20"/>
        </w:rPr>
      </w:pPr>
    </w:p>
    <w:p w14:paraId="1EA2B049" w14:textId="3E58A1CA" w:rsidR="00D01A6B" w:rsidRPr="00D01A6B" w:rsidRDefault="00D01A6B" w:rsidP="00D01A6B">
      <w:pPr>
        <w:spacing w:line="240" w:lineRule="auto"/>
        <w:jc w:val="both"/>
        <w:rPr>
          <w:rFonts w:ascii="Verdana" w:eastAsia="Arial" w:hAnsi="Verdana" w:cs="Arial"/>
          <w:iCs/>
          <w:sz w:val="20"/>
          <w:szCs w:val="20"/>
        </w:rPr>
      </w:pPr>
      <w:r w:rsidRPr="00D01A6B">
        <w:rPr>
          <w:rFonts w:ascii="Verdana" w:hAnsi="Verdana"/>
          <w:sz w:val="20"/>
          <w:szCs w:val="20"/>
        </w:rPr>
        <w:t>Así mismo</w:t>
      </w:r>
      <w:r w:rsidRPr="00D01A6B">
        <w:rPr>
          <w:rFonts w:ascii="Verdana" w:eastAsia="Arial" w:hAnsi="Verdana" w:cs="Arial"/>
          <w:iCs/>
          <w:sz w:val="20"/>
          <w:szCs w:val="20"/>
        </w:rPr>
        <w:t>, tampoco se encuentra disposición alguna en las normas que conforman el EGCAP, que disponga la obligatoriedad de implementar tablas de honorarios o estandarizar perfiles para los contratos de prestación de servicios, pero esto no significa que las entidades no puedan hacerlo.</w:t>
      </w:r>
    </w:p>
    <w:p w14:paraId="6F0EEAA6" w14:textId="77777777" w:rsidR="00D01A6B" w:rsidRPr="00D01A6B" w:rsidRDefault="00D01A6B" w:rsidP="00D01A6B">
      <w:pPr>
        <w:widowControl w:val="0"/>
        <w:autoSpaceDE w:val="0"/>
        <w:autoSpaceDN w:val="0"/>
        <w:spacing w:after="120" w:line="240" w:lineRule="auto"/>
        <w:jc w:val="both"/>
        <w:rPr>
          <w:rFonts w:ascii="Verdana" w:eastAsia="Arial" w:hAnsi="Verdana" w:cs="Arial"/>
          <w:iCs/>
          <w:sz w:val="20"/>
          <w:szCs w:val="20"/>
          <w:lang w:val="es-ES"/>
        </w:rPr>
      </w:pPr>
      <w:r w:rsidRPr="00D01A6B">
        <w:rPr>
          <w:rFonts w:ascii="Verdana" w:eastAsia="Arial" w:hAnsi="Verdana" w:cs="Arial"/>
          <w:iCs/>
          <w:sz w:val="20"/>
          <w:szCs w:val="20"/>
          <w:lang w:val="es-ES"/>
        </w:rPr>
        <w:t>De igual forma, debe señalarse que, tampoco existe norma</w:t>
      </w:r>
      <w:r w:rsidRPr="00D01A6B">
        <w:rPr>
          <w:rFonts w:ascii="Verdana" w:eastAsia="Calibri" w:hAnsi="Verdana" w:cs="Arial"/>
          <w:bCs/>
          <w:color w:val="000000"/>
          <w:kern w:val="2"/>
          <w:sz w:val="20"/>
          <w:szCs w:val="20"/>
          <w14:ligatures w14:val="standardContextual"/>
        </w:rPr>
        <w:t xml:space="preserve"> que prohíba pactar honorarios por un valor inferior al salario mínimo mensual vigente en el marco de un contrato de prestación de servicios profesionales y de apoyo a la gestión, como podría ocurrir en aquellos contratos cuyo objeto sea la entrega de un producto determinado. </w:t>
      </w:r>
    </w:p>
    <w:p w14:paraId="2A4CE727" w14:textId="77777777" w:rsidR="00D01A6B" w:rsidRPr="00D01A6B" w:rsidRDefault="00D01A6B" w:rsidP="00D01A6B">
      <w:pPr>
        <w:spacing w:line="240" w:lineRule="auto"/>
        <w:jc w:val="both"/>
        <w:rPr>
          <w:rFonts w:ascii="Verdana" w:eastAsia="Arial" w:hAnsi="Verdana" w:cs="Arial"/>
          <w:iCs/>
          <w:sz w:val="20"/>
          <w:szCs w:val="20"/>
        </w:rPr>
      </w:pPr>
      <w:r w:rsidRPr="00D01A6B">
        <w:rPr>
          <w:rFonts w:ascii="Verdana" w:eastAsia="Calibri" w:hAnsi="Verdana" w:cs="Arial"/>
          <w:bCs/>
          <w:color w:val="000000"/>
          <w:kern w:val="2"/>
          <w:sz w:val="20"/>
          <w:szCs w:val="20"/>
          <w14:ligatures w14:val="standardContextual"/>
        </w:rPr>
        <w:t xml:space="preserve">Se concluye que, conforme a lo expuesto en el presente acápite, las Entidades Estatales tienen autonomía para definir los honorarios de un contrato de prestación de servicios profesionales y de apoyo a la gestión, para lo cual deberán tener en cuenta el tipo de actividades a ejecutar, el tiempo que se destinara a su desarrollo, el perfil requerido </w:t>
      </w:r>
      <w:r w:rsidRPr="00D01A6B">
        <w:rPr>
          <w:rFonts w:ascii="Verdana" w:eastAsia="Arial" w:hAnsi="Verdana" w:cs="Arial"/>
          <w:iCs/>
          <w:sz w:val="20"/>
          <w:szCs w:val="20"/>
          <w:lang w:val="es-ES"/>
        </w:rPr>
        <w:t>al contratista, dentro de este aspecto se destaca el conocimiento que tenga de una determinada materia de acuerdo con sus estudios y la experiencia que acredite, las obligaciones asignadas para satisfacer la necesidad de la Entidad Estatal,</w:t>
      </w:r>
      <w:r w:rsidRPr="00D01A6B">
        <w:rPr>
          <w:rFonts w:ascii="Verdana" w:eastAsia="Calibri" w:hAnsi="Verdana" w:cs="Arial"/>
          <w:bCs/>
          <w:color w:val="000000"/>
          <w:kern w:val="2"/>
          <w:sz w:val="20"/>
          <w:szCs w:val="20"/>
          <w14:ligatures w14:val="standardContextual"/>
        </w:rPr>
        <w:t xml:space="preserve"> entre otros aspectos, que deberán consignarse en el estudio de sector.</w:t>
      </w:r>
    </w:p>
    <w:p w14:paraId="634C9EF4" w14:textId="77777777" w:rsidR="00D01A6B" w:rsidRDefault="00D01A6B" w:rsidP="00D01A6B">
      <w:pPr>
        <w:spacing w:line="276" w:lineRule="auto"/>
        <w:jc w:val="both"/>
        <w:rPr>
          <w:rFonts w:ascii="Verdana" w:eastAsia="Arial" w:hAnsi="Verdana"/>
        </w:rPr>
      </w:pPr>
    </w:p>
    <w:p w14:paraId="0343EACE" w14:textId="77777777" w:rsidR="007F16C6" w:rsidRPr="00D01A6B" w:rsidRDefault="007F16C6" w:rsidP="00BB4885">
      <w:pPr>
        <w:spacing w:after="0" w:line="240" w:lineRule="auto"/>
        <w:rPr>
          <w:rFonts w:ascii="Verdana" w:eastAsia="Geomanist Light" w:hAnsi="Verdana" w:cs="Arial"/>
          <w:color w:val="000000" w:themeColor="text1"/>
        </w:rPr>
      </w:pPr>
    </w:p>
    <w:p w14:paraId="3BD2F10E" w14:textId="77777777" w:rsidR="007F16C6" w:rsidRDefault="007F16C6" w:rsidP="00BB4885">
      <w:pPr>
        <w:spacing w:after="0" w:line="240" w:lineRule="auto"/>
        <w:rPr>
          <w:rFonts w:ascii="Verdana" w:eastAsia="Geomanist Light" w:hAnsi="Verdana" w:cs="Arial"/>
          <w:color w:val="000000" w:themeColor="text1"/>
          <w:lang w:val="es-MX"/>
        </w:rPr>
      </w:pPr>
    </w:p>
    <w:p w14:paraId="2C302C19" w14:textId="77777777" w:rsidR="007F16C6" w:rsidRDefault="007F16C6" w:rsidP="00BB4885">
      <w:pPr>
        <w:spacing w:after="0" w:line="240" w:lineRule="auto"/>
        <w:rPr>
          <w:rFonts w:ascii="Verdana" w:eastAsia="Geomanist Light" w:hAnsi="Verdana" w:cs="Arial"/>
          <w:color w:val="000000" w:themeColor="text1"/>
          <w:lang w:val="es-MX"/>
        </w:rPr>
      </w:pPr>
    </w:p>
    <w:p w14:paraId="79FC9719" w14:textId="77777777" w:rsidR="007F16C6" w:rsidRDefault="007F16C6" w:rsidP="00BB4885">
      <w:pPr>
        <w:spacing w:after="0" w:line="240" w:lineRule="auto"/>
        <w:rPr>
          <w:rFonts w:ascii="Verdana" w:eastAsia="Geomanist Light" w:hAnsi="Verdana" w:cs="Arial"/>
          <w:color w:val="000000" w:themeColor="text1"/>
          <w:lang w:val="es-MX"/>
        </w:rPr>
      </w:pPr>
    </w:p>
    <w:p w14:paraId="563E0C52" w14:textId="77777777" w:rsidR="007F16C6" w:rsidRDefault="007F16C6" w:rsidP="00BB4885">
      <w:pPr>
        <w:spacing w:after="0" w:line="240" w:lineRule="auto"/>
        <w:rPr>
          <w:rFonts w:ascii="Verdana" w:eastAsia="Geomanist Light" w:hAnsi="Verdana" w:cs="Arial"/>
          <w:color w:val="000000" w:themeColor="text1"/>
          <w:lang w:val="es-MX"/>
        </w:rPr>
      </w:pPr>
    </w:p>
    <w:p w14:paraId="11F4E5B0" w14:textId="77777777" w:rsidR="00D01A6B" w:rsidRDefault="00D01A6B" w:rsidP="00BB4885">
      <w:pPr>
        <w:spacing w:after="0" w:line="240" w:lineRule="auto"/>
        <w:rPr>
          <w:rFonts w:ascii="Verdana" w:eastAsia="Geomanist Light" w:hAnsi="Verdana" w:cs="Arial"/>
          <w:color w:val="000000" w:themeColor="text1"/>
          <w:lang w:val="es-MX"/>
        </w:rPr>
      </w:pPr>
    </w:p>
    <w:p w14:paraId="06FAC25D" w14:textId="77777777" w:rsidR="00D01A6B" w:rsidRDefault="00D01A6B" w:rsidP="00BB4885">
      <w:pPr>
        <w:spacing w:after="0" w:line="240" w:lineRule="auto"/>
        <w:rPr>
          <w:rFonts w:ascii="Verdana" w:eastAsia="Geomanist Light" w:hAnsi="Verdana" w:cs="Arial"/>
          <w:color w:val="000000" w:themeColor="text1"/>
          <w:lang w:val="es-MX"/>
        </w:rPr>
      </w:pPr>
    </w:p>
    <w:p w14:paraId="42F85AAA" w14:textId="77777777" w:rsidR="00D01A6B" w:rsidRDefault="00D01A6B" w:rsidP="00BB4885">
      <w:pPr>
        <w:spacing w:after="0" w:line="240" w:lineRule="auto"/>
        <w:rPr>
          <w:rFonts w:ascii="Verdana" w:eastAsia="Geomanist Light" w:hAnsi="Verdana" w:cs="Arial"/>
          <w:color w:val="000000" w:themeColor="text1"/>
          <w:lang w:val="es-MX"/>
        </w:rPr>
      </w:pPr>
    </w:p>
    <w:p w14:paraId="40173621" w14:textId="77777777" w:rsidR="00D01A6B" w:rsidRDefault="00D01A6B" w:rsidP="00BB4885">
      <w:pPr>
        <w:spacing w:after="0" w:line="240" w:lineRule="auto"/>
        <w:rPr>
          <w:rFonts w:ascii="Verdana" w:eastAsia="Geomanist Light" w:hAnsi="Verdana" w:cs="Arial"/>
          <w:color w:val="000000" w:themeColor="text1"/>
          <w:lang w:val="es-MX"/>
        </w:rPr>
      </w:pPr>
    </w:p>
    <w:p w14:paraId="0D2E55C2" w14:textId="3DEA107F" w:rsidR="00BB4885" w:rsidRPr="00CF64C0" w:rsidRDefault="00BB4885" w:rsidP="00BB4885">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476985">
        <w:rPr>
          <w:rFonts w:ascii="Verdana" w:eastAsia="Geomanist Light" w:hAnsi="Verdana" w:cs="Arial"/>
          <w:color w:val="201F1E"/>
          <w:lang w:val="es-MX"/>
        </w:rPr>
        <w:t>04</w:t>
      </w:r>
      <w:r w:rsidRPr="00CF64C0">
        <w:rPr>
          <w:rFonts w:ascii="Verdana" w:eastAsia="Geomanist Light" w:hAnsi="Verdana" w:cs="Arial"/>
          <w:color w:val="201F1E"/>
          <w:lang w:val="es-MX"/>
        </w:rPr>
        <w:t xml:space="preserve"> de </w:t>
      </w:r>
      <w:r w:rsidR="00476985">
        <w:rPr>
          <w:rFonts w:ascii="Verdana" w:eastAsia="Geomanist Light" w:hAnsi="Verdana" w:cs="Arial"/>
          <w:color w:val="201F1E"/>
          <w:lang w:val="es-MX"/>
        </w:rPr>
        <w:t>marzo</w:t>
      </w:r>
      <w:r w:rsidRPr="00CF64C0">
        <w:rPr>
          <w:rFonts w:ascii="Verdana" w:eastAsia="Geomanist Light" w:hAnsi="Verdana" w:cs="Arial"/>
          <w:color w:val="201F1E"/>
          <w:lang w:val="es-MX"/>
        </w:rPr>
        <w:t xml:space="preserve"> de </w:t>
      </w:r>
      <w:r w:rsidR="00476985">
        <w:rPr>
          <w:rFonts w:ascii="Verdana" w:eastAsia="Geomanist Light" w:hAnsi="Verdana" w:cs="Arial"/>
          <w:color w:val="201F1E"/>
          <w:lang w:val="es-MX"/>
        </w:rPr>
        <w:t>2025</w:t>
      </w:r>
    </w:p>
    <w:p w14:paraId="459CB557" w14:textId="77777777" w:rsidR="00BB4885" w:rsidRPr="00384E7E" w:rsidRDefault="00BB4885" w:rsidP="00BB4885">
      <w:pPr>
        <w:spacing w:after="0" w:line="240" w:lineRule="auto"/>
        <w:jc w:val="both"/>
        <w:rPr>
          <w:rFonts w:ascii="Verdana" w:eastAsia="Calibri" w:hAnsi="Verdana" w:cs="Arial"/>
          <w:color w:val="000000"/>
          <w:lang w:val="es-MX"/>
        </w:rPr>
      </w:pPr>
    </w:p>
    <w:p w14:paraId="494393E9" w14:textId="3F632959" w:rsidR="00476985" w:rsidRDefault="00476985" w:rsidP="00476985">
      <w:pPr>
        <w:spacing w:after="0" w:line="240" w:lineRule="auto"/>
        <w:ind w:left="4956"/>
        <w:jc w:val="both"/>
        <w:rPr>
          <w:rFonts w:ascii="Verdana" w:eastAsia="Calibri" w:hAnsi="Verdana" w:cs="Arial"/>
          <w:lang w:val="es-MX" w:eastAsia="es-ES"/>
        </w:rPr>
      </w:pPr>
      <w:r w:rsidRPr="00476985">
        <w:rPr>
          <w:rFonts w:ascii="Verdana" w:eastAsia="Calibri" w:hAnsi="Verdana" w:cs="Arial"/>
          <w:lang w:val="es-MX" w:eastAsia="es-ES"/>
        </w:rPr>
        <w:drawing>
          <wp:inline distT="0" distB="0" distL="0" distR="0" wp14:anchorId="5A361C4A" wp14:editId="68E81E5E">
            <wp:extent cx="3553321" cy="1105054"/>
            <wp:effectExtent l="0" t="0" r="9525" b="0"/>
            <wp:docPr id="1643170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70588" name=""/>
                    <pic:cNvPicPr/>
                  </pic:nvPicPr>
                  <pic:blipFill>
                    <a:blip r:embed="rId11"/>
                    <a:stretch>
                      <a:fillRect/>
                    </a:stretch>
                  </pic:blipFill>
                  <pic:spPr>
                    <a:xfrm>
                      <a:off x="0" y="0"/>
                      <a:ext cx="3553321" cy="1105054"/>
                    </a:xfrm>
                    <a:prstGeom prst="rect">
                      <a:avLst/>
                    </a:prstGeom>
                  </pic:spPr>
                </pic:pic>
              </a:graphicData>
            </a:graphic>
          </wp:inline>
        </w:drawing>
      </w:r>
    </w:p>
    <w:p w14:paraId="27E5977C" w14:textId="5FB1F652" w:rsidR="00BB4885" w:rsidRPr="005A69B4" w:rsidRDefault="00BB4885" w:rsidP="00BB4885">
      <w:pPr>
        <w:spacing w:after="0" w:line="240" w:lineRule="auto"/>
        <w:jc w:val="both"/>
        <w:rPr>
          <w:rFonts w:ascii="Verdana" w:eastAsia="Calibri" w:hAnsi="Verdana" w:cs="Arial"/>
          <w:lang w:val="es-MX" w:eastAsia="es-ES"/>
        </w:rPr>
      </w:pPr>
      <w:r>
        <w:rPr>
          <w:rFonts w:ascii="Verdana" w:eastAsia="Calibri" w:hAnsi="Verdana" w:cs="Arial"/>
          <w:lang w:val="es-MX" w:eastAsia="es-ES"/>
        </w:rPr>
        <w:t>Señora</w:t>
      </w:r>
    </w:p>
    <w:p w14:paraId="2DF13176" w14:textId="77777777" w:rsidR="00BB4885" w:rsidRDefault="00BB4885" w:rsidP="00BB4885">
      <w:pPr>
        <w:spacing w:after="0" w:line="240" w:lineRule="auto"/>
        <w:rPr>
          <w:rFonts w:ascii="Verdana" w:eastAsia="Calibri" w:hAnsi="Verdana" w:cs="Arial"/>
          <w:b/>
          <w:bCs/>
          <w:lang w:eastAsia="es-ES"/>
        </w:rPr>
      </w:pPr>
      <w:r w:rsidRPr="00D85AE1">
        <w:rPr>
          <w:rFonts w:ascii="Verdana" w:eastAsia="Calibri" w:hAnsi="Verdana" w:cs="Arial"/>
          <w:b/>
          <w:bCs/>
          <w:lang w:eastAsia="es-ES"/>
        </w:rPr>
        <w:t xml:space="preserve">MARIA ISABEL TRUJILLO SARMIENTO </w:t>
      </w:r>
    </w:p>
    <w:p w14:paraId="1903454D" w14:textId="77777777" w:rsidR="00BB4885" w:rsidRPr="009A3FA3" w:rsidRDefault="00BB4885" w:rsidP="00BB4885">
      <w:pPr>
        <w:spacing w:after="0" w:line="240" w:lineRule="auto"/>
        <w:rPr>
          <w:rFonts w:ascii="Verdana" w:hAnsi="Verdana"/>
        </w:rPr>
      </w:pPr>
      <w:hyperlink r:id="rId12" w:history="1">
        <w:r w:rsidRPr="009A3FA3">
          <w:rPr>
            <w:rStyle w:val="Hipervnculo"/>
            <w:rFonts w:ascii="Verdana" w:hAnsi="Verdana"/>
          </w:rPr>
          <w:t>isabeltrujillo15@yahoo.es</w:t>
        </w:r>
      </w:hyperlink>
    </w:p>
    <w:p w14:paraId="2D864EC0" w14:textId="77777777" w:rsidR="00BB4885" w:rsidRPr="00D85AE1" w:rsidRDefault="00BB4885" w:rsidP="00BB4885">
      <w:pPr>
        <w:spacing w:after="0" w:line="240" w:lineRule="auto"/>
        <w:rPr>
          <w:rFonts w:ascii="Verdana" w:eastAsia="Calibri" w:hAnsi="Verdana" w:cs="Arial"/>
          <w:lang w:val="pt-PT" w:eastAsia="es-ES"/>
        </w:rPr>
      </w:pPr>
      <w:r w:rsidRPr="00D85AE1">
        <w:rPr>
          <w:rFonts w:ascii="Verdana" w:eastAsia="Calibri" w:hAnsi="Verdana" w:cs="Arial"/>
          <w:lang w:val="pt-PT" w:eastAsia="es-ES"/>
        </w:rPr>
        <w:t xml:space="preserve">Cúcuta, Norte de Santander. </w:t>
      </w:r>
    </w:p>
    <w:p w14:paraId="1487E2EF" w14:textId="77777777" w:rsidR="00BB4885" w:rsidRPr="00D85AE1" w:rsidRDefault="00BB4885" w:rsidP="00BB4885">
      <w:pPr>
        <w:spacing w:after="0" w:line="240" w:lineRule="auto"/>
        <w:rPr>
          <w:rFonts w:ascii="Verdana" w:eastAsia="Calibri" w:hAnsi="Verdana" w:cs="Arial"/>
          <w:b/>
          <w:bCs/>
          <w:color w:val="000000"/>
          <w:lang w:val="pt-PT" w:eastAsia="es-ES_tradnl"/>
        </w:rPr>
      </w:pPr>
      <w:r w:rsidRPr="00D85AE1">
        <w:rPr>
          <w:rFonts w:ascii="Verdana" w:eastAsia="Calibri" w:hAnsi="Verdana" w:cs="Arial"/>
          <w:lang w:val="pt-PT" w:eastAsia="es-ES"/>
        </w:rPr>
        <w:t xml:space="preserve"> </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7"/>
        <w:gridCol w:w="5382"/>
      </w:tblGrid>
      <w:tr w:rsidR="00BB4885" w:rsidRPr="00E4307F" w14:paraId="3EEDFD10" w14:textId="77777777" w:rsidTr="001E4F93">
        <w:trPr>
          <w:trHeight w:val="608"/>
        </w:trPr>
        <w:tc>
          <w:tcPr>
            <w:tcW w:w="3407" w:type="dxa"/>
          </w:tcPr>
          <w:p w14:paraId="3C19B3BB" w14:textId="77777777" w:rsidR="00BB4885" w:rsidRPr="00D85AE1" w:rsidRDefault="00BB4885" w:rsidP="001E4F93">
            <w:pPr>
              <w:jc w:val="both"/>
              <w:rPr>
                <w:rFonts w:ascii="Verdana" w:eastAsia="Calibri" w:hAnsi="Verdana" w:cs="Arial"/>
                <w:b/>
                <w:bCs/>
                <w:color w:val="7030A0"/>
                <w:lang w:val="pt-PT" w:eastAsia="es-ES_tradnl"/>
              </w:rPr>
            </w:pPr>
          </w:p>
        </w:tc>
        <w:tc>
          <w:tcPr>
            <w:tcW w:w="5382" w:type="dxa"/>
            <w:hideMark/>
          </w:tcPr>
          <w:p w14:paraId="4110DCA8" w14:textId="77777777" w:rsidR="00BB4885" w:rsidRPr="005A69B4" w:rsidRDefault="00BB4885" w:rsidP="001E4F93">
            <w:pPr>
              <w:rPr>
                <w:rFonts w:ascii="Verdana" w:eastAsia="Calibri" w:hAnsi="Verdana" w:cs="Arial"/>
                <w:b/>
                <w:bCs/>
                <w:lang w:val="es-ES" w:eastAsia="es-ES"/>
              </w:rPr>
            </w:pPr>
            <w:r w:rsidRPr="005A69B4">
              <w:rPr>
                <w:rFonts w:ascii="Verdana" w:eastAsia="Calibri" w:hAnsi="Verdana" w:cs="Arial"/>
                <w:b/>
                <w:bCs/>
                <w:lang w:val="es-ES" w:eastAsia="es-ES"/>
              </w:rPr>
              <w:t xml:space="preserve">Concepto </w:t>
            </w:r>
            <w:r w:rsidRPr="005A69B4">
              <w:rPr>
                <w:rFonts w:ascii="Verdana" w:hAnsi="Verdana" w:cs="Calibri"/>
                <w:b/>
                <w:bCs/>
              </w:rPr>
              <w:t>C-0</w:t>
            </w:r>
            <w:r>
              <w:rPr>
                <w:rFonts w:ascii="Verdana" w:hAnsi="Verdana" w:cs="Calibri"/>
                <w:b/>
                <w:bCs/>
              </w:rPr>
              <w:t>79</w:t>
            </w:r>
            <w:r>
              <w:rPr>
                <w:rFonts w:ascii="Verdana" w:hAnsi="Verdana" w:cs="Calibri"/>
              </w:rPr>
              <w:t xml:space="preserve"> </w:t>
            </w:r>
            <w:r w:rsidRPr="00E4307F">
              <w:rPr>
                <w:rFonts w:ascii="Verdana" w:eastAsia="Calibri" w:hAnsi="Verdana" w:cs="Arial"/>
                <w:b/>
                <w:bCs/>
                <w:lang w:val="es-ES" w:eastAsia="es-ES"/>
              </w:rPr>
              <w:t>de 202</w:t>
            </w:r>
            <w:r>
              <w:rPr>
                <w:rFonts w:ascii="Verdana" w:eastAsia="Calibri" w:hAnsi="Verdana" w:cs="Arial"/>
                <w:b/>
                <w:bCs/>
                <w:lang w:val="es-ES" w:eastAsia="es-ES"/>
              </w:rPr>
              <w:t>5</w:t>
            </w:r>
          </w:p>
        </w:tc>
      </w:tr>
      <w:tr w:rsidR="00BB4885" w:rsidRPr="00E4307F" w14:paraId="7621B9F0" w14:textId="77777777" w:rsidTr="001E4F93">
        <w:trPr>
          <w:trHeight w:val="884"/>
        </w:trPr>
        <w:tc>
          <w:tcPr>
            <w:tcW w:w="3407" w:type="dxa"/>
            <w:shd w:val="clear" w:color="auto" w:fill="auto"/>
            <w:hideMark/>
          </w:tcPr>
          <w:p w14:paraId="4B121518" w14:textId="77777777" w:rsidR="00BB4885" w:rsidRPr="00E4307F" w:rsidRDefault="00BB4885" w:rsidP="001E4F93">
            <w:pPr>
              <w:jc w:val="both"/>
              <w:rPr>
                <w:rFonts w:ascii="Verdana" w:eastAsia="Calibri" w:hAnsi="Verdana" w:cs="Arial"/>
                <w:lang w:val="es-ES_tradnl" w:eastAsia="es-ES_tradnl"/>
              </w:rPr>
            </w:pPr>
            <w:r w:rsidRPr="00E4307F">
              <w:rPr>
                <w:rFonts w:ascii="Verdana" w:eastAsia="Calibri" w:hAnsi="Verdana" w:cs="Arial"/>
                <w:b/>
                <w:lang w:val="es-ES_tradnl" w:eastAsia="es-ES_tradnl"/>
              </w:rPr>
              <w:t>Temas:</w:t>
            </w:r>
            <w:r w:rsidRPr="00E4307F">
              <w:rPr>
                <w:rFonts w:ascii="Verdana" w:eastAsia="Calibri" w:hAnsi="Verdana" w:cs="Arial"/>
                <w:lang w:val="es-ES_tradnl" w:eastAsia="es-ES_tradnl"/>
              </w:rPr>
              <w:t xml:space="preserve">                   </w:t>
            </w:r>
          </w:p>
        </w:tc>
        <w:tc>
          <w:tcPr>
            <w:tcW w:w="5382" w:type="dxa"/>
            <w:shd w:val="clear" w:color="auto" w:fill="auto"/>
          </w:tcPr>
          <w:p w14:paraId="0FC02219" w14:textId="77777777" w:rsidR="00BB4885" w:rsidRDefault="00BB4885" w:rsidP="001E4F93">
            <w:pPr>
              <w:spacing w:line="276" w:lineRule="auto"/>
              <w:jc w:val="both"/>
              <w:rPr>
                <w:rFonts w:ascii="Verdana" w:eastAsia="Calibri" w:hAnsi="Verdana" w:cs="Arial"/>
                <w:bCs/>
                <w:color w:val="000000"/>
                <w:lang w:val="es-ES_tradnl"/>
              </w:rPr>
            </w:pPr>
            <w:r w:rsidRPr="00A43145">
              <w:rPr>
                <w:rFonts w:ascii="Verdana" w:eastAsia="Calibri" w:hAnsi="Verdana" w:cs="Arial"/>
                <w:bCs/>
                <w:color w:val="000000"/>
                <w:lang w:val="es-ES_tradnl"/>
              </w:rPr>
              <w:t xml:space="preserve">CONTRATO DE PRESTACIÓN DE SERVICIOS – Concepto / Características / CONTRATOS DE PRESTACIÓN DE SERVICIOS – Fijación de honorarios </w:t>
            </w:r>
            <w:r w:rsidRPr="003110E3">
              <w:rPr>
                <w:rFonts w:ascii="Verdana" w:eastAsia="Calibri" w:hAnsi="Verdana" w:cs="Arial"/>
                <w:bCs/>
                <w:color w:val="000000"/>
                <w:lang w:val="es-ES_tradnl"/>
              </w:rPr>
              <w:t xml:space="preserve">– </w:t>
            </w:r>
            <w:r w:rsidRPr="003110E3">
              <w:rPr>
                <w:rFonts w:ascii="Verdana" w:eastAsia="Times New Roman" w:hAnsi="Verdana" w:cs="Arial"/>
                <w:lang w:eastAsia="es-ES_tradnl"/>
              </w:rPr>
              <w:t>Límite Remuneración</w:t>
            </w:r>
            <w:r w:rsidRPr="003110E3">
              <w:rPr>
                <w:rFonts w:ascii="Verdana" w:eastAsia="Calibri" w:hAnsi="Verdana" w:cs="Arial"/>
                <w:bCs/>
                <w:color w:val="000000"/>
                <w:lang w:val="es-ES_tradnl"/>
              </w:rPr>
              <w:t>.</w:t>
            </w:r>
          </w:p>
          <w:p w14:paraId="58E8CD88" w14:textId="77777777" w:rsidR="00BB4885" w:rsidRPr="00D85AE1" w:rsidRDefault="00BB4885" w:rsidP="001E4F93">
            <w:pPr>
              <w:spacing w:line="276" w:lineRule="auto"/>
              <w:jc w:val="both"/>
              <w:rPr>
                <w:rFonts w:ascii="Verdana" w:eastAsia="Calibri" w:hAnsi="Verdana" w:cs="Arial"/>
                <w:lang w:val="es-ES_tradnl" w:eastAsia="es-ES"/>
              </w:rPr>
            </w:pPr>
          </w:p>
        </w:tc>
      </w:tr>
      <w:tr w:rsidR="00BB4885" w:rsidRPr="00E4307F" w14:paraId="784187FB" w14:textId="77777777" w:rsidTr="001E4F93">
        <w:tc>
          <w:tcPr>
            <w:tcW w:w="3407" w:type="dxa"/>
            <w:hideMark/>
          </w:tcPr>
          <w:p w14:paraId="06E71CBC" w14:textId="77777777" w:rsidR="00BB4885" w:rsidRPr="00E4307F" w:rsidRDefault="00BB4885" w:rsidP="001E4F93">
            <w:pPr>
              <w:jc w:val="both"/>
              <w:rPr>
                <w:rFonts w:ascii="Verdana" w:eastAsia="Calibri" w:hAnsi="Verdana" w:cs="Arial"/>
                <w:b/>
                <w:color w:val="7030A0"/>
                <w:lang w:val="es-ES_tradnl" w:eastAsia="es-ES_tradnl"/>
              </w:rPr>
            </w:pPr>
            <w:r w:rsidRPr="00E4307F">
              <w:rPr>
                <w:rFonts w:ascii="Verdana" w:eastAsia="Calibri" w:hAnsi="Verdana" w:cs="Arial"/>
                <w:b/>
                <w:lang w:val="es-ES_tradnl" w:eastAsia="es-ES_tradnl"/>
              </w:rPr>
              <w:t>Radicación:</w:t>
            </w:r>
            <w:r w:rsidRPr="00E4307F">
              <w:rPr>
                <w:rFonts w:ascii="Verdana" w:eastAsia="Calibri" w:hAnsi="Verdana" w:cs="Arial"/>
                <w:lang w:val="es-ES_tradnl" w:eastAsia="es-ES_tradnl"/>
              </w:rPr>
              <w:t xml:space="preserve">               </w:t>
            </w:r>
          </w:p>
        </w:tc>
        <w:tc>
          <w:tcPr>
            <w:tcW w:w="5382" w:type="dxa"/>
            <w:hideMark/>
          </w:tcPr>
          <w:p w14:paraId="6B46052D" w14:textId="77777777" w:rsidR="00BB4885" w:rsidRPr="00E4307F" w:rsidRDefault="00BB4885" w:rsidP="001E4F93">
            <w:pPr>
              <w:jc w:val="both"/>
              <w:rPr>
                <w:rFonts w:ascii="Verdana" w:eastAsia="Calibri" w:hAnsi="Verdana" w:cs="Arial"/>
                <w:color w:val="7030A0"/>
                <w:lang w:val="es-ES_tradnl" w:eastAsia="es-ES_tradnl"/>
              </w:rPr>
            </w:pPr>
            <w:r w:rsidRPr="00E4307F">
              <w:rPr>
                <w:rFonts w:ascii="Verdana" w:eastAsia="Calibri" w:hAnsi="Verdana" w:cs="Arial"/>
                <w:lang w:val="es-ES_tradnl" w:eastAsia="es-ES_tradnl"/>
              </w:rPr>
              <w:t xml:space="preserve">Respuesta a consulta con radicado No. </w:t>
            </w:r>
            <w:r w:rsidRPr="00D85AE1">
              <w:rPr>
                <w:rFonts w:ascii="Verdana" w:eastAsia="Calibri" w:hAnsi="Verdana" w:cs="Arial"/>
                <w:lang w:val="es-ES_tradnl" w:eastAsia="es-ES_tradnl"/>
              </w:rPr>
              <w:t>P20250124000641</w:t>
            </w:r>
          </w:p>
        </w:tc>
      </w:tr>
    </w:tbl>
    <w:p w14:paraId="050A931C" w14:textId="77777777" w:rsidR="00BB4885" w:rsidRPr="00E4307F" w:rsidRDefault="00BB4885" w:rsidP="00BB4885">
      <w:pPr>
        <w:spacing w:after="0" w:line="240" w:lineRule="auto"/>
        <w:jc w:val="both"/>
        <w:rPr>
          <w:rFonts w:ascii="Verdana" w:eastAsia="Calibri" w:hAnsi="Verdana" w:cs="Arial"/>
          <w:color w:val="000000"/>
          <w:lang w:val="es-ES_tradnl" w:eastAsia="es-ES_tradnl"/>
        </w:rPr>
      </w:pPr>
    </w:p>
    <w:p w14:paraId="01BA5472" w14:textId="77777777" w:rsidR="00BB4885" w:rsidRPr="00E4307F" w:rsidRDefault="00BB4885" w:rsidP="00BB4885">
      <w:pPr>
        <w:spacing w:after="0" w:line="240" w:lineRule="auto"/>
        <w:jc w:val="both"/>
        <w:rPr>
          <w:rFonts w:ascii="Verdana" w:eastAsia="Calibri" w:hAnsi="Verdana" w:cs="Arial"/>
          <w:color w:val="000000"/>
          <w:lang w:val="es-ES_tradnl" w:eastAsia="es-ES_tradnl"/>
        </w:rPr>
      </w:pPr>
    </w:p>
    <w:p w14:paraId="64464086" w14:textId="1A87BBC0" w:rsidR="00BB4885" w:rsidRPr="00E4307F" w:rsidRDefault="00BB4885" w:rsidP="00BB4885">
      <w:pPr>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Estimad</w:t>
      </w:r>
      <w:r w:rsidR="00B93D2C">
        <w:rPr>
          <w:rFonts w:ascii="Verdana" w:eastAsia="Calibri" w:hAnsi="Verdana" w:cs="Arial"/>
          <w:color w:val="000000" w:themeColor="text1"/>
          <w:lang w:val="es-ES" w:eastAsia="es-ES"/>
        </w:rPr>
        <w:t>a</w:t>
      </w:r>
      <w:r w:rsidRPr="00E4307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señora</w:t>
      </w:r>
      <w:r w:rsidRPr="00E4307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Trujillo</w:t>
      </w:r>
      <w:r w:rsidRPr="00E4307F">
        <w:rPr>
          <w:rFonts w:ascii="Verdana" w:eastAsia="Calibri" w:hAnsi="Verdana" w:cs="Arial"/>
          <w:color w:val="000000" w:themeColor="text1"/>
          <w:lang w:val="es-ES" w:eastAsia="es-ES"/>
        </w:rPr>
        <w:t xml:space="preserve">:  </w:t>
      </w:r>
    </w:p>
    <w:p w14:paraId="76264DD7" w14:textId="77777777" w:rsidR="00BB4885" w:rsidRPr="00E4307F" w:rsidRDefault="00BB4885" w:rsidP="00BB4885">
      <w:pPr>
        <w:tabs>
          <w:tab w:val="left" w:pos="3768"/>
        </w:tabs>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ab/>
      </w:r>
    </w:p>
    <w:p w14:paraId="368516EF" w14:textId="77777777" w:rsidR="00BB4885" w:rsidRDefault="00BB4885" w:rsidP="00BB4885">
      <w:pPr>
        <w:spacing w:after="120" w:line="276" w:lineRule="auto"/>
        <w:jc w:val="both"/>
        <w:rPr>
          <w:rFonts w:ascii="Verdana" w:eastAsia="Calibri" w:hAnsi="Verdana" w:cs="Arial"/>
          <w:color w:val="000000" w:themeColor="text1"/>
          <w:sz w:val="21"/>
          <w:szCs w:val="21"/>
          <w:lang w:val="es-ES" w:eastAsia="es-ES"/>
        </w:rPr>
      </w:pPr>
      <w:r w:rsidRPr="00E4307F">
        <w:rPr>
          <w:rFonts w:ascii="Verdana" w:eastAsia="Calibri" w:hAnsi="Verdana" w:cs="Arial"/>
          <w:color w:val="000000" w:themeColor="text1"/>
          <w:lang w:val="es-ES" w:eastAsia="es-ES"/>
        </w:rPr>
        <w:t>En ejercicio de la competencia otorgada por los artículos 3, numeral 5º, y 11, numeral 8º, del Decreto Ley 4170 de 2011,</w:t>
      </w:r>
      <w:r w:rsidRPr="00E4307F">
        <w:rPr>
          <w:rFonts w:ascii="Verdana" w:eastAsia="Arial MT" w:hAnsi="Verdana" w:cs="Arial MT"/>
          <w:lang w:val="es-ES" w:eastAsia="es-ES"/>
        </w:rPr>
        <w:t xml:space="preserve"> </w:t>
      </w:r>
      <w:r w:rsidRPr="00E4307F">
        <w:rPr>
          <w:rFonts w:ascii="Verdana" w:hAnsi="Verdana" w:cs="Arial"/>
        </w:rPr>
        <w:t xml:space="preserve">así como lo establecido en el artículo 4 de la Resolución 1707 de 2018 expedida por esta Entidad, </w:t>
      </w:r>
      <w:r w:rsidRPr="00E4307F">
        <w:rPr>
          <w:rFonts w:ascii="Verdana" w:eastAsia="Calibri" w:hAnsi="Verdana" w:cs="Arial"/>
          <w:color w:val="000000" w:themeColor="text1"/>
          <w:lang w:val="es-ES" w:eastAsia="es-ES"/>
        </w:rPr>
        <w:t xml:space="preserve">la Agencia Nacional </w:t>
      </w:r>
      <w:r w:rsidRPr="00E4307F">
        <w:rPr>
          <w:rFonts w:ascii="Verdana" w:eastAsia="Calibri" w:hAnsi="Verdana" w:cs="Arial"/>
          <w:lang w:val="es-ES" w:eastAsia="es-ES"/>
        </w:rPr>
        <w:t xml:space="preserve">de Contratación Pública – Colombia Compra Eficiente– responde </w:t>
      </w:r>
      <w:r>
        <w:rPr>
          <w:rFonts w:ascii="Verdana" w:eastAsia="Calibri" w:hAnsi="Verdana" w:cs="Arial"/>
          <w:lang w:val="es-ES" w:eastAsia="es-ES"/>
        </w:rPr>
        <w:t xml:space="preserve">a </w:t>
      </w:r>
      <w:r w:rsidRPr="00E4307F">
        <w:rPr>
          <w:rFonts w:ascii="Verdana" w:eastAsia="Calibri" w:hAnsi="Verdana" w:cs="Arial"/>
          <w:lang w:val="es-ES" w:eastAsia="es-ES"/>
        </w:rPr>
        <w:t xml:space="preserve">su solicitud de consulta de fecha </w:t>
      </w:r>
      <w:r>
        <w:rPr>
          <w:rFonts w:ascii="Verdana" w:eastAsia="Calibri" w:hAnsi="Verdana" w:cs="Arial"/>
          <w:lang w:val="es-ES" w:eastAsia="es-ES"/>
        </w:rPr>
        <w:t>24 de enero</w:t>
      </w:r>
      <w:r w:rsidRPr="00E4307F">
        <w:rPr>
          <w:rFonts w:ascii="Verdana" w:eastAsia="Calibri" w:hAnsi="Verdana" w:cs="Arial"/>
          <w:lang w:val="es-ES" w:eastAsia="es-ES"/>
        </w:rPr>
        <w:t xml:space="preserve"> de 202</w:t>
      </w:r>
      <w:r>
        <w:rPr>
          <w:rFonts w:ascii="Verdana" w:eastAsia="Calibri" w:hAnsi="Verdana" w:cs="Arial"/>
          <w:lang w:val="es-ES" w:eastAsia="es-ES"/>
        </w:rPr>
        <w:t>5</w:t>
      </w:r>
      <w:r w:rsidRPr="00E4307F">
        <w:rPr>
          <w:rFonts w:ascii="Verdana" w:eastAsia="Calibri" w:hAnsi="Verdana" w:cs="Arial"/>
          <w:lang w:val="es-ES" w:eastAsia="es-ES"/>
        </w:rPr>
        <w:t>, en la cual manifiesta lo siguiente:</w:t>
      </w:r>
      <w:bookmarkStart w:id="0" w:name="_Hlk189143981"/>
      <w:r w:rsidRPr="005A69B4">
        <w:rPr>
          <w:rFonts w:ascii="Verdana" w:eastAsia="Calibri" w:hAnsi="Verdana" w:cs="Arial"/>
          <w:color w:val="000000" w:themeColor="text1"/>
          <w:sz w:val="21"/>
          <w:szCs w:val="21"/>
          <w:lang w:val="es-ES" w:eastAsia="es-ES"/>
        </w:rPr>
        <w:t xml:space="preserve"> </w:t>
      </w:r>
    </w:p>
    <w:p w14:paraId="2ACDA2F8" w14:textId="77777777" w:rsidR="00BB4885" w:rsidRPr="00F307EB" w:rsidRDefault="00BB4885" w:rsidP="00BB4885">
      <w:pPr>
        <w:spacing w:after="120" w:line="276" w:lineRule="auto"/>
        <w:ind w:left="709" w:right="709"/>
        <w:jc w:val="both"/>
        <w:rPr>
          <w:rFonts w:ascii="Verdana" w:eastAsia="Calibri" w:hAnsi="Verdana" w:cs="Arial"/>
          <w:i/>
          <w:iCs/>
          <w:color w:val="000000" w:themeColor="text1"/>
          <w:sz w:val="21"/>
          <w:szCs w:val="21"/>
          <w:lang w:eastAsia="es-ES"/>
        </w:rPr>
      </w:pPr>
      <w:r w:rsidRPr="00F307EB">
        <w:rPr>
          <w:rFonts w:ascii="Verdana" w:eastAsia="Calibri" w:hAnsi="Verdana" w:cs="Arial"/>
          <w:i/>
          <w:iCs/>
          <w:color w:val="000000" w:themeColor="text1"/>
          <w:sz w:val="21"/>
          <w:szCs w:val="21"/>
          <w:lang w:val="es-ES" w:eastAsia="es-ES"/>
        </w:rPr>
        <w:t>“</w:t>
      </w:r>
      <w:r w:rsidRPr="00F307EB">
        <w:rPr>
          <w:rFonts w:ascii="Verdana" w:eastAsia="Calibri" w:hAnsi="Verdana"/>
          <w:i/>
          <w:iCs/>
          <w:color w:val="000000" w:themeColor="text1"/>
          <w:sz w:val="21"/>
          <w:szCs w:val="21"/>
          <w:lang w:eastAsia="es-ES"/>
        </w:rPr>
        <w:t xml:space="preserve">[…] </w:t>
      </w:r>
      <w:bookmarkStart w:id="1" w:name="_Hlk95313578"/>
      <w:r w:rsidRPr="00F307EB">
        <w:rPr>
          <w:rFonts w:ascii="Verdana" w:eastAsia="Calibri" w:hAnsi="Verdana" w:cs="Arial"/>
          <w:i/>
          <w:iCs/>
          <w:color w:val="000000" w:themeColor="text1"/>
          <w:sz w:val="21"/>
          <w:szCs w:val="21"/>
          <w:lang w:eastAsia="es-ES"/>
        </w:rPr>
        <w:t>1- EN LOS CONTRATOS DE PRESTACIPÓN DE SERVICIO Y DE APOYO A LA GESTIÓN SUSCRITOS CON ENTIDADES ESTATALES, EL SALARIO MINIMO MENSUAL LEGAL VIGENTE, SE ENTIENDE EL RECIBIDO POR EL CONTRATISTA DESPUES DE REALIZAR LOS DESCUENTOS POR ESTAPILLAS Y PAGO A SEGURIAD SOCIAL Y OTROS ESTABLECIDOS POR EL ENTIDAD PUBLICA.</w:t>
      </w:r>
    </w:p>
    <w:p w14:paraId="2DF1DD43" w14:textId="77777777" w:rsidR="00BB4885" w:rsidRPr="00F307EB" w:rsidRDefault="00BB4885" w:rsidP="00BB4885">
      <w:pPr>
        <w:spacing w:after="120" w:line="276" w:lineRule="auto"/>
        <w:ind w:left="709" w:right="709"/>
        <w:jc w:val="both"/>
        <w:rPr>
          <w:rFonts w:ascii="Verdana" w:eastAsia="Calibri" w:hAnsi="Verdana" w:cs="Arial"/>
          <w:i/>
          <w:iCs/>
          <w:color w:val="000000" w:themeColor="text1"/>
          <w:sz w:val="21"/>
          <w:szCs w:val="21"/>
          <w:lang w:eastAsia="es-ES"/>
        </w:rPr>
      </w:pPr>
      <w:r w:rsidRPr="00F307EB">
        <w:rPr>
          <w:rFonts w:ascii="Verdana" w:eastAsia="Calibri" w:hAnsi="Verdana" w:cs="Arial"/>
          <w:i/>
          <w:iCs/>
          <w:color w:val="000000" w:themeColor="text1"/>
          <w:sz w:val="21"/>
          <w:szCs w:val="21"/>
          <w:lang w:eastAsia="es-ES"/>
        </w:rPr>
        <w:t xml:space="preserve">2- LA ASIGNACIÓN MENSUAL NETA RECIBIDA POR CONCEPTO DE HONORARIOS, EN LOS CONTRATOS DE PRESTACIÓN DE SERVICIO Y </w:t>
      </w:r>
      <w:r w:rsidRPr="00F307EB">
        <w:rPr>
          <w:rFonts w:ascii="Verdana" w:eastAsia="Calibri" w:hAnsi="Verdana" w:cs="Arial"/>
          <w:i/>
          <w:iCs/>
          <w:color w:val="000000" w:themeColor="text1"/>
          <w:sz w:val="21"/>
          <w:szCs w:val="21"/>
          <w:lang w:eastAsia="es-ES"/>
        </w:rPr>
        <w:lastRenderedPageBreak/>
        <w:t>DE APOYO A LA GESTIÓN, CON ENTIDADES DEL ESTADO PUEDE SER INFERIOR AL SALARIO MINIMO LEGAL MENSUAL VIGENTE FIJADO PARA CADA AÑO POR EL GOBIERNO NACIONAL.</w:t>
      </w:r>
    </w:p>
    <w:p w14:paraId="32C20CA9" w14:textId="77777777" w:rsidR="00BB4885" w:rsidRPr="00F307EB" w:rsidRDefault="00BB4885" w:rsidP="00BB4885">
      <w:pPr>
        <w:spacing w:after="120" w:line="276" w:lineRule="auto"/>
        <w:ind w:left="709" w:right="709"/>
        <w:jc w:val="both"/>
        <w:rPr>
          <w:rFonts w:ascii="Verdana" w:eastAsia="Calibri" w:hAnsi="Verdana" w:cs="Arial"/>
          <w:i/>
          <w:iCs/>
          <w:color w:val="000000" w:themeColor="text1"/>
          <w:sz w:val="21"/>
          <w:szCs w:val="21"/>
          <w:lang w:eastAsia="es-ES"/>
        </w:rPr>
      </w:pPr>
      <w:r w:rsidRPr="00F307EB">
        <w:rPr>
          <w:rFonts w:ascii="Verdana" w:eastAsia="Calibri" w:hAnsi="Verdana" w:cs="Arial"/>
          <w:i/>
          <w:iCs/>
          <w:color w:val="000000" w:themeColor="text1"/>
          <w:sz w:val="21"/>
          <w:szCs w:val="21"/>
          <w:lang w:eastAsia="es-ES"/>
        </w:rPr>
        <w:t>3- LA ENTIDAD ESTATAL, PARA CON LA FIJACIÓN DE HONORARIOS POR CONCEPTO DE CONTRATOS</w:t>
      </w:r>
      <w:r>
        <w:rPr>
          <w:rFonts w:ascii="Verdana" w:eastAsia="Calibri" w:hAnsi="Verdana" w:cs="Arial"/>
          <w:i/>
          <w:iCs/>
          <w:color w:val="000000" w:themeColor="text1"/>
          <w:sz w:val="21"/>
          <w:szCs w:val="21"/>
          <w:lang w:eastAsia="es-ES"/>
        </w:rPr>
        <w:t xml:space="preserve"> </w:t>
      </w:r>
      <w:r w:rsidRPr="00F307EB">
        <w:rPr>
          <w:rFonts w:ascii="Verdana" w:eastAsia="Calibri" w:hAnsi="Verdana" w:cs="Arial"/>
          <w:i/>
          <w:iCs/>
          <w:color w:val="000000" w:themeColor="text1"/>
          <w:sz w:val="21"/>
          <w:szCs w:val="21"/>
          <w:lang w:eastAsia="es-ES"/>
        </w:rPr>
        <w:t xml:space="preserve">DE PRESTACIÓN DE SERVICIO Y DE </w:t>
      </w:r>
      <w:r w:rsidRPr="003110E3">
        <w:rPr>
          <w:rFonts w:ascii="Verdana" w:eastAsia="Calibri" w:hAnsi="Verdana" w:cs="Arial"/>
          <w:i/>
          <w:iCs/>
          <w:color w:val="000000" w:themeColor="text1"/>
          <w:sz w:val="21"/>
          <w:szCs w:val="21"/>
          <w:lang w:eastAsia="es-ES"/>
        </w:rPr>
        <w:t xml:space="preserve">APOYO A LA GESTIÓN, DEBE CONSIDERAR LOS DESCUENTOS POR ESTAMPILLAS, PAGOS DE SEGURIDAD SOCIAL Y OTROS QUE SE CAUSEN EN LA ENTIDAD TERRITORIAL, Y QUE INCURRE EL CONTRATISTA, DE TAL FORMA QUE CON LAS DEDUCIONES, RECIBA EL SALARIO MINIMO LEGAL VIGENTE, GARANTIZANDO ASÍ EL MINIMO </w:t>
      </w:r>
      <w:proofErr w:type="gramStart"/>
      <w:r w:rsidRPr="003110E3">
        <w:rPr>
          <w:rFonts w:ascii="Verdana" w:eastAsia="Calibri" w:hAnsi="Verdana" w:cs="Arial"/>
          <w:i/>
          <w:iCs/>
          <w:color w:val="000000" w:themeColor="text1"/>
          <w:sz w:val="21"/>
          <w:szCs w:val="21"/>
          <w:lang w:eastAsia="es-ES"/>
        </w:rPr>
        <w:t>VITAL.?:</w:t>
      </w:r>
      <w:proofErr w:type="gramEnd"/>
      <w:r w:rsidRPr="003110E3">
        <w:rPr>
          <w:rFonts w:ascii="Verdana" w:eastAsia="Calibri" w:hAnsi="Verdana" w:cs="Arial"/>
          <w:i/>
          <w:iCs/>
          <w:color w:val="000000" w:themeColor="text1"/>
          <w:sz w:val="21"/>
          <w:szCs w:val="21"/>
          <w:lang w:eastAsia="es-ES"/>
        </w:rPr>
        <w:t>”</w:t>
      </w:r>
      <w:r w:rsidRPr="003110E3">
        <w:rPr>
          <w:rFonts w:ascii="Verdana" w:eastAsia="Calibri" w:hAnsi="Verdana" w:cs="Arial"/>
          <w:color w:val="000000" w:themeColor="text1"/>
          <w:sz w:val="21"/>
          <w:szCs w:val="21"/>
          <w:lang w:val="es-ES" w:eastAsia="es-ES"/>
        </w:rPr>
        <w:t xml:space="preserve"> [SIC]</w:t>
      </w:r>
    </w:p>
    <w:bookmarkEnd w:id="0"/>
    <w:bookmarkEnd w:id="1"/>
    <w:p w14:paraId="596C8782" w14:textId="77777777" w:rsidR="00BB4885" w:rsidRPr="002D21DB" w:rsidRDefault="00BB4885" w:rsidP="00BB4885">
      <w:pPr>
        <w:spacing w:after="0" w:line="240" w:lineRule="auto"/>
        <w:ind w:left="709" w:right="709"/>
        <w:jc w:val="both"/>
        <w:rPr>
          <w:rFonts w:ascii="Verdana" w:hAnsi="Verdana" w:cs="Arial"/>
          <w:i/>
          <w:sz w:val="20"/>
          <w:szCs w:val="20"/>
          <w:shd w:val="clear" w:color="auto" w:fill="FFFFFF"/>
          <w:lang w:val="es-ES"/>
        </w:rPr>
      </w:pPr>
    </w:p>
    <w:p w14:paraId="33977772" w14:textId="77777777" w:rsidR="00BB4885" w:rsidRPr="00E4307F" w:rsidRDefault="00BB4885" w:rsidP="00BB4885">
      <w:pPr>
        <w:spacing w:after="120" w:line="276" w:lineRule="auto"/>
        <w:ind w:firstLine="426"/>
        <w:jc w:val="both"/>
        <w:rPr>
          <w:rFonts w:ascii="Verdana" w:eastAsia="Calibri" w:hAnsi="Verdana" w:cs="Arial"/>
          <w:lang w:val="es-ES_tradnl" w:eastAsia="es-ES_tradnl"/>
        </w:rPr>
      </w:pPr>
      <w:r w:rsidRPr="00E4307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4307F">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E4307F">
        <w:rPr>
          <w:rFonts w:ascii="Verdana" w:eastAsia="Calibri" w:hAnsi="Verdana" w:cs="Arial"/>
          <w:lang w:val="es-ES_tradnl" w:eastAsia="es-ES_tradnl"/>
        </w:rPr>
        <w:tab/>
      </w:r>
    </w:p>
    <w:p w14:paraId="54CE157F" w14:textId="77777777" w:rsidR="00BB4885" w:rsidRDefault="00BB4885" w:rsidP="00BB4885">
      <w:pPr>
        <w:spacing w:after="0" w:line="276" w:lineRule="auto"/>
        <w:ind w:firstLine="426"/>
        <w:jc w:val="both"/>
        <w:rPr>
          <w:rFonts w:ascii="Verdana" w:eastAsia="Calibri" w:hAnsi="Verdana" w:cs="Arial"/>
          <w:lang w:val="es-ES" w:eastAsia="es-ES"/>
        </w:rPr>
      </w:pPr>
      <w:r w:rsidRPr="00E4307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11B951D" w14:textId="77777777" w:rsidR="00BB4885" w:rsidRPr="00E4307F" w:rsidRDefault="00BB4885" w:rsidP="00BB4885">
      <w:pPr>
        <w:spacing w:after="0" w:line="276" w:lineRule="auto"/>
        <w:ind w:firstLine="426"/>
        <w:jc w:val="both"/>
        <w:rPr>
          <w:rFonts w:ascii="Verdana" w:eastAsia="Calibri" w:hAnsi="Verdana" w:cs="Arial"/>
          <w:lang w:val="es-ES" w:eastAsia="es-ES"/>
        </w:rPr>
      </w:pPr>
    </w:p>
    <w:p w14:paraId="1A342333" w14:textId="77777777" w:rsidR="00BB4885" w:rsidRPr="00E4307F" w:rsidRDefault="00BB4885" w:rsidP="00BB488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Problema planteado:</w:t>
      </w:r>
    </w:p>
    <w:p w14:paraId="5D370EB4" w14:textId="77777777" w:rsidR="00BB4885" w:rsidRPr="00E4307F" w:rsidRDefault="00BB4885" w:rsidP="00BB4885">
      <w:pPr>
        <w:pStyle w:val="Prrafodelista"/>
        <w:tabs>
          <w:tab w:val="left" w:pos="142"/>
          <w:tab w:val="left" w:pos="284"/>
        </w:tabs>
        <w:spacing w:after="0" w:line="276" w:lineRule="auto"/>
        <w:ind w:left="0"/>
        <w:jc w:val="both"/>
        <w:rPr>
          <w:rFonts w:ascii="Verdana" w:eastAsia="Century Gothic" w:hAnsi="Verdana" w:cs="Century Gothic"/>
          <w:b/>
          <w:bCs/>
        </w:rPr>
      </w:pPr>
    </w:p>
    <w:p w14:paraId="243BF70E" w14:textId="5047C921" w:rsidR="00BB4885" w:rsidRPr="00E4307F" w:rsidRDefault="00BB4885" w:rsidP="00BB4885">
      <w:pPr>
        <w:spacing w:after="0" w:line="276" w:lineRule="auto"/>
        <w:jc w:val="both"/>
        <w:rPr>
          <w:rFonts w:ascii="Verdana" w:eastAsia="Century Gothic" w:hAnsi="Verdana" w:cs="Century Gothic"/>
        </w:rPr>
      </w:pPr>
      <w:r w:rsidRPr="00E4307F">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E4307F">
        <w:rPr>
          <w:rFonts w:ascii="Verdana" w:eastAsia="Century Gothic" w:hAnsi="Verdana" w:cs="Century Gothic"/>
        </w:rPr>
        <w:t>siguiente</w:t>
      </w:r>
      <w:r>
        <w:rPr>
          <w:rFonts w:ascii="Verdana" w:eastAsia="Century Gothic" w:hAnsi="Verdana" w:cs="Century Gothic"/>
        </w:rPr>
        <w:t>s</w:t>
      </w:r>
      <w:r w:rsidRPr="00E4307F">
        <w:rPr>
          <w:rFonts w:ascii="Verdana" w:eastAsia="Century Gothic" w:hAnsi="Verdana" w:cs="Century Gothic"/>
        </w:rPr>
        <w:t xml:space="preserve"> </w:t>
      </w:r>
      <w:r w:rsidRPr="00CE71BD">
        <w:rPr>
          <w:rFonts w:ascii="Verdana" w:eastAsia="Century Gothic" w:hAnsi="Verdana" w:cs="Century Gothic"/>
        </w:rPr>
        <w:t>interrogante</w:t>
      </w:r>
      <w:r>
        <w:rPr>
          <w:rFonts w:ascii="Verdana" w:eastAsia="Century Gothic" w:hAnsi="Verdana" w:cs="Century Gothic"/>
        </w:rPr>
        <w:t>s</w:t>
      </w:r>
      <w:r w:rsidRPr="00E4307F">
        <w:rPr>
          <w:rFonts w:ascii="Verdana" w:eastAsia="Century Gothic" w:hAnsi="Verdana" w:cs="Century Gothic"/>
        </w:rPr>
        <w:t>:</w:t>
      </w:r>
      <w:r w:rsidRPr="00CE71BD">
        <w:rPr>
          <w:rFonts w:ascii="Verdana" w:eastAsia="Century Gothic" w:hAnsi="Verdana" w:cs="Century Gothic"/>
        </w:rPr>
        <w:t xml:space="preserve"> </w:t>
      </w:r>
      <w:bookmarkStart w:id="2" w:name="_Hlk189144016"/>
      <w:r w:rsidRPr="00FA5CC2">
        <w:rPr>
          <w:rFonts w:ascii="Verdana" w:eastAsia="Century Gothic" w:hAnsi="Verdana" w:cs="Century Gothic"/>
        </w:rPr>
        <w:t>¿</w:t>
      </w:r>
      <w:r>
        <w:rPr>
          <w:rFonts w:ascii="Verdana" w:eastAsia="Century Gothic" w:hAnsi="Verdana" w:cs="Century Gothic"/>
        </w:rPr>
        <w:t>Existe</w:t>
      </w:r>
      <w:r w:rsidR="00790547">
        <w:rPr>
          <w:rFonts w:ascii="Verdana" w:eastAsia="Century Gothic" w:hAnsi="Verdana" w:cs="Century Gothic"/>
        </w:rPr>
        <w:t xml:space="preserve"> algún </w:t>
      </w:r>
      <w:r w:rsidR="0027312B">
        <w:rPr>
          <w:rFonts w:ascii="Verdana" w:eastAsia="Century Gothic" w:hAnsi="Verdana" w:cs="Century Gothic"/>
        </w:rPr>
        <w:t xml:space="preserve">parámetro </w:t>
      </w:r>
      <w:proofErr w:type="gramStart"/>
      <w:r w:rsidR="00E36DF1">
        <w:rPr>
          <w:rFonts w:ascii="Verdana" w:eastAsia="Century Gothic" w:hAnsi="Verdana" w:cs="Century Gothic"/>
        </w:rPr>
        <w:t xml:space="preserve">legal </w:t>
      </w:r>
      <w:r w:rsidRPr="00FA5CC2">
        <w:rPr>
          <w:rFonts w:ascii="Verdana" w:eastAsia="Century Gothic" w:hAnsi="Verdana" w:cs="Century Gothic"/>
        </w:rPr>
        <w:t xml:space="preserve"> para</w:t>
      </w:r>
      <w:proofErr w:type="gramEnd"/>
      <w:r w:rsidRPr="00FA5CC2">
        <w:rPr>
          <w:rFonts w:ascii="Verdana" w:eastAsia="Century Gothic" w:hAnsi="Verdana" w:cs="Century Gothic"/>
        </w:rPr>
        <w:t xml:space="preserve"> </w:t>
      </w:r>
      <w:r>
        <w:rPr>
          <w:rFonts w:ascii="Verdana" w:eastAsia="Century Gothic" w:hAnsi="Verdana" w:cs="Century Gothic"/>
        </w:rPr>
        <w:t>establecer</w:t>
      </w:r>
      <w:r w:rsidRPr="00FA5CC2">
        <w:rPr>
          <w:rFonts w:ascii="Verdana" w:eastAsia="Century Gothic" w:hAnsi="Verdana" w:cs="Century Gothic"/>
        </w:rPr>
        <w:t xml:space="preserve"> </w:t>
      </w:r>
      <w:r>
        <w:rPr>
          <w:rFonts w:ascii="Verdana" w:eastAsia="Century Gothic" w:hAnsi="Verdana" w:cs="Century Gothic"/>
        </w:rPr>
        <w:t>por parte de la entidad estatal los</w:t>
      </w:r>
      <w:r w:rsidRPr="00FA5CC2">
        <w:rPr>
          <w:rFonts w:ascii="Verdana" w:eastAsia="Century Gothic" w:hAnsi="Verdana" w:cs="Century Gothic"/>
        </w:rPr>
        <w:t xml:space="preserve"> honorarios de </w:t>
      </w:r>
      <w:r w:rsidR="00790547">
        <w:rPr>
          <w:rFonts w:ascii="Verdana" w:eastAsia="Century Gothic" w:hAnsi="Verdana" w:cs="Century Gothic"/>
        </w:rPr>
        <w:t xml:space="preserve">un </w:t>
      </w:r>
      <w:r w:rsidR="00296642">
        <w:rPr>
          <w:rFonts w:ascii="Verdana" w:eastAsia="Century Gothic" w:hAnsi="Verdana" w:cs="Century Gothic"/>
        </w:rPr>
        <w:t>profesional</w:t>
      </w:r>
      <w:r w:rsidR="00305BA6">
        <w:rPr>
          <w:rFonts w:ascii="Verdana" w:eastAsia="Century Gothic" w:hAnsi="Verdana" w:cs="Century Gothic"/>
        </w:rPr>
        <w:t xml:space="preserve"> o apoyo a la gestión que se contrate a través de contratos de </w:t>
      </w:r>
      <w:r w:rsidR="00296642">
        <w:rPr>
          <w:rFonts w:ascii="Verdana" w:eastAsia="Century Gothic" w:hAnsi="Verdana" w:cs="Century Gothic"/>
        </w:rPr>
        <w:t>prestación de servicios</w:t>
      </w:r>
      <w:r w:rsidRPr="00FA5CC2">
        <w:rPr>
          <w:rFonts w:ascii="Verdana" w:eastAsia="Century Gothic" w:hAnsi="Verdana" w:cs="Century Gothic"/>
        </w:rPr>
        <w:t>?</w:t>
      </w:r>
      <w:bookmarkEnd w:id="2"/>
      <w:r>
        <w:rPr>
          <w:rFonts w:ascii="Verdana" w:eastAsia="Century Gothic" w:hAnsi="Verdana" w:cs="Century Gothic"/>
        </w:rPr>
        <w:t xml:space="preserve"> y ¿Qué valores o </w:t>
      </w:r>
      <w:r>
        <w:rPr>
          <w:rFonts w:ascii="Verdana" w:eastAsia="Century Gothic" w:hAnsi="Verdana" w:cs="Century Gothic"/>
        </w:rPr>
        <w:lastRenderedPageBreak/>
        <w:t xml:space="preserve">tributos deben tenerse en cuenta para establecer </w:t>
      </w:r>
      <w:r w:rsidR="00296642">
        <w:rPr>
          <w:rFonts w:ascii="Verdana" w:eastAsia="Century Gothic" w:hAnsi="Verdana" w:cs="Century Gothic"/>
        </w:rPr>
        <w:t>el valor de</w:t>
      </w:r>
      <w:r>
        <w:rPr>
          <w:rFonts w:ascii="Verdana" w:eastAsia="Century Gothic" w:hAnsi="Verdana" w:cs="Century Gothic"/>
        </w:rPr>
        <w:t xml:space="preserve"> un contrato de prestación de servicios? </w:t>
      </w:r>
    </w:p>
    <w:p w14:paraId="2B81A635" w14:textId="77777777" w:rsidR="00BB4885" w:rsidRPr="00E4307F" w:rsidRDefault="00BB4885" w:rsidP="00BB4885">
      <w:pPr>
        <w:spacing w:after="0" w:line="276" w:lineRule="auto"/>
        <w:jc w:val="both"/>
        <w:rPr>
          <w:rFonts w:ascii="Verdana" w:hAnsi="Verdana"/>
        </w:rPr>
      </w:pPr>
    </w:p>
    <w:p w14:paraId="27D21C18" w14:textId="77777777" w:rsidR="00BB4885" w:rsidRPr="00E4307F" w:rsidRDefault="00BB4885" w:rsidP="00BB488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Respuesta:</w:t>
      </w:r>
    </w:p>
    <w:p w14:paraId="428C7A38" w14:textId="77777777" w:rsidR="00BB4885" w:rsidRPr="00E4307F" w:rsidRDefault="00BB4885" w:rsidP="00BB488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B4885" w:rsidRPr="00E4307F" w14:paraId="431347E1" w14:textId="77777777" w:rsidTr="001E4F93">
        <w:tc>
          <w:tcPr>
            <w:tcW w:w="8828" w:type="dxa"/>
            <w:tcBorders>
              <w:top w:val="dotted" w:sz="4" w:space="0" w:color="auto"/>
              <w:left w:val="dotted" w:sz="4" w:space="0" w:color="auto"/>
              <w:bottom w:val="dotted" w:sz="4" w:space="0" w:color="auto"/>
              <w:right w:val="dotted" w:sz="4" w:space="0" w:color="auto"/>
            </w:tcBorders>
            <w:hideMark/>
          </w:tcPr>
          <w:p w14:paraId="22398459" w14:textId="365CB6BB" w:rsidR="00BB4885" w:rsidRPr="00EB4AD5" w:rsidRDefault="00296642" w:rsidP="00EB4AD5">
            <w:pPr>
              <w:pStyle w:val="Prrafodelista"/>
              <w:numPr>
                <w:ilvl w:val="0"/>
                <w:numId w:val="18"/>
              </w:numPr>
              <w:spacing w:line="276" w:lineRule="auto"/>
              <w:jc w:val="both"/>
              <w:rPr>
                <w:rFonts w:ascii="Verdana" w:eastAsia="Calibri" w:hAnsi="Verdana" w:cs="Arial"/>
                <w:iCs/>
              </w:rPr>
            </w:pPr>
            <w:r>
              <w:rPr>
                <w:rFonts w:ascii="Verdana" w:eastAsia="Calibri" w:hAnsi="Verdana" w:cs="Arial"/>
                <w:iCs/>
              </w:rPr>
              <w:t>N</w:t>
            </w:r>
            <w:r w:rsidR="00E36DF1">
              <w:rPr>
                <w:rFonts w:ascii="Verdana" w:eastAsia="Calibri" w:hAnsi="Verdana" w:cs="Arial"/>
                <w:iCs/>
              </w:rPr>
              <w:t>o</w:t>
            </w:r>
            <w:r>
              <w:rPr>
                <w:rFonts w:ascii="Verdana" w:eastAsia="Calibri" w:hAnsi="Verdana" w:cs="Arial"/>
                <w:iCs/>
              </w:rPr>
              <w:t xml:space="preserve">. </w:t>
            </w:r>
            <w:r w:rsidR="00BB4885" w:rsidRPr="00EB4AD5">
              <w:rPr>
                <w:rFonts w:ascii="Verdana" w:eastAsia="Calibri" w:hAnsi="Verdana" w:cs="Arial"/>
                <w:iCs/>
              </w:rPr>
              <w:t xml:space="preserve">En virtud del principio de la autonomía de la voluntad, y, teniendo en cuenta que no existe en el sistema de compra pública una disposición que imponga un límite en los honorarios de los contratos de prestación de servicio profesionales y de apoyo a la gestión, las partes pueden determinar el contenido de los contratos estatales y demás disposiciones que consideren necesarias para desarrollar el objeto contractual, siempre que no sean contrarias a la Constitución, la ley y el orden público. Es así como las condiciones mínimas exigidas para suplir la necesidad de la entidad, así como los requisitos que debe acreditar el futuro contratista para el cumplimiento del objeto contractual, se constatan en los documentos precontractuales, por lo que las Entidades Estatales </w:t>
            </w:r>
            <w:r w:rsidR="00BB4885" w:rsidRPr="00EB4AD5">
              <w:rPr>
                <w:rFonts w:ascii="Verdana" w:eastAsia="Calibri" w:hAnsi="Verdana" w:cs="Arial"/>
                <w:iCs/>
                <w:u w:val="single"/>
              </w:rPr>
              <w:t>determinan el monto de los honorarios de los contratos de prestación de servicios y apoyo a la gestión de conformidad con lo establecido en el análisis del sector y en los documentos o estudios previos</w:t>
            </w:r>
            <w:r w:rsidR="00BB4885" w:rsidRPr="00EB4AD5">
              <w:rPr>
                <w:rFonts w:ascii="Verdana" w:eastAsia="Calibri" w:hAnsi="Verdana" w:cs="Arial"/>
                <w:iCs/>
              </w:rPr>
              <w:t>.</w:t>
            </w:r>
          </w:p>
          <w:p w14:paraId="1397012F" w14:textId="77777777" w:rsidR="00BB4885" w:rsidRDefault="00BB4885" w:rsidP="001E4F93">
            <w:pPr>
              <w:spacing w:line="276" w:lineRule="auto"/>
              <w:jc w:val="both"/>
              <w:rPr>
                <w:rFonts w:ascii="Verdana" w:hAnsi="Verdana"/>
              </w:rPr>
            </w:pPr>
          </w:p>
          <w:p w14:paraId="23151A0E" w14:textId="77777777" w:rsidR="00BB4885" w:rsidRDefault="00BB4885" w:rsidP="00FA4CCC">
            <w:pPr>
              <w:spacing w:line="276" w:lineRule="auto"/>
              <w:ind w:left="1024"/>
              <w:jc w:val="both"/>
              <w:rPr>
                <w:rFonts w:ascii="Verdana" w:eastAsia="Arial" w:hAnsi="Verdana" w:cs="Arial"/>
                <w:iCs/>
              </w:rPr>
            </w:pPr>
            <w:r>
              <w:rPr>
                <w:rFonts w:ascii="Verdana" w:hAnsi="Verdana"/>
              </w:rPr>
              <w:t>Así mismo</w:t>
            </w:r>
            <w:r w:rsidRPr="00FA5CC2">
              <w:rPr>
                <w:rFonts w:ascii="Verdana" w:eastAsia="Arial" w:hAnsi="Verdana" w:cs="Arial"/>
                <w:iCs/>
              </w:rPr>
              <w:t xml:space="preserve">, tampoco se encuentra disposición </w:t>
            </w:r>
            <w:r>
              <w:rPr>
                <w:rFonts w:ascii="Verdana" w:eastAsia="Arial" w:hAnsi="Verdana" w:cs="Arial"/>
                <w:iCs/>
              </w:rPr>
              <w:t xml:space="preserve">alguna </w:t>
            </w:r>
            <w:r w:rsidRPr="00FA5CC2">
              <w:rPr>
                <w:rFonts w:ascii="Verdana" w:eastAsia="Arial" w:hAnsi="Verdana" w:cs="Arial"/>
                <w:iCs/>
              </w:rPr>
              <w:t>en la</w:t>
            </w:r>
            <w:r>
              <w:rPr>
                <w:rFonts w:ascii="Verdana" w:eastAsia="Arial" w:hAnsi="Verdana" w:cs="Arial"/>
                <w:iCs/>
              </w:rPr>
              <w:t>s</w:t>
            </w:r>
            <w:r w:rsidRPr="00FA5CC2">
              <w:rPr>
                <w:rFonts w:ascii="Verdana" w:eastAsia="Arial" w:hAnsi="Verdana" w:cs="Arial"/>
                <w:iCs/>
              </w:rPr>
              <w:t xml:space="preserve"> </w:t>
            </w:r>
            <w:r>
              <w:rPr>
                <w:rFonts w:ascii="Verdana" w:eastAsia="Arial" w:hAnsi="Verdana" w:cs="Arial"/>
                <w:iCs/>
              </w:rPr>
              <w:t xml:space="preserve">normas que conforman el EGCAP, </w:t>
            </w:r>
            <w:r w:rsidRPr="00FA5CC2">
              <w:rPr>
                <w:rFonts w:ascii="Verdana" w:eastAsia="Arial" w:hAnsi="Verdana" w:cs="Arial"/>
                <w:iCs/>
              </w:rPr>
              <w:t xml:space="preserve">que disponga la obligatoriedad de </w:t>
            </w:r>
            <w:r w:rsidRPr="00FA5CC2">
              <w:rPr>
                <w:rFonts w:ascii="Verdana" w:eastAsia="Arial" w:hAnsi="Verdana" w:cs="Arial"/>
                <w:iCs/>
                <w:u w:val="single"/>
              </w:rPr>
              <w:t>implementar tablas de honorarios</w:t>
            </w:r>
            <w:r w:rsidRPr="00FA5CC2">
              <w:rPr>
                <w:rFonts w:ascii="Verdana" w:eastAsia="Arial" w:hAnsi="Verdana" w:cs="Arial"/>
                <w:iCs/>
              </w:rPr>
              <w:t xml:space="preserve"> o estandarizar perfiles para los contratos de prestación de servicios, pero esto no significa que las entidades no puedan hacerlo.</w:t>
            </w:r>
          </w:p>
          <w:p w14:paraId="7B95447A" w14:textId="77777777" w:rsidR="00BB4885" w:rsidRDefault="00BB4885" w:rsidP="001E4F93">
            <w:pPr>
              <w:spacing w:line="276" w:lineRule="auto"/>
              <w:jc w:val="both"/>
              <w:rPr>
                <w:rFonts w:ascii="Verdana" w:eastAsia="Arial" w:hAnsi="Verdana" w:cs="Arial"/>
                <w:iCs/>
              </w:rPr>
            </w:pPr>
          </w:p>
          <w:p w14:paraId="287101C5" w14:textId="77777777" w:rsidR="00BB4885" w:rsidRPr="001E2FFC" w:rsidRDefault="00BB4885" w:rsidP="00EB4AD5">
            <w:pPr>
              <w:widowControl w:val="0"/>
              <w:autoSpaceDE w:val="0"/>
              <w:autoSpaceDN w:val="0"/>
              <w:spacing w:after="120" w:line="276" w:lineRule="auto"/>
              <w:ind w:left="1024"/>
              <w:jc w:val="both"/>
              <w:rPr>
                <w:rFonts w:ascii="Verdana" w:eastAsia="Arial" w:hAnsi="Verdana" w:cs="Arial"/>
                <w:iCs/>
                <w:lang w:val="es-ES"/>
              </w:rPr>
            </w:pPr>
            <w:r w:rsidRPr="001E2FFC">
              <w:rPr>
                <w:rFonts w:ascii="Verdana" w:eastAsia="Arial" w:hAnsi="Verdana" w:cs="Arial"/>
                <w:iCs/>
                <w:lang w:val="es-ES"/>
              </w:rPr>
              <w:t xml:space="preserve">De igual forma, debe señalarse que, </w:t>
            </w:r>
            <w:r>
              <w:rPr>
                <w:rFonts w:ascii="Verdana" w:eastAsia="Arial" w:hAnsi="Verdana" w:cs="Arial"/>
                <w:iCs/>
                <w:lang w:val="es-ES"/>
              </w:rPr>
              <w:t>tampoco existe norma</w:t>
            </w:r>
            <w:r w:rsidRPr="001E2FFC">
              <w:rPr>
                <w:rFonts w:ascii="Verdana" w:eastAsia="Calibri" w:hAnsi="Verdana" w:cs="Arial"/>
                <w:bCs/>
                <w:color w:val="000000"/>
                <w:kern w:val="2"/>
                <w14:ligatures w14:val="standardContextual"/>
              </w:rPr>
              <w:t xml:space="preserve"> que prohíba pactar honorarios por un valor inferior al salario mínimo mensual vigente en el marco de un contrato de prestación de servicios profesionales y de apoyo a la gestión, como podría ocurrir en aquellos contratos cuyo objeto sea la entrega de un producto determinado. </w:t>
            </w:r>
          </w:p>
          <w:p w14:paraId="125DA960" w14:textId="77777777" w:rsidR="00BB4885" w:rsidRPr="001E2FFC" w:rsidRDefault="00BB4885" w:rsidP="009C4B0F">
            <w:pPr>
              <w:spacing w:line="276" w:lineRule="auto"/>
              <w:ind w:left="1024"/>
              <w:jc w:val="both"/>
              <w:rPr>
                <w:rFonts w:ascii="Verdana" w:eastAsia="Arial" w:hAnsi="Verdana" w:cs="Arial"/>
                <w:iCs/>
              </w:rPr>
            </w:pPr>
            <w:r w:rsidRPr="001E2FFC">
              <w:rPr>
                <w:rFonts w:ascii="Verdana" w:eastAsia="Calibri" w:hAnsi="Verdana" w:cs="Arial"/>
                <w:bCs/>
                <w:color w:val="000000"/>
                <w:kern w:val="2"/>
                <w14:ligatures w14:val="standardContextual"/>
              </w:rPr>
              <w:t xml:space="preserve">Se concluye que, conforme a lo expuesto en el presente acápite, las Entidades Estatales tienen autonomía para definir los honorarios de un contrato de prestación de servicios profesionales y de apoyo a la gestión, para lo cual deberán tener en cuenta el tipo de actividades </w:t>
            </w:r>
            <w:r w:rsidRPr="001E2FFC">
              <w:rPr>
                <w:rFonts w:ascii="Verdana" w:eastAsia="Calibri" w:hAnsi="Verdana" w:cs="Arial"/>
                <w:bCs/>
                <w:color w:val="000000"/>
                <w:kern w:val="2"/>
                <w14:ligatures w14:val="standardContextual"/>
              </w:rPr>
              <w:lastRenderedPageBreak/>
              <w:t xml:space="preserve">a ejecutar, el tiempo que se destinara a su desarrollo, el perfil requerido </w:t>
            </w:r>
            <w:r w:rsidRPr="001E2FFC">
              <w:rPr>
                <w:rFonts w:ascii="Verdana" w:eastAsia="Arial" w:hAnsi="Verdana" w:cs="Arial"/>
                <w:iCs/>
                <w:lang w:val="es-ES"/>
              </w:rPr>
              <w:t>al contratista, dentro de este aspecto se destaca el conocimiento que tenga de una determinada materia de acuerdo con sus estudios y la experiencia que acredite, las obligaciones asignadas para satisfacer la necesidad de la Entidad Estatal,</w:t>
            </w:r>
            <w:r w:rsidRPr="001E2FFC">
              <w:rPr>
                <w:rFonts w:ascii="Verdana" w:eastAsia="Calibri" w:hAnsi="Verdana" w:cs="Arial"/>
                <w:bCs/>
                <w:color w:val="000000"/>
                <w:kern w:val="2"/>
                <w14:ligatures w14:val="standardContextual"/>
              </w:rPr>
              <w:t xml:space="preserve"> entre otros aspectos, que deberán consignarse en el estudio de sector.</w:t>
            </w:r>
          </w:p>
          <w:p w14:paraId="2E37944E" w14:textId="77777777" w:rsidR="00BB4885" w:rsidRDefault="00BB4885" w:rsidP="001E4F93">
            <w:pPr>
              <w:spacing w:line="276" w:lineRule="auto"/>
              <w:jc w:val="both"/>
              <w:rPr>
                <w:rFonts w:ascii="Verdana" w:eastAsia="Arial" w:hAnsi="Verdana"/>
              </w:rPr>
            </w:pPr>
          </w:p>
          <w:p w14:paraId="2541324E" w14:textId="11ADE9D9" w:rsidR="00BB4885" w:rsidRPr="00924241" w:rsidRDefault="00497D79" w:rsidP="00EB4AD5">
            <w:pPr>
              <w:spacing w:line="276" w:lineRule="auto"/>
              <w:ind w:left="1024"/>
              <w:jc w:val="both"/>
              <w:rPr>
                <w:rFonts w:ascii="Verdana" w:hAnsi="Verdana"/>
              </w:rPr>
            </w:pPr>
            <w:proofErr w:type="spellStart"/>
            <w:r>
              <w:rPr>
                <w:rFonts w:ascii="Verdana" w:eastAsia="Calibri" w:hAnsi="Verdana" w:cs="Arial"/>
                <w:bCs/>
                <w:color w:val="000000"/>
                <w:kern w:val="2"/>
                <w:lang w:val="es-ES"/>
                <w14:ligatures w14:val="standardContextual"/>
              </w:rPr>
              <w:t>ii</w:t>
            </w:r>
            <w:proofErr w:type="spellEnd"/>
            <w:r>
              <w:rPr>
                <w:rFonts w:ascii="Verdana" w:eastAsia="Calibri" w:hAnsi="Verdana" w:cs="Arial"/>
                <w:bCs/>
                <w:color w:val="000000"/>
                <w:kern w:val="2"/>
                <w:lang w:val="es-ES"/>
                <w14:ligatures w14:val="standardContextual"/>
              </w:rPr>
              <w:t xml:space="preserve">) </w:t>
            </w:r>
            <w:r w:rsidR="00BB4885" w:rsidRPr="00A43145">
              <w:rPr>
                <w:rFonts w:ascii="Verdana" w:eastAsia="Calibri" w:hAnsi="Verdana" w:cs="Arial"/>
                <w:bCs/>
                <w:color w:val="000000"/>
                <w:kern w:val="2"/>
                <w:lang w:val="es-ES"/>
                <w14:ligatures w14:val="standardContextual"/>
              </w:rPr>
              <w:t xml:space="preserve"> </w:t>
            </w:r>
            <w:r>
              <w:rPr>
                <w:rFonts w:ascii="Verdana" w:eastAsia="Calibri" w:hAnsi="Verdana" w:cs="Arial"/>
                <w:bCs/>
                <w:color w:val="000000"/>
                <w:kern w:val="2"/>
                <w:lang w:val="es-ES"/>
                <w14:ligatures w14:val="standardContextual"/>
              </w:rPr>
              <w:t>L</w:t>
            </w:r>
            <w:r w:rsidR="00BB4885" w:rsidRPr="00A43145">
              <w:rPr>
                <w:rFonts w:ascii="Verdana" w:eastAsia="Calibri" w:hAnsi="Verdana" w:cs="Arial"/>
                <w:bCs/>
                <w:color w:val="000000"/>
                <w:kern w:val="2"/>
                <w:lang w:val="es-ES"/>
                <w14:ligatures w14:val="standardContextual"/>
              </w:rPr>
              <w:t>a fijación de honorarios o valor del contrato se incluyen impuestos, desplazamientos y otros costos que se generen para el contratista con ocasión de la ejecución del contrato. Esto en razón a que, la ejecución de un contrato de prestación de servicios puede involucrar múltiples tributos o gastos, para las partes del contrato, siempre que las actividades derivadas de su ejecución o dependiendo del régimen tributario del contratista, en todo caso cada entidad deberá analizar y determinar las condiciones a estipular en el contrato para su debida ejecución contractual, lo anterior, bajo la facultad discrecional de la cual gozan las Entidades Estatales.</w:t>
            </w:r>
          </w:p>
          <w:p w14:paraId="51339621" w14:textId="77777777" w:rsidR="00BB4885" w:rsidRPr="00131D4F" w:rsidRDefault="00BB4885" w:rsidP="001E4F93">
            <w:pPr>
              <w:pStyle w:val="Prrafodelista"/>
              <w:spacing w:line="276" w:lineRule="auto"/>
              <w:ind w:left="0"/>
              <w:jc w:val="both"/>
              <w:rPr>
                <w:rFonts w:ascii="Verdana" w:hAnsi="Verdana"/>
              </w:rPr>
            </w:pPr>
          </w:p>
        </w:tc>
      </w:tr>
    </w:tbl>
    <w:p w14:paraId="2B372778" w14:textId="5AD3D6AB" w:rsidR="00EB4AD5" w:rsidRDefault="00EB4AD5" w:rsidP="00EB4AD5">
      <w:pPr>
        <w:pStyle w:val="Prrafodelista"/>
        <w:tabs>
          <w:tab w:val="left" w:pos="142"/>
          <w:tab w:val="left" w:pos="284"/>
        </w:tabs>
        <w:spacing w:after="0" w:line="360" w:lineRule="auto"/>
        <w:ind w:left="0"/>
        <w:jc w:val="both"/>
        <w:rPr>
          <w:rFonts w:ascii="Verdana" w:eastAsia="Century Gothic" w:hAnsi="Verdana" w:cs="Century Gothic"/>
          <w:b/>
          <w:bCs/>
        </w:rPr>
      </w:pPr>
    </w:p>
    <w:p w14:paraId="7DF2012E" w14:textId="77777777" w:rsidR="00BB4885" w:rsidRPr="00E4307F" w:rsidRDefault="00BB4885" w:rsidP="00BB4885">
      <w:pPr>
        <w:pStyle w:val="Prrafodelista"/>
        <w:numPr>
          <w:ilvl w:val="0"/>
          <w:numId w:val="16"/>
        </w:numPr>
        <w:tabs>
          <w:tab w:val="left" w:pos="142"/>
          <w:tab w:val="left" w:pos="284"/>
        </w:tabs>
        <w:spacing w:after="0" w:line="360" w:lineRule="auto"/>
        <w:ind w:left="0" w:firstLine="0"/>
        <w:jc w:val="both"/>
        <w:rPr>
          <w:rFonts w:ascii="Verdana" w:eastAsia="Century Gothic" w:hAnsi="Verdana" w:cs="Century Gothic"/>
          <w:b/>
          <w:bCs/>
        </w:rPr>
      </w:pPr>
      <w:r w:rsidRPr="00E4307F">
        <w:rPr>
          <w:rFonts w:ascii="Verdana" w:eastAsia="Century Gothic" w:hAnsi="Verdana" w:cs="Century Gothic"/>
          <w:b/>
          <w:bCs/>
        </w:rPr>
        <w:t>Razones de la respuesta:</w:t>
      </w:r>
    </w:p>
    <w:p w14:paraId="482432B4" w14:textId="77777777" w:rsidR="00BB4885" w:rsidRDefault="00BB4885" w:rsidP="00BB4885">
      <w:pPr>
        <w:spacing w:after="0" w:line="360" w:lineRule="auto"/>
        <w:jc w:val="both"/>
        <w:rPr>
          <w:rFonts w:ascii="Verdana" w:eastAsia="Calibri" w:hAnsi="Verdana" w:cs="Arial"/>
          <w:lang w:val="es-ES"/>
        </w:rPr>
      </w:pPr>
      <w:r w:rsidRPr="00E4307F">
        <w:rPr>
          <w:rFonts w:ascii="Verdana" w:eastAsia="Calibri" w:hAnsi="Verdana" w:cs="Arial"/>
          <w:lang w:val="es-ES"/>
        </w:rPr>
        <w:t xml:space="preserve">Lo anterior se sustenta en las siguientes consideraciones: </w:t>
      </w:r>
    </w:p>
    <w:p w14:paraId="2FB9F9EF" w14:textId="77777777" w:rsidR="00BB4885" w:rsidRPr="001532C8" w:rsidRDefault="00BB4885" w:rsidP="00BB4885">
      <w:pPr>
        <w:spacing w:after="0" w:line="276" w:lineRule="auto"/>
        <w:jc w:val="both"/>
        <w:rPr>
          <w:rFonts w:ascii="Verdana" w:eastAsia="Calibri" w:hAnsi="Verdana" w:cs="Arial"/>
          <w:color w:val="7030A0"/>
          <w:lang w:val="es-ES"/>
        </w:rPr>
      </w:pPr>
    </w:p>
    <w:p w14:paraId="0CB617CD" w14:textId="77777777" w:rsidR="00BB4885" w:rsidRPr="001532C8" w:rsidRDefault="00BB4885" w:rsidP="00BB4885">
      <w:pPr>
        <w:spacing w:after="0" w:line="276" w:lineRule="auto"/>
        <w:jc w:val="both"/>
        <w:rPr>
          <w:rFonts w:ascii="Verdana" w:eastAsia="Calibri" w:hAnsi="Verdana" w:cs="Arial"/>
          <w:lang w:val="es-ES_tradnl" w:eastAsia="es-ES_tradnl"/>
        </w:rPr>
      </w:pPr>
      <w:r>
        <w:rPr>
          <w:rFonts w:ascii="Verdana" w:eastAsia="Calibri" w:hAnsi="Verdana" w:cs="Arial"/>
          <w:lang w:val="es-ES_tradnl" w:eastAsia="es-ES_tradnl"/>
        </w:rPr>
        <w:t>Inicialmente es menester definir que, el</w:t>
      </w:r>
      <w:r w:rsidRPr="001532C8">
        <w:rPr>
          <w:rFonts w:ascii="Verdana" w:eastAsia="Calibri" w:hAnsi="Verdana" w:cs="Arial"/>
          <w:lang w:val="es-ES_tradnl" w:eastAsia="es-ES_tradnl"/>
        </w:rPr>
        <w:t xml:space="preserve">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40BBBC02" w14:textId="77777777" w:rsidR="00BB4885" w:rsidRPr="001532C8" w:rsidRDefault="00BB4885" w:rsidP="00BB4885">
      <w:pPr>
        <w:spacing w:after="0" w:line="276" w:lineRule="auto"/>
        <w:jc w:val="both"/>
        <w:rPr>
          <w:rFonts w:ascii="Verdana" w:eastAsia="Calibri" w:hAnsi="Verdana" w:cs="Arial"/>
          <w:lang w:val="es-ES_tradnl" w:eastAsia="es-ES_tradnl"/>
        </w:rPr>
      </w:pPr>
    </w:p>
    <w:p w14:paraId="7D287CD4"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549C4A2"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4A0938D1"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En ningún caso estos contratos generan relación laboral ni prestaciones sociales y se celebrarán por el término estrictamente indispensable</w:t>
      </w: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w:t>
      </w:r>
    </w:p>
    <w:p w14:paraId="5ED58C15" w14:textId="77777777" w:rsidR="00BB4885" w:rsidRPr="001532C8" w:rsidRDefault="00BB4885" w:rsidP="00BB4885">
      <w:pPr>
        <w:tabs>
          <w:tab w:val="left" w:pos="284"/>
        </w:tabs>
        <w:spacing w:after="0" w:line="276" w:lineRule="auto"/>
        <w:jc w:val="both"/>
        <w:rPr>
          <w:rFonts w:ascii="Verdana" w:eastAsia="Calibri" w:hAnsi="Verdana" w:cs="Arial"/>
          <w:b/>
          <w:lang w:val="es-ES_tradnl" w:eastAsia="es-ES_tradnl"/>
        </w:rPr>
      </w:pPr>
    </w:p>
    <w:p w14:paraId="416BD985" w14:textId="77777777" w:rsidR="00BB4885" w:rsidRPr="001532C8" w:rsidRDefault="00BB4885" w:rsidP="00BB4885">
      <w:pPr>
        <w:spacing w:after="0" w:line="276" w:lineRule="auto"/>
        <w:ind w:firstLine="709"/>
        <w:jc w:val="both"/>
        <w:rPr>
          <w:rFonts w:ascii="Verdana" w:eastAsia="Calibri" w:hAnsi="Verdana" w:cs="Arial"/>
          <w:lang w:val="es-ES" w:eastAsia="es-ES"/>
        </w:rPr>
      </w:pPr>
      <w:r w:rsidRPr="1D1EDF85">
        <w:rPr>
          <w:rFonts w:ascii="Verdana" w:eastAsia="Calibri" w:hAnsi="Verdana" w:cs="Arial"/>
          <w:lang w:val="es-ES" w:eastAsia="es-ES"/>
        </w:rPr>
        <w:lastRenderedPageBreak/>
        <w:t>De otro lado, la celebración de dicho contrato se debe efectuar a través de la modalidad de la contratación directa. Así lo prevé el artículo 2, numeral 4º, literal h), de la Ley 1150 de 2007, que dispone:</w:t>
      </w:r>
    </w:p>
    <w:p w14:paraId="61849FA0"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37ECB4F0"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w:t>
      </w:r>
    </w:p>
    <w:p w14:paraId="0EE61FAD"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2D59E413"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Contratación directa. La modalidad de selección de contratación directa solamente procederá en los siguientes casos:</w:t>
      </w:r>
    </w:p>
    <w:p w14:paraId="6C8F7787"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56E972F3"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w:t>
      </w:r>
    </w:p>
    <w:p w14:paraId="54EBA653"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6F589405"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h) Para la prestación de servicios profesionales y de apoyo a la gestión, o para la ejecución de trabajos artísticos que sólo puedan encomendarse a determinadas personas naturales;</w:t>
      </w:r>
    </w:p>
    <w:p w14:paraId="343363CD"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32887D2D"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w:t>
      </w:r>
      <w:r>
        <w:rPr>
          <w:rFonts w:ascii="Verdana" w:eastAsia="Times New Roman" w:hAnsi="Verdana" w:cs="Arial"/>
          <w:sz w:val="21"/>
          <w:szCs w:val="21"/>
          <w:lang w:eastAsia="es-ES_tradnl"/>
        </w:rPr>
        <w:t>”</w:t>
      </w:r>
      <w:r w:rsidRPr="001532C8">
        <w:rPr>
          <w:rFonts w:ascii="Verdana" w:eastAsia="Times New Roman" w:hAnsi="Verdana" w:cs="Arial"/>
          <w:sz w:val="21"/>
          <w:szCs w:val="21"/>
          <w:lang w:eastAsia="es-ES_tradnl"/>
        </w:rPr>
        <w:t xml:space="preserve">. </w:t>
      </w:r>
    </w:p>
    <w:p w14:paraId="3936E8B0" w14:textId="77777777" w:rsidR="00BB4885" w:rsidRPr="001532C8" w:rsidRDefault="00BB4885" w:rsidP="00BB4885">
      <w:pPr>
        <w:spacing w:after="0" w:line="276" w:lineRule="auto"/>
        <w:ind w:right="709"/>
        <w:jc w:val="both"/>
        <w:rPr>
          <w:rFonts w:ascii="Verdana" w:eastAsia="Calibri" w:hAnsi="Verdana" w:cs="Arial"/>
          <w:lang w:val="es-ES_tradnl" w:eastAsia="es-ES_tradnl"/>
        </w:rPr>
      </w:pPr>
    </w:p>
    <w:p w14:paraId="0A896A67" w14:textId="77777777" w:rsidR="00BB4885" w:rsidRPr="001532C8" w:rsidRDefault="00BB4885" w:rsidP="00BB4885">
      <w:pPr>
        <w:spacing w:after="12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4C3A950" w14:textId="77777777" w:rsidR="00BB4885" w:rsidRPr="001532C8" w:rsidRDefault="00BB4885" w:rsidP="00BB4885">
      <w:pPr>
        <w:spacing w:after="12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t xml:space="preserve">i) Solo puede celebrarse para realizar </w:t>
      </w:r>
      <w:r>
        <w:rPr>
          <w:rFonts w:ascii="Verdana" w:eastAsia="Calibri" w:hAnsi="Verdana" w:cs="Arial"/>
          <w:lang w:val="es-ES_tradnl" w:eastAsia="es-ES_tradnl"/>
        </w:rPr>
        <w:t>“</w:t>
      </w:r>
      <w:r w:rsidRPr="001532C8">
        <w:rPr>
          <w:rFonts w:ascii="Verdana" w:eastAsia="Calibri" w:hAnsi="Verdana" w:cs="Arial"/>
          <w:lang w:val="es-ES_tradnl" w:eastAsia="es-ES_tradnl"/>
        </w:rPr>
        <w:t>actividades relacionadas con la administración o funcionamiento de la entidad</w:t>
      </w:r>
      <w:r>
        <w:rPr>
          <w:rFonts w:ascii="Verdana" w:eastAsia="Calibri" w:hAnsi="Verdana" w:cs="Arial"/>
          <w:lang w:val="es-ES_tradnl" w:eastAsia="es-ES_tradnl"/>
        </w:rPr>
        <w:t>”</w:t>
      </w:r>
      <w:r w:rsidRPr="001532C8">
        <w:rPr>
          <w:rFonts w:ascii="Verdana" w:eastAsia="Calibri" w:hAnsi="Verdana" w:cs="Arial"/>
          <w:lang w:val="es-ES_tradnl" w:eastAsia="es-ES_tradnl"/>
        </w:rPr>
        <w:t>, es decir, que hagan parte de su giro ordinario o quehacer cotidiano.</w:t>
      </w:r>
    </w:p>
    <w:p w14:paraId="71434F3B" w14:textId="77777777" w:rsidR="00BB4885" w:rsidRPr="001532C8" w:rsidRDefault="00BB4885" w:rsidP="00BB4885">
      <w:pPr>
        <w:spacing w:after="12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t>ii</w:t>
      </w:r>
      <w:proofErr w:type="spellEnd"/>
      <w:r w:rsidRPr="7E0867B5">
        <w:rPr>
          <w:rFonts w:ascii="Verdana" w:eastAsia="Calibri" w:hAnsi="Verdana" w:cs="Arial"/>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7E0867B5">
        <w:rPr>
          <w:rFonts w:ascii="Verdana" w:eastAsia="Calibri" w:hAnsi="Verdana" w:cs="Arial"/>
          <w:vertAlign w:val="superscript"/>
          <w:lang w:val="es-ES" w:eastAsia="es-ES"/>
        </w:rPr>
        <w:footnoteReference w:id="2"/>
      </w:r>
      <w:r w:rsidRPr="7E0867B5">
        <w:rPr>
          <w:rFonts w:ascii="Verdana" w:eastAsia="Calibri" w:hAnsi="Verdana" w:cs="Arial"/>
          <w:lang w:val="es-ES" w:eastAsia="es-ES"/>
        </w:rPr>
        <w:t xml:space="preserve"> Esto puede suceder en varios eventos, como, por ejemplo, que, efectivamente, no exista el personal de planta para encargarse de dichas labores; que exista, pero que está sobrecargado de trabajo, requiriéndose, por tanto, un apoyo </w:t>
      </w:r>
      <w:r w:rsidRPr="7E0867B5">
        <w:rPr>
          <w:rFonts w:ascii="Verdana" w:eastAsia="Calibri" w:hAnsi="Verdana" w:cs="Arial"/>
          <w:lang w:val="es-ES" w:eastAsia="es-ES"/>
        </w:rPr>
        <w:lastRenderedPageBreak/>
        <w:t>externo; o que haya personal de planta, pero no tenga la experticia o conocimiento especializado en la materia, y que, por esta razón, sea necesario contratar los servicios de una persona natural que posea conocimiento y experiencia en el tema.</w:t>
      </w:r>
    </w:p>
    <w:p w14:paraId="3E437D39" w14:textId="77777777" w:rsidR="00BB4885" w:rsidRPr="001532C8" w:rsidRDefault="00BB4885" w:rsidP="00BB4885">
      <w:pPr>
        <w:spacing w:after="12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t>iii</w:t>
      </w:r>
      <w:proofErr w:type="spellEnd"/>
      <w:r w:rsidRPr="7E0867B5">
        <w:rPr>
          <w:rFonts w:ascii="Verdana" w:eastAsia="Calibri" w:hAnsi="Verdana" w:cs="Arial"/>
          <w:lang w:val="es-ES" w:eastAsia="es-ES"/>
        </w:rPr>
        <w:t>) Si bien se celebran para obtener la prestación personal de un servicio, se diferencian del contrato de trabajo</w:t>
      </w:r>
      <w:r w:rsidRPr="7E0867B5">
        <w:rPr>
          <w:rFonts w:ascii="Verdana" w:eastAsia="Calibri" w:hAnsi="Verdana" w:cs="Arial"/>
          <w:vertAlign w:val="superscript"/>
          <w:lang w:val="es-ES" w:eastAsia="es-ES"/>
        </w:rPr>
        <w:footnoteReference w:id="3"/>
      </w:r>
      <w:r w:rsidRPr="7E0867B5">
        <w:rPr>
          <w:rFonts w:ascii="Verdana" w:eastAsia="Calibri" w:hAnsi="Verdana" w:cs="Arial"/>
          <w:lang w:val="es-ES" w:eastAsia="es-ES"/>
        </w:rPr>
        <w:t xml:space="preserve"> en que quien celebra el contrato de prestación de servicios debe mantener autonomía e independencia en la ejecución de la labor, lo que significa que no puede existir la </w:t>
      </w:r>
      <w:r w:rsidRPr="7E0867B5">
        <w:rPr>
          <w:rFonts w:ascii="Verdana" w:eastAsia="Calibri" w:hAnsi="Verdana" w:cs="Arial"/>
          <w:i/>
          <w:lang w:val="es-ES" w:eastAsia="es-ES"/>
        </w:rPr>
        <w:t>subordinación y dependencia</w:t>
      </w:r>
      <w:r w:rsidRPr="7E0867B5">
        <w:rPr>
          <w:rFonts w:ascii="Verdana" w:eastAsia="Calibri" w:hAnsi="Verdana" w:cs="Arial"/>
          <w:lang w:val="es-ES" w:eastAsia="es-ES"/>
        </w:rPr>
        <w:t xml:space="preserve">, que es uno de los elementos constitutivos del vínculo laboral. Por ello, el numeral 3º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7E0867B5">
        <w:rPr>
          <w:rFonts w:ascii="Verdana" w:eastAsia="Calibri" w:hAnsi="Verdana" w:cs="Arial"/>
          <w:i/>
          <w:lang w:val="es-ES" w:eastAsia="es-ES"/>
        </w:rPr>
        <w:t>no pueden</w:t>
      </w:r>
      <w:r w:rsidRPr="7E0867B5">
        <w:rPr>
          <w:rFonts w:ascii="Verdana" w:eastAsia="Calibri" w:hAnsi="Verdana" w:cs="Arial"/>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7E0867B5">
        <w:rPr>
          <w:rFonts w:ascii="Verdana" w:eastAsia="Calibri" w:hAnsi="Verdana" w:cs="Arial"/>
          <w:i/>
          <w:lang w:val="es-ES" w:eastAsia="es-ES"/>
        </w:rPr>
        <w:t>contrato realidad</w:t>
      </w:r>
      <w:r w:rsidRPr="7E0867B5">
        <w:rPr>
          <w:rFonts w:ascii="Verdana" w:eastAsia="Calibri" w:hAnsi="Verdana" w:cs="Arial"/>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7E0867B5">
        <w:rPr>
          <w:rFonts w:ascii="Verdana" w:eastAsia="Calibri" w:hAnsi="Verdana" w:cs="Arial"/>
          <w:vertAlign w:val="superscript"/>
          <w:lang w:val="es-ES" w:eastAsia="es-ES"/>
        </w:rPr>
        <w:footnoteReference w:id="4"/>
      </w:r>
      <w:r w:rsidRPr="7E0867B5">
        <w:rPr>
          <w:rFonts w:ascii="Verdana" w:eastAsia="Calibri" w:hAnsi="Verdana" w:cs="Arial"/>
          <w:lang w:val="es-ES" w:eastAsia="es-ES"/>
        </w:rPr>
        <w:t>.</w:t>
      </w:r>
    </w:p>
    <w:p w14:paraId="3E27D809" w14:textId="77777777" w:rsidR="00BB4885" w:rsidRPr="001532C8" w:rsidRDefault="00BB4885" w:rsidP="00BB4885">
      <w:pPr>
        <w:spacing w:after="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lastRenderedPageBreak/>
        <w:t>iv</w:t>
      </w:r>
      <w:proofErr w:type="spellEnd"/>
      <w:r w:rsidRPr="7E0867B5">
        <w:rPr>
          <w:rFonts w:ascii="Verdana" w:eastAsia="Calibri" w:hAnsi="Verdana" w:cs="Arial"/>
          <w:lang w:val="es-ES" w:eastAsia="es-ES"/>
        </w:rPr>
        <w:t>) Deben ser temporales. Así lo señaló la Corte Constitucional en la misma providencia a la que se aludió previamente, expresando que:</w:t>
      </w:r>
    </w:p>
    <w:p w14:paraId="1997B36E"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6BCB347C"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Verdana" w:eastAsia="Times New Roman" w:hAnsi="Verdana" w:cs="Arial"/>
          <w:sz w:val="21"/>
          <w:szCs w:val="21"/>
          <w:lang w:eastAsia="es-ES_tradnl"/>
        </w:rPr>
        <w:t>”</w:t>
      </w:r>
      <w:r w:rsidRPr="001532C8">
        <w:rPr>
          <w:rFonts w:ascii="Verdana" w:eastAsia="Calibri" w:hAnsi="Verdana" w:cs="Arial"/>
          <w:sz w:val="21"/>
          <w:szCs w:val="21"/>
          <w:vertAlign w:val="superscript"/>
          <w:lang w:val="es-ES_tradnl" w:eastAsia="es-ES_tradnl"/>
        </w:rPr>
        <w:footnoteReference w:id="5"/>
      </w:r>
      <w:r w:rsidRPr="001532C8">
        <w:rPr>
          <w:rFonts w:ascii="Verdana" w:eastAsia="Calibri" w:hAnsi="Verdana" w:cs="Arial"/>
          <w:sz w:val="21"/>
          <w:szCs w:val="21"/>
          <w:lang w:val="es-ES_tradnl" w:eastAsia="es-ES_tradnl"/>
        </w:rPr>
        <w:t>.</w:t>
      </w:r>
    </w:p>
    <w:p w14:paraId="6DA97BB8"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19FC39A8" w14:textId="77777777" w:rsidR="00BB4885" w:rsidRPr="001532C8" w:rsidRDefault="00BB4885" w:rsidP="00BB4885">
      <w:pPr>
        <w:spacing w:after="0" w:line="276" w:lineRule="auto"/>
        <w:ind w:firstLine="709"/>
        <w:jc w:val="both"/>
        <w:rPr>
          <w:rFonts w:ascii="Verdana" w:eastAsia="Calibri" w:hAnsi="Verdana" w:cs="Arial"/>
          <w:lang w:val="es-ES" w:eastAsia="es-ES"/>
        </w:rPr>
      </w:pPr>
      <w:r w:rsidRPr="7E0867B5">
        <w:rPr>
          <w:rFonts w:ascii="Verdana" w:eastAsia="Calibri" w:hAnsi="Verdana" w:cs="Arial"/>
          <w:lang w:val="es-ES" w:eastAsia="es-ES"/>
        </w:rPr>
        <w:t xml:space="preserve">v) Los contratos de prestación de servicios constituyen un </w:t>
      </w:r>
      <w:r w:rsidRPr="7E0867B5">
        <w:rPr>
          <w:rFonts w:ascii="Verdana" w:eastAsia="Calibri" w:hAnsi="Verdana" w:cs="Arial"/>
          <w:i/>
          <w:lang w:val="es-ES" w:eastAsia="es-ES"/>
        </w:rPr>
        <w:t>género</w:t>
      </w:r>
      <w:r w:rsidRPr="7E0867B5">
        <w:rPr>
          <w:rFonts w:ascii="Verdana" w:eastAsia="Calibri" w:hAnsi="Verdana" w:cs="Arial"/>
          <w:lang w:val="es-ES" w:eastAsia="es-ES"/>
        </w:rPr>
        <w:t xml:space="preserve"> que incluye, como </w:t>
      </w:r>
      <w:r w:rsidRPr="7E0867B5">
        <w:rPr>
          <w:rFonts w:ascii="Verdana" w:eastAsia="Calibri" w:hAnsi="Verdana" w:cs="Arial"/>
          <w:i/>
          <w:lang w:val="es-ES" w:eastAsia="es-ES"/>
        </w:rPr>
        <w:t>especies</w:t>
      </w:r>
      <w:r w:rsidRPr="7E0867B5">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7E0867B5">
        <w:rPr>
          <w:rFonts w:ascii="Verdana" w:eastAsia="Calibri" w:hAnsi="Verdana" w:cs="Arial"/>
          <w:vertAlign w:val="superscript"/>
          <w:lang w:val="es-ES" w:eastAsia="es-ES"/>
        </w:rPr>
        <w:footnoteReference w:id="6"/>
      </w:r>
      <w:r w:rsidRPr="7E0867B5">
        <w:rPr>
          <w:rFonts w:ascii="Verdana" w:eastAsia="Calibri" w:hAnsi="Verdana" w:cs="Arial"/>
          <w:lang w:val="es-ES" w:eastAsia="es-ES"/>
        </w:rPr>
        <w:t xml:space="preserve">. La diferencia entre el contrato de prestación de servicios </w:t>
      </w:r>
      <w:r w:rsidRPr="7E0867B5">
        <w:rPr>
          <w:rFonts w:ascii="Verdana" w:eastAsia="Calibri" w:hAnsi="Verdana" w:cs="Arial"/>
          <w:i/>
          <w:lang w:val="es-ES" w:eastAsia="es-ES"/>
        </w:rPr>
        <w:t>profesionales</w:t>
      </w:r>
      <w:r w:rsidRPr="7E0867B5">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7C3CA696"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3DCFD06A" w14:textId="77777777" w:rsidR="00BB4885" w:rsidRPr="001532C8" w:rsidRDefault="00BB4885" w:rsidP="00BB4885">
      <w:pPr>
        <w:spacing w:after="0" w:line="240" w:lineRule="auto"/>
        <w:ind w:left="709" w:right="709"/>
        <w:jc w:val="both"/>
        <w:rPr>
          <w:rFonts w:ascii="Verdana" w:eastAsia="Calibri" w:hAnsi="Verdana" w:cs="Arial"/>
          <w:sz w:val="21"/>
          <w:szCs w:val="21"/>
          <w:lang w:val="es-ES"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 w:eastAsia="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w:t>
      </w:r>
      <w:r w:rsidRPr="001532C8">
        <w:rPr>
          <w:rFonts w:ascii="Verdana" w:eastAsia="Calibri" w:hAnsi="Verdana" w:cs="Arial"/>
          <w:sz w:val="21"/>
          <w:szCs w:val="21"/>
          <w:lang w:val="es-ES" w:eastAsia="es-ES_tradnl"/>
        </w:rPr>
        <w:lastRenderedPageBreak/>
        <w:t>apoyándolas o soportándolas, con conocimientos especializados siempre y cuando dichos objetos estén encomendados a personas consideradas legalmente como profesionales. Se caracteriza por demandar un conocimiento intelectivo cualificado: el saber profesional</w:t>
      </w:r>
      <w:r>
        <w:rPr>
          <w:rFonts w:ascii="Verdana" w:eastAsia="Times New Roman" w:hAnsi="Verdana" w:cs="Arial"/>
          <w:sz w:val="21"/>
          <w:szCs w:val="21"/>
          <w:lang w:eastAsia="es-ES_tradnl"/>
        </w:rPr>
        <w:t>”</w:t>
      </w:r>
      <w:r w:rsidRPr="001532C8">
        <w:rPr>
          <w:rFonts w:ascii="Verdana" w:eastAsia="Calibri" w:hAnsi="Verdana" w:cs="Arial"/>
          <w:sz w:val="21"/>
          <w:szCs w:val="21"/>
          <w:vertAlign w:val="superscript"/>
          <w:lang w:val="es-ES" w:eastAsia="es-ES_tradnl"/>
        </w:rPr>
        <w:footnoteReference w:id="7"/>
      </w:r>
    </w:p>
    <w:p w14:paraId="687B392A"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5A4CE51C"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t>Objeto que, según la sentencia que se cita, se diferencia del objeto del contrato de prestación de servicios de apoyo a la gestión, porque en este:</w:t>
      </w:r>
    </w:p>
    <w:p w14:paraId="52FE4FBE"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01460D6F"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77E13E4"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3ACE175A" w14:textId="77777777" w:rsidR="00BB4885" w:rsidRPr="001532C8" w:rsidRDefault="00BB4885" w:rsidP="00BB4885">
      <w:pPr>
        <w:spacing w:after="0" w:line="240" w:lineRule="auto"/>
        <w:ind w:left="709" w:right="709"/>
        <w:jc w:val="both"/>
        <w:rPr>
          <w:rFonts w:ascii="Verdana" w:eastAsia="Calibri" w:hAnsi="Verdana" w:cs="Arial"/>
          <w:sz w:val="21"/>
          <w:szCs w:val="21"/>
          <w:lang w:val="es-ES" w:eastAsia="es-ES"/>
        </w:rPr>
      </w:pPr>
      <w:r w:rsidRPr="7E0867B5">
        <w:rPr>
          <w:rFonts w:ascii="Verdana" w:eastAsia="Calibri" w:hAnsi="Verdana" w:cs="Arial"/>
          <w:sz w:val="21"/>
          <w:szCs w:val="21"/>
          <w:lang w:val="es-ES" w:eastAsia="es-ES"/>
        </w:rPr>
        <w:t xml:space="preserve">Aunque también se caracteriza por el desempeño de actividad intelectiva, ésta </w:t>
      </w:r>
      <w:proofErr w:type="gramStart"/>
      <w:r w:rsidRPr="7E0867B5">
        <w:rPr>
          <w:rFonts w:ascii="Verdana" w:eastAsia="Calibri" w:hAnsi="Verdana" w:cs="Arial"/>
          <w:sz w:val="21"/>
          <w:szCs w:val="21"/>
          <w:lang w:val="es-ES" w:eastAsia="es-ES"/>
        </w:rPr>
        <w:t>se enmarca dentro de</w:t>
      </w:r>
      <w:proofErr w:type="gramEnd"/>
      <w:r w:rsidRPr="7E0867B5">
        <w:rPr>
          <w:rFonts w:ascii="Verdana" w:eastAsia="Calibri" w:hAnsi="Verdana" w:cs="Arial"/>
          <w:sz w:val="21"/>
          <w:szCs w:val="21"/>
          <w:lang w:val="es-ES" w:eastAsia="es-ES"/>
        </w:rPr>
        <w:t xml:space="preserve"> un saber propiamente técnico; igualmente involucra actividades en donde prima el esfuerzo físico o mecánico, en donde no se requiere de personal profesional.</w:t>
      </w:r>
    </w:p>
    <w:p w14:paraId="0F62B0F0" w14:textId="77777777" w:rsidR="00BB4885" w:rsidRPr="001532C8" w:rsidRDefault="00BB4885" w:rsidP="00BB4885">
      <w:pPr>
        <w:spacing w:after="0" w:line="240" w:lineRule="auto"/>
        <w:ind w:right="709"/>
        <w:jc w:val="both"/>
        <w:rPr>
          <w:rFonts w:ascii="Verdana" w:eastAsia="Calibri" w:hAnsi="Verdana" w:cs="Arial"/>
          <w:sz w:val="21"/>
          <w:szCs w:val="21"/>
          <w:lang w:val="es-ES_tradnl" w:eastAsia="es-ES_tradnl"/>
        </w:rPr>
      </w:pPr>
    </w:p>
    <w:p w14:paraId="582AA77A"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sidRPr="001532C8">
        <w:rPr>
          <w:rFonts w:ascii="Verdana" w:eastAsia="Calibri" w:hAnsi="Verdana" w:cs="Arial"/>
          <w:sz w:val="21"/>
          <w:szCs w:val="21"/>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Pr>
          <w:rFonts w:ascii="Verdana" w:eastAsia="Times New Roman" w:hAnsi="Verdana" w:cs="Arial"/>
          <w:sz w:val="21"/>
          <w:szCs w:val="21"/>
          <w:lang w:eastAsia="es-ES_tradnl"/>
        </w:rPr>
        <w:t>”</w:t>
      </w:r>
      <w:r w:rsidRPr="001532C8">
        <w:rPr>
          <w:rFonts w:ascii="Verdana" w:eastAsia="Calibri" w:hAnsi="Verdana" w:cs="Arial"/>
          <w:sz w:val="21"/>
          <w:szCs w:val="21"/>
          <w:vertAlign w:val="superscript"/>
          <w:lang w:val="es-ES_tradnl" w:eastAsia="es-ES_tradnl"/>
        </w:rPr>
        <w:footnoteReference w:id="8"/>
      </w:r>
      <w:r w:rsidRPr="001532C8">
        <w:rPr>
          <w:rFonts w:ascii="Verdana" w:eastAsia="Calibri" w:hAnsi="Verdana" w:cs="Arial"/>
          <w:sz w:val="21"/>
          <w:szCs w:val="21"/>
          <w:lang w:val="es-ES_tradnl" w:eastAsia="es-ES_tradnl"/>
        </w:rPr>
        <w:t>.</w:t>
      </w:r>
    </w:p>
    <w:p w14:paraId="7767C750"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p>
    <w:p w14:paraId="635639A7" w14:textId="77777777" w:rsidR="00BB4885" w:rsidRPr="001532C8" w:rsidRDefault="00BB4885" w:rsidP="00BB4885">
      <w:pPr>
        <w:spacing w:after="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t>En relación con el contrato de prestación de servicios artísticos que solo pueden encomendarse a determinadas personas naturales, señala el mencionado fallo que:</w:t>
      </w:r>
    </w:p>
    <w:p w14:paraId="7DEEA397" w14:textId="77777777" w:rsidR="00BB4885" w:rsidRPr="001532C8" w:rsidRDefault="00BB4885" w:rsidP="00BB4885">
      <w:pPr>
        <w:spacing w:after="0" w:line="276" w:lineRule="auto"/>
        <w:ind w:left="709" w:right="709"/>
        <w:jc w:val="both"/>
        <w:rPr>
          <w:rFonts w:ascii="Verdana" w:eastAsia="Calibri" w:hAnsi="Verdana" w:cs="Arial"/>
          <w:lang w:val="es-ES_tradnl" w:eastAsia="es-ES_tradnl"/>
        </w:rPr>
      </w:pPr>
    </w:p>
    <w:p w14:paraId="4706D596"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r>
        <w:rPr>
          <w:rFonts w:ascii="Verdana" w:eastAsia="Times New Roman" w:hAnsi="Verdana" w:cs="Arial"/>
          <w:sz w:val="21"/>
          <w:szCs w:val="21"/>
          <w:lang w:eastAsia="es-ES_tradnl"/>
        </w:rPr>
        <w:t>“</w:t>
      </w:r>
      <w:r w:rsidRPr="001532C8">
        <w:rPr>
          <w:rFonts w:ascii="Verdana" w:eastAsia="Calibri" w:hAnsi="Verdana" w:cs="Arial"/>
          <w:sz w:val="21"/>
          <w:szCs w:val="21"/>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Verdana" w:eastAsia="Times New Roman" w:hAnsi="Verdana" w:cs="Arial"/>
          <w:sz w:val="21"/>
          <w:szCs w:val="21"/>
          <w:lang w:eastAsia="es-ES_tradnl"/>
        </w:rPr>
        <w:t>”</w:t>
      </w:r>
      <w:r w:rsidRPr="001532C8">
        <w:rPr>
          <w:rFonts w:ascii="Verdana" w:eastAsia="Calibri" w:hAnsi="Verdana" w:cs="Arial"/>
          <w:sz w:val="21"/>
          <w:szCs w:val="21"/>
          <w:vertAlign w:val="superscript"/>
          <w:lang w:val="es-ES_tradnl" w:eastAsia="es-ES_tradnl"/>
        </w:rPr>
        <w:footnoteReference w:id="9"/>
      </w:r>
      <w:r w:rsidRPr="001532C8">
        <w:rPr>
          <w:rFonts w:ascii="Verdana" w:eastAsia="Calibri" w:hAnsi="Verdana" w:cs="Arial"/>
          <w:sz w:val="21"/>
          <w:szCs w:val="21"/>
          <w:lang w:val="es-ES_tradnl" w:eastAsia="es-ES_tradnl"/>
        </w:rPr>
        <w:t>.</w:t>
      </w:r>
    </w:p>
    <w:p w14:paraId="6C3CAD89" w14:textId="77777777" w:rsidR="00BB4885" w:rsidRPr="001532C8" w:rsidRDefault="00BB4885" w:rsidP="00BB4885">
      <w:pPr>
        <w:spacing w:after="0" w:line="240" w:lineRule="auto"/>
        <w:ind w:left="709" w:right="709"/>
        <w:jc w:val="both"/>
        <w:rPr>
          <w:rFonts w:ascii="Verdana" w:eastAsia="Calibri" w:hAnsi="Verdana" w:cs="Arial"/>
          <w:sz w:val="21"/>
          <w:szCs w:val="21"/>
          <w:lang w:val="es-ES_tradnl" w:eastAsia="es-ES_tradnl"/>
        </w:rPr>
      </w:pPr>
    </w:p>
    <w:p w14:paraId="6EDA5D00" w14:textId="77777777" w:rsidR="00BB4885" w:rsidRPr="001532C8" w:rsidRDefault="00BB4885" w:rsidP="00BB4885">
      <w:pPr>
        <w:spacing w:after="12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lastRenderedPageBreak/>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1532C8">
        <w:rPr>
          <w:rFonts w:ascii="Verdana" w:eastAsia="Calibri" w:hAnsi="Verdana" w:cs="Arial"/>
          <w:vertAlign w:val="superscript"/>
          <w:lang w:val="es-ES_tradnl" w:eastAsia="es-ES_tradnl"/>
        </w:rPr>
        <w:footnoteReference w:id="10"/>
      </w:r>
      <w:r w:rsidRPr="001532C8">
        <w:rPr>
          <w:rFonts w:ascii="Verdana" w:eastAsia="Calibri" w:hAnsi="Verdana" w:cs="Arial"/>
          <w:lang w:val="es-ES_tradnl" w:eastAsia="es-ES_tradn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4A2EA922" w14:textId="77777777" w:rsidR="00BB4885" w:rsidRPr="001532C8" w:rsidRDefault="00BB4885" w:rsidP="00BB4885">
      <w:pPr>
        <w:spacing w:after="12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t>vii</w:t>
      </w:r>
      <w:proofErr w:type="spellEnd"/>
      <w:r w:rsidRPr="7E0867B5">
        <w:rPr>
          <w:rFonts w:ascii="Verdana" w:eastAsia="Calibri" w:hAnsi="Verdana" w:cs="Arial"/>
          <w:lang w:val="es-ES" w:eastAsia="es-ES"/>
        </w:rPr>
        <w:t>) Para su celebración no se requiere en algunos casos la expedición del acto administrativo de justificación de la contratación directa</w:t>
      </w:r>
      <w:r w:rsidRPr="7E0867B5">
        <w:rPr>
          <w:rFonts w:ascii="Verdana" w:eastAsia="Calibri" w:hAnsi="Verdana" w:cs="Arial"/>
          <w:vertAlign w:val="superscript"/>
          <w:lang w:val="es-ES" w:eastAsia="es-ES"/>
        </w:rPr>
        <w:footnoteReference w:id="11"/>
      </w:r>
      <w:r w:rsidRPr="7E0867B5">
        <w:rPr>
          <w:rFonts w:ascii="Verdana" w:eastAsia="Calibri" w:hAnsi="Verdana" w:cs="Arial"/>
          <w:lang w:val="es-ES" w:eastAsia="es-ES"/>
        </w:rPr>
        <w:t xml:space="preserve">. </w:t>
      </w:r>
    </w:p>
    <w:p w14:paraId="7B1B58FC" w14:textId="77777777" w:rsidR="00BB4885" w:rsidRPr="001532C8" w:rsidRDefault="00BB4885" w:rsidP="00BB4885">
      <w:pPr>
        <w:spacing w:after="12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t>viii</w:t>
      </w:r>
      <w:proofErr w:type="spellEnd"/>
      <w:r w:rsidRPr="7E0867B5">
        <w:rPr>
          <w:rFonts w:ascii="Verdana" w:eastAsia="Calibri" w:hAnsi="Verdana" w:cs="Arial"/>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7E0867B5">
        <w:rPr>
          <w:rFonts w:ascii="Verdana" w:eastAsia="Calibri" w:hAnsi="Verdana" w:cs="Arial"/>
          <w:vertAlign w:val="superscript"/>
          <w:lang w:val="es-ES" w:eastAsia="es-ES"/>
        </w:rPr>
        <w:footnoteReference w:id="12"/>
      </w:r>
      <w:r w:rsidRPr="7E0867B5">
        <w:rPr>
          <w:rFonts w:ascii="Verdana" w:eastAsia="Calibri" w:hAnsi="Verdana" w:cs="Arial"/>
          <w:lang w:val="es-ES" w:eastAsia="es-ES"/>
        </w:rPr>
        <w:t>.</w:t>
      </w:r>
    </w:p>
    <w:p w14:paraId="6331C15E" w14:textId="77777777" w:rsidR="00BB4885" w:rsidRPr="001532C8" w:rsidRDefault="00BB4885" w:rsidP="00BB4885">
      <w:pPr>
        <w:spacing w:after="120" w:line="276" w:lineRule="auto"/>
        <w:ind w:firstLine="709"/>
        <w:jc w:val="both"/>
        <w:rPr>
          <w:rFonts w:ascii="Verdana" w:eastAsia="Calibri" w:hAnsi="Verdana" w:cs="Arial"/>
          <w:lang w:val="es-ES" w:eastAsia="es-ES"/>
        </w:rPr>
      </w:pPr>
      <w:proofErr w:type="spellStart"/>
      <w:r w:rsidRPr="7E0867B5">
        <w:rPr>
          <w:rFonts w:ascii="Verdana" w:eastAsia="Calibri" w:hAnsi="Verdana" w:cs="Arial"/>
          <w:lang w:val="es-ES" w:eastAsia="es-ES"/>
        </w:rPr>
        <w:lastRenderedPageBreak/>
        <w:t>ix</w:t>
      </w:r>
      <w:proofErr w:type="spellEnd"/>
      <w:r w:rsidRPr="7E0867B5">
        <w:rPr>
          <w:rFonts w:ascii="Verdana" w:eastAsia="Calibri" w:hAnsi="Verdana" w:cs="Arial"/>
          <w:lang w:val="es-ES" w:eastAsia="es-ES"/>
        </w:rPr>
        <w:t>) En algunos casos no es obligatoria la liquidación, pues así lo estableció el artículo 217 del Decreto 019 de 2012, que modificó el artículo 60 de la Ley 80 de 1993</w:t>
      </w:r>
      <w:r w:rsidRPr="7E0867B5">
        <w:rPr>
          <w:rFonts w:ascii="Verdana" w:eastAsia="Calibri" w:hAnsi="Verdana" w:cs="Arial"/>
          <w:vertAlign w:val="superscript"/>
          <w:lang w:val="es-ES" w:eastAsia="es-ES"/>
        </w:rPr>
        <w:footnoteReference w:id="13"/>
      </w:r>
      <w:r w:rsidRPr="7E0867B5">
        <w:rPr>
          <w:rFonts w:ascii="Verdana" w:eastAsia="Calibri" w:hAnsi="Verdana" w:cs="Arial"/>
          <w:lang w:val="es-ES" w:eastAsia="es-ES"/>
        </w:rPr>
        <w:t>, refiriéndose a los contratos de prestación de servicios profesionales y de apoyo a la gestión.</w:t>
      </w:r>
    </w:p>
    <w:p w14:paraId="06D41CE0" w14:textId="77777777" w:rsidR="00BB4885" w:rsidRPr="001532C8" w:rsidRDefault="00BB4885" w:rsidP="00BB4885">
      <w:pPr>
        <w:spacing w:after="120" w:line="276" w:lineRule="auto"/>
        <w:ind w:firstLine="709"/>
        <w:jc w:val="both"/>
        <w:rPr>
          <w:rFonts w:ascii="Verdana" w:eastAsia="Calibri" w:hAnsi="Verdana" w:cs="Arial"/>
          <w:lang w:val="es-ES_tradnl" w:eastAsia="es-ES_tradnl"/>
        </w:rPr>
      </w:pPr>
      <w:r w:rsidRPr="001532C8">
        <w:rPr>
          <w:rFonts w:ascii="Verdana" w:eastAsia="Calibri" w:hAnsi="Verdana" w:cs="Arial"/>
          <w:lang w:val="es-ES_tradnl" w:eastAsia="es-ES_tradnl"/>
        </w:rPr>
        <w:t>x) Para su celebración no se requiere inscripción en el Registro Único de Proponentes – en adelante RUP–, según lo prevé el artículo 6 de la Ley 1150 de 2007</w:t>
      </w:r>
      <w:r w:rsidRPr="001532C8">
        <w:rPr>
          <w:rFonts w:ascii="Verdana" w:eastAsia="Calibri" w:hAnsi="Verdana" w:cs="Arial"/>
          <w:vertAlign w:val="superscript"/>
          <w:lang w:val="es-ES_tradnl" w:eastAsia="es-ES_tradnl"/>
        </w:rPr>
        <w:footnoteReference w:id="14"/>
      </w:r>
      <w:r w:rsidRPr="001532C8">
        <w:rPr>
          <w:rFonts w:ascii="Verdana" w:eastAsia="Calibri" w:hAnsi="Verdana" w:cs="Arial"/>
          <w:lang w:val="es-ES_tradnl" w:eastAsia="es-ES_tradnl"/>
        </w:rPr>
        <w:t>.</w:t>
      </w:r>
    </w:p>
    <w:p w14:paraId="12647C2B" w14:textId="77777777" w:rsidR="00BB4885" w:rsidRPr="00282ED1" w:rsidRDefault="00BB4885" w:rsidP="00BB4885">
      <w:pPr>
        <w:spacing w:before="120" w:after="120" w:line="276" w:lineRule="auto"/>
        <w:ind w:firstLine="709"/>
        <w:jc w:val="both"/>
        <w:rPr>
          <w:rFonts w:ascii="Verdana" w:eastAsia="Calibri" w:hAnsi="Verdana" w:cs="Arial"/>
          <w:lang w:val="es-ES_tradnl" w:eastAsia="es-ES_tradnl"/>
        </w:rPr>
      </w:pPr>
      <w:r w:rsidRPr="00282ED1">
        <w:rPr>
          <w:rFonts w:ascii="Verdana" w:eastAsia="Calibri" w:hAnsi="Verdana" w:cs="Arial"/>
          <w:lang w:val="es-ES_tradnl" w:eastAsia="es-ES_tradnl"/>
        </w:rPr>
        <w:t>xi) En ellos no son necesarias las garantías</w:t>
      </w:r>
      <w:r w:rsidRPr="00282ED1">
        <w:rPr>
          <w:rFonts w:ascii="Verdana" w:eastAsia="Calibri" w:hAnsi="Verdana" w:cs="Arial"/>
          <w:vertAlign w:val="superscript"/>
          <w:lang w:val="es-ES_tradnl" w:eastAsia="es-ES_tradnl"/>
        </w:rPr>
        <w:footnoteReference w:id="15"/>
      </w:r>
      <w:r w:rsidRPr="00282ED1">
        <w:rPr>
          <w:rFonts w:ascii="Verdana" w:eastAsia="Calibri" w:hAnsi="Verdana" w:cs="Arial"/>
          <w:lang w:val="es-ES_tradnl" w:eastAsia="es-ES_tradnl"/>
        </w:rPr>
        <w:t>.</w:t>
      </w:r>
    </w:p>
    <w:p w14:paraId="33FC3957" w14:textId="77777777" w:rsidR="00BB4885" w:rsidRPr="00282ED1" w:rsidRDefault="00BB4885" w:rsidP="00BB4885">
      <w:pPr>
        <w:spacing w:after="0" w:line="276" w:lineRule="auto"/>
        <w:jc w:val="both"/>
        <w:rPr>
          <w:rFonts w:ascii="Verdana" w:eastAsia="Calibri" w:hAnsi="Verdana" w:cs="Arial"/>
          <w:color w:val="FF0000"/>
          <w:lang w:val="es-ES"/>
        </w:rPr>
      </w:pPr>
    </w:p>
    <w:p w14:paraId="6E308F87" w14:textId="77777777" w:rsidR="00BB4885" w:rsidRPr="003755E1" w:rsidRDefault="00BB4885" w:rsidP="00BB4885">
      <w:pPr>
        <w:widowControl w:val="0"/>
        <w:autoSpaceDE w:val="0"/>
        <w:autoSpaceDN w:val="0"/>
        <w:spacing w:after="120" w:line="276" w:lineRule="auto"/>
        <w:ind w:firstLine="708"/>
        <w:jc w:val="both"/>
        <w:rPr>
          <w:rFonts w:ascii="Verdana" w:eastAsia="Arial" w:hAnsi="Verdana" w:cs="Arial"/>
          <w:iCs/>
          <w:lang w:val="es-ES"/>
        </w:rPr>
      </w:pPr>
      <w:r w:rsidRPr="00282ED1">
        <w:rPr>
          <w:rFonts w:ascii="Verdana" w:eastAsia="Arial" w:hAnsi="Verdana" w:cs="Arial"/>
          <w:iCs/>
          <w:lang w:val="es-ES"/>
        </w:rPr>
        <w:t xml:space="preserve">En relación con la fijación de los honorarios </w:t>
      </w:r>
      <w:r>
        <w:rPr>
          <w:rFonts w:ascii="Verdana" w:eastAsia="Arial" w:hAnsi="Verdana" w:cs="Arial"/>
          <w:iCs/>
          <w:lang w:val="es-ES"/>
        </w:rPr>
        <w:t>en</w:t>
      </w:r>
      <w:r w:rsidRPr="00282ED1">
        <w:rPr>
          <w:rFonts w:ascii="Verdana" w:eastAsia="Arial" w:hAnsi="Verdana" w:cs="Arial"/>
          <w:iCs/>
          <w:lang w:val="es-ES"/>
        </w:rPr>
        <w:t xml:space="preserve"> los contratos de prestación de servicios,</w:t>
      </w:r>
      <w:r>
        <w:rPr>
          <w:rFonts w:ascii="Verdana" w:eastAsia="Arial" w:hAnsi="Verdana" w:cs="Arial"/>
          <w:iCs/>
          <w:lang w:val="es-ES"/>
        </w:rPr>
        <w:t xml:space="preserve"> </w:t>
      </w:r>
      <w:r w:rsidRPr="00F31A35">
        <w:rPr>
          <w:rFonts w:ascii="Verdana" w:eastAsia="Calibri" w:hAnsi="Verdana" w:cs="Arial"/>
          <w:bCs/>
          <w:color w:val="000000"/>
          <w:kern w:val="2"/>
          <w14:ligatures w14:val="standardContextual"/>
        </w:rPr>
        <w:t>es pertinente precisar que no existe en el sistema de compra y contratación pública una disposición que establezca la forma en la que deberían fijarse los honorarios de los contratistas de prestación de servicios profesionales, de apoyo a la gestión y de trabajos artísticos, pues en virtud del principio de autonomía de la voluntad, las partes pueden determinar el contenido de los contratos estatales e incluir las condiciones, cláusulas o estipulaciones que consideren necesarias para desarrollar el objeto contractual, siempre que no sean contrarias a la Constitución Política, la ley y el orden público.</w:t>
      </w:r>
    </w:p>
    <w:p w14:paraId="57FF0E79" w14:textId="77777777" w:rsidR="00BB4885" w:rsidRPr="00F31A35" w:rsidRDefault="00BB4885" w:rsidP="00BB4885">
      <w:pPr>
        <w:spacing w:before="120"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w:t>
      </w:r>
      <w:r w:rsidRPr="00F31A35">
        <w:rPr>
          <w:rFonts w:ascii="Verdana" w:eastAsia="Calibri" w:hAnsi="Verdana" w:cs="Arial"/>
          <w:bCs/>
          <w:color w:val="000000"/>
          <w:kern w:val="2"/>
          <w14:ligatures w14:val="standardContextual"/>
        </w:rPr>
        <w:lastRenderedPageBreak/>
        <w:t>en los estudios y documentos previos, los cuales deben indicar, entre otras, las condiciones mínimas exigidas para suplir la necesidad de la entidad así como los requisitos que debe acreditar el futuro contratista para el cumplimiento del objeto contractual.</w:t>
      </w:r>
    </w:p>
    <w:p w14:paraId="6EDB2F77" w14:textId="77777777" w:rsidR="00BB4885" w:rsidRPr="00F31A35" w:rsidRDefault="00BB4885" w:rsidP="00BB4885">
      <w:pPr>
        <w:spacing w:after="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 anterior, en razón a que, el Estatuto General de Contratación de la Administración Pública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En relación con el valor del futuro contrato y su correlativo respaldo presupuestal, se tienen, por ejemplo, las siguientes reglas derivadas de la aplicación del principio de economía previsto en el artículo 25 de la Ley 80 de 1993:</w:t>
      </w:r>
    </w:p>
    <w:p w14:paraId="69B8DD91" w14:textId="77777777" w:rsidR="00BB4885" w:rsidRPr="00F31A35" w:rsidRDefault="00BB4885" w:rsidP="00BB4885">
      <w:pPr>
        <w:spacing w:after="0" w:line="276" w:lineRule="auto"/>
        <w:ind w:firstLine="709"/>
        <w:jc w:val="both"/>
        <w:rPr>
          <w:rFonts w:ascii="Verdana" w:eastAsia="Calibri" w:hAnsi="Verdana" w:cs="Arial"/>
          <w:bCs/>
          <w:color w:val="000000"/>
          <w:kern w:val="2"/>
          <w14:ligatures w14:val="standardContextual"/>
        </w:rPr>
      </w:pPr>
    </w:p>
    <w:p w14:paraId="7418EEE5"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r w:rsidRPr="00F31A35">
        <w:rPr>
          <w:rStyle w:val="eop"/>
          <w:rFonts w:ascii="Verdana" w:eastAsiaTheme="majorEastAsia" w:hAnsi="Verdana" w:cs="Arial"/>
          <w:sz w:val="20"/>
          <w:szCs w:val="20"/>
        </w:rPr>
        <w:t> </w:t>
      </w:r>
    </w:p>
    <w:p w14:paraId="7B91C49E"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w:t>
      </w:r>
      <w:r w:rsidRPr="00F31A35">
        <w:rPr>
          <w:rStyle w:val="eop"/>
          <w:rFonts w:ascii="Verdana" w:eastAsiaTheme="majorEastAsia" w:hAnsi="Verdana" w:cs="Arial"/>
          <w:sz w:val="20"/>
          <w:szCs w:val="20"/>
        </w:rPr>
        <w:t> </w:t>
      </w:r>
    </w:p>
    <w:p w14:paraId="2230E44D"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r w:rsidRPr="00F31A35">
        <w:rPr>
          <w:rStyle w:val="eop"/>
          <w:rFonts w:ascii="Verdana" w:eastAsiaTheme="majorEastAsia" w:hAnsi="Verdana" w:cs="Arial"/>
          <w:sz w:val="20"/>
          <w:szCs w:val="20"/>
        </w:rPr>
        <w:t> </w:t>
      </w:r>
    </w:p>
    <w:p w14:paraId="48B31E09"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r w:rsidRPr="00F31A35">
        <w:rPr>
          <w:rStyle w:val="eop"/>
          <w:rFonts w:ascii="Verdana" w:eastAsiaTheme="majorEastAsia" w:hAnsi="Verdana" w:cs="Arial"/>
          <w:sz w:val="20"/>
          <w:szCs w:val="20"/>
        </w:rPr>
        <w:t> </w:t>
      </w:r>
    </w:p>
    <w:p w14:paraId="1A9424BA"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ES"/>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r w:rsidRPr="00F31A35">
        <w:rPr>
          <w:rStyle w:val="eop"/>
          <w:rFonts w:ascii="Verdana" w:eastAsiaTheme="majorEastAsia" w:hAnsi="Verdana" w:cs="Arial"/>
          <w:sz w:val="20"/>
          <w:szCs w:val="20"/>
        </w:rPr>
        <w:t> </w:t>
      </w:r>
    </w:p>
    <w:p w14:paraId="4051A4CC" w14:textId="77777777" w:rsidR="00BB4885" w:rsidRPr="00F31A35" w:rsidRDefault="00BB4885" w:rsidP="00BB4885">
      <w:pPr>
        <w:pStyle w:val="paragraph"/>
        <w:spacing w:before="0" w:beforeAutospacing="0" w:after="0" w:afterAutospacing="0"/>
        <w:ind w:left="709" w:right="709"/>
        <w:jc w:val="both"/>
        <w:textAlignment w:val="baseline"/>
        <w:rPr>
          <w:rFonts w:ascii="Verdana" w:hAnsi="Verdana" w:cs="Segoe UI"/>
          <w:sz w:val="16"/>
          <w:szCs w:val="16"/>
        </w:rPr>
      </w:pPr>
      <w:r w:rsidRPr="00F31A35">
        <w:rPr>
          <w:rStyle w:val="normaltextrun"/>
          <w:rFonts w:ascii="Verdana" w:hAnsi="Verdana" w:cs="Arial"/>
          <w:sz w:val="20"/>
          <w:szCs w:val="20"/>
          <w:lang w:val="es-ES"/>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F31A35">
        <w:rPr>
          <w:rStyle w:val="eop"/>
          <w:rFonts w:ascii="Verdana" w:eastAsiaTheme="majorEastAsia" w:hAnsi="Verdana" w:cs="Arial"/>
          <w:sz w:val="20"/>
          <w:szCs w:val="20"/>
        </w:rPr>
        <w:t> </w:t>
      </w:r>
    </w:p>
    <w:p w14:paraId="172C0CEA" w14:textId="77777777" w:rsidR="00BB4885" w:rsidRPr="00F31A35" w:rsidRDefault="00BB4885" w:rsidP="00BB4885">
      <w:pPr>
        <w:spacing w:after="0" w:line="276" w:lineRule="auto"/>
        <w:ind w:firstLine="709"/>
        <w:jc w:val="both"/>
        <w:rPr>
          <w:rFonts w:ascii="Verdana" w:eastAsia="Calibri" w:hAnsi="Verdana" w:cs="Arial"/>
          <w:bCs/>
          <w:color w:val="000000"/>
          <w:kern w:val="2"/>
          <w14:ligatures w14:val="standardContextual"/>
        </w:rPr>
      </w:pPr>
    </w:p>
    <w:p w14:paraId="0FF82894" w14:textId="77777777" w:rsidR="00BB4885" w:rsidRPr="00F31A35" w:rsidRDefault="00BB4885" w:rsidP="00BB4885">
      <w:pPr>
        <w:spacing w:after="120" w:line="276" w:lineRule="auto"/>
        <w:ind w:firstLine="709"/>
        <w:jc w:val="both"/>
        <w:rPr>
          <w:rFonts w:ascii="Verdana" w:eastAsia="Times New Roman" w:hAnsi="Verdana" w:cs="Arial"/>
          <w:lang w:val="es-ES_tradnl" w:eastAsia="es-MX"/>
        </w:rPr>
      </w:pPr>
      <w:r w:rsidRPr="00F31A35">
        <w:rPr>
          <w:rFonts w:ascii="Verdana" w:eastAsia="Times New Roman" w:hAnsi="Verdana" w:cs="Arial"/>
          <w:lang w:val="es-ES_tradnl" w:eastAsia="es-MX"/>
        </w:rPr>
        <w:lastRenderedPageBreak/>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31A35">
        <w:rPr>
          <w:rFonts w:ascii="Verdana" w:eastAsia="Times New Roman" w:hAnsi="Verdana" w:cs="Arial"/>
          <w:vertAlign w:val="superscript"/>
          <w:lang w:val="es-ES_tradnl" w:eastAsia="es-MX"/>
        </w:rPr>
        <w:footnoteReference w:id="16"/>
      </w:r>
      <w:r w:rsidRPr="00F31A35">
        <w:rPr>
          <w:rFonts w:ascii="Verdana" w:eastAsia="Times New Roman" w:hAnsi="Verdana" w:cs="Arial"/>
          <w:lang w:val="es-ES_tradnl" w:eastAsia="es-MX"/>
        </w:rPr>
        <w:t>.</w:t>
      </w:r>
    </w:p>
    <w:p w14:paraId="3E3978C1" w14:textId="77777777" w:rsidR="00BB4885" w:rsidRPr="00F31A35" w:rsidRDefault="00BB4885" w:rsidP="00BB4885">
      <w:pPr>
        <w:spacing w:after="0" w:line="276" w:lineRule="auto"/>
        <w:ind w:firstLine="709"/>
        <w:jc w:val="both"/>
        <w:rPr>
          <w:rFonts w:ascii="Verdana" w:eastAsia="Times New Roman" w:hAnsi="Verdana" w:cs="Arial"/>
          <w:lang w:val="es-ES_tradnl" w:eastAsia="es-MX"/>
        </w:rPr>
      </w:pPr>
      <w:r w:rsidRPr="00F31A35">
        <w:rPr>
          <w:rFonts w:ascii="Verdana" w:eastAsia="Times New Roman" w:hAnsi="Verdana" w:cs="Arial"/>
          <w:lang w:val="es-ES_tradnl" w:eastAsia="es-MX"/>
        </w:rPr>
        <w:t xml:space="preserve">En congruencia con el artículo 25 de la Ley 80 de 1993, el Decreto Único Reglamentario del Sector Administrativo de Planeación Nacional –Decreto 1082 de 2015–, dispone en el artículo 2.2.1.1.2.1.1 el contenido mínimo de los estudios y documentos previos: </w:t>
      </w:r>
    </w:p>
    <w:p w14:paraId="3DDA466D" w14:textId="77777777" w:rsidR="00BB4885" w:rsidRPr="00F31A35" w:rsidRDefault="00BB4885" w:rsidP="00BB4885">
      <w:pPr>
        <w:spacing w:after="0" w:line="276" w:lineRule="auto"/>
        <w:ind w:firstLine="709"/>
        <w:jc w:val="both"/>
        <w:rPr>
          <w:rFonts w:ascii="Verdana" w:eastAsia="Times New Roman" w:hAnsi="Verdana" w:cs="Arial"/>
          <w:lang w:val="es-ES_tradnl" w:eastAsia="es-MX"/>
        </w:rPr>
      </w:pPr>
    </w:p>
    <w:p w14:paraId="79CC93EB"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w:t>
      </w:r>
    </w:p>
    <w:p w14:paraId="385393C9"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1. La descripción de la necesidad que la Entidad Estatal pretende satisfacer con el Proceso de Contratación.</w:t>
      </w:r>
    </w:p>
    <w:p w14:paraId="795951C5"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2. El objeto a contratar, con sus especificaciones, las autorizaciones, permisos y licencias requeridos para su ejecución, y cuando el contrato incluye diseño y construcción, los documentos técnicos para el desarrollo del proyecto.</w:t>
      </w:r>
    </w:p>
    <w:p w14:paraId="72A2E4E7"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3. La modalidad de selección del contratista y su justificación, incluyendo los fundamentos jurídicos.</w:t>
      </w:r>
    </w:p>
    <w:p w14:paraId="6E347950"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 w:eastAsia="es-MX"/>
        </w:rPr>
      </w:pPr>
      <w:r w:rsidRPr="7E0867B5">
        <w:rPr>
          <w:rFonts w:ascii="Verdana" w:eastAsia="Times New Roman" w:hAnsi="Verdana" w:cs="Arial"/>
          <w:sz w:val="20"/>
          <w:szCs w:val="20"/>
          <w:lang w:val="es-ES" w:eastAsia="es-MX"/>
        </w:rPr>
        <w:t xml:space="preserve">4. </w:t>
      </w:r>
      <w:r w:rsidRPr="7E0867B5">
        <w:rPr>
          <w:rFonts w:ascii="Verdana" w:eastAsia="Times New Roman" w:hAnsi="Verdana" w:cs="Arial"/>
          <w:sz w:val="20"/>
          <w:szCs w:val="20"/>
          <w:u w:val="single"/>
          <w:lang w:val="es-ES" w:eastAsia="es-MX"/>
        </w:rPr>
        <w:t xml:space="preserve">El valor estimado del contrato y la justificación </w:t>
      </w:r>
      <w:proofErr w:type="gramStart"/>
      <w:r w:rsidRPr="7E0867B5">
        <w:rPr>
          <w:rFonts w:ascii="Verdana" w:eastAsia="Times New Roman" w:hAnsi="Verdana" w:cs="Arial"/>
          <w:sz w:val="20"/>
          <w:szCs w:val="20"/>
          <w:u w:val="single"/>
          <w:lang w:val="es-ES" w:eastAsia="es-MX"/>
        </w:rPr>
        <w:t>del mismo</w:t>
      </w:r>
      <w:proofErr w:type="gramEnd"/>
      <w:r w:rsidRPr="7E0867B5">
        <w:rPr>
          <w:rFonts w:ascii="Verdana" w:eastAsia="Times New Roman" w:hAnsi="Verdana" w:cs="Arial"/>
          <w:sz w:val="20"/>
          <w:szCs w:val="20"/>
          <w:u w:val="single"/>
          <w:lang w:val="es-ES" w:eastAsia="es-MX"/>
        </w:rPr>
        <w:t>.</w:t>
      </w:r>
      <w:r w:rsidRPr="7E0867B5">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w:t>
      </w:r>
    </w:p>
    <w:p w14:paraId="6E1ED497"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5. Los criterios para seleccionar la oferta más favorable.</w:t>
      </w:r>
    </w:p>
    <w:p w14:paraId="2FCE9FAA"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6. El análisis de Riesgo y la forma de mitigarlo.</w:t>
      </w:r>
    </w:p>
    <w:p w14:paraId="24D00B82"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7. Las garantías que la Entidad Estatal contempla exigir en el proceso de contratación.</w:t>
      </w:r>
    </w:p>
    <w:p w14:paraId="5C565065"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lastRenderedPageBreak/>
        <w:t>8. La indicación de si el proceso de contratación está cobijado por un acuerdo comercial.</w:t>
      </w:r>
    </w:p>
    <w:p w14:paraId="7657082E" w14:textId="77777777" w:rsidR="00BB4885" w:rsidRPr="00F31A35" w:rsidRDefault="00BB4885" w:rsidP="00BB4885">
      <w:pPr>
        <w:spacing w:after="0" w:line="240" w:lineRule="auto"/>
        <w:ind w:left="709" w:right="709"/>
        <w:jc w:val="both"/>
        <w:rPr>
          <w:rFonts w:ascii="Verdana" w:eastAsia="Times New Roman" w:hAnsi="Verdana" w:cs="Arial"/>
          <w:sz w:val="20"/>
          <w:szCs w:val="20"/>
          <w:lang w:val="es-ES_tradnl" w:eastAsia="es-MX"/>
        </w:rPr>
      </w:pPr>
      <w:r w:rsidRPr="00F31A35">
        <w:rPr>
          <w:rFonts w:ascii="Verdana" w:eastAsia="Times New Roman" w:hAnsi="Verdana" w:cs="Arial"/>
          <w:sz w:val="20"/>
          <w:szCs w:val="20"/>
          <w:lang w:val="es-ES_tradnl" w:eastAsia="es-MX"/>
        </w:rPr>
        <w:t>El presente artículo no es aplicable a la contratación por mínima cuantía”</w:t>
      </w:r>
      <w:r>
        <w:rPr>
          <w:rFonts w:ascii="Verdana" w:eastAsia="Times New Roman" w:hAnsi="Verdana" w:cs="Arial"/>
          <w:sz w:val="20"/>
          <w:szCs w:val="20"/>
          <w:lang w:val="es-ES_tradnl" w:eastAsia="es-MX"/>
        </w:rPr>
        <w:t xml:space="preserve"> (Énfasis fuera de texto)</w:t>
      </w:r>
      <w:r w:rsidRPr="00F31A35">
        <w:rPr>
          <w:rFonts w:ascii="Verdana" w:eastAsia="Times New Roman" w:hAnsi="Verdana" w:cs="Arial"/>
          <w:sz w:val="20"/>
          <w:szCs w:val="20"/>
          <w:lang w:val="es-ES_tradnl" w:eastAsia="es-MX"/>
        </w:rPr>
        <w:t>.</w:t>
      </w:r>
    </w:p>
    <w:p w14:paraId="03E1D695" w14:textId="77777777" w:rsidR="00BB4885" w:rsidRDefault="00BB4885" w:rsidP="00BB4885">
      <w:pPr>
        <w:spacing w:after="0" w:line="276" w:lineRule="auto"/>
        <w:ind w:firstLine="709"/>
        <w:jc w:val="both"/>
        <w:rPr>
          <w:rFonts w:ascii="Verdana" w:eastAsia="Times New Roman" w:hAnsi="Verdana" w:cs="Arial"/>
          <w:lang w:val="es-ES_tradnl" w:eastAsia="es-MX"/>
        </w:rPr>
      </w:pPr>
    </w:p>
    <w:p w14:paraId="09F1CE00" w14:textId="77777777" w:rsidR="00BB4885" w:rsidRPr="00F31A35" w:rsidRDefault="00BB4885" w:rsidP="00BB4885">
      <w:pPr>
        <w:spacing w:after="0" w:line="276" w:lineRule="auto"/>
        <w:ind w:firstLine="709"/>
        <w:jc w:val="both"/>
        <w:rPr>
          <w:rFonts w:ascii="Verdana" w:hAnsi="Verdana" w:cs="Arial"/>
        </w:rPr>
      </w:pPr>
      <w:r w:rsidRPr="00F31A35">
        <w:rPr>
          <w:rFonts w:ascii="Verdana" w:eastAsia="Times New Roman" w:hAnsi="Verdana" w:cs="Arial"/>
          <w:lang w:val="es-ES_tradnl" w:eastAsia="es-MX"/>
        </w:rPr>
        <w:t xml:space="preserve">De esta </w:t>
      </w:r>
      <w:r w:rsidRPr="00F31A35">
        <w:rPr>
          <w:rFonts w:ascii="Verdana" w:hAnsi="Verdana" w:cs="Arial"/>
        </w:rPr>
        <w:t xml:space="preserve">manera, antes de iniciar un procedimiento de selección, la Entidad Estatal podrá determinar con los estudios previos: i) la verdadera necesidad de la celebración del contrato; </w:t>
      </w:r>
      <w:proofErr w:type="spellStart"/>
      <w:r w:rsidRPr="00F31A35">
        <w:rPr>
          <w:rFonts w:ascii="Verdana" w:hAnsi="Verdana" w:cs="Arial"/>
        </w:rPr>
        <w:t>ii</w:t>
      </w:r>
      <w:proofErr w:type="spellEnd"/>
      <w:r w:rsidRPr="00F31A35">
        <w:rPr>
          <w:rFonts w:ascii="Verdana" w:hAnsi="Verdana" w:cs="Arial"/>
        </w:rPr>
        <w:t xml:space="preserve">) las modalidades existentes para satisfacer esa necesidad y las razones que justifiquen la modalidad o tipo contractual que se escoja; </w:t>
      </w:r>
      <w:proofErr w:type="spellStart"/>
      <w:r w:rsidRPr="00F31A35">
        <w:rPr>
          <w:rFonts w:ascii="Verdana" w:hAnsi="Verdana" w:cs="Arial"/>
        </w:rPr>
        <w:t>iii</w:t>
      </w:r>
      <w:proofErr w:type="spellEnd"/>
      <w:r w:rsidRPr="00F31A35">
        <w:rPr>
          <w:rFonts w:ascii="Verdana" w:hAnsi="Verdana" w:cs="Arial"/>
        </w:rPr>
        <w:t xml:space="preserve">) las calidades, especificaciones, cantidades y demás características que puedan o deban reunir los bienes, las obras o los servicios cuya contratación se haya determinado necesaria, </w:t>
      </w:r>
      <w:proofErr w:type="spellStart"/>
      <w:r w:rsidRPr="00F31A35">
        <w:rPr>
          <w:rFonts w:ascii="Verdana" w:hAnsi="Verdana" w:cs="Arial"/>
        </w:rPr>
        <w:t>iv</w:t>
      </w:r>
      <w:proofErr w:type="spellEnd"/>
      <w:r w:rsidRPr="00F31A35">
        <w:rPr>
          <w:rFonts w:ascii="Verdana"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31A35">
        <w:rPr>
          <w:rFonts w:ascii="Verdana" w:hAnsi="Verdana" w:cs="Arial"/>
        </w:rPr>
        <w:t>vii</w:t>
      </w:r>
      <w:proofErr w:type="spellEnd"/>
      <w:r w:rsidRPr="00F31A35">
        <w:rPr>
          <w:rFonts w:ascii="Verdana" w:hAnsi="Verdana" w:cs="Arial"/>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1C788E80" w14:textId="77777777" w:rsidR="00BB4885" w:rsidRPr="00F31A35" w:rsidRDefault="00BB4885" w:rsidP="00BB4885">
      <w:pPr>
        <w:spacing w:before="120" w:after="0" w:line="276" w:lineRule="auto"/>
        <w:ind w:firstLine="709"/>
        <w:jc w:val="both"/>
        <w:rPr>
          <w:rFonts w:ascii="Verdana" w:hAnsi="Verdana" w:cs="Arial"/>
        </w:rPr>
      </w:pPr>
      <w:r w:rsidRPr="00F31A35">
        <w:rPr>
          <w:rFonts w:ascii="Verdana" w:hAnsi="Verdana" w:cs="Arial"/>
        </w:rPr>
        <w:t>Mas allá del incumplimiento de la normativa, “los estudios y documentos previos son el soporte para elaborar el proyecto de pliegos, los pliegos de condiciones, y el contrato”</w:t>
      </w:r>
      <w:r w:rsidRPr="00F31A35">
        <w:rPr>
          <w:rStyle w:val="Refdenotaalpie"/>
          <w:rFonts w:ascii="Verdana" w:hAnsi="Verdana" w:cs="Arial"/>
        </w:rPr>
        <w:footnoteReference w:id="17"/>
      </w:r>
      <w:r w:rsidRPr="00F31A35">
        <w:rPr>
          <w:rFonts w:ascii="Verdana" w:hAnsi="Verdana" w:cs="Arial"/>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 Proceso de Contratación. Sin embargo, luego de la </w:t>
      </w:r>
      <w:r w:rsidRPr="00F31A35">
        <w:rPr>
          <w:rFonts w:ascii="Verdana" w:hAnsi="Verdana" w:cs="Arial"/>
        </w:rPr>
        <w:lastRenderedPageBreak/>
        <w:t>suscripción del contrato la entidad no debe actuar unilateralmente, sino que debe respetar la buena fe contractual y proceder de acuerdo con lo pactado</w:t>
      </w:r>
      <w:r w:rsidRPr="00F31A35">
        <w:rPr>
          <w:rStyle w:val="Refdenotaalpie"/>
          <w:rFonts w:ascii="Verdana" w:hAnsi="Verdana" w:cs="Arial"/>
        </w:rPr>
        <w:footnoteReference w:id="18"/>
      </w:r>
      <w:r w:rsidRPr="00F31A35">
        <w:rPr>
          <w:rFonts w:ascii="Verdana" w:hAnsi="Verdana" w:cs="Arial"/>
        </w:rPr>
        <w:t>.</w:t>
      </w:r>
    </w:p>
    <w:p w14:paraId="57FF7654" w14:textId="77777777" w:rsidR="00BB4885" w:rsidRPr="00F31A35" w:rsidRDefault="00BB4885" w:rsidP="00BB4885">
      <w:pPr>
        <w:spacing w:before="120" w:after="0" w:line="276" w:lineRule="auto"/>
        <w:ind w:firstLine="709"/>
        <w:jc w:val="both"/>
        <w:rPr>
          <w:rFonts w:ascii="Verdana" w:eastAsia="Times New Roman" w:hAnsi="Verdana" w:cs="Arial"/>
          <w:lang w:val="es-ES_tradnl" w:eastAsia="es-MX"/>
        </w:rPr>
      </w:pPr>
      <w:r w:rsidRPr="00F31A35">
        <w:rPr>
          <w:rFonts w:ascii="Verdana" w:hAnsi="Verdana" w:cs="Arial"/>
        </w:rPr>
        <w:t xml:space="preserve">En ese contexto,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2.2.1.1.1.6.1 del Decreto 1082 de 2015, constituye un insumo importante para determinar </w:t>
      </w:r>
      <w:r w:rsidRPr="00811596">
        <w:rPr>
          <w:rFonts w:ascii="Verdana" w:hAnsi="Verdana" w:cs="Arial"/>
          <w:u w:val="single"/>
        </w:rPr>
        <w:t>factores que pudieran determinar el valor del contrato</w:t>
      </w:r>
      <w:r w:rsidRPr="00F31A35">
        <w:rPr>
          <w:rFonts w:ascii="Verdana" w:hAnsi="Verdana" w:cs="Arial"/>
        </w:rPr>
        <w:t xml:space="preserve"> y orientar a la entidad en torno al monto de la disponibilidad presupuestal que requiere a realizar la contratación</w:t>
      </w:r>
      <w:r w:rsidRPr="00F31A35">
        <w:rPr>
          <w:rStyle w:val="Refdenotaalpie"/>
          <w:rFonts w:ascii="Verdana" w:hAnsi="Verdana" w:cs="Arial"/>
        </w:rPr>
        <w:footnoteReference w:id="19"/>
      </w:r>
      <w:r w:rsidRPr="00F31A35">
        <w:rPr>
          <w:rFonts w:ascii="Verdana" w:hAnsi="Verdana" w:cs="Arial"/>
        </w:rPr>
        <w:t>.</w:t>
      </w:r>
    </w:p>
    <w:p w14:paraId="7E6B4655" w14:textId="77777777" w:rsidR="00BB4885" w:rsidRDefault="00BB4885" w:rsidP="00BB4885">
      <w:pPr>
        <w:spacing w:before="120" w:after="120" w:line="276" w:lineRule="auto"/>
        <w:ind w:firstLine="709"/>
        <w:jc w:val="both"/>
        <w:rPr>
          <w:rFonts w:ascii="Verdana" w:hAnsi="Verdana" w:cs="Arial"/>
        </w:rPr>
      </w:pPr>
      <w:r w:rsidRPr="00F31A35">
        <w:rPr>
          <w:rFonts w:ascii="Verdana" w:hAnsi="Verdana" w:cs="Arial"/>
        </w:rPr>
        <w:t>Ahora bien, pese a que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son autónomas para estructurarlo, para lo cual deberán cumplir lo dispuesto en el artículo 2.2.1.1.1.6.1 del Decreto 1082 de 2015 y realizar un análisis integral de planeación que sirva de sustento a la decisión de realizar un Proceso de Contratación. En línea con lo anterior, la Agencia Nacional de Contratación Pública – Colombia Compra Eficiente elaboró la “Guía para la Elaboración de Estudios del Sector”</w:t>
      </w:r>
      <w:r w:rsidRPr="00F31A35">
        <w:rPr>
          <w:rStyle w:val="Refdenotaalpie"/>
          <w:rFonts w:ascii="Verdana" w:hAnsi="Verdana" w:cs="Arial"/>
        </w:rPr>
        <w:footnoteReference w:id="20"/>
      </w:r>
      <w:r w:rsidRPr="00F31A35">
        <w:rPr>
          <w:rFonts w:ascii="Verdana" w:hAnsi="Verdana" w:cs="Arial"/>
        </w:rPr>
        <w:t xml:space="preserve">, instrumento que sirve de apoyo para entender el mercado del bien, obra o servicio que la Entidad Estatal pretende adquirir para diseñar el Proceso de Contratación con la información necesaria para alcanzar los objetivos </w:t>
      </w:r>
      <w:r w:rsidRPr="00F31A35">
        <w:rPr>
          <w:rFonts w:ascii="Verdana" w:hAnsi="Verdana" w:cs="Arial"/>
        </w:rPr>
        <w:lastRenderedPageBreak/>
        <w:t>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74763891" w14:textId="77777777" w:rsidR="00BB4885" w:rsidRPr="00F252D7" w:rsidRDefault="00BB4885" w:rsidP="00BB4885">
      <w:pPr>
        <w:spacing w:after="120" w:line="276" w:lineRule="auto"/>
        <w:ind w:firstLine="708"/>
        <w:contextualSpacing/>
        <w:jc w:val="both"/>
        <w:rPr>
          <w:rFonts w:ascii="Verdana" w:eastAsia="Calibri" w:hAnsi="Verdana" w:cs="Arial"/>
          <w:szCs w:val="24"/>
          <w:lang w:val="es-ES" w:eastAsia="es-ES_tradnl"/>
        </w:rPr>
      </w:pP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7664FF18" w14:textId="77777777" w:rsidR="00BB4885" w:rsidRPr="00F252D7" w:rsidRDefault="00BB4885" w:rsidP="00BB4885">
      <w:pPr>
        <w:ind w:left="720"/>
        <w:contextualSpacing/>
        <w:rPr>
          <w:rFonts w:ascii="Verdana" w:eastAsia="Calibri" w:hAnsi="Verdana" w:cs="Arial"/>
          <w:szCs w:val="24"/>
          <w:lang w:val="es-ES" w:eastAsia="es-ES_tradnl"/>
        </w:rPr>
      </w:pPr>
    </w:p>
    <w:p w14:paraId="1B9B35A1" w14:textId="77777777" w:rsidR="00BB4885" w:rsidRPr="00F252D7" w:rsidRDefault="00BB4885" w:rsidP="00BB4885">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ES" w:eastAsia="es-ES_tradnl"/>
        </w:rPr>
        <w:t>“</w:t>
      </w:r>
      <w:r w:rsidRPr="00F252D7">
        <w:rPr>
          <w:rFonts w:ascii="Verdana" w:eastAsia="Times New Roman" w:hAnsi="Verdana" w:cs="Arial"/>
          <w:sz w:val="21"/>
          <w:szCs w:val="21"/>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2C652959" w14:textId="77777777" w:rsidR="00BB4885" w:rsidRPr="00F252D7" w:rsidRDefault="00BB4885" w:rsidP="00BB4885">
      <w:pPr>
        <w:spacing w:after="0" w:line="276" w:lineRule="auto"/>
        <w:ind w:left="709" w:right="709"/>
        <w:contextualSpacing/>
        <w:jc w:val="both"/>
        <w:rPr>
          <w:rFonts w:ascii="Verdana" w:eastAsia="Times New Roman" w:hAnsi="Verdana" w:cs="Arial"/>
          <w:sz w:val="21"/>
          <w:szCs w:val="21"/>
          <w:lang w:val="es-MX" w:eastAsia="es-ES_tradnl"/>
        </w:rPr>
      </w:pPr>
    </w:p>
    <w:p w14:paraId="3FEFF63A" w14:textId="77777777" w:rsidR="00BB4885" w:rsidRPr="00F252D7" w:rsidRDefault="00BB4885" w:rsidP="00BB4885">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w:t>
      </w:r>
      <w:r w:rsidRPr="00F252D7">
        <w:rPr>
          <w:rFonts w:ascii="Verdana" w:eastAsia="Times New Roman" w:hAnsi="Verdana" w:cs="Arial"/>
          <w:sz w:val="21"/>
          <w:szCs w:val="21"/>
          <w:vertAlign w:val="superscript"/>
          <w:lang w:val="es-MX" w:eastAsia="es-ES_tradnl"/>
        </w:rPr>
        <w:footnoteReference w:id="21"/>
      </w:r>
      <w:r w:rsidRPr="00F252D7">
        <w:rPr>
          <w:rFonts w:ascii="Verdana" w:eastAsia="Times New Roman" w:hAnsi="Verdana" w:cs="Arial"/>
          <w:sz w:val="21"/>
          <w:szCs w:val="21"/>
          <w:lang w:val="es-MX" w:eastAsia="es-ES_tradnl"/>
        </w:rPr>
        <w:t>.</w:t>
      </w:r>
    </w:p>
    <w:p w14:paraId="73C5E011" w14:textId="77777777" w:rsidR="00BB4885" w:rsidRPr="00F31A35" w:rsidRDefault="00BB4885" w:rsidP="00BB4885">
      <w:pPr>
        <w:spacing w:before="120"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En ese sentido, las entidades públicas determinan el monto de los honorarios de los contratos de prestación de servicios profesionales, de apoyo a </w:t>
      </w:r>
      <w:r w:rsidRPr="00F31A35">
        <w:rPr>
          <w:rFonts w:ascii="Verdana" w:eastAsia="Calibri" w:hAnsi="Verdana" w:cs="Arial"/>
          <w:bCs/>
          <w:color w:val="000000"/>
          <w:kern w:val="2"/>
          <w14:ligatures w14:val="standardContextual"/>
        </w:rPr>
        <w:lastRenderedPageBreak/>
        <w:t xml:space="preserve">la gestión y trabajos artísticos de conformidad con lo establecido en el análisis del sector y en los documentos o estudios previos. </w:t>
      </w:r>
      <w:bookmarkStart w:id="3" w:name="_Hlk139612360"/>
      <w:r w:rsidRPr="00F31A35">
        <w:rPr>
          <w:rFonts w:ascii="Verdana" w:eastAsia="Calibri" w:hAnsi="Verdana" w:cs="Arial"/>
          <w:bCs/>
          <w:color w:val="000000"/>
          <w:kern w:val="2"/>
          <w14:ligatures w14:val="standardContextual"/>
        </w:rPr>
        <w:t>Finalmente, se resalta que en la Ley 80 de 1993, Ley 1150 de 2007 y en el Decreto 1082 de 2015 no se encuentran disposiciones que establezcan la obligatoriedad</w:t>
      </w:r>
      <w:bookmarkStart w:id="4" w:name="_Hlk139612160"/>
      <w:r w:rsidRPr="0037766C">
        <w:rPr>
          <w:rFonts w:ascii="Verdana" w:eastAsia="Calibri" w:hAnsi="Verdana" w:cs="Arial"/>
          <w:bCs/>
          <w:color w:val="000000"/>
          <w:kern w:val="2"/>
          <w14:ligatures w14:val="standardContextual"/>
        </w:rPr>
        <w:t xml:space="preserve"> de implementar tablas de honorarios o estandarizar perfiles para los contratos de prestación de servicios, lo anterior, no significa que las entidades no puedan hacerlo</w:t>
      </w:r>
      <w:r w:rsidRPr="00F31A35">
        <w:rPr>
          <w:rFonts w:ascii="Verdana" w:eastAsia="Calibri" w:hAnsi="Verdana" w:cs="Arial"/>
          <w:bCs/>
          <w:color w:val="000000"/>
          <w:kern w:val="2"/>
          <w14:ligatures w14:val="standardContextual"/>
        </w:rPr>
        <w:t>.</w:t>
      </w:r>
      <w:bookmarkEnd w:id="3"/>
      <w:r>
        <w:rPr>
          <w:rFonts w:ascii="Verdana" w:eastAsia="Calibri" w:hAnsi="Verdana" w:cs="Arial"/>
          <w:bCs/>
          <w:color w:val="000000"/>
          <w:kern w:val="2"/>
          <w14:ligatures w14:val="standardContextual"/>
        </w:rPr>
        <w:t xml:space="preserve"> Esta conclusión se entiende consecuente de lo establecido por la norma frente a la determinación de los honorarios de los contratistas de prestación de servicios, ya que esta determinación proviene de la etapa de planeación realizada por la entidad estatal contratante y no específicamente de una tabla de honorarios o base de perfiles estandarizados establecidos previamente. No obstante, teniendo en cuenta que no se prohíbe la realización de alguna de las anteriores, las entidades pueden establecer una u otra con base en las contrataciones a realizar y con el fin de agilizar la etapa de planeación en virtud de la celeridad que se promueve en la contratación estatal y en aras de cumplir con los fines del estado.</w:t>
      </w:r>
    </w:p>
    <w:bookmarkEnd w:id="4"/>
    <w:p w14:paraId="0931D395" w14:textId="77777777" w:rsidR="00BB4885" w:rsidRPr="0062139C" w:rsidRDefault="00BB4885" w:rsidP="00BB4885">
      <w:pPr>
        <w:spacing w:after="0" w:line="276" w:lineRule="auto"/>
        <w:jc w:val="both"/>
        <w:rPr>
          <w:rFonts w:ascii="Verdana" w:eastAsia="Century Gothic" w:hAnsi="Verdana" w:cs="Century Gothic"/>
        </w:rPr>
      </w:pPr>
    </w:p>
    <w:p w14:paraId="578EA1B7" w14:textId="77777777" w:rsidR="00BB4885" w:rsidRPr="00E4307F" w:rsidRDefault="00BB4885" w:rsidP="00BB488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Referencias normativas, jurisprudenciales y otras fuentes:</w:t>
      </w:r>
    </w:p>
    <w:p w14:paraId="15DED83A" w14:textId="77777777" w:rsidR="00BB4885" w:rsidRPr="00E4307F" w:rsidRDefault="00BB4885" w:rsidP="00BB4885">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B4885" w:rsidRPr="00E4307F" w14:paraId="20D47F57" w14:textId="77777777" w:rsidTr="001E4F93">
        <w:trPr>
          <w:trHeight w:val="870"/>
        </w:trPr>
        <w:tc>
          <w:tcPr>
            <w:tcW w:w="8647" w:type="dxa"/>
            <w:tcBorders>
              <w:top w:val="dotted" w:sz="4" w:space="0" w:color="auto"/>
              <w:left w:val="dotted" w:sz="4" w:space="0" w:color="auto"/>
              <w:bottom w:val="dotted" w:sz="4" w:space="0" w:color="auto"/>
              <w:right w:val="dotted" w:sz="4" w:space="0" w:color="auto"/>
            </w:tcBorders>
          </w:tcPr>
          <w:p w14:paraId="2119EE62"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rPr>
            </w:pPr>
            <w:r w:rsidRPr="008B63B4">
              <w:rPr>
                <w:rFonts w:ascii="Verdana" w:hAnsi="Verdana" w:cs="Arial"/>
              </w:rPr>
              <w:t>Código Sustantivo del Trabajo: artículo 22.</w:t>
            </w:r>
          </w:p>
          <w:p w14:paraId="7ADAD9C0"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lang w:val="es-CO"/>
              </w:rPr>
            </w:pPr>
            <w:r w:rsidRPr="008B63B4">
              <w:rPr>
                <w:rFonts w:ascii="Verdana" w:hAnsi="Verdana" w:cs="Arial"/>
                <w:lang w:val="es-ES_tradnl"/>
              </w:rPr>
              <w:t xml:space="preserve">Ley 80 de 1993: artículos 14 numeral 2º, </w:t>
            </w:r>
            <w:r>
              <w:rPr>
                <w:rFonts w:ascii="Verdana" w:hAnsi="Verdana" w:cs="Arial"/>
                <w:lang w:val="es-ES_tradnl"/>
              </w:rPr>
              <w:t xml:space="preserve">25, </w:t>
            </w:r>
            <w:r w:rsidRPr="008B63B4">
              <w:rPr>
                <w:rFonts w:ascii="Verdana" w:hAnsi="Verdana" w:cs="Arial"/>
                <w:lang w:val="es-ES_tradnl"/>
              </w:rPr>
              <w:t>32 numeral 3º, y 60.</w:t>
            </w:r>
          </w:p>
          <w:p w14:paraId="38E084C6"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lang w:val="es-CO"/>
              </w:rPr>
            </w:pPr>
            <w:r w:rsidRPr="008B63B4">
              <w:rPr>
                <w:rFonts w:ascii="Verdana" w:hAnsi="Verdana" w:cs="Arial"/>
                <w:lang w:val="es-ES_tradnl"/>
              </w:rPr>
              <w:t>Ley 1150 de 2007: artículos 2 numeral 4º literal h), 6</w:t>
            </w:r>
          </w:p>
          <w:p w14:paraId="18527AAC"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lang w:val="es-CO"/>
              </w:rPr>
            </w:pPr>
            <w:r w:rsidRPr="008B63B4">
              <w:rPr>
                <w:rFonts w:ascii="Verdana" w:hAnsi="Verdana" w:cs="Arial"/>
                <w:lang w:val="es-ES_tradnl"/>
              </w:rPr>
              <w:t>Decreto 019 de 2012: artículo 217, que modificó el artículo 60 de la Ley 80 de 1993.</w:t>
            </w:r>
          </w:p>
          <w:p w14:paraId="2F38CAB0"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rPr>
            </w:pPr>
            <w:r w:rsidRPr="008B63B4">
              <w:rPr>
                <w:rFonts w:ascii="Verdana" w:hAnsi="Verdana" w:cs="Arial"/>
              </w:rPr>
              <w:t xml:space="preserve">Decreto 1068 de 2015: </w:t>
            </w:r>
            <w:r>
              <w:rPr>
                <w:rFonts w:ascii="Verdana" w:hAnsi="Verdana" w:cs="Arial"/>
              </w:rPr>
              <w:t>“</w:t>
            </w:r>
            <w:r w:rsidRPr="008B63B4">
              <w:rPr>
                <w:rFonts w:ascii="Verdana" w:hAnsi="Verdana" w:cs="Arial"/>
              </w:rPr>
              <w:t>Artículo 2.8.4.4.5.</w:t>
            </w:r>
          </w:p>
          <w:p w14:paraId="30C4903D" w14:textId="77777777" w:rsidR="00BB4885" w:rsidRPr="008B63B4" w:rsidRDefault="00BB4885" w:rsidP="001E4F93">
            <w:pPr>
              <w:pStyle w:val="Prrafodelista"/>
              <w:widowControl w:val="0"/>
              <w:numPr>
                <w:ilvl w:val="0"/>
                <w:numId w:val="17"/>
              </w:numPr>
              <w:autoSpaceDE w:val="0"/>
              <w:autoSpaceDN w:val="0"/>
              <w:spacing w:before="120" w:after="120" w:line="276" w:lineRule="auto"/>
              <w:jc w:val="both"/>
              <w:rPr>
                <w:rFonts w:ascii="Verdana" w:hAnsi="Verdana" w:cs="Arial"/>
                <w:lang w:val="es-CO"/>
              </w:rPr>
            </w:pPr>
            <w:r w:rsidRPr="008B63B4">
              <w:rPr>
                <w:rFonts w:ascii="Verdana" w:hAnsi="Verdana" w:cs="Arial"/>
              </w:rPr>
              <w:t xml:space="preserve">Decreto 1082 de 2015: Artículos </w:t>
            </w:r>
            <w:r w:rsidRPr="00F31A35">
              <w:rPr>
                <w:rFonts w:ascii="Verdana" w:hAnsi="Verdana" w:cs="Arial"/>
              </w:rPr>
              <w:t>2.2.1.1.2.1.1</w:t>
            </w:r>
            <w:r>
              <w:rPr>
                <w:rFonts w:ascii="Verdana" w:hAnsi="Verdana" w:cs="Arial"/>
              </w:rPr>
              <w:t xml:space="preserve"> </w:t>
            </w:r>
            <w:r w:rsidRPr="00F31A35">
              <w:rPr>
                <w:rFonts w:ascii="Verdana" w:hAnsi="Verdana" w:cs="Arial"/>
              </w:rPr>
              <w:t>numerales 2</w:t>
            </w:r>
            <w:r>
              <w:rPr>
                <w:rFonts w:ascii="Verdana" w:hAnsi="Verdana" w:cs="Arial"/>
              </w:rPr>
              <w:t>°</w:t>
            </w:r>
            <w:r w:rsidRPr="00F31A35">
              <w:rPr>
                <w:rFonts w:ascii="Verdana" w:hAnsi="Verdana" w:cs="Arial"/>
              </w:rPr>
              <w:t xml:space="preserve"> y 4</w:t>
            </w:r>
            <w:r>
              <w:rPr>
                <w:rFonts w:ascii="Verdana" w:hAnsi="Verdana" w:cs="Arial"/>
              </w:rPr>
              <w:t xml:space="preserve">°, </w:t>
            </w:r>
            <w:r w:rsidRPr="00F31A35">
              <w:rPr>
                <w:rFonts w:ascii="Verdana" w:hAnsi="Verdana" w:cs="Arial"/>
              </w:rPr>
              <w:t>2.2.1.1.1.6.1</w:t>
            </w:r>
            <w:r>
              <w:rPr>
                <w:rFonts w:ascii="Verdana" w:hAnsi="Verdana" w:cs="Arial"/>
              </w:rPr>
              <w:t xml:space="preserve">, </w:t>
            </w:r>
            <w:r w:rsidRPr="008B63B4">
              <w:rPr>
                <w:rFonts w:ascii="Verdana" w:hAnsi="Verdana" w:cs="Arial"/>
              </w:rPr>
              <w:t>2.2.1.2.1.4.1, 2.2.1.2.1.4.5, y 2.2.1.2.1.4.9.</w:t>
            </w:r>
            <w:r>
              <w:rPr>
                <w:rFonts w:ascii="Verdana" w:hAnsi="Verdana" w:cs="Arial"/>
              </w:rPr>
              <w:t xml:space="preserve"> </w:t>
            </w:r>
          </w:p>
          <w:p w14:paraId="7FDE46E1" w14:textId="77777777" w:rsidR="00BB4885" w:rsidRPr="00D70ACE" w:rsidRDefault="00BB4885" w:rsidP="001E4F93">
            <w:pPr>
              <w:pStyle w:val="Prrafodelista"/>
              <w:widowControl w:val="0"/>
              <w:numPr>
                <w:ilvl w:val="0"/>
                <w:numId w:val="17"/>
              </w:numPr>
              <w:autoSpaceDE w:val="0"/>
              <w:autoSpaceDN w:val="0"/>
              <w:spacing w:before="120" w:after="120" w:line="276" w:lineRule="auto"/>
              <w:rPr>
                <w:rFonts w:ascii="Verdana" w:hAnsi="Verdana" w:cs="Arial"/>
              </w:rPr>
            </w:pPr>
            <w:r w:rsidRPr="001E2FFC">
              <w:rPr>
                <w:rFonts w:ascii="Verdana" w:hAnsi="Verdana" w:cs="Arial"/>
                <w:lang w:val="pt-PT"/>
              </w:rPr>
              <w:t xml:space="preserve">CORTE CONSTITUCIONAL. Sentencia C-154 de 1997. </w:t>
            </w:r>
            <w:r w:rsidRPr="00D70ACE">
              <w:rPr>
                <w:rFonts w:ascii="Verdana" w:hAnsi="Verdana" w:cs="Arial"/>
              </w:rPr>
              <w:t>Magistrado Ponente: Hernando Herrera Vergara.</w:t>
            </w:r>
          </w:p>
          <w:p w14:paraId="0D5213F6" w14:textId="77777777" w:rsidR="00BB4885" w:rsidRPr="00B57BCE" w:rsidRDefault="00BB4885" w:rsidP="001E4F93">
            <w:pPr>
              <w:pStyle w:val="Textoindependiente"/>
              <w:widowControl w:val="0"/>
              <w:numPr>
                <w:ilvl w:val="0"/>
                <w:numId w:val="17"/>
              </w:numPr>
              <w:tabs>
                <w:tab w:val="left" w:pos="816"/>
                <w:tab w:val="left" w:pos="817"/>
              </w:tabs>
              <w:autoSpaceDE w:val="0"/>
              <w:autoSpaceDN w:val="0"/>
              <w:spacing w:before="120" w:after="0"/>
              <w:rPr>
                <w:rFonts w:ascii="Verdana" w:eastAsia="Calibri" w:hAnsi="Verdana" w:cs="Arial"/>
                <w:color w:val="000000" w:themeColor="text1"/>
              </w:rPr>
            </w:pPr>
            <w:r w:rsidRPr="008B63B4">
              <w:rPr>
                <w:rFonts w:ascii="Verdana" w:hAnsi="Verdana" w:cs="Arial"/>
              </w:rPr>
              <w:t xml:space="preserve">CONSEJO DE ESTADO. Sección Tercera. Subsección C. Sentencia del 2 de diciembre de 2013. </w:t>
            </w:r>
            <w:proofErr w:type="spellStart"/>
            <w:r w:rsidRPr="008B63B4">
              <w:rPr>
                <w:rFonts w:ascii="Verdana" w:hAnsi="Verdana" w:cs="Arial"/>
              </w:rPr>
              <w:t>Exp</w:t>
            </w:r>
            <w:proofErr w:type="spellEnd"/>
            <w:r w:rsidRPr="008B63B4">
              <w:rPr>
                <w:rFonts w:ascii="Verdana" w:hAnsi="Verdana" w:cs="Arial"/>
              </w:rPr>
              <w:t>. 41719. Consejero Ponente: Jaime Orlando Santofimio Gamboa.</w:t>
            </w:r>
          </w:p>
        </w:tc>
      </w:tr>
    </w:tbl>
    <w:p w14:paraId="1325DE36" w14:textId="77777777" w:rsidR="00BB4885" w:rsidRPr="00E4307F" w:rsidRDefault="00BB4885" w:rsidP="00BB4885">
      <w:pPr>
        <w:widowControl w:val="0"/>
        <w:autoSpaceDE w:val="0"/>
        <w:autoSpaceDN w:val="0"/>
        <w:spacing w:after="0" w:line="276" w:lineRule="auto"/>
        <w:jc w:val="both"/>
        <w:rPr>
          <w:rFonts w:ascii="Verdana" w:hAnsi="Verdana" w:cs="Arial"/>
        </w:rPr>
      </w:pPr>
    </w:p>
    <w:p w14:paraId="2ECA7A89" w14:textId="77777777" w:rsidR="00BB4885" w:rsidRDefault="00BB4885" w:rsidP="00BB488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Doctrina de la Agencia Nacional de Contratación Pública:</w:t>
      </w:r>
    </w:p>
    <w:p w14:paraId="28CBA719" w14:textId="77777777" w:rsidR="00BB4885" w:rsidRDefault="00BB4885" w:rsidP="00BB4885">
      <w:pPr>
        <w:pStyle w:val="Prrafodelista"/>
        <w:tabs>
          <w:tab w:val="left" w:pos="142"/>
          <w:tab w:val="left" w:pos="284"/>
        </w:tabs>
        <w:spacing w:after="0" w:line="276" w:lineRule="auto"/>
        <w:ind w:left="0"/>
        <w:jc w:val="both"/>
        <w:rPr>
          <w:rFonts w:ascii="Verdana" w:eastAsia="Century Gothic" w:hAnsi="Verdana" w:cs="Century Gothic"/>
          <w:b/>
          <w:bCs/>
        </w:rPr>
      </w:pPr>
    </w:p>
    <w:p w14:paraId="27D62EF1" w14:textId="77777777" w:rsidR="00BB4885" w:rsidRPr="001532C8" w:rsidRDefault="00BB4885" w:rsidP="00BB488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A05DA">
        <w:rPr>
          <w:rStyle w:val="normaltextrun"/>
          <w:rFonts w:ascii="Verdana" w:hAnsi="Verdana" w:cs="Arial"/>
          <w:shd w:val="clear" w:color="auto" w:fill="FFFFFF"/>
          <w:lang w:val="es-ES"/>
        </w:rPr>
        <w:t xml:space="preserve">Sobre </w:t>
      </w:r>
      <w:r w:rsidRPr="009A05DA">
        <w:rPr>
          <w:rFonts w:ascii="Verdana" w:hAnsi="Verdana" w:cs="Arial"/>
          <w:bCs/>
          <w:shd w:val="clear" w:color="auto" w:fill="FFFFFF"/>
        </w:rPr>
        <w:t>los contratos de prestación de servicios, así como los requisitos para su celebración, entre otros,</w:t>
      </w:r>
      <w:r w:rsidRPr="009A05DA">
        <w:rPr>
          <w:rStyle w:val="normaltextrun"/>
          <w:rFonts w:ascii="Verdana" w:hAnsi="Verdana" w:cs="Arial"/>
          <w:shd w:val="clear" w:color="auto" w:fill="FFFFFF"/>
          <w:lang w:val="es-ES"/>
        </w:rPr>
        <w:t xml:space="preserve"> se pronunció esta Subdirección en los conceptos</w:t>
      </w:r>
      <w:r w:rsidRPr="009A05DA">
        <w:rPr>
          <w:rStyle w:val="normaltextrun"/>
          <w:rFonts w:ascii="Verdana" w:hAnsi="Verdana" w:cs="Calibri"/>
          <w:shd w:val="clear" w:color="auto" w:fill="FFFFFF"/>
        </w:rPr>
        <w:t xml:space="preserve"> </w:t>
      </w:r>
      <w:r w:rsidRPr="009A05DA">
        <w:rPr>
          <w:rStyle w:val="normaltextrun"/>
          <w:rFonts w:ascii="Verdana" w:hAnsi="Verdana" w:cs="Arial"/>
          <w:shd w:val="clear" w:color="auto" w:fill="FFFFFF"/>
          <w:lang w:val="es-ES"/>
        </w:rPr>
        <w:lastRenderedPageBreak/>
        <w:t xml:space="preserve">4201912000006026 de 1° de octubre de 2019, C–047 del 18 de febrero de 2020, C–071 del 4 de marzo de 2020, C–188 del 13 de abril de 2020, C–005, 006, 018 y 138 del 11 de mayo de 2020, C–053, 175, 255, 282, 293 y 320 del 12 de mayo de 2020, C–288 del 27 de mayo de 2020, C–345 del 23 de junio de 2020, C–484 del 6 de agosto de 2020,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del 25 de mayo de 2023 y C-414 del 11 de septiembre de 2024, entre otros. </w:t>
      </w:r>
      <w:r>
        <w:rPr>
          <w:rStyle w:val="normaltextrun"/>
          <w:rFonts w:ascii="Verdana" w:hAnsi="Verdana" w:cs="Arial"/>
          <w:shd w:val="clear" w:color="auto" w:fill="FFFFFF"/>
          <w:lang w:val="es-ES"/>
        </w:rPr>
        <w:t xml:space="preserve">Igualmente, sobre la fijación de honorarios en los contratos de prestación de servicios, se pronunció esta Subdirección en los conceptos </w:t>
      </w:r>
      <w:r w:rsidRPr="00FD4F8B">
        <w:rPr>
          <w:rStyle w:val="normaltextrun"/>
          <w:rFonts w:ascii="Verdana" w:hAnsi="Verdana" w:cs="Arial"/>
          <w:shd w:val="clear" w:color="auto" w:fill="FFFFFF"/>
          <w:lang w:val="es-ES"/>
        </w:rPr>
        <w:t>C-102</w:t>
      </w:r>
      <w:r>
        <w:rPr>
          <w:rStyle w:val="normaltextrun"/>
          <w:rFonts w:ascii="Verdana" w:hAnsi="Verdana" w:cs="Arial"/>
          <w:shd w:val="clear" w:color="auto" w:fill="FFFFFF"/>
          <w:lang w:val="es-ES"/>
        </w:rPr>
        <w:t xml:space="preserve"> del 4 de mayo de 2023 y C-272 del 13 de julio de 2023, entre otros. </w:t>
      </w:r>
      <w:r w:rsidRPr="001532C8">
        <w:rPr>
          <w:rStyle w:val="normaltextrun"/>
          <w:rFonts w:ascii="Verdana" w:hAnsi="Verdana" w:cs="Arial"/>
          <w:shd w:val="clear" w:color="auto" w:fill="FFFFFF"/>
          <w:lang w:val="es-ES"/>
        </w:rPr>
        <w:t>Es</w:t>
      </w:r>
      <w:r w:rsidRPr="001532C8">
        <w:rPr>
          <w:rFonts w:ascii="Verdana" w:hAnsi="Verdana"/>
        </w:rPr>
        <w:t>tos y otros conceptos se encuentran disponibles para consulta en el Sistema de relatoría de la Agencia, al cual se puede acceder a través del siguiente enlace:</w:t>
      </w:r>
      <w:r w:rsidRPr="001532C8">
        <w:rPr>
          <w:rStyle w:val="normaltextrun"/>
          <w:rFonts w:ascii="Verdana" w:hAnsi="Verdana" w:cs="Arial"/>
          <w:shd w:val="clear" w:color="auto" w:fill="FFFFFF"/>
          <w:lang w:val="es-ES"/>
        </w:rPr>
        <w:t xml:space="preserve"> </w:t>
      </w:r>
      <w:hyperlink r:id="rId13" w:history="1">
        <w:r w:rsidRPr="001532C8">
          <w:rPr>
            <w:rStyle w:val="Hipervnculo"/>
            <w:rFonts w:ascii="Verdana" w:hAnsi="Verdana" w:cs="Arial"/>
            <w:shd w:val="clear" w:color="auto" w:fill="FFFFFF"/>
            <w:lang w:val="es-ES"/>
          </w:rPr>
          <w:t>https://relatoria.colombiacompra.gov.co/busqueda/conceptos</w:t>
        </w:r>
      </w:hyperlink>
    </w:p>
    <w:p w14:paraId="5ED3AA9E" w14:textId="77777777" w:rsidR="00BB4885" w:rsidRPr="00A35C49" w:rsidRDefault="00BB4885" w:rsidP="00BB4885">
      <w:pPr>
        <w:pStyle w:val="Prrafodelista"/>
        <w:tabs>
          <w:tab w:val="left" w:pos="142"/>
          <w:tab w:val="left" w:pos="284"/>
        </w:tabs>
        <w:spacing w:after="0" w:line="276" w:lineRule="auto"/>
        <w:ind w:left="0"/>
        <w:jc w:val="both"/>
        <w:rPr>
          <w:rFonts w:ascii="Verdana" w:hAnsi="Verdana"/>
        </w:rPr>
      </w:pPr>
    </w:p>
    <w:p w14:paraId="79454BC8" w14:textId="77777777" w:rsidR="00BB4885" w:rsidRPr="00E16F2A" w:rsidRDefault="00BB4885" w:rsidP="00BB4885">
      <w:pPr>
        <w:spacing w:after="0" w:line="240" w:lineRule="auto"/>
        <w:jc w:val="both"/>
        <w:rPr>
          <w:rFonts w:ascii="Verdana" w:eastAsia="Calibri" w:hAnsi="Verdana" w:cs="Arial"/>
          <w:color w:val="000000" w:themeColor="text1"/>
        </w:rPr>
      </w:pPr>
    </w:p>
    <w:p w14:paraId="7279366F" w14:textId="77777777" w:rsidR="00BB4885" w:rsidRDefault="00BB4885" w:rsidP="00BB4885">
      <w:pPr>
        <w:spacing w:after="0" w:line="276" w:lineRule="auto"/>
        <w:jc w:val="both"/>
        <w:rPr>
          <w:rFonts w:ascii="Verdana" w:eastAsia="Calibri" w:hAnsi="Verdana" w:cs="Arial"/>
          <w:color w:val="000000" w:themeColor="text1"/>
        </w:rPr>
      </w:pPr>
      <w:r w:rsidRPr="001E2FFC">
        <w:rPr>
          <w:rFonts w:ascii="Verdana" w:eastAsia="Calibri" w:hAnsi="Verdana" w:cs="Arial"/>
          <w:color w:val="000000" w:themeColor="text1"/>
        </w:rPr>
        <w:t>Te informamos que ya se encuentra disponible la </w:t>
      </w:r>
      <w:r w:rsidRPr="001E2FFC">
        <w:rPr>
          <w:rFonts w:ascii="Verdana" w:eastAsia="Calibri" w:hAnsi="Verdana" w:cs="Arial"/>
          <w:b/>
          <w:bCs/>
          <w:color w:val="000000" w:themeColor="text1"/>
        </w:rPr>
        <w:t>Cartilla para incentivar y fortalecer el acceso a las compras y contratación pública de los pueblos y comunidades étnicas en Colombia.</w:t>
      </w:r>
      <w:r w:rsidRPr="001E2FFC">
        <w:rPr>
          <w:rFonts w:ascii="Verdana" w:eastAsia="Calibri" w:hAnsi="Verdana" w:cs="Arial"/>
          <w:color w:val="000000" w:themeColor="text1"/>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1E2FFC">
          <w:rPr>
            <w:rStyle w:val="Hipervnculo"/>
            <w:rFonts w:ascii="Verdana" w:eastAsia="Calibri" w:hAnsi="Verdana" w:cs="Arial"/>
          </w:rPr>
          <w:t>Cartilla para incentivar y fortalecer el acceso a las compras y contratación pública de los pueblos y comunidades étnicas en Colombia | Colombia Compra Eficiente | Agencia Nacional de Contratación Pública</w:t>
        </w:r>
      </w:hyperlink>
    </w:p>
    <w:p w14:paraId="2F2A270D" w14:textId="77777777" w:rsidR="00BB4885" w:rsidRPr="001E2FFC" w:rsidRDefault="00BB4885" w:rsidP="00BB4885">
      <w:pPr>
        <w:spacing w:after="0" w:line="276" w:lineRule="auto"/>
        <w:jc w:val="both"/>
        <w:rPr>
          <w:rFonts w:ascii="Verdana" w:eastAsia="Calibri" w:hAnsi="Verdana" w:cs="Arial"/>
          <w:color w:val="000000" w:themeColor="text1"/>
        </w:rPr>
      </w:pPr>
    </w:p>
    <w:p w14:paraId="7F28F8C2" w14:textId="77777777" w:rsidR="00BB4885" w:rsidRDefault="00BB4885" w:rsidP="00BB4885">
      <w:pPr>
        <w:spacing w:after="0" w:line="276" w:lineRule="auto"/>
        <w:jc w:val="both"/>
        <w:rPr>
          <w:rFonts w:ascii="Verdana" w:eastAsia="Calibri" w:hAnsi="Verdana" w:cs="Arial"/>
          <w:color w:val="000000" w:themeColor="text1"/>
        </w:rPr>
      </w:pPr>
      <w:r w:rsidRPr="001E2FFC">
        <w:rPr>
          <w:rFonts w:ascii="Verdana" w:eastAsia="Calibri" w:hAnsi="Verdana" w:cs="Arial"/>
          <w:color w:val="000000" w:themeColor="text1"/>
        </w:rPr>
        <w:t>De otra parte, te informamos que, con el objetivo de garantizar un conocimiento adecuado de las </w:t>
      </w:r>
      <w:r w:rsidRPr="001E2FFC">
        <w:rPr>
          <w:rFonts w:ascii="Verdana" w:eastAsia="Calibri" w:hAnsi="Verdana" w:cs="Arial"/>
          <w:b/>
          <w:bCs/>
          <w:color w:val="000000" w:themeColor="text1"/>
        </w:rPr>
        <w:t>modificaciones y/o actualizaciones realizadas a los Documentos Tipo</w:t>
      </w:r>
      <w:r w:rsidRPr="001E2FFC">
        <w:rPr>
          <w:rFonts w:ascii="Verdana" w:eastAsia="Calibri" w:hAnsi="Verdana" w:cs="Arial"/>
          <w:color w:val="000000" w:themeColor="text1"/>
        </w:rPr>
        <w:t>, hemos programado una serie de </w:t>
      </w:r>
      <w:r w:rsidRPr="001E2FFC">
        <w:rPr>
          <w:rFonts w:ascii="Verdana" w:eastAsia="Calibri" w:hAnsi="Verdana" w:cs="Arial"/>
          <w:b/>
          <w:bCs/>
          <w:color w:val="000000" w:themeColor="text1"/>
        </w:rPr>
        <w:t>capacitaciones </w:t>
      </w:r>
      <w:r w:rsidRPr="001E2FFC">
        <w:rPr>
          <w:rFonts w:ascii="Verdana" w:eastAsia="Calibri" w:hAnsi="Verdana" w:cs="Arial"/>
          <w:color w:val="000000" w:themeColor="text1"/>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1E2FFC">
          <w:rPr>
            <w:rStyle w:val="Hipervnculo"/>
            <w:rFonts w:ascii="Verdana" w:eastAsia="Calibri" w:hAnsi="Verdana" w:cs="Arial"/>
          </w:rPr>
          <w:t>Calendario | Colombia Compra Eficiente | Agencia Nacional de Contratación Pública</w:t>
        </w:r>
      </w:hyperlink>
    </w:p>
    <w:p w14:paraId="61DC1EEA" w14:textId="77777777" w:rsidR="00BB4885" w:rsidRPr="001E2FFC" w:rsidRDefault="00BB4885" w:rsidP="00BB4885">
      <w:pPr>
        <w:spacing w:after="0" w:line="276" w:lineRule="auto"/>
        <w:jc w:val="both"/>
        <w:rPr>
          <w:rFonts w:ascii="Verdana" w:eastAsia="Calibri" w:hAnsi="Verdana" w:cs="Arial"/>
          <w:color w:val="000000" w:themeColor="text1"/>
        </w:rPr>
      </w:pPr>
    </w:p>
    <w:p w14:paraId="549ADB56" w14:textId="77777777" w:rsidR="00BB4885" w:rsidRPr="001E2FFC" w:rsidRDefault="00BB4885" w:rsidP="00BB4885">
      <w:pPr>
        <w:spacing w:after="0" w:line="276" w:lineRule="auto"/>
        <w:jc w:val="both"/>
        <w:rPr>
          <w:rFonts w:ascii="Verdana" w:eastAsia="Calibri" w:hAnsi="Verdana" w:cs="Arial"/>
          <w:color w:val="000000" w:themeColor="text1"/>
        </w:rPr>
      </w:pPr>
      <w:r w:rsidRPr="001E2FFC">
        <w:rPr>
          <w:rFonts w:ascii="Verdana" w:eastAsia="Calibri" w:hAnsi="Verdana" w:cs="Arial"/>
          <w:color w:val="000000" w:themeColor="text1"/>
        </w:rPr>
        <w:lastRenderedPageBreak/>
        <w:t>También, te contamos que ya publicamos </w:t>
      </w:r>
      <w:r w:rsidRPr="001E2FFC">
        <w:rPr>
          <w:rFonts w:ascii="Verdana" w:eastAsia="Calibri" w:hAnsi="Verdana" w:cs="Arial"/>
          <w:b/>
          <w:bCs/>
          <w:color w:val="000000" w:themeColor="text1"/>
        </w:rPr>
        <w:t>la nueva Guía de Contratación Pública Sostenible y Socialmente Responsable</w:t>
      </w:r>
      <w:r w:rsidRPr="001E2FFC">
        <w:rPr>
          <w:rFonts w:ascii="Verdana" w:eastAsia="Calibri" w:hAnsi="Verdana" w:cs="Arial"/>
          <w:color w:val="000000" w:themeColor="text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1E2FFC">
          <w:rPr>
            <w:rStyle w:val="Hipervnculo"/>
            <w:rFonts w:ascii="Verdana" w:eastAsia="Calibri" w:hAnsi="Verdana" w:cs="Arial"/>
          </w:rPr>
          <w:t>Guía de Contratación Pública Sostenible y Socialmente Responsable | Colombia Compra Eficiente | Agencia Nacional de Contratación Pública</w:t>
        </w:r>
      </w:hyperlink>
    </w:p>
    <w:p w14:paraId="53DD5466" w14:textId="77777777" w:rsidR="00BB4885" w:rsidRDefault="00BB4885" w:rsidP="00BB4885">
      <w:pPr>
        <w:spacing w:after="0" w:line="240" w:lineRule="auto"/>
        <w:jc w:val="both"/>
        <w:rPr>
          <w:rFonts w:ascii="Verdana" w:eastAsia="Calibri" w:hAnsi="Verdana" w:cs="Arial"/>
          <w:color w:val="000000" w:themeColor="text1"/>
        </w:rPr>
      </w:pPr>
    </w:p>
    <w:p w14:paraId="6CFBA4F1" w14:textId="77777777" w:rsidR="00BB4885" w:rsidRPr="00E4307F" w:rsidRDefault="00BB4885" w:rsidP="00BB4885">
      <w:pPr>
        <w:spacing w:after="0" w:line="240" w:lineRule="auto"/>
        <w:jc w:val="both"/>
        <w:rPr>
          <w:rFonts w:ascii="Verdana" w:hAnsi="Verdana"/>
        </w:rPr>
      </w:pPr>
      <w:r w:rsidRPr="00E4307F">
        <w:rPr>
          <w:rFonts w:ascii="Verdana" w:hAnsi="Verdana"/>
        </w:rPr>
        <w:t xml:space="preserve">Por último, lo invitamos a seguirnos en las redes sociales en las cuales se difunde información institucional: </w:t>
      </w:r>
    </w:p>
    <w:p w14:paraId="0CF3B43B" w14:textId="77777777" w:rsidR="00BB4885" w:rsidRPr="00CE71BD" w:rsidRDefault="00BB4885" w:rsidP="00BB4885">
      <w:pPr>
        <w:spacing w:after="0" w:line="240" w:lineRule="auto"/>
        <w:jc w:val="both"/>
        <w:rPr>
          <w:rFonts w:ascii="Verdana" w:hAnsi="Verdana"/>
        </w:rPr>
      </w:pPr>
    </w:p>
    <w:p w14:paraId="7C55E684" w14:textId="77777777" w:rsidR="00BB4885" w:rsidRPr="00E4307F" w:rsidRDefault="00BB4885" w:rsidP="00BB4885">
      <w:pPr>
        <w:spacing w:after="0" w:line="240" w:lineRule="auto"/>
        <w:jc w:val="both"/>
        <w:rPr>
          <w:rFonts w:ascii="Verdana" w:hAnsi="Verdana"/>
        </w:rPr>
      </w:pPr>
      <w:r w:rsidRPr="00E4307F">
        <w:rPr>
          <w:rFonts w:ascii="Verdana" w:hAnsi="Verdana"/>
        </w:rPr>
        <w:t xml:space="preserve">Twitter: </w:t>
      </w:r>
      <w:r w:rsidRPr="00CE71BD">
        <w:rPr>
          <w:rFonts w:ascii="Verdana" w:hAnsi="Verdana"/>
          <w:color w:val="4472C4" w:themeColor="accent1"/>
          <w:u w:val="single"/>
        </w:rPr>
        <w:t>@colombiacompra</w:t>
      </w:r>
      <w:r w:rsidRPr="00E4307F">
        <w:rPr>
          <w:rFonts w:ascii="Verdana" w:hAnsi="Verdana"/>
          <w:color w:val="4472C4" w:themeColor="accent1"/>
        </w:rPr>
        <w:t xml:space="preserve"> </w:t>
      </w:r>
    </w:p>
    <w:p w14:paraId="067940CE" w14:textId="77777777" w:rsidR="00BB4885" w:rsidRPr="00E4307F" w:rsidRDefault="00BB4885" w:rsidP="00BB4885">
      <w:pPr>
        <w:spacing w:after="0" w:line="240" w:lineRule="auto"/>
        <w:jc w:val="both"/>
        <w:rPr>
          <w:rFonts w:ascii="Verdana" w:hAnsi="Verdana"/>
        </w:rPr>
      </w:pPr>
      <w:r w:rsidRPr="00E4307F">
        <w:rPr>
          <w:rFonts w:ascii="Verdana" w:hAnsi="Verdana"/>
        </w:rPr>
        <w:t xml:space="preserve">Facebook: </w:t>
      </w:r>
      <w:proofErr w:type="spellStart"/>
      <w:r w:rsidRPr="00CE71BD">
        <w:rPr>
          <w:rFonts w:ascii="Verdana" w:hAnsi="Verdana"/>
          <w:color w:val="4472C4" w:themeColor="accent1"/>
          <w:u w:val="single"/>
        </w:rPr>
        <w:t>ColombiaCompraEficiente</w:t>
      </w:r>
      <w:proofErr w:type="spellEnd"/>
    </w:p>
    <w:p w14:paraId="74B7D335" w14:textId="77777777" w:rsidR="00BB4885" w:rsidRPr="00E4307F" w:rsidRDefault="00BB4885" w:rsidP="00BB4885">
      <w:pPr>
        <w:spacing w:after="0" w:line="240" w:lineRule="auto"/>
        <w:jc w:val="both"/>
        <w:rPr>
          <w:rFonts w:ascii="Verdana" w:hAnsi="Verdana"/>
        </w:rPr>
      </w:pPr>
      <w:r w:rsidRPr="00E4307F">
        <w:rPr>
          <w:rFonts w:ascii="Verdana" w:hAnsi="Verdana"/>
        </w:rPr>
        <w:t xml:space="preserve">LinkedIn: </w:t>
      </w:r>
      <w:r w:rsidRPr="00CE71BD">
        <w:rPr>
          <w:rFonts w:ascii="Verdana" w:hAnsi="Verdana"/>
          <w:color w:val="4472C4" w:themeColor="accent1"/>
          <w:u w:val="single"/>
        </w:rPr>
        <w:t>Agencia Nacional de Contratación Pública - Colombia Compra Eficiente</w:t>
      </w:r>
      <w:r w:rsidRPr="00E4307F">
        <w:rPr>
          <w:rFonts w:ascii="Verdana" w:hAnsi="Verdana"/>
          <w:color w:val="4472C4" w:themeColor="accent1"/>
        </w:rPr>
        <w:t xml:space="preserve"> </w:t>
      </w:r>
      <w:r w:rsidRPr="00E4307F">
        <w:rPr>
          <w:rFonts w:ascii="Verdana" w:hAnsi="Verdana"/>
        </w:rPr>
        <w:t xml:space="preserve">Instagram: </w:t>
      </w:r>
      <w:r w:rsidRPr="00CE71BD">
        <w:rPr>
          <w:rFonts w:ascii="Verdana" w:hAnsi="Verdana"/>
          <w:color w:val="4472C4" w:themeColor="accent1"/>
          <w:u w:val="single"/>
        </w:rPr>
        <w:t>@colombiacompraeficiente_cce</w:t>
      </w:r>
    </w:p>
    <w:p w14:paraId="4B2E972F" w14:textId="77777777" w:rsidR="00BB4885" w:rsidRPr="0044528D" w:rsidRDefault="00BB4885" w:rsidP="00BB4885">
      <w:pPr>
        <w:widowControl w:val="0"/>
        <w:autoSpaceDE w:val="0"/>
        <w:autoSpaceDN w:val="0"/>
        <w:spacing w:after="0" w:line="276" w:lineRule="auto"/>
        <w:jc w:val="both"/>
        <w:rPr>
          <w:rFonts w:ascii="Verdana" w:hAnsi="Verdana"/>
        </w:rPr>
      </w:pPr>
    </w:p>
    <w:p w14:paraId="556AB486" w14:textId="77777777" w:rsidR="00BB4885" w:rsidRPr="00E4307F" w:rsidRDefault="00BB4885" w:rsidP="00BB4885">
      <w:pPr>
        <w:widowControl w:val="0"/>
        <w:autoSpaceDE w:val="0"/>
        <w:autoSpaceDN w:val="0"/>
        <w:spacing w:after="0" w:line="276" w:lineRule="auto"/>
        <w:jc w:val="both"/>
        <w:rPr>
          <w:rFonts w:ascii="Verdana" w:hAnsi="Verdana" w:cs="Arial"/>
          <w:lang w:val="es-ES_tradnl"/>
        </w:rPr>
      </w:pPr>
      <w:r w:rsidRPr="00E4307F">
        <w:rPr>
          <w:rFonts w:ascii="Verdana" w:hAnsi="Verdana" w:cs="Arial"/>
        </w:rPr>
        <w:t xml:space="preserve">Este concepto tiene el alcance previsto en el artículo 28 del Código de Procedimiento Administrativo y de lo Contencioso Administrativo </w:t>
      </w:r>
      <w:r w:rsidRPr="00E4307F">
        <w:rPr>
          <w:rFonts w:ascii="Verdana" w:hAnsi="Verdana" w:cs="Arial"/>
          <w:lang w:val="es-ES_tradnl"/>
        </w:rPr>
        <w:t>y las expresiones aquí utilizadas con mayúscula inicial deben ser entendidas con el significado que les otorga el artículo 2.2.1.1.1.3.1. del Decreto 1082 de 2015.</w:t>
      </w:r>
    </w:p>
    <w:p w14:paraId="799C5956" w14:textId="77777777" w:rsidR="00BB4885" w:rsidRPr="00E4307F" w:rsidRDefault="00BB4885" w:rsidP="00BB4885">
      <w:pPr>
        <w:widowControl w:val="0"/>
        <w:autoSpaceDE w:val="0"/>
        <w:autoSpaceDN w:val="0"/>
        <w:spacing w:after="0" w:line="276" w:lineRule="auto"/>
        <w:jc w:val="both"/>
        <w:rPr>
          <w:rFonts w:ascii="Verdana" w:hAnsi="Verdana" w:cs="Arial"/>
        </w:rPr>
      </w:pPr>
    </w:p>
    <w:p w14:paraId="7E1C1E37" w14:textId="77777777" w:rsidR="00BB4885" w:rsidRDefault="00BB4885" w:rsidP="00BB4885">
      <w:pPr>
        <w:spacing w:after="0" w:line="240" w:lineRule="auto"/>
        <w:rPr>
          <w:rFonts w:ascii="Verdana" w:hAnsi="Verdana" w:cs="Arial"/>
          <w:lang w:eastAsia="es-CO"/>
        </w:rPr>
      </w:pPr>
      <w:r w:rsidRPr="00E4307F">
        <w:rPr>
          <w:rFonts w:ascii="Verdana" w:eastAsia="Times New Roman" w:hAnsi="Verdana" w:cs="Arial"/>
          <w:lang w:eastAsia="es-CO"/>
        </w:rPr>
        <w:t>Atentamente,</w:t>
      </w:r>
      <w:r w:rsidRPr="00E4307F">
        <w:rPr>
          <w:rFonts w:ascii="Verdana" w:hAnsi="Verdana" w:cs="Arial"/>
          <w:lang w:eastAsia="es-CO"/>
        </w:rPr>
        <w:t xml:space="preserve"> </w:t>
      </w:r>
    </w:p>
    <w:p w14:paraId="17C02C6D" w14:textId="77777777" w:rsidR="00BB4885" w:rsidRPr="00E4307F" w:rsidRDefault="00BB4885" w:rsidP="00BB4885">
      <w:pPr>
        <w:spacing w:after="0" w:line="240" w:lineRule="auto"/>
        <w:rPr>
          <w:rFonts w:ascii="Verdana" w:hAnsi="Verdana" w:cs="Arial"/>
          <w:lang w:eastAsia="es-CO"/>
        </w:rPr>
      </w:pPr>
    </w:p>
    <w:p w14:paraId="42752298" w14:textId="41CD5B14" w:rsidR="00BB4885" w:rsidRPr="002E45F4" w:rsidRDefault="00476985" w:rsidP="00BB4885">
      <w:pPr>
        <w:spacing w:line="276" w:lineRule="auto"/>
        <w:jc w:val="center"/>
        <w:rPr>
          <w:rFonts w:ascii="Verdana" w:hAnsi="Verdana" w:cs="Arial"/>
          <w:lang w:val="es-MX" w:eastAsia="es-CO"/>
        </w:rPr>
      </w:pPr>
      <w:r w:rsidRPr="002C3AD6">
        <w:rPr>
          <w:rFonts w:ascii="Century Gothic" w:hAnsi="Century Gothic"/>
          <w:noProof/>
        </w:rPr>
        <w:drawing>
          <wp:inline distT="0" distB="0" distL="0" distR="0" wp14:anchorId="7E2BEF85" wp14:editId="7690B8A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B4885" w:rsidRPr="00E4307F" w14:paraId="1E538F99" w14:textId="77777777" w:rsidTr="001E4F93">
        <w:trPr>
          <w:trHeight w:val="315"/>
        </w:trPr>
        <w:tc>
          <w:tcPr>
            <w:tcW w:w="893" w:type="dxa"/>
            <w:vAlign w:val="center"/>
            <w:hideMark/>
          </w:tcPr>
          <w:p w14:paraId="22BD089F" w14:textId="77777777" w:rsidR="00BB4885" w:rsidRPr="00E4307F" w:rsidRDefault="00BB4885" w:rsidP="001E4F93">
            <w:pPr>
              <w:spacing w:after="255"/>
              <w:contextualSpacing/>
              <w:rPr>
                <w:rFonts w:ascii="Verdana" w:hAnsi="Verdana" w:cs="Arial"/>
                <w:sz w:val="16"/>
                <w:szCs w:val="16"/>
                <w:lang w:val="es-ES" w:eastAsia="es-ES"/>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490088B6" w14:textId="77777777" w:rsidR="00BB4885" w:rsidRPr="009731F5" w:rsidRDefault="00BB4885" w:rsidP="001E4F93">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34899CDD" w14:textId="77777777" w:rsidR="00BB4885" w:rsidRPr="00E4307F" w:rsidRDefault="00BB4885" w:rsidP="001E4F93">
            <w:pPr>
              <w:spacing w:after="255"/>
              <w:contextualSpacing/>
              <w:rPr>
                <w:rFonts w:ascii="Verdana" w:eastAsia="Arial" w:hAnsi="Verdana" w:cs="Arial"/>
                <w:sz w:val="16"/>
                <w:szCs w:val="16"/>
              </w:rPr>
            </w:pPr>
            <w:r w:rsidRPr="009731F5">
              <w:rPr>
                <w:rFonts w:ascii="Verdana" w:hAnsi="Verdana" w:cs="Arial"/>
                <w:sz w:val="16"/>
                <w:szCs w:val="16"/>
                <w:lang w:eastAsia="es-CO"/>
              </w:rPr>
              <w:t>Contratista de la Subdirección de Gestión Contractual</w:t>
            </w:r>
          </w:p>
        </w:tc>
      </w:tr>
      <w:tr w:rsidR="00BB4885" w:rsidRPr="00E4307F" w14:paraId="057FA9DF" w14:textId="77777777" w:rsidTr="001E4F93">
        <w:trPr>
          <w:trHeight w:val="330"/>
        </w:trPr>
        <w:tc>
          <w:tcPr>
            <w:tcW w:w="893" w:type="dxa"/>
            <w:vAlign w:val="center"/>
            <w:hideMark/>
          </w:tcPr>
          <w:p w14:paraId="06B894BC" w14:textId="77777777" w:rsidR="00BB4885" w:rsidRPr="00E4307F" w:rsidRDefault="00BB4885" w:rsidP="001E4F93">
            <w:pPr>
              <w:spacing w:after="255"/>
              <w:contextualSpacing/>
              <w:rPr>
                <w:rFonts w:ascii="Verdana" w:hAnsi="Verdana" w:cs="Arial"/>
                <w:sz w:val="16"/>
                <w:szCs w:val="16"/>
                <w:lang w:val="es-ES" w:eastAsia="es-ES"/>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2EB3F4" w14:textId="77777777" w:rsidR="00BB4885" w:rsidRPr="009731F5" w:rsidRDefault="00BB4885" w:rsidP="001E4F93">
            <w:pPr>
              <w:jc w:val="both"/>
              <w:rPr>
                <w:rFonts w:ascii="Verdana" w:hAnsi="Verdana" w:cs="Arial"/>
                <w:sz w:val="16"/>
                <w:szCs w:val="16"/>
              </w:rPr>
            </w:pPr>
            <w:r>
              <w:rPr>
                <w:rFonts w:ascii="Verdana" w:hAnsi="Verdana" w:cs="Arial"/>
                <w:sz w:val="16"/>
                <w:szCs w:val="16"/>
              </w:rPr>
              <w:t>Martha Alicia Romero Vargas</w:t>
            </w:r>
          </w:p>
          <w:p w14:paraId="04BA98AC" w14:textId="77777777" w:rsidR="00BB4885" w:rsidRPr="00E4307F" w:rsidRDefault="00BB4885" w:rsidP="001E4F93">
            <w:pPr>
              <w:pStyle w:val="paragraph"/>
              <w:spacing w:before="0" w:beforeAutospacing="0" w:after="0" w:afterAutospacing="0"/>
              <w:contextualSpacing/>
              <w:textAlignment w:val="baseline"/>
              <w:rPr>
                <w:rFonts w:ascii="Verdana" w:hAnsi="Verdana" w:cs="Segoe UI"/>
                <w:sz w:val="16"/>
                <w:szCs w:val="16"/>
              </w:rPr>
            </w:pPr>
            <w:r w:rsidRPr="009731F5">
              <w:rPr>
                <w:rFonts w:ascii="Verdana" w:hAnsi="Verdana" w:cs="Arial"/>
                <w:sz w:val="16"/>
                <w:szCs w:val="16"/>
                <w:lang w:val="es-ES" w:eastAsia="es-ES"/>
              </w:rPr>
              <w:t>Gestor T1 -1</w:t>
            </w:r>
            <w:r>
              <w:rPr>
                <w:rFonts w:ascii="Verdana" w:hAnsi="Verdana" w:cs="Arial"/>
                <w:sz w:val="16"/>
                <w:szCs w:val="16"/>
                <w:lang w:val="es-ES" w:eastAsia="es-ES"/>
              </w:rPr>
              <w:t>5</w:t>
            </w:r>
            <w:r w:rsidRPr="009731F5">
              <w:rPr>
                <w:rFonts w:ascii="Verdana" w:hAnsi="Verdana" w:cs="Arial"/>
                <w:sz w:val="16"/>
                <w:szCs w:val="16"/>
                <w:lang w:val="es-ES" w:eastAsia="es-ES"/>
              </w:rPr>
              <w:t xml:space="preserve"> de la Subdirección de Gestión Contractual</w:t>
            </w:r>
          </w:p>
        </w:tc>
      </w:tr>
      <w:tr w:rsidR="00BB4885" w:rsidRPr="00E4307F" w14:paraId="7C13B6AE" w14:textId="77777777" w:rsidTr="001E4F93">
        <w:trPr>
          <w:trHeight w:val="300"/>
        </w:trPr>
        <w:tc>
          <w:tcPr>
            <w:tcW w:w="893" w:type="dxa"/>
            <w:vAlign w:val="center"/>
            <w:hideMark/>
          </w:tcPr>
          <w:p w14:paraId="0DA48A02" w14:textId="77777777" w:rsidR="00BB4885" w:rsidRPr="00E4307F" w:rsidRDefault="00BB4885" w:rsidP="001E4F93">
            <w:pPr>
              <w:spacing w:after="255"/>
              <w:contextualSpacing/>
              <w:rPr>
                <w:rFonts w:ascii="Verdana" w:hAnsi="Verdana" w:cs="Arial"/>
                <w:sz w:val="16"/>
                <w:szCs w:val="16"/>
                <w:lang w:val="es-ES" w:eastAsia="es-ES"/>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C4F38D4" w14:textId="77777777" w:rsidR="00BB4885" w:rsidRPr="009731F5" w:rsidRDefault="00BB4885" w:rsidP="001E4F93">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06440F83" w14:textId="77777777" w:rsidR="00BB4885" w:rsidRPr="00E4307F" w:rsidRDefault="00BB4885" w:rsidP="001E4F93">
            <w:pPr>
              <w:spacing w:after="255"/>
              <w:contextualSpacing/>
              <w:rPr>
                <w:rFonts w:ascii="Verdana" w:eastAsia="Calibri" w:hAnsi="Verdana" w:cs="Arial"/>
                <w:sz w:val="16"/>
                <w:szCs w:val="16"/>
                <w:lang w:val="pt-BR" w:eastAsia="es-ES"/>
              </w:rPr>
            </w:pPr>
            <w:r w:rsidRPr="009731F5">
              <w:rPr>
                <w:rFonts w:ascii="Verdana" w:hAnsi="Verdana" w:cs="Arial"/>
                <w:sz w:val="16"/>
                <w:szCs w:val="16"/>
                <w:lang w:eastAsia="es-CO"/>
              </w:rPr>
              <w:t>Subdirectora de Gestión Contractual ANCP – CCE</w:t>
            </w:r>
          </w:p>
        </w:tc>
      </w:tr>
    </w:tbl>
    <w:p w14:paraId="1B5423DB" w14:textId="77777777" w:rsidR="00BB4885" w:rsidRPr="00E4307F" w:rsidRDefault="00BB4885" w:rsidP="00BB4885">
      <w:pPr>
        <w:spacing w:before="100" w:beforeAutospacing="1" w:after="0" w:afterAutospacing="1" w:line="240" w:lineRule="auto"/>
        <w:jc w:val="both"/>
        <w:textAlignment w:val="baseline"/>
        <w:rPr>
          <w:rFonts w:ascii="Verdana" w:eastAsia="Times New Roman" w:hAnsi="Verdana" w:cs="Arial"/>
          <w:lang w:eastAsia="es-MX"/>
        </w:rPr>
      </w:pPr>
    </w:p>
    <w:p w14:paraId="05F038BE" w14:textId="77777777" w:rsidR="00BB4885" w:rsidRPr="00732F03" w:rsidRDefault="00BB4885" w:rsidP="00BB4885"/>
    <w:p w14:paraId="6BBD7CA1" w14:textId="77777777" w:rsidR="00BB4885" w:rsidRPr="00F5393F" w:rsidRDefault="00BB4885" w:rsidP="00BB4885"/>
    <w:p w14:paraId="5F6321C0" w14:textId="77777777" w:rsidR="003D5B0D" w:rsidRPr="00BB4885" w:rsidRDefault="003D5B0D" w:rsidP="00BB4885"/>
    <w:sectPr w:rsidR="003D5B0D" w:rsidRPr="00BB488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99E09" w14:textId="77777777" w:rsidR="004711CD" w:rsidRDefault="004711CD" w:rsidP="004A1847">
      <w:pPr>
        <w:spacing w:after="0" w:line="240" w:lineRule="auto"/>
      </w:pPr>
      <w:r>
        <w:separator/>
      </w:r>
    </w:p>
  </w:endnote>
  <w:endnote w:type="continuationSeparator" w:id="0">
    <w:p w14:paraId="1FF862E0" w14:textId="77777777" w:rsidR="004711CD" w:rsidRDefault="004711CD" w:rsidP="004A1847">
      <w:pPr>
        <w:spacing w:after="0" w:line="240" w:lineRule="auto"/>
      </w:pPr>
      <w:r>
        <w:continuationSeparator/>
      </w:r>
    </w:p>
  </w:endnote>
  <w:endnote w:type="continuationNotice" w:id="1">
    <w:p w14:paraId="76A0473F" w14:textId="77777777" w:rsidR="004711CD" w:rsidRDefault="00471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2A97" w14:textId="77777777" w:rsidR="004A1847" w:rsidRDefault="004A1847">
    <w:pPr>
      <w:pStyle w:val="Piedepgina"/>
    </w:pPr>
  </w:p>
  <w:p w14:paraId="13E5C1A5"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04281CC"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27A6B6A"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6D77A888"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C2451" w14:textId="77777777" w:rsidR="004711CD" w:rsidRDefault="004711CD" w:rsidP="004A1847">
      <w:pPr>
        <w:spacing w:after="0" w:line="240" w:lineRule="auto"/>
      </w:pPr>
      <w:r>
        <w:separator/>
      </w:r>
    </w:p>
  </w:footnote>
  <w:footnote w:type="continuationSeparator" w:id="0">
    <w:p w14:paraId="68DD8EAB" w14:textId="77777777" w:rsidR="004711CD" w:rsidRDefault="004711CD" w:rsidP="004A1847">
      <w:pPr>
        <w:spacing w:after="0" w:line="240" w:lineRule="auto"/>
      </w:pPr>
      <w:r>
        <w:continuationSeparator/>
      </w:r>
    </w:p>
  </w:footnote>
  <w:footnote w:type="continuationNotice" w:id="1">
    <w:p w14:paraId="0D94F7DD" w14:textId="77777777" w:rsidR="004711CD" w:rsidRDefault="004711CD">
      <w:pPr>
        <w:spacing w:after="0" w:line="240" w:lineRule="auto"/>
      </w:pPr>
    </w:p>
  </w:footnote>
  <w:footnote w:id="2">
    <w:p w14:paraId="7912A6ED" w14:textId="77777777" w:rsidR="00BB4885" w:rsidRPr="00D171F5" w:rsidRDefault="00BB4885" w:rsidP="00BB4885">
      <w:pPr>
        <w:pStyle w:val="Textonotapie"/>
        <w:ind w:firstLine="709"/>
        <w:contextualSpacing/>
        <w:jc w:val="both"/>
        <w:rPr>
          <w:rFonts w:ascii="Verdana" w:hAnsi="Verdana" w:cs="Arial"/>
          <w:color w:val="000000"/>
          <w:sz w:val="14"/>
          <w:szCs w:val="14"/>
        </w:rPr>
      </w:pPr>
      <w:r w:rsidRPr="00D171F5">
        <w:rPr>
          <w:rStyle w:val="Refdenotaalpie"/>
          <w:rFonts w:ascii="Verdana" w:hAnsi="Verdana" w:cs="Arial"/>
          <w:sz w:val="14"/>
          <w:szCs w:val="14"/>
        </w:rPr>
        <w:footnoteRef/>
      </w:r>
      <w:r w:rsidRPr="00D171F5">
        <w:rPr>
          <w:rFonts w:ascii="Verdana" w:hAnsi="Verdana" w:cs="Arial"/>
          <w:sz w:val="14"/>
          <w:szCs w:val="14"/>
        </w:rPr>
        <w:t xml:space="preserve"> Decreto 1068 de 2015: “</w:t>
      </w:r>
      <w:r w:rsidRPr="00D171F5">
        <w:rPr>
          <w:rFonts w:ascii="Verdana" w:hAnsi="Verdana" w:cs="Arial"/>
          <w:color w:val="000000"/>
          <w:sz w:val="14"/>
          <w:szCs w:val="14"/>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5B9ACCAE" w14:textId="77777777" w:rsidR="00BB4885" w:rsidRPr="00D171F5" w:rsidRDefault="00BB4885" w:rsidP="00BB4885">
      <w:pPr>
        <w:pStyle w:val="Textonotapie"/>
        <w:ind w:firstLine="709"/>
        <w:contextualSpacing/>
        <w:jc w:val="both"/>
        <w:rPr>
          <w:rFonts w:ascii="Verdana" w:hAnsi="Verdana" w:cs="Arial"/>
          <w:color w:val="000000"/>
          <w:sz w:val="14"/>
          <w:szCs w:val="14"/>
        </w:rPr>
      </w:pPr>
      <w:r w:rsidRPr="00D171F5">
        <w:rPr>
          <w:rFonts w:ascii="Verdana" w:hAnsi="Verdana" w:cs="Arial"/>
          <w:color w:val="000000"/>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CAB0F58" w14:textId="77777777" w:rsidR="00BB4885" w:rsidRPr="00D171F5" w:rsidRDefault="00BB4885" w:rsidP="00BB4885">
      <w:pPr>
        <w:pStyle w:val="Textonotapie"/>
        <w:ind w:firstLine="708"/>
        <w:contextualSpacing/>
        <w:jc w:val="both"/>
        <w:rPr>
          <w:rFonts w:ascii="Verdana" w:hAnsi="Verdana" w:cs="Arial"/>
          <w:sz w:val="14"/>
          <w:szCs w:val="14"/>
        </w:rPr>
      </w:pPr>
      <w:r w:rsidRPr="00D171F5">
        <w:rPr>
          <w:rFonts w:ascii="Verdana" w:hAnsi="Verdana" w:cs="Arial"/>
          <w:color w:val="000000"/>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D171F5">
        <w:rPr>
          <w:rFonts w:ascii="Verdana" w:hAnsi="Verdana" w:cs="Arial"/>
          <w:sz w:val="14"/>
          <w:szCs w:val="14"/>
        </w:rPr>
        <w:t xml:space="preserve"> </w:t>
      </w:r>
    </w:p>
  </w:footnote>
  <w:footnote w:id="3">
    <w:p w14:paraId="29787E88"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0E9AFFE6"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B57E1E2"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“2. Quien presta el servicio se denomina trabajador, quien lo recibe y remunera, empleador, y la remuneración, cualquiera que sea su forma, salario”.</w:t>
      </w:r>
    </w:p>
    <w:p w14:paraId="2581984F"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4">
    <w:p w14:paraId="77BCD641"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1E2FFC">
        <w:rPr>
          <w:rFonts w:ascii="Verdana" w:hAnsi="Verdana" w:cs="Arial"/>
          <w:color w:val="000000"/>
          <w:sz w:val="14"/>
          <w:szCs w:val="14"/>
          <w:lang w:val="pt-PT"/>
        </w:rPr>
        <w:t xml:space="preserve"> CORTE CONSTITUCIONAL. Sentencia C-154 de 1997. </w:t>
      </w:r>
      <w:r w:rsidRPr="00D171F5">
        <w:rPr>
          <w:rFonts w:ascii="Verdana" w:hAnsi="Verdana" w:cs="Arial"/>
          <w:color w:val="000000"/>
          <w:sz w:val="14"/>
          <w:szCs w:val="14"/>
          <w:lang w:val="es-ES"/>
        </w:rPr>
        <w:t>Magistrado Ponente: Hernando Herrera Vergara.</w:t>
      </w:r>
    </w:p>
    <w:p w14:paraId="2274675D"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5">
    <w:p w14:paraId="66AE160D"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Ibid.</w:t>
      </w:r>
    </w:p>
  </w:footnote>
  <w:footnote w:id="6">
    <w:p w14:paraId="3F90E490"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349D3B1C"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EF17000"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F6266C5"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footnote>
  <w:footnote w:id="7">
    <w:p w14:paraId="5D0D8B4D"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6BA5ECDA"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CONSEJO DE ESTADO. Sección Tercera. Subsección C. Sentencia del 2 de diciembre de 2013. Exp. 41719. Consejero Ponente: Jaime Orlando Santofimio Gamboa.</w:t>
      </w:r>
    </w:p>
  </w:footnote>
  <w:footnote w:id="8">
    <w:p w14:paraId="577C45E7"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55929F89"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Ibid.</w:t>
      </w:r>
    </w:p>
    <w:p w14:paraId="74FF24D5"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9">
    <w:p w14:paraId="7B34E5F4"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Ibid.</w:t>
      </w:r>
    </w:p>
    <w:p w14:paraId="3766B51B"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10">
    <w:p w14:paraId="7A3EA333"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007C5ED"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5540EC3D"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6B3C384"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11">
    <w:p w14:paraId="29607340"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74321EFC"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“1. La causal que invoca para contratar directamente.</w:t>
      </w:r>
    </w:p>
    <w:p w14:paraId="41DBA75A"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“2. El objeto del contrato.</w:t>
      </w:r>
    </w:p>
    <w:p w14:paraId="22B000A3"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“3. El presupuesto para la contratación y las condiciones que exigirá al contratista.</w:t>
      </w:r>
    </w:p>
    <w:p w14:paraId="551537FE"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“4. El lugar en el cual los interesados pueden consultar los estudios y documentos previos.</w:t>
      </w:r>
    </w:p>
    <w:p w14:paraId="2A11EFC1"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0D2788D9"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40B9961E"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Esta norma expresa: “</w:t>
      </w:r>
      <w:r w:rsidRPr="00D171F5">
        <w:rPr>
          <w:rFonts w:ascii="Verdana" w:hAnsi="Verdana" w:cs="Arial"/>
          <w:color w:val="000000"/>
          <w:sz w:val="14"/>
          <w:szCs w:val="14"/>
        </w:rPr>
        <w:t>P</w:t>
      </w:r>
      <w:r w:rsidRPr="00D171F5">
        <w:rPr>
          <w:rFonts w:ascii="Verdana" w:hAnsi="Verdana" w:cs="Arial"/>
          <w:color w:val="000000"/>
          <w:sz w:val="14"/>
          <w:szCs w:val="14"/>
          <w:lang w:val="es-ES"/>
        </w:rPr>
        <w:t>ara el cumplimiento de los fines de la contratación, las entidades estatales al celebrar un contrato:</w:t>
      </w:r>
    </w:p>
    <w:p w14:paraId="2AC0D9F6"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w:t>
      </w:r>
    </w:p>
    <w:p w14:paraId="43767CC5"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39D7991"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“Las entidades estatales podrán pactar estas cláusulas en los contratos de suministro y de prestación de servicios.</w:t>
      </w:r>
    </w:p>
    <w:p w14:paraId="3B4D8E03"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Fonts w:ascii="Verdana" w:hAnsi="Verdana" w:cs="Arial"/>
          <w:color w:val="000000"/>
          <w:sz w:val="14"/>
          <w:szCs w:val="14"/>
          <w:lang w:val="es-ES"/>
        </w:rPr>
        <w:t>[…]”.</w:t>
      </w:r>
    </w:p>
  </w:footnote>
  <w:footnote w:id="13">
    <w:p w14:paraId="294DD6DE" w14:textId="77777777" w:rsidR="00BB4885" w:rsidRPr="00D171F5" w:rsidRDefault="00BB4885" w:rsidP="00BB4885">
      <w:pPr>
        <w:pStyle w:val="Textonotapie"/>
        <w:ind w:firstLine="709"/>
        <w:contextualSpacing/>
        <w:jc w:val="both"/>
        <w:rPr>
          <w:rFonts w:ascii="Verdana" w:hAnsi="Verdana" w:cs="Arial"/>
          <w:color w:val="000000"/>
          <w:sz w:val="14"/>
          <w:szCs w:val="14"/>
        </w:rPr>
      </w:pPr>
    </w:p>
    <w:p w14:paraId="2A38CAF5"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5FCED758"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14">
    <w:p w14:paraId="1D28299B" w14:textId="77777777" w:rsidR="00BB4885" w:rsidRPr="00D171F5" w:rsidRDefault="00BB4885" w:rsidP="00BB4885">
      <w:pPr>
        <w:pStyle w:val="Textonotapie"/>
        <w:ind w:firstLine="709"/>
        <w:contextualSpacing/>
        <w:jc w:val="both"/>
        <w:rPr>
          <w:rFonts w:ascii="Verdana" w:hAnsi="Verdana" w:cs="Arial"/>
          <w:color w:val="000000"/>
          <w:sz w:val="14"/>
          <w:szCs w:val="14"/>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D0E299" w14:textId="77777777" w:rsidR="00BB4885" w:rsidRPr="00D171F5" w:rsidRDefault="00BB4885" w:rsidP="00BB4885">
      <w:pPr>
        <w:pStyle w:val="Textonotapie"/>
        <w:ind w:firstLine="709"/>
        <w:contextualSpacing/>
        <w:jc w:val="both"/>
        <w:rPr>
          <w:rFonts w:ascii="Verdana" w:hAnsi="Verdana" w:cs="Arial"/>
          <w:color w:val="000000"/>
          <w:sz w:val="14"/>
          <w:szCs w:val="14"/>
        </w:rPr>
      </w:pPr>
      <w:r w:rsidRPr="00D171F5">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091BF67" w14:textId="77777777" w:rsidR="00BB4885" w:rsidRPr="00D171F5" w:rsidRDefault="00BB4885" w:rsidP="00BB4885">
      <w:pPr>
        <w:pStyle w:val="Textonotapie"/>
        <w:ind w:firstLine="709"/>
        <w:contextualSpacing/>
        <w:jc w:val="both"/>
        <w:rPr>
          <w:rFonts w:ascii="Verdana" w:hAnsi="Verdana" w:cs="Arial"/>
          <w:color w:val="000000"/>
          <w:sz w:val="14"/>
          <w:szCs w:val="14"/>
        </w:rPr>
      </w:pPr>
      <w:r w:rsidRPr="00D171F5">
        <w:rPr>
          <w:rFonts w:ascii="Verdana" w:hAnsi="Verdana" w:cs="Arial"/>
          <w:color w:val="000000"/>
          <w:sz w:val="14"/>
          <w:szCs w:val="14"/>
        </w:rPr>
        <w:t>[…]”.</w:t>
      </w:r>
    </w:p>
    <w:p w14:paraId="2268B89F" w14:textId="77777777" w:rsidR="00BB4885" w:rsidRPr="00D171F5" w:rsidRDefault="00BB4885" w:rsidP="00BB4885">
      <w:pPr>
        <w:pStyle w:val="Textonotapie"/>
        <w:ind w:firstLine="709"/>
        <w:contextualSpacing/>
        <w:jc w:val="both"/>
        <w:rPr>
          <w:rFonts w:ascii="Verdana" w:hAnsi="Verdana" w:cs="Arial"/>
          <w:color w:val="000000"/>
          <w:sz w:val="14"/>
          <w:szCs w:val="14"/>
        </w:rPr>
      </w:pPr>
    </w:p>
  </w:footnote>
  <w:footnote w:id="15">
    <w:p w14:paraId="267F7C50"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r w:rsidRPr="00D171F5">
        <w:rPr>
          <w:rStyle w:val="Refdenotaalpie"/>
          <w:rFonts w:ascii="Verdana" w:hAnsi="Verdana" w:cs="Arial"/>
          <w:color w:val="000000"/>
          <w:sz w:val="14"/>
          <w:szCs w:val="14"/>
        </w:rPr>
        <w:footnoteRef/>
      </w:r>
      <w:r w:rsidRPr="00D171F5">
        <w:rPr>
          <w:rFonts w:ascii="Verdana" w:hAnsi="Verdana" w:cs="Arial"/>
          <w:color w:val="000000"/>
          <w:sz w:val="14"/>
          <w:szCs w:val="14"/>
        </w:rPr>
        <w:t xml:space="preserve"> </w:t>
      </w:r>
      <w:r w:rsidRPr="00D171F5">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3D0C6A8" w14:textId="77777777" w:rsidR="00BB4885" w:rsidRPr="00D171F5" w:rsidRDefault="00BB4885" w:rsidP="00BB4885">
      <w:pPr>
        <w:pStyle w:val="Textonotapie"/>
        <w:ind w:firstLine="709"/>
        <w:contextualSpacing/>
        <w:jc w:val="both"/>
        <w:rPr>
          <w:rFonts w:ascii="Verdana" w:hAnsi="Verdana" w:cs="Arial"/>
          <w:color w:val="000000"/>
          <w:sz w:val="14"/>
          <w:szCs w:val="14"/>
          <w:lang w:val="es-ES"/>
        </w:rPr>
      </w:pPr>
    </w:p>
  </w:footnote>
  <w:footnote w:id="16">
    <w:p w14:paraId="7B61DA58" w14:textId="77777777" w:rsidR="00BB4885" w:rsidRPr="00D171F5" w:rsidRDefault="00BB4885" w:rsidP="00BB4885">
      <w:pPr>
        <w:spacing w:after="0" w:line="240" w:lineRule="auto"/>
        <w:ind w:firstLine="707"/>
        <w:contextualSpacing/>
        <w:jc w:val="both"/>
        <w:rPr>
          <w:rFonts w:ascii="Verdana" w:hAnsi="Verdana" w:cs="Arial"/>
          <w:sz w:val="14"/>
          <w:szCs w:val="14"/>
        </w:rPr>
      </w:pPr>
      <w:r w:rsidRPr="00D171F5">
        <w:rPr>
          <w:rStyle w:val="Refdenotaalpie"/>
          <w:rFonts w:ascii="Verdana" w:hAnsi="Verdana" w:cs="Arial"/>
          <w:sz w:val="14"/>
          <w:szCs w:val="14"/>
        </w:rPr>
        <w:footnoteRef/>
      </w:r>
      <w:r w:rsidRPr="00D171F5">
        <w:rPr>
          <w:rFonts w:ascii="Verdana" w:hAnsi="Verdana" w:cs="Arial"/>
          <w:position w:val="6"/>
          <w:sz w:val="14"/>
          <w:szCs w:val="14"/>
        </w:rPr>
        <w:t xml:space="preserve"> </w:t>
      </w:r>
      <w:r w:rsidRPr="00D171F5">
        <w:rPr>
          <w:rFonts w:ascii="Verdana" w:hAnsi="Verdana" w:cs="Arial"/>
          <w:sz w:val="14"/>
          <w:szCs w:val="14"/>
        </w:rPr>
        <w:t>DEIK ACOSTAMADIEDO, Carolina, Guía de Contratación Estatal: Deber de planeación y modalidades de selección, Buenos Aires, 2015, p. 59.</w:t>
      </w:r>
    </w:p>
    <w:p w14:paraId="74024E76" w14:textId="77777777" w:rsidR="00BB4885" w:rsidRPr="00D171F5" w:rsidRDefault="00BB4885" w:rsidP="00BB4885">
      <w:pPr>
        <w:pStyle w:val="Textonotapie"/>
        <w:contextualSpacing/>
        <w:jc w:val="both"/>
        <w:rPr>
          <w:rFonts w:ascii="Verdana" w:hAnsi="Verdana" w:cs="Arial"/>
          <w:sz w:val="14"/>
          <w:szCs w:val="14"/>
        </w:rPr>
      </w:pPr>
    </w:p>
  </w:footnote>
  <w:footnote w:id="17">
    <w:p w14:paraId="178905AC" w14:textId="77777777" w:rsidR="00BB4885" w:rsidRPr="00D171F5" w:rsidRDefault="00BB4885" w:rsidP="00BB4885">
      <w:pPr>
        <w:pStyle w:val="Textonotapie"/>
        <w:ind w:firstLine="707"/>
        <w:jc w:val="both"/>
        <w:rPr>
          <w:rFonts w:ascii="Verdana" w:hAnsi="Verdana" w:cs="Arial"/>
          <w:sz w:val="14"/>
          <w:szCs w:val="14"/>
          <w:lang w:val="es-CO"/>
        </w:rPr>
      </w:pPr>
      <w:r w:rsidRPr="00D171F5">
        <w:rPr>
          <w:rStyle w:val="Refdenotaalpie"/>
          <w:rFonts w:ascii="Verdana" w:hAnsi="Verdana" w:cs="Arial"/>
          <w:sz w:val="14"/>
          <w:szCs w:val="14"/>
        </w:rPr>
        <w:footnoteRef/>
      </w:r>
      <w:r w:rsidRPr="00D171F5">
        <w:rPr>
          <w:rFonts w:ascii="Verdana" w:hAnsi="Verdana" w:cs="Arial"/>
          <w:sz w:val="14"/>
          <w:szCs w:val="14"/>
        </w:rPr>
        <w:t>“Artículo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18">
    <w:p w14:paraId="7EAB543F" w14:textId="77777777" w:rsidR="00BB4885" w:rsidRPr="00D171F5" w:rsidRDefault="00BB4885" w:rsidP="00BB4885">
      <w:pPr>
        <w:pStyle w:val="Textonotapie"/>
        <w:ind w:firstLine="708"/>
        <w:jc w:val="both"/>
        <w:rPr>
          <w:rFonts w:ascii="Verdana" w:hAnsi="Verdana" w:cs="Arial"/>
          <w:sz w:val="14"/>
          <w:szCs w:val="14"/>
        </w:rPr>
      </w:pPr>
      <w:r w:rsidRPr="00D171F5">
        <w:rPr>
          <w:rStyle w:val="Refdenotaalpie"/>
          <w:rFonts w:ascii="Verdana" w:hAnsi="Verdana" w:cs="Arial"/>
          <w:sz w:val="14"/>
          <w:szCs w:val="14"/>
        </w:rPr>
        <w:footnoteRef/>
      </w:r>
      <w:r w:rsidRPr="00D171F5">
        <w:rPr>
          <w:rFonts w:ascii="Verdana" w:hAnsi="Verdana" w:cs="Arial"/>
          <w:sz w:val="14"/>
          <w:szCs w:val="14"/>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DCC0102" w14:textId="77777777" w:rsidR="00BB4885" w:rsidRPr="00D171F5" w:rsidRDefault="00BB4885" w:rsidP="00BB4885">
      <w:pPr>
        <w:pStyle w:val="Textonotapie"/>
        <w:ind w:firstLine="708"/>
        <w:jc w:val="both"/>
        <w:rPr>
          <w:rFonts w:ascii="Verdana" w:hAnsi="Verdana" w:cs="Arial"/>
          <w:sz w:val="14"/>
          <w:szCs w:val="14"/>
          <w:lang w:val="es-CO"/>
        </w:rPr>
      </w:pPr>
    </w:p>
  </w:footnote>
  <w:footnote w:id="19">
    <w:p w14:paraId="664F509D" w14:textId="77777777" w:rsidR="00BB4885" w:rsidRPr="00D171F5" w:rsidRDefault="00BB4885" w:rsidP="00BB4885">
      <w:pPr>
        <w:pStyle w:val="Textonotapie"/>
        <w:ind w:firstLine="708"/>
        <w:jc w:val="both"/>
        <w:rPr>
          <w:rFonts w:ascii="Verdana" w:hAnsi="Verdana" w:cs="Arial"/>
          <w:sz w:val="14"/>
          <w:szCs w:val="14"/>
        </w:rPr>
      </w:pPr>
      <w:r w:rsidRPr="00D171F5">
        <w:rPr>
          <w:rStyle w:val="Refdenotaalpie"/>
          <w:rFonts w:ascii="Verdana" w:hAnsi="Verdana" w:cs="Arial"/>
          <w:sz w:val="14"/>
          <w:szCs w:val="14"/>
        </w:rPr>
        <w:footnoteRef/>
      </w:r>
      <w:r w:rsidRPr="00D171F5">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BD47B4B" w14:textId="77777777" w:rsidR="00BB4885" w:rsidRPr="00D171F5" w:rsidRDefault="00BB4885" w:rsidP="00BB4885">
      <w:pPr>
        <w:pStyle w:val="Textonotapie"/>
        <w:ind w:firstLine="708"/>
        <w:jc w:val="both"/>
        <w:rPr>
          <w:rFonts w:ascii="Verdana" w:hAnsi="Verdana" w:cs="Arial"/>
          <w:sz w:val="14"/>
          <w:szCs w:val="14"/>
          <w:lang w:val="es-CO"/>
        </w:rPr>
      </w:pPr>
    </w:p>
  </w:footnote>
  <w:footnote w:id="20">
    <w:p w14:paraId="718AA111" w14:textId="77777777" w:rsidR="00BB4885" w:rsidRPr="00D171F5" w:rsidRDefault="00BB4885" w:rsidP="00BB4885">
      <w:pPr>
        <w:pStyle w:val="Textonotapie"/>
        <w:ind w:firstLine="708"/>
        <w:jc w:val="both"/>
        <w:rPr>
          <w:rFonts w:ascii="Verdana" w:hAnsi="Verdana" w:cs="Arial"/>
          <w:sz w:val="14"/>
          <w:szCs w:val="14"/>
          <w:lang w:val="es-CO"/>
        </w:rPr>
      </w:pPr>
      <w:r w:rsidRPr="00D171F5">
        <w:rPr>
          <w:rStyle w:val="Refdenotaalpie"/>
          <w:rFonts w:ascii="Verdana" w:hAnsi="Verdana" w:cs="Arial"/>
          <w:sz w:val="14"/>
          <w:szCs w:val="14"/>
        </w:rPr>
        <w:footnoteRef/>
      </w:r>
      <w:r w:rsidRPr="00D171F5">
        <w:rPr>
          <w:rFonts w:ascii="Verdana" w:hAnsi="Verdana" w:cs="Arial"/>
          <w:sz w:val="14"/>
          <w:szCs w:val="14"/>
        </w:rPr>
        <w:t xml:space="preserve"> Agencia Nacional de Contratación Pública – Colombia Compra Eficiente. Guía de Elaboración de Estudios del Sector. Disponible en: </w:t>
      </w:r>
      <w:hyperlink r:id="rId1" w:history="1">
        <w:r w:rsidRPr="00D171F5">
          <w:rPr>
            <w:rStyle w:val="Hipervnculo"/>
            <w:rFonts w:ascii="Verdana" w:hAnsi="Verdana" w:cs="Arial"/>
            <w:sz w:val="14"/>
            <w:szCs w:val="14"/>
          </w:rPr>
          <w:t>https://www.colombiacompra.gov.co/manualesguias-y-pliegos-tipo/manuales-y-guias</w:t>
        </w:r>
      </w:hyperlink>
      <w:r w:rsidRPr="00D171F5">
        <w:rPr>
          <w:rFonts w:ascii="Verdana" w:hAnsi="Verdana" w:cs="Arial"/>
          <w:sz w:val="14"/>
          <w:szCs w:val="14"/>
        </w:rPr>
        <w:t xml:space="preserve">. </w:t>
      </w:r>
    </w:p>
  </w:footnote>
  <w:footnote w:id="21">
    <w:p w14:paraId="6E520B8C" w14:textId="77777777" w:rsidR="00BB4885" w:rsidRPr="000405DB" w:rsidRDefault="00BB4885" w:rsidP="00BB4885">
      <w:pPr>
        <w:pStyle w:val="Textonotapie"/>
        <w:ind w:firstLine="708"/>
        <w:jc w:val="both"/>
        <w:rPr>
          <w:rFonts w:ascii="Verdana" w:hAnsi="Verdana"/>
          <w:sz w:val="10"/>
          <w:szCs w:val="10"/>
          <w:lang w:val="es-CO"/>
        </w:rPr>
      </w:pPr>
      <w:r w:rsidRPr="000405DB">
        <w:rPr>
          <w:rStyle w:val="Refdenotaalpie"/>
          <w:rFonts w:ascii="Verdana" w:hAnsi="Verdana"/>
          <w:sz w:val="10"/>
          <w:szCs w:val="10"/>
        </w:rPr>
        <w:footnoteRef/>
      </w:r>
      <w:r w:rsidRPr="000405DB">
        <w:rPr>
          <w:rFonts w:ascii="Verdana" w:hAnsi="Verdana"/>
          <w:sz w:val="10"/>
          <w:szCs w:val="10"/>
        </w:rPr>
        <w:t xml:space="preserve"> Colombia Compra Eficiente, Guía de Elaboración de Estudios de Sector - GEES del 24 de junio de 2022. Pág.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FC29"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8385F0" w14:textId="77777777" w:rsidR="00756841" w:rsidRDefault="00756841">
    <w:pPr>
      <w:pStyle w:val="Encabezado"/>
    </w:pPr>
  </w:p>
  <w:p w14:paraId="3BB6283F" w14:textId="77777777" w:rsidR="00DC39FC" w:rsidRDefault="00DC39FC" w:rsidP="004A305D">
    <w:pPr>
      <w:spacing w:after="0"/>
      <w:rPr>
        <w:rFonts w:ascii="Verdana" w:hAnsi="Verdana"/>
        <w:b/>
        <w:bCs/>
      </w:rPr>
    </w:pPr>
  </w:p>
  <w:p w14:paraId="5632CD7B" w14:textId="77777777" w:rsidR="004A305D" w:rsidRPr="00DC39FC" w:rsidRDefault="004A305D" w:rsidP="004A305D">
    <w:pPr>
      <w:spacing w:after="0"/>
      <w:rPr>
        <w:rFonts w:ascii="Verdana" w:hAnsi="Verdana"/>
        <w:b/>
        <w:bCs/>
      </w:rPr>
    </w:pPr>
    <w:r w:rsidRPr="00DC39FC">
      <w:rPr>
        <w:rFonts w:ascii="Verdana" w:hAnsi="Verdana"/>
        <w:b/>
        <w:bCs/>
      </w:rPr>
      <w:t>FORMATO PQRSD</w:t>
    </w:r>
  </w:p>
  <w:p w14:paraId="7601C44B" w14:textId="77777777" w:rsidR="004A305D" w:rsidRPr="004A305D" w:rsidRDefault="004A305D" w:rsidP="00B01B1A">
    <w:pPr>
      <w:spacing w:after="0" w:line="120" w:lineRule="auto"/>
      <w:rPr>
        <w:rFonts w:ascii="Century Gothic" w:eastAsia="Geo" w:hAnsi="Century Gothic" w:cs="Geo"/>
        <w:sz w:val="16"/>
        <w:szCs w:val="16"/>
        <w:lang w:eastAsia="es-CO"/>
      </w:rPr>
    </w:pPr>
  </w:p>
  <w:p w14:paraId="3CD45E91"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CD44C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11353180" o:spid="_x0000_i1025" type="#_x0000_t75" style="width:11.25pt;height:11.25pt;visibility:visible;mso-wrap-style:square">
            <v:imagedata r:id="rId1" o:title=""/>
          </v:shape>
        </w:pict>
      </mc:Choice>
      <mc:Fallback>
        <w:drawing>
          <wp:inline distT="0" distB="0" distL="0" distR="0" wp14:anchorId="18A87207" wp14:editId="112B4213">
            <wp:extent cx="142875" cy="142875"/>
            <wp:effectExtent l="0" t="0" r="0" b="0"/>
            <wp:docPr id="1111353180" name="Imagen 111135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632A62"/>
    <w:multiLevelType w:val="hybridMultilevel"/>
    <w:tmpl w:val="5C768B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736F20"/>
    <w:multiLevelType w:val="hybridMultilevel"/>
    <w:tmpl w:val="3ECEC3D0"/>
    <w:lvl w:ilvl="0" w:tplc="7A48947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5054466">
    <w:abstractNumId w:val="3"/>
  </w:num>
  <w:num w:numId="18" w16cid:durableId="1384208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ADF"/>
    <w:rsid w:val="00046945"/>
    <w:rsid w:val="00061B2A"/>
    <w:rsid w:val="00063654"/>
    <w:rsid w:val="00082362"/>
    <w:rsid w:val="000A683E"/>
    <w:rsid w:val="000B19B9"/>
    <w:rsid w:val="000D0334"/>
    <w:rsid w:val="000F6486"/>
    <w:rsid w:val="00125105"/>
    <w:rsid w:val="00127233"/>
    <w:rsid w:val="00134495"/>
    <w:rsid w:val="00140023"/>
    <w:rsid w:val="00144A79"/>
    <w:rsid w:val="001511A0"/>
    <w:rsid w:val="001E4177"/>
    <w:rsid w:val="001F7DC6"/>
    <w:rsid w:val="00231723"/>
    <w:rsid w:val="002421BB"/>
    <w:rsid w:val="0025796E"/>
    <w:rsid w:val="002707A2"/>
    <w:rsid w:val="0027312B"/>
    <w:rsid w:val="002951A0"/>
    <w:rsid w:val="002962BC"/>
    <w:rsid w:val="00296642"/>
    <w:rsid w:val="002A093D"/>
    <w:rsid w:val="002A0DD0"/>
    <w:rsid w:val="002A49AC"/>
    <w:rsid w:val="002A64FD"/>
    <w:rsid w:val="002C7A84"/>
    <w:rsid w:val="002E4FD9"/>
    <w:rsid w:val="00305BA6"/>
    <w:rsid w:val="00322A85"/>
    <w:rsid w:val="00324168"/>
    <w:rsid w:val="00332F2E"/>
    <w:rsid w:val="003448F4"/>
    <w:rsid w:val="00374F5E"/>
    <w:rsid w:val="00377E3E"/>
    <w:rsid w:val="003A1B42"/>
    <w:rsid w:val="003A779E"/>
    <w:rsid w:val="003B62C2"/>
    <w:rsid w:val="003C2827"/>
    <w:rsid w:val="003D0F4D"/>
    <w:rsid w:val="003D5B0D"/>
    <w:rsid w:val="003E0499"/>
    <w:rsid w:val="003F3941"/>
    <w:rsid w:val="00406575"/>
    <w:rsid w:val="00414C74"/>
    <w:rsid w:val="0042722E"/>
    <w:rsid w:val="0044528D"/>
    <w:rsid w:val="004711CD"/>
    <w:rsid w:val="00476985"/>
    <w:rsid w:val="0049023A"/>
    <w:rsid w:val="00497D79"/>
    <w:rsid w:val="004A1847"/>
    <w:rsid w:val="004A305D"/>
    <w:rsid w:val="004F21C4"/>
    <w:rsid w:val="004F685F"/>
    <w:rsid w:val="005566E8"/>
    <w:rsid w:val="00565CBC"/>
    <w:rsid w:val="00574867"/>
    <w:rsid w:val="00591460"/>
    <w:rsid w:val="005B3816"/>
    <w:rsid w:val="005C3777"/>
    <w:rsid w:val="005C5CDC"/>
    <w:rsid w:val="005D476C"/>
    <w:rsid w:val="005D4BE3"/>
    <w:rsid w:val="006064D4"/>
    <w:rsid w:val="006219F8"/>
    <w:rsid w:val="0062394B"/>
    <w:rsid w:val="00665D70"/>
    <w:rsid w:val="006900D9"/>
    <w:rsid w:val="006C1B02"/>
    <w:rsid w:val="00706C16"/>
    <w:rsid w:val="00756841"/>
    <w:rsid w:val="007649AB"/>
    <w:rsid w:val="00771D0C"/>
    <w:rsid w:val="007833AC"/>
    <w:rsid w:val="00790547"/>
    <w:rsid w:val="007B268C"/>
    <w:rsid w:val="007B6613"/>
    <w:rsid w:val="007B7171"/>
    <w:rsid w:val="007C0C0F"/>
    <w:rsid w:val="007C3DC2"/>
    <w:rsid w:val="007E5497"/>
    <w:rsid w:val="007F16C6"/>
    <w:rsid w:val="00806F5F"/>
    <w:rsid w:val="00820278"/>
    <w:rsid w:val="00867F95"/>
    <w:rsid w:val="008843B6"/>
    <w:rsid w:val="00891928"/>
    <w:rsid w:val="008A446D"/>
    <w:rsid w:val="008C2237"/>
    <w:rsid w:val="008D180B"/>
    <w:rsid w:val="008F0EA7"/>
    <w:rsid w:val="00923EEF"/>
    <w:rsid w:val="009419F9"/>
    <w:rsid w:val="0095685E"/>
    <w:rsid w:val="00961B09"/>
    <w:rsid w:val="00965334"/>
    <w:rsid w:val="0097093E"/>
    <w:rsid w:val="00985692"/>
    <w:rsid w:val="00986AC5"/>
    <w:rsid w:val="009A0DFA"/>
    <w:rsid w:val="009B2D26"/>
    <w:rsid w:val="009B2E96"/>
    <w:rsid w:val="009C4B0F"/>
    <w:rsid w:val="009C71FA"/>
    <w:rsid w:val="009C72E7"/>
    <w:rsid w:val="009D3058"/>
    <w:rsid w:val="009E1DCD"/>
    <w:rsid w:val="009F3A13"/>
    <w:rsid w:val="00A122D3"/>
    <w:rsid w:val="00A17F13"/>
    <w:rsid w:val="00A20739"/>
    <w:rsid w:val="00A33C78"/>
    <w:rsid w:val="00A43500"/>
    <w:rsid w:val="00A860B7"/>
    <w:rsid w:val="00AB0ADB"/>
    <w:rsid w:val="00AC6901"/>
    <w:rsid w:val="00B01B1A"/>
    <w:rsid w:val="00B35D33"/>
    <w:rsid w:val="00B66319"/>
    <w:rsid w:val="00B72CD3"/>
    <w:rsid w:val="00B72FFF"/>
    <w:rsid w:val="00B93D2C"/>
    <w:rsid w:val="00BA2097"/>
    <w:rsid w:val="00BB4885"/>
    <w:rsid w:val="00BC3D36"/>
    <w:rsid w:val="00BD7F72"/>
    <w:rsid w:val="00C04FB3"/>
    <w:rsid w:val="00C330EB"/>
    <w:rsid w:val="00C41061"/>
    <w:rsid w:val="00C754BE"/>
    <w:rsid w:val="00C76B1C"/>
    <w:rsid w:val="00CB0700"/>
    <w:rsid w:val="00CB6357"/>
    <w:rsid w:val="00CC1B26"/>
    <w:rsid w:val="00CD3AB2"/>
    <w:rsid w:val="00D01A6B"/>
    <w:rsid w:val="00D423A2"/>
    <w:rsid w:val="00D520D8"/>
    <w:rsid w:val="00D63AC2"/>
    <w:rsid w:val="00D7383B"/>
    <w:rsid w:val="00DA231B"/>
    <w:rsid w:val="00DC39FC"/>
    <w:rsid w:val="00DD5D31"/>
    <w:rsid w:val="00DF5254"/>
    <w:rsid w:val="00E16408"/>
    <w:rsid w:val="00E20894"/>
    <w:rsid w:val="00E245AB"/>
    <w:rsid w:val="00E2764C"/>
    <w:rsid w:val="00E27F2E"/>
    <w:rsid w:val="00E36DF1"/>
    <w:rsid w:val="00E50AFE"/>
    <w:rsid w:val="00E75C92"/>
    <w:rsid w:val="00E771DC"/>
    <w:rsid w:val="00E8772A"/>
    <w:rsid w:val="00E90F6B"/>
    <w:rsid w:val="00E92C27"/>
    <w:rsid w:val="00EA0E3D"/>
    <w:rsid w:val="00EB155A"/>
    <w:rsid w:val="00EB4AD5"/>
    <w:rsid w:val="00EC2BD5"/>
    <w:rsid w:val="00EC38A7"/>
    <w:rsid w:val="00ED7384"/>
    <w:rsid w:val="00EE1AA8"/>
    <w:rsid w:val="00F31EDC"/>
    <w:rsid w:val="00F462B3"/>
    <w:rsid w:val="00F5664F"/>
    <w:rsid w:val="00F666C4"/>
    <w:rsid w:val="00F76AFC"/>
    <w:rsid w:val="00F95DBF"/>
    <w:rsid w:val="00FA47C0"/>
    <w:rsid w:val="00FA4CCC"/>
    <w:rsid w:val="00FB54FB"/>
    <w:rsid w:val="00FB5DD1"/>
    <w:rsid w:val="00FC00AA"/>
    <w:rsid w:val="00FC2B5D"/>
    <w:rsid w:val="00FC75EC"/>
    <w:rsid w:val="00FF1449"/>
    <w:rsid w:val="1D1EDF85"/>
    <w:rsid w:val="299119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B4885"/>
    <w:rPr>
      <w:rFonts w:ascii="Geomanist Light" w:hAnsi="Geomanist Light"/>
      <w:lang w:val="es-ES"/>
    </w:rPr>
  </w:style>
  <w:style w:type="paragraph" w:customStyle="1" w:styleId="Appelnotedebasde">
    <w:name w:val="Appel note de bas de..."/>
    <w:basedOn w:val="Normal"/>
    <w:link w:val="Refdenotaalpie"/>
    <w:uiPriority w:val="99"/>
    <w:rsid w:val="00BB4885"/>
    <w:pPr>
      <w:spacing w:line="240" w:lineRule="exact"/>
    </w:pPr>
    <w:rPr>
      <w:vertAlign w:val="superscript"/>
    </w:rPr>
  </w:style>
  <w:style w:type="paragraph" w:styleId="Textoindependiente">
    <w:name w:val="Body Text"/>
    <w:basedOn w:val="Normal"/>
    <w:link w:val="TextoindependienteCar"/>
    <w:uiPriority w:val="1"/>
    <w:unhideWhenUsed/>
    <w:qFormat/>
    <w:rsid w:val="00BB4885"/>
    <w:pPr>
      <w:spacing w:after="120"/>
    </w:pPr>
  </w:style>
  <w:style w:type="character" w:customStyle="1" w:styleId="TextoindependienteCar">
    <w:name w:val="Texto independiente Car"/>
    <w:basedOn w:val="Fuentedeprrafopredeter"/>
    <w:link w:val="Textoindependiente"/>
    <w:uiPriority w:val="1"/>
    <w:rsid w:val="00BB4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sabeltrujillo15@yahoo.e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2CE3421-2981-4DCE-AE84-A6EE1E67BFFE}"/>
</file>

<file path=customXml/itemProps4.xml><?xml version="1.0" encoding="utf-8"?>
<ds:datastoreItem xmlns:ds="http://schemas.openxmlformats.org/officeDocument/2006/customXml" ds:itemID="{1746BA6E-FC1E-44F5-A744-821ACDAF6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6763</Words>
  <Characters>37200</Characters>
  <Application>Microsoft Office Word</Application>
  <DocSecurity>0</DocSecurity>
  <Lines>310</Lines>
  <Paragraphs>87</Paragraphs>
  <ScaleCrop>false</ScaleCrop>
  <Company/>
  <LinksUpToDate>false</LinksUpToDate>
  <CharactersWithSpaces>43876</CharactersWithSpaces>
  <SharedDoc>false</SharedDoc>
  <HLinks>
    <vt:vector size="36" baseType="variant">
      <vt:variant>
        <vt:i4>7012395</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vt:lpwstr>
      </vt:variant>
      <vt:variant>
        <vt:lpwstr/>
      </vt:variant>
      <vt:variant>
        <vt:i4>6488171</vt:i4>
      </vt:variant>
      <vt:variant>
        <vt:i4>9</vt:i4>
      </vt:variant>
      <vt:variant>
        <vt:i4>0</vt:i4>
      </vt:variant>
      <vt:variant>
        <vt:i4>5</vt:i4>
      </vt:variant>
      <vt:variant>
        <vt:lpwstr>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vt:lpwstr>
      </vt:variant>
      <vt:variant>
        <vt:lpwstr/>
      </vt:variant>
      <vt:variant>
        <vt:i4>3014708</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2686978</vt:i4>
      </vt:variant>
      <vt:variant>
        <vt:i4>0</vt:i4>
      </vt:variant>
      <vt:variant>
        <vt:i4>0</vt:i4>
      </vt:variant>
      <vt:variant>
        <vt:i4>5</vt:i4>
      </vt:variant>
      <vt:variant>
        <vt:lpwstr>mailto:isabeltrujillo15@yahoo.es</vt:lpwstr>
      </vt:variant>
      <vt:variant>
        <vt:lpwstr/>
      </vt:variant>
      <vt:variant>
        <vt:i4>2687086</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2025-03-14T12:54:00Z</dcterms:created>
  <dcterms:modified xsi:type="dcterms:W3CDTF">2025-03-14T12:54:00Z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