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481C46B0" w:rsidR="00771742" w:rsidRPr="003D11EB" w:rsidRDefault="00771742" w:rsidP="00C23613">
      <w:pPr>
        <w:jc w:val="both"/>
        <w:rPr>
          <w:rFonts w:ascii="Arial" w:eastAsia="Calibri" w:hAnsi="Arial" w:cs="Arial"/>
          <w:color w:val="000000" w:themeColor="text1"/>
          <w:sz w:val="22"/>
          <w:szCs w:val="22"/>
          <w:lang w:val="es-MX" w:eastAsia="en-US"/>
        </w:rPr>
      </w:pPr>
    </w:p>
    <w:p w14:paraId="7F3724D2" w14:textId="77777777" w:rsidR="008F7388" w:rsidRPr="003D11EB" w:rsidRDefault="008F7388" w:rsidP="008F7388">
      <w:pPr>
        <w:jc w:val="both"/>
        <w:rPr>
          <w:rFonts w:ascii="Arial" w:eastAsia="Calibri" w:hAnsi="Arial" w:cs="Arial"/>
          <w:b/>
          <w:color w:val="000000" w:themeColor="text1"/>
          <w:sz w:val="22"/>
          <w:szCs w:val="22"/>
          <w:lang w:val="es-ES_tradnl" w:eastAsia="en-US"/>
        </w:rPr>
      </w:pPr>
      <w:r w:rsidRPr="003D11EB">
        <w:rPr>
          <w:rFonts w:ascii="Arial" w:eastAsia="Calibri" w:hAnsi="Arial" w:cs="Arial"/>
          <w:b/>
          <w:color w:val="000000" w:themeColor="text1"/>
          <w:sz w:val="22"/>
          <w:szCs w:val="22"/>
          <w:lang w:val="es-ES_tradnl" w:eastAsia="en-US"/>
        </w:rPr>
        <w:t>ENTIDADES DE RÉGIMEN ESPECIAL – Definición</w:t>
      </w:r>
    </w:p>
    <w:p w14:paraId="018C9590" w14:textId="77777777" w:rsidR="008F7388" w:rsidRPr="003D11EB" w:rsidRDefault="008F7388" w:rsidP="008F7388">
      <w:pPr>
        <w:jc w:val="both"/>
        <w:rPr>
          <w:rFonts w:ascii="Arial" w:eastAsia="Calibri" w:hAnsi="Arial" w:cs="Arial"/>
          <w:color w:val="000000" w:themeColor="text1"/>
          <w:sz w:val="20"/>
          <w:szCs w:val="20"/>
          <w:lang w:val="es-ES_tradnl" w:eastAsia="en-US"/>
        </w:rPr>
      </w:pPr>
    </w:p>
    <w:p w14:paraId="09525FCD" w14:textId="77777777" w:rsidR="008F7388" w:rsidRPr="003D11EB" w:rsidRDefault="008F7388" w:rsidP="008F7388">
      <w:pPr>
        <w:jc w:val="both"/>
        <w:rPr>
          <w:rFonts w:ascii="Arial" w:eastAsia="Calibri" w:hAnsi="Arial" w:cs="Arial"/>
          <w:color w:val="000000" w:themeColor="text1"/>
          <w:sz w:val="20"/>
          <w:szCs w:val="20"/>
          <w:lang w:val="es-ES_tradnl" w:eastAsia="en-US"/>
        </w:rPr>
      </w:pPr>
      <w:r w:rsidRPr="003D11EB">
        <w:rPr>
          <w:rFonts w:ascii="Arial" w:eastAsia="Calibri" w:hAnsi="Arial" w:cs="Arial"/>
          <w:color w:val="000000" w:themeColor="text1"/>
          <w:sz w:val="20"/>
          <w:szCs w:val="20"/>
          <w:lang w:val="es-ES_tradnl" w:eastAsia="en-US"/>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manuales de contratación.</w:t>
      </w:r>
    </w:p>
    <w:p w14:paraId="3831EE93" w14:textId="77777777" w:rsidR="008F7388" w:rsidRPr="003D11EB" w:rsidRDefault="008F7388" w:rsidP="008F7388">
      <w:pPr>
        <w:jc w:val="both"/>
        <w:rPr>
          <w:rFonts w:ascii="Arial" w:eastAsia="Calibri" w:hAnsi="Arial" w:cs="Arial"/>
          <w:color w:val="000000" w:themeColor="text1"/>
          <w:sz w:val="22"/>
          <w:szCs w:val="22"/>
          <w:lang w:val="es-ES_tradnl" w:eastAsia="en-US"/>
        </w:rPr>
      </w:pPr>
    </w:p>
    <w:p w14:paraId="6E9A5E18" w14:textId="77777777" w:rsidR="008F7388" w:rsidRPr="003D11EB" w:rsidRDefault="008F7388" w:rsidP="008F7388">
      <w:pPr>
        <w:jc w:val="both"/>
        <w:rPr>
          <w:rFonts w:ascii="Arial" w:eastAsia="Calibri" w:hAnsi="Arial" w:cs="Arial"/>
          <w:b/>
          <w:color w:val="000000" w:themeColor="text1"/>
          <w:sz w:val="22"/>
          <w:szCs w:val="22"/>
          <w:lang w:val="es-ES_tradnl" w:eastAsia="en-US"/>
        </w:rPr>
      </w:pPr>
      <w:r w:rsidRPr="003D11EB">
        <w:rPr>
          <w:rFonts w:ascii="Arial" w:eastAsia="Calibri" w:hAnsi="Arial" w:cs="Arial"/>
          <w:b/>
          <w:color w:val="000000" w:themeColor="text1"/>
          <w:sz w:val="22"/>
          <w:szCs w:val="22"/>
          <w:lang w:val="es-ES_tradnl" w:eastAsia="en-US"/>
        </w:rPr>
        <w:t>ENTIDADES DE RÉGIMEN ESPECIAL – Manual de Contratación – Contenido</w:t>
      </w:r>
    </w:p>
    <w:p w14:paraId="3318BB67" w14:textId="77777777" w:rsidR="008F7388" w:rsidRPr="003D11EB" w:rsidRDefault="008F7388" w:rsidP="008F7388">
      <w:pPr>
        <w:jc w:val="both"/>
        <w:rPr>
          <w:rFonts w:ascii="Arial" w:eastAsia="Calibri" w:hAnsi="Arial" w:cs="Arial"/>
          <w:color w:val="000000" w:themeColor="text1"/>
          <w:sz w:val="20"/>
          <w:szCs w:val="20"/>
          <w:lang w:val="es-ES_tradnl" w:eastAsia="en-US"/>
        </w:rPr>
      </w:pPr>
    </w:p>
    <w:p w14:paraId="56DA1B7C" w14:textId="77777777" w:rsidR="008F7388" w:rsidRPr="003D11EB" w:rsidRDefault="008F7388" w:rsidP="008F7388">
      <w:pPr>
        <w:jc w:val="both"/>
        <w:rPr>
          <w:rFonts w:ascii="Arial" w:eastAsia="Calibri" w:hAnsi="Arial" w:cs="Arial"/>
          <w:color w:val="000000" w:themeColor="text1"/>
          <w:sz w:val="20"/>
          <w:szCs w:val="20"/>
          <w:lang w:val="es-ES_tradnl" w:eastAsia="en-US"/>
        </w:rPr>
      </w:pPr>
      <w:r w:rsidRPr="003D11EB">
        <w:rPr>
          <w:rFonts w:ascii="Arial" w:eastAsia="Calibri" w:hAnsi="Arial" w:cs="Arial"/>
          <w:color w:val="000000" w:themeColor="text1"/>
          <w:sz w:val="20"/>
          <w:szCs w:val="20"/>
          <w:lang w:val="es-ES_tradnl" w:eastAsia="en-US"/>
        </w:rPr>
        <w:t>Teniendo en cuenta que las entidades de régimen especial administran recursos públicos, sus manuales de contratación deben sujetarse a unas reglas mínimas que garanticen el cumplimiento de los principios de la función pública, el control fiscal y los principios rectores de la contratación estatal.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085D3F50" w14:textId="77777777" w:rsidR="008F7388" w:rsidRPr="003D11EB" w:rsidRDefault="008F7388" w:rsidP="008F7388">
      <w:pPr>
        <w:jc w:val="both"/>
        <w:rPr>
          <w:rFonts w:ascii="Arial" w:eastAsia="Calibri" w:hAnsi="Arial" w:cs="Arial"/>
          <w:color w:val="000000" w:themeColor="text1"/>
          <w:sz w:val="20"/>
          <w:szCs w:val="20"/>
          <w:lang w:val="es-ES_tradnl" w:eastAsia="en-US"/>
        </w:rPr>
      </w:pPr>
    </w:p>
    <w:p w14:paraId="7C529CAD" w14:textId="77777777" w:rsidR="008F7388" w:rsidRPr="003D11EB" w:rsidRDefault="008F7388" w:rsidP="008F7388">
      <w:pPr>
        <w:jc w:val="both"/>
        <w:rPr>
          <w:rFonts w:ascii="Arial" w:eastAsia="Calibri" w:hAnsi="Arial" w:cs="Arial"/>
          <w:b/>
          <w:color w:val="000000" w:themeColor="text1"/>
          <w:sz w:val="22"/>
          <w:szCs w:val="22"/>
          <w:lang w:val="es-ES_tradnl" w:eastAsia="en-US"/>
        </w:rPr>
      </w:pPr>
      <w:r w:rsidRPr="003D11EB">
        <w:rPr>
          <w:rFonts w:ascii="Arial" w:eastAsia="Calibri" w:hAnsi="Arial" w:cs="Arial"/>
          <w:b/>
          <w:color w:val="000000" w:themeColor="text1"/>
          <w:sz w:val="22"/>
          <w:szCs w:val="22"/>
          <w:lang w:val="es-ES_tradnl" w:eastAsia="en-US"/>
        </w:rPr>
        <w:t>ENTIDADES DE RÉGIMEN ESPECIAL – Obligaciones transversales a las entidades</w:t>
      </w:r>
    </w:p>
    <w:p w14:paraId="08519708" w14:textId="77777777" w:rsidR="008F7388" w:rsidRPr="003D11EB" w:rsidRDefault="008F7388" w:rsidP="008F7388">
      <w:pPr>
        <w:jc w:val="both"/>
        <w:rPr>
          <w:rFonts w:ascii="Arial" w:eastAsia="Calibri" w:hAnsi="Arial" w:cs="Arial"/>
          <w:color w:val="000000" w:themeColor="text1"/>
          <w:sz w:val="20"/>
          <w:szCs w:val="20"/>
          <w:lang w:val="es-ES_tradnl" w:eastAsia="en-US"/>
        </w:rPr>
      </w:pPr>
    </w:p>
    <w:p w14:paraId="1AFCB03D" w14:textId="5A9850E8" w:rsidR="008F7388" w:rsidRPr="003D11EB" w:rsidRDefault="008F7388" w:rsidP="008F7388">
      <w:pPr>
        <w:jc w:val="both"/>
        <w:rPr>
          <w:rFonts w:ascii="Arial" w:eastAsia="Calibri" w:hAnsi="Arial" w:cs="Arial"/>
          <w:b/>
          <w:bCs/>
          <w:color w:val="000000" w:themeColor="text1"/>
          <w:sz w:val="22"/>
          <w:szCs w:val="22"/>
          <w:lang w:val="es-ES_tradnl" w:eastAsia="en-US"/>
        </w:rPr>
      </w:pPr>
      <w:r w:rsidRPr="003D11EB">
        <w:rPr>
          <w:rFonts w:ascii="Arial" w:eastAsia="Calibri" w:hAnsi="Arial" w:cs="Arial"/>
          <w:color w:val="000000" w:themeColor="text1"/>
          <w:sz w:val="20"/>
          <w:szCs w:val="20"/>
          <w:lang w:val="es-ES_tradnl" w:eastAsia="en-US"/>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r w:rsidR="00614EC3" w:rsidRPr="003D11EB">
        <w:rPr>
          <w:rFonts w:ascii="Arial" w:eastAsia="Calibri" w:hAnsi="Arial" w:cs="Arial"/>
          <w:b/>
          <w:bCs/>
          <w:color w:val="000000" w:themeColor="text1"/>
          <w:sz w:val="22"/>
          <w:szCs w:val="22"/>
          <w:lang w:val="es-ES_tradnl" w:eastAsia="en-US"/>
        </w:rPr>
        <w:t xml:space="preserve"> </w:t>
      </w:r>
    </w:p>
    <w:p w14:paraId="2064B6F7" w14:textId="77777777" w:rsidR="0026282D" w:rsidRPr="003D11EB" w:rsidRDefault="0026282D" w:rsidP="008F7388">
      <w:pPr>
        <w:jc w:val="both"/>
        <w:rPr>
          <w:rFonts w:ascii="Arial" w:eastAsia="Calibri" w:hAnsi="Arial" w:cs="Arial"/>
          <w:color w:val="000000" w:themeColor="text1"/>
          <w:sz w:val="20"/>
          <w:szCs w:val="20"/>
          <w:lang w:val="es-ES_tradnl" w:eastAsia="en-US"/>
        </w:rPr>
      </w:pPr>
    </w:p>
    <w:p w14:paraId="6B01D1C0" w14:textId="77777777" w:rsidR="008F7388" w:rsidRPr="003D11EB" w:rsidRDefault="008F7388" w:rsidP="008F7388">
      <w:pPr>
        <w:jc w:val="both"/>
        <w:rPr>
          <w:rFonts w:ascii="Arial" w:eastAsia="Calibri" w:hAnsi="Arial" w:cs="Arial"/>
          <w:color w:val="000000" w:themeColor="text1"/>
          <w:sz w:val="22"/>
          <w:szCs w:val="22"/>
          <w:lang w:val="es-ES_tradnl" w:eastAsia="en-US"/>
        </w:rPr>
      </w:pPr>
      <w:r w:rsidRPr="003D11EB">
        <w:rPr>
          <w:rFonts w:ascii="Arial" w:eastAsia="Calibri" w:hAnsi="Arial" w:cs="Arial"/>
          <w:b/>
          <w:bCs/>
          <w:color w:val="000000" w:themeColor="text1"/>
          <w:sz w:val="22"/>
          <w:szCs w:val="22"/>
          <w:lang w:val="es-ES_tradnl" w:eastAsia="en-US"/>
        </w:rPr>
        <w:t>MANUAL DE CONTRATACIÓN – Reglamento interno de contratación – Naturaleza jurídica – Reglamento – Inderogabilidad singular</w:t>
      </w:r>
    </w:p>
    <w:p w14:paraId="3FD8986E" w14:textId="77777777" w:rsidR="008F7388" w:rsidRPr="003D11EB" w:rsidRDefault="008F7388" w:rsidP="008F7388">
      <w:pPr>
        <w:jc w:val="both"/>
        <w:rPr>
          <w:rFonts w:ascii="Arial" w:eastAsia="Calibri" w:hAnsi="Arial" w:cs="Arial"/>
          <w:color w:val="000000" w:themeColor="text1"/>
          <w:sz w:val="20"/>
          <w:szCs w:val="20"/>
          <w:lang w:val="es-ES_tradnl" w:eastAsia="en-US"/>
        </w:rPr>
      </w:pPr>
    </w:p>
    <w:p w14:paraId="735C7A2A" w14:textId="77777777" w:rsidR="008F7388" w:rsidRPr="003D11EB" w:rsidRDefault="008F7388" w:rsidP="008F7388">
      <w:pPr>
        <w:spacing w:after="120"/>
        <w:jc w:val="both"/>
        <w:rPr>
          <w:rFonts w:ascii="Arial" w:eastAsia="Calibri" w:hAnsi="Arial" w:cs="Arial"/>
          <w:color w:val="000000" w:themeColor="text1"/>
          <w:sz w:val="20"/>
          <w:szCs w:val="20"/>
          <w:lang w:val="es-ES_tradnl" w:eastAsia="en-US"/>
        </w:rPr>
      </w:pPr>
      <w:r w:rsidRPr="003D11EB">
        <w:rPr>
          <w:rFonts w:ascii="Arial" w:eastAsia="Calibri" w:hAnsi="Arial" w:cs="Arial"/>
          <w:color w:val="000000" w:themeColor="text1"/>
          <w:sz w:val="20"/>
          <w:szCs w:val="20"/>
          <w:lang w:val="es-ES_tradnl" w:eastAsia="en-US"/>
        </w:rPr>
        <w:t>[…] las entidades estatales que, por disposición legal, cuentan con un régimen especial , exceptuado del Estatuto General de Contratación de la Administración Pública –Leyes 80 de 1993, 1150 de 2007 y normas complementarias – pueden expedir un reglamento interno de contratación –comúnmente denominado manual de contratación–,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14:paraId="3DC7A507" w14:textId="77777777" w:rsidR="008F7388" w:rsidRPr="003D11EB" w:rsidRDefault="008F7388" w:rsidP="008F7388">
      <w:pPr>
        <w:jc w:val="both"/>
        <w:rPr>
          <w:rFonts w:ascii="Arial" w:eastAsia="Calibri" w:hAnsi="Arial" w:cs="Arial"/>
          <w:color w:val="000000" w:themeColor="text1"/>
          <w:sz w:val="20"/>
          <w:szCs w:val="20"/>
          <w:lang w:val="es-ES_tradnl" w:eastAsia="en-US"/>
        </w:rPr>
      </w:pPr>
      <w:r w:rsidRPr="003D11EB">
        <w:rPr>
          <w:rFonts w:ascii="Arial" w:eastAsia="Calibri" w:hAnsi="Arial" w:cs="Arial"/>
          <w:color w:val="000000" w:themeColor="text1"/>
          <w:sz w:val="20"/>
          <w:szCs w:val="20"/>
          <w:lang w:val="es-ES_tradnl" w:eastAsia="en-US"/>
        </w:rPr>
        <w:t xml:space="preserve">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3D11EB">
        <w:rPr>
          <w:rFonts w:ascii="Arial" w:eastAsia="Calibri" w:hAnsi="Arial" w:cs="Arial"/>
          <w:color w:val="000000" w:themeColor="text1"/>
          <w:sz w:val="20"/>
          <w:szCs w:val="20"/>
          <w:lang w:val="es-ES_tradnl" w:eastAsia="en-US"/>
        </w:rPr>
        <w:lastRenderedPageBreak/>
        <w:t>inderogabilidad singular del reglamento. En tal sentido, su contenido vincula a la propia entidad que lo expidió y no puede desconocerlo a su capricho en casos específicos. Ello sin perjuicio de la posibilidad de expedir un nuevo manual o de modificar el existente.</w:t>
      </w:r>
    </w:p>
    <w:p w14:paraId="2F12DC7A" w14:textId="77777777" w:rsidR="008F7388" w:rsidRPr="003D11EB" w:rsidRDefault="008F7388" w:rsidP="008F7388">
      <w:pPr>
        <w:jc w:val="both"/>
        <w:rPr>
          <w:rFonts w:ascii="Arial" w:eastAsiaTheme="minorHAnsi" w:hAnsi="Arial" w:cs="Arial"/>
          <w:noProof/>
          <w:color w:val="000000" w:themeColor="text1"/>
          <w:sz w:val="22"/>
          <w:szCs w:val="22"/>
          <w:lang w:val="es-ES_tradnl" w:eastAsia="en-US"/>
        </w:rPr>
      </w:pPr>
    </w:p>
    <w:p w14:paraId="53D6D0E0" w14:textId="77777777" w:rsidR="008F7388" w:rsidRPr="003D11EB" w:rsidRDefault="008F7388" w:rsidP="008F7388">
      <w:pPr>
        <w:jc w:val="both"/>
        <w:rPr>
          <w:rFonts w:ascii="Arial" w:eastAsiaTheme="minorHAnsi" w:hAnsi="Arial" w:cs="Arial"/>
          <w:b/>
          <w:bCs/>
          <w:noProof/>
          <w:color w:val="000000" w:themeColor="text1"/>
          <w:sz w:val="22"/>
          <w:szCs w:val="22"/>
          <w:lang w:val="es-ES_tradnl" w:eastAsia="en-US"/>
        </w:rPr>
      </w:pPr>
      <w:r w:rsidRPr="003D11EB">
        <w:rPr>
          <w:rFonts w:ascii="Arial" w:eastAsiaTheme="minorHAnsi" w:hAnsi="Arial" w:cs="Arial"/>
          <w:b/>
          <w:bCs/>
          <w:noProof/>
          <w:color w:val="000000" w:themeColor="text1"/>
          <w:sz w:val="22"/>
          <w:szCs w:val="22"/>
          <w:lang w:val="es-ES_tradnl" w:eastAsia="en-US"/>
        </w:rPr>
        <w:t>MANUALES DE CONTRATACIÓN – Entidades de régimen especial – Vacíos</w:t>
      </w:r>
    </w:p>
    <w:p w14:paraId="7317F7B1" w14:textId="77777777" w:rsidR="008F7388" w:rsidRPr="003D11EB" w:rsidRDefault="008F7388" w:rsidP="008F7388">
      <w:pPr>
        <w:jc w:val="both"/>
        <w:rPr>
          <w:rFonts w:ascii="Arial" w:eastAsiaTheme="minorHAnsi" w:hAnsi="Arial" w:cs="Arial"/>
          <w:b/>
          <w:bCs/>
          <w:noProof/>
          <w:color w:val="000000" w:themeColor="text1"/>
          <w:sz w:val="22"/>
          <w:szCs w:val="22"/>
          <w:lang w:val="es-ES_tradnl" w:eastAsia="en-US"/>
        </w:rPr>
      </w:pPr>
    </w:p>
    <w:p w14:paraId="798624BA" w14:textId="77777777" w:rsidR="008F7388" w:rsidRPr="003D11EB" w:rsidRDefault="008F7388" w:rsidP="008F7388">
      <w:pPr>
        <w:spacing w:after="120"/>
        <w:jc w:val="both"/>
        <w:rPr>
          <w:rFonts w:ascii="Arial" w:eastAsiaTheme="minorHAnsi" w:hAnsi="Arial" w:cs="Arial"/>
          <w:noProof/>
          <w:color w:val="000000" w:themeColor="text1"/>
          <w:sz w:val="20"/>
          <w:szCs w:val="20"/>
          <w:lang w:val="es-ES_tradnl" w:eastAsia="en-US"/>
        </w:rPr>
      </w:pPr>
      <w:r w:rsidRPr="003D11EB">
        <w:rPr>
          <w:rFonts w:ascii="Arial" w:eastAsiaTheme="minorHAnsi" w:hAnsi="Arial" w:cs="Arial"/>
          <w:noProof/>
          <w:color w:val="000000" w:themeColor="text1"/>
          <w:sz w:val="20"/>
          <w:szCs w:val="20"/>
          <w:lang w:val="es-ES_tradnl" w:eastAsia="en-US"/>
        </w:rPr>
        <w:t xml:space="preserve">[…] los vacíos de los manuales de contratación de las entidades con régimen especial no siempre se llenan de la misma manera, pues ello depende de las materias sobre las cuales exista ausencia de regulación en dicho reglamento y la ley que crea el régimen especial.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2A3BF546" w14:textId="77777777" w:rsidR="008F7388" w:rsidRPr="003D11EB" w:rsidRDefault="008F7388" w:rsidP="008F7388">
      <w:pPr>
        <w:jc w:val="both"/>
        <w:rPr>
          <w:rFonts w:ascii="Arial" w:eastAsiaTheme="minorHAnsi" w:hAnsi="Arial" w:cs="Arial"/>
          <w:noProof/>
          <w:color w:val="000000" w:themeColor="text1"/>
          <w:sz w:val="20"/>
          <w:szCs w:val="20"/>
          <w:lang w:val="es-ES_tradnl" w:eastAsia="en-US"/>
        </w:rPr>
      </w:pPr>
      <w:r w:rsidRPr="003D11EB">
        <w:rPr>
          <w:rFonts w:ascii="Arial" w:eastAsiaTheme="minorHAnsi" w:hAnsi="Arial" w:cs="Arial"/>
          <w:noProof/>
          <w:color w:val="000000" w:themeColor="text1"/>
          <w:sz w:val="20"/>
          <w:szCs w:val="20"/>
          <w:lang w:val="es-ES_tradnl" w:eastAsia="en-US"/>
        </w:rPr>
        <w:t>De otro lado,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Por último, si excepcionalmente a la entidad de régimen especial se la habilita o faculta para hacer uso de disposiciones o prerrogativas establecidas en el EGCAP, los vacíos respecto a su ejercicio se llenan con las disposiciones del Estatuto General de Contratación.</w:t>
      </w:r>
    </w:p>
    <w:p w14:paraId="45AAA245" w14:textId="77777777" w:rsidR="0026282D" w:rsidRPr="003D11EB" w:rsidRDefault="0026282D" w:rsidP="0026282D">
      <w:pPr>
        <w:jc w:val="both"/>
        <w:rPr>
          <w:rFonts w:ascii="Arial" w:eastAsia="Calibri" w:hAnsi="Arial" w:cs="Arial"/>
          <w:b/>
          <w:color w:val="000000" w:themeColor="text1"/>
          <w:sz w:val="22"/>
        </w:rPr>
      </w:pPr>
    </w:p>
    <w:p w14:paraId="3E20025D" w14:textId="77777777" w:rsidR="0026282D" w:rsidRPr="003D11EB" w:rsidRDefault="0026282D" w:rsidP="0026282D">
      <w:pPr>
        <w:jc w:val="both"/>
        <w:rPr>
          <w:rFonts w:ascii="Arial" w:eastAsia="Calibri" w:hAnsi="Arial" w:cs="Arial"/>
          <w:b/>
          <w:color w:val="000000" w:themeColor="text1"/>
          <w:sz w:val="22"/>
        </w:rPr>
      </w:pPr>
      <w:r w:rsidRPr="003D11EB">
        <w:rPr>
          <w:rFonts w:ascii="Arial" w:eastAsia="Calibri" w:hAnsi="Arial" w:cs="Arial"/>
          <w:b/>
          <w:color w:val="000000" w:themeColor="text1"/>
          <w:sz w:val="22"/>
        </w:rPr>
        <w:t>PROHIBICIÓN DE ADICIONAR EN MÁS DEL 50% – Contenido – Cálculo del monto – Ley 80, artículo 40, parágrafo</w:t>
      </w:r>
    </w:p>
    <w:p w14:paraId="6D0786B2" w14:textId="77777777" w:rsidR="0026282D" w:rsidRPr="003D11EB" w:rsidRDefault="0026282D" w:rsidP="0026282D">
      <w:pPr>
        <w:jc w:val="both"/>
        <w:rPr>
          <w:rFonts w:ascii="Arial" w:eastAsia="Calibri" w:hAnsi="Arial" w:cs="Arial"/>
          <w:b/>
          <w:color w:val="000000" w:themeColor="text1"/>
          <w:sz w:val="22"/>
        </w:rPr>
      </w:pPr>
    </w:p>
    <w:p w14:paraId="5F983019" w14:textId="4605481F" w:rsidR="00F007FF" w:rsidRPr="008E244E" w:rsidRDefault="00F007FF" w:rsidP="008E244E">
      <w:pPr>
        <w:jc w:val="both"/>
        <w:rPr>
          <w:rFonts w:ascii="Arial" w:eastAsia="Calibri" w:hAnsi="Arial" w:cs="Arial"/>
          <w:color w:val="000000" w:themeColor="text1"/>
          <w:sz w:val="20"/>
          <w:szCs w:val="20"/>
        </w:rPr>
      </w:pPr>
      <w:r w:rsidRPr="008E244E">
        <w:rPr>
          <w:rFonts w:ascii="Arial" w:eastAsia="Calibri" w:hAnsi="Arial" w:cs="Arial"/>
          <w:color w:val="000000" w:themeColor="text1"/>
          <w:sz w:val="20"/>
          <w:szCs w:val="20"/>
        </w:rPr>
        <w:t>[…] frente a cualquier incremento del valor inicial del contrato</w:t>
      </w:r>
      <w:r w:rsidRPr="008E244E">
        <w:rPr>
          <w:rFonts w:ascii="Arial" w:eastAsia="Calibri" w:hAnsi="Arial" w:cs="Arial"/>
          <w:i/>
          <w:iCs/>
          <w:color w:val="000000" w:themeColor="text1"/>
          <w:sz w:val="20"/>
          <w:szCs w:val="20"/>
        </w:rPr>
        <w:t xml:space="preserve"> </w:t>
      </w:r>
      <w:r w:rsidRPr="008E244E">
        <w:rPr>
          <w:rFonts w:ascii="Arial" w:eastAsia="Calibri" w:hAnsi="Arial" w:cs="Arial"/>
          <w:color w:val="000000" w:themeColor="text1"/>
          <w:sz w:val="20"/>
          <w:szCs w:val="20"/>
        </w:rPr>
        <w:t>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5B6F5517" w14:textId="77777777" w:rsidR="00F007FF" w:rsidRDefault="00F007FF" w:rsidP="008E244E">
      <w:pPr>
        <w:jc w:val="both"/>
        <w:rPr>
          <w:rFonts w:ascii="Arial" w:eastAsia="Calibri" w:hAnsi="Arial" w:cs="Arial"/>
          <w:color w:val="000000" w:themeColor="text1"/>
          <w:sz w:val="20"/>
          <w:szCs w:val="20"/>
        </w:rPr>
      </w:pPr>
    </w:p>
    <w:p w14:paraId="54C73D7E" w14:textId="4A989641" w:rsidR="0026282D" w:rsidRPr="008E244E" w:rsidRDefault="00F007FF" w:rsidP="0026282D">
      <w:pPr>
        <w:jc w:val="both"/>
        <w:rPr>
          <w:rFonts w:ascii="Arial" w:eastAsia="Calibri" w:hAnsi="Arial" w:cs="Arial"/>
          <w:color w:val="000000" w:themeColor="text1"/>
          <w:sz w:val="20"/>
          <w:szCs w:val="20"/>
        </w:rPr>
      </w:pPr>
      <w:r w:rsidRPr="008E244E">
        <w:rPr>
          <w:rFonts w:ascii="Arial" w:eastAsia="Calibri" w:hAnsi="Arial" w:cs="Arial"/>
          <w:color w:val="000000" w:themeColor="text1"/>
          <w:sz w:val="20"/>
          <w:szCs w:val="20"/>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r>
        <w:rPr>
          <w:rFonts w:ascii="Arial" w:eastAsia="Calibri" w:hAnsi="Arial" w:cs="Arial"/>
          <w:color w:val="000000" w:themeColor="text1"/>
          <w:sz w:val="20"/>
          <w:szCs w:val="20"/>
        </w:rPr>
        <w:t>}</w:t>
      </w:r>
    </w:p>
    <w:p w14:paraId="68215480" w14:textId="77777777" w:rsidR="0026282D" w:rsidRPr="003D11EB" w:rsidRDefault="0026282D" w:rsidP="0026282D">
      <w:pPr>
        <w:jc w:val="both"/>
        <w:rPr>
          <w:rFonts w:ascii="Arial" w:hAnsi="Arial" w:cs="Arial"/>
          <w:bCs/>
          <w:color w:val="000000" w:themeColor="text1"/>
          <w:sz w:val="22"/>
        </w:rPr>
      </w:pPr>
    </w:p>
    <w:p w14:paraId="1A2F922D" w14:textId="0AAAFA41" w:rsidR="00C23613" w:rsidRPr="003D11EB" w:rsidRDefault="0026282D" w:rsidP="00F007FF">
      <w:pPr>
        <w:widowControl w:val="0"/>
        <w:autoSpaceDE w:val="0"/>
        <w:autoSpaceDN w:val="0"/>
        <w:jc w:val="both"/>
        <w:rPr>
          <w:rFonts w:ascii="Arial" w:eastAsia="Arial MT" w:hAnsi="Arial" w:cs="Arial"/>
          <w:b/>
          <w:noProof/>
          <w:color w:val="000000" w:themeColor="text1"/>
          <w:sz w:val="22"/>
          <w:szCs w:val="22"/>
          <w:lang w:val="es-ES" w:eastAsia="en-US"/>
        </w:rPr>
      </w:pPr>
      <w:r w:rsidRPr="003D11EB">
        <w:rPr>
          <w:rFonts w:ascii="Arial" w:eastAsia="Calibri" w:hAnsi="Arial" w:cs="Arial"/>
          <w:b/>
          <w:bCs/>
          <w:color w:val="000000" w:themeColor="text1"/>
          <w:sz w:val="22"/>
          <w:szCs w:val="22"/>
        </w:rPr>
        <w:t>ADICIÓN – Decreto</w:t>
      </w:r>
      <w:r w:rsidR="00F007FF">
        <w:rPr>
          <w:rFonts w:ascii="Arial" w:eastAsia="Calibri" w:hAnsi="Arial" w:cs="Arial"/>
          <w:b/>
          <w:bCs/>
          <w:color w:val="000000" w:themeColor="text1"/>
          <w:sz w:val="22"/>
          <w:szCs w:val="22"/>
        </w:rPr>
        <w:t xml:space="preserve"> Legislativo</w:t>
      </w:r>
      <w:r w:rsidRPr="003D11EB">
        <w:rPr>
          <w:rFonts w:ascii="Arial" w:eastAsia="Calibri" w:hAnsi="Arial" w:cs="Arial"/>
          <w:b/>
          <w:bCs/>
          <w:color w:val="000000" w:themeColor="text1"/>
          <w:sz w:val="22"/>
          <w:szCs w:val="22"/>
        </w:rPr>
        <w:t xml:space="preserve"> 537 de 2020 – Aplicación a las entidades sujetas a la </w:t>
      </w:r>
      <w:r w:rsidRPr="003D11EB">
        <w:rPr>
          <w:rFonts w:ascii="Arial" w:eastAsia="Calibri" w:hAnsi="Arial" w:cs="Arial"/>
          <w:b/>
          <w:bCs/>
          <w:color w:val="000000" w:themeColor="text1"/>
          <w:sz w:val="22"/>
          <w:szCs w:val="22"/>
        </w:rPr>
        <w:lastRenderedPageBreak/>
        <w:t>Ley 80 de 1993</w:t>
      </w:r>
    </w:p>
    <w:p w14:paraId="4BDF77FE" w14:textId="7645217F" w:rsidR="00C23613" w:rsidRPr="003D11EB" w:rsidRDefault="00C23613" w:rsidP="0026282D">
      <w:pPr>
        <w:widowControl w:val="0"/>
        <w:autoSpaceDE w:val="0"/>
        <w:autoSpaceDN w:val="0"/>
        <w:rPr>
          <w:rFonts w:ascii="Arial" w:eastAsia="Arial MT" w:hAnsi="Arial" w:cs="Arial"/>
          <w:noProof/>
          <w:color w:val="000000" w:themeColor="text1"/>
          <w:sz w:val="20"/>
          <w:szCs w:val="22"/>
          <w:lang w:val="es-ES" w:eastAsia="en-US"/>
        </w:rPr>
      </w:pPr>
    </w:p>
    <w:p w14:paraId="0C0DC948" w14:textId="343184D1" w:rsidR="00F007FF" w:rsidRDefault="0026282D" w:rsidP="008E244E">
      <w:pPr>
        <w:jc w:val="both"/>
        <w:rPr>
          <w:rFonts w:ascii="Arial" w:eastAsia="Calibri" w:hAnsi="Arial" w:cs="Arial"/>
          <w:color w:val="000000" w:themeColor="text1"/>
          <w:sz w:val="20"/>
          <w:szCs w:val="20"/>
        </w:rPr>
      </w:pPr>
      <w:r w:rsidRPr="008E244E">
        <w:rPr>
          <w:rFonts w:ascii="Arial" w:eastAsia="Calibri" w:hAnsi="Arial" w:cs="Arial"/>
          <w:color w:val="000000" w:themeColor="text1"/>
          <w:sz w:val="20"/>
          <w:szCs w:val="20"/>
        </w:rPr>
        <w:t xml:space="preserve">[…] </w:t>
      </w:r>
      <w:r w:rsidR="00F007FF" w:rsidRPr="008E244E">
        <w:rPr>
          <w:rFonts w:ascii="Arial" w:eastAsia="Calibri" w:hAnsi="Arial" w:cs="Arial"/>
          <w:color w:val="000000" w:themeColor="text1"/>
          <w:sz w:val="20"/>
          <w:szCs w:val="20"/>
        </w:rPr>
        <w:t xml:space="preserve">se destaca que el artículo 8 del Decreto Legislativo 537 del 2020 permite adicionar los contratos sin límite respecto a su valor frente a los bienes, obras o servicios que permitan una mejor gestión y mitigación de la situación de emergencia con ocasión de la pandemia derivada del Coronavirus COVID-19, frente a aquellas entidades sujetas a la Ley 80 de 1993, al establecer una modificación transitoria al parágrafo del artículo 40 de la precitada ley, condicionada su duración a que la adición se celebre durante la vigencia de la emergencia sanitaria. Esta medida impone a las entidades estatales el deber de justificar la conexidad que existe entre la adición y la situación de emergencia. Por tanto, las entidades deben argumentar suficientemente la adición de los contratos que se realicen con fundamento en el decreto mencionado, atendiendo a las exigencias para su procedencia establecidas en la misma disposición, lo que implica justificar previamente la necesidad y la forma como dichos bienes y servicios contribuirán a gestionar o mitigar la situación de emergencia. </w:t>
      </w:r>
    </w:p>
    <w:p w14:paraId="6AC1046A" w14:textId="77777777" w:rsidR="00F007FF" w:rsidRPr="008E244E" w:rsidRDefault="00F007FF" w:rsidP="008E244E">
      <w:pPr>
        <w:jc w:val="both"/>
        <w:rPr>
          <w:rFonts w:ascii="Arial" w:eastAsia="Calibri" w:hAnsi="Arial" w:cs="Arial"/>
          <w:color w:val="000000" w:themeColor="text1"/>
          <w:sz w:val="20"/>
          <w:szCs w:val="20"/>
        </w:rPr>
      </w:pPr>
    </w:p>
    <w:p w14:paraId="34A1A418" w14:textId="2A5EA5DD" w:rsidR="00F007FF" w:rsidRPr="008E244E" w:rsidRDefault="00F007FF" w:rsidP="008E244E">
      <w:pPr>
        <w:jc w:val="both"/>
        <w:rPr>
          <w:rFonts w:ascii="Arial" w:eastAsia="Calibri" w:hAnsi="Arial" w:cs="Arial"/>
          <w:color w:val="000000" w:themeColor="text1"/>
          <w:sz w:val="20"/>
          <w:szCs w:val="20"/>
        </w:rPr>
      </w:pPr>
      <w:r w:rsidRPr="008E244E">
        <w:rPr>
          <w:rFonts w:ascii="Arial" w:eastAsia="Calibri" w:hAnsi="Arial" w:cs="Arial"/>
          <w:color w:val="000000" w:themeColor="text1"/>
          <w:sz w:val="20"/>
          <w:szCs w:val="20"/>
        </w:rPr>
        <w:t xml:space="preserve">Ahora bien, las entidades públicas de régimen especial que están exceptuadas de la Ley 80 de 1993 no están sujetas a lo dispuesto en el Decreto Legislativo 537 de 2020, ni tampoco a lo prescrito en el parágrafo del artículo 40 de la Ley 80 de 1993 frente al </w:t>
      </w:r>
      <w:r w:rsidRPr="008E244E">
        <w:rPr>
          <w:rFonts w:ascii="Arial" w:eastAsia="Calibri" w:hAnsi="Arial" w:cs="Arial"/>
          <w:color w:val="000000" w:themeColor="text1"/>
          <w:sz w:val="20"/>
          <w:szCs w:val="20"/>
          <w:lang w:val="es-ES" w:eastAsia="en-US"/>
        </w:rPr>
        <w:t>límite a la adición de los contratos, regulado en el inciso segundo del parágrafo del artículo 40, que prescribe:</w:t>
      </w:r>
      <w:r w:rsidRPr="008E244E">
        <w:rPr>
          <w:rFonts w:ascii="Arial" w:eastAsia="Calibri" w:hAnsi="Arial" w:cs="Arial"/>
          <w:color w:val="000000" w:themeColor="text1"/>
          <w:sz w:val="20"/>
          <w:szCs w:val="20"/>
          <w:shd w:val="clear" w:color="auto" w:fill="FFFFFF"/>
          <w:lang w:val="es-ES" w:eastAsia="en-US"/>
        </w:rPr>
        <w:t xml:space="preserve"> </w:t>
      </w:r>
      <w:r w:rsidRPr="008E244E">
        <w:rPr>
          <w:rFonts w:ascii="Arial" w:eastAsia="Calibri" w:hAnsi="Arial" w:cs="Arial"/>
          <w:color w:val="000000" w:themeColor="text1"/>
          <w:sz w:val="20"/>
          <w:szCs w:val="20"/>
          <w:lang w:val="es-ES" w:eastAsia="en-US"/>
        </w:rPr>
        <w:t>«</w:t>
      </w:r>
      <w:r w:rsidRPr="008E244E">
        <w:rPr>
          <w:rFonts w:ascii="Arial" w:eastAsia="Calibri" w:hAnsi="Arial" w:cs="Arial"/>
          <w:color w:val="000000" w:themeColor="text1"/>
          <w:sz w:val="20"/>
          <w:szCs w:val="20"/>
          <w:shd w:val="clear" w:color="auto" w:fill="FFFFFF"/>
          <w:lang w:val="es-ES" w:eastAsia="en-US"/>
        </w:rPr>
        <w:t>Los contratos no podrán adicionarse en más del cincuenta por ciento (50%) de su valor inicial, expresado éste en salarios mínimos legales mensuales</w:t>
      </w:r>
      <w:r w:rsidRPr="008E244E">
        <w:rPr>
          <w:rFonts w:ascii="Arial" w:eastAsia="Calibri" w:hAnsi="Arial" w:cs="Arial"/>
          <w:color w:val="000000" w:themeColor="text1"/>
          <w:sz w:val="20"/>
          <w:szCs w:val="20"/>
          <w:lang w:val="es-ES" w:eastAsia="en-US"/>
        </w:rPr>
        <w:t>»</w:t>
      </w:r>
      <w:r w:rsidRPr="008E244E">
        <w:rPr>
          <w:rFonts w:ascii="Arial" w:eastAsia="Calibri" w:hAnsi="Arial" w:cs="Arial"/>
          <w:color w:val="000000" w:themeColor="text1"/>
          <w:sz w:val="20"/>
          <w:szCs w:val="20"/>
          <w:shd w:val="clear" w:color="auto" w:fill="FFFFFF"/>
          <w:lang w:val="es-ES" w:eastAsia="en-US"/>
        </w:rPr>
        <w:t xml:space="preserve">, toda vez que sus destinatarios son las entidades sometidas a la Ley 80 de 1993. </w:t>
      </w:r>
    </w:p>
    <w:p w14:paraId="0F726C31" w14:textId="20B23C7A" w:rsidR="0026282D" w:rsidRPr="003D11EB" w:rsidRDefault="0026282D" w:rsidP="008E244E">
      <w:pPr>
        <w:jc w:val="both"/>
        <w:rPr>
          <w:rFonts w:ascii="Arial" w:eastAsia="Calibri" w:hAnsi="Arial" w:cs="Arial"/>
          <w:color w:val="000000" w:themeColor="text1"/>
          <w:sz w:val="20"/>
          <w:szCs w:val="20"/>
        </w:rPr>
      </w:pPr>
    </w:p>
    <w:p w14:paraId="5522FC92" w14:textId="77777777" w:rsidR="0026282D" w:rsidRPr="003D11EB" w:rsidRDefault="0026282D" w:rsidP="0026282D">
      <w:pPr>
        <w:widowControl w:val="0"/>
        <w:autoSpaceDE w:val="0"/>
        <w:autoSpaceDN w:val="0"/>
        <w:rPr>
          <w:rFonts w:ascii="Arial" w:eastAsia="Arial MT" w:hAnsi="Arial" w:cs="Arial"/>
          <w:noProof/>
          <w:color w:val="000000" w:themeColor="text1"/>
          <w:sz w:val="20"/>
          <w:szCs w:val="22"/>
          <w:lang w:eastAsia="en-US"/>
        </w:rPr>
      </w:pPr>
    </w:p>
    <w:p w14:paraId="59BECB79" w14:textId="0C7EADB3" w:rsidR="00C23613" w:rsidRPr="003D11EB" w:rsidRDefault="00C23613" w:rsidP="0026282D">
      <w:pPr>
        <w:widowControl w:val="0"/>
        <w:autoSpaceDE w:val="0"/>
        <w:autoSpaceDN w:val="0"/>
        <w:ind w:left="4825"/>
        <w:rPr>
          <w:rFonts w:ascii="Arial" w:eastAsia="Arial MT" w:hAnsi="Arial" w:cs="Arial"/>
          <w:noProof/>
          <w:color w:val="000000" w:themeColor="text1"/>
          <w:sz w:val="20"/>
          <w:szCs w:val="22"/>
          <w:lang w:val="es-ES" w:eastAsia="en-US"/>
        </w:rPr>
      </w:pPr>
    </w:p>
    <w:p w14:paraId="72DA5C5A" w14:textId="00E17445" w:rsidR="00C23613" w:rsidRPr="003D11EB" w:rsidRDefault="00C23613" w:rsidP="0026282D">
      <w:pPr>
        <w:widowControl w:val="0"/>
        <w:autoSpaceDE w:val="0"/>
        <w:autoSpaceDN w:val="0"/>
        <w:ind w:left="4825"/>
        <w:rPr>
          <w:rFonts w:ascii="Arial" w:eastAsia="Arial MT" w:hAnsi="Arial" w:cs="Arial"/>
          <w:noProof/>
          <w:color w:val="000000" w:themeColor="text1"/>
          <w:sz w:val="20"/>
          <w:szCs w:val="22"/>
          <w:lang w:val="es-ES" w:eastAsia="en-US"/>
        </w:rPr>
      </w:pPr>
    </w:p>
    <w:p w14:paraId="6436221A" w14:textId="2C2C8AE8" w:rsidR="00C23613" w:rsidRPr="003D11EB" w:rsidRDefault="00C23613" w:rsidP="0026282D">
      <w:pPr>
        <w:widowControl w:val="0"/>
        <w:autoSpaceDE w:val="0"/>
        <w:autoSpaceDN w:val="0"/>
        <w:ind w:left="4825"/>
        <w:rPr>
          <w:rFonts w:ascii="Arial" w:eastAsia="Arial MT" w:hAnsi="Arial" w:cs="Arial"/>
          <w:noProof/>
          <w:color w:val="000000" w:themeColor="text1"/>
          <w:sz w:val="20"/>
          <w:szCs w:val="22"/>
          <w:lang w:val="es-ES" w:eastAsia="en-US"/>
        </w:rPr>
      </w:pPr>
    </w:p>
    <w:p w14:paraId="43D9AAB1" w14:textId="2EE8D121" w:rsidR="00C23613" w:rsidRDefault="00C23613"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34ABAB44" w14:textId="7B091C10"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27869B4F" w14:textId="7DBC58EF"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3DACB9BE" w14:textId="6B734F5A"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41B81659" w14:textId="0642541A"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39A129CF" w14:textId="38072332"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04DDF827" w14:textId="7A95345D"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4906D6D6" w14:textId="60DAC008"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4305DA28" w14:textId="71B208B4"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5604D66D" w14:textId="53D92F25"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4DF27848" w14:textId="65F521EA"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0822EE72" w14:textId="57E3E132"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5C432B08" w14:textId="07806C17"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64BF5757" w14:textId="78F94EE2"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0F5436EE" w14:textId="239DDEB7"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7A75C714" w14:textId="42A5820E"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627B2B80" w14:textId="11B5C01B"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04978150" w14:textId="668B9D9E"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152AAC7D" w14:textId="15DEC83F"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1EB4DA00" w14:textId="5E0EB093" w:rsidR="008E244E"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7498E6E5" w14:textId="77777777" w:rsidR="008E244E" w:rsidRPr="003D11EB" w:rsidRDefault="008E244E"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2161FE37" w14:textId="5FBBF3E1" w:rsidR="00C23613" w:rsidRPr="003D11EB" w:rsidRDefault="00C23613"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4887E77D" w14:textId="349F2F3E" w:rsidR="00C23613" w:rsidRPr="003D11EB" w:rsidRDefault="00C23613"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59E42887" w14:textId="69FF0A3D" w:rsidR="00C23613" w:rsidRPr="003D11EB" w:rsidRDefault="00C23613" w:rsidP="00912670">
      <w:pPr>
        <w:widowControl w:val="0"/>
        <w:autoSpaceDE w:val="0"/>
        <w:autoSpaceDN w:val="0"/>
        <w:ind w:left="4825"/>
        <w:rPr>
          <w:rFonts w:ascii="Arial" w:eastAsia="Arial MT" w:hAnsi="Arial" w:cs="Arial"/>
          <w:noProof/>
          <w:color w:val="000000" w:themeColor="text1"/>
          <w:sz w:val="20"/>
          <w:szCs w:val="22"/>
          <w:lang w:val="es-ES" w:eastAsia="en-US"/>
        </w:rPr>
      </w:pPr>
    </w:p>
    <w:p w14:paraId="7838B979" w14:textId="1BB792C3" w:rsidR="00C23613" w:rsidRPr="003D11EB" w:rsidRDefault="00C23613" w:rsidP="00054881">
      <w:pPr>
        <w:widowControl w:val="0"/>
        <w:autoSpaceDE w:val="0"/>
        <w:autoSpaceDN w:val="0"/>
        <w:rPr>
          <w:rFonts w:ascii="Arial" w:eastAsia="Arial MT" w:hAnsi="Arial" w:cs="Arial"/>
          <w:noProof/>
          <w:color w:val="000000" w:themeColor="text1"/>
          <w:sz w:val="20"/>
          <w:szCs w:val="22"/>
          <w:lang w:val="es-ES" w:eastAsia="en-US"/>
        </w:rPr>
      </w:pPr>
    </w:p>
    <w:p w14:paraId="2D303211" w14:textId="4D330E4B" w:rsidR="00DE5F5F" w:rsidRPr="003D11EB" w:rsidRDefault="003B75A1" w:rsidP="00DE5F5F">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r>
        <w:rPr>
          <w:rFonts w:eastAsia="Arial MT" w:hAnsi="Arial MT" w:cs="Arial MT"/>
          <w:noProof/>
          <w:sz w:val="20"/>
          <w:szCs w:val="22"/>
          <w:lang w:val="en-US" w:eastAsia="en-US"/>
        </w:rPr>
        <w:lastRenderedPageBreak/>
        <w:drawing>
          <wp:anchor distT="0" distB="0" distL="114300" distR="114300" simplePos="0" relativeHeight="251658240" behindDoc="0" locked="0" layoutInCell="1" allowOverlap="1" wp14:anchorId="425FE992" wp14:editId="19797E95">
            <wp:simplePos x="0" y="0"/>
            <wp:positionH relativeFrom="column">
              <wp:posOffset>3453765</wp:posOffset>
            </wp:positionH>
            <wp:positionV relativeFrom="paragraph">
              <wp:posOffset>8890</wp:posOffset>
            </wp:positionV>
            <wp:extent cx="2400300" cy="615950"/>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0D3BE383" w14:textId="2DFC9028" w:rsidR="003B75A1" w:rsidRPr="003B75A1" w:rsidRDefault="003B75A1" w:rsidP="003B75A1">
      <w:pPr>
        <w:widowControl w:val="0"/>
        <w:autoSpaceDE w:val="0"/>
        <w:autoSpaceDN w:val="0"/>
        <w:ind w:left="3812"/>
        <w:rPr>
          <w:rFonts w:eastAsia="Arial MT" w:hAnsi="Arial MT" w:cs="Arial MT"/>
          <w:sz w:val="20"/>
          <w:szCs w:val="22"/>
          <w:lang w:val="es-ES" w:eastAsia="en-US"/>
        </w:rPr>
      </w:pPr>
    </w:p>
    <w:p w14:paraId="4D93C4DF" w14:textId="77777777" w:rsidR="003B75A1" w:rsidRPr="003B75A1" w:rsidRDefault="003B75A1" w:rsidP="003B75A1">
      <w:pPr>
        <w:widowControl w:val="0"/>
        <w:autoSpaceDE w:val="0"/>
        <w:autoSpaceDN w:val="0"/>
        <w:spacing w:before="1"/>
        <w:rPr>
          <w:rFonts w:eastAsia="Arial MT" w:hAnsi="Arial MT" w:cs="Arial MT"/>
          <w:sz w:val="21"/>
          <w:szCs w:val="22"/>
          <w:lang w:val="es-ES" w:eastAsia="en-US"/>
        </w:rPr>
      </w:pPr>
    </w:p>
    <w:p w14:paraId="7BC72718" w14:textId="77777777" w:rsidR="003B75A1" w:rsidRDefault="003B75A1" w:rsidP="003B75A1">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51446E9B" w14:textId="77777777" w:rsidR="003B75A1" w:rsidRDefault="003B75A1" w:rsidP="003B75A1">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38F48643" w14:textId="01EF3803" w:rsidR="003B75A1" w:rsidRPr="003B75A1" w:rsidRDefault="003B75A1" w:rsidP="003B75A1">
      <w:pPr>
        <w:widowControl w:val="0"/>
        <w:autoSpaceDE w:val="0"/>
        <w:autoSpaceDN w:val="0"/>
        <w:spacing w:before="94"/>
        <w:ind w:right="533"/>
        <w:jc w:val="right"/>
        <w:rPr>
          <w:rFonts w:ascii="Arial" w:eastAsia="Arial MT" w:hAnsi="Arial MT" w:cs="Arial MT"/>
          <w:b/>
          <w:sz w:val="18"/>
          <w:szCs w:val="22"/>
          <w:lang w:val="es-ES" w:eastAsia="en-US"/>
        </w:rPr>
      </w:pPr>
      <w:r w:rsidRPr="003B75A1">
        <w:rPr>
          <w:rFonts w:ascii="Arial" w:eastAsia="Arial MT" w:hAnsi="Arial MT" w:cs="Arial MT"/>
          <w:b/>
          <w:color w:val="585858"/>
          <w:sz w:val="18"/>
          <w:szCs w:val="22"/>
          <w:lang w:val="es-ES" w:eastAsia="en-US"/>
        </w:rPr>
        <w:t>CCE-DES-FM-17</w:t>
      </w:r>
    </w:p>
    <w:p w14:paraId="17CF9DB8" w14:textId="77777777" w:rsidR="003B75A1" w:rsidRPr="003B75A1" w:rsidRDefault="003B75A1" w:rsidP="003B75A1">
      <w:pPr>
        <w:widowControl w:val="0"/>
        <w:autoSpaceDE w:val="0"/>
        <w:autoSpaceDN w:val="0"/>
        <w:rPr>
          <w:rFonts w:ascii="Arial" w:eastAsia="Arial MT" w:hAnsi="Arial MT" w:cs="Arial MT"/>
          <w:b/>
          <w:sz w:val="20"/>
          <w:szCs w:val="22"/>
          <w:lang w:val="es-ES" w:eastAsia="en-US"/>
        </w:rPr>
      </w:pPr>
    </w:p>
    <w:p w14:paraId="12E26C78" w14:textId="77777777" w:rsidR="003B75A1" w:rsidRPr="003B75A1" w:rsidRDefault="003B75A1" w:rsidP="003B75A1">
      <w:pPr>
        <w:widowControl w:val="0"/>
        <w:autoSpaceDE w:val="0"/>
        <w:autoSpaceDN w:val="0"/>
        <w:ind w:left="100"/>
        <w:rPr>
          <w:rFonts w:ascii="Arial MT" w:eastAsia="Arial MT" w:hAnsi="Arial MT" w:cs="Arial MT"/>
          <w:sz w:val="22"/>
          <w:szCs w:val="22"/>
          <w:lang w:val="es-ES" w:eastAsia="en-US"/>
        </w:rPr>
      </w:pPr>
      <w:r w:rsidRPr="003B75A1">
        <w:rPr>
          <w:rFonts w:ascii="Arial MT" w:eastAsia="Arial MT" w:hAnsi="Arial MT" w:cs="Arial MT"/>
          <w:color w:val="4E4D4D"/>
          <w:sz w:val="22"/>
          <w:szCs w:val="22"/>
          <w:lang w:val="es-ES" w:eastAsia="en-US"/>
        </w:rPr>
        <w:t>Bogotá,</w:t>
      </w:r>
      <w:r w:rsidRPr="003B75A1">
        <w:rPr>
          <w:rFonts w:ascii="Arial MT" w:eastAsia="Arial MT" w:hAnsi="Arial MT" w:cs="Arial MT"/>
          <w:color w:val="4E4D4D"/>
          <w:spacing w:val="-1"/>
          <w:sz w:val="22"/>
          <w:szCs w:val="22"/>
          <w:lang w:val="es-ES" w:eastAsia="en-US"/>
        </w:rPr>
        <w:t xml:space="preserve"> </w:t>
      </w:r>
      <w:r w:rsidRPr="003B75A1">
        <w:rPr>
          <w:rFonts w:ascii="Arial MT" w:eastAsia="Arial MT" w:hAnsi="Arial MT" w:cs="Arial MT"/>
          <w:color w:val="4E4D4D"/>
          <w:sz w:val="22"/>
          <w:szCs w:val="22"/>
          <w:lang w:val="es-ES" w:eastAsia="en-US"/>
        </w:rPr>
        <w:t>17</w:t>
      </w:r>
      <w:r w:rsidRPr="003B75A1">
        <w:rPr>
          <w:rFonts w:ascii="Arial MT" w:eastAsia="Arial MT" w:hAnsi="Arial MT" w:cs="Arial MT"/>
          <w:color w:val="4E4D4D"/>
          <w:spacing w:val="-4"/>
          <w:sz w:val="22"/>
          <w:szCs w:val="22"/>
          <w:lang w:val="es-ES" w:eastAsia="en-US"/>
        </w:rPr>
        <w:t xml:space="preserve"> </w:t>
      </w:r>
      <w:r w:rsidRPr="003B75A1">
        <w:rPr>
          <w:rFonts w:ascii="Arial MT" w:eastAsia="Arial MT" w:hAnsi="Arial MT" w:cs="Arial MT"/>
          <w:color w:val="4E4D4D"/>
          <w:sz w:val="22"/>
          <w:szCs w:val="22"/>
          <w:lang w:val="es-ES" w:eastAsia="en-US"/>
        </w:rPr>
        <w:t>Marzo</w:t>
      </w:r>
      <w:r w:rsidRPr="003B75A1">
        <w:rPr>
          <w:rFonts w:ascii="Arial MT" w:eastAsia="Arial MT" w:hAnsi="Arial MT" w:cs="Arial MT"/>
          <w:color w:val="4E4D4D"/>
          <w:spacing w:val="-2"/>
          <w:sz w:val="22"/>
          <w:szCs w:val="22"/>
          <w:lang w:val="es-ES" w:eastAsia="en-US"/>
        </w:rPr>
        <w:t xml:space="preserve"> </w:t>
      </w:r>
      <w:r w:rsidRPr="003B75A1">
        <w:rPr>
          <w:rFonts w:ascii="Arial MT" w:eastAsia="Arial MT" w:hAnsi="Arial MT" w:cs="Arial MT"/>
          <w:color w:val="4E4D4D"/>
          <w:sz w:val="22"/>
          <w:szCs w:val="22"/>
          <w:lang w:val="es-ES" w:eastAsia="en-US"/>
        </w:rPr>
        <w:t>2022</w:t>
      </w:r>
    </w:p>
    <w:p w14:paraId="07797183" w14:textId="1680D439" w:rsidR="00C62A26" w:rsidRPr="008E244E" w:rsidRDefault="00C62A26" w:rsidP="00C62A26">
      <w:pPr>
        <w:widowControl w:val="0"/>
        <w:autoSpaceDE w:val="0"/>
        <w:autoSpaceDN w:val="0"/>
        <w:rPr>
          <w:rFonts w:ascii="Arial" w:eastAsia="Arial MT" w:hAnsi="Arial" w:cs="Arial"/>
          <w:color w:val="000000" w:themeColor="text1"/>
          <w:sz w:val="22"/>
          <w:szCs w:val="22"/>
          <w:lang w:val="es-ES" w:eastAsia="en-US"/>
        </w:rPr>
      </w:pPr>
    </w:p>
    <w:p w14:paraId="59045F84" w14:textId="77777777" w:rsidR="00C62A26" w:rsidRPr="008E244E" w:rsidRDefault="00C62A26" w:rsidP="00C62A26">
      <w:pPr>
        <w:widowControl w:val="0"/>
        <w:autoSpaceDE w:val="0"/>
        <w:autoSpaceDN w:val="0"/>
        <w:rPr>
          <w:rFonts w:ascii="Arial" w:eastAsia="Arial MT" w:hAnsi="Arial" w:cs="Arial"/>
          <w:color w:val="000000" w:themeColor="text1"/>
          <w:sz w:val="22"/>
          <w:szCs w:val="22"/>
          <w:lang w:val="es-ES" w:eastAsia="en-US"/>
        </w:rPr>
      </w:pPr>
    </w:p>
    <w:p w14:paraId="62FF0970" w14:textId="61235BF7" w:rsidR="00480662" w:rsidRPr="008E244E" w:rsidRDefault="00C62A26" w:rsidP="00C62A26">
      <w:pPr>
        <w:widowControl w:val="0"/>
        <w:autoSpaceDE w:val="0"/>
        <w:autoSpaceDN w:val="0"/>
        <w:rPr>
          <w:rFonts w:ascii="Arial" w:eastAsia="Arial MT" w:hAnsi="Arial" w:cs="Arial"/>
          <w:color w:val="000000" w:themeColor="text1"/>
          <w:sz w:val="22"/>
          <w:szCs w:val="22"/>
          <w:lang w:val="es-ES" w:eastAsia="en-US"/>
        </w:rPr>
      </w:pPr>
      <w:r w:rsidRPr="008E244E">
        <w:rPr>
          <w:rFonts w:ascii="Arial" w:eastAsia="Arial MT" w:hAnsi="Arial" w:cs="Arial"/>
          <w:color w:val="000000" w:themeColor="text1"/>
          <w:sz w:val="22"/>
          <w:szCs w:val="22"/>
          <w:lang w:val="es-ES" w:eastAsia="en-US"/>
        </w:rPr>
        <w:t>Señor</w:t>
      </w:r>
    </w:p>
    <w:p w14:paraId="3708D632" w14:textId="77777777" w:rsidR="008A1A2D" w:rsidRPr="008E244E" w:rsidRDefault="008A1A2D" w:rsidP="00C62A26">
      <w:pPr>
        <w:widowControl w:val="0"/>
        <w:autoSpaceDE w:val="0"/>
        <w:autoSpaceDN w:val="0"/>
        <w:rPr>
          <w:rFonts w:ascii="Arial" w:hAnsi="Arial" w:cs="Arial"/>
          <w:b/>
          <w:color w:val="000000" w:themeColor="text1"/>
          <w:sz w:val="22"/>
          <w:szCs w:val="22"/>
          <w:lang w:val="es-ES" w:eastAsia="en-US"/>
        </w:rPr>
      </w:pPr>
      <w:r w:rsidRPr="008E244E">
        <w:rPr>
          <w:rFonts w:ascii="Arial" w:hAnsi="Arial" w:cs="Arial"/>
          <w:b/>
          <w:color w:val="000000" w:themeColor="text1"/>
          <w:sz w:val="22"/>
          <w:szCs w:val="22"/>
          <w:lang w:val="es-ES" w:eastAsia="en-US"/>
        </w:rPr>
        <w:t>Jorge Andrés Torres Calderón</w:t>
      </w:r>
    </w:p>
    <w:p w14:paraId="20AA5DAB" w14:textId="5D44E4C2" w:rsidR="00C64E90" w:rsidRPr="008E244E" w:rsidRDefault="00C64E90" w:rsidP="00C62A26">
      <w:pPr>
        <w:widowControl w:val="0"/>
        <w:autoSpaceDE w:val="0"/>
        <w:autoSpaceDN w:val="0"/>
        <w:rPr>
          <w:rFonts w:ascii="Arial" w:eastAsia="Arial MT" w:hAnsi="Arial" w:cs="Arial"/>
          <w:color w:val="000000" w:themeColor="text1"/>
          <w:sz w:val="22"/>
          <w:szCs w:val="22"/>
          <w:lang w:val="es-ES" w:eastAsia="en-US"/>
        </w:rPr>
      </w:pPr>
      <w:r w:rsidRPr="008E244E">
        <w:rPr>
          <w:rFonts w:ascii="Arial" w:eastAsia="Arial MT" w:hAnsi="Arial" w:cs="Arial"/>
          <w:color w:val="000000" w:themeColor="text1"/>
          <w:sz w:val="22"/>
          <w:szCs w:val="22"/>
          <w:lang w:val="es-ES" w:eastAsia="en-US"/>
        </w:rPr>
        <w:t>Bogotá</w:t>
      </w:r>
      <w:r w:rsidR="00A052E9" w:rsidRPr="008E244E">
        <w:rPr>
          <w:rFonts w:ascii="Arial" w:eastAsia="Arial MT" w:hAnsi="Arial" w:cs="Arial"/>
          <w:color w:val="000000" w:themeColor="text1"/>
          <w:sz w:val="22"/>
          <w:szCs w:val="22"/>
          <w:lang w:val="es-ES" w:eastAsia="en-US"/>
        </w:rPr>
        <w:t xml:space="preserve"> D.C.</w:t>
      </w:r>
    </w:p>
    <w:p w14:paraId="6FDF364F" w14:textId="628B4108" w:rsidR="009F00BF" w:rsidRPr="008E244E" w:rsidRDefault="009F00BF" w:rsidP="00C62A26">
      <w:pPr>
        <w:widowControl w:val="0"/>
        <w:autoSpaceDE w:val="0"/>
        <w:autoSpaceDN w:val="0"/>
        <w:spacing w:before="11"/>
        <w:rPr>
          <w:rFonts w:ascii="Arial" w:eastAsia="Arial MT" w:hAnsi="Arial" w:cs="Arial"/>
          <w:color w:val="000000" w:themeColor="text1"/>
          <w:sz w:val="22"/>
          <w:szCs w:val="22"/>
          <w:lang w:val="es-ES" w:eastAsia="en-US"/>
        </w:rPr>
      </w:pPr>
    </w:p>
    <w:p w14:paraId="1301E6A8" w14:textId="6E159642" w:rsidR="00C62A26" w:rsidRPr="008E244E" w:rsidRDefault="00A052E9" w:rsidP="00E26446">
      <w:pPr>
        <w:widowControl w:val="0"/>
        <w:autoSpaceDE w:val="0"/>
        <w:autoSpaceDN w:val="0"/>
        <w:outlineLvl w:val="0"/>
        <w:rPr>
          <w:rFonts w:ascii="Arial" w:eastAsia="Arial" w:hAnsi="Arial" w:cs="Arial"/>
          <w:b/>
          <w:bCs/>
          <w:color w:val="000000" w:themeColor="text1"/>
          <w:sz w:val="22"/>
          <w:szCs w:val="22"/>
          <w:lang w:val="es-ES" w:eastAsia="en-US"/>
        </w:rPr>
      </w:pPr>
      <w:r w:rsidRPr="008E244E">
        <w:rPr>
          <w:rFonts w:ascii="Arial" w:eastAsia="Arial" w:hAnsi="Arial" w:cs="Arial"/>
          <w:b/>
          <w:bCs/>
          <w:color w:val="000000" w:themeColor="text1"/>
          <w:sz w:val="22"/>
          <w:szCs w:val="22"/>
          <w:lang w:val="es-ES" w:eastAsia="en-US"/>
        </w:rPr>
        <w:t xml:space="preserve">                                            </w:t>
      </w:r>
      <w:r w:rsidR="00C62A26" w:rsidRPr="008E244E">
        <w:rPr>
          <w:rFonts w:ascii="Arial" w:eastAsia="Arial" w:hAnsi="Arial" w:cs="Arial"/>
          <w:b/>
          <w:bCs/>
          <w:color w:val="000000" w:themeColor="text1"/>
          <w:sz w:val="22"/>
          <w:szCs w:val="22"/>
          <w:lang w:val="es-ES" w:eastAsia="en-US"/>
        </w:rPr>
        <w:t>Concepto</w:t>
      </w:r>
      <w:r w:rsidR="00C62A26" w:rsidRPr="008E244E">
        <w:rPr>
          <w:rFonts w:ascii="Arial" w:eastAsia="Arial" w:hAnsi="Arial" w:cs="Arial"/>
          <w:b/>
          <w:bCs/>
          <w:color w:val="000000" w:themeColor="text1"/>
          <w:spacing w:val="-4"/>
          <w:sz w:val="22"/>
          <w:szCs w:val="22"/>
          <w:lang w:val="es-ES" w:eastAsia="en-US"/>
        </w:rPr>
        <w:t xml:space="preserve"> </w:t>
      </w:r>
      <w:r w:rsidR="00C62A26" w:rsidRPr="008E244E">
        <w:rPr>
          <w:rFonts w:ascii="Arial" w:eastAsia="Arial" w:hAnsi="Arial" w:cs="Arial"/>
          <w:b/>
          <w:bCs/>
          <w:color w:val="000000" w:themeColor="text1"/>
          <w:sz w:val="22"/>
          <w:szCs w:val="22"/>
          <w:lang w:val="es-ES" w:eastAsia="en-US"/>
        </w:rPr>
        <w:t>C</w:t>
      </w:r>
      <w:r w:rsidR="00C62A26" w:rsidRPr="008E244E">
        <w:rPr>
          <w:rFonts w:ascii="Arial" w:eastAsia="Arial" w:hAnsi="Arial" w:cs="Arial"/>
          <w:b/>
          <w:bCs/>
          <w:color w:val="000000" w:themeColor="text1"/>
          <w:spacing w:val="-2"/>
          <w:sz w:val="22"/>
          <w:szCs w:val="22"/>
          <w:lang w:val="es-ES" w:eastAsia="en-US"/>
        </w:rPr>
        <w:t xml:space="preserve"> </w:t>
      </w:r>
      <w:r w:rsidR="00C62A26" w:rsidRPr="008E244E">
        <w:rPr>
          <w:rFonts w:ascii="Arial" w:eastAsia="Arial" w:hAnsi="Arial" w:cs="Arial"/>
          <w:b/>
          <w:bCs/>
          <w:color w:val="000000" w:themeColor="text1"/>
          <w:sz w:val="22"/>
          <w:szCs w:val="22"/>
          <w:lang w:val="es-ES" w:eastAsia="en-US"/>
        </w:rPr>
        <w:t>–</w:t>
      </w:r>
      <w:r w:rsidR="00C62A26" w:rsidRPr="008E244E">
        <w:rPr>
          <w:rFonts w:ascii="Arial" w:eastAsia="Arial" w:hAnsi="Arial" w:cs="Arial"/>
          <w:b/>
          <w:bCs/>
          <w:color w:val="000000" w:themeColor="text1"/>
          <w:spacing w:val="-3"/>
          <w:sz w:val="22"/>
          <w:szCs w:val="22"/>
          <w:lang w:val="es-ES" w:eastAsia="en-US"/>
        </w:rPr>
        <w:t xml:space="preserve"> </w:t>
      </w:r>
      <w:r w:rsidR="00A17044" w:rsidRPr="008E244E">
        <w:rPr>
          <w:rFonts w:ascii="Arial" w:eastAsia="Arial" w:hAnsi="Arial" w:cs="Arial"/>
          <w:b/>
          <w:bCs/>
          <w:color w:val="000000" w:themeColor="text1"/>
          <w:spacing w:val="-3"/>
          <w:sz w:val="22"/>
          <w:szCs w:val="22"/>
          <w:lang w:val="es-ES" w:eastAsia="en-US"/>
        </w:rPr>
        <w:t xml:space="preserve">080 de 2022 </w:t>
      </w:r>
    </w:p>
    <w:p w14:paraId="7EAEE81D" w14:textId="52441CD3" w:rsidR="00BD12C1" w:rsidRPr="008E244E" w:rsidRDefault="00BD12C1" w:rsidP="00BB0E2F">
      <w:pPr>
        <w:widowControl w:val="0"/>
        <w:tabs>
          <w:tab w:val="left" w:pos="2794"/>
        </w:tabs>
        <w:autoSpaceDE w:val="0"/>
        <w:autoSpaceDN w:val="0"/>
        <w:spacing w:before="92"/>
        <w:ind w:right="111"/>
        <w:jc w:val="both"/>
        <w:rPr>
          <w:rFonts w:ascii="Arial" w:eastAsia="Arial MT" w:hAnsi="Arial" w:cs="Arial"/>
          <w:b/>
          <w:color w:val="000000" w:themeColor="text1"/>
          <w:sz w:val="22"/>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3D11EB" w:rsidRPr="008E244E" w14:paraId="1AC3967A" w14:textId="77777777" w:rsidTr="001533E9">
        <w:tc>
          <w:tcPr>
            <w:tcW w:w="2552" w:type="dxa"/>
          </w:tcPr>
          <w:p w14:paraId="5EDCE630" w14:textId="77777777" w:rsidR="00614EC3" w:rsidRPr="008E244E" w:rsidRDefault="00614EC3" w:rsidP="00614EC3">
            <w:pPr>
              <w:jc w:val="both"/>
              <w:rPr>
                <w:rFonts w:ascii="Arial" w:eastAsia="Calibri" w:hAnsi="Arial" w:cs="Arial"/>
                <w:color w:val="000000" w:themeColor="text1"/>
                <w:sz w:val="22"/>
                <w:szCs w:val="22"/>
                <w:lang w:val="es-ES_tradnl"/>
              </w:rPr>
            </w:pPr>
            <w:r w:rsidRPr="008E244E">
              <w:rPr>
                <w:rFonts w:ascii="Arial" w:eastAsia="Calibri" w:hAnsi="Arial" w:cs="Arial"/>
                <w:b/>
                <w:color w:val="000000" w:themeColor="text1"/>
                <w:sz w:val="22"/>
                <w:szCs w:val="22"/>
                <w:lang w:val="es-ES_tradnl"/>
              </w:rPr>
              <w:t>Temas:</w:t>
            </w:r>
            <w:r w:rsidRPr="008E244E">
              <w:rPr>
                <w:rFonts w:ascii="Arial" w:eastAsia="Calibri" w:hAnsi="Arial" w:cs="Arial"/>
                <w:color w:val="000000" w:themeColor="text1"/>
                <w:sz w:val="22"/>
                <w:szCs w:val="22"/>
                <w:lang w:val="es-ES_tradnl"/>
              </w:rPr>
              <w:t xml:space="preserve">                                      </w:t>
            </w:r>
          </w:p>
        </w:tc>
        <w:tc>
          <w:tcPr>
            <w:tcW w:w="6374" w:type="dxa"/>
          </w:tcPr>
          <w:p w14:paraId="18A7D920" w14:textId="3C529AA4" w:rsidR="008E244E" w:rsidRPr="008E244E" w:rsidRDefault="00614EC3" w:rsidP="008E244E">
            <w:pPr>
              <w:widowControl w:val="0"/>
              <w:autoSpaceDE w:val="0"/>
              <w:autoSpaceDN w:val="0"/>
              <w:jc w:val="both"/>
              <w:rPr>
                <w:rFonts w:ascii="Arial" w:eastAsia="Arial MT" w:hAnsi="Arial" w:cs="Arial"/>
                <w:noProof/>
                <w:color w:val="000000" w:themeColor="text1"/>
                <w:sz w:val="22"/>
                <w:szCs w:val="22"/>
                <w:lang w:val="es-ES" w:eastAsia="en-US"/>
              </w:rPr>
            </w:pPr>
            <w:r w:rsidRPr="008E244E">
              <w:rPr>
                <w:rFonts w:ascii="Arial" w:eastAsia="Calibri" w:hAnsi="Arial" w:cs="Arial"/>
                <w:color w:val="000000" w:themeColor="text1"/>
                <w:sz w:val="22"/>
                <w:szCs w:val="22"/>
                <w:lang w:val="es-ES_tradnl" w:eastAsia="en-US"/>
              </w:rPr>
              <w:t>ENTIDADES DE RÉGIMEN ESPECIAL – Definición / ENTIDADES DE RÉGIMEN ESPECIAL – Manual de Contratación – Contenido</w:t>
            </w:r>
            <w:r w:rsidR="0026282D" w:rsidRPr="008E244E">
              <w:rPr>
                <w:rFonts w:ascii="Arial" w:eastAsia="Calibri" w:hAnsi="Arial" w:cs="Arial"/>
                <w:color w:val="000000" w:themeColor="text1"/>
                <w:sz w:val="22"/>
                <w:szCs w:val="22"/>
                <w:lang w:val="es-ES_tradnl" w:eastAsia="en-US"/>
              </w:rPr>
              <w:t xml:space="preserve"> / </w:t>
            </w:r>
            <w:r w:rsidR="0026282D" w:rsidRPr="008E244E">
              <w:rPr>
                <w:rFonts w:ascii="Arial" w:eastAsia="Calibri" w:hAnsi="Arial" w:cs="Arial"/>
                <w:bCs/>
                <w:color w:val="000000" w:themeColor="text1"/>
                <w:sz w:val="22"/>
                <w:szCs w:val="22"/>
                <w:lang w:val="es-ES_tradnl" w:eastAsia="en-US"/>
              </w:rPr>
              <w:t xml:space="preserve">MANUAL DE CONTRATACIÓN – Reglamento interno de contratación – Naturaleza jurídica – Reglamento – Inderogabilidad singular / </w:t>
            </w:r>
            <w:r w:rsidR="0026282D" w:rsidRPr="008E244E">
              <w:rPr>
                <w:rFonts w:ascii="Arial" w:eastAsiaTheme="minorHAnsi" w:hAnsi="Arial" w:cs="Arial"/>
                <w:bCs/>
                <w:noProof/>
                <w:color w:val="000000" w:themeColor="text1"/>
                <w:sz w:val="22"/>
                <w:szCs w:val="22"/>
                <w:lang w:val="es-ES_tradnl" w:eastAsia="en-US"/>
              </w:rPr>
              <w:t>MANUALES DE CONTRATACIÓN – Entidades de régimen especial – Vacíos</w:t>
            </w:r>
            <w:r w:rsidR="0026282D" w:rsidRPr="008E244E">
              <w:rPr>
                <w:rFonts w:ascii="Arial" w:eastAsia="Calibri" w:hAnsi="Arial" w:cs="Arial"/>
                <w:color w:val="000000" w:themeColor="text1"/>
                <w:sz w:val="22"/>
                <w:szCs w:val="22"/>
                <w:lang w:val="es-ES_tradnl" w:eastAsia="en-US"/>
              </w:rPr>
              <w:t xml:space="preserve"> / </w:t>
            </w:r>
            <w:r w:rsidR="008E244E" w:rsidRPr="008E244E">
              <w:rPr>
                <w:rFonts w:ascii="Arial" w:eastAsia="Calibri" w:hAnsi="Arial" w:cs="Arial"/>
                <w:color w:val="000000" w:themeColor="text1"/>
                <w:sz w:val="22"/>
                <w:szCs w:val="22"/>
              </w:rPr>
              <w:t xml:space="preserve">PROHIBICIÓN DE ADICIONAR EN MÁS DEL 50% – Contenido – Cálculo del monto – Ley 80, artículo 40, parágrafo / </w:t>
            </w:r>
            <w:r w:rsidR="008E244E" w:rsidRPr="008E244E">
              <w:rPr>
                <w:rFonts w:ascii="Arial" w:eastAsia="Calibri" w:hAnsi="Arial" w:cs="Arial"/>
                <w:bCs/>
                <w:color w:val="000000" w:themeColor="text1"/>
                <w:sz w:val="22"/>
                <w:szCs w:val="22"/>
              </w:rPr>
              <w:t>ADICIÓN – Decreto Legislativo 537 de 2020 – Aplicación a las entidades sujetas a la Ley 80 de 1993</w:t>
            </w:r>
            <w:r w:rsidR="008E244E">
              <w:rPr>
                <w:rFonts w:ascii="Arial" w:eastAsia="Calibri" w:hAnsi="Arial" w:cs="Arial"/>
                <w:bCs/>
                <w:color w:val="000000" w:themeColor="text1"/>
                <w:sz w:val="22"/>
                <w:szCs w:val="22"/>
              </w:rPr>
              <w:t>.</w:t>
            </w:r>
          </w:p>
          <w:p w14:paraId="1B83AE3D" w14:textId="6A95BB59" w:rsidR="008E244E" w:rsidRPr="008E244E" w:rsidRDefault="008E244E" w:rsidP="008E244E">
            <w:pPr>
              <w:jc w:val="both"/>
              <w:rPr>
                <w:rFonts w:ascii="Arial" w:eastAsia="Calibri" w:hAnsi="Arial" w:cs="Arial"/>
                <w:b/>
                <w:color w:val="000000" w:themeColor="text1"/>
                <w:sz w:val="22"/>
                <w:szCs w:val="22"/>
                <w:lang w:val="es-ES"/>
              </w:rPr>
            </w:pPr>
          </w:p>
          <w:p w14:paraId="5B77B765" w14:textId="6693D993" w:rsidR="0026282D" w:rsidRPr="008E244E" w:rsidRDefault="0026282D" w:rsidP="008E244E">
            <w:pPr>
              <w:jc w:val="both"/>
              <w:rPr>
                <w:rFonts w:ascii="Arial" w:hAnsi="Arial" w:cs="Arial"/>
                <w:color w:val="000000" w:themeColor="text1"/>
                <w:sz w:val="22"/>
                <w:szCs w:val="22"/>
              </w:rPr>
            </w:pPr>
          </w:p>
        </w:tc>
      </w:tr>
    </w:tbl>
    <w:p w14:paraId="7A5446E3" w14:textId="6BE2BB85" w:rsidR="00A3784C" w:rsidRPr="008E244E" w:rsidRDefault="000D753A" w:rsidP="00A3784C">
      <w:pPr>
        <w:jc w:val="both"/>
        <w:rPr>
          <w:rFonts w:ascii="Arial" w:hAnsi="Arial" w:cs="Arial"/>
          <w:color w:val="000000" w:themeColor="text1"/>
          <w:sz w:val="22"/>
          <w:szCs w:val="22"/>
          <w:lang w:eastAsia="en-US"/>
        </w:rPr>
      </w:pPr>
      <w:r w:rsidRPr="008E244E">
        <w:rPr>
          <w:rFonts w:ascii="Arial" w:eastAsia="Arial MT" w:hAnsi="Arial" w:cs="Arial"/>
          <w:b/>
          <w:color w:val="000000" w:themeColor="text1"/>
          <w:sz w:val="22"/>
          <w:szCs w:val="22"/>
          <w:lang w:val="es-ES" w:eastAsia="en-US"/>
        </w:rPr>
        <w:t xml:space="preserve">Radicación:                  </w:t>
      </w:r>
      <w:r w:rsidR="00A3784C" w:rsidRPr="008E244E">
        <w:rPr>
          <w:rFonts w:ascii="Arial" w:eastAsia="Arial MT" w:hAnsi="Arial" w:cs="Arial"/>
          <w:b/>
          <w:color w:val="000000" w:themeColor="text1"/>
          <w:sz w:val="22"/>
          <w:szCs w:val="22"/>
          <w:lang w:val="es-ES" w:eastAsia="en-US"/>
        </w:rPr>
        <w:t xml:space="preserve">   </w:t>
      </w:r>
      <w:r w:rsidR="00C62A26" w:rsidRPr="008E244E">
        <w:rPr>
          <w:rFonts w:ascii="Arial" w:eastAsia="Arial MT" w:hAnsi="Arial" w:cs="Arial"/>
          <w:color w:val="000000" w:themeColor="text1"/>
          <w:sz w:val="22"/>
          <w:szCs w:val="22"/>
        </w:rPr>
        <w:t xml:space="preserve">Respuesta a consulta </w:t>
      </w:r>
      <w:r w:rsidR="00957605" w:rsidRPr="008E244E">
        <w:rPr>
          <w:rFonts w:ascii="Arial" w:hAnsi="Arial" w:cs="Arial"/>
          <w:color w:val="000000" w:themeColor="text1"/>
          <w:sz w:val="22"/>
          <w:szCs w:val="22"/>
        </w:rPr>
        <w:t>P20220203000991</w:t>
      </w:r>
    </w:p>
    <w:p w14:paraId="6F37CCB0" w14:textId="63428B74" w:rsidR="00C62A26" w:rsidRPr="003D11EB" w:rsidRDefault="00C62A26" w:rsidP="00E26446">
      <w:pPr>
        <w:widowControl w:val="0"/>
        <w:tabs>
          <w:tab w:val="left" w:pos="2694"/>
        </w:tabs>
        <w:autoSpaceDE w:val="0"/>
        <w:autoSpaceDN w:val="0"/>
        <w:jc w:val="both"/>
        <w:rPr>
          <w:rFonts w:ascii="Arial" w:eastAsia="Arial MT" w:hAnsi="Arial" w:cs="Arial"/>
          <w:color w:val="000000" w:themeColor="text1"/>
          <w:sz w:val="22"/>
          <w:szCs w:val="22"/>
        </w:rPr>
      </w:pPr>
    </w:p>
    <w:p w14:paraId="094D5FEE" w14:textId="3FAD3D92" w:rsidR="00C62A26" w:rsidRPr="003D11EB" w:rsidRDefault="00C62A26" w:rsidP="00C62A26">
      <w:pPr>
        <w:widowControl w:val="0"/>
        <w:autoSpaceDE w:val="0"/>
        <w:autoSpaceDN w:val="0"/>
        <w:spacing w:before="10"/>
        <w:rPr>
          <w:rFonts w:ascii="Arial" w:eastAsia="Arial MT" w:hAnsi="Arial" w:cs="Arial"/>
          <w:color w:val="000000" w:themeColor="text1"/>
          <w:sz w:val="22"/>
          <w:szCs w:val="22"/>
          <w:lang w:val="es-ES" w:eastAsia="en-US"/>
        </w:rPr>
      </w:pPr>
    </w:p>
    <w:p w14:paraId="7865DC5D" w14:textId="6B915F39" w:rsidR="00C62A26" w:rsidRPr="003D11EB" w:rsidRDefault="00C62A26" w:rsidP="00E26446">
      <w:pPr>
        <w:widowControl w:val="0"/>
        <w:autoSpaceDE w:val="0"/>
        <w:autoSpaceDN w:val="0"/>
        <w:rPr>
          <w:rFonts w:ascii="Arial" w:eastAsia="Arial MT" w:hAnsi="Arial" w:cs="Arial"/>
          <w:color w:val="000000" w:themeColor="text1"/>
          <w:sz w:val="22"/>
          <w:szCs w:val="22"/>
          <w:lang w:val="es-ES" w:eastAsia="en-US"/>
        </w:rPr>
      </w:pPr>
      <w:r w:rsidRPr="003D11EB">
        <w:rPr>
          <w:rFonts w:ascii="Arial" w:eastAsia="Arial MT" w:hAnsi="Arial" w:cs="Arial"/>
          <w:color w:val="000000" w:themeColor="text1"/>
          <w:sz w:val="22"/>
          <w:szCs w:val="22"/>
          <w:lang w:val="es-ES" w:eastAsia="en-US"/>
        </w:rPr>
        <w:t>Estimad</w:t>
      </w:r>
      <w:r w:rsidR="00480662" w:rsidRPr="003D11EB">
        <w:rPr>
          <w:rFonts w:ascii="Arial" w:eastAsia="Arial MT" w:hAnsi="Arial" w:cs="Arial"/>
          <w:color w:val="000000" w:themeColor="text1"/>
          <w:spacing w:val="-7"/>
          <w:sz w:val="22"/>
          <w:szCs w:val="22"/>
          <w:lang w:val="es-ES" w:eastAsia="en-US"/>
        </w:rPr>
        <w:t>o Señor</w:t>
      </w:r>
      <w:r w:rsidR="00CF6E31" w:rsidRPr="003D11EB">
        <w:rPr>
          <w:rFonts w:ascii="Arial" w:eastAsia="Arial MT" w:hAnsi="Arial" w:cs="Arial"/>
          <w:color w:val="000000" w:themeColor="text1"/>
          <w:spacing w:val="-7"/>
          <w:sz w:val="22"/>
          <w:szCs w:val="22"/>
          <w:lang w:val="es-ES" w:eastAsia="en-US"/>
        </w:rPr>
        <w:t xml:space="preserve"> </w:t>
      </w:r>
      <w:r w:rsidR="00957605" w:rsidRPr="003D11EB">
        <w:rPr>
          <w:rFonts w:ascii="Arial" w:eastAsia="Arial MT" w:hAnsi="Arial" w:cs="Arial"/>
          <w:color w:val="000000" w:themeColor="text1"/>
          <w:spacing w:val="-7"/>
          <w:sz w:val="22"/>
          <w:szCs w:val="22"/>
          <w:lang w:val="es-ES" w:eastAsia="en-US"/>
        </w:rPr>
        <w:t>Torres:</w:t>
      </w:r>
    </w:p>
    <w:p w14:paraId="76C3D0BF" w14:textId="77777777" w:rsidR="00C62A26" w:rsidRPr="003D11EB" w:rsidRDefault="00C62A26" w:rsidP="00C62A26">
      <w:pPr>
        <w:widowControl w:val="0"/>
        <w:autoSpaceDE w:val="0"/>
        <w:autoSpaceDN w:val="0"/>
        <w:spacing w:before="7"/>
        <w:rPr>
          <w:rFonts w:ascii="Arial" w:eastAsia="Arial MT" w:hAnsi="Arial" w:cs="Arial"/>
          <w:color w:val="000000" w:themeColor="text1"/>
          <w:sz w:val="22"/>
          <w:szCs w:val="22"/>
          <w:lang w:val="es-ES" w:eastAsia="en-US"/>
        </w:rPr>
      </w:pPr>
    </w:p>
    <w:p w14:paraId="512C1E0E" w14:textId="1EA9E537" w:rsidR="00C62A26" w:rsidRPr="003D11EB" w:rsidRDefault="00C62A26" w:rsidP="00E26446">
      <w:pPr>
        <w:widowControl w:val="0"/>
        <w:autoSpaceDE w:val="0"/>
        <w:autoSpaceDN w:val="0"/>
        <w:spacing w:line="276" w:lineRule="auto"/>
        <w:jc w:val="both"/>
        <w:rPr>
          <w:rFonts w:ascii="Arial" w:eastAsia="Arial MT" w:hAnsi="Arial" w:cs="Arial"/>
          <w:color w:val="000000" w:themeColor="text1"/>
          <w:sz w:val="22"/>
          <w:szCs w:val="22"/>
          <w:lang w:val="es-ES" w:eastAsia="en-US"/>
        </w:rPr>
      </w:pPr>
      <w:r w:rsidRPr="003D11EB">
        <w:rPr>
          <w:rFonts w:ascii="Arial" w:eastAsia="Arial MT" w:hAnsi="Arial" w:cs="Arial"/>
          <w:color w:val="000000" w:themeColor="text1"/>
          <w:sz w:val="22"/>
          <w:szCs w:val="22"/>
          <w:lang w:val="es-ES" w:eastAsia="en-US"/>
        </w:rPr>
        <w:t xml:space="preserve">En ejercicio de la competencia otorgada por el numeral 8 del artículo 11 y el numeral </w:t>
      </w:r>
      <w:r w:rsidR="00E26446" w:rsidRPr="003D11EB">
        <w:rPr>
          <w:rFonts w:ascii="Arial" w:eastAsia="Arial MT" w:hAnsi="Arial" w:cs="Arial"/>
          <w:color w:val="000000" w:themeColor="text1"/>
          <w:sz w:val="22"/>
          <w:szCs w:val="22"/>
          <w:lang w:val="es-ES" w:eastAsia="en-US"/>
        </w:rPr>
        <w:t xml:space="preserve">5 del </w:t>
      </w:r>
      <w:r w:rsidRPr="003D11EB">
        <w:rPr>
          <w:rFonts w:ascii="Arial" w:eastAsia="Arial MT" w:hAnsi="Arial" w:cs="Arial"/>
          <w:color w:val="000000" w:themeColor="text1"/>
          <w:sz w:val="22"/>
          <w:szCs w:val="22"/>
          <w:lang w:val="es-ES" w:eastAsia="en-US"/>
        </w:rPr>
        <w:t>artículo</w:t>
      </w:r>
      <w:r w:rsidRPr="003D11EB">
        <w:rPr>
          <w:rFonts w:ascii="Arial" w:eastAsia="Arial MT" w:hAnsi="Arial" w:cs="Arial"/>
          <w:color w:val="000000" w:themeColor="text1"/>
          <w:spacing w:val="-7"/>
          <w:sz w:val="22"/>
          <w:szCs w:val="22"/>
          <w:lang w:val="es-ES" w:eastAsia="en-US"/>
        </w:rPr>
        <w:t xml:space="preserve"> </w:t>
      </w:r>
      <w:r w:rsidRPr="003D11EB">
        <w:rPr>
          <w:rFonts w:ascii="Arial" w:eastAsia="Arial MT" w:hAnsi="Arial" w:cs="Arial"/>
          <w:color w:val="000000" w:themeColor="text1"/>
          <w:sz w:val="22"/>
          <w:szCs w:val="22"/>
          <w:lang w:val="es-ES" w:eastAsia="en-US"/>
        </w:rPr>
        <w:t>3</w:t>
      </w:r>
      <w:r w:rsidRPr="003D11EB">
        <w:rPr>
          <w:rFonts w:ascii="Arial" w:eastAsia="Arial MT" w:hAnsi="Arial" w:cs="Arial"/>
          <w:color w:val="000000" w:themeColor="text1"/>
          <w:spacing w:val="-7"/>
          <w:sz w:val="22"/>
          <w:szCs w:val="22"/>
          <w:lang w:val="es-ES" w:eastAsia="en-US"/>
        </w:rPr>
        <w:t xml:space="preserve"> </w:t>
      </w:r>
      <w:r w:rsidRPr="003D11EB">
        <w:rPr>
          <w:rFonts w:ascii="Arial" w:eastAsia="Arial MT" w:hAnsi="Arial" w:cs="Arial"/>
          <w:color w:val="000000" w:themeColor="text1"/>
          <w:sz w:val="22"/>
          <w:szCs w:val="22"/>
          <w:lang w:val="es-ES" w:eastAsia="en-US"/>
        </w:rPr>
        <w:t>del</w:t>
      </w:r>
      <w:r w:rsidRPr="003D11EB">
        <w:rPr>
          <w:rFonts w:ascii="Arial" w:eastAsia="Arial MT" w:hAnsi="Arial" w:cs="Arial"/>
          <w:color w:val="000000" w:themeColor="text1"/>
          <w:spacing w:val="-8"/>
          <w:sz w:val="22"/>
          <w:szCs w:val="22"/>
          <w:lang w:val="es-ES" w:eastAsia="en-US"/>
        </w:rPr>
        <w:t xml:space="preserve"> </w:t>
      </w:r>
      <w:r w:rsidRPr="003D11EB">
        <w:rPr>
          <w:rFonts w:ascii="Arial" w:eastAsia="Arial MT" w:hAnsi="Arial" w:cs="Arial"/>
          <w:color w:val="000000" w:themeColor="text1"/>
          <w:sz w:val="22"/>
          <w:szCs w:val="22"/>
          <w:lang w:val="es-ES" w:eastAsia="en-US"/>
        </w:rPr>
        <w:t>Decreto</w:t>
      </w:r>
      <w:r w:rsidRPr="003D11EB">
        <w:rPr>
          <w:rFonts w:ascii="Arial" w:eastAsia="Arial MT" w:hAnsi="Arial" w:cs="Arial"/>
          <w:color w:val="000000" w:themeColor="text1"/>
          <w:spacing w:val="-7"/>
          <w:sz w:val="22"/>
          <w:szCs w:val="22"/>
          <w:lang w:val="es-ES" w:eastAsia="en-US"/>
        </w:rPr>
        <w:t xml:space="preserve"> </w:t>
      </w:r>
      <w:r w:rsidRPr="003D11EB">
        <w:rPr>
          <w:rFonts w:ascii="Arial" w:eastAsia="Arial MT" w:hAnsi="Arial" w:cs="Arial"/>
          <w:color w:val="000000" w:themeColor="text1"/>
          <w:sz w:val="22"/>
          <w:szCs w:val="22"/>
          <w:lang w:val="es-ES" w:eastAsia="en-US"/>
        </w:rPr>
        <w:t>Ley</w:t>
      </w:r>
      <w:r w:rsidRPr="003D11EB">
        <w:rPr>
          <w:rFonts w:ascii="Arial" w:eastAsia="Arial MT" w:hAnsi="Arial" w:cs="Arial"/>
          <w:color w:val="000000" w:themeColor="text1"/>
          <w:spacing w:val="-7"/>
          <w:sz w:val="22"/>
          <w:szCs w:val="22"/>
          <w:lang w:val="es-ES" w:eastAsia="en-US"/>
        </w:rPr>
        <w:t xml:space="preserve"> </w:t>
      </w:r>
      <w:r w:rsidRPr="003D11EB">
        <w:rPr>
          <w:rFonts w:ascii="Arial" w:eastAsia="Arial MT" w:hAnsi="Arial" w:cs="Arial"/>
          <w:color w:val="000000" w:themeColor="text1"/>
          <w:sz w:val="22"/>
          <w:szCs w:val="22"/>
          <w:lang w:val="es-ES" w:eastAsia="en-US"/>
        </w:rPr>
        <w:t>4170</w:t>
      </w:r>
      <w:r w:rsidRPr="003D11EB">
        <w:rPr>
          <w:rFonts w:ascii="Arial" w:eastAsia="Arial MT" w:hAnsi="Arial" w:cs="Arial"/>
          <w:color w:val="000000" w:themeColor="text1"/>
          <w:spacing w:val="-7"/>
          <w:sz w:val="22"/>
          <w:szCs w:val="22"/>
          <w:lang w:val="es-ES" w:eastAsia="en-US"/>
        </w:rPr>
        <w:t xml:space="preserve"> </w:t>
      </w:r>
      <w:r w:rsidRPr="003D11EB">
        <w:rPr>
          <w:rFonts w:ascii="Arial" w:eastAsia="Arial MT" w:hAnsi="Arial" w:cs="Arial"/>
          <w:color w:val="000000" w:themeColor="text1"/>
          <w:sz w:val="22"/>
          <w:szCs w:val="22"/>
          <w:lang w:val="es-ES" w:eastAsia="en-US"/>
        </w:rPr>
        <w:t>de</w:t>
      </w:r>
      <w:r w:rsidRPr="003D11EB">
        <w:rPr>
          <w:rFonts w:ascii="Arial" w:eastAsia="Arial MT" w:hAnsi="Arial" w:cs="Arial"/>
          <w:color w:val="000000" w:themeColor="text1"/>
          <w:spacing w:val="-8"/>
          <w:sz w:val="22"/>
          <w:szCs w:val="22"/>
          <w:lang w:val="es-ES" w:eastAsia="en-US"/>
        </w:rPr>
        <w:t xml:space="preserve"> </w:t>
      </w:r>
      <w:r w:rsidRPr="003D11EB">
        <w:rPr>
          <w:rFonts w:ascii="Arial" w:eastAsia="Arial MT" w:hAnsi="Arial" w:cs="Arial"/>
          <w:color w:val="000000" w:themeColor="text1"/>
          <w:sz w:val="22"/>
          <w:szCs w:val="22"/>
          <w:lang w:val="es-ES" w:eastAsia="en-US"/>
        </w:rPr>
        <w:t>2011,</w:t>
      </w:r>
      <w:r w:rsidR="004F57D5" w:rsidRPr="003D11EB" w:rsidDel="004F57D5">
        <w:rPr>
          <w:rFonts w:ascii="Arial" w:eastAsia="Arial MT" w:hAnsi="Arial" w:cs="Arial"/>
          <w:color w:val="000000" w:themeColor="text1"/>
          <w:spacing w:val="-6"/>
          <w:sz w:val="22"/>
          <w:szCs w:val="22"/>
          <w:lang w:val="es-ES" w:eastAsia="en-US"/>
        </w:rPr>
        <w:t xml:space="preserve"> </w:t>
      </w:r>
      <w:r w:rsidRPr="003D11EB">
        <w:rPr>
          <w:rFonts w:ascii="Arial" w:eastAsia="Arial MT" w:hAnsi="Arial" w:cs="Arial"/>
          <w:color w:val="000000" w:themeColor="text1"/>
          <w:sz w:val="22"/>
          <w:szCs w:val="22"/>
          <w:lang w:val="es-ES" w:eastAsia="en-US"/>
        </w:rPr>
        <w:t>la Agencia Nacional de Contratación Pública –</w:t>
      </w:r>
      <w:r w:rsidR="007B183D" w:rsidRPr="003D11EB">
        <w:rPr>
          <w:rFonts w:ascii="Arial" w:eastAsia="Arial MT" w:hAnsi="Arial" w:cs="Arial"/>
          <w:color w:val="000000" w:themeColor="text1"/>
          <w:sz w:val="22"/>
          <w:szCs w:val="22"/>
          <w:lang w:val="es-ES" w:eastAsia="en-US"/>
        </w:rPr>
        <w:t xml:space="preserve"> Colombia Compra Eficiente </w:t>
      </w:r>
      <w:r w:rsidRPr="003D11EB">
        <w:rPr>
          <w:rFonts w:ascii="Arial" w:eastAsia="Arial MT" w:hAnsi="Arial" w:cs="Arial"/>
          <w:color w:val="000000" w:themeColor="text1"/>
          <w:sz w:val="22"/>
          <w:szCs w:val="22"/>
          <w:lang w:val="es-ES" w:eastAsia="en-US"/>
        </w:rPr>
        <w:t>responde</w:t>
      </w:r>
      <w:r w:rsidRPr="003D11EB">
        <w:rPr>
          <w:rFonts w:ascii="Arial" w:eastAsia="Arial MT" w:hAnsi="Arial" w:cs="Arial"/>
          <w:color w:val="000000" w:themeColor="text1"/>
          <w:spacing w:val="-1"/>
          <w:sz w:val="22"/>
          <w:szCs w:val="22"/>
          <w:lang w:val="es-ES" w:eastAsia="en-US"/>
        </w:rPr>
        <w:t xml:space="preserve"> </w:t>
      </w:r>
      <w:r w:rsidRPr="003D11EB">
        <w:rPr>
          <w:rFonts w:ascii="Arial" w:eastAsia="Arial MT" w:hAnsi="Arial" w:cs="Arial"/>
          <w:color w:val="000000" w:themeColor="text1"/>
          <w:sz w:val="22"/>
          <w:szCs w:val="22"/>
          <w:lang w:val="es-ES" w:eastAsia="en-US"/>
        </w:rPr>
        <w:t>su</w:t>
      </w:r>
      <w:r w:rsidRPr="003D11EB">
        <w:rPr>
          <w:rFonts w:ascii="Arial" w:eastAsia="Arial MT" w:hAnsi="Arial" w:cs="Arial"/>
          <w:color w:val="000000" w:themeColor="text1"/>
          <w:spacing w:val="-2"/>
          <w:sz w:val="22"/>
          <w:szCs w:val="22"/>
          <w:lang w:val="es-ES" w:eastAsia="en-US"/>
        </w:rPr>
        <w:t xml:space="preserve"> </w:t>
      </w:r>
      <w:r w:rsidRPr="003D11EB">
        <w:rPr>
          <w:rFonts w:ascii="Arial" w:eastAsia="Arial MT" w:hAnsi="Arial" w:cs="Arial"/>
          <w:color w:val="000000" w:themeColor="text1"/>
          <w:sz w:val="22"/>
          <w:szCs w:val="22"/>
          <w:lang w:val="es-ES" w:eastAsia="en-US"/>
        </w:rPr>
        <w:t>consulta</w:t>
      </w:r>
      <w:r w:rsidRPr="003D11EB">
        <w:rPr>
          <w:rFonts w:ascii="Arial" w:eastAsia="Arial MT" w:hAnsi="Arial" w:cs="Arial"/>
          <w:color w:val="000000" w:themeColor="text1"/>
          <w:spacing w:val="-2"/>
          <w:sz w:val="22"/>
          <w:szCs w:val="22"/>
          <w:lang w:val="es-ES" w:eastAsia="en-US"/>
        </w:rPr>
        <w:t xml:space="preserve"> </w:t>
      </w:r>
      <w:r w:rsidRPr="003D11EB">
        <w:rPr>
          <w:rFonts w:ascii="Arial" w:eastAsia="Arial MT" w:hAnsi="Arial" w:cs="Arial"/>
          <w:color w:val="000000" w:themeColor="text1"/>
          <w:sz w:val="22"/>
          <w:szCs w:val="22"/>
          <w:lang w:val="es-ES" w:eastAsia="en-US"/>
        </w:rPr>
        <w:t>del</w:t>
      </w:r>
      <w:r w:rsidR="007B183D" w:rsidRPr="003D11EB">
        <w:rPr>
          <w:rFonts w:ascii="Arial" w:eastAsia="Arial MT" w:hAnsi="Arial" w:cs="Arial"/>
          <w:color w:val="000000" w:themeColor="text1"/>
          <w:sz w:val="22"/>
          <w:szCs w:val="22"/>
          <w:lang w:val="es-ES" w:eastAsia="en-US"/>
        </w:rPr>
        <w:t xml:space="preserve"> </w:t>
      </w:r>
      <w:r w:rsidR="0052575C" w:rsidRPr="003D11EB">
        <w:rPr>
          <w:rFonts w:ascii="Arial" w:eastAsia="Arial MT" w:hAnsi="Arial" w:cs="Arial"/>
          <w:color w:val="000000" w:themeColor="text1"/>
          <w:sz w:val="22"/>
          <w:szCs w:val="22"/>
          <w:lang w:val="es-ES" w:eastAsia="en-US"/>
        </w:rPr>
        <w:t xml:space="preserve">2 de febrero </w:t>
      </w:r>
      <w:r w:rsidR="001B2427" w:rsidRPr="003D11EB">
        <w:rPr>
          <w:rFonts w:ascii="Arial" w:eastAsia="Arial MT" w:hAnsi="Arial" w:cs="Arial"/>
          <w:color w:val="000000" w:themeColor="text1"/>
          <w:sz w:val="22"/>
          <w:szCs w:val="22"/>
          <w:lang w:val="es-ES" w:eastAsia="en-US"/>
        </w:rPr>
        <w:t xml:space="preserve">de 2022. </w:t>
      </w:r>
    </w:p>
    <w:p w14:paraId="232D4640" w14:textId="162589F3" w:rsidR="001D1DFF" w:rsidRPr="003D11EB" w:rsidRDefault="001D1DFF" w:rsidP="00EB6848">
      <w:pPr>
        <w:spacing w:line="276" w:lineRule="auto"/>
        <w:jc w:val="both"/>
        <w:rPr>
          <w:rFonts w:ascii="Arial" w:eastAsia="Calibri" w:hAnsi="Arial" w:cs="Arial"/>
          <w:b/>
          <w:color w:val="000000" w:themeColor="text1"/>
          <w:sz w:val="22"/>
          <w:szCs w:val="22"/>
          <w:lang w:val="es-ES"/>
        </w:rPr>
      </w:pPr>
    </w:p>
    <w:p w14:paraId="7701FCC7" w14:textId="3A57CE0A" w:rsidR="00DD5B04" w:rsidRPr="003D11EB"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D11EB">
        <w:rPr>
          <w:rFonts w:ascii="Arial" w:eastAsia="Calibri" w:hAnsi="Arial" w:cs="Arial"/>
          <w:b/>
          <w:color w:val="000000" w:themeColor="text1"/>
          <w:sz w:val="22"/>
          <w:lang w:val="es-ES_tradnl"/>
        </w:rPr>
        <w:t xml:space="preserve">Problema planteado </w:t>
      </w:r>
    </w:p>
    <w:p w14:paraId="5690C2FE" w14:textId="77777777" w:rsidR="00C6212A" w:rsidRPr="003D11EB" w:rsidRDefault="00C6212A" w:rsidP="00B836BB">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38BAA0AF" w14:textId="77777777" w:rsidR="00EC1307" w:rsidRPr="003D11EB" w:rsidRDefault="005F1C09" w:rsidP="00EC1307">
      <w:pPr>
        <w:pStyle w:val="Default"/>
        <w:spacing w:line="276" w:lineRule="auto"/>
        <w:jc w:val="both"/>
        <w:rPr>
          <w:rFonts w:eastAsia="Calibri"/>
          <w:bCs/>
          <w:color w:val="000000" w:themeColor="text1"/>
          <w:sz w:val="22"/>
          <w:szCs w:val="22"/>
          <w:lang w:val="es-ES_tradnl"/>
        </w:rPr>
      </w:pPr>
      <w:r w:rsidRPr="003D11EB">
        <w:rPr>
          <w:rFonts w:eastAsia="Calibri"/>
          <w:bCs/>
          <w:color w:val="000000" w:themeColor="text1"/>
          <w:sz w:val="22"/>
          <w:szCs w:val="22"/>
          <w:lang w:val="es-ES_tradnl"/>
        </w:rPr>
        <w:t>Usted realiza las siguientes preguntas:</w:t>
      </w:r>
      <w:r w:rsidR="009B497E" w:rsidRPr="003D11EB">
        <w:rPr>
          <w:rFonts w:eastAsia="Calibri"/>
          <w:bCs/>
          <w:color w:val="000000" w:themeColor="text1"/>
          <w:sz w:val="22"/>
          <w:szCs w:val="22"/>
          <w:lang w:val="es-ES_tradnl"/>
        </w:rPr>
        <w:t xml:space="preserve"> </w:t>
      </w:r>
    </w:p>
    <w:p w14:paraId="4093C5E9" w14:textId="77777777" w:rsidR="00EC1307" w:rsidRPr="003D11EB" w:rsidRDefault="00EC1307" w:rsidP="00EC1307">
      <w:pPr>
        <w:pStyle w:val="Default"/>
        <w:spacing w:line="276" w:lineRule="auto"/>
        <w:ind w:left="709" w:right="709"/>
        <w:jc w:val="both"/>
        <w:rPr>
          <w:rFonts w:eastAsia="Calibri"/>
          <w:bCs/>
          <w:color w:val="000000" w:themeColor="text1"/>
          <w:sz w:val="22"/>
          <w:szCs w:val="22"/>
          <w:lang w:val="es-ES_tradnl"/>
        </w:rPr>
      </w:pPr>
    </w:p>
    <w:p w14:paraId="7DAB2776" w14:textId="71E5B44D" w:rsidR="008F7388" w:rsidRPr="003D11EB" w:rsidRDefault="00004B41" w:rsidP="00EC1307">
      <w:pPr>
        <w:pStyle w:val="Default"/>
        <w:ind w:left="709" w:right="709"/>
        <w:jc w:val="both"/>
        <w:rPr>
          <w:bCs/>
          <w:color w:val="000000" w:themeColor="text1"/>
          <w:sz w:val="21"/>
          <w:szCs w:val="21"/>
          <w:lang w:val="es-ES"/>
        </w:rPr>
      </w:pPr>
      <w:r w:rsidRPr="003D11EB">
        <w:rPr>
          <w:bCs/>
          <w:color w:val="000000" w:themeColor="text1"/>
          <w:sz w:val="21"/>
          <w:szCs w:val="21"/>
          <w:lang w:val="es-ES_tradnl"/>
        </w:rPr>
        <w:t>«</w:t>
      </w:r>
      <w:r w:rsidR="008F7388" w:rsidRPr="003D11EB">
        <w:rPr>
          <w:bCs/>
          <w:color w:val="000000" w:themeColor="text1"/>
          <w:sz w:val="21"/>
          <w:szCs w:val="21"/>
          <w:lang w:val="es-ES"/>
        </w:rPr>
        <w:t xml:space="preserve"> </w:t>
      </w:r>
      <w:r w:rsidR="008F7388" w:rsidRPr="003D11EB">
        <w:rPr>
          <w:color w:val="000000" w:themeColor="text1"/>
          <w:sz w:val="21"/>
          <w:szCs w:val="21"/>
        </w:rPr>
        <w:t xml:space="preserve">Las entidades con régimen especial cuya contratación se rige por el derecho común y como consecuencia se encuentran excluidas a la aplicación de la ley 80 y 1150; como es natural, se rigen exclusivamente por las normas contenidas </w:t>
      </w:r>
      <w:r w:rsidR="008F7388" w:rsidRPr="003D11EB">
        <w:rPr>
          <w:color w:val="000000" w:themeColor="text1"/>
          <w:sz w:val="21"/>
          <w:szCs w:val="21"/>
        </w:rPr>
        <w:lastRenderedPageBreak/>
        <w:t xml:space="preserve">en sus respectivos manuales, por tanto, es viable concluir que, a estas entidades no les resulta posible acogerse a lo dispuesto en el artículo 8 del decreto 537 de 2020 para adicionar sus contratos por valores que superan en 50% del valor del contrato principal, en tanto que, el decreto precitado adiciono el artículo 40 de la ley 80, ley que no le es aplicable a estas entidades con </w:t>
      </w:r>
      <w:r w:rsidR="005B1E0E" w:rsidRPr="003D11EB">
        <w:rPr>
          <w:color w:val="000000" w:themeColor="text1"/>
          <w:sz w:val="21"/>
          <w:szCs w:val="21"/>
        </w:rPr>
        <w:t xml:space="preserve">régimen </w:t>
      </w:r>
      <w:r w:rsidR="008F7388" w:rsidRPr="003D11EB">
        <w:rPr>
          <w:color w:val="000000" w:themeColor="text1"/>
          <w:sz w:val="21"/>
          <w:szCs w:val="21"/>
        </w:rPr>
        <w:t>especial de contratación y por tanto deberán acudir estrictamente a lo dispuesto en su manual interno?</w:t>
      </w:r>
    </w:p>
    <w:p w14:paraId="2A15CA90" w14:textId="77777777" w:rsidR="008F7388" w:rsidRPr="003D11EB" w:rsidRDefault="008F7388" w:rsidP="00EC1307">
      <w:pPr>
        <w:ind w:left="709" w:right="709"/>
        <w:jc w:val="both"/>
        <w:rPr>
          <w:rFonts w:ascii="Arial" w:hAnsi="Arial" w:cs="Arial"/>
          <w:color w:val="000000" w:themeColor="text1"/>
          <w:sz w:val="21"/>
          <w:szCs w:val="21"/>
        </w:rPr>
      </w:pPr>
    </w:p>
    <w:p w14:paraId="7A10A099" w14:textId="28D16D99" w:rsidR="004D2590" w:rsidRPr="003D11EB" w:rsidRDefault="00EC1307" w:rsidP="00EC1307">
      <w:pPr>
        <w:ind w:left="709" w:right="709"/>
        <w:jc w:val="both"/>
        <w:rPr>
          <w:rFonts w:ascii="Arial" w:hAnsi="Arial" w:cs="Arial"/>
          <w:color w:val="000000" w:themeColor="text1"/>
          <w:sz w:val="21"/>
          <w:szCs w:val="21"/>
        </w:rPr>
      </w:pPr>
      <w:r w:rsidRPr="003D11EB">
        <w:rPr>
          <w:rFonts w:ascii="Arial" w:hAnsi="Arial" w:cs="Arial"/>
          <w:bCs/>
          <w:color w:val="000000" w:themeColor="text1"/>
          <w:sz w:val="21"/>
          <w:szCs w:val="21"/>
          <w:lang w:val="es-ES_tradnl"/>
        </w:rPr>
        <w:t>»</w:t>
      </w:r>
      <w:r w:rsidR="008F7388" w:rsidRPr="003D11EB">
        <w:rPr>
          <w:rFonts w:ascii="Arial" w:hAnsi="Arial" w:cs="Arial"/>
          <w:color w:val="000000" w:themeColor="text1"/>
          <w:sz w:val="21"/>
          <w:szCs w:val="21"/>
        </w:rPr>
        <w:t xml:space="preserve">El contexto de la inquietud antes efectuada surge de ser espectador de como muchas entidades exceptuadas al estatuto de contratación están adicionando contratos con sustento en el decreto 537 de 2020 y no de su manual que si les aplica y a la fecha Colombia compra no se ha pronunciado en el sentido de establecer lineamientos </w:t>
      </w:r>
      <w:r w:rsidRPr="003D11EB">
        <w:rPr>
          <w:rFonts w:ascii="Arial" w:hAnsi="Arial" w:cs="Arial"/>
          <w:color w:val="000000" w:themeColor="text1"/>
          <w:sz w:val="21"/>
          <w:szCs w:val="21"/>
        </w:rPr>
        <w:t>sobre el particular</w:t>
      </w:r>
      <w:r w:rsidR="00004B41" w:rsidRPr="003D11EB">
        <w:rPr>
          <w:rFonts w:ascii="Arial" w:hAnsi="Arial" w:cs="Arial"/>
          <w:bCs/>
          <w:color w:val="000000" w:themeColor="text1"/>
          <w:sz w:val="21"/>
          <w:szCs w:val="21"/>
          <w:lang w:val="es-ES_tradnl"/>
        </w:rPr>
        <w:t>»</w:t>
      </w:r>
      <w:r w:rsidR="00C23613" w:rsidRPr="003D11EB">
        <w:rPr>
          <w:rFonts w:ascii="Arial" w:hAnsi="Arial" w:cs="Arial"/>
          <w:bCs/>
          <w:color w:val="000000" w:themeColor="text1"/>
          <w:sz w:val="21"/>
          <w:szCs w:val="21"/>
          <w:lang w:val="es-ES_tradnl"/>
        </w:rPr>
        <w:t xml:space="preserve"> </w:t>
      </w:r>
    </w:p>
    <w:p w14:paraId="107DBBFB" w14:textId="0487B9CB" w:rsidR="00004B41" w:rsidRPr="003D11EB" w:rsidRDefault="00004B41" w:rsidP="00FA67C5">
      <w:pPr>
        <w:ind w:right="709"/>
        <w:jc w:val="both"/>
        <w:rPr>
          <w:rFonts w:ascii="Arial" w:hAnsi="Arial" w:cs="Arial"/>
          <w:color w:val="000000" w:themeColor="text1"/>
          <w:sz w:val="21"/>
          <w:szCs w:val="21"/>
          <w:lang w:val="es-ES_tradnl"/>
        </w:rPr>
      </w:pPr>
    </w:p>
    <w:p w14:paraId="78745938" w14:textId="77777777" w:rsidR="008F7388" w:rsidRPr="003D11EB" w:rsidRDefault="008F7388" w:rsidP="008F7388">
      <w:pPr>
        <w:tabs>
          <w:tab w:val="left" w:pos="426"/>
        </w:tabs>
        <w:spacing w:line="276" w:lineRule="auto"/>
        <w:jc w:val="both"/>
        <w:rPr>
          <w:rFonts w:ascii="Arial" w:eastAsia="Calibri" w:hAnsi="Arial" w:cs="Arial"/>
          <w:b/>
          <w:color w:val="000000" w:themeColor="text1"/>
          <w:sz w:val="22"/>
          <w:szCs w:val="22"/>
          <w:lang w:val="es-ES_tradnl" w:eastAsia="en-US"/>
        </w:rPr>
      </w:pPr>
      <w:r w:rsidRPr="003D11EB">
        <w:rPr>
          <w:rFonts w:ascii="Arial" w:eastAsia="Calibri" w:hAnsi="Arial" w:cs="Arial"/>
          <w:b/>
          <w:color w:val="000000" w:themeColor="text1"/>
          <w:sz w:val="22"/>
          <w:szCs w:val="22"/>
          <w:lang w:val="es-ES_tradnl" w:eastAsia="en-US"/>
        </w:rPr>
        <w:t>2.</w:t>
      </w:r>
      <w:r w:rsidRPr="003D11EB">
        <w:rPr>
          <w:rFonts w:ascii="Arial" w:eastAsia="Calibri" w:hAnsi="Arial" w:cs="Arial"/>
          <w:color w:val="000000" w:themeColor="text1"/>
          <w:sz w:val="22"/>
          <w:szCs w:val="22"/>
          <w:lang w:val="es-ES_tradnl" w:eastAsia="en-US"/>
        </w:rPr>
        <w:t xml:space="preserve"> </w:t>
      </w:r>
      <w:r w:rsidRPr="003D11EB">
        <w:rPr>
          <w:rFonts w:ascii="Arial" w:eastAsia="Calibri" w:hAnsi="Arial" w:cs="Arial"/>
          <w:b/>
          <w:color w:val="000000" w:themeColor="text1"/>
          <w:sz w:val="22"/>
          <w:szCs w:val="22"/>
          <w:lang w:val="es-ES_tradnl" w:eastAsia="en-US"/>
        </w:rPr>
        <w:t>Consideraciones</w:t>
      </w:r>
    </w:p>
    <w:p w14:paraId="228FB820" w14:textId="77777777" w:rsidR="008F7388" w:rsidRPr="003D11EB" w:rsidRDefault="008F7388" w:rsidP="008F7388">
      <w:pPr>
        <w:spacing w:line="276" w:lineRule="auto"/>
        <w:jc w:val="both"/>
        <w:rPr>
          <w:rFonts w:ascii="Arial" w:eastAsiaTheme="minorHAnsi" w:hAnsi="Arial" w:cs="Arial"/>
          <w:color w:val="000000" w:themeColor="text1"/>
          <w:sz w:val="22"/>
          <w:szCs w:val="22"/>
          <w:lang w:val="es-ES_tradnl" w:eastAsia="en-US"/>
        </w:rPr>
      </w:pPr>
    </w:p>
    <w:p w14:paraId="10E3BBE0" w14:textId="26CF0E5F" w:rsidR="008F7388" w:rsidRPr="003D11EB" w:rsidRDefault="008F7388" w:rsidP="005B1E0E">
      <w:pPr>
        <w:spacing w:line="276" w:lineRule="auto"/>
        <w:jc w:val="both"/>
        <w:rPr>
          <w:rFonts w:ascii="Arial" w:eastAsiaTheme="minorHAnsi" w:hAnsi="Arial" w:cs="Arial"/>
          <w:color w:val="000000" w:themeColor="text1"/>
          <w:sz w:val="22"/>
          <w:szCs w:val="22"/>
          <w:lang w:val="es-ES" w:eastAsia="en-US"/>
        </w:rPr>
      </w:pPr>
      <w:r w:rsidRPr="003D11EB">
        <w:rPr>
          <w:rFonts w:ascii="Arial" w:eastAsia="Calibri" w:hAnsi="Arial" w:cs="Arial"/>
          <w:color w:val="000000" w:themeColor="text1"/>
          <w:sz w:val="22"/>
          <w:szCs w:val="22"/>
          <w:lang w:val="es-MX" w:eastAsia="en-US"/>
        </w:rPr>
        <w:t>E</w:t>
      </w:r>
      <w:r w:rsidRPr="003D11EB">
        <w:rPr>
          <w:rFonts w:ascii="Arial" w:eastAsiaTheme="minorHAnsi" w:hAnsi="Arial" w:cs="Arial"/>
          <w:bCs/>
          <w:color w:val="000000" w:themeColor="text1"/>
          <w:sz w:val="22"/>
          <w:szCs w:val="22"/>
          <w:lang w:val="es-MX" w:eastAsia="en-US"/>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5B1E0E" w:rsidRPr="003D11EB">
        <w:rPr>
          <w:rFonts w:ascii="Arial" w:eastAsiaTheme="minorHAnsi" w:hAnsi="Arial" w:cs="Arial"/>
          <w:color w:val="000000" w:themeColor="text1"/>
          <w:sz w:val="22"/>
          <w:szCs w:val="22"/>
          <w:lang w:val="es-ES" w:eastAsia="en-US"/>
        </w:rPr>
        <w:t xml:space="preserve"> </w:t>
      </w:r>
      <w:r w:rsidRPr="003D11EB">
        <w:rPr>
          <w:rFonts w:ascii="Arial" w:eastAsiaTheme="minorHAnsi" w:hAnsi="Arial" w:cs="Arial"/>
          <w:color w:val="000000" w:themeColor="text1"/>
          <w:sz w:val="22"/>
          <w:szCs w:val="22"/>
          <w:lang w:val="es-ES" w:eastAsia="en-U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D11EB">
        <w:rPr>
          <w:rFonts w:ascii="Arial" w:eastAsiaTheme="minorHAnsi" w:hAnsi="Arial" w:cs="Arial"/>
          <w:bCs/>
          <w:color w:val="000000" w:themeColor="text1"/>
          <w:sz w:val="22"/>
          <w:szCs w:val="22"/>
          <w:lang w:val="es-MX" w:eastAsia="en-US"/>
        </w:rPr>
        <w:t xml:space="preserve"> de todos los partícipes de la contratación estatal.</w:t>
      </w:r>
    </w:p>
    <w:p w14:paraId="0BAB47A3" w14:textId="77777777" w:rsidR="008F7388" w:rsidRPr="003D11EB" w:rsidRDefault="008F7388" w:rsidP="008F7388">
      <w:pPr>
        <w:spacing w:before="120" w:after="120" w:line="276" w:lineRule="auto"/>
        <w:ind w:firstLine="709"/>
        <w:jc w:val="both"/>
        <w:rPr>
          <w:rFonts w:ascii="Arial" w:eastAsiaTheme="minorHAnsi" w:hAnsi="Arial" w:cs="Arial"/>
          <w:color w:val="000000" w:themeColor="text1"/>
          <w:sz w:val="22"/>
          <w:szCs w:val="22"/>
          <w:lang w:val="es-ES" w:eastAsia="en-US"/>
        </w:rPr>
      </w:pPr>
      <w:r w:rsidRPr="003D11EB">
        <w:rPr>
          <w:rFonts w:ascii="Arial" w:eastAsiaTheme="minorHAnsi" w:hAnsi="Arial" w:cs="Arial"/>
          <w:color w:val="000000" w:themeColor="text1"/>
          <w:sz w:val="22"/>
          <w:szCs w:val="22"/>
          <w:lang w:val="es-ES" w:eastAsia="en-U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D11EB">
        <w:rPr>
          <w:rFonts w:ascii="Arial" w:eastAsiaTheme="minorHAnsi" w:hAnsi="Arial" w:cs="Arial"/>
          <w:color w:val="000000" w:themeColor="text1"/>
          <w:sz w:val="22"/>
          <w:szCs w:val="22"/>
          <w:vertAlign w:val="superscript"/>
          <w:lang w:val="es-ES" w:eastAsia="en-US"/>
        </w:rPr>
        <w:footnoteReference w:id="2"/>
      </w:r>
      <w:r w:rsidRPr="003D11EB">
        <w:rPr>
          <w:rFonts w:ascii="Arial" w:eastAsiaTheme="minorHAnsi" w:hAnsi="Arial" w:cs="Arial"/>
          <w:color w:val="000000" w:themeColor="text1"/>
          <w:sz w:val="22"/>
          <w:szCs w:val="22"/>
          <w:lang w:val="es-ES" w:eastAsia="en-U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w:t>
      </w:r>
      <w:r w:rsidRPr="003D11EB">
        <w:rPr>
          <w:rFonts w:ascii="Arial" w:eastAsiaTheme="minorHAnsi" w:hAnsi="Arial" w:cs="Arial"/>
          <w:color w:val="000000" w:themeColor="text1"/>
          <w:sz w:val="22"/>
          <w:szCs w:val="22"/>
          <w:lang w:val="es-ES" w:eastAsia="en-US"/>
        </w:rPr>
        <w:lastRenderedPageBreak/>
        <w:t xml:space="preserve">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44B4CBDF" w14:textId="24874530" w:rsidR="0028061E" w:rsidRPr="003D11EB" w:rsidRDefault="008F7388" w:rsidP="0026282D">
      <w:pPr>
        <w:spacing w:after="120" w:line="276" w:lineRule="auto"/>
        <w:ind w:firstLine="708"/>
        <w:jc w:val="both"/>
        <w:rPr>
          <w:rFonts w:ascii="Arial" w:eastAsiaTheme="minorHAnsi" w:hAnsi="Arial" w:cs="Arial"/>
          <w:color w:val="000000" w:themeColor="text1"/>
          <w:sz w:val="22"/>
          <w:szCs w:val="22"/>
          <w:lang w:eastAsia="en-US"/>
        </w:rPr>
      </w:pPr>
      <w:r w:rsidRPr="003D11EB">
        <w:rPr>
          <w:rFonts w:ascii="Arial" w:eastAsiaTheme="minorHAnsi" w:hAnsi="Arial" w:cs="Arial"/>
          <w:color w:val="000000" w:themeColor="text1"/>
          <w:sz w:val="22"/>
          <w:szCs w:val="22"/>
          <w:lang w:val="es-ES" w:eastAsia="en-US"/>
        </w:rPr>
        <w:t>Sin perjuicio de lo anterior, la Subdirección –dentro de los límites de sus atribuciones</w:t>
      </w:r>
      <w:r w:rsidR="00672B6F" w:rsidRPr="003D11EB">
        <w:rPr>
          <w:rFonts w:ascii="Arial" w:eastAsiaTheme="minorHAnsi" w:hAnsi="Arial" w:cs="Arial"/>
          <w:color w:val="000000" w:themeColor="text1"/>
          <w:sz w:val="22"/>
          <w:szCs w:val="22"/>
          <w:lang w:val="es-ES" w:eastAsia="en-US"/>
        </w:rPr>
        <w:t>–</w:t>
      </w:r>
      <w:r w:rsidR="00957605" w:rsidRPr="003D11EB">
        <w:rPr>
          <w:rFonts w:ascii="Arial" w:eastAsiaTheme="minorHAnsi" w:hAnsi="Arial" w:cs="Arial"/>
          <w:color w:val="000000" w:themeColor="text1"/>
          <w:sz w:val="22"/>
          <w:szCs w:val="22"/>
          <w:lang w:val="es-ES" w:eastAsia="en-US"/>
        </w:rPr>
        <w:t xml:space="preserve"> </w:t>
      </w:r>
      <w:r w:rsidRPr="003D11EB">
        <w:rPr>
          <w:rFonts w:ascii="Arial" w:eastAsiaTheme="minorHAnsi" w:hAnsi="Arial" w:cs="Arial"/>
          <w:color w:val="000000" w:themeColor="text1"/>
          <w:sz w:val="22"/>
          <w:szCs w:val="22"/>
          <w:lang w:val="es-ES" w:eastAsia="en-US"/>
        </w:rPr>
        <w:t>resolverá la consulta conforme a las normas generales en materia de contratación estatal. Con este objetivo se analizarán los siguientes temas</w:t>
      </w:r>
      <w:r w:rsidRPr="003D11EB">
        <w:rPr>
          <w:rFonts w:ascii="Arial" w:eastAsia="Calibri" w:hAnsi="Arial" w:cs="Arial"/>
          <w:color w:val="000000" w:themeColor="text1"/>
          <w:sz w:val="22"/>
          <w:szCs w:val="22"/>
          <w:lang w:val="es-ES" w:eastAsia="en-US"/>
        </w:rPr>
        <w:t>:</w:t>
      </w:r>
      <w:r w:rsidRPr="003D11EB">
        <w:rPr>
          <w:rFonts w:ascii="Arial" w:eastAsia="Calibri" w:hAnsi="Arial" w:cs="Arial"/>
          <w:bCs/>
          <w:color w:val="000000" w:themeColor="text1"/>
          <w:sz w:val="22"/>
          <w:szCs w:val="22"/>
          <w:lang w:val="es-MX" w:eastAsia="en-US"/>
        </w:rPr>
        <w:t xml:space="preserve"> </w:t>
      </w:r>
      <w:r w:rsidRPr="003D11EB">
        <w:rPr>
          <w:rFonts w:ascii="Arial" w:eastAsiaTheme="minorHAnsi" w:hAnsi="Arial" w:cs="Arial"/>
          <w:color w:val="000000" w:themeColor="text1"/>
          <w:sz w:val="22"/>
          <w:szCs w:val="22"/>
          <w:lang w:val="es-ES_tradnl" w:eastAsia="en-US"/>
        </w:rPr>
        <w:t xml:space="preserve">i) los regímenes especiales en la contratación estatal, como ámbitos de regulación que se constituyen como una mixtura entre las disposiciones del derecho privado, de los manuales o reglamentos internos de contratación de las entidades estatales, de los principios de la función administrativa y de la gestión fiscal, del régimen de inhabilidades e incompatibilidades y, excepcionalmente, de otras normas particulares del EGCAP; ii) la forma de llenar los vacíos que existan en el manual de contratación de las entidades exceptuadas del Estatuto General de Contratación de la Administración Pública; </w:t>
      </w:r>
      <w:r w:rsidR="0028061E" w:rsidRPr="003D11EB">
        <w:rPr>
          <w:rFonts w:ascii="Arial" w:eastAsiaTheme="minorHAnsi" w:hAnsi="Arial" w:cs="Arial"/>
          <w:color w:val="000000" w:themeColor="text1"/>
          <w:sz w:val="22"/>
          <w:szCs w:val="22"/>
          <w:lang w:val="es-ES_tradnl" w:eastAsia="en-US"/>
        </w:rPr>
        <w:t xml:space="preserve">iii) </w:t>
      </w:r>
      <w:r w:rsidR="0028061E" w:rsidRPr="003D11EB">
        <w:rPr>
          <w:rFonts w:ascii="Arial" w:eastAsia="Calibri" w:hAnsi="Arial" w:cs="Arial"/>
          <w:bCs/>
          <w:color w:val="000000" w:themeColor="text1"/>
          <w:sz w:val="22"/>
        </w:rPr>
        <w:t>disposiciones normativas expedidas a partir de la pandemia originada por el COVID-19 en materia de contratación estatal</w:t>
      </w:r>
      <w:r w:rsidR="0028061E" w:rsidRPr="003D11EB">
        <w:rPr>
          <w:rFonts w:ascii="Arial" w:eastAsiaTheme="minorHAnsi" w:hAnsi="Arial" w:cs="Arial"/>
          <w:color w:val="000000" w:themeColor="text1"/>
          <w:sz w:val="22"/>
          <w:szCs w:val="22"/>
          <w:lang w:eastAsia="en-US"/>
        </w:rPr>
        <w:t xml:space="preserve">; iv) </w:t>
      </w:r>
      <w:r w:rsidR="008A7595" w:rsidRPr="003D11EB">
        <w:rPr>
          <w:rFonts w:ascii="Arial" w:eastAsiaTheme="minorHAnsi" w:hAnsi="Arial" w:cs="Arial"/>
          <w:color w:val="000000" w:themeColor="text1"/>
          <w:sz w:val="22"/>
          <w:szCs w:val="22"/>
          <w:lang w:eastAsia="en-US"/>
        </w:rPr>
        <w:t xml:space="preserve">la adición de los contratos estatales; </w:t>
      </w:r>
      <w:r w:rsidR="00614EC3" w:rsidRPr="003D11EB">
        <w:rPr>
          <w:rFonts w:ascii="Arial" w:eastAsiaTheme="minorHAnsi" w:hAnsi="Arial" w:cs="Arial"/>
          <w:color w:val="000000" w:themeColor="text1"/>
          <w:sz w:val="22"/>
          <w:szCs w:val="22"/>
          <w:lang w:eastAsia="en-US"/>
        </w:rPr>
        <w:t xml:space="preserve">v) </w:t>
      </w:r>
      <w:r w:rsidR="0028061E" w:rsidRPr="003D11EB">
        <w:rPr>
          <w:rFonts w:ascii="Arial" w:eastAsia="Calibri" w:hAnsi="Arial" w:cs="Arial"/>
          <w:color w:val="000000" w:themeColor="text1"/>
          <w:sz w:val="22"/>
        </w:rPr>
        <w:t>posturas en torno al límite para adicionar los contratos estatales; v</w:t>
      </w:r>
      <w:r w:rsidR="00614EC3" w:rsidRPr="003D11EB">
        <w:rPr>
          <w:rFonts w:ascii="Arial" w:eastAsia="Calibri" w:hAnsi="Arial" w:cs="Arial"/>
          <w:color w:val="000000" w:themeColor="text1"/>
          <w:sz w:val="22"/>
        </w:rPr>
        <w:t>i</w:t>
      </w:r>
      <w:r w:rsidR="0028061E" w:rsidRPr="003D11EB">
        <w:rPr>
          <w:rFonts w:ascii="Arial" w:eastAsia="Calibri" w:hAnsi="Arial" w:cs="Arial"/>
          <w:color w:val="000000" w:themeColor="text1"/>
          <w:sz w:val="22"/>
        </w:rPr>
        <w:t xml:space="preserve">) </w:t>
      </w:r>
      <w:r w:rsidR="0028061E" w:rsidRPr="003D11EB">
        <w:rPr>
          <w:rFonts w:ascii="Arial" w:eastAsia="Calibri" w:hAnsi="Arial" w:cs="Arial"/>
          <w:bCs/>
          <w:color w:val="000000" w:themeColor="text1"/>
          <w:sz w:val="22"/>
        </w:rPr>
        <w:t>la posibilidad de adicionar sin límite de valor los contratos celebrados por las entidades estatales sujetas al Estatuto General de Contratación de la Administración Pública que se relacionen con bienes, obras o servicios que permitan una mejor gestión y mitigación de la emergencia causada por el coronavirus COVID-19</w:t>
      </w:r>
      <w:r w:rsidR="001300FA" w:rsidRPr="003D11EB">
        <w:rPr>
          <w:rFonts w:ascii="Arial" w:eastAsia="Calibri" w:hAnsi="Arial" w:cs="Arial"/>
          <w:bCs/>
          <w:color w:val="000000" w:themeColor="text1"/>
          <w:sz w:val="22"/>
        </w:rPr>
        <w:t>.</w:t>
      </w:r>
    </w:p>
    <w:p w14:paraId="35F7BF1F" w14:textId="70470542" w:rsidR="008A1A2D" w:rsidRPr="003D11EB" w:rsidRDefault="008F7388" w:rsidP="00614EC3">
      <w:pPr>
        <w:spacing w:after="120" w:line="276" w:lineRule="auto"/>
        <w:ind w:firstLine="709"/>
        <w:jc w:val="both"/>
        <w:rPr>
          <w:rFonts w:ascii="Arial" w:eastAsia="Calibri" w:hAnsi="Arial" w:cs="Arial"/>
          <w:color w:val="000000" w:themeColor="text1"/>
          <w:sz w:val="22"/>
        </w:rPr>
      </w:pPr>
      <w:r w:rsidRPr="003D11EB">
        <w:rPr>
          <w:rFonts w:ascii="Arial" w:eastAsiaTheme="minorHAnsi" w:hAnsi="Arial" w:cs="Arial"/>
          <w:color w:val="000000" w:themeColor="text1"/>
          <w:sz w:val="22"/>
          <w:szCs w:val="22"/>
          <w:lang w:val="es-ES_tradnl" w:eastAsia="en-US"/>
        </w:rPr>
        <w:t>La Agencia Nacional de Contratación Pública – Colombia Compra Eficiente se pronunció sobre el régimen jurídico aplicable a las entidades exceptuadas del Estatuto General de Contratación de la Administración Pública en los conceptos C−018 del 05 de febrero de 2020, C−027 del 12 de febrero de 2020, C−032 del 19 de febrero de 2020, C−179 del 16 de marzo de 2020, C−101 del 16 de marzo de 2020, C−086 del 16 de marzo de 2020, C−168 del 31 de marzo de 2020, C-158 del 3 de abril de 2020, C−362 del 03 de julio de 2020, C−462 del 23 de julio de 2020, C–560 del 24 de agosto de 2020, C-637 del 28 de octubre de 2020</w:t>
      </w:r>
      <w:r w:rsidR="00AB034C" w:rsidRPr="003D11EB">
        <w:rPr>
          <w:rFonts w:ascii="Arial" w:eastAsiaTheme="minorHAnsi" w:hAnsi="Arial" w:cs="Arial"/>
          <w:color w:val="000000" w:themeColor="text1"/>
          <w:sz w:val="22"/>
          <w:szCs w:val="22"/>
          <w:lang w:val="es-ES_tradnl" w:eastAsia="en-US"/>
        </w:rPr>
        <w:t>,</w:t>
      </w:r>
      <w:r w:rsidRPr="003D11EB">
        <w:rPr>
          <w:rFonts w:ascii="Arial" w:eastAsiaTheme="minorHAnsi" w:hAnsi="Arial" w:cs="Arial"/>
          <w:color w:val="000000" w:themeColor="text1"/>
          <w:sz w:val="22"/>
          <w:szCs w:val="22"/>
          <w:lang w:val="es-ES_tradnl" w:eastAsia="en-US"/>
        </w:rPr>
        <w:t xml:space="preserve"> C−684 del 24 de noviembre de 2020</w:t>
      </w:r>
      <w:r w:rsidR="00AB034C" w:rsidRPr="003D11EB">
        <w:rPr>
          <w:rFonts w:ascii="Arial" w:eastAsiaTheme="minorHAnsi" w:hAnsi="Arial" w:cs="Arial"/>
          <w:color w:val="000000" w:themeColor="text1"/>
          <w:sz w:val="22"/>
          <w:szCs w:val="22"/>
          <w:lang w:val="es-ES_tradnl" w:eastAsia="en-US"/>
        </w:rPr>
        <w:t xml:space="preserve"> y</w:t>
      </w:r>
      <w:r w:rsidR="0028061E" w:rsidRPr="003D11EB">
        <w:rPr>
          <w:rFonts w:ascii="Arial" w:eastAsiaTheme="minorHAnsi" w:hAnsi="Arial" w:cs="Arial"/>
          <w:color w:val="000000" w:themeColor="text1"/>
          <w:sz w:val="22"/>
          <w:szCs w:val="22"/>
          <w:lang w:val="es-ES_tradnl" w:eastAsia="en-US"/>
        </w:rPr>
        <w:t xml:space="preserve"> </w:t>
      </w:r>
      <w:r w:rsidR="001300FA" w:rsidRPr="003D11EB">
        <w:rPr>
          <w:rFonts w:ascii="Arial" w:eastAsiaTheme="minorHAnsi" w:hAnsi="Arial" w:cs="Arial"/>
          <w:color w:val="000000" w:themeColor="text1"/>
          <w:sz w:val="22"/>
          <w:szCs w:val="22"/>
          <w:lang w:val="es-ES_tradnl" w:eastAsia="en-US"/>
        </w:rPr>
        <w:t>C-759 del 22 de febrero de 2022</w:t>
      </w:r>
      <w:r w:rsidRPr="003D11EB">
        <w:rPr>
          <w:rFonts w:ascii="Arial" w:eastAsiaTheme="minorHAnsi" w:hAnsi="Arial" w:cs="Arial"/>
          <w:color w:val="000000" w:themeColor="text1"/>
          <w:sz w:val="22"/>
          <w:szCs w:val="22"/>
          <w:lang w:val="es-ES_tradnl" w:eastAsia="en-US"/>
        </w:rPr>
        <w:t xml:space="preserve">. </w:t>
      </w:r>
      <w:r w:rsidR="0028061E" w:rsidRPr="003D11EB">
        <w:rPr>
          <w:rFonts w:ascii="Arial" w:eastAsia="Calibri" w:hAnsi="Arial" w:cs="Arial"/>
          <w:color w:val="000000" w:themeColor="text1"/>
          <w:sz w:val="22"/>
          <w:lang w:val="es-ES_tradnl"/>
        </w:rPr>
        <w:t xml:space="preserve">Además, </w:t>
      </w:r>
      <w:r w:rsidR="008A1A2D" w:rsidRPr="003D11EB">
        <w:rPr>
          <w:rFonts w:ascii="Arial" w:eastAsia="Calibri" w:hAnsi="Arial" w:cs="Arial"/>
          <w:color w:val="000000" w:themeColor="text1"/>
          <w:sz w:val="22"/>
        </w:rPr>
        <w:t>en los conceptos con radicado Nos. 4201912000007298 de 23 de octubre de 2019, 4201913000006294 del 16 de septiembre de 2019, C–062 del 25 de marzo de 2020, C–100 del 27 de marzo de 2020, C–130 del 24 de abril de 2020, C–308 del 28 de mayo de 2020 y C–318 del 28 de mayo de 2020, C-452 del 28 de julio de 2020, estudió los asuntos relacionados con la adición de los contratos estatales. Entre otros aspectos, allí se analizó el tope hasta el cual se pueden adicionar, por lo que se reiteran dichas consideraciones.</w:t>
      </w:r>
    </w:p>
    <w:p w14:paraId="26900D21" w14:textId="77777777" w:rsidR="008F7388" w:rsidRPr="003D11EB" w:rsidRDefault="008F7388" w:rsidP="008F7388">
      <w:pPr>
        <w:spacing w:line="276" w:lineRule="auto"/>
        <w:ind w:firstLine="709"/>
        <w:jc w:val="both"/>
        <w:rPr>
          <w:rFonts w:ascii="Arial" w:eastAsiaTheme="minorHAnsi" w:hAnsi="Arial" w:cs="Arial"/>
          <w:color w:val="000000" w:themeColor="text1"/>
          <w:sz w:val="22"/>
          <w:szCs w:val="22"/>
          <w:lang w:eastAsia="en-US"/>
        </w:rPr>
      </w:pPr>
    </w:p>
    <w:p w14:paraId="7F54614F" w14:textId="77777777" w:rsidR="008F7388" w:rsidRPr="003D11EB" w:rsidRDefault="008F7388" w:rsidP="008F7388">
      <w:pPr>
        <w:spacing w:line="276" w:lineRule="auto"/>
        <w:jc w:val="both"/>
        <w:rPr>
          <w:rFonts w:ascii="Arial" w:eastAsiaTheme="minorHAnsi" w:hAnsi="Arial" w:cs="Arial"/>
          <w:b/>
          <w:color w:val="000000" w:themeColor="text1"/>
          <w:sz w:val="22"/>
          <w:szCs w:val="22"/>
          <w:lang w:val="es-ES_tradnl" w:eastAsia="en-US"/>
        </w:rPr>
      </w:pPr>
      <w:r w:rsidRPr="003D11EB">
        <w:rPr>
          <w:rFonts w:ascii="Arial" w:eastAsiaTheme="minorHAnsi" w:hAnsi="Arial" w:cs="Arial"/>
          <w:b/>
          <w:color w:val="000000" w:themeColor="text1"/>
          <w:sz w:val="22"/>
          <w:szCs w:val="22"/>
          <w:lang w:val="es-ES_tradnl" w:eastAsia="en-US"/>
        </w:rPr>
        <w:t>2.1. Regímenes especiales en la contratación estatal. Excepciones al Estatuto General de Contratación de la Administración Pública: derecho privado matizado por reglas y principios del derecho administrativo</w:t>
      </w:r>
    </w:p>
    <w:p w14:paraId="632607FC" w14:textId="77777777" w:rsidR="008F7388" w:rsidRPr="003D11EB" w:rsidRDefault="008F7388" w:rsidP="008F7388">
      <w:pPr>
        <w:tabs>
          <w:tab w:val="left" w:pos="426"/>
        </w:tabs>
        <w:spacing w:line="276" w:lineRule="auto"/>
        <w:jc w:val="both"/>
        <w:rPr>
          <w:rFonts w:ascii="Arial" w:eastAsia="Calibri" w:hAnsi="Arial" w:cs="Arial"/>
          <w:b/>
          <w:color w:val="000000" w:themeColor="text1"/>
          <w:sz w:val="22"/>
          <w:szCs w:val="22"/>
          <w:lang w:val="es-ES_tradnl" w:eastAsia="en-US"/>
        </w:rPr>
      </w:pPr>
    </w:p>
    <w:p w14:paraId="450D4B27" w14:textId="77777777" w:rsidR="008F7388" w:rsidRPr="003D11EB" w:rsidRDefault="008F7388" w:rsidP="008F7388">
      <w:pPr>
        <w:tabs>
          <w:tab w:val="left" w:pos="426"/>
        </w:tabs>
        <w:spacing w:line="276" w:lineRule="auto"/>
        <w:jc w:val="both"/>
        <w:rPr>
          <w:rFonts w:ascii="Arial" w:eastAsia="Calibri" w:hAnsi="Arial" w:cs="Arial"/>
          <w:b/>
          <w:color w:val="000000" w:themeColor="text1"/>
          <w:sz w:val="22"/>
          <w:szCs w:val="22"/>
          <w:lang w:val="es-ES_tradnl" w:eastAsia="en-US"/>
        </w:rPr>
      </w:pPr>
      <w:bookmarkStart w:id="0" w:name="_Hlk96453635"/>
      <w:r w:rsidRPr="003D11EB">
        <w:rPr>
          <w:rFonts w:ascii="Arial" w:eastAsia="Calibri" w:hAnsi="Arial" w:cs="Arial"/>
          <w:color w:val="000000" w:themeColor="text1"/>
          <w:sz w:val="22"/>
          <w:szCs w:val="22"/>
          <w:lang w:val="es-ES_tradnl" w:eastAsia="en-US"/>
        </w:rPr>
        <w:lastRenderedPageBreak/>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manuales de contratación.</w:t>
      </w:r>
      <w:bookmarkEnd w:id="0"/>
    </w:p>
    <w:p w14:paraId="2A08F3A2" w14:textId="77777777" w:rsidR="008F7388" w:rsidRPr="003D11EB" w:rsidRDefault="008F7388" w:rsidP="008F7388">
      <w:pPr>
        <w:spacing w:before="120" w:after="120" w:line="276" w:lineRule="auto"/>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la respectiva entidad, con el fin de que se puedan identificar las normas que aplican en los procesos de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3D11EB">
        <w:rPr>
          <w:rFonts w:ascii="Arial" w:eastAsia="Calibri" w:hAnsi="Arial" w:cs="Arial"/>
          <w:color w:val="000000" w:themeColor="text1"/>
          <w:sz w:val="22"/>
          <w:szCs w:val="22"/>
          <w:vertAlign w:val="superscript"/>
          <w:lang w:val="es-ES_tradnl" w:eastAsia="en-US"/>
        </w:rPr>
        <w:footnoteReference w:id="3"/>
      </w:r>
      <w:r w:rsidRPr="003D11EB">
        <w:rPr>
          <w:rFonts w:ascii="Arial" w:eastAsia="Calibri" w:hAnsi="Arial" w:cs="Arial"/>
          <w:color w:val="000000" w:themeColor="text1"/>
          <w:sz w:val="22"/>
          <w:szCs w:val="22"/>
          <w:lang w:val="es-ES_tradnl" w:eastAsia="en-US"/>
        </w:rPr>
        <w:t>.</w:t>
      </w:r>
    </w:p>
    <w:p w14:paraId="347746DF" w14:textId="77777777" w:rsidR="008F7388" w:rsidRPr="003D11EB" w:rsidRDefault="008F7388" w:rsidP="008F7388">
      <w:pPr>
        <w:spacing w:line="276" w:lineRule="auto"/>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ab/>
        <w:t>No obstante, las entidades de régimen especial cumplen una finalidad pública y contratan con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5EE6BB9E" w14:textId="77777777" w:rsidR="008F7388" w:rsidRPr="003D11EB" w:rsidRDefault="008F7388" w:rsidP="008F7388">
      <w:pPr>
        <w:jc w:val="both"/>
        <w:rPr>
          <w:rFonts w:ascii="Arial" w:eastAsia="Calibri" w:hAnsi="Arial" w:cs="Arial"/>
          <w:color w:val="000000" w:themeColor="text1"/>
          <w:sz w:val="22"/>
          <w:szCs w:val="22"/>
          <w:lang w:val="es-ES_tradnl" w:eastAsia="en-US"/>
        </w:rPr>
      </w:pPr>
    </w:p>
    <w:p w14:paraId="54B877BC" w14:textId="77777777" w:rsidR="008F7388" w:rsidRPr="003D11EB" w:rsidRDefault="008F7388" w:rsidP="008F7388">
      <w:pPr>
        <w:spacing w:after="120"/>
        <w:ind w:left="709" w:right="709"/>
        <w:jc w:val="both"/>
        <w:rPr>
          <w:rFonts w:ascii="Arial" w:eastAsia="Calibri" w:hAnsi="Arial" w:cs="Arial"/>
          <w:color w:val="000000" w:themeColor="text1"/>
          <w:sz w:val="21"/>
          <w:szCs w:val="21"/>
          <w:lang w:val="es-ES_tradnl" w:eastAsia="en-US"/>
        </w:rPr>
      </w:pPr>
      <w:r w:rsidRPr="003D11EB">
        <w:rPr>
          <w:rFonts w:ascii="Arial" w:eastAsia="Calibri" w:hAnsi="Arial" w:cs="Arial"/>
          <w:color w:val="000000" w:themeColor="text1"/>
          <w:sz w:val="21"/>
          <w:szCs w:val="21"/>
          <w:lang w:val="es-ES_tradnl" w:eastAsia="en-US"/>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43D6513F" w14:textId="77777777" w:rsidR="008F7388" w:rsidRPr="003D11EB" w:rsidRDefault="008F7388" w:rsidP="008F7388">
      <w:pPr>
        <w:spacing w:after="120"/>
        <w:ind w:left="709" w:right="709"/>
        <w:jc w:val="both"/>
        <w:rPr>
          <w:rFonts w:ascii="Arial" w:eastAsia="Calibri" w:hAnsi="Arial" w:cs="Arial"/>
          <w:color w:val="000000" w:themeColor="text1"/>
          <w:sz w:val="21"/>
          <w:szCs w:val="21"/>
          <w:lang w:val="es-ES_tradnl" w:eastAsia="en-US"/>
        </w:rPr>
      </w:pPr>
      <w:r w:rsidRPr="003D11EB">
        <w:rPr>
          <w:rFonts w:ascii="Arial" w:eastAsia="Calibri" w:hAnsi="Arial" w:cs="Arial"/>
          <w:color w:val="000000" w:themeColor="text1"/>
          <w:sz w:val="21"/>
          <w:szCs w:val="21"/>
          <w:lang w:val="es-ES_tradnl" w:eastAsia="en-US"/>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0FF7B196" w14:textId="77777777" w:rsidR="008F7388" w:rsidRPr="003D11EB" w:rsidRDefault="008F7388" w:rsidP="008F7388">
      <w:pPr>
        <w:ind w:left="709" w:right="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1"/>
          <w:szCs w:val="21"/>
          <w:lang w:val="es-ES_tradnl" w:eastAsia="en-US"/>
        </w:rPr>
        <w:t xml:space="preserve">La función que cumplen los principios públicos también se representa en la necesidad práctica —normalmente no por orden de una norma— de expedir un reglamento interno de contratación que concrete la mayor parte de aportes de </w:t>
      </w:r>
      <w:r w:rsidRPr="003D11EB">
        <w:rPr>
          <w:rFonts w:ascii="Arial" w:eastAsia="Calibri" w:hAnsi="Arial" w:cs="Arial"/>
          <w:color w:val="000000" w:themeColor="text1"/>
          <w:sz w:val="21"/>
          <w:szCs w:val="21"/>
          <w:lang w:val="es-ES_tradnl" w:eastAsia="en-US"/>
        </w:rPr>
        <w:lastRenderedPageBreak/>
        <w:t>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3D11EB">
        <w:rPr>
          <w:rFonts w:ascii="Arial" w:eastAsia="Calibri" w:hAnsi="Arial" w:cs="Arial"/>
          <w:color w:val="000000" w:themeColor="text1"/>
          <w:sz w:val="22"/>
          <w:szCs w:val="22"/>
          <w:vertAlign w:val="superscript"/>
          <w:lang w:val="es-ES_tradnl" w:eastAsia="en-US"/>
        </w:rPr>
        <w:footnoteReference w:id="4"/>
      </w:r>
      <w:r w:rsidRPr="003D11EB">
        <w:rPr>
          <w:rFonts w:ascii="Arial" w:eastAsia="Calibri" w:hAnsi="Arial" w:cs="Arial"/>
          <w:color w:val="000000" w:themeColor="text1"/>
          <w:sz w:val="22"/>
          <w:szCs w:val="22"/>
          <w:lang w:val="es-ES_tradnl" w:eastAsia="en-US"/>
        </w:rPr>
        <w:t>.</w:t>
      </w:r>
    </w:p>
    <w:p w14:paraId="2C6476D9" w14:textId="77777777" w:rsidR="008F7388" w:rsidRPr="003D11EB" w:rsidRDefault="008F7388" w:rsidP="008F7388">
      <w:pPr>
        <w:spacing w:line="276" w:lineRule="auto"/>
        <w:jc w:val="both"/>
        <w:rPr>
          <w:rFonts w:ascii="Arial" w:eastAsia="Calibri" w:hAnsi="Arial" w:cs="Arial"/>
          <w:color w:val="000000" w:themeColor="text1"/>
          <w:sz w:val="22"/>
          <w:szCs w:val="22"/>
          <w:lang w:val="es-ES_tradnl" w:eastAsia="en-US"/>
        </w:rPr>
      </w:pPr>
    </w:p>
    <w:p w14:paraId="253034E1" w14:textId="77777777" w:rsidR="008F7388" w:rsidRPr="003D11EB" w:rsidRDefault="008F7388" w:rsidP="008F7388">
      <w:pPr>
        <w:spacing w:line="276" w:lineRule="auto"/>
        <w:ind w:firstLine="708"/>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Teniendo en cuenta que las entidades de régimen especial administran recursos públicos, sus manuales de contratación deben sujetarse a unas reglas mínimas que garanticen el cumplimiento de los principios de la función pública, el control fiscal y los principios rectores de la contratación estatal.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4569719B" w14:textId="77777777" w:rsidR="008F7388" w:rsidRPr="003D11EB" w:rsidRDefault="008F7388" w:rsidP="008F7388">
      <w:pPr>
        <w:spacing w:before="120" w:after="120" w:line="276" w:lineRule="auto"/>
        <w:ind w:firstLine="708"/>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7938274A" w14:textId="6E8675FE" w:rsidR="008F7388" w:rsidRPr="003D11EB" w:rsidRDefault="008F7388" w:rsidP="008F7388">
      <w:pPr>
        <w:spacing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por ejemplo, con las empresas sociales del Estado. De modo que si una Entidad sujeta al régimen especial requiere sancionar al contratista o terminar el contrato, por regla general, debe acudir al juez competente</w:t>
      </w:r>
      <w:r w:rsidRPr="003D11EB">
        <w:rPr>
          <w:rFonts w:ascii="Arial" w:eastAsia="Calibri" w:hAnsi="Arial" w:cs="Arial"/>
          <w:color w:val="000000" w:themeColor="text1"/>
          <w:sz w:val="22"/>
          <w:szCs w:val="22"/>
          <w:vertAlign w:val="superscript"/>
          <w:lang w:val="es-ES_tradnl" w:eastAsia="en-US"/>
        </w:rPr>
        <w:footnoteReference w:id="5"/>
      </w:r>
      <w:r w:rsidRPr="003D11EB">
        <w:rPr>
          <w:rFonts w:ascii="Arial" w:eastAsia="Calibri" w:hAnsi="Arial" w:cs="Arial"/>
          <w:color w:val="000000" w:themeColor="text1"/>
          <w:sz w:val="22"/>
          <w:szCs w:val="22"/>
          <w:lang w:val="es-ES_tradnl" w:eastAsia="en-US"/>
        </w:rPr>
        <w:t>. Lo anterior, se reitera, salvo que una norma especial extienda la aplicación de alguna o algunas de las facultades o disposiciones establecidas en el Estatuto General de Contratación de la Administración Pública –en adelante Estatuto General de Contratación o EGCAP– a entidades con un régimen especial de contratación.</w:t>
      </w:r>
      <w:r w:rsidR="001300FA" w:rsidRPr="003D11EB">
        <w:rPr>
          <w:rFonts w:ascii="Arial" w:eastAsia="Calibri" w:hAnsi="Arial" w:cs="Arial"/>
          <w:color w:val="000000" w:themeColor="text1"/>
          <w:sz w:val="22"/>
          <w:szCs w:val="22"/>
          <w:lang w:val="es-ES_tradnl" w:eastAsia="en-US"/>
        </w:rPr>
        <w:t xml:space="preserve"> En otras palabras, la aplicación de reglas del Estatuto General de </w:t>
      </w:r>
      <w:r w:rsidR="001300FA" w:rsidRPr="003D11EB">
        <w:rPr>
          <w:rFonts w:ascii="Arial" w:eastAsia="Calibri" w:hAnsi="Arial" w:cs="Arial"/>
          <w:color w:val="000000" w:themeColor="text1"/>
          <w:sz w:val="22"/>
          <w:szCs w:val="22"/>
          <w:lang w:val="es-ES_tradnl" w:eastAsia="en-US"/>
        </w:rPr>
        <w:lastRenderedPageBreak/>
        <w:t>Contratación Pública y sus modificaciones depender</w:t>
      </w:r>
      <w:r w:rsidR="00E12838" w:rsidRPr="003D11EB">
        <w:rPr>
          <w:rFonts w:ascii="Arial" w:eastAsia="Calibri" w:hAnsi="Arial" w:cs="Arial"/>
          <w:color w:val="000000" w:themeColor="text1"/>
          <w:sz w:val="22"/>
          <w:szCs w:val="22"/>
          <w:lang w:val="es-ES_tradnl" w:eastAsia="en-US"/>
        </w:rPr>
        <w:t>á de si la norma especial remitió para su aplicación.</w:t>
      </w:r>
    </w:p>
    <w:p w14:paraId="7A4835DE" w14:textId="77777777" w:rsidR="008F7388" w:rsidRPr="003D11EB" w:rsidRDefault="008F7388" w:rsidP="008F7388">
      <w:pPr>
        <w:spacing w:before="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Por ejemplo, las empresas sociales del Estado –ESE– son entidades que se exceptúan de la aplicación del Estatuto General de Contratación de la Administración Pública, pues así lo prevé el artículo 195.6 de la Ley 100 de 1993. Esta norma dispone que una ESE, «En materia contractual se regirá por el derecho privado, pero podrá discrecionalmente utilizar las cláusulas exorbitantes previstas en el estatuto general de contratación de la administración pública». En otras palabras, el legislador decidió otorgar a las empresas sociales del Estado –«</w:t>
      </w:r>
      <w:r w:rsidRPr="003D11EB">
        <w:rPr>
          <w:rFonts w:ascii="Arial" w:eastAsiaTheme="minorHAnsi" w:hAnsi="Arial" w:cs="Arial"/>
          <w:color w:val="000000" w:themeColor="text1"/>
          <w:sz w:val="22"/>
          <w:szCs w:val="22"/>
          <w:lang w:val="es-ES_tradnl" w:eastAsia="en-US"/>
        </w:rPr>
        <w:t xml:space="preserve">[…] </w:t>
      </w:r>
      <w:r w:rsidRPr="003D11EB">
        <w:rPr>
          <w:rFonts w:ascii="Arial" w:eastAsia="Calibri" w:hAnsi="Arial" w:cs="Arial"/>
          <w:color w:val="000000" w:themeColor="text1"/>
          <w:sz w:val="22"/>
          <w:szCs w:val="22"/>
          <w:lang w:val="es-ES_tradnl" w:eastAsia="en-US"/>
        </w:rPr>
        <w:t>que constituyen una categoría especial de entidad pública descentralizada, con personería jurídica, patrimonio propio y autonomía administrativa», al tenor del artículo 194 de la misma Ley– un régimen contractual de derecho privado, pero al mismo tiempo les dio la potestad de utilizar las cláusulas exorbitantes reguladas en el Estatuto General de Contratación de la Administración Pública. Algo similar sucede con el régimen contractual de las Empresas de Servicios Públicos Domiciliarios, las cuales, de acuerdo con los artículos 31 y 32 de la Ley 142 de 1994 se rigen por el derecho privado; sin embargo, el inciso segundo del artículo 31 establece la posible aplicación de cláusulas exorbitantes en sus contratos bajo ciertos presupuestos</w:t>
      </w:r>
      <w:r w:rsidRPr="003D11EB">
        <w:rPr>
          <w:rFonts w:ascii="Arial" w:eastAsia="Calibri" w:hAnsi="Arial" w:cs="Arial"/>
          <w:color w:val="000000" w:themeColor="text1"/>
          <w:sz w:val="22"/>
          <w:szCs w:val="22"/>
          <w:vertAlign w:val="superscript"/>
          <w:lang w:val="es-ES_tradnl" w:eastAsia="en-US"/>
        </w:rPr>
        <w:footnoteReference w:id="6"/>
      </w:r>
      <w:r w:rsidRPr="003D11EB">
        <w:rPr>
          <w:rFonts w:ascii="Arial" w:eastAsia="Calibri" w:hAnsi="Arial" w:cs="Arial"/>
          <w:color w:val="000000" w:themeColor="text1"/>
          <w:sz w:val="22"/>
          <w:szCs w:val="22"/>
          <w:lang w:val="es-ES_tradnl" w:eastAsia="en-US"/>
        </w:rPr>
        <w:t>.</w:t>
      </w:r>
    </w:p>
    <w:p w14:paraId="36EF420C" w14:textId="474B1FB2" w:rsidR="008F7388" w:rsidRPr="003D11EB" w:rsidRDefault="008F7388" w:rsidP="008F7388">
      <w:pPr>
        <w:spacing w:before="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 xml:space="preserve">En todo caso, como se explicó previamente, el hecho de que determinadas entidades estatales por disposición legal se sometan a un régimen distinto al del EGCAP, no puede entenderse como una negación de lo que, años más tarde, estableció el artículo 13 de la Ley 1150 de 2007. Este enunciado normativo significó un «retorno del derecho administrativo» para las entidades </w:t>
      </w:r>
      <w:r w:rsidRPr="003D11EB">
        <w:rPr>
          <w:rFonts w:ascii="Arial" w:eastAsia="Calibri" w:hAnsi="Arial" w:cs="Arial"/>
          <w:i/>
          <w:iCs/>
          <w:color w:val="000000" w:themeColor="text1"/>
          <w:sz w:val="22"/>
          <w:szCs w:val="22"/>
          <w:lang w:val="es-ES_tradnl" w:eastAsia="en-US"/>
        </w:rPr>
        <w:t>excluidas</w:t>
      </w:r>
      <w:r w:rsidRPr="003D11EB">
        <w:rPr>
          <w:rFonts w:ascii="Arial" w:eastAsia="Calibri" w:hAnsi="Arial" w:cs="Arial"/>
          <w:color w:val="000000" w:themeColor="text1"/>
          <w:sz w:val="22"/>
          <w:szCs w:val="22"/>
          <w:lang w:val="es-ES_tradnl" w:eastAsia="en-US"/>
        </w:rPr>
        <w:t>, al reiterar que deben cumplir los principios constitucionales de la función administrativa y de la gestión fiscal, así como el régimen de inhabilidades e incompatibilidades previsto legalmente para la contratación estatal</w:t>
      </w:r>
      <w:r w:rsidRPr="003D11EB">
        <w:rPr>
          <w:rFonts w:ascii="Arial" w:eastAsia="Calibri" w:hAnsi="Arial" w:cs="Arial"/>
          <w:color w:val="000000" w:themeColor="text1"/>
          <w:sz w:val="22"/>
          <w:szCs w:val="22"/>
          <w:vertAlign w:val="superscript"/>
          <w:lang w:val="es-ES_tradnl" w:eastAsia="en-US"/>
        </w:rPr>
        <w:footnoteReference w:id="7"/>
      </w:r>
      <w:r w:rsidRPr="003D11EB">
        <w:rPr>
          <w:rFonts w:ascii="Arial" w:eastAsia="Calibri" w:hAnsi="Arial" w:cs="Arial"/>
          <w:color w:val="000000" w:themeColor="text1"/>
          <w:sz w:val="22"/>
          <w:szCs w:val="22"/>
          <w:lang w:val="es-ES_tradnl" w:eastAsia="en-US"/>
        </w:rPr>
        <w:t xml:space="preserve">. A </w:t>
      </w:r>
      <w:r w:rsidRPr="003D11EB">
        <w:rPr>
          <w:rFonts w:ascii="Arial" w:eastAsia="Calibri" w:hAnsi="Arial" w:cs="Arial"/>
          <w:color w:val="000000" w:themeColor="text1"/>
          <w:sz w:val="22"/>
          <w:szCs w:val="22"/>
          <w:lang w:val="es-ES_tradnl" w:eastAsia="en-US"/>
        </w:rPr>
        <w:lastRenderedPageBreak/>
        <w:t>continuación</w:t>
      </w:r>
      <w:r w:rsidR="00E12838" w:rsidRPr="003D11EB">
        <w:rPr>
          <w:rFonts w:ascii="Arial" w:eastAsia="Calibri" w:hAnsi="Arial" w:cs="Arial"/>
          <w:color w:val="000000" w:themeColor="text1"/>
          <w:sz w:val="22"/>
          <w:szCs w:val="22"/>
          <w:lang w:val="es-ES_tradnl" w:eastAsia="en-US"/>
        </w:rPr>
        <w:t>,</w:t>
      </w:r>
      <w:r w:rsidRPr="003D11EB">
        <w:rPr>
          <w:rFonts w:ascii="Arial" w:eastAsia="Calibri" w:hAnsi="Arial" w:cs="Arial"/>
          <w:color w:val="000000" w:themeColor="text1"/>
          <w:sz w:val="22"/>
          <w:szCs w:val="22"/>
          <w:lang w:val="es-ES_tradnl" w:eastAsia="en-US"/>
        </w:rPr>
        <w:t xml:space="preserve"> se analiza el alcance y los límites de los manuales o reglamentos internos de contratación que pueden expedir estas entidades públicas.</w:t>
      </w:r>
    </w:p>
    <w:p w14:paraId="13C584DA" w14:textId="77777777" w:rsidR="008F7388" w:rsidRPr="003D11EB" w:rsidRDefault="008F7388" w:rsidP="008F7388">
      <w:pPr>
        <w:spacing w:line="276" w:lineRule="auto"/>
        <w:ind w:firstLine="709"/>
        <w:jc w:val="both"/>
        <w:rPr>
          <w:rFonts w:ascii="Arial" w:eastAsia="Calibri" w:hAnsi="Arial" w:cs="Arial"/>
          <w:color w:val="000000" w:themeColor="text1"/>
          <w:sz w:val="22"/>
          <w:szCs w:val="22"/>
          <w:lang w:val="es-ES_tradnl" w:eastAsia="en-US"/>
        </w:rPr>
      </w:pPr>
    </w:p>
    <w:p w14:paraId="1B866568" w14:textId="64ADF4FE" w:rsidR="008F7388" w:rsidRPr="003D11EB" w:rsidRDefault="008F7388" w:rsidP="008F7388">
      <w:pPr>
        <w:spacing w:line="276" w:lineRule="auto"/>
        <w:jc w:val="both"/>
        <w:rPr>
          <w:rFonts w:ascii="Arial" w:eastAsia="Calibri" w:hAnsi="Arial" w:cs="Arial"/>
          <w:b/>
          <w:color w:val="000000" w:themeColor="text1"/>
          <w:sz w:val="22"/>
          <w:szCs w:val="22"/>
          <w:lang w:val="es-ES_tradnl" w:eastAsia="en-US"/>
        </w:rPr>
      </w:pPr>
      <w:r w:rsidRPr="003D11EB">
        <w:rPr>
          <w:rFonts w:ascii="Arial" w:eastAsia="Calibri" w:hAnsi="Arial" w:cs="Arial"/>
          <w:b/>
          <w:color w:val="000000" w:themeColor="text1"/>
          <w:sz w:val="22"/>
          <w:szCs w:val="22"/>
          <w:lang w:val="es-ES_tradnl" w:eastAsia="en-US"/>
        </w:rPr>
        <w:t>2.2. Manual o reglamento interno de contratación de las entidades de régimen especial: límites derivados de la reserva de ley y forma de llenar</w:t>
      </w:r>
      <w:r w:rsidR="00054881" w:rsidRPr="003D11EB">
        <w:rPr>
          <w:rFonts w:ascii="Arial" w:eastAsia="Calibri" w:hAnsi="Arial" w:cs="Arial"/>
          <w:b/>
          <w:color w:val="000000" w:themeColor="text1"/>
          <w:sz w:val="22"/>
          <w:szCs w:val="22"/>
          <w:lang w:val="es-ES_tradnl" w:eastAsia="en-US"/>
        </w:rPr>
        <w:t xml:space="preserve"> </w:t>
      </w:r>
      <w:r w:rsidRPr="003D11EB">
        <w:rPr>
          <w:rFonts w:ascii="Arial" w:eastAsia="Calibri" w:hAnsi="Arial" w:cs="Arial"/>
          <w:b/>
          <w:color w:val="000000" w:themeColor="text1"/>
          <w:sz w:val="22"/>
          <w:szCs w:val="22"/>
          <w:lang w:val="es-ES_tradnl" w:eastAsia="en-US"/>
        </w:rPr>
        <w:t xml:space="preserve">sus vacíos </w:t>
      </w:r>
    </w:p>
    <w:p w14:paraId="0DED01D4" w14:textId="77777777" w:rsidR="008F7388" w:rsidRPr="003D11EB" w:rsidRDefault="008F7388" w:rsidP="008F7388">
      <w:pPr>
        <w:spacing w:line="276" w:lineRule="auto"/>
        <w:jc w:val="both"/>
        <w:rPr>
          <w:rFonts w:ascii="Arial" w:eastAsia="Calibri" w:hAnsi="Arial" w:cs="Arial"/>
          <w:color w:val="000000" w:themeColor="text1"/>
          <w:sz w:val="22"/>
          <w:szCs w:val="22"/>
          <w:lang w:val="es-ES_tradnl" w:eastAsia="en-US"/>
        </w:rPr>
      </w:pPr>
    </w:p>
    <w:p w14:paraId="586BDA96" w14:textId="1EE3861E" w:rsidR="008F7388" w:rsidRPr="003D11EB" w:rsidRDefault="008F7388" w:rsidP="008F7388">
      <w:pPr>
        <w:spacing w:line="276" w:lineRule="auto"/>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Según se indicó anteriormente, las entidades estatales que, por disposición legal, cuentan con un régimen especial</w:t>
      </w:r>
      <w:r w:rsidRPr="003D11EB">
        <w:rPr>
          <w:rFonts w:ascii="Arial" w:eastAsia="Calibri" w:hAnsi="Arial" w:cs="Arial"/>
          <w:color w:val="000000" w:themeColor="text1"/>
          <w:sz w:val="22"/>
          <w:szCs w:val="22"/>
          <w:vertAlign w:val="superscript"/>
          <w:lang w:val="es-ES_tradnl" w:eastAsia="en-US"/>
        </w:rPr>
        <w:footnoteReference w:id="8"/>
      </w:r>
      <w:r w:rsidRPr="003D11EB">
        <w:rPr>
          <w:rFonts w:ascii="Arial" w:eastAsia="Calibri" w:hAnsi="Arial" w:cs="Arial"/>
          <w:color w:val="000000" w:themeColor="text1"/>
          <w:sz w:val="22"/>
          <w:szCs w:val="22"/>
          <w:lang w:val="es-ES_tradnl" w:eastAsia="en-US"/>
        </w:rPr>
        <w:t>, exceptuado del Estatuto General de Contratación de la Administración Pública –Leyes 80 de 1993, 1150 de 2007 y normas complementarias</w:t>
      </w:r>
      <w:r w:rsidRPr="003D11EB">
        <w:rPr>
          <w:rFonts w:ascii="Arial" w:eastAsia="Calibri" w:hAnsi="Arial" w:cs="Arial"/>
          <w:color w:val="000000" w:themeColor="text1"/>
          <w:sz w:val="22"/>
          <w:szCs w:val="22"/>
          <w:vertAlign w:val="superscript"/>
          <w:lang w:val="es-ES_tradnl" w:eastAsia="en-US"/>
        </w:rPr>
        <w:footnoteReference w:id="9"/>
      </w:r>
      <w:r w:rsidRPr="003D11EB">
        <w:rPr>
          <w:rFonts w:ascii="Arial" w:eastAsia="Calibri" w:hAnsi="Arial" w:cs="Arial"/>
          <w:color w:val="000000" w:themeColor="text1"/>
          <w:sz w:val="22"/>
          <w:szCs w:val="22"/>
          <w:lang w:val="es-ES_tradnl" w:eastAsia="en-US"/>
        </w:rPr>
        <w:t xml:space="preserve">– pueden expedir un reglamento interno de contratación –comúnmente denominado </w:t>
      </w:r>
      <w:r w:rsidRPr="003D11EB">
        <w:rPr>
          <w:rFonts w:ascii="Arial" w:eastAsia="Calibri" w:hAnsi="Arial" w:cs="Arial"/>
          <w:i/>
          <w:color w:val="000000" w:themeColor="text1"/>
          <w:sz w:val="22"/>
          <w:szCs w:val="22"/>
          <w:lang w:val="es-ES_tradnl" w:eastAsia="en-US"/>
        </w:rPr>
        <w:t>manual de contratación</w:t>
      </w:r>
      <w:r w:rsidRPr="003D11EB">
        <w:rPr>
          <w:rFonts w:ascii="Arial" w:eastAsia="Calibri" w:hAnsi="Arial" w:cs="Arial"/>
          <w:color w:val="000000" w:themeColor="text1"/>
          <w:sz w:val="22"/>
          <w:szCs w:val="22"/>
          <w:lang w:val="es-ES_tradnl" w:eastAsia="en-US"/>
        </w:rPr>
        <w:t xml:space="preserve">–, que regule aspectos asociados a la actividad contractual, como los procedimientos de selección, los requisitos de participación, las condiciones de ejecución del contrato, </w:t>
      </w:r>
      <w:r w:rsidR="00E12838" w:rsidRPr="003D11EB">
        <w:rPr>
          <w:rFonts w:ascii="Arial" w:eastAsia="Calibri" w:hAnsi="Arial" w:cs="Arial"/>
          <w:color w:val="000000" w:themeColor="text1"/>
          <w:sz w:val="22"/>
          <w:szCs w:val="22"/>
          <w:lang w:val="es-ES_tradnl" w:eastAsia="en-US"/>
        </w:rPr>
        <w:t>entre otros</w:t>
      </w:r>
      <w:r w:rsidRPr="003D11EB">
        <w:rPr>
          <w:rFonts w:ascii="Arial" w:eastAsia="Calibri" w:hAnsi="Arial" w:cs="Arial"/>
          <w:color w:val="000000" w:themeColor="text1"/>
          <w:sz w:val="22"/>
          <w:szCs w:val="22"/>
          <w:lang w:val="es-ES_tradnl" w:eastAsia="en-US"/>
        </w:rPr>
        <w:t>.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14:paraId="3CAD8BA7" w14:textId="77777777" w:rsidR="008F7388" w:rsidRPr="003D11EB" w:rsidRDefault="008F7388" w:rsidP="008F7388">
      <w:pPr>
        <w:spacing w:before="120"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Sin embargo, la libertad de configuración reglamentaria de las entidades estatales, expresada en el manual de contratación, no es absoluta. A pesar de que están facultadas para regular ciertos temas relacionados con la actividad contractual, deben hacerlo respetando la reserva legal de la que gozan ciertas materias. En tal sentido, asuntos como: i) los requisitos de existencia y validez del contrato, ii) causales de inhabilidad e incompatibilidad, iii) el principio de anualidad del gasto, y iv)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3D11EB">
        <w:rPr>
          <w:rFonts w:ascii="Arial" w:eastAsia="Calibri" w:hAnsi="Arial" w:cs="Arial"/>
          <w:color w:val="000000" w:themeColor="text1"/>
          <w:sz w:val="22"/>
          <w:szCs w:val="22"/>
          <w:vertAlign w:val="superscript"/>
          <w:lang w:val="es-ES_tradnl" w:eastAsia="en-US"/>
        </w:rPr>
        <w:footnoteReference w:id="10"/>
      </w:r>
      <w:r w:rsidRPr="003D11EB">
        <w:rPr>
          <w:rFonts w:ascii="Arial" w:eastAsia="Calibri" w:hAnsi="Arial" w:cs="Arial"/>
          <w:color w:val="000000" w:themeColor="text1"/>
          <w:sz w:val="22"/>
          <w:szCs w:val="22"/>
          <w:lang w:val="es-ES_tradnl" w:eastAsia="en-US"/>
        </w:rPr>
        <w:t xml:space="preserve">. </w:t>
      </w:r>
    </w:p>
    <w:p w14:paraId="68D3535E" w14:textId="109694F5" w:rsidR="008F7388" w:rsidRPr="003D11EB" w:rsidRDefault="008F7388" w:rsidP="008F7388">
      <w:pPr>
        <w:spacing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lastRenderedPageBreak/>
        <w:t>Sin perjuicio de lo anterior, existen múltiples contenidos que pueden ser objeto de regulación en el manual de contratación, por hacer parte del ámbito de configuración en desarrollo de su autonomía contractual que no riñe con la ley. Este sería el caso de, por ejemplo, la definición de requisitos de ejecución del contrato, la definición de si cierta actuación de la actividad contractual la debe realizar cierta dependencia de la entidad, establecer límites en cuanto a posibilidad de realizar adiciones</w:t>
      </w:r>
      <w:r w:rsidR="00A156D0" w:rsidRPr="003D11EB">
        <w:rPr>
          <w:rFonts w:ascii="Arial" w:eastAsia="Calibri" w:hAnsi="Arial" w:cs="Arial"/>
          <w:color w:val="000000" w:themeColor="text1"/>
          <w:sz w:val="22"/>
          <w:szCs w:val="22"/>
          <w:lang w:val="es-ES_tradnl" w:eastAsia="en-US"/>
        </w:rPr>
        <w:t xml:space="preserve"> en los contratos</w:t>
      </w:r>
      <w:r w:rsidRPr="003D11EB">
        <w:rPr>
          <w:rFonts w:ascii="Arial" w:eastAsia="Calibri" w:hAnsi="Arial" w:cs="Arial"/>
          <w:color w:val="000000" w:themeColor="text1"/>
          <w:sz w:val="22"/>
          <w:szCs w:val="22"/>
          <w:lang w:val="es-ES_tradnl" w:eastAsia="en-US"/>
        </w:rPr>
        <w:t>, detallar los trámites internos que se surten al interior de la entidad y demás aspectos que hagan parte de su ámbito de configuración. Estos aspectos, por ser desarrollo de su autonomía en la configuración de su actividad contractual, no desconocen los requisitos o parámetros establecidos en la Constitución o la ley.</w:t>
      </w:r>
    </w:p>
    <w:p w14:paraId="0E3224DA" w14:textId="77777777" w:rsidR="008F7388" w:rsidRPr="003D11EB" w:rsidRDefault="008F7388" w:rsidP="008F7388">
      <w:pPr>
        <w:spacing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 xml:space="preserve">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3D11EB">
        <w:rPr>
          <w:rFonts w:ascii="Arial" w:eastAsia="Calibri" w:hAnsi="Arial" w:cs="Arial"/>
          <w:i/>
          <w:iCs/>
          <w:color w:val="000000" w:themeColor="text1"/>
          <w:sz w:val="22"/>
          <w:szCs w:val="22"/>
          <w:lang w:val="es-ES_tradnl" w:eastAsia="en-US"/>
        </w:rPr>
        <w:t>inderogabilidad singular del reglamento</w:t>
      </w:r>
      <w:r w:rsidRPr="003D11EB">
        <w:rPr>
          <w:rFonts w:ascii="Arial" w:eastAsia="Calibri" w:hAnsi="Arial" w:cs="Arial"/>
          <w:i/>
          <w:iCs/>
          <w:color w:val="000000" w:themeColor="text1"/>
          <w:sz w:val="22"/>
          <w:szCs w:val="22"/>
          <w:vertAlign w:val="superscript"/>
          <w:lang w:val="es-ES_tradnl" w:eastAsia="en-US"/>
        </w:rPr>
        <w:footnoteReference w:id="11"/>
      </w:r>
      <w:r w:rsidRPr="003D11EB">
        <w:rPr>
          <w:rFonts w:ascii="Arial" w:eastAsia="Calibri" w:hAnsi="Arial" w:cs="Arial"/>
          <w:color w:val="000000" w:themeColor="text1"/>
          <w:sz w:val="22"/>
          <w:szCs w:val="22"/>
          <w:lang w:val="es-ES_tradnl" w:eastAsia="en-US"/>
        </w:rPr>
        <w:t xml:space="preserve">. En tal </w:t>
      </w:r>
      <w:r w:rsidRPr="003D11EB">
        <w:rPr>
          <w:rFonts w:ascii="Arial" w:eastAsia="Calibri" w:hAnsi="Arial" w:cs="Arial"/>
          <w:color w:val="000000" w:themeColor="text1"/>
          <w:sz w:val="22"/>
          <w:szCs w:val="22"/>
          <w:lang w:val="es-ES_tradnl" w:eastAsia="en-US"/>
        </w:rPr>
        <w:lastRenderedPageBreak/>
        <w:t>sentido, su contenido vincula a la propia entidad que lo expidió y no puede desconocerlo a su capricho en casos específicos. Ello sin perjuicio de la posibilidad de expedir un nuevo manual o de modificar el existente.</w:t>
      </w:r>
    </w:p>
    <w:p w14:paraId="34BC81A8" w14:textId="77777777" w:rsidR="008F7388" w:rsidRPr="003D11EB" w:rsidRDefault="008F7388" w:rsidP="008F7388">
      <w:pPr>
        <w:spacing w:before="120"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Ahora bien, ¿a qué normas deben acudir las entidades estatales y los interesados, cuando se presenten lagunas jurídicas –es decir, vacíos o ausencia de regulación de ciertos temas–</w:t>
      </w:r>
      <w:r w:rsidRPr="003D11EB">
        <w:rPr>
          <w:rFonts w:ascii="Arial" w:eastAsia="Calibri" w:hAnsi="Arial" w:cs="Arial"/>
          <w:color w:val="000000" w:themeColor="text1"/>
          <w:sz w:val="22"/>
          <w:szCs w:val="22"/>
          <w:vertAlign w:val="superscript"/>
          <w:lang w:val="es-ES_tradnl" w:eastAsia="en-US"/>
        </w:rPr>
        <w:footnoteReference w:id="12"/>
      </w:r>
      <w:r w:rsidRPr="003D11EB">
        <w:rPr>
          <w:rFonts w:ascii="Arial" w:eastAsia="Calibri" w:hAnsi="Arial" w:cs="Arial"/>
          <w:color w:val="000000" w:themeColor="text1"/>
          <w:sz w:val="22"/>
          <w:szCs w:val="22"/>
          <w:lang w:val="es-ES_tradnl" w:eastAsia="en-US"/>
        </w:rPr>
        <w:t>, en los manuales de contratación de las entidades de régimen especial? Como lo establece la «Guía para las Entidades Estatales con régimen especial de Contratación»</w:t>
      </w:r>
      <w:r w:rsidRPr="003D11EB">
        <w:rPr>
          <w:rFonts w:ascii="Arial" w:eastAsia="Calibri" w:hAnsi="Arial" w:cs="Arial"/>
          <w:color w:val="000000" w:themeColor="text1"/>
          <w:sz w:val="22"/>
          <w:szCs w:val="22"/>
          <w:vertAlign w:val="superscript"/>
          <w:lang w:val="es-ES_tradnl" w:eastAsia="en-US"/>
        </w:rPr>
        <w:footnoteReference w:id="13"/>
      </w:r>
      <w:r w:rsidRPr="003D11EB">
        <w:rPr>
          <w:rFonts w:ascii="Arial" w:eastAsia="Calibri" w:hAnsi="Arial" w:cs="Arial"/>
          <w:color w:val="000000" w:themeColor="text1"/>
          <w:sz w:val="22"/>
          <w:szCs w:val="22"/>
          <w:lang w:val="es-ES_tradnl" w:eastAsia="en-US"/>
        </w:rPr>
        <w:t xml:space="preserve">, expedida por esta Agencia, en principio, la actividad contractual de las entidades excluidas de la aplicación del Estatuto General de Contratación de la Administración Pública «se somete a las reglas del derecho privado». En consecuencia, si bien deben cumplir algunas obligaciones transversales propias del sistema de compra pública, señaladas en dicha guía y que se mencionaron en el numeral anterior, el régimen jurídico de base es el derecho privado, o sea el integrado por las normas civiles y comerciales. </w:t>
      </w:r>
    </w:p>
    <w:p w14:paraId="3EC6E84B" w14:textId="14B395CB" w:rsidR="008F7388" w:rsidRPr="003D11EB" w:rsidRDefault="008F7388" w:rsidP="008F7388">
      <w:pPr>
        <w:spacing w:before="120"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Sin embargo, para determinar el método hermenéutico que ha de seguirse al momento de llenar</w:t>
      </w:r>
      <w:r w:rsidR="00A156D0" w:rsidRPr="003D11EB">
        <w:rPr>
          <w:rFonts w:ascii="Arial" w:eastAsia="Calibri" w:hAnsi="Arial" w:cs="Arial"/>
          <w:color w:val="000000" w:themeColor="text1"/>
          <w:sz w:val="22"/>
          <w:szCs w:val="22"/>
          <w:lang w:val="es-ES_tradnl" w:eastAsia="en-US"/>
        </w:rPr>
        <w:t xml:space="preserve"> </w:t>
      </w:r>
      <w:r w:rsidRPr="003D11EB">
        <w:rPr>
          <w:rFonts w:ascii="Arial" w:eastAsia="Calibri" w:hAnsi="Arial" w:cs="Arial"/>
          <w:color w:val="000000" w:themeColor="text1"/>
          <w:sz w:val="22"/>
          <w:szCs w:val="22"/>
          <w:lang w:val="es-ES_tradnl" w:eastAsia="en-US"/>
        </w:rPr>
        <w:t xml:space="preserve">el vacío de regulación presente en los manuales de contratación de las entidades con régimen especial, el operador jurídico debe indagar sobre en qué materia existiría una laguna. Ello por cuanto existen </w:t>
      </w:r>
      <w:r w:rsidRPr="003D11EB">
        <w:rPr>
          <w:rFonts w:ascii="Arial" w:eastAsia="Calibri" w:hAnsi="Arial" w:cs="Arial"/>
          <w:i/>
          <w:color w:val="000000" w:themeColor="text1"/>
          <w:sz w:val="22"/>
          <w:szCs w:val="22"/>
          <w:lang w:val="es-ES_tradnl" w:eastAsia="en-US"/>
        </w:rPr>
        <w:t>tres</w:t>
      </w:r>
      <w:r w:rsidRPr="003D11EB">
        <w:rPr>
          <w:rFonts w:ascii="Arial" w:eastAsia="Calibri" w:hAnsi="Arial" w:cs="Arial"/>
          <w:color w:val="000000" w:themeColor="text1"/>
          <w:sz w:val="22"/>
          <w:szCs w:val="22"/>
          <w:lang w:val="es-ES_tradnl" w:eastAsia="en-US"/>
        </w:rPr>
        <w:t xml:space="preserve"> –eventualmente </w:t>
      </w:r>
      <w:r w:rsidRPr="003D11EB">
        <w:rPr>
          <w:rFonts w:ascii="Arial" w:eastAsia="Calibri" w:hAnsi="Arial" w:cs="Arial"/>
          <w:i/>
          <w:iCs/>
          <w:color w:val="000000" w:themeColor="text1"/>
          <w:sz w:val="22"/>
          <w:szCs w:val="22"/>
          <w:lang w:val="es-ES_tradnl" w:eastAsia="en-US"/>
        </w:rPr>
        <w:t>cuatro</w:t>
      </w:r>
      <w:r w:rsidRPr="003D11EB">
        <w:rPr>
          <w:rFonts w:ascii="Arial" w:eastAsia="Calibri" w:hAnsi="Arial" w:cs="Arial"/>
          <w:color w:val="000000" w:themeColor="text1"/>
          <w:sz w:val="22"/>
          <w:szCs w:val="22"/>
          <w:lang w:val="es-ES_tradnl" w:eastAsia="en-US"/>
        </w:rPr>
        <w:t xml:space="preserve">– remisiones legales, que deben interpretarse sistemáticamente: i) la que efectúa hacia el derecho privado la norma legal que constituye el régimen especial de la entidad correspondiente –por ejemplo, el artículo 31 de la Ley 142 de 1994, el artículo 195, numeral 6, de la Ley 100 de 1993, el artículo 93 de la Ley 30 de 1992 o el artículo 19 de la Ley 805 de 2003, por mencionar algunos casos–; ii) la que prevén los artículos 2, 34 y 47 de la Ley 1437 de 2011, los cuales disponen que las normas de la primera parte del Código de Procedimiento Administrativo y de lo Contencioso Administrativo –CPACA– deben aplicarse en ausencia de lo establecido en leyes especiales; y iii) la que establece el artículo 13 de la Ley 1150 de 2007 respecto de la aplicación de los principios de la función administrativa –artículo 209 C.P.– y de la gestión fiscal –artículo 267 C.P.–, así como del régimen de inhabilidades e </w:t>
      </w:r>
      <w:r w:rsidRPr="003D11EB">
        <w:rPr>
          <w:rFonts w:ascii="Arial" w:eastAsia="Calibri" w:hAnsi="Arial" w:cs="Arial"/>
          <w:color w:val="000000" w:themeColor="text1"/>
          <w:sz w:val="22"/>
          <w:szCs w:val="22"/>
          <w:lang w:val="es-ES_tradnl" w:eastAsia="en-US"/>
        </w:rPr>
        <w:lastRenderedPageBreak/>
        <w:t>incompatibilidades previsto para la contratación estatal. iv) Ahora bien, excepcionalmente a algunas entidades de régimen especial de contratación se les faculta para hacer uso de ciertos contenidos propios de los contratos regidos por el EGCAP, caso en el cual, salvo que la norma que atribuya la facultad permita variar dichos contenidos, estos aspectos se regulan por las disposiciones del Estatuto General, sin que la entidad de régimen especial pueda modificar el alcance de dichas facultades.</w:t>
      </w:r>
    </w:p>
    <w:p w14:paraId="6FCA4C0D" w14:textId="77777777" w:rsidR="008F7388" w:rsidRPr="003D11EB" w:rsidRDefault="008F7388" w:rsidP="008F7388">
      <w:pPr>
        <w:spacing w:before="120"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En consecuencia, si el manual de contratación de la entidad de régimen especial no prevé normas –es decir, si tiene vacíos–</w:t>
      </w:r>
      <w:r w:rsidRPr="003D11EB">
        <w:rPr>
          <w:rFonts w:ascii="Arial" w:eastAsia="Calibri" w:hAnsi="Arial" w:cs="Arial"/>
          <w:color w:val="000000" w:themeColor="text1"/>
          <w:sz w:val="22"/>
          <w:szCs w:val="22"/>
          <w:vertAlign w:val="superscript"/>
          <w:lang w:val="es-ES_tradnl" w:eastAsia="en-US"/>
        </w:rPr>
        <w:footnoteReference w:id="14"/>
      </w:r>
      <w:r w:rsidRPr="003D11EB">
        <w:rPr>
          <w:rFonts w:ascii="Arial" w:eastAsia="Calibri" w:hAnsi="Arial" w:cs="Arial"/>
          <w:color w:val="000000" w:themeColor="text1"/>
          <w:sz w:val="22"/>
          <w:szCs w:val="22"/>
          <w:lang w:val="es-ES_tradnl" w:eastAsia="en-US"/>
        </w:rPr>
        <w:t xml:space="preserve"> sobre: i) los elementos de existencia y validez del contrato, ii) los vicios que pueden generar su anulación, iii) la tipología de los negocios jurídicos, iv) los criterios de interpretación de las estipulaciones contractuales, v) el concepto y los requisitos de la oferta, vi) las formas de extinción de las obligaciones, vii)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w:t>
      </w:r>
      <w:r w:rsidRPr="003D11EB">
        <w:rPr>
          <w:rFonts w:ascii="Arial" w:eastAsia="Calibri" w:hAnsi="Arial" w:cs="Arial"/>
          <w:color w:val="000000" w:themeColor="text1"/>
          <w:sz w:val="22"/>
          <w:szCs w:val="22"/>
          <w:vertAlign w:val="superscript"/>
          <w:lang w:val="es-ES_tradnl" w:eastAsia="en-US"/>
        </w:rPr>
        <w:footnoteReference w:id="15"/>
      </w:r>
      <w:r w:rsidRPr="003D11EB">
        <w:rPr>
          <w:rFonts w:ascii="Arial" w:eastAsia="Calibri" w:hAnsi="Arial" w:cs="Arial"/>
          <w:color w:val="000000" w:themeColor="text1"/>
          <w:sz w:val="22"/>
          <w:szCs w:val="22"/>
          <w:lang w:val="es-ES_tradnl" w:eastAsia="en-US"/>
        </w:rPr>
        <w:t>, con la costumbre mercantil</w:t>
      </w:r>
      <w:r w:rsidRPr="003D11EB">
        <w:rPr>
          <w:rFonts w:ascii="Arial" w:eastAsia="Calibri" w:hAnsi="Arial" w:cs="Arial"/>
          <w:color w:val="000000" w:themeColor="text1"/>
          <w:sz w:val="22"/>
          <w:szCs w:val="22"/>
          <w:vertAlign w:val="superscript"/>
          <w:lang w:val="es-ES_tradnl" w:eastAsia="en-US"/>
        </w:rPr>
        <w:footnoteReference w:id="16"/>
      </w:r>
      <w:r w:rsidRPr="003D11EB">
        <w:rPr>
          <w:rFonts w:ascii="Arial" w:eastAsia="Calibri" w:hAnsi="Arial" w:cs="Arial"/>
          <w:color w:val="000000" w:themeColor="text1"/>
          <w:sz w:val="22"/>
          <w:szCs w:val="22"/>
          <w:lang w:val="es-ES_tradnl" w:eastAsia="en-US"/>
        </w:rPr>
        <w:t xml:space="preserve"> y con los principios generales que rigen las relaciones contractuales de los particulares, que ingresan dentro de la categoría de la </w:t>
      </w:r>
      <w:r w:rsidRPr="003D11EB">
        <w:rPr>
          <w:rFonts w:ascii="Arial" w:eastAsia="Calibri" w:hAnsi="Arial" w:cs="Arial"/>
          <w:i/>
          <w:color w:val="000000" w:themeColor="text1"/>
          <w:sz w:val="22"/>
          <w:szCs w:val="22"/>
          <w:lang w:val="es-ES_tradnl" w:eastAsia="en-US"/>
        </w:rPr>
        <w:t>lex mercatoria</w:t>
      </w:r>
      <w:r w:rsidRPr="003D11EB">
        <w:rPr>
          <w:rFonts w:ascii="Arial" w:eastAsia="Calibri" w:hAnsi="Arial" w:cs="Arial"/>
          <w:color w:val="000000" w:themeColor="text1"/>
          <w:sz w:val="22"/>
          <w:szCs w:val="22"/>
          <w:vertAlign w:val="superscript"/>
          <w:lang w:val="es-ES_tradnl" w:eastAsia="en-US"/>
        </w:rPr>
        <w:footnoteReference w:id="17"/>
      </w:r>
      <w:r w:rsidRPr="003D11EB">
        <w:rPr>
          <w:rFonts w:ascii="Arial" w:eastAsia="Calibri" w:hAnsi="Arial" w:cs="Arial"/>
          <w:color w:val="000000" w:themeColor="text1"/>
          <w:sz w:val="22"/>
          <w:szCs w:val="22"/>
          <w:lang w:val="es-ES_tradnl" w:eastAsia="en-US"/>
        </w:rPr>
        <w:t>.</w:t>
      </w:r>
    </w:p>
    <w:p w14:paraId="3ED48183" w14:textId="7E39397C" w:rsidR="008F7388" w:rsidRPr="003D11EB" w:rsidRDefault="008F7388" w:rsidP="008F7388">
      <w:pPr>
        <w:spacing w:before="120"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 xml:space="preserve">Por el contrario, si el vacío del manual de contratación tiene que ver con asuntos asociados a los procedimientos administrativos, </w:t>
      </w:r>
      <w:r w:rsidR="00AF4188">
        <w:rPr>
          <w:rFonts w:ascii="Arial" w:eastAsia="Calibri" w:hAnsi="Arial" w:cs="Arial"/>
          <w:color w:val="000000" w:themeColor="text1"/>
          <w:sz w:val="22"/>
          <w:szCs w:val="22"/>
          <w:lang w:val="es-ES_tradnl" w:eastAsia="en-US"/>
        </w:rPr>
        <w:t xml:space="preserve">tales </w:t>
      </w:r>
      <w:r w:rsidRPr="003D11EB">
        <w:rPr>
          <w:rFonts w:ascii="Arial" w:eastAsia="Calibri" w:hAnsi="Arial" w:cs="Arial"/>
          <w:color w:val="000000" w:themeColor="text1"/>
          <w:sz w:val="22"/>
          <w:szCs w:val="22"/>
          <w:lang w:val="es-ES_tradnl" w:eastAsia="en-US"/>
        </w:rPr>
        <w:t>como: i) la forma de iniciar la actuación administrativa, ii) los derechos y deberes de las entidades y de los particulares en los procedimientos administrativos, iii) el trámite de las peticiones, iv) la notificación, comunicación o publicación de los actos administrativos, v) la presunción de legalidad, firmeza y ejecutoriedad de los actos administrativos, vi) los recursos contra los actos administrativos, e</w:t>
      </w:r>
      <w:r w:rsidR="00E53F79" w:rsidRPr="003D11EB">
        <w:rPr>
          <w:rFonts w:ascii="Arial" w:eastAsia="Calibri" w:hAnsi="Arial" w:cs="Arial"/>
          <w:color w:val="000000" w:themeColor="text1"/>
          <w:sz w:val="22"/>
          <w:szCs w:val="22"/>
          <w:lang w:val="es-ES_tradnl" w:eastAsia="en-US"/>
        </w:rPr>
        <w:t>ntre otros</w:t>
      </w:r>
      <w:r w:rsidRPr="003D11EB">
        <w:rPr>
          <w:rFonts w:ascii="Arial" w:eastAsia="Calibri" w:hAnsi="Arial" w:cs="Arial"/>
          <w:color w:val="000000" w:themeColor="text1"/>
          <w:sz w:val="22"/>
          <w:szCs w:val="22"/>
          <w:lang w:val="es-ES_tradnl" w:eastAsia="en-US"/>
        </w:rPr>
        <w:t xml:space="preserve">. –asuntos que, como se dijo, gozan de reserva de ley–, la entidad de régimen especial debe aplicar el principio de subsidiariedad previsto en los </w:t>
      </w:r>
      <w:r w:rsidRPr="003D11EB">
        <w:rPr>
          <w:rFonts w:ascii="Arial" w:eastAsia="Calibri" w:hAnsi="Arial" w:cs="Arial"/>
          <w:color w:val="000000" w:themeColor="text1"/>
          <w:sz w:val="22"/>
          <w:szCs w:val="22"/>
          <w:lang w:val="es-ES_tradnl" w:eastAsia="en-US"/>
        </w:rPr>
        <w:lastRenderedPageBreak/>
        <w:t>artículos 2, 34 y 47 de la Ley 1437 de 2011, es decir, debe llenar tales lagunas con las normas de la primera parte del CPACA.</w:t>
      </w:r>
    </w:p>
    <w:p w14:paraId="797962EA" w14:textId="5FF0782C" w:rsidR="008F7388" w:rsidRPr="003D11EB" w:rsidRDefault="00BE1C27" w:rsidP="008F7388">
      <w:pPr>
        <w:spacing w:before="120" w:after="120" w:line="276" w:lineRule="auto"/>
        <w:ind w:firstLine="709"/>
        <w:jc w:val="both"/>
        <w:rPr>
          <w:rFonts w:ascii="Arial" w:eastAsia="Calibri" w:hAnsi="Arial" w:cs="Arial"/>
          <w:color w:val="000000" w:themeColor="text1"/>
          <w:sz w:val="22"/>
          <w:szCs w:val="22"/>
          <w:lang w:val="es-ES_tradnl" w:eastAsia="en-US"/>
        </w:rPr>
      </w:pPr>
      <w:r>
        <w:rPr>
          <w:rFonts w:ascii="Arial" w:eastAsia="Calibri" w:hAnsi="Arial" w:cs="Arial"/>
          <w:color w:val="000000" w:themeColor="text1"/>
          <w:sz w:val="22"/>
          <w:szCs w:val="22"/>
          <w:lang w:val="es-ES_tradnl" w:eastAsia="en-US"/>
        </w:rPr>
        <w:t>Ahora bien</w:t>
      </w:r>
      <w:r w:rsidR="008F7388" w:rsidRPr="003D11EB">
        <w:rPr>
          <w:rFonts w:ascii="Arial" w:eastAsia="Calibri" w:hAnsi="Arial" w:cs="Arial"/>
          <w:color w:val="000000" w:themeColor="text1"/>
          <w:sz w:val="22"/>
          <w:szCs w:val="22"/>
          <w:lang w:val="es-ES_tradnl" w:eastAsia="en-US"/>
        </w:rPr>
        <w:t>, si lo que falta en el manual –precisamente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Por último, si excepcionalmente a la entidad de régimen especial se la habilita o faculta para hacer uso de disposiciones o prerrogativas establecidas en el EGCAP, los vacíos respecto a su ejercicio se llenan con las disposiciones del Estatuto General de Contratación.</w:t>
      </w:r>
    </w:p>
    <w:p w14:paraId="40D4B387" w14:textId="2F95BAAD" w:rsidR="008F7388" w:rsidRPr="003D11EB" w:rsidRDefault="008F7388" w:rsidP="008F7388">
      <w:pPr>
        <w:spacing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 xml:space="preserve">En síntesis, </w:t>
      </w:r>
      <w:bookmarkStart w:id="1" w:name="_Hlk96454556"/>
      <w:r w:rsidRPr="003D11EB">
        <w:rPr>
          <w:rFonts w:ascii="Arial" w:eastAsia="Calibri" w:hAnsi="Arial" w:cs="Arial"/>
          <w:color w:val="000000" w:themeColor="text1"/>
          <w:sz w:val="22"/>
          <w:szCs w:val="22"/>
          <w:lang w:val="es-ES_tradnl" w:eastAsia="en-US"/>
        </w:rPr>
        <w:t xml:space="preserve">los vacíos de los manuales de contratación de las entidades con régimen especial no siempre se llenan de la misma manera, pues depende de las materias sobre las cuales exista ausencia de regulación en dicho reglamento y la ley que crea el régimen especial.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679EA723" w14:textId="77777777" w:rsidR="00AB034C" w:rsidRPr="003D11EB" w:rsidRDefault="008F7388" w:rsidP="00F007FF">
      <w:pPr>
        <w:spacing w:after="120" w:line="276" w:lineRule="auto"/>
        <w:ind w:firstLine="709"/>
        <w:jc w:val="both"/>
        <w:rPr>
          <w:rFonts w:ascii="Arial" w:eastAsia="Calibri" w:hAnsi="Arial" w:cs="Arial"/>
          <w:color w:val="000000" w:themeColor="text1"/>
          <w:sz w:val="22"/>
          <w:szCs w:val="22"/>
          <w:lang w:val="es-ES_tradnl" w:eastAsia="en-US"/>
        </w:rPr>
      </w:pPr>
      <w:r w:rsidRPr="003D11EB">
        <w:rPr>
          <w:rFonts w:ascii="Arial" w:eastAsia="Calibri" w:hAnsi="Arial" w:cs="Arial"/>
          <w:color w:val="000000" w:themeColor="text1"/>
          <w:sz w:val="22"/>
          <w:szCs w:val="22"/>
          <w:lang w:val="es-ES_tradnl" w:eastAsia="en-US"/>
        </w:rPr>
        <w:t>De otro lado,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Por último, si excepcionalmente a la entidad de régimen especial se la habilita o faculta para hacer uso de disposiciones o prerrogativas establecidas en el EGCAP, los vacíos respecto a su ejercicio se llenan con las disposiciones del Estatuto General de Contratación.</w:t>
      </w:r>
      <w:r w:rsidR="0070294E" w:rsidRPr="003D11EB">
        <w:rPr>
          <w:rFonts w:ascii="Arial" w:eastAsia="Calibri" w:hAnsi="Arial" w:cs="Arial"/>
          <w:color w:val="000000" w:themeColor="text1"/>
          <w:sz w:val="22"/>
          <w:szCs w:val="22"/>
          <w:lang w:val="es-ES_tradnl" w:eastAsia="en-US"/>
        </w:rPr>
        <w:t xml:space="preserve"> </w:t>
      </w:r>
    </w:p>
    <w:bookmarkEnd w:id="1"/>
    <w:p w14:paraId="760AF79B" w14:textId="4A179CD6" w:rsidR="008A1A2D" w:rsidRPr="003D11EB" w:rsidRDefault="008A1A2D" w:rsidP="008A1A2D">
      <w:pPr>
        <w:spacing w:line="276" w:lineRule="auto"/>
        <w:ind w:firstLine="709"/>
        <w:jc w:val="both"/>
        <w:rPr>
          <w:rFonts w:ascii="Arial" w:eastAsia="Calibri" w:hAnsi="Arial" w:cs="Arial"/>
          <w:color w:val="000000" w:themeColor="text1"/>
          <w:sz w:val="22"/>
        </w:rPr>
      </w:pPr>
    </w:p>
    <w:p w14:paraId="1DC9ED59" w14:textId="06E8987C" w:rsidR="008A1A2D" w:rsidRPr="003D11EB" w:rsidRDefault="008A1A2D" w:rsidP="008A1A2D">
      <w:pPr>
        <w:spacing w:line="276" w:lineRule="auto"/>
        <w:jc w:val="both"/>
        <w:rPr>
          <w:rFonts w:ascii="Arial" w:eastAsia="Calibri" w:hAnsi="Arial" w:cs="Arial"/>
          <w:b/>
          <w:bCs/>
          <w:color w:val="000000" w:themeColor="text1"/>
          <w:sz w:val="22"/>
        </w:rPr>
      </w:pPr>
      <w:r w:rsidRPr="003D11EB">
        <w:rPr>
          <w:rFonts w:ascii="Arial" w:eastAsia="Calibri" w:hAnsi="Arial" w:cs="Arial"/>
          <w:b/>
          <w:bCs/>
          <w:color w:val="000000" w:themeColor="text1"/>
          <w:sz w:val="22"/>
        </w:rPr>
        <w:t>2.</w:t>
      </w:r>
      <w:r w:rsidR="00A85234" w:rsidRPr="003D11EB">
        <w:rPr>
          <w:rFonts w:ascii="Arial" w:eastAsia="Calibri" w:hAnsi="Arial" w:cs="Arial"/>
          <w:b/>
          <w:bCs/>
          <w:color w:val="000000" w:themeColor="text1"/>
          <w:sz w:val="22"/>
        </w:rPr>
        <w:t>3</w:t>
      </w:r>
      <w:r w:rsidR="008A7595" w:rsidRPr="003D11EB">
        <w:rPr>
          <w:rFonts w:ascii="Arial" w:eastAsia="Calibri" w:hAnsi="Arial" w:cs="Arial"/>
          <w:b/>
          <w:bCs/>
          <w:color w:val="000000" w:themeColor="text1"/>
          <w:sz w:val="22"/>
        </w:rPr>
        <w:t>.</w:t>
      </w:r>
      <w:r w:rsidRPr="003D11EB">
        <w:rPr>
          <w:rFonts w:ascii="Arial" w:eastAsia="Calibri" w:hAnsi="Arial" w:cs="Arial"/>
          <w:b/>
          <w:bCs/>
          <w:color w:val="000000" w:themeColor="text1"/>
          <w:sz w:val="22"/>
        </w:rPr>
        <w:t xml:space="preserve"> Adición en los contratos estatales</w:t>
      </w:r>
      <w:r w:rsidR="00A85234" w:rsidRPr="003D11EB">
        <w:rPr>
          <w:rFonts w:ascii="Arial" w:eastAsia="Calibri" w:hAnsi="Arial" w:cs="Arial"/>
          <w:b/>
          <w:bCs/>
          <w:color w:val="000000" w:themeColor="text1"/>
          <w:sz w:val="22"/>
        </w:rPr>
        <w:t xml:space="preserve"> en el Estatuto General de Contratación de la Administración Pública</w:t>
      </w:r>
    </w:p>
    <w:p w14:paraId="66A32282" w14:textId="77777777" w:rsidR="008A1A2D" w:rsidRPr="003D11EB" w:rsidRDefault="008A1A2D" w:rsidP="008A1A2D">
      <w:pPr>
        <w:spacing w:line="276" w:lineRule="auto"/>
        <w:jc w:val="both"/>
        <w:rPr>
          <w:rFonts w:ascii="Arial" w:eastAsia="Calibri" w:hAnsi="Arial" w:cs="Arial"/>
          <w:b/>
          <w:bCs/>
          <w:color w:val="000000" w:themeColor="text1"/>
          <w:sz w:val="22"/>
        </w:rPr>
      </w:pPr>
    </w:p>
    <w:p w14:paraId="1B6FB164" w14:textId="77777777" w:rsidR="008A1A2D" w:rsidRPr="003D11EB" w:rsidRDefault="008A1A2D" w:rsidP="008A1A2D">
      <w:pPr>
        <w:spacing w:after="120" w:line="276" w:lineRule="auto"/>
        <w:jc w:val="both"/>
        <w:rPr>
          <w:rFonts w:ascii="Arial" w:eastAsia="Calibri" w:hAnsi="Arial" w:cs="Arial"/>
          <w:color w:val="000000" w:themeColor="text1"/>
          <w:sz w:val="22"/>
        </w:rPr>
      </w:pPr>
      <w:r w:rsidRPr="003D11EB">
        <w:rPr>
          <w:rFonts w:ascii="Arial" w:eastAsia="Calibri" w:hAnsi="Arial" w:cs="Arial"/>
          <w:color w:val="000000" w:themeColor="text1"/>
          <w:sz w:val="22"/>
        </w:rPr>
        <w:t xml:space="preserve">Es oportuno explicar que la palabra </w:t>
      </w:r>
      <w:r w:rsidRPr="003D11EB">
        <w:rPr>
          <w:rFonts w:ascii="Arial" w:eastAsia="Calibri" w:hAnsi="Arial" w:cs="Arial"/>
          <w:i/>
          <w:iCs/>
          <w:color w:val="000000" w:themeColor="text1"/>
          <w:sz w:val="22"/>
        </w:rPr>
        <w:t xml:space="preserve">adición </w:t>
      </w:r>
      <w:r w:rsidRPr="003D11EB">
        <w:rPr>
          <w:rFonts w:ascii="Arial" w:eastAsia="Calibri" w:hAnsi="Arial" w:cs="Arial"/>
          <w:color w:val="000000" w:themeColor="text1"/>
          <w:sz w:val="22"/>
        </w:rPr>
        <w:t xml:space="preserve">significa «acción y efecto de añadir o agregar». Los contratos estatales pueden ser objeto de situaciones que impliquen la necesidad de adicionar o modificar las condiciones inicialmente pactadas, conforme lo establece el artículo 40 de la Ley 80 de 1993, pudiendo incluirse las modalidades, condiciones y, en </w:t>
      </w:r>
      <w:r w:rsidRPr="003D11EB">
        <w:rPr>
          <w:rFonts w:ascii="Arial" w:eastAsia="Calibri" w:hAnsi="Arial" w:cs="Arial"/>
          <w:color w:val="000000" w:themeColor="text1"/>
          <w:sz w:val="22"/>
        </w:rPr>
        <w:lastRenderedPageBreak/>
        <w:t xml:space="preserve">general las cláusulas o estipulaciones que las partes consideren necesarias para el cabal cumplimiento del objeto contractual. </w:t>
      </w:r>
    </w:p>
    <w:p w14:paraId="26F50CD7" w14:textId="77777777" w:rsidR="008A1A2D" w:rsidRPr="003D11EB" w:rsidRDefault="008A1A2D" w:rsidP="008A1A2D">
      <w:pPr>
        <w:spacing w:after="120" w:line="276" w:lineRule="auto"/>
        <w:ind w:firstLine="709"/>
        <w:jc w:val="both"/>
        <w:rPr>
          <w:rFonts w:ascii="Arial" w:eastAsia="Calibri" w:hAnsi="Arial" w:cs="Arial"/>
          <w:color w:val="000000" w:themeColor="text1"/>
          <w:sz w:val="22"/>
        </w:rPr>
      </w:pPr>
      <w:r w:rsidRPr="003D11EB">
        <w:rPr>
          <w:rFonts w:ascii="Arial" w:eastAsia="Calibri" w:hAnsi="Arial" w:cs="Arial"/>
          <w:color w:val="000000" w:themeColor="text1"/>
          <w:sz w:val="22"/>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21FA60D6" w14:textId="1A719344" w:rsidR="008A1A2D" w:rsidRPr="003D11EB" w:rsidRDefault="008A1A2D" w:rsidP="008A1A2D">
      <w:pPr>
        <w:spacing w:after="120" w:line="276" w:lineRule="auto"/>
        <w:ind w:firstLine="709"/>
        <w:jc w:val="both"/>
        <w:rPr>
          <w:rFonts w:ascii="Arial" w:eastAsia="Calibri" w:hAnsi="Arial" w:cs="Arial"/>
          <w:color w:val="000000" w:themeColor="text1"/>
          <w:sz w:val="22"/>
        </w:rPr>
      </w:pPr>
      <w:r w:rsidRPr="003D11EB">
        <w:rPr>
          <w:rFonts w:ascii="Arial" w:eastAsia="Calibri" w:hAnsi="Arial" w:cs="Arial"/>
          <w:color w:val="000000" w:themeColor="text1"/>
          <w:sz w:val="22"/>
        </w:rPr>
        <w:t>Lo importante es que</w:t>
      </w:r>
      <w:r w:rsidR="00614EC3" w:rsidRPr="003D11EB">
        <w:rPr>
          <w:rFonts w:ascii="Arial" w:eastAsia="Calibri" w:hAnsi="Arial" w:cs="Arial"/>
          <w:color w:val="000000" w:themeColor="text1"/>
          <w:sz w:val="22"/>
        </w:rPr>
        <w:t>,</w:t>
      </w:r>
      <w:r w:rsidRPr="003D11EB">
        <w:rPr>
          <w:rFonts w:ascii="Arial" w:eastAsia="Calibri" w:hAnsi="Arial" w:cs="Arial"/>
          <w:color w:val="000000" w:themeColor="text1"/>
          <w:sz w:val="22"/>
        </w:rPr>
        <w:t xml:space="preserve"> frente a cualquier incremento del valor inicial del contrato</w:t>
      </w:r>
      <w:r w:rsidRPr="003D11EB">
        <w:rPr>
          <w:rFonts w:ascii="Arial" w:eastAsia="Calibri" w:hAnsi="Arial" w:cs="Arial"/>
          <w:i/>
          <w:iCs/>
          <w:color w:val="000000" w:themeColor="text1"/>
          <w:sz w:val="22"/>
        </w:rPr>
        <w:t xml:space="preserve"> </w:t>
      </w:r>
      <w:r w:rsidRPr="003D11EB">
        <w:rPr>
          <w:rFonts w:ascii="Arial" w:eastAsia="Calibri" w:hAnsi="Arial" w:cs="Arial"/>
          <w:color w:val="000000" w:themeColor="text1"/>
          <w:sz w:val="22"/>
        </w:rPr>
        <w:t>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r w:rsidR="005B6586" w:rsidRPr="003D11EB">
        <w:rPr>
          <w:rFonts w:ascii="Arial" w:eastAsia="Calibri" w:hAnsi="Arial" w:cs="Arial"/>
          <w:color w:val="000000" w:themeColor="text1"/>
          <w:sz w:val="22"/>
        </w:rPr>
        <w:t xml:space="preserve"> que aplica a los contratos estatales, cuyos destinatarios son entidades sujetas al Estatuto General de Contratación de la Administración Pública</w:t>
      </w:r>
      <w:r w:rsidRPr="003D11EB">
        <w:rPr>
          <w:rFonts w:ascii="Arial" w:eastAsia="Calibri" w:hAnsi="Arial" w:cs="Arial"/>
          <w:color w:val="000000" w:themeColor="text1"/>
          <w:sz w:val="22"/>
          <w:vertAlign w:val="superscript"/>
        </w:rPr>
        <w:footnoteReference w:id="18"/>
      </w:r>
      <w:r w:rsidRPr="003D11EB">
        <w:rPr>
          <w:rFonts w:ascii="Arial" w:eastAsia="Calibri" w:hAnsi="Arial" w:cs="Arial"/>
          <w:color w:val="000000" w:themeColor="text1"/>
          <w:sz w:val="22"/>
        </w:rPr>
        <w:t>.</w:t>
      </w:r>
    </w:p>
    <w:p w14:paraId="1D61A538" w14:textId="0BBEEF63" w:rsidR="008A1A2D" w:rsidRPr="003D11EB" w:rsidRDefault="008A1A2D" w:rsidP="008A1A2D">
      <w:pPr>
        <w:spacing w:after="120" w:line="276" w:lineRule="auto"/>
        <w:ind w:firstLine="709"/>
        <w:jc w:val="both"/>
        <w:rPr>
          <w:rFonts w:ascii="Arial" w:eastAsia="Calibri" w:hAnsi="Arial" w:cs="Arial"/>
          <w:color w:val="000000" w:themeColor="text1"/>
          <w:sz w:val="22"/>
        </w:rPr>
      </w:pPr>
      <w:r w:rsidRPr="003D11EB">
        <w:rPr>
          <w:rFonts w:ascii="Arial" w:eastAsia="Calibri" w:hAnsi="Arial" w:cs="Arial"/>
          <w:color w:val="000000" w:themeColor="text1"/>
          <w:sz w:val="22"/>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w:t>
      </w:r>
      <w:r w:rsidR="00FB5BEE">
        <w:rPr>
          <w:rFonts w:ascii="Arial" w:eastAsia="Calibri" w:hAnsi="Arial" w:cs="Arial"/>
          <w:color w:val="000000" w:themeColor="text1"/>
          <w:sz w:val="22"/>
        </w:rPr>
        <w:t xml:space="preserve">vez </w:t>
      </w:r>
      <w:r w:rsidRPr="003D11EB">
        <w:rPr>
          <w:rFonts w:ascii="Arial" w:eastAsia="Calibri" w:hAnsi="Arial" w:cs="Arial"/>
          <w:color w:val="000000" w:themeColor="text1"/>
          <w:sz w:val="22"/>
        </w:rPr>
        <w:t xml:space="preserve">que se efectúe una adición, se estime su valor en salarios mínimos, que se calcularán con base en el vigente al momento de la adición, de manera que se </w:t>
      </w:r>
      <w:r w:rsidRPr="003D11EB">
        <w:rPr>
          <w:rFonts w:ascii="Arial" w:eastAsia="Calibri" w:hAnsi="Arial" w:cs="Arial"/>
          <w:color w:val="000000" w:themeColor="text1"/>
          <w:sz w:val="22"/>
        </w:rPr>
        <w:lastRenderedPageBreak/>
        <w:t xml:space="preserve">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244CE2CE" w14:textId="2E0A5CC6" w:rsidR="008A1A2D" w:rsidRPr="003D11EB" w:rsidRDefault="008A1A2D" w:rsidP="00A85234">
      <w:pPr>
        <w:spacing w:line="276" w:lineRule="auto"/>
        <w:ind w:firstLine="708"/>
        <w:jc w:val="both"/>
        <w:rPr>
          <w:rFonts w:ascii="Arial" w:eastAsia="Calibri" w:hAnsi="Arial" w:cs="Arial"/>
          <w:color w:val="000000" w:themeColor="text1"/>
          <w:sz w:val="22"/>
        </w:rPr>
      </w:pPr>
      <w:r w:rsidRPr="003D11EB">
        <w:rPr>
          <w:rFonts w:ascii="Arial" w:eastAsia="Calibri" w:hAnsi="Arial" w:cs="Arial"/>
          <w:color w:val="000000" w:themeColor="text1"/>
          <w:sz w:val="22"/>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w:t>
      </w:r>
      <w:r w:rsidR="00A85234" w:rsidRPr="003D11EB">
        <w:rPr>
          <w:rFonts w:ascii="Arial" w:eastAsia="Calibri" w:hAnsi="Arial" w:cs="Arial"/>
          <w:color w:val="000000" w:themeColor="text1"/>
          <w:sz w:val="22"/>
        </w:rPr>
        <w:t>De esta manera, el inciso segundo del parágrafo del artículo 40 de la Ley 80 de 1993 establece que los contratos estatales</w:t>
      </w:r>
      <w:r w:rsidRPr="003D11EB">
        <w:rPr>
          <w:rFonts w:ascii="Arial" w:eastAsia="Calibri" w:hAnsi="Arial" w:cs="Arial"/>
          <w:color w:val="000000" w:themeColor="text1"/>
          <w:sz w:val="22"/>
        </w:rPr>
        <w:t xml:space="preserve"> no podrán adicionarse en más del 50% de su valor inicial, y valga la redundancia, el valor inicial es el contemplado en el contrato originario y cualquier alteración a ese valor constituirá, técnicamente, una adición, independientemente de cuál sea su causa.</w:t>
      </w:r>
      <w:r w:rsidR="00A85234" w:rsidRPr="003D11EB">
        <w:rPr>
          <w:rFonts w:ascii="Arial" w:eastAsia="Calibri" w:hAnsi="Arial" w:cs="Arial"/>
          <w:color w:val="000000" w:themeColor="text1"/>
          <w:sz w:val="22"/>
        </w:rPr>
        <w:t xml:space="preserve"> Sin perjuicio de lo anterior, a</w:t>
      </w:r>
      <w:r w:rsidRPr="003D11EB">
        <w:rPr>
          <w:rFonts w:ascii="Arial" w:eastAsia="Calibri" w:hAnsi="Arial" w:cs="Arial"/>
          <w:color w:val="000000" w:themeColor="text1"/>
          <w:sz w:val="22"/>
        </w:rPr>
        <w:t xml:space="preserve">ctualmente existe una posibilidad para adicionar contratos en más del 50%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197863FB" w14:textId="27D3535A" w:rsidR="00A85234" w:rsidRPr="003D11EB" w:rsidRDefault="00A85234" w:rsidP="00A85234">
      <w:pPr>
        <w:spacing w:line="276" w:lineRule="auto"/>
        <w:ind w:firstLine="708"/>
        <w:jc w:val="both"/>
        <w:rPr>
          <w:rFonts w:ascii="Arial" w:eastAsia="Calibri" w:hAnsi="Arial" w:cs="Arial"/>
          <w:color w:val="000000" w:themeColor="text1"/>
          <w:sz w:val="22"/>
        </w:rPr>
      </w:pPr>
    </w:p>
    <w:p w14:paraId="64DA040D" w14:textId="77777777" w:rsidR="00A85234" w:rsidRPr="003D11EB" w:rsidRDefault="00A85234" w:rsidP="00A85234">
      <w:pPr>
        <w:spacing w:line="276" w:lineRule="auto"/>
        <w:jc w:val="both"/>
        <w:rPr>
          <w:rFonts w:ascii="Arial" w:eastAsia="Calibri" w:hAnsi="Arial" w:cs="Arial"/>
          <w:b/>
          <w:bCs/>
          <w:color w:val="000000" w:themeColor="text1"/>
          <w:sz w:val="22"/>
        </w:rPr>
      </w:pPr>
      <w:r w:rsidRPr="003D11EB">
        <w:rPr>
          <w:rFonts w:ascii="Arial" w:eastAsia="Calibri" w:hAnsi="Arial" w:cs="Arial"/>
          <w:b/>
          <w:bCs/>
          <w:color w:val="000000" w:themeColor="text1"/>
          <w:sz w:val="22"/>
        </w:rPr>
        <w:t>2.4. Disposiciones normativas expedidas a partir de la pandemia originada por el COVID-19 en materia de contratación estatal</w:t>
      </w:r>
    </w:p>
    <w:p w14:paraId="1ADA4429" w14:textId="77777777" w:rsidR="00A85234" w:rsidRPr="003D11EB" w:rsidRDefault="00A85234" w:rsidP="00A85234">
      <w:pPr>
        <w:spacing w:line="276" w:lineRule="auto"/>
        <w:jc w:val="both"/>
        <w:rPr>
          <w:rFonts w:ascii="Arial" w:eastAsia="Calibri" w:hAnsi="Arial" w:cs="Arial"/>
          <w:b/>
          <w:bCs/>
          <w:color w:val="000000" w:themeColor="text1"/>
          <w:sz w:val="22"/>
        </w:rPr>
      </w:pPr>
    </w:p>
    <w:p w14:paraId="42759FC7" w14:textId="5E95EE18" w:rsidR="00A85234" w:rsidRPr="003D11EB" w:rsidRDefault="00A85234" w:rsidP="00A85234">
      <w:pPr>
        <w:spacing w:after="120" w:line="276" w:lineRule="auto"/>
        <w:jc w:val="both"/>
        <w:rPr>
          <w:rFonts w:ascii="Arial" w:eastAsia="Calibri" w:hAnsi="Arial" w:cs="Arial"/>
          <w:color w:val="000000" w:themeColor="text1"/>
          <w:sz w:val="22"/>
        </w:rPr>
      </w:pPr>
      <w:r w:rsidRPr="003D11EB">
        <w:rPr>
          <w:rFonts w:ascii="Arial" w:eastAsia="Calibri" w:hAnsi="Arial" w:cs="Arial"/>
          <w:color w:val="000000" w:themeColor="text1"/>
          <w:sz w:val="22"/>
        </w:rPr>
        <w:t xml:space="preserve">La Organización Mundial de la Salud, </w:t>
      </w:r>
      <w:r w:rsidR="00CF6B3B">
        <w:rPr>
          <w:rFonts w:ascii="Arial" w:eastAsia="Calibri" w:hAnsi="Arial" w:cs="Arial"/>
          <w:color w:val="000000" w:themeColor="text1"/>
          <w:sz w:val="22"/>
        </w:rPr>
        <w:t>debido al</w:t>
      </w:r>
      <w:r w:rsidRPr="003D11EB">
        <w:rPr>
          <w:rFonts w:ascii="Arial" w:eastAsia="Calibri" w:hAnsi="Arial" w:cs="Arial"/>
          <w:color w:val="000000" w:themeColor="text1"/>
          <w:sz w:val="22"/>
        </w:rPr>
        <w:t xml:space="preserve"> brote surgido por el coronavirus COVID-19, lo declaró una pandemia el 11 de marzo de 2020, por su rápida velocidad de propagación. En esta medida, solicitó a los Estados tomar acciones urgentes frente a la identificación, aislamiento, monitoreo de los posibles casos y el tratamiento de los casos confirmados, así como la divulgación de las medidas preventivas, con el objetivo de mitigar el contagio. </w:t>
      </w:r>
    </w:p>
    <w:p w14:paraId="357F68B0" w14:textId="4F41BEA0" w:rsidR="00A85234" w:rsidRPr="003D11EB" w:rsidRDefault="00CF6B3B" w:rsidP="00A85234">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Con fundamento en </w:t>
      </w:r>
      <w:r w:rsidR="00A85234" w:rsidRPr="003D11EB">
        <w:rPr>
          <w:rFonts w:ascii="Arial" w:eastAsia="Calibri" w:hAnsi="Arial" w:cs="Arial"/>
          <w:color w:val="000000" w:themeColor="text1"/>
          <w:sz w:val="22"/>
        </w:rPr>
        <w:t xml:space="preserve">la declaración de pandemia del coronavirus COVID-19, el Ministerio de Salud y Protección Social, mediante Resolución 385 del 12 de marzo de 2020, declaró el estado de emergencia sanitaria por causa del nuevo coronavirus, estableciendo medidas destinadas a la prevención y contención del riesgo epidemiológico asociado con el COVID-19. El Ministerio de Salud y Protección Social, mediante Resolución 844 del 26 de mayo de 2020 prorrogó la emergencia sanitaria en todo el territorio nacional hasta el 31 de agosto de 2020. </w:t>
      </w:r>
    </w:p>
    <w:p w14:paraId="73E00825" w14:textId="77777777" w:rsidR="00A85234" w:rsidRPr="003D11EB" w:rsidRDefault="00A85234" w:rsidP="00A85234">
      <w:pPr>
        <w:spacing w:after="120" w:line="276" w:lineRule="auto"/>
        <w:ind w:firstLine="709"/>
        <w:jc w:val="both"/>
        <w:rPr>
          <w:rFonts w:ascii="Arial" w:eastAsia="Calibri" w:hAnsi="Arial" w:cs="Arial"/>
          <w:color w:val="000000" w:themeColor="text1"/>
          <w:sz w:val="22"/>
        </w:rPr>
      </w:pPr>
      <w:r w:rsidRPr="003D11EB">
        <w:rPr>
          <w:rFonts w:ascii="Arial" w:eastAsia="Calibri" w:hAnsi="Arial" w:cs="Arial"/>
          <w:color w:val="000000" w:themeColor="text1"/>
          <w:sz w:val="22"/>
        </w:rPr>
        <w:t xml:space="preserve">En virtud de lo anterior, mediante Decreto 417 del 17 de marzo de 2020, se declaró por el término de treinta (30) días el Estado de Emergencia Económica, Social y Ecológica en todo el territorio nacional, con lo cual, el Presidente de la República quedó autorizado para dictar decretos con fuerza de ley destinados exclusivamente a conjurar la crisis y a </w:t>
      </w:r>
      <w:r w:rsidRPr="003D11EB">
        <w:rPr>
          <w:rFonts w:ascii="Arial" w:eastAsia="Calibri" w:hAnsi="Arial" w:cs="Arial"/>
          <w:color w:val="000000" w:themeColor="text1"/>
          <w:sz w:val="22"/>
        </w:rPr>
        <w:lastRenderedPageBreak/>
        <w:t xml:space="preserve">impedir la extensión de sus efectos, y teniendo en cuenta la compleja situación presentada a nivel nacional, en aspectos sociales, económicos y de salubridad pública a causa del avance de la pandemia, el Gobierno Nacional, mediante Decreto 637 del 6 de mayo de 2020, declaró nuevamente el Estado de Emergencia Económica, Social y Ecológica, por el término de treinta días calendario. </w:t>
      </w:r>
    </w:p>
    <w:p w14:paraId="74A555F8" w14:textId="77777777" w:rsidR="00A85234" w:rsidRPr="003D11EB" w:rsidRDefault="00A85234" w:rsidP="00A85234">
      <w:pPr>
        <w:spacing w:after="120" w:line="276" w:lineRule="auto"/>
        <w:ind w:firstLine="709"/>
        <w:jc w:val="both"/>
        <w:rPr>
          <w:rFonts w:ascii="Arial" w:eastAsia="Calibri" w:hAnsi="Arial" w:cs="Arial"/>
          <w:color w:val="000000" w:themeColor="text1"/>
          <w:sz w:val="22"/>
        </w:rPr>
      </w:pPr>
      <w:r w:rsidRPr="003D11EB">
        <w:rPr>
          <w:rFonts w:ascii="Arial" w:eastAsia="Calibri" w:hAnsi="Arial" w:cs="Arial"/>
          <w:color w:val="000000" w:themeColor="text1"/>
          <w:sz w:val="22"/>
        </w:rPr>
        <w:t xml:space="preserve">Mediante 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contacto entre los participantes en los procesos de contratación, en las actuaciones contractuales sancionatorias, siempre y cuando se respete el derecho al debido proceso y el contratista pueda ejercer su derecho de defensa. Adicionalmente se permitió a las autoridades administrativas y a la Agencia 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contribuyan a atender la pandemia. </w:t>
      </w:r>
    </w:p>
    <w:p w14:paraId="05E005E8" w14:textId="38DC0A93" w:rsidR="00A85234" w:rsidRPr="003D11EB" w:rsidRDefault="00A85234" w:rsidP="00F007FF">
      <w:pPr>
        <w:spacing w:line="276" w:lineRule="auto"/>
        <w:ind w:firstLine="709"/>
        <w:jc w:val="both"/>
        <w:rPr>
          <w:rFonts w:ascii="Arial" w:eastAsia="Calibri" w:hAnsi="Arial" w:cs="Arial"/>
          <w:color w:val="000000" w:themeColor="text1"/>
          <w:sz w:val="22"/>
        </w:rPr>
      </w:pPr>
      <w:r w:rsidRPr="003D11EB">
        <w:rPr>
          <w:rFonts w:ascii="Arial" w:eastAsia="Calibri" w:hAnsi="Arial" w:cs="Arial"/>
          <w:color w:val="000000" w:themeColor="text1"/>
          <w:sz w:val="22"/>
        </w:rPr>
        <w:t>Con motivo de las ampliaciones realizadas al ai</w:t>
      </w:r>
      <w:r w:rsidR="00307DCF">
        <w:rPr>
          <w:rFonts w:ascii="Arial" w:eastAsia="Calibri" w:hAnsi="Arial" w:cs="Arial"/>
          <w:color w:val="000000" w:themeColor="text1"/>
          <w:sz w:val="22"/>
        </w:rPr>
        <w:t>s</w:t>
      </w:r>
      <w:r w:rsidRPr="003D11EB">
        <w:rPr>
          <w:rFonts w:ascii="Arial" w:eastAsia="Calibri" w:hAnsi="Arial" w:cs="Arial"/>
          <w:color w:val="000000" w:themeColor="text1"/>
          <w:sz w:val="22"/>
        </w:rPr>
        <w:t xml:space="preserve">lamiento preventivo obligatorio, se expidió el Decreto 537 de 12 de abril de 2020 con el propósito de mantener las medidas adoptadas por el Decreto 440 del 20 de marzo de 2020, extendiendo su vigencia a la duración de la emergencia sanitaria. </w:t>
      </w:r>
    </w:p>
    <w:p w14:paraId="34A5D154" w14:textId="77777777" w:rsidR="008A1A2D" w:rsidRPr="003D11EB" w:rsidRDefault="008A1A2D" w:rsidP="008A1A2D">
      <w:pPr>
        <w:spacing w:line="276" w:lineRule="auto"/>
        <w:ind w:firstLine="709"/>
        <w:jc w:val="both"/>
        <w:rPr>
          <w:rFonts w:ascii="Arial" w:eastAsia="Calibri" w:hAnsi="Arial" w:cs="Arial"/>
          <w:color w:val="000000" w:themeColor="text1"/>
          <w:sz w:val="22"/>
        </w:rPr>
      </w:pPr>
    </w:p>
    <w:p w14:paraId="585C4AD9" w14:textId="7B5BBA85" w:rsidR="008A1A2D" w:rsidRPr="00F007FF" w:rsidRDefault="008A1A2D" w:rsidP="008A1A2D">
      <w:pPr>
        <w:spacing w:line="276" w:lineRule="auto"/>
        <w:jc w:val="both"/>
        <w:rPr>
          <w:rFonts w:ascii="Arial" w:eastAsia="Calibri" w:hAnsi="Arial" w:cs="Arial"/>
          <w:b/>
          <w:bCs/>
          <w:color w:val="000000" w:themeColor="text1"/>
          <w:sz w:val="22"/>
        </w:rPr>
      </w:pPr>
      <w:r w:rsidRPr="00F007FF">
        <w:rPr>
          <w:rFonts w:ascii="Arial" w:eastAsia="Calibri" w:hAnsi="Arial" w:cs="Arial"/>
          <w:b/>
          <w:bCs/>
          <w:color w:val="000000" w:themeColor="text1"/>
          <w:sz w:val="22"/>
        </w:rPr>
        <w:t>2.</w:t>
      </w:r>
      <w:r w:rsidR="00A85234" w:rsidRPr="00F007FF">
        <w:rPr>
          <w:rFonts w:ascii="Arial" w:eastAsia="Calibri" w:hAnsi="Arial" w:cs="Arial"/>
          <w:b/>
          <w:bCs/>
          <w:color w:val="000000" w:themeColor="text1"/>
          <w:sz w:val="22"/>
        </w:rPr>
        <w:t>5</w:t>
      </w:r>
      <w:r w:rsidRPr="00F007FF">
        <w:rPr>
          <w:rFonts w:ascii="Arial" w:eastAsia="Calibri" w:hAnsi="Arial" w:cs="Arial"/>
          <w:b/>
          <w:bCs/>
          <w:color w:val="000000" w:themeColor="text1"/>
          <w:sz w:val="22"/>
        </w:rPr>
        <w:t xml:space="preserve">. </w:t>
      </w:r>
      <w:r w:rsidR="00A85234" w:rsidRPr="00F007FF">
        <w:rPr>
          <w:rFonts w:ascii="Arial" w:eastAsia="Calibri" w:hAnsi="Arial" w:cs="Arial"/>
          <w:b/>
          <w:bCs/>
          <w:color w:val="000000" w:themeColor="text1"/>
          <w:sz w:val="22"/>
        </w:rPr>
        <w:t>P</w:t>
      </w:r>
      <w:r w:rsidRPr="00F007FF">
        <w:rPr>
          <w:rFonts w:ascii="Arial" w:eastAsia="Calibri" w:hAnsi="Arial" w:cs="Arial"/>
          <w:b/>
          <w:bCs/>
          <w:color w:val="000000" w:themeColor="text1"/>
          <w:sz w:val="22"/>
        </w:rPr>
        <w:t>osibilidad de adicionar sin límite de valor los contratos celebrados por las entidades estatales</w:t>
      </w:r>
      <w:r w:rsidR="0028061E" w:rsidRPr="00F007FF">
        <w:rPr>
          <w:rFonts w:ascii="Arial" w:eastAsia="Calibri" w:hAnsi="Arial" w:cs="Arial"/>
          <w:b/>
          <w:bCs/>
          <w:color w:val="000000" w:themeColor="text1"/>
          <w:sz w:val="22"/>
        </w:rPr>
        <w:t xml:space="preserve"> sujetas al Estatuto General de Contratación de la Administración Pública</w:t>
      </w:r>
      <w:r w:rsidRPr="00F007FF">
        <w:rPr>
          <w:rFonts w:ascii="Arial" w:eastAsia="Calibri" w:hAnsi="Arial" w:cs="Arial"/>
          <w:b/>
          <w:bCs/>
          <w:color w:val="000000" w:themeColor="text1"/>
          <w:sz w:val="22"/>
        </w:rPr>
        <w:t xml:space="preserve"> que se relacionen con bienes, obras o servicios que permitan una mejor gestión y mitigación de la emergencia causada por el coronavirus COVID-19</w:t>
      </w:r>
      <w:r w:rsidR="000A4115" w:rsidRPr="00F007FF">
        <w:rPr>
          <w:rFonts w:ascii="Arial" w:eastAsia="Calibri" w:hAnsi="Arial" w:cs="Arial"/>
          <w:b/>
          <w:bCs/>
          <w:color w:val="000000" w:themeColor="text1"/>
          <w:sz w:val="22"/>
        </w:rPr>
        <w:t>. Conclusión respecto a las entidades de régimen especial</w:t>
      </w:r>
    </w:p>
    <w:p w14:paraId="67B03DAC" w14:textId="77777777" w:rsidR="008A1A2D" w:rsidRPr="00F007FF" w:rsidRDefault="008A1A2D" w:rsidP="008A1A2D">
      <w:pPr>
        <w:spacing w:line="276" w:lineRule="auto"/>
        <w:jc w:val="both"/>
        <w:rPr>
          <w:rFonts w:ascii="Arial" w:eastAsia="Calibri" w:hAnsi="Arial" w:cs="Arial"/>
          <w:b/>
          <w:bCs/>
          <w:color w:val="000000" w:themeColor="text1"/>
          <w:sz w:val="22"/>
        </w:rPr>
      </w:pPr>
    </w:p>
    <w:p w14:paraId="6F3ADD54" w14:textId="4B2F5CD2" w:rsidR="008A1A2D" w:rsidRPr="00F007FF" w:rsidRDefault="008A1A2D" w:rsidP="008A1A2D">
      <w:pPr>
        <w:spacing w:line="276" w:lineRule="auto"/>
        <w:jc w:val="both"/>
        <w:rPr>
          <w:rFonts w:ascii="Arial" w:eastAsia="Calibri" w:hAnsi="Arial" w:cs="Arial"/>
          <w:color w:val="000000" w:themeColor="text1"/>
          <w:sz w:val="22"/>
        </w:rPr>
      </w:pPr>
      <w:r w:rsidRPr="00F007FF">
        <w:rPr>
          <w:rFonts w:ascii="Arial" w:eastAsia="Calibri" w:hAnsi="Arial" w:cs="Arial"/>
          <w:color w:val="000000" w:themeColor="text1"/>
          <w:sz w:val="22"/>
        </w:rPr>
        <w:t>Si bien la postura jurisprudencial y doctrinaria es clara frente a la imposibilidad de adicionar los contratos estatales por más del 50% de su valor inicial</w:t>
      </w:r>
      <w:r w:rsidR="000A4115" w:rsidRPr="00F007FF">
        <w:rPr>
          <w:rFonts w:ascii="Arial" w:eastAsia="Calibri" w:hAnsi="Arial" w:cs="Arial"/>
          <w:color w:val="000000" w:themeColor="text1"/>
          <w:sz w:val="22"/>
        </w:rPr>
        <w:t xml:space="preserve"> –conforme al parágrafo del artículo 40 de la Ley 80 de 1993–</w:t>
      </w:r>
      <w:r w:rsidRPr="00F007FF">
        <w:rPr>
          <w:rFonts w:ascii="Arial" w:eastAsia="Calibri" w:hAnsi="Arial" w:cs="Arial"/>
          <w:color w:val="000000" w:themeColor="text1"/>
          <w:sz w:val="22"/>
        </w:rPr>
        <w:t>, exceptuados los de interventoría conforme lo dispuesto en el artículo 85 de la Ley 1474 de 2011, los Decretos</w:t>
      </w:r>
      <w:r w:rsidR="00E809DA" w:rsidRPr="00F007FF">
        <w:rPr>
          <w:rFonts w:ascii="Arial" w:eastAsia="Calibri" w:hAnsi="Arial" w:cs="Arial"/>
          <w:color w:val="000000" w:themeColor="text1"/>
          <w:sz w:val="22"/>
        </w:rPr>
        <w:t>-Ley</w:t>
      </w:r>
      <w:r w:rsidRPr="00F007FF">
        <w:rPr>
          <w:rFonts w:ascii="Arial" w:eastAsia="Calibri" w:hAnsi="Arial" w:cs="Arial"/>
          <w:color w:val="000000" w:themeColor="text1"/>
          <w:sz w:val="22"/>
        </w:rPr>
        <w:t xml:space="preserve"> 440 y 537 de 2020 </w:t>
      </w:r>
      <w:r w:rsidR="000A4115" w:rsidRPr="00F007FF">
        <w:rPr>
          <w:rFonts w:ascii="Arial" w:eastAsia="Calibri" w:hAnsi="Arial" w:cs="Arial"/>
          <w:color w:val="000000" w:themeColor="text1"/>
          <w:sz w:val="22"/>
        </w:rPr>
        <w:t xml:space="preserve">transitoriamente </w:t>
      </w:r>
      <w:r w:rsidR="00C37088" w:rsidRPr="00F007FF">
        <w:rPr>
          <w:rFonts w:ascii="Arial" w:eastAsia="Calibri" w:hAnsi="Arial" w:cs="Arial"/>
          <w:color w:val="000000" w:themeColor="text1"/>
          <w:sz w:val="22"/>
        </w:rPr>
        <w:t xml:space="preserve">crearon una </w:t>
      </w:r>
      <w:r w:rsidRPr="00F007FF">
        <w:rPr>
          <w:rFonts w:ascii="Arial" w:eastAsia="Calibri" w:hAnsi="Arial" w:cs="Arial"/>
          <w:color w:val="000000" w:themeColor="text1"/>
          <w:sz w:val="22"/>
        </w:rPr>
        <w:t>excepci</w:t>
      </w:r>
      <w:r w:rsidR="00C37088" w:rsidRPr="00F007FF">
        <w:rPr>
          <w:rFonts w:ascii="Arial" w:eastAsia="Calibri" w:hAnsi="Arial" w:cs="Arial"/>
          <w:color w:val="000000" w:themeColor="text1"/>
          <w:sz w:val="22"/>
        </w:rPr>
        <w:t>ó</w:t>
      </w:r>
      <w:r w:rsidRPr="00F007FF">
        <w:rPr>
          <w:rFonts w:ascii="Arial" w:eastAsia="Calibri" w:hAnsi="Arial" w:cs="Arial"/>
          <w:color w:val="000000" w:themeColor="text1"/>
          <w:sz w:val="22"/>
        </w:rPr>
        <w:t>n</w:t>
      </w:r>
      <w:r w:rsidR="000A4115" w:rsidRPr="00F007FF">
        <w:rPr>
          <w:rFonts w:ascii="Arial" w:eastAsia="Calibri" w:hAnsi="Arial" w:cs="Arial"/>
          <w:color w:val="000000" w:themeColor="text1"/>
          <w:sz w:val="22"/>
        </w:rPr>
        <w:t xml:space="preserve"> la regla respecto al tope de las adiciones</w:t>
      </w:r>
      <w:r w:rsidRPr="00F007FF">
        <w:rPr>
          <w:rFonts w:ascii="Arial" w:eastAsia="Calibri" w:hAnsi="Arial" w:cs="Arial"/>
          <w:color w:val="000000" w:themeColor="text1"/>
          <w:sz w:val="22"/>
        </w:rPr>
        <w:t xml:space="preserve">. </w:t>
      </w:r>
      <w:r w:rsidR="00E809DA" w:rsidRPr="00F007FF">
        <w:rPr>
          <w:rFonts w:ascii="Arial" w:eastAsia="Calibri" w:hAnsi="Arial" w:cs="Arial"/>
          <w:color w:val="000000" w:themeColor="text1"/>
          <w:sz w:val="22"/>
        </w:rPr>
        <w:t>En efecto, l</w:t>
      </w:r>
      <w:r w:rsidRPr="00F007FF">
        <w:rPr>
          <w:rFonts w:ascii="Arial" w:eastAsia="Calibri" w:hAnsi="Arial" w:cs="Arial"/>
          <w:color w:val="000000" w:themeColor="text1"/>
          <w:sz w:val="22"/>
        </w:rPr>
        <w:t xml:space="preserve">a actual emergencia presentada a nivel global a causa del coronavirus exige al Estado colombiano garantizar la salud de todos los habitantes del territorio nacional y a disminuir la propagación del virus, atendiendo a la inmediatez con que se debe obrar para conjurar la crisis. </w:t>
      </w:r>
      <w:r w:rsidR="00E809DA" w:rsidRPr="00F007FF">
        <w:rPr>
          <w:rFonts w:ascii="Arial" w:eastAsia="Calibri" w:hAnsi="Arial" w:cs="Arial"/>
          <w:color w:val="000000" w:themeColor="text1"/>
          <w:sz w:val="22"/>
        </w:rPr>
        <w:t>En este sentido</w:t>
      </w:r>
      <w:r w:rsidRPr="00F007FF">
        <w:rPr>
          <w:rFonts w:ascii="Arial" w:eastAsia="Calibri" w:hAnsi="Arial" w:cs="Arial"/>
          <w:color w:val="000000" w:themeColor="text1"/>
          <w:sz w:val="22"/>
        </w:rPr>
        <w:t xml:space="preserve">, la excepción a la regla se configura en el marco del Estado de Emergencia Económica, Social y Ecológica, </w:t>
      </w:r>
      <w:r w:rsidR="00E809DA" w:rsidRPr="00F007FF">
        <w:rPr>
          <w:rFonts w:ascii="Arial" w:eastAsia="Calibri" w:hAnsi="Arial" w:cs="Arial"/>
          <w:color w:val="000000" w:themeColor="text1"/>
          <w:sz w:val="22"/>
        </w:rPr>
        <w:t>cuyos efectos se proyecta</w:t>
      </w:r>
      <w:r w:rsidR="000A4115" w:rsidRPr="00F007FF">
        <w:rPr>
          <w:rFonts w:ascii="Arial" w:eastAsia="Calibri" w:hAnsi="Arial" w:cs="Arial"/>
          <w:color w:val="000000" w:themeColor="text1"/>
          <w:sz w:val="22"/>
        </w:rPr>
        <w:t>n</w:t>
      </w:r>
      <w:r w:rsidR="00E809DA" w:rsidRPr="00F007FF">
        <w:rPr>
          <w:rFonts w:ascii="Arial" w:eastAsia="Calibri" w:hAnsi="Arial" w:cs="Arial"/>
          <w:color w:val="000000" w:themeColor="text1"/>
          <w:sz w:val="22"/>
        </w:rPr>
        <w:t xml:space="preserve"> al término en que se mantenga</w:t>
      </w:r>
      <w:r w:rsidRPr="00F007FF">
        <w:rPr>
          <w:rFonts w:ascii="Arial" w:eastAsia="Calibri" w:hAnsi="Arial" w:cs="Arial"/>
          <w:color w:val="000000" w:themeColor="text1"/>
          <w:sz w:val="22"/>
        </w:rPr>
        <w:t xml:space="preserve"> la Emergencia Sanitaria, lo que implica delimitar las circunstancias en que </w:t>
      </w:r>
      <w:r w:rsidRPr="00F007FF">
        <w:rPr>
          <w:rFonts w:ascii="Arial" w:eastAsia="Calibri" w:hAnsi="Arial" w:cs="Arial"/>
          <w:color w:val="000000" w:themeColor="text1"/>
          <w:sz w:val="22"/>
        </w:rPr>
        <w:lastRenderedPageBreak/>
        <w:t xml:space="preserve">puede ser adicionado un contrato por encima del 50% de su valor inicial. En esta medida </w:t>
      </w:r>
      <w:r w:rsidR="00E809DA" w:rsidRPr="00F007FF">
        <w:rPr>
          <w:rFonts w:ascii="Arial" w:eastAsia="Calibri" w:hAnsi="Arial" w:cs="Arial"/>
          <w:color w:val="000000" w:themeColor="text1"/>
          <w:sz w:val="22"/>
        </w:rPr>
        <w:t>el artículo 8 del Decreto-Ley 537 de 2020 establece</w:t>
      </w:r>
      <w:r w:rsidRPr="00F007FF">
        <w:rPr>
          <w:rFonts w:ascii="Arial" w:eastAsia="Calibri" w:hAnsi="Arial" w:cs="Arial"/>
          <w:color w:val="000000" w:themeColor="text1"/>
          <w:sz w:val="22"/>
        </w:rPr>
        <w:t>:</w:t>
      </w:r>
    </w:p>
    <w:p w14:paraId="4049C44B" w14:textId="77777777" w:rsidR="008A1A2D" w:rsidRPr="00F007FF" w:rsidRDefault="008A1A2D" w:rsidP="008A1A2D">
      <w:pPr>
        <w:spacing w:line="276" w:lineRule="auto"/>
        <w:jc w:val="both"/>
        <w:rPr>
          <w:rFonts w:ascii="Arial" w:eastAsia="Calibri" w:hAnsi="Arial" w:cs="Arial"/>
          <w:color w:val="000000" w:themeColor="text1"/>
          <w:sz w:val="22"/>
        </w:rPr>
      </w:pPr>
    </w:p>
    <w:p w14:paraId="68FC56EC" w14:textId="77777777" w:rsidR="008A1A2D" w:rsidRPr="00F007FF" w:rsidRDefault="008A1A2D" w:rsidP="008A1A2D">
      <w:pPr>
        <w:spacing w:after="120"/>
        <w:ind w:left="709" w:right="709"/>
        <w:jc w:val="both"/>
        <w:rPr>
          <w:rFonts w:ascii="Arial" w:eastAsia="Calibri" w:hAnsi="Arial" w:cs="Arial"/>
          <w:color w:val="000000" w:themeColor="text1"/>
          <w:sz w:val="21"/>
          <w:szCs w:val="21"/>
        </w:rPr>
      </w:pPr>
      <w:r w:rsidRPr="00F007FF">
        <w:rPr>
          <w:rFonts w:ascii="Arial" w:eastAsia="Calibri" w:hAnsi="Arial" w:cs="Arial"/>
          <w:color w:val="000000" w:themeColor="text1"/>
          <w:sz w:val="21"/>
          <w:szCs w:val="21"/>
        </w:rPr>
        <w:t>Artículo 8. Adiciónese los siguientes incisos al parágrafo del artículo 40 de la Ley 80 de 1993, así:</w:t>
      </w:r>
    </w:p>
    <w:p w14:paraId="339F883B" w14:textId="77777777" w:rsidR="008A1A2D" w:rsidRPr="00F007FF" w:rsidRDefault="008A1A2D" w:rsidP="008A1A2D">
      <w:pPr>
        <w:spacing w:after="120"/>
        <w:ind w:left="709" w:right="709"/>
        <w:jc w:val="both"/>
        <w:rPr>
          <w:rFonts w:ascii="Arial" w:eastAsia="Calibri" w:hAnsi="Arial" w:cs="Arial"/>
          <w:color w:val="000000" w:themeColor="text1"/>
          <w:sz w:val="21"/>
          <w:szCs w:val="21"/>
        </w:rPr>
      </w:pPr>
      <w:r w:rsidRPr="00F007FF">
        <w:rPr>
          <w:rFonts w:ascii="Arial" w:eastAsia="Calibri" w:hAnsi="Arial" w:cs="Arial"/>
          <w:color w:val="000000" w:themeColor="text1"/>
          <w:sz w:val="21"/>
          <w:szCs w:val="21"/>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0A3A19E0" w14:textId="77777777" w:rsidR="008A1A2D" w:rsidRPr="00F007FF" w:rsidRDefault="008A1A2D" w:rsidP="008A1A2D">
      <w:pPr>
        <w:ind w:left="709" w:right="709"/>
        <w:jc w:val="both"/>
        <w:rPr>
          <w:rFonts w:ascii="Arial" w:eastAsia="Calibri" w:hAnsi="Arial" w:cs="Arial"/>
          <w:color w:val="000000" w:themeColor="text1"/>
          <w:sz w:val="21"/>
          <w:szCs w:val="21"/>
        </w:rPr>
      </w:pPr>
      <w:r w:rsidRPr="00F007FF">
        <w:rPr>
          <w:rFonts w:ascii="Arial" w:eastAsia="Calibri" w:hAnsi="Arial" w:cs="Arial"/>
          <w:color w:val="000000" w:themeColor="text1"/>
          <w:sz w:val="21"/>
          <w:szCs w:val="21"/>
        </w:rPr>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71FF6310" w14:textId="77777777" w:rsidR="008A1A2D" w:rsidRPr="00F007FF" w:rsidRDefault="008A1A2D" w:rsidP="008A1A2D">
      <w:pPr>
        <w:spacing w:line="276" w:lineRule="auto"/>
        <w:jc w:val="both"/>
        <w:rPr>
          <w:rFonts w:ascii="Arial" w:eastAsia="Calibri" w:hAnsi="Arial" w:cs="Arial"/>
          <w:color w:val="000000" w:themeColor="text1"/>
          <w:sz w:val="22"/>
        </w:rPr>
      </w:pPr>
    </w:p>
    <w:p w14:paraId="01E4D52A" w14:textId="1C12780E" w:rsidR="0066562D" w:rsidRPr="00F007FF" w:rsidRDefault="003E4E14" w:rsidP="00F007FF">
      <w:pPr>
        <w:spacing w:after="120" w:line="276" w:lineRule="auto"/>
        <w:ind w:firstLine="709"/>
        <w:jc w:val="both"/>
        <w:rPr>
          <w:rFonts w:ascii="Arial" w:eastAsia="Calibri" w:hAnsi="Arial" w:cs="Arial"/>
          <w:color w:val="000000" w:themeColor="text1"/>
          <w:sz w:val="22"/>
        </w:rPr>
      </w:pPr>
      <w:r w:rsidRPr="00F007FF">
        <w:rPr>
          <w:rFonts w:ascii="Arial" w:eastAsia="Calibri" w:hAnsi="Arial" w:cs="Arial"/>
          <w:color w:val="000000" w:themeColor="text1"/>
          <w:sz w:val="22"/>
        </w:rPr>
        <w:t>Teniendo en cuenta la pregunta motivo de consulta</w:t>
      </w:r>
      <w:r w:rsidR="00E809DA" w:rsidRPr="00F007FF">
        <w:rPr>
          <w:rFonts w:ascii="Arial" w:eastAsia="Calibri" w:hAnsi="Arial" w:cs="Arial"/>
          <w:color w:val="000000" w:themeColor="text1"/>
          <w:sz w:val="22"/>
        </w:rPr>
        <w:t>,</w:t>
      </w:r>
      <w:r w:rsidRPr="00F007FF">
        <w:rPr>
          <w:rFonts w:ascii="Arial" w:eastAsia="Calibri" w:hAnsi="Arial" w:cs="Arial"/>
          <w:color w:val="000000" w:themeColor="text1"/>
          <w:sz w:val="22"/>
        </w:rPr>
        <w:t xml:space="preserve"> se destaca que e</w:t>
      </w:r>
      <w:r w:rsidR="008A1A2D" w:rsidRPr="00F007FF">
        <w:rPr>
          <w:rFonts w:ascii="Arial" w:eastAsia="Calibri" w:hAnsi="Arial" w:cs="Arial"/>
          <w:color w:val="000000" w:themeColor="text1"/>
          <w:sz w:val="22"/>
        </w:rPr>
        <w:t>l artículo 8 de</w:t>
      </w:r>
      <w:r w:rsidR="007A3D52" w:rsidRPr="00F007FF">
        <w:rPr>
          <w:rFonts w:ascii="Arial" w:eastAsia="Calibri" w:hAnsi="Arial" w:cs="Arial"/>
          <w:color w:val="000000" w:themeColor="text1"/>
          <w:sz w:val="22"/>
        </w:rPr>
        <w:t>l</w:t>
      </w:r>
      <w:r w:rsidR="008A1A2D" w:rsidRPr="00F007FF">
        <w:rPr>
          <w:rFonts w:ascii="Arial" w:eastAsia="Calibri" w:hAnsi="Arial" w:cs="Arial"/>
          <w:color w:val="000000" w:themeColor="text1"/>
          <w:sz w:val="22"/>
        </w:rPr>
        <w:t xml:space="preserve"> Decreto </w:t>
      </w:r>
      <w:r w:rsidR="0066562D" w:rsidRPr="00F007FF">
        <w:rPr>
          <w:rFonts w:ascii="Arial" w:eastAsia="Calibri" w:hAnsi="Arial" w:cs="Arial"/>
          <w:color w:val="000000" w:themeColor="text1"/>
          <w:sz w:val="22"/>
        </w:rPr>
        <w:t>Legislativo</w:t>
      </w:r>
      <w:r w:rsidR="008A1A2D" w:rsidRPr="00F007FF">
        <w:rPr>
          <w:rFonts w:ascii="Arial" w:eastAsia="Calibri" w:hAnsi="Arial" w:cs="Arial"/>
          <w:color w:val="000000" w:themeColor="text1"/>
          <w:sz w:val="22"/>
        </w:rPr>
        <w:t xml:space="preserve"> 537 del 2020 permite adicionar los contratos sin límite </w:t>
      </w:r>
      <w:r w:rsidR="003D11EB" w:rsidRPr="00F007FF">
        <w:rPr>
          <w:rFonts w:ascii="Arial" w:eastAsia="Calibri" w:hAnsi="Arial" w:cs="Arial"/>
          <w:color w:val="000000" w:themeColor="text1"/>
          <w:sz w:val="22"/>
        </w:rPr>
        <w:t xml:space="preserve">respecto a su </w:t>
      </w:r>
      <w:r w:rsidR="008A1A2D" w:rsidRPr="00F007FF">
        <w:rPr>
          <w:rFonts w:ascii="Arial" w:eastAsia="Calibri" w:hAnsi="Arial" w:cs="Arial"/>
          <w:color w:val="000000" w:themeColor="text1"/>
          <w:sz w:val="22"/>
        </w:rPr>
        <w:t xml:space="preserve">valor </w:t>
      </w:r>
      <w:r w:rsidR="003D11EB" w:rsidRPr="00F007FF">
        <w:rPr>
          <w:rFonts w:ascii="Arial" w:eastAsia="Calibri" w:hAnsi="Arial" w:cs="Arial"/>
          <w:color w:val="000000" w:themeColor="text1"/>
          <w:sz w:val="22"/>
        </w:rPr>
        <w:t>frente a</w:t>
      </w:r>
      <w:r w:rsidR="008A1A2D" w:rsidRPr="00F007FF">
        <w:rPr>
          <w:rFonts w:ascii="Arial" w:eastAsia="Calibri" w:hAnsi="Arial" w:cs="Arial"/>
          <w:color w:val="000000" w:themeColor="text1"/>
          <w:sz w:val="22"/>
        </w:rPr>
        <w:t xml:space="preserve"> los </w:t>
      </w:r>
      <w:r w:rsidR="00C56110" w:rsidRPr="00F007FF">
        <w:rPr>
          <w:rFonts w:ascii="Arial" w:eastAsia="Calibri" w:hAnsi="Arial" w:cs="Arial"/>
          <w:color w:val="000000" w:themeColor="text1"/>
          <w:sz w:val="22"/>
        </w:rPr>
        <w:t>bienes, obras o servicios que permitan una mejor gestión y mitigación de la situación de emergencia con ocasión de la pandemia derivada del Coronavirus COVID-19, frente</w:t>
      </w:r>
      <w:r w:rsidR="00255635" w:rsidRPr="00F007FF">
        <w:rPr>
          <w:rFonts w:ascii="Arial" w:eastAsia="Calibri" w:hAnsi="Arial" w:cs="Arial"/>
          <w:color w:val="000000" w:themeColor="text1"/>
          <w:sz w:val="22"/>
        </w:rPr>
        <w:t xml:space="preserve"> a aquellas entidades sujetas a la Ley 80 de 1993, al establecer una modificaci</w:t>
      </w:r>
      <w:r w:rsidRPr="00F007FF">
        <w:rPr>
          <w:rFonts w:ascii="Arial" w:eastAsia="Calibri" w:hAnsi="Arial" w:cs="Arial"/>
          <w:color w:val="000000" w:themeColor="text1"/>
          <w:sz w:val="22"/>
        </w:rPr>
        <w:t xml:space="preserve">ón transitoria al </w:t>
      </w:r>
      <w:r w:rsidR="00C56110" w:rsidRPr="00F007FF">
        <w:rPr>
          <w:rFonts w:ascii="Arial" w:eastAsia="Calibri" w:hAnsi="Arial" w:cs="Arial"/>
          <w:color w:val="000000" w:themeColor="text1"/>
          <w:sz w:val="22"/>
        </w:rPr>
        <w:t xml:space="preserve">parágrafo del </w:t>
      </w:r>
      <w:r w:rsidRPr="00F007FF">
        <w:rPr>
          <w:rFonts w:ascii="Arial" w:eastAsia="Calibri" w:hAnsi="Arial" w:cs="Arial"/>
          <w:color w:val="000000" w:themeColor="text1"/>
          <w:sz w:val="22"/>
        </w:rPr>
        <w:t>artículo 40 de la precitada ley</w:t>
      </w:r>
      <w:r w:rsidR="00E809DA" w:rsidRPr="00F007FF">
        <w:rPr>
          <w:rFonts w:ascii="Arial" w:eastAsia="Calibri" w:hAnsi="Arial" w:cs="Arial"/>
          <w:color w:val="000000" w:themeColor="text1"/>
          <w:sz w:val="22"/>
        </w:rPr>
        <w:t>,</w:t>
      </w:r>
      <w:r w:rsidRPr="00F007FF">
        <w:rPr>
          <w:rFonts w:ascii="Arial" w:eastAsia="Calibri" w:hAnsi="Arial" w:cs="Arial"/>
          <w:color w:val="000000" w:themeColor="text1"/>
          <w:sz w:val="22"/>
        </w:rPr>
        <w:t xml:space="preserve"> </w:t>
      </w:r>
      <w:r w:rsidR="009678D4" w:rsidRPr="00F007FF">
        <w:rPr>
          <w:rFonts w:ascii="Arial" w:eastAsia="Calibri" w:hAnsi="Arial" w:cs="Arial"/>
          <w:color w:val="000000" w:themeColor="text1"/>
          <w:sz w:val="22"/>
        </w:rPr>
        <w:t xml:space="preserve">condicionada su duración a </w:t>
      </w:r>
      <w:r w:rsidR="004F1BD4" w:rsidRPr="00F007FF">
        <w:rPr>
          <w:rFonts w:ascii="Arial" w:eastAsia="Calibri" w:hAnsi="Arial" w:cs="Arial"/>
          <w:color w:val="000000" w:themeColor="text1"/>
          <w:sz w:val="22"/>
        </w:rPr>
        <w:t>que la adición se celebre durante la</w:t>
      </w:r>
      <w:r w:rsidR="009678D4" w:rsidRPr="00F007FF">
        <w:rPr>
          <w:rFonts w:ascii="Arial" w:eastAsia="Calibri" w:hAnsi="Arial" w:cs="Arial"/>
          <w:color w:val="000000" w:themeColor="text1"/>
          <w:sz w:val="22"/>
        </w:rPr>
        <w:t xml:space="preserve"> </w:t>
      </w:r>
      <w:r w:rsidR="00C56110" w:rsidRPr="00F007FF">
        <w:rPr>
          <w:rFonts w:ascii="Arial" w:eastAsia="Calibri" w:hAnsi="Arial" w:cs="Arial"/>
          <w:color w:val="000000" w:themeColor="text1"/>
          <w:sz w:val="22"/>
        </w:rPr>
        <w:t xml:space="preserve">vigencia de la </w:t>
      </w:r>
      <w:r w:rsidRPr="00F007FF">
        <w:rPr>
          <w:rFonts w:ascii="Arial" w:eastAsia="Calibri" w:hAnsi="Arial" w:cs="Arial"/>
          <w:color w:val="000000" w:themeColor="text1"/>
          <w:sz w:val="22"/>
        </w:rPr>
        <w:t>emergencia sanitaria</w:t>
      </w:r>
      <w:r w:rsidR="008A1A2D" w:rsidRPr="00F007FF">
        <w:rPr>
          <w:rFonts w:ascii="Arial" w:eastAsia="Calibri" w:hAnsi="Arial" w:cs="Arial"/>
          <w:color w:val="000000" w:themeColor="text1"/>
          <w:sz w:val="22"/>
        </w:rPr>
        <w:t xml:space="preserve">. </w:t>
      </w:r>
      <w:r w:rsidR="00E809DA" w:rsidRPr="00F007FF">
        <w:rPr>
          <w:rFonts w:ascii="Arial" w:eastAsia="Calibri" w:hAnsi="Arial" w:cs="Arial"/>
          <w:color w:val="000000" w:themeColor="text1"/>
          <w:sz w:val="22"/>
        </w:rPr>
        <w:t xml:space="preserve">Esta </w:t>
      </w:r>
      <w:r w:rsidR="008A1A2D" w:rsidRPr="00F007FF">
        <w:rPr>
          <w:rFonts w:ascii="Arial" w:eastAsia="Calibri" w:hAnsi="Arial" w:cs="Arial"/>
          <w:color w:val="000000" w:themeColor="text1"/>
          <w:sz w:val="22"/>
        </w:rPr>
        <w:t>medida impone a la</w:t>
      </w:r>
      <w:r w:rsidR="00C56110" w:rsidRPr="00F007FF">
        <w:rPr>
          <w:rFonts w:ascii="Arial" w:eastAsia="Calibri" w:hAnsi="Arial" w:cs="Arial"/>
          <w:color w:val="000000" w:themeColor="text1"/>
          <w:sz w:val="22"/>
        </w:rPr>
        <w:t xml:space="preserve">s entidades estatales </w:t>
      </w:r>
      <w:r w:rsidR="008A1A2D" w:rsidRPr="00F007FF">
        <w:rPr>
          <w:rFonts w:ascii="Arial" w:eastAsia="Calibri" w:hAnsi="Arial" w:cs="Arial"/>
          <w:color w:val="000000" w:themeColor="text1"/>
          <w:sz w:val="22"/>
        </w:rPr>
        <w:t xml:space="preserve">el deber de justificar la conexidad que existe entre </w:t>
      </w:r>
      <w:r w:rsidR="00CF6B3B" w:rsidRPr="00F007FF">
        <w:rPr>
          <w:rFonts w:ascii="Arial" w:eastAsia="Calibri" w:hAnsi="Arial" w:cs="Arial"/>
          <w:color w:val="000000" w:themeColor="text1"/>
          <w:sz w:val="22"/>
        </w:rPr>
        <w:t>la adición</w:t>
      </w:r>
      <w:r w:rsidR="008A1A2D" w:rsidRPr="00F007FF">
        <w:rPr>
          <w:rFonts w:ascii="Arial" w:eastAsia="Calibri" w:hAnsi="Arial" w:cs="Arial"/>
          <w:color w:val="000000" w:themeColor="text1"/>
          <w:sz w:val="22"/>
        </w:rPr>
        <w:t xml:space="preserve"> y la situación de emergencia. Por tanto, </w:t>
      </w:r>
      <w:r w:rsidR="00CF6B3B" w:rsidRPr="00F007FF">
        <w:rPr>
          <w:rFonts w:ascii="Arial" w:eastAsia="Calibri" w:hAnsi="Arial" w:cs="Arial"/>
          <w:color w:val="000000" w:themeColor="text1"/>
          <w:sz w:val="22"/>
        </w:rPr>
        <w:t xml:space="preserve">las entidades deben </w:t>
      </w:r>
      <w:r w:rsidR="004F1BD4" w:rsidRPr="00F007FF">
        <w:rPr>
          <w:rFonts w:ascii="Arial" w:eastAsia="Calibri" w:hAnsi="Arial" w:cs="Arial"/>
          <w:color w:val="000000" w:themeColor="text1"/>
          <w:sz w:val="22"/>
        </w:rPr>
        <w:t>argumentar</w:t>
      </w:r>
      <w:r w:rsidR="00CF6B3B" w:rsidRPr="00F007FF">
        <w:rPr>
          <w:rFonts w:ascii="Arial" w:eastAsia="Calibri" w:hAnsi="Arial" w:cs="Arial"/>
          <w:color w:val="000000" w:themeColor="text1"/>
          <w:sz w:val="22"/>
        </w:rPr>
        <w:t xml:space="preserve"> suficientemente la adición de los contratos que </w:t>
      </w:r>
      <w:r w:rsidR="008A1A2D" w:rsidRPr="00F007FF">
        <w:rPr>
          <w:rFonts w:ascii="Arial" w:eastAsia="Calibri" w:hAnsi="Arial" w:cs="Arial"/>
          <w:color w:val="000000" w:themeColor="text1"/>
          <w:sz w:val="22"/>
        </w:rPr>
        <w:t xml:space="preserve">se realicen </w:t>
      </w:r>
      <w:r w:rsidR="00CF6B3B" w:rsidRPr="00F007FF">
        <w:rPr>
          <w:rFonts w:ascii="Arial" w:eastAsia="Calibri" w:hAnsi="Arial" w:cs="Arial"/>
          <w:color w:val="000000" w:themeColor="text1"/>
          <w:sz w:val="22"/>
        </w:rPr>
        <w:t>con fundamento en el decreto mencionado</w:t>
      </w:r>
      <w:r w:rsidR="008A1A2D" w:rsidRPr="00F007FF">
        <w:rPr>
          <w:rFonts w:ascii="Arial" w:eastAsia="Calibri" w:hAnsi="Arial" w:cs="Arial"/>
          <w:color w:val="000000" w:themeColor="text1"/>
          <w:sz w:val="22"/>
        </w:rPr>
        <w:t xml:space="preserve">, </w:t>
      </w:r>
      <w:r w:rsidR="00CF6B3B" w:rsidRPr="00F007FF">
        <w:rPr>
          <w:rFonts w:ascii="Arial" w:eastAsia="Calibri" w:hAnsi="Arial" w:cs="Arial"/>
          <w:color w:val="000000" w:themeColor="text1"/>
          <w:sz w:val="22"/>
        </w:rPr>
        <w:t xml:space="preserve">atendiendo a </w:t>
      </w:r>
      <w:r w:rsidR="00E13261" w:rsidRPr="00F007FF">
        <w:rPr>
          <w:rFonts w:ascii="Arial" w:eastAsia="Calibri" w:hAnsi="Arial" w:cs="Arial"/>
          <w:color w:val="000000" w:themeColor="text1"/>
          <w:sz w:val="22"/>
        </w:rPr>
        <w:t>las exigencia</w:t>
      </w:r>
      <w:r w:rsidR="004F1BD4" w:rsidRPr="00F007FF">
        <w:rPr>
          <w:rFonts w:ascii="Arial" w:eastAsia="Calibri" w:hAnsi="Arial" w:cs="Arial"/>
          <w:color w:val="000000" w:themeColor="text1"/>
          <w:sz w:val="22"/>
        </w:rPr>
        <w:t>s</w:t>
      </w:r>
      <w:r w:rsidR="00E13261" w:rsidRPr="00F007FF">
        <w:rPr>
          <w:rFonts w:ascii="Arial" w:eastAsia="Calibri" w:hAnsi="Arial" w:cs="Arial"/>
          <w:color w:val="000000" w:themeColor="text1"/>
          <w:sz w:val="22"/>
        </w:rPr>
        <w:t xml:space="preserve"> para su procedencia establecidas en la misma disposición, lo que implica justificar previamente la necesidad y la forma como dichos bienes y servicios contribuirán a gestionar o mitigar la situación de emergencia</w:t>
      </w:r>
      <w:r w:rsidR="008A1A2D" w:rsidRPr="00F007FF">
        <w:rPr>
          <w:rFonts w:ascii="Arial" w:eastAsia="Calibri" w:hAnsi="Arial" w:cs="Arial"/>
          <w:color w:val="000000" w:themeColor="text1"/>
          <w:sz w:val="22"/>
        </w:rPr>
        <w:t xml:space="preserve">. </w:t>
      </w:r>
    </w:p>
    <w:p w14:paraId="3AD86A16" w14:textId="18F6BA7B" w:rsidR="0066562D" w:rsidRPr="00F007FF" w:rsidRDefault="009678D4" w:rsidP="00F007FF">
      <w:pPr>
        <w:spacing w:after="120" w:line="276" w:lineRule="auto"/>
        <w:ind w:firstLine="709"/>
        <w:jc w:val="both"/>
        <w:rPr>
          <w:rFonts w:ascii="Arial" w:eastAsia="Calibri" w:hAnsi="Arial" w:cs="Arial"/>
          <w:color w:val="000000" w:themeColor="text1"/>
          <w:sz w:val="22"/>
          <w:szCs w:val="22"/>
          <w:lang w:val="es-ES" w:eastAsia="en-US"/>
        </w:rPr>
      </w:pPr>
      <w:r w:rsidRPr="00F007FF">
        <w:rPr>
          <w:rFonts w:ascii="Arial" w:eastAsia="Calibri" w:hAnsi="Arial" w:cs="Arial"/>
          <w:color w:val="000000" w:themeColor="text1"/>
          <w:sz w:val="22"/>
        </w:rPr>
        <w:t xml:space="preserve">Ahora bien, las entidades públicas de régimen especial que </w:t>
      </w:r>
      <w:r w:rsidR="007A3D52" w:rsidRPr="00F007FF">
        <w:rPr>
          <w:rFonts w:ascii="Arial" w:eastAsia="Calibri" w:hAnsi="Arial" w:cs="Arial"/>
          <w:color w:val="000000" w:themeColor="text1"/>
          <w:sz w:val="22"/>
        </w:rPr>
        <w:t xml:space="preserve">están </w:t>
      </w:r>
      <w:r w:rsidRPr="00F007FF">
        <w:rPr>
          <w:rFonts w:ascii="Arial" w:eastAsia="Calibri" w:hAnsi="Arial" w:cs="Arial"/>
          <w:color w:val="000000" w:themeColor="text1"/>
          <w:sz w:val="22"/>
        </w:rPr>
        <w:t xml:space="preserve">exceptuadas de la Ley 80 de 1993 no </w:t>
      </w:r>
      <w:r w:rsidR="00863213" w:rsidRPr="00F007FF">
        <w:rPr>
          <w:rFonts w:ascii="Arial" w:eastAsia="Calibri" w:hAnsi="Arial" w:cs="Arial"/>
          <w:color w:val="000000" w:themeColor="text1"/>
          <w:sz w:val="22"/>
        </w:rPr>
        <w:t xml:space="preserve">están sujetas a </w:t>
      </w:r>
      <w:r w:rsidR="00594BBA" w:rsidRPr="00F007FF">
        <w:rPr>
          <w:rFonts w:ascii="Arial" w:eastAsia="Calibri" w:hAnsi="Arial" w:cs="Arial"/>
          <w:color w:val="000000" w:themeColor="text1"/>
          <w:sz w:val="22"/>
        </w:rPr>
        <w:t>lo dispuesto en el</w:t>
      </w:r>
      <w:r w:rsidRPr="00F007FF">
        <w:rPr>
          <w:rFonts w:ascii="Arial" w:eastAsia="Calibri" w:hAnsi="Arial" w:cs="Arial"/>
          <w:color w:val="000000" w:themeColor="text1"/>
          <w:sz w:val="22"/>
        </w:rPr>
        <w:t xml:space="preserve"> Decreto Legislativo 537 de 2020, </w:t>
      </w:r>
      <w:r w:rsidR="00FD7513" w:rsidRPr="00F007FF">
        <w:rPr>
          <w:rFonts w:ascii="Arial" w:eastAsia="Calibri" w:hAnsi="Arial" w:cs="Arial"/>
          <w:color w:val="000000" w:themeColor="text1"/>
          <w:sz w:val="22"/>
        </w:rPr>
        <w:t>ni tampoco</w:t>
      </w:r>
      <w:r w:rsidR="00863213" w:rsidRPr="00F007FF">
        <w:rPr>
          <w:rFonts w:ascii="Arial" w:eastAsia="Calibri" w:hAnsi="Arial" w:cs="Arial"/>
          <w:color w:val="000000" w:themeColor="text1"/>
          <w:sz w:val="22"/>
        </w:rPr>
        <w:t xml:space="preserve"> a</w:t>
      </w:r>
      <w:r w:rsidR="00FD7513" w:rsidRPr="00F007FF">
        <w:rPr>
          <w:rFonts w:ascii="Arial" w:eastAsia="Calibri" w:hAnsi="Arial" w:cs="Arial"/>
          <w:color w:val="000000" w:themeColor="text1"/>
          <w:sz w:val="22"/>
        </w:rPr>
        <w:t xml:space="preserve"> lo prescrito en el </w:t>
      </w:r>
      <w:r w:rsidR="0066562D" w:rsidRPr="00F007FF">
        <w:rPr>
          <w:rFonts w:ascii="Arial" w:eastAsia="Calibri" w:hAnsi="Arial" w:cs="Arial"/>
          <w:color w:val="000000" w:themeColor="text1"/>
          <w:sz w:val="22"/>
        </w:rPr>
        <w:t xml:space="preserve">parágrafo del artículo 40 de la Ley 80 de 1993 </w:t>
      </w:r>
      <w:r w:rsidR="00FD7513" w:rsidRPr="00F007FF">
        <w:rPr>
          <w:rFonts w:ascii="Arial" w:eastAsia="Calibri" w:hAnsi="Arial" w:cs="Arial"/>
          <w:color w:val="000000" w:themeColor="text1"/>
          <w:sz w:val="22"/>
        </w:rPr>
        <w:t xml:space="preserve">frente al </w:t>
      </w:r>
      <w:r w:rsidR="0066562D" w:rsidRPr="00F007FF">
        <w:rPr>
          <w:rFonts w:ascii="Arial" w:eastAsia="Calibri" w:hAnsi="Arial" w:cs="Arial"/>
          <w:color w:val="000000" w:themeColor="text1"/>
          <w:sz w:val="22"/>
          <w:szCs w:val="22"/>
          <w:lang w:val="es-ES" w:eastAsia="en-US"/>
        </w:rPr>
        <w:t>lí</w:t>
      </w:r>
      <w:r w:rsidR="00FD7513" w:rsidRPr="00F007FF">
        <w:rPr>
          <w:rFonts w:ascii="Arial" w:eastAsia="Calibri" w:hAnsi="Arial" w:cs="Arial"/>
          <w:color w:val="000000" w:themeColor="text1"/>
          <w:sz w:val="22"/>
          <w:szCs w:val="22"/>
          <w:lang w:val="es-ES" w:eastAsia="en-US"/>
        </w:rPr>
        <w:t xml:space="preserve">mite a la </w:t>
      </w:r>
      <w:r w:rsidR="00C56110" w:rsidRPr="00F007FF">
        <w:rPr>
          <w:rFonts w:ascii="Arial" w:eastAsia="Calibri" w:hAnsi="Arial" w:cs="Arial"/>
          <w:color w:val="000000" w:themeColor="text1"/>
          <w:sz w:val="22"/>
          <w:szCs w:val="22"/>
          <w:lang w:val="es-ES" w:eastAsia="en-US"/>
        </w:rPr>
        <w:t>adición de los contratos</w:t>
      </w:r>
      <w:r w:rsidR="00FD7513" w:rsidRPr="00F007FF">
        <w:rPr>
          <w:rFonts w:ascii="Arial" w:eastAsia="Calibri" w:hAnsi="Arial" w:cs="Arial"/>
          <w:color w:val="000000" w:themeColor="text1"/>
          <w:sz w:val="22"/>
          <w:szCs w:val="22"/>
          <w:lang w:val="es-ES" w:eastAsia="en-US"/>
        </w:rPr>
        <w:t xml:space="preserve">, regulado </w:t>
      </w:r>
      <w:r w:rsidR="0066562D" w:rsidRPr="00F007FF">
        <w:rPr>
          <w:rFonts w:ascii="Arial" w:eastAsia="Calibri" w:hAnsi="Arial" w:cs="Arial"/>
          <w:color w:val="000000" w:themeColor="text1"/>
          <w:sz w:val="22"/>
          <w:szCs w:val="22"/>
          <w:lang w:val="es-ES" w:eastAsia="en-US"/>
        </w:rPr>
        <w:t>en el inciso segundo del parágrafo del artículo 40</w:t>
      </w:r>
      <w:r w:rsidR="00FD7513" w:rsidRPr="00F007FF">
        <w:rPr>
          <w:rFonts w:ascii="Arial" w:eastAsia="Calibri" w:hAnsi="Arial" w:cs="Arial"/>
          <w:color w:val="000000" w:themeColor="text1"/>
          <w:sz w:val="22"/>
          <w:szCs w:val="22"/>
          <w:lang w:val="es-ES" w:eastAsia="en-US"/>
        </w:rPr>
        <w:t>, que prescribe</w:t>
      </w:r>
      <w:r w:rsidR="0066562D" w:rsidRPr="00F007FF">
        <w:rPr>
          <w:rFonts w:ascii="Arial" w:eastAsia="Calibri" w:hAnsi="Arial" w:cs="Arial"/>
          <w:color w:val="000000" w:themeColor="text1"/>
          <w:sz w:val="22"/>
          <w:szCs w:val="22"/>
          <w:lang w:val="es-ES" w:eastAsia="en-US"/>
        </w:rPr>
        <w:t>:</w:t>
      </w:r>
      <w:r w:rsidR="0066562D" w:rsidRPr="00F007FF">
        <w:rPr>
          <w:rFonts w:ascii="Arial" w:eastAsia="Calibri" w:hAnsi="Arial" w:cs="Arial"/>
          <w:color w:val="000000" w:themeColor="text1"/>
          <w:sz w:val="27"/>
          <w:szCs w:val="27"/>
          <w:shd w:val="clear" w:color="auto" w:fill="FFFFFF"/>
          <w:lang w:val="es-ES" w:eastAsia="en-US"/>
        </w:rPr>
        <w:t xml:space="preserve"> </w:t>
      </w:r>
      <w:r w:rsidR="0066562D" w:rsidRPr="00F007FF">
        <w:rPr>
          <w:rFonts w:ascii="Arial" w:eastAsia="Calibri" w:hAnsi="Arial" w:cs="Arial"/>
          <w:color w:val="000000" w:themeColor="text1"/>
          <w:sz w:val="22"/>
          <w:szCs w:val="22"/>
          <w:lang w:val="es-ES" w:eastAsia="en-US"/>
        </w:rPr>
        <w:t>«</w:t>
      </w:r>
      <w:r w:rsidR="0066562D" w:rsidRPr="00F007FF">
        <w:rPr>
          <w:rFonts w:ascii="Arial" w:eastAsia="Calibri" w:hAnsi="Arial" w:cs="Arial"/>
          <w:color w:val="000000" w:themeColor="text1"/>
          <w:sz w:val="22"/>
          <w:szCs w:val="22"/>
          <w:shd w:val="clear" w:color="auto" w:fill="FFFFFF"/>
          <w:lang w:val="es-ES" w:eastAsia="en-US"/>
        </w:rPr>
        <w:t>Los contratos no podrán adicionarse en más del cincuenta por ciento (50%) de su valor inicial, expresado éste en salarios mínimos legales mensuales</w:t>
      </w:r>
      <w:r w:rsidR="0066562D" w:rsidRPr="00F007FF">
        <w:rPr>
          <w:rFonts w:ascii="Arial" w:eastAsia="Calibri" w:hAnsi="Arial" w:cs="Arial"/>
          <w:color w:val="000000" w:themeColor="text1"/>
          <w:sz w:val="22"/>
          <w:szCs w:val="22"/>
          <w:lang w:val="es-ES" w:eastAsia="en-US"/>
        </w:rPr>
        <w:t>»</w:t>
      </w:r>
      <w:r w:rsidR="00FD7513" w:rsidRPr="00F007FF">
        <w:rPr>
          <w:rFonts w:ascii="Arial" w:eastAsia="Calibri" w:hAnsi="Arial" w:cs="Arial"/>
          <w:color w:val="000000" w:themeColor="text1"/>
          <w:sz w:val="22"/>
          <w:szCs w:val="22"/>
          <w:shd w:val="clear" w:color="auto" w:fill="FFFFFF"/>
          <w:lang w:val="es-ES" w:eastAsia="en-US"/>
        </w:rPr>
        <w:t xml:space="preserve">, toda vez que sus destinatarios son las entidades sometidas a la Ley 80 de 1993. </w:t>
      </w:r>
    </w:p>
    <w:p w14:paraId="0F9A0786" w14:textId="7D0CE470" w:rsidR="00E13261" w:rsidRPr="00F007FF" w:rsidRDefault="00D40D55">
      <w:pPr>
        <w:spacing w:before="120" w:line="276" w:lineRule="auto"/>
        <w:ind w:firstLine="708"/>
        <w:jc w:val="both"/>
        <w:rPr>
          <w:rFonts w:ascii="Arial" w:eastAsia="Calibri" w:hAnsi="Arial" w:cs="Arial"/>
          <w:color w:val="000000" w:themeColor="text1"/>
          <w:sz w:val="22"/>
        </w:rPr>
      </w:pPr>
      <w:r w:rsidRPr="00F007FF">
        <w:rPr>
          <w:rFonts w:ascii="Arial" w:eastAsia="Calibri" w:hAnsi="Arial" w:cs="Arial"/>
          <w:color w:val="000000" w:themeColor="text1"/>
          <w:sz w:val="22"/>
          <w:lang w:val="es-ES"/>
        </w:rPr>
        <w:t xml:space="preserve">En este sentido, </w:t>
      </w:r>
      <w:r w:rsidR="00FD7513" w:rsidRPr="00F007FF">
        <w:rPr>
          <w:rFonts w:ascii="Arial" w:eastAsia="Calibri" w:hAnsi="Arial" w:cs="Arial"/>
          <w:color w:val="000000" w:themeColor="text1"/>
          <w:sz w:val="22"/>
          <w:lang w:val="es-ES"/>
        </w:rPr>
        <w:t xml:space="preserve">respecto a la adición de los contratos </w:t>
      </w:r>
      <w:r w:rsidR="00C56110" w:rsidRPr="00F007FF">
        <w:rPr>
          <w:rFonts w:ascii="Arial" w:eastAsia="Calibri" w:hAnsi="Arial" w:cs="Arial"/>
          <w:color w:val="000000" w:themeColor="text1"/>
          <w:sz w:val="22"/>
          <w:lang w:val="es-ES"/>
        </w:rPr>
        <w:t>por parte de</w:t>
      </w:r>
      <w:r w:rsidR="00FD7513" w:rsidRPr="00F007FF">
        <w:rPr>
          <w:rFonts w:ascii="Arial" w:eastAsia="Calibri" w:hAnsi="Arial" w:cs="Arial"/>
          <w:color w:val="000000" w:themeColor="text1"/>
          <w:sz w:val="22"/>
          <w:lang w:val="es-ES"/>
        </w:rPr>
        <w:t xml:space="preserve"> las entidades de régimen especial, se resalta que </w:t>
      </w:r>
      <w:r w:rsidR="008A7595" w:rsidRPr="00F007FF">
        <w:rPr>
          <w:rFonts w:ascii="Arial" w:eastAsia="Calibri" w:hAnsi="Arial" w:cs="Arial"/>
          <w:color w:val="000000" w:themeColor="text1"/>
          <w:sz w:val="22"/>
        </w:rPr>
        <w:t xml:space="preserve">son sus manuales de contratación </w:t>
      </w:r>
      <w:r w:rsidR="00614EC3" w:rsidRPr="00F007FF">
        <w:rPr>
          <w:rFonts w:ascii="Arial" w:eastAsia="Calibri" w:hAnsi="Arial" w:cs="Arial"/>
          <w:color w:val="000000" w:themeColor="text1"/>
          <w:sz w:val="22"/>
        </w:rPr>
        <w:t>l</w:t>
      </w:r>
      <w:r w:rsidR="003D11EB" w:rsidRPr="00F007FF">
        <w:rPr>
          <w:rFonts w:ascii="Arial" w:eastAsia="Calibri" w:hAnsi="Arial" w:cs="Arial"/>
          <w:color w:val="000000" w:themeColor="text1"/>
          <w:sz w:val="22"/>
        </w:rPr>
        <w:t>o</w:t>
      </w:r>
      <w:r w:rsidR="00614EC3" w:rsidRPr="00F007FF">
        <w:rPr>
          <w:rFonts w:ascii="Arial" w:eastAsia="Calibri" w:hAnsi="Arial" w:cs="Arial"/>
          <w:color w:val="000000" w:themeColor="text1"/>
          <w:sz w:val="22"/>
        </w:rPr>
        <w:t xml:space="preserve">s que </w:t>
      </w:r>
      <w:r w:rsidR="003D11EB" w:rsidRPr="00F007FF">
        <w:rPr>
          <w:rFonts w:ascii="Arial" w:eastAsia="Calibri" w:hAnsi="Arial" w:cs="Arial"/>
          <w:color w:val="000000" w:themeColor="text1"/>
          <w:sz w:val="22"/>
        </w:rPr>
        <w:t xml:space="preserve">eventualmente </w:t>
      </w:r>
      <w:r w:rsidR="003D11EB" w:rsidRPr="00F007FF">
        <w:rPr>
          <w:rFonts w:ascii="Arial" w:eastAsia="Calibri" w:hAnsi="Arial" w:cs="Arial"/>
          <w:color w:val="000000" w:themeColor="text1"/>
          <w:sz w:val="22"/>
        </w:rPr>
        <w:lastRenderedPageBreak/>
        <w:t xml:space="preserve">podrían establecer </w:t>
      </w:r>
      <w:r w:rsidR="00614EC3" w:rsidRPr="00F007FF">
        <w:rPr>
          <w:rFonts w:ascii="Arial" w:eastAsia="Calibri" w:hAnsi="Arial" w:cs="Arial"/>
          <w:color w:val="000000" w:themeColor="text1"/>
          <w:sz w:val="22"/>
        </w:rPr>
        <w:t>las formas y límites de</w:t>
      </w:r>
      <w:r w:rsidR="00C56110" w:rsidRPr="00F007FF">
        <w:rPr>
          <w:rFonts w:ascii="Arial" w:eastAsia="Calibri" w:hAnsi="Arial" w:cs="Arial"/>
          <w:color w:val="000000" w:themeColor="text1"/>
          <w:sz w:val="22"/>
        </w:rPr>
        <w:t xml:space="preserve"> la</w:t>
      </w:r>
      <w:r w:rsidR="008A7595" w:rsidRPr="00F007FF">
        <w:rPr>
          <w:rFonts w:ascii="Arial" w:eastAsia="Calibri" w:hAnsi="Arial" w:cs="Arial"/>
          <w:color w:val="000000" w:themeColor="text1"/>
          <w:sz w:val="22"/>
        </w:rPr>
        <w:t xml:space="preserve"> adici</w:t>
      </w:r>
      <w:r w:rsidR="00614EC3" w:rsidRPr="00F007FF">
        <w:rPr>
          <w:rFonts w:ascii="Arial" w:eastAsia="Calibri" w:hAnsi="Arial" w:cs="Arial"/>
          <w:color w:val="000000" w:themeColor="text1"/>
          <w:sz w:val="22"/>
        </w:rPr>
        <w:t>ón de los contratos,</w:t>
      </w:r>
      <w:r w:rsidR="00C56110" w:rsidRPr="00F007FF">
        <w:rPr>
          <w:rFonts w:ascii="Arial" w:eastAsia="Calibri" w:hAnsi="Arial" w:cs="Arial"/>
          <w:color w:val="000000" w:themeColor="text1"/>
          <w:sz w:val="22"/>
        </w:rPr>
        <w:t xml:space="preserve"> en caso de que se </w:t>
      </w:r>
      <w:r w:rsidR="00CE215A" w:rsidRPr="00F007FF">
        <w:rPr>
          <w:rFonts w:ascii="Arial" w:eastAsia="Calibri" w:hAnsi="Arial" w:cs="Arial"/>
          <w:color w:val="000000" w:themeColor="text1"/>
          <w:sz w:val="22"/>
        </w:rPr>
        <w:t>establezca</w:t>
      </w:r>
      <w:r w:rsidR="00C56110" w:rsidRPr="00F007FF">
        <w:rPr>
          <w:rFonts w:ascii="Arial" w:eastAsia="Calibri" w:hAnsi="Arial" w:cs="Arial"/>
          <w:color w:val="000000" w:themeColor="text1"/>
          <w:sz w:val="22"/>
        </w:rPr>
        <w:t xml:space="preserve"> alguna regulación al respecto,</w:t>
      </w:r>
      <w:r w:rsidR="00614EC3" w:rsidRPr="00F007FF">
        <w:rPr>
          <w:rFonts w:ascii="Arial" w:eastAsia="Calibri" w:hAnsi="Arial" w:cs="Arial"/>
          <w:color w:val="000000" w:themeColor="text1"/>
          <w:sz w:val="22"/>
        </w:rPr>
        <w:t xml:space="preserve"> </w:t>
      </w:r>
      <w:r w:rsidR="00CE215A" w:rsidRPr="00F007FF">
        <w:rPr>
          <w:rFonts w:ascii="Arial" w:eastAsia="Calibri" w:hAnsi="Arial" w:cs="Arial"/>
          <w:color w:val="000000" w:themeColor="text1"/>
          <w:sz w:val="22"/>
        </w:rPr>
        <w:t>pues a ellas</w:t>
      </w:r>
      <w:r w:rsidR="00863213" w:rsidRPr="00F007FF">
        <w:rPr>
          <w:rFonts w:ascii="Arial" w:eastAsia="Calibri" w:hAnsi="Arial" w:cs="Arial"/>
          <w:color w:val="000000" w:themeColor="text1"/>
          <w:sz w:val="22"/>
        </w:rPr>
        <w:t xml:space="preserve"> </w:t>
      </w:r>
      <w:r w:rsidR="00614EC3" w:rsidRPr="00F007FF">
        <w:rPr>
          <w:rFonts w:ascii="Arial" w:eastAsia="Calibri" w:hAnsi="Arial" w:cs="Arial"/>
          <w:color w:val="000000" w:themeColor="text1"/>
          <w:sz w:val="22"/>
        </w:rPr>
        <w:t>no</w:t>
      </w:r>
      <w:r w:rsidR="00CE215A" w:rsidRPr="00F007FF">
        <w:rPr>
          <w:rFonts w:ascii="Arial" w:eastAsia="Calibri" w:hAnsi="Arial" w:cs="Arial"/>
          <w:color w:val="000000" w:themeColor="text1"/>
          <w:sz w:val="22"/>
        </w:rPr>
        <w:t xml:space="preserve"> le</w:t>
      </w:r>
      <w:r w:rsidR="00614EC3" w:rsidRPr="00F007FF">
        <w:rPr>
          <w:rFonts w:ascii="Arial" w:eastAsia="Calibri" w:hAnsi="Arial" w:cs="Arial"/>
          <w:color w:val="000000" w:themeColor="text1"/>
          <w:sz w:val="22"/>
        </w:rPr>
        <w:t xml:space="preserve"> </w:t>
      </w:r>
      <w:r w:rsidR="00C56110" w:rsidRPr="00F007FF">
        <w:rPr>
          <w:rFonts w:ascii="Arial" w:eastAsia="Calibri" w:hAnsi="Arial" w:cs="Arial"/>
          <w:color w:val="000000" w:themeColor="text1"/>
          <w:sz w:val="22"/>
        </w:rPr>
        <w:t>resultan aplicables las disposiciones establecidas en esta materia en el</w:t>
      </w:r>
      <w:r w:rsidR="00614EC3" w:rsidRPr="00F007FF">
        <w:rPr>
          <w:rFonts w:ascii="Arial" w:eastAsia="Calibri" w:hAnsi="Arial" w:cs="Arial"/>
          <w:color w:val="000000" w:themeColor="text1"/>
          <w:sz w:val="22"/>
        </w:rPr>
        <w:t xml:space="preserve"> Estatuto General de Contratación de la Administración Pública</w:t>
      </w:r>
      <w:r w:rsidR="00863213" w:rsidRPr="00F007FF">
        <w:rPr>
          <w:rFonts w:ascii="Arial" w:eastAsia="Calibri" w:hAnsi="Arial" w:cs="Arial"/>
          <w:color w:val="000000" w:themeColor="text1"/>
          <w:sz w:val="22"/>
        </w:rPr>
        <w:t xml:space="preserve">. </w:t>
      </w:r>
      <w:r w:rsidR="00E13261" w:rsidRPr="00F007FF">
        <w:rPr>
          <w:rFonts w:ascii="Arial" w:eastAsia="Calibri" w:hAnsi="Arial" w:cs="Arial"/>
          <w:color w:val="000000" w:themeColor="text1"/>
          <w:sz w:val="22"/>
        </w:rPr>
        <w:t>En este sentido, los contratos de las entidades estatales exceptuadas de la aplicación del EGCAP</w:t>
      </w:r>
      <w:r w:rsidR="00CE215A" w:rsidRPr="00F007FF">
        <w:rPr>
          <w:rFonts w:ascii="Arial" w:eastAsia="Calibri" w:hAnsi="Arial" w:cs="Arial"/>
          <w:color w:val="000000" w:themeColor="text1"/>
          <w:sz w:val="22"/>
        </w:rPr>
        <w:t>, en principio</w:t>
      </w:r>
      <w:r w:rsidR="00E13261" w:rsidRPr="00F007FF">
        <w:rPr>
          <w:rFonts w:ascii="Arial" w:eastAsia="Calibri" w:hAnsi="Arial" w:cs="Arial"/>
          <w:color w:val="000000" w:themeColor="text1"/>
          <w:sz w:val="22"/>
        </w:rPr>
        <w:t xml:space="preserve"> no tienen un tope respecto al monto de sus adiciones</w:t>
      </w:r>
      <w:r w:rsidR="008C062A" w:rsidRPr="00F007FF">
        <w:rPr>
          <w:rFonts w:ascii="Arial" w:eastAsia="Calibri" w:hAnsi="Arial" w:cs="Arial"/>
          <w:color w:val="000000" w:themeColor="text1"/>
          <w:sz w:val="22"/>
          <w:lang w:val="es-MX"/>
        </w:rPr>
        <w:t xml:space="preserve">, al no resultar aplicable </w:t>
      </w:r>
      <w:r w:rsidR="00CE215A" w:rsidRPr="00F007FF">
        <w:rPr>
          <w:rFonts w:ascii="Arial" w:eastAsia="Calibri" w:hAnsi="Arial" w:cs="Arial"/>
          <w:color w:val="000000" w:themeColor="text1"/>
          <w:sz w:val="22"/>
          <w:lang w:val="es-MX"/>
        </w:rPr>
        <w:t>el límite d</w:t>
      </w:r>
      <w:r w:rsidR="008C062A" w:rsidRPr="00F007FF">
        <w:rPr>
          <w:rFonts w:ascii="Arial" w:eastAsia="Calibri" w:hAnsi="Arial" w:cs="Arial"/>
          <w:color w:val="000000" w:themeColor="text1"/>
          <w:sz w:val="22"/>
          <w:lang w:val="es-MX"/>
        </w:rPr>
        <w:t xml:space="preserve">el parágrafo del artículo 40 de la Ley 80 de 1993; salvo que se establezca </w:t>
      </w:r>
      <w:r w:rsidR="004F1BD4" w:rsidRPr="00F007FF">
        <w:rPr>
          <w:rFonts w:ascii="Arial" w:eastAsia="Calibri" w:hAnsi="Arial" w:cs="Arial"/>
          <w:color w:val="000000" w:themeColor="text1"/>
          <w:sz w:val="22"/>
          <w:lang w:val="es-MX"/>
        </w:rPr>
        <w:t>algún tope o condiciones específicas</w:t>
      </w:r>
      <w:r w:rsidR="008C062A" w:rsidRPr="00F007FF">
        <w:rPr>
          <w:rFonts w:ascii="Arial" w:eastAsia="Calibri" w:hAnsi="Arial" w:cs="Arial"/>
          <w:color w:val="000000" w:themeColor="text1"/>
          <w:sz w:val="22"/>
          <w:lang w:val="es-MX"/>
        </w:rPr>
        <w:t xml:space="preserve"> en sus manuales de contratación, </w:t>
      </w:r>
      <w:r w:rsidR="00CE215A" w:rsidRPr="00F007FF">
        <w:rPr>
          <w:rFonts w:ascii="Arial" w:eastAsia="Calibri" w:hAnsi="Arial" w:cs="Arial"/>
          <w:color w:val="000000" w:themeColor="text1"/>
          <w:sz w:val="22"/>
          <w:lang w:val="es-MX"/>
        </w:rPr>
        <w:t>supuesto</w:t>
      </w:r>
      <w:r w:rsidR="008C062A" w:rsidRPr="00F007FF">
        <w:rPr>
          <w:rFonts w:ascii="Arial" w:eastAsia="Calibri" w:hAnsi="Arial" w:cs="Arial"/>
          <w:color w:val="000000" w:themeColor="text1"/>
          <w:sz w:val="22"/>
          <w:lang w:val="es-MX"/>
        </w:rPr>
        <w:t xml:space="preserve"> en el cual tendrán que respetar dicha regulación. </w:t>
      </w:r>
    </w:p>
    <w:p w14:paraId="63F1AFA8" w14:textId="77777777" w:rsidR="004F1BD4" w:rsidRPr="00F007FF" w:rsidRDefault="004F1BD4" w:rsidP="00F007FF">
      <w:pPr>
        <w:spacing w:line="276" w:lineRule="auto"/>
        <w:ind w:firstLine="709"/>
        <w:jc w:val="both"/>
        <w:rPr>
          <w:rFonts w:ascii="Arial" w:eastAsia="Calibri" w:hAnsi="Arial" w:cs="Arial"/>
          <w:color w:val="000000" w:themeColor="text1"/>
          <w:sz w:val="22"/>
          <w:lang w:val="es-MX"/>
        </w:rPr>
      </w:pPr>
    </w:p>
    <w:p w14:paraId="4877E3D6" w14:textId="0FCD2FF9" w:rsidR="00614EC3" w:rsidRPr="00F007FF" w:rsidRDefault="00614EC3" w:rsidP="00F007FF">
      <w:pPr>
        <w:spacing w:line="276" w:lineRule="auto"/>
        <w:jc w:val="both"/>
        <w:rPr>
          <w:rFonts w:ascii="Arial" w:eastAsia="Calibri" w:hAnsi="Arial" w:cs="Arial"/>
          <w:b/>
          <w:color w:val="000000" w:themeColor="text1"/>
          <w:sz w:val="22"/>
        </w:rPr>
      </w:pPr>
      <w:r w:rsidRPr="00F007FF">
        <w:rPr>
          <w:rFonts w:ascii="Arial" w:eastAsia="Calibri" w:hAnsi="Arial" w:cs="Arial"/>
          <w:b/>
          <w:color w:val="000000" w:themeColor="text1"/>
          <w:sz w:val="22"/>
        </w:rPr>
        <w:t>3. Respuestas</w:t>
      </w:r>
    </w:p>
    <w:p w14:paraId="098BBB1B" w14:textId="3C3D2EF6" w:rsidR="00614EC3" w:rsidRPr="00F007FF" w:rsidRDefault="00614EC3" w:rsidP="00614EC3">
      <w:pPr>
        <w:spacing w:before="120" w:line="276" w:lineRule="auto"/>
        <w:jc w:val="both"/>
        <w:rPr>
          <w:rFonts w:ascii="Arial" w:eastAsia="Calibri" w:hAnsi="Arial" w:cs="Arial"/>
          <w:color w:val="000000" w:themeColor="text1"/>
          <w:sz w:val="22"/>
        </w:rPr>
      </w:pPr>
    </w:p>
    <w:p w14:paraId="3B6AC49B" w14:textId="4DF52004" w:rsidR="00614EC3" w:rsidRPr="00F007FF" w:rsidRDefault="00614EC3" w:rsidP="00614EC3">
      <w:pPr>
        <w:pStyle w:val="Default"/>
        <w:ind w:left="709" w:right="709"/>
        <w:jc w:val="both"/>
        <w:rPr>
          <w:bCs/>
          <w:color w:val="000000" w:themeColor="text1"/>
          <w:sz w:val="21"/>
          <w:szCs w:val="21"/>
          <w:lang w:val="es-ES"/>
        </w:rPr>
      </w:pPr>
      <w:r w:rsidRPr="00F007FF">
        <w:rPr>
          <w:bCs/>
          <w:color w:val="000000" w:themeColor="text1"/>
          <w:sz w:val="21"/>
          <w:szCs w:val="21"/>
          <w:lang w:val="es-ES_tradnl"/>
        </w:rPr>
        <w:t>«</w:t>
      </w:r>
      <w:r w:rsidRPr="00F007FF">
        <w:rPr>
          <w:bCs/>
          <w:color w:val="000000" w:themeColor="text1"/>
          <w:sz w:val="21"/>
          <w:szCs w:val="21"/>
          <w:lang w:val="es-ES"/>
        </w:rPr>
        <w:t xml:space="preserve"> </w:t>
      </w:r>
      <w:r w:rsidRPr="00F007FF">
        <w:rPr>
          <w:color w:val="000000" w:themeColor="text1"/>
          <w:sz w:val="21"/>
          <w:szCs w:val="21"/>
        </w:rPr>
        <w:t xml:space="preserve">Las entidades con régimen especial cuya contratación se rige por el derecho común y como consecuencia se encuentran excluidas a la aplicación de la ley 80 y 1150; como es natural, se rigen exclusivamente por las normas contenidas en sus respectivos manuales, por tanto, es viable concluir que, a estas entidades no les resulta posible acogerse a lo dispuesto en el artículo 8 del decreto 537 de 2020 para adicionar sus contratos por valores que superan en 50% del valor del contrato principal, en tanto que, el decreto precitado adiciono el artículo 40 de la ley 80, ley que no le es aplicable a estas entidades con </w:t>
      </w:r>
      <w:r w:rsidR="00054881" w:rsidRPr="00F007FF">
        <w:rPr>
          <w:color w:val="000000" w:themeColor="text1"/>
          <w:sz w:val="21"/>
          <w:szCs w:val="21"/>
        </w:rPr>
        <w:t>régimen</w:t>
      </w:r>
      <w:r w:rsidRPr="00F007FF">
        <w:rPr>
          <w:color w:val="000000" w:themeColor="text1"/>
          <w:sz w:val="21"/>
          <w:szCs w:val="21"/>
        </w:rPr>
        <w:t xml:space="preserve"> especial de contratación y por tanto deberán acudir estrictamente a lo dispuesto en su manual interno?</w:t>
      </w:r>
    </w:p>
    <w:p w14:paraId="0A054082" w14:textId="77777777" w:rsidR="00614EC3" w:rsidRPr="00F007FF" w:rsidRDefault="00614EC3" w:rsidP="00614EC3">
      <w:pPr>
        <w:ind w:left="709" w:right="709"/>
        <w:jc w:val="both"/>
        <w:rPr>
          <w:rFonts w:ascii="Arial" w:hAnsi="Arial" w:cs="Arial"/>
          <w:color w:val="000000" w:themeColor="text1"/>
          <w:sz w:val="21"/>
          <w:szCs w:val="21"/>
        </w:rPr>
      </w:pPr>
    </w:p>
    <w:p w14:paraId="068878AC" w14:textId="77777777" w:rsidR="00614EC3" w:rsidRPr="00F007FF" w:rsidRDefault="00614EC3" w:rsidP="00614EC3">
      <w:pPr>
        <w:ind w:left="709" w:right="709"/>
        <w:jc w:val="both"/>
        <w:rPr>
          <w:rFonts w:ascii="Arial" w:hAnsi="Arial" w:cs="Arial"/>
          <w:color w:val="000000" w:themeColor="text1"/>
          <w:sz w:val="21"/>
          <w:szCs w:val="21"/>
        </w:rPr>
      </w:pPr>
      <w:r w:rsidRPr="00F007FF">
        <w:rPr>
          <w:rFonts w:ascii="Arial" w:hAnsi="Arial" w:cs="Arial"/>
          <w:bCs/>
          <w:color w:val="000000" w:themeColor="text1"/>
          <w:sz w:val="21"/>
          <w:szCs w:val="21"/>
          <w:lang w:val="es-ES_tradnl"/>
        </w:rPr>
        <w:t>»</w:t>
      </w:r>
      <w:r w:rsidRPr="00F007FF">
        <w:rPr>
          <w:rFonts w:ascii="Arial" w:hAnsi="Arial" w:cs="Arial"/>
          <w:color w:val="000000" w:themeColor="text1"/>
          <w:sz w:val="21"/>
          <w:szCs w:val="21"/>
        </w:rPr>
        <w:t>El contexto de la inquietud antes efectuada surge de ser espectador de como muchas entidades exceptuadas al estatuto de contratación están adicionando contratos con sustento en el decreto 537 de 2020 y no de su manual que si les aplica y a la fecha Colombia compra no se ha pronunciado en el sentido de establecer lineamientos sobre el particular</w:t>
      </w:r>
      <w:r w:rsidRPr="00F007FF">
        <w:rPr>
          <w:rFonts w:ascii="Arial" w:hAnsi="Arial" w:cs="Arial"/>
          <w:bCs/>
          <w:color w:val="000000" w:themeColor="text1"/>
          <w:sz w:val="21"/>
          <w:szCs w:val="21"/>
          <w:lang w:val="es-ES_tradnl"/>
        </w:rPr>
        <w:t xml:space="preserve">» </w:t>
      </w:r>
    </w:p>
    <w:p w14:paraId="123F668A" w14:textId="77777777" w:rsidR="00614EC3" w:rsidRPr="00F007FF" w:rsidRDefault="00614EC3" w:rsidP="00614EC3">
      <w:pPr>
        <w:spacing w:before="120" w:line="276" w:lineRule="auto"/>
        <w:jc w:val="both"/>
        <w:rPr>
          <w:rFonts w:ascii="Arial" w:eastAsia="Calibri" w:hAnsi="Arial" w:cs="Arial"/>
          <w:color w:val="000000" w:themeColor="text1"/>
          <w:sz w:val="22"/>
        </w:rPr>
      </w:pPr>
    </w:p>
    <w:p w14:paraId="26B2817B" w14:textId="77777777" w:rsidR="00D40D55" w:rsidRPr="00F007FF" w:rsidRDefault="00D40D55" w:rsidP="00F007FF">
      <w:pPr>
        <w:spacing w:after="120" w:line="276" w:lineRule="auto"/>
        <w:jc w:val="both"/>
        <w:rPr>
          <w:rFonts w:ascii="Arial" w:eastAsia="Calibri" w:hAnsi="Arial" w:cs="Arial"/>
          <w:color w:val="000000" w:themeColor="text1"/>
          <w:sz w:val="22"/>
        </w:rPr>
      </w:pPr>
      <w:r w:rsidRPr="00F007FF">
        <w:rPr>
          <w:rFonts w:ascii="Arial" w:eastAsia="Calibri" w:hAnsi="Arial" w:cs="Arial"/>
          <w:color w:val="000000" w:themeColor="text1"/>
          <w:sz w:val="22"/>
        </w:rPr>
        <w:t xml:space="preserve">Teniendo en cuenta la pregunta motivo de consulta, se destaca que el artículo 8 del Decreto Legislativo 537 del 2020 permite adicionar los contratos sin límite respecto a su valor frente a los bienes, obras o servicios que permitan una mejor gestión y mitigación de la situación de emergencia con ocasión de la pandemia derivada del Coronavirus COVID-19, frente a aquellas entidades sujetas a la Ley 80 de 1993, al establecer una modificación transitoria al parágrafo del artículo 40 de la precitada ley, condicionada su duración a que la adición se celebre durante la vigencia de la emergencia sanitaria. Esta medida impone a las entidades estatales el deber de justificar la conexidad que existe entre la adición y la situación de emergencia. Por tanto, las entidades deben argumentar suficientemente la adición de los contratos que se realicen con fundamento en el decreto mencionado, atendiendo a las exigencias para su procedencia establecidas en la misma disposición, lo que implica justificar previamente la necesidad y la forma como dichos bienes y servicios contribuirán a gestionar o mitigar la situación de emergencia. </w:t>
      </w:r>
    </w:p>
    <w:p w14:paraId="291E0E00" w14:textId="77777777" w:rsidR="00D40D55" w:rsidRPr="00F007FF" w:rsidRDefault="00D40D55" w:rsidP="00D40D55">
      <w:pPr>
        <w:spacing w:after="120" w:line="276" w:lineRule="auto"/>
        <w:ind w:firstLine="709"/>
        <w:jc w:val="both"/>
        <w:rPr>
          <w:rFonts w:ascii="Arial" w:eastAsia="Calibri" w:hAnsi="Arial" w:cs="Arial"/>
          <w:color w:val="000000" w:themeColor="text1"/>
          <w:sz w:val="22"/>
          <w:szCs w:val="22"/>
          <w:lang w:val="es-ES" w:eastAsia="en-US"/>
        </w:rPr>
      </w:pPr>
      <w:r w:rsidRPr="00F007FF">
        <w:rPr>
          <w:rFonts w:ascii="Arial" w:eastAsia="Calibri" w:hAnsi="Arial" w:cs="Arial"/>
          <w:color w:val="000000" w:themeColor="text1"/>
          <w:sz w:val="22"/>
        </w:rPr>
        <w:lastRenderedPageBreak/>
        <w:t xml:space="preserve">Ahora bien, las entidades públicas de régimen especial que están exceptuadas de la Ley 80 de 1993 no están sujetas a lo dispuesto en el Decreto Legislativo 537 de 2020, ni tampoco a lo prescrito en el parágrafo del artículo 40 de la Ley 80 de 1993 frente al </w:t>
      </w:r>
      <w:r w:rsidRPr="00F007FF">
        <w:rPr>
          <w:rFonts w:ascii="Arial" w:eastAsia="Calibri" w:hAnsi="Arial" w:cs="Arial"/>
          <w:color w:val="000000" w:themeColor="text1"/>
          <w:sz w:val="22"/>
          <w:szCs w:val="22"/>
          <w:lang w:val="es-ES" w:eastAsia="en-US"/>
        </w:rPr>
        <w:t>límite a la adición de los contratos, regulado en el inciso segundo del parágrafo del artículo 40, que prescribe:</w:t>
      </w:r>
      <w:r w:rsidRPr="00F007FF">
        <w:rPr>
          <w:rFonts w:ascii="Arial" w:eastAsia="Calibri" w:hAnsi="Arial" w:cs="Arial"/>
          <w:color w:val="000000" w:themeColor="text1"/>
          <w:sz w:val="27"/>
          <w:szCs w:val="27"/>
          <w:shd w:val="clear" w:color="auto" w:fill="FFFFFF"/>
          <w:lang w:val="es-ES" w:eastAsia="en-US"/>
        </w:rPr>
        <w:t xml:space="preserve"> </w:t>
      </w:r>
      <w:r w:rsidRPr="00F007FF">
        <w:rPr>
          <w:rFonts w:ascii="Arial" w:eastAsia="Calibri" w:hAnsi="Arial" w:cs="Arial"/>
          <w:color w:val="000000" w:themeColor="text1"/>
          <w:sz w:val="22"/>
          <w:szCs w:val="22"/>
          <w:lang w:val="es-ES" w:eastAsia="en-US"/>
        </w:rPr>
        <w:t>«</w:t>
      </w:r>
      <w:r w:rsidRPr="00F007FF">
        <w:rPr>
          <w:rFonts w:ascii="Arial" w:eastAsia="Calibri" w:hAnsi="Arial" w:cs="Arial"/>
          <w:color w:val="000000" w:themeColor="text1"/>
          <w:sz w:val="22"/>
          <w:szCs w:val="22"/>
          <w:shd w:val="clear" w:color="auto" w:fill="FFFFFF"/>
          <w:lang w:val="es-ES" w:eastAsia="en-US"/>
        </w:rPr>
        <w:t>Los contratos no podrán adicionarse en más del cincuenta por ciento (50%) de su valor inicial, expresado éste en salarios mínimos legales mensuales</w:t>
      </w:r>
      <w:r w:rsidRPr="00F007FF">
        <w:rPr>
          <w:rFonts w:ascii="Arial" w:eastAsia="Calibri" w:hAnsi="Arial" w:cs="Arial"/>
          <w:color w:val="000000" w:themeColor="text1"/>
          <w:sz w:val="22"/>
          <w:szCs w:val="22"/>
          <w:lang w:val="es-ES" w:eastAsia="en-US"/>
        </w:rPr>
        <w:t>»</w:t>
      </w:r>
      <w:r w:rsidRPr="00F007FF">
        <w:rPr>
          <w:rFonts w:ascii="Arial" w:eastAsia="Calibri" w:hAnsi="Arial" w:cs="Arial"/>
          <w:color w:val="000000" w:themeColor="text1"/>
          <w:sz w:val="22"/>
          <w:szCs w:val="22"/>
          <w:shd w:val="clear" w:color="auto" w:fill="FFFFFF"/>
          <w:lang w:val="es-ES" w:eastAsia="en-US"/>
        </w:rPr>
        <w:t xml:space="preserve">, toda vez que sus destinatarios son las entidades sometidas a la Ley 80 de 1993. </w:t>
      </w:r>
    </w:p>
    <w:p w14:paraId="0EA7ADF4" w14:textId="6852682B" w:rsidR="00D40D55" w:rsidRPr="00F007FF" w:rsidRDefault="00D40D55" w:rsidP="00D40D55">
      <w:pPr>
        <w:spacing w:line="276" w:lineRule="auto"/>
        <w:ind w:firstLine="709"/>
        <w:jc w:val="both"/>
        <w:rPr>
          <w:rFonts w:ascii="Arial" w:eastAsia="Calibri" w:hAnsi="Arial" w:cs="Arial"/>
          <w:color w:val="000000" w:themeColor="text1"/>
          <w:sz w:val="22"/>
        </w:rPr>
      </w:pPr>
      <w:r w:rsidRPr="00F007FF">
        <w:rPr>
          <w:rFonts w:ascii="Arial" w:eastAsia="Calibri" w:hAnsi="Arial" w:cs="Arial"/>
          <w:color w:val="000000" w:themeColor="text1"/>
          <w:sz w:val="22"/>
          <w:lang w:val="es-ES"/>
        </w:rPr>
        <w:t xml:space="preserve">En este sentido, respecto a la adición de los contratos por parte de las entidades de régimen especial, se resalta que </w:t>
      </w:r>
      <w:r w:rsidRPr="00F007FF">
        <w:rPr>
          <w:rFonts w:ascii="Arial" w:eastAsia="Calibri" w:hAnsi="Arial" w:cs="Arial"/>
          <w:color w:val="000000" w:themeColor="text1"/>
          <w:sz w:val="22"/>
        </w:rPr>
        <w:t>son sus manuales de contratación los que eventualmente podrían establecer las formas y límites de la adición de los contratos, en caso de que se establezca alguna regulación al respecto, pues a ellas no le resultan aplicables las disposiciones establecidas en esta materia en el Estatuto General de Contratación de la Administración Pública. En este sentido, los contratos de las entidades estatales exceptuadas de la aplicación del EGCAP, en principio no tienen un tope respecto al monto de sus adiciones</w:t>
      </w:r>
      <w:r w:rsidRPr="00F007FF">
        <w:rPr>
          <w:rFonts w:ascii="Arial" w:eastAsia="Calibri" w:hAnsi="Arial" w:cs="Arial"/>
          <w:color w:val="000000" w:themeColor="text1"/>
          <w:sz w:val="22"/>
          <w:lang w:val="es-MX"/>
        </w:rPr>
        <w:t>, al no resultar aplicable el límite del parágrafo del artículo 40 de la Ley 80 de 1993; salvo que se establezca algún tope o condiciones específicas en sus manuales de contratación, supuesto en el cual tendrán que respetar dicha regulación.</w:t>
      </w:r>
    </w:p>
    <w:p w14:paraId="33547843" w14:textId="6B008949" w:rsidR="005B1E0E" w:rsidRPr="003D11EB" w:rsidRDefault="005B1E0E" w:rsidP="005B1E0E">
      <w:pPr>
        <w:spacing w:line="276" w:lineRule="auto"/>
        <w:ind w:firstLine="709"/>
        <w:jc w:val="both"/>
        <w:rPr>
          <w:rFonts w:ascii="Arial" w:hAnsi="Arial" w:cs="Arial"/>
          <w:color w:val="000000" w:themeColor="text1"/>
          <w:sz w:val="22"/>
          <w:lang w:val="es-ES_tradnl"/>
        </w:rPr>
      </w:pPr>
    </w:p>
    <w:p w14:paraId="663CAA78" w14:textId="7248AABB" w:rsidR="005B1E0E" w:rsidRPr="003D11EB" w:rsidRDefault="005B1E0E" w:rsidP="005B1E0E">
      <w:pPr>
        <w:spacing w:after="120" w:line="276" w:lineRule="auto"/>
        <w:jc w:val="both"/>
        <w:rPr>
          <w:rFonts w:ascii="Arial" w:hAnsi="Arial" w:cs="Arial"/>
          <w:color w:val="000000" w:themeColor="text1"/>
          <w:sz w:val="22"/>
          <w:lang w:val="es-ES_tradnl"/>
        </w:rPr>
      </w:pPr>
      <w:r w:rsidRPr="003D11EB">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064A72B" w14:textId="77777777" w:rsidR="005B1E0E" w:rsidRPr="003D11EB" w:rsidRDefault="005B1E0E" w:rsidP="005B1E0E">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06DF3D6" w14:textId="77777777" w:rsidR="005B1E0E" w:rsidRPr="003D11EB" w:rsidRDefault="005B1E0E" w:rsidP="005B1E0E">
      <w:pPr>
        <w:pStyle w:val="NormalWeb"/>
        <w:spacing w:before="0" w:beforeAutospacing="0" w:after="0" w:afterAutospacing="0" w:line="276" w:lineRule="auto"/>
        <w:jc w:val="both"/>
        <w:rPr>
          <w:color w:val="000000" w:themeColor="text1"/>
          <w:lang w:val="es-ES_tradnl"/>
        </w:rPr>
      </w:pPr>
      <w:r w:rsidRPr="003D11EB">
        <w:rPr>
          <w:rFonts w:ascii="Arial" w:hAnsi="Arial" w:cs="Arial"/>
          <w:color w:val="000000" w:themeColor="text1"/>
          <w:sz w:val="22"/>
          <w:szCs w:val="22"/>
          <w:lang w:val="es-ES_tradnl"/>
        </w:rPr>
        <w:t>Atentamente,</w:t>
      </w:r>
    </w:p>
    <w:p w14:paraId="4FBFD4A9" w14:textId="245781B0" w:rsidR="005B1E0E" w:rsidRPr="003D11EB" w:rsidRDefault="005B1E0E" w:rsidP="00FA67C5">
      <w:pPr>
        <w:ind w:right="709"/>
        <w:jc w:val="both"/>
        <w:rPr>
          <w:rFonts w:ascii="Arial" w:hAnsi="Arial" w:cs="Arial"/>
          <w:color w:val="000000" w:themeColor="text1"/>
          <w:sz w:val="21"/>
          <w:szCs w:val="21"/>
        </w:rPr>
      </w:pPr>
    </w:p>
    <w:p w14:paraId="09D6B842" w14:textId="0D69AA40" w:rsidR="005B1E0E" w:rsidRPr="003D11EB" w:rsidRDefault="00631FF4" w:rsidP="005B1E0E">
      <w:pPr>
        <w:jc w:val="center"/>
        <w:rPr>
          <w:rFonts w:ascii="Arial" w:hAnsi="Arial" w:cs="Arial"/>
          <w:color w:val="000000" w:themeColor="text1"/>
          <w:sz w:val="18"/>
          <w:szCs w:val="20"/>
          <w:lang w:val="es-ES_tradnl" w:eastAsia="es-CO"/>
        </w:rPr>
      </w:pPr>
      <w:r>
        <w:rPr>
          <w:noProof/>
        </w:rPr>
        <w:drawing>
          <wp:inline distT="0" distB="0" distL="0" distR="0" wp14:anchorId="29B51C63" wp14:editId="240ED237">
            <wp:extent cx="2000250" cy="886460"/>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886460"/>
                    </a:xfrm>
                    <a:prstGeom prst="rect">
                      <a:avLst/>
                    </a:prstGeom>
                    <a:noFill/>
                    <a:ln>
                      <a:noFill/>
                    </a:ln>
                  </pic:spPr>
                </pic:pic>
              </a:graphicData>
            </a:graphic>
          </wp:inline>
        </w:drawing>
      </w:r>
    </w:p>
    <w:p w14:paraId="0D676F9B" w14:textId="77777777" w:rsidR="005B1E0E" w:rsidRPr="003D11EB" w:rsidRDefault="005B1E0E" w:rsidP="005B1E0E">
      <w:pPr>
        <w:jc w:val="center"/>
        <w:rPr>
          <w:rFonts w:ascii="Arial" w:hAnsi="Arial" w:cs="Arial"/>
          <w:color w:val="000000" w:themeColor="text1"/>
          <w:sz w:val="18"/>
          <w:szCs w:val="20"/>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D11EB" w:rsidRPr="003D11EB" w14:paraId="455FA724" w14:textId="77777777" w:rsidTr="009B718D">
        <w:trPr>
          <w:trHeight w:val="315"/>
        </w:trPr>
        <w:tc>
          <w:tcPr>
            <w:tcW w:w="812" w:type="dxa"/>
            <w:vAlign w:val="center"/>
            <w:hideMark/>
          </w:tcPr>
          <w:p w14:paraId="5431468E"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16C86BD"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José Luis Sánchez Cardona</w:t>
            </w:r>
          </w:p>
          <w:p w14:paraId="3B79A946"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Contratista de la Subdirección de Gestión Contractual</w:t>
            </w:r>
          </w:p>
        </w:tc>
      </w:tr>
      <w:tr w:rsidR="003D11EB" w:rsidRPr="003D11EB" w14:paraId="16CB8277" w14:textId="77777777" w:rsidTr="009B718D">
        <w:trPr>
          <w:trHeight w:val="330"/>
        </w:trPr>
        <w:tc>
          <w:tcPr>
            <w:tcW w:w="812" w:type="dxa"/>
            <w:vAlign w:val="center"/>
            <w:hideMark/>
          </w:tcPr>
          <w:p w14:paraId="019BE4AD"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A07718"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Sebastián Ramírez Grisales</w:t>
            </w:r>
          </w:p>
          <w:p w14:paraId="2B05C10B" w14:textId="7189101B"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Contratista de la Subdirección de Gestión Contractual</w:t>
            </w:r>
          </w:p>
        </w:tc>
      </w:tr>
      <w:tr w:rsidR="005B1E0E" w:rsidRPr="003D11EB" w14:paraId="21415186" w14:textId="77777777" w:rsidTr="009B718D">
        <w:trPr>
          <w:trHeight w:val="300"/>
        </w:trPr>
        <w:tc>
          <w:tcPr>
            <w:tcW w:w="812" w:type="dxa"/>
            <w:vAlign w:val="center"/>
            <w:hideMark/>
          </w:tcPr>
          <w:p w14:paraId="1858BCF1"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551563"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Jorge Augusto Tirado Navarro</w:t>
            </w:r>
          </w:p>
          <w:p w14:paraId="1E223469" w14:textId="77777777" w:rsidR="005B1E0E" w:rsidRPr="003D11EB" w:rsidRDefault="005B1E0E" w:rsidP="009B718D">
            <w:pPr>
              <w:rPr>
                <w:rFonts w:ascii="Arial" w:hAnsi="Arial" w:cs="Arial"/>
                <w:color w:val="000000" w:themeColor="text1"/>
                <w:sz w:val="16"/>
                <w:szCs w:val="16"/>
                <w:lang w:val="es-ES_tradnl" w:eastAsia="es-ES"/>
              </w:rPr>
            </w:pPr>
            <w:r w:rsidRPr="003D11EB">
              <w:rPr>
                <w:rFonts w:ascii="Arial" w:hAnsi="Arial" w:cs="Arial"/>
                <w:color w:val="000000" w:themeColor="text1"/>
                <w:sz w:val="16"/>
                <w:szCs w:val="16"/>
                <w:lang w:val="es-ES_tradnl" w:eastAsia="es-ES"/>
              </w:rPr>
              <w:t>Subdirector de Gestión Contractual ANCP – CCE</w:t>
            </w:r>
          </w:p>
        </w:tc>
      </w:tr>
    </w:tbl>
    <w:p w14:paraId="54262888" w14:textId="77777777" w:rsidR="008A1A2D" w:rsidRPr="003D11EB" w:rsidRDefault="008A1A2D" w:rsidP="00FA67C5">
      <w:pPr>
        <w:ind w:right="709"/>
        <w:jc w:val="both"/>
        <w:rPr>
          <w:rFonts w:ascii="Arial" w:hAnsi="Arial" w:cs="Arial"/>
          <w:color w:val="000000" w:themeColor="text1"/>
          <w:sz w:val="21"/>
          <w:szCs w:val="21"/>
        </w:rPr>
      </w:pPr>
    </w:p>
    <w:sectPr w:rsidR="008A1A2D" w:rsidRPr="003D11EB" w:rsidSect="00CE3F2A">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48EF6" w14:textId="77777777" w:rsidR="00BB03D4" w:rsidRDefault="00BB03D4">
      <w:r>
        <w:separator/>
      </w:r>
    </w:p>
  </w:endnote>
  <w:endnote w:type="continuationSeparator" w:id="0">
    <w:p w14:paraId="179BC011" w14:textId="77777777" w:rsidR="00BB03D4" w:rsidRDefault="00BB03D4">
      <w:r>
        <w:continuationSeparator/>
      </w:r>
    </w:p>
  </w:endnote>
  <w:endnote w:type="continuationNotice" w:id="1">
    <w:p w14:paraId="7B861F25" w14:textId="77777777" w:rsidR="00BB03D4" w:rsidRDefault="00BB03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33E9" w:rsidRDefault="001533E9" w:rsidP="00322937">
    <w:pPr>
      <w:pStyle w:val="Sinespaciado"/>
      <w:jc w:val="right"/>
      <w:rPr>
        <w:rFonts w:ascii="Arial" w:hAnsi="Arial" w:cs="Arial"/>
        <w:sz w:val="18"/>
        <w:szCs w:val="18"/>
      </w:rPr>
    </w:pPr>
  </w:p>
  <w:p w14:paraId="7A3785F3" w14:textId="2D8D4C24" w:rsidR="001533E9" w:rsidRPr="008217B7" w:rsidRDefault="001533E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B75A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B75A1">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1533E9" w:rsidRDefault="001533E9"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33E9" w:rsidRDefault="001533E9" w:rsidP="007B0854">
    <w:pPr>
      <w:pStyle w:val="Piedepgina"/>
      <w:jc w:val="center"/>
      <w:rPr>
        <w:lang w:val="es-ES"/>
      </w:rPr>
    </w:pPr>
  </w:p>
  <w:p w14:paraId="6C0EFC49" w14:textId="77777777" w:rsidR="001533E9" w:rsidRPr="007B0854" w:rsidRDefault="001533E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AE9C8" w14:textId="77777777" w:rsidR="00BB03D4" w:rsidRDefault="00BB03D4">
      <w:r>
        <w:separator/>
      </w:r>
    </w:p>
  </w:footnote>
  <w:footnote w:type="continuationSeparator" w:id="0">
    <w:p w14:paraId="32836CCF" w14:textId="77777777" w:rsidR="00BB03D4" w:rsidRDefault="00BB03D4">
      <w:r>
        <w:continuationSeparator/>
      </w:r>
    </w:p>
  </w:footnote>
  <w:footnote w:type="continuationNotice" w:id="1">
    <w:p w14:paraId="3E272148" w14:textId="77777777" w:rsidR="00BB03D4" w:rsidRDefault="00BB03D4"/>
  </w:footnote>
  <w:footnote w:id="2">
    <w:p w14:paraId="5B0D81E0" w14:textId="77777777" w:rsidR="008F7388" w:rsidRPr="003D11EB" w:rsidRDefault="008F7388" w:rsidP="008F7388">
      <w:pPr>
        <w:pStyle w:val="Textonotapie"/>
        <w:ind w:firstLine="708"/>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8"/>
          <w:szCs w:val="18"/>
        </w:rPr>
        <w:footnoteRef/>
      </w:r>
      <w:r w:rsidRPr="003D11EB">
        <w:rPr>
          <w:rFonts w:ascii="Arial" w:hAnsi="Arial" w:cs="Arial"/>
          <w:color w:val="000000" w:themeColor="text1"/>
          <w:sz w:val="18"/>
          <w:szCs w:val="18"/>
        </w:rPr>
        <w:t xml:space="preserve"> L</w:t>
      </w:r>
      <w:r w:rsidRPr="003D11EB">
        <w:rPr>
          <w:rFonts w:ascii="Arial" w:hAnsi="Arial" w:cs="Arial"/>
          <w:color w:val="000000" w:themeColor="text1"/>
          <w:sz w:val="19"/>
          <w:szCs w:val="19"/>
        </w:rPr>
        <w:t xml:space="preserve">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D11EB">
        <w:rPr>
          <w:rFonts w:ascii="Arial" w:hAnsi="Arial" w:cs="Arial"/>
          <w:i/>
          <w:iCs/>
          <w:color w:val="000000" w:themeColor="text1"/>
          <w:sz w:val="19"/>
          <w:szCs w:val="19"/>
        </w:rPr>
        <w:t xml:space="preserve">ibidem </w:t>
      </w:r>
      <w:r w:rsidRPr="003D11EB">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03C5DF2" w14:textId="77777777" w:rsidR="008F7388" w:rsidRPr="003D11EB" w:rsidRDefault="008F7388" w:rsidP="008F7388">
      <w:pPr>
        <w:pStyle w:val="Textonotapie"/>
        <w:ind w:firstLine="709"/>
        <w:jc w:val="both"/>
        <w:rPr>
          <w:rFonts w:ascii="Arial" w:hAnsi="Arial" w:cs="Arial"/>
          <w:color w:val="000000" w:themeColor="text1"/>
          <w:sz w:val="19"/>
          <w:szCs w:val="19"/>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4">
    <w:p w14:paraId="16ECD227" w14:textId="77777777" w:rsidR="008F7388" w:rsidRPr="003D11EB" w:rsidRDefault="008F7388" w:rsidP="008F7388">
      <w:pPr>
        <w:pStyle w:val="Textonotapie"/>
        <w:ind w:firstLine="709"/>
        <w:jc w:val="both"/>
        <w:rPr>
          <w:rFonts w:ascii="Arial" w:hAnsi="Arial" w:cs="Arial"/>
          <w:color w:val="000000" w:themeColor="text1"/>
          <w:sz w:val="19"/>
          <w:szCs w:val="19"/>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Consejo de Estado. Sección Tercera. Radicado No. 45.607 del 24 de octubre de 2016. Consejera Ponente: María Nubia Velásquez Rico.</w:t>
      </w:r>
    </w:p>
    <w:p w14:paraId="1646CF5A"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p>
  </w:footnote>
  <w:footnote w:id="5">
    <w:p w14:paraId="358D777A"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Primera edición. Bogotá: Legis - Universidad de la Sabana, 2019. </w:t>
      </w:r>
    </w:p>
  </w:footnote>
  <w:footnote w:id="6">
    <w:p w14:paraId="0F2D5D9D" w14:textId="77777777" w:rsidR="008F7388" w:rsidRPr="003D11EB" w:rsidRDefault="008F7388" w:rsidP="008F7388">
      <w:pPr>
        <w:pStyle w:val="Textonotapie"/>
        <w:ind w:firstLine="708"/>
        <w:jc w:val="both"/>
        <w:rPr>
          <w:rFonts w:ascii="Arial" w:hAnsi="Arial" w:cs="Arial"/>
          <w:color w:val="000000" w:themeColor="text1"/>
          <w:sz w:val="19"/>
          <w:szCs w:val="19"/>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Artículo 31. Régimen de la contratación. [Artículo modificado por el artículo 3 de la Ley 689 de 2001]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5A6CFECA" w14:textId="77777777" w:rsidR="008F7388" w:rsidRPr="003D11EB" w:rsidRDefault="008F7388" w:rsidP="008F7388">
      <w:pPr>
        <w:pStyle w:val="Textonotapie"/>
        <w:ind w:firstLine="708"/>
        <w:jc w:val="both"/>
        <w:rPr>
          <w:rFonts w:ascii="Arial" w:hAnsi="Arial" w:cs="Arial"/>
          <w:color w:val="000000" w:themeColor="text1"/>
          <w:sz w:val="19"/>
          <w:szCs w:val="19"/>
        </w:rPr>
      </w:pPr>
      <w:r w:rsidRPr="003D11EB">
        <w:rPr>
          <w:rFonts w:ascii="Arial" w:hAnsi="Arial" w:cs="Arial"/>
          <w:i/>
          <w:iCs/>
          <w:color w:val="000000" w:themeColor="text1"/>
          <w:sz w:val="19"/>
          <w:szCs w:val="19"/>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w:t>
      </w:r>
      <w:r w:rsidRPr="003D11EB">
        <w:rPr>
          <w:rFonts w:ascii="Arial" w:hAnsi="Arial" w:cs="Arial"/>
          <w:color w:val="000000" w:themeColor="text1"/>
          <w:sz w:val="19"/>
          <w:szCs w:val="19"/>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 (Cursiva fuera del original).</w:t>
      </w:r>
    </w:p>
  </w:footnote>
  <w:footnote w:id="7">
    <w:p w14:paraId="22777269" w14:textId="77777777" w:rsidR="008F7388" w:rsidRPr="003D11EB" w:rsidRDefault="008F7388" w:rsidP="008F7388">
      <w:pPr>
        <w:pStyle w:val="Textonotapie"/>
        <w:ind w:firstLine="709"/>
        <w:jc w:val="both"/>
        <w:rPr>
          <w:rFonts w:ascii="Arial" w:hAnsi="Arial" w:cs="Arial"/>
          <w:color w:val="000000" w:themeColor="text1"/>
          <w:sz w:val="19"/>
          <w:szCs w:val="19"/>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Este fenómeno también se ha presentado, en los últimos años, en España. Al respecto, ver: SÁNCHEZ MORÓN, Miguel. El retorno del derecho administrativo. En: Revista de Administración Pública. Nº 216 (2018). Disponible en: https://recyt.fecyt.es/index.php/RAP/article/view/67033.</w:t>
      </w:r>
    </w:p>
  </w:footnote>
  <w:footnote w:id="8">
    <w:p w14:paraId="5B6CF69E"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hAnsi="Arial" w:cs="Arial"/>
          <w:color w:val="000000" w:themeColor="text1"/>
          <w:sz w:val="19"/>
          <w:szCs w:val="19"/>
          <w:lang w:val="es-ES"/>
        </w:rPr>
        <w:t xml:space="preserve">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 </w:t>
      </w:r>
    </w:p>
  </w:footnote>
  <w:footnote w:id="9">
    <w:p w14:paraId="7E3DE862"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0">
    <w:p w14:paraId="2808E167" w14:textId="77777777" w:rsidR="008F7388" w:rsidRPr="003D11EB" w:rsidRDefault="008F7388" w:rsidP="008F7388">
      <w:pPr>
        <w:pStyle w:val="Textonotapie"/>
        <w:ind w:firstLine="709"/>
        <w:jc w:val="both"/>
        <w:rPr>
          <w:rFonts w:ascii="Arial" w:hAnsi="Arial" w:cs="Arial"/>
          <w:color w:val="000000" w:themeColor="text1"/>
          <w:sz w:val="19"/>
          <w:szCs w:val="19"/>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77BBF22C" w14:textId="77777777" w:rsidR="008F7388" w:rsidRPr="003D11EB" w:rsidRDefault="008F7388" w:rsidP="008F7388">
      <w:pPr>
        <w:pStyle w:val="Textonotapie"/>
        <w:ind w:firstLine="709"/>
        <w:jc w:val="both"/>
        <w:rPr>
          <w:rFonts w:ascii="Arial" w:hAnsi="Arial" w:cs="Arial"/>
          <w:color w:val="000000" w:themeColor="text1"/>
          <w:sz w:val="19"/>
          <w:szCs w:val="19"/>
        </w:rPr>
      </w:pPr>
      <w:r w:rsidRPr="003D11EB">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00468650" w14:textId="77777777" w:rsidR="008F7388" w:rsidRPr="003D11EB" w:rsidRDefault="008F7388" w:rsidP="008F7388">
      <w:pPr>
        <w:pStyle w:val="Textonotapie"/>
        <w:ind w:firstLine="709"/>
        <w:jc w:val="both"/>
        <w:rPr>
          <w:rFonts w:ascii="Arial" w:hAnsi="Arial" w:cs="Arial"/>
          <w:color w:val="000000" w:themeColor="text1"/>
          <w:sz w:val="19"/>
          <w:szCs w:val="19"/>
        </w:rPr>
      </w:pPr>
      <w:r w:rsidRPr="003D11EB">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2C9B5626" w14:textId="77777777" w:rsidR="008F7388" w:rsidRPr="003D11EB" w:rsidRDefault="008F7388" w:rsidP="008F7388">
      <w:pPr>
        <w:pStyle w:val="Textonotapie"/>
        <w:ind w:firstLine="709"/>
        <w:jc w:val="both"/>
        <w:rPr>
          <w:rFonts w:ascii="Arial" w:hAnsi="Arial" w:cs="Arial"/>
          <w:color w:val="000000" w:themeColor="text1"/>
          <w:sz w:val="19"/>
          <w:szCs w:val="19"/>
        </w:rPr>
      </w:pPr>
      <w:r w:rsidRPr="003D11EB">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5E44B44A"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footnote>
  <w:footnote w:id="11">
    <w:p w14:paraId="0CC563DC" w14:textId="77777777" w:rsidR="008F7388" w:rsidRPr="003D11EB" w:rsidRDefault="008F7388" w:rsidP="008F7388">
      <w:pPr>
        <w:pStyle w:val="Textonotapie"/>
        <w:ind w:firstLine="708"/>
        <w:jc w:val="both"/>
        <w:rPr>
          <w:rFonts w:ascii="Arial" w:hAnsi="Arial" w:cs="Arial"/>
          <w:color w:val="000000" w:themeColor="text1"/>
          <w:sz w:val="19"/>
          <w:szCs w:val="19"/>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 </w:t>
      </w:r>
    </w:p>
    <w:p w14:paraId="0B94B4C2" w14:textId="77777777" w:rsidR="008F7388" w:rsidRPr="003D11EB" w:rsidRDefault="008F7388" w:rsidP="008F7388">
      <w:pPr>
        <w:pStyle w:val="Textonotapie"/>
        <w:ind w:firstLine="708"/>
        <w:jc w:val="both"/>
        <w:rPr>
          <w:rFonts w:ascii="Arial" w:hAnsi="Arial" w:cs="Arial"/>
          <w:color w:val="000000" w:themeColor="text1"/>
          <w:sz w:val="19"/>
          <w:szCs w:val="19"/>
        </w:rPr>
      </w:pPr>
      <w:r w:rsidRPr="003D11EB">
        <w:rPr>
          <w:rFonts w:ascii="Arial" w:hAnsi="Arial" w:cs="Arial"/>
          <w:color w:val="000000" w:themeColor="text1"/>
          <w:sz w:val="19"/>
          <w:szCs w:val="19"/>
        </w:rPr>
        <w:t xml:space="preserve">»Por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62E7350A" w14:textId="77777777" w:rsidR="008F7388" w:rsidRPr="003D11EB" w:rsidRDefault="008F7388" w:rsidP="008F7388">
      <w:pPr>
        <w:pStyle w:val="Textonotapie"/>
        <w:ind w:firstLine="708"/>
        <w:jc w:val="both"/>
        <w:rPr>
          <w:rFonts w:ascii="Arial" w:hAnsi="Arial" w:cs="Arial"/>
          <w:color w:val="000000" w:themeColor="text1"/>
          <w:sz w:val="19"/>
          <w:szCs w:val="19"/>
          <w:lang w:val="es-CO"/>
        </w:rPr>
      </w:pPr>
      <w:r w:rsidRPr="003D11EB">
        <w:rPr>
          <w:rFonts w:ascii="Arial" w:hAnsi="Arial" w:cs="Arial"/>
          <w:color w:val="000000" w:themeColor="text1"/>
          <w:sz w:val="19"/>
          <w:szCs w:val="19"/>
        </w:rPr>
        <w:t>»Esta tesis –de absoluta razonabilidad–,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12">
    <w:p w14:paraId="5AEAB42C"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hAnsi="Arial" w:cs="Arial"/>
          <w:color w:val="000000" w:themeColor="text1"/>
          <w:sz w:val="19"/>
          <w:szCs w:val="19"/>
          <w:lang w:val="es-ES"/>
        </w:rPr>
        <w:t xml:space="preserve">Sobre el concepto de </w:t>
      </w:r>
      <w:r w:rsidRPr="003D11EB">
        <w:rPr>
          <w:rFonts w:ascii="Arial" w:hAnsi="Arial" w:cs="Arial"/>
          <w:i/>
          <w:color w:val="000000" w:themeColor="text1"/>
          <w:sz w:val="19"/>
          <w:szCs w:val="19"/>
          <w:lang w:val="es-ES"/>
        </w:rPr>
        <w:t>lagunas</w:t>
      </w:r>
      <w:r w:rsidRPr="003D11EB">
        <w:rPr>
          <w:rFonts w:ascii="Arial" w:hAnsi="Arial" w:cs="Arial"/>
          <w:color w:val="000000" w:themeColor="text1"/>
          <w:sz w:val="19"/>
          <w:szCs w:val="19"/>
          <w:lang w:val="es-ES"/>
        </w:rPr>
        <w:t xml:space="preserve"> en el sistema normativo, es decir, de </w:t>
      </w:r>
      <w:r w:rsidRPr="003D11EB">
        <w:rPr>
          <w:rFonts w:ascii="Arial" w:hAnsi="Arial" w:cs="Arial"/>
          <w:i/>
          <w:color w:val="000000" w:themeColor="text1"/>
          <w:sz w:val="19"/>
          <w:szCs w:val="19"/>
          <w:lang w:val="es-ES"/>
        </w:rPr>
        <w:t>vacíos</w:t>
      </w:r>
      <w:r w:rsidRPr="003D11EB">
        <w:rPr>
          <w:rFonts w:ascii="Arial" w:hAnsi="Arial" w:cs="Arial"/>
          <w:color w:val="000000" w:themeColor="text1"/>
          <w:sz w:val="19"/>
          <w:szCs w:val="19"/>
          <w:lang w:val="es-ES"/>
        </w:rPr>
        <w:t xml:space="preserve"> de regulación, puede verse: GARCÍA MÁYNEZ, Eduardo. Filosofía del Derecho. 17ª ed. México: Porrúa, 2011. pp. 222-245.</w:t>
      </w:r>
    </w:p>
  </w:footnote>
  <w:footnote w:id="13">
    <w:p w14:paraId="790ED944"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p>
  </w:footnote>
  <w:footnote w:id="14">
    <w:p w14:paraId="49B20B60" w14:textId="77777777" w:rsidR="008F7388" w:rsidRPr="003D11EB" w:rsidRDefault="008F7388" w:rsidP="008F7388">
      <w:pPr>
        <w:pStyle w:val="Textonotapie"/>
        <w:ind w:firstLine="709"/>
        <w:jc w:val="both"/>
        <w:rPr>
          <w:rFonts w:ascii="Arial" w:hAnsi="Arial" w:cs="Arial"/>
          <w:color w:val="000000" w:themeColor="text1"/>
          <w:sz w:val="19"/>
          <w:szCs w:val="19"/>
          <w:lang w:val="es-ES_tradnl"/>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eastAsia="Calibri" w:hAnsi="Arial" w:cs="Arial"/>
          <w:color w:val="000000" w:themeColor="text1"/>
          <w:sz w:val="19"/>
          <w:szCs w:val="19"/>
          <w:lang w:val="es-ES_tradnl"/>
        </w:rPr>
        <w:t>Bien por la reserva legal de las materias o porque no las reguló.</w:t>
      </w:r>
    </w:p>
  </w:footnote>
  <w:footnote w:id="15">
    <w:p w14:paraId="4E6B3D83"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hAnsi="Arial" w:cs="Arial"/>
          <w:color w:val="000000" w:themeColor="text1"/>
          <w:sz w:val="19"/>
          <w:szCs w:val="19"/>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footnote>
  <w:footnote w:id="16">
    <w:p w14:paraId="0323AA0D"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hAnsi="Arial" w:cs="Arial"/>
          <w:color w:val="000000" w:themeColor="text1"/>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0A3F77F0" w14:textId="77777777" w:rsidR="008F7388" w:rsidRPr="003D11EB" w:rsidRDefault="008F7388" w:rsidP="008F7388">
      <w:pPr>
        <w:pStyle w:val="Textonotapie"/>
        <w:ind w:firstLine="709"/>
        <w:jc w:val="both"/>
        <w:rPr>
          <w:rFonts w:ascii="Arial" w:hAnsi="Arial" w:cs="Arial"/>
          <w:color w:val="000000" w:themeColor="text1"/>
          <w:sz w:val="19"/>
          <w:szCs w:val="19"/>
          <w:lang w:val="es-ES"/>
        </w:rPr>
      </w:pPr>
      <w:r w:rsidRPr="003D11EB">
        <w:rPr>
          <w:rFonts w:ascii="Arial" w:hAnsi="Arial" w:cs="Arial"/>
          <w:color w:val="000000" w:themeColor="text1"/>
          <w:sz w:val="19"/>
          <w:szCs w:val="19"/>
          <w:lang w:val="es-ES"/>
        </w:rPr>
        <w:t>»En defecto de costumbre local se tendrá en cuenta la general del país, siempre que reúna los requisitos exigidos en el inciso anterior» (art. 3 del Código de Comercio).</w:t>
      </w:r>
    </w:p>
  </w:footnote>
  <w:footnote w:id="17">
    <w:p w14:paraId="3FE8E30B" w14:textId="4DAC94C7" w:rsidR="008F7388" w:rsidRPr="003D11EB" w:rsidRDefault="008F7388" w:rsidP="008F7388">
      <w:pPr>
        <w:pStyle w:val="Textonotapie"/>
        <w:ind w:firstLine="709"/>
        <w:jc w:val="both"/>
        <w:rPr>
          <w:rFonts w:ascii="Arial" w:hAnsi="Arial" w:cs="Arial"/>
          <w:b/>
          <w:color w:val="000000" w:themeColor="text1"/>
          <w:sz w:val="19"/>
          <w:szCs w:val="19"/>
          <w:lang w:val="es-ES"/>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w:t>
      </w:r>
      <w:r w:rsidRPr="003D11EB">
        <w:rPr>
          <w:rFonts w:ascii="Arial" w:hAnsi="Arial" w:cs="Arial"/>
          <w:color w:val="000000" w:themeColor="text1"/>
          <w:sz w:val="19"/>
          <w:szCs w:val="19"/>
          <w:lang w:val="es-ES"/>
        </w:rPr>
        <w:t>Dentro de tales principio</w:t>
      </w:r>
      <w:r w:rsidR="0026282D" w:rsidRPr="003D11EB">
        <w:rPr>
          <w:rFonts w:ascii="Arial" w:hAnsi="Arial" w:cs="Arial"/>
          <w:color w:val="000000" w:themeColor="text1"/>
          <w:sz w:val="19"/>
          <w:szCs w:val="19"/>
          <w:lang w:val="es-ES"/>
        </w:rPr>
        <w:t>s</w:t>
      </w:r>
      <w:r w:rsidRPr="003D11EB">
        <w:rPr>
          <w:rFonts w:ascii="Arial" w:hAnsi="Arial" w:cs="Arial"/>
          <w:color w:val="000000" w:themeColor="text1"/>
          <w:sz w:val="19"/>
          <w:szCs w:val="19"/>
          <w:lang w:val="es-ES"/>
        </w:rPr>
        <w:t xml:space="preserve"> se encuentran, por ejemplo, los principios UNIDROIT sobre los contratos comerciales internacionales. Ver: https://www.unidroit.org/spanish/principles/contracts/principles2010/blackletter2010-spanish.pdf</w:t>
      </w:r>
    </w:p>
  </w:footnote>
  <w:footnote w:id="18">
    <w:p w14:paraId="24C423D3" w14:textId="77777777" w:rsidR="008A1A2D" w:rsidRPr="003D11EB" w:rsidRDefault="008A1A2D" w:rsidP="008A1A2D">
      <w:pPr>
        <w:pStyle w:val="Textonotapie"/>
        <w:ind w:firstLine="708"/>
        <w:jc w:val="both"/>
        <w:rPr>
          <w:rFonts w:ascii="Arial" w:hAnsi="Arial" w:cs="Arial"/>
          <w:color w:val="000000" w:themeColor="text1"/>
          <w:sz w:val="19"/>
          <w:szCs w:val="19"/>
        </w:rPr>
      </w:pPr>
      <w:r w:rsidRPr="003D11EB">
        <w:rPr>
          <w:rStyle w:val="Refdenotaalpie"/>
          <w:rFonts w:ascii="Arial" w:hAnsi="Arial" w:cs="Arial"/>
          <w:color w:val="000000" w:themeColor="text1"/>
          <w:sz w:val="19"/>
          <w:szCs w:val="19"/>
        </w:rPr>
        <w:footnoteRef/>
      </w:r>
      <w:r w:rsidRPr="003D11EB">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139F1B6A" w14:textId="77777777" w:rsidR="008A1A2D" w:rsidRPr="003D11EB" w:rsidRDefault="008A1A2D" w:rsidP="008A1A2D">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33E9" w:rsidRDefault="001533E9">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527524094">
    <w:abstractNumId w:val="20"/>
  </w:num>
  <w:num w:numId="2" w16cid:durableId="1603149414">
    <w:abstractNumId w:val="18"/>
  </w:num>
  <w:num w:numId="3" w16cid:durableId="694234929">
    <w:abstractNumId w:val="27"/>
  </w:num>
  <w:num w:numId="4" w16cid:durableId="1673676190">
    <w:abstractNumId w:val="34"/>
  </w:num>
  <w:num w:numId="5" w16cid:durableId="1427575416">
    <w:abstractNumId w:val="38"/>
  </w:num>
  <w:num w:numId="6" w16cid:durableId="2129810252">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178551">
    <w:abstractNumId w:val="36"/>
  </w:num>
  <w:num w:numId="8" w16cid:durableId="485171853">
    <w:abstractNumId w:val="2"/>
  </w:num>
  <w:num w:numId="9" w16cid:durableId="184027715">
    <w:abstractNumId w:val="13"/>
  </w:num>
  <w:num w:numId="10" w16cid:durableId="7799089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5848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4961826">
    <w:abstractNumId w:val="19"/>
  </w:num>
  <w:num w:numId="13" w16cid:durableId="871770447">
    <w:abstractNumId w:val="25"/>
  </w:num>
  <w:num w:numId="14" w16cid:durableId="312567423">
    <w:abstractNumId w:val="17"/>
  </w:num>
  <w:num w:numId="15" w16cid:durableId="1704403221">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8267983">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812304">
    <w:abstractNumId w:val="41"/>
  </w:num>
  <w:num w:numId="18" w16cid:durableId="1320424801">
    <w:abstractNumId w:val="28"/>
  </w:num>
  <w:num w:numId="19" w16cid:durableId="479274192">
    <w:abstractNumId w:val="10"/>
  </w:num>
  <w:num w:numId="20" w16cid:durableId="336346899">
    <w:abstractNumId w:val="42"/>
  </w:num>
  <w:num w:numId="21" w16cid:durableId="199365145">
    <w:abstractNumId w:val="33"/>
  </w:num>
  <w:num w:numId="22" w16cid:durableId="391733340">
    <w:abstractNumId w:val="15"/>
  </w:num>
  <w:num w:numId="23" w16cid:durableId="1103643882">
    <w:abstractNumId w:val="14"/>
  </w:num>
  <w:num w:numId="24" w16cid:durableId="49038397">
    <w:abstractNumId w:val="39"/>
  </w:num>
  <w:num w:numId="25" w16cid:durableId="1789618478">
    <w:abstractNumId w:val="35"/>
  </w:num>
  <w:num w:numId="26" w16cid:durableId="796292538">
    <w:abstractNumId w:val="12"/>
  </w:num>
  <w:num w:numId="27" w16cid:durableId="398671171">
    <w:abstractNumId w:val="29"/>
  </w:num>
  <w:num w:numId="28" w16cid:durableId="4124299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49959819">
    <w:abstractNumId w:val="24"/>
  </w:num>
  <w:num w:numId="30" w16cid:durableId="1783718773">
    <w:abstractNumId w:val="3"/>
  </w:num>
  <w:num w:numId="31" w16cid:durableId="1256327005">
    <w:abstractNumId w:val="1"/>
  </w:num>
  <w:num w:numId="32" w16cid:durableId="182717103">
    <w:abstractNumId w:val="26"/>
  </w:num>
  <w:num w:numId="33" w16cid:durableId="1828666403">
    <w:abstractNumId w:val="6"/>
  </w:num>
  <w:num w:numId="34" w16cid:durableId="1783459032">
    <w:abstractNumId w:val="4"/>
  </w:num>
  <w:num w:numId="35" w16cid:durableId="493032914">
    <w:abstractNumId w:val="32"/>
  </w:num>
  <w:num w:numId="36" w16cid:durableId="770592354">
    <w:abstractNumId w:val="30"/>
  </w:num>
  <w:num w:numId="37" w16cid:durableId="971596847">
    <w:abstractNumId w:val="11"/>
  </w:num>
  <w:num w:numId="38" w16cid:durableId="769736612">
    <w:abstractNumId w:val="16"/>
  </w:num>
  <w:num w:numId="39" w16cid:durableId="1803695186">
    <w:abstractNumId w:val="44"/>
  </w:num>
  <w:num w:numId="40" w16cid:durableId="1484203197">
    <w:abstractNumId w:val="40"/>
  </w:num>
  <w:num w:numId="41" w16cid:durableId="477262607">
    <w:abstractNumId w:val="23"/>
  </w:num>
  <w:num w:numId="42" w16cid:durableId="255987792">
    <w:abstractNumId w:val="22"/>
  </w:num>
  <w:num w:numId="43" w16cid:durableId="329597796">
    <w:abstractNumId w:val="7"/>
  </w:num>
  <w:num w:numId="44" w16cid:durableId="1427925852">
    <w:abstractNumId w:val="43"/>
  </w:num>
  <w:num w:numId="45" w16cid:durableId="767385991">
    <w:abstractNumId w:val="8"/>
  </w:num>
  <w:num w:numId="46" w16cid:durableId="1835340814">
    <w:abstractNumId w:val="0"/>
  </w:num>
  <w:num w:numId="47" w16cid:durableId="1974405296">
    <w:abstractNumId w:val="5"/>
  </w:num>
  <w:num w:numId="48" w16cid:durableId="570239725">
    <w:abstractNumId w:val="46"/>
  </w:num>
  <w:num w:numId="49" w16cid:durableId="101688275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648"/>
    <w:rsid w:val="00012B9E"/>
    <w:rsid w:val="00012D4C"/>
    <w:rsid w:val="00012F37"/>
    <w:rsid w:val="00012FBA"/>
    <w:rsid w:val="00013B5D"/>
    <w:rsid w:val="00013C6B"/>
    <w:rsid w:val="0001406B"/>
    <w:rsid w:val="000143F8"/>
    <w:rsid w:val="00014624"/>
    <w:rsid w:val="00015642"/>
    <w:rsid w:val="00015B44"/>
    <w:rsid w:val="00015E3E"/>
    <w:rsid w:val="00016081"/>
    <w:rsid w:val="000165AC"/>
    <w:rsid w:val="00016651"/>
    <w:rsid w:val="00016758"/>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0F54"/>
    <w:rsid w:val="00031364"/>
    <w:rsid w:val="000315E1"/>
    <w:rsid w:val="0003236E"/>
    <w:rsid w:val="0003339A"/>
    <w:rsid w:val="000341F2"/>
    <w:rsid w:val="000342D2"/>
    <w:rsid w:val="00034EA8"/>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881"/>
    <w:rsid w:val="00054D74"/>
    <w:rsid w:val="00055214"/>
    <w:rsid w:val="00055CB9"/>
    <w:rsid w:val="0005602F"/>
    <w:rsid w:val="00056565"/>
    <w:rsid w:val="00056F66"/>
    <w:rsid w:val="0005702F"/>
    <w:rsid w:val="00057930"/>
    <w:rsid w:val="00061010"/>
    <w:rsid w:val="00061470"/>
    <w:rsid w:val="00061CE4"/>
    <w:rsid w:val="00061D06"/>
    <w:rsid w:val="00061EAE"/>
    <w:rsid w:val="00062BDF"/>
    <w:rsid w:val="00062CDD"/>
    <w:rsid w:val="00062F44"/>
    <w:rsid w:val="00063AD6"/>
    <w:rsid w:val="000640AF"/>
    <w:rsid w:val="00064940"/>
    <w:rsid w:val="00064CAE"/>
    <w:rsid w:val="00064DB7"/>
    <w:rsid w:val="00064FA7"/>
    <w:rsid w:val="00065195"/>
    <w:rsid w:val="0006536C"/>
    <w:rsid w:val="00065706"/>
    <w:rsid w:val="00065D20"/>
    <w:rsid w:val="0006626E"/>
    <w:rsid w:val="00066B29"/>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2BC"/>
    <w:rsid w:val="0009340B"/>
    <w:rsid w:val="000936F7"/>
    <w:rsid w:val="00093CA0"/>
    <w:rsid w:val="00093ECD"/>
    <w:rsid w:val="000942EB"/>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0DA"/>
    <w:rsid w:val="000A1258"/>
    <w:rsid w:val="000A12DB"/>
    <w:rsid w:val="000A17C8"/>
    <w:rsid w:val="000A1B74"/>
    <w:rsid w:val="000A20AD"/>
    <w:rsid w:val="000A20D7"/>
    <w:rsid w:val="000A2128"/>
    <w:rsid w:val="000A2142"/>
    <w:rsid w:val="000A2FD7"/>
    <w:rsid w:val="000A31FB"/>
    <w:rsid w:val="000A362F"/>
    <w:rsid w:val="000A3B49"/>
    <w:rsid w:val="000A4115"/>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0E03"/>
    <w:rsid w:val="000B103F"/>
    <w:rsid w:val="000B1437"/>
    <w:rsid w:val="000B1470"/>
    <w:rsid w:val="000B17EC"/>
    <w:rsid w:val="000B244D"/>
    <w:rsid w:val="000B248A"/>
    <w:rsid w:val="000B25B2"/>
    <w:rsid w:val="000B2B86"/>
    <w:rsid w:val="000B2B8A"/>
    <w:rsid w:val="000B2BC1"/>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5C93"/>
    <w:rsid w:val="000C5D1F"/>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5E5C"/>
    <w:rsid w:val="000D6288"/>
    <w:rsid w:val="000D753A"/>
    <w:rsid w:val="000D7541"/>
    <w:rsid w:val="000D75E1"/>
    <w:rsid w:val="000D771E"/>
    <w:rsid w:val="000E0266"/>
    <w:rsid w:val="000E14CE"/>
    <w:rsid w:val="000E1FF3"/>
    <w:rsid w:val="000E22CF"/>
    <w:rsid w:val="000E2977"/>
    <w:rsid w:val="000E2CC0"/>
    <w:rsid w:val="000E30AC"/>
    <w:rsid w:val="000E3B46"/>
    <w:rsid w:val="000E3E11"/>
    <w:rsid w:val="000E42E4"/>
    <w:rsid w:val="000E44ED"/>
    <w:rsid w:val="000E4596"/>
    <w:rsid w:val="000E4B94"/>
    <w:rsid w:val="000E4D50"/>
    <w:rsid w:val="000E5768"/>
    <w:rsid w:val="000E5843"/>
    <w:rsid w:val="000E5948"/>
    <w:rsid w:val="000E6139"/>
    <w:rsid w:val="000E653C"/>
    <w:rsid w:val="000E6AD7"/>
    <w:rsid w:val="000E6BE1"/>
    <w:rsid w:val="000E73E1"/>
    <w:rsid w:val="000E7E0B"/>
    <w:rsid w:val="000F0136"/>
    <w:rsid w:val="000F078A"/>
    <w:rsid w:val="000F07D4"/>
    <w:rsid w:val="000F09D1"/>
    <w:rsid w:val="000F122D"/>
    <w:rsid w:val="000F1450"/>
    <w:rsid w:val="000F14E8"/>
    <w:rsid w:val="000F1BBD"/>
    <w:rsid w:val="000F290F"/>
    <w:rsid w:val="000F30E1"/>
    <w:rsid w:val="000F4403"/>
    <w:rsid w:val="000F480B"/>
    <w:rsid w:val="000F4E17"/>
    <w:rsid w:val="000F5615"/>
    <w:rsid w:val="000F6578"/>
    <w:rsid w:val="000F6A40"/>
    <w:rsid w:val="000F722C"/>
    <w:rsid w:val="000F7E8F"/>
    <w:rsid w:val="000F7FBB"/>
    <w:rsid w:val="001000FB"/>
    <w:rsid w:val="00100A9E"/>
    <w:rsid w:val="00100F6A"/>
    <w:rsid w:val="001010DA"/>
    <w:rsid w:val="001015F2"/>
    <w:rsid w:val="001022AE"/>
    <w:rsid w:val="00102463"/>
    <w:rsid w:val="00102605"/>
    <w:rsid w:val="00102686"/>
    <w:rsid w:val="00102745"/>
    <w:rsid w:val="0010346B"/>
    <w:rsid w:val="00103795"/>
    <w:rsid w:val="00103915"/>
    <w:rsid w:val="00103EA0"/>
    <w:rsid w:val="0010496C"/>
    <w:rsid w:val="00104B7E"/>
    <w:rsid w:val="00104F1C"/>
    <w:rsid w:val="001051E5"/>
    <w:rsid w:val="00105A74"/>
    <w:rsid w:val="00105ACB"/>
    <w:rsid w:val="00105AEF"/>
    <w:rsid w:val="00106259"/>
    <w:rsid w:val="00106896"/>
    <w:rsid w:val="001068EB"/>
    <w:rsid w:val="00107586"/>
    <w:rsid w:val="001078CE"/>
    <w:rsid w:val="00107B90"/>
    <w:rsid w:val="00107EB3"/>
    <w:rsid w:val="00110F61"/>
    <w:rsid w:val="001111BD"/>
    <w:rsid w:val="0011165A"/>
    <w:rsid w:val="00111B2B"/>
    <w:rsid w:val="001124C3"/>
    <w:rsid w:val="00112774"/>
    <w:rsid w:val="00112B2E"/>
    <w:rsid w:val="00113003"/>
    <w:rsid w:val="00113062"/>
    <w:rsid w:val="00113705"/>
    <w:rsid w:val="00113975"/>
    <w:rsid w:val="00113CFC"/>
    <w:rsid w:val="00113FC2"/>
    <w:rsid w:val="00113FEA"/>
    <w:rsid w:val="00114A22"/>
    <w:rsid w:val="00114E9D"/>
    <w:rsid w:val="0011507B"/>
    <w:rsid w:val="00115819"/>
    <w:rsid w:val="001160CA"/>
    <w:rsid w:val="00116328"/>
    <w:rsid w:val="001163CF"/>
    <w:rsid w:val="00116A1C"/>
    <w:rsid w:val="001174C9"/>
    <w:rsid w:val="00117E69"/>
    <w:rsid w:val="00121103"/>
    <w:rsid w:val="00121A9B"/>
    <w:rsid w:val="00121BAB"/>
    <w:rsid w:val="00121E3C"/>
    <w:rsid w:val="00122153"/>
    <w:rsid w:val="00122B23"/>
    <w:rsid w:val="00122B7E"/>
    <w:rsid w:val="001231A9"/>
    <w:rsid w:val="00123E27"/>
    <w:rsid w:val="00123FB5"/>
    <w:rsid w:val="0012400F"/>
    <w:rsid w:val="001249D7"/>
    <w:rsid w:val="001249DC"/>
    <w:rsid w:val="00125630"/>
    <w:rsid w:val="0012572D"/>
    <w:rsid w:val="00125BED"/>
    <w:rsid w:val="00125C59"/>
    <w:rsid w:val="00125D4F"/>
    <w:rsid w:val="00127004"/>
    <w:rsid w:val="001278C5"/>
    <w:rsid w:val="00127AF2"/>
    <w:rsid w:val="00127EDC"/>
    <w:rsid w:val="00127F42"/>
    <w:rsid w:val="00127F6D"/>
    <w:rsid w:val="001300FA"/>
    <w:rsid w:val="00130355"/>
    <w:rsid w:val="00130365"/>
    <w:rsid w:val="001304E5"/>
    <w:rsid w:val="00130823"/>
    <w:rsid w:val="00130C0F"/>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44D"/>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21B2"/>
    <w:rsid w:val="0015241B"/>
    <w:rsid w:val="00152EDD"/>
    <w:rsid w:val="001533E9"/>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1050"/>
    <w:rsid w:val="00172198"/>
    <w:rsid w:val="0017236C"/>
    <w:rsid w:val="00172612"/>
    <w:rsid w:val="00172817"/>
    <w:rsid w:val="001734E3"/>
    <w:rsid w:val="001742BF"/>
    <w:rsid w:val="001742E1"/>
    <w:rsid w:val="00175E49"/>
    <w:rsid w:val="0017649F"/>
    <w:rsid w:val="0017655B"/>
    <w:rsid w:val="001805C1"/>
    <w:rsid w:val="00180A2E"/>
    <w:rsid w:val="00180A4F"/>
    <w:rsid w:val="001813AF"/>
    <w:rsid w:val="001819C1"/>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906"/>
    <w:rsid w:val="00191C5A"/>
    <w:rsid w:val="00191CEB"/>
    <w:rsid w:val="00191E63"/>
    <w:rsid w:val="00192D68"/>
    <w:rsid w:val="00192E04"/>
    <w:rsid w:val="00192F9B"/>
    <w:rsid w:val="0019388B"/>
    <w:rsid w:val="00193ADE"/>
    <w:rsid w:val="00193B9A"/>
    <w:rsid w:val="00193EEE"/>
    <w:rsid w:val="001940B3"/>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4F82"/>
    <w:rsid w:val="001A54CD"/>
    <w:rsid w:val="001A5D5D"/>
    <w:rsid w:val="001A66DF"/>
    <w:rsid w:val="001A67D0"/>
    <w:rsid w:val="001A6863"/>
    <w:rsid w:val="001A7591"/>
    <w:rsid w:val="001A75B1"/>
    <w:rsid w:val="001A7B06"/>
    <w:rsid w:val="001B0366"/>
    <w:rsid w:val="001B0444"/>
    <w:rsid w:val="001B06E9"/>
    <w:rsid w:val="001B096B"/>
    <w:rsid w:val="001B0F9F"/>
    <w:rsid w:val="001B1197"/>
    <w:rsid w:val="001B123C"/>
    <w:rsid w:val="001B19D8"/>
    <w:rsid w:val="001B1A0D"/>
    <w:rsid w:val="001B1BF1"/>
    <w:rsid w:val="001B2427"/>
    <w:rsid w:val="001B2456"/>
    <w:rsid w:val="001B449C"/>
    <w:rsid w:val="001B4AA2"/>
    <w:rsid w:val="001B4ADE"/>
    <w:rsid w:val="001B5530"/>
    <w:rsid w:val="001B5564"/>
    <w:rsid w:val="001B5EF8"/>
    <w:rsid w:val="001B5F4C"/>
    <w:rsid w:val="001B710A"/>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43F"/>
    <w:rsid w:val="001E6A94"/>
    <w:rsid w:val="001E70FB"/>
    <w:rsid w:val="001E780A"/>
    <w:rsid w:val="001F0D15"/>
    <w:rsid w:val="001F0FA0"/>
    <w:rsid w:val="001F1349"/>
    <w:rsid w:val="001F1863"/>
    <w:rsid w:val="001F1D84"/>
    <w:rsid w:val="001F2356"/>
    <w:rsid w:val="001F2A68"/>
    <w:rsid w:val="001F3059"/>
    <w:rsid w:val="001F472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632A"/>
    <w:rsid w:val="0020697F"/>
    <w:rsid w:val="00207249"/>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764"/>
    <w:rsid w:val="00214938"/>
    <w:rsid w:val="00214EB1"/>
    <w:rsid w:val="0021539A"/>
    <w:rsid w:val="00215852"/>
    <w:rsid w:val="00215B01"/>
    <w:rsid w:val="00215B8E"/>
    <w:rsid w:val="00216264"/>
    <w:rsid w:val="002176B6"/>
    <w:rsid w:val="0021792D"/>
    <w:rsid w:val="00217DB8"/>
    <w:rsid w:val="002202CE"/>
    <w:rsid w:val="0022032A"/>
    <w:rsid w:val="00220956"/>
    <w:rsid w:val="00220B61"/>
    <w:rsid w:val="00221389"/>
    <w:rsid w:val="00221652"/>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47E54"/>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63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282D"/>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61E"/>
    <w:rsid w:val="00280B4F"/>
    <w:rsid w:val="00280F3D"/>
    <w:rsid w:val="0028106A"/>
    <w:rsid w:val="0028126A"/>
    <w:rsid w:val="002815C0"/>
    <w:rsid w:val="00281EB4"/>
    <w:rsid w:val="00282042"/>
    <w:rsid w:val="002822DF"/>
    <w:rsid w:val="0028299A"/>
    <w:rsid w:val="00282E03"/>
    <w:rsid w:val="0028308E"/>
    <w:rsid w:val="002834E9"/>
    <w:rsid w:val="00283A52"/>
    <w:rsid w:val="00283C5E"/>
    <w:rsid w:val="00283E26"/>
    <w:rsid w:val="0028428F"/>
    <w:rsid w:val="00284CFC"/>
    <w:rsid w:val="00285832"/>
    <w:rsid w:val="00285969"/>
    <w:rsid w:val="00285B53"/>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9E2"/>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C63"/>
    <w:rsid w:val="002A2EA5"/>
    <w:rsid w:val="002A3132"/>
    <w:rsid w:val="002A3417"/>
    <w:rsid w:val="002A348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B65"/>
    <w:rsid w:val="002B7C20"/>
    <w:rsid w:val="002C07A9"/>
    <w:rsid w:val="002C24B4"/>
    <w:rsid w:val="002C2B3A"/>
    <w:rsid w:val="002C2B87"/>
    <w:rsid w:val="002C3CF4"/>
    <w:rsid w:val="002C441A"/>
    <w:rsid w:val="002C456E"/>
    <w:rsid w:val="002C4A73"/>
    <w:rsid w:val="002C4B84"/>
    <w:rsid w:val="002C4C0C"/>
    <w:rsid w:val="002C5016"/>
    <w:rsid w:val="002C5C2F"/>
    <w:rsid w:val="002C5D0F"/>
    <w:rsid w:val="002C60B9"/>
    <w:rsid w:val="002C615C"/>
    <w:rsid w:val="002C6CF2"/>
    <w:rsid w:val="002C6F77"/>
    <w:rsid w:val="002C704D"/>
    <w:rsid w:val="002C7102"/>
    <w:rsid w:val="002D0845"/>
    <w:rsid w:val="002D0933"/>
    <w:rsid w:val="002D19BB"/>
    <w:rsid w:val="002D1A9B"/>
    <w:rsid w:val="002D20F8"/>
    <w:rsid w:val="002D21A1"/>
    <w:rsid w:val="002D22BD"/>
    <w:rsid w:val="002D22C5"/>
    <w:rsid w:val="002D233E"/>
    <w:rsid w:val="002D2B4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12C"/>
    <w:rsid w:val="002E56D4"/>
    <w:rsid w:val="002E635A"/>
    <w:rsid w:val="002E6A53"/>
    <w:rsid w:val="002E6D68"/>
    <w:rsid w:val="002E7847"/>
    <w:rsid w:val="002F0073"/>
    <w:rsid w:val="002F02C5"/>
    <w:rsid w:val="002F0CF0"/>
    <w:rsid w:val="002F0FBD"/>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BCC"/>
    <w:rsid w:val="00300CB4"/>
    <w:rsid w:val="00300E24"/>
    <w:rsid w:val="00300F94"/>
    <w:rsid w:val="00301742"/>
    <w:rsid w:val="00302CDD"/>
    <w:rsid w:val="003033BA"/>
    <w:rsid w:val="00303C19"/>
    <w:rsid w:val="003043A3"/>
    <w:rsid w:val="00304BD4"/>
    <w:rsid w:val="00304D23"/>
    <w:rsid w:val="00304E41"/>
    <w:rsid w:val="0030500A"/>
    <w:rsid w:val="003052EB"/>
    <w:rsid w:val="00305FCB"/>
    <w:rsid w:val="003063C3"/>
    <w:rsid w:val="0030640A"/>
    <w:rsid w:val="003069DC"/>
    <w:rsid w:val="00306B44"/>
    <w:rsid w:val="00307C44"/>
    <w:rsid w:val="00307DCF"/>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47FA6"/>
    <w:rsid w:val="003501E2"/>
    <w:rsid w:val="00351716"/>
    <w:rsid w:val="00351E10"/>
    <w:rsid w:val="0035213C"/>
    <w:rsid w:val="003533F4"/>
    <w:rsid w:val="003536F6"/>
    <w:rsid w:val="00353DD5"/>
    <w:rsid w:val="003549FC"/>
    <w:rsid w:val="00355131"/>
    <w:rsid w:val="00355F74"/>
    <w:rsid w:val="003560DB"/>
    <w:rsid w:val="003564DB"/>
    <w:rsid w:val="003566E9"/>
    <w:rsid w:val="00356EE4"/>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9F2"/>
    <w:rsid w:val="00382BAD"/>
    <w:rsid w:val="003835F2"/>
    <w:rsid w:val="003835FD"/>
    <w:rsid w:val="00384DF1"/>
    <w:rsid w:val="00384FD2"/>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67"/>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47F0"/>
    <w:rsid w:val="003B534F"/>
    <w:rsid w:val="003B5391"/>
    <w:rsid w:val="003B58CE"/>
    <w:rsid w:val="003B65D7"/>
    <w:rsid w:val="003B65E0"/>
    <w:rsid w:val="003B6BD4"/>
    <w:rsid w:val="003B6F4D"/>
    <w:rsid w:val="003B6FE7"/>
    <w:rsid w:val="003B70CE"/>
    <w:rsid w:val="003B7458"/>
    <w:rsid w:val="003B75A1"/>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C0C"/>
    <w:rsid w:val="003C5E8A"/>
    <w:rsid w:val="003C622C"/>
    <w:rsid w:val="003C6505"/>
    <w:rsid w:val="003C6EBA"/>
    <w:rsid w:val="003C727D"/>
    <w:rsid w:val="003C7331"/>
    <w:rsid w:val="003C73C7"/>
    <w:rsid w:val="003C7CFB"/>
    <w:rsid w:val="003D050B"/>
    <w:rsid w:val="003D0A1F"/>
    <w:rsid w:val="003D0B98"/>
    <w:rsid w:val="003D0C3C"/>
    <w:rsid w:val="003D0DE5"/>
    <w:rsid w:val="003D11EB"/>
    <w:rsid w:val="003D1351"/>
    <w:rsid w:val="003D21C1"/>
    <w:rsid w:val="003D281F"/>
    <w:rsid w:val="003D2F21"/>
    <w:rsid w:val="003D369D"/>
    <w:rsid w:val="003D3B15"/>
    <w:rsid w:val="003D3B2E"/>
    <w:rsid w:val="003D4101"/>
    <w:rsid w:val="003D484D"/>
    <w:rsid w:val="003D49CB"/>
    <w:rsid w:val="003D4B5B"/>
    <w:rsid w:val="003D577A"/>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4E14"/>
    <w:rsid w:val="003E52C2"/>
    <w:rsid w:val="003E54B3"/>
    <w:rsid w:val="003E5780"/>
    <w:rsid w:val="003E5B9F"/>
    <w:rsid w:val="003E5CE4"/>
    <w:rsid w:val="003E6072"/>
    <w:rsid w:val="003E6AB6"/>
    <w:rsid w:val="003E6D7E"/>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0E6A"/>
    <w:rsid w:val="0042152A"/>
    <w:rsid w:val="0042158C"/>
    <w:rsid w:val="00421617"/>
    <w:rsid w:val="00421BD2"/>
    <w:rsid w:val="00421E00"/>
    <w:rsid w:val="00421FCB"/>
    <w:rsid w:val="0042244C"/>
    <w:rsid w:val="00422DCA"/>
    <w:rsid w:val="004231E3"/>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946"/>
    <w:rsid w:val="00440CF3"/>
    <w:rsid w:val="00440DB0"/>
    <w:rsid w:val="00440DDC"/>
    <w:rsid w:val="00440FAD"/>
    <w:rsid w:val="00441291"/>
    <w:rsid w:val="00441E04"/>
    <w:rsid w:val="004420AB"/>
    <w:rsid w:val="004422D6"/>
    <w:rsid w:val="004427AC"/>
    <w:rsid w:val="00442C7D"/>
    <w:rsid w:val="00442D13"/>
    <w:rsid w:val="00442D4D"/>
    <w:rsid w:val="00442DEA"/>
    <w:rsid w:val="0044374D"/>
    <w:rsid w:val="00443B55"/>
    <w:rsid w:val="00443D27"/>
    <w:rsid w:val="00443D8F"/>
    <w:rsid w:val="00444038"/>
    <w:rsid w:val="0044500B"/>
    <w:rsid w:val="00445BF1"/>
    <w:rsid w:val="00446037"/>
    <w:rsid w:val="004463DB"/>
    <w:rsid w:val="0044642F"/>
    <w:rsid w:val="00446FBF"/>
    <w:rsid w:val="0044772C"/>
    <w:rsid w:val="00447C11"/>
    <w:rsid w:val="00450591"/>
    <w:rsid w:val="00450846"/>
    <w:rsid w:val="0045084E"/>
    <w:rsid w:val="00450993"/>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7C1"/>
    <w:rsid w:val="00460915"/>
    <w:rsid w:val="00460946"/>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124"/>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6D0E"/>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FA1"/>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0DAE"/>
    <w:rsid w:val="0049114B"/>
    <w:rsid w:val="004912A8"/>
    <w:rsid w:val="00491577"/>
    <w:rsid w:val="004917DD"/>
    <w:rsid w:val="004918E1"/>
    <w:rsid w:val="0049196A"/>
    <w:rsid w:val="0049196E"/>
    <w:rsid w:val="0049241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4A7"/>
    <w:rsid w:val="004A054C"/>
    <w:rsid w:val="004A08D1"/>
    <w:rsid w:val="004A0905"/>
    <w:rsid w:val="004A0F5B"/>
    <w:rsid w:val="004A16C1"/>
    <w:rsid w:val="004A1A49"/>
    <w:rsid w:val="004A1CE2"/>
    <w:rsid w:val="004A31BD"/>
    <w:rsid w:val="004A34D2"/>
    <w:rsid w:val="004A4301"/>
    <w:rsid w:val="004A4587"/>
    <w:rsid w:val="004A45E5"/>
    <w:rsid w:val="004A4D93"/>
    <w:rsid w:val="004A58EE"/>
    <w:rsid w:val="004A59B7"/>
    <w:rsid w:val="004A6051"/>
    <w:rsid w:val="004A623B"/>
    <w:rsid w:val="004A6A04"/>
    <w:rsid w:val="004A6A52"/>
    <w:rsid w:val="004A7A6E"/>
    <w:rsid w:val="004B07B2"/>
    <w:rsid w:val="004B0A44"/>
    <w:rsid w:val="004B0F0B"/>
    <w:rsid w:val="004B2197"/>
    <w:rsid w:val="004B298A"/>
    <w:rsid w:val="004B4DE8"/>
    <w:rsid w:val="004B50CB"/>
    <w:rsid w:val="004B512B"/>
    <w:rsid w:val="004B52D4"/>
    <w:rsid w:val="004B578D"/>
    <w:rsid w:val="004B5BE7"/>
    <w:rsid w:val="004B5E2D"/>
    <w:rsid w:val="004B5EC7"/>
    <w:rsid w:val="004B6C07"/>
    <w:rsid w:val="004B74D3"/>
    <w:rsid w:val="004B755E"/>
    <w:rsid w:val="004B788E"/>
    <w:rsid w:val="004B7E5D"/>
    <w:rsid w:val="004C00BF"/>
    <w:rsid w:val="004C02F7"/>
    <w:rsid w:val="004C11D9"/>
    <w:rsid w:val="004C1741"/>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31EE"/>
    <w:rsid w:val="004D36AF"/>
    <w:rsid w:val="004D3BD1"/>
    <w:rsid w:val="004D4A64"/>
    <w:rsid w:val="004D4BA1"/>
    <w:rsid w:val="004D584D"/>
    <w:rsid w:val="004D5A7E"/>
    <w:rsid w:val="004D6120"/>
    <w:rsid w:val="004D6826"/>
    <w:rsid w:val="004D688D"/>
    <w:rsid w:val="004D69C3"/>
    <w:rsid w:val="004D6A43"/>
    <w:rsid w:val="004D7067"/>
    <w:rsid w:val="004D716E"/>
    <w:rsid w:val="004D740B"/>
    <w:rsid w:val="004E023F"/>
    <w:rsid w:val="004E0546"/>
    <w:rsid w:val="004E0742"/>
    <w:rsid w:val="004E0C64"/>
    <w:rsid w:val="004E0F6B"/>
    <w:rsid w:val="004E133F"/>
    <w:rsid w:val="004E1545"/>
    <w:rsid w:val="004E1F1C"/>
    <w:rsid w:val="004E282C"/>
    <w:rsid w:val="004E2A35"/>
    <w:rsid w:val="004E40CE"/>
    <w:rsid w:val="004E5736"/>
    <w:rsid w:val="004E589C"/>
    <w:rsid w:val="004E5A3C"/>
    <w:rsid w:val="004E5B36"/>
    <w:rsid w:val="004E5D5D"/>
    <w:rsid w:val="004E6045"/>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1BD4"/>
    <w:rsid w:val="004F2B64"/>
    <w:rsid w:val="004F31B8"/>
    <w:rsid w:val="004F375E"/>
    <w:rsid w:val="004F3764"/>
    <w:rsid w:val="004F3EEF"/>
    <w:rsid w:val="004F406C"/>
    <w:rsid w:val="004F5180"/>
    <w:rsid w:val="004F5222"/>
    <w:rsid w:val="004F57C9"/>
    <w:rsid w:val="004F57D5"/>
    <w:rsid w:val="004F5930"/>
    <w:rsid w:val="004F5970"/>
    <w:rsid w:val="004F5F0C"/>
    <w:rsid w:val="004F6121"/>
    <w:rsid w:val="004F6161"/>
    <w:rsid w:val="004F66BC"/>
    <w:rsid w:val="004F6C26"/>
    <w:rsid w:val="004F70F1"/>
    <w:rsid w:val="004F7A55"/>
    <w:rsid w:val="004F7AC9"/>
    <w:rsid w:val="004F7FA7"/>
    <w:rsid w:val="0050039C"/>
    <w:rsid w:val="0050062F"/>
    <w:rsid w:val="00500A29"/>
    <w:rsid w:val="00500E74"/>
    <w:rsid w:val="0050160F"/>
    <w:rsid w:val="0050273B"/>
    <w:rsid w:val="0050284E"/>
    <w:rsid w:val="00502911"/>
    <w:rsid w:val="0050306F"/>
    <w:rsid w:val="00503EC8"/>
    <w:rsid w:val="00504579"/>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575C"/>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7D8"/>
    <w:rsid w:val="00534A10"/>
    <w:rsid w:val="00534EFB"/>
    <w:rsid w:val="00534F60"/>
    <w:rsid w:val="005357F1"/>
    <w:rsid w:val="00535D15"/>
    <w:rsid w:val="00536053"/>
    <w:rsid w:val="005369E6"/>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D6B"/>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5E9D"/>
    <w:rsid w:val="00586412"/>
    <w:rsid w:val="005864B9"/>
    <w:rsid w:val="005866C4"/>
    <w:rsid w:val="005873BE"/>
    <w:rsid w:val="00587547"/>
    <w:rsid w:val="00590D3A"/>
    <w:rsid w:val="00590F1A"/>
    <w:rsid w:val="0059114D"/>
    <w:rsid w:val="00591C03"/>
    <w:rsid w:val="00591E2A"/>
    <w:rsid w:val="005923C4"/>
    <w:rsid w:val="005938C3"/>
    <w:rsid w:val="00593C33"/>
    <w:rsid w:val="00593EA2"/>
    <w:rsid w:val="00593F75"/>
    <w:rsid w:val="005940A0"/>
    <w:rsid w:val="0059429A"/>
    <w:rsid w:val="00594A54"/>
    <w:rsid w:val="00594BBA"/>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5CAE"/>
    <w:rsid w:val="005A6035"/>
    <w:rsid w:val="005A6B75"/>
    <w:rsid w:val="005A6E00"/>
    <w:rsid w:val="005A7019"/>
    <w:rsid w:val="005A718A"/>
    <w:rsid w:val="005A7885"/>
    <w:rsid w:val="005B12B2"/>
    <w:rsid w:val="005B131C"/>
    <w:rsid w:val="005B143B"/>
    <w:rsid w:val="005B19BD"/>
    <w:rsid w:val="005B1E0E"/>
    <w:rsid w:val="005B1E45"/>
    <w:rsid w:val="005B1FF6"/>
    <w:rsid w:val="005B21C4"/>
    <w:rsid w:val="005B2A28"/>
    <w:rsid w:val="005B3621"/>
    <w:rsid w:val="005B3EBE"/>
    <w:rsid w:val="005B4948"/>
    <w:rsid w:val="005B501D"/>
    <w:rsid w:val="005B54CC"/>
    <w:rsid w:val="005B6586"/>
    <w:rsid w:val="005B6799"/>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2AD6"/>
    <w:rsid w:val="005C2BF3"/>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63FF"/>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11B"/>
    <w:rsid w:val="005F31C1"/>
    <w:rsid w:val="005F3361"/>
    <w:rsid w:val="005F3ACA"/>
    <w:rsid w:val="005F3B47"/>
    <w:rsid w:val="005F3C81"/>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A3F"/>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646"/>
    <w:rsid w:val="00614817"/>
    <w:rsid w:val="006149CC"/>
    <w:rsid w:val="00614EC3"/>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2229"/>
    <w:rsid w:val="00622470"/>
    <w:rsid w:val="00622725"/>
    <w:rsid w:val="006231AA"/>
    <w:rsid w:val="00623482"/>
    <w:rsid w:val="00623AC2"/>
    <w:rsid w:val="00623EBC"/>
    <w:rsid w:val="00624E94"/>
    <w:rsid w:val="006251D3"/>
    <w:rsid w:val="00625642"/>
    <w:rsid w:val="0062564E"/>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1FF4"/>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3751"/>
    <w:rsid w:val="00645CEB"/>
    <w:rsid w:val="006464B6"/>
    <w:rsid w:val="00646B20"/>
    <w:rsid w:val="00646D0F"/>
    <w:rsid w:val="00646D57"/>
    <w:rsid w:val="00646D69"/>
    <w:rsid w:val="00647A36"/>
    <w:rsid w:val="00647C5B"/>
    <w:rsid w:val="00647DCC"/>
    <w:rsid w:val="00647EFA"/>
    <w:rsid w:val="00647F14"/>
    <w:rsid w:val="00650027"/>
    <w:rsid w:val="00650BBF"/>
    <w:rsid w:val="00650E89"/>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DD7"/>
    <w:rsid w:val="00656EEE"/>
    <w:rsid w:val="006572A7"/>
    <w:rsid w:val="006573EA"/>
    <w:rsid w:val="0065743B"/>
    <w:rsid w:val="006606A4"/>
    <w:rsid w:val="00660748"/>
    <w:rsid w:val="0066087C"/>
    <w:rsid w:val="00661029"/>
    <w:rsid w:val="006610C3"/>
    <w:rsid w:val="0066135A"/>
    <w:rsid w:val="00661A38"/>
    <w:rsid w:val="0066272D"/>
    <w:rsid w:val="00662E58"/>
    <w:rsid w:val="00662F39"/>
    <w:rsid w:val="006635A0"/>
    <w:rsid w:val="00663D26"/>
    <w:rsid w:val="00664351"/>
    <w:rsid w:val="0066562D"/>
    <w:rsid w:val="00665968"/>
    <w:rsid w:val="00665BF7"/>
    <w:rsid w:val="006660F0"/>
    <w:rsid w:val="00666178"/>
    <w:rsid w:val="0066639E"/>
    <w:rsid w:val="00666473"/>
    <w:rsid w:val="00666C72"/>
    <w:rsid w:val="00666E6C"/>
    <w:rsid w:val="0066707F"/>
    <w:rsid w:val="0066748F"/>
    <w:rsid w:val="00667ED8"/>
    <w:rsid w:val="0067064C"/>
    <w:rsid w:val="00670B20"/>
    <w:rsid w:val="00670E12"/>
    <w:rsid w:val="00670F27"/>
    <w:rsid w:val="0067172A"/>
    <w:rsid w:val="00671E42"/>
    <w:rsid w:val="0067271C"/>
    <w:rsid w:val="00672B6F"/>
    <w:rsid w:val="00672E80"/>
    <w:rsid w:val="0067333F"/>
    <w:rsid w:val="006734EE"/>
    <w:rsid w:val="006739E4"/>
    <w:rsid w:val="00673DD7"/>
    <w:rsid w:val="00673ECF"/>
    <w:rsid w:val="0067426B"/>
    <w:rsid w:val="00674A1B"/>
    <w:rsid w:val="00674D3C"/>
    <w:rsid w:val="00674F1C"/>
    <w:rsid w:val="006754F8"/>
    <w:rsid w:val="00675579"/>
    <w:rsid w:val="00676127"/>
    <w:rsid w:val="00676945"/>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3A0C"/>
    <w:rsid w:val="00684462"/>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839"/>
    <w:rsid w:val="006908DB"/>
    <w:rsid w:val="00690DE9"/>
    <w:rsid w:val="00691563"/>
    <w:rsid w:val="006918D8"/>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7D"/>
    <w:rsid w:val="006B34BB"/>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80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73C"/>
    <w:rsid w:val="006D7D1F"/>
    <w:rsid w:val="006D7D8A"/>
    <w:rsid w:val="006E046C"/>
    <w:rsid w:val="006E0572"/>
    <w:rsid w:val="006E05D8"/>
    <w:rsid w:val="006E0628"/>
    <w:rsid w:val="006E08EE"/>
    <w:rsid w:val="006E0FF8"/>
    <w:rsid w:val="006E155A"/>
    <w:rsid w:val="006E16C1"/>
    <w:rsid w:val="006E26BA"/>
    <w:rsid w:val="006E29E5"/>
    <w:rsid w:val="006E2C34"/>
    <w:rsid w:val="006E3493"/>
    <w:rsid w:val="006E359B"/>
    <w:rsid w:val="006E39D1"/>
    <w:rsid w:val="006E3B05"/>
    <w:rsid w:val="006E437F"/>
    <w:rsid w:val="006E4D5B"/>
    <w:rsid w:val="006E50E6"/>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D9B"/>
    <w:rsid w:val="006F3E44"/>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294E"/>
    <w:rsid w:val="00702A19"/>
    <w:rsid w:val="007030D4"/>
    <w:rsid w:val="00703279"/>
    <w:rsid w:val="00703B61"/>
    <w:rsid w:val="00703E11"/>
    <w:rsid w:val="00703F76"/>
    <w:rsid w:val="00704102"/>
    <w:rsid w:val="0070437C"/>
    <w:rsid w:val="007045D8"/>
    <w:rsid w:val="0070461C"/>
    <w:rsid w:val="007047C7"/>
    <w:rsid w:val="00704B3D"/>
    <w:rsid w:val="00705311"/>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294"/>
    <w:rsid w:val="00714DCA"/>
    <w:rsid w:val="00715BBF"/>
    <w:rsid w:val="00715C29"/>
    <w:rsid w:val="00715CBD"/>
    <w:rsid w:val="00715EAA"/>
    <w:rsid w:val="00716119"/>
    <w:rsid w:val="00716630"/>
    <w:rsid w:val="00716CAD"/>
    <w:rsid w:val="00716D44"/>
    <w:rsid w:val="00716F18"/>
    <w:rsid w:val="00717363"/>
    <w:rsid w:val="00717668"/>
    <w:rsid w:val="00717786"/>
    <w:rsid w:val="00717ACB"/>
    <w:rsid w:val="00720CDE"/>
    <w:rsid w:val="0072138B"/>
    <w:rsid w:val="00721BFF"/>
    <w:rsid w:val="00721F89"/>
    <w:rsid w:val="00722C51"/>
    <w:rsid w:val="00723040"/>
    <w:rsid w:val="00723251"/>
    <w:rsid w:val="00723475"/>
    <w:rsid w:val="007236C4"/>
    <w:rsid w:val="007238D1"/>
    <w:rsid w:val="0072411F"/>
    <w:rsid w:val="00724344"/>
    <w:rsid w:val="00724635"/>
    <w:rsid w:val="00724F21"/>
    <w:rsid w:val="00725134"/>
    <w:rsid w:val="0072554B"/>
    <w:rsid w:val="00725AFD"/>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F18"/>
    <w:rsid w:val="00741358"/>
    <w:rsid w:val="00741626"/>
    <w:rsid w:val="00742332"/>
    <w:rsid w:val="00742886"/>
    <w:rsid w:val="00742DD2"/>
    <w:rsid w:val="00742F69"/>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366"/>
    <w:rsid w:val="00751C2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668"/>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3AE"/>
    <w:rsid w:val="00762440"/>
    <w:rsid w:val="00762499"/>
    <w:rsid w:val="0076275B"/>
    <w:rsid w:val="007629B7"/>
    <w:rsid w:val="00762A08"/>
    <w:rsid w:val="00762E60"/>
    <w:rsid w:val="007634AD"/>
    <w:rsid w:val="00763E3A"/>
    <w:rsid w:val="0076445F"/>
    <w:rsid w:val="007645E1"/>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5E5"/>
    <w:rsid w:val="0077466F"/>
    <w:rsid w:val="007752B7"/>
    <w:rsid w:val="007759A8"/>
    <w:rsid w:val="00775C27"/>
    <w:rsid w:val="00775D98"/>
    <w:rsid w:val="00776FE5"/>
    <w:rsid w:val="00777101"/>
    <w:rsid w:val="007774E7"/>
    <w:rsid w:val="007775B1"/>
    <w:rsid w:val="0077768C"/>
    <w:rsid w:val="00777696"/>
    <w:rsid w:val="0077790F"/>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1D74"/>
    <w:rsid w:val="007A2246"/>
    <w:rsid w:val="007A2341"/>
    <w:rsid w:val="007A2754"/>
    <w:rsid w:val="007A38A1"/>
    <w:rsid w:val="007A3BBE"/>
    <w:rsid w:val="007A3D52"/>
    <w:rsid w:val="007A4766"/>
    <w:rsid w:val="007A5947"/>
    <w:rsid w:val="007A64D5"/>
    <w:rsid w:val="007A717B"/>
    <w:rsid w:val="007A7714"/>
    <w:rsid w:val="007B0313"/>
    <w:rsid w:val="007B0487"/>
    <w:rsid w:val="007B0854"/>
    <w:rsid w:val="007B0E48"/>
    <w:rsid w:val="007B183D"/>
    <w:rsid w:val="007B1D1B"/>
    <w:rsid w:val="007B1DD1"/>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954"/>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BAB"/>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35C"/>
    <w:rsid w:val="00802605"/>
    <w:rsid w:val="00802787"/>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4E1F"/>
    <w:rsid w:val="0081513E"/>
    <w:rsid w:val="00815DA5"/>
    <w:rsid w:val="00816221"/>
    <w:rsid w:val="0081766B"/>
    <w:rsid w:val="008205AC"/>
    <w:rsid w:val="00820705"/>
    <w:rsid w:val="00820CBF"/>
    <w:rsid w:val="00820FA8"/>
    <w:rsid w:val="008211D0"/>
    <w:rsid w:val="008212FD"/>
    <w:rsid w:val="00821489"/>
    <w:rsid w:val="008217B7"/>
    <w:rsid w:val="0082238A"/>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5D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618"/>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65A"/>
    <w:rsid w:val="00861F53"/>
    <w:rsid w:val="008623A7"/>
    <w:rsid w:val="0086289E"/>
    <w:rsid w:val="008629CB"/>
    <w:rsid w:val="00863213"/>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55"/>
    <w:rsid w:val="008717D8"/>
    <w:rsid w:val="00871E3C"/>
    <w:rsid w:val="00871EF3"/>
    <w:rsid w:val="00872F97"/>
    <w:rsid w:val="008734A1"/>
    <w:rsid w:val="00874027"/>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3AC"/>
    <w:rsid w:val="00881416"/>
    <w:rsid w:val="0088187A"/>
    <w:rsid w:val="00881E64"/>
    <w:rsid w:val="00881F30"/>
    <w:rsid w:val="00882E39"/>
    <w:rsid w:val="00883CE1"/>
    <w:rsid w:val="008850EB"/>
    <w:rsid w:val="00885228"/>
    <w:rsid w:val="00885433"/>
    <w:rsid w:val="008857E3"/>
    <w:rsid w:val="00886377"/>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A2D"/>
    <w:rsid w:val="008A1FB7"/>
    <w:rsid w:val="008A20B1"/>
    <w:rsid w:val="008A229A"/>
    <w:rsid w:val="008A2A23"/>
    <w:rsid w:val="008A2AF5"/>
    <w:rsid w:val="008A2B5A"/>
    <w:rsid w:val="008A3F9D"/>
    <w:rsid w:val="008A4D6A"/>
    <w:rsid w:val="008A5474"/>
    <w:rsid w:val="008A5C9A"/>
    <w:rsid w:val="008A6005"/>
    <w:rsid w:val="008A614F"/>
    <w:rsid w:val="008A6A55"/>
    <w:rsid w:val="008A6AA1"/>
    <w:rsid w:val="008A6DF0"/>
    <w:rsid w:val="008A6F27"/>
    <w:rsid w:val="008A6F6E"/>
    <w:rsid w:val="008A7595"/>
    <w:rsid w:val="008A7833"/>
    <w:rsid w:val="008A7888"/>
    <w:rsid w:val="008A796E"/>
    <w:rsid w:val="008B0862"/>
    <w:rsid w:val="008B088C"/>
    <w:rsid w:val="008B1BF5"/>
    <w:rsid w:val="008B1CED"/>
    <w:rsid w:val="008B2543"/>
    <w:rsid w:val="008B263F"/>
    <w:rsid w:val="008B2BE2"/>
    <w:rsid w:val="008B3045"/>
    <w:rsid w:val="008B3F6B"/>
    <w:rsid w:val="008B47A6"/>
    <w:rsid w:val="008B4C7B"/>
    <w:rsid w:val="008B4D60"/>
    <w:rsid w:val="008B5C7C"/>
    <w:rsid w:val="008B63FE"/>
    <w:rsid w:val="008B672C"/>
    <w:rsid w:val="008B733E"/>
    <w:rsid w:val="008B7781"/>
    <w:rsid w:val="008B7B98"/>
    <w:rsid w:val="008C062A"/>
    <w:rsid w:val="008C065F"/>
    <w:rsid w:val="008C0743"/>
    <w:rsid w:val="008C0B4C"/>
    <w:rsid w:val="008C0FC8"/>
    <w:rsid w:val="008C11F0"/>
    <w:rsid w:val="008C165C"/>
    <w:rsid w:val="008C1DBA"/>
    <w:rsid w:val="008C24E7"/>
    <w:rsid w:val="008C2500"/>
    <w:rsid w:val="008C2930"/>
    <w:rsid w:val="008C2CAC"/>
    <w:rsid w:val="008C3C57"/>
    <w:rsid w:val="008C3E2A"/>
    <w:rsid w:val="008C45BD"/>
    <w:rsid w:val="008C4B19"/>
    <w:rsid w:val="008C4F47"/>
    <w:rsid w:val="008C5194"/>
    <w:rsid w:val="008C62D4"/>
    <w:rsid w:val="008C6B0C"/>
    <w:rsid w:val="008C6B89"/>
    <w:rsid w:val="008C6B97"/>
    <w:rsid w:val="008C6E7D"/>
    <w:rsid w:val="008C731C"/>
    <w:rsid w:val="008C7EF7"/>
    <w:rsid w:val="008D18AA"/>
    <w:rsid w:val="008D1A2A"/>
    <w:rsid w:val="008D1ADE"/>
    <w:rsid w:val="008D2986"/>
    <w:rsid w:val="008D35D9"/>
    <w:rsid w:val="008D360E"/>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00B"/>
    <w:rsid w:val="008E11E4"/>
    <w:rsid w:val="008E1252"/>
    <w:rsid w:val="008E1347"/>
    <w:rsid w:val="008E16E0"/>
    <w:rsid w:val="008E1C15"/>
    <w:rsid w:val="008E1C9A"/>
    <w:rsid w:val="008E244E"/>
    <w:rsid w:val="008E28BD"/>
    <w:rsid w:val="008E30C4"/>
    <w:rsid w:val="008E3106"/>
    <w:rsid w:val="008E38B4"/>
    <w:rsid w:val="008E3BA4"/>
    <w:rsid w:val="008E3CC4"/>
    <w:rsid w:val="008E3F88"/>
    <w:rsid w:val="008E41CB"/>
    <w:rsid w:val="008E44AB"/>
    <w:rsid w:val="008E4CAE"/>
    <w:rsid w:val="008E5179"/>
    <w:rsid w:val="008E5208"/>
    <w:rsid w:val="008E57FE"/>
    <w:rsid w:val="008E5D7D"/>
    <w:rsid w:val="008E6598"/>
    <w:rsid w:val="008E7214"/>
    <w:rsid w:val="008E7497"/>
    <w:rsid w:val="008E7884"/>
    <w:rsid w:val="008E795C"/>
    <w:rsid w:val="008E7D6E"/>
    <w:rsid w:val="008E7E04"/>
    <w:rsid w:val="008E7EAA"/>
    <w:rsid w:val="008F1056"/>
    <w:rsid w:val="008F1385"/>
    <w:rsid w:val="008F1E70"/>
    <w:rsid w:val="008F220A"/>
    <w:rsid w:val="008F2E8D"/>
    <w:rsid w:val="008F3388"/>
    <w:rsid w:val="008F361D"/>
    <w:rsid w:val="008F387B"/>
    <w:rsid w:val="008F3DD9"/>
    <w:rsid w:val="008F4163"/>
    <w:rsid w:val="008F4646"/>
    <w:rsid w:val="008F4814"/>
    <w:rsid w:val="008F4B18"/>
    <w:rsid w:val="008F4C38"/>
    <w:rsid w:val="008F4DA6"/>
    <w:rsid w:val="008F538E"/>
    <w:rsid w:val="008F58BE"/>
    <w:rsid w:val="008F5A20"/>
    <w:rsid w:val="008F5ABA"/>
    <w:rsid w:val="008F5F3F"/>
    <w:rsid w:val="008F6603"/>
    <w:rsid w:val="008F71AB"/>
    <w:rsid w:val="008F7388"/>
    <w:rsid w:val="008F7905"/>
    <w:rsid w:val="008F7989"/>
    <w:rsid w:val="00900F63"/>
    <w:rsid w:val="00901F1D"/>
    <w:rsid w:val="009028E8"/>
    <w:rsid w:val="00902E5C"/>
    <w:rsid w:val="0090363E"/>
    <w:rsid w:val="00903E0D"/>
    <w:rsid w:val="009046E5"/>
    <w:rsid w:val="009047C5"/>
    <w:rsid w:val="0090783B"/>
    <w:rsid w:val="00910683"/>
    <w:rsid w:val="009108B5"/>
    <w:rsid w:val="00910E00"/>
    <w:rsid w:val="00910E04"/>
    <w:rsid w:val="009116CE"/>
    <w:rsid w:val="00911714"/>
    <w:rsid w:val="00911D04"/>
    <w:rsid w:val="00911EFF"/>
    <w:rsid w:val="00912294"/>
    <w:rsid w:val="00912670"/>
    <w:rsid w:val="00912747"/>
    <w:rsid w:val="0091310F"/>
    <w:rsid w:val="009132E2"/>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396"/>
    <w:rsid w:val="00921805"/>
    <w:rsid w:val="00921BE2"/>
    <w:rsid w:val="00921E63"/>
    <w:rsid w:val="00922379"/>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2B9"/>
    <w:rsid w:val="009439B6"/>
    <w:rsid w:val="00943FCD"/>
    <w:rsid w:val="009444B4"/>
    <w:rsid w:val="00944644"/>
    <w:rsid w:val="0094562F"/>
    <w:rsid w:val="00945869"/>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488"/>
    <w:rsid w:val="00957605"/>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70C"/>
    <w:rsid w:val="009648D6"/>
    <w:rsid w:val="009649AE"/>
    <w:rsid w:val="00964B3F"/>
    <w:rsid w:val="00964C98"/>
    <w:rsid w:val="009654F9"/>
    <w:rsid w:val="00966F74"/>
    <w:rsid w:val="009678D4"/>
    <w:rsid w:val="00967BEF"/>
    <w:rsid w:val="009704FC"/>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7D"/>
    <w:rsid w:val="009761ED"/>
    <w:rsid w:val="009765C1"/>
    <w:rsid w:val="00977131"/>
    <w:rsid w:val="0098022F"/>
    <w:rsid w:val="009810DE"/>
    <w:rsid w:val="0098152C"/>
    <w:rsid w:val="00981B77"/>
    <w:rsid w:val="00981B91"/>
    <w:rsid w:val="009822D7"/>
    <w:rsid w:val="0098250F"/>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CCA"/>
    <w:rsid w:val="00987F55"/>
    <w:rsid w:val="00987FED"/>
    <w:rsid w:val="00990345"/>
    <w:rsid w:val="00990701"/>
    <w:rsid w:val="0099119C"/>
    <w:rsid w:val="0099137A"/>
    <w:rsid w:val="00991D3D"/>
    <w:rsid w:val="0099211C"/>
    <w:rsid w:val="00993013"/>
    <w:rsid w:val="00993B78"/>
    <w:rsid w:val="00994910"/>
    <w:rsid w:val="00994929"/>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728"/>
    <w:rsid w:val="00997EAE"/>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08A"/>
    <w:rsid w:val="009B422F"/>
    <w:rsid w:val="009B46BC"/>
    <w:rsid w:val="009B497E"/>
    <w:rsid w:val="009B4D1A"/>
    <w:rsid w:val="009B519D"/>
    <w:rsid w:val="009B51B0"/>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2CBD"/>
    <w:rsid w:val="009E3D0C"/>
    <w:rsid w:val="009E476A"/>
    <w:rsid w:val="009E4E05"/>
    <w:rsid w:val="009E56FF"/>
    <w:rsid w:val="009E59A3"/>
    <w:rsid w:val="009E5CB1"/>
    <w:rsid w:val="009E5E56"/>
    <w:rsid w:val="009E61EA"/>
    <w:rsid w:val="009E6990"/>
    <w:rsid w:val="009E6FEE"/>
    <w:rsid w:val="009E7924"/>
    <w:rsid w:val="009F00B9"/>
    <w:rsid w:val="009F00BF"/>
    <w:rsid w:val="009F060F"/>
    <w:rsid w:val="009F0781"/>
    <w:rsid w:val="009F0850"/>
    <w:rsid w:val="009F160A"/>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217"/>
    <w:rsid w:val="00A01852"/>
    <w:rsid w:val="00A0188B"/>
    <w:rsid w:val="00A01C35"/>
    <w:rsid w:val="00A01E73"/>
    <w:rsid w:val="00A023E7"/>
    <w:rsid w:val="00A02B88"/>
    <w:rsid w:val="00A03160"/>
    <w:rsid w:val="00A0329E"/>
    <w:rsid w:val="00A036AC"/>
    <w:rsid w:val="00A03B66"/>
    <w:rsid w:val="00A03C54"/>
    <w:rsid w:val="00A03DE5"/>
    <w:rsid w:val="00A041BC"/>
    <w:rsid w:val="00A0447F"/>
    <w:rsid w:val="00A046D2"/>
    <w:rsid w:val="00A04A54"/>
    <w:rsid w:val="00A052E9"/>
    <w:rsid w:val="00A058B8"/>
    <w:rsid w:val="00A05B4B"/>
    <w:rsid w:val="00A063D7"/>
    <w:rsid w:val="00A066C3"/>
    <w:rsid w:val="00A06754"/>
    <w:rsid w:val="00A069E0"/>
    <w:rsid w:val="00A06E4A"/>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3EC"/>
    <w:rsid w:val="00A149E8"/>
    <w:rsid w:val="00A14C30"/>
    <w:rsid w:val="00A14E6E"/>
    <w:rsid w:val="00A1500F"/>
    <w:rsid w:val="00A1549C"/>
    <w:rsid w:val="00A15621"/>
    <w:rsid w:val="00A15670"/>
    <w:rsid w:val="00A156D0"/>
    <w:rsid w:val="00A157A0"/>
    <w:rsid w:val="00A1585B"/>
    <w:rsid w:val="00A15C19"/>
    <w:rsid w:val="00A15FE9"/>
    <w:rsid w:val="00A1615C"/>
    <w:rsid w:val="00A16809"/>
    <w:rsid w:val="00A16B44"/>
    <w:rsid w:val="00A17044"/>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4C2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84C"/>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414E"/>
    <w:rsid w:val="00A4497A"/>
    <w:rsid w:val="00A44AB5"/>
    <w:rsid w:val="00A44BE8"/>
    <w:rsid w:val="00A44C96"/>
    <w:rsid w:val="00A44CDD"/>
    <w:rsid w:val="00A44E33"/>
    <w:rsid w:val="00A44F0C"/>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FD7"/>
    <w:rsid w:val="00A769E6"/>
    <w:rsid w:val="00A77168"/>
    <w:rsid w:val="00A7723B"/>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50C7"/>
    <w:rsid w:val="00A85234"/>
    <w:rsid w:val="00A8575D"/>
    <w:rsid w:val="00A86E0B"/>
    <w:rsid w:val="00A90792"/>
    <w:rsid w:val="00A90F12"/>
    <w:rsid w:val="00A9173C"/>
    <w:rsid w:val="00A91DAA"/>
    <w:rsid w:val="00A91EFC"/>
    <w:rsid w:val="00A92A67"/>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28"/>
    <w:rsid w:val="00AA6B59"/>
    <w:rsid w:val="00AA6BE1"/>
    <w:rsid w:val="00AA7416"/>
    <w:rsid w:val="00AA749C"/>
    <w:rsid w:val="00AA7A60"/>
    <w:rsid w:val="00AA7AF0"/>
    <w:rsid w:val="00AA7B42"/>
    <w:rsid w:val="00AB034C"/>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33F"/>
    <w:rsid w:val="00AC0537"/>
    <w:rsid w:val="00AC0A84"/>
    <w:rsid w:val="00AC1508"/>
    <w:rsid w:val="00AC1600"/>
    <w:rsid w:val="00AC22DC"/>
    <w:rsid w:val="00AC2A0B"/>
    <w:rsid w:val="00AC2BEE"/>
    <w:rsid w:val="00AC2E53"/>
    <w:rsid w:val="00AC3D22"/>
    <w:rsid w:val="00AC46B0"/>
    <w:rsid w:val="00AC484F"/>
    <w:rsid w:val="00AC4B20"/>
    <w:rsid w:val="00AC56F2"/>
    <w:rsid w:val="00AC5897"/>
    <w:rsid w:val="00AC71C3"/>
    <w:rsid w:val="00AC7204"/>
    <w:rsid w:val="00AC7C73"/>
    <w:rsid w:val="00AD09F7"/>
    <w:rsid w:val="00AD0D42"/>
    <w:rsid w:val="00AD186F"/>
    <w:rsid w:val="00AD1EFA"/>
    <w:rsid w:val="00AD2018"/>
    <w:rsid w:val="00AD2072"/>
    <w:rsid w:val="00AD2DBD"/>
    <w:rsid w:val="00AD2FBF"/>
    <w:rsid w:val="00AD340E"/>
    <w:rsid w:val="00AD3B81"/>
    <w:rsid w:val="00AD455D"/>
    <w:rsid w:val="00AD463C"/>
    <w:rsid w:val="00AD4B18"/>
    <w:rsid w:val="00AD4D58"/>
    <w:rsid w:val="00AD4F60"/>
    <w:rsid w:val="00AD5044"/>
    <w:rsid w:val="00AD50ED"/>
    <w:rsid w:val="00AD5114"/>
    <w:rsid w:val="00AD600E"/>
    <w:rsid w:val="00AD6236"/>
    <w:rsid w:val="00AD69D5"/>
    <w:rsid w:val="00AD6ECF"/>
    <w:rsid w:val="00AD7619"/>
    <w:rsid w:val="00AD76A1"/>
    <w:rsid w:val="00AD7770"/>
    <w:rsid w:val="00AE01F3"/>
    <w:rsid w:val="00AE0F3E"/>
    <w:rsid w:val="00AE1638"/>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A1F"/>
    <w:rsid w:val="00AF1D41"/>
    <w:rsid w:val="00AF26CF"/>
    <w:rsid w:val="00AF2EE8"/>
    <w:rsid w:val="00AF3124"/>
    <w:rsid w:val="00AF33E7"/>
    <w:rsid w:val="00AF344D"/>
    <w:rsid w:val="00AF39B3"/>
    <w:rsid w:val="00AF4188"/>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0D14"/>
    <w:rsid w:val="00B011A9"/>
    <w:rsid w:val="00B019FF"/>
    <w:rsid w:val="00B01BAF"/>
    <w:rsid w:val="00B024ED"/>
    <w:rsid w:val="00B0265B"/>
    <w:rsid w:val="00B02668"/>
    <w:rsid w:val="00B026B8"/>
    <w:rsid w:val="00B02CDF"/>
    <w:rsid w:val="00B02EB3"/>
    <w:rsid w:val="00B02FCB"/>
    <w:rsid w:val="00B033F8"/>
    <w:rsid w:val="00B03C1E"/>
    <w:rsid w:val="00B04400"/>
    <w:rsid w:val="00B04835"/>
    <w:rsid w:val="00B04A73"/>
    <w:rsid w:val="00B05A55"/>
    <w:rsid w:val="00B05DE1"/>
    <w:rsid w:val="00B06595"/>
    <w:rsid w:val="00B06862"/>
    <w:rsid w:val="00B06888"/>
    <w:rsid w:val="00B10109"/>
    <w:rsid w:val="00B1023F"/>
    <w:rsid w:val="00B1085E"/>
    <w:rsid w:val="00B10E5B"/>
    <w:rsid w:val="00B10F5A"/>
    <w:rsid w:val="00B10FD1"/>
    <w:rsid w:val="00B112D5"/>
    <w:rsid w:val="00B1130C"/>
    <w:rsid w:val="00B1219D"/>
    <w:rsid w:val="00B123AE"/>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C64"/>
    <w:rsid w:val="00B16EFF"/>
    <w:rsid w:val="00B16FB6"/>
    <w:rsid w:val="00B17129"/>
    <w:rsid w:val="00B17206"/>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4AAA"/>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2F02"/>
    <w:rsid w:val="00B63872"/>
    <w:rsid w:val="00B63CB2"/>
    <w:rsid w:val="00B6402D"/>
    <w:rsid w:val="00B64246"/>
    <w:rsid w:val="00B64376"/>
    <w:rsid w:val="00B64EDB"/>
    <w:rsid w:val="00B65938"/>
    <w:rsid w:val="00B65C8A"/>
    <w:rsid w:val="00B65CE2"/>
    <w:rsid w:val="00B6602F"/>
    <w:rsid w:val="00B660AD"/>
    <w:rsid w:val="00B66109"/>
    <w:rsid w:val="00B66349"/>
    <w:rsid w:val="00B66606"/>
    <w:rsid w:val="00B6678D"/>
    <w:rsid w:val="00B67FBF"/>
    <w:rsid w:val="00B7068A"/>
    <w:rsid w:val="00B70803"/>
    <w:rsid w:val="00B70832"/>
    <w:rsid w:val="00B70A2C"/>
    <w:rsid w:val="00B70B39"/>
    <w:rsid w:val="00B711BD"/>
    <w:rsid w:val="00B71376"/>
    <w:rsid w:val="00B716D7"/>
    <w:rsid w:val="00B717E5"/>
    <w:rsid w:val="00B72110"/>
    <w:rsid w:val="00B72217"/>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6BB"/>
    <w:rsid w:val="00B839F0"/>
    <w:rsid w:val="00B850C2"/>
    <w:rsid w:val="00B851E4"/>
    <w:rsid w:val="00B85268"/>
    <w:rsid w:val="00B854CE"/>
    <w:rsid w:val="00B85681"/>
    <w:rsid w:val="00B857EB"/>
    <w:rsid w:val="00B858AD"/>
    <w:rsid w:val="00B86162"/>
    <w:rsid w:val="00B86877"/>
    <w:rsid w:val="00B8695D"/>
    <w:rsid w:val="00B86E66"/>
    <w:rsid w:val="00B871B8"/>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31"/>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672"/>
    <w:rsid w:val="00BA271E"/>
    <w:rsid w:val="00BA2C2A"/>
    <w:rsid w:val="00BA2CF9"/>
    <w:rsid w:val="00BA2F30"/>
    <w:rsid w:val="00BA3982"/>
    <w:rsid w:val="00BA405F"/>
    <w:rsid w:val="00BA4771"/>
    <w:rsid w:val="00BA482B"/>
    <w:rsid w:val="00BA4BDA"/>
    <w:rsid w:val="00BA4CD4"/>
    <w:rsid w:val="00BA5027"/>
    <w:rsid w:val="00BA5A74"/>
    <w:rsid w:val="00BA661F"/>
    <w:rsid w:val="00BA665B"/>
    <w:rsid w:val="00BA6FE8"/>
    <w:rsid w:val="00BA732D"/>
    <w:rsid w:val="00BA7370"/>
    <w:rsid w:val="00BA778B"/>
    <w:rsid w:val="00BB03D4"/>
    <w:rsid w:val="00BB07A6"/>
    <w:rsid w:val="00BB0888"/>
    <w:rsid w:val="00BB0DF1"/>
    <w:rsid w:val="00BB0E2F"/>
    <w:rsid w:val="00BB0E9B"/>
    <w:rsid w:val="00BB2449"/>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644"/>
    <w:rsid w:val="00BC17CC"/>
    <w:rsid w:val="00BC2898"/>
    <w:rsid w:val="00BC2928"/>
    <w:rsid w:val="00BC29BD"/>
    <w:rsid w:val="00BC2BB1"/>
    <w:rsid w:val="00BC34A3"/>
    <w:rsid w:val="00BC3FF9"/>
    <w:rsid w:val="00BC43CC"/>
    <w:rsid w:val="00BC4834"/>
    <w:rsid w:val="00BC4A97"/>
    <w:rsid w:val="00BC5A25"/>
    <w:rsid w:val="00BC5FDD"/>
    <w:rsid w:val="00BC63A5"/>
    <w:rsid w:val="00BC64EC"/>
    <w:rsid w:val="00BC68B4"/>
    <w:rsid w:val="00BC6CBE"/>
    <w:rsid w:val="00BC7277"/>
    <w:rsid w:val="00BD0140"/>
    <w:rsid w:val="00BD02CC"/>
    <w:rsid w:val="00BD061A"/>
    <w:rsid w:val="00BD088E"/>
    <w:rsid w:val="00BD0F18"/>
    <w:rsid w:val="00BD12C1"/>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1C27"/>
    <w:rsid w:val="00BE26C0"/>
    <w:rsid w:val="00BE3442"/>
    <w:rsid w:val="00BE37CD"/>
    <w:rsid w:val="00BE47B2"/>
    <w:rsid w:val="00BE48C7"/>
    <w:rsid w:val="00BE4A87"/>
    <w:rsid w:val="00BE4F66"/>
    <w:rsid w:val="00BE4FBF"/>
    <w:rsid w:val="00BE50D0"/>
    <w:rsid w:val="00BE5238"/>
    <w:rsid w:val="00BE5742"/>
    <w:rsid w:val="00BE6074"/>
    <w:rsid w:val="00BE6391"/>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287"/>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2EB"/>
    <w:rsid w:val="00C2338B"/>
    <w:rsid w:val="00C233CE"/>
    <w:rsid w:val="00C23613"/>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088"/>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9C5"/>
    <w:rsid w:val="00C52C68"/>
    <w:rsid w:val="00C52D98"/>
    <w:rsid w:val="00C52DA1"/>
    <w:rsid w:val="00C532DD"/>
    <w:rsid w:val="00C53D24"/>
    <w:rsid w:val="00C53DF3"/>
    <w:rsid w:val="00C54640"/>
    <w:rsid w:val="00C546D1"/>
    <w:rsid w:val="00C547A6"/>
    <w:rsid w:val="00C54A3A"/>
    <w:rsid w:val="00C55340"/>
    <w:rsid w:val="00C55C32"/>
    <w:rsid w:val="00C56110"/>
    <w:rsid w:val="00C567D3"/>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4E90"/>
    <w:rsid w:val="00C65011"/>
    <w:rsid w:val="00C65151"/>
    <w:rsid w:val="00C657F4"/>
    <w:rsid w:val="00C6598D"/>
    <w:rsid w:val="00C660FE"/>
    <w:rsid w:val="00C66119"/>
    <w:rsid w:val="00C66292"/>
    <w:rsid w:val="00C6652C"/>
    <w:rsid w:val="00C66B7D"/>
    <w:rsid w:val="00C67265"/>
    <w:rsid w:val="00C672A3"/>
    <w:rsid w:val="00C672F1"/>
    <w:rsid w:val="00C673D0"/>
    <w:rsid w:val="00C6742E"/>
    <w:rsid w:val="00C67B0B"/>
    <w:rsid w:val="00C67C0E"/>
    <w:rsid w:val="00C70012"/>
    <w:rsid w:val="00C70E97"/>
    <w:rsid w:val="00C7141C"/>
    <w:rsid w:val="00C71744"/>
    <w:rsid w:val="00C71E2A"/>
    <w:rsid w:val="00C733BA"/>
    <w:rsid w:val="00C73897"/>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989"/>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8CA"/>
    <w:rsid w:val="00CB2C3A"/>
    <w:rsid w:val="00CB2D38"/>
    <w:rsid w:val="00CB31B4"/>
    <w:rsid w:val="00CB3721"/>
    <w:rsid w:val="00CB3725"/>
    <w:rsid w:val="00CB4137"/>
    <w:rsid w:val="00CB42EB"/>
    <w:rsid w:val="00CB50D0"/>
    <w:rsid w:val="00CB52D0"/>
    <w:rsid w:val="00CB5578"/>
    <w:rsid w:val="00CB5671"/>
    <w:rsid w:val="00CB56EB"/>
    <w:rsid w:val="00CB591C"/>
    <w:rsid w:val="00CB5943"/>
    <w:rsid w:val="00CB5FE7"/>
    <w:rsid w:val="00CB61B3"/>
    <w:rsid w:val="00CB6F83"/>
    <w:rsid w:val="00CB72AE"/>
    <w:rsid w:val="00CB765D"/>
    <w:rsid w:val="00CC00CD"/>
    <w:rsid w:val="00CC0579"/>
    <w:rsid w:val="00CC09B4"/>
    <w:rsid w:val="00CC0AF3"/>
    <w:rsid w:val="00CC0BC6"/>
    <w:rsid w:val="00CC0E68"/>
    <w:rsid w:val="00CC1409"/>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15A"/>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8CB"/>
    <w:rsid w:val="00CE7F26"/>
    <w:rsid w:val="00CE7F71"/>
    <w:rsid w:val="00CF0B48"/>
    <w:rsid w:val="00CF1226"/>
    <w:rsid w:val="00CF1263"/>
    <w:rsid w:val="00CF1ABB"/>
    <w:rsid w:val="00CF1E1D"/>
    <w:rsid w:val="00CF24FE"/>
    <w:rsid w:val="00CF25D7"/>
    <w:rsid w:val="00CF287F"/>
    <w:rsid w:val="00CF35D0"/>
    <w:rsid w:val="00CF3B57"/>
    <w:rsid w:val="00CF3DD5"/>
    <w:rsid w:val="00CF3F14"/>
    <w:rsid w:val="00CF3F3F"/>
    <w:rsid w:val="00CF436F"/>
    <w:rsid w:val="00CF4AF7"/>
    <w:rsid w:val="00CF4D0E"/>
    <w:rsid w:val="00CF4D20"/>
    <w:rsid w:val="00CF5E78"/>
    <w:rsid w:val="00CF6B3B"/>
    <w:rsid w:val="00CF6E31"/>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49D"/>
    <w:rsid w:val="00D055FE"/>
    <w:rsid w:val="00D058E9"/>
    <w:rsid w:val="00D0612A"/>
    <w:rsid w:val="00D07E26"/>
    <w:rsid w:val="00D1060D"/>
    <w:rsid w:val="00D108CD"/>
    <w:rsid w:val="00D10D14"/>
    <w:rsid w:val="00D10E7C"/>
    <w:rsid w:val="00D11182"/>
    <w:rsid w:val="00D1137B"/>
    <w:rsid w:val="00D11807"/>
    <w:rsid w:val="00D11DB3"/>
    <w:rsid w:val="00D12D82"/>
    <w:rsid w:val="00D12F77"/>
    <w:rsid w:val="00D12F79"/>
    <w:rsid w:val="00D1306E"/>
    <w:rsid w:val="00D130B7"/>
    <w:rsid w:val="00D131FF"/>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7B0"/>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362"/>
    <w:rsid w:val="00D4043A"/>
    <w:rsid w:val="00D4073C"/>
    <w:rsid w:val="00D40D55"/>
    <w:rsid w:val="00D40DB0"/>
    <w:rsid w:val="00D40EE5"/>
    <w:rsid w:val="00D41056"/>
    <w:rsid w:val="00D41093"/>
    <w:rsid w:val="00D41858"/>
    <w:rsid w:val="00D41DB1"/>
    <w:rsid w:val="00D422DB"/>
    <w:rsid w:val="00D42AC2"/>
    <w:rsid w:val="00D4498E"/>
    <w:rsid w:val="00D4515F"/>
    <w:rsid w:val="00D451E8"/>
    <w:rsid w:val="00D45230"/>
    <w:rsid w:val="00D454F2"/>
    <w:rsid w:val="00D45BBE"/>
    <w:rsid w:val="00D466C9"/>
    <w:rsid w:val="00D46A4F"/>
    <w:rsid w:val="00D47275"/>
    <w:rsid w:val="00D47B46"/>
    <w:rsid w:val="00D47E02"/>
    <w:rsid w:val="00D508EC"/>
    <w:rsid w:val="00D5160B"/>
    <w:rsid w:val="00D517F6"/>
    <w:rsid w:val="00D51AB7"/>
    <w:rsid w:val="00D51E15"/>
    <w:rsid w:val="00D5211B"/>
    <w:rsid w:val="00D522CB"/>
    <w:rsid w:val="00D52B7E"/>
    <w:rsid w:val="00D52E2F"/>
    <w:rsid w:val="00D52F10"/>
    <w:rsid w:val="00D52F59"/>
    <w:rsid w:val="00D53445"/>
    <w:rsid w:val="00D53670"/>
    <w:rsid w:val="00D53D54"/>
    <w:rsid w:val="00D53E3E"/>
    <w:rsid w:val="00D54620"/>
    <w:rsid w:val="00D54A86"/>
    <w:rsid w:val="00D55715"/>
    <w:rsid w:val="00D55904"/>
    <w:rsid w:val="00D5614E"/>
    <w:rsid w:val="00D5616F"/>
    <w:rsid w:val="00D5636D"/>
    <w:rsid w:val="00D56C96"/>
    <w:rsid w:val="00D57940"/>
    <w:rsid w:val="00D57E0A"/>
    <w:rsid w:val="00D60327"/>
    <w:rsid w:val="00D61227"/>
    <w:rsid w:val="00D61384"/>
    <w:rsid w:val="00D61526"/>
    <w:rsid w:val="00D61B44"/>
    <w:rsid w:val="00D61C39"/>
    <w:rsid w:val="00D61F81"/>
    <w:rsid w:val="00D6200A"/>
    <w:rsid w:val="00D620A6"/>
    <w:rsid w:val="00D62BE6"/>
    <w:rsid w:val="00D62FB3"/>
    <w:rsid w:val="00D63766"/>
    <w:rsid w:val="00D63912"/>
    <w:rsid w:val="00D63923"/>
    <w:rsid w:val="00D63A05"/>
    <w:rsid w:val="00D6451B"/>
    <w:rsid w:val="00D64B57"/>
    <w:rsid w:val="00D64E46"/>
    <w:rsid w:val="00D651A1"/>
    <w:rsid w:val="00D652C0"/>
    <w:rsid w:val="00D65DEA"/>
    <w:rsid w:val="00D6650F"/>
    <w:rsid w:val="00D66579"/>
    <w:rsid w:val="00D676D3"/>
    <w:rsid w:val="00D67B06"/>
    <w:rsid w:val="00D67BC7"/>
    <w:rsid w:val="00D67EC4"/>
    <w:rsid w:val="00D701F1"/>
    <w:rsid w:val="00D705D3"/>
    <w:rsid w:val="00D70685"/>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4D4"/>
    <w:rsid w:val="00D7791D"/>
    <w:rsid w:val="00D8039E"/>
    <w:rsid w:val="00D8044C"/>
    <w:rsid w:val="00D805D6"/>
    <w:rsid w:val="00D8075E"/>
    <w:rsid w:val="00D80860"/>
    <w:rsid w:val="00D80D4C"/>
    <w:rsid w:val="00D8184D"/>
    <w:rsid w:val="00D81A7B"/>
    <w:rsid w:val="00D81D11"/>
    <w:rsid w:val="00D81F22"/>
    <w:rsid w:val="00D8223C"/>
    <w:rsid w:val="00D8237D"/>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683"/>
    <w:rsid w:val="00D90B2A"/>
    <w:rsid w:val="00D911B3"/>
    <w:rsid w:val="00D91483"/>
    <w:rsid w:val="00D915C8"/>
    <w:rsid w:val="00D9234D"/>
    <w:rsid w:val="00D92B91"/>
    <w:rsid w:val="00D9310B"/>
    <w:rsid w:val="00D931B2"/>
    <w:rsid w:val="00D931F3"/>
    <w:rsid w:val="00D93726"/>
    <w:rsid w:val="00D93F3E"/>
    <w:rsid w:val="00D9405B"/>
    <w:rsid w:val="00D947BF"/>
    <w:rsid w:val="00D94942"/>
    <w:rsid w:val="00D95145"/>
    <w:rsid w:val="00D953AF"/>
    <w:rsid w:val="00D96594"/>
    <w:rsid w:val="00D9671B"/>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3F4"/>
    <w:rsid w:val="00DA5989"/>
    <w:rsid w:val="00DA5AB1"/>
    <w:rsid w:val="00DA5F9D"/>
    <w:rsid w:val="00DA69B2"/>
    <w:rsid w:val="00DA6B40"/>
    <w:rsid w:val="00DA7462"/>
    <w:rsid w:val="00DA7AD0"/>
    <w:rsid w:val="00DA7C99"/>
    <w:rsid w:val="00DB02D7"/>
    <w:rsid w:val="00DB03CC"/>
    <w:rsid w:val="00DB12D4"/>
    <w:rsid w:val="00DB14F0"/>
    <w:rsid w:val="00DB1745"/>
    <w:rsid w:val="00DB19BB"/>
    <w:rsid w:val="00DB19EB"/>
    <w:rsid w:val="00DB1AFF"/>
    <w:rsid w:val="00DB219A"/>
    <w:rsid w:val="00DB3009"/>
    <w:rsid w:val="00DB3165"/>
    <w:rsid w:val="00DB330D"/>
    <w:rsid w:val="00DB3909"/>
    <w:rsid w:val="00DB4292"/>
    <w:rsid w:val="00DB438F"/>
    <w:rsid w:val="00DB5023"/>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4267"/>
    <w:rsid w:val="00DC463D"/>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2AE4"/>
    <w:rsid w:val="00DE3119"/>
    <w:rsid w:val="00DE3E0B"/>
    <w:rsid w:val="00DE3FF0"/>
    <w:rsid w:val="00DE4105"/>
    <w:rsid w:val="00DE4BE9"/>
    <w:rsid w:val="00DE5189"/>
    <w:rsid w:val="00DE5F5F"/>
    <w:rsid w:val="00DE6C03"/>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2838"/>
    <w:rsid w:val="00E128FA"/>
    <w:rsid w:val="00E13261"/>
    <w:rsid w:val="00E13867"/>
    <w:rsid w:val="00E1397F"/>
    <w:rsid w:val="00E13AB8"/>
    <w:rsid w:val="00E1482E"/>
    <w:rsid w:val="00E14CBE"/>
    <w:rsid w:val="00E14FD0"/>
    <w:rsid w:val="00E162D7"/>
    <w:rsid w:val="00E16382"/>
    <w:rsid w:val="00E1699C"/>
    <w:rsid w:val="00E16E75"/>
    <w:rsid w:val="00E1746D"/>
    <w:rsid w:val="00E174E8"/>
    <w:rsid w:val="00E2012A"/>
    <w:rsid w:val="00E20270"/>
    <w:rsid w:val="00E205A2"/>
    <w:rsid w:val="00E205DC"/>
    <w:rsid w:val="00E20BA4"/>
    <w:rsid w:val="00E210D0"/>
    <w:rsid w:val="00E21575"/>
    <w:rsid w:val="00E226C8"/>
    <w:rsid w:val="00E23137"/>
    <w:rsid w:val="00E23980"/>
    <w:rsid w:val="00E23AB4"/>
    <w:rsid w:val="00E241E9"/>
    <w:rsid w:val="00E257C3"/>
    <w:rsid w:val="00E25A2C"/>
    <w:rsid w:val="00E25CB3"/>
    <w:rsid w:val="00E25DA4"/>
    <w:rsid w:val="00E26237"/>
    <w:rsid w:val="00E26446"/>
    <w:rsid w:val="00E26CB8"/>
    <w:rsid w:val="00E26D16"/>
    <w:rsid w:val="00E26F5B"/>
    <w:rsid w:val="00E26FCF"/>
    <w:rsid w:val="00E27165"/>
    <w:rsid w:val="00E275D9"/>
    <w:rsid w:val="00E27874"/>
    <w:rsid w:val="00E3044A"/>
    <w:rsid w:val="00E30E49"/>
    <w:rsid w:val="00E31A4A"/>
    <w:rsid w:val="00E3250F"/>
    <w:rsid w:val="00E32A68"/>
    <w:rsid w:val="00E32B61"/>
    <w:rsid w:val="00E3344A"/>
    <w:rsid w:val="00E33B29"/>
    <w:rsid w:val="00E33B62"/>
    <w:rsid w:val="00E33F67"/>
    <w:rsid w:val="00E3403D"/>
    <w:rsid w:val="00E344BD"/>
    <w:rsid w:val="00E34E6C"/>
    <w:rsid w:val="00E353E2"/>
    <w:rsid w:val="00E3569F"/>
    <w:rsid w:val="00E36345"/>
    <w:rsid w:val="00E36C86"/>
    <w:rsid w:val="00E36CEB"/>
    <w:rsid w:val="00E37A28"/>
    <w:rsid w:val="00E40430"/>
    <w:rsid w:val="00E40690"/>
    <w:rsid w:val="00E40AEB"/>
    <w:rsid w:val="00E40BEA"/>
    <w:rsid w:val="00E40E82"/>
    <w:rsid w:val="00E41141"/>
    <w:rsid w:val="00E4143A"/>
    <w:rsid w:val="00E4159B"/>
    <w:rsid w:val="00E4186F"/>
    <w:rsid w:val="00E41AF1"/>
    <w:rsid w:val="00E41B4F"/>
    <w:rsid w:val="00E424C8"/>
    <w:rsid w:val="00E4251D"/>
    <w:rsid w:val="00E43896"/>
    <w:rsid w:val="00E43D00"/>
    <w:rsid w:val="00E443B4"/>
    <w:rsid w:val="00E445E4"/>
    <w:rsid w:val="00E44B3F"/>
    <w:rsid w:val="00E457CB"/>
    <w:rsid w:val="00E45D47"/>
    <w:rsid w:val="00E45DE4"/>
    <w:rsid w:val="00E45E63"/>
    <w:rsid w:val="00E473E8"/>
    <w:rsid w:val="00E4759C"/>
    <w:rsid w:val="00E50A7B"/>
    <w:rsid w:val="00E50B0B"/>
    <w:rsid w:val="00E50C57"/>
    <w:rsid w:val="00E510FE"/>
    <w:rsid w:val="00E514BA"/>
    <w:rsid w:val="00E51E25"/>
    <w:rsid w:val="00E5205B"/>
    <w:rsid w:val="00E521AE"/>
    <w:rsid w:val="00E529A3"/>
    <w:rsid w:val="00E53230"/>
    <w:rsid w:val="00E53A21"/>
    <w:rsid w:val="00E53BCA"/>
    <w:rsid w:val="00E53DE2"/>
    <w:rsid w:val="00E53F02"/>
    <w:rsid w:val="00E53F79"/>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1E4"/>
    <w:rsid w:val="00E623E6"/>
    <w:rsid w:val="00E628A9"/>
    <w:rsid w:val="00E63069"/>
    <w:rsid w:val="00E630A2"/>
    <w:rsid w:val="00E630C0"/>
    <w:rsid w:val="00E63107"/>
    <w:rsid w:val="00E6312C"/>
    <w:rsid w:val="00E634E6"/>
    <w:rsid w:val="00E63DCE"/>
    <w:rsid w:val="00E64320"/>
    <w:rsid w:val="00E64700"/>
    <w:rsid w:val="00E65074"/>
    <w:rsid w:val="00E65165"/>
    <w:rsid w:val="00E65A49"/>
    <w:rsid w:val="00E65E70"/>
    <w:rsid w:val="00E66087"/>
    <w:rsid w:val="00E66395"/>
    <w:rsid w:val="00E66B2D"/>
    <w:rsid w:val="00E66D79"/>
    <w:rsid w:val="00E66F5A"/>
    <w:rsid w:val="00E66FF9"/>
    <w:rsid w:val="00E6706F"/>
    <w:rsid w:val="00E670DD"/>
    <w:rsid w:val="00E673A2"/>
    <w:rsid w:val="00E67856"/>
    <w:rsid w:val="00E679C8"/>
    <w:rsid w:val="00E70314"/>
    <w:rsid w:val="00E7066E"/>
    <w:rsid w:val="00E71704"/>
    <w:rsid w:val="00E719F2"/>
    <w:rsid w:val="00E724E7"/>
    <w:rsid w:val="00E72B41"/>
    <w:rsid w:val="00E732C1"/>
    <w:rsid w:val="00E7347B"/>
    <w:rsid w:val="00E73792"/>
    <w:rsid w:val="00E73D03"/>
    <w:rsid w:val="00E7471C"/>
    <w:rsid w:val="00E7498A"/>
    <w:rsid w:val="00E75099"/>
    <w:rsid w:val="00E7514E"/>
    <w:rsid w:val="00E753F1"/>
    <w:rsid w:val="00E76537"/>
    <w:rsid w:val="00E76DC5"/>
    <w:rsid w:val="00E773AD"/>
    <w:rsid w:val="00E77784"/>
    <w:rsid w:val="00E77AF5"/>
    <w:rsid w:val="00E807B5"/>
    <w:rsid w:val="00E809DA"/>
    <w:rsid w:val="00E820F4"/>
    <w:rsid w:val="00E823F9"/>
    <w:rsid w:val="00E82C1F"/>
    <w:rsid w:val="00E83671"/>
    <w:rsid w:val="00E839C4"/>
    <w:rsid w:val="00E840EE"/>
    <w:rsid w:val="00E84314"/>
    <w:rsid w:val="00E849CA"/>
    <w:rsid w:val="00E84A71"/>
    <w:rsid w:val="00E8556F"/>
    <w:rsid w:val="00E85DDE"/>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034"/>
    <w:rsid w:val="00E9241E"/>
    <w:rsid w:val="00E92460"/>
    <w:rsid w:val="00E924FE"/>
    <w:rsid w:val="00E92E62"/>
    <w:rsid w:val="00E92E75"/>
    <w:rsid w:val="00E93073"/>
    <w:rsid w:val="00E937F5"/>
    <w:rsid w:val="00E93804"/>
    <w:rsid w:val="00E9429D"/>
    <w:rsid w:val="00E946B7"/>
    <w:rsid w:val="00E9477D"/>
    <w:rsid w:val="00E95434"/>
    <w:rsid w:val="00E957BD"/>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7E3"/>
    <w:rsid w:val="00EA38CD"/>
    <w:rsid w:val="00EA39F7"/>
    <w:rsid w:val="00EA3AB4"/>
    <w:rsid w:val="00EA3DC2"/>
    <w:rsid w:val="00EA434E"/>
    <w:rsid w:val="00EA4395"/>
    <w:rsid w:val="00EA4757"/>
    <w:rsid w:val="00EA4B69"/>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84C"/>
    <w:rsid w:val="00EB2D83"/>
    <w:rsid w:val="00EB2E97"/>
    <w:rsid w:val="00EB334F"/>
    <w:rsid w:val="00EB3416"/>
    <w:rsid w:val="00EB3AA6"/>
    <w:rsid w:val="00EB45AE"/>
    <w:rsid w:val="00EB4AE1"/>
    <w:rsid w:val="00EB52F4"/>
    <w:rsid w:val="00EB5694"/>
    <w:rsid w:val="00EB5779"/>
    <w:rsid w:val="00EB5D2F"/>
    <w:rsid w:val="00EB67F1"/>
    <w:rsid w:val="00EB6848"/>
    <w:rsid w:val="00EB6ADA"/>
    <w:rsid w:val="00EB72CD"/>
    <w:rsid w:val="00EB749A"/>
    <w:rsid w:val="00EB74B9"/>
    <w:rsid w:val="00EB76B6"/>
    <w:rsid w:val="00EB7758"/>
    <w:rsid w:val="00EB7D8A"/>
    <w:rsid w:val="00EC04F7"/>
    <w:rsid w:val="00EC05E2"/>
    <w:rsid w:val="00EC0E84"/>
    <w:rsid w:val="00EC1307"/>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9DC"/>
    <w:rsid w:val="00EE2BF0"/>
    <w:rsid w:val="00EE3295"/>
    <w:rsid w:val="00EE366D"/>
    <w:rsid w:val="00EE5454"/>
    <w:rsid w:val="00EE54C4"/>
    <w:rsid w:val="00EE59B5"/>
    <w:rsid w:val="00EE5FB7"/>
    <w:rsid w:val="00EE6783"/>
    <w:rsid w:val="00EE6AC4"/>
    <w:rsid w:val="00EE7A55"/>
    <w:rsid w:val="00EE7B54"/>
    <w:rsid w:val="00EE7C47"/>
    <w:rsid w:val="00EE7C88"/>
    <w:rsid w:val="00EE7C8B"/>
    <w:rsid w:val="00EF0209"/>
    <w:rsid w:val="00EF056B"/>
    <w:rsid w:val="00EF057C"/>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B11"/>
    <w:rsid w:val="00EF6DC2"/>
    <w:rsid w:val="00EF7506"/>
    <w:rsid w:val="00EF760B"/>
    <w:rsid w:val="00EF7BF4"/>
    <w:rsid w:val="00F0030F"/>
    <w:rsid w:val="00F00674"/>
    <w:rsid w:val="00F007FF"/>
    <w:rsid w:val="00F014F5"/>
    <w:rsid w:val="00F01657"/>
    <w:rsid w:val="00F01D40"/>
    <w:rsid w:val="00F01E67"/>
    <w:rsid w:val="00F02744"/>
    <w:rsid w:val="00F0290B"/>
    <w:rsid w:val="00F02BD4"/>
    <w:rsid w:val="00F02BFD"/>
    <w:rsid w:val="00F02D25"/>
    <w:rsid w:val="00F02E09"/>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E4F"/>
    <w:rsid w:val="00F17244"/>
    <w:rsid w:val="00F20ECE"/>
    <w:rsid w:val="00F2121A"/>
    <w:rsid w:val="00F213A0"/>
    <w:rsid w:val="00F21D54"/>
    <w:rsid w:val="00F21EF4"/>
    <w:rsid w:val="00F23113"/>
    <w:rsid w:val="00F23255"/>
    <w:rsid w:val="00F23393"/>
    <w:rsid w:val="00F23759"/>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0"/>
    <w:rsid w:val="00F368FF"/>
    <w:rsid w:val="00F36F0E"/>
    <w:rsid w:val="00F37068"/>
    <w:rsid w:val="00F371E2"/>
    <w:rsid w:val="00F37F3F"/>
    <w:rsid w:val="00F40973"/>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4D54"/>
    <w:rsid w:val="00F45130"/>
    <w:rsid w:val="00F45138"/>
    <w:rsid w:val="00F45921"/>
    <w:rsid w:val="00F45B91"/>
    <w:rsid w:val="00F46639"/>
    <w:rsid w:val="00F476FD"/>
    <w:rsid w:val="00F50183"/>
    <w:rsid w:val="00F508B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CFA"/>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4ECA"/>
    <w:rsid w:val="00F769D3"/>
    <w:rsid w:val="00F76C11"/>
    <w:rsid w:val="00F76C69"/>
    <w:rsid w:val="00F77021"/>
    <w:rsid w:val="00F770AB"/>
    <w:rsid w:val="00F77E61"/>
    <w:rsid w:val="00F80221"/>
    <w:rsid w:val="00F80A0A"/>
    <w:rsid w:val="00F80C81"/>
    <w:rsid w:val="00F815AC"/>
    <w:rsid w:val="00F81606"/>
    <w:rsid w:val="00F8297B"/>
    <w:rsid w:val="00F82E49"/>
    <w:rsid w:val="00F83152"/>
    <w:rsid w:val="00F83B33"/>
    <w:rsid w:val="00F83CAE"/>
    <w:rsid w:val="00F840BF"/>
    <w:rsid w:val="00F8427A"/>
    <w:rsid w:val="00F843DF"/>
    <w:rsid w:val="00F84646"/>
    <w:rsid w:val="00F84899"/>
    <w:rsid w:val="00F85585"/>
    <w:rsid w:val="00F85804"/>
    <w:rsid w:val="00F859F0"/>
    <w:rsid w:val="00F85CC1"/>
    <w:rsid w:val="00F8640B"/>
    <w:rsid w:val="00F86602"/>
    <w:rsid w:val="00F86B5D"/>
    <w:rsid w:val="00F87634"/>
    <w:rsid w:val="00F87C13"/>
    <w:rsid w:val="00F87C5A"/>
    <w:rsid w:val="00F87E29"/>
    <w:rsid w:val="00F87F18"/>
    <w:rsid w:val="00F87F68"/>
    <w:rsid w:val="00F90805"/>
    <w:rsid w:val="00F90A25"/>
    <w:rsid w:val="00F90B44"/>
    <w:rsid w:val="00F90C4D"/>
    <w:rsid w:val="00F9167D"/>
    <w:rsid w:val="00F91CB2"/>
    <w:rsid w:val="00F927E8"/>
    <w:rsid w:val="00F9289C"/>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5BBB"/>
    <w:rsid w:val="00FA60C1"/>
    <w:rsid w:val="00FA65A3"/>
    <w:rsid w:val="00FA67C5"/>
    <w:rsid w:val="00FA6F8B"/>
    <w:rsid w:val="00FA727C"/>
    <w:rsid w:val="00FA729A"/>
    <w:rsid w:val="00FA75D5"/>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5BEE"/>
    <w:rsid w:val="00FB6162"/>
    <w:rsid w:val="00FB630E"/>
    <w:rsid w:val="00FB66DD"/>
    <w:rsid w:val="00FB6738"/>
    <w:rsid w:val="00FB691B"/>
    <w:rsid w:val="00FB6BE6"/>
    <w:rsid w:val="00FB6FA0"/>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6C7"/>
    <w:rsid w:val="00FC5CF4"/>
    <w:rsid w:val="00FC5D64"/>
    <w:rsid w:val="00FC6A39"/>
    <w:rsid w:val="00FC6DB9"/>
    <w:rsid w:val="00FC76A9"/>
    <w:rsid w:val="00FC79AB"/>
    <w:rsid w:val="00FC7BE7"/>
    <w:rsid w:val="00FC7C8C"/>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537B"/>
    <w:rsid w:val="00FD59B4"/>
    <w:rsid w:val="00FD72B1"/>
    <w:rsid w:val="00FD7513"/>
    <w:rsid w:val="00FD798D"/>
    <w:rsid w:val="00FE0FFE"/>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E7629"/>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 w:val="1DBC71E9"/>
    <w:rsid w:val="51F41F10"/>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08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name-field-orden">
    <w:name w:val="field-name-field-orden"/>
    <w:basedOn w:val="Fuentedeprrafopredeter"/>
    <w:rsid w:val="00945869"/>
  </w:style>
  <w:style w:type="character" w:customStyle="1" w:styleId="field-name-field-rama">
    <w:name w:val="field-name-field-rama"/>
    <w:basedOn w:val="Fuentedeprrafopredeter"/>
    <w:rsid w:val="00945869"/>
  </w:style>
  <w:style w:type="character" w:customStyle="1" w:styleId="field-name-field-definicion">
    <w:name w:val="field-name-field-definicion"/>
    <w:basedOn w:val="Fuentedeprrafopredeter"/>
    <w:rsid w:val="00945869"/>
  </w:style>
  <w:style w:type="character" w:customStyle="1" w:styleId="eje">
    <w:name w:val="eje"/>
    <w:basedOn w:val="Fuentedeprrafopredeter"/>
    <w:rsid w:val="0094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7415853">
      <w:bodyDiv w:val="1"/>
      <w:marLeft w:val="0"/>
      <w:marRight w:val="0"/>
      <w:marTop w:val="0"/>
      <w:marBottom w:val="0"/>
      <w:divBdr>
        <w:top w:val="none" w:sz="0" w:space="0" w:color="auto"/>
        <w:left w:val="none" w:sz="0" w:space="0" w:color="auto"/>
        <w:bottom w:val="none" w:sz="0" w:space="0" w:color="auto"/>
        <w:right w:val="none" w:sz="0" w:space="0" w:color="auto"/>
      </w:divBdr>
      <w:divsChild>
        <w:div w:id="1016351059">
          <w:marLeft w:val="0"/>
          <w:marRight w:val="0"/>
          <w:marTop w:val="0"/>
          <w:marBottom w:val="0"/>
          <w:divBdr>
            <w:top w:val="none" w:sz="0" w:space="0" w:color="auto"/>
            <w:left w:val="none" w:sz="0" w:space="0" w:color="auto"/>
            <w:bottom w:val="none" w:sz="0" w:space="0" w:color="auto"/>
            <w:right w:val="none" w:sz="0" w:space="0" w:color="auto"/>
          </w:divBdr>
        </w:div>
      </w:divsChild>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2428437">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5160651">
      <w:bodyDiv w:val="1"/>
      <w:marLeft w:val="0"/>
      <w:marRight w:val="0"/>
      <w:marTop w:val="0"/>
      <w:marBottom w:val="0"/>
      <w:divBdr>
        <w:top w:val="none" w:sz="0" w:space="0" w:color="auto"/>
        <w:left w:val="none" w:sz="0" w:space="0" w:color="auto"/>
        <w:bottom w:val="none" w:sz="0" w:space="0" w:color="auto"/>
        <w:right w:val="none" w:sz="0" w:space="0" w:color="auto"/>
      </w:divBdr>
      <w:divsChild>
        <w:div w:id="766583348">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7254695">
      <w:bodyDiv w:val="1"/>
      <w:marLeft w:val="0"/>
      <w:marRight w:val="0"/>
      <w:marTop w:val="0"/>
      <w:marBottom w:val="0"/>
      <w:divBdr>
        <w:top w:val="none" w:sz="0" w:space="0" w:color="auto"/>
        <w:left w:val="none" w:sz="0" w:space="0" w:color="auto"/>
        <w:bottom w:val="none" w:sz="0" w:space="0" w:color="auto"/>
        <w:right w:val="none" w:sz="0" w:space="0" w:color="auto"/>
      </w:divBdr>
      <w:divsChild>
        <w:div w:id="285428712">
          <w:marLeft w:val="0"/>
          <w:marRight w:val="0"/>
          <w:marTop w:val="0"/>
          <w:marBottom w:val="0"/>
          <w:divBdr>
            <w:top w:val="none" w:sz="0" w:space="0" w:color="auto"/>
            <w:left w:val="none" w:sz="0" w:space="0" w:color="auto"/>
            <w:bottom w:val="none" w:sz="0" w:space="0" w:color="auto"/>
            <w:right w:val="none" w:sz="0" w:space="0" w:color="auto"/>
          </w:divBdr>
        </w:div>
        <w:div w:id="557056042">
          <w:marLeft w:val="0"/>
          <w:marRight w:val="0"/>
          <w:marTop w:val="0"/>
          <w:marBottom w:val="0"/>
          <w:divBdr>
            <w:top w:val="none" w:sz="0" w:space="0" w:color="auto"/>
            <w:left w:val="none" w:sz="0" w:space="0" w:color="auto"/>
            <w:bottom w:val="none" w:sz="0" w:space="0" w:color="auto"/>
            <w:right w:val="none" w:sz="0" w:space="0" w:color="auto"/>
          </w:divBdr>
        </w:div>
        <w:div w:id="1437482217">
          <w:marLeft w:val="0"/>
          <w:marRight w:val="0"/>
          <w:marTop w:val="0"/>
          <w:marBottom w:val="0"/>
          <w:divBdr>
            <w:top w:val="none" w:sz="0" w:space="0" w:color="auto"/>
            <w:left w:val="none" w:sz="0" w:space="0" w:color="auto"/>
            <w:bottom w:val="none" w:sz="0" w:space="0" w:color="auto"/>
            <w:right w:val="none" w:sz="0" w:space="0" w:color="auto"/>
          </w:divBdr>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1716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0352461">
      <w:bodyDiv w:val="1"/>
      <w:marLeft w:val="0"/>
      <w:marRight w:val="0"/>
      <w:marTop w:val="0"/>
      <w:marBottom w:val="0"/>
      <w:divBdr>
        <w:top w:val="none" w:sz="0" w:space="0" w:color="auto"/>
        <w:left w:val="none" w:sz="0" w:space="0" w:color="auto"/>
        <w:bottom w:val="none" w:sz="0" w:space="0" w:color="auto"/>
        <w:right w:val="none" w:sz="0" w:space="0" w:color="auto"/>
      </w:divBdr>
      <w:divsChild>
        <w:div w:id="1574585621">
          <w:marLeft w:val="0"/>
          <w:marRight w:val="0"/>
          <w:marTop w:val="0"/>
          <w:marBottom w:val="225"/>
          <w:divBdr>
            <w:top w:val="none" w:sz="0" w:space="0" w:color="auto"/>
            <w:left w:val="none" w:sz="0" w:space="0" w:color="auto"/>
            <w:bottom w:val="none" w:sz="0" w:space="0" w:color="auto"/>
            <w:right w:val="none" w:sz="0" w:space="0" w:color="auto"/>
          </w:divBdr>
        </w:div>
        <w:div w:id="1171681715">
          <w:marLeft w:val="0"/>
          <w:marRight w:val="0"/>
          <w:marTop w:val="0"/>
          <w:marBottom w:val="225"/>
          <w:divBdr>
            <w:top w:val="none" w:sz="0" w:space="0" w:color="auto"/>
            <w:left w:val="none" w:sz="0" w:space="0" w:color="auto"/>
            <w:bottom w:val="none" w:sz="0" w:space="0" w:color="auto"/>
            <w:right w:val="none" w:sz="0" w:space="0" w:color="auto"/>
          </w:divBdr>
        </w:div>
        <w:div w:id="236207622">
          <w:marLeft w:val="0"/>
          <w:marRight w:val="0"/>
          <w:marTop w:val="0"/>
          <w:marBottom w:val="225"/>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F2272-7529-4807-82DC-00C63C9D7E82}">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20</Pages>
  <Words>7911</Words>
  <Characters>43516</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Manuela Mantilla Pacheco</cp:lastModifiedBy>
  <cp:revision>6</cp:revision>
  <cp:lastPrinted>2020-01-30T15:05:00Z</cp:lastPrinted>
  <dcterms:created xsi:type="dcterms:W3CDTF">2022-03-17T03:38:00Z</dcterms:created>
  <dcterms:modified xsi:type="dcterms:W3CDTF">2022-04-18T20:33:00Z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