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47900F" w14:textId="77777777" w:rsidR="006C4F68" w:rsidRPr="00252014" w:rsidRDefault="006C4F68" w:rsidP="006C4F68">
      <w:pPr>
        <w:tabs>
          <w:tab w:val="left" w:pos="3374"/>
        </w:tabs>
        <w:spacing w:after="0" w:line="240" w:lineRule="auto"/>
        <w:jc w:val="both"/>
        <w:rPr>
          <w:rFonts w:ascii="Century Gothic" w:hAnsi="Century Gothic" w:cs="Arial"/>
          <w:b/>
          <w:bCs/>
          <w:sz w:val="20"/>
          <w:szCs w:val="20"/>
        </w:rPr>
      </w:pPr>
      <w:bookmarkStart w:id="0" w:name="_Hlk94281581"/>
      <w:bookmarkStart w:id="1" w:name="_Hlk102489058"/>
      <w:bookmarkStart w:id="2" w:name="_Hlk34951122"/>
      <w:bookmarkStart w:id="3" w:name="_Hlk162346940"/>
    </w:p>
    <w:p w14:paraId="016E49BF" w14:textId="77777777" w:rsidR="006C4F68" w:rsidRPr="00252014" w:rsidRDefault="006C4F68" w:rsidP="006C4F68">
      <w:pPr>
        <w:spacing w:after="0" w:line="240" w:lineRule="auto"/>
        <w:contextualSpacing/>
        <w:jc w:val="both"/>
        <w:rPr>
          <w:rFonts w:ascii="Century Gothic" w:eastAsia="Calibri" w:hAnsi="Century Gothic" w:cs="Arial"/>
          <w:b/>
          <w:lang w:eastAsia="es-ES_tradnl"/>
        </w:rPr>
      </w:pPr>
      <w:r>
        <w:rPr>
          <w:rFonts w:ascii="Century Gothic" w:eastAsia="Calibri" w:hAnsi="Century Gothic" w:cs="Arial"/>
          <w:b/>
          <w:lang w:eastAsia="es-ES_tradnl"/>
        </w:rPr>
        <w:t>ANCP-CCE</w:t>
      </w:r>
      <w:r w:rsidRPr="00252014">
        <w:rPr>
          <w:rFonts w:ascii="Century Gothic" w:eastAsia="Calibri" w:hAnsi="Century Gothic" w:cs="Arial"/>
          <w:b/>
          <w:lang w:eastAsia="es-ES_tradnl"/>
        </w:rPr>
        <w:t xml:space="preserve"> – </w:t>
      </w:r>
      <w:r>
        <w:rPr>
          <w:rFonts w:ascii="Century Gothic" w:eastAsia="Calibri" w:hAnsi="Century Gothic" w:cs="Arial"/>
          <w:b/>
          <w:lang w:eastAsia="es-ES_tradnl"/>
        </w:rPr>
        <w:t>Naturaleza jurídica – Competencia consultiva – Alcance</w:t>
      </w:r>
      <w:r w:rsidRPr="00252014">
        <w:rPr>
          <w:rFonts w:ascii="Century Gothic" w:eastAsia="Calibri" w:hAnsi="Century Gothic" w:cs="Arial"/>
          <w:b/>
          <w:lang w:eastAsia="es-ES_tradnl"/>
        </w:rPr>
        <w:t xml:space="preserve"> </w:t>
      </w:r>
    </w:p>
    <w:p w14:paraId="7F0FE3FF" w14:textId="77777777" w:rsidR="006C4F68" w:rsidRPr="00252014" w:rsidRDefault="006C4F68" w:rsidP="006C4F68">
      <w:pPr>
        <w:spacing w:after="0" w:line="240" w:lineRule="auto"/>
        <w:contextualSpacing/>
        <w:jc w:val="both"/>
        <w:rPr>
          <w:rFonts w:ascii="Century Gothic" w:eastAsia="Calibri" w:hAnsi="Century Gothic" w:cs="Arial"/>
          <w:bCs/>
          <w:sz w:val="20"/>
          <w:szCs w:val="20"/>
          <w:lang w:val="es-MX" w:eastAsia="es-MX"/>
        </w:rPr>
      </w:pPr>
    </w:p>
    <w:p w14:paraId="1FAAB602" w14:textId="77777777" w:rsidR="006C4F68" w:rsidRDefault="006C4F68" w:rsidP="006C4F68">
      <w:pPr>
        <w:spacing w:after="0" w:line="240" w:lineRule="auto"/>
        <w:contextualSpacing/>
        <w:jc w:val="both"/>
        <w:rPr>
          <w:rFonts w:ascii="Century Gothic" w:eastAsia="Calibri" w:hAnsi="Century Gothic" w:cs="Arial"/>
          <w:bCs/>
          <w:sz w:val="20"/>
          <w:szCs w:val="20"/>
          <w:lang w:val="es-MX" w:eastAsia="es-MX"/>
        </w:rPr>
      </w:pPr>
      <w:r w:rsidRPr="001952ED">
        <w:rPr>
          <w:rFonts w:ascii="Century Gothic" w:eastAsia="Calibri" w:hAnsi="Century Gothic" w:cs="Arial"/>
          <w:bCs/>
          <w:sz w:val="20"/>
          <w:szCs w:val="20"/>
          <w:lang w:val="es-MX" w:eastAsia="es-MX"/>
        </w:rPr>
        <w:t xml:space="preserve">La Agencia Nacional de Contratación Pública – Colombia Compra Eficiente fue creada por el Decreto Ley 4170 de 2011, como una Unidad Administrativa Especial, descentralizada de la Rama Ejecutiva del orden nacional, adscrita al Departamento Nacional de Planeación. El legislador extraordinario determinó que su objetivo sería servir como ente rector de la política de compras y contratación del Estado, facultando a la Agencia para “difundir las normas, reglas, procedimientos, medios tecnológicos y mejores prácticas para las compras y la contratación pública”, de conformidad con el numeral 10 del artículo 3 del Decreto Ley 4170 de 2011. </w:t>
      </w:r>
    </w:p>
    <w:p w14:paraId="73154038" w14:textId="77777777" w:rsidR="006C4F68" w:rsidRPr="001952ED" w:rsidRDefault="006C4F68" w:rsidP="006C4F68">
      <w:pPr>
        <w:spacing w:after="0" w:line="240" w:lineRule="auto"/>
        <w:contextualSpacing/>
        <w:jc w:val="both"/>
        <w:rPr>
          <w:rFonts w:ascii="Century Gothic" w:eastAsia="Calibri" w:hAnsi="Century Gothic" w:cs="Arial"/>
          <w:bCs/>
          <w:sz w:val="20"/>
          <w:szCs w:val="20"/>
          <w:lang w:val="es-MX" w:eastAsia="es-MX"/>
        </w:rPr>
      </w:pPr>
    </w:p>
    <w:p w14:paraId="114D87DA" w14:textId="77777777" w:rsidR="006C4F68" w:rsidRDefault="006C4F68" w:rsidP="006C4F68">
      <w:pPr>
        <w:spacing w:after="0" w:line="240" w:lineRule="auto"/>
        <w:contextualSpacing/>
        <w:jc w:val="both"/>
        <w:rPr>
          <w:rFonts w:ascii="Century Gothic" w:eastAsia="Calibri" w:hAnsi="Century Gothic" w:cs="Arial"/>
          <w:bCs/>
          <w:sz w:val="20"/>
          <w:szCs w:val="20"/>
          <w:lang w:val="es-MX" w:eastAsia="es-MX"/>
        </w:rPr>
      </w:pPr>
      <w:r w:rsidRPr="001952ED">
        <w:rPr>
          <w:rFonts w:ascii="Century Gothic" w:eastAsia="Calibri" w:hAnsi="Century Gothic" w:cs="Arial"/>
          <w:bCs/>
          <w:sz w:val="20"/>
          <w:szCs w:val="20"/>
          <w:lang w:val="es-MX" w:eastAsia="es-MX"/>
        </w:rPr>
        <w:t>El numeral 2 del artículo 3 del Decreto Ley 4170 de 2011 señala que una de las funciones de la Agencia Nacional de Contratación Pública es “desarrollar, implementar y difundir las políticas públicas, planes, programas, normas, instrumentos y herramientas que faciliten las compras y contratación pública del Estado y promuevan las mejores prácticas, la eficiencia, transparencia y competitividad del mismo, a fin de que se cumplan los principios y procesos generales que deben gobernar la actividad contractual de las entidades públicas”. Por su parte, el numeral 5 del mismo artículo otorga la facultad para expedir circulares externas en materia de compras y contratación pública. En ejercicio de estas competencias conferidas por el Decreto Ley 4170 de 2011, Colombia Compra Eficiente ha expedido Guías, Manuales y Circulares, los cuales pueden calificarse como herramientas de apoyo a los partícipes de la contratación pública.</w:t>
      </w:r>
    </w:p>
    <w:p w14:paraId="66617210" w14:textId="77777777" w:rsidR="006C4F68" w:rsidRPr="001952ED" w:rsidRDefault="006C4F68" w:rsidP="006C4F68">
      <w:pPr>
        <w:spacing w:after="0" w:line="240" w:lineRule="auto"/>
        <w:contextualSpacing/>
        <w:jc w:val="both"/>
        <w:rPr>
          <w:rFonts w:ascii="Century Gothic" w:eastAsia="Calibri" w:hAnsi="Century Gothic" w:cs="Arial"/>
          <w:bCs/>
          <w:sz w:val="20"/>
          <w:szCs w:val="20"/>
          <w:lang w:val="es-MX" w:eastAsia="es-MX"/>
        </w:rPr>
      </w:pPr>
    </w:p>
    <w:p w14:paraId="4361AEAC" w14:textId="77777777" w:rsidR="006C4F68" w:rsidRDefault="006C4F68" w:rsidP="006C4F68">
      <w:pPr>
        <w:spacing w:after="0" w:line="240" w:lineRule="auto"/>
        <w:contextualSpacing/>
        <w:jc w:val="both"/>
        <w:rPr>
          <w:rFonts w:ascii="Century Gothic" w:eastAsia="Calibri" w:hAnsi="Century Gothic" w:cs="Arial"/>
          <w:bCs/>
          <w:sz w:val="20"/>
          <w:szCs w:val="20"/>
          <w:lang w:val="es-MX" w:eastAsia="es-MX"/>
        </w:rPr>
      </w:pPr>
      <w:r w:rsidRPr="001952ED">
        <w:rPr>
          <w:rFonts w:ascii="Century Gothic" w:eastAsia="Calibri" w:hAnsi="Century Gothic" w:cs="Arial"/>
          <w:bCs/>
          <w:sz w:val="20"/>
          <w:szCs w:val="20"/>
          <w:lang w:val="es-MX" w:eastAsia="es-MX"/>
        </w:rPr>
        <w:t xml:space="preserve">Asimismo, en ejercicio de las competencias establecidas en los artículos 3.5 y 11.8 del Decreto 4170 de 2011, la Agencia Nacional de Contratación Pública – Colombia Compra Eficiente resuelve consultas sobre la aplicación de normas de carácter general en materia de compras y contratación pública. Esta competencia de interpretación de normas generales, por definición, no puede extenderse a la resolución de controversias, brindar asesorías sobre casos puntuales ni, mucho menos, interpretar cualquier disposición que no esté directamente relacionada con el sistema de compras. </w:t>
      </w:r>
    </w:p>
    <w:p w14:paraId="1576D4AE" w14:textId="77777777" w:rsidR="006C4F68" w:rsidRPr="001952ED" w:rsidRDefault="006C4F68" w:rsidP="006C4F68">
      <w:pPr>
        <w:spacing w:after="0" w:line="240" w:lineRule="auto"/>
        <w:contextualSpacing/>
        <w:jc w:val="both"/>
        <w:rPr>
          <w:rFonts w:ascii="Century Gothic" w:eastAsia="Calibri" w:hAnsi="Century Gothic" w:cs="Arial"/>
          <w:bCs/>
          <w:sz w:val="20"/>
          <w:szCs w:val="20"/>
          <w:lang w:val="es-MX" w:eastAsia="es-MX"/>
        </w:rPr>
      </w:pPr>
    </w:p>
    <w:p w14:paraId="0AC9C2AC" w14:textId="77777777" w:rsidR="006C4F68" w:rsidRPr="00252014" w:rsidRDefault="006C4F68" w:rsidP="006C4F68">
      <w:pPr>
        <w:spacing w:after="0" w:line="240" w:lineRule="auto"/>
        <w:contextualSpacing/>
        <w:jc w:val="both"/>
        <w:rPr>
          <w:rFonts w:ascii="Century Gothic" w:eastAsia="Calibri" w:hAnsi="Century Gothic" w:cs="Arial"/>
          <w:bCs/>
          <w:sz w:val="20"/>
          <w:szCs w:val="20"/>
          <w:lang w:val="es-MX" w:eastAsia="es-MX"/>
        </w:rPr>
      </w:pPr>
      <w:r w:rsidRPr="001952ED">
        <w:rPr>
          <w:rFonts w:ascii="Century Gothic" w:eastAsia="Calibri" w:hAnsi="Century Gothic" w:cs="Arial"/>
          <w:bCs/>
          <w:sz w:val="20"/>
          <w:szCs w:val="20"/>
          <w:lang w:val="es-MX" w:eastAsia="es-MX"/>
        </w:rPr>
        <w:t>La competencia de esta entidad se fija con límites claros, con el objeto de evitar que la Agencia actúe como una instancia de validación de las actuaciones de las entidades sujetas a la Ley 80 de 1993 o de los demás participantes de la contratación pública. Por lo anterior, previo concepto de sus órganos asesores, la solución de casos particulares o la interpretación de disposiciones de otros subsistemas normativos corresponden a la entidad de adoptar la decisión correspondiente y, en caso de conflicto, a las autoridades judiciales, fiscales y disciplinarias</w:t>
      </w:r>
      <w:r w:rsidRPr="00252014">
        <w:rPr>
          <w:rFonts w:ascii="Century Gothic" w:eastAsia="Calibri" w:hAnsi="Century Gothic" w:cs="Arial"/>
          <w:bCs/>
          <w:sz w:val="20"/>
          <w:szCs w:val="20"/>
          <w:lang w:val="es-MX" w:eastAsia="es-MX"/>
        </w:rPr>
        <w:t xml:space="preserve">. </w:t>
      </w:r>
    </w:p>
    <w:p w14:paraId="793E0172" w14:textId="77777777" w:rsidR="006C4F68" w:rsidRPr="00252014" w:rsidRDefault="006C4F68" w:rsidP="006C4F68">
      <w:pPr>
        <w:tabs>
          <w:tab w:val="left" w:pos="3374"/>
        </w:tabs>
        <w:spacing w:after="0" w:line="240" w:lineRule="auto"/>
        <w:jc w:val="both"/>
        <w:rPr>
          <w:rFonts w:ascii="Century Gothic" w:hAnsi="Century Gothic" w:cs="Arial"/>
          <w:b/>
          <w:bCs/>
          <w:sz w:val="20"/>
          <w:szCs w:val="20"/>
        </w:rPr>
      </w:pPr>
    </w:p>
    <w:p w14:paraId="5ACA5EC2" w14:textId="77777777" w:rsidR="006C4F68" w:rsidRPr="00252014" w:rsidRDefault="006C4F68" w:rsidP="006C4F68">
      <w:pPr>
        <w:spacing w:after="0" w:line="240" w:lineRule="auto"/>
        <w:contextualSpacing/>
        <w:jc w:val="both"/>
        <w:rPr>
          <w:rFonts w:ascii="Century Gothic" w:eastAsia="Calibri" w:hAnsi="Century Gothic" w:cs="Arial"/>
          <w:b/>
          <w:lang w:eastAsia="es-ES_tradnl"/>
        </w:rPr>
      </w:pPr>
      <w:r w:rsidRPr="00252014">
        <w:rPr>
          <w:rFonts w:ascii="Century Gothic" w:eastAsia="Calibri" w:hAnsi="Century Gothic" w:cs="Arial"/>
          <w:b/>
          <w:lang w:eastAsia="es-ES_tradnl"/>
        </w:rPr>
        <w:t xml:space="preserve">ORGANISMOS INTERNACIONALES – Concepto </w:t>
      </w:r>
    </w:p>
    <w:p w14:paraId="20A22B7E" w14:textId="77777777" w:rsidR="006C4F68" w:rsidRPr="00252014" w:rsidRDefault="006C4F68" w:rsidP="006C4F68">
      <w:pPr>
        <w:spacing w:after="0" w:line="240" w:lineRule="auto"/>
        <w:contextualSpacing/>
        <w:jc w:val="both"/>
        <w:rPr>
          <w:rFonts w:ascii="Century Gothic" w:eastAsia="Calibri" w:hAnsi="Century Gothic" w:cs="Arial"/>
          <w:bCs/>
          <w:sz w:val="20"/>
          <w:szCs w:val="20"/>
          <w:lang w:val="es-MX" w:eastAsia="es-MX"/>
        </w:rPr>
      </w:pPr>
    </w:p>
    <w:p w14:paraId="086B53A6" w14:textId="77777777" w:rsidR="006C4F68" w:rsidRPr="00252014" w:rsidRDefault="006C4F68" w:rsidP="006C4F68">
      <w:pPr>
        <w:spacing w:after="0" w:line="240" w:lineRule="auto"/>
        <w:contextualSpacing/>
        <w:jc w:val="both"/>
        <w:rPr>
          <w:rFonts w:ascii="Century Gothic" w:eastAsia="Calibri" w:hAnsi="Century Gothic" w:cs="Arial"/>
          <w:bCs/>
          <w:sz w:val="20"/>
          <w:szCs w:val="20"/>
          <w:lang w:val="es-MX" w:eastAsia="es-MX"/>
        </w:rPr>
      </w:pPr>
      <w:r w:rsidRPr="00252014">
        <w:rPr>
          <w:rFonts w:ascii="Century Gothic" w:eastAsia="Calibri" w:hAnsi="Century Gothic" w:cs="Arial"/>
          <w:bCs/>
          <w:sz w:val="20"/>
          <w:szCs w:val="20"/>
          <w:lang w:val="es-MX" w:eastAsia="es-MX"/>
        </w:rPr>
        <w:t xml:space="preserve">Por organismo internacional se entiende aquella organización, grupo o asociación que se extiende más allá de las fronteras de un Estado y cuenta con órganos gubernamentales permanentes distintos e independientes de los Estados miembros de la organización que garantizan su vigencia y operatividad, con el propósito de cumplir objetivos comunes entre los Estados miembros. Conforme a su naturaleza, los organismos internacionales están </w:t>
      </w:r>
      <w:r w:rsidRPr="00252014">
        <w:rPr>
          <w:rFonts w:ascii="Century Gothic" w:eastAsia="Calibri" w:hAnsi="Century Gothic" w:cs="Arial"/>
          <w:bCs/>
          <w:sz w:val="20"/>
          <w:szCs w:val="20"/>
          <w:lang w:val="es-MX" w:eastAsia="es-MX"/>
        </w:rPr>
        <w:lastRenderedPageBreak/>
        <w:t xml:space="preserve">facultados para suscribir contratos o convenios con los Estados, lo que supone un incidente frente a la aplicabilidad de los regímenes tanto de los Estados contratantes como de los organismos en su celebración. </w:t>
      </w:r>
    </w:p>
    <w:p w14:paraId="1874B6BD" w14:textId="77777777" w:rsidR="006C4F68" w:rsidRPr="00252014" w:rsidRDefault="006C4F68" w:rsidP="006C4F68">
      <w:pPr>
        <w:spacing w:after="0" w:line="240" w:lineRule="auto"/>
        <w:contextualSpacing/>
        <w:jc w:val="both"/>
        <w:rPr>
          <w:rFonts w:ascii="Century Gothic" w:eastAsia="Calibri" w:hAnsi="Century Gothic" w:cs="Arial"/>
          <w:bCs/>
          <w:sz w:val="20"/>
          <w:szCs w:val="20"/>
          <w:lang w:val="es-MX" w:eastAsia="es-MX"/>
        </w:rPr>
      </w:pPr>
    </w:p>
    <w:p w14:paraId="50932350" w14:textId="77777777" w:rsidR="006C4F68" w:rsidRPr="00252014" w:rsidRDefault="006C4F68" w:rsidP="006C4F68">
      <w:pPr>
        <w:spacing w:after="0" w:line="240" w:lineRule="auto"/>
        <w:contextualSpacing/>
        <w:jc w:val="both"/>
        <w:rPr>
          <w:rFonts w:ascii="Century Gothic" w:eastAsia="Calibri" w:hAnsi="Century Gothic" w:cs="Arial"/>
          <w:bCs/>
          <w:sz w:val="20"/>
          <w:szCs w:val="20"/>
          <w:lang w:val="es-MX" w:eastAsia="es-MX"/>
        </w:rPr>
      </w:pPr>
      <w:r w:rsidRPr="00252014">
        <w:rPr>
          <w:rFonts w:ascii="Century Gothic" w:eastAsia="Calibri" w:hAnsi="Century Gothic" w:cs="Arial"/>
          <w:bCs/>
          <w:sz w:val="20"/>
          <w:szCs w:val="20"/>
          <w:lang w:val="es-MX" w:eastAsia="es-MX"/>
        </w:rPr>
        <w:t xml:space="preserve">El artículo 13 de la Ley 80 de 1993 regula de forma general el régimen aplicable a los contratos que celebren las entidades referidas en el artículo segundo del estatuto, señalando en el inciso primero, como primer criterio, la aplicabilidad de las disposiciones civiles y comerciales nacionales, sin perjuicio de la aplicación prevalente de las contenidas en el Estatuto General de Contratación de la Administración Pública. Sin embargo, en su segundo inciso, respecto a los contratos celebrados en el exterior, permite que su ejecución se realice de conformidad con las normas del país donde se hayan suscrito, salvo que deban cumplirse en Colombia, caso en el que se aplicaría el esquema señalado respecto al inciso primero. Por último, el inciso tercero permite que los contratos que se celebren en Colombia, pero deban ejecutarse o cumplirse en el extranjero, se sometan a la ley extranjera. </w:t>
      </w:r>
    </w:p>
    <w:p w14:paraId="37BE85CF" w14:textId="77777777" w:rsidR="006C4F68" w:rsidRPr="00252014" w:rsidRDefault="006C4F68" w:rsidP="006C4F68">
      <w:pPr>
        <w:spacing w:after="0" w:line="240" w:lineRule="auto"/>
        <w:jc w:val="both"/>
        <w:rPr>
          <w:rFonts w:ascii="Century Gothic" w:eastAsia="Calibri" w:hAnsi="Century Gothic" w:cs="Arial"/>
          <w:bCs/>
          <w:color w:val="000000" w:themeColor="text1"/>
          <w:sz w:val="20"/>
          <w:szCs w:val="20"/>
        </w:rPr>
      </w:pPr>
    </w:p>
    <w:p w14:paraId="2320368F" w14:textId="77777777" w:rsidR="006C4F68" w:rsidRPr="00252014" w:rsidRDefault="006C4F68" w:rsidP="006C4F68">
      <w:pPr>
        <w:spacing w:after="0" w:line="240" w:lineRule="auto"/>
        <w:contextualSpacing/>
        <w:jc w:val="both"/>
        <w:rPr>
          <w:rFonts w:ascii="Century Gothic" w:eastAsia="Arial" w:hAnsi="Century Gothic" w:cs="Arial"/>
          <w:b/>
          <w:bCs/>
          <w:lang w:val="es-ES" w:eastAsia="es-ES" w:bidi="es-ES"/>
        </w:rPr>
      </w:pPr>
      <w:r w:rsidRPr="00252014">
        <w:rPr>
          <w:rFonts w:ascii="Century Gothic" w:eastAsia="Arial" w:hAnsi="Century Gothic" w:cs="Arial"/>
          <w:b/>
          <w:bCs/>
          <w:lang w:val="es-ES" w:eastAsia="es-ES" w:bidi="es-ES"/>
        </w:rPr>
        <w:t>RÉGIMEN CONTRACTUAL – Ley 1150 de 2007 – Artículo 20</w:t>
      </w:r>
    </w:p>
    <w:p w14:paraId="25D9D60E" w14:textId="77777777" w:rsidR="006C4F68" w:rsidRPr="00252014" w:rsidRDefault="006C4F68" w:rsidP="006C4F68">
      <w:pPr>
        <w:spacing w:after="0" w:line="240" w:lineRule="auto"/>
        <w:contextualSpacing/>
        <w:jc w:val="both"/>
        <w:rPr>
          <w:rFonts w:ascii="Century Gothic" w:eastAsia="Arial" w:hAnsi="Century Gothic" w:cs="Arial"/>
          <w:b/>
          <w:bCs/>
          <w:sz w:val="20"/>
          <w:szCs w:val="20"/>
          <w:lang w:val="es-ES" w:eastAsia="es-ES" w:bidi="es-ES"/>
        </w:rPr>
      </w:pPr>
    </w:p>
    <w:p w14:paraId="30F5A337" w14:textId="77777777" w:rsidR="006C4F68" w:rsidRPr="00252014" w:rsidRDefault="006C4F68" w:rsidP="006C4F68">
      <w:pPr>
        <w:spacing w:after="0" w:line="240" w:lineRule="auto"/>
        <w:jc w:val="both"/>
        <w:rPr>
          <w:rFonts w:ascii="Century Gothic" w:eastAsia="Calibri" w:hAnsi="Century Gothic" w:cs="Arial"/>
          <w:color w:val="000000" w:themeColor="text1"/>
          <w:sz w:val="20"/>
          <w:szCs w:val="20"/>
          <w:lang w:val="es-ES_tradnl"/>
        </w:rPr>
      </w:pPr>
      <w:r w:rsidRPr="00252014">
        <w:rPr>
          <w:rFonts w:ascii="Century Gothic" w:eastAsia="Calibri" w:hAnsi="Century Gothic" w:cs="Arial"/>
          <w:color w:val="000000" w:themeColor="text1"/>
          <w:sz w:val="20"/>
          <w:szCs w:val="20"/>
          <w:lang w:val="es-ES_tradnl"/>
        </w:rPr>
        <w:t xml:space="preserve">[…] </w:t>
      </w:r>
      <w:bookmarkStart w:id="4" w:name="_Hlk161662346"/>
      <w:r w:rsidRPr="00252014">
        <w:rPr>
          <w:rFonts w:ascii="Century Gothic" w:eastAsia="Calibri" w:hAnsi="Century Gothic" w:cs="Arial"/>
          <w:color w:val="000000" w:themeColor="text1"/>
          <w:sz w:val="20"/>
          <w:szCs w:val="20"/>
          <w:lang w:val="es-ES_tradnl"/>
        </w:rPr>
        <w:t xml:space="preserve">en lo que tiene que ver con el </w:t>
      </w:r>
      <w:r w:rsidRPr="00252014">
        <w:rPr>
          <w:rFonts w:ascii="Century Gothic" w:eastAsia="Calibri" w:hAnsi="Century Gothic" w:cs="Arial"/>
          <w:i/>
          <w:iCs/>
          <w:color w:val="000000" w:themeColor="text1"/>
          <w:sz w:val="20"/>
          <w:szCs w:val="20"/>
          <w:lang w:val="es-ES_tradnl"/>
        </w:rPr>
        <w:t>inciso primero</w:t>
      </w:r>
      <w:r w:rsidRPr="00252014">
        <w:rPr>
          <w:rFonts w:ascii="Century Gothic" w:eastAsia="Calibri" w:hAnsi="Century Gothic" w:cs="Arial"/>
          <w:color w:val="000000" w:themeColor="text1"/>
          <w:sz w:val="20"/>
          <w:szCs w:val="20"/>
          <w:lang w:val="es-ES_tradnl"/>
        </w:rPr>
        <w:t xml:space="preserve"> [del artículo 20 de la Ley 1150 de 2007], resulta que únicamente procederá la aplicación de los reglamentos de estas entidades y, por lo tanto, es facultativo dejar de aplicar el EGCAP cuando los contratos o convenios sean financiados en su totalidad o en sumas iguales o superiores al 50% con fondos del organismo de cooperación, asistencia o ayudas internacionales. Cuando la entidad contratante determine o establezca que los aportes del organismo internacional son inferiores al porcentaje señalado, el contrato o convenio debe someterse al EGCAP.</w:t>
      </w:r>
    </w:p>
    <w:bookmarkEnd w:id="4"/>
    <w:p w14:paraId="5A833D6F" w14:textId="77777777" w:rsidR="006C4F68" w:rsidRPr="00252014" w:rsidRDefault="006C4F68" w:rsidP="006C4F68">
      <w:pPr>
        <w:spacing w:after="0" w:line="240" w:lineRule="auto"/>
        <w:jc w:val="both"/>
        <w:rPr>
          <w:rFonts w:ascii="Century Gothic" w:eastAsia="Calibri" w:hAnsi="Century Gothic" w:cs="Arial"/>
          <w:color w:val="000000" w:themeColor="text1"/>
          <w:sz w:val="20"/>
          <w:szCs w:val="20"/>
          <w:lang w:val="es-ES_tradnl"/>
        </w:rPr>
      </w:pPr>
      <w:r w:rsidRPr="00252014">
        <w:rPr>
          <w:rFonts w:ascii="Century Gothic" w:eastAsia="Calibri" w:hAnsi="Century Gothic" w:cs="Arial"/>
          <w:color w:val="000000" w:themeColor="text1"/>
          <w:sz w:val="20"/>
          <w:szCs w:val="20"/>
          <w:lang w:val="es-ES_tradnl"/>
        </w:rPr>
        <w:t>[…]</w:t>
      </w:r>
    </w:p>
    <w:p w14:paraId="77D8BDF6" w14:textId="77777777" w:rsidR="006C4F68" w:rsidRPr="00252014" w:rsidRDefault="006C4F68" w:rsidP="006C4F68">
      <w:pPr>
        <w:spacing w:after="0" w:line="240" w:lineRule="auto"/>
        <w:jc w:val="both"/>
        <w:rPr>
          <w:rFonts w:ascii="Century Gothic" w:eastAsia="Calibri" w:hAnsi="Century Gothic" w:cs="Arial"/>
          <w:color w:val="000000" w:themeColor="text1"/>
          <w:sz w:val="20"/>
          <w:szCs w:val="20"/>
          <w:lang w:val="es-ES_tradnl"/>
        </w:rPr>
      </w:pPr>
    </w:p>
    <w:p w14:paraId="50FC831F" w14:textId="77777777" w:rsidR="006C4F68" w:rsidRPr="00252014" w:rsidRDefault="006C4F68" w:rsidP="006C4F68">
      <w:pPr>
        <w:spacing w:after="0" w:line="240" w:lineRule="auto"/>
        <w:jc w:val="both"/>
        <w:rPr>
          <w:rFonts w:ascii="Century Gothic" w:eastAsia="Calibri" w:hAnsi="Century Gothic" w:cs="Arial"/>
          <w:color w:val="000000" w:themeColor="text1"/>
          <w:sz w:val="20"/>
          <w:szCs w:val="20"/>
          <w:lang w:val="es-ES_tradnl"/>
        </w:rPr>
      </w:pPr>
      <w:r w:rsidRPr="00252014">
        <w:rPr>
          <w:rFonts w:ascii="Century Gothic" w:eastAsia="Calibri" w:hAnsi="Century Gothic" w:cs="Arial"/>
          <w:color w:val="000000" w:themeColor="text1"/>
          <w:sz w:val="20"/>
          <w:szCs w:val="20"/>
          <w:lang w:val="es-ES_tradnl"/>
        </w:rPr>
        <w:t>En los supuestos anteriores, regulados en el inciso segundo del artículo 20, independientemente del monto de los aportes de cada una de las partes, es posible optar por someter el contrato a los reglamentos de dichos organismos o bien someterlos al EGCAP, es decir, configurado alguno de los presupuestos anteriores es posible elegir cualquiera de los dos (2) regímenes indicados.</w:t>
      </w:r>
    </w:p>
    <w:p w14:paraId="023F26BD" w14:textId="77777777" w:rsidR="006C4F68" w:rsidRPr="00252014" w:rsidRDefault="006C4F68" w:rsidP="006C4F68">
      <w:pPr>
        <w:spacing w:after="0" w:line="240" w:lineRule="auto"/>
        <w:jc w:val="both"/>
        <w:rPr>
          <w:rFonts w:ascii="Century Gothic" w:eastAsia="Calibri" w:hAnsi="Century Gothic" w:cs="Arial"/>
          <w:color w:val="000000" w:themeColor="text1"/>
          <w:sz w:val="20"/>
          <w:szCs w:val="20"/>
          <w:lang w:val="es-ES_tradnl"/>
        </w:rPr>
      </w:pPr>
      <w:r w:rsidRPr="00252014">
        <w:rPr>
          <w:rFonts w:ascii="Century Gothic" w:eastAsia="Calibri" w:hAnsi="Century Gothic" w:cs="Arial"/>
          <w:color w:val="000000" w:themeColor="text1"/>
          <w:sz w:val="20"/>
          <w:szCs w:val="20"/>
          <w:lang w:val="es-ES_tradnl"/>
        </w:rPr>
        <w:t>[…]</w:t>
      </w:r>
    </w:p>
    <w:p w14:paraId="4BBDD868" w14:textId="77777777" w:rsidR="006C4F68" w:rsidRPr="00252014" w:rsidRDefault="006C4F68" w:rsidP="006C4F68">
      <w:pPr>
        <w:spacing w:after="0" w:line="240" w:lineRule="auto"/>
        <w:jc w:val="both"/>
        <w:rPr>
          <w:rFonts w:ascii="Century Gothic" w:eastAsia="Calibri" w:hAnsi="Century Gothic" w:cs="Arial"/>
          <w:color w:val="000000" w:themeColor="text1"/>
          <w:sz w:val="20"/>
          <w:szCs w:val="20"/>
          <w:lang w:val="es-ES_tradnl"/>
        </w:rPr>
      </w:pPr>
    </w:p>
    <w:p w14:paraId="4D23ED04" w14:textId="77777777" w:rsidR="006C4F68" w:rsidRPr="00252014" w:rsidRDefault="006C4F68" w:rsidP="006C4F68">
      <w:pPr>
        <w:spacing w:after="0" w:line="240" w:lineRule="auto"/>
        <w:jc w:val="both"/>
        <w:rPr>
          <w:rFonts w:ascii="Century Gothic" w:eastAsia="Calibri" w:hAnsi="Century Gothic" w:cs="Arial"/>
          <w:color w:val="000000" w:themeColor="text1"/>
          <w:sz w:val="20"/>
          <w:szCs w:val="20"/>
          <w:lang w:val="es-ES_tradnl"/>
        </w:rPr>
      </w:pPr>
      <w:r w:rsidRPr="00252014">
        <w:rPr>
          <w:rFonts w:ascii="Century Gothic" w:eastAsia="Calibri" w:hAnsi="Century Gothic" w:cs="Arial"/>
          <w:color w:val="000000" w:themeColor="text1"/>
          <w:sz w:val="20"/>
          <w:szCs w:val="20"/>
          <w:lang w:val="es-ES_tradnl"/>
        </w:rPr>
        <w:t>Asimismo, el parágrafo primero del artículo 20 de la Ley 1150 de 2007 establece un tercer criterio para determinar el régimen contractual aplicable. De acuerdo con la norma, “Los contratos o acuerdos celebrados con personas extranjeras de derecho público, podrán someterse a las reglas de tales organismos”. Estos negocios jurídicos, a diferencia de los contratos del inciso primero ibidem, son independientes del monto de los aportes realizados por el organismo. Igualmente, en contraste con los contratos del inciso segundo ibidem, son negocios jurídicos independientes del objeto convenido. No obstante, al igual de los dos (2) supuestos explicados ut supra, en esta hipótesis también es posible optar por someter el contrato a los reglamentos de dichos organismos o bien someterlos a la Ley 80 de 1993.</w:t>
      </w:r>
    </w:p>
    <w:p w14:paraId="76489E1F" w14:textId="77777777" w:rsidR="006C4F68" w:rsidRPr="00131FA3" w:rsidRDefault="006C4F68" w:rsidP="006C4F68">
      <w:pPr>
        <w:pStyle w:val="Textoindependiente"/>
        <w:spacing w:after="0" w:line="240" w:lineRule="auto"/>
        <w:ind w:right="102"/>
        <w:jc w:val="both"/>
        <w:rPr>
          <w:rFonts w:ascii="Century Gothic" w:hAnsi="Century Gothic" w:cs="Arial"/>
          <w:b/>
          <w:color w:val="000000" w:themeColor="text1"/>
          <w:sz w:val="20"/>
          <w:szCs w:val="20"/>
          <w:lang w:val="es-ES_tradnl"/>
        </w:rPr>
      </w:pPr>
    </w:p>
    <w:p w14:paraId="5AE70C23" w14:textId="77777777" w:rsidR="006C4F68" w:rsidRPr="00131FA3" w:rsidRDefault="006C4F68" w:rsidP="006C4F68">
      <w:pPr>
        <w:pStyle w:val="Textoindependiente"/>
        <w:spacing w:after="0" w:line="240" w:lineRule="auto"/>
        <w:ind w:right="102"/>
        <w:jc w:val="both"/>
        <w:rPr>
          <w:rFonts w:ascii="Century Gothic" w:hAnsi="Century Gothic" w:cs="Arial"/>
          <w:b/>
          <w:color w:val="000000" w:themeColor="text1"/>
          <w:lang w:val="es-ES_tradnl"/>
        </w:rPr>
      </w:pPr>
      <w:r w:rsidRPr="00131FA3">
        <w:rPr>
          <w:rFonts w:ascii="Century Gothic" w:hAnsi="Century Gothic" w:cs="Arial"/>
          <w:b/>
          <w:color w:val="000000" w:themeColor="text1"/>
          <w:lang w:val="es-ES_tradnl"/>
        </w:rPr>
        <w:t xml:space="preserve">DECRETO 092 DE 2017 – Finalidad – Clases de contratos </w:t>
      </w:r>
    </w:p>
    <w:p w14:paraId="6CC984BC" w14:textId="77777777" w:rsidR="006C4F68" w:rsidRPr="00131FA3" w:rsidRDefault="006C4F68" w:rsidP="006C4F68">
      <w:pPr>
        <w:pStyle w:val="Textoindependiente"/>
        <w:spacing w:after="0" w:line="240" w:lineRule="auto"/>
        <w:ind w:right="102"/>
        <w:jc w:val="both"/>
        <w:rPr>
          <w:rFonts w:ascii="Century Gothic" w:hAnsi="Century Gothic" w:cs="Arial"/>
          <w:color w:val="000000" w:themeColor="text1"/>
          <w:sz w:val="20"/>
          <w:szCs w:val="20"/>
          <w:lang w:val="es-ES_tradnl"/>
        </w:rPr>
      </w:pPr>
    </w:p>
    <w:p w14:paraId="09F62154" w14:textId="77777777" w:rsidR="006C4F68" w:rsidRPr="00131FA3" w:rsidRDefault="006C4F68" w:rsidP="006C4F68">
      <w:pPr>
        <w:spacing w:after="0" w:line="240" w:lineRule="auto"/>
        <w:jc w:val="both"/>
        <w:rPr>
          <w:rFonts w:ascii="Century Gothic" w:eastAsia="Arial" w:hAnsi="Century Gothic" w:cs="Arial"/>
          <w:color w:val="000000" w:themeColor="text1"/>
          <w:sz w:val="20"/>
          <w:szCs w:val="20"/>
          <w:lang w:val="es-ES_tradnl"/>
        </w:rPr>
      </w:pPr>
      <w:r w:rsidRPr="00131FA3">
        <w:rPr>
          <w:rFonts w:ascii="Century Gothic" w:eastAsia="Arial" w:hAnsi="Century Gothic" w:cs="Arial"/>
          <w:color w:val="000000" w:themeColor="text1"/>
          <w:sz w:val="20"/>
          <w:szCs w:val="20"/>
          <w:lang w:val="es-ES_tradnl"/>
        </w:rPr>
        <w:lastRenderedPageBreak/>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131FA3">
        <w:rPr>
          <w:rFonts w:ascii="Century Gothic" w:eastAsia="Arial" w:hAnsi="Century Gothic" w:cs="Arial"/>
          <w:color w:val="000000" w:themeColor="text1"/>
          <w:sz w:val="20"/>
          <w:szCs w:val="20"/>
          <w:lang w:val="es-ES_tradnl"/>
        </w:rPr>
        <w:t>ii</w:t>
      </w:r>
      <w:proofErr w:type="spellEnd"/>
      <w:r w:rsidRPr="00131FA3">
        <w:rPr>
          <w:rFonts w:ascii="Century Gothic" w:eastAsia="Arial" w:hAnsi="Century Gothic" w:cs="Arial"/>
          <w:color w:val="000000" w:themeColor="text1"/>
          <w:sz w:val="20"/>
          <w:szCs w:val="20"/>
          <w:lang w:val="es-ES_tradnl"/>
        </w:rPr>
        <w:t>) los convenios de asociación, para el desarrollo conjunto de actividades relacionadas con las funciones de las entidades estatales, en desarrollo del artículo 96 de la Ley 489 de 1998.</w:t>
      </w:r>
    </w:p>
    <w:p w14:paraId="42693EE6" w14:textId="77777777" w:rsidR="006C4F68" w:rsidRPr="00131FA3" w:rsidRDefault="006C4F68" w:rsidP="006C4F68">
      <w:pPr>
        <w:spacing w:after="0" w:line="240" w:lineRule="auto"/>
        <w:jc w:val="both"/>
        <w:rPr>
          <w:rFonts w:ascii="Century Gothic" w:eastAsia="Calibri" w:hAnsi="Century Gothic" w:cs="Arial"/>
          <w:b/>
          <w:color w:val="000000" w:themeColor="text1"/>
          <w:lang w:val="es-ES_tradnl"/>
        </w:rPr>
      </w:pPr>
    </w:p>
    <w:p w14:paraId="5A9EDDE9" w14:textId="77777777" w:rsidR="006C4F68" w:rsidRPr="00131FA3" w:rsidRDefault="006C4F68" w:rsidP="006C4F68">
      <w:pPr>
        <w:spacing w:after="0" w:line="240" w:lineRule="auto"/>
        <w:jc w:val="both"/>
        <w:rPr>
          <w:rFonts w:ascii="Century Gothic" w:eastAsia="Calibri" w:hAnsi="Century Gothic" w:cs="Arial"/>
          <w:b/>
          <w:color w:val="000000" w:themeColor="text1"/>
          <w:lang w:val="es-ES_tradnl"/>
        </w:rPr>
      </w:pPr>
      <w:r w:rsidRPr="00131FA3">
        <w:rPr>
          <w:rFonts w:ascii="Century Gothic" w:eastAsia="Calibri" w:hAnsi="Century Gothic" w:cs="Arial"/>
          <w:b/>
          <w:color w:val="000000" w:themeColor="text1"/>
          <w:lang w:val="es-ES_tradnl"/>
        </w:rPr>
        <w:t xml:space="preserve">CONTRATACIÓN CON ESAL – Contrato de colaboración – Objeto – Alcance </w:t>
      </w:r>
    </w:p>
    <w:p w14:paraId="1BB4241D" w14:textId="77777777" w:rsidR="006C4F68" w:rsidRPr="00131FA3" w:rsidRDefault="006C4F68" w:rsidP="006C4F68">
      <w:pPr>
        <w:spacing w:after="0" w:line="240" w:lineRule="auto"/>
        <w:jc w:val="both"/>
        <w:rPr>
          <w:rFonts w:ascii="Century Gothic" w:eastAsia="Calibri" w:hAnsi="Century Gothic" w:cs="Arial"/>
          <w:bCs/>
          <w:color w:val="000000" w:themeColor="text1"/>
          <w:sz w:val="20"/>
          <w:szCs w:val="20"/>
          <w:lang w:val="es-ES_tradnl"/>
        </w:rPr>
      </w:pPr>
    </w:p>
    <w:p w14:paraId="68DA38A9" w14:textId="77777777" w:rsidR="006C4F68" w:rsidRPr="00131FA3" w:rsidRDefault="006C4F68" w:rsidP="006C4F68">
      <w:pPr>
        <w:spacing w:after="0" w:line="240" w:lineRule="auto"/>
        <w:jc w:val="both"/>
        <w:rPr>
          <w:rFonts w:ascii="Century Gothic" w:hAnsi="Century Gothic" w:cs="Arial"/>
          <w:color w:val="000000" w:themeColor="text1"/>
          <w:sz w:val="20"/>
          <w:szCs w:val="20"/>
          <w:lang w:val="es-ES_tradnl"/>
        </w:rPr>
      </w:pPr>
      <w:r w:rsidRPr="00131FA3">
        <w:rPr>
          <w:rFonts w:ascii="Century Gothic" w:hAnsi="Century Gothic" w:cs="Arial"/>
          <w:color w:val="000000" w:themeColor="text1"/>
          <w:sz w:val="20"/>
          <w:szCs w:val="20"/>
          <w:lang w:val="es-ES_tradnl"/>
        </w:rPr>
        <w:t>Los contratos del artículo 355 de la Constitución Política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w:t>
      </w:r>
    </w:p>
    <w:p w14:paraId="16BC9A37" w14:textId="77777777" w:rsidR="006C4F68" w:rsidRPr="00131FA3" w:rsidRDefault="006C4F68" w:rsidP="006C4F68">
      <w:pPr>
        <w:spacing w:after="0" w:line="240" w:lineRule="auto"/>
        <w:jc w:val="both"/>
        <w:rPr>
          <w:rFonts w:ascii="Century Gothic" w:hAnsi="Century Gothic" w:cs="Arial"/>
          <w:color w:val="000000" w:themeColor="text1"/>
          <w:sz w:val="21"/>
          <w:szCs w:val="21"/>
          <w:lang w:val="es-ES_tradnl"/>
        </w:rPr>
      </w:pPr>
    </w:p>
    <w:p w14:paraId="5C74FC42" w14:textId="77777777" w:rsidR="006C4F68" w:rsidRPr="00131FA3" w:rsidRDefault="006C4F68" w:rsidP="006C4F68">
      <w:pPr>
        <w:spacing w:after="0" w:line="240" w:lineRule="auto"/>
        <w:jc w:val="both"/>
        <w:rPr>
          <w:rFonts w:ascii="Century Gothic" w:eastAsia="Calibri" w:hAnsi="Century Gothic" w:cs="Arial"/>
          <w:b/>
          <w:color w:val="000000" w:themeColor="text1"/>
          <w:lang w:val="es-ES_tradnl"/>
        </w:rPr>
      </w:pPr>
      <w:bookmarkStart w:id="5" w:name="_Hlk109118876"/>
      <w:r w:rsidRPr="00131FA3">
        <w:rPr>
          <w:rFonts w:ascii="Century Gothic" w:eastAsia="Calibri" w:hAnsi="Century Gothic" w:cs="Arial"/>
          <w:b/>
          <w:color w:val="000000" w:themeColor="text1"/>
          <w:lang w:val="es-ES_tradnl"/>
        </w:rPr>
        <w:t>CONTRATACIÓN CON ESAL –</w:t>
      </w:r>
      <w:bookmarkEnd w:id="5"/>
      <w:r w:rsidRPr="00131FA3">
        <w:rPr>
          <w:rFonts w:ascii="Century Gothic" w:eastAsia="Calibri" w:hAnsi="Century Gothic" w:cs="Arial"/>
          <w:b/>
          <w:color w:val="000000" w:themeColor="text1"/>
          <w:lang w:val="es-ES_tradnl"/>
        </w:rPr>
        <w:t xml:space="preserve"> Contrato de asociación – Objeto – Alcance </w:t>
      </w:r>
    </w:p>
    <w:p w14:paraId="0EFE465F" w14:textId="77777777" w:rsidR="006C4F68" w:rsidRPr="00131FA3" w:rsidRDefault="006C4F68" w:rsidP="006C4F68">
      <w:pPr>
        <w:spacing w:after="0" w:line="240" w:lineRule="auto"/>
        <w:jc w:val="both"/>
        <w:rPr>
          <w:rFonts w:ascii="Century Gothic" w:eastAsia="Calibri" w:hAnsi="Century Gothic" w:cs="Arial"/>
          <w:b/>
          <w:color w:val="000000" w:themeColor="text1"/>
          <w:lang w:val="es-ES_tradnl"/>
        </w:rPr>
      </w:pPr>
    </w:p>
    <w:p w14:paraId="4BDE6E8C" w14:textId="77777777" w:rsidR="006C4F68" w:rsidRPr="00131FA3" w:rsidRDefault="006C4F68" w:rsidP="006C4F68">
      <w:pPr>
        <w:spacing w:after="0" w:line="240" w:lineRule="auto"/>
        <w:jc w:val="both"/>
        <w:rPr>
          <w:rFonts w:ascii="Century Gothic" w:hAnsi="Century Gothic" w:cs="Arial"/>
          <w:color w:val="000000" w:themeColor="text1"/>
          <w:sz w:val="20"/>
          <w:szCs w:val="20"/>
          <w:lang w:val="es-ES_tradnl"/>
        </w:rPr>
      </w:pPr>
      <w:r w:rsidRPr="00131FA3">
        <w:rPr>
          <w:rFonts w:ascii="Century Gothic" w:hAnsi="Century Gothic" w:cs="Arial"/>
          <w:color w:val="000000" w:themeColor="text1"/>
          <w:sz w:val="20"/>
          <w:szCs w:val="20"/>
          <w:lang w:val="es-ES_tradnl"/>
        </w:rPr>
        <w:t>De otro lado, los convenios de asociación «[t]</w:t>
      </w:r>
      <w:proofErr w:type="spellStart"/>
      <w:r w:rsidRPr="00131FA3">
        <w:rPr>
          <w:rFonts w:ascii="Century Gothic" w:hAnsi="Century Gothic" w:cs="Arial"/>
          <w:color w:val="000000" w:themeColor="text1"/>
          <w:sz w:val="20"/>
          <w:szCs w:val="20"/>
          <w:lang w:val="es-ES_tradnl"/>
        </w:rPr>
        <w:t>ienen</w:t>
      </w:r>
      <w:proofErr w:type="spellEnd"/>
      <w:r w:rsidRPr="00131FA3">
        <w:rPr>
          <w:rFonts w:ascii="Century Gothic" w:hAnsi="Century Gothic" w:cs="Arial"/>
          <w:color w:val="000000" w:themeColor="text1"/>
          <w:sz w:val="20"/>
          <w:szCs w:val="20"/>
          <w:lang w:val="es-ES_tradnl"/>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programas o actividades previstas, sino que se asocia con él para el cumplimiento de objetivos comunes.</w:t>
      </w:r>
    </w:p>
    <w:p w14:paraId="2F43C801" w14:textId="77777777" w:rsidR="006C4F68" w:rsidRPr="00131FA3" w:rsidRDefault="006C4F68" w:rsidP="006C4F68">
      <w:pPr>
        <w:spacing w:after="0" w:line="240" w:lineRule="auto"/>
        <w:jc w:val="both"/>
        <w:rPr>
          <w:rFonts w:ascii="Century Gothic" w:hAnsi="Century Gothic" w:cs="Arial"/>
          <w:color w:val="000000" w:themeColor="text1"/>
          <w:sz w:val="20"/>
          <w:szCs w:val="20"/>
          <w:lang w:val="es-ES_tradnl"/>
        </w:rPr>
      </w:pPr>
    </w:p>
    <w:p w14:paraId="565C8B5B" w14:textId="77777777" w:rsidR="006C4F68" w:rsidRPr="00131FA3" w:rsidRDefault="006C4F68" w:rsidP="006C4F68">
      <w:pPr>
        <w:spacing w:after="0" w:line="240" w:lineRule="auto"/>
        <w:jc w:val="both"/>
        <w:rPr>
          <w:rFonts w:ascii="Century Gothic" w:eastAsia="Calibri" w:hAnsi="Century Gothic" w:cs="Arial"/>
          <w:b/>
          <w:color w:val="000000" w:themeColor="text1"/>
          <w:lang w:val="es-ES_tradnl"/>
        </w:rPr>
      </w:pPr>
      <w:r w:rsidRPr="00131FA3">
        <w:rPr>
          <w:rFonts w:ascii="Century Gothic" w:eastAsia="Calibri" w:hAnsi="Century Gothic" w:cs="Arial"/>
          <w:b/>
          <w:color w:val="000000" w:themeColor="text1"/>
          <w:lang w:val="es-ES_tradnl"/>
        </w:rPr>
        <w:t>CONVENIOS DE ASOCIACIÓN – Multiplicidad de sujetos – Límites legales</w:t>
      </w:r>
    </w:p>
    <w:p w14:paraId="375AF65B" w14:textId="77777777" w:rsidR="006C4F68" w:rsidRPr="00131FA3" w:rsidRDefault="006C4F68" w:rsidP="006C4F68">
      <w:pPr>
        <w:spacing w:after="0" w:line="240" w:lineRule="auto"/>
        <w:jc w:val="both"/>
        <w:rPr>
          <w:rFonts w:ascii="Century Gothic" w:hAnsi="Century Gothic" w:cs="Arial"/>
          <w:color w:val="000000" w:themeColor="text1"/>
          <w:sz w:val="20"/>
          <w:szCs w:val="20"/>
          <w:lang w:val="es-ES_tradnl"/>
        </w:rPr>
      </w:pPr>
    </w:p>
    <w:p w14:paraId="37A9C1CC" w14:textId="77777777" w:rsidR="006C4F68" w:rsidRPr="00131FA3" w:rsidRDefault="006C4F68" w:rsidP="006C4F68">
      <w:pPr>
        <w:pStyle w:val="Sinespaciado"/>
        <w:jc w:val="both"/>
        <w:rPr>
          <w:rFonts w:ascii="Century Gothic" w:hAnsi="Century Gothic" w:cs="Arial"/>
          <w:color w:val="000000" w:themeColor="text1"/>
          <w:sz w:val="20"/>
          <w:szCs w:val="20"/>
          <w:lang w:val="es-ES_tradnl"/>
        </w:rPr>
      </w:pPr>
      <w:r w:rsidRPr="00131FA3">
        <w:rPr>
          <w:rFonts w:ascii="Century Gothic" w:hAnsi="Century Gothic" w:cs="Arial"/>
          <w:color w:val="000000" w:themeColor="text1"/>
          <w:sz w:val="20"/>
          <w:szCs w:val="20"/>
          <w:lang w:val="es-ES_tradnl"/>
        </w:rPr>
        <w:t xml:space="preserve">La normativa vigente no impide que varias entidades suscriban conjuntamente el convenio de asociación y tampoco que dos o más ESAL pueden hacerlo, a través de las figuras asociativas autorizadas por la ley, por ejemplo, como unión temporal o como consorcio.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 o las entidades deben asegurarse de que su contratista, es decir, una o varias ESAL, aporten al menos el treinta por ciento del valor del convenio para celebrarlo directamente. Además, en atención al inciso 2 del artículo 5 del Decreto 092 de 2017, deben «asegurarse que no </w:t>
      </w:r>
      <w:r w:rsidRPr="00131FA3">
        <w:rPr>
          <w:rFonts w:ascii="Century Gothic" w:hAnsi="Century Gothic" w:cs="Arial"/>
          <w:color w:val="000000" w:themeColor="text1"/>
          <w:sz w:val="20"/>
          <w:szCs w:val="20"/>
          <w:lang w:val="es-ES_tradnl"/>
        </w:rPr>
        <w:lastRenderedPageBreak/>
        <w:t>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067C868E" w14:textId="77777777" w:rsidR="006C4F68" w:rsidRPr="00131FA3" w:rsidRDefault="006C4F68" w:rsidP="006C4F68">
      <w:pPr>
        <w:pStyle w:val="Sinespaciado"/>
        <w:jc w:val="both"/>
        <w:rPr>
          <w:rFonts w:ascii="Century Gothic" w:hAnsi="Century Gothic" w:cs="Arial"/>
          <w:color w:val="000000" w:themeColor="text1"/>
          <w:sz w:val="20"/>
          <w:szCs w:val="20"/>
          <w:lang w:val="es-ES_tradnl"/>
        </w:rPr>
      </w:pPr>
    </w:p>
    <w:p w14:paraId="7242A816" w14:textId="77777777" w:rsidR="006C4F68" w:rsidRPr="00131FA3" w:rsidRDefault="006C4F68" w:rsidP="006C4F68">
      <w:pPr>
        <w:spacing w:after="0" w:line="240" w:lineRule="auto"/>
        <w:jc w:val="both"/>
        <w:rPr>
          <w:rFonts w:ascii="Century Gothic" w:eastAsia="Calibri" w:hAnsi="Century Gothic" w:cs="Arial"/>
          <w:b/>
          <w:color w:val="000000" w:themeColor="text1"/>
          <w:lang w:val="es-ES_tradnl"/>
        </w:rPr>
      </w:pPr>
      <w:r w:rsidRPr="00131FA3">
        <w:rPr>
          <w:rFonts w:ascii="Century Gothic" w:eastAsia="Calibri" w:hAnsi="Century Gothic" w:cs="Arial"/>
          <w:b/>
          <w:color w:val="000000" w:themeColor="text1"/>
          <w:lang w:val="es-ES_tradnl"/>
        </w:rPr>
        <w:t xml:space="preserve">DECRETO 092 DE 2017 – Criterios – Aplicación </w:t>
      </w:r>
    </w:p>
    <w:p w14:paraId="02373E2B" w14:textId="77777777" w:rsidR="006C4F68" w:rsidRPr="00131FA3" w:rsidRDefault="006C4F68" w:rsidP="006C4F68">
      <w:pPr>
        <w:spacing w:after="0" w:line="240" w:lineRule="auto"/>
        <w:jc w:val="both"/>
        <w:rPr>
          <w:rFonts w:ascii="Century Gothic" w:hAnsi="Century Gothic" w:cs="Arial"/>
          <w:color w:val="000000" w:themeColor="text1"/>
          <w:sz w:val="21"/>
          <w:szCs w:val="21"/>
          <w:lang w:val="es-ES_tradnl"/>
        </w:rPr>
      </w:pPr>
    </w:p>
    <w:p w14:paraId="1C58B9EF" w14:textId="77777777" w:rsidR="006C4F68" w:rsidRPr="00131FA3" w:rsidRDefault="006C4F68" w:rsidP="006C4F68">
      <w:pPr>
        <w:spacing w:after="0" w:line="240" w:lineRule="auto"/>
        <w:jc w:val="both"/>
        <w:rPr>
          <w:rFonts w:ascii="Century Gothic" w:hAnsi="Century Gothic" w:cs="Arial"/>
          <w:color w:val="000000" w:themeColor="text1"/>
          <w:sz w:val="20"/>
          <w:szCs w:val="20"/>
          <w:lang w:val="es-ES_tradnl"/>
        </w:rPr>
      </w:pPr>
      <w:r w:rsidRPr="00131FA3">
        <w:rPr>
          <w:rFonts w:ascii="Century Gothic" w:hAnsi="Century Gothic" w:cs="Arial"/>
          <w:color w:val="000000" w:themeColor="text1"/>
          <w:sz w:val="20"/>
          <w:szCs w:val="20"/>
          <w:lang w:val="es-ES_tradnl"/>
        </w:rPr>
        <w:t>[…] De acuerdo con lo anterior, no todas las actividades que las entidades 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w:t>
      </w:r>
    </w:p>
    <w:p w14:paraId="12E1D627" w14:textId="77777777" w:rsidR="006C4F68" w:rsidRPr="00131FA3" w:rsidRDefault="006C4F68" w:rsidP="006C4F68">
      <w:pPr>
        <w:pStyle w:val="Sinespaciado"/>
        <w:jc w:val="both"/>
        <w:rPr>
          <w:rFonts w:ascii="Century Gothic" w:hAnsi="Century Gothic" w:cs="Arial"/>
          <w:color w:val="000000" w:themeColor="text1"/>
          <w:sz w:val="20"/>
          <w:szCs w:val="20"/>
          <w:lang w:val="es-ES_tradnl"/>
        </w:rPr>
      </w:pPr>
    </w:p>
    <w:p w14:paraId="7CE155DB" w14:textId="77777777" w:rsidR="006C4F68" w:rsidRPr="00131FA3" w:rsidRDefault="006C4F68" w:rsidP="006C4F68">
      <w:pPr>
        <w:pStyle w:val="Textoindependiente"/>
        <w:spacing w:after="0" w:line="240" w:lineRule="auto"/>
        <w:ind w:right="102"/>
        <w:jc w:val="both"/>
        <w:rPr>
          <w:rFonts w:ascii="Century Gothic" w:hAnsi="Century Gothic" w:cs="Arial"/>
          <w:b/>
          <w:bCs/>
          <w:color w:val="000000" w:themeColor="text1"/>
          <w:lang w:val="es-ES_tradnl"/>
        </w:rPr>
      </w:pPr>
      <w:r w:rsidRPr="00131FA3">
        <w:rPr>
          <w:rFonts w:ascii="Century Gothic" w:hAnsi="Century Gothic" w:cs="Arial"/>
          <w:b/>
          <w:bCs/>
          <w:color w:val="000000" w:themeColor="text1"/>
          <w:lang w:val="es-ES_tradnl"/>
        </w:rPr>
        <w:t>DECRETO 092 DE 2017 – Suspensión Provisional – Artículos suspendidos</w:t>
      </w:r>
    </w:p>
    <w:p w14:paraId="6BA79B88" w14:textId="77777777" w:rsidR="006C4F68" w:rsidRPr="00131FA3" w:rsidRDefault="006C4F68" w:rsidP="006C4F68">
      <w:pPr>
        <w:pStyle w:val="Textoindependiente"/>
        <w:spacing w:after="0" w:line="240" w:lineRule="auto"/>
        <w:ind w:right="102"/>
        <w:jc w:val="both"/>
        <w:rPr>
          <w:rFonts w:ascii="Century Gothic" w:hAnsi="Century Gothic" w:cs="Arial"/>
          <w:b/>
          <w:color w:val="000000" w:themeColor="text1"/>
          <w:lang w:val="es-ES_tradnl"/>
        </w:rPr>
      </w:pPr>
    </w:p>
    <w:p w14:paraId="18069CAE" w14:textId="77777777" w:rsidR="006C4F68" w:rsidRPr="00131FA3" w:rsidRDefault="006C4F68" w:rsidP="006C4F68">
      <w:pPr>
        <w:pStyle w:val="Textoindependiente"/>
        <w:spacing w:after="0" w:line="240" w:lineRule="auto"/>
        <w:ind w:right="102"/>
        <w:jc w:val="both"/>
        <w:rPr>
          <w:rFonts w:ascii="Century Gothic" w:hAnsi="Century Gothic" w:cs="Arial"/>
          <w:color w:val="000000" w:themeColor="text1"/>
          <w:sz w:val="20"/>
          <w:szCs w:val="20"/>
          <w:lang w:val="es-ES_tradnl"/>
        </w:rPr>
      </w:pPr>
      <w:r w:rsidRPr="00131FA3">
        <w:rPr>
          <w:rFonts w:ascii="Century Gothic" w:hAnsi="Century Gothic" w:cs="Arial"/>
          <w:color w:val="000000" w:themeColor="text1"/>
          <w:sz w:val="20"/>
          <w:szCs w:val="20"/>
          <w:lang w:val="es-ES_tradnl"/>
        </w:rPr>
        <w:t xml:space="preserve">El Consejo de Estado, en el Auto del 6 de agosto de 2019 de la Sección Tercera, Subsección A, radicado No. 11001-03-26-000-2018-00113-00 (62.003), </w:t>
      </w:r>
      <w:proofErr w:type="gramStart"/>
      <w:r w:rsidRPr="00131FA3">
        <w:rPr>
          <w:rFonts w:ascii="Century Gothic" w:hAnsi="Century Gothic" w:cs="Arial"/>
          <w:color w:val="000000" w:themeColor="text1"/>
          <w:sz w:val="20"/>
          <w:szCs w:val="20"/>
          <w:lang w:val="es-ES_tradnl"/>
        </w:rPr>
        <w:t>Consejero</w:t>
      </w:r>
      <w:proofErr w:type="gramEnd"/>
      <w:r w:rsidRPr="00131FA3">
        <w:rPr>
          <w:rFonts w:ascii="Century Gothic" w:hAnsi="Century Gothic" w:cs="Arial"/>
          <w:color w:val="000000" w:themeColor="text1"/>
          <w:sz w:val="20"/>
          <w:szCs w:val="20"/>
          <w:lang w:val="es-ES_tradnl"/>
        </w:rPr>
        <w:t xml:space="preserve"> Ponente Carlos Alberto Zambrano Barrera, estudió la solicitud de suspensión provisional del inciso 2 del artículo 1, literales a y c del artículo 2, inciso 5 del artículo 2, inciso 2 del artículo 3, inciso final del artículo 4 y artículo 5 del Decreto 092 de 2017. […] En virtud de este análisis, el Consejo de Estado suspendió provisionalmente el inciso 2 del artículo primero y el inciso 2 del artículo 3, lo que significa que los contratos celebrados con entidades sin ánimo de lucro no tienen que aplicar la «Guía para la contratación con entidades privadas sin ánimo de lucro y de reconocida idoneidad», expedida por la Agencia Nacional de Contratación Pública–Colombia Compra Eficiente. […]</w:t>
      </w:r>
    </w:p>
    <w:p w14:paraId="50B584D2" w14:textId="77777777" w:rsidR="006C4F68" w:rsidRPr="00131FA3" w:rsidRDefault="006C4F68" w:rsidP="006C4F68">
      <w:pPr>
        <w:pStyle w:val="Textoindependiente"/>
        <w:spacing w:after="0" w:line="240" w:lineRule="auto"/>
        <w:ind w:right="102"/>
        <w:jc w:val="both"/>
        <w:rPr>
          <w:rFonts w:ascii="Century Gothic" w:hAnsi="Century Gothic" w:cs="Arial"/>
          <w:color w:val="000000" w:themeColor="text1"/>
          <w:sz w:val="20"/>
          <w:szCs w:val="20"/>
          <w:lang w:val="es-ES_tradnl"/>
        </w:rPr>
      </w:pPr>
    </w:p>
    <w:p w14:paraId="5EB53C50" w14:textId="77777777" w:rsidR="006C4F68" w:rsidRPr="00131FA3" w:rsidRDefault="006C4F68" w:rsidP="006C4F68">
      <w:pPr>
        <w:spacing w:after="0" w:line="240" w:lineRule="auto"/>
        <w:jc w:val="both"/>
        <w:rPr>
          <w:rFonts w:ascii="Century Gothic" w:eastAsia="Arial" w:hAnsi="Century Gothic" w:cs="Arial"/>
          <w:color w:val="000000" w:themeColor="text1"/>
          <w:sz w:val="20"/>
          <w:szCs w:val="20"/>
          <w:lang w:val="es-ES_tradnl"/>
        </w:rPr>
      </w:pPr>
      <w:r w:rsidRPr="00131FA3">
        <w:rPr>
          <w:rFonts w:ascii="Century Gothic" w:eastAsia="Arial" w:hAnsi="Century Gothic" w:cs="Arial"/>
          <w:color w:val="000000" w:themeColor="text1"/>
          <w:sz w:val="20"/>
          <w:szCs w:val="20"/>
          <w:lang w:val="es-ES_tradnl"/>
        </w:rPr>
        <w:t xml:space="preserve">En este orden de ideas, el Consejo de Estado suspendió provisionalmente el literal a), por lo cual el objeto de los contratos debe ser acorde con los planes nacionales o seccionales de desarrollo; y no necesariamente estar previstos directamente en ellos, además no solo se pueden celebrar contratos para los objetos específicos señalados en el Decreto 092 de 2017. […] </w:t>
      </w:r>
    </w:p>
    <w:p w14:paraId="69D7A299" w14:textId="77777777" w:rsidR="006C4F68" w:rsidRPr="00131FA3" w:rsidRDefault="006C4F68" w:rsidP="006C4F68">
      <w:pPr>
        <w:spacing w:after="0" w:line="240" w:lineRule="auto"/>
        <w:jc w:val="both"/>
        <w:rPr>
          <w:rFonts w:ascii="Century Gothic" w:eastAsia="Arial" w:hAnsi="Century Gothic" w:cs="Arial"/>
          <w:color w:val="000000" w:themeColor="text1"/>
          <w:sz w:val="20"/>
          <w:szCs w:val="20"/>
          <w:lang w:val="es-ES_tradnl"/>
        </w:rPr>
      </w:pPr>
    </w:p>
    <w:p w14:paraId="1085CA1C" w14:textId="77777777" w:rsidR="006C4F68" w:rsidRPr="00131FA3" w:rsidRDefault="006C4F68" w:rsidP="006C4F68">
      <w:pPr>
        <w:spacing w:after="0" w:line="240" w:lineRule="auto"/>
        <w:jc w:val="both"/>
        <w:rPr>
          <w:rFonts w:ascii="Century Gothic" w:eastAsia="Arial" w:hAnsi="Century Gothic" w:cs="Arial"/>
          <w:color w:val="000000" w:themeColor="text1"/>
          <w:sz w:val="20"/>
          <w:szCs w:val="20"/>
          <w:lang w:val="es-ES_tradnl"/>
        </w:rPr>
      </w:pPr>
      <w:r w:rsidRPr="00131FA3">
        <w:rPr>
          <w:rFonts w:ascii="Century Gothic" w:eastAsia="Arial" w:hAnsi="Century Gothic" w:cs="Arial"/>
          <w:color w:val="000000" w:themeColor="text1"/>
          <w:sz w:val="20"/>
          <w:szCs w:val="20"/>
          <w:lang w:val="es-ES_tradnl"/>
        </w:rPr>
        <w:t xml:space="preserve">Por consiguiente, se suspendió provisionalmente el inciso final del artículo 4 por violar el principio de igualdad, de manera que la contratación de actividades y programas de interés público debe realizarse a través de un proceso competitivo para escoger a la entidad sin ánimo de lucro. En estos procesos, entonces, se debe acudir a los criterios aplicables a los otros negocios jurídicos que regula el Decreto 092 de 2017, particularmente las exigencias del artículo 2 ibidem. Incluso, habría que tener en cuenta las exigencias del inciso 2 del artículo 4 </w:t>
      </w:r>
      <w:proofErr w:type="spellStart"/>
      <w:r w:rsidRPr="00131FA3">
        <w:rPr>
          <w:rFonts w:ascii="Century Gothic" w:eastAsia="Arial" w:hAnsi="Century Gothic" w:cs="Arial"/>
          <w:color w:val="000000" w:themeColor="text1"/>
          <w:sz w:val="20"/>
          <w:szCs w:val="20"/>
          <w:lang w:val="es-ES_tradnl"/>
        </w:rPr>
        <w:t>íbídem</w:t>
      </w:r>
      <w:proofErr w:type="spellEnd"/>
      <w:r w:rsidRPr="00131FA3">
        <w:rPr>
          <w:rFonts w:ascii="Century Gothic" w:eastAsia="Arial" w:hAnsi="Century Gothic" w:cs="Arial"/>
          <w:color w:val="000000" w:themeColor="text1"/>
          <w:sz w:val="20"/>
          <w:szCs w:val="20"/>
          <w:lang w:val="es-ES_tradnl"/>
        </w:rPr>
        <w:t>, claro está, siempre que se configuren los supuestos de aplicación de dicha normativa, esto es, siempre que exista más de una entidad sin ánimo de lucro de reconocida idoneidad.</w:t>
      </w:r>
    </w:p>
    <w:p w14:paraId="77A757AE" w14:textId="77777777" w:rsidR="006C4F68" w:rsidRPr="00131FA3" w:rsidRDefault="006C4F68" w:rsidP="006C4F68">
      <w:pPr>
        <w:spacing w:after="0" w:line="240" w:lineRule="auto"/>
        <w:jc w:val="both"/>
        <w:rPr>
          <w:rFonts w:ascii="Century Gothic" w:eastAsia="Arial" w:hAnsi="Century Gothic" w:cs="Arial"/>
          <w:color w:val="000000" w:themeColor="text1"/>
          <w:sz w:val="20"/>
          <w:szCs w:val="20"/>
          <w:lang w:val="es-ES_tradnl"/>
        </w:rPr>
      </w:pPr>
    </w:p>
    <w:p w14:paraId="69DBA14C" w14:textId="77777777" w:rsidR="006C4F68" w:rsidRPr="00131FA3" w:rsidRDefault="006C4F68" w:rsidP="006C4F68">
      <w:pPr>
        <w:spacing w:after="0" w:line="240" w:lineRule="auto"/>
        <w:jc w:val="both"/>
        <w:rPr>
          <w:rFonts w:ascii="Century Gothic" w:eastAsia="Arial" w:hAnsi="Century Gothic" w:cs="Arial"/>
          <w:color w:val="000000" w:themeColor="text1"/>
          <w:sz w:val="20"/>
          <w:szCs w:val="20"/>
          <w:lang w:val="es-ES_tradnl"/>
        </w:rPr>
      </w:pPr>
      <w:r w:rsidRPr="00131FA3">
        <w:rPr>
          <w:rFonts w:ascii="Century Gothic" w:eastAsia="Arial" w:hAnsi="Century Gothic" w:cs="Arial"/>
          <w:color w:val="000000" w:themeColor="text1"/>
          <w:sz w:val="20"/>
          <w:szCs w:val="20"/>
          <w:lang w:val="es-ES_tradnl"/>
        </w:rPr>
        <w:t>Sin perjuicio de lo anterior, el mismo Consejo de Estado bajo el Auto del 15 de marzo de 2022 de la Sala Plena de lo Contencioso Administrativo, radicado No. 11001-03-26-000-2018-</w:t>
      </w:r>
      <w:r w:rsidRPr="00131FA3">
        <w:rPr>
          <w:rFonts w:ascii="Century Gothic" w:eastAsia="Arial" w:hAnsi="Century Gothic" w:cs="Arial"/>
          <w:color w:val="000000" w:themeColor="text1"/>
          <w:sz w:val="20"/>
          <w:szCs w:val="20"/>
          <w:lang w:val="es-ES_tradnl"/>
        </w:rPr>
        <w:lastRenderedPageBreak/>
        <w:t>00113-01 (62.003), Consejera Ponente Roció Araujo Oñate, revocó el Auto del 6 de agosto de 2019 de la Sección Tercera, en lo pertinente a la suspensión provisional del inciso segundo del artículo 1 y del inciso segundo del artículo 3 del Decreto 092 de 2017, respectivamente y por ende  levantó la suspensión provisional de los mismos</w:t>
      </w:r>
    </w:p>
    <w:p w14:paraId="29C7E0D0" w14:textId="77777777" w:rsidR="006C4F68" w:rsidRPr="00131FA3" w:rsidRDefault="006C4F68" w:rsidP="006C4F68">
      <w:pPr>
        <w:spacing w:after="0" w:line="240" w:lineRule="auto"/>
        <w:jc w:val="both"/>
        <w:rPr>
          <w:rFonts w:ascii="Century Gothic" w:eastAsia="Arial" w:hAnsi="Century Gothic" w:cs="Arial"/>
          <w:color w:val="000000" w:themeColor="text1"/>
          <w:sz w:val="20"/>
          <w:szCs w:val="20"/>
          <w:lang w:val="es-ES_tradnl"/>
        </w:rPr>
      </w:pPr>
    </w:p>
    <w:p w14:paraId="74085D3B" w14:textId="77777777" w:rsidR="006C4F68" w:rsidRPr="00131FA3" w:rsidRDefault="006C4F68" w:rsidP="006C4F68">
      <w:pPr>
        <w:spacing w:after="0" w:line="240" w:lineRule="auto"/>
        <w:jc w:val="both"/>
        <w:rPr>
          <w:rFonts w:ascii="Century Gothic" w:eastAsia="Arial" w:hAnsi="Century Gothic" w:cs="Arial"/>
          <w:b/>
          <w:bCs/>
          <w:color w:val="000000" w:themeColor="text1"/>
          <w:lang w:val="es-ES_tradnl"/>
        </w:rPr>
      </w:pPr>
      <w:r w:rsidRPr="00131FA3">
        <w:rPr>
          <w:rFonts w:ascii="Century Gothic" w:eastAsia="Arial" w:hAnsi="Century Gothic" w:cs="Arial"/>
          <w:b/>
          <w:bCs/>
          <w:color w:val="000000" w:themeColor="text1"/>
          <w:lang w:val="es-ES_tradnl"/>
        </w:rPr>
        <w:t xml:space="preserve">DECRETO 092 DE 2017 – Normativa vigente </w:t>
      </w:r>
    </w:p>
    <w:p w14:paraId="7FEDA02F" w14:textId="77777777" w:rsidR="006C4F68" w:rsidRPr="00131FA3" w:rsidRDefault="006C4F68" w:rsidP="006C4F68">
      <w:pPr>
        <w:spacing w:after="0" w:line="240" w:lineRule="auto"/>
        <w:jc w:val="both"/>
        <w:rPr>
          <w:rFonts w:ascii="Century Gothic" w:eastAsia="Arial" w:hAnsi="Century Gothic" w:cs="Arial"/>
          <w:b/>
          <w:bCs/>
          <w:color w:val="000000" w:themeColor="text1"/>
          <w:lang w:val="es-ES_tradnl"/>
        </w:rPr>
      </w:pPr>
    </w:p>
    <w:p w14:paraId="5A271FBC" w14:textId="77777777" w:rsidR="006C4F68" w:rsidRPr="00131FA3" w:rsidRDefault="006C4F68" w:rsidP="006C4F68">
      <w:pPr>
        <w:spacing w:after="0" w:line="240" w:lineRule="auto"/>
        <w:jc w:val="both"/>
        <w:rPr>
          <w:rFonts w:ascii="Century Gothic" w:eastAsia="Arial" w:hAnsi="Century Gothic" w:cs="Arial"/>
          <w:b/>
          <w:bCs/>
          <w:color w:val="000000" w:themeColor="text1"/>
          <w:lang w:val="es-ES_tradnl"/>
        </w:rPr>
      </w:pPr>
      <w:r w:rsidRPr="00131FA3">
        <w:rPr>
          <w:rFonts w:ascii="Century Gothic" w:hAnsi="Century Gothic" w:cs="Arial"/>
          <w:color w:val="000000" w:themeColor="text1"/>
          <w:sz w:val="20"/>
          <w:szCs w:val="20"/>
          <w:lang w:val="es-ES_tradnl"/>
        </w:rPr>
        <w:t xml:space="preserve">En este orden de ideas, 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deberán contratar con ESAL de reconocida idoneidad, como ya se dijo, realizando un proceso competitivo, y teniendo en cuenta lo siguiente: i) no debe condicionarse el proceso de contratación a la inexistencia de oferta en el mercado de bienes y servicios; </w:t>
      </w:r>
      <w:proofErr w:type="spellStart"/>
      <w:r w:rsidRPr="00131FA3">
        <w:rPr>
          <w:rFonts w:ascii="Century Gothic" w:hAnsi="Century Gothic" w:cs="Arial"/>
          <w:color w:val="000000" w:themeColor="text1"/>
          <w:sz w:val="20"/>
          <w:szCs w:val="20"/>
          <w:lang w:val="es-ES_tradnl"/>
        </w:rPr>
        <w:t>ii</w:t>
      </w:r>
      <w:proofErr w:type="spellEnd"/>
      <w:r w:rsidRPr="00131FA3">
        <w:rPr>
          <w:rFonts w:ascii="Century Gothic" w:hAnsi="Century Gothic" w:cs="Arial"/>
          <w:color w:val="000000" w:themeColor="text1"/>
          <w:sz w:val="20"/>
          <w:szCs w:val="20"/>
          <w:lang w:val="es-ES_tradnl"/>
        </w:rPr>
        <w:t xml:space="preserve">) tampoco debe condicionarse a que la contratación con las ESAL garantice la optimización de los recursos públicos en términos de eficiencia, eficacia, economía y manejo del riesgo; </w:t>
      </w:r>
      <w:proofErr w:type="spellStart"/>
      <w:r w:rsidRPr="00131FA3">
        <w:rPr>
          <w:rFonts w:ascii="Century Gothic" w:hAnsi="Century Gothic" w:cs="Arial"/>
          <w:color w:val="000000" w:themeColor="text1"/>
          <w:sz w:val="20"/>
          <w:szCs w:val="20"/>
          <w:lang w:val="es-ES_tradnl"/>
        </w:rPr>
        <w:t>iii</w:t>
      </w:r>
      <w:proofErr w:type="spellEnd"/>
      <w:r w:rsidRPr="00131FA3">
        <w:rPr>
          <w:rFonts w:ascii="Century Gothic" w:hAnsi="Century Gothic" w:cs="Arial"/>
          <w:color w:val="000000" w:themeColor="text1"/>
          <w:sz w:val="20"/>
          <w:szCs w:val="20"/>
          <w:lang w:val="es-ES_tradnl"/>
        </w:rPr>
        <w:t xml:space="preserve">) el objeto del contrato debe estar acorde con el plan nacional o seccional de desarrollo; </w:t>
      </w:r>
      <w:proofErr w:type="spellStart"/>
      <w:r w:rsidRPr="00131FA3">
        <w:rPr>
          <w:rFonts w:ascii="Century Gothic" w:hAnsi="Century Gothic" w:cs="Arial"/>
          <w:color w:val="000000" w:themeColor="text1"/>
          <w:sz w:val="20"/>
          <w:szCs w:val="20"/>
          <w:lang w:val="es-ES_tradnl"/>
        </w:rPr>
        <w:t>iv</w:t>
      </w:r>
      <w:proofErr w:type="spellEnd"/>
      <w:r w:rsidRPr="00131FA3">
        <w:rPr>
          <w:rFonts w:ascii="Century Gothic" w:hAnsi="Century Gothic" w:cs="Arial"/>
          <w:color w:val="000000" w:themeColor="text1"/>
          <w:sz w:val="20"/>
          <w:szCs w:val="20"/>
          <w:lang w:val="es-ES_tradnl"/>
        </w:rPr>
        <w:t>) no puede condicionarse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proofErr w:type="spellStart"/>
      <w:r w:rsidRPr="00131FA3">
        <w:rPr>
          <w:rFonts w:ascii="Century Gothic" w:hAnsi="Century Gothic" w:cs="Arial"/>
          <w:color w:val="000000" w:themeColor="text1"/>
          <w:sz w:val="20"/>
          <w:szCs w:val="20"/>
          <w:lang w:val="es-ES_tradnl"/>
        </w:rPr>
        <w:t>iii</w:t>
      </w:r>
      <w:proofErr w:type="spellEnd"/>
      <w:r w:rsidRPr="00131FA3">
        <w:rPr>
          <w:rFonts w:ascii="Century Gothic" w:hAnsi="Century Gothic" w:cs="Arial"/>
          <w:color w:val="000000" w:themeColor="text1"/>
          <w:sz w:val="20"/>
          <w:szCs w:val="20"/>
          <w:lang w:val="es-ES_tradnl"/>
        </w:rPr>
        <w:t>); y v) el contrato no debe establecer una relación conmutativa en el cual haya una contraprestación directa a favor de la entidad, ni instrucciones precisas dadas por esta al contratista para cumplir con el objeto del contrato.</w:t>
      </w:r>
    </w:p>
    <w:p w14:paraId="49991857" w14:textId="77777777" w:rsidR="006C4F68" w:rsidRPr="006C4F68" w:rsidRDefault="006C4F68" w:rsidP="00B92853">
      <w:pPr>
        <w:spacing w:after="0"/>
        <w:rPr>
          <w:rFonts w:ascii="Century Gothic" w:eastAsia="Geomanist Light" w:hAnsi="Century Gothic" w:cs="Arial"/>
          <w:color w:val="000000" w:themeColor="text1"/>
          <w:lang w:val="es-ES_tradnl"/>
        </w:rPr>
      </w:pPr>
    </w:p>
    <w:p w14:paraId="4F7B0A9D" w14:textId="77777777" w:rsidR="006C4F68" w:rsidRDefault="006C4F68" w:rsidP="00B92853">
      <w:pPr>
        <w:spacing w:after="0"/>
        <w:rPr>
          <w:rFonts w:ascii="Century Gothic" w:eastAsia="Geomanist Light" w:hAnsi="Century Gothic" w:cs="Arial"/>
          <w:color w:val="000000" w:themeColor="text1"/>
          <w:lang w:val="es-MX"/>
        </w:rPr>
      </w:pPr>
    </w:p>
    <w:p w14:paraId="1373C819" w14:textId="77777777" w:rsidR="006C4F68" w:rsidRDefault="006C4F68" w:rsidP="00B92853">
      <w:pPr>
        <w:spacing w:after="0"/>
        <w:rPr>
          <w:rFonts w:ascii="Century Gothic" w:eastAsia="Geomanist Light" w:hAnsi="Century Gothic" w:cs="Arial"/>
          <w:color w:val="000000" w:themeColor="text1"/>
          <w:lang w:val="es-MX"/>
        </w:rPr>
      </w:pPr>
    </w:p>
    <w:p w14:paraId="5CF60AD2" w14:textId="77777777" w:rsidR="006C4F68" w:rsidRDefault="006C4F68" w:rsidP="00B92853">
      <w:pPr>
        <w:spacing w:after="0"/>
        <w:rPr>
          <w:rFonts w:ascii="Century Gothic" w:eastAsia="Geomanist Light" w:hAnsi="Century Gothic" w:cs="Arial"/>
          <w:color w:val="000000" w:themeColor="text1"/>
          <w:lang w:val="es-MX"/>
        </w:rPr>
      </w:pPr>
    </w:p>
    <w:p w14:paraId="2B48753A" w14:textId="77777777" w:rsidR="006C4F68" w:rsidRDefault="006C4F68" w:rsidP="00B92853">
      <w:pPr>
        <w:spacing w:after="0"/>
        <w:rPr>
          <w:rFonts w:ascii="Century Gothic" w:eastAsia="Geomanist Light" w:hAnsi="Century Gothic" w:cs="Arial"/>
          <w:color w:val="000000" w:themeColor="text1"/>
          <w:lang w:val="es-MX"/>
        </w:rPr>
      </w:pPr>
    </w:p>
    <w:p w14:paraId="648DF752" w14:textId="77777777" w:rsidR="006C4F68" w:rsidRDefault="006C4F68" w:rsidP="00B92853">
      <w:pPr>
        <w:spacing w:after="0"/>
        <w:rPr>
          <w:rFonts w:ascii="Century Gothic" w:eastAsia="Geomanist Light" w:hAnsi="Century Gothic" w:cs="Arial"/>
          <w:color w:val="000000" w:themeColor="text1"/>
          <w:lang w:val="es-MX"/>
        </w:rPr>
      </w:pPr>
    </w:p>
    <w:p w14:paraId="3F132111" w14:textId="77777777" w:rsidR="006C4F68" w:rsidRDefault="006C4F68" w:rsidP="00B92853">
      <w:pPr>
        <w:spacing w:after="0"/>
        <w:rPr>
          <w:rFonts w:ascii="Century Gothic" w:eastAsia="Geomanist Light" w:hAnsi="Century Gothic" w:cs="Arial"/>
          <w:color w:val="000000" w:themeColor="text1"/>
          <w:lang w:val="es-MX"/>
        </w:rPr>
      </w:pPr>
    </w:p>
    <w:p w14:paraId="7E78D31F" w14:textId="77777777" w:rsidR="006C4F68" w:rsidRDefault="006C4F68" w:rsidP="00B92853">
      <w:pPr>
        <w:spacing w:after="0"/>
        <w:rPr>
          <w:rFonts w:ascii="Century Gothic" w:eastAsia="Geomanist Light" w:hAnsi="Century Gothic" w:cs="Arial"/>
          <w:color w:val="000000" w:themeColor="text1"/>
          <w:lang w:val="es-MX"/>
        </w:rPr>
      </w:pPr>
    </w:p>
    <w:p w14:paraId="79F2A245" w14:textId="77777777" w:rsidR="006C4F68" w:rsidRDefault="006C4F68" w:rsidP="00B92853">
      <w:pPr>
        <w:spacing w:after="0"/>
        <w:rPr>
          <w:rFonts w:ascii="Century Gothic" w:eastAsia="Geomanist Light" w:hAnsi="Century Gothic" w:cs="Arial"/>
          <w:color w:val="000000" w:themeColor="text1"/>
          <w:lang w:val="es-MX"/>
        </w:rPr>
      </w:pPr>
    </w:p>
    <w:p w14:paraId="298E2AB1" w14:textId="77777777" w:rsidR="006C4F68" w:rsidRDefault="006C4F68" w:rsidP="00B92853">
      <w:pPr>
        <w:spacing w:after="0"/>
        <w:rPr>
          <w:rFonts w:ascii="Century Gothic" w:eastAsia="Geomanist Light" w:hAnsi="Century Gothic" w:cs="Arial"/>
          <w:color w:val="000000" w:themeColor="text1"/>
          <w:lang w:val="es-MX"/>
        </w:rPr>
      </w:pPr>
    </w:p>
    <w:p w14:paraId="3BDF5526" w14:textId="77777777" w:rsidR="006C4F68" w:rsidRDefault="006C4F68" w:rsidP="00B92853">
      <w:pPr>
        <w:spacing w:after="0"/>
        <w:rPr>
          <w:rFonts w:ascii="Century Gothic" w:eastAsia="Geomanist Light" w:hAnsi="Century Gothic" w:cs="Arial"/>
          <w:color w:val="000000" w:themeColor="text1"/>
          <w:lang w:val="es-MX"/>
        </w:rPr>
      </w:pPr>
    </w:p>
    <w:p w14:paraId="7E8DDF68" w14:textId="77777777" w:rsidR="006C4F68" w:rsidRDefault="006C4F68" w:rsidP="00B92853">
      <w:pPr>
        <w:spacing w:after="0"/>
        <w:rPr>
          <w:rFonts w:ascii="Century Gothic" w:eastAsia="Geomanist Light" w:hAnsi="Century Gothic" w:cs="Arial"/>
          <w:color w:val="000000" w:themeColor="text1"/>
          <w:lang w:val="es-MX"/>
        </w:rPr>
      </w:pPr>
    </w:p>
    <w:p w14:paraId="2D4FB485" w14:textId="77777777" w:rsidR="006C4F68" w:rsidRDefault="006C4F68" w:rsidP="00B92853">
      <w:pPr>
        <w:spacing w:after="0"/>
        <w:rPr>
          <w:rFonts w:ascii="Century Gothic" w:eastAsia="Geomanist Light" w:hAnsi="Century Gothic" w:cs="Arial"/>
          <w:color w:val="000000" w:themeColor="text1"/>
          <w:lang w:val="es-MX"/>
        </w:rPr>
      </w:pPr>
    </w:p>
    <w:p w14:paraId="070A9B69" w14:textId="77777777" w:rsidR="006C4F68" w:rsidRDefault="006C4F68" w:rsidP="00B92853">
      <w:pPr>
        <w:spacing w:after="0"/>
        <w:rPr>
          <w:rFonts w:ascii="Century Gothic" w:eastAsia="Geomanist Light" w:hAnsi="Century Gothic" w:cs="Arial"/>
          <w:color w:val="000000" w:themeColor="text1"/>
          <w:lang w:val="es-MX"/>
        </w:rPr>
      </w:pPr>
    </w:p>
    <w:p w14:paraId="2ED7FE5F" w14:textId="77777777" w:rsidR="006C4F68" w:rsidRDefault="006C4F68" w:rsidP="00B92853">
      <w:pPr>
        <w:spacing w:after="0"/>
        <w:rPr>
          <w:rFonts w:ascii="Century Gothic" w:eastAsia="Geomanist Light" w:hAnsi="Century Gothic" w:cs="Arial"/>
          <w:color w:val="000000" w:themeColor="text1"/>
          <w:lang w:val="es-MX"/>
        </w:rPr>
      </w:pPr>
    </w:p>
    <w:p w14:paraId="3A1DD130" w14:textId="77777777" w:rsidR="006C4F68" w:rsidRDefault="006C4F68" w:rsidP="00B92853">
      <w:pPr>
        <w:spacing w:after="0"/>
        <w:rPr>
          <w:rFonts w:ascii="Century Gothic" w:eastAsia="Geomanist Light" w:hAnsi="Century Gothic" w:cs="Arial"/>
          <w:color w:val="000000" w:themeColor="text1"/>
          <w:lang w:val="es-MX"/>
        </w:rPr>
      </w:pPr>
    </w:p>
    <w:p w14:paraId="7B0B97C0" w14:textId="77777777" w:rsidR="006C4F68" w:rsidRDefault="006C4F68" w:rsidP="00B92853">
      <w:pPr>
        <w:spacing w:after="0"/>
        <w:rPr>
          <w:rFonts w:ascii="Century Gothic" w:eastAsia="Geomanist Light" w:hAnsi="Century Gothic" w:cs="Arial"/>
          <w:color w:val="000000" w:themeColor="text1"/>
          <w:lang w:val="es-MX"/>
        </w:rPr>
      </w:pPr>
    </w:p>
    <w:p w14:paraId="00DA1AD6" w14:textId="77777777" w:rsidR="006C4F68" w:rsidRDefault="006C4F68" w:rsidP="00B92853">
      <w:pPr>
        <w:spacing w:after="0"/>
        <w:rPr>
          <w:rFonts w:ascii="Century Gothic" w:eastAsia="Geomanist Light" w:hAnsi="Century Gothic" w:cs="Arial"/>
          <w:color w:val="000000" w:themeColor="text1"/>
          <w:lang w:val="es-MX"/>
        </w:rPr>
      </w:pPr>
    </w:p>
    <w:p w14:paraId="361B501D" w14:textId="77777777" w:rsidR="006C4F68" w:rsidRDefault="006C4F68" w:rsidP="00B92853">
      <w:pPr>
        <w:spacing w:after="0"/>
        <w:rPr>
          <w:rFonts w:ascii="Century Gothic" w:eastAsia="Geomanist Light" w:hAnsi="Century Gothic" w:cs="Arial"/>
          <w:color w:val="000000" w:themeColor="text1"/>
          <w:lang w:val="es-MX"/>
        </w:rPr>
      </w:pPr>
    </w:p>
    <w:p w14:paraId="0FB2A03C" w14:textId="4A4437BE" w:rsidR="00B92853" w:rsidRDefault="00B92853" w:rsidP="00B92853">
      <w:pPr>
        <w:spacing w:after="0"/>
        <w:rPr>
          <w:rFonts w:ascii="Century Gothic" w:eastAsia="Geomanist Light" w:hAnsi="Century Gothic" w:cs="Arial"/>
          <w:color w:val="201F1E"/>
          <w:lang w:val="es-MX"/>
        </w:rPr>
      </w:pPr>
      <w:r w:rsidRPr="00131FA3">
        <w:rPr>
          <w:rFonts w:ascii="Century Gothic" w:eastAsia="Geomanist Light" w:hAnsi="Century Gothic" w:cs="Arial"/>
          <w:color w:val="000000" w:themeColor="text1"/>
          <w:lang w:val="es-MX"/>
        </w:rPr>
        <w:lastRenderedPageBreak/>
        <w:t>Bogotá D.C., </w:t>
      </w:r>
      <w:r w:rsidR="00975F37" w:rsidRPr="00975F37">
        <w:rPr>
          <w:rFonts w:ascii="Century Gothic" w:eastAsia="Geomanist Light" w:hAnsi="Century Gothic" w:cs="Arial"/>
          <w:color w:val="000000" w:themeColor="text1"/>
          <w:lang w:val="es-MX"/>
        </w:rPr>
        <w:t xml:space="preserve">07 de </w:t>
      </w:r>
      <w:proofErr w:type="gramStart"/>
      <w:r w:rsidR="00975F37" w:rsidRPr="00975F37">
        <w:rPr>
          <w:rFonts w:ascii="Century Gothic" w:eastAsia="Geomanist Light" w:hAnsi="Century Gothic" w:cs="Arial"/>
          <w:color w:val="000000" w:themeColor="text1"/>
          <w:lang w:val="es-MX"/>
        </w:rPr>
        <w:t>Mayo</w:t>
      </w:r>
      <w:proofErr w:type="gramEnd"/>
      <w:r w:rsidR="00975F37" w:rsidRPr="00975F37">
        <w:rPr>
          <w:rFonts w:ascii="Century Gothic" w:eastAsia="Geomanist Light" w:hAnsi="Century Gothic" w:cs="Arial"/>
          <w:color w:val="000000" w:themeColor="text1"/>
          <w:lang w:val="es-MX"/>
        </w:rPr>
        <w:t xml:space="preserve"> de 2024</w:t>
      </w:r>
    </w:p>
    <w:p w14:paraId="52B9E8E0" w14:textId="77777777" w:rsidR="00B92853" w:rsidRDefault="00B92853" w:rsidP="00B92853">
      <w:pPr>
        <w:spacing w:after="0"/>
        <w:rPr>
          <w:rFonts w:ascii="Century Gothic" w:eastAsia="Geomanist Light" w:hAnsi="Century Gothic" w:cs="Arial"/>
          <w:color w:val="201F1E"/>
          <w:lang w:val="es-MX"/>
        </w:rPr>
      </w:pPr>
    </w:p>
    <w:p w14:paraId="1C5175E2" w14:textId="25E36313" w:rsidR="00975F37" w:rsidRPr="00131FA3" w:rsidRDefault="00975F37" w:rsidP="00975F37">
      <w:pPr>
        <w:spacing w:after="0"/>
        <w:jc w:val="right"/>
        <w:rPr>
          <w:rFonts w:ascii="Century Gothic" w:eastAsia="Geomanist Light" w:hAnsi="Century Gothic" w:cs="Arial"/>
          <w:color w:val="201F1E"/>
          <w:lang w:val="es-MX"/>
        </w:rPr>
      </w:pPr>
      <w:r>
        <w:rPr>
          <w:noProof/>
        </w:rPr>
        <w:drawing>
          <wp:inline distT="0" distB="0" distL="0" distR="0" wp14:anchorId="1F5C991C" wp14:editId="3E6A8C68">
            <wp:extent cx="3253476" cy="904813"/>
            <wp:effectExtent l="0" t="0" r="4445" b="0"/>
            <wp:docPr id="14519526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952639" name=""/>
                    <pic:cNvPicPr/>
                  </pic:nvPicPr>
                  <pic:blipFill>
                    <a:blip r:embed="rId10"/>
                    <a:stretch>
                      <a:fillRect/>
                    </a:stretch>
                  </pic:blipFill>
                  <pic:spPr>
                    <a:xfrm>
                      <a:off x="0" y="0"/>
                      <a:ext cx="3253476" cy="904813"/>
                    </a:xfrm>
                    <a:prstGeom prst="rect">
                      <a:avLst/>
                    </a:prstGeom>
                  </pic:spPr>
                </pic:pic>
              </a:graphicData>
            </a:graphic>
          </wp:inline>
        </w:drawing>
      </w:r>
    </w:p>
    <w:p w14:paraId="4127B35D" w14:textId="77777777" w:rsidR="00B92853" w:rsidRPr="00131FA3" w:rsidRDefault="00B92853" w:rsidP="00B92853">
      <w:pPr>
        <w:spacing w:after="0"/>
        <w:contextualSpacing/>
        <w:jc w:val="both"/>
        <w:rPr>
          <w:rFonts w:ascii="Century Gothic" w:eastAsia="Calibri" w:hAnsi="Century Gothic" w:cs="Arial"/>
          <w:lang w:val="es-ES_tradnl" w:eastAsia="es-ES_tradnl"/>
        </w:rPr>
      </w:pPr>
    </w:p>
    <w:p w14:paraId="2B18D665" w14:textId="77777777" w:rsidR="00B92853" w:rsidRPr="00131FA3" w:rsidRDefault="00B92853" w:rsidP="00B92853">
      <w:pPr>
        <w:contextualSpacing/>
        <w:jc w:val="both"/>
        <w:rPr>
          <w:rFonts w:ascii="Century Gothic" w:eastAsia="Calibri" w:hAnsi="Century Gothic" w:cs="Arial"/>
          <w:lang w:eastAsia="es-ES_tradnl"/>
        </w:rPr>
      </w:pPr>
      <w:r w:rsidRPr="00131FA3">
        <w:rPr>
          <w:rFonts w:ascii="Century Gothic" w:eastAsia="Calibri" w:hAnsi="Century Gothic" w:cs="Arial"/>
          <w:lang w:eastAsia="es-ES_tradnl"/>
        </w:rPr>
        <w:t>Señor</w:t>
      </w:r>
    </w:p>
    <w:p w14:paraId="72E5B1D6" w14:textId="77777777" w:rsidR="00B92853" w:rsidRPr="00131FA3" w:rsidRDefault="00B92853" w:rsidP="00B92853">
      <w:pPr>
        <w:contextualSpacing/>
        <w:jc w:val="both"/>
        <w:rPr>
          <w:rFonts w:ascii="Century Gothic" w:eastAsia="Calibri" w:hAnsi="Century Gothic" w:cs="Arial"/>
          <w:b/>
          <w:lang w:eastAsia="es-ES_tradnl"/>
        </w:rPr>
      </w:pPr>
      <w:bookmarkStart w:id="6" w:name="_Hlk163481280"/>
      <w:r w:rsidRPr="00BD0C17">
        <w:rPr>
          <w:rFonts w:ascii="Century Gothic" w:eastAsia="Calibri" w:hAnsi="Century Gothic" w:cs="Arial"/>
          <w:b/>
          <w:lang w:eastAsia="es-ES_tradnl"/>
        </w:rPr>
        <w:t xml:space="preserve">Alexander Eliecer Cerpa Castro </w:t>
      </w:r>
      <w:r w:rsidRPr="00131FA3">
        <w:rPr>
          <w:rFonts w:ascii="Century Gothic" w:eastAsia="Calibri" w:hAnsi="Century Gothic" w:cs="Arial"/>
          <w:b/>
          <w:lang w:eastAsia="es-ES_tradnl"/>
        </w:rPr>
        <w:t xml:space="preserve"> </w:t>
      </w:r>
      <w:bookmarkEnd w:id="6"/>
      <w:r w:rsidRPr="00131FA3">
        <w:rPr>
          <w:rFonts w:ascii="Century Gothic" w:eastAsia="Calibri" w:hAnsi="Century Gothic" w:cs="Arial"/>
          <w:b/>
          <w:lang w:eastAsia="es-ES_tradnl"/>
        </w:rPr>
        <w:t xml:space="preserve"> </w:t>
      </w:r>
    </w:p>
    <w:p w14:paraId="70E45414" w14:textId="77777777" w:rsidR="00B92853" w:rsidRPr="00131FA3" w:rsidRDefault="00B92853" w:rsidP="00B92853">
      <w:pPr>
        <w:contextualSpacing/>
        <w:jc w:val="both"/>
        <w:rPr>
          <w:rFonts w:ascii="Century Gothic" w:eastAsia="Calibri" w:hAnsi="Century Gothic" w:cs="Arial"/>
          <w:bCs/>
          <w:lang w:eastAsia="es-ES_tradnl"/>
        </w:rPr>
      </w:pPr>
      <w:r w:rsidRPr="00131FA3">
        <w:rPr>
          <w:rFonts w:ascii="Century Gothic" w:eastAsia="Geomanist Light" w:hAnsi="Century Gothic" w:cs="Arial"/>
          <w:color w:val="000000" w:themeColor="text1"/>
          <w:lang w:val="es-MX"/>
        </w:rPr>
        <w:t>Bogotá D.C.</w:t>
      </w:r>
      <w:r>
        <w:rPr>
          <w:rFonts w:ascii="Century Gothic" w:eastAsia="Geomanist Light" w:hAnsi="Century Gothic" w:cs="Arial"/>
          <w:color w:val="000000" w:themeColor="text1"/>
          <w:lang w:val="es-MX"/>
        </w:rPr>
        <w:t xml:space="preserve"> </w:t>
      </w:r>
    </w:p>
    <w:p w14:paraId="027A6E7E" w14:textId="77777777" w:rsidR="00B92853" w:rsidRPr="00131FA3" w:rsidRDefault="00B92853" w:rsidP="00B92853">
      <w:pPr>
        <w:contextualSpacing/>
        <w:rPr>
          <w:rFonts w:ascii="Century Gothic" w:eastAsia="Calibri" w:hAnsi="Century Gothic" w:cs="Arial"/>
          <w:b/>
          <w:bCs/>
          <w:lang w:val="es-ES_tradnl" w:eastAsia="es-ES_tradnl"/>
        </w:rPr>
      </w:pPr>
    </w:p>
    <w:p w14:paraId="2DED888E" w14:textId="77777777" w:rsidR="00B92853" w:rsidRPr="00131FA3" w:rsidRDefault="00B92853" w:rsidP="00B92853">
      <w:pPr>
        <w:contextualSpacing/>
        <w:jc w:val="both"/>
        <w:rPr>
          <w:rFonts w:ascii="Century Gothic" w:eastAsia="Calibri" w:hAnsi="Century Gothic" w:cs="Arial"/>
          <w:lang w:val="es-ES_tradnl" w:eastAsia="es-ES_tradnl"/>
        </w:rPr>
      </w:pPr>
    </w:p>
    <w:p w14:paraId="0C9C6C95" w14:textId="77777777" w:rsidR="00B92853" w:rsidRPr="00131FA3" w:rsidRDefault="00B92853" w:rsidP="00B92853">
      <w:pPr>
        <w:ind w:left="2124"/>
        <w:contextualSpacing/>
        <w:jc w:val="both"/>
        <w:rPr>
          <w:rFonts w:ascii="Century Gothic" w:eastAsia="Calibri" w:hAnsi="Century Gothic" w:cs="Arial"/>
          <w:b/>
          <w:bCs/>
          <w:lang w:val="es-ES_tradnl" w:eastAsia="es-ES_tradnl"/>
        </w:rPr>
      </w:pPr>
      <w:r w:rsidRPr="00131FA3">
        <w:rPr>
          <w:rFonts w:ascii="Century Gothic" w:eastAsia="Calibri" w:hAnsi="Century Gothic" w:cs="Arial"/>
          <w:b/>
          <w:bCs/>
          <w:lang w:val="es-ES_tradnl" w:eastAsia="es-ES_tradnl"/>
        </w:rPr>
        <w:t xml:space="preserve">         Concepto C – </w:t>
      </w:r>
      <w:r w:rsidRPr="00AF2715">
        <w:rPr>
          <w:rFonts w:ascii="Century Gothic" w:eastAsia="Calibri" w:hAnsi="Century Gothic" w:cs="Arial"/>
          <w:b/>
          <w:bCs/>
          <w:lang w:val="es-ES_tradnl" w:eastAsia="es-ES_tradnl"/>
        </w:rPr>
        <w:t>0</w:t>
      </w:r>
      <w:r>
        <w:rPr>
          <w:rFonts w:ascii="Century Gothic" w:eastAsia="Calibri" w:hAnsi="Century Gothic" w:cs="Arial"/>
          <w:b/>
          <w:bCs/>
          <w:lang w:val="es-ES_tradnl" w:eastAsia="es-ES_tradnl"/>
        </w:rPr>
        <w:t>80</w:t>
      </w:r>
      <w:r w:rsidRPr="00131FA3">
        <w:rPr>
          <w:rFonts w:ascii="Century Gothic" w:eastAsia="Calibri" w:hAnsi="Century Gothic" w:cs="Arial"/>
          <w:b/>
          <w:bCs/>
          <w:lang w:val="es-ES_tradnl" w:eastAsia="es-ES_tradnl"/>
        </w:rPr>
        <w:t xml:space="preserve"> de 202</w:t>
      </w:r>
      <w:r>
        <w:rPr>
          <w:rFonts w:ascii="Century Gothic" w:eastAsia="Calibri" w:hAnsi="Century Gothic" w:cs="Arial"/>
          <w:b/>
          <w:bCs/>
          <w:lang w:val="es-ES_tradnl" w:eastAsia="es-ES_tradnl"/>
        </w:rPr>
        <w:t>4</w:t>
      </w:r>
    </w:p>
    <w:p w14:paraId="67FE5510" w14:textId="77777777" w:rsidR="00B92853" w:rsidRPr="00131FA3" w:rsidRDefault="00B92853" w:rsidP="00B92853">
      <w:pPr>
        <w:contextualSpacing/>
        <w:jc w:val="both"/>
        <w:rPr>
          <w:rFonts w:ascii="Century Gothic" w:eastAsia="Calibri" w:hAnsi="Century Gothic"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2853" w:rsidRPr="00131FA3" w14:paraId="2560E238" w14:textId="77777777" w:rsidTr="00F13B4E">
        <w:tc>
          <w:tcPr>
            <w:tcW w:w="2689" w:type="dxa"/>
          </w:tcPr>
          <w:p w14:paraId="231224D9" w14:textId="77777777" w:rsidR="00B92853" w:rsidRPr="00131FA3" w:rsidRDefault="00B92853" w:rsidP="00F13B4E">
            <w:pPr>
              <w:contextualSpacing/>
              <w:jc w:val="both"/>
              <w:rPr>
                <w:rFonts w:ascii="Century Gothic" w:eastAsia="Calibri" w:hAnsi="Century Gothic" w:cs="Arial"/>
                <w:lang w:val="es-ES_tradnl" w:eastAsia="es-ES_tradnl"/>
              </w:rPr>
            </w:pPr>
            <w:r w:rsidRPr="00131FA3">
              <w:rPr>
                <w:rFonts w:ascii="Century Gothic" w:eastAsia="Calibri" w:hAnsi="Century Gothic" w:cs="Arial"/>
                <w:b/>
                <w:lang w:val="es-ES_tradnl" w:eastAsia="es-ES_tradnl"/>
              </w:rPr>
              <w:t>Temas:</w:t>
            </w:r>
            <w:r w:rsidRPr="00131FA3">
              <w:rPr>
                <w:rFonts w:ascii="Century Gothic" w:eastAsia="Calibri" w:hAnsi="Century Gothic" w:cs="Arial"/>
                <w:lang w:val="es-ES_tradnl" w:eastAsia="es-ES_tradnl"/>
              </w:rPr>
              <w:t xml:space="preserve">                                      </w:t>
            </w:r>
          </w:p>
        </w:tc>
        <w:tc>
          <w:tcPr>
            <w:tcW w:w="6237" w:type="dxa"/>
          </w:tcPr>
          <w:p w14:paraId="0A1C711A" w14:textId="77777777" w:rsidR="00B92853" w:rsidRPr="00131FA3" w:rsidRDefault="00B92853" w:rsidP="00F13B4E">
            <w:pPr>
              <w:spacing w:after="120"/>
              <w:contextualSpacing/>
              <w:jc w:val="both"/>
              <w:rPr>
                <w:rFonts w:ascii="Century Gothic" w:eastAsia="Calibri" w:hAnsi="Century Gothic" w:cs="Arial"/>
                <w:bCs/>
                <w:lang w:val="es-MX" w:eastAsia="es-ES_tradnl"/>
              </w:rPr>
            </w:pPr>
            <w:r w:rsidRPr="001952ED">
              <w:rPr>
                <w:rFonts w:ascii="Century Gothic" w:eastAsia="Calibri" w:hAnsi="Century Gothic" w:cs="Arial"/>
                <w:bCs/>
                <w:lang w:val="es-ES_tradnl" w:eastAsia="es-ES_tradnl"/>
              </w:rPr>
              <w:t xml:space="preserve">ANCP-CCE – Naturaleza jurídica – Competencia consultiva – Alcance </w:t>
            </w:r>
            <w:r>
              <w:rPr>
                <w:rFonts w:ascii="Century Gothic" w:eastAsia="Calibri" w:hAnsi="Century Gothic" w:cs="Arial"/>
                <w:bCs/>
                <w:lang w:val="es-ES_tradnl" w:eastAsia="es-ES_tradnl"/>
              </w:rPr>
              <w:t xml:space="preserve">/ </w:t>
            </w:r>
            <w:r w:rsidRPr="00785C17">
              <w:rPr>
                <w:rFonts w:ascii="Century Gothic" w:eastAsia="Calibri" w:hAnsi="Century Gothic" w:cs="Arial"/>
                <w:bCs/>
                <w:lang w:val="es-ES_tradnl" w:eastAsia="es-ES_tradnl"/>
              </w:rPr>
              <w:t>ORGANISMOS INTERNACIONALES – Concepto / RÉGIMEN CONTRACTUAL – Ley 1150 de 2007 – Artículo 20 /</w:t>
            </w:r>
            <w:r>
              <w:rPr>
                <w:rFonts w:ascii="Century Gothic" w:eastAsia="Calibri" w:hAnsi="Century Gothic" w:cs="Arial"/>
                <w:bCs/>
                <w:lang w:val="es-ES_tradnl" w:eastAsia="es-ES_tradnl"/>
              </w:rPr>
              <w:t xml:space="preserve"> </w:t>
            </w:r>
            <w:r w:rsidRPr="00131FA3">
              <w:rPr>
                <w:rFonts w:ascii="Century Gothic" w:eastAsia="Calibri" w:hAnsi="Century Gothic" w:cs="Arial"/>
                <w:bCs/>
                <w:lang w:val="es-ES_tradnl" w:eastAsia="es-ES_tradnl"/>
              </w:rPr>
              <w:t>DECRETO 092 DE 2017 – Finalidad – Clases de contratos / CONTRATACIÓN CON ESAL – Contrato de colaboración – Objeto – Alcance / CONTRATACIÓN CON ESAL – Contrato de asociación – Objeto – Alcance / CONVENIOS DE ASOCIACIÓN – Multiplicidad de sujetos – Límites legales / DECRETO 092 DE 2017 – Criterios – Aplicación / DECRETO 092 DE 2017 – Suspensión Provisional – Artículos suspendidos / DECRETO 092 DE 2017 – Normativa vigente</w:t>
            </w:r>
            <w:r w:rsidRPr="00131FA3">
              <w:rPr>
                <w:rFonts w:ascii="Century Gothic" w:eastAsia="Calibri" w:hAnsi="Century Gothic" w:cs="Arial"/>
                <w:bCs/>
                <w:lang w:val="es-MX" w:eastAsia="es-ES_tradnl"/>
              </w:rPr>
              <w:t xml:space="preserve"> </w:t>
            </w:r>
          </w:p>
          <w:p w14:paraId="002BA4E0" w14:textId="77777777" w:rsidR="00B92853" w:rsidRPr="00131FA3" w:rsidRDefault="00B92853" w:rsidP="00F13B4E">
            <w:pPr>
              <w:spacing w:after="120"/>
              <w:contextualSpacing/>
              <w:jc w:val="both"/>
              <w:rPr>
                <w:rFonts w:ascii="Century Gothic" w:eastAsia="Calibri" w:hAnsi="Century Gothic" w:cs="Arial"/>
                <w:bCs/>
                <w:sz w:val="12"/>
                <w:szCs w:val="12"/>
                <w:lang w:val="es-ES_tradnl" w:eastAsia="es-ES_tradnl"/>
              </w:rPr>
            </w:pPr>
          </w:p>
        </w:tc>
      </w:tr>
      <w:tr w:rsidR="00B92853" w:rsidRPr="00131FA3" w14:paraId="4C94D85F" w14:textId="77777777" w:rsidTr="00F13B4E">
        <w:trPr>
          <w:trHeight w:val="227"/>
        </w:trPr>
        <w:tc>
          <w:tcPr>
            <w:tcW w:w="2689" w:type="dxa"/>
          </w:tcPr>
          <w:p w14:paraId="10D344B5" w14:textId="77777777" w:rsidR="00B92853" w:rsidRPr="00131FA3" w:rsidRDefault="00B92853" w:rsidP="00F13B4E">
            <w:pPr>
              <w:contextualSpacing/>
              <w:jc w:val="both"/>
              <w:rPr>
                <w:rFonts w:ascii="Century Gothic" w:eastAsia="Calibri" w:hAnsi="Century Gothic" w:cs="Arial"/>
                <w:b/>
                <w:lang w:val="es-ES_tradnl" w:eastAsia="es-ES_tradnl"/>
              </w:rPr>
            </w:pPr>
            <w:r w:rsidRPr="00131FA3">
              <w:rPr>
                <w:rFonts w:ascii="Century Gothic" w:eastAsia="Calibri" w:hAnsi="Century Gothic" w:cs="Arial"/>
                <w:b/>
                <w:lang w:val="es-ES_tradnl" w:eastAsia="es-ES_tradnl"/>
              </w:rPr>
              <w:t>Radicación:</w:t>
            </w:r>
            <w:r w:rsidRPr="00131FA3">
              <w:rPr>
                <w:rFonts w:ascii="Century Gothic" w:eastAsia="Calibri" w:hAnsi="Century Gothic" w:cs="Arial"/>
                <w:lang w:val="es-ES_tradnl" w:eastAsia="es-ES_tradnl"/>
              </w:rPr>
              <w:t xml:space="preserve">                             </w:t>
            </w:r>
          </w:p>
        </w:tc>
        <w:tc>
          <w:tcPr>
            <w:tcW w:w="6237" w:type="dxa"/>
          </w:tcPr>
          <w:p w14:paraId="13FF84C3" w14:textId="77777777" w:rsidR="00B92853" w:rsidRPr="00131FA3" w:rsidRDefault="00B92853" w:rsidP="00F13B4E">
            <w:pPr>
              <w:contextualSpacing/>
              <w:jc w:val="both"/>
              <w:rPr>
                <w:rFonts w:ascii="Century Gothic" w:eastAsia="Calibri" w:hAnsi="Century Gothic" w:cs="Arial"/>
                <w:lang w:val="es-ES_tradnl" w:eastAsia="es-ES_tradnl"/>
              </w:rPr>
            </w:pPr>
            <w:r w:rsidRPr="00131FA3">
              <w:rPr>
                <w:rFonts w:ascii="Century Gothic" w:eastAsia="Calibri" w:hAnsi="Century Gothic" w:cs="Arial"/>
                <w:lang w:val="es-ES_tradnl" w:eastAsia="es-ES_tradnl"/>
              </w:rPr>
              <w:t xml:space="preserve">Respuesta a consulta </w:t>
            </w:r>
            <w:r w:rsidRPr="0096356A">
              <w:rPr>
                <w:rFonts w:ascii="Century Gothic" w:eastAsia="Calibri" w:hAnsi="Century Gothic" w:cs="Arial"/>
                <w:lang w:val="es-ES_tradnl" w:eastAsia="es-ES_tradnl"/>
              </w:rPr>
              <w:t>P20240422004155</w:t>
            </w:r>
          </w:p>
        </w:tc>
      </w:tr>
    </w:tbl>
    <w:p w14:paraId="053DA2CF" w14:textId="77777777" w:rsidR="00B92853" w:rsidRPr="00131FA3" w:rsidRDefault="00B92853" w:rsidP="00B92853">
      <w:pPr>
        <w:contextualSpacing/>
        <w:jc w:val="both"/>
        <w:rPr>
          <w:rFonts w:ascii="Century Gothic" w:eastAsia="Calibri" w:hAnsi="Century Gothic" w:cs="Arial"/>
          <w:lang w:val="es-ES_tradnl" w:eastAsia="es-ES_tradnl"/>
        </w:rPr>
      </w:pPr>
    </w:p>
    <w:p w14:paraId="289BA110" w14:textId="77777777" w:rsidR="00B92853" w:rsidRPr="00131FA3" w:rsidRDefault="00B92853" w:rsidP="00B92853">
      <w:pPr>
        <w:contextualSpacing/>
        <w:jc w:val="both"/>
        <w:rPr>
          <w:rFonts w:ascii="Century Gothic" w:eastAsia="Calibri" w:hAnsi="Century Gothic" w:cs="Arial"/>
          <w:lang w:val="es-ES_tradnl" w:eastAsia="es-ES_tradnl"/>
        </w:rPr>
      </w:pPr>
    </w:p>
    <w:p w14:paraId="757EAFB0" w14:textId="77777777" w:rsidR="00B92853" w:rsidRPr="00131FA3" w:rsidRDefault="00B92853" w:rsidP="00B92853">
      <w:pPr>
        <w:contextualSpacing/>
        <w:jc w:val="both"/>
        <w:rPr>
          <w:rFonts w:ascii="Century Gothic" w:eastAsia="Calibri" w:hAnsi="Century Gothic" w:cs="Arial"/>
          <w:lang w:val="es-ES" w:eastAsia="es-ES"/>
        </w:rPr>
      </w:pPr>
      <w:r w:rsidRPr="00131FA3">
        <w:rPr>
          <w:rFonts w:ascii="Century Gothic" w:eastAsia="Calibri" w:hAnsi="Century Gothic" w:cs="Arial"/>
          <w:lang w:val="es-ES" w:eastAsia="es-ES"/>
        </w:rPr>
        <w:t>Respetad</w:t>
      </w:r>
      <w:r>
        <w:rPr>
          <w:rFonts w:ascii="Century Gothic" w:eastAsia="Calibri" w:hAnsi="Century Gothic" w:cs="Arial"/>
          <w:lang w:val="es-ES" w:eastAsia="es-ES"/>
        </w:rPr>
        <w:t>o</w:t>
      </w:r>
      <w:r w:rsidRPr="00131FA3">
        <w:rPr>
          <w:rFonts w:ascii="Century Gothic" w:eastAsia="Calibri" w:hAnsi="Century Gothic" w:cs="Arial"/>
          <w:lang w:val="es-ES" w:eastAsia="es-ES"/>
        </w:rPr>
        <w:t xml:space="preserve"> señor </w:t>
      </w:r>
      <w:r w:rsidRPr="0094056E">
        <w:rPr>
          <w:rFonts w:ascii="Century Gothic" w:eastAsia="Times New Roman" w:hAnsi="Century Gothic" w:cs="Arial"/>
          <w:lang w:eastAsia="es-ES"/>
        </w:rPr>
        <w:t>Cerpa Castro</w:t>
      </w:r>
      <w:r w:rsidRPr="00131FA3">
        <w:rPr>
          <w:rFonts w:ascii="Century Gothic" w:eastAsia="Calibri" w:hAnsi="Century Gothic" w:cs="Arial"/>
          <w:lang w:val="es-ES" w:eastAsia="es-ES"/>
        </w:rPr>
        <w:t xml:space="preserve">: </w:t>
      </w:r>
    </w:p>
    <w:p w14:paraId="1826DAB7" w14:textId="77777777" w:rsidR="00B92853" w:rsidRPr="00131FA3" w:rsidRDefault="00B92853" w:rsidP="00B92853">
      <w:pPr>
        <w:spacing w:line="276" w:lineRule="auto"/>
        <w:contextualSpacing/>
        <w:jc w:val="both"/>
        <w:rPr>
          <w:rFonts w:ascii="Century Gothic" w:eastAsia="Calibri" w:hAnsi="Century Gothic" w:cs="Arial"/>
          <w:szCs w:val="24"/>
          <w:lang w:val="es-ES_tradnl" w:eastAsia="es-ES_tradnl"/>
        </w:rPr>
      </w:pPr>
    </w:p>
    <w:bookmarkEnd w:id="0"/>
    <w:bookmarkEnd w:id="1"/>
    <w:p w14:paraId="25A167FD" w14:textId="77777777" w:rsidR="00B92853" w:rsidRPr="00131FA3" w:rsidRDefault="00B92853" w:rsidP="00B92853">
      <w:pPr>
        <w:spacing w:after="0" w:line="276" w:lineRule="auto"/>
        <w:jc w:val="both"/>
        <w:rPr>
          <w:rFonts w:ascii="Century Gothic" w:eastAsia="Calibri" w:hAnsi="Century Gothic" w:cs="Arial"/>
          <w:color w:val="000000" w:themeColor="text1"/>
          <w:lang w:val="es-ES_tradnl"/>
        </w:rPr>
      </w:pPr>
      <w:r w:rsidRPr="00131FA3">
        <w:rPr>
          <w:rFonts w:ascii="Century Gothic" w:eastAsia="Calibri" w:hAnsi="Century Gothic" w:cs="Arial"/>
          <w:color w:val="000000" w:themeColor="text1"/>
          <w:lang w:val="es-ES_tradnl"/>
        </w:rPr>
        <w:t>En ejercicio de la competencia otorgada por el numeral 8 del artículo 11 y el numeral 5 del artículo 3 del Decreto Ley 4170 de 2011</w:t>
      </w:r>
      <w:bookmarkStart w:id="7" w:name="_Hlk99120496"/>
      <w:r w:rsidRPr="00131FA3">
        <w:rPr>
          <w:rFonts w:ascii="Century Gothic" w:eastAsia="Arial MT" w:hAnsi="Century Gothic" w:cs="Arial MT"/>
          <w:lang w:val="es-ES"/>
        </w:rPr>
        <w:t xml:space="preserve">, </w:t>
      </w:r>
      <w:bookmarkEnd w:id="7"/>
      <w:r w:rsidRPr="00131FA3">
        <w:rPr>
          <w:rFonts w:ascii="Century Gothic" w:eastAsia="Calibri" w:hAnsi="Century Gothic" w:cs="Arial"/>
          <w:color w:val="000000" w:themeColor="text1"/>
          <w:lang w:val="es-ES_tradnl"/>
        </w:rPr>
        <w:t xml:space="preserve">la Agencia Nacional de Contratación Pública – Colombia Compra Eficiente responde la consulta remitida mediante correo electrónico del </w:t>
      </w:r>
      <w:r>
        <w:rPr>
          <w:rFonts w:ascii="Century Gothic" w:eastAsia="Calibri" w:hAnsi="Century Gothic" w:cs="Arial"/>
          <w:color w:val="000000" w:themeColor="text1"/>
          <w:lang w:val="es-ES_tradnl"/>
        </w:rPr>
        <w:t>22 de abril de 2024</w:t>
      </w:r>
      <w:r w:rsidRPr="00131FA3">
        <w:rPr>
          <w:rFonts w:ascii="Century Gothic" w:eastAsia="Calibri" w:hAnsi="Century Gothic" w:cs="Arial"/>
          <w:color w:val="000000" w:themeColor="text1"/>
          <w:lang w:val="es-ES_tradnl"/>
        </w:rPr>
        <w:t>.</w:t>
      </w:r>
    </w:p>
    <w:p w14:paraId="3C1F0FA8" w14:textId="77777777" w:rsidR="00B92853" w:rsidRPr="00131FA3" w:rsidRDefault="00B92853" w:rsidP="00B92853">
      <w:pPr>
        <w:spacing w:after="0" w:line="276" w:lineRule="auto"/>
        <w:jc w:val="both"/>
        <w:rPr>
          <w:rFonts w:ascii="Century Gothic" w:eastAsia="Calibri" w:hAnsi="Century Gothic" w:cs="Arial"/>
          <w:b/>
          <w:color w:val="000000" w:themeColor="text1"/>
          <w:lang w:val="es-ES_tradnl"/>
        </w:rPr>
      </w:pPr>
    </w:p>
    <w:p w14:paraId="0EA86318" w14:textId="77777777" w:rsidR="00B92853" w:rsidRPr="00131FA3" w:rsidRDefault="00B92853" w:rsidP="00B92853">
      <w:pPr>
        <w:pStyle w:val="Prrafodelista"/>
        <w:numPr>
          <w:ilvl w:val="0"/>
          <w:numId w:val="6"/>
        </w:numPr>
        <w:tabs>
          <w:tab w:val="left" w:pos="0"/>
          <w:tab w:val="left" w:pos="142"/>
          <w:tab w:val="left" w:pos="284"/>
        </w:tabs>
        <w:spacing w:after="0" w:line="276" w:lineRule="auto"/>
        <w:ind w:left="0" w:firstLine="0"/>
        <w:jc w:val="both"/>
        <w:rPr>
          <w:rFonts w:ascii="Century Gothic" w:eastAsia="Calibri" w:hAnsi="Century Gothic" w:cs="Arial"/>
          <w:b/>
          <w:color w:val="000000" w:themeColor="text1"/>
          <w:lang w:val="es-ES_tradnl"/>
        </w:rPr>
      </w:pPr>
      <w:r w:rsidRPr="00131FA3">
        <w:rPr>
          <w:rFonts w:ascii="Century Gothic" w:eastAsia="Calibri" w:hAnsi="Century Gothic" w:cs="Arial"/>
          <w:b/>
          <w:color w:val="000000" w:themeColor="text1"/>
          <w:lang w:val="es-ES_tradnl"/>
        </w:rPr>
        <w:t xml:space="preserve">Problema planteado </w:t>
      </w:r>
    </w:p>
    <w:p w14:paraId="6CEE58FF" w14:textId="77777777" w:rsidR="00B92853" w:rsidRPr="00131FA3" w:rsidRDefault="00B92853" w:rsidP="00B92853">
      <w:pPr>
        <w:tabs>
          <w:tab w:val="left" w:pos="426"/>
        </w:tabs>
        <w:spacing w:after="0" w:line="276" w:lineRule="auto"/>
        <w:jc w:val="both"/>
        <w:rPr>
          <w:rFonts w:ascii="Century Gothic" w:eastAsia="Calibri" w:hAnsi="Century Gothic" w:cs="Arial"/>
          <w:b/>
          <w:color w:val="000000" w:themeColor="text1"/>
          <w:lang w:val="es-ES_tradnl"/>
        </w:rPr>
      </w:pPr>
    </w:p>
    <w:p w14:paraId="0ED92135" w14:textId="77777777" w:rsidR="00B92853" w:rsidRDefault="00B92853" w:rsidP="00B92853">
      <w:pPr>
        <w:spacing w:after="0" w:line="276" w:lineRule="auto"/>
        <w:jc w:val="both"/>
        <w:rPr>
          <w:rFonts w:ascii="Century Gothic" w:hAnsi="Century Gothic" w:cs="Arial"/>
          <w:color w:val="000000" w:themeColor="text1"/>
          <w:lang w:val="es-ES_tradnl"/>
        </w:rPr>
      </w:pPr>
      <w:r>
        <w:rPr>
          <w:rFonts w:ascii="Century Gothic" w:hAnsi="Century Gothic" w:cs="Arial"/>
          <w:color w:val="000000" w:themeColor="text1"/>
          <w:lang w:val="es-ES_tradnl"/>
        </w:rPr>
        <w:t>A título de “</w:t>
      </w:r>
      <w:r w:rsidRPr="00601B7B">
        <w:rPr>
          <w:rFonts w:ascii="Century Gothic" w:hAnsi="Century Gothic" w:cs="Arial"/>
          <w:color w:val="000000" w:themeColor="text1"/>
          <w:lang w:val="es-ES_tradnl"/>
        </w:rPr>
        <w:t>solicitud de informaci</w:t>
      </w:r>
      <w:r>
        <w:rPr>
          <w:rFonts w:ascii="Century Gothic" w:hAnsi="Century Gothic" w:cs="Arial"/>
          <w:color w:val="000000" w:themeColor="text1"/>
          <w:lang w:val="es-ES_tradnl"/>
        </w:rPr>
        <w:t>ó</w:t>
      </w:r>
      <w:r w:rsidRPr="00601B7B">
        <w:rPr>
          <w:rFonts w:ascii="Century Gothic" w:hAnsi="Century Gothic" w:cs="Arial"/>
          <w:color w:val="000000" w:themeColor="text1"/>
          <w:lang w:val="es-ES_tradnl"/>
        </w:rPr>
        <w:t>n para insumo de investigaci</w:t>
      </w:r>
      <w:r>
        <w:rPr>
          <w:rFonts w:ascii="Century Gothic" w:hAnsi="Century Gothic" w:cs="Arial"/>
          <w:color w:val="000000" w:themeColor="text1"/>
          <w:lang w:val="es-ES_tradnl"/>
        </w:rPr>
        <w:t>ó</w:t>
      </w:r>
      <w:r w:rsidRPr="00601B7B">
        <w:rPr>
          <w:rFonts w:ascii="Century Gothic" w:hAnsi="Century Gothic" w:cs="Arial"/>
          <w:color w:val="000000" w:themeColor="text1"/>
          <w:lang w:val="es-ES_tradnl"/>
        </w:rPr>
        <w:t>n</w:t>
      </w:r>
      <w:r>
        <w:rPr>
          <w:rFonts w:ascii="Century Gothic" w:hAnsi="Century Gothic" w:cs="Arial"/>
          <w:color w:val="000000" w:themeColor="text1"/>
          <w:lang w:val="es-ES_tradnl"/>
        </w:rPr>
        <w:t>”, usted realiza las siguientes preguntas:</w:t>
      </w:r>
    </w:p>
    <w:p w14:paraId="3ADB9764" w14:textId="77777777" w:rsidR="00B92853" w:rsidRDefault="00B92853" w:rsidP="00B92853">
      <w:pPr>
        <w:spacing w:after="0" w:line="276" w:lineRule="auto"/>
        <w:jc w:val="both"/>
        <w:rPr>
          <w:rFonts w:ascii="Century Gothic" w:hAnsi="Century Gothic" w:cs="Arial"/>
          <w:color w:val="000000" w:themeColor="text1"/>
          <w:lang w:val="es-ES_tradnl"/>
        </w:rPr>
      </w:pPr>
    </w:p>
    <w:p w14:paraId="154BA675" w14:textId="77777777" w:rsidR="00B92853" w:rsidRPr="00601B7B" w:rsidRDefault="00B92853" w:rsidP="00B92853">
      <w:pPr>
        <w:spacing w:after="120" w:line="240" w:lineRule="auto"/>
        <w:ind w:left="709" w:right="709"/>
        <w:jc w:val="both"/>
        <w:rPr>
          <w:rFonts w:ascii="Century Gothic" w:eastAsia="Times New Roman" w:hAnsi="Century Gothic" w:cs="Calibri"/>
          <w:color w:val="000000"/>
          <w:sz w:val="21"/>
          <w:szCs w:val="21"/>
          <w:lang w:eastAsia="es-CO"/>
        </w:rPr>
      </w:pPr>
      <w:r w:rsidRPr="00601B7B">
        <w:rPr>
          <w:rFonts w:ascii="Century Gothic" w:eastAsia="Times New Roman" w:hAnsi="Century Gothic" w:cs="Calibri"/>
          <w:color w:val="000000"/>
          <w:sz w:val="21"/>
          <w:szCs w:val="21"/>
          <w:lang w:eastAsia="es-CO"/>
        </w:rPr>
        <w:t>“1- ¿Cuál es el papel de Colombia Compra eficiente, frente a los recursos que ingresan al país por cooperación internacional?</w:t>
      </w:r>
    </w:p>
    <w:p w14:paraId="123D82CA" w14:textId="77777777" w:rsidR="00B92853" w:rsidRPr="00601B7B" w:rsidRDefault="00B92853" w:rsidP="00B92853">
      <w:pPr>
        <w:spacing w:after="120" w:line="240" w:lineRule="auto"/>
        <w:ind w:left="709" w:right="709"/>
        <w:jc w:val="both"/>
        <w:rPr>
          <w:rFonts w:ascii="Century Gothic" w:eastAsia="Times New Roman" w:hAnsi="Century Gothic" w:cs="Calibri"/>
          <w:color w:val="000000"/>
          <w:sz w:val="21"/>
          <w:szCs w:val="21"/>
          <w:lang w:eastAsia="es-CO"/>
        </w:rPr>
      </w:pPr>
      <w:r w:rsidRPr="00601B7B">
        <w:rPr>
          <w:rFonts w:ascii="Century Gothic" w:eastAsia="Times New Roman" w:hAnsi="Century Gothic" w:cs="Calibri"/>
          <w:color w:val="000000"/>
          <w:sz w:val="21"/>
          <w:szCs w:val="21"/>
          <w:lang w:eastAsia="es-CO"/>
        </w:rPr>
        <w:t xml:space="preserve">2- Según el numeral 6 del artículo 3 de las funciones del Decreto 4170 del 2011, </w:t>
      </w:r>
      <w:r w:rsidRPr="00601B7B">
        <w:rPr>
          <w:rFonts w:ascii="Century Gothic" w:eastAsia="Times New Roman" w:hAnsi="Century Gothic" w:cs="Calibri"/>
          <w:i/>
          <w:iCs/>
          <w:color w:val="000000"/>
          <w:sz w:val="21"/>
          <w:szCs w:val="21"/>
          <w:lang w:eastAsia="es-CO"/>
        </w:rPr>
        <w:t xml:space="preserve">Brindar apoyo al Gobierno Nacional en la negociación internacional en materia de compras y contratación pública, </w:t>
      </w:r>
      <w:r w:rsidRPr="00601B7B">
        <w:rPr>
          <w:rFonts w:ascii="Century Gothic" w:eastAsia="Times New Roman" w:hAnsi="Century Gothic" w:cs="Calibri"/>
          <w:color w:val="000000"/>
          <w:sz w:val="21"/>
          <w:szCs w:val="21"/>
          <w:lang w:eastAsia="es-CO"/>
        </w:rPr>
        <w:t>¿según este numeral, frente a las ayudas que ingresa al país, en que cálida ingresa esos dineros, y cuál es el manejo que se le da a esos recursos?</w:t>
      </w:r>
    </w:p>
    <w:p w14:paraId="5CCF4045" w14:textId="77777777" w:rsidR="00B92853" w:rsidRPr="00601B7B" w:rsidRDefault="00B92853" w:rsidP="00B92853">
      <w:pPr>
        <w:spacing w:after="120" w:line="240" w:lineRule="auto"/>
        <w:ind w:left="709" w:right="709"/>
        <w:jc w:val="both"/>
        <w:rPr>
          <w:rFonts w:ascii="Century Gothic" w:eastAsia="Times New Roman" w:hAnsi="Century Gothic" w:cs="Calibri"/>
          <w:color w:val="000000"/>
          <w:sz w:val="21"/>
          <w:szCs w:val="21"/>
          <w:lang w:eastAsia="es-CO"/>
        </w:rPr>
      </w:pPr>
      <w:r w:rsidRPr="00601B7B">
        <w:rPr>
          <w:rFonts w:ascii="Century Gothic" w:eastAsia="Times New Roman" w:hAnsi="Century Gothic" w:cs="Calibri"/>
          <w:color w:val="000000"/>
          <w:sz w:val="21"/>
          <w:szCs w:val="21"/>
          <w:lang w:eastAsia="es-CO"/>
        </w:rPr>
        <w:t xml:space="preserve">3- Según el numeral 9 del artículo 3 de las funciones de Colombia Compra Eficiente en el decreto 4170 del 2011, </w:t>
      </w:r>
      <w:r w:rsidRPr="00601B7B">
        <w:rPr>
          <w:rFonts w:ascii="Century Gothic" w:eastAsia="Times New Roman" w:hAnsi="Century Gothic" w:cs="Calibri"/>
          <w:i/>
          <w:iCs/>
          <w:color w:val="000000"/>
          <w:sz w:val="21"/>
          <w:szCs w:val="21"/>
          <w:lang w:eastAsia="es-CO"/>
        </w:rPr>
        <w:t>Desarrollar mecanismos de apoyo a los oferentes que les permitan una mayor y mejor participación en los procesos de compras y contratación pública de las entidades estatales</w:t>
      </w:r>
      <w:r w:rsidRPr="00601B7B">
        <w:rPr>
          <w:rFonts w:ascii="Century Gothic" w:eastAsia="Times New Roman" w:hAnsi="Century Gothic" w:cs="Calibri"/>
          <w:color w:val="000000"/>
          <w:sz w:val="21"/>
          <w:szCs w:val="21"/>
          <w:lang w:eastAsia="es-CO"/>
        </w:rPr>
        <w:t>, ¿cuáles son los mecanismos que realizan para integrar a las Entidades sin ánimo de lucro -ESALES?</w:t>
      </w:r>
    </w:p>
    <w:p w14:paraId="15E17C73" w14:textId="77777777" w:rsidR="00B92853" w:rsidRPr="00601B7B" w:rsidRDefault="00B92853" w:rsidP="00B92853">
      <w:pPr>
        <w:spacing w:after="120" w:line="240" w:lineRule="auto"/>
        <w:ind w:left="709" w:right="709"/>
        <w:jc w:val="both"/>
        <w:rPr>
          <w:rFonts w:ascii="Century Gothic" w:eastAsia="Times New Roman" w:hAnsi="Century Gothic" w:cs="Calibri"/>
          <w:color w:val="000000"/>
          <w:sz w:val="21"/>
          <w:szCs w:val="21"/>
          <w:lang w:eastAsia="es-CO"/>
        </w:rPr>
      </w:pPr>
      <w:r w:rsidRPr="00601B7B">
        <w:rPr>
          <w:rFonts w:ascii="Century Gothic" w:eastAsia="Times New Roman" w:hAnsi="Century Gothic" w:cs="Calibri"/>
          <w:color w:val="000000"/>
          <w:sz w:val="21"/>
          <w:szCs w:val="21"/>
          <w:lang w:eastAsia="es-CO"/>
        </w:rPr>
        <w:t>4- ¿Cuál es la injerencia que tiene la contratación estatal frente a los contratos de cooperación internacional con las Entidades sin ánimo de lucro -ESALES?</w:t>
      </w:r>
    </w:p>
    <w:p w14:paraId="066FF20A" w14:textId="77777777" w:rsidR="00B92853" w:rsidRPr="00601B7B" w:rsidRDefault="00B92853" w:rsidP="00B92853">
      <w:pPr>
        <w:spacing w:after="120" w:line="240" w:lineRule="auto"/>
        <w:ind w:left="709" w:right="709"/>
        <w:jc w:val="both"/>
        <w:rPr>
          <w:rFonts w:ascii="Century Gothic" w:eastAsia="Times New Roman" w:hAnsi="Century Gothic" w:cs="Calibri"/>
          <w:color w:val="000000"/>
          <w:sz w:val="21"/>
          <w:szCs w:val="21"/>
          <w:lang w:eastAsia="es-CO"/>
        </w:rPr>
      </w:pPr>
      <w:r w:rsidRPr="00601B7B">
        <w:rPr>
          <w:rFonts w:ascii="Century Gothic" w:eastAsia="Times New Roman" w:hAnsi="Century Gothic" w:cs="Calibri"/>
          <w:color w:val="000000"/>
          <w:sz w:val="21"/>
          <w:szCs w:val="21"/>
          <w:lang w:eastAsia="es-CO"/>
        </w:rPr>
        <w:t>5- Siendo el estado responsable del bienestar de los ciudadanos en el territorio nacional y quien traza los planes de desarrollo, y que a través de esta entidad regula la transparencia del presupuesto nacional, ¿de qué manera ejercen control de los presupuestos de cooperación internacional ingresan al país?</w:t>
      </w:r>
    </w:p>
    <w:p w14:paraId="0FA52E32" w14:textId="77777777" w:rsidR="00B92853" w:rsidRPr="00601B7B" w:rsidRDefault="00B92853" w:rsidP="00B92853">
      <w:pPr>
        <w:spacing w:after="120" w:line="240" w:lineRule="auto"/>
        <w:ind w:left="709" w:right="709"/>
        <w:jc w:val="both"/>
        <w:rPr>
          <w:rFonts w:ascii="Century Gothic" w:eastAsia="Times New Roman" w:hAnsi="Century Gothic" w:cs="Calibri"/>
          <w:color w:val="000000"/>
          <w:sz w:val="21"/>
          <w:szCs w:val="21"/>
          <w:lang w:eastAsia="es-CO"/>
        </w:rPr>
      </w:pPr>
      <w:r w:rsidRPr="00601B7B">
        <w:rPr>
          <w:rFonts w:ascii="Century Gothic" w:eastAsia="Times New Roman" w:hAnsi="Century Gothic" w:cs="Calibri"/>
          <w:color w:val="000000"/>
          <w:sz w:val="21"/>
          <w:szCs w:val="21"/>
          <w:lang w:eastAsia="es-CO"/>
        </w:rPr>
        <w:t>6- Cuándo una Entidad sin ánimo de lucro- ESAL, desea ser oferente y beneficiario de esas ayudas internacionales, ¿cuáles son las rutas para acceder a esas ayudas?</w:t>
      </w:r>
    </w:p>
    <w:p w14:paraId="4EE9EF5B" w14:textId="77777777" w:rsidR="00B92853" w:rsidRPr="00601B7B" w:rsidRDefault="00B92853" w:rsidP="00B92853">
      <w:pPr>
        <w:spacing w:after="120" w:line="240" w:lineRule="auto"/>
        <w:ind w:left="709" w:right="709"/>
        <w:jc w:val="both"/>
        <w:rPr>
          <w:rFonts w:ascii="Century Gothic" w:eastAsia="Times New Roman" w:hAnsi="Century Gothic" w:cs="Times New Roman"/>
          <w:sz w:val="21"/>
          <w:szCs w:val="21"/>
          <w:lang w:eastAsia="es-CO"/>
        </w:rPr>
      </w:pPr>
      <w:r w:rsidRPr="00601B7B">
        <w:rPr>
          <w:rFonts w:ascii="Century Gothic" w:eastAsia="Times New Roman" w:hAnsi="Century Gothic" w:cs="Calibri"/>
          <w:color w:val="000000"/>
          <w:sz w:val="21"/>
          <w:szCs w:val="21"/>
          <w:lang w:eastAsia="es-CO"/>
        </w:rPr>
        <w:t xml:space="preserve">7- Cuales son los medios de publicación y ruta de acceso, </w:t>
      </w:r>
      <w:proofErr w:type="gramStart"/>
      <w:r w:rsidRPr="00601B7B">
        <w:rPr>
          <w:rFonts w:ascii="Century Gothic" w:eastAsia="Times New Roman" w:hAnsi="Century Gothic" w:cs="Calibri"/>
          <w:color w:val="000000"/>
          <w:sz w:val="21"/>
          <w:szCs w:val="21"/>
          <w:lang w:eastAsia="es-CO"/>
        </w:rPr>
        <w:t>link</w:t>
      </w:r>
      <w:proofErr w:type="gramEnd"/>
      <w:r w:rsidRPr="00601B7B">
        <w:rPr>
          <w:rFonts w:ascii="Century Gothic" w:eastAsia="Times New Roman" w:hAnsi="Century Gothic" w:cs="Calibri"/>
          <w:color w:val="000000"/>
          <w:sz w:val="21"/>
          <w:szCs w:val="21"/>
          <w:lang w:eastAsia="es-CO"/>
        </w:rPr>
        <w:t xml:space="preserve"> y/o URL, para acceder a las convocatorias de proyectos ofertados en cabeza de la organización: </w:t>
      </w:r>
    </w:p>
    <w:p w14:paraId="7F9062ED" w14:textId="77777777" w:rsidR="00B92853" w:rsidRPr="00601B7B" w:rsidRDefault="00B92853" w:rsidP="00B92853">
      <w:pPr>
        <w:spacing w:after="120" w:line="240" w:lineRule="auto"/>
        <w:ind w:left="709" w:right="709"/>
        <w:jc w:val="both"/>
        <w:rPr>
          <w:rFonts w:ascii="Century Gothic" w:eastAsia="Times New Roman" w:hAnsi="Century Gothic" w:cs="Times New Roman"/>
          <w:sz w:val="21"/>
          <w:szCs w:val="21"/>
          <w:lang w:eastAsia="es-CO"/>
        </w:rPr>
      </w:pPr>
      <w:r w:rsidRPr="00601B7B">
        <w:rPr>
          <w:rFonts w:ascii="Century Gothic" w:eastAsia="Times New Roman" w:hAnsi="Century Gothic" w:cs="Calibri"/>
          <w:color w:val="000000"/>
          <w:sz w:val="21"/>
          <w:szCs w:val="21"/>
          <w:lang w:eastAsia="es-CO"/>
        </w:rPr>
        <w:t>8- Descripción de ruta de publicación convocatoria mediante la página web (paso a paso para ubicar las convocatorias)</w:t>
      </w:r>
    </w:p>
    <w:p w14:paraId="61301B60" w14:textId="77777777" w:rsidR="00B92853" w:rsidRPr="00601B7B" w:rsidRDefault="00B92853" w:rsidP="00B92853">
      <w:pPr>
        <w:spacing w:after="120" w:line="240" w:lineRule="auto"/>
        <w:ind w:left="709" w:right="709"/>
        <w:jc w:val="both"/>
        <w:rPr>
          <w:rFonts w:ascii="Century Gothic" w:eastAsia="Times New Roman" w:hAnsi="Century Gothic" w:cs="Times New Roman"/>
          <w:sz w:val="21"/>
          <w:szCs w:val="21"/>
          <w:lang w:eastAsia="es-CO"/>
        </w:rPr>
      </w:pPr>
      <w:r w:rsidRPr="00601B7B">
        <w:rPr>
          <w:rFonts w:ascii="Century Gothic" w:eastAsia="Times New Roman" w:hAnsi="Century Gothic" w:cs="Calibri"/>
          <w:color w:val="000000"/>
          <w:sz w:val="21"/>
          <w:szCs w:val="21"/>
          <w:lang w:eastAsia="es-CO"/>
        </w:rPr>
        <w:t>9- ¿Existe algún protocolo y/o normas que rigen a la organización, frente al estudio y aprobación de proyecto presentados por las diferentes ESALES?</w:t>
      </w:r>
    </w:p>
    <w:p w14:paraId="0D9726B1" w14:textId="77777777" w:rsidR="00B92853" w:rsidRPr="00601B7B" w:rsidRDefault="00B92853" w:rsidP="00B92853">
      <w:pPr>
        <w:spacing w:after="120" w:line="240" w:lineRule="auto"/>
        <w:ind w:left="709" w:right="709"/>
        <w:jc w:val="both"/>
        <w:rPr>
          <w:rFonts w:ascii="Century Gothic" w:eastAsia="Times New Roman" w:hAnsi="Century Gothic" w:cs="Times New Roman"/>
          <w:sz w:val="21"/>
          <w:szCs w:val="21"/>
          <w:lang w:eastAsia="es-CO"/>
        </w:rPr>
      </w:pPr>
      <w:r w:rsidRPr="00601B7B">
        <w:rPr>
          <w:rFonts w:ascii="Century Gothic" w:eastAsia="Times New Roman" w:hAnsi="Century Gothic" w:cs="Times New Roman"/>
          <w:color w:val="000000"/>
          <w:sz w:val="21"/>
          <w:szCs w:val="21"/>
          <w:lang w:eastAsia="es-CO"/>
        </w:rPr>
        <w:t>10- ¿Cuáles son las condiciones y/o términos de referencias generales, para que una Entidad sin ánimo de lucro- ESAL, quede inhabilitada y no pueda presentarse con ustedes?</w:t>
      </w:r>
    </w:p>
    <w:p w14:paraId="7AB40E97" w14:textId="77777777" w:rsidR="00B92853" w:rsidRPr="00601B7B" w:rsidRDefault="00B92853" w:rsidP="00B92853">
      <w:pPr>
        <w:spacing w:after="120" w:line="240" w:lineRule="auto"/>
        <w:ind w:left="709" w:right="709"/>
        <w:jc w:val="both"/>
        <w:rPr>
          <w:rFonts w:ascii="Century Gothic" w:eastAsia="Times New Roman" w:hAnsi="Century Gothic" w:cs="Times New Roman"/>
          <w:color w:val="000000"/>
          <w:sz w:val="21"/>
          <w:szCs w:val="21"/>
          <w:lang w:eastAsia="es-CO"/>
        </w:rPr>
      </w:pPr>
      <w:r w:rsidRPr="00601B7B">
        <w:rPr>
          <w:rFonts w:ascii="Century Gothic" w:eastAsia="Times New Roman" w:hAnsi="Century Gothic" w:cs="Times New Roman"/>
          <w:color w:val="000000"/>
          <w:sz w:val="21"/>
          <w:szCs w:val="21"/>
          <w:lang w:eastAsia="es-CO"/>
        </w:rPr>
        <w:t>11- ¿En su estatuto o protocolo de contratación, presentan ustedes causales de inhabilidad para las Entidades Sin Ánimo de Lucro- ESALES, que quieren ser oferentes?</w:t>
      </w:r>
    </w:p>
    <w:p w14:paraId="68A0C332" w14:textId="77777777" w:rsidR="00B92853" w:rsidRPr="00601B7B" w:rsidRDefault="00B92853" w:rsidP="00B92853">
      <w:pPr>
        <w:spacing w:after="0" w:line="240" w:lineRule="auto"/>
        <w:ind w:left="709" w:right="709"/>
        <w:jc w:val="both"/>
        <w:rPr>
          <w:rFonts w:ascii="Century Gothic" w:eastAsia="Times New Roman" w:hAnsi="Century Gothic" w:cs="Times New Roman"/>
          <w:color w:val="000000"/>
          <w:sz w:val="21"/>
          <w:szCs w:val="21"/>
          <w:lang w:eastAsia="es-CO"/>
        </w:rPr>
      </w:pPr>
      <w:r w:rsidRPr="00601B7B">
        <w:rPr>
          <w:rFonts w:ascii="Century Gothic" w:eastAsia="Times New Roman" w:hAnsi="Century Gothic" w:cs="Times New Roman"/>
          <w:color w:val="000000"/>
          <w:sz w:val="21"/>
          <w:szCs w:val="21"/>
          <w:lang w:eastAsia="es-CO"/>
        </w:rPr>
        <w:lastRenderedPageBreak/>
        <w:t xml:space="preserve">12- El Decreto 092 de 2017 fue expedido en virtud de la autorización contenida en el artículo 355 de la Constitución Política y su aplicación se vio interrumpida por la demanda de Nulidad por Inconstitucionalidad, que se hiciera frente a este decreto, ¿Según lo anterior este decreto </w:t>
      </w:r>
      <w:proofErr w:type="spellStart"/>
      <w:r w:rsidRPr="00601B7B">
        <w:rPr>
          <w:rFonts w:ascii="Century Gothic" w:eastAsia="Times New Roman" w:hAnsi="Century Gothic" w:cs="Times New Roman"/>
          <w:color w:val="000000"/>
          <w:sz w:val="21"/>
          <w:szCs w:val="21"/>
          <w:lang w:eastAsia="es-CO"/>
        </w:rPr>
        <w:t>aun</w:t>
      </w:r>
      <w:proofErr w:type="spellEnd"/>
      <w:r w:rsidRPr="00601B7B">
        <w:rPr>
          <w:rFonts w:ascii="Century Gothic" w:eastAsia="Times New Roman" w:hAnsi="Century Gothic" w:cs="Times New Roman"/>
          <w:color w:val="000000"/>
          <w:sz w:val="21"/>
          <w:szCs w:val="21"/>
          <w:lang w:eastAsia="es-CO"/>
        </w:rPr>
        <w:t xml:space="preserve"> continúa suspendido su aplicación o ya se puede aplicar en su totalidad?”.</w:t>
      </w:r>
    </w:p>
    <w:p w14:paraId="7A6D373E" w14:textId="77777777" w:rsidR="00B92853" w:rsidRPr="00131FA3" w:rsidRDefault="00B92853" w:rsidP="00B92853">
      <w:pPr>
        <w:spacing w:after="0" w:line="276" w:lineRule="auto"/>
        <w:jc w:val="both"/>
        <w:rPr>
          <w:rFonts w:ascii="Century Gothic" w:hAnsi="Century Gothic" w:cs="Arial"/>
          <w:color w:val="000000" w:themeColor="text1"/>
          <w:lang w:val="es-ES_tradnl"/>
        </w:rPr>
      </w:pPr>
    </w:p>
    <w:p w14:paraId="4AED3CCF" w14:textId="77777777" w:rsidR="00B92853" w:rsidRPr="00131FA3" w:rsidRDefault="00B92853" w:rsidP="00B92853">
      <w:pPr>
        <w:pStyle w:val="Prrafodelista"/>
        <w:numPr>
          <w:ilvl w:val="0"/>
          <w:numId w:val="6"/>
        </w:numPr>
        <w:tabs>
          <w:tab w:val="left" w:pos="0"/>
          <w:tab w:val="left" w:pos="284"/>
        </w:tabs>
        <w:spacing w:after="0" w:line="240" w:lineRule="auto"/>
        <w:ind w:left="0" w:firstLine="0"/>
        <w:jc w:val="both"/>
        <w:rPr>
          <w:rFonts w:ascii="Century Gothic" w:eastAsia="Calibri" w:hAnsi="Century Gothic" w:cs="Arial"/>
          <w:b/>
          <w:color w:val="000000" w:themeColor="text1"/>
          <w:lang w:val="es-ES_tradnl"/>
        </w:rPr>
      </w:pPr>
      <w:r w:rsidRPr="00131FA3">
        <w:rPr>
          <w:rFonts w:ascii="Century Gothic" w:eastAsia="Calibri" w:hAnsi="Century Gothic" w:cs="Arial"/>
          <w:b/>
          <w:color w:val="000000" w:themeColor="text1"/>
          <w:lang w:val="es-ES_tradnl"/>
        </w:rPr>
        <w:t>Consideraciones</w:t>
      </w:r>
    </w:p>
    <w:p w14:paraId="0A42B1A3" w14:textId="77777777" w:rsidR="00B92853" w:rsidRPr="00131FA3" w:rsidRDefault="00B92853" w:rsidP="00B92853">
      <w:pPr>
        <w:spacing w:after="0" w:line="276" w:lineRule="auto"/>
        <w:jc w:val="both"/>
        <w:rPr>
          <w:rFonts w:ascii="Century Gothic" w:eastAsia="Calibri" w:hAnsi="Century Gothic" w:cs="Arial"/>
          <w:color w:val="000000" w:themeColor="text1"/>
          <w:lang w:val="es-ES_tradnl"/>
        </w:rPr>
      </w:pPr>
    </w:p>
    <w:p w14:paraId="3BA564ED" w14:textId="77777777" w:rsidR="00B92853" w:rsidRPr="005A551C" w:rsidRDefault="00B92853" w:rsidP="00B92853">
      <w:pPr>
        <w:spacing w:after="120" w:line="276" w:lineRule="auto"/>
        <w:jc w:val="both"/>
        <w:rPr>
          <w:rFonts w:ascii="Century Gothic" w:hAnsi="Century Gothic" w:cs="Arial"/>
          <w:bCs/>
        </w:rPr>
      </w:pPr>
      <w:bookmarkStart w:id="8" w:name="_Hlk165296237"/>
      <w:r w:rsidRPr="005A551C">
        <w:rPr>
          <w:rFonts w:ascii="Century Gothic" w:hAnsi="Century Gothic" w:cs="Arial"/>
          <w:bCs/>
        </w:rPr>
        <w:t xml:space="preserve">La Agencia Nacional de Contratación Pública – Colombia Compra Eficiente fue creada por el Decreto Ley 4170 de 2011, como una Unidad Administrativa Especial, descentralizada de la Rama Ejecutiva del orden nacional, adscrita al Departamento Nacional de Planeación. El legislador extraordinario determinó que su objetivo sería servir como ente rector de la política de compras y contratación del Estado, facultando a la Agencia para “difundir las normas, reglas, procedimientos, medios tecnológicos y mejores prácticas para las compras y la contratación pública”, de conformidad con el numeral 10 del artículo 3 del Decreto Ley 4170 de 2011. </w:t>
      </w:r>
    </w:p>
    <w:p w14:paraId="531DA01A" w14:textId="77777777" w:rsidR="00B92853" w:rsidRDefault="00B92853" w:rsidP="00B92853">
      <w:pPr>
        <w:spacing w:after="120" w:line="276" w:lineRule="auto"/>
        <w:ind w:firstLine="708"/>
        <w:jc w:val="both"/>
        <w:rPr>
          <w:rFonts w:ascii="Century Gothic" w:hAnsi="Century Gothic" w:cs="Arial"/>
          <w:bCs/>
        </w:rPr>
      </w:pPr>
      <w:r>
        <w:rPr>
          <w:rFonts w:ascii="Century Gothic" w:hAnsi="Century Gothic" w:cs="Arial"/>
          <w:bCs/>
        </w:rPr>
        <w:t>E</w:t>
      </w:r>
      <w:r w:rsidRPr="005A551C">
        <w:rPr>
          <w:rFonts w:ascii="Century Gothic" w:hAnsi="Century Gothic" w:cs="Arial"/>
          <w:bCs/>
        </w:rPr>
        <w:t xml:space="preserve">l numeral 2 del artículo 3 del Decreto Ley 4170 de 2011 señala que una de las funciones de la Agencia Nacional de Contratación Pública es “desarrollar, implementar y difundir las políticas públicas, planes, programas, normas, instrumentos y herramientas que faciliten las compras y contratación pública del Estado y promuevan las mejores prácticas, la eficiencia, transparencia y competitividad del mismo, a fin de que se cumplan los principios y procesos generales que deben gobernar la actividad contractual de las entidades públicas”. </w:t>
      </w:r>
      <w:r>
        <w:rPr>
          <w:rFonts w:ascii="Century Gothic" w:hAnsi="Century Gothic" w:cs="Arial"/>
          <w:bCs/>
        </w:rPr>
        <w:t>Por su parte</w:t>
      </w:r>
      <w:r w:rsidRPr="005A551C">
        <w:rPr>
          <w:rFonts w:ascii="Century Gothic" w:hAnsi="Century Gothic" w:cs="Arial"/>
          <w:bCs/>
        </w:rPr>
        <w:t>, el numeral 5 del mismo artículo otorga la facultad para expedir circulares externas en materia de compras y contratación pública. En ejercicio de estas competencias conferidas por el Decreto Ley 4170 de 2011, Colombia Compra Eficiente ha expedido Guías, Manuales y Circulares, los cuales pueden calificarse como herramientas de apoyo a los partícipes de la contratación pública.</w:t>
      </w:r>
    </w:p>
    <w:p w14:paraId="3293F4A4" w14:textId="77777777" w:rsidR="00B92853" w:rsidRDefault="00B92853" w:rsidP="00B92853">
      <w:pPr>
        <w:spacing w:after="120" w:line="276" w:lineRule="auto"/>
        <w:ind w:firstLine="708"/>
        <w:jc w:val="both"/>
        <w:rPr>
          <w:rFonts w:ascii="Century Gothic" w:hAnsi="Century Gothic" w:cs="Arial"/>
          <w:lang w:val="es-ES"/>
        </w:rPr>
      </w:pPr>
      <w:r>
        <w:rPr>
          <w:rFonts w:ascii="Century Gothic" w:hAnsi="Century Gothic" w:cs="Arial"/>
          <w:bCs/>
        </w:rPr>
        <w:t>Asimismo, e</w:t>
      </w:r>
      <w:r w:rsidRPr="00131FA3">
        <w:rPr>
          <w:rFonts w:ascii="Century Gothic" w:hAnsi="Century Gothic" w:cs="Arial"/>
          <w:bCs/>
        </w:rPr>
        <w:t xml:space="preserve">n ejercicio de las competencias establecidas en los artículos 3.5 y 11.8 del Decreto 4170 de 2011, la Agencia Nacional de Contratación Pública – Colombia Compra Eficiente resuelve consultas sobre </w:t>
      </w:r>
      <w:r w:rsidRPr="00131FA3">
        <w:rPr>
          <w:rFonts w:ascii="Century Gothic" w:hAnsi="Century Gothic" w:cs="Arial"/>
          <w:lang w:val="es-ES"/>
        </w:rPr>
        <w:t xml:space="preserve">la aplicación de normas de carácter general en materia de compras y contratación pública. </w:t>
      </w:r>
      <w:r w:rsidRPr="0061649A">
        <w:rPr>
          <w:rFonts w:ascii="Century Gothic" w:hAnsi="Century Gothic" w:cs="Arial"/>
          <w:lang w:val="es-ES"/>
        </w:rPr>
        <w:t xml:space="preserve">Esta competencia de interpretación de normas generales, por definición, no puede extenderse a la resolución de controversias, brindar asesorías sobre casos puntuales </w:t>
      </w:r>
      <w:r w:rsidRPr="0061649A">
        <w:rPr>
          <w:rFonts w:ascii="Century Gothic" w:hAnsi="Century Gothic" w:cs="Arial"/>
          <w:lang w:val="es-ES"/>
        </w:rPr>
        <w:lastRenderedPageBreak/>
        <w:t>ni, mucho menos, interpretar cualquier disposición que no esté directamente relacionada con el sistema de compras</w:t>
      </w:r>
      <w:r>
        <w:rPr>
          <w:rFonts w:ascii="Century Gothic" w:hAnsi="Century Gothic" w:cs="Arial"/>
          <w:lang w:val="es-ES"/>
        </w:rPr>
        <w:t xml:space="preserve">. </w:t>
      </w:r>
    </w:p>
    <w:p w14:paraId="711D0055" w14:textId="77777777" w:rsidR="00B92853" w:rsidRDefault="00B92853" w:rsidP="00B92853">
      <w:pPr>
        <w:spacing w:after="120" w:line="276" w:lineRule="auto"/>
        <w:ind w:firstLine="708"/>
        <w:jc w:val="both"/>
        <w:rPr>
          <w:rFonts w:ascii="Century Gothic" w:hAnsi="Century Gothic" w:cs="Arial"/>
          <w:lang w:val="es-ES"/>
        </w:rPr>
      </w:pPr>
      <w:r w:rsidRPr="00131FA3">
        <w:rPr>
          <w:rFonts w:ascii="Century Gothic"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131FA3">
        <w:rPr>
          <w:rFonts w:ascii="Century Gothic" w:hAnsi="Century Gothic" w:cs="Arial"/>
          <w:vertAlign w:val="superscript"/>
          <w:lang w:val="es-ES"/>
        </w:rPr>
        <w:footnoteReference w:id="2"/>
      </w:r>
      <w:r w:rsidRPr="00131FA3">
        <w:rPr>
          <w:rFonts w:ascii="Century Gothic" w:hAnsi="Century Gothic" w:cs="Arial"/>
          <w:lang w:val="es-ES"/>
        </w:rPr>
        <w:t xml:space="preserve">. </w:t>
      </w:r>
      <w:r w:rsidRPr="0061649A">
        <w:rPr>
          <w:rFonts w:ascii="Century Gothic" w:hAnsi="Century Gothic" w:cs="Arial"/>
          <w:lang w:val="es-ES"/>
        </w:rPr>
        <w:t>Por lo anterior, previo concepto de sus órganos asesores, la solución de casos particulares o la interpretación de disposiciones de otros subsistemas normativos corresponden a la entidad de adoptar la decisión correspondiente y, en caso de conflicto, a las autoridades judiciales, fiscales y disciplinarias.</w:t>
      </w:r>
    </w:p>
    <w:bookmarkEnd w:id="8"/>
    <w:p w14:paraId="00A2A509" w14:textId="77777777" w:rsidR="00B92853" w:rsidRPr="00131FA3" w:rsidRDefault="00B92853" w:rsidP="00B92853">
      <w:pPr>
        <w:spacing w:after="120" w:line="276" w:lineRule="auto"/>
        <w:ind w:firstLine="708"/>
        <w:jc w:val="both"/>
        <w:rPr>
          <w:rFonts w:ascii="Century Gothic" w:hAnsi="Century Gothic" w:cs="Arial"/>
          <w:lang w:val="es-ES"/>
        </w:rPr>
      </w:pPr>
      <w:r>
        <w:rPr>
          <w:rFonts w:ascii="Century Gothic" w:hAnsi="Century Gothic" w:cs="Arial"/>
          <w:lang w:val="es-ES"/>
        </w:rPr>
        <w:t xml:space="preserve">Como se desprende de las normas precitadas, la Agencia carece de atribuciones respecto a la ordenación del gasto por parte de las entidades estatales, pues no tiene competencia para pronunciarse sobre temas presupuestales. De esta manera, Colombia Compra Eficiente no tiene la función de emitir directrices sobre el manejo de los recursos que ingresan al país por concepto de </w:t>
      </w:r>
      <w:r w:rsidRPr="0087536B">
        <w:rPr>
          <w:rFonts w:ascii="Century Gothic" w:hAnsi="Century Gothic" w:cs="Arial"/>
          <w:i/>
          <w:iCs/>
          <w:lang w:val="es-ES"/>
        </w:rPr>
        <w:t>cooperación internacional</w:t>
      </w:r>
      <w:r>
        <w:rPr>
          <w:rFonts w:ascii="Century Gothic" w:hAnsi="Century Gothic" w:cs="Arial"/>
          <w:lang w:val="es-ES"/>
        </w:rPr>
        <w:t xml:space="preserve">, especialmente, cuando tampoco tiene funciones de inspección y vigilancia, ya que no es un órgano de control.   </w:t>
      </w:r>
    </w:p>
    <w:p w14:paraId="7AA1E9F6" w14:textId="77777777" w:rsidR="00B92853" w:rsidRDefault="00B92853" w:rsidP="00B92853">
      <w:pPr>
        <w:spacing w:after="120" w:line="276" w:lineRule="auto"/>
        <w:ind w:firstLine="709"/>
        <w:jc w:val="both"/>
        <w:rPr>
          <w:rFonts w:ascii="Century Gothic" w:hAnsi="Century Gothic" w:cs="Arial"/>
          <w:bCs/>
          <w:color w:val="000000" w:themeColor="text1"/>
          <w:lang w:val="es-ES_tradnl"/>
        </w:rPr>
      </w:pPr>
      <w:r>
        <w:rPr>
          <w:rFonts w:ascii="Century Gothic" w:eastAsia="Calibri" w:hAnsi="Century Gothic" w:cs="Arial"/>
        </w:rPr>
        <w:t>En todo caso</w:t>
      </w:r>
      <w:r w:rsidRPr="00131FA3">
        <w:rPr>
          <w:rFonts w:ascii="Century Gothic" w:eastAsia="Calibri" w:hAnsi="Century Gothic" w:cs="Arial"/>
        </w:rPr>
        <w:t xml:space="preserve">, </w:t>
      </w:r>
      <w:r w:rsidRPr="00131FA3">
        <w:rPr>
          <w:rFonts w:ascii="Century Gothic" w:eastAsia="Calibri" w:hAnsi="Century Gothic" w:cs="Arial"/>
          <w:lang w:val="es-ES"/>
        </w:rPr>
        <w:t xml:space="preserve">la Agencia –dentro de los límites de sus atribuciones, es decir, </w:t>
      </w:r>
      <w:bookmarkStart w:id="9" w:name="_Hlk61025408"/>
      <w:r w:rsidRPr="00131FA3">
        <w:rPr>
          <w:rFonts w:ascii="Century Gothic" w:eastAsia="Calibri" w:hAnsi="Century Gothic" w:cs="Arial"/>
          <w:lang w:val="es-ES"/>
        </w:rPr>
        <w:t>haciendo abstracción</w:t>
      </w:r>
      <w:bookmarkEnd w:id="9"/>
      <w:r>
        <w:rPr>
          <w:rFonts w:ascii="Century Gothic" w:eastAsia="Calibri" w:hAnsi="Century Gothic" w:cs="Arial"/>
          <w:lang w:val="es-ES"/>
        </w:rPr>
        <w:t xml:space="preserve"> de cualquier situación concreta y/o de reglas propias de otros subsistemas normativos</w:t>
      </w:r>
      <w:r w:rsidRPr="00131FA3">
        <w:rPr>
          <w:rFonts w:ascii="Century Gothic" w:eastAsia="Calibri" w:hAnsi="Century Gothic" w:cs="Arial"/>
          <w:lang w:val="es-ES"/>
        </w:rPr>
        <w:t>– resolverá la consulta conforme a las normas generales del sistema de compras públicas. Con este objetivo se analizarán los siguientes temas:</w:t>
      </w:r>
      <w:r w:rsidRPr="00131FA3">
        <w:rPr>
          <w:rFonts w:ascii="Century Gothic" w:hAnsi="Century Gothic" w:cs="Arial"/>
          <w:color w:val="000000" w:themeColor="text1"/>
          <w:lang w:val="es-ES_tradnl"/>
        </w:rPr>
        <w:t xml:space="preserve"> </w:t>
      </w:r>
      <w:r w:rsidRPr="00AC5BE5">
        <w:rPr>
          <w:rFonts w:ascii="Century Gothic" w:hAnsi="Century Gothic" w:cs="Arial"/>
          <w:color w:val="000000" w:themeColor="text1"/>
          <w:lang w:val="es-ES_tradnl"/>
        </w:rPr>
        <w:t xml:space="preserve">i) régimen jurídico de los contratos con organismos internacionales, </w:t>
      </w:r>
      <w:proofErr w:type="spellStart"/>
      <w:r w:rsidRPr="00AC5BE5">
        <w:rPr>
          <w:rFonts w:ascii="Century Gothic" w:hAnsi="Century Gothic" w:cs="Arial"/>
          <w:color w:val="000000" w:themeColor="text1"/>
          <w:lang w:val="es-ES_tradnl"/>
        </w:rPr>
        <w:t>ii</w:t>
      </w:r>
      <w:proofErr w:type="spellEnd"/>
      <w:r w:rsidRPr="00AC5BE5">
        <w:rPr>
          <w:rFonts w:ascii="Century Gothic" w:hAnsi="Century Gothic" w:cs="Arial"/>
          <w:color w:val="000000" w:themeColor="text1"/>
          <w:lang w:val="es-ES_tradnl"/>
        </w:rPr>
        <w:t xml:space="preserve">) diferencias entre los contratos del artículo 355 de la Constitución Política y los convenios de asociación del artículo 96 de la Ley 489 de 1998 y </w:t>
      </w:r>
      <w:proofErr w:type="spellStart"/>
      <w:r w:rsidRPr="00AC5BE5">
        <w:rPr>
          <w:rFonts w:ascii="Century Gothic" w:hAnsi="Century Gothic" w:cs="Arial"/>
          <w:color w:val="000000" w:themeColor="text1"/>
          <w:lang w:val="es-ES_tradnl"/>
        </w:rPr>
        <w:t>iii</w:t>
      </w:r>
      <w:proofErr w:type="spellEnd"/>
      <w:r w:rsidRPr="00AC5BE5">
        <w:rPr>
          <w:rFonts w:ascii="Century Gothic" w:hAnsi="Century Gothic" w:cs="Arial"/>
          <w:color w:val="000000" w:themeColor="text1"/>
          <w:lang w:val="es-ES_tradnl"/>
        </w:rPr>
        <w:t>) suspensión provisional de algunas normas del Decreto 092 de 2017</w:t>
      </w:r>
      <w:r w:rsidRPr="00131FA3">
        <w:rPr>
          <w:rFonts w:ascii="Century Gothic" w:hAnsi="Century Gothic" w:cs="Arial"/>
          <w:bCs/>
          <w:color w:val="000000" w:themeColor="text1"/>
          <w:lang w:val="es-ES_tradnl"/>
        </w:rPr>
        <w:t>.</w:t>
      </w:r>
    </w:p>
    <w:p w14:paraId="30997C34" w14:textId="77777777" w:rsidR="00B92853" w:rsidRPr="00AC5BE5" w:rsidRDefault="00B92853" w:rsidP="00B92853">
      <w:pPr>
        <w:spacing w:after="120" w:line="276" w:lineRule="auto"/>
        <w:ind w:firstLine="709"/>
        <w:jc w:val="both"/>
        <w:rPr>
          <w:rFonts w:ascii="Century Gothic" w:eastAsia="Calibri" w:hAnsi="Century Gothic" w:cs="Arial"/>
          <w:color w:val="000000" w:themeColor="text1"/>
          <w:lang w:val="es-ES"/>
        </w:rPr>
      </w:pPr>
      <w:r w:rsidRPr="001B33D6">
        <w:rPr>
          <w:rFonts w:ascii="Century Gothic" w:eastAsia="Calibri" w:hAnsi="Century Gothic" w:cs="Arial"/>
          <w:color w:val="000000" w:themeColor="text1"/>
          <w:lang w:val="es-ES"/>
        </w:rPr>
        <w:t xml:space="preserve">La Agencia Nacional de Contratación Pública – Colombia Compra Eficiente, en los Conceptos C-185 del 13 de abril de 2020, C-372 del 30 de junio de 2020, C-374 del 23 de julio de 2020, C-680 del 18 de noviembre de 2020, C-771 del 13 de enero de 2021, C-781 del 19 de enero de 2021, C-049 del 8 de marzo de 2021, C-296 del 22 de junio de 2021, C-377 del 28 de julio de 2021, C-559 del 31 de agosto de 2021, C-233 del 6 de junio de 2022, C-241 del 12 de mayo de 2022, C-305 del 16 de mayo de 2022, C-313 del 17 de mayo de 2022, C-358 del 27 de mayo de 2022, </w:t>
      </w:r>
      <w:r w:rsidRPr="001B33D6">
        <w:rPr>
          <w:rFonts w:ascii="Century Gothic" w:eastAsia="Calibri" w:hAnsi="Century Gothic" w:cs="Arial"/>
          <w:color w:val="000000" w:themeColor="text1"/>
          <w:lang w:val="es-ES"/>
        </w:rPr>
        <w:lastRenderedPageBreak/>
        <w:t>C-362 del 27 de mayo de 2022, C-367 del 7 de junio de 2022, C-368 del 13 de mayo de 2022, C-461 del 19 de julio de 2022</w:t>
      </w:r>
      <w:r>
        <w:rPr>
          <w:rFonts w:ascii="Century Gothic" w:eastAsia="Calibri" w:hAnsi="Century Gothic" w:cs="Arial"/>
          <w:color w:val="000000" w:themeColor="text1"/>
          <w:lang w:val="es-ES"/>
        </w:rPr>
        <w:t xml:space="preserve"> y </w:t>
      </w:r>
      <w:r w:rsidRPr="00AC5BE5">
        <w:rPr>
          <w:rFonts w:ascii="Century Gothic" w:eastAsia="Calibri" w:hAnsi="Century Gothic" w:cs="Arial"/>
          <w:color w:val="000000" w:themeColor="text1"/>
          <w:lang w:val="es-ES"/>
        </w:rPr>
        <w:t>C-046 del 9 de abril de 2024</w:t>
      </w:r>
      <w:r>
        <w:rPr>
          <w:rFonts w:ascii="Century Gothic" w:eastAsia="Calibri" w:hAnsi="Century Gothic" w:cs="Arial"/>
          <w:color w:val="000000" w:themeColor="text1"/>
          <w:lang w:val="es-ES"/>
        </w:rPr>
        <w:t>,</w:t>
      </w:r>
      <w:r w:rsidRPr="001B33D6">
        <w:rPr>
          <w:rFonts w:ascii="Century Gothic" w:eastAsia="Calibri" w:hAnsi="Century Gothic" w:cs="Arial"/>
          <w:color w:val="000000" w:themeColor="text1"/>
          <w:lang w:val="es-ES"/>
        </w:rPr>
        <w:t xml:space="preserve"> estudió el contenido del artículo 20 de la Ley 1150 de 2007, e hizo especial énfasis en el Decreto 603 de 2022 en los Conceptos C-942 del 7 de marzo de 2023, C-012 del 7 de marzo de 2023, C-223 del 14 de agosto de 2023</w:t>
      </w:r>
      <w:r>
        <w:rPr>
          <w:rFonts w:ascii="Century Gothic" w:eastAsia="Calibri" w:hAnsi="Century Gothic" w:cs="Arial"/>
          <w:color w:val="000000" w:themeColor="text1"/>
          <w:lang w:val="es-ES"/>
        </w:rPr>
        <w:t xml:space="preserve">, </w:t>
      </w:r>
      <w:r w:rsidRPr="001B33D6">
        <w:rPr>
          <w:rFonts w:ascii="Century Gothic" w:eastAsia="Calibri" w:hAnsi="Century Gothic" w:cs="Arial"/>
          <w:color w:val="000000" w:themeColor="text1"/>
          <w:lang w:val="es-ES"/>
        </w:rPr>
        <w:t>C-228 del 21 de septiembre de 2023</w:t>
      </w:r>
      <w:r>
        <w:rPr>
          <w:rFonts w:ascii="Century Gothic" w:eastAsia="Calibri" w:hAnsi="Century Gothic" w:cs="Arial"/>
          <w:color w:val="000000" w:themeColor="text1"/>
          <w:lang w:val="es-ES"/>
        </w:rPr>
        <w:t>, C-441 del 27 de octubre de 2023</w:t>
      </w:r>
      <w:r w:rsidRPr="00035110">
        <w:rPr>
          <w:rFonts w:ascii="Century Gothic" w:eastAsia="Calibri" w:hAnsi="Century Gothic" w:cs="Arial"/>
          <w:color w:val="000000" w:themeColor="text1"/>
          <w:lang w:val="es-ES"/>
        </w:rPr>
        <w:t xml:space="preserve">. </w:t>
      </w:r>
      <w:r w:rsidRPr="00131FA3">
        <w:rPr>
          <w:rFonts w:ascii="Century Gothic" w:hAnsi="Century Gothic" w:cs="Arial"/>
          <w:bCs/>
          <w:color w:val="000000" w:themeColor="text1"/>
          <w:lang w:val="es-ES_tradnl"/>
        </w:rPr>
        <w:t xml:space="preserve"> </w:t>
      </w:r>
    </w:p>
    <w:p w14:paraId="0B3EA33F" w14:textId="77777777" w:rsidR="00B92853" w:rsidRPr="00131FA3" w:rsidRDefault="00B92853" w:rsidP="00B92853">
      <w:pPr>
        <w:spacing w:after="0" w:line="276" w:lineRule="auto"/>
        <w:ind w:firstLine="709"/>
        <w:jc w:val="both"/>
        <w:rPr>
          <w:rFonts w:ascii="Century Gothic" w:hAnsi="Century Gothic" w:cs="Arial"/>
        </w:rPr>
      </w:pPr>
      <w:r>
        <w:rPr>
          <w:rFonts w:ascii="Century Gothic" w:eastAsia="Calibri" w:hAnsi="Century Gothic" w:cs="Arial"/>
          <w:color w:val="000000" w:themeColor="text1"/>
          <w:lang w:val="es-ES"/>
        </w:rPr>
        <w:t xml:space="preserve">También </w:t>
      </w:r>
      <w:r w:rsidRPr="001B33D6">
        <w:rPr>
          <w:rFonts w:ascii="Century Gothic" w:eastAsia="Calibri" w:hAnsi="Century Gothic" w:cs="Arial"/>
          <w:lang w:val="es-ES_tradnl" w:eastAsia="es-ES_tradnl"/>
        </w:rPr>
        <w:t>se ha pronunciado sobre la contratación con entidades privadas sin ánimo de lucro y de reconocida idoneidad –desde ahora ESAL–, con fundamento en el Decreto 092 de 2017</w:t>
      </w:r>
      <w:r w:rsidRPr="00131FA3">
        <w:rPr>
          <w:rFonts w:ascii="Century Gothic" w:hAnsi="Century Gothic" w:cs="Arial"/>
        </w:rPr>
        <w:t xml:space="preserve"> en los Conceptos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C-364 de 26 de julio de 2021, C-379 de 20 de julio de 2021, C- 537 del 27 de septiembre de 2021,  C-021 del 22 de febrero de 2022, C-236 del 27 de abril de 2022, C-273 del 6 de mayo de 2022, C-274 del 6 de mayo de 2022, C-291 del 18 de mayo de 2022, C-331 del 24 de mayo de 2022, C-477 del 26 de julio de 2022, C-550 del 31 de agosto de 2022, C-560 del 7 de septiembre de 2022, C-624 del 28 de septiembre de 2022, C-771 del 30 de diciembre de 2022</w:t>
      </w:r>
      <w:r>
        <w:rPr>
          <w:rFonts w:ascii="Century Gothic" w:hAnsi="Century Gothic" w:cs="Arial"/>
        </w:rPr>
        <w:t>,</w:t>
      </w:r>
      <w:r w:rsidRPr="00131FA3">
        <w:rPr>
          <w:rFonts w:ascii="Century Gothic" w:hAnsi="Century Gothic" w:cs="Arial"/>
        </w:rPr>
        <w:t xml:space="preserve"> C-853 del 9 de diciembre de 2022</w:t>
      </w:r>
      <w:r>
        <w:rPr>
          <w:rFonts w:ascii="Century Gothic" w:hAnsi="Century Gothic" w:cs="Arial"/>
        </w:rPr>
        <w:t>, C-351 del 6 de octubre de 2023, C-054 del 24 de abril de 2024 y 064 del 24 de abril de 2024</w:t>
      </w:r>
      <w:r w:rsidRPr="00131FA3">
        <w:rPr>
          <w:rStyle w:val="Refdenotaalpie"/>
          <w:rFonts w:ascii="Century Gothic" w:eastAsia="Calibri" w:hAnsi="Century Gothic" w:cs="Arial"/>
        </w:rPr>
        <w:footnoteReference w:id="3"/>
      </w:r>
      <w:r w:rsidRPr="00131FA3">
        <w:rPr>
          <w:rFonts w:ascii="Century Gothic" w:hAnsi="Century Gothic" w:cs="Arial"/>
        </w:rPr>
        <w:t>. Las tesis propuestas se reiteran a continuación y se complementan en lo pertinente, teniendo en cuenta que la Sala Plena del Consejo de Estado resolvió el recurso de súplica interpuesto contra el Auto del 6 de agosto de 2019 de la Subsección A de la Sección Tercera.</w:t>
      </w:r>
    </w:p>
    <w:p w14:paraId="7D095EE1" w14:textId="77777777" w:rsidR="00B92853" w:rsidRDefault="00B92853" w:rsidP="00B92853">
      <w:pPr>
        <w:spacing w:after="0" w:line="276" w:lineRule="auto"/>
        <w:jc w:val="both"/>
        <w:rPr>
          <w:rFonts w:ascii="Century Gothic" w:hAnsi="Century Gothic" w:cs="Arial"/>
        </w:rPr>
      </w:pPr>
    </w:p>
    <w:p w14:paraId="6B89EA60" w14:textId="77777777" w:rsidR="00B92853" w:rsidRPr="00D005E0" w:rsidRDefault="00B92853" w:rsidP="00B92853">
      <w:pPr>
        <w:spacing w:after="0" w:line="276" w:lineRule="auto"/>
        <w:jc w:val="both"/>
        <w:rPr>
          <w:rFonts w:ascii="Century Gothic" w:eastAsia="Calibri" w:hAnsi="Century Gothic" w:cs="Arial"/>
          <w:b/>
          <w:color w:val="000000" w:themeColor="text1"/>
        </w:rPr>
      </w:pPr>
      <w:r w:rsidRPr="00D005E0">
        <w:rPr>
          <w:rFonts w:ascii="Century Gothic" w:eastAsia="Times New Roman" w:hAnsi="Century Gothic" w:cs="Arial"/>
          <w:b/>
          <w:szCs w:val="24"/>
          <w:lang w:eastAsia="es-ES_tradnl"/>
        </w:rPr>
        <w:t xml:space="preserve">2.1. </w:t>
      </w:r>
      <w:r w:rsidRPr="00D005E0">
        <w:rPr>
          <w:rFonts w:ascii="Century Gothic" w:eastAsia="Calibri" w:hAnsi="Century Gothic" w:cs="Arial"/>
          <w:b/>
          <w:color w:val="000000" w:themeColor="text1"/>
        </w:rPr>
        <w:t>Régimen jurídico de los contratos con organismos internacionales</w:t>
      </w:r>
    </w:p>
    <w:p w14:paraId="24F162D5" w14:textId="77777777" w:rsidR="00B92853" w:rsidRPr="00D005E0" w:rsidRDefault="00B92853" w:rsidP="00B92853">
      <w:pPr>
        <w:spacing w:after="0" w:line="276" w:lineRule="auto"/>
        <w:jc w:val="both"/>
        <w:rPr>
          <w:rFonts w:ascii="Century Gothic" w:eastAsia="Calibri" w:hAnsi="Century Gothic" w:cs="Arial"/>
          <w:b/>
          <w:color w:val="000000" w:themeColor="text1"/>
          <w:sz w:val="16"/>
          <w:szCs w:val="16"/>
        </w:rPr>
      </w:pPr>
    </w:p>
    <w:p w14:paraId="5B6945E4" w14:textId="77777777" w:rsidR="00B92853" w:rsidRPr="00D005E0" w:rsidRDefault="00B92853" w:rsidP="00B92853">
      <w:pPr>
        <w:spacing w:after="120" w:line="276" w:lineRule="auto"/>
        <w:jc w:val="both"/>
        <w:rPr>
          <w:rFonts w:ascii="Century Gothic" w:hAnsi="Century Gothic" w:cs="Arial"/>
          <w:lang w:val="es-ES"/>
        </w:rPr>
      </w:pPr>
      <w:bookmarkStart w:id="10" w:name="_Hlk99449041"/>
      <w:r w:rsidRPr="00D005E0">
        <w:rPr>
          <w:rFonts w:ascii="Century Gothic" w:hAnsi="Century Gothic" w:cs="Arial"/>
          <w:lang w:val="es-ES"/>
        </w:rPr>
        <w:t xml:space="preserve">Por organismo internacional se entiende aquella organización, grupo o asociación que se extiende más allá de las fronteras de un Estado y cuenta con órganos </w:t>
      </w:r>
      <w:r w:rsidRPr="00D005E0">
        <w:rPr>
          <w:rFonts w:ascii="Century Gothic" w:hAnsi="Century Gothic" w:cs="Arial"/>
          <w:lang w:val="es-ES"/>
        </w:rPr>
        <w:lastRenderedPageBreak/>
        <w:t>gubernamentales permanentes distintos e independientes de los Estados miembros de la organización que garantizan su vigencia y operatividad, con el propósito de cumplir objetivos comunes entre los Estados miembros</w:t>
      </w:r>
      <w:r w:rsidRPr="00D005E0">
        <w:rPr>
          <w:rStyle w:val="Refdenotaalpie"/>
          <w:rFonts w:ascii="Century Gothic" w:hAnsi="Century Gothic" w:cs="Arial"/>
        </w:rPr>
        <w:footnoteReference w:id="4"/>
      </w:r>
      <w:r w:rsidRPr="00D005E0">
        <w:rPr>
          <w:rFonts w:ascii="Century Gothic" w:hAnsi="Century Gothic" w:cs="Arial"/>
          <w:lang w:val="es-ES"/>
        </w:rPr>
        <w:t xml:space="preserve">. Conforme a su naturaleza, los organismos internacionales están facultados para suscribir contratos o convenios con los Estados, lo que supone un incidente frente a la aplicabilidad de los regímenes tanto de los Estados contratantes como de los organismos en su celebración. </w:t>
      </w:r>
    </w:p>
    <w:p w14:paraId="70AB24BA" w14:textId="77777777" w:rsidR="00B92853" w:rsidRPr="00D005E0" w:rsidRDefault="00B92853" w:rsidP="00B92853">
      <w:pPr>
        <w:pStyle w:val="Prrafodelista"/>
        <w:snapToGrid w:val="0"/>
        <w:spacing w:before="120" w:after="120" w:line="276" w:lineRule="auto"/>
        <w:ind w:left="0" w:firstLine="709"/>
        <w:jc w:val="both"/>
        <w:rPr>
          <w:rFonts w:ascii="Century Gothic" w:eastAsia="Calibri" w:hAnsi="Century Gothic" w:cs="Arial"/>
        </w:rPr>
      </w:pPr>
      <w:bookmarkStart w:id="11" w:name="_Hlk99449078"/>
      <w:bookmarkEnd w:id="10"/>
      <w:r w:rsidRPr="00D005E0">
        <w:rPr>
          <w:rFonts w:ascii="Century Gothic" w:eastAsia="Calibri" w:hAnsi="Century Gothic" w:cs="Arial"/>
        </w:rPr>
        <w:t>El artículo 13 de la Ley 80 de 1993 regula de forma general el régimen aplicable a los contratos que celebren las entidades referidas en el artículo segundo del estatuto, señalando en el inciso primero, como primer criterio, la aplicabilidad de las disposiciones civiles y comerciales nacionales, sin perjuicio de la aplicación prevalente de las contenidas en el Estatuto General de Contratación de la Administración Pública</w:t>
      </w:r>
      <w:r w:rsidRPr="00D005E0">
        <w:rPr>
          <w:rStyle w:val="Refdenotaalpie"/>
          <w:rFonts w:ascii="Century Gothic" w:hAnsi="Century Gothic" w:cs="Arial"/>
        </w:rPr>
        <w:footnoteReference w:id="5"/>
      </w:r>
      <w:r w:rsidRPr="00D005E0">
        <w:rPr>
          <w:rFonts w:ascii="Century Gothic" w:eastAsia="Calibri" w:hAnsi="Century Gothic" w:cs="Arial"/>
        </w:rPr>
        <w:t xml:space="preserve">. Sin embargo, en su segundo inciso, respecto a los contratos celebrados en el exterior, permite que su ejecución se realice de conformidad con las normas del país donde se hayan suscrito, salvo que deban cumplirse en Colombia, caso en el que se aplicaría el esquema señalado respecto al inciso primero. Por último, el inciso tercero permite que los contratos que se celebren en Colombia, pero deban ejecutarse o cumplirse en el extranjero, se sometan a la ley extranjera. </w:t>
      </w:r>
    </w:p>
    <w:bookmarkEnd w:id="11"/>
    <w:p w14:paraId="70ACD8CC" w14:textId="77777777" w:rsidR="00B92853" w:rsidRPr="00D005E0" w:rsidRDefault="00B92853" w:rsidP="00B92853">
      <w:pPr>
        <w:pStyle w:val="Prrafodelista"/>
        <w:snapToGrid w:val="0"/>
        <w:spacing w:before="120" w:after="120" w:line="276" w:lineRule="auto"/>
        <w:ind w:left="0" w:firstLine="709"/>
        <w:rPr>
          <w:rFonts w:ascii="Century Gothic" w:eastAsia="Calibri" w:hAnsi="Century Gothic" w:cs="Arial"/>
          <w:sz w:val="12"/>
          <w:szCs w:val="12"/>
        </w:rPr>
      </w:pPr>
    </w:p>
    <w:p w14:paraId="3205F33C" w14:textId="77777777" w:rsidR="00B92853" w:rsidRPr="00D005E0" w:rsidRDefault="00B92853" w:rsidP="00B92853">
      <w:pPr>
        <w:pStyle w:val="Prrafodelista"/>
        <w:snapToGrid w:val="0"/>
        <w:spacing w:line="276" w:lineRule="auto"/>
        <w:ind w:left="0" w:firstLine="709"/>
        <w:jc w:val="both"/>
        <w:rPr>
          <w:rFonts w:ascii="Century Gothic" w:eastAsia="Calibri" w:hAnsi="Century Gothic" w:cs="Arial"/>
        </w:rPr>
      </w:pPr>
      <w:r w:rsidRPr="00D005E0">
        <w:rPr>
          <w:rFonts w:ascii="Century Gothic" w:eastAsia="Calibri" w:hAnsi="Century Gothic" w:cs="Arial"/>
        </w:rPr>
        <w:t>Nótese cómo el artículo citado permite que las entidades estatales no se rijan siempre por la normativa colombiana, permitiendo, en algunos casos, la aplicación de la ley extranjera. Además de los supuestos anteriores, el Consejo de Estado explica, en general, los siguientes escenarios, en los cuales el régimen jurídico puede ser uno diferente al prescrito en el derecho nacional, pese a tratarse de contratos sometidos, en principio, a la Ley 80 de 1993:</w:t>
      </w:r>
    </w:p>
    <w:p w14:paraId="295118A5" w14:textId="77777777" w:rsidR="00B92853" w:rsidRPr="00D005E0" w:rsidRDefault="00B92853" w:rsidP="00B92853">
      <w:pPr>
        <w:pStyle w:val="Prrafodelista"/>
        <w:snapToGrid w:val="0"/>
        <w:spacing w:line="276" w:lineRule="auto"/>
        <w:ind w:left="0" w:firstLine="709"/>
        <w:jc w:val="both"/>
        <w:rPr>
          <w:rFonts w:ascii="Century Gothic" w:eastAsia="Calibri" w:hAnsi="Century Gothic" w:cs="Arial"/>
        </w:rPr>
      </w:pPr>
    </w:p>
    <w:p w14:paraId="272B2F3C" w14:textId="77777777" w:rsidR="00B92853" w:rsidRPr="00D005E0" w:rsidRDefault="00B92853" w:rsidP="00B92853">
      <w:pPr>
        <w:pStyle w:val="Prrafodelista"/>
        <w:spacing w:after="0" w:line="240" w:lineRule="auto"/>
        <w:ind w:left="709" w:right="709"/>
        <w:jc w:val="both"/>
        <w:rPr>
          <w:rFonts w:ascii="Century Gothic" w:eastAsia="MS Mincho" w:hAnsi="Century Gothic" w:cs="Arial"/>
          <w:sz w:val="21"/>
          <w:szCs w:val="21"/>
          <w:lang w:eastAsia="es-ES"/>
        </w:rPr>
      </w:pPr>
      <w:r w:rsidRPr="00D005E0">
        <w:rPr>
          <w:rFonts w:ascii="Century Gothic" w:eastAsia="MS Mincho" w:hAnsi="Century Gothic" w:cs="Arial"/>
          <w:sz w:val="21"/>
          <w:szCs w:val="21"/>
          <w:lang w:eastAsia="es-ES"/>
        </w:rPr>
        <w:t xml:space="preserve">“i) Contratos celebrados en el exterior, los cuales se podrán regir en su ejecución por las reglas del país donde se ha suscrito, salvo cuando su cumplimiento deba hacerse en Colombia, caso en el cual se aplicará la legislación nacional, </w:t>
      </w:r>
      <w:proofErr w:type="spellStart"/>
      <w:r w:rsidRPr="00D005E0">
        <w:rPr>
          <w:rFonts w:ascii="Century Gothic" w:eastAsia="MS Mincho" w:hAnsi="Century Gothic" w:cs="Arial"/>
          <w:sz w:val="21"/>
          <w:szCs w:val="21"/>
          <w:lang w:eastAsia="es-ES"/>
        </w:rPr>
        <w:t>ii</w:t>
      </w:r>
      <w:proofErr w:type="spellEnd"/>
      <w:r w:rsidRPr="00D005E0">
        <w:rPr>
          <w:rFonts w:ascii="Century Gothic" w:eastAsia="MS Mincho" w:hAnsi="Century Gothic" w:cs="Arial"/>
          <w:sz w:val="21"/>
          <w:szCs w:val="21"/>
          <w:lang w:eastAsia="es-ES"/>
        </w:rPr>
        <w:t xml:space="preserve">) Contratos celebrados en territorio colombiano que deben ejecutarse o cumplirse en el extranjero, en tal caso podrá </w:t>
      </w:r>
      <w:r w:rsidRPr="00D005E0">
        <w:rPr>
          <w:rFonts w:ascii="Century Gothic" w:eastAsia="MS Mincho" w:hAnsi="Century Gothic" w:cs="Arial"/>
          <w:sz w:val="21"/>
          <w:szCs w:val="21"/>
          <w:lang w:eastAsia="es-ES"/>
        </w:rPr>
        <w:lastRenderedPageBreak/>
        <w:t xml:space="preserve">regirse bajo legislación foránea, salvo aquella parte que deba ejecutarse o cumplirse en Colombia, la cual se regirá por el derecho nacional, </w:t>
      </w:r>
      <w:proofErr w:type="spellStart"/>
      <w:r w:rsidRPr="00D005E0">
        <w:rPr>
          <w:rFonts w:ascii="Century Gothic" w:eastAsia="MS Mincho" w:hAnsi="Century Gothic" w:cs="Arial"/>
          <w:sz w:val="21"/>
          <w:szCs w:val="21"/>
          <w:lang w:eastAsia="es-ES"/>
        </w:rPr>
        <w:t>iii</w:t>
      </w:r>
      <w:proofErr w:type="spellEnd"/>
      <w:r w:rsidRPr="00D005E0">
        <w:rPr>
          <w:rFonts w:ascii="Century Gothic" w:eastAsia="MS Mincho" w:hAnsi="Century Gothic" w:cs="Arial"/>
          <w:sz w:val="21"/>
          <w:szCs w:val="21"/>
          <w:lang w:eastAsia="es-ES"/>
        </w:rPr>
        <w:t>) a) los contratos financiados con fondos de organismos multilaterales de crédito y b) aquellos celebrados con personas extranjeras de derecho público u organismos de cooperación, asistencia o ayudas internacionales, los cuales ‘podrán someterse a los reglamentos de tales entidades en todo lo relacionado con procedimientos de formación y adjudicación y cláusulas especiales de ejecución, cumplimiento, pagos y ajustes’”</w:t>
      </w:r>
      <w:r w:rsidRPr="00D005E0">
        <w:rPr>
          <w:rStyle w:val="Refdenotaalpie"/>
          <w:rFonts w:ascii="Century Gothic" w:hAnsi="Century Gothic" w:cs="Arial"/>
          <w:sz w:val="21"/>
          <w:szCs w:val="21"/>
        </w:rPr>
        <w:footnoteReference w:id="6"/>
      </w:r>
      <w:r w:rsidRPr="00D005E0">
        <w:rPr>
          <w:rFonts w:ascii="Century Gothic" w:eastAsia="MS Mincho" w:hAnsi="Century Gothic" w:cs="Arial"/>
          <w:sz w:val="21"/>
          <w:szCs w:val="21"/>
          <w:lang w:eastAsia="es-ES"/>
        </w:rPr>
        <w:t xml:space="preserve">. </w:t>
      </w:r>
    </w:p>
    <w:p w14:paraId="3EBFDA9A" w14:textId="77777777" w:rsidR="00B92853" w:rsidRPr="00D005E0" w:rsidRDefault="00B92853" w:rsidP="00B92853">
      <w:pPr>
        <w:pStyle w:val="Prrafodelista"/>
        <w:spacing w:before="120" w:after="0" w:line="276" w:lineRule="auto"/>
        <w:ind w:left="851" w:right="709"/>
        <w:rPr>
          <w:rFonts w:ascii="Century Gothic" w:eastAsia="Calibri" w:hAnsi="Century Gothic" w:cs="Arial"/>
        </w:rPr>
      </w:pPr>
    </w:p>
    <w:p w14:paraId="61321C90" w14:textId="77777777" w:rsidR="00B92853" w:rsidRPr="00D005E0" w:rsidRDefault="00B92853" w:rsidP="00B92853">
      <w:pPr>
        <w:spacing w:line="276" w:lineRule="auto"/>
        <w:ind w:firstLine="709"/>
        <w:jc w:val="both"/>
        <w:rPr>
          <w:rFonts w:ascii="Century Gothic" w:eastAsia="Calibri" w:hAnsi="Century Gothic" w:cs="Arial"/>
          <w:lang w:val="es-ES"/>
        </w:rPr>
      </w:pPr>
      <w:r w:rsidRPr="00D005E0">
        <w:rPr>
          <w:rFonts w:ascii="Century Gothic" w:eastAsia="Calibri" w:hAnsi="Century Gothic" w:cs="Arial"/>
          <w:lang w:val="es-ES"/>
        </w:rPr>
        <w:t>La redacción original del artículo 13 de la Ley 80 de 1993 incluía un inciso cuarto en el que se regulaba el régimen aplicable a los contratos suscritos con organismos internacionales, estableciendo otros supuestos donde era posible aplicar un régimen distinto al del Estatuto General de Contratación de la Administración Pública –en adelante EGCAP–</w:t>
      </w:r>
      <w:r w:rsidRPr="00D005E0">
        <w:rPr>
          <w:rStyle w:val="Refdenotaalpie"/>
          <w:rFonts w:ascii="Century Gothic" w:eastAsia="Calibri" w:hAnsi="Century Gothic" w:cs="Arial"/>
        </w:rPr>
        <w:footnoteReference w:id="7"/>
      </w:r>
      <w:r w:rsidRPr="00D005E0">
        <w:rPr>
          <w:rFonts w:ascii="Century Gothic" w:eastAsia="Calibri" w:hAnsi="Century Gothic" w:cs="Arial"/>
          <w:lang w:val="es-ES"/>
        </w:rPr>
        <w:t xml:space="preserve">. Sin embargo, el artículo 20 de la Ley 1150 de 2007 modificó el régimen contractual aplicable a los contratos o convenios suscritos con organismos internacionales, estableciendo, para algunos casos, la posible definición del régimen dependiendo del porcentaje de participación que el organismo internacional tuviera frente a dichos contratos, a partir del cual establece una potestad discrecional en torno a la elección del régimen contractual aplicable. Así, el artículo 20 de la citada norma señala que “podrán” someterse a los reglamentos de tales entidades, en lo que tiene que ver con el inciso primero de dicho artículo. </w:t>
      </w:r>
    </w:p>
    <w:p w14:paraId="5A7E9940" w14:textId="77777777" w:rsidR="00B92853" w:rsidRPr="00D005E0" w:rsidRDefault="00B92853" w:rsidP="00B92853">
      <w:pPr>
        <w:spacing w:before="120" w:after="120" w:line="276" w:lineRule="auto"/>
        <w:ind w:firstLine="709"/>
        <w:jc w:val="both"/>
        <w:rPr>
          <w:rFonts w:ascii="Century Gothic" w:eastAsia="Calibri" w:hAnsi="Century Gothic" w:cs="Arial"/>
          <w:lang w:val="es-ES"/>
        </w:rPr>
      </w:pPr>
      <w:r w:rsidRPr="00D005E0">
        <w:rPr>
          <w:rFonts w:ascii="Century Gothic" w:eastAsia="Calibri" w:hAnsi="Century Gothic" w:cs="Arial"/>
          <w:lang w:val="es-ES"/>
        </w:rPr>
        <w:t>Para comprender el alcance del régimen aplicable a los contratos o convenios que se suscriban con organismos internacionales, de acuerdo con la financiación de estos, resulta necesario analizar el artículo 20 de la Ley 1150 de 2007</w:t>
      </w:r>
      <w:r w:rsidRPr="00D005E0">
        <w:rPr>
          <w:rStyle w:val="Refdenotaalpie"/>
          <w:rFonts w:ascii="Century Gothic" w:eastAsia="Calibri" w:hAnsi="Century Gothic" w:cs="Arial"/>
        </w:rPr>
        <w:footnoteReference w:id="8"/>
      </w:r>
      <w:r w:rsidRPr="00D005E0">
        <w:rPr>
          <w:rFonts w:ascii="Century Gothic" w:eastAsia="Calibri" w:hAnsi="Century Gothic" w:cs="Arial"/>
          <w:lang w:val="es-ES"/>
        </w:rPr>
        <w:t xml:space="preserve">. De conformidad con este artículo, en lo que tiene que ver con el </w:t>
      </w:r>
      <w:r w:rsidRPr="00D005E0">
        <w:rPr>
          <w:rFonts w:ascii="Century Gothic" w:eastAsia="Calibri" w:hAnsi="Century Gothic" w:cs="Arial"/>
          <w:i/>
          <w:lang w:val="es-ES"/>
        </w:rPr>
        <w:t xml:space="preserve">inciso </w:t>
      </w:r>
      <w:r w:rsidRPr="00D005E0">
        <w:rPr>
          <w:rFonts w:ascii="Century Gothic" w:eastAsia="Calibri" w:hAnsi="Century Gothic" w:cs="Arial"/>
          <w:i/>
          <w:lang w:val="es-ES"/>
        </w:rPr>
        <w:lastRenderedPageBreak/>
        <w:t>primero</w:t>
      </w:r>
      <w:r w:rsidRPr="00D005E0">
        <w:rPr>
          <w:rFonts w:ascii="Century Gothic" w:eastAsia="Calibri" w:hAnsi="Century Gothic" w:cs="Arial"/>
          <w:lang w:val="es-ES"/>
        </w:rPr>
        <w:t xml:space="preserve">, resulta que únicamente procederá la aplicación de los reglamentos de estas entidades y, por lo tanto, es facultativo dejar de aplicar el EGCAP cuando los contratos o convenios sean financiados en su totalidad o en sumas iguales o superiores al 50% con fondos del organismo de cooperación, asistencia o ayudas internacionales. Cuando la entidad contratante determine o establezca que los aportes del organismo internacional son inferiores al porcentaje señalado, el contrato o convenio debe someterse al EGCAP. </w:t>
      </w:r>
    </w:p>
    <w:p w14:paraId="45CA1D64" w14:textId="77777777" w:rsidR="00B92853" w:rsidRPr="00D005E0" w:rsidRDefault="00B92853" w:rsidP="00B92853">
      <w:pPr>
        <w:spacing w:after="120" w:line="276" w:lineRule="auto"/>
        <w:ind w:firstLine="709"/>
        <w:jc w:val="both"/>
        <w:rPr>
          <w:rFonts w:ascii="Century Gothic" w:hAnsi="Century Gothic" w:cs="Arial"/>
        </w:rPr>
      </w:pPr>
      <w:r w:rsidRPr="00D005E0">
        <w:rPr>
          <w:rFonts w:ascii="Century Gothic" w:eastAsia="Calibri" w:hAnsi="Century Gothic" w:cs="Arial"/>
          <w:lang w:val="es-ES"/>
        </w:rPr>
        <w:t>Conviene mencionar que dentro de la ejecución del contrato o convenio pueden presentarse situaciones en las que el porcentaje de los aportes sea modificado, en virtud de su adición o no ejecución en los términos pactados. Previendo este escenario, el artículo 2.2.1.2.4.4.1 del Decreto 1082 de 2015 dispuso que se deben modificar los contratos o convenios para efectos de que estos estén sujetos a las normas del sistema de compras y contratación pública, si el aporte de recursos públicos es superior al cincuenta por ciento (50%) del total o de las normas internas de la entidad de cooperación si el aporte es inferior</w:t>
      </w:r>
      <w:r w:rsidRPr="00D005E0">
        <w:rPr>
          <w:rStyle w:val="Refdenotaalpie"/>
          <w:rFonts w:ascii="Century Gothic" w:eastAsia="Calibri" w:hAnsi="Century Gothic" w:cs="Arial"/>
        </w:rPr>
        <w:footnoteReference w:id="9"/>
      </w:r>
      <w:r w:rsidRPr="00D005E0">
        <w:rPr>
          <w:rFonts w:ascii="Century Gothic" w:eastAsia="Calibri" w:hAnsi="Century Gothic" w:cs="Arial"/>
          <w:lang w:val="es-ES"/>
        </w:rPr>
        <w:t xml:space="preserve">. Así las cosas, la </w:t>
      </w:r>
      <w:r w:rsidRPr="00D005E0">
        <w:rPr>
          <w:rFonts w:ascii="Century Gothic" w:eastAsia="Calibri" w:hAnsi="Century Gothic" w:cs="Arial"/>
          <w:lang w:val="es-ES"/>
        </w:rPr>
        <w:lastRenderedPageBreak/>
        <w:t>entidad contratante debe realizar un constante monitoreo respecto de los aportes de cada una de las partes para determinar si se debe realizar un ajuste frente al régimen aplicable, esto es, en relación con los contratos regulados en el inciso primero del artículo 20 de la Ley 1150 de 2007</w:t>
      </w:r>
      <w:r w:rsidRPr="00D005E0">
        <w:rPr>
          <w:rFonts w:ascii="Century Gothic" w:hAnsi="Century Gothic" w:cs="Arial"/>
        </w:rPr>
        <w:t xml:space="preserve">. </w:t>
      </w:r>
    </w:p>
    <w:p w14:paraId="75D669CE" w14:textId="77777777" w:rsidR="00B92853" w:rsidRPr="00D005E0" w:rsidRDefault="00B92853" w:rsidP="00B92853">
      <w:pPr>
        <w:spacing w:after="120" w:line="276" w:lineRule="auto"/>
        <w:ind w:firstLine="709"/>
        <w:jc w:val="both"/>
        <w:rPr>
          <w:rFonts w:ascii="Century Gothic" w:hAnsi="Century Gothic" w:cs="Arial"/>
          <w:lang w:val="es-MX"/>
        </w:rPr>
      </w:pPr>
      <w:r w:rsidRPr="00D005E0">
        <w:rPr>
          <w:rStyle w:val="normaltextrun"/>
          <w:rFonts w:ascii="Century Gothic" w:hAnsi="Century Gothic" w:cs="Arial"/>
          <w:color w:val="000000"/>
          <w:shd w:val="clear" w:color="auto" w:fill="FFFFFF"/>
          <w:lang w:val="es-ES"/>
        </w:rPr>
        <w:t>De conformidad con lo expuesto, los contratos o convenios suscritos con organismos de cooperación, asistencia o ayudas internacionales pueden financiarse con aportes en sumas liquidas de dinero o en especie, pues el parágrafo 3 de la misma disposición así lo permite al establecer la obligación de cuantificar en moneda colombiana los aportes en especie realizados por estos organismos. En caso de que supere el 50% de la totalidad del presupuesto de la contratación, la entidad podrá someter el convenio o contrato a las reglas de contratación del referido organismo.</w:t>
      </w:r>
      <w:r w:rsidRPr="00D005E0">
        <w:rPr>
          <w:rStyle w:val="eop"/>
          <w:rFonts w:ascii="Century Gothic" w:hAnsi="Century Gothic" w:cs="Arial"/>
          <w:color w:val="000000"/>
          <w:shd w:val="clear" w:color="auto" w:fill="FFFFFF"/>
        </w:rPr>
        <w:t> </w:t>
      </w:r>
    </w:p>
    <w:p w14:paraId="3DA5F3EE" w14:textId="77777777" w:rsidR="00B92853" w:rsidRPr="00D005E0" w:rsidRDefault="00B92853" w:rsidP="00B92853">
      <w:pPr>
        <w:spacing w:before="120" w:after="0" w:line="276" w:lineRule="auto"/>
        <w:ind w:firstLine="709"/>
        <w:jc w:val="both"/>
        <w:rPr>
          <w:rFonts w:ascii="Century Gothic" w:eastAsia="Calibri" w:hAnsi="Century Gothic" w:cs="Arial"/>
          <w:lang w:val="es-ES"/>
        </w:rPr>
      </w:pPr>
      <w:r w:rsidRPr="00D005E0">
        <w:rPr>
          <w:rFonts w:ascii="Century Gothic" w:eastAsia="Calibri" w:hAnsi="Century Gothic" w:cs="Arial"/>
          <w:lang w:val="es-ES"/>
        </w:rPr>
        <w:t xml:space="preserve">Por otro lado, la norma establece un criterio adicional en el </w:t>
      </w:r>
      <w:r w:rsidRPr="00D005E0">
        <w:rPr>
          <w:rFonts w:ascii="Century Gothic" w:eastAsia="Calibri" w:hAnsi="Century Gothic" w:cs="Arial"/>
          <w:i/>
          <w:lang w:val="es-ES"/>
        </w:rPr>
        <w:t>inciso segundo,</w:t>
      </w:r>
      <w:r w:rsidRPr="00D005E0">
        <w:rPr>
          <w:rFonts w:ascii="Century Gothic" w:eastAsia="Calibri" w:hAnsi="Century Gothic" w:cs="Arial"/>
          <w:lang w:val="es-ES"/>
        </w:rPr>
        <w:t xml:space="preserve"> para determinar la posible aplicación de los reglamentos de los organismos internacionales. Este segundo criterio depende del objeto del convenio o contrato a celebrar con personas extranjeras de derecho público u organismos de derecho internacional, de manera que en dichos casos puede pactarse el sometimiento a los reglamentos de estas entidades. En tal sentido, los supuestos en que es posible someter el régimen contractual a los reglamentos de los organismos internacionales son los siguientes: </w:t>
      </w:r>
    </w:p>
    <w:p w14:paraId="228BC11D" w14:textId="77777777" w:rsidR="00B92853" w:rsidRPr="00D005E0" w:rsidRDefault="00B92853" w:rsidP="00B92853">
      <w:pPr>
        <w:spacing w:after="0" w:line="276" w:lineRule="auto"/>
        <w:ind w:firstLine="709"/>
        <w:jc w:val="both"/>
        <w:rPr>
          <w:rFonts w:ascii="Century Gothic" w:eastAsia="Calibri" w:hAnsi="Century Gothic" w:cs="Arial"/>
          <w:lang w:val="es-ES"/>
        </w:rPr>
      </w:pPr>
    </w:p>
    <w:p w14:paraId="667C2C3B" w14:textId="77777777" w:rsidR="00B92853" w:rsidRPr="00D005E0" w:rsidRDefault="00B92853" w:rsidP="00B92853">
      <w:pPr>
        <w:pStyle w:val="Prrafodelista"/>
        <w:numPr>
          <w:ilvl w:val="0"/>
          <w:numId w:val="7"/>
        </w:numPr>
        <w:spacing w:after="200" w:line="240" w:lineRule="auto"/>
        <w:ind w:left="1134" w:right="709" w:hanging="141"/>
        <w:jc w:val="both"/>
        <w:rPr>
          <w:rFonts w:ascii="Century Gothic" w:eastAsia="Calibri" w:hAnsi="Century Gothic" w:cs="Arial"/>
          <w:sz w:val="21"/>
          <w:szCs w:val="21"/>
        </w:rPr>
      </w:pPr>
      <w:r w:rsidRPr="00D005E0">
        <w:rPr>
          <w:rFonts w:ascii="Century Gothic" w:eastAsia="Calibri" w:hAnsi="Century Gothic" w:cs="Arial"/>
          <w:sz w:val="21"/>
          <w:szCs w:val="21"/>
        </w:rPr>
        <w:t xml:space="preserve">Desarrollo de programas de promoción, prevención y atención en salud. </w:t>
      </w:r>
    </w:p>
    <w:p w14:paraId="44B9C433" w14:textId="77777777" w:rsidR="00B92853" w:rsidRPr="00D005E0" w:rsidRDefault="00B92853" w:rsidP="00B92853">
      <w:pPr>
        <w:pStyle w:val="Prrafodelista"/>
        <w:numPr>
          <w:ilvl w:val="0"/>
          <w:numId w:val="7"/>
        </w:numPr>
        <w:spacing w:after="0" w:line="240" w:lineRule="auto"/>
        <w:ind w:left="1134" w:right="709" w:hanging="141"/>
        <w:jc w:val="both"/>
        <w:rPr>
          <w:rFonts w:ascii="Century Gothic" w:hAnsi="Century Gothic" w:cs="Arial"/>
          <w:sz w:val="21"/>
          <w:szCs w:val="21"/>
        </w:rPr>
      </w:pPr>
      <w:r w:rsidRPr="00D005E0">
        <w:rPr>
          <w:rFonts w:ascii="Century Gothic" w:hAnsi="Century Gothic" w:cs="Arial"/>
          <w:sz w:val="21"/>
          <w:szCs w:val="21"/>
        </w:rPr>
        <w:t>Contratos y convenios necesarios para la operación de la OIT.</w:t>
      </w:r>
    </w:p>
    <w:p w14:paraId="25A8C088" w14:textId="77777777" w:rsidR="00B92853" w:rsidRPr="00D005E0" w:rsidRDefault="00B92853" w:rsidP="00B92853">
      <w:pPr>
        <w:pStyle w:val="Prrafodelista"/>
        <w:numPr>
          <w:ilvl w:val="0"/>
          <w:numId w:val="7"/>
        </w:numPr>
        <w:spacing w:after="0" w:line="240" w:lineRule="auto"/>
        <w:ind w:left="1134" w:right="709" w:hanging="141"/>
        <w:jc w:val="both"/>
        <w:rPr>
          <w:rFonts w:ascii="Century Gothic" w:hAnsi="Century Gothic" w:cs="Arial"/>
          <w:sz w:val="21"/>
          <w:szCs w:val="21"/>
        </w:rPr>
      </w:pPr>
      <w:r w:rsidRPr="00D005E0">
        <w:rPr>
          <w:rFonts w:ascii="Century Gothic" w:hAnsi="Century Gothic" w:cs="Arial"/>
          <w:sz w:val="21"/>
          <w:szCs w:val="21"/>
        </w:rPr>
        <w:t>Contratos y convenios que se ejecuten en desarrollo del sistema integrado de monitoreo de cultivos ilícitos.</w:t>
      </w:r>
    </w:p>
    <w:p w14:paraId="55EED960" w14:textId="77777777" w:rsidR="00B92853" w:rsidRPr="00D005E0" w:rsidRDefault="00B92853" w:rsidP="00B92853">
      <w:pPr>
        <w:pStyle w:val="Prrafodelista"/>
        <w:numPr>
          <w:ilvl w:val="0"/>
          <w:numId w:val="7"/>
        </w:numPr>
        <w:spacing w:after="0" w:line="240" w:lineRule="auto"/>
        <w:ind w:left="1134" w:right="709" w:hanging="141"/>
        <w:jc w:val="both"/>
        <w:rPr>
          <w:rFonts w:ascii="Century Gothic" w:hAnsi="Century Gothic" w:cs="Arial"/>
          <w:sz w:val="21"/>
          <w:szCs w:val="21"/>
        </w:rPr>
      </w:pPr>
      <w:r w:rsidRPr="00D005E0">
        <w:rPr>
          <w:rFonts w:ascii="Century Gothic" w:hAnsi="Century Gothic" w:cs="Arial"/>
          <w:sz w:val="21"/>
          <w:szCs w:val="21"/>
        </w:rPr>
        <w:t>Contratos y convenios para la operación del programa mundial de alimentos.</w:t>
      </w:r>
    </w:p>
    <w:p w14:paraId="47162C04" w14:textId="77777777" w:rsidR="00B92853" w:rsidRPr="00D005E0" w:rsidRDefault="00B92853" w:rsidP="00B92853">
      <w:pPr>
        <w:pStyle w:val="Prrafodelista"/>
        <w:numPr>
          <w:ilvl w:val="0"/>
          <w:numId w:val="7"/>
        </w:numPr>
        <w:spacing w:after="0" w:line="240" w:lineRule="auto"/>
        <w:ind w:left="1134" w:right="709" w:hanging="141"/>
        <w:jc w:val="both"/>
        <w:rPr>
          <w:rFonts w:ascii="Century Gothic" w:hAnsi="Century Gothic" w:cs="Arial"/>
          <w:sz w:val="21"/>
          <w:szCs w:val="21"/>
        </w:rPr>
      </w:pPr>
      <w:r w:rsidRPr="00D005E0">
        <w:rPr>
          <w:rFonts w:ascii="Century Gothic" w:hAnsi="Century Gothic" w:cs="Arial"/>
          <w:sz w:val="21"/>
          <w:szCs w:val="21"/>
        </w:rPr>
        <w:lastRenderedPageBreak/>
        <w:t>Contratos y convenios para el desarrollo de programas de apoyo educativo a población desplazada y vulnerable adelantados por la Unesco y la OIM.</w:t>
      </w:r>
    </w:p>
    <w:p w14:paraId="38A35DC2" w14:textId="77777777" w:rsidR="00B92853" w:rsidRPr="00D005E0" w:rsidRDefault="00B92853" w:rsidP="00B92853">
      <w:pPr>
        <w:pStyle w:val="Prrafodelista"/>
        <w:numPr>
          <w:ilvl w:val="0"/>
          <w:numId w:val="7"/>
        </w:numPr>
        <w:spacing w:after="0" w:line="240" w:lineRule="auto"/>
        <w:ind w:left="1134" w:right="709" w:hanging="141"/>
        <w:jc w:val="both"/>
        <w:rPr>
          <w:rFonts w:ascii="Century Gothic" w:hAnsi="Century Gothic" w:cs="Arial"/>
        </w:rPr>
      </w:pPr>
      <w:r w:rsidRPr="00D005E0">
        <w:rPr>
          <w:rFonts w:ascii="Century Gothic" w:hAnsi="Century Gothic" w:cs="Arial"/>
          <w:sz w:val="21"/>
          <w:szCs w:val="21"/>
        </w:rPr>
        <w:t>Los contratos o convenios financiados con fondos de los organismos multilaterales de crédito y entes gubernamentales extranjeros.</w:t>
      </w:r>
      <w:r w:rsidRPr="00D005E0">
        <w:rPr>
          <w:rFonts w:ascii="Century Gothic" w:hAnsi="Century Gothic" w:cs="Arial"/>
        </w:rPr>
        <w:t xml:space="preserve"> </w:t>
      </w:r>
    </w:p>
    <w:p w14:paraId="6E50C02D" w14:textId="77777777" w:rsidR="00B92853" w:rsidRPr="00D005E0" w:rsidRDefault="00B92853" w:rsidP="00B92853">
      <w:pPr>
        <w:pStyle w:val="Prrafodelista"/>
        <w:spacing w:after="0" w:line="276" w:lineRule="auto"/>
        <w:ind w:left="1429"/>
        <w:rPr>
          <w:rFonts w:ascii="Century Gothic" w:hAnsi="Century Gothic" w:cs="Arial"/>
        </w:rPr>
      </w:pPr>
    </w:p>
    <w:p w14:paraId="2AE98359" w14:textId="77777777" w:rsidR="00B92853" w:rsidRPr="00D005E0" w:rsidRDefault="00B92853" w:rsidP="00B92853">
      <w:pPr>
        <w:spacing w:after="0" w:line="276" w:lineRule="auto"/>
        <w:ind w:firstLine="709"/>
        <w:jc w:val="both"/>
        <w:rPr>
          <w:rFonts w:ascii="Century Gothic" w:eastAsia="Calibri" w:hAnsi="Century Gothic" w:cs="Arial"/>
          <w:lang w:val="es-ES"/>
        </w:rPr>
      </w:pPr>
      <w:bookmarkStart w:id="14" w:name="_Hlk148447946"/>
      <w:r w:rsidRPr="00D005E0">
        <w:rPr>
          <w:rFonts w:ascii="Century Gothic" w:eastAsia="Calibri" w:hAnsi="Century Gothic" w:cs="Arial"/>
          <w:lang w:val="es-ES"/>
        </w:rPr>
        <w:t>En los supuestos anteriores, regulados en el inciso segundo del artículo 20, independientemente del monto de los aportes de cada una de las partes, es posible optar por someter el contrato a los reglamentos de dichos organismos o bien someterlos al EGCAP, es decir, configurado alguno de los presupuestos anteriores es posible elegir cualquiera de los dos (2) regímenes indicados</w:t>
      </w:r>
      <w:bookmarkEnd w:id="14"/>
      <w:r w:rsidRPr="00D005E0">
        <w:rPr>
          <w:rFonts w:ascii="Century Gothic" w:eastAsia="Calibri" w:hAnsi="Century Gothic" w:cs="Arial"/>
          <w:lang w:val="es-ES"/>
        </w:rPr>
        <w:t>. Al respecto, en el Concepto C-374 del 27 de julio de 2020, esta Agencia –después de analizar el artículo 20 de la Ley 1150 de 2007– concluyó que:</w:t>
      </w:r>
    </w:p>
    <w:p w14:paraId="5B60B0B1" w14:textId="77777777" w:rsidR="00B92853" w:rsidRPr="00D005E0" w:rsidRDefault="00B92853" w:rsidP="00B92853">
      <w:pPr>
        <w:spacing w:after="0" w:line="276" w:lineRule="auto"/>
        <w:ind w:firstLine="709"/>
        <w:jc w:val="both"/>
        <w:rPr>
          <w:rFonts w:ascii="Century Gothic" w:eastAsia="Calibri" w:hAnsi="Century Gothic" w:cs="Arial"/>
          <w:lang w:val="es-ES"/>
        </w:rPr>
      </w:pPr>
    </w:p>
    <w:p w14:paraId="27675B75" w14:textId="77777777" w:rsidR="00B92853" w:rsidRPr="00D005E0" w:rsidRDefault="00B92853" w:rsidP="00B92853">
      <w:pPr>
        <w:spacing w:after="0" w:line="240" w:lineRule="auto"/>
        <w:ind w:left="709" w:right="709"/>
        <w:jc w:val="both"/>
        <w:rPr>
          <w:rFonts w:ascii="Century Gothic" w:eastAsia="Calibri" w:hAnsi="Century Gothic" w:cs="Arial"/>
          <w:sz w:val="21"/>
          <w:szCs w:val="21"/>
          <w:lang w:val="es-ES"/>
        </w:rPr>
      </w:pPr>
      <w:r w:rsidRPr="00D005E0">
        <w:rPr>
          <w:rFonts w:ascii="Century Gothic" w:eastAsia="Calibri" w:hAnsi="Century Gothic" w:cs="Arial"/>
          <w:sz w:val="21"/>
          <w:szCs w:val="21"/>
          <w:lang w:val="es-ES"/>
        </w:rPr>
        <w:t>“[…] existen dos grupos de supuestos en el artículo 20 de la Ley 1150 de 2007, bajo los cuales es posible someter el régimen contractual aplicable a los reglamentos de los organismos internacionales: el primer grupo, regulado en el inciso primero, donde dicha posibilidad se condiciona a que los contratos o convenios  se financien en el 50% o más con fondos de dichos organismos de cooperación, asistencia o ayudas internacionales y, el segundo grupo, regulado en el inciso segundo, donde dicha posibilidad se condiciona a que se configure alguno de los 6 supuestos enlistados atrás, sin que resulte exigible algún porcentaje de incorporación de recursos. En todo caso, frente a ambos grupos, la aplicación de los reglamentos de tales entidades internacionales es una posibilidad por la que pueden optar o no las partes; es decir, configurados los requisitos indicados, las partes pueden decidir si someten los contratos a los reglamentos de las entidades internacionales o si se rigen por el Estatuto General de Contratación de la Administración Pública”.</w:t>
      </w:r>
    </w:p>
    <w:p w14:paraId="432C5339" w14:textId="77777777" w:rsidR="00B92853" w:rsidRPr="00D005E0" w:rsidRDefault="00B92853" w:rsidP="00B92853">
      <w:pPr>
        <w:spacing w:after="0" w:line="276" w:lineRule="auto"/>
        <w:ind w:left="709" w:right="709"/>
        <w:jc w:val="both"/>
        <w:rPr>
          <w:rFonts w:ascii="Century Gothic" w:eastAsia="Calibri" w:hAnsi="Century Gothic" w:cs="Arial"/>
          <w:sz w:val="21"/>
          <w:szCs w:val="21"/>
          <w:lang w:val="es-ES"/>
        </w:rPr>
      </w:pPr>
    </w:p>
    <w:p w14:paraId="168182A2" w14:textId="77777777" w:rsidR="00B92853" w:rsidRDefault="00B92853" w:rsidP="00B92853">
      <w:pPr>
        <w:spacing w:after="120" w:line="276" w:lineRule="auto"/>
        <w:ind w:firstLine="709"/>
        <w:jc w:val="both"/>
        <w:rPr>
          <w:rFonts w:ascii="Century Gothic" w:eastAsia="Calibri" w:hAnsi="Century Gothic" w:cs="Arial"/>
          <w:lang w:val="es-ES"/>
        </w:rPr>
      </w:pPr>
      <w:r w:rsidRPr="00D005E0">
        <w:rPr>
          <w:rFonts w:ascii="Century Gothic" w:eastAsia="Calibri" w:hAnsi="Century Gothic" w:cs="Arial"/>
          <w:lang w:val="es-ES"/>
        </w:rPr>
        <w:t xml:space="preserve">Asimismo, el parágrafo primero del artículo 20 de la Ley 1150 de 2007 establece un tercer criterio para determinar el régimen contractual aplicable. De acuerdo con la norma, “Los contratos o acuerdos celebrados con personas extranjeras de derecho público, podrán someterse a las reglas de tales organismos”. Estos negocios jurídicos, a diferencia de los contratos del inciso primero </w:t>
      </w:r>
      <w:r w:rsidRPr="00D005E0">
        <w:rPr>
          <w:rFonts w:ascii="Century Gothic" w:eastAsia="Calibri" w:hAnsi="Century Gothic" w:cs="Arial"/>
          <w:i/>
          <w:lang w:val="es-ES"/>
        </w:rPr>
        <w:t>ibidem</w:t>
      </w:r>
      <w:r w:rsidRPr="00D005E0">
        <w:rPr>
          <w:rFonts w:ascii="Century Gothic" w:eastAsia="Calibri" w:hAnsi="Century Gothic" w:cs="Arial"/>
          <w:lang w:val="es-ES"/>
        </w:rPr>
        <w:t xml:space="preserve">, son independientes del monto de los aportes realizados por el organismo. Igualmente, en contraste con los contratos del inciso segundo </w:t>
      </w:r>
      <w:r w:rsidRPr="00D005E0">
        <w:rPr>
          <w:rFonts w:ascii="Century Gothic" w:eastAsia="Calibri" w:hAnsi="Century Gothic" w:cs="Arial"/>
          <w:i/>
          <w:lang w:val="es-ES"/>
        </w:rPr>
        <w:t>ibidem</w:t>
      </w:r>
      <w:r w:rsidRPr="00D005E0">
        <w:rPr>
          <w:rFonts w:ascii="Century Gothic" w:eastAsia="Calibri" w:hAnsi="Century Gothic" w:cs="Arial"/>
          <w:lang w:val="es-ES"/>
        </w:rPr>
        <w:t xml:space="preserve">, son negocios jurídicos independientes del objeto convenido. No obstante, al igual de los dos (2) supuestos explicados </w:t>
      </w:r>
      <w:r w:rsidRPr="00D005E0">
        <w:rPr>
          <w:rFonts w:ascii="Century Gothic" w:eastAsia="Calibri" w:hAnsi="Century Gothic" w:cs="Arial"/>
          <w:i/>
          <w:lang w:val="es-ES"/>
        </w:rPr>
        <w:t>ut supra</w:t>
      </w:r>
      <w:r w:rsidRPr="00D005E0">
        <w:rPr>
          <w:rFonts w:ascii="Century Gothic" w:eastAsia="Calibri" w:hAnsi="Century Gothic" w:cs="Arial"/>
          <w:lang w:val="es-ES"/>
        </w:rPr>
        <w:t xml:space="preserve">, en esta hipótesis también es posible </w:t>
      </w:r>
      <w:r w:rsidRPr="00D005E0">
        <w:rPr>
          <w:rFonts w:ascii="Century Gothic" w:eastAsia="Calibri" w:hAnsi="Century Gothic" w:cs="Arial"/>
          <w:lang w:val="es-ES"/>
        </w:rPr>
        <w:lastRenderedPageBreak/>
        <w:t xml:space="preserve">optar por someter el contrato a los reglamentos de dichos organismos o bien someterlos a la Ley 80 de 1993. </w:t>
      </w:r>
    </w:p>
    <w:p w14:paraId="017D3AED" w14:textId="77777777" w:rsidR="00B92853" w:rsidRDefault="00B92853" w:rsidP="00B92853">
      <w:pPr>
        <w:spacing w:after="0" w:line="276" w:lineRule="auto"/>
        <w:ind w:firstLine="709"/>
        <w:jc w:val="both"/>
        <w:rPr>
          <w:rFonts w:ascii="Century Gothic" w:eastAsia="Calibri" w:hAnsi="Century Gothic" w:cs="Arial"/>
          <w:lang w:val="es-ES"/>
        </w:rPr>
      </w:pPr>
      <w:r>
        <w:rPr>
          <w:rFonts w:ascii="Century Gothic" w:eastAsia="Calibri" w:hAnsi="Century Gothic" w:cs="Arial"/>
          <w:lang w:val="es-ES"/>
        </w:rPr>
        <w:t xml:space="preserve">La norma en comento no establece ningún mecanismo de integración con las ESAL, pues éstas no tienen injerencia en los contratos suscritos con organismos internacionales. Dado que no son parte, carecen de rutas legales para acceder a los recursos ejecutados en estos negocios jurídicos. Por sustracción de materia, </w:t>
      </w:r>
      <w:r w:rsidRPr="00D005E0">
        <w:rPr>
          <w:rFonts w:ascii="Century Gothic" w:eastAsia="Calibri" w:hAnsi="Century Gothic" w:cs="Arial"/>
          <w:lang w:val="es-ES"/>
        </w:rPr>
        <w:t xml:space="preserve">del </w:t>
      </w:r>
      <w:r>
        <w:rPr>
          <w:rFonts w:ascii="Century Gothic" w:eastAsia="Calibri" w:hAnsi="Century Gothic" w:cs="Arial"/>
          <w:lang w:val="es-ES"/>
        </w:rPr>
        <w:t>marco analizado no se deriva la posibilidad de que las personas jurídicas sin ánimo de lucro presenten proyectos a los organismos internacionales. Por ello, no establece la realización de convocatorias ni regula la expedición de algún protocolo para su estudio o aprobación. En todo caso, el régimen contractual especial de las ESAL se explicará en el siguiente acápite.</w:t>
      </w:r>
    </w:p>
    <w:p w14:paraId="3C4A40CF" w14:textId="77777777" w:rsidR="00B92853" w:rsidRPr="00131FA3" w:rsidRDefault="00B92853" w:rsidP="00B92853">
      <w:pPr>
        <w:spacing w:after="0" w:line="276" w:lineRule="auto"/>
        <w:jc w:val="both"/>
        <w:rPr>
          <w:rFonts w:ascii="Century Gothic" w:hAnsi="Century Gothic" w:cs="Arial"/>
        </w:rPr>
      </w:pPr>
    </w:p>
    <w:p w14:paraId="07A50D36" w14:textId="77777777" w:rsidR="00B92853" w:rsidRPr="00131FA3" w:rsidRDefault="00B92853" w:rsidP="00B92853">
      <w:pPr>
        <w:spacing w:after="0" w:line="276" w:lineRule="auto"/>
        <w:jc w:val="both"/>
        <w:rPr>
          <w:rFonts w:ascii="Century Gothic" w:hAnsi="Century Gothic" w:cs="Arial"/>
          <w:b/>
          <w:bCs/>
        </w:rPr>
      </w:pPr>
      <w:r>
        <w:rPr>
          <w:rFonts w:ascii="Century Gothic" w:hAnsi="Century Gothic" w:cs="Arial"/>
          <w:b/>
          <w:bCs/>
        </w:rPr>
        <w:t>2.2</w:t>
      </w:r>
      <w:r w:rsidRPr="00131FA3">
        <w:rPr>
          <w:rFonts w:ascii="Century Gothic" w:hAnsi="Century Gothic" w:cs="Arial"/>
          <w:b/>
          <w:bCs/>
        </w:rPr>
        <w:t xml:space="preserve">. Diferencias entre los </w:t>
      </w:r>
      <w:bookmarkStart w:id="15" w:name="_Hlk162345481"/>
      <w:r w:rsidRPr="00131FA3">
        <w:rPr>
          <w:rFonts w:ascii="Century Gothic" w:hAnsi="Century Gothic" w:cs="Arial"/>
          <w:b/>
          <w:bCs/>
        </w:rPr>
        <w:t>contratos del artículo 355 de la Constitución Política y los convenios de asociación del artículo 96 de la Ley 489 de 1998</w:t>
      </w:r>
      <w:bookmarkEnd w:id="15"/>
    </w:p>
    <w:p w14:paraId="61F87E8C" w14:textId="77777777" w:rsidR="00B92853" w:rsidRPr="00131FA3" w:rsidRDefault="00B92853" w:rsidP="00B92853">
      <w:pPr>
        <w:spacing w:after="0" w:line="276" w:lineRule="auto"/>
        <w:jc w:val="both"/>
        <w:rPr>
          <w:rFonts w:ascii="Century Gothic" w:eastAsia="Calibri" w:hAnsi="Century Gothic" w:cs="Arial"/>
          <w:bCs/>
          <w:lang w:val="es-ES_tradnl"/>
        </w:rPr>
      </w:pPr>
    </w:p>
    <w:p w14:paraId="151BA7F7" w14:textId="77777777" w:rsidR="00B92853" w:rsidRPr="00131FA3" w:rsidRDefault="00B92853" w:rsidP="00B92853">
      <w:pPr>
        <w:spacing w:line="276" w:lineRule="auto"/>
        <w:jc w:val="both"/>
        <w:rPr>
          <w:rFonts w:ascii="Century Gothic" w:eastAsia="Calibri" w:hAnsi="Century Gothic" w:cs="Arial"/>
          <w:bCs/>
          <w:lang w:val="es-ES_tradnl"/>
        </w:rPr>
      </w:pPr>
      <w:r w:rsidRPr="00131FA3">
        <w:rPr>
          <w:rFonts w:ascii="Century Gothic" w:eastAsia="Calibri" w:hAnsi="Century Gothic" w:cs="Arial"/>
          <w:bCs/>
          <w:lang w:val="es-ES_tradnl"/>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131FA3">
        <w:rPr>
          <w:rStyle w:val="Refdenotaalpie"/>
          <w:rFonts w:ascii="Century Gothic" w:hAnsi="Century Gothic" w:cs="Arial"/>
        </w:rPr>
        <w:footnoteReference w:id="10"/>
      </w:r>
      <w:r w:rsidRPr="00131FA3">
        <w:rPr>
          <w:rFonts w:ascii="Century Gothic" w:eastAsia="Calibri" w:hAnsi="Century Gothic" w:cs="Arial"/>
          <w:bCs/>
          <w:lang w:val="es-ES_tradnl"/>
        </w:rPr>
        <w:t>.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r w:rsidRPr="00131FA3">
        <w:rPr>
          <w:rStyle w:val="Refdenotaalpie"/>
          <w:rFonts w:ascii="Century Gothic" w:eastAsia="Calibri" w:hAnsi="Century Gothic" w:cs="Arial"/>
          <w:bCs/>
          <w:lang w:val="es-ES_tradnl"/>
        </w:rPr>
        <w:footnoteReference w:id="11"/>
      </w:r>
      <w:r w:rsidRPr="00131FA3">
        <w:rPr>
          <w:rFonts w:ascii="Century Gothic" w:eastAsia="Calibri" w:hAnsi="Century Gothic" w:cs="Arial"/>
          <w:bCs/>
          <w:lang w:val="es-ES_tradnl"/>
        </w:rPr>
        <w:t>.</w:t>
      </w:r>
    </w:p>
    <w:p w14:paraId="61075FCF" w14:textId="77777777" w:rsidR="00B92853" w:rsidRPr="00131FA3" w:rsidRDefault="00B92853" w:rsidP="00B92853">
      <w:pPr>
        <w:spacing w:before="120" w:after="120" w:line="276" w:lineRule="auto"/>
        <w:ind w:firstLine="709"/>
        <w:jc w:val="both"/>
        <w:rPr>
          <w:rFonts w:ascii="Century Gothic" w:eastAsia="Calibri" w:hAnsi="Century Gothic" w:cs="Arial"/>
          <w:lang w:val="es-ES"/>
        </w:rPr>
      </w:pPr>
      <w:bookmarkStart w:id="17" w:name="_Hlk38819155"/>
      <w:r w:rsidRPr="2B3D2183">
        <w:rPr>
          <w:rFonts w:ascii="Century Gothic" w:eastAsia="Calibri" w:hAnsi="Century Gothic" w:cs="Arial"/>
          <w:lang w:val="es-ES"/>
        </w:rPr>
        <w:t xml:space="preserve">El Decreto 092 de 2017 dispone reglas para las contrataciones que realicen las entidades estatales con las ESAL. El Decreto regula dos (2) eventos: i) los </w:t>
      </w:r>
      <w:r w:rsidRPr="2B3D2183">
        <w:rPr>
          <w:rFonts w:ascii="Century Gothic" w:eastAsia="Calibri" w:hAnsi="Century Gothic" w:cs="Arial"/>
          <w:lang w:val="es-ES"/>
        </w:rPr>
        <w:lastRenderedPageBreak/>
        <w:t xml:space="preserve">contratos del artículo 355 de la Constitución Política con el fin impulsar programas y actividades de interés público de acuerdo con el Plan Nacional o los planes seccionales de desarrollo; y </w:t>
      </w:r>
      <w:proofErr w:type="spellStart"/>
      <w:r w:rsidRPr="2B3D2183">
        <w:rPr>
          <w:rFonts w:ascii="Century Gothic" w:eastAsia="Calibri" w:hAnsi="Century Gothic" w:cs="Arial"/>
          <w:lang w:val="es-ES"/>
        </w:rPr>
        <w:t>ii</w:t>
      </w:r>
      <w:proofErr w:type="spellEnd"/>
      <w:r w:rsidRPr="2B3D2183">
        <w:rPr>
          <w:rFonts w:ascii="Century Gothic" w:eastAsia="Calibri" w:hAnsi="Century Gothic" w:cs="Arial"/>
          <w:lang w:val="es-ES"/>
        </w:rPr>
        <w:t xml:space="preserve">) los convenios de asociación, para el desarrollo conjunto de actividades relacionadas con las funciones de las entidades estatales, en desarrollo del artículo 96 de la Ley 489 de 1998. </w:t>
      </w:r>
      <w:bookmarkEnd w:id="17"/>
    </w:p>
    <w:p w14:paraId="72F36110" w14:textId="77777777" w:rsidR="00B92853" w:rsidRPr="00131FA3" w:rsidRDefault="00B92853" w:rsidP="00B92853">
      <w:pPr>
        <w:spacing w:before="120" w:after="120" w:line="276" w:lineRule="auto"/>
        <w:ind w:firstLine="709"/>
        <w:jc w:val="both"/>
        <w:rPr>
          <w:rFonts w:ascii="Century Gothic" w:eastAsia="Calibri" w:hAnsi="Century Gothic" w:cs="Arial"/>
          <w:lang w:val="es-ES"/>
        </w:rPr>
      </w:pPr>
      <w:bookmarkStart w:id="18" w:name="_Hlk95756032"/>
      <w:r w:rsidRPr="2B3D2183">
        <w:rPr>
          <w:rFonts w:ascii="Century Gothic" w:eastAsia="Calibri" w:hAnsi="Century Gothic" w:cs="Arial"/>
          <w:lang w:val="es-ES"/>
        </w:rPr>
        <w:t xml:space="preserve">Los </w:t>
      </w:r>
      <w:r w:rsidRPr="2B3D2183">
        <w:rPr>
          <w:rFonts w:ascii="Century Gothic" w:eastAsia="Calibri" w:hAnsi="Century Gothic" w:cs="Arial"/>
          <w:i/>
          <w:lang w:val="es-ES"/>
        </w:rPr>
        <w:t>contratos del artículo 355 de la Constitución Política</w:t>
      </w:r>
      <w:r w:rsidRPr="2B3D2183">
        <w:rPr>
          <w:rFonts w:ascii="Century Gothic" w:eastAsia="Calibri" w:hAnsi="Century Gothic" w:cs="Arial"/>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w:t>
      </w:r>
      <w:proofErr w:type="spellStart"/>
      <w:r w:rsidRPr="2B3D2183">
        <w:rPr>
          <w:rFonts w:ascii="Century Gothic" w:eastAsia="Calibri" w:hAnsi="Century Gothic" w:cs="Arial"/>
          <w:lang w:val="es-ES"/>
        </w:rPr>
        <w:t>ii</w:t>
      </w:r>
      <w:proofErr w:type="spellEnd"/>
      <w:r w:rsidRPr="2B3D2183">
        <w:rPr>
          <w:rFonts w:ascii="Century Gothic" w:eastAsia="Calibri" w:hAnsi="Century Gothic" w:cs="Arial"/>
          <w:lang w:val="es-ES"/>
        </w:rPr>
        <w:t>) que no haya una contraprestación directa a favor de la entidad estatal, es decir, que el programa o actividad a desarrollar este dirigida al beneficio de la población en general, ya que cuando se adquieren bienes o servicios o se ejecutan obras en una relación conmutativa, las normas aplicables son las del Estatuto General de Contratación. Solo cuando se reúnan estas condiciones es procedente celebrar contratos del artículo 355 de la Constitución Política; de lo contrario, se aplicarán las normas del Estatuto General de Contratación de la Administración Pública.</w:t>
      </w:r>
    </w:p>
    <w:bookmarkEnd w:id="18"/>
    <w:p w14:paraId="7DDF8CFC" w14:textId="77777777" w:rsidR="00B92853" w:rsidRPr="00131FA3" w:rsidRDefault="00B92853" w:rsidP="00B92853">
      <w:pPr>
        <w:spacing w:before="120" w:after="120" w:line="276" w:lineRule="auto"/>
        <w:ind w:firstLine="709"/>
        <w:jc w:val="both"/>
        <w:rPr>
          <w:rFonts w:ascii="Century Gothic" w:eastAsia="Calibri" w:hAnsi="Century Gothic" w:cs="Arial"/>
          <w:bCs/>
          <w:lang w:val="es-ES_tradnl"/>
        </w:rPr>
      </w:pPr>
      <w:r w:rsidRPr="00131FA3">
        <w:rPr>
          <w:rFonts w:ascii="Century Gothic" w:eastAsia="Calibri" w:hAnsi="Century Gothic" w:cs="Arial"/>
          <w:bCs/>
          <w:lang w:val="es-ES_tradnl"/>
        </w:rPr>
        <w:t xml:space="preserve">De otro lado, los </w:t>
      </w:r>
      <w:r w:rsidRPr="00131FA3">
        <w:rPr>
          <w:rFonts w:ascii="Century Gothic" w:eastAsia="Calibri" w:hAnsi="Century Gothic" w:cs="Arial"/>
          <w:bCs/>
          <w:i/>
          <w:lang w:val="es-ES_tradnl"/>
        </w:rPr>
        <w:t>convenios de asociación</w:t>
      </w:r>
      <w:r w:rsidRPr="00131FA3">
        <w:rPr>
          <w:rFonts w:ascii="Century Gothic" w:eastAsia="Calibri" w:hAnsi="Century Gothic" w:cs="Arial"/>
          <w:bCs/>
          <w:lang w:val="es-ES_tradnl"/>
        </w:rPr>
        <w:t xml:space="preserve"> “[t]</w:t>
      </w:r>
      <w:proofErr w:type="spellStart"/>
      <w:r w:rsidRPr="00131FA3">
        <w:rPr>
          <w:rFonts w:ascii="Century Gothic" w:eastAsia="Calibri" w:hAnsi="Century Gothic" w:cs="Arial"/>
          <w:bCs/>
          <w:lang w:val="es-ES_tradnl"/>
        </w:rPr>
        <w:t>ienen</w:t>
      </w:r>
      <w:proofErr w:type="spellEnd"/>
      <w:r w:rsidRPr="00131FA3">
        <w:rPr>
          <w:rFonts w:ascii="Century Gothic" w:eastAsia="Calibri" w:hAnsi="Century Gothic" w:cs="Arial"/>
          <w:bCs/>
          <w:lang w:val="es-ES_tradnl"/>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131FA3">
        <w:rPr>
          <w:rStyle w:val="Refdenotaalpie"/>
          <w:rFonts w:ascii="Century Gothic" w:hAnsi="Century Gothic" w:cs="Arial"/>
        </w:rPr>
        <w:footnoteReference w:id="12"/>
      </w:r>
      <w:r w:rsidRPr="00131FA3">
        <w:rPr>
          <w:rFonts w:ascii="Century Gothic" w:eastAsia="Calibri" w:hAnsi="Century Gothic" w:cs="Arial"/>
          <w:bCs/>
          <w:lang w:val="es-ES_tradnl"/>
        </w:rPr>
        <w:t xml:space="preserve">.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w:t>
      </w:r>
      <w:r w:rsidRPr="00131FA3">
        <w:rPr>
          <w:rFonts w:ascii="Century Gothic" w:eastAsia="Calibri" w:hAnsi="Century Gothic" w:cs="Arial"/>
          <w:bCs/>
          <w:lang w:val="es-ES_tradnl"/>
        </w:rPr>
        <w:lastRenderedPageBreak/>
        <w:t>programas o actividades previstas, sino que se asocia con él para el cumplimiento de objetivos comunes</w:t>
      </w:r>
      <w:r w:rsidRPr="00131FA3">
        <w:rPr>
          <w:rStyle w:val="Refdenotaalpie"/>
          <w:rFonts w:ascii="Century Gothic" w:hAnsi="Century Gothic" w:cs="Arial"/>
        </w:rPr>
        <w:footnoteReference w:id="13"/>
      </w:r>
      <w:r w:rsidRPr="00131FA3">
        <w:rPr>
          <w:rFonts w:ascii="Century Gothic" w:eastAsia="Calibri" w:hAnsi="Century Gothic" w:cs="Arial"/>
          <w:bCs/>
          <w:lang w:val="es-ES_tradnl"/>
        </w:rPr>
        <w:t>.</w:t>
      </w:r>
    </w:p>
    <w:p w14:paraId="0430883A" w14:textId="77777777" w:rsidR="00B92853" w:rsidRPr="00131FA3" w:rsidRDefault="00B92853" w:rsidP="00B92853">
      <w:pPr>
        <w:spacing w:before="120" w:after="120" w:line="276" w:lineRule="auto"/>
        <w:ind w:firstLine="709"/>
        <w:jc w:val="both"/>
        <w:rPr>
          <w:rFonts w:ascii="Century Gothic" w:eastAsia="Calibri" w:hAnsi="Century Gothic" w:cs="Arial"/>
          <w:bCs/>
        </w:rPr>
      </w:pPr>
      <w:r w:rsidRPr="00131FA3">
        <w:rPr>
          <w:rFonts w:ascii="Century Gothic" w:eastAsia="Calibri" w:hAnsi="Century Gothic" w:cs="Arial"/>
          <w:bCs/>
          <w:lang w:val="es-ES_tradnl"/>
        </w:rPr>
        <w:t>La normativa vigente no impide que varias entidades suscriban conjuntamente el convenio de asociación y tampoco que dos o más ESAL pueden hacerlo, a través de las figuras asociativas autorizadas por la ley, por ejemplo, como unión temporal o como consorcio</w:t>
      </w:r>
      <w:r w:rsidRPr="00131FA3">
        <w:rPr>
          <w:rFonts w:ascii="Century Gothic" w:eastAsia="Calibri" w:hAnsi="Century Gothic" w:cs="Arial"/>
          <w:bCs/>
        </w:rPr>
        <w:t xml:space="preserve">.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las ESAL, aporte al menos el treinta por ciento del valor del convenio para celebrarlo directamente. Además, en atención al inciso 2 del artículo 5 del Decreto 092 de 2017, deben asegurarse </w:t>
      </w:r>
      <w:proofErr w:type="gramStart"/>
      <w:r w:rsidRPr="00131FA3">
        <w:rPr>
          <w:rFonts w:ascii="Century Gothic" w:eastAsia="Calibri" w:hAnsi="Century Gothic" w:cs="Arial"/>
          <w:bCs/>
        </w:rPr>
        <w:t>que</w:t>
      </w:r>
      <w:proofErr w:type="gramEnd"/>
      <w:r w:rsidRPr="00131FA3">
        <w:rPr>
          <w:rFonts w:ascii="Century Gothic" w:eastAsia="Calibri" w:hAnsi="Century Gothic" w:cs="Arial"/>
          <w:bCs/>
        </w:rPr>
        <w:t xml:space="preserv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54E6C31B" w14:textId="77777777" w:rsidR="00B92853" w:rsidRPr="00131FA3" w:rsidRDefault="00B92853" w:rsidP="00B92853">
      <w:pPr>
        <w:spacing w:before="120" w:after="120" w:line="276" w:lineRule="auto"/>
        <w:ind w:firstLine="709"/>
        <w:jc w:val="both"/>
        <w:rPr>
          <w:rFonts w:ascii="Century Gothic" w:hAnsi="Century Gothic"/>
        </w:rPr>
      </w:pPr>
      <w:r w:rsidRPr="00131FA3">
        <w:rPr>
          <w:rFonts w:ascii="Century Gothic" w:hAnsi="Century Gothic" w:cs="Arial"/>
          <w:color w:val="000000" w:themeColor="text1"/>
        </w:rPr>
        <w:t xml:space="preserve">La noción “seleccionar de forma objetiva”, contenida en la disposición </w:t>
      </w:r>
      <w:r w:rsidRPr="00131FA3">
        <w:rPr>
          <w:rFonts w:ascii="Century Gothic" w:hAnsi="Century Gothic" w:cs="Arial"/>
          <w:i/>
          <w:iCs/>
          <w:color w:val="000000" w:themeColor="text1"/>
        </w:rPr>
        <w:t xml:space="preserve">sub examine </w:t>
      </w:r>
      <w:r w:rsidRPr="00131FA3">
        <w:rPr>
          <w:rFonts w:ascii="Century Gothic" w:hAnsi="Century Gothic" w:cs="Arial"/>
          <w:color w:val="000000" w:themeColor="text1"/>
        </w:rPr>
        <w:t>no puede ser entendida como una remisión total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ello, la entidad puede tomar la decisión de acudir a los procesos de selección de contratistas que establece el Estatuto General de Contratación de la Administración Pública o, incluso, al trámite que regula el inciso 2 del artículo 2 del Decreto 092 de 2017.</w:t>
      </w:r>
    </w:p>
    <w:p w14:paraId="33D7B8D4" w14:textId="77777777" w:rsidR="00B92853" w:rsidRPr="00131FA3" w:rsidRDefault="00B92853" w:rsidP="00B92853">
      <w:pPr>
        <w:pStyle w:val="Sinespaciado"/>
        <w:spacing w:line="276" w:lineRule="auto"/>
        <w:ind w:firstLine="708"/>
        <w:jc w:val="both"/>
        <w:rPr>
          <w:rFonts w:ascii="Century Gothic" w:hAnsi="Century Gothic" w:cs="Arial"/>
          <w:color w:val="000000" w:themeColor="text1"/>
          <w:sz w:val="22"/>
        </w:rPr>
      </w:pPr>
      <w:r w:rsidRPr="00131FA3">
        <w:rPr>
          <w:rFonts w:ascii="Century Gothic" w:hAnsi="Century Gothic" w:cs="Arial"/>
          <w:color w:val="000000" w:themeColor="text1"/>
          <w:sz w:val="22"/>
        </w:rPr>
        <w:t xml:space="preserve">Es importante aclarar que los negocios jurídicos que regula el Decreto 092 de 2017 “[…] son esencialmente distintos a los contratos para la adquisición y aprovisionamiento de bienes, obras o servicios regulados por el estatuto de </w:t>
      </w:r>
      <w:r w:rsidRPr="00131FA3">
        <w:rPr>
          <w:rFonts w:ascii="Century Gothic" w:hAnsi="Century Gothic" w:cs="Arial"/>
          <w:color w:val="000000" w:themeColor="text1"/>
          <w:sz w:val="22"/>
        </w:rPr>
        <w:lastRenderedPageBreak/>
        <w:t xml:space="preserve">contratación </w:t>
      </w:r>
      <w:proofErr w:type="gramStart"/>
      <w:r w:rsidRPr="00131FA3">
        <w:rPr>
          <w:rFonts w:ascii="Century Gothic" w:hAnsi="Century Gothic" w:cs="Arial"/>
          <w:color w:val="000000" w:themeColor="text1"/>
          <w:sz w:val="22"/>
        </w:rPr>
        <w:t>y[</w:t>
      </w:r>
      <w:proofErr w:type="gramEnd"/>
      <w:r w:rsidRPr="00131FA3">
        <w:rPr>
          <w:rFonts w:ascii="Century Gothic" w:hAnsi="Century Gothic" w:cs="Arial"/>
          <w:color w:val="000000" w:themeColor="text1"/>
          <w:sz w:val="22"/>
        </w:rPr>
        <w:t>, como tal,] no hacen parte del sistema de compra pública. […] De acuerdo con lo anterior, si la entidad estatal adquiere o se abastece de un bien, obra o servicio en un contrato conmutativo en el cual el proveedor es una [ESAL], debe aplicar el régimen contenido en las Leyes 80 de 1993 y 1150 de 2007, y no el Decreto 092 de 2017”</w:t>
      </w:r>
      <w:r w:rsidRPr="00131FA3">
        <w:rPr>
          <w:rStyle w:val="Refdenotaalpie"/>
          <w:rFonts w:ascii="Century Gothic" w:hAnsi="Century Gothic" w:cs="Arial"/>
          <w:color w:val="000000" w:themeColor="text1"/>
          <w:sz w:val="22"/>
        </w:rPr>
        <w:footnoteReference w:id="14"/>
      </w:r>
      <w:r w:rsidRPr="00131FA3">
        <w:rPr>
          <w:rFonts w:ascii="Century Gothic" w:hAnsi="Century Gothic" w:cs="Arial"/>
          <w:color w:val="000000" w:themeColor="text1"/>
          <w:sz w:val="22"/>
        </w:rPr>
        <w:t>. Así lo consideró la Sala de Consulta y Servicio Civil del Consejo de Estado</w:t>
      </w:r>
      <w:r w:rsidRPr="00131FA3">
        <w:rPr>
          <w:rStyle w:val="Refdenotaalpie"/>
          <w:rFonts w:ascii="Century Gothic" w:hAnsi="Century Gothic" w:cs="Arial"/>
          <w:color w:val="000000" w:themeColor="text1"/>
          <w:sz w:val="22"/>
        </w:rPr>
        <w:footnoteReference w:id="15"/>
      </w:r>
      <w:r w:rsidRPr="00131FA3">
        <w:rPr>
          <w:rFonts w:ascii="Century Gothic" w:hAnsi="Century Gothic" w:cs="Arial"/>
          <w:color w:val="000000" w:themeColor="text1"/>
          <w:sz w:val="22"/>
        </w:rPr>
        <w:t>:</w:t>
      </w:r>
    </w:p>
    <w:p w14:paraId="75DA6492" w14:textId="77777777" w:rsidR="00B92853" w:rsidRPr="00131FA3" w:rsidRDefault="00B92853" w:rsidP="00B92853">
      <w:pPr>
        <w:pStyle w:val="Sinespaciado"/>
        <w:spacing w:line="276" w:lineRule="auto"/>
        <w:jc w:val="both"/>
        <w:rPr>
          <w:rFonts w:ascii="Century Gothic" w:hAnsi="Century Gothic" w:cs="Arial"/>
          <w:color w:val="000000" w:themeColor="text1"/>
          <w:sz w:val="22"/>
        </w:rPr>
      </w:pPr>
    </w:p>
    <w:p w14:paraId="565120C9" w14:textId="77777777" w:rsidR="00B92853" w:rsidRPr="00131FA3" w:rsidRDefault="00B92853" w:rsidP="00B92853">
      <w:pPr>
        <w:spacing w:line="240" w:lineRule="auto"/>
        <w:ind w:left="709" w:right="709"/>
        <w:jc w:val="both"/>
        <w:rPr>
          <w:rFonts w:ascii="Century Gothic" w:eastAsia="Calibri" w:hAnsi="Century Gothic" w:cs="Arial"/>
          <w:color w:val="000000" w:themeColor="text1"/>
          <w:sz w:val="21"/>
          <w:szCs w:val="21"/>
        </w:rPr>
      </w:pPr>
      <w:r w:rsidRPr="00131FA3">
        <w:rPr>
          <w:rFonts w:ascii="Century Gothic" w:eastAsia="Calibri" w:hAnsi="Century Gothic" w:cs="Arial"/>
          <w:color w:val="000000" w:themeColor="text1"/>
          <w:sz w:val="21"/>
          <w:szCs w:val="21"/>
        </w:rPr>
        <w:t>“Como ya se indicó, el objeto de los contratos que autoriza el inciso segundo del artículo 355 Superior, se limita a la realización de actividades o programas de interés público que, conforme a los planes de desarrollo, adelanten instituciones privadas sin ánimo de lucro. Aquellos que generan una contraprestación directa a favor de la entidad contratante y los que tienen por objeto desarrollar proyectos específicos, corresponden al giro normal de las funciones propias de la entidad estatal, y por lo tanto, se tipifican dentro de cualquiera de las modalidades de contratación de la ley 80 de 1.993, debiendo sujetarse a los procedimientos allí previstos, en especial los de escogencia del contratista.</w:t>
      </w:r>
    </w:p>
    <w:p w14:paraId="0163A0A8" w14:textId="77777777" w:rsidR="00B92853" w:rsidRPr="00131FA3" w:rsidRDefault="00B92853" w:rsidP="00B92853">
      <w:pPr>
        <w:spacing w:after="0" w:line="240" w:lineRule="auto"/>
        <w:ind w:left="708" w:right="709"/>
        <w:jc w:val="both"/>
        <w:rPr>
          <w:rFonts w:ascii="Century Gothic" w:eastAsia="Calibri" w:hAnsi="Century Gothic" w:cs="Arial"/>
          <w:color w:val="000000" w:themeColor="text1"/>
          <w:sz w:val="21"/>
          <w:szCs w:val="21"/>
        </w:rPr>
      </w:pPr>
      <w:r w:rsidRPr="00131FA3">
        <w:rPr>
          <w:rFonts w:ascii="Century Gothic" w:eastAsia="Calibri" w:hAnsi="Century Gothic" w:cs="Arial"/>
          <w:color w:val="000000" w:themeColor="text1"/>
          <w:sz w:val="21"/>
          <w:szCs w:val="21"/>
        </w:rPr>
        <w:t>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las disposiciones contractuales vigentes, como sería por ejemplo, contratos de prestación de servicios o de obra pública”.</w:t>
      </w:r>
    </w:p>
    <w:p w14:paraId="6616F424" w14:textId="77777777" w:rsidR="00B92853" w:rsidRPr="00131FA3" w:rsidRDefault="00B92853" w:rsidP="00B92853">
      <w:pPr>
        <w:spacing w:after="0" w:line="276" w:lineRule="auto"/>
        <w:ind w:firstLine="708"/>
        <w:jc w:val="both"/>
        <w:rPr>
          <w:rFonts w:ascii="Century Gothic" w:eastAsia="Calibri" w:hAnsi="Century Gothic" w:cs="Arial"/>
          <w:color w:val="000000" w:themeColor="text1"/>
        </w:rPr>
      </w:pPr>
      <w:bookmarkStart w:id="19" w:name="_Hlk95756200"/>
    </w:p>
    <w:p w14:paraId="19A1023E" w14:textId="77777777" w:rsidR="00B92853" w:rsidRPr="00131FA3" w:rsidRDefault="00B92853" w:rsidP="00B92853">
      <w:pPr>
        <w:spacing w:after="0" w:line="276" w:lineRule="auto"/>
        <w:ind w:firstLine="708"/>
        <w:jc w:val="both"/>
        <w:rPr>
          <w:rFonts w:ascii="Century Gothic" w:eastAsia="Calibri" w:hAnsi="Century Gothic" w:cs="Arial"/>
          <w:color w:val="000000" w:themeColor="text1"/>
        </w:rPr>
      </w:pPr>
      <w:r w:rsidRPr="00131FA3">
        <w:rPr>
          <w:rFonts w:ascii="Century Gothic" w:eastAsia="Calibri" w:hAnsi="Century Gothic" w:cs="Arial"/>
          <w:color w:val="000000" w:themeColor="text1"/>
        </w:rPr>
        <w:t xml:space="preserve">De acuerdo con lo anterior, no todas las actividades que las entidades 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 </w:t>
      </w:r>
      <w:bookmarkEnd w:id="19"/>
      <w:r w:rsidRPr="00131FA3">
        <w:rPr>
          <w:rFonts w:ascii="Century Gothic" w:eastAsia="Calibri" w:hAnsi="Century Gothic" w:cs="Arial"/>
          <w:color w:val="000000" w:themeColor="text1"/>
        </w:rPr>
        <w:t>Así lo reconoció la Corte Constitucional en la sentencia C-287 del 18 de abril de 2012, en la que sostuvo lo siguiente:</w:t>
      </w:r>
    </w:p>
    <w:p w14:paraId="50DFB873" w14:textId="77777777" w:rsidR="00B92853" w:rsidRPr="00131FA3" w:rsidRDefault="00B92853" w:rsidP="00B92853">
      <w:pPr>
        <w:spacing w:after="0" w:line="276" w:lineRule="auto"/>
        <w:ind w:firstLine="708"/>
        <w:jc w:val="both"/>
        <w:rPr>
          <w:rFonts w:ascii="Century Gothic" w:eastAsia="Calibri" w:hAnsi="Century Gothic" w:cs="Arial"/>
          <w:color w:val="000000" w:themeColor="text1"/>
        </w:rPr>
      </w:pPr>
    </w:p>
    <w:p w14:paraId="31B3E8E6" w14:textId="77777777" w:rsidR="00B92853" w:rsidRPr="00131FA3" w:rsidRDefault="00B92853" w:rsidP="00B92853">
      <w:pPr>
        <w:spacing w:line="240" w:lineRule="auto"/>
        <w:ind w:left="709" w:right="709"/>
        <w:jc w:val="both"/>
        <w:rPr>
          <w:rFonts w:ascii="Century Gothic" w:eastAsia="Calibri" w:hAnsi="Century Gothic" w:cs="Arial"/>
          <w:color w:val="000000" w:themeColor="text1"/>
          <w:sz w:val="21"/>
          <w:szCs w:val="21"/>
        </w:rPr>
      </w:pPr>
      <w:r w:rsidRPr="00131FA3">
        <w:rPr>
          <w:rFonts w:ascii="Century Gothic" w:eastAsia="Calibri" w:hAnsi="Century Gothic" w:cs="Arial"/>
          <w:color w:val="000000" w:themeColor="text1"/>
          <w:sz w:val="21"/>
          <w:szCs w:val="21"/>
        </w:rPr>
        <w:t xml:space="preserve">“Las corporaciones o asociaciones sin ánimo de lucro han sido definas por la doctrina como personas jurídicas que surgen de la voluntad de un </w:t>
      </w:r>
      <w:r w:rsidRPr="00131FA3">
        <w:rPr>
          <w:rFonts w:ascii="Century Gothic" w:eastAsia="Calibri" w:hAnsi="Century Gothic" w:cs="Arial"/>
          <w:color w:val="000000" w:themeColor="text1"/>
          <w:sz w:val="21"/>
          <w:szCs w:val="21"/>
        </w:rPr>
        <w:lastRenderedPageBreak/>
        <w:t>grupo de individuos que vinculan un capital a la obtención de un fin de interés general o de bienestar común no lucrativo, de manera que tienen como finalidad propia la satisfacción de intereses públicos y sociales.</w:t>
      </w:r>
    </w:p>
    <w:p w14:paraId="5DFA8037" w14:textId="77777777" w:rsidR="00B92853" w:rsidRPr="00131FA3" w:rsidRDefault="00B92853" w:rsidP="00B92853">
      <w:pPr>
        <w:spacing w:after="0" w:line="240" w:lineRule="auto"/>
        <w:ind w:left="709" w:right="709"/>
        <w:jc w:val="both"/>
        <w:rPr>
          <w:rFonts w:ascii="Century Gothic" w:eastAsia="Calibri" w:hAnsi="Century Gothic" w:cs="Arial"/>
          <w:color w:val="000000" w:themeColor="text1"/>
          <w:sz w:val="21"/>
          <w:szCs w:val="21"/>
        </w:rPr>
      </w:pPr>
      <w:r w:rsidRPr="00131FA3">
        <w:rPr>
          <w:rFonts w:ascii="Century Gothic" w:eastAsia="Calibri" w:hAnsi="Century Gothic" w:cs="Arial"/>
          <w:i/>
          <w:iCs/>
          <w:color w:val="000000" w:themeColor="text1"/>
          <w:sz w:val="21"/>
          <w:szCs w:val="21"/>
        </w:rPr>
        <w:t xml:space="preserve">Sin embargo, el hecho que no persigan una finalidad </w:t>
      </w:r>
      <w:proofErr w:type="gramStart"/>
      <w:r w:rsidRPr="00131FA3">
        <w:rPr>
          <w:rFonts w:ascii="Century Gothic" w:eastAsia="Calibri" w:hAnsi="Century Gothic" w:cs="Arial"/>
          <w:i/>
          <w:iCs/>
          <w:color w:val="000000" w:themeColor="text1"/>
          <w:sz w:val="21"/>
          <w:szCs w:val="21"/>
        </w:rPr>
        <w:t>lucrativa,</w:t>
      </w:r>
      <w:proofErr w:type="gramEnd"/>
      <w:r w:rsidRPr="00131FA3">
        <w:rPr>
          <w:rFonts w:ascii="Century Gothic" w:eastAsia="Calibri" w:hAnsi="Century Gothic" w:cs="Arial"/>
          <w:i/>
          <w:iCs/>
          <w:color w:val="000000" w:themeColor="text1"/>
          <w:sz w:val="21"/>
          <w:szCs w:val="21"/>
        </w:rPr>
        <w:t xml:space="preserve"> no significa que no desarrollen actividades que generen utilidades, lo que pasa es que a diferencia de las sociedades, el lucro o ganancia obtenida no se reparte entre sus miembros sino que se integra al patrimonio de la asociación para la obtención del fin deseado</w:t>
      </w:r>
      <w:r w:rsidRPr="00131FA3">
        <w:rPr>
          <w:rFonts w:ascii="Century Gothic" w:eastAsia="Calibri" w:hAnsi="Century Gothic" w:cs="Arial"/>
          <w:color w:val="000000" w:themeColor="text1"/>
          <w:sz w:val="21"/>
          <w:szCs w:val="21"/>
        </w:rPr>
        <w:t xml:space="preserve">.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w:t>
      </w:r>
      <w:proofErr w:type="gramStart"/>
      <w:r w:rsidRPr="00131FA3">
        <w:rPr>
          <w:rFonts w:ascii="Century Gothic" w:eastAsia="Calibri" w:hAnsi="Century Gothic" w:cs="Arial"/>
          <w:color w:val="000000" w:themeColor="text1"/>
          <w:sz w:val="21"/>
          <w:szCs w:val="21"/>
        </w:rPr>
        <w:t>del mismo</w:t>
      </w:r>
      <w:proofErr w:type="gramEnd"/>
      <w:r w:rsidRPr="00131FA3">
        <w:rPr>
          <w:rFonts w:ascii="Century Gothic" w:eastAsia="Calibri" w:hAnsi="Century Gothic" w:cs="Arial"/>
          <w:color w:val="000000" w:themeColor="text1"/>
          <w:sz w:val="21"/>
          <w:szCs w:val="21"/>
        </w:rPr>
        <w:t xml:space="preserve"> en el momento de su disolución o liquidación”. (</w:t>
      </w:r>
      <w:r>
        <w:rPr>
          <w:rFonts w:ascii="Century Gothic" w:eastAsia="Calibri" w:hAnsi="Century Gothic" w:cs="Arial"/>
          <w:color w:val="000000" w:themeColor="text1"/>
          <w:sz w:val="21"/>
          <w:szCs w:val="21"/>
        </w:rPr>
        <w:t>Énfasis fuera de texto</w:t>
      </w:r>
      <w:r w:rsidRPr="00131FA3">
        <w:rPr>
          <w:rFonts w:ascii="Century Gothic" w:eastAsia="Calibri" w:hAnsi="Century Gothic" w:cs="Arial"/>
          <w:color w:val="000000" w:themeColor="text1"/>
          <w:sz w:val="21"/>
          <w:szCs w:val="21"/>
        </w:rPr>
        <w:t>)</w:t>
      </w:r>
    </w:p>
    <w:p w14:paraId="6E15B4D0" w14:textId="77777777" w:rsidR="00B92853" w:rsidRPr="00131FA3" w:rsidRDefault="00B92853" w:rsidP="00B92853">
      <w:pPr>
        <w:spacing w:after="0" w:line="276" w:lineRule="auto"/>
        <w:ind w:firstLine="709"/>
        <w:jc w:val="both"/>
        <w:rPr>
          <w:rFonts w:ascii="Century Gothic" w:eastAsia="Calibri" w:hAnsi="Century Gothic" w:cs="Arial"/>
          <w:color w:val="000000" w:themeColor="text1"/>
        </w:rPr>
      </w:pPr>
    </w:p>
    <w:p w14:paraId="51C692E9" w14:textId="77777777" w:rsidR="00B92853" w:rsidRPr="00131FA3" w:rsidRDefault="00B92853" w:rsidP="00B92853">
      <w:pPr>
        <w:spacing w:after="0" w:line="276" w:lineRule="auto"/>
        <w:ind w:firstLine="709"/>
        <w:jc w:val="both"/>
        <w:rPr>
          <w:rFonts w:ascii="Century Gothic" w:eastAsia="Calibri" w:hAnsi="Century Gothic" w:cs="Arial"/>
          <w:color w:val="000000" w:themeColor="text1"/>
        </w:rPr>
      </w:pPr>
      <w:r w:rsidRPr="00131FA3">
        <w:rPr>
          <w:rFonts w:ascii="Century Gothic" w:eastAsia="Calibri" w:hAnsi="Century Gothic" w:cs="Arial"/>
          <w:color w:val="000000" w:themeColor="text1"/>
        </w:rPr>
        <w:t>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Con todo, las ESAL pueden participar en igualdad de condiciones en procesos de contratación regidos por la Ley 80 de 1993, la Ley 1150 de 2007 y el Decreto 1082 de 2015, siempre y cuando cumplan con los requisitos exigidos en los documentos del proceso. De esta manera, ni los contratos del artículo 355 de la Constitución Política ni los convenios de asociación del artículo 96 de la Ley 489 de 1998 generan utilidades para la ESAL, pues en dicho caso se trataría de un contrato en el que se debe remunerar al contratista por los servicios prestados, el cual, por eso mismo, tiene un régimen legal distinto.</w:t>
      </w:r>
    </w:p>
    <w:p w14:paraId="49FEDE85" w14:textId="77777777" w:rsidR="00B92853" w:rsidRPr="00131FA3" w:rsidRDefault="00B92853" w:rsidP="00B92853">
      <w:pPr>
        <w:spacing w:after="0" w:line="276" w:lineRule="auto"/>
        <w:ind w:firstLine="709"/>
        <w:jc w:val="both"/>
        <w:rPr>
          <w:rFonts w:ascii="Century Gothic" w:eastAsia="Calibri" w:hAnsi="Century Gothic" w:cs="Arial"/>
          <w:color w:val="000000" w:themeColor="text1"/>
        </w:rPr>
      </w:pPr>
    </w:p>
    <w:p w14:paraId="51AB610B" w14:textId="77777777" w:rsidR="00B92853" w:rsidRPr="00131FA3" w:rsidRDefault="00B92853" w:rsidP="00B92853">
      <w:pPr>
        <w:spacing w:after="0" w:line="276" w:lineRule="auto"/>
        <w:jc w:val="both"/>
        <w:rPr>
          <w:rFonts w:ascii="Century Gothic" w:eastAsia="Calibri" w:hAnsi="Century Gothic" w:cs="Arial"/>
          <w:b/>
          <w:bCs/>
          <w:color w:val="000000" w:themeColor="text1"/>
        </w:rPr>
      </w:pPr>
      <w:r w:rsidRPr="00131FA3">
        <w:rPr>
          <w:rFonts w:ascii="Century Gothic" w:eastAsia="Calibri" w:hAnsi="Century Gothic" w:cs="Arial"/>
          <w:b/>
          <w:bCs/>
          <w:color w:val="000000" w:themeColor="text1"/>
        </w:rPr>
        <w:t>2.</w:t>
      </w:r>
      <w:r>
        <w:rPr>
          <w:rFonts w:ascii="Century Gothic" w:eastAsia="Calibri" w:hAnsi="Century Gothic" w:cs="Arial"/>
          <w:b/>
          <w:bCs/>
          <w:color w:val="000000" w:themeColor="text1"/>
        </w:rPr>
        <w:t>3.</w:t>
      </w:r>
      <w:r w:rsidRPr="00131FA3">
        <w:rPr>
          <w:rFonts w:ascii="Century Gothic" w:eastAsia="Calibri" w:hAnsi="Century Gothic" w:cs="Arial"/>
          <w:b/>
          <w:bCs/>
          <w:color w:val="000000" w:themeColor="text1"/>
        </w:rPr>
        <w:t xml:space="preserve"> </w:t>
      </w:r>
      <w:r w:rsidRPr="00131FA3">
        <w:rPr>
          <w:rFonts w:ascii="Century Gothic" w:hAnsi="Century Gothic" w:cs="Arial"/>
          <w:b/>
          <w:bCs/>
          <w:color w:val="000000" w:themeColor="text1"/>
          <w:lang w:val="es-ES_tradnl"/>
        </w:rPr>
        <w:t>Suspensión provisional de algunas normas del Decreto 092 de 2017</w:t>
      </w:r>
    </w:p>
    <w:p w14:paraId="36B6BCD6" w14:textId="77777777" w:rsidR="00B92853" w:rsidRPr="00131FA3" w:rsidRDefault="00B92853" w:rsidP="00B92853">
      <w:pPr>
        <w:spacing w:after="0" w:line="276" w:lineRule="auto"/>
        <w:jc w:val="both"/>
        <w:rPr>
          <w:rFonts w:ascii="Century Gothic" w:eastAsia="Calibri" w:hAnsi="Century Gothic" w:cs="Arial"/>
          <w:color w:val="000000" w:themeColor="text1"/>
        </w:rPr>
      </w:pPr>
    </w:p>
    <w:p w14:paraId="1B772F6B" w14:textId="77777777" w:rsidR="00B92853" w:rsidRPr="00131FA3" w:rsidRDefault="00B92853" w:rsidP="00B92853">
      <w:pPr>
        <w:spacing w:line="276" w:lineRule="auto"/>
        <w:jc w:val="both"/>
        <w:rPr>
          <w:rFonts w:ascii="Century Gothic" w:eastAsia="Calibri" w:hAnsi="Century Gothic" w:cs="Arial"/>
          <w:color w:val="000000" w:themeColor="text1"/>
        </w:rPr>
      </w:pPr>
      <w:r w:rsidRPr="00131FA3">
        <w:rPr>
          <w:rFonts w:ascii="Century Gothic" w:eastAsia="Calibri" w:hAnsi="Century Gothic" w:cs="Arial"/>
          <w:color w:val="000000" w:themeColor="text1"/>
        </w:rPr>
        <w:t xml:space="preserve">El Consejo de Estado, en el Auto del 6 de agosto de 2019 de la Sección Tercera, Subsección A, radicado No. 11001-03-26-000-2018-00113-00 (62.003), </w:t>
      </w:r>
      <w:proofErr w:type="gramStart"/>
      <w:r w:rsidRPr="00131FA3">
        <w:rPr>
          <w:rFonts w:ascii="Century Gothic" w:eastAsia="Calibri" w:hAnsi="Century Gothic" w:cs="Arial"/>
          <w:color w:val="000000" w:themeColor="text1"/>
        </w:rPr>
        <w:t>Consejero</w:t>
      </w:r>
      <w:proofErr w:type="gramEnd"/>
      <w:r w:rsidRPr="00131FA3">
        <w:rPr>
          <w:rFonts w:ascii="Century Gothic" w:eastAsia="Calibri" w:hAnsi="Century Gothic" w:cs="Arial"/>
          <w:color w:val="000000" w:themeColor="text1"/>
        </w:rPr>
        <w:t xml:space="preserve"> Ponente Carlos Alberto Zambrano Barrera, estudió la solicitud de suspensión provisional del inciso 2 del artículo 1, literales a y c del artículo 2, inciso 5 del artículo 2, inciso 2 del artículo 3, inciso final del artículo 4 y artículo 5 del Decreto 092 de 2017</w:t>
      </w:r>
      <w:r w:rsidRPr="00131FA3">
        <w:rPr>
          <w:rStyle w:val="Refdenotaalpie"/>
          <w:rFonts w:ascii="Century Gothic" w:eastAsia="Calibri" w:hAnsi="Century Gothic" w:cs="Arial"/>
          <w:color w:val="000000" w:themeColor="text1"/>
        </w:rPr>
        <w:footnoteReference w:id="16"/>
      </w:r>
      <w:r w:rsidRPr="00131FA3">
        <w:rPr>
          <w:rFonts w:ascii="Century Gothic" w:eastAsia="Calibri" w:hAnsi="Century Gothic" w:cs="Arial"/>
          <w:color w:val="000000" w:themeColor="text1"/>
        </w:rPr>
        <w:t xml:space="preserve">. Cabe precisar que las decisiones adoptadas en el auto indicado fueron </w:t>
      </w:r>
      <w:r w:rsidRPr="00131FA3">
        <w:rPr>
          <w:rFonts w:ascii="Century Gothic" w:eastAsia="Calibri" w:hAnsi="Century Gothic" w:cs="Arial"/>
          <w:color w:val="000000" w:themeColor="text1"/>
        </w:rPr>
        <w:lastRenderedPageBreak/>
        <w:t>mantenidas en su mayoría en el Auto del 15 de marzo de 2022 de la Sala Plena del Consejo de Estado</w:t>
      </w:r>
      <w:r w:rsidRPr="00131FA3">
        <w:rPr>
          <w:rFonts w:ascii="Century Gothic" w:eastAsia="Calibri" w:hAnsi="Century Gothic" w:cs="Arial"/>
          <w:color w:val="000000" w:themeColor="text1"/>
          <w:vertAlign w:val="superscript"/>
        </w:rPr>
        <w:footnoteReference w:id="17"/>
      </w:r>
      <w:r w:rsidRPr="00131FA3">
        <w:rPr>
          <w:rFonts w:ascii="Century Gothic" w:eastAsia="Calibri" w:hAnsi="Century Gothic" w:cs="Arial"/>
          <w:color w:val="000000" w:themeColor="text1"/>
        </w:rPr>
        <w:t xml:space="preserve">, mediante el cual se resuelve el recurso de súplica frente al anterior auto que, como se explicará, suspendió provisionalmente varios apartes del Decreto 092 de 2017. En este sentido, en el último auto se levantó la suspensión provisional del inciso segundo del artículo 1 y del inciso segundo del artículo 3, manteniendo en lo demás la suspensión provisional, como se precisará a continuación. </w:t>
      </w:r>
    </w:p>
    <w:p w14:paraId="4662CEE6" w14:textId="77777777" w:rsidR="00B92853" w:rsidRPr="00131FA3" w:rsidRDefault="00B92853" w:rsidP="00B92853">
      <w:pPr>
        <w:spacing w:before="120" w:after="0" w:line="276" w:lineRule="auto"/>
        <w:ind w:firstLine="708"/>
        <w:jc w:val="both"/>
        <w:rPr>
          <w:rFonts w:ascii="Century Gothic" w:eastAsia="Calibri" w:hAnsi="Century Gothic" w:cs="Arial"/>
          <w:color w:val="000000" w:themeColor="text1"/>
        </w:rPr>
      </w:pPr>
      <w:r w:rsidRPr="00131FA3">
        <w:rPr>
          <w:rFonts w:ascii="Century Gothic" w:eastAsia="Calibri" w:hAnsi="Century Gothic" w:cs="Arial"/>
          <w:color w:val="000000" w:themeColor="text1"/>
        </w:rPr>
        <w:t xml:space="preserve">La </w:t>
      </w:r>
      <w:r w:rsidRPr="00131FA3">
        <w:rPr>
          <w:rFonts w:ascii="Century Gothic" w:eastAsia="Calibri" w:hAnsi="Century Gothic" w:cs="Arial"/>
          <w:i/>
          <w:iCs/>
          <w:color w:val="000000" w:themeColor="text1"/>
        </w:rPr>
        <w:t>primera</w:t>
      </w:r>
      <w:r w:rsidRPr="00131FA3">
        <w:rPr>
          <w:rFonts w:ascii="Century Gothic" w:eastAsia="Calibri" w:hAnsi="Century Gothic" w:cs="Arial"/>
          <w:color w:val="000000" w:themeColor="text1"/>
        </w:rPr>
        <w:t xml:space="preserve"> norma que estudió el Consejo de Estado en el auto del 6 de agosto de 2019 fue el inciso 2 del artículo 1 del Decreto 092 de 2017, el cual establece que la interpretación de las expresiones que se encuentran en mayúsculas en el Decreto 092 de 2017 se harían de conformidad con la guía que expida la Agencia Nacional de Contratación Pública</w:t>
      </w:r>
      <w:r w:rsidRPr="00131FA3">
        <w:rPr>
          <w:rStyle w:val="Refdenotaalpie"/>
          <w:rFonts w:ascii="Century Gothic" w:eastAsia="Calibri" w:hAnsi="Century Gothic" w:cs="Arial"/>
          <w:color w:val="000000" w:themeColor="text1"/>
        </w:rPr>
        <w:footnoteReference w:id="18"/>
      </w:r>
      <w:r w:rsidRPr="00131FA3">
        <w:rPr>
          <w:rFonts w:ascii="Century Gothic" w:eastAsia="Calibri" w:hAnsi="Century Gothic" w:cs="Arial"/>
          <w:color w:val="000000" w:themeColor="text1"/>
        </w:rPr>
        <w:t>. Señaló que esta disposición, así como el inciso segundo del artículo 3 del Decreto 092 de 2017</w:t>
      </w:r>
      <w:r w:rsidRPr="00131FA3">
        <w:rPr>
          <w:rStyle w:val="Refdenotaalpie"/>
          <w:rFonts w:ascii="Century Gothic" w:eastAsia="Calibri" w:hAnsi="Century Gothic" w:cs="Arial"/>
          <w:color w:val="000000" w:themeColor="text1"/>
        </w:rPr>
        <w:footnoteReference w:id="19"/>
      </w:r>
      <w:r w:rsidRPr="00131FA3">
        <w:rPr>
          <w:rFonts w:ascii="Century Gothic" w:eastAsia="Calibri" w:hAnsi="Century Gothic" w:cs="Arial"/>
          <w:color w:val="000000" w:themeColor="text1"/>
        </w:rPr>
        <w:t xml:space="preserve">, excedían la potestad reglamentaria, que estaba exclusivamente asignada al Presidente de la República, toda vez que la esencia de la facultad reglamentaria es de carácter permanente, inalienable, intransferible e irrenunciable, y el Presidente no la podía delegar en una entidad como la Agencia Nacional de Contratación Pública – Colombia Compra Eficiente, para que a través de una guía reglamentara los vacíos de un Decreto. Al respecto señaló: </w:t>
      </w:r>
    </w:p>
    <w:p w14:paraId="57A81BC7" w14:textId="77777777" w:rsidR="00B92853" w:rsidRPr="00131FA3" w:rsidRDefault="00B92853" w:rsidP="00B92853">
      <w:pPr>
        <w:spacing w:after="0" w:line="276" w:lineRule="auto"/>
        <w:jc w:val="both"/>
        <w:rPr>
          <w:rFonts w:ascii="Century Gothic" w:eastAsia="Calibri" w:hAnsi="Century Gothic" w:cs="Arial"/>
          <w:color w:val="000000" w:themeColor="text1"/>
        </w:rPr>
      </w:pPr>
    </w:p>
    <w:p w14:paraId="673E9368" w14:textId="77777777" w:rsidR="00B92853" w:rsidRPr="00131FA3" w:rsidRDefault="00B92853" w:rsidP="00B92853">
      <w:pPr>
        <w:tabs>
          <w:tab w:val="left" w:pos="8789"/>
        </w:tabs>
        <w:spacing w:after="0" w:line="240" w:lineRule="auto"/>
        <w:ind w:left="708" w:right="709"/>
        <w:jc w:val="both"/>
        <w:rPr>
          <w:rFonts w:ascii="Century Gothic" w:eastAsia="Calibri" w:hAnsi="Century Gothic" w:cs="Arial"/>
          <w:color w:val="000000" w:themeColor="text1"/>
          <w:sz w:val="21"/>
          <w:szCs w:val="21"/>
        </w:rPr>
      </w:pPr>
      <w:r w:rsidRPr="00131FA3">
        <w:rPr>
          <w:rFonts w:ascii="Century Gothic" w:eastAsia="Calibri" w:hAnsi="Century Gothic" w:cs="Arial"/>
          <w:color w:val="000000" w:themeColor="text1"/>
          <w:sz w:val="21"/>
          <w:szCs w:val="21"/>
        </w:rPr>
        <w:t xml:space="preserve">“En efecto, dejar espacios “vacíos” para que Colombia Compra Eficiente defina el alcance y la interpretación de ciertas expresiones y dicte las ‘pautas’ y ‘criterios’ para desarrollar la materia reglamentada no es otra cosa que delegar la reglamentación, pues materialmente se le encomienda a otra autoridad administrativa la labor de completar el ejercicio reglamentario que hizo el Gobierno Nacional o, cuando menos, se le encomienda la tarea de complementar una reglamentación </w:t>
      </w:r>
      <w:r w:rsidRPr="00131FA3">
        <w:rPr>
          <w:rFonts w:ascii="Century Gothic" w:eastAsia="Calibri" w:hAnsi="Century Gothic" w:cs="Arial"/>
          <w:color w:val="000000" w:themeColor="text1"/>
          <w:sz w:val="21"/>
          <w:szCs w:val="21"/>
        </w:rPr>
        <w:lastRenderedPageBreak/>
        <w:t>insuficiente que hizo la autoridad competente, tarea que no puede ser asignada por el Presidente de la República a ningún otro organismo o entidad de la administración (distinto del Gobierno Nacional), puesto que, sin duda, quien estaría concurriendo materialmente en tal caso a reglamentar la norma constitucional sería la autoridad delegataria y no el competente para ello, según lo dispuesto por el constituyente”.</w:t>
      </w:r>
    </w:p>
    <w:p w14:paraId="66A9EF1F" w14:textId="77777777" w:rsidR="00B92853" w:rsidRPr="00131FA3" w:rsidRDefault="00B92853" w:rsidP="00B92853">
      <w:pPr>
        <w:tabs>
          <w:tab w:val="left" w:pos="8789"/>
        </w:tabs>
        <w:spacing w:after="0" w:line="276" w:lineRule="auto"/>
        <w:ind w:left="708" w:right="709"/>
        <w:jc w:val="both"/>
        <w:rPr>
          <w:rFonts w:ascii="Century Gothic" w:eastAsia="Calibri" w:hAnsi="Century Gothic" w:cs="Arial"/>
          <w:color w:val="000000" w:themeColor="text1"/>
        </w:rPr>
      </w:pPr>
    </w:p>
    <w:p w14:paraId="20475925" w14:textId="77777777" w:rsidR="00B92853" w:rsidRPr="00131FA3" w:rsidRDefault="00B92853" w:rsidP="00B92853">
      <w:pPr>
        <w:spacing w:after="0" w:line="276" w:lineRule="auto"/>
        <w:ind w:firstLine="709"/>
        <w:jc w:val="both"/>
        <w:rPr>
          <w:rFonts w:ascii="Century Gothic" w:eastAsia="Calibri" w:hAnsi="Century Gothic" w:cs="Arial"/>
          <w:color w:val="000000" w:themeColor="text1"/>
        </w:rPr>
      </w:pPr>
      <w:r w:rsidRPr="00131FA3">
        <w:rPr>
          <w:rFonts w:ascii="Century Gothic" w:eastAsia="Calibri" w:hAnsi="Century Gothic" w:cs="Arial"/>
          <w:color w:val="000000" w:themeColor="text1"/>
        </w:rPr>
        <w:t>En virtud de este análisis, el Consejo de Estado, en el auto del 9 de agosto de 2019 suspendió provisionalmente el inciso 2 del artículo primero y el inciso 2 del artículo 3, lo que significaba que los contratos celebrados con entidades sin ánimo de lucro no tenían que aplicar la “Guía para la contratación con entidades privadas sin ánimo de lucro y de reconocida idoneidad”, expedida por la Agencia Nacional de Contratación Pública–Colombia Compra Eficiente. Sin embargo, mediante el auto del 15 de marzo de 2022 de la Sala Plena del Consejo de Estado, al que se hizo referencia en inicio de este acápite, se ordenó levantar la suspensión provisional del inciso segundo del artículo 1 y del inciso segundo del artículo 3, al considerar la Alta Corporación que:</w:t>
      </w:r>
    </w:p>
    <w:p w14:paraId="6C33B4F5" w14:textId="77777777" w:rsidR="00B92853" w:rsidRPr="00131FA3" w:rsidRDefault="00B92853" w:rsidP="00B92853">
      <w:pPr>
        <w:spacing w:after="0" w:line="276" w:lineRule="auto"/>
        <w:ind w:firstLine="709"/>
        <w:jc w:val="both"/>
        <w:rPr>
          <w:rFonts w:ascii="Century Gothic" w:eastAsia="Calibri" w:hAnsi="Century Gothic" w:cs="Arial"/>
          <w:color w:val="000000" w:themeColor="text1"/>
        </w:rPr>
      </w:pPr>
    </w:p>
    <w:p w14:paraId="16B21703" w14:textId="77777777" w:rsidR="00B92853" w:rsidRPr="00131FA3" w:rsidRDefault="00B92853" w:rsidP="00B92853">
      <w:pPr>
        <w:spacing w:after="0" w:line="240" w:lineRule="auto"/>
        <w:ind w:left="708" w:right="709"/>
        <w:jc w:val="both"/>
        <w:rPr>
          <w:rFonts w:ascii="Century Gothic" w:eastAsia="Calibri" w:hAnsi="Century Gothic" w:cs="Arial"/>
          <w:color w:val="000000" w:themeColor="text1"/>
          <w:sz w:val="21"/>
          <w:szCs w:val="21"/>
        </w:rPr>
      </w:pPr>
      <w:r w:rsidRPr="00131FA3">
        <w:rPr>
          <w:rFonts w:ascii="Century Gothic" w:eastAsia="Calibri" w:hAnsi="Century Gothic" w:cs="Arial"/>
          <w:color w:val="000000" w:themeColor="text1"/>
          <w:sz w:val="21"/>
          <w:szCs w:val="21"/>
        </w:rPr>
        <w:t>“28. Contrario a la conclusión a la que se arribó en el auto suplicado, la Sala observa que de la simple confrontación de la norma no se advierte, prima facie, que lo ordenado en el inciso segundo del artículo 1, así como en el inciso segundo del artículo 3 del Decreto 092 de 2017, conlleve, per se, la delegación de la facultad reglamentaria directa de la Constitución, atribuida al Gobierno nacional en el artículo 355 superior”.</w:t>
      </w:r>
    </w:p>
    <w:p w14:paraId="4929993E" w14:textId="77777777" w:rsidR="00B92853" w:rsidRPr="00131FA3" w:rsidRDefault="00B92853" w:rsidP="00B92853">
      <w:pPr>
        <w:spacing w:after="0" w:line="276" w:lineRule="auto"/>
        <w:ind w:left="708" w:right="709"/>
        <w:jc w:val="both"/>
        <w:rPr>
          <w:rFonts w:ascii="Century Gothic" w:eastAsia="Calibri" w:hAnsi="Century Gothic" w:cs="Arial"/>
          <w:color w:val="000000" w:themeColor="text1"/>
        </w:rPr>
      </w:pPr>
    </w:p>
    <w:p w14:paraId="5BE8C07B" w14:textId="77777777" w:rsidR="00B92853" w:rsidRPr="00131FA3" w:rsidRDefault="00B92853" w:rsidP="00B92853">
      <w:pPr>
        <w:spacing w:after="0" w:line="276" w:lineRule="auto"/>
        <w:ind w:firstLine="709"/>
        <w:jc w:val="both"/>
        <w:rPr>
          <w:rFonts w:ascii="Century Gothic" w:eastAsia="Calibri" w:hAnsi="Century Gothic" w:cs="Arial"/>
          <w:color w:val="000000" w:themeColor="text1"/>
        </w:rPr>
      </w:pPr>
      <w:r w:rsidRPr="00131FA3">
        <w:rPr>
          <w:rFonts w:ascii="Century Gothic" w:eastAsia="Calibri" w:hAnsi="Century Gothic" w:cs="Arial"/>
          <w:color w:val="000000" w:themeColor="text1"/>
        </w:rPr>
        <w:t xml:space="preserve">En armonía con lo anterior, en relación con el inciso segundo del artículo primero del Decreto 092 de 2017, que establece que las expresiones utilizadas en el decreto con mayúscula inicial deben ser entendidas con el significado indicado en la guía que expida la Agencia Nacional de Contratación Pública – Colombia Compra Eficiente, el Consejo de Estado consideró procedente levantar la suspensión provisional, al considerar que: </w:t>
      </w:r>
    </w:p>
    <w:p w14:paraId="0B2D0A2D" w14:textId="77777777" w:rsidR="00B92853" w:rsidRPr="00131FA3" w:rsidRDefault="00B92853" w:rsidP="00B92853">
      <w:pPr>
        <w:spacing w:after="0" w:line="276" w:lineRule="auto"/>
        <w:ind w:firstLine="709"/>
        <w:jc w:val="both"/>
        <w:rPr>
          <w:rFonts w:ascii="Century Gothic" w:eastAsia="Calibri" w:hAnsi="Century Gothic" w:cs="Arial"/>
          <w:color w:val="000000" w:themeColor="text1"/>
        </w:rPr>
      </w:pPr>
    </w:p>
    <w:p w14:paraId="59EC0B81" w14:textId="77777777" w:rsidR="00B92853" w:rsidRPr="00131FA3" w:rsidRDefault="00B92853" w:rsidP="00B92853">
      <w:pPr>
        <w:spacing w:after="0" w:line="240" w:lineRule="auto"/>
        <w:ind w:left="708" w:right="709"/>
        <w:jc w:val="both"/>
        <w:rPr>
          <w:rFonts w:ascii="Century Gothic" w:eastAsia="Calibri" w:hAnsi="Century Gothic" w:cs="Arial"/>
          <w:color w:val="000000" w:themeColor="text1"/>
          <w:sz w:val="21"/>
          <w:szCs w:val="21"/>
        </w:rPr>
      </w:pPr>
      <w:r w:rsidRPr="00131FA3">
        <w:rPr>
          <w:rFonts w:ascii="Century Gothic" w:eastAsia="Calibri" w:hAnsi="Century Gothic" w:cs="Arial"/>
          <w:color w:val="000000" w:themeColor="text1"/>
          <w:sz w:val="21"/>
          <w:szCs w:val="21"/>
        </w:rPr>
        <w:t xml:space="preserve">“35. En esa medida determinó el Gobierno nacional que para la interpretación del decreto que nos ocupa, las expresiones utilizadas con mayúscula inicial deben ser entendidas con el significado indicado en la guía que expida la Agencia Nacional de Contratación Pública –Colombia Compra Eficiente– para su correspondiente aplicación, lo que implica una orientación tendiente a propiciar una integración normativa con definiciones que ya existen en el ordenamiento jurídico y que fundamentará la interpretación de dichas expresiones. En este orden de ideas, no existe habilitación a Colombia Compra Eficiente para crear </w:t>
      </w:r>
      <w:r w:rsidRPr="00131FA3">
        <w:rPr>
          <w:rFonts w:ascii="Century Gothic" w:eastAsia="Calibri" w:hAnsi="Century Gothic" w:cs="Arial"/>
          <w:color w:val="000000" w:themeColor="text1"/>
          <w:sz w:val="21"/>
          <w:szCs w:val="21"/>
        </w:rPr>
        <w:lastRenderedPageBreak/>
        <w:t>definiciones normativas de estas expresiones, sino que de las que ya cuenta el ordenamiento jurídico realiza la guía. Por ello, no hay delegación de la competencia para crear el decreto constitucional que le compete al Gobierno nacional”.</w:t>
      </w:r>
    </w:p>
    <w:p w14:paraId="4F8245AE" w14:textId="77777777" w:rsidR="00B92853" w:rsidRPr="00131FA3" w:rsidRDefault="00B92853" w:rsidP="00B92853">
      <w:pPr>
        <w:spacing w:after="0" w:line="276" w:lineRule="auto"/>
        <w:ind w:firstLine="709"/>
        <w:jc w:val="both"/>
        <w:rPr>
          <w:rFonts w:ascii="Century Gothic" w:eastAsia="Calibri" w:hAnsi="Century Gothic" w:cs="Arial"/>
          <w:color w:val="000000" w:themeColor="text1"/>
        </w:rPr>
      </w:pPr>
    </w:p>
    <w:p w14:paraId="53B7FAAD" w14:textId="77777777" w:rsidR="00B92853" w:rsidRPr="00131FA3" w:rsidRDefault="00B92853" w:rsidP="00B92853">
      <w:pPr>
        <w:spacing w:line="276" w:lineRule="auto"/>
        <w:ind w:firstLine="709"/>
        <w:jc w:val="both"/>
        <w:rPr>
          <w:rFonts w:ascii="Century Gothic" w:eastAsia="Calibri" w:hAnsi="Century Gothic" w:cs="Arial"/>
          <w:color w:val="000000" w:themeColor="text1"/>
        </w:rPr>
      </w:pPr>
      <w:r w:rsidRPr="00131FA3">
        <w:rPr>
          <w:rFonts w:ascii="Century Gothic" w:eastAsia="Calibri" w:hAnsi="Century Gothic" w:cs="Arial"/>
          <w:color w:val="000000" w:themeColor="text1"/>
        </w:rPr>
        <w:t>Además, en relación con el inciso segundo del artículo 3, que establece que la entidad estatal debe definir en los documentos del proceso las características que debe acreditar la entidad sin ánimo de lucro, para lo que deberá tener en consideración los criterios establecidos en la guía que expida Colombia Compra Eficiente, el Consejo de Estado también resolvió levantar la suspensión provisional, al considerar que el análisis sobre su validez se debe reservar para el momento en que se profiera la sentencia respectiva, pues, a su juicio, no resulta evidente que se haya delegado indebidamente el ejercicio de la potestad reglamentaria</w:t>
      </w:r>
      <w:r w:rsidRPr="00131FA3">
        <w:rPr>
          <w:rStyle w:val="Refdenotaalpie"/>
          <w:rFonts w:ascii="Century Gothic" w:eastAsia="Calibri" w:hAnsi="Century Gothic" w:cs="Arial"/>
          <w:color w:val="000000" w:themeColor="text1"/>
        </w:rPr>
        <w:footnoteReference w:id="20"/>
      </w:r>
      <w:r w:rsidRPr="00131FA3">
        <w:rPr>
          <w:rFonts w:ascii="Century Gothic" w:eastAsia="Calibri" w:hAnsi="Century Gothic" w:cs="Arial"/>
          <w:color w:val="000000" w:themeColor="text1"/>
        </w:rPr>
        <w:t>.</w:t>
      </w:r>
    </w:p>
    <w:p w14:paraId="5418B037" w14:textId="77777777" w:rsidR="00B92853" w:rsidRPr="00131FA3" w:rsidRDefault="00B92853" w:rsidP="00B92853">
      <w:pPr>
        <w:spacing w:before="120" w:line="276" w:lineRule="auto"/>
        <w:ind w:firstLine="709"/>
        <w:jc w:val="both"/>
        <w:rPr>
          <w:rFonts w:ascii="Century Gothic" w:eastAsia="Calibri" w:hAnsi="Century Gothic" w:cs="Arial"/>
          <w:color w:val="000000" w:themeColor="text1"/>
        </w:rPr>
      </w:pPr>
      <w:r w:rsidRPr="00131FA3">
        <w:rPr>
          <w:rFonts w:ascii="Century Gothic" w:eastAsia="Calibri" w:hAnsi="Century Gothic" w:cs="Arial"/>
          <w:color w:val="000000" w:themeColor="text1"/>
        </w:rPr>
        <w:t>Ahora bien, cabe precisar que mediante el auto del 15 de marzo de 2022 de la Sala Plena del Consejo de Estado únicamente se levantó la suspensión provisional de las normas desarrolladas hasta este lugar, por lo que, en lo demás, se confirmó la decisión de suspensión provisional de los demás apartes del Decreto 019 de 2017 dictada en el auto del 6 de agosto de 2019, como se procede a explicar.</w:t>
      </w:r>
    </w:p>
    <w:p w14:paraId="522D0100" w14:textId="77777777" w:rsidR="00B92853" w:rsidRPr="00131FA3" w:rsidRDefault="00B92853" w:rsidP="00B92853">
      <w:pPr>
        <w:spacing w:before="120" w:after="0" w:line="276" w:lineRule="auto"/>
        <w:ind w:firstLine="709"/>
        <w:jc w:val="both"/>
        <w:rPr>
          <w:rFonts w:ascii="Century Gothic" w:eastAsia="Calibri" w:hAnsi="Century Gothic" w:cs="Arial"/>
          <w:color w:val="000000" w:themeColor="text1"/>
        </w:rPr>
      </w:pPr>
      <w:r w:rsidRPr="00131FA3">
        <w:rPr>
          <w:rFonts w:ascii="Century Gothic" w:eastAsia="Calibri" w:hAnsi="Century Gothic" w:cs="Arial"/>
          <w:color w:val="000000" w:themeColor="text1"/>
        </w:rPr>
        <w:t xml:space="preserve">La </w:t>
      </w:r>
      <w:r w:rsidRPr="00131FA3">
        <w:rPr>
          <w:rFonts w:ascii="Century Gothic" w:eastAsia="Calibri" w:hAnsi="Century Gothic" w:cs="Arial"/>
          <w:i/>
          <w:iCs/>
          <w:color w:val="000000" w:themeColor="text1"/>
        </w:rPr>
        <w:t>segunda</w:t>
      </w:r>
      <w:r w:rsidRPr="00131FA3">
        <w:rPr>
          <w:rFonts w:ascii="Century Gothic" w:eastAsia="Calibri" w:hAnsi="Century Gothic" w:cs="Arial"/>
          <w:color w:val="000000" w:themeColor="text1"/>
        </w:rPr>
        <w:t xml:space="preserve"> norma que analizó el Consejo de Estado en el auto del 6 de agosto de 2019, fue el literal a), del artículo 2, del Decreto 092, que establece que únicamente se podrá contratar con entidades privadas sin ánimo de lucro cuando el objeto corresponda directamente con los planes de desarrollo y busque exclusivamente promover los derechos de personas en situación de debilidad manifiesta o indefensión, los derechos de las minorías, el derecho a la educación, el derecho a la paz, las manifestaciones artísticas, culturales, deportivas y de </w:t>
      </w:r>
      <w:r w:rsidRPr="00131FA3">
        <w:rPr>
          <w:rFonts w:ascii="Century Gothic" w:eastAsia="Calibri" w:hAnsi="Century Gothic" w:cs="Arial"/>
          <w:color w:val="000000" w:themeColor="text1"/>
        </w:rPr>
        <w:lastRenderedPageBreak/>
        <w:t>promoción de la diversidad étnica colombiana</w:t>
      </w:r>
      <w:r w:rsidRPr="00131FA3">
        <w:rPr>
          <w:rStyle w:val="Refdenotaalpie"/>
          <w:rFonts w:ascii="Century Gothic" w:hAnsi="Century Gothic" w:cs="Arial"/>
          <w:color w:val="000000" w:themeColor="text1"/>
        </w:rPr>
        <w:footnoteReference w:id="21"/>
      </w:r>
      <w:r w:rsidRPr="00131FA3">
        <w:rPr>
          <w:rFonts w:ascii="Century Gothic" w:eastAsia="Calibri" w:hAnsi="Century Gothic" w:cs="Arial"/>
          <w:color w:val="000000" w:themeColor="text1"/>
        </w:rPr>
        <w:t xml:space="preserve">. </w:t>
      </w:r>
      <w:bookmarkStart w:id="20" w:name="_Hlk95756502"/>
      <w:r w:rsidRPr="00131FA3">
        <w:rPr>
          <w:rFonts w:ascii="Century Gothic" w:eastAsia="Calibri" w:hAnsi="Century Gothic" w:cs="Arial"/>
          <w:color w:val="000000" w:themeColor="text1"/>
        </w:rPr>
        <w:t xml:space="preserve">En relación con esta norma, encontró que el literal a) del artículo 2 establece dos condiciones contrarias al artículo 355 de la Constitución Política: primero, que el objeto tenga que estar “directamente” en los planes de desarrollo –nacional o territorial– cuando la norma constitucional establece que el objeto debe ser “acorde” con el plan nacional o seccional de desarrollo, lo que implica que el objeto del contrato no debe estar explícitamente en el plan de desarrollo sino que se encuentre en armonía con este. </w:t>
      </w:r>
      <w:bookmarkEnd w:id="20"/>
      <w:r w:rsidRPr="00131FA3">
        <w:rPr>
          <w:rFonts w:ascii="Century Gothic" w:eastAsia="Calibri" w:hAnsi="Century Gothic" w:cs="Arial"/>
          <w:color w:val="000000" w:themeColor="text1"/>
        </w:rPr>
        <w:t xml:space="preserve">En relación con lo anterior, el auto del Consejo de Estado explica que: </w:t>
      </w:r>
    </w:p>
    <w:p w14:paraId="238C40BB" w14:textId="77777777" w:rsidR="00B92853" w:rsidRPr="00131FA3" w:rsidRDefault="00B92853" w:rsidP="00B92853">
      <w:pPr>
        <w:spacing w:after="0" w:line="276" w:lineRule="auto"/>
        <w:jc w:val="both"/>
        <w:rPr>
          <w:rFonts w:ascii="Century Gothic" w:eastAsia="Calibri" w:hAnsi="Century Gothic" w:cs="Arial"/>
          <w:color w:val="000000" w:themeColor="text1"/>
        </w:rPr>
      </w:pPr>
    </w:p>
    <w:p w14:paraId="569C16B5" w14:textId="77777777" w:rsidR="00B92853" w:rsidRPr="00131FA3" w:rsidRDefault="00B92853" w:rsidP="00B92853">
      <w:pPr>
        <w:spacing w:after="0" w:line="240" w:lineRule="auto"/>
        <w:ind w:left="708" w:right="709"/>
        <w:jc w:val="both"/>
        <w:rPr>
          <w:rFonts w:ascii="Century Gothic" w:eastAsia="Calibri" w:hAnsi="Century Gothic" w:cs="Arial"/>
          <w:color w:val="000000" w:themeColor="text1"/>
          <w:sz w:val="21"/>
          <w:szCs w:val="21"/>
        </w:rPr>
      </w:pPr>
      <w:r w:rsidRPr="00131FA3">
        <w:rPr>
          <w:rFonts w:ascii="Century Gothic" w:eastAsia="Calibri" w:hAnsi="Century Gothic" w:cs="Arial"/>
          <w:color w:val="000000" w:themeColor="text1"/>
          <w:sz w:val="21"/>
          <w:szCs w:val="21"/>
        </w:rPr>
        <w:t xml:space="preserve">“El aparte acusado exige que el objeto del contrato corresponda directamente a los programas contenidos en los diferentes planes de desarrollo, pero ello, así concebido, es propio de los procesos de selección a los que deben someterse los contratos ordinarios de la administración pública; al respecto, recuérdese que los contratos referidos en el mencionado artículo 355 no están sometidos a la lógica de los contratos ordinarios, pues tienen como finalidad impulsar los programas y actividades de interés público que desarrollen las entidades sin ánimo de lucro, para lo cual únicamente se exige que sean acordes con los que, a su vez, estén contemplados en los correspondientes planes de desarrollo”. </w:t>
      </w:r>
    </w:p>
    <w:p w14:paraId="3D1FF040" w14:textId="77777777" w:rsidR="00B92853" w:rsidRPr="00131FA3" w:rsidRDefault="00B92853" w:rsidP="00B92853">
      <w:pPr>
        <w:spacing w:after="0" w:line="276" w:lineRule="auto"/>
        <w:jc w:val="both"/>
        <w:rPr>
          <w:rFonts w:ascii="Century Gothic" w:eastAsia="Calibri" w:hAnsi="Century Gothic" w:cs="Arial"/>
          <w:color w:val="000000" w:themeColor="text1"/>
        </w:rPr>
      </w:pPr>
    </w:p>
    <w:p w14:paraId="0D50A091" w14:textId="77777777" w:rsidR="00B92853" w:rsidRPr="00131FA3" w:rsidRDefault="00B92853" w:rsidP="00B92853">
      <w:pPr>
        <w:spacing w:after="0" w:line="276" w:lineRule="auto"/>
        <w:ind w:firstLine="708"/>
        <w:jc w:val="both"/>
        <w:rPr>
          <w:rFonts w:ascii="Century Gothic" w:eastAsia="Calibri" w:hAnsi="Century Gothic" w:cs="Arial"/>
          <w:color w:val="000000" w:themeColor="text1"/>
        </w:rPr>
      </w:pPr>
      <w:r w:rsidRPr="00131FA3">
        <w:rPr>
          <w:rFonts w:ascii="Century Gothic" w:eastAsia="Calibri" w:hAnsi="Century Gothic" w:cs="Arial"/>
          <w:color w:val="000000" w:themeColor="text1"/>
        </w:rPr>
        <w:t xml:space="preserve">Asimismo, el Consejo de Estado consideró que el literal a) del artículo 2, al establecer que los programas y actividades de interés público deben buscar la promoción de los derechos de personas en situaciones de debilidad manifiesta o de indefensión, los derechos de las minorías, el derecho a la educación, el derecho a la paz, las manifestaciones artísticas, culturales, deportivas y de promoción de la diversidad étnica colombiana, limita el ámbito de aplicación que establece el artículo 355 de la Constitución Política. Al respecto expresa: </w:t>
      </w:r>
    </w:p>
    <w:p w14:paraId="692CA1EE" w14:textId="77777777" w:rsidR="00B92853" w:rsidRPr="00131FA3" w:rsidRDefault="00B92853" w:rsidP="00B92853">
      <w:pPr>
        <w:spacing w:after="0" w:line="276" w:lineRule="auto"/>
        <w:jc w:val="both"/>
        <w:rPr>
          <w:rFonts w:ascii="Century Gothic" w:eastAsia="Calibri" w:hAnsi="Century Gothic" w:cs="Arial"/>
          <w:color w:val="000000" w:themeColor="text1"/>
        </w:rPr>
      </w:pPr>
    </w:p>
    <w:p w14:paraId="704D1DB2" w14:textId="77777777" w:rsidR="00B92853" w:rsidRPr="00131FA3" w:rsidRDefault="00B92853" w:rsidP="00B92853">
      <w:pPr>
        <w:tabs>
          <w:tab w:val="left" w:pos="8080"/>
        </w:tabs>
        <w:spacing w:after="0" w:line="240" w:lineRule="auto"/>
        <w:ind w:left="708" w:right="709"/>
        <w:jc w:val="both"/>
        <w:rPr>
          <w:rFonts w:ascii="Century Gothic" w:eastAsia="Calibri" w:hAnsi="Century Gothic" w:cs="Arial"/>
          <w:color w:val="000000" w:themeColor="text1"/>
          <w:sz w:val="21"/>
          <w:szCs w:val="21"/>
        </w:rPr>
      </w:pPr>
      <w:r w:rsidRPr="00131FA3">
        <w:rPr>
          <w:rFonts w:ascii="Century Gothic" w:eastAsia="Calibri" w:hAnsi="Century Gothic" w:cs="Arial"/>
          <w:color w:val="000000" w:themeColor="text1"/>
          <w:sz w:val="21"/>
          <w:szCs w:val="21"/>
        </w:rPr>
        <w:t xml:space="preserve">“Una limitación del anterior calado implica, sin duda, establecer una condición no prevista en la norma constitucional reglamentada. Esta última solo establece una restricción y es que la “causa” del contrato tenga como finalidad “… impulsar programas y actividades de interés público acordes con el plan de desarrollo”, mientras que, por su parte, la norma acusada limita la celebración de tales contratos a que tengan como objeto la promoción de las actividades enunciadas anteriormente </w:t>
      </w:r>
      <w:r w:rsidRPr="00131FA3">
        <w:rPr>
          <w:rFonts w:ascii="Century Gothic" w:eastAsia="Calibri" w:hAnsi="Century Gothic" w:cs="Arial"/>
          <w:color w:val="000000" w:themeColor="text1"/>
          <w:sz w:val="21"/>
          <w:szCs w:val="21"/>
        </w:rPr>
        <w:lastRenderedPageBreak/>
        <w:t xml:space="preserve">[letra a, art. 2 ibidem]. Si la norma constitucional restringe sólo la causa o la finalidad del contrato, quiere decir ello que, independientemente de su objeto, puede celebrarse en cualquier modalidad, siempre y cuando –claro está– su causa sea “acorde” con los planes de desarrollo, que es, en últimas, el propósito de la norma constitucional”. </w:t>
      </w:r>
    </w:p>
    <w:p w14:paraId="597927A1" w14:textId="77777777" w:rsidR="00B92853" w:rsidRPr="00131FA3" w:rsidRDefault="00B92853" w:rsidP="00B92853">
      <w:pPr>
        <w:spacing w:after="0" w:line="276" w:lineRule="auto"/>
        <w:jc w:val="both"/>
        <w:rPr>
          <w:rFonts w:ascii="Century Gothic" w:eastAsia="Calibri" w:hAnsi="Century Gothic" w:cs="Arial"/>
          <w:color w:val="000000" w:themeColor="text1"/>
        </w:rPr>
      </w:pPr>
      <w:r w:rsidRPr="00131FA3">
        <w:rPr>
          <w:rFonts w:ascii="Century Gothic" w:eastAsia="Calibri" w:hAnsi="Century Gothic" w:cs="Arial"/>
          <w:color w:val="000000" w:themeColor="text1"/>
        </w:rPr>
        <w:t xml:space="preserve"> </w:t>
      </w:r>
    </w:p>
    <w:p w14:paraId="17F22FF8" w14:textId="77777777" w:rsidR="00B92853" w:rsidRPr="00131FA3" w:rsidRDefault="00B92853" w:rsidP="00B92853">
      <w:pPr>
        <w:spacing w:line="276" w:lineRule="auto"/>
        <w:ind w:firstLine="709"/>
        <w:jc w:val="both"/>
        <w:rPr>
          <w:rFonts w:ascii="Century Gothic" w:eastAsia="Calibri" w:hAnsi="Century Gothic" w:cs="Arial"/>
          <w:color w:val="000000" w:themeColor="text1"/>
        </w:rPr>
      </w:pPr>
      <w:bookmarkStart w:id="21" w:name="_Hlk95756534"/>
      <w:r w:rsidRPr="00131FA3">
        <w:rPr>
          <w:rFonts w:ascii="Century Gothic" w:eastAsia="Calibri" w:hAnsi="Century Gothic" w:cs="Arial"/>
          <w:color w:val="000000" w:themeColor="text1"/>
        </w:rPr>
        <w:t>Así las cosas, el Consejo de Estado suspendió provisionalmente el literal a), por lo cual el objeto de los contratos debe ser acorde con los planes nacionales o seccionales de desarrollo; y no necesariamente estar previstos directamente en ellos. Por lo demás, no solo se pueden celebrar contratos para los objetos específicos señalados en el Decreto 092 de 2017.</w:t>
      </w:r>
    </w:p>
    <w:bookmarkEnd w:id="21"/>
    <w:p w14:paraId="412706D3" w14:textId="77777777" w:rsidR="00B92853" w:rsidRPr="00131FA3" w:rsidRDefault="00B92853" w:rsidP="00B92853">
      <w:pPr>
        <w:spacing w:after="0" w:line="276" w:lineRule="auto"/>
        <w:ind w:firstLine="709"/>
        <w:jc w:val="both"/>
        <w:rPr>
          <w:rFonts w:ascii="Century Gothic" w:eastAsia="Calibri" w:hAnsi="Century Gothic" w:cs="Arial"/>
          <w:color w:val="000000" w:themeColor="text1"/>
        </w:rPr>
      </w:pPr>
      <w:r w:rsidRPr="00131FA3">
        <w:rPr>
          <w:rFonts w:ascii="Century Gothic" w:eastAsia="Calibri" w:hAnsi="Century Gothic" w:cs="Arial"/>
          <w:color w:val="000000" w:themeColor="text1"/>
        </w:rPr>
        <w:t xml:space="preserve">El Consejo de Estado, en el auto del 6 de agosto de 2019, en </w:t>
      </w:r>
      <w:r w:rsidRPr="00131FA3">
        <w:rPr>
          <w:rFonts w:ascii="Century Gothic" w:eastAsia="Calibri" w:hAnsi="Century Gothic" w:cs="Arial"/>
          <w:i/>
          <w:iCs/>
          <w:color w:val="000000" w:themeColor="text1"/>
        </w:rPr>
        <w:t>tercer</w:t>
      </w:r>
      <w:r w:rsidRPr="00131FA3">
        <w:rPr>
          <w:rFonts w:ascii="Century Gothic" w:eastAsia="Calibri" w:hAnsi="Century Gothic" w:cs="Arial"/>
          <w:color w:val="000000" w:themeColor="text1"/>
        </w:rPr>
        <w:t xml:space="preserve"> lugar, examinó el literal c) y el inciso 5 del artículo 2 del Decreto</w:t>
      </w:r>
      <w:r w:rsidRPr="00131FA3">
        <w:rPr>
          <w:rStyle w:val="Refdenotaalpie"/>
          <w:rFonts w:ascii="Century Gothic" w:eastAsia="Calibri" w:hAnsi="Century Gothic" w:cs="Arial"/>
          <w:color w:val="000000" w:themeColor="text1"/>
        </w:rPr>
        <w:footnoteReference w:id="22"/>
      </w:r>
      <w:r w:rsidRPr="00131FA3">
        <w:rPr>
          <w:rFonts w:ascii="Century Gothic" w:eastAsia="Calibri" w:hAnsi="Century Gothic" w:cs="Arial"/>
          <w:color w:val="000000" w:themeColor="text1"/>
        </w:rPr>
        <w:t xml:space="preserve">, señalando que contraría la norma constitucional al condicionar que los contratos solo se pueden celebrar cuando no exista oferta en el mercado, sometiendo su celebración a que, de existir oferta, la contratación con las entidades sin ánimo de lucro represente la optimización de los recursos públicos en términos de eficiencia, eficacia, economía y manejo del riesgo, toda vez que se desconocería la naturaleza de las entidades sin ánimo de lucro que implica que ellas no participan en el mercado de bienes y servicios de la misma forma que las demás sociedades. En este sentido, el Consejo de Estado manifestó: </w:t>
      </w:r>
    </w:p>
    <w:p w14:paraId="113D9C4E" w14:textId="77777777" w:rsidR="00B92853" w:rsidRPr="00131FA3" w:rsidRDefault="00B92853" w:rsidP="00B92853">
      <w:pPr>
        <w:spacing w:after="0" w:line="276" w:lineRule="auto"/>
        <w:jc w:val="both"/>
        <w:rPr>
          <w:rFonts w:ascii="Century Gothic" w:eastAsia="Calibri" w:hAnsi="Century Gothic" w:cs="Arial"/>
          <w:color w:val="000000" w:themeColor="text1"/>
        </w:rPr>
      </w:pPr>
    </w:p>
    <w:p w14:paraId="03A2130A" w14:textId="77777777" w:rsidR="00B92853" w:rsidRPr="00131FA3" w:rsidRDefault="00B92853" w:rsidP="00B92853">
      <w:pPr>
        <w:spacing w:after="0" w:line="240" w:lineRule="auto"/>
        <w:ind w:left="708" w:right="709"/>
        <w:jc w:val="both"/>
        <w:rPr>
          <w:rFonts w:ascii="Century Gothic" w:eastAsia="Calibri" w:hAnsi="Century Gothic" w:cs="Arial"/>
          <w:color w:val="000000" w:themeColor="text1"/>
          <w:sz w:val="21"/>
          <w:szCs w:val="21"/>
        </w:rPr>
      </w:pPr>
      <w:r w:rsidRPr="00131FA3">
        <w:rPr>
          <w:rFonts w:ascii="Century Gothic" w:eastAsia="Calibri" w:hAnsi="Century Gothic" w:cs="Arial"/>
          <w:color w:val="000000" w:themeColor="text1"/>
          <w:sz w:val="21"/>
          <w:szCs w:val="21"/>
        </w:rPr>
        <w:t>“El propósito de garantizar la libre competencia en el mercado –como se advierte de la lectura del acto acusado– no se ajusta a la finalidad de la norma constitucional en cita, pues desconoce que las entidades sin ánimo de lucro no participan en el mercado de bienes y servicios como lo hacen las demás y, por la misma razón, no se les pueden aplicar las reglas de selección contenidas en el Estatuto General de la Contratación Pública. Las entidades a las cuales la norma constitucional busca apoyar son entidades que (i) no tienen ánimo de lucro y (</w:t>
      </w:r>
      <w:proofErr w:type="spellStart"/>
      <w:r w:rsidRPr="00131FA3">
        <w:rPr>
          <w:rFonts w:ascii="Century Gothic" w:eastAsia="Calibri" w:hAnsi="Century Gothic" w:cs="Arial"/>
          <w:color w:val="000000" w:themeColor="text1"/>
          <w:sz w:val="21"/>
          <w:szCs w:val="21"/>
        </w:rPr>
        <w:t>ii</w:t>
      </w:r>
      <w:proofErr w:type="spellEnd"/>
      <w:r w:rsidRPr="00131FA3">
        <w:rPr>
          <w:rFonts w:ascii="Century Gothic" w:eastAsia="Calibri" w:hAnsi="Century Gothic" w:cs="Arial"/>
          <w:color w:val="000000" w:themeColor="text1"/>
          <w:sz w:val="21"/>
          <w:szCs w:val="21"/>
        </w:rPr>
        <w:t>) desarrollan programas y actividades de interés público con reconocida idoneidad. No son, entonces, entidades creadas para competir en el mercado”.</w:t>
      </w:r>
    </w:p>
    <w:p w14:paraId="7BC10AAC" w14:textId="77777777" w:rsidR="00B92853" w:rsidRPr="00131FA3" w:rsidRDefault="00B92853" w:rsidP="00B92853">
      <w:pPr>
        <w:spacing w:after="0" w:line="276" w:lineRule="auto"/>
        <w:jc w:val="both"/>
        <w:rPr>
          <w:rFonts w:ascii="Century Gothic" w:eastAsia="Calibri" w:hAnsi="Century Gothic" w:cs="Arial"/>
          <w:color w:val="000000" w:themeColor="text1"/>
        </w:rPr>
      </w:pPr>
    </w:p>
    <w:p w14:paraId="37C3507C" w14:textId="77777777" w:rsidR="00B92853" w:rsidRPr="00131FA3" w:rsidRDefault="00B92853" w:rsidP="00B92853">
      <w:pPr>
        <w:spacing w:line="276" w:lineRule="auto"/>
        <w:ind w:firstLine="709"/>
        <w:jc w:val="both"/>
        <w:rPr>
          <w:rFonts w:ascii="Century Gothic" w:eastAsia="Calibri" w:hAnsi="Century Gothic" w:cs="Arial"/>
          <w:color w:val="000000" w:themeColor="text1"/>
        </w:rPr>
      </w:pPr>
      <w:r w:rsidRPr="00131FA3">
        <w:rPr>
          <w:rFonts w:ascii="Century Gothic" w:eastAsia="Calibri" w:hAnsi="Century Gothic" w:cs="Arial"/>
          <w:color w:val="000000" w:themeColor="text1"/>
        </w:rPr>
        <w:t xml:space="preserve">Por tanto, suspendió provisionalmente el literal c) y el inciso 5º del artículo 2 del Decreto 092 de 2017, razón por la cual los procesos de contratación con </w:t>
      </w:r>
      <w:r w:rsidRPr="00131FA3">
        <w:rPr>
          <w:rFonts w:ascii="Century Gothic" w:eastAsia="Calibri" w:hAnsi="Century Gothic" w:cs="Arial"/>
          <w:color w:val="000000" w:themeColor="text1"/>
        </w:rPr>
        <w:lastRenderedPageBreak/>
        <w:t>entidades privadas sin ánimo de lucro no quedan condicionados a la inexistencia de oferta en el mercado de bienes y servicios, ni a que la ESAL garantice la mejor oferta y la optimización de los recursos públicos. Lo anterior, en la medida que estas condiciones son propias de la contratación del Estatuto General de Contratación de la Administración Pública, no del régimen jurídico especial que establece el artículo 355 de la Constitución Política.</w:t>
      </w:r>
    </w:p>
    <w:p w14:paraId="5AF38361" w14:textId="77777777" w:rsidR="00B92853" w:rsidRPr="00131FA3" w:rsidRDefault="00B92853" w:rsidP="00B92853">
      <w:pPr>
        <w:spacing w:after="0" w:line="276" w:lineRule="auto"/>
        <w:ind w:firstLine="709"/>
        <w:jc w:val="both"/>
        <w:rPr>
          <w:rFonts w:ascii="Century Gothic" w:eastAsia="Calibri" w:hAnsi="Century Gothic" w:cs="Arial"/>
          <w:color w:val="000000" w:themeColor="text1"/>
        </w:rPr>
      </w:pPr>
      <w:r w:rsidRPr="00131FA3">
        <w:rPr>
          <w:rFonts w:ascii="Century Gothic" w:eastAsia="Calibri" w:hAnsi="Century Gothic" w:cs="Arial"/>
          <w:color w:val="000000" w:themeColor="text1"/>
        </w:rPr>
        <w:t xml:space="preserve">La </w:t>
      </w:r>
      <w:r w:rsidRPr="00131FA3">
        <w:rPr>
          <w:rFonts w:ascii="Century Gothic" w:eastAsia="Calibri" w:hAnsi="Century Gothic" w:cs="Arial"/>
          <w:i/>
          <w:iCs/>
          <w:color w:val="000000" w:themeColor="text1"/>
        </w:rPr>
        <w:t>cuarta</w:t>
      </w:r>
      <w:r w:rsidRPr="00131FA3">
        <w:rPr>
          <w:rFonts w:ascii="Century Gothic" w:eastAsia="Calibri" w:hAnsi="Century Gothic" w:cs="Arial"/>
          <w:color w:val="000000" w:themeColor="text1"/>
        </w:rPr>
        <w:t xml:space="preserve"> norma que estudió el Consejo de Estado en el auto del 6 de agosto de 2019 fue el inciso final del artículo 4 del Decreto 092 de 2017, el cual hace referencia a la posibilidad de contratar directamente cuando el objeto del contrato esté relacionado con actividades artísticas, culturales, deportivas y de promoción de la diversidad étnica colombiana, que únicamente pueden ejecutar determinadas personas jurídicas o naturales</w:t>
      </w:r>
      <w:r w:rsidRPr="00131FA3">
        <w:rPr>
          <w:rStyle w:val="Refdenotaalpie"/>
          <w:rFonts w:ascii="Century Gothic" w:eastAsia="Calibri" w:hAnsi="Century Gothic" w:cs="Arial"/>
          <w:color w:val="000000" w:themeColor="text1"/>
        </w:rPr>
        <w:footnoteReference w:id="23"/>
      </w:r>
      <w:r w:rsidRPr="00131FA3">
        <w:rPr>
          <w:rFonts w:ascii="Century Gothic" w:eastAsia="Calibri" w:hAnsi="Century Gothic" w:cs="Arial"/>
          <w:color w:val="000000" w:themeColor="text1"/>
        </w:rPr>
        <w:t xml:space="preserve">. Para la Sala, esta norma vulnera el principio de igualdad, por establecer un privilegio para determinadas personas jurídicas o naturales que ejecutaran únicamente las actividades allí previstas, contratándolas sin realizar un proceso competitivo. El Consejo de Estado se pronunció en los siguientes términos: </w:t>
      </w:r>
    </w:p>
    <w:p w14:paraId="4B041460" w14:textId="77777777" w:rsidR="00B92853" w:rsidRPr="00131FA3" w:rsidRDefault="00B92853" w:rsidP="00B92853">
      <w:pPr>
        <w:spacing w:after="0" w:line="276" w:lineRule="auto"/>
        <w:jc w:val="both"/>
        <w:rPr>
          <w:rFonts w:ascii="Century Gothic" w:eastAsia="Calibri" w:hAnsi="Century Gothic" w:cs="Arial"/>
          <w:color w:val="000000" w:themeColor="text1"/>
        </w:rPr>
      </w:pPr>
    </w:p>
    <w:p w14:paraId="768E958B" w14:textId="77777777" w:rsidR="00B92853" w:rsidRPr="00131FA3" w:rsidRDefault="00B92853" w:rsidP="00B92853">
      <w:pPr>
        <w:spacing w:after="0" w:line="240" w:lineRule="auto"/>
        <w:ind w:left="708" w:right="709"/>
        <w:jc w:val="both"/>
        <w:rPr>
          <w:rFonts w:ascii="Century Gothic" w:eastAsia="Calibri" w:hAnsi="Century Gothic" w:cs="Arial"/>
          <w:color w:val="000000" w:themeColor="text1"/>
          <w:sz w:val="21"/>
          <w:szCs w:val="21"/>
        </w:rPr>
      </w:pPr>
      <w:r w:rsidRPr="00131FA3">
        <w:rPr>
          <w:rFonts w:ascii="Century Gothic" w:eastAsia="Calibri" w:hAnsi="Century Gothic" w:cs="Arial"/>
          <w:color w:val="000000" w:themeColor="text1"/>
          <w:sz w:val="21"/>
          <w:szCs w:val="21"/>
        </w:rPr>
        <w:t xml:space="preserve">“Puestas así las cosas, el despacho no encuentra motivo alguno para que se prescinda del proceso de selección cuando se identifique que el programa o actividad de interés público es ofrecido por más de una persona –natural o jurídica– simple y llanamente porque el objeto del proceso de contratación corresponda a actividades artísticas, culturales, deportivas y de promoción de la diversidad étnica. Esta razón, por tanto, es suficiente para concluir que el Gobierno Nacional le otorgó un tratamiento privilegiado a quienes desarrollen tales actividades (artísticas, culturales, deportivas y de promoción de la diversidad étnica) lo cual resulta claramente violatorio de la igualdad que debe gobernar este tipo de procedimientos contractuales. No se entiende, entonces, cuál es la razón para que se le asigne un tratamiento distinto a la contratación con este tipo de actividades (artísticas, culturales, deportivas y de promoción a la diversidad étnica) frente a las actividades de interés público de otra naturaleza”. </w:t>
      </w:r>
    </w:p>
    <w:p w14:paraId="570BDA33" w14:textId="77777777" w:rsidR="00B92853" w:rsidRPr="00131FA3" w:rsidRDefault="00B92853" w:rsidP="00B92853">
      <w:pPr>
        <w:spacing w:after="0" w:line="276" w:lineRule="auto"/>
        <w:ind w:firstLine="709"/>
        <w:jc w:val="both"/>
        <w:rPr>
          <w:rFonts w:ascii="Century Gothic" w:eastAsia="Calibri" w:hAnsi="Century Gothic" w:cs="Arial"/>
          <w:color w:val="000000" w:themeColor="text1"/>
        </w:rPr>
      </w:pPr>
      <w:bookmarkStart w:id="22" w:name="_Hlk95756891"/>
    </w:p>
    <w:p w14:paraId="7CBEB529" w14:textId="77777777" w:rsidR="00B92853" w:rsidRPr="00131FA3" w:rsidRDefault="00B92853" w:rsidP="00B92853">
      <w:pPr>
        <w:spacing w:line="276" w:lineRule="auto"/>
        <w:ind w:firstLine="709"/>
        <w:jc w:val="both"/>
        <w:rPr>
          <w:rFonts w:ascii="Century Gothic" w:eastAsia="Calibri" w:hAnsi="Century Gothic" w:cs="Arial"/>
          <w:color w:val="000000" w:themeColor="text1"/>
        </w:rPr>
      </w:pPr>
      <w:r w:rsidRPr="00131FA3">
        <w:rPr>
          <w:rFonts w:ascii="Century Gothic" w:eastAsia="Calibri" w:hAnsi="Century Gothic" w:cs="Arial"/>
          <w:color w:val="000000" w:themeColor="text1"/>
        </w:rPr>
        <w:t xml:space="preserve">Por consiguiente, se suspendió provisionalmente el inciso final del artículo 4 por violar el principio de igualdad, de manera que la contratación de actividades y programas de interés público debe realizarse a través de un proceso competitivo </w:t>
      </w:r>
      <w:r w:rsidRPr="00131FA3">
        <w:rPr>
          <w:rFonts w:ascii="Century Gothic" w:eastAsia="Calibri" w:hAnsi="Century Gothic" w:cs="Arial"/>
          <w:color w:val="000000" w:themeColor="text1"/>
        </w:rPr>
        <w:lastRenderedPageBreak/>
        <w:t xml:space="preserve">para escoger a la entidad sin ánimo de lucro. </w:t>
      </w:r>
      <w:bookmarkEnd w:id="22"/>
      <w:r w:rsidRPr="00131FA3">
        <w:rPr>
          <w:rFonts w:ascii="Century Gothic" w:eastAsia="Calibri" w:hAnsi="Century Gothic" w:cs="Arial"/>
          <w:color w:val="000000" w:themeColor="text1"/>
        </w:rPr>
        <w:t xml:space="preserve">En estos procesos, entonces, se debe acudir a los criterios aplicables a los otros negocios jurídicos que regula el Decreto 092 de 2017, particularmente las exigencias del artículo 2 </w:t>
      </w:r>
      <w:r w:rsidRPr="00131FA3">
        <w:rPr>
          <w:rFonts w:ascii="Century Gothic" w:eastAsia="Calibri" w:hAnsi="Century Gothic" w:cs="Arial"/>
          <w:i/>
          <w:iCs/>
          <w:color w:val="000000" w:themeColor="text1"/>
        </w:rPr>
        <w:t>ibidem</w:t>
      </w:r>
      <w:r w:rsidRPr="00131FA3">
        <w:rPr>
          <w:rFonts w:ascii="Century Gothic" w:eastAsia="Calibri" w:hAnsi="Century Gothic" w:cs="Arial"/>
          <w:color w:val="000000" w:themeColor="text1"/>
        </w:rPr>
        <w:t xml:space="preserve">. Incluso, habría que tener en cuenta las exigencias del inciso 2 del artículo 4 </w:t>
      </w:r>
      <w:proofErr w:type="spellStart"/>
      <w:r w:rsidRPr="00131FA3">
        <w:rPr>
          <w:rFonts w:ascii="Century Gothic" w:eastAsia="Calibri" w:hAnsi="Century Gothic" w:cs="Arial"/>
          <w:i/>
          <w:iCs/>
          <w:color w:val="000000" w:themeColor="text1"/>
        </w:rPr>
        <w:t>íbídem</w:t>
      </w:r>
      <w:proofErr w:type="spellEnd"/>
      <w:r w:rsidRPr="00131FA3">
        <w:rPr>
          <w:rFonts w:ascii="Century Gothic" w:eastAsia="Calibri" w:hAnsi="Century Gothic" w:cs="Arial"/>
          <w:color w:val="000000" w:themeColor="text1"/>
        </w:rPr>
        <w:t>, siempre que se configuren los supuestos de aplicación de dicha normativa, esto es, siempre que exista más de una entidad sin ánimo de lucro de reconocida idoneidad.</w:t>
      </w:r>
    </w:p>
    <w:p w14:paraId="3B38CF8B" w14:textId="77777777" w:rsidR="00B92853" w:rsidRPr="00131FA3" w:rsidRDefault="00B92853" w:rsidP="00B92853">
      <w:pPr>
        <w:spacing w:before="120" w:line="276" w:lineRule="auto"/>
        <w:ind w:firstLine="709"/>
        <w:jc w:val="both"/>
        <w:rPr>
          <w:rFonts w:ascii="Century Gothic" w:eastAsia="Calibri" w:hAnsi="Century Gothic" w:cs="Arial"/>
          <w:color w:val="000000" w:themeColor="text1"/>
        </w:rPr>
      </w:pPr>
      <w:bookmarkStart w:id="23" w:name="_Hlk95757095"/>
      <w:r w:rsidRPr="00131FA3">
        <w:rPr>
          <w:rFonts w:ascii="Century Gothic" w:eastAsia="Calibri" w:hAnsi="Century Gothic" w:cs="Arial"/>
          <w:color w:val="000000" w:themeColor="text1"/>
        </w:rPr>
        <w:t xml:space="preserve">Por último, en </w:t>
      </w:r>
      <w:r w:rsidRPr="00131FA3">
        <w:rPr>
          <w:rFonts w:ascii="Century Gothic" w:eastAsia="Calibri" w:hAnsi="Century Gothic" w:cs="Arial"/>
          <w:i/>
          <w:iCs/>
          <w:color w:val="000000" w:themeColor="text1"/>
        </w:rPr>
        <w:t xml:space="preserve">quinto </w:t>
      </w:r>
      <w:r w:rsidRPr="00131FA3">
        <w:rPr>
          <w:rFonts w:ascii="Century Gothic" w:eastAsia="Calibri" w:hAnsi="Century Gothic" w:cs="Arial"/>
          <w:color w:val="000000" w:themeColor="text1"/>
        </w:rPr>
        <w:t xml:space="preserve">lugar, el Consejo de Estado en el auto del 6 de agosto de 2019 analizó la solicitud de suspensión del artículo 5 del Decreto 092 de 2017, que reglamenta los convenios de asociación que prevé el artículo 96 de la Ley 489 de 1998. Concluyó que el análisis de esta norma debe realizarse a profundidad para establecer si efectivamente existe una contradicción normativa que implique que se afectó la competencia del legislador. En consecuencia negó la solicitud de suspensión provisional, reservando el análisis sobre la legalidad de dicho artículo a la sentencia. </w:t>
      </w:r>
    </w:p>
    <w:p w14:paraId="0D7EE5D6" w14:textId="77777777" w:rsidR="00B92853" w:rsidRPr="00131FA3" w:rsidRDefault="00B92853" w:rsidP="00B92853">
      <w:pPr>
        <w:spacing w:before="120" w:after="0" w:line="276" w:lineRule="auto"/>
        <w:ind w:firstLine="709"/>
        <w:jc w:val="both"/>
        <w:rPr>
          <w:rFonts w:ascii="Century Gothic" w:eastAsia="Calibri" w:hAnsi="Century Gothic" w:cs="Arial"/>
          <w:color w:val="000000" w:themeColor="text1"/>
        </w:rPr>
      </w:pPr>
      <w:r w:rsidRPr="00131FA3">
        <w:rPr>
          <w:rFonts w:ascii="Century Gothic" w:eastAsia="Calibri" w:hAnsi="Century Gothic" w:cs="Arial"/>
          <w:color w:val="000000" w:themeColor="text1"/>
        </w:rPr>
        <w:t>La Sala Plena del Consejo de Estado en Auto del 15 de marzo de 2022 estima que debe mantenerse la suspensión provisional del literal a) del artículo 2 del Decreto 092 de 2017. Lo anterior en la medida que esta restringe y contraria la finalidad de apoyo y fomento prevista en el artículo 355 de la Constitución Política, pues –pese a que la norma superior no hizo diferenciación alguna al respecto– el decreto limita su órbita de aplicación a un catálogo de actividades y programas de interés público susceptibles de este mecanismo</w:t>
      </w:r>
      <w:r w:rsidRPr="00131FA3">
        <w:rPr>
          <w:rStyle w:val="Refdenotaalpie"/>
          <w:rFonts w:ascii="Century Gothic" w:eastAsia="Calibri" w:hAnsi="Century Gothic" w:cs="Arial"/>
          <w:color w:val="000000" w:themeColor="text1"/>
        </w:rPr>
        <w:footnoteReference w:id="24"/>
      </w:r>
      <w:r w:rsidRPr="00131FA3">
        <w:rPr>
          <w:rFonts w:ascii="Century Gothic" w:eastAsia="Calibri" w:hAnsi="Century Gothic" w:cs="Arial"/>
          <w:color w:val="000000" w:themeColor="text1"/>
        </w:rPr>
        <w:t xml:space="preserve">. Por lo demás, respecto al inciso final del artículo 4 </w:t>
      </w:r>
      <w:r w:rsidRPr="00131FA3">
        <w:rPr>
          <w:rFonts w:ascii="Century Gothic" w:eastAsia="Calibri" w:hAnsi="Century Gothic" w:cs="Arial"/>
          <w:i/>
          <w:iCs/>
          <w:color w:val="000000" w:themeColor="text1"/>
        </w:rPr>
        <w:t>ibidem</w:t>
      </w:r>
      <w:r w:rsidRPr="00131FA3">
        <w:rPr>
          <w:rFonts w:ascii="Century Gothic" w:eastAsia="Calibri" w:hAnsi="Century Gothic" w:cs="Arial"/>
          <w:color w:val="000000" w:themeColor="text1"/>
        </w:rPr>
        <w:t>, el Consejo de Estado mantiene la medida cautelar al configurarse el cargo de violación del principio de igualdad. Para estos efectos, considera que:</w:t>
      </w:r>
    </w:p>
    <w:p w14:paraId="5843EA27" w14:textId="77777777" w:rsidR="00B92853" w:rsidRPr="00131FA3" w:rsidRDefault="00B92853" w:rsidP="00B92853">
      <w:pPr>
        <w:spacing w:after="0" w:line="276" w:lineRule="auto"/>
        <w:ind w:firstLine="709"/>
        <w:jc w:val="both"/>
        <w:rPr>
          <w:rFonts w:ascii="Century Gothic" w:eastAsia="Calibri" w:hAnsi="Century Gothic" w:cs="Arial"/>
          <w:color w:val="000000" w:themeColor="text1"/>
        </w:rPr>
      </w:pPr>
    </w:p>
    <w:p w14:paraId="407AC8D6" w14:textId="77777777" w:rsidR="00B92853" w:rsidRPr="00131FA3" w:rsidRDefault="00B92853" w:rsidP="00B92853">
      <w:pPr>
        <w:spacing w:after="120" w:line="240" w:lineRule="auto"/>
        <w:ind w:left="709" w:right="709"/>
        <w:jc w:val="both"/>
        <w:rPr>
          <w:rFonts w:ascii="Century Gothic" w:eastAsia="Calibri" w:hAnsi="Century Gothic" w:cs="Arial"/>
          <w:color w:val="000000" w:themeColor="text1"/>
          <w:sz w:val="21"/>
          <w:szCs w:val="21"/>
        </w:rPr>
      </w:pPr>
      <w:r w:rsidRPr="00131FA3">
        <w:rPr>
          <w:rFonts w:ascii="Century Gothic" w:eastAsia="Calibri" w:hAnsi="Century Gothic" w:cs="Arial"/>
          <w:color w:val="000000" w:themeColor="text1"/>
          <w:sz w:val="21"/>
          <w:szCs w:val="21"/>
        </w:rPr>
        <w:t xml:space="preserve">“73. […] la simple afirmación referida a que existe una relación inherente entre el producto del contrato y el contratista en las actividades exceptuadas del proceso competitivo de selección no permite concluir, razonablemente, que en las demás actividades de interés general aquello no se presente, o que, por ese simple hecho, merezcan un trato diferente. </w:t>
      </w:r>
    </w:p>
    <w:p w14:paraId="41779E72" w14:textId="77777777" w:rsidR="00B92853" w:rsidRPr="00131FA3" w:rsidRDefault="00B92853" w:rsidP="00B92853">
      <w:pPr>
        <w:spacing w:after="0" w:line="240" w:lineRule="auto"/>
        <w:ind w:left="709" w:right="709"/>
        <w:jc w:val="both"/>
        <w:rPr>
          <w:rFonts w:ascii="Century Gothic" w:eastAsia="Calibri" w:hAnsi="Century Gothic" w:cs="Arial"/>
          <w:color w:val="000000" w:themeColor="text1"/>
          <w:sz w:val="21"/>
          <w:szCs w:val="21"/>
        </w:rPr>
      </w:pPr>
      <w:r w:rsidRPr="00131FA3">
        <w:rPr>
          <w:rFonts w:ascii="Century Gothic" w:eastAsia="Calibri" w:hAnsi="Century Gothic" w:cs="Arial"/>
          <w:color w:val="000000" w:themeColor="text1"/>
          <w:sz w:val="21"/>
          <w:szCs w:val="21"/>
        </w:rPr>
        <w:lastRenderedPageBreak/>
        <w:t>74. En efecto, si en otros ámbitos de actividad de interés público que pueden adelantar entidades privadas sin ánimo de lucro se llega a presentar la situación de que sólo una de ellas esté en capacidad de realizarla, no será factible contratar directamente con ella, puesto que no hace parte de las actividades enunciadas en la norma: de índole artística, cultural, deportiva o de promoción de la diversidad étnica”</w:t>
      </w:r>
      <w:r w:rsidRPr="00131FA3">
        <w:rPr>
          <w:rStyle w:val="Refdenotaalpie"/>
          <w:rFonts w:ascii="Century Gothic" w:eastAsia="Calibri" w:hAnsi="Century Gothic" w:cs="Arial"/>
          <w:color w:val="000000" w:themeColor="text1"/>
          <w:sz w:val="21"/>
          <w:szCs w:val="21"/>
        </w:rPr>
        <w:footnoteReference w:id="25"/>
      </w:r>
      <w:r w:rsidRPr="00131FA3">
        <w:rPr>
          <w:rFonts w:ascii="Century Gothic" w:eastAsia="Calibri" w:hAnsi="Century Gothic" w:cs="Arial"/>
          <w:color w:val="000000" w:themeColor="text1"/>
          <w:sz w:val="21"/>
          <w:szCs w:val="21"/>
        </w:rPr>
        <w:t xml:space="preserve">.  </w:t>
      </w:r>
    </w:p>
    <w:p w14:paraId="25065A0D" w14:textId="77777777" w:rsidR="00B92853" w:rsidRPr="00131FA3" w:rsidRDefault="00B92853" w:rsidP="00B92853">
      <w:pPr>
        <w:spacing w:after="0" w:line="276" w:lineRule="auto"/>
        <w:ind w:firstLine="709"/>
        <w:jc w:val="both"/>
        <w:rPr>
          <w:rFonts w:ascii="Century Gothic" w:eastAsia="Calibri" w:hAnsi="Century Gothic" w:cs="Arial"/>
          <w:color w:val="000000" w:themeColor="text1"/>
        </w:rPr>
      </w:pPr>
    </w:p>
    <w:p w14:paraId="7FB96801" w14:textId="77777777" w:rsidR="00B92853" w:rsidRPr="00131FA3" w:rsidRDefault="00B92853" w:rsidP="00B92853">
      <w:pPr>
        <w:spacing w:line="276" w:lineRule="auto"/>
        <w:ind w:firstLine="709"/>
        <w:jc w:val="both"/>
        <w:rPr>
          <w:rFonts w:ascii="Century Gothic" w:eastAsia="Calibri" w:hAnsi="Century Gothic" w:cs="Arial"/>
          <w:color w:val="000000" w:themeColor="text1"/>
        </w:rPr>
      </w:pPr>
      <w:bookmarkStart w:id="25" w:name="_Hlk95757157"/>
      <w:bookmarkEnd w:id="23"/>
      <w:r w:rsidRPr="00131FA3">
        <w:rPr>
          <w:rFonts w:ascii="Century Gothic" w:hAnsi="Century Gothic" w:cs="Arial"/>
          <w:color w:val="000000" w:themeColor="text1"/>
        </w:rPr>
        <w:t xml:space="preserve">De lo anterior se desprende que 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deberán contratar con ESAL de reconocida idoneidad, como ya se dijo, realizando un proceso competitivo, y teniendo en cuenta lo siguiente: i) no debe condicionarse el proceso de contratación a la inexistencia de oferta en el mercado de bienes y servicios; </w:t>
      </w:r>
      <w:proofErr w:type="spellStart"/>
      <w:r w:rsidRPr="00131FA3">
        <w:rPr>
          <w:rFonts w:ascii="Century Gothic" w:hAnsi="Century Gothic" w:cs="Arial"/>
          <w:color w:val="000000" w:themeColor="text1"/>
        </w:rPr>
        <w:t>ii</w:t>
      </w:r>
      <w:proofErr w:type="spellEnd"/>
      <w:r w:rsidRPr="00131FA3">
        <w:rPr>
          <w:rFonts w:ascii="Century Gothic" w:hAnsi="Century Gothic" w:cs="Arial"/>
          <w:color w:val="000000" w:themeColor="text1"/>
        </w:rPr>
        <w:t xml:space="preserve">) tampoco debe condicionarse a que la contratación con las ESAL garantice la optimización de los recursos públicos en términos de eficiencia, eficacia, economía y manejo del riesgo; </w:t>
      </w:r>
      <w:proofErr w:type="spellStart"/>
      <w:r w:rsidRPr="00131FA3">
        <w:rPr>
          <w:rFonts w:ascii="Century Gothic" w:hAnsi="Century Gothic" w:cs="Arial"/>
          <w:color w:val="000000" w:themeColor="text1"/>
        </w:rPr>
        <w:t>iii</w:t>
      </w:r>
      <w:proofErr w:type="spellEnd"/>
      <w:r w:rsidRPr="00131FA3">
        <w:rPr>
          <w:rFonts w:ascii="Century Gothic" w:hAnsi="Century Gothic" w:cs="Arial"/>
          <w:color w:val="000000" w:themeColor="text1"/>
        </w:rPr>
        <w:t xml:space="preserve">) el objeto del contrato debe estar acorde con el plan nacional o seccional de desarrollo; </w:t>
      </w:r>
      <w:proofErr w:type="spellStart"/>
      <w:r w:rsidRPr="00131FA3">
        <w:rPr>
          <w:rFonts w:ascii="Century Gothic" w:hAnsi="Century Gothic" w:cs="Arial"/>
          <w:color w:val="000000" w:themeColor="text1"/>
        </w:rPr>
        <w:t>iv</w:t>
      </w:r>
      <w:proofErr w:type="spellEnd"/>
      <w:r w:rsidRPr="00131FA3">
        <w:rPr>
          <w:rFonts w:ascii="Century Gothic" w:hAnsi="Century Gothic" w:cs="Arial"/>
          <w:color w:val="000000" w:themeColor="text1"/>
        </w:rPr>
        <w:t xml:space="preserve">) no puede condicionarse únicamente a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proofErr w:type="spellStart"/>
      <w:r w:rsidRPr="00131FA3">
        <w:rPr>
          <w:rFonts w:ascii="Century Gothic" w:hAnsi="Century Gothic" w:cs="Arial"/>
          <w:color w:val="000000" w:themeColor="text1"/>
        </w:rPr>
        <w:t>iii</w:t>
      </w:r>
      <w:proofErr w:type="spellEnd"/>
      <w:r w:rsidRPr="00131FA3">
        <w:rPr>
          <w:rFonts w:ascii="Century Gothic" w:hAnsi="Century Gothic" w:cs="Arial"/>
          <w:color w:val="000000" w:themeColor="text1"/>
        </w:rPr>
        <w:t>); y v) el contrato no debe establecer una relación conmutativa en el cual haya una contraprestación directa a favor de la entidad, ni instrucciones precisas dadas por esta al contratista para cumplir con el objeto del contrato.</w:t>
      </w:r>
    </w:p>
    <w:p w14:paraId="06D7F2EA" w14:textId="77777777" w:rsidR="00B92853" w:rsidRDefault="00B92853" w:rsidP="00B92853">
      <w:pPr>
        <w:spacing w:before="120" w:after="0" w:line="276" w:lineRule="auto"/>
        <w:ind w:firstLine="709"/>
        <w:jc w:val="both"/>
        <w:rPr>
          <w:rFonts w:ascii="Century Gothic" w:eastAsia="Calibri" w:hAnsi="Century Gothic" w:cs="Arial"/>
          <w:color w:val="000000" w:themeColor="text1"/>
        </w:rPr>
      </w:pPr>
      <w:r w:rsidRPr="00131FA3">
        <w:rPr>
          <w:rFonts w:ascii="Century Gothic" w:eastAsia="Calibri" w:hAnsi="Century Gothic" w:cs="Arial"/>
          <w:color w:val="000000" w:themeColor="text1"/>
        </w:rPr>
        <w:t xml:space="preserve">Ahora, si se pretende realizar un </w:t>
      </w:r>
      <w:r w:rsidRPr="00131FA3">
        <w:rPr>
          <w:rFonts w:ascii="Century Gothic" w:eastAsia="Calibri" w:hAnsi="Century Gothic" w:cs="Arial"/>
          <w:i/>
          <w:iCs/>
          <w:color w:val="000000" w:themeColor="text1"/>
        </w:rPr>
        <w:t>convenio de asociación</w:t>
      </w:r>
      <w:r w:rsidRPr="00131FA3">
        <w:rPr>
          <w:rFonts w:ascii="Century Gothic" w:eastAsia="Calibri" w:hAnsi="Century Gothic" w:cs="Arial"/>
          <w:color w:val="000000" w:themeColor="text1"/>
        </w:rPr>
        <w:t xml:space="preserve"> con ESAL de reconocida idoneidad para el cumplimiento de las funciones que la ley les asigna a las entidades públicas, deberá aplicarse lo dispuesto en el artículo 5 del Decreto 092 de 2017. De esta manera, </w:t>
      </w:r>
      <w:bookmarkEnd w:id="25"/>
      <w:r w:rsidRPr="00131FA3">
        <w:rPr>
          <w:rFonts w:ascii="Century Gothic" w:eastAsia="Calibri" w:hAnsi="Century Gothic" w:cs="Arial"/>
          <w:color w:val="000000" w:themeColor="text1"/>
        </w:rPr>
        <w:t>deben estar sujetos a competencia, salvo en aquellos casos en que una entidad sin ánimo de lucro comprometa recursos en dinero por un valor igual o superior al 30% del valor total del convenio</w:t>
      </w:r>
      <w:r w:rsidRPr="00131FA3">
        <w:rPr>
          <w:rStyle w:val="Refdenotaalpie"/>
          <w:rFonts w:ascii="Century Gothic" w:hAnsi="Century Gothic" w:cs="Arial"/>
          <w:color w:val="000000" w:themeColor="text1"/>
          <w:sz w:val="20"/>
          <w:szCs w:val="20"/>
        </w:rPr>
        <w:footnoteReference w:id="26"/>
      </w:r>
      <w:r w:rsidRPr="00131FA3">
        <w:rPr>
          <w:rFonts w:ascii="Century Gothic" w:eastAsia="Calibri" w:hAnsi="Century Gothic" w:cs="Arial"/>
          <w:color w:val="000000" w:themeColor="text1"/>
        </w:rPr>
        <w:t xml:space="preserve">, y siempre que la entidad estatal verifique previamente que no existe ninguna otra entidad sin ánimo de lucro que ofrezca aportes iguales o superiores al 30%. </w:t>
      </w:r>
      <w:r w:rsidRPr="00131FA3">
        <w:rPr>
          <w:rFonts w:ascii="Century Gothic" w:eastAsia="Calibri" w:hAnsi="Century Gothic" w:cs="Arial"/>
          <w:color w:val="000000"/>
        </w:rPr>
        <w:t xml:space="preserve">Lo anterior sin perjuicio de </w:t>
      </w:r>
      <w:r w:rsidRPr="00131FA3">
        <w:rPr>
          <w:rFonts w:ascii="Century Gothic" w:eastAsia="Calibri" w:hAnsi="Century Gothic" w:cs="Arial"/>
          <w:color w:val="000000"/>
        </w:rPr>
        <w:lastRenderedPageBreak/>
        <w:t>las restricciones previstas en el artículo 33 de la Ley de Garantías durante el periodo preelectoral de las elecciones presidenciales para los procesos no competitivos</w:t>
      </w:r>
      <w:r w:rsidRPr="00131FA3">
        <w:rPr>
          <w:rFonts w:ascii="Century Gothic" w:eastAsia="Calibri" w:hAnsi="Century Gothic" w:cs="Arial"/>
          <w:color w:val="000000" w:themeColor="text1"/>
        </w:rPr>
        <w:t>.</w:t>
      </w:r>
    </w:p>
    <w:p w14:paraId="258EBAEC" w14:textId="77777777" w:rsidR="00B92853" w:rsidRPr="00131FA3" w:rsidRDefault="00B92853" w:rsidP="00B92853">
      <w:pPr>
        <w:spacing w:before="120" w:after="0" w:line="276" w:lineRule="auto"/>
        <w:ind w:firstLine="709"/>
        <w:jc w:val="both"/>
        <w:rPr>
          <w:rFonts w:ascii="Century Gothic" w:eastAsia="Calibri" w:hAnsi="Century Gothic" w:cs="Arial"/>
          <w:color w:val="000000" w:themeColor="text1"/>
        </w:rPr>
      </w:pPr>
      <w:r>
        <w:rPr>
          <w:rFonts w:ascii="Century Gothic" w:eastAsia="Calibri" w:hAnsi="Century Gothic" w:cs="Arial"/>
          <w:color w:val="000000" w:themeColor="text1"/>
        </w:rPr>
        <w:t xml:space="preserve">Independientemente de que se trate de </w:t>
      </w:r>
      <w:r w:rsidRPr="00131FA3">
        <w:rPr>
          <w:rFonts w:ascii="Century Gothic" w:hAnsi="Century Gothic" w:cs="Arial"/>
          <w:color w:val="000000" w:themeColor="text1"/>
        </w:rPr>
        <w:t>contratos de interés público, en los términos del artículo 355 de la Constitución Política</w:t>
      </w:r>
      <w:r>
        <w:rPr>
          <w:rFonts w:ascii="Century Gothic" w:hAnsi="Century Gothic" w:cs="Arial"/>
          <w:color w:val="000000" w:themeColor="text1"/>
        </w:rPr>
        <w:t>, o de convenios de asociación del artículo 96 de la Ley 489 de 1998, en ambos negocios jurídicos aplica el régimen de inhabilidades e incompatibilidades de las entidades sometidas al Estatuto General de Contratación Pública. Al respecto, el artículo 6 del Decreto 092 de 2017 dispone que “</w:t>
      </w:r>
      <w:r w:rsidRPr="0041214F">
        <w:rPr>
          <w:rFonts w:ascii="Century Gothic" w:hAnsi="Century Gothic" w:cs="Arial"/>
          <w:color w:val="000000" w:themeColor="text1"/>
        </w:rPr>
        <w:t>Las prohibiciones, inhabilidades e incompatibilidades establecidas en la Constitución y en las Leyes 80 de 1993, 1150 de 2007 y 1474 de 2011, y en las normas que las modifiquen, aclaren, adicionen o sustituyan, o en cualquier otra norma especial, son aplicables a la contratación a la que hace referencia el presente decreto</w:t>
      </w:r>
      <w:r>
        <w:rPr>
          <w:rFonts w:ascii="Century Gothic" w:hAnsi="Century Gothic" w:cs="Arial"/>
          <w:color w:val="000000" w:themeColor="text1"/>
        </w:rPr>
        <w:t>”</w:t>
      </w:r>
      <w:r w:rsidRPr="0041214F">
        <w:rPr>
          <w:rFonts w:ascii="Century Gothic" w:hAnsi="Century Gothic" w:cs="Arial"/>
          <w:color w:val="000000" w:themeColor="text1"/>
        </w:rPr>
        <w:t>.</w:t>
      </w:r>
      <w:r>
        <w:rPr>
          <w:rFonts w:ascii="Century Gothic" w:hAnsi="Century Gothic" w:cs="Arial"/>
          <w:color w:val="000000" w:themeColor="text1"/>
        </w:rPr>
        <w:t xml:space="preserve"> Este reglamento autónomo también remite a </w:t>
      </w:r>
      <w:r w:rsidRPr="0041214F">
        <w:rPr>
          <w:rFonts w:ascii="Century Gothic" w:hAnsi="Century Gothic" w:cs="Arial"/>
          <w:color w:val="000000" w:themeColor="text1"/>
        </w:rPr>
        <w:t>los principios de la contratación estatal y a las normas presupuestales</w:t>
      </w:r>
      <w:r>
        <w:rPr>
          <w:rFonts w:ascii="Century Gothic" w:hAnsi="Century Gothic" w:cs="Arial"/>
          <w:color w:val="000000" w:themeColor="text1"/>
        </w:rPr>
        <w:t xml:space="preserve"> –art. 7–, así como de las </w:t>
      </w:r>
      <w:r w:rsidRPr="0041214F">
        <w:rPr>
          <w:rFonts w:ascii="Century Gothic" w:hAnsi="Century Gothic" w:cs="Arial"/>
          <w:color w:val="000000" w:themeColor="text1"/>
        </w:rPr>
        <w:t xml:space="preserve">normas generales </w:t>
      </w:r>
      <w:r>
        <w:rPr>
          <w:rFonts w:ascii="Century Gothic" w:hAnsi="Century Gothic" w:cs="Arial"/>
          <w:color w:val="000000" w:themeColor="text1"/>
        </w:rPr>
        <w:t xml:space="preserve">de </w:t>
      </w:r>
      <w:r w:rsidRPr="0041214F">
        <w:rPr>
          <w:rFonts w:ascii="Century Gothic" w:hAnsi="Century Gothic" w:cs="Arial"/>
          <w:color w:val="000000" w:themeColor="text1"/>
        </w:rPr>
        <w:t xml:space="preserve">la contratación pública excepto en lo reglamentado en </w:t>
      </w:r>
      <w:r>
        <w:rPr>
          <w:rFonts w:ascii="Century Gothic" w:hAnsi="Century Gothic" w:cs="Arial"/>
          <w:color w:val="000000" w:themeColor="text1"/>
        </w:rPr>
        <w:t>dicho</w:t>
      </w:r>
      <w:r w:rsidRPr="0041214F">
        <w:rPr>
          <w:rFonts w:ascii="Century Gothic" w:hAnsi="Century Gothic" w:cs="Arial"/>
          <w:color w:val="000000" w:themeColor="text1"/>
        </w:rPr>
        <w:t xml:space="preserve"> decreto</w:t>
      </w:r>
      <w:r>
        <w:rPr>
          <w:rFonts w:ascii="Century Gothic" w:hAnsi="Century Gothic" w:cs="Arial"/>
          <w:color w:val="000000" w:themeColor="text1"/>
        </w:rPr>
        <w:t xml:space="preserve"> –art. 8–.</w:t>
      </w:r>
      <w:r>
        <w:rPr>
          <w:rFonts w:ascii="Century Gothic" w:eastAsia="Calibri" w:hAnsi="Century Gothic" w:cs="Arial"/>
          <w:color w:val="000000" w:themeColor="text1"/>
        </w:rPr>
        <w:t xml:space="preserve"> </w:t>
      </w:r>
    </w:p>
    <w:p w14:paraId="6FA5C73F" w14:textId="77777777" w:rsidR="00B92853" w:rsidRPr="00FE1080" w:rsidRDefault="00B92853" w:rsidP="00B92853">
      <w:pPr>
        <w:spacing w:after="0" w:line="276" w:lineRule="auto"/>
        <w:ind w:firstLine="709"/>
        <w:jc w:val="both"/>
        <w:rPr>
          <w:rFonts w:ascii="Century Gothic" w:eastAsia="Calibri" w:hAnsi="Century Gothic" w:cs="Arial"/>
          <w:bCs/>
          <w:color w:val="000000"/>
          <w:lang w:eastAsia="es-CO"/>
        </w:rPr>
      </w:pPr>
    </w:p>
    <w:p w14:paraId="45D9C215" w14:textId="77777777" w:rsidR="00B92853" w:rsidRPr="00131FA3" w:rsidRDefault="00B92853" w:rsidP="00B92853">
      <w:pPr>
        <w:tabs>
          <w:tab w:val="left" w:pos="0"/>
        </w:tabs>
        <w:spacing w:after="0"/>
        <w:jc w:val="both"/>
        <w:rPr>
          <w:rFonts w:ascii="Century Gothic" w:eastAsia="Calibri" w:hAnsi="Century Gothic" w:cs="Arial"/>
          <w:b/>
          <w:color w:val="000000" w:themeColor="text1"/>
          <w:lang w:val="es-ES_tradnl"/>
        </w:rPr>
      </w:pPr>
      <w:r w:rsidRPr="00131FA3">
        <w:rPr>
          <w:rFonts w:ascii="Century Gothic" w:eastAsia="Calibri" w:hAnsi="Century Gothic" w:cs="Arial"/>
          <w:b/>
          <w:color w:val="000000" w:themeColor="text1"/>
          <w:lang w:val="es-ES_tradnl"/>
        </w:rPr>
        <w:t>3. Respuesta</w:t>
      </w:r>
    </w:p>
    <w:p w14:paraId="4DF785C1" w14:textId="77777777" w:rsidR="00B92853" w:rsidRPr="00131FA3" w:rsidRDefault="00B92853" w:rsidP="00B92853">
      <w:pPr>
        <w:spacing w:after="0" w:line="276" w:lineRule="auto"/>
        <w:jc w:val="both"/>
        <w:rPr>
          <w:rFonts w:ascii="Century Gothic" w:eastAsia="Times New Roman" w:hAnsi="Century Gothic" w:cs="Arial"/>
          <w:lang w:eastAsia="es-CO"/>
        </w:rPr>
      </w:pPr>
    </w:p>
    <w:p w14:paraId="2BD32D0F" w14:textId="77777777" w:rsidR="00B92853" w:rsidRPr="0041214F" w:rsidRDefault="00B92853" w:rsidP="00B92853">
      <w:pPr>
        <w:spacing w:after="120" w:line="240" w:lineRule="auto"/>
        <w:ind w:left="709" w:right="709"/>
        <w:jc w:val="both"/>
        <w:rPr>
          <w:rFonts w:ascii="Century Gothic" w:hAnsi="Century Gothic" w:cs="Arial"/>
          <w:color w:val="000000" w:themeColor="text1"/>
          <w:sz w:val="21"/>
          <w:szCs w:val="21"/>
          <w:lang w:val="es-ES_tradnl"/>
        </w:rPr>
      </w:pPr>
      <w:r w:rsidRPr="0041214F">
        <w:rPr>
          <w:rFonts w:ascii="Century Gothic" w:hAnsi="Century Gothic" w:cs="Arial"/>
          <w:color w:val="000000" w:themeColor="text1"/>
          <w:sz w:val="21"/>
          <w:szCs w:val="21"/>
          <w:lang w:val="es-ES_tradnl"/>
        </w:rPr>
        <w:t>“1- ¿Cuál es el papel de Colombia Compra eficiente, frente a los recursos que ingresan al país por cooperación internacional?</w:t>
      </w:r>
    </w:p>
    <w:p w14:paraId="5F745A29" w14:textId="77777777" w:rsidR="00B92853" w:rsidRDefault="00B92853" w:rsidP="00B92853">
      <w:pPr>
        <w:spacing w:after="0" w:line="240" w:lineRule="auto"/>
        <w:ind w:left="709" w:right="709"/>
        <w:jc w:val="both"/>
        <w:rPr>
          <w:rFonts w:ascii="Century Gothic" w:hAnsi="Century Gothic" w:cs="Arial"/>
          <w:color w:val="000000" w:themeColor="text1"/>
          <w:sz w:val="21"/>
          <w:szCs w:val="21"/>
          <w:lang w:val="es-ES_tradnl"/>
        </w:rPr>
      </w:pPr>
      <w:r w:rsidRPr="0041214F">
        <w:rPr>
          <w:rFonts w:ascii="Century Gothic" w:hAnsi="Century Gothic" w:cs="Arial"/>
          <w:color w:val="000000" w:themeColor="text1"/>
          <w:sz w:val="21"/>
          <w:szCs w:val="21"/>
          <w:lang w:val="es-ES_tradnl"/>
        </w:rPr>
        <w:t>2- Según el numeral 6 del artículo 3 de las funciones del Decreto 4170 del 2011, Brindar apoyo al Gobierno Nacional en la negociación internacional en materia de compras y contratación pública, ¿según este numeral, frente a las ayudas que ingresa al país, en que cálida ingresa esos dineros, y cuál es el manejo que se le da a esos recursos?</w:t>
      </w:r>
    </w:p>
    <w:p w14:paraId="0DB3BC33" w14:textId="77777777" w:rsidR="00B92853" w:rsidRPr="0041214F" w:rsidRDefault="00B92853" w:rsidP="00B92853">
      <w:pPr>
        <w:spacing w:after="120" w:line="240" w:lineRule="auto"/>
        <w:ind w:left="709" w:right="709"/>
        <w:jc w:val="both"/>
        <w:rPr>
          <w:rFonts w:ascii="Century Gothic" w:hAnsi="Century Gothic" w:cs="Arial"/>
          <w:color w:val="000000" w:themeColor="text1"/>
          <w:sz w:val="21"/>
          <w:szCs w:val="21"/>
          <w:lang w:val="es-ES_tradnl"/>
        </w:rPr>
      </w:pPr>
      <w:r>
        <w:rPr>
          <w:rFonts w:ascii="Century Gothic" w:hAnsi="Century Gothic" w:cs="Arial"/>
          <w:color w:val="000000" w:themeColor="text1"/>
          <w:sz w:val="21"/>
          <w:szCs w:val="21"/>
          <w:lang w:val="es-ES_tradnl"/>
        </w:rPr>
        <w:t>[…]</w:t>
      </w:r>
    </w:p>
    <w:p w14:paraId="4347BA2F" w14:textId="77777777" w:rsidR="00B92853" w:rsidRPr="00131FA3" w:rsidRDefault="00B92853" w:rsidP="00B92853">
      <w:pPr>
        <w:spacing w:after="0" w:line="240" w:lineRule="auto"/>
        <w:ind w:left="709" w:right="709"/>
        <w:jc w:val="both"/>
        <w:rPr>
          <w:rFonts w:ascii="Century Gothic" w:hAnsi="Century Gothic" w:cs="Arial"/>
          <w:color w:val="000000" w:themeColor="text1"/>
          <w:sz w:val="21"/>
          <w:szCs w:val="21"/>
          <w:lang w:val="es-ES_tradnl"/>
        </w:rPr>
      </w:pPr>
      <w:r w:rsidRPr="0041214F">
        <w:rPr>
          <w:rFonts w:ascii="Century Gothic" w:hAnsi="Century Gothic" w:cs="Arial"/>
          <w:color w:val="000000" w:themeColor="text1"/>
          <w:sz w:val="21"/>
          <w:szCs w:val="21"/>
          <w:lang w:val="es-ES_tradnl"/>
        </w:rPr>
        <w:t>5- Siendo el estado responsable del bienestar de los ciudadanos en el territorio nacional y quien traza los planes de desarrollo, y que a través de esta entidad regula la transparencia del presupuesto nacional, ¿de qué manera ejercen control de los presupuestos de cooperación internacional ingresan al país?</w:t>
      </w:r>
      <w:r>
        <w:rPr>
          <w:rFonts w:ascii="Century Gothic" w:hAnsi="Century Gothic" w:cs="Arial"/>
          <w:color w:val="000000" w:themeColor="text1"/>
          <w:sz w:val="21"/>
          <w:szCs w:val="21"/>
          <w:lang w:val="es-ES_tradnl"/>
        </w:rPr>
        <w:t>”.</w:t>
      </w:r>
    </w:p>
    <w:p w14:paraId="31BE65C2" w14:textId="77777777" w:rsidR="00B92853" w:rsidRPr="00131FA3" w:rsidRDefault="00B92853" w:rsidP="00B92853">
      <w:pPr>
        <w:spacing w:after="0" w:line="276" w:lineRule="auto"/>
        <w:jc w:val="both"/>
        <w:rPr>
          <w:rFonts w:ascii="Century Gothic" w:hAnsi="Century Gothic" w:cs="Arial"/>
          <w:color w:val="000000" w:themeColor="text1"/>
          <w:lang w:val="es-ES_tradnl"/>
        </w:rPr>
      </w:pPr>
    </w:p>
    <w:p w14:paraId="70527E4B" w14:textId="77777777" w:rsidR="00B92853" w:rsidRPr="005A551C" w:rsidRDefault="00B92853" w:rsidP="00B92853">
      <w:pPr>
        <w:spacing w:after="120" w:line="276" w:lineRule="auto"/>
        <w:jc w:val="both"/>
        <w:rPr>
          <w:rFonts w:ascii="Century Gothic" w:hAnsi="Century Gothic" w:cs="Arial"/>
          <w:bCs/>
        </w:rPr>
      </w:pPr>
      <w:r w:rsidRPr="005A551C">
        <w:rPr>
          <w:rFonts w:ascii="Century Gothic" w:hAnsi="Century Gothic" w:cs="Arial"/>
          <w:bCs/>
        </w:rPr>
        <w:t xml:space="preserve">La Agencia Nacional de Contratación Pública – Colombia Compra Eficiente fue creada por el Decreto Ley 4170 de 2011, como una Unidad Administrativa Especial, descentralizada de la Rama Ejecutiva del orden nacional, adscrita al Departamento Nacional de Planeación. El legislador extraordinario determinó que su objetivo sería servir como ente rector de la política de compras y contratación del Estado, facultando a la Agencia para “difundir las normas, reglas, </w:t>
      </w:r>
      <w:r w:rsidRPr="005A551C">
        <w:rPr>
          <w:rFonts w:ascii="Century Gothic" w:hAnsi="Century Gothic" w:cs="Arial"/>
          <w:bCs/>
        </w:rPr>
        <w:lastRenderedPageBreak/>
        <w:t xml:space="preserve">procedimientos, medios tecnológicos y mejores prácticas para las compras y la contratación pública”, de conformidad con el numeral 10 del artículo 3 del Decreto Ley 4170 de 2011. </w:t>
      </w:r>
    </w:p>
    <w:p w14:paraId="27C3F3A4" w14:textId="77777777" w:rsidR="00B92853" w:rsidRDefault="00B92853" w:rsidP="00B92853">
      <w:pPr>
        <w:spacing w:after="120" w:line="276" w:lineRule="auto"/>
        <w:ind w:firstLine="708"/>
        <w:jc w:val="both"/>
        <w:rPr>
          <w:rFonts w:ascii="Century Gothic" w:hAnsi="Century Gothic" w:cs="Arial"/>
          <w:bCs/>
        </w:rPr>
      </w:pPr>
      <w:r>
        <w:rPr>
          <w:rFonts w:ascii="Century Gothic" w:hAnsi="Century Gothic" w:cs="Arial"/>
          <w:bCs/>
        </w:rPr>
        <w:t>E</w:t>
      </w:r>
      <w:r w:rsidRPr="005A551C">
        <w:rPr>
          <w:rFonts w:ascii="Century Gothic" w:hAnsi="Century Gothic" w:cs="Arial"/>
          <w:bCs/>
        </w:rPr>
        <w:t xml:space="preserve">l numeral 2 del artículo 3 del Decreto Ley 4170 de 2011 señala que una de las funciones de la Agencia Nacional de Contratación Pública es “desarrollar, implementar y difundir las políticas públicas, planes, programas, normas, instrumentos y herramientas que faciliten las compras y contratación pública del Estado y promuevan las mejores prácticas, la eficiencia, transparencia y competitividad del mismo, a fin de que se cumplan los principios y procesos generales que deben gobernar la actividad contractual de las entidades públicas”. </w:t>
      </w:r>
      <w:r>
        <w:rPr>
          <w:rFonts w:ascii="Century Gothic" w:hAnsi="Century Gothic" w:cs="Arial"/>
          <w:bCs/>
        </w:rPr>
        <w:t>Por su parte</w:t>
      </w:r>
      <w:r w:rsidRPr="005A551C">
        <w:rPr>
          <w:rFonts w:ascii="Century Gothic" w:hAnsi="Century Gothic" w:cs="Arial"/>
          <w:bCs/>
        </w:rPr>
        <w:t>, el numeral 5 del mismo artículo otorga la facultad para expedir circulares externas en materia de compras y contratación pública. En ejercicio de estas competencias conferidas por el Decreto Ley 4170 de 2011, Colombia Compra Eficiente ha expedido Guías, Manuales y Circulares, los cuales pueden calificarse como herramientas de apoyo a los partícipes de la contratación pública.</w:t>
      </w:r>
    </w:p>
    <w:p w14:paraId="23669FBD" w14:textId="77777777" w:rsidR="00B92853" w:rsidRDefault="00B92853" w:rsidP="00B92853">
      <w:pPr>
        <w:spacing w:after="120" w:line="276" w:lineRule="auto"/>
        <w:ind w:firstLine="708"/>
        <w:jc w:val="both"/>
        <w:rPr>
          <w:rFonts w:ascii="Century Gothic" w:hAnsi="Century Gothic" w:cs="Arial"/>
          <w:lang w:val="es-ES"/>
        </w:rPr>
      </w:pPr>
      <w:r>
        <w:rPr>
          <w:rFonts w:ascii="Century Gothic" w:hAnsi="Century Gothic" w:cs="Arial"/>
          <w:bCs/>
        </w:rPr>
        <w:t>Asimismo, e</w:t>
      </w:r>
      <w:r w:rsidRPr="00131FA3">
        <w:rPr>
          <w:rFonts w:ascii="Century Gothic" w:hAnsi="Century Gothic" w:cs="Arial"/>
          <w:bCs/>
        </w:rPr>
        <w:t xml:space="preserve">n ejercicio de las competencias establecidas en los artículos 3.5 y 11.8 del Decreto 4170 de 2011, la Agencia Nacional de Contratación Pública – Colombia Compra Eficiente resuelve consultas sobre </w:t>
      </w:r>
      <w:r w:rsidRPr="00131FA3">
        <w:rPr>
          <w:rFonts w:ascii="Century Gothic" w:hAnsi="Century Gothic" w:cs="Arial"/>
          <w:lang w:val="es-ES"/>
        </w:rPr>
        <w:t xml:space="preserve">la aplicación de normas de carácter general en materia de compras y contratación pública. </w:t>
      </w:r>
      <w:r w:rsidRPr="0061649A">
        <w:rPr>
          <w:rFonts w:ascii="Century Gothic" w:hAnsi="Century Gothic" w:cs="Arial"/>
          <w:lang w:val="es-ES"/>
        </w:rPr>
        <w:t>Esta competencia de interpretación de normas generales, por definición, no puede extenderse a la resolución de controversias, brindar asesorías sobre casos puntuales ni, mucho menos, interpretar cualquier disposición que no esté directamente relacionada con el sistema de compras</w:t>
      </w:r>
      <w:r>
        <w:rPr>
          <w:rFonts w:ascii="Century Gothic" w:hAnsi="Century Gothic" w:cs="Arial"/>
          <w:lang w:val="es-ES"/>
        </w:rPr>
        <w:t xml:space="preserve">. </w:t>
      </w:r>
    </w:p>
    <w:p w14:paraId="330AE23D" w14:textId="77777777" w:rsidR="00B92853" w:rsidRDefault="00B92853" w:rsidP="00B92853">
      <w:pPr>
        <w:spacing w:after="120" w:line="276" w:lineRule="auto"/>
        <w:ind w:firstLine="708"/>
        <w:jc w:val="both"/>
        <w:rPr>
          <w:rFonts w:ascii="Century Gothic" w:hAnsi="Century Gothic" w:cs="Arial"/>
          <w:lang w:val="es-ES"/>
        </w:rPr>
      </w:pPr>
      <w:r w:rsidRPr="00131FA3">
        <w:rPr>
          <w:rFonts w:ascii="Century Gothic"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131FA3">
        <w:rPr>
          <w:rFonts w:ascii="Century Gothic" w:hAnsi="Century Gothic" w:cs="Arial"/>
          <w:vertAlign w:val="superscript"/>
          <w:lang w:val="es-ES"/>
        </w:rPr>
        <w:footnoteReference w:id="27"/>
      </w:r>
      <w:r w:rsidRPr="00131FA3">
        <w:rPr>
          <w:rFonts w:ascii="Century Gothic" w:hAnsi="Century Gothic" w:cs="Arial"/>
          <w:lang w:val="es-ES"/>
        </w:rPr>
        <w:t xml:space="preserve">. </w:t>
      </w:r>
      <w:r w:rsidRPr="0061649A">
        <w:rPr>
          <w:rFonts w:ascii="Century Gothic" w:hAnsi="Century Gothic" w:cs="Arial"/>
          <w:lang w:val="es-ES"/>
        </w:rPr>
        <w:t>Por lo anterior, previo concepto de sus órganos asesores, la solución de casos particulares o la interpretación de disposiciones de otros subsistemas normativos corresponden a la entidad de adoptar la decisión correspondiente y, en caso de conflicto, a las autoridades judiciales, fiscales y disciplinarias.</w:t>
      </w:r>
    </w:p>
    <w:p w14:paraId="43960A10" w14:textId="77777777" w:rsidR="00B92853" w:rsidRDefault="00B92853" w:rsidP="00B92853">
      <w:pPr>
        <w:spacing w:after="0" w:line="276" w:lineRule="auto"/>
        <w:ind w:firstLine="708"/>
        <w:jc w:val="both"/>
        <w:rPr>
          <w:rFonts w:ascii="Century Gothic" w:hAnsi="Century Gothic" w:cs="Arial"/>
          <w:lang w:val="es-ES"/>
        </w:rPr>
      </w:pPr>
      <w:r>
        <w:rPr>
          <w:rFonts w:ascii="Century Gothic" w:hAnsi="Century Gothic" w:cs="Arial"/>
          <w:lang w:val="es-ES"/>
        </w:rPr>
        <w:lastRenderedPageBreak/>
        <w:t xml:space="preserve">Como se desprende de las normas precitadas, la Agencia carece de atribuciones respecto a la ordenación del gasto por parte de las entidades estatales, pues no tiene competencia para pronunciarse sobre temas presupuestales. De esta manera, Colombia Compra Eficiente no tiene la función de emitir directrices sobre el manejo de los recursos que ingresan al país por concepto de </w:t>
      </w:r>
      <w:r w:rsidRPr="0087536B">
        <w:rPr>
          <w:rFonts w:ascii="Century Gothic" w:hAnsi="Century Gothic" w:cs="Arial"/>
          <w:i/>
          <w:iCs/>
          <w:lang w:val="es-ES"/>
        </w:rPr>
        <w:t>cooperación internacional</w:t>
      </w:r>
      <w:r>
        <w:rPr>
          <w:rFonts w:ascii="Century Gothic" w:hAnsi="Century Gothic" w:cs="Arial"/>
          <w:lang w:val="es-ES"/>
        </w:rPr>
        <w:t>, especialmente, cuando tampoco tiene funciones de inspección y vigilancia, ya que no es un órgano de control.</w:t>
      </w:r>
    </w:p>
    <w:p w14:paraId="6E0CE1B9" w14:textId="77777777" w:rsidR="00B92853" w:rsidRPr="00131FA3" w:rsidRDefault="00B92853" w:rsidP="00B92853">
      <w:pPr>
        <w:spacing w:after="0" w:line="276" w:lineRule="auto"/>
        <w:jc w:val="both"/>
        <w:rPr>
          <w:rFonts w:ascii="Century Gothic" w:eastAsia="Times New Roman" w:hAnsi="Century Gothic" w:cs="Arial"/>
          <w:lang w:eastAsia="es-CO"/>
        </w:rPr>
      </w:pPr>
    </w:p>
    <w:p w14:paraId="7F3C7535" w14:textId="77777777" w:rsidR="00B92853" w:rsidRPr="00A0355E" w:rsidRDefault="00B92853" w:rsidP="00B92853">
      <w:pPr>
        <w:spacing w:after="120" w:line="240" w:lineRule="auto"/>
        <w:ind w:left="709" w:right="709"/>
        <w:jc w:val="both"/>
        <w:rPr>
          <w:rFonts w:ascii="Century Gothic" w:hAnsi="Century Gothic" w:cs="Arial"/>
          <w:color w:val="000000" w:themeColor="text1"/>
          <w:sz w:val="21"/>
          <w:szCs w:val="21"/>
          <w:lang w:val="es-ES_tradnl"/>
        </w:rPr>
      </w:pPr>
      <w:r w:rsidRPr="0041214F">
        <w:rPr>
          <w:rFonts w:ascii="Century Gothic" w:hAnsi="Century Gothic" w:cs="Arial"/>
          <w:color w:val="000000" w:themeColor="text1"/>
          <w:sz w:val="21"/>
          <w:szCs w:val="21"/>
          <w:lang w:val="es-ES_tradnl"/>
        </w:rPr>
        <w:t>“</w:t>
      </w:r>
      <w:r w:rsidRPr="00A0355E">
        <w:rPr>
          <w:rFonts w:ascii="Century Gothic" w:hAnsi="Century Gothic" w:cs="Arial"/>
          <w:color w:val="000000" w:themeColor="text1"/>
          <w:sz w:val="21"/>
          <w:szCs w:val="21"/>
          <w:lang w:val="es-ES_tradnl"/>
        </w:rPr>
        <w:t>3- Según el numeral 9 del artículo 3 de las funciones de Colombia Compra Eficiente en el decreto 4170 del 2011, Desarrollar mecanismos de apoyo a los oferentes que les permitan una mayor y mejor participación en los procesos de compras y contratación pública de las entidades estatales, ¿cuáles son los mecanismos que realizan para integrar a las Entidades sin ánimo de lucro -ESALES?</w:t>
      </w:r>
    </w:p>
    <w:p w14:paraId="4D696DF6" w14:textId="77777777" w:rsidR="00B92853" w:rsidRDefault="00B92853" w:rsidP="00B92853">
      <w:pPr>
        <w:spacing w:after="0" w:line="240" w:lineRule="auto"/>
        <w:ind w:left="709" w:right="709"/>
        <w:jc w:val="both"/>
        <w:rPr>
          <w:rFonts w:ascii="Century Gothic" w:hAnsi="Century Gothic" w:cs="Arial"/>
          <w:color w:val="000000" w:themeColor="text1"/>
          <w:sz w:val="21"/>
          <w:szCs w:val="21"/>
          <w:lang w:val="es-ES_tradnl"/>
        </w:rPr>
      </w:pPr>
      <w:r w:rsidRPr="00A0355E">
        <w:rPr>
          <w:rFonts w:ascii="Century Gothic" w:hAnsi="Century Gothic" w:cs="Arial"/>
          <w:color w:val="000000" w:themeColor="text1"/>
          <w:sz w:val="21"/>
          <w:szCs w:val="21"/>
          <w:lang w:val="es-ES_tradnl"/>
        </w:rPr>
        <w:t>4- ¿Cuál es la injerencia que tiene la contratación estatal frente a los contratos de cooperación internacional con las Entidades sin ánimo de lucro -ESALES?</w:t>
      </w:r>
    </w:p>
    <w:p w14:paraId="60AC4C02" w14:textId="77777777" w:rsidR="00B92853" w:rsidRPr="00A0355E" w:rsidRDefault="00B92853" w:rsidP="00B92853">
      <w:pPr>
        <w:spacing w:after="120" w:line="240" w:lineRule="auto"/>
        <w:ind w:left="709" w:right="709"/>
        <w:jc w:val="both"/>
        <w:rPr>
          <w:rFonts w:ascii="Century Gothic" w:hAnsi="Century Gothic" w:cs="Arial"/>
          <w:color w:val="000000" w:themeColor="text1"/>
          <w:sz w:val="21"/>
          <w:szCs w:val="21"/>
          <w:lang w:val="es-ES_tradnl"/>
        </w:rPr>
      </w:pPr>
      <w:r>
        <w:rPr>
          <w:rFonts w:ascii="Century Gothic" w:hAnsi="Century Gothic" w:cs="Arial"/>
          <w:color w:val="000000" w:themeColor="text1"/>
          <w:sz w:val="21"/>
          <w:szCs w:val="21"/>
          <w:lang w:val="es-ES_tradnl"/>
        </w:rPr>
        <w:t>[…]</w:t>
      </w:r>
    </w:p>
    <w:p w14:paraId="4CECDA2B" w14:textId="77777777" w:rsidR="00B92853" w:rsidRPr="00A0355E" w:rsidRDefault="00B92853" w:rsidP="00B92853">
      <w:pPr>
        <w:spacing w:after="120" w:line="240" w:lineRule="auto"/>
        <w:ind w:left="709" w:right="709"/>
        <w:jc w:val="both"/>
        <w:rPr>
          <w:rFonts w:ascii="Century Gothic" w:hAnsi="Century Gothic" w:cs="Arial"/>
          <w:color w:val="000000" w:themeColor="text1"/>
          <w:sz w:val="21"/>
          <w:szCs w:val="21"/>
          <w:lang w:val="es-ES_tradnl"/>
        </w:rPr>
      </w:pPr>
      <w:r w:rsidRPr="00A0355E">
        <w:rPr>
          <w:rFonts w:ascii="Century Gothic" w:hAnsi="Century Gothic" w:cs="Arial"/>
          <w:color w:val="000000" w:themeColor="text1"/>
          <w:sz w:val="21"/>
          <w:szCs w:val="21"/>
          <w:lang w:val="es-ES_tradnl"/>
        </w:rPr>
        <w:t>6- Cuándo una Entidad sin ánimo de lucro- ESAL, desea ser oferente y beneficiario de esas ayudas internacionales, ¿cuáles son las rutas para acceder a esas ayudas?</w:t>
      </w:r>
    </w:p>
    <w:p w14:paraId="357A7D9C" w14:textId="77777777" w:rsidR="00B92853" w:rsidRPr="00A0355E" w:rsidRDefault="00B92853" w:rsidP="00B92853">
      <w:pPr>
        <w:spacing w:after="120" w:line="240" w:lineRule="auto"/>
        <w:ind w:left="709" w:right="709"/>
        <w:jc w:val="both"/>
        <w:rPr>
          <w:rFonts w:ascii="Century Gothic" w:hAnsi="Century Gothic" w:cs="Arial"/>
          <w:color w:val="000000" w:themeColor="text1"/>
          <w:sz w:val="21"/>
          <w:szCs w:val="21"/>
          <w:lang w:val="es-ES"/>
        </w:rPr>
      </w:pPr>
      <w:r w:rsidRPr="2B3D2183">
        <w:rPr>
          <w:rFonts w:ascii="Century Gothic" w:hAnsi="Century Gothic" w:cs="Arial"/>
          <w:color w:val="000000" w:themeColor="text1"/>
          <w:sz w:val="21"/>
          <w:szCs w:val="21"/>
          <w:lang w:val="es-ES"/>
        </w:rPr>
        <w:t xml:space="preserve">7- Cuales son los medios de publicación y ruta de acceso, </w:t>
      </w:r>
      <w:proofErr w:type="gramStart"/>
      <w:r w:rsidRPr="2B3D2183">
        <w:rPr>
          <w:rFonts w:ascii="Century Gothic" w:hAnsi="Century Gothic" w:cs="Arial"/>
          <w:color w:val="000000" w:themeColor="text1"/>
          <w:sz w:val="21"/>
          <w:szCs w:val="21"/>
          <w:lang w:val="es-ES"/>
        </w:rPr>
        <w:t>link</w:t>
      </w:r>
      <w:proofErr w:type="gramEnd"/>
      <w:r w:rsidRPr="2B3D2183">
        <w:rPr>
          <w:rFonts w:ascii="Century Gothic" w:hAnsi="Century Gothic" w:cs="Arial"/>
          <w:color w:val="000000" w:themeColor="text1"/>
          <w:sz w:val="21"/>
          <w:szCs w:val="21"/>
          <w:lang w:val="es-ES"/>
        </w:rPr>
        <w:t xml:space="preserve"> y/o URL, para acceder a las convocatorias de proyectos ofertados en cabeza de la organización: </w:t>
      </w:r>
    </w:p>
    <w:p w14:paraId="3731A948" w14:textId="77777777" w:rsidR="00B92853" w:rsidRPr="00A0355E" w:rsidRDefault="00B92853" w:rsidP="00B92853">
      <w:pPr>
        <w:spacing w:after="120" w:line="240" w:lineRule="auto"/>
        <w:ind w:left="709" w:right="709"/>
        <w:jc w:val="both"/>
        <w:rPr>
          <w:rFonts w:ascii="Century Gothic" w:hAnsi="Century Gothic" w:cs="Arial"/>
          <w:color w:val="000000" w:themeColor="text1"/>
          <w:sz w:val="21"/>
          <w:szCs w:val="21"/>
          <w:lang w:val="es-ES_tradnl"/>
        </w:rPr>
      </w:pPr>
      <w:r w:rsidRPr="00A0355E">
        <w:rPr>
          <w:rFonts w:ascii="Century Gothic" w:hAnsi="Century Gothic" w:cs="Arial"/>
          <w:color w:val="000000" w:themeColor="text1"/>
          <w:sz w:val="21"/>
          <w:szCs w:val="21"/>
          <w:lang w:val="es-ES_tradnl"/>
        </w:rPr>
        <w:t>8- Descripción de ruta de publicación convocatoria mediante la página web (paso a paso para ubicar las convocatorias)</w:t>
      </w:r>
    </w:p>
    <w:p w14:paraId="0738004F" w14:textId="77777777" w:rsidR="00B92853" w:rsidRDefault="00B92853" w:rsidP="00B92853">
      <w:pPr>
        <w:spacing w:after="0" w:line="240" w:lineRule="auto"/>
        <w:ind w:left="709" w:right="709"/>
        <w:jc w:val="both"/>
        <w:rPr>
          <w:rFonts w:ascii="Century Gothic" w:hAnsi="Century Gothic" w:cs="Arial"/>
          <w:color w:val="000000" w:themeColor="text1"/>
          <w:sz w:val="21"/>
          <w:szCs w:val="21"/>
          <w:lang w:val="es-ES_tradnl"/>
        </w:rPr>
      </w:pPr>
      <w:r w:rsidRPr="00A0355E">
        <w:rPr>
          <w:rFonts w:ascii="Century Gothic" w:hAnsi="Century Gothic" w:cs="Arial"/>
          <w:color w:val="000000" w:themeColor="text1"/>
          <w:sz w:val="21"/>
          <w:szCs w:val="21"/>
          <w:lang w:val="es-ES_tradnl"/>
        </w:rPr>
        <w:t>9- ¿Existe algún protocolo y/o normas que rigen a la organización, frente al estudio y aprobación de proyecto presentados por las diferentes ESALES?</w:t>
      </w:r>
      <w:r>
        <w:rPr>
          <w:rFonts w:ascii="Century Gothic" w:hAnsi="Century Gothic" w:cs="Arial"/>
          <w:color w:val="000000" w:themeColor="text1"/>
          <w:sz w:val="21"/>
          <w:szCs w:val="21"/>
          <w:lang w:val="es-ES_tradnl"/>
        </w:rPr>
        <w:t>”.</w:t>
      </w:r>
    </w:p>
    <w:p w14:paraId="0A707F50" w14:textId="77777777" w:rsidR="00B92853" w:rsidRPr="000C5369" w:rsidRDefault="00B92853" w:rsidP="00B92853">
      <w:pPr>
        <w:spacing w:after="0" w:line="276" w:lineRule="auto"/>
        <w:ind w:left="709" w:right="709"/>
        <w:jc w:val="both"/>
        <w:rPr>
          <w:rFonts w:ascii="Century Gothic" w:hAnsi="Century Gothic" w:cs="Arial"/>
          <w:color w:val="000000" w:themeColor="text1"/>
          <w:lang w:val="es-ES_tradnl"/>
        </w:rPr>
      </w:pPr>
    </w:p>
    <w:p w14:paraId="18D0E4C6" w14:textId="77777777" w:rsidR="00B92853" w:rsidRDefault="00B92853" w:rsidP="00B92853">
      <w:pPr>
        <w:spacing w:after="0" w:line="276" w:lineRule="auto"/>
        <w:jc w:val="both"/>
        <w:rPr>
          <w:rFonts w:ascii="Century Gothic" w:hAnsi="Century Gothic" w:cs="Arial"/>
          <w:bCs/>
        </w:rPr>
      </w:pPr>
      <w:r>
        <w:rPr>
          <w:rFonts w:ascii="Century Gothic" w:hAnsi="Century Gothic" w:cs="Arial"/>
          <w:bCs/>
        </w:rPr>
        <w:t>El artículo 20 de la Ley 1150 de 2007 regula la contratación con organismos internacionales. De alguna de las tres (3) hipótesis explicadas en el apartado 2.1 del presente oficio no se desprende ningún</w:t>
      </w:r>
      <w:r w:rsidRPr="000C5369">
        <w:rPr>
          <w:rFonts w:ascii="Century Gothic" w:hAnsi="Century Gothic" w:cs="Arial"/>
          <w:bCs/>
        </w:rPr>
        <w:t xml:space="preserve"> mecanismo de integración con las ESAL, pues éstas no tienen injerencia en los contratos suscritos. Dado que no son parte, carecen de rutas legales para acceder a los recursos ejecutados en estos negocios jurídicos. Por sustracción de materia, del </w:t>
      </w:r>
      <w:r>
        <w:rPr>
          <w:rFonts w:ascii="Century Gothic" w:hAnsi="Century Gothic" w:cs="Arial"/>
          <w:bCs/>
        </w:rPr>
        <w:t>marco analizado no se</w:t>
      </w:r>
      <w:r w:rsidRPr="000C5369">
        <w:rPr>
          <w:rFonts w:ascii="Century Gothic" w:hAnsi="Century Gothic" w:cs="Arial"/>
          <w:bCs/>
        </w:rPr>
        <w:t xml:space="preserve"> deriva la posibilidad de que las personas jurídicas sin ánimo de lucro presenten proyectos a los organismos internacionales. Por ello, no establece la realización de </w:t>
      </w:r>
      <w:r w:rsidRPr="000C5369">
        <w:rPr>
          <w:rFonts w:ascii="Century Gothic" w:hAnsi="Century Gothic" w:cs="Arial"/>
          <w:bCs/>
        </w:rPr>
        <w:lastRenderedPageBreak/>
        <w:t>convocatorias ni regula la expedición de algún protocolo para su estudio o aprobación.</w:t>
      </w:r>
    </w:p>
    <w:p w14:paraId="20E54910" w14:textId="77777777" w:rsidR="00B92853" w:rsidRPr="00131FA3" w:rsidRDefault="00B92853" w:rsidP="00B92853">
      <w:pPr>
        <w:spacing w:after="0" w:line="276" w:lineRule="auto"/>
        <w:jc w:val="both"/>
        <w:rPr>
          <w:rFonts w:ascii="Century Gothic" w:eastAsia="Times New Roman" w:hAnsi="Century Gothic" w:cs="Arial"/>
          <w:lang w:eastAsia="es-CO"/>
        </w:rPr>
      </w:pPr>
    </w:p>
    <w:p w14:paraId="1730A915" w14:textId="77777777" w:rsidR="00B92853" w:rsidRPr="00BE0B31" w:rsidRDefault="00B92853" w:rsidP="00B92853">
      <w:pPr>
        <w:spacing w:after="120" w:line="240" w:lineRule="auto"/>
        <w:ind w:left="709" w:right="709"/>
        <w:jc w:val="both"/>
        <w:rPr>
          <w:rFonts w:ascii="Century Gothic" w:hAnsi="Century Gothic" w:cs="Arial"/>
          <w:color w:val="000000" w:themeColor="text1"/>
          <w:sz w:val="21"/>
          <w:szCs w:val="21"/>
          <w:lang w:val="es-ES_tradnl"/>
        </w:rPr>
      </w:pPr>
      <w:r w:rsidRPr="0041214F">
        <w:rPr>
          <w:rFonts w:ascii="Century Gothic" w:hAnsi="Century Gothic" w:cs="Arial"/>
          <w:color w:val="000000" w:themeColor="text1"/>
          <w:sz w:val="21"/>
          <w:szCs w:val="21"/>
          <w:lang w:val="es-ES_tradnl"/>
        </w:rPr>
        <w:t>“</w:t>
      </w:r>
      <w:r w:rsidRPr="00BE0B31">
        <w:rPr>
          <w:rFonts w:ascii="Century Gothic" w:hAnsi="Century Gothic" w:cs="Arial"/>
          <w:color w:val="000000" w:themeColor="text1"/>
          <w:sz w:val="21"/>
          <w:szCs w:val="21"/>
          <w:lang w:val="es-ES_tradnl"/>
        </w:rPr>
        <w:t>10- ¿Cuáles son las condiciones y/o términos de referencias generales, para que una Entidad sin ánimo de lucro- ESAL, quede inhabilitada y no pueda presentarse con ustedes?</w:t>
      </w:r>
    </w:p>
    <w:p w14:paraId="40D33BEF" w14:textId="77777777" w:rsidR="00B92853" w:rsidRPr="00BE0B31" w:rsidRDefault="00B92853" w:rsidP="00B92853">
      <w:pPr>
        <w:spacing w:after="120" w:line="240" w:lineRule="auto"/>
        <w:ind w:left="709" w:right="709"/>
        <w:jc w:val="both"/>
        <w:rPr>
          <w:rFonts w:ascii="Century Gothic" w:hAnsi="Century Gothic" w:cs="Arial"/>
          <w:color w:val="000000" w:themeColor="text1"/>
          <w:sz w:val="21"/>
          <w:szCs w:val="21"/>
          <w:lang w:val="es-ES_tradnl"/>
        </w:rPr>
      </w:pPr>
      <w:r w:rsidRPr="00BE0B31">
        <w:rPr>
          <w:rFonts w:ascii="Century Gothic" w:hAnsi="Century Gothic" w:cs="Arial"/>
          <w:color w:val="000000" w:themeColor="text1"/>
          <w:sz w:val="21"/>
          <w:szCs w:val="21"/>
          <w:lang w:val="es-ES_tradnl"/>
        </w:rPr>
        <w:t>11- ¿En su estatuto o protocolo de contratación, presentan ustedes causales de inhabilidad para las Entidades Sin Ánimo de Lucro- ESALES, que quieren ser oferentes?</w:t>
      </w:r>
    </w:p>
    <w:p w14:paraId="02AF073C" w14:textId="77777777" w:rsidR="00B92853" w:rsidRDefault="00B92853" w:rsidP="00B92853">
      <w:pPr>
        <w:spacing w:after="0" w:line="240" w:lineRule="auto"/>
        <w:ind w:left="709" w:right="709"/>
        <w:jc w:val="both"/>
        <w:rPr>
          <w:rFonts w:ascii="Century Gothic" w:hAnsi="Century Gothic" w:cs="Arial"/>
          <w:color w:val="000000" w:themeColor="text1"/>
          <w:sz w:val="21"/>
          <w:szCs w:val="21"/>
          <w:lang w:val="es-ES"/>
        </w:rPr>
      </w:pPr>
      <w:r w:rsidRPr="2B3D2183">
        <w:rPr>
          <w:rFonts w:ascii="Century Gothic" w:hAnsi="Century Gothic" w:cs="Arial"/>
          <w:color w:val="000000" w:themeColor="text1"/>
          <w:sz w:val="21"/>
          <w:szCs w:val="21"/>
          <w:lang w:val="es-ES"/>
        </w:rPr>
        <w:t xml:space="preserve">12- El Decreto 092 de 2017 fue expedido en virtud de la autorización contenida en el artículo 355 de la Constitución Política y su aplicación se vio interrumpida por la demanda de Nulidad por Inconstitucionalidad, que se hiciera frente a este decreto, ¿Según lo anterior este decreto </w:t>
      </w:r>
      <w:proofErr w:type="spellStart"/>
      <w:r w:rsidRPr="2B3D2183">
        <w:rPr>
          <w:rFonts w:ascii="Century Gothic" w:hAnsi="Century Gothic" w:cs="Arial"/>
          <w:color w:val="000000" w:themeColor="text1"/>
          <w:sz w:val="21"/>
          <w:szCs w:val="21"/>
          <w:lang w:val="es-ES"/>
        </w:rPr>
        <w:t>aun</w:t>
      </w:r>
      <w:proofErr w:type="spellEnd"/>
      <w:r w:rsidRPr="2B3D2183">
        <w:rPr>
          <w:rFonts w:ascii="Century Gothic" w:hAnsi="Century Gothic" w:cs="Arial"/>
          <w:color w:val="000000" w:themeColor="text1"/>
          <w:sz w:val="21"/>
          <w:szCs w:val="21"/>
          <w:lang w:val="es-ES"/>
        </w:rPr>
        <w:t xml:space="preserve"> continúa suspendido su aplicación o ya se puede aplicar en su totalidad?”.</w:t>
      </w:r>
    </w:p>
    <w:p w14:paraId="0FB5403F" w14:textId="77777777" w:rsidR="00B92853" w:rsidRDefault="00B92853" w:rsidP="00B92853">
      <w:pPr>
        <w:spacing w:after="0" w:line="276" w:lineRule="auto"/>
        <w:jc w:val="both"/>
        <w:rPr>
          <w:rFonts w:ascii="Century Gothic" w:hAnsi="Century Gothic" w:cs="Arial"/>
          <w:bCs/>
        </w:rPr>
      </w:pPr>
    </w:p>
    <w:p w14:paraId="376E7440" w14:textId="77777777" w:rsidR="00B92853" w:rsidRPr="00131FA3" w:rsidRDefault="00B92853" w:rsidP="00B92853">
      <w:pPr>
        <w:spacing w:after="120" w:line="276" w:lineRule="auto"/>
        <w:jc w:val="both"/>
        <w:rPr>
          <w:rFonts w:ascii="Century Gothic" w:eastAsia="Calibri" w:hAnsi="Century Gothic" w:cs="Arial"/>
          <w:bCs/>
          <w:lang w:val="es-ES_tradnl"/>
        </w:rPr>
      </w:pPr>
      <w:r w:rsidRPr="00131FA3">
        <w:rPr>
          <w:rFonts w:ascii="Century Gothic" w:hAnsi="Century Gothic" w:cs="Arial"/>
          <w:bCs/>
        </w:rPr>
        <w:t xml:space="preserve">Conforme a la interpretación de las reglas generales del sistema de compras públicas, </w:t>
      </w:r>
      <w:r w:rsidRPr="00131FA3">
        <w:rPr>
          <w:rFonts w:ascii="Century Gothic" w:eastAsia="Calibri" w:hAnsi="Century Gothic" w:cs="Arial"/>
          <w:bCs/>
          <w:lang w:val="es-ES_tradnl"/>
        </w:rPr>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131FA3">
        <w:rPr>
          <w:rFonts w:ascii="Century Gothic" w:eastAsia="Calibri" w:hAnsi="Century Gothic" w:cs="Arial"/>
          <w:bCs/>
          <w:lang w:val="es-ES_tradnl"/>
        </w:rPr>
        <w:t>ii</w:t>
      </w:r>
      <w:proofErr w:type="spellEnd"/>
      <w:r w:rsidRPr="00131FA3">
        <w:rPr>
          <w:rFonts w:ascii="Century Gothic" w:eastAsia="Calibri" w:hAnsi="Century Gothic" w:cs="Arial"/>
          <w:bCs/>
          <w:lang w:val="es-ES_tradnl"/>
        </w:rPr>
        <w:t xml:space="preserve">) los convenios de asociación, para el desarrollo conjunto de actividades relacionadas con las funciones de las entidades estatales, en desarrollo del artículo 96 de la Ley 489 de 1998. </w:t>
      </w:r>
    </w:p>
    <w:p w14:paraId="236E910C" w14:textId="77777777" w:rsidR="00B92853" w:rsidRPr="00131FA3" w:rsidRDefault="00B92853" w:rsidP="00B92853">
      <w:pPr>
        <w:spacing w:after="120" w:line="276" w:lineRule="auto"/>
        <w:ind w:firstLine="709"/>
        <w:jc w:val="both"/>
        <w:rPr>
          <w:rFonts w:ascii="Century Gothic" w:eastAsia="Calibri" w:hAnsi="Century Gothic" w:cs="Arial"/>
          <w:lang w:val="es-ES"/>
        </w:rPr>
      </w:pPr>
      <w:r w:rsidRPr="2B3D2183">
        <w:rPr>
          <w:rFonts w:ascii="Century Gothic" w:eastAsia="Calibri" w:hAnsi="Century Gothic" w:cs="Arial"/>
          <w:lang w:val="es-ES"/>
        </w:rPr>
        <w:t xml:space="preserve">Los </w:t>
      </w:r>
      <w:r w:rsidRPr="2B3D2183">
        <w:rPr>
          <w:rFonts w:ascii="Century Gothic" w:eastAsia="Calibri" w:hAnsi="Century Gothic" w:cs="Arial"/>
          <w:i/>
          <w:lang w:val="es-ES"/>
        </w:rPr>
        <w:t>contratos del artículo 355 de la Constitución Política</w:t>
      </w:r>
      <w:r w:rsidRPr="2B3D2183">
        <w:rPr>
          <w:rFonts w:ascii="Century Gothic" w:eastAsia="Calibri" w:hAnsi="Century Gothic" w:cs="Arial"/>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De otro lado, los </w:t>
      </w:r>
      <w:r w:rsidRPr="2B3D2183">
        <w:rPr>
          <w:rFonts w:ascii="Century Gothic" w:eastAsia="Calibri" w:hAnsi="Century Gothic" w:cs="Arial"/>
          <w:i/>
          <w:lang w:val="es-ES"/>
        </w:rPr>
        <w:t>convenios de asociación</w:t>
      </w:r>
      <w:r w:rsidRPr="2B3D2183">
        <w:rPr>
          <w:rFonts w:ascii="Century Gothic" w:eastAsia="Calibri" w:hAnsi="Century Gothic" w:cs="Arial"/>
          <w:lang w:val="es-ES"/>
        </w:rPr>
        <w:t xml:space="preserve">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p>
    <w:p w14:paraId="63BF2C02" w14:textId="77777777" w:rsidR="00B92853" w:rsidRPr="00131FA3" w:rsidRDefault="00B92853" w:rsidP="00B92853">
      <w:pPr>
        <w:spacing w:after="120" w:line="276" w:lineRule="auto"/>
        <w:ind w:firstLine="709"/>
        <w:jc w:val="both"/>
        <w:rPr>
          <w:rFonts w:ascii="Century Gothic" w:eastAsia="Calibri" w:hAnsi="Century Gothic" w:cs="Arial"/>
          <w:color w:val="000000" w:themeColor="text1"/>
        </w:rPr>
      </w:pPr>
      <w:r w:rsidRPr="00131FA3">
        <w:rPr>
          <w:rFonts w:ascii="Century Gothic" w:hAnsi="Century Gothic" w:cs="Arial"/>
          <w:color w:val="000000" w:themeColor="text1"/>
        </w:rPr>
        <w:t xml:space="preserve">La contratación con entidades sin ánimo de lucro se sigue rigiendo por el Decreto 092 de 2017, salvo lo que fue objeto de suspensión provisional. Por lo tanto, las entidades públicas que desean celebrar contratos de interés público, en los </w:t>
      </w:r>
      <w:r w:rsidRPr="00131FA3">
        <w:rPr>
          <w:rFonts w:ascii="Century Gothic" w:hAnsi="Century Gothic" w:cs="Arial"/>
          <w:color w:val="000000" w:themeColor="text1"/>
        </w:rPr>
        <w:lastRenderedPageBreak/>
        <w:t xml:space="preserve">términos del artículo 355 de la Constitución Política, deberán contratar con ESAL de reconocida idoneidad, como ya se dijo, realizando un proceso competitivo, y teniendo en cuenta lo siguiente: i) no debe condicionarse el proceso de contratación a la inexistencia de oferta en el mercado de bienes y servicios; </w:t>
      </w:r>
      <w:proofErr w:type="spellStart"/>
      <w:r w:rsidRPr="00131FA3">
        <w:rPr>
          <w:rFonts w:ascii="Century Gothic" w:hAnsi="Century Gothic" w:cs="Arial"/>
          <w:color w:val="000000" w:themeColor="text1"/>
        </w:rPr>
        <w:t>ii</w:t>
      </w:r>
      <w:proofErr w:type="spellEnd"/>
      <w:r w:rsidRPr="00131FA3">
        <w:rPr>
          <w:rFonts w:ascii="Century Gothic" w:hAnsi="Century Gothic" w:cs="Arial"/>
          <w:color w:val="000000" w:themeColor="text1"/>
        </w:rPr>
        <w:t xml:space="preserve">) tampoco debe condicionarse a que la contratación con las ESAL garantice la optimización de los recursos públicos en términos de eficiencia, eficacia, economía y manejo del riesgo; </w:t>
      </w:r>
      <w:proofErr w:type="spellStart"/>
      <w:r w:rsidRPr="00131FA3">
        <w:rPr>
          <w:rFonts w:ascii="Century Gothic" w:hAnsi="Century Gothic" w:cs="Arial"/>
          <w:color w:val="000000" w:themeColor="text1"/>
        </w:rPr>
        <w:t>iii</w:t>
      </w:r>
      <w:proofErr w:type="spellEnd"/>
      <w:r w:rsidRPr="00131FA3">
        <w:rPr>
          <w:rFonts w:ascii="Century Gothic" w:hAnsi="Century Gothic" w:cs="Arial"/>
          <w:color w:val="000000" w:themeColor="text1"/>
        </w:rPr>
        <w:t xml:space="preserve">) el objeto del contrato debe estar acorde con el plan nacional o seccional de desarrollo; </w:t>
      </w:r>
      <w:proofErr w:type="spellStart"/>
      <w:r w:rsidRPr="00131FA3">
        <w:rPr>
          <w:rFonts w:ascii="Century Gothic" w:hAnsi="Century Gothic" w:cs="Arial"/>
          <w:color w:val="000000" w:themeColor="text1"/>
        </w:rPr>
        <w:t>iv</w:t>
      </w:r>
      <w:proofErr w:type="spellEnd"/>
      <w:r w:rsidRPr="00131FA3">
        <w:rPr>
          <w:rFonts w:ascii="Century Gothic" w:hAnsi="Century Gothic" w:cs="Arial"/>
          <w:color w:val="000000" w:themeColor="text1"/>
        </w:rPr>
        <w:t xml:space="preserve">) no puede condicionarse únicamente a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proofErr w:type="spellStart"/>
      <w:r w:rsidRPr="00131FA3">
        <w:rPr>
          <w:rFonts w:ascii="Century Gothic" w:hAnsi="Century Gothic" w:cs="Arial"/>
          <w:color w:val="000000" w:themeColor="text1"/>
        </w:rPr>
        <w:t>iii</w:t>
      </w:r>
      <w:proofErr w:type="spellEnd"/>
      <w:r w:rsidRPr="00131FA3">
        <w:rPr>
          <w:rFonts w:ascii="Century Gothic" w:hAnsi="Century Gothic" w:cs="Arial"/>
          <w:color w:val="000000" w:themeColor="text1"/>
        </w:rPr>
        <w:t>); y v) el contrato no debe establecer una relación conmutativa en el cual haya una contraprestación directa a favor de la entidad, ni instrucciones precisas dadas por esta al contratista para cumplir con el objeto del contrato.</w:t>
      </w:r>
    </w:p>
    <w:p w14:paraId="380840D6" w14:textId="77777777" w:rsidR="00B92853" w:rsidRDefault="00B92853" w:rsidP="00B92853">
      <w:pPr>
        <w:spacing w:after="120" w:line="276" w:lineRule="auto"/>
        <w:ind w:firstLine="709"/>
        <w:jc w:val="both"/>
        <w:rPr>
          <w:rFonts w:ascii="Century Gothic" w:eastAsia="Calibri" w:hAnsi="Century Gothic" w:cs="Arial"/>
          <w:color w:val="000000" w:themeColor="text1"/>
        </w:rPr>
      </w:pPr>
      <w:r w:rsidRPr="00131FA3">
        <w:rPr>
          <w:rFonts w:ascii="Century Gothic" w:eastAsia="Calibri" w:hAnsi="Century Gothic" w:cs="Arial"/>
          <w:color w:val="000000" w:themeColor="text1"/>
        </w:rPr>
        <w:t xml:space="preserve">Ahora, si se pretende realizar un </w:t>
      </w:r>
      <w:r w:rsidRPr="00131FA3">
        <w:rPr>
          <w:rFonts w:ascii="Century Gothic" w:eastAsia="Calibri" w:hAnsi="Century Gothic" w:cs="Arial"/>
          <w:i/>
          <w:iCs/>
          <w:color w:val="000000" w:themeColor="text1"/>
        </w:rPr>
        <w:t>convenio de asociación</w:t>
      </w:r>
      <w:r w:rsidRPr="00131FA3">
        <w:rPr>
          <w:rFonts w:ascii="Century Gothic" w:eastAsia="Calibri" w:hAnsi="Century Gothic" w:cs="Arial"/>
          <w:color w:val="000000" w:themeColor="text1"/>
        </w:rPr>
        <w:t xml:space="preserve"> con ESAL de reconocida idoneidad para el cumplimiento de las funciones que la ley les asigna a las entidades públicas, deberá aplicarse lo dispuesto en el artículo 5 del Decreto 092 de 2017. De esta manera, deben estar sujetos a competencia, salvo en aquellos casos en que una entidad sin ánimo de lucro comprometa recursos en dinero por un valor igual o superior al 30% del valor total del convenio, y siempre que la entidad estatal verifique previamente que no existe ninguna otra entidad sin ánimo de lucro que ofrezca aportes iguales o superiores al 30%. </w:t>
      </w:r>
      <w:r w:rsidRPr="00131FA3">
        <w:rPr>
          <w:rFonts w:ascii="Century Gothic" w:eastAsia="Calibri" w:hAnsi="Century Gothic" w:cs="Arial"/>
          <w:color w:val="000000"/>
        </w:rPr>
        <w:t>Lo anterior sin perjuicio de las restricciones previstas en el artículo 33 de la Ley de Garantías durante el periodo preelectoral de las elecciones presidenciales para los procesos no competitivos</w:t>
      </w:r>
      <w:r w:rsidRPr="00131FA3">
        <w:rPr>
          <w:rFonts w:ascii="Century Gothic" w:eastAsia="Calibri" w:hAnsi="Century Gothic" w:cs="Arial"/>
          <w:color w:val="000000" w:themeColor="text1"/>
        </w:rPr>
        <w:t>.</w:t>
      </w:r>
    </w:p>
    <w:p w14:paraId="2FAC321A" w14:textId="77777777" w:rsidR="00B92853" w:rsidRPr="00131FA3" w:rsidRDefault="00B92853" w:rsidP="00B92853">
      <w:pPr>
        <w:spacing w:before="120" w:after="0" w:line="276" w:lineRule="auto"/>
        <w:ind w:firstLine="709"/>
        <w:jc w:val="both"/>
        <w:rPr>
          <w:rFonts w:ascii="Century Gothic" w:eastAsia="Calibri" w:hAnsi="Century Gothic" w:cs="Arial"/>
          <w:color w:val="000000" w:themeColor="text1"/>
        </w:rPr>
      </w:pPr>
      <w:r>
        <w:rPr>
          <w:rFonts w:ascii="Century Gothic" w:eastAsia="Calibri" w:hAnsi="Century Gothic" w:cs="Arial"/>
          <w:color w:val="000000" w:themeColor="text1"/>
        </w:rPr>
        <w:t xml:space="preserve">Independientemente de que se trate de </w:t>
      </w:r>
      <w:r w:rsidRPr="00131FA3">
        <w:rPr>
          <w:rFonts w:ascii="Century Gothic" w:hAnsi="Century Gothic" w:cs="Arial"/>
          <w:color w:val="000000" w:themeColor="text1"/>
        </w:rPr>
        <w:t>contratos de interés público, en los términos del artículo 355 de la Constitución Política</w:t>
      </w:r>
      <w:r>
        <w:rPr>
          <w:rFonts w:ascii="Century Gothic" w:hAnsi="Century Gothic" w:cs="Arial"/>
          <w:color w:val="000000" w:themeColor="text1"/>
        </w:rPr>
        <w:t>, o de convenios de asociación del artículo 96 de la Ley 489 de 1998, en ambos negocios jurídicos aplica el régimen de inhabilidades e incompatibilidades de las entidades sometidas al Estatuto General de Contratación Pública. Al respecto, el artículo 6 del Decreto 092 de 2017 dispone que “</w:t>
      </w:r>
      <w:r w:rsidRPr="0041214F">
        <w:rPr>
          <w:rFonts w:ascii="Century Gothic" w:hAnsi="Century Gothic" w:cs="Arial"/>
          <w:color w:val="000000" w:themeColor="text1"/>
        </w:rPr>
        <w:t>Las prohibiciones, inhabilidades e incompatibilidades establecidas en la Constitución y en las Leyes 80 de 1993, 1150 de 2007 y 1474 de 2011, y en las normas que las modifiquen, aclaren, adicionen o sustituyan, o en cualquier otra norma especial, son aplicables a la contratación a la que hace referencia el presente decreto</w:t>
      </w:r>
      <w:r>
        <w:rPr>
          <w:rFonts w:ascii="Century Gothic" w:hAnsi="Century Gothic" w:cs="Arial"/>
          <w:color w:val="000000" w:themeColor="text1"/>
        </w:rPr>
        <w:t>”</w:t>
      </w:r>
      <w:r w:rsidRPr="0041214F">
        <w:rPr>
          <w:rFonts w:ascii="Century Gothic" w:hAnsi="Century Gothic" w:cs="Arial"/>
          <w:color w:val="000000" w:themeColor="text1"/>
        </w:rPr>
        <w:t>.</w:t>
      </w:r>
      <w:r>
        <w:rPr>
          <w:rFonts w:ascii="Century Gothic" w:hAnsi="Century Gothic" w:cs="Arial"/>
          <w:color w:val="000000" w:themeColor="text1"/>
        </w:rPr>
        <w:t xml:space="preserve"> Este reglamento autónomo también remite a </w:t>
      </w:r>
      <w:r w:rsidRPr="0041214F">
        <w:rPr>
          <w:rFonts w:ascii="Century Gothic" w:hAnsi="Century Gothic" w:cs="Arial"/>
          <w:color w:val="000000" w:themeColor="text1"/>
        </w:rPr>
        <w:t>los principios de la contratación estatal y a las normas presupuestales</w:t>
      </w:r>
      <w:r>
        <w:rPr>
          <w:rFonts w:ascii="Century Gothic" w:hAnsi="Century Gothic" w:cs="Arial"/>
          <w:color w:val="000000" w:themeColor="text1"/>
        </w:rPr>
        <w:t xml:space="preserve"> –art. 7–, así como de las </w:t>
      </w:r>
      <w:r w:rsidRPr="0041214F">
        <w:rPr>
          <w:rFonts w:ascii="Century Gothic" w:hAnsi="Century Gothic" w:cs="Arial"/>
          <w:color w:val="000000" w:themeColor="text1"/>
        </w:rPr>
        <w:lastRenderedPageBreak/>
        <w:t xml:space="preserve">normas generales </w:t>
      </w:r>
      <w:r>
        <w:rPr>
          <w:rFonts w:ascii="Century Gothic" w:hAnsi="Century Gothic" w:cs="Arial"/>
          <w:color w:val="000000" w:themeColor="text1"/>
        </w:rPr>
        <w:t xml:space="preserve">de </w:t>
      </w:r>
      <w:r w:rsidRPr="0041214F">
        <w:rPr>
          <w:rFonts w:ascii="Century Gothic" w:hAnsi="Century Gothic" w:cs="Arial"/>
          <w:color w:val="000000" w:themeColor="text1"/>
        </w:rPr>
        <w:t xml:space="preserve">la contratación pública excepto en lo reglamentado en </w:t>
      </w:r>
      <w:r>
        <w:rPr>
          <w:rFonts w:ascii="Century Gothic" w:hAnsi="Century Gothic" w:cs="Arial"/>
          <w:color w:val="000000" w:themeColor="text1"/>
        </w:rPr>
        <w:t>dicho</w:t>
      </w:r>
      <w:r w:rsidRPr="0041214F">
        <w:rPr>
          <w:rFonts w:ascii="Century Gothic" w:hAnsi="Century Gothic" w:cs="Arial"/>
          <w:color w:val="000000" w:themeColor="text1"/>
        </w:rPr>
        <w:t xml:space="preserve"> decreto</w:t>
      </w:r>
      <w:r>
        <w:rPr>
          <w:rFonts w:ascii="Century Gothic" w:hAnsi="Century Gothic" w:cs="Arial"/>
          <w:color w:val="000000" w:themeColor="text1"/>
        </w:rPr>
        <w:t xml:space="preserve"> –art. 8–.</w:t>
      </w:r>
      <w:r>
        <w:rPr>
          <w:rFonts w:ascii="Century Gothic" w:eastAsia="Calibri" w:hAnsi="Century Gothic" w:cs="Arial"/>
          <w:color w:val="000000" w:themeColor="text1"/>
        </w:rPr>
        <w:t xml:space="preserve"> </w:t>
      </w:r>
    </w:p>
    <w:p w14:paraId="7C0AD98C" w14:textId="77777777" w:rsidR="00B92853" w:rsidRPr="00131FA3" w:rsidRDefault="00B92853" w:rsidP="00B92853">
      <w:pPr>
        <w:spacing w:after="120" w:line="276" w:lineRule="auto"/>
        <w:jc w:val="both"/>
        <w:rPr>
          <w:rFonts w:ascii="Century Gothic" w:hAnsi="Century Gothic" w:cs="Arial"/>
          <w:color w:val="000000" w:themeColor="text1"/>
          <w:lang w:eastAsia="es-MX"/>
        </w:rPr>
      </w:pPr>
    </w:p>
    <w:p w14:paraId="4748C25A" w14:textId="77777777" w:rsidR="00B92853" w:rsidRPr="00131FA3" w:rsidRDefault="00B92853" w:rsidP="00B92853">
      <w:pPr>
        <w:widowControl w:val="0"/>
        <w:autoSpaceDE w:val="0"/>
        <w:autoSpaceDN w:val="0"/>
        <w:spacing w:after="0" w:line="276" w:lineRule="auto"/>
        <w:jc w:val="both"/>
        <w:rPr>
          <w:rFonts w:ascii="Century Gothic" w:hAnsi="Century Gothic" w:cs="Arial"/>
          <w:color w:val="000000" w:themeColor="text1"/>
          <w:lang w:val="es-ES_tradnl" w:bidi="es-ES"/>
        </w:rPr>
      </w:pPr>
      <w:r w:rsidRPr="00131FA3">
        <w:rPr>
          <w:rFonts w:ascii="Century Gothic" w:hAnsi="Century Gothic" w:cs="Arial"/>
          <w:color w:val="000000" w:themeColor="text1"/>
          <w:lang w:val="es-ES_tradnl"/>
        </w:rPr>
        <w:t>Este concepto tiene el alcance previsto en el artículo 28 del Código de Procedimiento Administrativo y de lo Contencioso Administrativo.</w:t>
      </w:r>
    </w:p>
    <w:p w14:paraId="4D54BF27" w14:textId="77777777" w:rsidR="00B92853" w:rsidRPr="00131FA3" w:rsidRDefault="00B92853" w:rsidP="00B92853">
      <w:pPr>
        <w:widowControl w:val="0"/>
        <w:autoSpaceDE w:val="0"/>
        <w:autoSpaceDN w:val="0"/>
        <w:spacing w:after="0" w:line="276" w:lineRule="auto"/>
        <w:jc w:val="both"/>
        <w:rPr>
          <w:rFonts w:ascii="Century Gothic" w:hAnsi="Century Gothic" w:cs="Arial"/>
          <w:color w:val="000000" w:themeColor="text1"/>
          <w:lang w:val="es-ES_tradnl" w:bidi="es-ES"/>
        </w:rPr>
      </w:pPr>
    </w:p>
    <w:p w14:paraId="47360772" w14:textId="77777777" w:rsidR="00B92853" w:rsidRPr="00131FA3" w:rsidRDefault="00B92853" w:rsidP="00B92853">
      <w:pPr>
        <w:tabs>
          <w:tab w:val="left" w:pos="426"/>
        </w:tabs>
        <w:spacing w:line="276" w:lineRule="auto"/>
        <w:jc w:val="both"/>
        <w:rPr>
          <w:rFonts w:ascii="Century Gothic" w:eastAsia="Times New Roman" w:hAnsi="Century Gothic" w:cs="Arial"/>
          <w:color w:val="000000" w:themeColor="text1"/>
        </w:rPr>
      </w:pPr>
      <w:r w:rsidRPr="00131FA3">
        <w:rPr>
          <w:rFonts w:ascii="Century Gothic" w:eastAsia="Times New Roman" w:hAnsi="Century Gothic" w:cs="Arial"/>
          <w:color w:val="000000" w:themeColor="text1"/>
        </w:rPr>
        <w:t>Atentamente,</w:t>
      </w:r>
    </w:p>
    <w:p w14:paraId="7EC876CE" w14:textId="781CD481" w:rsidR="00B92853" w:rsidRPr="00131FA3" w:rsidRDefault="006039DA" w:rsidP="00B92853">
      <w:pPr>
        <w:jc w:val="center"/>
        <w:rPr>
          <w:rFonts w:ascii="Century Gothic" w:eastAsia="Times New Roman" w:hAnsi="Century Gothic" w:cs="Arial"/>
          <w:lang w:eastAsia="es-CO"/>
        </w:rPr>
      </w:pPr>
      <w:r>
        <w:rPr>
          <w:noProof/>
        </w:rPr>
        <w:drawing>
          <wp:inline distT="0" distB="0" distL="0" distR="0" wp14:anchorId="0511625C" wp14:editId="06F722E4">
            <wp:extent cx="3152775" cy="1209675"/>
            <wp:effectExtent l="0" t="0" r="9525" b="9525"/>
            <wp:docPr id="136766671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66717" name="Imagen 1" descr="Texto&#10;&#10;Descripción generada automáticamente"/>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B92853" w:rsidRPr="00131FA3" w14:paraId="1AEC71AA" w14:textId="77777777" w:rsidTr="00F13B4E">
        <w:trPr>
          <w:trHeight w:val="409"/>
        </w:trPr>
        <w:tc>
          <w:tcPr>
            <w:tcW w:w="817" w:type="dxa"/>
            <w:tcBorders>
              <w:top w:val="nil"/>
              <w:left w:val="nil"/>
              <w:bottom w:val="nil"/>
              <w:right w:val="nil"/>
            </w:tcBorders>
            <w:vAlign w:val="center"/>
            <w:hideMark/>
          </w:tcPr>
          <w:p w14:paraId="6B82A73B" w14:textId="77777777" w:rsidR="00B92853" w:rsidRPr="00131FA3" w:rsidRDefault="00B92853" w:rsidP="00F13B4E">
            <w:pPr>
              <w:spacing w:after="0" w:line="240" w:lineRule="auto"/>
              <w:jc w:val="both"/>
              <w:rPr>
                <w:rFonts w:ascii="Century Gothic" w:hAnsi="Century Gothic" w:cs="Arial"/>
                <w:sz w:val="16"/>
                <w:szCs w:val="16"/>
              </w:rPr>
            </w:pPr>
            <w:r w:rsidRPr="00131FA3">
              <w:rPr>
                <w:rFonts w:ascii="Century Gothic" w:hAnsi="Century Gothic"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0E567FF1" w14:textId="77777777" w:rsidR="00B92853" w:rsidRPr="00131FA3" w:rsidRDefault="00B92853" w:rsidP="00F13B4E">
            <w:pPr>
              <w:spacing w:after="0" w:line="240" w:lineRule="auto"/>
              <w:jc w:val="both"/>
              <w:rPr>
                <w:rFonts w:ascii="Century Gothic" w:hAnsi="Century Gothic" w:cs="Arial"/>
                <w:sz w:val="16"/>
                <w:szCs w:val="16"/>
              </w:rPr>
            </w:pPr>
            <w:r w:rsidRPr="00131FA3">
              <w:rPr>
                <w:rFonts w:ascii="Century Gothic" w:hAnsi="Century Gothic" w:cs="Arial"/>
                <w:sz w:val="16"/>
                <w:szCs w:val="16"/>
              </w:rPr>
              <w:t>Juan David Montoya Penagos</w:t>
            </w:r>
          </w:p>
          <w:p w14:paraId="2776FD9F" w14:textId="77777777" w:rsidR="00B92853" w:rsidRPr="00131FA3" w:rsidRDefault="00B92853" w:rsidP="00F13B4E">
            <w:pPr>
              <w:spacing w:after="0" w:line="240" w:lineRule="auto"/>
              <w:jc w:val="both"/>
              <w:rPr>
                <w:rFonts w:ascii="Century Gothic" w:hAnsi="Century Gothic" w:cs="Arial"/>
                <w:sz w:val="16"/>
                <w:szCs w:val="16"/>
              </w:rPr>
            </w:pPr>
            <w:r w:rsidRPr="00131FA3">
              <w:rPr>
                <w:rFonts w:ascii="Century Gothic" w:hAnsi="Century Gothic" w:cs="Arial"/>
                <w:sz w:val="16"/>
                <w:szCs w:val="16"/>
              </w:rPr>
              <w:t>Contratista de la Subdirección de Gestión Contractual</w:t>
            </w:r>
          </w:p>
        </w:tc>
      </w:tr>
      <w:tr w:rsidR="00B92853" w:rsidRPr="00131FA3" w14:paraId="18947783" w14:textId="77777777" w:rsidTr="00F13B4E">
        <w:trPr>
          <w:trHeight w:val="409"/>
        </w:trPr>
        <w:tc>
          <w:tcPr>
            <w:tcW w:w="817" w:type="dxa"/>
            <w:tcBorders>
              <w:top w:val="nil"/>
              <w:left w:val="nil"/>
              <w:right w:val="nil"/>
            </w:tcBorders>
            <w:vAlign w:val="center"/>
          </w:tcPr>
          <w:p w14:paraId="7BD1435F" w14:textId="77777777" w:rsidR="00B92853" w:rsidRPr="00131FA3" w:rsidRDefault="00B92853" w:rsidP="00F13B4E">
            <w:pPr>
              <w:jc w:val="both"/>
              <w:rPr>
                <w:rFonts w:ascii="Century Gothic" w:hAnsi="Century Gothic" w:cs="Arial"/>
                <w:sz w:val="16"/>
                <w:szCs w:val="16"/>
              </w:rPr>
            </w:pPr>
            <w:r w:rsidRPr="00131FA3">
              <w:rPr>
                <w:rFonts w:ascii="Century Gothic" w:hAnsi="Century Gothic"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261291B1" w14:textId="77777777" w:rsidR="00B92853" w:rsidRPr="000F0533" w:rsidRDefault="00B92853" w:rsidP="00F13B4E">
            <w:pPr>
              <w:spacing w:after="0" w:line="240" w:lineRule="auto"/>
              <w:jc w:val="both"/>
              <w:rPr>
                <w:rFonts w:ascii="Century Gothic" w:hAnsi="Century Gothic" w:cs="Arial"/>
                <w:sz w:val="16"/>
                <w:szCs w:val="16"/>
              </w:rPr>
            </w:pPr>
            <w:r w:rsidRPr="000F0533">
              <w:rPr>
                <w:rFonts w:ascii="Century Gothic" w:hAnsi="Century Gothic" w:cs="Arial"/>
                <w:sz w:val="16"/>
                <w:szCs w:val="16"/>
              </w:rPr>
              <w:t>Alejandro Sarmiento Cantillo</w:t>
            </w:r>
          </w:p>
          <w:p w14:paraId="316C08A5" w14:textId="77777777" w:rsidR="00B92853" w:rsidRPr="00131FA3" w:rsidRDefault="00B92853" w:rsidP="00F13B4E">
            <w:pPr>
              <w:spacing w:after="0" w:line="240" w:lineRule="auto"/>
              <w:jc w:val="both"/>
              <w:rPr>
                <w:rFonts w:ascii="Century Gothic" w:hAnsi="Century Gothic" w:cs="Arial"/>
                <w:sz w:val="16"/>
                <w:szCs w:val="16"/>
              </w:rPr>
            </w:pPr>
            <w:r w:rsidRPr="000F0533">
              <w:rPr>
                <w:rFonts w:ascii="Century Gothic" w:hAnsi="Century Gothic" w:cs="Arial"/>
                <w:sz w:val="16"/>
                <w:szCs w:val="16"/>
              </w:rPr>
              <w:t xml:space="preserve">Gestor T1 </w:t>
            </w:r>
            <w:r w:rsidRPr="000F0533">
              <w:rPr>
                <w:rFonts w:ascii="Arial" w:hAnsi="Arial" w:cs="Arial"/>
                <w:sz w:val="16"/>
                <w:szCs w:val="16"/>
              </w:rPr>
              <w:t>‒</w:t>
            </w:r>
            <w:r w:rsidRPr="000F0533">
              <w:rPr>
                <w:rFonts w:ascii="Century Gothic" w:hAnsi="Century Gothic" w:cs="Arial"/>
                <w:sz w:val="16"/>
                <w:szCs w:val="16"/>
              </w:rPr>
              <w:t xml:space="preserve"> 15 de la Subdirecci</w:t>
            </w:r>
            <w:r w:rsidRPr="000F0533">
              <w:rPr>
                <w:rFonts w:ascii="Century Gothic" w:hAnsi="Century Gothic" w:cs="Century Gothic"/>
                <w:sz w:val="16"/>
                <w:szCs w:val="16"/>
              </w:rPr>
              <w:t>ó</w:t>
            </w:r>
            <w:r w:rsidRPr="000F0533">
              <w:rPr>
                <w:rFonts w:ascii="Century Gothic" w:hAnsi="Century Gothic" w:cs="Arial"/>
                <w:sz w:val="16"/>
                <w:szCs w:val="16"/>
              </w:rPr>
              <w:t>n de Gesti</w:t>
            </w:r>
            <w:r w:rsidRPr="000F0533">
              <w:rPr>
                <w:rFonts w:ascii="Century Gothic" w:hAnsi="Century Gothic" w:cs="Century Gothic"/>
                <w:sz w:val="16"/>
                <w:szCs w:val="16"/>
              </w:rPr>
              <w:t>ó</w:t>
            </w:r>
            <w:r w:rsidRPr="000F0533">
              <w:rPr>
                <w:rFonts w:ascii="Century Gothic" w:hAnsi="Century Gothic" w:cs="Arial"/>
                <w:sz w:val="16"/>
                <w:szCs w:val="16"/>
              </w:rPr>
              <w:t>n Contractual</w:t>
            </w:r>
          </w:p>
        </w:tc>
      </w:tr>
      <w:tr w:rsidR="00B92853" w:rsidRPr="00131FA3" w14:paraId="128AE106" w14:textId="77777777" w:rsidTr="00F13B4E">
        <w:trPr>
          <w:trHeight w:val="389"/>
        </w:trPr>
        <w:tc>
          <w:tcPr>
            <w:tcW w:w="817" w:type="dxa"/>
            <w:tcBorders>
              <w:top w:val="nil"/>
              <w:left w:val="nil"/>
              <w:bottom w:val="nil"/>
              <w:right w:val="nil"/>
            </w:tcBorders>
            <w:vAlign w:val="center"/>
            <w:hideMark/>
          </w:tcPr>
          <w:p w14:paraId="12B9A0B4" w14:textId="77777777" w:rsidR="00B92853" w:rsidRPr="00131FA3" w:rsidRDefault="00B92853" w:rsidP="00F13B4E">
            <w:pPr>
              <w:spacing w:after="0" w:line="240" w:lineRule="auto"/>
              <w:jc w:val="both"/>
              <w:rPr>
                <w:rFonts w:ascii="Century Gothic" w:hAnsi="Century Gothic" w:cs="Arial"/>
                <w:sz w:val="16"/>
                <w:szCs w:val="16"/>
              </w:rPr>
            </w:pPr>
            <w:r w:rsidRPr="00131FA3">
              <w:rPr>
                <w:rFonts w:ascii="Century Gothic" w:hAnsi="Century Gothic"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656D122" w14:textId="77777777" w:rsidR="00B92853" w:rsidRPr="00131FA3" w:rsidRDefault="00B92853" w:rsidP="00F13B4E">
            <w:pPr>
              <w:spacing w:after="0" w:line="240" w:lineRule="auto"/>
              <w:jc w:val="both"/>
              <w:rPr>
                <w:rFonts w:ascii="Century Gothic" w:hAnsi="Century Gothic" w:cs="Arial"/>
                <w:sz w:val="16"/>
                <w:szCs w:val="16"/>
              </w:rPr>
            </w:pPr>
            <w:r w:rsidRPr="00131FA3">
              <w:rPr>
                <w:rFonts w:ascii="Century Gothic" w:hAnsi="Century Gothic" w:cs="Arial"/>
                <w:sz w:val="16"/>
                <w:szCs w:val="16"/>
              </w:rPr>
              <w:t xml:space="preserve">Nohelia del Carmen </w:t>
            </w:r>
            <w:proofErr w:type="spellStart"/>
            <w:r w:rsidRPr="00131FA3">
              <w:rPr>
                <w:rFonts w:ascii="Century Gothic" w:hAnsi="Century Gothic" w:cs="Arial"/>
                <w:sz w:val="16"/>
                <w:szCs w:val="16"/>
              </w:rPr>
              <w:t>Zawady</w:t>
            </w:r>
            <w:proofErr w:type="spellEnd"/>
            <w:r w:rsidRPr="00131FA3">
              <w:rPr>
                <w:rFonts w:ascii="Century Gothic" w:hAnsi="Century Gothic" w:cs="Arial"/>
                <w:sz w:val="16"/>
                <w:szCs w:val="16"/>
              </w:rPr>
              <w:t xml:space="preserve"> Palacio</w:t>
            </w:r>
          </w:p>
          <w:p w14:paraId="7BA20AF2" w14:textId="77777777" w:rsidR="00B92853" w:rsidRPr="00131FA3" w:rsidRDefault="00B92853" w:rsidP="00F13B4E">
            <w:pPr>
              <w:spacing w:after="0" w:line="240" w:lineRule="auto"/>
              <w:jc w:val="both"/>
              <w:rPr>
                <w:rFonts w:ascii="Century Gothic" w:hAnsi="Century Gothic" w:cs="Arial"/>
                <w:sz w:val="16"/>
                <w:szCs w:val="16"/>
              </w:rPr>
            </w:pPr>
            <w:r w:rsidRPr="00131FA3">
              <w:rPr>
                <w:rFonts w:ascii="Century Gothic" w:hAnsi="Century Gothic" w:cs="Arial"/>
                <w:sz w:val="16"/>
                <w:szCs w:val="16"/>
              </w:rPr>
              <w:t>Subdirectora de Gestión Contractual ANCP - CCE</w:t>
            </w:r>
          </w:p>
        </w:tc>
      </w:tr>
      <w:bookmarkEnd w:id="2"/>
    </w:tbl>
    <w:p w14:paraId="74E76770" w14:textId="77777777" w:rsidR="00B92853" w:rsidRPr="00131FA3" w:rsidRDefault="00B92853" w:rsidP="00B92853">
      <w:pPr>
        <w:tabs>
          <w:tab w:val="left" w:pos="0"/>
        </w:tabs>
        <w:spacing w:line="276" w:lineRule="auto"/>
        <w:contextualSpacing/>
        <w:jc w:val="both"/>
        <w:rPr>
          <w:rFonts w:ascii="Century Gothic" w:hAnsi="Century Gothic"/>
          <w:lang w:val="es-MX"/>
        </w:rPr>
      </w:pPr>
    </w:p>
    <w:bookmarkEnd w:id="3"/>
    <w:p w14:paraId="6C781FBB" w14:textId="77777777" w:rsidR="00B92853" w:rsidRPr="00131FA3" w:rsidRDefault="00B92853" w:rsidP="00B92853">
      <w:pPr>
        <w:rPr>
          <w:rFonts w:ascii="Century Gothic" w:hAnsi="Century Gothic"/>
        </w:rPr>
      </w:pPr>
    </w:p>
    <w:p w14:paraId="0F293BF4" w14:textId="4E630EB9" w:rsidR="00127233" w:rsidRPr="006D28E5" w:rsidRDefault="00E245AB" w:rsidP="006D28E5">
      <w:r w:rsidRPr="006D28E5">
        <w:t xml:space="preserve"> </w:t>
      </w:r>
    </w:p>
    <w:sectPr w:rsidR="00127233" w:rsidRPr="006D28E5" w:rsidSect="004368BC">
      <w:headerReference w:type="default" r:id="rId12"/>
      <w:footerReference w:type="default" r:id="rId13"/>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0F7EEF" w14:textId="77777777" w:rsidR="00D46F51" w:rsidRDefault="00D46F51" w:rsidP="004A1847">
      <w:pPr>
        <w:spacing w:after="0" w:line="240" w:lineRule="auto"/>
      </w:pPr>
      <w:r>
        <w:separator/>
      </w:r>
    </w:p>
  </w:endnote>
  <w:endnote w:type="continuationSeparator" w:id="0">
    <w:p w14:paraId="5165B0C5" w14:textId="77777777" w:rsidR="00D46F51" w:rsidRDefault="00D46F51" w:rsidP="004A1847">
      <w:pPr>
        <w:spacing w:after="0" w:line="240" w:lineRule="auto"/>
      </w:pPr>
      <w:r>
        <w:continuationSeparator/>
      </w:r>
    </w:p>
  </w:endnote>
  <w:endnote w:type="continuationNotice" w:id="1">
    <w:p w14:paraId="0DBB8D78" w14:textId="77777777" w:rsidR="00D46F51" w:rsidRDefault="00D46F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MS Mincho">
    <w:altName w:val="ＭＳ 明朝"/>
    <w:panose1 w:val="02020609040205080304"/>
    <w:charset w:val="80"/>
    <w:family w:val="modern"/>
    <w:pitch w:val="fixed"/>
    <w:sig w:usb0="E00002FF" w:usb1="6AC7FDFB" w:usb2="08000012"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3BA5BB2D" w:rsidR="004A1847" w:rsidRDefault="009419F9">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27B7F278"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370087" w14:textId="77777777" w:rsidR="00D46F51" w:rsidRDefault="00D46F51" w:rsidP="004A1847">
      <w:pPr>
        <w:spacing w:after="0" w:line="240" w:lineRule="auto"/>
      </w:pPr>
      <w:r>
        <w:separator/>
      </w:r>
    </w:p>
  </w:footnote>
  <w:footnote w:type="continuationSeparator" w:id="0">
    <w:p w14:paraId="2E84E653" w14:textId="77777777" w:rsidR="00D46F51" w:rsidRDefault="00D46F51" w:rsidP="004A1847">
      <w:pPr>
        <w:spacing w:after="0" w:line="240" w:lineRule="auto"/>
      </w:pPr>
      <w:r>
        <w:continuationSeparator/>
      </w:r>
    </w:p>
  </w:footnote>
  <w:footnote w:type="continuationNotice" w:id="1">
    <w:p w14:paraId="7150D49A" w14:textId="77777777" w:rsidR="00D46F51" w:rsidRDefault="00D46F51">
      <w:pPr>
        <w:spacing w:after="0" w:line="240" w:lineRule="auto"/>
      </w:pPr>
    </w:p>
  </w:footnote>
  <w:footnote w:id="2">
    <w:p w14:paraId="375BCC29" w14:textId="77777777" w:rsidR="00B92853" w:rsidRPr="00AC5BE5" w:rsidRDefault="00B92853" w:rsidP="00B92853">
      <w:pPr>
        <w:pStyle w:val="Textonotapie"/>
        <w:ind w:firstLine="708"/>
        <w:jc w:val="both"/>
        <w:rPr>
          <w:rFonts w:ascii="Century Gothic" w:hAnsi="Century Gothic" w:cs="Arial"/>
          <w:sz w:val="16"/>
          <w:szCs w:val="16"/>
          <w:lang w:val="es-ES"/>
        </w:rPr>
      </w:pPr>
      <w:r w:rsidRPr="00AC5BE5">
        <w:rPr>
          <w:rStyle w:val="Refdenotaalpie"/>
          <w:rFonts w:ascii="Century Gothic" w:hAnsi="Century Gothic" w:cs="Arial"/>
          <w:sz w:val="16"/>
          <w:szCs w:val="16"/>
        </w:rPr>
        <w:footnoteRef/>
      </w:r>
      <w:r w:rsidRPr="00AC5BE5">
        <w:rPr>
          <w:rFonts w:ascii="Century Gothic" w:hAnsi="Century Gothic" w:cs="Arial"/>
          <w:sz w:val="16"/>
          <w:szCs w:val="16"/>
        </w:rPr>
        <w:t xml:space="preserve"> El art</w:t>
      </w:r>
      <w:r w:rsidRPr="00AC5BE5">
        <w:rPr>
          <w:rFonts w:ascii="Century Gothic" w:hAnsi="Century Gothic" w:cs="Century Gothic"/>
          <w:sz w:val="16"/>
          <w:szCs w:val="16"/>
        </w:rPr>
        <w:t>í</w:t>
      </w:r>
      <w:r w:rsidRPr="00AC5BE5">
        <w:rPr>
          <w:rFonts w:ascii="Century Gothic" w:hAnsi="Century Gothic" w:cs="Arial"/>
          <w:sz w:val="16"/>
          <w:szCs w:val="16"/>
        </w:rPr>
        <w:t>culo 3 del Decreto Ley 4170 de 2011</w:t>
      </w:r>
      <w:r w:rsidRPr="00AC5BE5">
        <w:rPr>
          <w:rFonts w:ascii="Century Gothic" w:hAnsi="Century Gothic" w:cs="Arial"/>
          <w:i/>
          <w:iCs/>
          <w:sz w:val="16"/>
          <w:szCs w:val="16"/>
        </w:rPr>
        <w:t xml:space="preserve"> </w:t>
      </w:r>
      <w:r w:rsidRPr="00AC5BE5">
        <w:rPr>
          <w:rFonts w:ascii="Century Gothic" w:hAnsi="Century Gothic" w:cs="Arial"/>
          <w:sz w:val="16"/>
          <w:szCs w:val="1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57B423E0" w14:textId="77777777" w:rsidR="00B92853" w:rsidRPr="00AC5BE5" w:rsidRDefault="00B92853" w:rsidP="00B92853">
      <w:pPr>
        <w:pStyle w:val="Textonotapie"/>
        <w:ind w:firstLine="708"/>
        <w:jc w:val="both"/>
        <w:rPr>
          <w:rFonts w:ascii="Century Gothic" w:hAnsi="Century Gothic" w:cs="Arial"/>
          <w:sz w:val="16"/>
          <w:szCs w:val="16"/>
        </w:rPr>
      </w:pPr>
      <w:r w:rsidRPr="00AC5BE5">
        <w:rPr>
          <w:rStyle w:val="Refdenotaalpie"/>
          <w:rFonts w:ascii="Century Gothic" w:hAnsi="Century Gothic" w:cs="Arial"/>
          <w:sz w:val="16"/>
          <w:szCs w:val="16"/>
        </w:rPr>
        <w:footnoteRef/>
      </w:r>
      <w:r w:rsidRPr="00AC5BE5">
        <w:rPr>
          <w:rFonts w:ascii="Century Gothic" w:hAnsi="Century Gothic"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AC5BE5">
          <w:rPr>
            <w:rStyle w:val="Hipervnculo"/>
            <w:rFonts w:ascii="Century Gothic" w:hAnsi="Century Gothic" w:cs="Arial"/>
            <w:sz w:val="16"/>
            <w:szCs w:val="16"/>
          </w:rPr>
          <w:t>https://relatoria.colombiacompra.gov.co/busqueda/conceptos</w:t>
        </w:r>
      </w:hyperlink>
      <w:r w:rsidRPr="00AC5BE5">
        <w:rPr>
          <w:rStyle w:val="Hipervnculo"/>
          <w:rFonts w:ascii="Century Gothic" w:hAnsi="Century Gothic" w:cs="Arial"/>
          <w:sz w:val="16"/>
          <w:szCs w:val="16"/>
        </w:rPr>
        <w:t xml:space="preserve">. </w:t>
      </w:r>
      <w:r w:rsidRPr="00AC5BE5">
        <w:rPr>
          <w:rFonts w:ascii="Century Gothic" w:hAnsi="Century Gothic" w:cs="Arial"/>
          <w:sz w:val="16"/>
          <w:szCs w:val="16"/>
          <w:shd w:val="clear" w:color="auto" w:fill="E6E6E6"/>
        </w:rPr>
        <w:t xml:space="preserve"> </w:t>
      </w:r>
    </w:p>
  </w:footnote>
  <w:footnote w:id="4">
    <w:p w14:paraId="34D12031" w14:textId="77777777" w:rsidR="00B92853" w:rsidRPr="00AC5BE5" w:rsidRDefault="00B92853" w:rsidP="00B92853">
      <w:pPr>
        <w:pStyle w:val="Textonotapie"/>
        <w:ind w:firstLine="709"/>
        <w:jc w:val="both"/>
        <w:rPr>
          <w:rFonts w:ascii="Century Gothic" w:hAnsi="Century Gothic" w:cs="Arial"/>
          <w:color w:val="000000" w:themeColor="text1"/>
          <w:sz w:val="16"/>
          <w:szCs w:val="16"/>
          <w:lang w:val="es-CO"/>
        </w:rPr>
      </w:pPr>
      <w:r w:rsidRPr="00AC5BE5">
        <w:rPr>
          <w:rStyle w:val="Refdenotaalpie"/>
          <w:rFonts w:ascii="Century Gothic" w:hAnsi="Century Gothic" w:cs="Arial"/>
          <w:sz w:val="16"/>
          <w:szCs w:val="16"/>
        </w:rPr>
        <w:footnoteRef/>
      </w:r>
      <w:r w:rsidRPr="00AC5BE5">
        <w:rPr>
          <w:rFonts w:ascii="Century Gothic" w:hAnsi="Century Gothic" w:cs="Arial"/>
          <w:color w:val="000000" w:themeColor="text1"/>
          <w:sz w:val="16"/>
          <w:szCs w:val="16"/>
          <w:lang w:val="es-CO"/>
        </w:rPr>
        <w:t xml:space="preserve"> FIGUEROA U. Organismos internacionales. 2ª edición. Santiago de Chile: Editorial RIL editores, 2010.</w:t>
      </w:r>
    </w:p>
  </w:footnote>
  <w:footnote w:id="5">
    <w:p w14:paraId="55CCCD25" w14:textId="77777777" w:rsidR="00B92853" w:rsidRPr="00AC5BE5" w:rsidRDefault="00B92853" w:rsidP="00B92853">
      <w:pPr>
        <w:pStyle w:val="NormalWeb"/>
        <w:spacing w:before="0" w:beforeAutospacing="0" w:after="0" w:afterAutospacing="0"/>
        <w:ind w:firstLine="709"/>
        <w:jc w:val="both"/>
        <w:rPr>
          <w:rFonts w:ascii="Century Gothic" w:hAnsi="Century Gothic" w:cs="Arial"/>
          <w:color w:val="000000" w:themeColor="text1"/>
          <w:sz w:val="16"/>
          <w:szCs w:val="16"/>
        </w:rPr>
      </w:pPr>
      <w:r w:rsidRPr="00AC5BE5">
        <w:rPr>
          <w:rStyle w:val="Refdenotaalpie"/>
          <w:rFonts w:ascii="Century Gothic" w:hAnsi="Century Gothic" w:cs="Arial"/>
          <w:sz w:val="16"/>
          <w:szCs w:val="16"/>
        </w:rPr>
        <w:footnoteRef/>
      </w:r>
      <w:r w:rsidRPr="00AC5BE5">
        <w:rPr>
          <w:rFonts w:ascii="Century Gothic" w:hAnsi="Century Gothic" w:cs="Arial"/>
          <w:color w:val="000000" w:themeColor="text1"/>
          <w:sz w:val="16"/>
          <w:szCs w:val="16"/>
        </w:rPr>
        <w:t xml:space="preserve"> Ley 80 de 1993: “Artículo 13. De la normatividad aplicable a los contratos estatales. Los contratos que celebren las entidades a que se refiere el artículo </w:t>
      </w:r>
      <w:hyperlink r:id="rId2" w:anchor="2" w:history="1">
        <w:r w:rsidRPr="00AC5BE5">
          <w:rPr>
            <w:rStyle w:val="Hipervnculo"/>
            <w:rFonts w:ascii="Century Gothic" w:hAnsi="Century Gothic" w:cs="Arial"/>
            <w:color w:val="000000" w:themeColor="text1"/>
            <w:sz w:val="16"/>
            <w:szCs w:val="16"/>
          </w:rPr>
          <w:t>2</w:t>
        </w:r>
      </w:hyperlink>
      <w:r w:rsidRPr="00AC5BE5">
        <w:rPr>
          <w:rFonts w:ascii="Century Gothic" w:hAnsi="Century Gothic" w:cs="Arial"/>
          <w:color w:val="000000" w:themeColor="text1"/>
          <w:sz w:val="16"/>
          <w:szCs w:val="16"/>
        </w:rPr>
        <w:t>o. del presente estatuto se regirán por las disposiciones comerciales y civiles pertinentes, salvo en las materias particularmente reguladas en esta ley.</w:t>
      </w:r>
    </w:p>
    <w:p w14:paraId="2CE6DA03" w14:textId="77777777" w:rsidR="00B92853" w:rsidRPr="00AC5BE5" w:rsidRDefault="00B92853" w:rsidP="00B92853">
      <w:pPr>
        <w:pStyle w:val="NormalWeb"/>
        <w:spacing w:before="0" w:beforeAutospacing="0" w:after="0" w:afterAutospacing="0"/>
        <w:ind w:firstLine="709"/>
        <w:jc w:val="both"/>
        <w:rPr>
          <w:rFonts w:ascii="Century Gothic" w:hAnsi="Century Gothic" w:cs="Arial"/>
          <w:color w:val="000000" w:themeColor="text1"/>
          <w:sz w:val="16"/>
          <w:szCs w:val="16"/>
        </w:rPr>
      </w:pPr>
      <w:r w:rsidRPr="00AC5BE5">
        <w:rPr>
          <w:rFonts w:ascii="Century Gothic" w:hAnsi="Century Gothic" w:cs="Arial"/>
          <w:color w:val="000000" w:themeColor="text1"/>
          <w:sz w:val="16"/>
          <w:szCs w:val="16"/>
        </w:rPr>
        <w:t>Los contratos celebrados en el exterior se podrán regir en su ejecución por las reglas del país en donde se hayan suscrito, a menos que deban cumplirse en Colombia.</w:t>
      </w:r>
    </w:p>
    <w:p w14:paraId="2F466933" w14:textId="77777777" w:rsidR="00B92853" w:rsidRPr="00AC5BE5" w:rsidRDefault="00B92853" w:rsidP="00B92853">
      <w:pPr>
        <w:pStyle w:val="NormalWeb"/>
        <w:spacing w:before="0" w:beforeAutospacing="0" w:after="0" w:afterAutospacing="0"/>
        <w:ind w:firstLine="709"/>
        <w:jc w:val="both"/>
        <w:rPr>
          <w:rFonts w:ascii="Century Gothic" w:hAnsi="Century Gothic" w:cs="Arial"/>
          <w:color w:val="000000" w:themeColor="text1"/>
          <w:sz w:val="16"/>
          <w:szCs w:val="16"/>
        </w:rPr>
      </w:pPr>
      <w:r w:rsidRPr="00AC5BE5">
        <w:rPr>
          <w:rFonts w:ascii="Century Gothic" w:hAnsi="Century Gothic" w:cs="Arial"/>
          <w:color w:val="000000" w:themeColor="text1"/>
          <w:sz w:val="16"/>
          <w:szCs w:val="16"/>
        </w:rPr>
        <w:t>Los contratos que se celebren en Colombia y deban ejecutarse o cumplirse en el extranjero, podrán someterse a la ley extranjera”.</w:t>
      </w:r>
    </w:p>
  </w:footnote>
  <w:footnote w:id="6">
    <w:p w14:paraId="3B3EA7A3" w14:textId="77777777" w:rsidR="00B92853" w:rsidRPr="00AC5BE5" w:rsidRDefault="00B92853" w:rsidP="00B92853">
      <w:pPr>
        <w:pStyle w:val="Textonotapie"/>
        <w:ind w:firstLine="709"/>
        <w:jc w:val="both"/>
        <w:rPr>
          <w:rFonts w:ascii="Century Gothic" w:hAnsi="Century Gothic" w:cs="Arial"/>
          <w:color w:val="000000" w:themeColor="text1"/>
          <w:sz w:val="16"/>
          <w:szCs w:val="16"/>
          <w:lang w:val="es-CO"/>
        </w:rPr>
      </w:pPr>
      <w:r w:rsidRPr="00AC5BE5">
        <w:rPr>
          <w:rStyle w:val="Refdenotaalpie"/>
          <w:rFonts w:ascii="Century Gothic" w:hAnsi="Century Gothic" w:cs="Arial"/>
          <w:sz w:val="16"/>
          <w:szCs w:val="16"/>
        </w:rPr>
        <w:footnoteRef/>
      </w:r>
      <w:r w:rsidRPr="00AC5BE5">
        <w:rPr>
          <w:rFonts w:ascii="Century Gothic" w:hAnsi="Century Gothic" w:cs="Arial"/>
          <w:color w:val="000000" w:themeColor="text1"/>
          <w:sz w:val="16"/>
          <w:szCs w:val="16"/>
        </w:rPr>
        <w:t xml:space="preserve"> Consejo de Estado. Sección Tercera, Subsección C. Sentencia del 26 de noviembre de 2015. </w:t>
      </w:r>
      <w:r w:rsidRPr="00AC5BE5">
        <w:rPr>
          <w:rFonts w:ascii="Century Gothic" w:hAnsi="Century Gothic" w:cs="Arial"/>
          <w:color w:val="000000" w:themeColor="text1"/>
          <w:sz w:val="16"/>
          <w:szCs w:val="16"/>
          <w:lang w:val="es-ES_tradnl"/>
        </w:rPr>
        <w:t xml:space="preserve">Exp. </w:t>
      </w:r>
      <w:r w:rsidRPr="00AC5BE5">
        <w:rPr>
          <w:rFonts w:ascii="Century Gothic" w:hAnsi="Century Gothic" w:cs="Arial"/>
          <w:color w:val="000000" w:themeColor="text1"/>
          <w:sz w:val="16"/>
          <w:szCs w:val="16"/>
          <w:lang w:val="es-CO"/>
        </w:rPr>
        <w:t xml:space="preserve">54.069. C.P Jaime Orlando Santofimio Gamboa. </w:t>
      </w:r>
    </w:p>
  </w:footnote>
  <w:footnote w:id="7">
    <w:p w14:paraId="6DB1F772" w14:textId="77777777" w:rsidR="00B92853" w:rsidRPr="00AC5BE5" w:rsidRDefault="00B92853" w:rsidP="00B92853">
      <w:pPr>
        <w:pStyle w:val="Textonotapie"/>
        <w:ind w:firstLine="709"/>
        <w:jc w:val="both"/>
        <w:rPr>
          <w:rFonts w:ascii="Century Gothic" w:hAnsi="Century Gothic" w:cs="Arial"/>
          <w:color w:val="000000" w:themeColor="text1"/>
          <w:sz w:val="16"/>
          <w:szCs w:val="16"/>
          <w:lang w:eastAsia="es-CO"/>
        </w:rPr>
      </w:pPr>
      <w:r w:rsidRPr="00AC5BE5">
        <w:rPr>
          <w:rStyle w:val="Refdenotaalpie"/>
          <w:rFonts w:ascii="Century Gothic" w:hAnsi="Century Gothic" w:cs="Arial"/>
          <w:sz w:val="16"/>
          <w:szCs w:val="16"/>
        </w:rPr>
        <w:footnoteRef/>
      </w:r>
      <w:r w:rsidRPr="00AC5BE5">
        <w:rPr>
          <w:rFonts w:ascii="Century Gothic" w:hAnsi="Century Gothic" w:cs="Arial"/>
          <w:color w:val="000000" w:themeColor="text1"/>
          <w:sz w:val="16"/>
          <w:szCs w:val="16"/>
        </w:rPr>
        <w:t xml:space="preserve"> </w:t>
      </w:r>
      <w:r w:rsidRPr="00AC5BE5">
        <w:rPr>
          <w:rFonts w:ascii="Century Gothic" w:hAnsi="Century Gothic" w:cs="Arial"/>
          <w:color w:val="000000" w:themeColor="text1"/>
          <w:sz w:val="16"/>
          <w:szCs w:val="16"/>
          <w:lang w:eastAsia="es-CO"/>
        </w:rPr>
        <w:t>“Los contratos financiados con fondos de los organismos multilaterales de crédito o celebrados con personas extranjeras de derecho público u organismos de cooperación, asistencia o ayuda internacionales, podrán someterse a los reglamentos de tales entidades en todo lo relacionado con procedimientos de formación y adjudicación y cláusulas especiales de ejecución, cumplimiento, pago y ajustes”. (Derogado por el artículo 32 de la Ley 1150 de 2007).</w:t>
      </w:r>
    </w:p>
  </w:footnote>
  <w:footnote w:id="8">
    <w:p w14:paraId="5F6ECB72" w14:textId="77777777" w:rsidR="00B92853" w:rsidRPr="00AC5BE5" w:rsidRDefault="00B92853" w:rsidP="00B92853">
      <w:pPr>
        <w:pStyle w:val="NormalWeb"/>
        <w:spacing w:before="0" w:beforeAutospacing="0" w:after="0" w:afterAutospacing="0"/>
        <w:ind w:firstLine="709"/>
        <w:jc w:val="both"/>
        <w:rPr>
          <w:rFonts w:ascii="Century Gothic" w:hAnsi="Century Gothic" w:cs="Arial"/>
          <w:color w:val="000000" w:themeColor="text1"/>
          <w:sz w:val="16"/>
          <w:szCs w:val="16"/>
        </w:rPr>
      </w:pPr>
      <w:r w:rsidRPr="00AC5BE5">
        <w:rPr>
          <w:rStyle w:val="Refdenotaalpie"/>
          <w:rFonts w:ascii="Century Gothic" w:hAnsi="Century Gothic" w:cs="Arial"/>
          <w:sz w:val="16"/>
          <w:szCs w:val="16"/>
        </w:rPr>
        <w:footnoteRef/>
      </w:r>
      <w:r w:rsidRPr="00AC5BE5">
        <w:rPr>
          <w:rFonts w:ascii="Century Gothic" w:hAnsi="Century Gothic" w:cs="Arial"/>
          <w:color w:val="000000" w:themeColor="text1"/>
          <w:sz w:val="16"/>
          <w:szCs w:val="16"/>
        </w:rPr>
        <w:t xml:space="preserve"> Ley 1150 de 2007. “Artículo 20: Los contratos o convenios financiados en su totalidad o en sumas iguales o superiores al cincuenta por ciento (50%) con fondos de los organismos de cooperación, asistencia o ayudas internacionales, podrán someterse a los reglamentos de tales entidades. En caso contrario, se someterán a los procedimientos establecidos en la Ley de 1993. Los recursos de contrapartida vinculados a estas operaciones podrán tener el mismo tratamiento.</w:t>
      </w:r>
    </w:p>
    <w:p w14:paraId="387FB825" w14:textId="77777777" w:rsidR="00B92853" w:rsidRPr="00AC5BE5" w:rsidRDefault="00B92853" w:rsidP="00B92853">
      <w:pPr>
        <w:pStyle w:val="NormalWeb"/>
        <w:spacing w:before="0" w:beforeAutospacing="0" w:after="0" w:afterAutospacing="0"/>
        <w:ind w:firstLine="709"/>
        <w:jc w:val="both"/>
        <w:rPr>
          <w:rFonts w:ascii="Century Gothic" w:hAnsi="Century Gothic" w:cs="Arial"/>
          <w:color w:val="000000" w:themeColor="text1"/>
          <w:sz w:val="16"/>
          <w:szCs w:val="16"/>
        </w:rPr>
      </w:pPr>
      <w:r w:rsidRPr="00AC5BE5">
        <w:rPr>
          <w:rFonts w:ascii="Century Gothic" w:hAnsi="Century Gothic" w:cs="Arial"/>
          <w:color w:val="000000" w:themeColor="text1"/>
          <w:sz w:val="16"/>
          <w:szCs w:val="16"/>
        </w:rPr>
        <w:t xml:space="preserve">Los contratos o convenios celebrados con </w:t>
      </w:r>
      <w:bookmarkStart w:id="12" w:name="_Hlk148436103"/>
      <w:r w:rsidRPr="00AC5BE5">
        <w:rPr>
          <w:rFonts w:ascii="Century Gothic" w:hAnsi="Century Gothic" w:cs="Arial"/>
          <w:color w:val="000000" w:themeColor="text1"/>
          <w:sz w:val="16"/>
          <w:szCs w:val="16"/>
        </w:rPr>
        <w:t>personas extranjeras de derecho público u organismos de derecho internacional</w:t>
      </w:r>
      <w:bookmarkEnd w:id="12"/>
      <w:r w:rsidRPr="00AC5BE5">
        <w:rPr>
          <w:rFonts w:ascii="Century Gothic" w:hAnsi="Century Gothic" w:cs="Arial"/>
          <w:color w:val="000000" w:themeColor="text1"/>
          <w:sz w:val="16"/>
          <w:szCs w:val="16"/>
        </w:rPr>
        <w:t xml:space="preserve"> cuyo objeto sea el desarrollo de programas de promoción, prevención y atención en salud; contratos y convenios necesarios para la operación de la OIT; contratos y convenios que se ejecuten en desarrollo del sistema integrado de monitoreo de cultivos ilícitos; contratos y convenios para la operación del programa mundial de alimentos; contratos y convenios para el desarrollo de programas de apoyo educativo a población desplazada y vulnerable adelantados por la Unesco y la OIM; los contratos o convenios financiados con fondos de los organismos multilaterales de crédito y entes gubernamentales extranjeros, podrán someterse a los reglamentos de tales entidades.</w:t>
      </w:r>
    </w:p>
    <w:p w14:paraId="16C83438" w14:textId="77777777" w:rsidR="00B92853" w:rsidRPr="00AC5BE5" w:rsidRDefault="00B92853" w:rsidP="00B92853">
      <w:pPr>
        <w:pStyle w:val="NormalWeb"/>
        <w:spacing w:before="0" w:beforeAutospacing="0" w:after="0" w:afterAutospacing="0"/>
        <w:ind w:firstLine="709"/>
        <w:jc w:val="both"/>
        <w:rPr>
          <w:rFonts w:ascii="Century Gothic" w:hAnsi="Century Gothic" w:cs="Arial"/>
          <w:color w:val="000000" w:themeColor="text1"/>
          <w:sz w:val="16"/>
          <w:szCs w:val="16"/>
        </w:rPr>
      </w:pPr>
      <w:r w:rsidRPr="00AC5BE5">
        <w:rPr>
          <w:rFonts w:ascii="Century Gothic" w:hAnsi="Century Gothic" w:cs="Arial"/>
          <w:color w:val="000000" w:themeColor="text1"/>
          <w:sz w:val="16"/>
          <w:szCs w:val="16"/>
        </w:rPr>
        <w:t>Las entidades estatales no podrán celebrar contratos o convenios para la administración o gerencia de sus recursos propios o de aquellos que les asignen los presupuestos públicos, con organismos de cooperación, asistencia o ayuda internacional.</w:t>
      </w:r>
    </w:p>
    <w:p w14:paraId="1987F47B" w14:textId="77777777" w:rsidR="00B92853" w:rsidRPr="00AC5BE5" w:rsidRDefault="00B92853" w:rsidP="00B92853">
      <w:pPr>
        <w:pStyle w:val="NormalWeb"/>
        <w:spacing w:before="0" w:beforeAutospacing="0" w:after="0" w:afterAutospacing="0"/>
        <w:ind w:firstLine="709"/>
        <w:jc w:val="both"/>
        <w:rPr>
          <w:rFonts w:ascii="Century Gothic" w:hAnsi="Century Gothic" w:cs="Arial"/>
          <w:color w:val="000000" w:themeColor="text1"/>
          <w:sz w:val="16"/>
          <w:szCs w:val="16"/>
        </w:rPr>
      </w:pPr>
      <w:r w:rsidRPr="00AC5BE5">
        <w:rPr>
          <w:rStyle w:val="baj"/>
          <w:rFonts w:ascii="Century Gothic" w:hAnsi="Century Gothic" w:cs="Arial"/>
          <w:color w:val="000000" w:themeColor="text1"/>
          <w:sz w:val="16"/>
          <w:szCs w:val="16"/>
        </w:rPr>
        <w:t>PARÁGRAFO 1o.</w:t>
      </w:r>
      <w:r w:rsidRPr="00AC5BE5">
        <w:rPr>
          <w:rFonts w:ascii="Century Gothic" w:hAnsi="Century Gothic" w:cs="Arial"/>
          <w:color w:val="000000" w:themeColor="text1"/>
          <w:sz w:val="16"/>
          <w:szCs w:val="16"/>
        </w:rPr>
        <w:t> </w:t>
      </w:r>
      <w:bookmarkStart w:id="13" w:name="_Hlk148436375"/>
      <w:r w:rsidRPr="00AC5BE5">
        <w:rPr>
          <w:rFonts w:ascii="Century Gothic" w:hAnsi="Century Gothic" w:cs="Arial"/>
          <w:color w:val="000000" w:themeColor="text1"/>
          <w:sz w:val="16"/>
          <w:szCs w:val="16"/>
        </w:rPr>
        <w:t>Los contratos o acuerdos celebrados con personas extranjeras de derecho público, podrán someterse a las reglas de tales organismos</w:t>
      </w:r>
      <w:bookmarkEnd w:id="13"/>
      <w:r w:rsidRPr="00AC5BE5">
        <w:rPr>
          <w:rFonts w:ascii="Century Gothic" w:hAnsi="Century Gothic" w:cs="Arial"/>
          <w:color w:val="000000" w:themeColor="text1"/>
          <w:sz w:val="16"/>
          <w:szCs w:val="16"/>
        </w:rPr>
        <w:t>.</w:t>
      </w:r>
    </w:p>
    <w:p w14:paraId="0FBAC5A3" w14:textId="77777777" w:rsidR="00B92853" w:rsidRPr="00AC5BE5" w:rsidRDefault="00B92853" w:rsidP="00B92853">
      <w:pPr>
        <w:pStyle w:val="NormalWeb"/>
        <w:spacing w:before="0" w:beforeAutospacing="0" w:after="0" w:afterAutospacing="0"/>
        <w:ind w:firstLine="709"/>
        <w:jc w:val="both"/>
        <w:rPr>
          <w:rFonts w:ascii="Century Gothic" w:hAnsi="Century Gothic" w:cs="Arial"/>
          <w:color w:val="000000" w:themeColor="text1"/>
          <w:sz w:val="16"/>
          <w:szCs w:val="16"/>
        </w:rPr>
      </w:pPr>
      <w:r w:rsidRPr="00AC5BE5">
        <w:rPr>
          <w:rStyle w:val="baj"/>
          <w:rFonts w:ascii="Century Gothic" w:hAnsi="Century Gothic" w:cs="Arial"/>
          <w:color w:val="000000" w:themeColor="text1"/>
          <w:sz w:val="16"/>
          <w:szCs w:val="16"/>
        </w:rPr>
        <w:t>PARÁGRAFO 2o.</w:t>
      </w:r>
      <w:r w:rsidRPr="00AC5BE5">
        <w:rPr>
          <w:rFonts w:ascii="Century Gothic" w:hAnsi="Century Gothic" w:cs="Arial"/>
          <w:color w:val="000000" w:themeColor="text1"/>
          <w:sz w:val="16"/>
          <w:szCs w:val="16"/>
        </w:rPr>
        <w:t> Las entidades estatales tendrán la obligación de reportar la información a los organismos de control y al Secop relativa a la ejecución de los contratos a los que se refiere el presente artículo.</w:t>
      </w:r>
    </w:p>
    <w:p w14:paraId="0B3CC57A" w14:textId="77777777" w:rsidR="00B92853" w:rsidRPr="00AC5BE5" w:rsidRDefault="00B92853" w:rsidP="00B92853">
      <w:pPr>
        <w:pStyle w:val="NormalWeb"/>
        <w:spacing w:before="0" w:beforeAutospacing="0" w:after="0" w:afterAutospacing="0"/>
        <w:ind w:firstLine="709"/>
        <w:jc w:val="both"/>
        <w:rPr>
          <w:rFonts w:ascii="Century Gothic" w:hAnsi="Century Gothic" w:cs="Arial"/>
          <w:color w:val="000000" w:themeColor="text1"/>
          <w:sz w:val="16"/>
          <w:szCs w:val="16"/>
        </w:rPr>
      </w:pPr>
      <w:r w:rsidRPr="00AC5BE5">
        <w:rPr>
          <w:rStyle w:val="baj"/>
          <w:rFonts w:ascii="Century Gothic" w:hAnsi="Century Gothic" w:cs="Arial"/>
          <w:color w:val="000000" w:themeColor="text1"/>
          <w:sz w:val="16"/>
          <w:szCs w:val="16"/>
        </w:rPr>
        <w:t>PARÁGRAFO 3o.</w:t>
      </w:r>
      <w:r w:rsidRPr="00AC5BE5">
        <w:rPr>
          <w:rFonts w:ascii="Century Gothic" w:hAnsi="Century Gothic" w:cs="Arial"/>
          <w:color w:val="000000" w:themeColor="text1"/>
          <w:sz w:val="16"/>
          <w:szCs w:val="16"/>
        </w:rPr>
        <w:t> En todo Proyecto de cooperación que involucre recursos estatales se deberán cuantificar en moneda nacional, los aportes en especie de la entidad, organización o persona cooperante, así como los del ente nacional colombiano. Las contralorías ejercerán el control fiscal sobre los proyectos y contratos celebrados con organismos multilaterales”.</w:t>
      </w:r>
    </w:p>
  </w:footnote>
  <w:footnote w:id="9">
    <w:p w14:paraId="357082D5" w14:textId="77777777" w:rsidR="00B92853" w:rsidRPr="00AC5BE5" w:rsidRDefault="00B92853" w:rsidP="00B92853">
      <w:pPr>
        <w:pStyle w:val="NormalWeb"/>
        <w:shd w:val="clear" w:color="auto" w:fill="FFFFFF"/>
        <w:spacing w:before="0" w:beforeAutospacing="0" w:after="0" w:afterAutospacing="0"/>
        <w:ind w:firstLine="709"/>
        <w:jc w:val="both"/>
        <w:rPr>
          <w:rFonts w:ascii="Century Gothic" w:hAnsi="Century Gothic" w:cs="Arial"/>
          <w:color w:val="000000" w:themeColor="text1"/>
          <w:sz w:val="16"/>
          <w:szCs w:val="16"/>
        </w:rPr>
      </w:pPr>
      <w:r w:rsidRPr="00AC5BE5">
        <w:rPr>
          <w:rStyle w:val="Refdenotaalpie"/>
          <w:rFonts w:ascii="Century Gothic" w:hAnsi="Century Gothic" w:cs="Arial"/>
          <w:sz w:val="16"/>
          <w:szCs w:val="16"/>
        </w:rPr>
        <w:footnoteRef/>
      </w:r>
      <w:r w:rsidRPr="00AC5BE5">
        <w:rPr>
          <w:rFonts w:ascii="Century Gothic" w:hAnsi="Century Gothic" w:cs="Arial"/>
          <w:color w:val="000000" w:themeColor="text1"/>
          <w:sz w:val="16"/>
          <w:szCs w:val="16"/>
        </w:rPr>
        <w:t xml:space="preserve"> Decreto 1082 de 2015. “Artículo </w:t>
      </w:r>
      <w:r w:rsidRPr="009F7BFA">
        <w:rPr>
          <w:rStyle w:val="Textoennegrita"/>
          <w:rFonts w:ascii="Century Gothic" w:hAnsi="Century Gothic" w:cs="Arial"/>
          <w:color w:val="000000" w:themeColor="text1"/>
          <w:sz w:val="16"/>
          <w:szCs w:val="16"/>
        </w:rPr>
        <w:t>2.2.1.2.4.4.1.</w:t>
      </w:r>
      <w:r w:rsidRPr="00AC5BE5">
        <w:rPr>
          <w:rStyle w:val="Textoennegrita"/>
          <w:rFonts w:ascii="Century Gothic" w:hAnsi="Century Gothic" w:cs="Arial"/>
          <w:color w:val="000000" w:themeColor="text1"/>
          <w:sz w:val="16"/>
          <w:szCs w:val="16"/>
        </w:rPr>
        <w:t> </w:t>
      </w:r>
      <w:r w:rsidRPr="00AC5BE5">
        <w:rPr>
          <w:rStyle w:val="nfasis"/>
          <w:rFonts w:ascii="Century Gothic" w:hAnsi="Century Gothic" w:cs="Arial"/>
          <w:color w:val="000000" w:themeColor="text1"/>
          <w:sz w:val="16"/>
          <w:szCs w:val="16"/>
        </w:rPr>
        <w:t>Régimen aplicable a los contratos o convenios de cooperación Internacional. </w:t>
      </w:r>
      <w:r w:rsidRPr="00AC5BE5">
        <w:rPr>
          <w:rFonts w:ascii="Century Gothic" w:hAnsi="Century Gothic" w:cs="Arial"/>
          <w:color w:val="000000" w:themeColor="text1"/>
          <w:sz w:val="16"/>
          <w:szCs w:val="16"/>
        </w:rPr>
        <w:t>Los contratos o convenios financiados en su totalidad o en sumas iguales o superiores al cincuenta por ciento (50%) con fondos de los organismos de cooperación, asistencia o ayudas internacionales, pueden someterse a los reglamentos de tales entidades incluidos los recursos de aporte de fuente nacional o sus equivalentes vinculados a estas operaciones en los acuerdos celebrados, o sus reglamentos, según el caso. En caso contrario, los contratos o convenios que se celebren en su totalidad o en sumas iguales o superiores al cincuenta por ciento (50%) con recursos de origen nacional se someterán al presente título.</w:t>
      </w:r>
    </w:p>
    <w:p w14:paraId="3857F0FB" w14:textId="77777777" w:rsidR="00B92853" w:rsidRPr="00AC5BE5" w:rsidRDefault="00B92853" w:rsidP="00B92853">
      <w:pPr>
        <w:pStyle w:val="NormalWeb"/>
        <w:shd w:val="clear" w:color="auto" w:fill="FFFFFF"/>
        <w:spacing w:before="0" w:beforeAutospacing="0" w:after="0" w:afterAutospacing="0"/>
        <w:ind w:firstLine="709"/>
        <w:jc w:val="both"/>
        <w:rPr>
          <w:rFonts w:ascii="Century Gothic" w:hAnsi="Century Gothic" w:cs="Arial"/>
          <w:color w:val="000000" w:themeColor="text1"/>
          <w:sz w:val="16"/>
          <w:szCs w:val="16"/>
        </w:rPr>
      </w:pPr>
      <w:r w:rsidRPr="00AC5BE5">
        <w:rPr>
          <w:rFonts w:ascii="Century Gothic" w:hAnsi="Century Gothic" w:cs="Arial"/>
          <w:i/>
          <w:color w:val="000000" w:themeColor="text1"/>
          <w:sz w:val="16"/>
          <w:szCs w:val="16"/>
        </w:rPr>
        <w:t>Si el aporte de fuente nacional o internacional de un contrato o convenio de cooperación internacional es modificado o los aportes no se ejecutan en los términos pactados, las Entidades Estatales deben modificar los contratos o convenios para efectos de que estos estén sujetos a las normas del sistema de compras y contratación pública, si el aporte de recursos públicos es superior al cincuenta por ciento (50%) del total o de las normas internas de la entidad de cooperación si el aporte es inferior</w:t>
      </w:r>
      <w:r w:rsidRPr="00AC5BE5">
        <w:rPr>
          <w:rFonts w:ascii="Century Gothic" w:hAnsi="Century Gothic" w:cs="Arial"/>
          <w:color w:val="000000" w:themeColor="text1"/>
          <w:sz w:val="16"/>
          <w:szCs w:val="16"/>
        </w:rPr>
        <w:t>.</w:t>
      </w:r>
    </w:p>
    <w:p w14:paraId="20C4B197" w14:textId="77777777" w:rsidR="00B92853" w:rsidRPr="00AC5BE5" w:rsidRDefault="00B92853" w:rsidP="00B92853">
      <w:pPr>
        <w:pStyle w:val="NormalWeb"/>
        <w:shd w:val="clear" w:color="auto" w:fill="FFFFFF"/>
        <w:spacing w:before="0" w:beforeAutospacing="0" w:after="0" w:afterAutospacing="0"/>
        <w:ind w:firstLine="709"/>
        <w:jc w:val="both"/>
        <w:rPr>
          <w:rFonts w:ascii="Century Gothic" w:hAnsi="Century Gothic" w:cs="Arial"/>
          <w:color w:val="000000" w:themeColor="text1"/>
          <w:sz w:val="16"/>
          <w:szCs w:val="16"/>
        </w:rPr>
      </w:pPr>
      <w:r w:rsidRPr="00AC5BE5">
        <w:rPr>
          <w:rFonts w:ascii="Century Gothic" w:hAnsi="Century Gothic" w:cs="Arial"/>
          <w:color w:val="000000" w:themeColor="text1"/>
          <w:sz w:val="16"/>
          <w:szCs w:val="16"/>
        </w:rPr>
        <w:t>Cuando la variación de la participación de los aportes de las partes es consecuencia de las fluctuaciones de la tasa de cambio de la moneda pactada en el convenio o contrato de cooperación internacional, este seguirá sometido a las reglas establecidas en el momento de su suscripción.</w:t>
      </w:r>
    </w:p>
    <w:p w14:paraId="34DDB09E" w14:textId="77777777" w:rsidR="00B92853" w:rsidRPr="00AC5BE5" w:rsidRDefault="00B92853" w:rsidP="00B92853">
      <w:pPr>
        <w:pStyle w:val="NormalWeb"/>
        <w:shd w:val="clear" w:color="auto" w:fill="FFFFFF"/>
        <w:spacing w:before="0" w:beforeAutospacing="0" w:after="0" w:afterAutospacing="0"/>
        <w:ind w:firstLine="709"/>
        <w:jc w:val="both"/>
        <w:rPr>
          <w:rFonts w:ascii="Century Gothic" w:hAnsi="Century Gothic" w:cs="Arial"/>
          <w:color w:val="000000" w:themeColor="text1"/>
          <w:sz w:val="16"/>
          <w:szCs w:val="16"/>
        </w:rPr>
      </w:pPr>
      <w:r w:rsidRPr="00AC5BE5">
        <w:rPr>
          <w:rFonts w:ascii="Century Gothic" w:hAnsi="Century Gothic" w:cs="Arial"/>
          <w:color w:val="000000" w:themeColor="text1"/>
          <w:sz w:val="16"/>
          <w:szCs w:val="16"/>
        </w:rPr>
        <w:t>Los recursos generados en desarrollo de los contratos o convenios financiados con fondos de los organismos de cooperación, asistencia o ayudas internacionales no deben ser tenidos en cuenta para determinar los porcentajes de los aportes de las partes». (Cursiva fuera del original).</w:t>
      </w:r>
    </w:p>
    <w:p w14:paraId="37CD712B" w14:textId="77777777" w:rsidR="00B92853" w:rsidRPr="00AC5BE5" w:rsidRDefault="00B92853" w:rsidP="00B92853">
      <w:pPr>
        <w:pStyle w:val="NormalWeb"/>
        <w:shd w:val="clear" w:color="auto" w:fill="FFFFFF"/>
        <w:spacing w:before="0" w:beforeAutospacing="0" w:after="0" w:afterAutospacing="0"/>
        <w:ind w:firstLine="709"/>
        <w:jc w:val="both"/>
        <w:rPr>
          <w:rFonts w:ascii="Century Gothic" w:hAnsi="Century Gothic" w:cs="Arial"/>
          <w:color w:val="000000" w:themeColor="text1"/>
          <w:sz w:val="16"/>
          <w:szCs w:val="16"/>
        </w:rPr>
      </w:pPr>
      <w:r w:rsidRPr="00AC5BE5">
        <w:rPr>
          <w:rFonts w:ascii="Century Gothic" w:hAnsi="Century Gothic" w:cs="Arial"/>
          <w:color w:val="000000" w:themeColor="text1"/>
          <w:sz w:val="16"/>
          <w:szCs w:val="16"/>
        </w:rPr>
        <w:t>Los contratos o convenios financiados con fondos de los organismos multilaterales de crédito, entes gubernamentales extranjeros o personas extranjeras de derecho público, así como aquellos a los que se refiere el inciso 2 del artículo 20 de la </w:t>
      </w:r>
      <w:r w:rsidRPr="00AC5BE5">
        <w:rPr>
          <w:rFonts w:ascii="Century Gothic" w:hAnsi="Century Gothic" w:cs="Arial"/>
          <w:sz w:val="16"/>
          <w:szCs w:val="16"/>
        </w:rPr>
        <w:t>Ley 1150 de 2007</w:t>
      </w:r>
      <w:r w:rsidRPr="00AC5BE5">
        <w:rPr>
          <w:rFonts w:ascii="Century Gothic" w:hAnsi="Century Gothic" w:cs="Arial"/>
          <w:color w:val="000000" w:themeColor="text1"/>
          <w:sz w:val="16"/>
          <w:szCs w:val="16"/>
        </w:rPr>
        <w:t>, se ejecutarán de conformidad con lo establecido en los tratados internacionales marco y complementarios, y en los convenios celebrados, o sus reglamentos, según sea el caso, incluidos los recursos de aporte de fuente nacional o sus equivalentes vinculados a tales operaciones en dichos documentos, sin que a ellos le sea aplicable el porcentaje señalado en el inciso primero del artículo 20 de la</w:t>
      </w:r>
      <w:r w:rsidRPr="00AC5BE5">
        <w:rPr>
          <w:rFonts w:ascii="Century Gothic" w:hAnsi="Century Gothic" w:cs="Arial"/>
          <w:sz w:val="16"/>
          <w:szCs w:val="16"/>
        </w:rPr>
        <w:t> Ley 1150 de 2007</w:t>
      </w:r>
      <w:r w:rsidRPr="00AC5BE5">
        <w:rPr>
          <w:rFonts w:ascii="Century Gothic" w:hAnsi="Century Gothic" w:cs="Arial"/>
          <w:color w:val="000000" w:themeColor="text1"/>
          <w:sz w:val="16"/>
          <w:szCs w:val="16"/>
        </w:rPr>
        <w:t>.</w:t>
      </w:r>
    </w:p>
    <w:p w14:paraId="5F7B5B4E" w14:textId="77777777" w:rsidR="00B92853" w:rsidRPr="00AC5BE5" w:rsidRDefault="00B92853" w:rsidP="00B92853">
      <w:pPr>
        <w:pStyle w:val="NormalWeb"/>
        <w:shd w:val="clear" w:color="auto" w:fill="FFFFFF"/>
        <w:spacing w:before="0" w:beforeAutospacing="0" w:after="0" w:afterAutospacing="0"/>
        <w:ind w:firstLine="709"/>
        <w:jc w:val="both"/>
        <w:rPr>
          <w:rFonts w:ascii="Century Gothic" w:hAnsi="Century Gothic" w:cs="Arial"/>
          <w:color w:val="000000" w:themeColor="text1"/>
          <w:sz w:val="16"/>
          <w:szCs w:val="16"/>
        </w:rPr>
      </w:pPr>
      <w:r w:rsidRPr="00AC5BE5">
        <w:rPr>
          <w:rFonts w:ascii="Century Gothic" w:hAnsi="Century Gothic" w:cs="Arial"/>
          <w:color w:val="000000" w:themeColor="text1"/>
          <w:sz w:val="16"/>
          <w:szCs w:val="16"/>
        </w:rPr>
        <w:t>Los contratos con personas extranjeras de derecho público se deben celebrar y ejecutar según se acuerde entre las partes” (Énfasis fuera de texto).</w:t>
      </w:r>
    </w:p>
  </w:footnote>
  <w:footnote w:id="10">
    <w:p w14:paraId="1A6AB3A1" w14:textId="77777777" w:rsidR="00B92853" w:rsidRPr="00AC5BE5" w:rsidRDefault="00B92853" w:rsidP="00B92853">
      <w:pPr>
        <w:pStyle w:val="Textonotapie"/>
        <w:ind w:firstLine="708"/>
        <w:jc w:val="both"/>
        <w:rPr>
          <w:rFonts w:ascii="Century Gothic" w:hAnsi="Century Gothic" w:cs="Arial"/>
          <w:sz w:val="16"/>
          <w:szCs w:val="16"/>
        </w:rPr>
      </w:pPr>
      <w:r w:rsidRPr="00AC5BE5">
        <w:rPr>
          <w:rStyle w:val="Refdenotaalpie"/>
          <w:rFonts w:ascii="Century Gothic" w:hAnsi="Century Gothic" w:cs="Arial"/>
          <w:sz w:val="16"/>
          <w:szCs w:val="16"/>
        </w:rPr>
        <w:footnoteRef/>
      </w:r>
      <w:r w:rsidRPr="00AC5BE5">
        <w:rPr>
          <w:rFonts w:ascii="Century Gothic" w:hAnsi="Century Gothic" w:cs="Arial"/>
          <w:sz w:val="16"/>
          <w:szCs w:val="16"/>
        </w:rPr>
        <w:t xml:space="preserve"> Sobre esta norma, consultar los conceptos del 8 de octubre de 2019, con radicado No. 2201913000007532, y del 20 de diciembre de 2019, con radicado No. 4201913000008240.</w:t>
      </w:r>
    </w:p>
  </w:footnote>
  <w:footnote w:id="11">
    <w:p w14:paraId="0A79D75F" w14:textId="77777777" w:rsidR="00B92853" w:rsidRPr="00AC5BE5" w:rsidRDefault="00B92853" w:rsidP="00B92853">
      <w:pPr>
        <w:pStyle w:val="Textonotapie"/>
        <w:ind w:firstLine="708"/>
        <w:jc w:val="both"/>
        <w:rPr>
          <w:rFonts w:ascii="Century Gothic" w:hAnsi="Century Gothic" w:cs="Arial"/>
          <w:sz w:val="16"/>
          <w:szCs w:val="16"/>
        </w:rPr>
      </w:pPr>
      <w:r w:rsidRPr="00AC5BE5">
        <w:rPr>
          <w:rStyle w:val="Refdenotaalpie"/>
          <w:rFonts w:ascii="Century Gothic" w:hAnsi="Century Gothic"/>
          <w:sz w:val="16"/>
          <w:szCs w:val="16"/>
        </w:rPr>
        <w:footnoteRef/>
      </w:r>
      <w:r w:rsidRPr="00AC5BE5">
        <w:rPr>
          <w:rFonts w:ascii="Century Gothic" w:hAnsi="Century Gothic"/>
          <w:sz w:val="16"/>
          <w:szCs w:val="16"/>
        </w:rPr>
        <w:t xml:space="preserve"> </w:t>
      </w:r>
      <w:r w:rsidRPr="00AC5BE5">
        <w:rPr>
          <w:rFonts w:ascii="Century Gothic" w:hAnsi="Century Gothic" w:cs="Arial"/>
          <w:sz w:val="16"/>
          <w:szCs w:val="16"/>
        </w:rPr>
        <w:t>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7F480D9B" w14:textId="77777777" w:rsidR="00B92853" w:rsidRPr="00AC5BE5" w:rsidRDefault="00B92853" w:rsidP="00B92853">
      <w:pPr>
        <w:pStyle w:val="Textonotapie"/>
        <w:ind w:firstLine="708"/>
        <w:jc w:val="both"/>
        <w:rPr>
          <w:rFonts w:ascii="Century Gothic" w:hAnsi="Century Gothic" w:cs="Arial"/>
          <w:sz w:val="16"/>
          <w:szCs w:val="16"/>
        </w:rPr>
      </w:pPr>
      <w:r w:rsidRPr="00AC5BE5">
        <w:rPr>
          <w:rFonts w:ascii="Century Gothic" w:hAnsi="Century Gothic" w:cs="Arial"/>
          <w:sz w:val="16"/>
          <w:szCs w:val="16"/>
        </w:rPr>
        <w:t xml:space="preserve">Los convenios de asociación a que se refiere el presente artículo </w:t>
      </w:r>
      <w:bookmarkStart w:id="16" w:name="_Hlk36023315"/>
      <w:r w:rsidRPr="00AC5BE5">
        <w:rPr>
          <w:rFonts w:ascii="Century Gothic" w:hAnsi="Century Gothic" w:cs="Arial"/>
          <w:sz w:val="16"/>
          <w:szCs w:val="16"/>
        </w:rPr>
        <w:t>se celebrarán de conformidad con lo dispuesto en el artículo 355 de la Constitución Política</w:t>
      </w:r>
      <w:bookmarkEnd w:id="16"/>
      <w:r w:rsidRPr="00AC5BE5">
        <w:rPr>
          <w:rFonts w:ascii="Century Gothic" w:hAnsi="Century Gothic" w:cs="Arial"/>
          <w:sz w:val="16"/>
          <w:szCs w:val="16"/>
        </w:rPr>
        <w:t>, en ellos se determinará con precisión su objeto, término, obligaciones de las partes, aportes, coordinación y todos aquellos aspectos que se consideren pertinentes”.</w:t>
      </w:r>
    </w:p>
  </w:footnote>
  <w:footnote w:id="12">
    <w:p w14:paraId="0A3EF90F" w14:textId="77777777" w:rsidR="00B92853" w:rsidRPr="00AC5BE5" w:rsidRDefault="00B92853" w:rsidP="00B92853">
      <w:pPr>
        <w:pStyle w:val="Textonotapie"/>
        <w:ind w:firstLine="708"/>
        <w:jc w:val="both"/>
        <w:rPr>
          <w:rFonts w:ascii="Century Gothic" w:hAnsi="Century Gothic" w:cs="Arial"/>
          <w:sz w:val="16"/>
          <w:szCs w:val="16"/>
        </w:rPr>
      </w:pPr>
      <w:r w:rsidRPr="00AC5BE5">
        <w:rPr>
          <w:rStyle w:val="Refdenotaalpie"/>
          <w:rFonts w:ascii="Century Gothic" w:hAnsi="Century Gothic" w:cs="Arial"/>
          <w:sz w:val="16"/>
          <w:szCs w:val="16"/>
        </w:rPr>
        <w:footnoteRef/>
      </w:r>
      <w:r w:rsidRPr="00AC5BE5">
        <w:rPr>
          <w:rFonts w:ascii="Century Gothic" w:hAnsi="Century Gothic" w:cs="Arial"/>
          <w:sz w:val="16"/>
          <w:szCs w:val="16"/>
        </w:rPr>
        <w:t xml:space="preserve"> Concepto del 3 de septiembre de 2019, con radicado No. 2201913000006512.</w:t>
      </w:r>
    </w:p>
  </w:footnote>
  <w:footnote w:id="13">
    <w:p w14:paraId="2CE570C5" w14:textId="77777777" w:rsidR="00B92853" w:rsidRPr="00AC5BE5" w:rsidRDefault="00B92853" w:rsidP="00B92853">
      <w:pPr>
        <w:pStyle w:val="Textonotapie"/>
        <w:ind w:firstLine="708"/>
        <w:jc w:val="both"/>
        <w:rPr>
          <w:rFonts w:ascii="Century Gothic" w:hAnsi="Century Gothic" w:cs="Arial"/>
          <w:sz w:val="16"/>
          <w:szCs w:val="16"/>
        </w:rPr>
      </w:pPr>
      <w:r w:rsidRPr="00AC5BE5">
        <w:rPr>
          <w:rStyle w:val="Refdenotaalpie"/>
          <w:rFonts w:ascii="Century Gothic" w:hAnsi="Century Gothic" w:cs="Arial"/>
          <w:sz w:val="16"/>
          <w:szCs w:val="16"/>
        </w:rPr>
        <w:footnoteRef/>
      </w:r>
      <w:r w:rsidRPr="00AC5BE5">
        <w:rPr>
          <w:rFonts w:ascii="Century Gothic" w:hAnsi="Century Gothic" w:cs="Arial"/>
          <w:sz w:val="16"/>
          <w:szCs w:val="16"/>
        </w:rPr>
        <w:t xml:space="preserve"> Sobre la naturaleza de los convenios de asociación, se reitera lo expuesto en el concepto del 19 de noviembre de 2019, con radicado No. 2201913000008611.</w:t>
      </w:r>
    </w:p>
  </w:footnote>
  <w:footnote w:id="14">
    <w:p w14:paraId="7923F182" w14:textId="77777777" w:rsidR="00B92853" w:rsidRPr="00AC5BE5" w:rsidRDefault="00B92853" w:rsidP="00B92853">
      <w:pPr>
        <w:pStyle w:val="Textonotapie"/>
        <w:ind w:firstLine="708"/>
        <w:jc w:val="both"/>
        <w:rPr>
          <w:rFonts w:ascii="Century Gothic" w:hAnsi="Century Gothic" w:cs="Arial"/>
          <w:color w:val="000000" w:themeColor="text1"/>
          <w:sz w:val="16"/>
          <w:szCs w:val="16"/>
        </w:rPr>
      </w:pPr>
      <w:r w:rsidRPr="00AC5BE5">
        <w:rPr>
          <w:rStyle w:val="Refdenotaalpie"/>
          <w:rFonts w:ascii="Century Gothic" w:hAnsi="Century Gothic" w:cs="Arial"/>
          <w:color w:val="000000" w:themeColor="text1"/>
          <w:sz w:val="16"/>
          <w:szCs w:val="16"/>
        </w:rPr>
        <w:footnoteRef/>
      </w:r>
      <w:r w:rsidRPr="00AC5BE5">
        <w:rPr>
          <w:rFonts w:ascii="Century Gothic" w:hAnsi="Century Gothic" w:cs="Arial"/>
          <w:color w:val="000000" w:themeColor="text1"/>
          <w:sz w:val="16"/>
          <w:szCs w:val="16"/>
        </w:rPr>
        <w:t xml:space="preserve"> Cfr. Concepto del 21 de agosto de 2019, dictado dentro del radicado No. 2201913000006047.</w:t>
      </w:r>
    </w:p>
  </w:footnote>
  <w:footnote w:id="15">
    <w:p w14:paraId="72F4EE0D" w14:textId="77777777" w:rsidR="00B92853" w:rsidRPr="00AC5BE5" w:rsidRDefault="00B92853" w:rsidP="00B92853">
      <w:pPr>
        <w:pStyle w:val="Textonotapie"/>
        <w:ind w:firstLine="708"/>
        <w:jc w:val="both"/>
        <w:rPr>
          <w:rFonts w:ascii="Century Gothic" w:hAnsi="Century Gothic" w:cs="Arial"/>
          <w:color w:val="000000" w:themeColor="text1"/>
          <w:sz w:val="16"/>
          <w:szCs w:val="16"/>
          <w:lang w:val="es-ES"/>
        </w:rPr>
      </w:pPr>
      <w:r w:rsidRPr="00AC5BE5">
        <w:rPr>
          <w:rStyle w:val="Refdenotaalpie"/>
          <w:rFonts w:ascii="Century Gothic" w:hAnsi="Century Gothic" w:cs="Arial"/>
          <w:color w:val="000000" w:themeColor="text1"/>
          <w:sz w:val="16"/>
          <w:szCs w:val="16"/>
        </w:rPr>
        <w:footnoteRef/>
      </w:r>
      <w:r w:rsidRPr="00AC5BE5">
        <w:rPr>
          <w:rFonts w:ascii="Century Gothic" w:hAnsi="Century Gothic" w:cs="Arial"/>
          <w:color w:val="000000" w:themeColor="text1"/>
          <w:sz w:val="16"/>
          <w:szCs w:val="16"/>
        </w:rPr>
        <w:t xml:space="preserve"> Concepto del 24 de febrero de 2005, con radicado No. 1626, C.P. Dra. Gloria Duque Hernández</w:t>
      </w:r>
    </w:p>
  </w:footnote>
  <w:footnote w:id="16">
    <w:p w14:paraId="395D633B" w14:textId="77777777" w:rsidR="00B92853" w:rsidRPr="00AC5BE5" w:rsidRDefault="00B92853" w:rsidP="00B92853">
      <w:pPr>
        <w:pStyle w:val="Textonotapie"/>
        <w:ind w:firstLine="708"/>
        <w:jc w:val="both"/>
        <w:rPr>
          <w:rFonts w:ascii="Century Gothic" w:hAnsi="Century Gothic" w:cs="Arial"/>
          <w:color w:val="000000" w:themeColor="text1"/>
          <w:sz w:val="16"/>
          <w:szCs w:val="16"/>
        </w:rPr>
      </w:pPr>
      <w:r w:rsidRPr="00AC5BE5">
        <w:rPr>
          <w:rStyle w:val="Refdenotaalpie"/>
          <w:rFonts w:ascii="Century Gothic" w:hAnsi="Century Gothic" w:cs="Arial"/>
          <w:color w:val="000000" w:themeColor="text1"/>
          <w:sz w:val="16"/>
          <w:szCs w:val="16"/>
        </w:rPr>
        <w:footnoteRef/>
      </w:r>
      <w:r w:rsidRPr="00AC5BE5">
        <w:rPr>
          <w:rFonts w:ascii="Century Gothic" w:hAnsi="Century Gothic" w:cs="Arial"/>
          <w:color w:val="000000" w:themeColor="text1"/>
          <w:sz w:val="16"/>
          <w:szCs w:val="16"/>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footnote>
  <w:footnote w:id="17">
    <w:p w14:paraId="4EB4A7AC" w14:textId="77777777" w:rsidR="00B92853" w:rsidRPr="00AC5BE5" w:rsidRDefault="00B92853" w:rsidP="00B92853">
      <w:pPr>
        <w:pStyle w:val="Textonotapie"/>
        <w:ind w:firstLine="708"/>
        <w:rPr>
          <w:rFonts w:ascii="Century Gothic" w:hAnsi="Century Gothic" w:cs="Arial"/>
          <w:color w:val="000000" w:themeColor="text1"/>
          <w:sz w:val="16"/>
          <w:szCs w:val="16"/>
        </w:rPr>
      </w:pPr>
      <w:r w:rsidRPr="00AC5BE5">
        <w:rPr>
          <w:rStyle w:val="Refdenotaalpie"/>
          <w:rFonts w:ascii="Century Gothic" w:hAnsi="Century Gothic"/>
          <w:sz w:val="16"/>
          <w:szCs w:val="16"/>
        </w:rPr>
        <w:footnoteRef/>
      </w:r>
      <w:r w:rsidRPr="00AC5BE5">
        <w:rPr>
          <w:rFonts w:ascii="Century Gothic" w:hAnsi="Century Gothic"/>
          <w:sz w:val="16"/>
          <w:szCs w:val="16"/>
        </w:rPr>
        <w:t xml:space="preserve"> </w:t>
      </w:r>
      <w:r w:rsidRPr="00AC5BE5">
        <w:rPr>
          <w:rFonts w:ascii="Century Gothic" w:hAnsi="Century Gothic" w:cs="Arial"/>
          <w:color w:val="000000" w:themeColor="text1"/>
          <w:sz w:val="16"/>
          <w:szCs w:val="16"/>
        </w:rPr>
        <w:t>CONSEJO DE ESTADO. Sala Plena. Auto del 15 de marzo de 2022. Exp. 11001-03-26-000-2018-00113-01 (62.003). C.P. Rocío Araújo Oñate.</w:t>
      </w:r>
    </w:p>
  </w:footnote>
  <w:footnote w:id="18">
    <w:p w14:paraId="03915824" w14:textId="77777777" w:rsidR="00B92853" w:rsidRPr="00AC5BE5" w:rsidRDefault="00B92853" w:rsidP="00B92853">
      <w:pPr>
        <w:pStyle w:val="Textonotapie"/>
        <w:ind w:firstLine="708"/>
        <w:jc w:val="both"/>
        <w:rPr>
          <w:rFonts w:ascii="Century Gothic" w:eastAsia="Calibri" w:hAnsi="Century Gothic" w:cs="Arial"/>
          <w:color w:val="000000" w:themeColor="text1"/>
          <w:sz w:val="16"/>
          <w:szCs w:val="16"/>
        </w:rPr>
      </w:pPr>
      <w:r w:rsidRPr="00AC5BE5">
        <w:rPr>
          <w:rStyle w:val="Refdenotaalpie"/>
          <w:rFonts w:ascii="Century Gothic" w:hAnsi="Century Gothic" w:cs="Arial"/>
          <w:color w:val="000000" w:themeColor="text1"/>
          <w:sz w:val="16"/>
          <w:szCs w:val="16"/>
        </w:rPr>
        <w:footnoteRef/>
      </w:r>
      <w:r w:rsidRPr="00AC5BE5">
        <w:rPr>
          <w:rFonts w:ascii="Century Gothic" w:hAnsi="Century Gothic" w:cs="Arial"/>
          <w:color w:val="000000" w:themeColor="text1"/>
          <w:sz w:val="16"/>
          <w:szCs w:val="16"/>
        </w:rPr>
        <w:t xml:space="preserve"> </w:t>
      </w:r>
      <w:r w:rsidRPr="00AC5BE5">
        <w:rPr>
          <w:rFonts w:ascii="Century Gothic" w:eastAsia="Calibri" w:hAnsi="Century Gothic" w:cs="Arial"/>
          <w:color w:val="000000" w:themeColor="text1"/>
          <w:sz w:val="16"/>
          <w:szCs w:val="16"/>
        </w:rPr>
        <w:t>Decreto 092 de 2017, artículo 1, inciso 2: “Para la interpretación del presente decreto, las expresiones aquí utilizadas con mayúscula inicial deben ser entendidas con el significado indicado en la guía que expida la Agencia Nacional de Contratación Pública –Colombia Compra Eficiente– para la aplicación del presente decreto”.</w:t>
      </w:r>
    </w:p>
  </w:footnote>
  <w:footnote w:id="19">
    <w:p w14:paraId="79EF0AB5" w14:textId="77777777" w:rsidR="00B92853" w:rsidRPr="00AC5BE5" w:rsidRDefault="00B92853" w:rsidP="00B92853">
      <w:pPr>
        <w:pStyle w:val="Textonotapie"/>
        <w:ind w:firstLine="708"/>
        <w:jc w:val="both"/>
        <w:rPr>
          <w:rFonts w:ascii="Century Gothic" w:hAnsi="Century Gothic" w:cs="Arial"/>
          <w:color w:val="000000" w:themeColor="text1"/>
          <w:sz w:val="16"/>
          <w:szCs w:val="16"/>
        </w:rPr>
      </w:pPr>
      <w:r w:rsidRPr="00AC5BE5">
        <w:rPr>
          <w:rStyle w:val="Refdenotaalpie"/>
          <w:rFonts w:ascii="Century Gothic" w:hAnsi="Century Gothic" w:cs="Arial"/>
          <w:color w:val="000000" w:themeColor="text1"/>
          <w:sz w:val="16"/>
          <w:szCs w:val="16"/>
        </w:rPr>
        <w:footnoteRef/>
      </w:r>
      <w:r w:rsidRPr="00AC5BE5">
        <w:rPr>
          <w:rFonts w:ascii="Century Gothic" w:hAnsi="Century Gothic" w:cs="Arial"/>
          <w:color w:val="000000" w:themeColor="text1"/>
          <w:sz w:val="16"/>
          <w:szCs w:val="16"/>
        </w:rPr>
        <w:t xml:space="preserve"> </w:t>
      </w:r>
      <w:r w:rsidRPr="00AC5BE5">
        <w:rPr>
          <w:rFonts w:ascii="Century Gothic" w:eastAsia="Calibri" w:hAnsi="Century Gothic" w:cs="Arial"/>
          <w:color w:val="000000" w:themeColor="text1"/>
          <w:sz w:val="16"/>
          <w:szCs w:val="16"/>
        </w:rPr>
        <w:t>Decreto 092 de 2017, artículo 3, inciso 2: “</w:t>
      </w:r>
      <w:r w:rsidRPr="00AC5BE5">
        <w:rPr>
          <w:rFonts w:ascii="Century Gothic" w:hAnsi="Century Gothic" w:cs="Arial"/>
          <w:color w:val="000000" w:themeColor="text1"/>
          <w:sz w:val="16"/>
          <w:szCs w:val="16"/>
        </w:rPr>
        <w:t>La Entidad Estatal debe definir en los Documentos del Proceso las características que debe acreditar la entidad sin ánimo de lucro. Para el efecto, deberá tomar en consideración las pautas y criterios establecidos en la guía que expida la Agencia Nacional de Contratación Pública –Colombia Compra Eficiente, la cual deberá tener en cuenta las normas de trasparencia y acceso a la información aplicable a las entidades privadas sin ánimo de lucro que contratan con cargo a recursos de origen público y las mejores prácticas en materia de prohibiciones, inhabilidades, incompatibilidades y conflictos de interés”.</w:t>
      </w:r>
    </w:p>
  </w:footnote>
  <w:footnote w:id="20">
    <w:p w14:paraId="627AB358" w14:textId="77777777" w:rsidR="00B92853" w:rsidRPr="00AC5BE5" w:rsidRDefault="00B92853" w:rsidP="00B92853">
      <w:pPr>
        <w:spacing w:after="0" w:line="240" w:lineRule="auto"/>
        <w:ind w:firstLine="708"/>
        <w:jc w:val="both"/>
        <w:rPr>
          <w:rFonts w:ascii="Century Gothic" w:hAnsi="Century Gothic" w:cs="Arial"/>
          <w:color w:val="000000" w:themeColor="text1"/>
          <w:sz w:val="16"/>
          <w:szCs w:val="16"/>
        </w:rPr>
      </w:pPr>
      <w:r w:rsidRPr="00AC5BE5">
        <w:rPr>
          <w:rFonts w:ascii="Century Gothic" w:hAnsi="Century Gothic" w:cs="Arial"/>
          <w:color w:val="000000" w:themeColor="text1"/>
          <w:sz w:val="16"/>
          <w:szCs w:val="16"/>
          <w:vertAlign w:val="superscript"/>
        </w:rPr>
        <w:footnoteRef/>
      </w:r>
      <w:r w:rsidRPr="00AC5BE5">
        <w:rPr>
          <w:rFonts w:ascii="Century Gothic" w:hAnsi="Century Gothic" w:cs="Arial"/>
          <w:color w:val="000000" w:themeColor="text1"/>
          <w:sz w:val="16"/>
          <w:szCs w:val="16"/>
        </w:rPr>
        <w:t xml:space="preserve"> En el auto del 15 de marzo de 2022 se señalaron los siguientes argumentos para levantar la suspensión provisional del inciso segundo del artículo 3 del Decreto 092 de 2017: “43. En suma, lo que advierte la Sala es que para establecer si el Gobierno nacional delegó indebidamente el ejercicio de la potestad reglamentaria directa de la Constitución, es necesario realizar un estudio de fondo, que es propio de la sentencia, pues de la literalidad de las normas confrontadas no surge que la expedición de la guía, con el alcance orientador y de interpretación señalado en las disposiciones demandadas, corresponda al ejercicio incompleto y trasladado de esa potestad, como lo razona el demandante, o si se trata de la asignación de una función o tarea, dentro de la amplia esfera de configuración normativa que confieren los reglamentos constitucionales autónomos, como lo entiende el Departamento Nacional de Planeación. </w:t>
      </w:r>
    </w:p>
    <w:p w14:paraId="183F1EE6" w14:textId="77777777" w:rsidR="00B92853" w:rsidRPr="00AC5BE5" w:rsidRDefault="00B92853" w:rsidP="00B92853">
      <w:pPr>
        <w:spacing w:after="0" w:line="240" w:lineRule="auto"/>
        <w:ind w:firstLine="708"/>
        <w:jc w:val="both"/>
        <w:rPr>
          <w:rFonts w:ascii="Century Gothic" w:hAnsi="Century Gothic" w:cs="Arial"/>
          <w:color w:val="000000" w:themeColor="text1"/>
          <w:sz w:val="16"/>
          <w:szCs w:val="16"/>
        </w:rPr>
      </w:pPr>
      <w:r w:rsidRPr="00AC5BE5">
        <w:rPr>
          <w:rFonts w:ascii="Century Gothic" w:hAnsi="Century Gothic" w:cs="Arial"/>
          <w:color w:val="000000" w:themeColor="text1"/>
          <w:sz w:val="16"/>
          <w:szCs w:val="16"/>
        </w:rPr>
        <w:t xml:space="preserve"> 44. Así pues, al no evidenciarse ab initio la infracción constitucional aducida en los términos del artículo 231 de la Ley 1437 de 2011, no existe fundamento jurídico para suspender provisionalmente los efectos del inciso segundo del artículo 1 y del inciso segundo del artículo 3 del Decreto 092 de 2017. En consecuencia, la Sala revocará dicha medida cautelar y la negará en relación con esas disposiciones”. (CONSEJO DE ESTADO. Sala Plena. Auto del 15 de marzo de 2022. Exp. 11001-03-26-000-2018-00113-01 (62.003). C.P. Rocío Araújo Oñate).</w:t>
      </w:r>
    </w:p>
  </w:footnote>
  <w:footnote w:id="21">
    <w:p w14:paraId="48910E8F" w14:textId="77777777" w:rsidR="00B92853" w:rsidRPr="00AC5BE5" w:rsidRDefault="00B92853" w:rsidP="00B92853">
      <w:pPr>
        <w:spacing w:after="0" w:line="240" w:lineRule="auto"/>
        <w:ind w:firstLine="708"/>
        <w:jc w:val="both"/>
        <w:rPr>
          <w:rFonts w:ascii="Century Gothic" w:hAnsi="Century Gothic" w:cs="Arial"/>
          <w:color w:val="000000" w:themeColor="text1"/>
          <w:sz w:val="16"/>
          <w:szCs w:val="16"/>
        </w:rPr>
      </w:pPr>
      <w:r w:rsidRPr="00AC5BE5">
        <w:rPr>
          <w:rStyle w:val="Refdenotaalpie"/>
          <w:rFonts w:ascii="Century Gothic" w:hAnsi="Century Gothic" w:cs="Arial"/>
          <w:color w:val="000000" w:themeColor="text1"/>
          <w:sz w:val="16"/>
          <w:szCs w:val="16"/>
        </w:rPr>
        <w:footnoteRef/>
      </w:r>
      <w:r w:rsidRPr="00AC5BE5">
        <w:rPr>
          <w:rFonts w:ascii="Century Gothic" w:hAnsi="Century Gothic" w:cs="Arial"/>
          <w:color w:val="000000" w:themeColor="text1"/>
          <w:sz w:val="16"/>
          <w:szCs w:val="16"/>
        </w:rPr>
        <w:t xml:space="preserve"> Decreto 092 de 2017, Artículo 2, literal 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p>
  </w:footnote>
  <w:footnote w:id="22">
    <w:p w14:paraId="7FE855D8" w14:textId="77777777" w:rsidR="00B92853" w:rsidRPr="00AC5BE5" w:rsidRDefault="00B92853" w:rsidP="00B92853">
      <w:pPr>
        <w:pStyle w:val="Textonotapie"/>
        <w:ind w:firstLine="708"/>
        <w:jc w:val="both"/>
        <w:rPr>
          <w:rFonts w:ascii="Century Gothic" w:hAnsi="Century Gothic" w:cs="Arial"/>
          <w:color w:val="000000" w:themeColor="text1"/>
          <w:sz w:val="16"/>
          <w:szCs w:val="16"/>
        </w:rPr>
      </w:pPr>
      <w:r w:rsidRPr="00AC5BE5">
        <w:rPr>
          <w:rStyle w:val="Refdenotaalpie"/>
          <w:rFonts w:ascii="Century Gothic" w:hAnsi="Century Gothic" w:cs="Arial"/>
          <w:color w:val="000000" w:themeColor="text1"/>
          <w:sz w:val="16"/>
          <w:szCs w:val="16"/>
        </w:rPr>
        <w:footnoteRef/>
      </w:r>
      <w:r w:rsidRPr="00AC5BE5">
        <w:rPr>
          <w:rFonts w:ascii="Century Gothic" w:hAnsi="Century Gothic" w:cs="Arial"/>
          <w:color w:val="000000" w:themeColor="text1"/>
          <w:sz w:val="16"/>
          <w:szCs w:val="16"/>
        </w:rPr>
        <w:t xml:space="preserve"> Decreto 092 de 2017, Artículo 2, literal a: “Que no exista oferta en el mercado de los bienes, obras y servicios requeridos para la estrategia y política del plan de desarrollo objeto de la contratación, distinta de la oferta que hacen las entidades privadas sin ánimo de lucro; o que, si existe, la contratación con entidades privadas sin ánimo de lucro represente la optimización de los recursos públicos en términos de eficiencia, eficacia, economía y manejo del Riesgo. En los demás eventos, la Entidad Estatal deberá aplicar la Ley 80 de 1993, sus modificaciones y reglamentos”.</w:t>
      </w:r>
    </w:p>
  </w:footnote>
  <w:footnote w:id="23">
    <w:p w14:paraId="0F322DC4" w14:textId="77777777" w:rsidR="00B92853" w:rsidRPr="00AC5BE5" w:rsidRDefault="00B92853" w:rsidP="00B92853">
      <w:pPr>
        <w:pStyle w:val="Textonotapie"/>
        <w:ind w:firstLine="708"/>
        <w:jc w:val="both"/>
        <w:rPr>
          <w:rFonts w:ascii="Century Gothic" w:hAnsi="Century Gothic" w:cs="Arial"/>
          <w:color w:val="000000" w:themeColor="text1"/>
          <w:sz w:val="16"/>
          <w:szCs w:val="16"/>
          <w:lang w:val="es-ES"/>
        </w:rPr>
      </w:pPr>
      <w:r w:rsidRPr="00AC5BE5">
        <w:rPr>
          <w:rStyle w:val="Refdenotaalpie"/>
          <w:rFonts w:ascii="Century Gothic" w:hAnsi="Century Gothic" w:cs="Arial"/>
          <w:color w:val="000000" w:themeColor="text1"/>
          <w:sz w:val="16"/>
          <w:szCs w:val="16"/>
        </w:rPr>
        <w:footnoteRef/>
      </w:r>
      <w:r w:rsidRPr="00AC5BE5">
        <w:rPr>
          <w:rFonts w:ascii="Century Gothic" w:hAnsi="Century Gothic" w:cs="Arial"/>
          <w:color w:val="000000" w:themeColor="text1"/>
          <w:sz w:val="16"/>
          <w:szCs w:val="16"/>
        </w:rPr>
        <w:t xml:space="preserve"> Decreto 092 de 2017, artículo 4: “(…) Las Entidades Estatales no están obligadas a adelantar el proceso competitivo previsto en este artículo cuando el objeto del Proceso de Contratación corresponde a actividades artísticas, culturales, deportivas y de promoción de la diversidad étnica colombiana, que solo pueden desarrollar determinadas personas naturales o jurídicas, condición que debe justificarse en los estudios y documentos previos”.</w:t>
      </w:r>
    </w:p>
  </w:footnote>
  <w:footnote w:id="24">
    <w:p w14:paraId="13127A11" w14:textId="77777777" w:rsidR="00B92853" w:rsidRPr="00AC5BE5" w:rsidRDefault="00B92853" w:rsidP="00B92853">
      <w:pPr>
        <w:pStyle w:val="Textonotapie"/>
        <w:ind w:firstLine="708"/>
        <w:jc w:val="both"/>
        <w:rPr>
          <w:rFonts w:ascii="Century Gothic" w:hAnsi="Century Gothic" w:cs="Arial"/>
          <w:sz w:val="16"/>
          <w:szCs w:val="16"/>
        </w:rPr>
      </w:pPr>
      <w:r w:rsidRPr="00AC5BE5">
        <w:rPr>
          <w:rStyle w:val="Refdenotaalpie"/>
          <w:rFonts w:ascii="Century Gothic" w:hAnsi="Century Gothic" w:cs="Arial"/>
          <w:sz w:val="16"/>
          <w:szCs w:val="16"/>
        </w:rPr>
        <w:footnoteRef/>
      </w:r>
      <w:r w:rsidRPr="00AC5BE5">
        <w:rPr>
          <w:rFonts w:ascii="Century Gothic" w:hAnsi="Century Gothic" w:cs="Arial"/>
          <w:sz w:val="16"/>
          <w:szCs w:val="16"/>
        </w:rPr>
        <w:t xml:space="preserve"> De esta manera, agrega que “[…] cuando el reglamento exige correspondencia directa entre los objetos de los contratos y las actividades y programas contenidos específicamente en los planes de desarrollo, excluye aquellos programas y actividades de interés público que desarrollan entidades sin ánimo de lucro y de reconocida idoneidad, que aun cuando acordes con los planes de desarrollo no encajan de manera precisa en alguna de las actividades o programas particulares contemplados en dichos planes” (Cfr. Consejo de Estado. Sala Plena. </w:t>
      </w:r>
      <w:bookmarkStart w:id="24" w:name="_Hlk102655636"/>
      <w:r w:rsidRPr="00AC5BE5">
        <w:rPr>
          <w:rFonts w:ascii="Century Gothic" w:hAnsi="Century Gothic" w:cs="Arial"/>
          <w:sz w:val="16"/>
          <w:szCs w:val="16"/>
        </w:rPr>
        <w:t>Auto del 15 de marzo de 2022</w:t>
      </w:r>
      <w:bookmarkEnd w:id="24"/>
      <w:r w:rsidRPr="00AC5BE5">
        <w:rPr>
          <w:rFonts w:ascii="Century Gothic" w:hAnsi="Century Gothic" w:cs="Arial"/>
          <w:sz w:val="16"/>
          <w:szCs w:val="16"/>
        </w:rPr>
        <w:t>. Exp. 62.003. C.P. Rocío Araújo Oñate).</w:t>
      </w:r>
    </w:p>
  </w:footnote>
  <w:footnote w:id="25">
    <w:p w14:paraId="46E1AB0D" w14:textId="77777777" w:rsidR="00B92853" w:rsidRPr="00AC5BE5" w:rsidRDefault="00B92853" w:rsidP="00B92853">
      <w:pPr>
        <w:pStyle w:val="Textonotapie"/>
        <w:ind w:firstLine="708"/>
        <w:rPr>
          <w:rFonts w:ascii="Century Gothic" w:hAnsi="Century Gothic" w:cs="Arial"/>
          <w:sz w:val="16"/>
          <w:szCs w:val="16"/>
        </w:rPr>
      </w:pPr>
      <w:r w:rsidRPr="00AC5BE5">
        <w:rPr>
          <w:rStyle w:val="Refdenotaalpie"/>
          <w:rFonts w:ascii="Century Gothic" w:hAnsi="Century Gothic" w:cs="Arial"/>
          <w:sz w:val="16"/>
          <w:szCs w:val="16"/>
        </w:rPr>
        <w:footnoteRef/>
      </w:r>
      <w:r w:rsidRPr="00AC5BE5">
        <w:rPr>
          <w:rFonts w:ascii="Century Gothic" w:hAnsi="Century Gothic" w:cs="Arial"/>
          <w:sz w:val="16"/>
          <w:szCs w:val="16"/>
        </w:rPr>
        <w:t xml:space="preserve"> </w:t>
      </w:r>
      <w:r w:rsidRPr="00AC5BE5">
        <w:rPr>
          <w:rFonts w:ascii="Century Gothic" w:hAnsi="Century Gothic" w:cs="Arial"/>
          <w:i/>
          <w:iCs/>
          <w:sz w:val="16"/>
          <w:szCs w:val="16"/>
        </w:rPr>
        <w:t>Ibidem</w:t>
      </w:r>
      <w:r w:rsidRPr="00AC5BE5">
        <w:rPr>
          <w:rFonts w:ascii="Century Gothic" w:hAnsi="Century Gothic" w:cs="Arial"/>
          <w:sz w:val="16"/>
          <w:szCs w:val="16"/>
        </w:rPr>
        <w:t>.</w:t>
      </w:r>
    </w:p>
  </w:footnote>
  <w:footnote w:id="26">
    <w:p w14:paraId="5A6BF97F" w14:textId="77777777" w:rsidR="00B92853" w:rsidRPr="00AC5BE5" w:rsidRDefault="00B92853" w:rsidP="00B92853">
      <w:pPr>
        <w:pStyle w:val="Textonotapie"/>
        <w:ind w:firstLine="708"/>
        <w:jc w:val="both"/>
        <w:rPr>
          <w:rFonts w:ascii="Century Gothic" w:hAnsi="Century Gothic" w:cs="Arial"/>
          <w:color w:val="000000" w:themeColor="text1"/>
          <w:sz w:val="16"/>
          <w:szCs w:val="16"/>
        </w:rPr>
      </w:pPr>
      <w:r w:rsidRPr="00AC5BE5">
        <w:rPr>
          <w:rStyle w:val="Refdenotaalpie"/>
          <w:rFonts w:ascii="Century Gothic" w:hAnsi="Century Gothic" w:cs="Arial"/>
          <w:color w:val="000000" w:themeColor="text1"/>
          <w:sz w:val="16"/>
          <w:szCs w:val="16"/>
        </w:rPr>
        <w:footnoteRef/>
      </w:r>
      <w:r w:rsidRPr="00AC5BE5">
        <w:rPr>
          <w:rFonts w:ascii="Century Gothic" w:hAnsi="Century Gothic" w:cs="Arial"/>
          <w:color w:val="000000" w:themeColor="text1"/>
          <w:sz w:val="16"/>
          <w:szCs w:val="16"/>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footnote>
  <w:footnote w:id="27">
    <w:p w14:paraId="7B4F6CED" w14:textId="77777777" w:rsidR="00B92853" w:rsidRPr="00AC5BE5" w:rsidRDefault="00B92853" w:rsidP="00B92853">
      <w:pPr>
        <w:pStyle w:val="Textonotapie"/>
        <w:ind w:firstLine="708"/>
        <w:jc w:val="both"/>
        <w:rPr>
          <w:rFonts w:ascii="Century Gothic" w:hAnsi="Century Gothic" w:cs="Arial"/>
          <w:sz w:val="16"/>
          <w:szCs w:val="16"/>
          <w:lang w:val="es-ES"/>
        </w:rPr>
      </w:pPr>
      <w:r w:rsidRPr="00AC5BE5">
        <w:rPr>
          <w:rStyle w:val="Refdenotaalpie"/>
          <w:rFonts w:ascii="Century Gothic" w:hAnsi="Century Gothic" w:cs="Arial"/>
          <w:sz w:val="16"/>
          <w:szCs w:val="16"/>
        </w:rPr>
        <w:footnoteRef/>
      </w:r>
      <w:r w:rsidRPr="00AC5BE5">
        <w:rPr>
          <w:rFonts w:ascii="Century Gothic" w:hAnsi="Century Gothic" w:cs="Arial"/>
          <w:sz w:val="16"/>
          <w:szCs w:val="16"/>
        </w:rPr>
        <w:t xml:space="preserve"> El art</w:t>
      </w:r>
      <w:r w:rsidRPr="00AC5BE5">
        <w:rPr>
          <w:rFonts w:ascii="Century Gothic" w:hAnsi="Century Gothic" w:cs="Century Gothic"/>
          <w:sz w:val="16"/>
          <w:szCs w:val="16"/>
        </w:rPr>
        <w:t>í</w:t>
      </w:r>
      <w:r w:rsidRPr="00AC5BE5">
        <w:rPr>
          <w:rFonts w:ascii="Century Gothic" w:hAnsi="Century Gothic" w:cs="Arial"/>
          <w:sz w:val="16"/>
          <w:szCs w:val="16"/>
        </w:rPr>
        <w:t>culo 3 del Decreto Ley 4170 de 2011</w:t>
      </w:r>
      <w:r w:rsidRPr="00AC5BE5">
        <w:rPr>
          <w:rFonts w:ascii="Century Gothic" w:hAnsi="Century Gothic" w:cs="Arial"/>
          <w:i/>
          <w:iCs/>
          <w:sz w:val="16"/>
          <w:szCs w:val="16"/>
        </w:rPr>
        <w:t xml:space="preserve"> </w:t>
      </w:r>
      <w:r w:rsidRPr="00AC5BE5">
        <w:rPr>
          <w:rFonts w:ascii="Century Gothic" w:hAnsi="Century Gothic" w:cs="Arial"/>
          <w:sz w:val="16"/>
          <w:szCs w:val="1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2154" w14:textId="5D0C20C7" w:rsidR="00756841" w:rsidRDefault="00BD15D4">
    <w:pPr>
      <w:pStyle w:val="Encabezado"/>
    </w:pPr>
    <w:r>
      <w:rPr>
        <w:noProof/>
        <w:lang w:eastAsia="es-CO"/>
      </w:rPr>
      <w:drawing>
        <wp:anchor distT="0" distB="0" distL="114300" distR="114300" simplePos="0" relativeHeight="251658240" behindDoc="1" locked="0" layoutInCell="1" allowOverlap="1" wp14:anchorId="748FC4A6" wp14:editId="19FCB529">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lang w:eastAsia="es-CO"/>
      </w:rPr>
      <w:drawing>
        <wp:anchor distT="0" distB="0" distL="114300" distR="114300" simplePos="0" relativeHeight="251658244"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56BAF314"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4A305D" w:rsidRPr="004A305D" w:rsidRDefault="004A305D"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5B5D8B">
      <w:rPr>
        <w:rFonts w:ascii="Century Gothic" w:eastAsia="Geo" w:hAnsi="Century Gothic" w:cs="Geo"/>
        <w:bCs/>
        <w:color w:val="000000"/>
        <w:sz w:val="16"/>
        <w:szCs w:val="16"/>
        <w:lang w:eastAsia="es-CO"/>
      </w:rPr>
      <w:t>7</w:t>
    </w:r>
  </w:p>
  <w:p w14:paraId="3DBCDD3E" w14:textId="0A65B808" w:rsidR="005B5D8B" w:rsidRPr="006D28E5" w:rsidRDefault="004A305D" w:rsidP="006D28E5">
    <w:pPr>
      <w:spacing w:after="12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num w:numId="1" w16cid:durableId="4981954">
    <w:abstractNumId w:val="3"/>
  </w:num>
  <w:num w:numId="2" w16cid:durableId="486676265">
    <w:abstractNumId w:val="1"/>
  </w:num>
  <w:num w:numId="3" w16cid:durableId="608313202">
    <w:abstractNumId w:val="2"/>
  </w:num>
  <w:num w:numId="4" w16cid:durableId="2667437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6877461">
    <w:abstractNumId w:val="1"/>
  </w:num>
  <w:num w:numId="6" w16cid:durableId="1488322573">
    <w:abstractNumId w:val="0"/>
  </w:num>
  <w:num w:numId="7" w16cid:durableId="12346555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A683E"/>
    <w:rsid w:val="000B19B9"/>
    <w:rsid w:val="000D0334"/>
    <w:rsid w:val="000E4714"/>
    <w:rsid w:val="000F6486"/>
    <w:rsid w:val="00125105"/>
    <w:rsid w:val="00127233"/>
    <w:rsid w:val="001C0B23"/>
    <w:rsid w:val="001E4177"/>
    <w:rsid w:val="00261899"/>
    <w:rsid w:val="002951A0"/>
    <w:rsid w:val="002962BC"/>
    <w:rsid w:val="002A093D"/>
    <w:rsid w:val="002A49AC"/>
    <w:rsid w:val="002A64FD"/>
    <w:rsid w:val="002C7A84"/>
    <w:rsid w:val="00331C90"/>
    <w:rsid w:val="003448F4"/>
    <w:rsid w:val="003537D5"/>
    <w:rsid w:val="003A779E"/>
    <w:rsid w:val="003D0F4D"/>
    <w:rsid w:val="003E0499"/>
    <w:rsid w:val="003F3941"/>
    <w:rsid w:val="00400548"/>
    <w:rsid w:val="004368BC"/>
    <w:rsid w:val="0048181D"/>
    <w:rsid w:val="004A1847"/>
    <w:rsid w:val="004A305D"/>
    <w:rsid w:val="004F21C4"/>
    <w:rsid w:val="004F685F"/>
    <w:rsid w:val="00533E8F"/>
    <w:rsid w:val="005566E8"/>
    <w:rsid w:val="00574867"/>
    <w:rsid w:val="005A6AA1"/>
    <w:rsid w:val="005B5D8B"/>
    <w:rsid w:val="005C5CDC"/>
    <w:rsid w:val="005D476C"/>
    <w:rsid w:val="006024FD"/>
    <w:rsid w:val="006039DA"/>
    <w:rsid w:val="006219F8"/>
    <w:rsid w:val="00665D70"/>
    <w:rsid w:val="006C4F68"/>
    <w:rsid w:val="006D28E5"/>
    <w:rsid w:val="00706C16"/>
    <w:rsid w:val="00727370"/>
    <w:rsid w:val="00756841"/>
    <w:rsid w:val="00763C80"/>
    <w:rsid w:val="007649AB"/>
    <w:rsid w:val="007833AC"/>
    <w:rsid w:val="007B7171"/>
    <w:rsid w:val="007C3DC2"/>
    <w:rsid w:val="007E5497"/>
    <w:rsid w:val="007F44D3"/>
    <w:rsid w:val="00806F5F"/>
    <w:rsid w:val="00820278"/>
    <w:rsid w:val="0085417A"/>
    <w:rsid w:val="008843B6"/>
    <w:rsid w:val="008902D1"/>
    <w:rsid w:val="00891928"/>
    <w:rsid w:val="008A446D"/>
    <w:rsid w:val="008F0EA7"/>
    <w:rsid w:val="00923EEF"/>
    <w:rsid w:val="009419F9"/>
    <w:rsid w:val="00961B09"/>
    <w:rsid w:val="00965334"/>
    <w:rsid w:val="0097093E"/>
    <w:rsid w:val="00975F37"/>
    <w:rsid w:val="00976E75"/>
    <w:rsid w:val="009A3FB2"/>
    <w:rsid w:val="009C71FA"/>
    <w:rsid w:val="009C72E7"/>
    <w:rsid w:val="00A17F13"/>
    <w:rsid w:val="00A20739"/>
    <w:rsid w:val="00A33C78"/>
    <w:rsid w:val="00AB0ADB"/>
    <w:rsid w:val="00AD5E99"/>
    <w:rsid w:val="00B72CD3"/>
    <w:rsid w:val="00B72FFF"/>
    <w:rsid w:val="00B92853"/>
    <w:rsid w:val="00BD15D4"/>
    <w:rsid w:val="00BD2E7A"/>
    <w:rsid w:val="00BD7F72"/>
    <w:rsid w:val="00C04FB3"/>
    <w:rsid w:val="00C330EB"/>
    <w:rsid w:val="00C754BE"/>
    <w:rsid w:val="00CA3116"/>
    <w:rsid w:val="00CB6357"/>
    <w:rsid w:val="00CC1B26"/>
    <w:rsid w:val="00CD3B05"/>
    <w:rsid w:val="00D423A2"/>
    <w:rsid w:val="00D46F51"/>
    <w:rsid w:val="00D63AC2"/>
    <w:rsid w:val="00D7383B"/>
    <w:rsid w:val="00DA231B"/>
    <w:rsid w:val="00E07424"/>
    <w:rsid w:val="00E16408"/>
    <w:rsid w:val="00E20894"/>
    <w:rsid w:val="00E245AB"/>
    <w:rsid w:val="00E50AFE"/>
    <w:rsid w:val="00E50B60"/>
    <w:rsid w:val="00E771DC"/>
    <w:rsid w:val="00E8772A"/>
    <w:rsid w:val="00E90F6B"/>
    <w:rsid w:val="00E92C27"/>
    <w:rsid w:val="00E9589E"/>
    <w:rsid w:val="00EA0E3D"/>
    <w:rsid w:val="00EE1AA8"/>
    <w:rsid w:val="00F17039"/>
    <w:rsid w:val="00F204AB"/>
    <w:rsid w:val="00F31EDC"/>
    <w:rsid w:val="00F5664F"/>
    <w:rsid w:val="00F613A2"/>
    <w:rsid w:val="00F76AFC"/>
    <w:rsid w:val="00FA0A7D"/>
    <w:rsid w:val="00FB5DD1"/>
    <w:rsid w:val="00FC2B5D"/>
    <w:rsid w:val="00FF1449"/>
    <w:rsid w:val="2B3D2183"/>
    <w:rsid w:val="687B05C8"/>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character" w:customStyle="1" w:styleId="eop">
    <w:name w:val="eop"/>
    <w:basedOn w:val="Fuentedeprrafopredeter"/>
    <w:rsid w:val="00B92853"/>
  </w:style>
  <w:style w:type="paragraph" w:styleId="NormalWeb">
    <w:name w:val="Normal (Web)"/>
    <w:basedOn w:val="Normal"/>
    <w:link w:val="NormalWebCar"/>
    <w:uiPriority w:val="99"/>
    <w:unhideWhenUsed/>
    <w:rsid w:val="00B92853"/>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B92853"/>
    <w:pPr>
      <w:spacing w:line="240" w:lineRule="exact"/>
    </w:pPr>
    <w:rPr>
      <w:vertAlign w:val="superscript"/>
    </w:rPr>
  </w:style>
  <w:style w:type="paragraph" w:styleId="Textoindependiente">
    <w:name w:val="Body Text"/>
    <w:basedOn w:val="Normal"/>
    <w:link w:val="TextoindependienteCar"/>
    <w:uiPriority w:val="99"/>
    <w:unhideWhenUsed/>
    <w:rsid w:val="00B92853"/>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B92853"/>
    <w:rPr>
      <w:rFonts w:eastAsiaTheme="minorEastAsia"/>
      <w:lang w:eastAsia="es-CO"/>
    </w:rPr>
  </w:style>
  <w:style w:type="paragraph" w:styleId="Sinespaciado">
    <w:name w:val="No Spacing"/>
    <w:aliases w:val="No Indent"/>
    <w:uiPriority w:val="3"/>
    <w:qFormat/>
    <w:rsid w:val="00B92853"/>
    <w:pPr>
      <w:spacing w:after="0" w:line="240" w:lineRule="auto"/>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92853"/>
    <w:rPr>
      <w:rFonts w:ascii="Geomanist Light" w:hAnsi="Geomanist Light"/>
      <w:lang w:val="es-ES"/>
    </w:rPr>
  </w:style>
  <w:style w:type="character" w:customStyle="1" w:styleId="NormalWebCar">
    <w:name w:val="Normal (Web) Car"/>
    <w:link w:val="NormalWeb"/>
    <w:uiPriority w:val="99"/>
    <w:rsid w:val="00B92853"/>
    <w:rPr>
      <w:rFonts w:ascii="Times New Roman" w:eastAsia="Times New Roman" w:hAnsi="Times New Roman" w:cs="Times New Roman"/>
      <w:sz w:val="24"/>
      <w:szCs w:val="24"/>
      <w:lang w:eastAsia="es-CO"/>
    </w:rPr>
  </w:style>
  <w:style w:type="character" w:customStyle="1" w:styleId="baj">
    <w:name w:val="b_aj"/>
    <w:basedOn w:val="Fuentedeprrafopredeter"/>
    <w:rsid w:val="00B92853"/>
  </w:style>
  <w:style w:type="character" w:styleId="Textoennegrita">
    <w:name w:val="Strong"/>
    <w:basedOn w:val="Fuentedeprrafopredeter"/>
    <w:uiPriority w:val="22"/>
    <w:qFormat/>
    <w:rsid w:val="00B92853"/>
    <w:rPr>
      <w:b/>
      <w:bCs/>
    </w:rPr>
  </w:style>
  <w:style w:type="character" w:styleId="nfasis">
    <w:name w:val="Emphasis"/>
    <w:basedOn w:val="Fuentedeprrafopredeter"/>
    <w:uiPriority w:val="20"/>
    <w:qFormat/>
    <w:rsid w:val="00B9285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2" Type="http://schemas.openxmlformats.org/officeDocument/2006/relationships/hyperlink" Target="http://www.secretariasenado.gov.co/senado/basedoc/ley_0080_1993.html" TargetMode="External"/><Relationship Id="rId1" Type="http://schemas.openxmlformats.org/officeDocument/2006/relationships/hyperlink" Target="https://relatoria.colombiacompra.gov.co/busqueda/conceptos%2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Juan David Montoya Penagos</DisplayName>
        <AccountId>697</AccountId>
        <AccountType/>
      </UserInfo>
      <UserInfo>
        <DisplayName>Alejandro Sarmiento</DisplayName>
        <AccountId>119</AccountId>
        <AccountType/>
      </UserInfo>
      <UserInfo>
        <DisplayName>Nohelia Del Carmen Zawady Palacio</DisplayName>
        <AccountId>289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E83243ED-A983-4D14-8581-EBF9DD2A1318}"/>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34</Pages>
  <Words>12067</Words>
  <Characters>66370</Characters>
  <Application>Microsoft Office Word</Application>
  <DocSecurity>0</DocSecurity>
  <Lines>553</Lines>
  <Paragraphs>156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ANCP - CCE</cp:lastModifiedBy>
  <cp:revision>5</cp:revision>
  <cp:lastPrinted>2023-01-10T21:18:00Z</cp:lastPrinted>
  <dcterms:created xsi:type="dcterms:W3CDTF">2024-05-07T01:09:00Z</dcterms:created>
  <dcterms:modified xsi:type="dcterms:W3CDTF">2024-06-04T16:14:00Z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