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9DF33" w14:textId="4A81668D" w:rsidR="00C619A7" w:rsidRDefault="008347E4" w:rsidP="00C619A7">
      <w:pPr>
        <w:spacing w:after="0" w:line="240" w:lineRule="auto"/>
        <w:jc w:val="both"/>
        <w:rPr>
          <w:rFonts w:ascii="Verdana" w:eastAsia="Calibri" w:hAnsi="Verdana" w:cs="Arial"/>
          <w:b/>
          <w:bCs/>
          <w:lang w:val="es-MX"/>
        </w:rPr>
      </w:pPr>
      <w:bookmarkStart w:id="0" w:name="_Hlk189391789"/>
      <w:r w:rsidRPr="008347E4">
        <w:rPr>
          <w:rFonts w:ascii="Verdana" w:eastAsia="Calibri" w:hAnsi="Verdana" w:cs="Arial"/>
          <w:b/>
          <w:bCs/>
          <w:lang w:val="es-MX"/>
        </w:rPr>
        <w:t>PRINCIPIO DE PUBLICIDAD – Noción</w:t>
      </w:r>
    </w:p>
    <w:p w14:paraId="01633AE6" w14:textId="77777777" w:rsidR="008347E4" w:rsidRPr="00733E34" w:rsidRDefault="008347E4" w:rsidP="00C619A7">
      <w:pPr>
        <w:spacing w:after="0" w:line="240" w:lineRule="auto"/>
        <w:jc w:val="both"/>
        <w:rPr>
          <w:rFonts w:ascii="Verdana" w:eastAsia="Calibri" w:hAnsi="Verdana" w:cs="Arial"/>
          <w:b/>
          <w:bCs/>
          <w:sz w:val="20"/>
          <w:szCs w:val="20"/>
          <w:lang w:val="es-MX"/>
        </w:rPr>
      </w:pPr>
    </w:p>
    <w:p w14:paraId="59F7663B" w14:textId="1A52173A" w:rsidR="00C619A7" w:rsidRDefault="00C619A7" w:rsidP="008347E4">
      <w:pPr>
        <w:spacing w:after="0"/>
        <w:jc w:val="both"/>
        <w:rPr>
          <w:rFonts w:ascii="Verdana" w:eastAsia="Calibri" w:hAnsi="Verdana" w:cs="Arial"/>
          <w:bCs/>
          <w:sz w:val="20"/>
          <w:szCs w:val="20"/>
        </w:rPr>
      </w:pPr>
      <w:r w:rsidRPr="00640AC4">
        <w:rPr>
          <w:rFonts w:ascii="Verdana" w:eastAsia="Calibri" w:hAnsi="Verdana" w:cs="Arial"/>
          <w:bCs/>
          <w:sz w:val="20"/>
          <w:szCs w:val="20"/>
        </w:rPr>
        <w:t xml:space="preserve">[…] </w:t>
      </w:r>
      <w:r w:rsidR="00B000B6" w:rsidRPr="00B000B6">
        <w:rPr>
          <w:rFonts w:ascii="Verdana" w:eastAsia="Calibri" w:hAnsi="Verdana" w:cs="Arial"/>
          <w:bCs/>
          <w:sz w:val="20"/>
          <w:szCs w:val="20"/>
        </w:rPr>
        <w:t>el principio de publicidad es la garantía de las personas de conocer las actuaciones judiciales y administrativas, para, con base en ese conocimiento, tener la posibilidad de exigir que se realicen conforme a la ley</w:t>
      </w:r>
      <w:r w:rsidR="008347E4" w:rsidRPr="008347E4">
        <w:rPr>
          <w:rFonts w:ascii="Verdana" w:eastAsia="Calibri" w:hAnsi="Verdana" w:cs="Arial"/>
          <w:bCs/>
          <w:sz w:val="20"/>
          <w:szCs w:val="20"/>
        </w:rPr>
        <w:t>.</w:t>
      </w:r>
    </w:p>
    <w:p w14:paraId="024EB29B" w14:textId="77777777" w:rsidR="008347E4" w:rsidRPr="00640AC4" w:rsidRDefault="008347E4" w:rsidP="008347E4">
      <w:pPr>
        <w:spacing w:after="0"/>
        <w:jc w:val="both"/>
        <w:rPr>
          <w:rFonts w:ascii="Verdana" w:eastAsia="Calibri" w:hAnsi="Verdana" w:cs="Arial"/>
          <w:sz w:val="20"/>
          <w:szCs w:val="20"/>
        </w:rPr>
      </w:pPr>
    </w:p>
    <w:p w14:paraId="0D3638D4" w14:textId="3375719C" w:rsidR="00C619A7" w:rsidRDefault="00B000B6" w:rsidP="00C619A7">
      <w:pPr>
        <w:spacing w:after="0" w:line="240" w:lineRule="auto"/>
        <w:jc w:val="both"/>
        <w:rPr>
          <w:rFonts w:ascii="Verdana" w:eastAsia="Calibri" w:hAnsi="Verdana" w:cs="Arial"/>
          <w:b/>
          <w:bCs/>
          <w:lang w:val="es-MX"/>
        </w:rPr>
      </w:pPr>
      <w:r w:rsidRPr="00B000B6">
        <w:rPr>
          <w:rFonts w:ascii="Verdana" w:eastAsia="Calibri" w:hAnsi="Verdana" w:cs="Arial"/>
          <w:b/>
          <w:bCs/>
          <w:lang w:val="es-MX"/>
        </w:rPr>
        <w:t>SECOP – Publicación – Documentos</w:t>
      </w:r>
    </w:p>
    <w:p w14:paraId="395F85B8" w14:textId="77777777" w:rsidR="00B000B6" w:rsidRPr="00733E34" w:rsidRDefault="00B000B6" w:rsidP="00C619A7">
      <w:pPr>
        <w:spacing w:after="0" w:line="240" w:lineRule="auto"/>
        <w:jc w:val="both"/>
        <w:rPr>
          <w:rFonts w:ascii="Verdana" w:eastAsia="Calibri" w:hAnsi="Verdana" w:cs="Arial"/>
          <w:b/>
          <w:bCs/>
          <w:sz w:val="20"/>
          <w:szCs w:val="20"/>
          <w:lang w:val="es-MX"/>
        </w:rPr>
      </w:pPr>
    </w:p>
    <w:p w14:paraId="742EE685" w14:textId="0C2ED664" w:rsidR="00C619A7" w:rsidRPr="00640AC4" w:rsidRDefault="00C619A7" w:rsidP="00C619A7">
      <w:pPr>
        <w:spacing w:after="0"/>
        <w:jc w:val="both"/>
        <w:rPr>
          <w:rFonts w:ascii="Verdana" w:eastAsia="Calibri" w:hAnsi="Verdana" w:cs="Arial"/>
          <w:bCs/>
          <w:sz w:val="20"/>
          <w:szCs w:val="20"/>
        </w:rPr>
      </w:pPr>
      <w:r w:rsidRPr="00640AC4">
        <w:rPr>
          <w:rFonts w:ascii="Verdana" w:eastAsia="Calibri" w:hAnsi="Verdana" w:cs="Arial"/>
          <w:bCs/>
          <w:sz w:val="20"/>
          <w:szCs w:val="20"/>
        </w:rPr>
        <w:t xml:space="preserve">[…] </w:t>
      </w:r>
      <w:r w:rsidR="00B000B6" w:rsidRPr="00B000B6">
        <w:rPr>
          <w:rFonts w:ascii="Verdana" w:eastAsia="Calibri" w:hAnsi="Verdana" w:cs="Arial"/>
          <w:bCs/>
          <w:sz w:val="20"/>
          <w:szCs w:val="20"/>
        </w:rPr>
        <w:t>El deber de publicidad de los documentos expedidos en virtud de la actividad contractual que se desprende del artículo 3 de la Ley 1150 de 2007, se encuentra reglamentado en el artículo 2.2.1.1.1.7.1. del Decreto 1082 de 2015. Este precepto establece los documentos que se deben publicar y al SECOP como medio de publicación, lo que permite controlar las actuaciones y decisiones de la Administración y el cumplimiento de los demás principios de la contratación pública.</w:t>
      </w:r>
      <w:r w:rsidRPr="00640AC4">
        <w:rPr>
          <w:rFonts w:ascii="Verdana" w:eastAsia="Calibri" w:hAnsi="Verdana" w:cs="Arial"/>
          <w:bCs/>
          <w:sz w:val="20"/>
          <w:szCs w:val="20"/>
        </w:rPr>
        <w:t xml:space="preserve"> </w:t>
      </w:r>
    </w:p>
    <w:p w14:paraId="464E746B" w14:textId="77777777" w:rsidR="00C619A7" w:rsidRDefault="00C619A7" w:rsidP="00C619A7">
      <w:pPr>
        <w:spacing w:after="0"/>
        <w:jc w:val="both"/>
        <w:rPr>
          <w:rFonts w:ascii="Verdana" w:eastAsia="Calibri" w:hAnsi="Verdana" w:cs="Arial"/>
          <w:b/>
          <w:bCs/>
          <w:sz w:val="20"/>
          <w:szCs w:val="20"/>
          <w:lang w:val="es-MX"/>
        </w:rPr>
      </w:pPr>
    </w:p>
    <w:p w14:paraId="6821D4CA" w14:textId="6D1636AD" w:rsidR="00C619A7" w:rsidRDefault="00B000B6" w:rsidP="00C619A7">
      <w:pPr>
        <w:spacing w:after="0"/>
        <w:jc w:val="both"/>
        <w:rPr>
          <w:rFonts w:ascii="Verdana" w:eastAsia="Calibri" w:hAnsi="Verdana" w:cs="Arial"/>
          <w:b/>
          <w:bCs/>
          <w:sz w:val="20"/>
          <w:szCs w:val="20"/>
          <w:lang w:val="es-MX"/>
        </w:rPr>
      </w:pPr>
      <w:r w:rsidRPr="00B000B6">
        <w:rPr>
          <w:rFonts w:ascii="Verdana" w:eastAsia="Calibri" w:hAnsi="Verdana" w:cs="Arial"/>
          <w:b/>
          <w:bCs/>
          <w:sz w:val="20"/>
          <w:szCs w:val="20"/>
          <w:lang w:val="es-MX"/>
        </w:rPr>
        <w:t>DOCUMENTOS DEL PROCESO – Noción – Deber de publicación – Proceso de contratación</w:t>
      </w:r>
    </w:p>
    <w:p w14:paraId="3CC59F9F" w14:textId="77777777" w:rsidR="00B000B6" w:rsidRDefault="00B000B6" w:rsidP="00C619A7">
      <w:pPr>
        <w:spacing w:after="0"/>
        <w:jc w:val="both"/>
        <w:rPr>
          <w:rFonts w:ascii="Verdana" w:eastAsia="Calibri" w:hAnsi="Verdana" w:cs="Arial"/>
          <w:bCs/>
          <w:sz w:val="20"/>
          <w:szCs w:val="20"/>
        </w:rPr>
      </w:pPr>
    </w:p>
    <w:p w14:paraId="7C3472D6" w14:textId="77777777" w:rsidR="00B000B6" w:rsidRDefault="00C619A7" w:rsidP="00B000B6">
      <w:pPr>
        <w:spacing w:after="0"/>
        <w:jc w:val="both"/>
        <w:rPr>
          <w:rFonts w:ascii="Verdana" w:eastAsia="Calibri" w:hAnsi="Verdana" w:cs="Arial"/>
          <w:bCs/>
          <w:sz w:val="20"/>
          <w:szCs w:val="20"/>
        </w:rPr>
      </w:pPr>
      <w:r w:rsidRPr="00640AC4">
        <w:rPr>
          <w:rFonts w:ascii="Verdana" w:eastAsia="Calibri" w:hAnsi="Verdana" w:cs="Arial"/>
          <w:bCs/>
          <w:sz w:val="20"/>
          <w:szCs w:val="20"/>
        </w:rPr>
        <w:t xml:space="preserve">[…] </w:t>
      </w:r>
      <w:r w:rsidR="00B000B6" w:rsidRPr="00B000B6">
        <w:rPr>
          <w:rFonts w:ascii="Verdana" w:eastAsia="Calibri" w:hAnsi="Verdana" w:cs="Arial"/>
          <w:bCs/>
          <w:sz w:val="20"/>
          <w:szCs w:val="20"/>
        </w:rPr>
        <w:t xml:space="preserve">Ahora bien, las entidades estatales, conforme al artículo 2.2.1.1.1.7.1. del Decreto 1082 de 2015, tienen la obligación de publicar en el SECOP “[…] los Documentos del Proceso y los actos administrativos del Proceso de Contratación, dentro de los tres (3) días siguientes a su expedición […]”. </w:t>
      </w:r>
    </w:p>
    <w:p w14:paraId="33DB34C1" w14:textId="77777777" w:rsidR="00B000B6" w:rsidRPr="00B000B6" w:rsidRDefault="00B000B6" w:rsidP="00B000B6">
      <w:pPr>
        <w:spacing w:after="0"/>
        <w:jc w:val="both"/>
        <w:rPr>
          <w:rFonts w:ascii="Verdana" w:eastAsia="Calibri" w:hAnsi="Verdana" w:cs="Arial"/>
          <w:bCs/>
          <w:sz w:val="20"/>
          <w:szCs w:val="20"/>
        </w:rPr>
      </w:pPr>
    </w:p>
    <w:p w14:paraId="74ED3474" w14:textId="7B83A860" w:rsidR="00C619A7" w:rsidRDefault="00B000B6" w:rsidP="00B000B6">
      <w:pPr>
        <w:spacing w:after="0"/>
        <w:jc w:val="both"/>
        <w:rPr>
          <w:rFonts w:ascii="Verdana" w:eastAsia="Calibri" w:hAnsi="Verdana" w:cs="Arial"/>
          <w:bCs/>
          <w:sz w:val="20"/>
          <w:szCs w:val="20"/>
        </w:rPr>
      </w:pPr>
      <w:r w:rsidRPr="00B000B6">
        <w:rPr>
          <w:rFonts w:ascii="Verdana" w:eastAsia="Calibri" w:hAnsi="Verdana" w:cs="Arial"/>
          <w:bCs/>
          <w:sz w:val="20"/>
          <w:szCs w:val="20"/>
        </w:rPr>
        <w:t>La expresión Documentos del Proceso está definida en el artículo 2.2.1.1.1.3.1. del Decreto 1082 de 2015, donde se establece que: “[…]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4B0235A2" w14:textId="77777777" w:rsidR="00C619A7" w:rsidRDefault="00C619A7" w:rsidP="00C619A7">
      <w:pPr>
        <w:spacing w:after="0"/>
        <w:jc w:val="both"/>
        <w:rPr>
          <w:rFonts w:ascii="Verdana" w:eastAsia="Calibri" w:hAnsi="Verdana" w:cs="Arial"/>
          <w:bCs/>
          <w:sz w:val="20"/>
          <w:szCs w:val="20"/>
        </w:rPr>
      </w:pPr>
    </w:p>
    <w:p w14:paraId="3917DA1B" w14:textId="77777777" w:rsidR="004D41CF" w:rsidRPr="004D41CF" w:rsidRDefault="004D41CF" w:rsidP="004D41CF">
      <w:pPr>
        <w:spacing w:after="0"/>
        <w:jc w:val="both"/>
        <w:rPr>
          <w:rFonts w:ascii="Verdana" w:eastAsia="Calibri" w:hAnsi="Verdana" w:cs="Arial"/>
          <w:b/>
          <w:bCs/>
          <w:sz w:val="20"/>
          <w:szCs w:val="20"/>
          <w:lang w:val="es-MX"/>
        </w:rPr>
      </w:pPr>
      <w:r w:rsidRPr="004D41CF">
        <w:rPr>
          <w:rFonts w:ascii="Verdana" w:eastAsia="Calibri" w:hAnsi="Verdana" w:cs="Arial"/>
          <w:b/>
          <w:bCs/>
          <w:sz w:val="20"/>
          <w:szCs w:val="20"/>
          <w:lang w:val="es-MX"/>
        </w:rPr>
        <w:t xml:space="preserve">SECOP – Publicación – Contratos sin erogación presupuestal </w:t>
      </w:r>
    </w:p>
    <w:p w14:paraId="2F4CDC10" w14:textId="77777777" w:rsidR="004D41CF" w:rsidRDefault="004D41CF" w:rsidP="004D41CF">
      <w:pPr>
        <w:spacing w:after="0"/>
        <w:jc w:val="both"/>
        <w:rPr>
          <w:rFonts w:ascii="Verdana" w:eastAsia="Calibri" w:hAnsi="Verdana" w:cs="Arial"/>
          <w:bCs/>
          <w:sz w:val="20"/>
          <w:szCs w:val="20"/>
        </w:rPr>
      </w:pPr>
    </w:p>
    <w:p w14:paraId="07C50F0D" w14:textId="382645B4" w:rsidR="004D41CF" w:rsidRDefault="004D41CF" w:rsidP="004D41CF">
      <w:pPr>
        <w:spacing w:after="0"/>
        <w:jc w:val="both"/>
        <w:rPr>
          <w:rFonts w:ascii="Verdana" w:eastAsia="Calibri" w:hAnsi="Verdana" w:cs="Arial"/>
          <w:bCs/>
          <w:sz w:val="20"/>
          <w:szCs w:val="20"/>
        </w:rPr>
      </w:pPr>
      <w:r w:rsidRPr="004D41CF">
        <w:rPr>
          <w:rFonts w:ascii="Verdana" w:eastAsia="Calibri" w:hAnsi="Verdana" w:cs="Arial"/>
          <w:bCs/>
          <w:sz w:val="20"/>
          <w:szCs w:val="20"/>
        </w:rPr>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w:t>
      </w:r>
    </w:p>
    <w:p w14:paraId="38BD381E" w14:textId="77777777" w:rsidR="004D41CF" w:rsidRPr="004D41CF" w:rsidRDefault="004D41CF" w:rsidP="004D41CF">
      <w:pPr>
        <w:spacing w:after="0"/>
        <w:jc w:val="both"/>
        <w:rPr>
          <w:rFonts w:ascii="Verdana" w:eastAsia="Calibri" w:hAnsi="Verdana" w:cs="Arial"/>
          <w:bCs/>
          <w:sz w:val="20"/>
          <w:szCs w:val="20"/>
        </w:rPr>
      </w:pPr>
    </w:p>
    <w:p w14:paraId="2DDF0DF6" w14:textId="7296712B" w:rsidR="004D41CF" w:rsidRPr="004D41CF" w:rsidRDefault="004D41CF" w:rsidP="004D41CF">
      <w:pPr>
        <w:spacing w:after="0"/>
        <w:jc w:val="both"/>
        <w:rPr>
          <w:rFonts w:ascii="Verdana" w:eastAsia="Calibri" w:hAnsi="Verdana" w:cs="Arial"/>
          <w:bCs/>
          <w:sz w:val="20"/>
          <w:szCs w:val="20"/>
        </w:rPr>
      </w:pPr>
      <w:r w:rsidRPr="004D41CF">
        <w:rPr>
          <w:rFonts w:ascii="Verdana" w:eastAsia="Calibri" w:hAnsi="Verdana" w:cs="Arial"/>
          <w:bCs/>
          <w:sz w:val="20"/>
          <w:szCs w:val="20"/>
        </w:rPr>
        <w:lastRenderedPageBreak/>
        <w:t>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 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pos</w:t>
      </w:r>
      <w:r>
        <w:rPr>
          <w:rFonts w:ascii="Verdana" w:eastAsia="Calibri" w:hAnsi="Verdana" w:cs="Arial"/>
          <w:bCs/>
          <w:sz w:val="20"/>
          <w:szCs w:val="20"/>
        </w:rPr>
        <w:t>t-</w:t>
      </w:r>
      <w:r w:rsidRPr="004D41CF">
        <w:rPr>
          <w:rFonts w:ascii="Verdana" w:eastAsia="Calibri" w:hAnsi="Verdana" w:cs="Arial"/>
          <w:bCs/>
          <w:sz w:val="20"/>
          <w:szCs w:val="20"/>
        </w:rPr>
        <w:t xml:space="preserve">contractual de las entidades, sin que pueda existir una interpretación diferente, debido a la finalidad de la ley respecto de la ciudadanía y su derecho a conocer las decisiones de la Administración pública. </w:t>
      </w:r>
    </w:p>
    <w:p w14:paraId="602451BF" w14:textId="77777777" w:rsidR="004D41CF" w:rsidRDefault="004D41CF" w:rsidP="004D41CF">
      <w:pPr>
        <w:spacing w:after="0"/>
        <w:jc w:val="both"/>
        <w:rPr>
          <w:rFonts w:ascii="Verdana" w:eastAsia="Calibri" w:hAnsi="Verdana" w:cs="Arial"/>
          <w:b/>
          <w:bCs/>
          <w:sz w:val="20"/>
          <w:szCs w:val="20"/>
          <w:lang w:val="es-MX"/>
        </w:rPr>
      </w:pPr>
    </w:p>
    <w:p w14:paraId="3E64F151" w14:textId="664780C7" w:rsidR="004D41CF" w:rsidRPr="004D41CF" w:rsidRDefault="004D41CF" w:rsidP="004D41CF">
      <w:pPr>
        <w:spacing w:after="0"/>
        <w:jc w:val="both"/>
        <w:rPr>
          <w:rFonts w:ascii="Verdana" w:eastAsia="Calibri" w:hAnsi="Verdana" w:cs="Arial"/>
          <w:b/>
          <w:bCs/>
          <w:sz w:val="20"/>
          <w:szCs w:val="20"/>
          <w:lang w:val="es-MX"/>
        </w:rPr>
      </w:pPr>
      <w:r w:rsidRPr="004D41CF">
        <w:rPr>
          <w:rFonts w:ascii="Verdana" w:eastAsia="Calibri" w:hAnsi="Verdana" w:cs="Arial"/>
          <w:b/>
          <w:bCs/>
          <w:sz w:val="20"/>
          <w:szCs w:val="20"/>
          <w:lang w:val="es-MX"/>
        </w:rPr>
        <w:t xml:space="preserve">SECOP – Publicación – Régimen aplicable – Contratos – Comodato </w:t>
      </w:r>
    </w:p>
    <w:p w14:paraId="7047378F" w14:textId="77777777" w:rsidR="004D41CF" w:rsidRDefault="004D41CF" w:rsidP="004D41CF">
      <w:pPr>
        <w:spacing w:after="0"/>
        <w:jc w:val="both"/>
        <w:rPr>
          <w:rFonts w:ascii="Arial" w:eastAsia="Calibri" w:hAnsi="Arial" w:cs="Arial"/>
          <w:sz w:val="20"/>
          <w:szCs w:val="20"/>
          <w:lang w:val="es-MX"/>
        </w:rPr>
      </w:pPr>
    </w:p>
    <w:p w14:paraId="7C3D34FB" w14:textId="6907EE20" w:rsidR="004D41CF" w:rsidRDefault="004D41CF" w:rsidP="004D41CF">
      <w:pPr>
        <w:spacing w:after="0"/>
        <w:jc w:val="both"/>
        <w:rPr>
          <w:rFonts w:ascii="Verdana" w:eastAsia="Calibri" w:hAnsi="Verdana" w:cs="Arial"/>
          <w:bCs/>
          <w:sz w:val="20"/>
          <w:szCs w:val="20"/>
        </w:rPr>
      </w:pPr>
      <w:r w:rsidRPr="004D41CF">
        <w:rPr>
          <w:rFonts w:ascii="Verdana" w:eastAsia="Calibri" w:hAnsi="Verdana" w:cs="Arial"/>
          <w:bCs/>
          <w:sz w:val="20"/>
          <w:szCs w:val="20"/>
        </w:rPr>
        <w:t>[La] publicidad de los contratos estatales debe realizarse a través de SECOP, independientemente de cual sea 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w:t>
      </w:r>
    </w:p>
    <w:p w14:paraId="3BADA1BD" w14:textId="77777777" w:rsidR="004D41CF" w:rsidRPr="004D41CF" w:rsidRDefault="004D41CF" w:rsidP="004D41CF">
      <w:pPr>
        <w:spacing w:after="0"/>
        <w:jc w:val="both"/>
        <w:rPr>
          <w:rFonts w:ascii="Verdana" w:eastAsia="Calibri" w:hAnsi="Verdana" w:cs="Arial"/>
          <w:bCs/>
          <w:sz w:val="20"/>
          <w:szCs w:val="20"/>
        </w:rPr>
      </w:pPr>
    </w:p>
    <w:p w14:paraId="53268941" w14:textId="77777777" w:rsidR="004D41CF" w:rsidRDefault="004D41CF" w:rsidP="004D41CF">
      <w:pPr>
        <w:spacing w:after="0"/>
        <w:jc w:val="both"/>
        <w:rPr>
          <w:rFonts w:ascii="Verdana" w:eastAsia="Calibri" w:hAnsi="Verdana" w:cs="Arial"/>
          <w:bCs/>
          <w:sz w:val="20"/>
          <w:szCs w:val="20"/>
        </w:rPr>
      </w:pPr>
      <w:r w:rsidRPr="004D41CF">
        <w:rPr>
          <w:rFonts w:ascii="Verdana" w:eastAsia="Calibri" w:hAnsi="Verdana" w:cs="Arial"/>
          <w:bCs/>
          <w:sz w:val="20"/>
          <w:szCs w:val="20"/>
        </w:rPr>
        <w:t>De acuerdo con lo anterior, las entidades estatales están obligadas a publicar en el SECOP I sus actuaciones contractuales. En el caso de las entidades incluidas en el Anexo 1 de la Circular No. 01 de 2019, la obligación de dar publicidad a la contratación implica realizar la gestión contractual a través del SECOP II, plataforma de naturaleza transaccional en la que el proceso de formación del contrato y su suscripción suceden de forma electrónica, dándose publicidad a cada actuación conforme se va produciendo, sin que sea necesario adelantar el proceso en medio físico, ni realizar publicaciones adicionales.</w:t>
      </w:r>
    </w:p>
    <w:p w14:paraId="3EF8AEBE" w14:textId="77777777" w:rsidR="004D41CF" w:rsidRDefault="004D41CF" w:rsidP="004D41CF">
      <w:pPr>
        <w:spacing w:after="0"/>
        <w:jc w:val="both"/>
        <w:rPr>
          <w:rFonts w:ascii="Verdana" w:eastAsia="Calibri" w:hAnsi="Verdana" w:cs="Arial"/>
          <w:bCs/>
          <w:sz w:val="20"/>
          <w:szCs w:val="20"/>
        </w:rPr>
      </w:pPr>
    </w:p>
    <w:p w14:paraId="76B75C18" w14:textId="77777777" w:rsidR="004D41CF" w:rsidRDefault="004D41CF" w:rsidP="004D41CF">
      <w:pPr>
        <w:spacing w:after="0"/>
        <w:jc w:val="both"/>
        <w:rPr>
          <w:rFonts w:ascii="Verdana" w:eastAsia="Calibri" w:hAnsi="Verdana" w:cs="Arial"/>
          <w:bCs/>
          <w:sz w:val="20"/>
          <w:szCs w:val="20"/>
        </w:rPr>
      </w:pPr>
    </w:p>
    <w:p w14:paraId="1C5D8981" w14:textId="77777777" w:rsidR="004D41CF" w:rsidRDefault="004D41CF" w:rsidP="004D41CF">
      <w:pPr>
        <w:spacing w:after="0"/>
        <w:jc w:val="both"/>
        <w:rPr>
          <w:rFonts w:ascii="Verdana" w:eastAsia="Calibri" w:hAnsi="Verdana" w:cs="Arial"/>
          <w:bCs/>
          <w:sz w:val="20"/>
          <w:szCs w:val="20"/>
        </w:rPr>
      </w:pPr>
    </w:p>
    <w:p w14:paraId="45D7E25C" w14:textId="77777777" w:rsidR="004D41CF" w:rsidRDefault="004D41CF" w:rsidP="004D41CF">
      <w:pPr>
        <w:spacing w:after="0"/>
        <w:jc w:val="both"/>
        <w:rPr>
          <w:rFonts w:ascii="Verdana" w:eastAsia="Calibri" w:hAnsi="Verdana" w:cs="Arial"/>
          <w:bCs/>
          <w:sz w:val="20"/>
          <w:szCs w:val="20"/>
        </w:rPr>
      </w:pPr>
    </w:p>
    <w:p w14:paraId="3B932491" w14:textId="77777777" w:rsidR="004D41CF" w:rsidRDefault="004D41CF" w:rsidP="004D41CF">
      <w:pPr>
        <w:spacing w:after="0"/>
        <w:jc w:val="both"/>
        <w:rPr>
          <w:rFonts w:ascii="Verdana" w:eastAsia="Calibri" w:hAnsi="Verdana" w:cs="Arial"/>
          <w:bCs/>
          <w:sz w:val="20"/>
          <w:szCs w:val="20"/>
        </w:rPr>
      </w:pPr>
    </w:p>
    <w:p w14:paraId="5DE8D46F" w14:textId="77777777" w:rsidR="004D41CF" w:rsidRDefault="004D41CF" w:rsidP="004D41CF">
      <w:pPr>
        <w:spacing w:after="0"/>
        <w:jc w:val="both"/>
        <w:rPr>
          <w:rFonts w:ascii="Verdana" w:eastAsia="Calibri" w:hAnsi="Verdana" w:cs="Arial"/>
          <w:bCs/>
          <w:sz w:val="20"/>
          <w:szCs w:val="20"/>
        </w:rPr>
      </w:pPr>
    </w:p>
    <w:p w14:paraId="21B19ADD" w14:textId="77777777" w:rsidR="004D41CF" w:rsidRPr="004D41CF" w:rsidRDefault="004D41CF" w:rsidP="004D41CF">
      <w:pPr>
        <w:spacing w:after="0"/>
        <w:jc w:val="both"/>
        <w:rPr>
          <w:rFonts w:ascii="Verdana" w:eastAsia="Calibri" w:hAnsi="Verdana" w:cs="Arial"/>
          <w:bCs/>
          <w:sz w:val="20"/>
          <w:szCs w:val="20"/>
        </w:rPr>
      </w:pPr>
    </w:p>
    <w:p w14:paraId="086C5710" w14:textId="77777777" w:rsidR="004D41CF" w:rsidRPr="009E2E5B" w:rsidRDefault="004D41CF" w:rsidP="004D41CF">
      <w:pPr>
        <w:widowControl w:val="0"/>
        <w:autoSpaceDE w:val="0"/>
        <w:autoSpaceDN w:val="0"/>
        <w:spacing w:before="94"/>
        <w:ind w:right="533"/>
        <w:jc w:val="both"/>
        <w:rPr>
          <w:rFonts w:ascii="Arial" w:eastAsia="Arial MT" w:hAnsi="Arial MT" w:cs="Arial MT"/>
          <w:b/>
          <w:color w:val="585858"/>
          <w:sz w:val="18"/>
          <w:lang w:val="es-MX"/>
        </w:rPr>
      </w:pPr>
    </w:p>
    <w:p w14:paraId="7E20AE1A" w14:textId="77777777" w:rsidR="00C619A7" w:rsidRDefault="00C619A7" w:rsidP="00C619A7">
      <w:pPr>
        <w:spacing w:after="0" w:line="240" w:lineRule="auto"/>
        <w:rPr>
          <w:rFonts w:ascii="Verdana" w:eastAsia="Times New Roman" w:hAnsi="Verdana" w:cs="Arial"/>
          <w:lang w:eastAsia="es-ES_tradnl"/>
        </w:rPr>
      </w:pPr>
    </w:p>
    <w:p w14:paraId="46C407DE" w14:textId="77777777" w:rsidR="00C619A7" w:rsidRPr="005B7C42" w:rsidRDefault="00C619A7" w:rsidP="00C619A7">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696EA331" w14:textId="77777777" w:rsidR="00C619A7" w:rsidRPr="005B7C42" w:rsidRDefault="00C619A7" w:rsidP="00C619A7">
      <w:pPr>
        <w:spacing w:after="0" w:line="240" w:lineRule="auto"/>
        <w:rPr>
          <w:rFonts w:ascii="Verdana" w:eastAsia="Times New Roman" w:hAnsi="Verdana" w:cs="Arial"/>
          <w:lang w:eastAsia="es-ES_tradnl"/>
        </w:rPr>
      </w:pPr>
    </w:p>
    <w:p w14:paraId="54777CF2" w14:textId="14D0E276" w:rsidR="00C619A7" w:rsidRPr="005B7C42" w:rsidRDefault="00012E3A" w:rsidP="00C619A7">
      <w:pPr>
        <w:spacing w:after="0" w:line="240" w:lineRule="auto"/>
        <w:jc w:val="right"/>
        <w:rPr>
          <w:rFonts w:ascii="Verdana" w:eastAsia="Times New Roman" w:hAnsi="Verdana" w:cs="Arial"/>
          <w:lang w:eastAsia="es-ES_tradnl"/>
        </w:rPr>
      </w:pPr>
      <w:r w:rsidRPr="00012E3A">
        <w:rPr>
          <w:rFonts w:ascii="Verdana" w:eastAsia="Times New Roman" w:hAnsi="Verdana" w:cs="Arial"/>
          <w:lang w:eastAsia="es-ES_tradnl"/>
        </w:rPr>
        <w:drawing>
          <wp:inline distT="0" distB="0" distL="0" distR="0" wp14:anchorId="2C8C9526" wp14:editId="776D0F16">
            <wp:extent cx="3361910" cy="1008040"/>
            <wp:effectExtent l="0" t="0" r="0" b="1905"/>
            <wp:docPr id="332710331"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710331" name="Imagen 1" descr="Texto&#10;&#10;El contenido generado por IA puede ser incorrecto."/>
                    <pic:cNvPicPr/>
                  </pic:nvPicPr>
                  <pic:blipFill>
                    <a:blip r:embed="rId10"/>
                    <a:stretch>
                      <a:fillRect/>
                    </a:stretch>
                  </pic:blipFill>
                  <pic:spPr>
                    <a:xfrm>
                      <a:off x="0" y="0"/>
                      <a:ext cx="3370824" cy="1010713"/>
                    </a:xfrm>
                    <a:prstGeom prst="rect">
                      <a:avLst/>
                    </a:prstGeom>
                  </pic:spPr>
                </pic:pic>
              </a:graphicData>
            </a:graphic>
          </wp:inline>
        </w:drawing>
      </w:r>
    </w:p>
    <w:p w14:paraId="07012A35" w14:textId="77777777" w:rsidR="00C619A7" w:rsidRPr="005B7C42" w:rsidRDefault="00C619A7" w:rsidP="00C619A7">
      <w:pPr>
        <w:spacing w:after="0" w:line="240" w:lineRule="auto"/>
        <w:jc w:val="right"/>
        <w:rPr>
          <w:rFonts w:ascii="Verdana" w:eastAsia="Times New Roman" w:hAnsi="Verdana" w:cs="Arial"/>
          <w:lang w:eastAsia="es-ES_tradnl"/>
        </w:rPr>
      </w:pPr>
    </w:p>
    <w:p w14:paraId="52BCE202" w14:textId="6EB0148D" w:rsidR="00C619A7" w:rsidRPr="005B7C42" w:rsidRDefault="00C619A7" w:rsidP="00C619A7">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sidR="001B44D8">
        <w:rPr>
          <w:rFonts w:ascii="Verdana" w:eastAsia="Calibri" w:hAnsi="Verdana" w:cs="Arial"/>
          <w:lang w:eastAsia="es-ES_tradnl"/>
        </w:rPr>
        <w:t>a</w:t>
      </w:r>
    </w:p>
    <w:p w14:paraId="07E5CC16" w14:textId="0C8F0EEE" w:rsidR="001B44D8" w:rsidRPr="001B44D8" w:rsidRDefault="001B44D8" w:rsidP="001B44D8">
      <w:pPr>
        <w:spacing w:after="0" w:line="240" w:lineRule="auto"/>
        <w:rPr>
          <w:rFonts w:ascii="Verdana" w:eastAsia="Calibri" w:hAnsi="Verdana" w:cs="Arial"/>
          <w:b/>
          <w:bCs/>
          <w:lang w:val="pt-BR" w:eastAsia="es-ES_tradnl"/>
        </w:rPr>
      </w:pPr>
      <w:r w:rsidRPr="001B44D8">
        <w:rPr>
          <w:rFonts w:ascii="Verdana" w:eastAsia="Calibri" w:hAnsi="Verdana" w:cs="Arial"/>
          <w:b/>
          <w:bCs/>
          <w:lang w:val="pt-BR" w:eastAsia="es-ES_tradnl"/>
        </w:rPr>
        <w:t>Paula Andrea Carvajal Díaz</w:t>
      </w:r>
    </w:p>
    <w:p w14:paraId="6BAEB595" w14:textId="14538C34" w:rsidR="00C619A7" w:rsidRPr="001B44D8" w:rsidRDefault="00F91666" w:rsidP="00C619A7">
      <w:pPr>
        <w:spacing w:after="0" w:line="240" w:lineRule="auto"/>
        <w:rPr>
          <w:rFonts w:ascii="Verdana" w:eastAsia="Calibri" w:hAnsi="Verdana" w:cs="Arial"/>
          <w:lang w:val="pt-BR" w:eastAsia="es-ES_tradnl"/>
        </w:rPr>
      </w:pPr>
      <w:hyperlink r:id="rId11" w:history="1">
        <w:r w:rsidRPr="001D0AAD">
          <w:rPr>
            <w:rStyle w:val="Hipervnculo"/>
            <w:rFonts w:ascii="Verdana" w:eastAsia="Calibri" w:hAnsi="Verdana" w:cs="Arial"/>
            <w:lang w:val="pt-BR" w:eastAsia="es-ES_tradnl"/>
          </w:rPr>
          <w:t>paulacarvajalpacd@gmail.com</w:t>
        </w:r>
      </w:hyperlink>
      <w:r>
        <w:rPr>
          <w:rFonts w:ascii="Verdana" w:eastAsia="Calibri" w:hAnsi="Verdana" w:cs="Arial"/>
          <w:lang w:val="pt-BR" w:eastAsia="es-ES_tradnl"/>
        </w:rPr>
        <w:t xml:space="preserve"> </w:t>
      </w:r>
      <w:r w:rsidR="00C619A7" w:rsidRPr="001B44D8">
        <w:rPr>
          <w:rFonts w:ascii="Verdana" w:eastAsia="Calibri" w:hAnsi="Verdana" w:cs="Arial"/>
          <w:lang w:val="pt-BR" w:eastAsia="es-ES_tradnl"/>
        </w:rPr>
        <w:t xml:space="preserve">  </w:t>
      </w:r>
    </w:p>
    <w:p w14:paraId="2879187B" w14:textId="3F7CFF0E" w:rsidR="00C619A7" w:rsidRPr="005B7C42" w:rsidRDefault="00F91666" w:rsidP="00C619A7">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48ACEA32" w14:textId="77777777" w:rsidR="00C619A7" w:rsidRPr="005B7C42" w:rsidRDefault="00C619A7" w:rsidP="00C619A7">
      <w:pPr>
        <w:spacing w:after="0" w:line="240" w:lineRule="auto"/>
        <w:rPr>
          <w:rFonts w:ascii="Verdana" w:eastAsia="Calibri" w:hAnsi="Verdana" w:cs="Arial"/>
          <w:lang w:eastAsia="es-ES_tradnl"/>
        </w:rPr>
      </w:pPr>
    </w:p>
    <w:p w14:paraId="2CA14CE4" w14:textId="49E5D40C" w:rsidR="00C619A7" w:rsidRPr="005B7C42" w:rsidRDefault="00C619A7" w:rsidP="00C619A7">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w:t>
      </w:r>
      <w:r>
        <w:rPr>
          <w:rFonts w:ascii="Verdana" w:eastAsia="Calibri" w:hAnsi="Verdana" w:cs="Arial"/>
          <w:b/>
          <w:bCs/>
          <w:lang w:eastAsia="es-ES_tradnl"/>
        </w:rPr>
        <w:t>0</w:t>
      </w:r>
      <w:r w:rsidR="003E1031">
        <w:rPr>
          <w:rFonts w:ascii="Verdana" w:eastAsia="Calibri" w:hAnsi="Verdana" w:cs="Arial"/>
          <w:b/>
          <w:bCs/>
          <w:lang w:eastAsia="es-ES_tradnl"/>
        </w:rPr>
        <w:t xml:space="preserve">80 </w:t>
      </w:r>
      <w:r w:rsidRPr="005B7C42">
        <w:rPr>
          <w:rFonts w:ascii="Verdana" w:eastAsia="Calibri" w:hAnsi="Verdana" w:cs="Arial"/>
          <w:b/>
          <w:bCs/>
          <w:lang w:eastAsia="es-ES_tradnl"/>
        </w:rPr>
        <w:t>de 202</w:t>
      </w:r>
      <w:r>
        <w:rPr>
          <w:rFonts w:ascii="Verdana" w:eastAsia="Calibri" w:hAnsi="Verdana" w:cs="Arial"/>
          <w:b/>
          <w:bCs/>
          <w:lang w:eastAsia="es-ES_tradnl"/>
        </w:rPr>
        <w:t>5</w:t>
      </w:r>
    </w:p>
    <w:p w14:paraId="430FA0AB" w14:textId="77777777" w:rsidR="00C619A7" w:rsidRPr="005B7C42" w:rsidRDefault="00C619A7" w:rsidP="00C619A7">
      <w:pPr>
        <w:spacing w:after="0" w:line="240" w:lineRule="auto"/>
        <w:jc w:val="both"/>
        <w:rPr>
          <w:rFonts w:ascii="Verdana" w:eastAsia="Calibri" w:hAnsi="Verdana" w:cs="Arial"/>
          <w:lang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C619A7" w:rsidRPr="005B7C42" w14:paraId="4BF1F6F1" w14:textId="77777777" w:rsidTr="00DC099B">
        <w:trPr>
          <w:trHeight w:val="1122"/>
          <w:jc w:val="right"/>
        </w:trPr>
        <w:tc>
          <w:tcPr>
            <w:tcW w:w="2688" w:type="dxa"/>
          </w:tcPr>
          <w:p w14:paraId="499391CB" w14:textId="77777777" w:rsidR="00C619A7" w:rsidRPr="005B7C42" w:rsidRDefault="00C619A7" w:rsidP="00DC099B">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3D4CF223" w14:textId="50F7846F" w:rsidR="00C619A7" w:rsidRPr="00270604" w:rsidRDefault="008347E4" w:rsidP="00DC099B">
            <w:pPr>
              <w:jc w:val="both"/>
              <w:rPr>
                <w:rFonts w:ascii="Verdana" w:eastAsia="Times New Roman" w:hAnsi="Verdana" w:cs="Arial"/>
                <w:lang w:val="es-MX" w:eastAsia="es-ES_tradnl"/>
              </w:rPr>
            </w:pPr>
            <w:r w:rsidRPr="00EA4DA0">
              <w:rPr>
                <w:rFonts w:ascii="Verdana" w:eastAsia="Calibri" w:hAnsi="Verdana" w:cs="Arial"/>
                <w:color w:val="000000"/>
                <w:kern w:val="2"/>
                <w14:ligatures w14:val="standardContextual"/>
              </w:rPr>
              <w:t>PRINCIPIO DE PUBLICIDAD – Noción / SECOP – Publicación – Documentos / DOCUMENTOS DEL PROCESO – Noción – Deber de publicación – Proceso de contratación</w:t>
            </w:r>
            <w:r>
              <w:rPr>
                <w:rFonts w:ascii="Verdana" w:eastAsia="Calibri" w:hAnsi="Verdana" w:cs="Arial"/>
                <w:color w:val="000000"/>
                <w:kern w:val="2"/>
                <w14:ligatures w14:val="standardContextual"/>
              </w:rPr>
              <w:t xml:space="preserve"> / </w:t>
            </w:r>
            <w:r w:rsidR="004D41CF" w:rsidRPr="004D41CF">
              <w:rPr>
                <w:rFonts w:ascii="Verdana" w:eastAsia="Calibri" w:hAnsi="Verdana" w:cs="Arial"/>
                <w:color w:val="000000"/>
                <w:kern w:val="2"/>
                <w14:ligatures w14:val="standardContextual"/>
              </w:rPr>
              <w:t>SECOP – Publicación – Contratos sin erogación presupuestal</w:t>
            </w:r>
            <w:r w:rsidR="004D41CF">
              <w:rPr>
                <w:rFonts w:ascii="Verdana" w:eastAsia="Calibri" w:hAnsi="Verdana" w:cs="Arial"/>
                <w:color w:val="000000"/>
                <w:kern w:val="2"/>
                <w14:ligatures w14:val="standardContextual"/>
              </w:rPr>
              <w:t xml:space="preserve"> / </w:t>
            </w:r>
            <w:r w:rsidR="004D41CF" w:rsidRPr="004D41CF">
              <w:rPr>
                <w:rFonts w:ascii="Verdana" w:eastAsia="Calibri" w:hAnsi="Verdana" w:cs="Arial"/>
                <w:color w:val="000000"/>
                <w:kern w:val="2"/>
                <w14:ligatures w14:val="standardContextual"/>
              </w:rPr>
              <w:t>SECOP – Publicación – Régimen aplicable – Contratos – Comodato</w:t>
            </w:r>
          </w:p>
        </w:tc>
      </w:tr>
      <w:tr w:rsidR="00C619A7" w:rsidRPr="005B7C42" w14:paraId="27BBA8F2" w14:textId="77777777" w:rsidTr="00DC099B">
        <w:trPr>
          <w:jc w:val="right"/>
        </w:trPr>
        <w:tc>
          <w:tcPr>
            <w:tcW w:w="2688" w:type="dxa"/>
          </w:tcPr>
          <w:p w14:paraId="1C9B474E" w14:textId="77777777" w:rsidR="00C619A7" w:rsidRPr="005B7C42" w:rsidRDefault="00C619A7" w:rsidP="00DC099B">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0C0B4751" w14:textId="6FBC7A01" w:rsidR="00C619A7" w:rsidRPr="005B7C42" w:rsidRDefault="00C619A7" w:rsidP="00DC099B">
            <w:pPr>
              <w:jc w:val="both"/>
              <w:rPr>
                <w:rFonts w:ascii="Verdana" w:eastAsia="Calibri" w:hAnsi="Verdana" w:cs="Arial"/>
                <w:lang w:eastAsia="es-ES_tradnl"/>
              </w:rPr>
            </w:pPr>
            <w:r w:rsidRPr="005B7C42">
              <w:rPr>
                <w:rFonts w:ascii="Verdana" w:eastAsia="Calibri" w:hAnsi="Verdana" w:cs="Arial"/>
                <w:lang w:eastAsia="es-ES_tradnl"/>
              </w:rPr>
              <w:t>Respuesta a consulta radicado</w:t>
            </w:r>
            <w:r>
              <w:rPr>
                <w:rFonts w:ascii="Verdana" w:eastAsia="Calibri" w:hAnsi="Verdana" w:cs="Arial"/>
                <w:lang w:eastAsia="es-ES_tradnl"/>
              </w:rPr>
              <w:t>s</w:t>
            </w:r>
            <w:r w:rsidRPr="005B7C42">
              <w:rPr>
                <w:rFonts w:ascii="Verdana" w:eastAsia="Calibri" w:hAnsi="Verdana" w:cs="Arial"/>
                <w:lang w:eastAsia="es-ES_tradnl"/>
              </w:rPr>
              <w:t xml:space="preserve"> No. </w:t>
            </w:r>
            <w:r w:rsidR="003E1031" w:rsidRPr="003E1031">
              <w:rPr>
                <w:rFonts w:ascii="Verdana" w:eastAsia="Calibri" w:hAnsi="Verdana" w:cs="Arial"/>
                <w:lang w:eastAsia="es-ES_tradnl"/>
              </w:rPr>
              <w:t>P20250124000615</w:t>
            </w:r>
          </w:p>
        </w:tc>
      </w:tr>
    </w:tbl>
    <w:p w14:paraId="654D206E" w14:textId="77777777" w:rsidR="00C619A7" w:rsidRPr="005B7C42" w:rsidRDefault="00C619A7" w:rsidP="00C619A7">
      <w:pPr>
        <w:spacing w:after="0" w:line="240" w:lineRule="auto"/>
        <w:jc w:val="both"/>
        <w:rPr>
          <w:rFonts w:ascii="Verdana" w:eastAsia="Calibri" w:hAnsi="Verdana" w:cs="Arial"/>
          <w:lang w:eastAsia="es-ES_tradnl"/>
        </w:rPr>
      </w:pPr>
    </w:p>
    <w:p w14:paraId="5AE217F7" w14:textId="77777777" w:rsidR="00C619A7" w:rsidRPr="005B7C42" w:rsidRDefault="00C619A7" w:rsidP="00C619A7">
      <w:pPr>
        <w:spacing w:after="0" w:line="240" w:lineRule="auto"/>
        <w:jc w:val="both"/>
        <w:rPr>
          <w:rFonts w:ascii="Verdana" w:eastAsia="Calibri" w:hAnsi="Verdana" w:cs="Arial"/>
          <w:lang w:eastAsia="es-ES_tradnl"/>
        </w:rPr>
      </w:pPr>
    </w:p>
    <w:p w14:paraId="2EBE502C" w14:textId="2F8F3297" w:rsidR="00C619A7" w:rsidRPr="005B7C42" w:rsidRDefault="00C619A7" w:rsidP="00C619A7">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sidR="003E1031">
        <w:rPr>
          <w:rFonts w:ascii="Verdana" w:eastAsia="Calibri" w:hAnsi="Verdana" w:cs="Arial"/>
          <w:lang w:eastAsia="es-ES_tradnl"/>
        </w:rPr>
        <w:t>a</w:t>
      </w:r>
      <w:r>
        <w:rPr>
          <w:rFonts w:ascii="Verdana" w:eastAsia="Calibri" w:hAnsi="Verdana" w:cs="Arial"/>
          <w:lang w:eastAsia="es-ES_tradnl"/>
        </w:rPr>
        <w:t xml:space="preserve"> señor</w:t>
      </w:r>
      <w:r w:rsidR="003E1031">
        <w:rPr>
          <w:rFonts w:ascii="Verdana" w:eastAsia="Calibri" w:hAnsi="Verdana" w:cs="Arial"/>
          <w:lang w:eastAsia="es-ES_tradnl"/>
        </w:rPr>
        <w:t>a</w:t>
      </w:r>
      <w:r>
        <w:rPr>
          <w:rFonts w:ascii="Verdana" w:eastAsia="Calibri" w:hAnsi="Verdana" w:cs="Arial"/>
          <w:lang w:eastAsia="es-ES_tradnl"/>
        </w:rPr>
        <w:t xml:space="preserve"> </w:t>
      </w:r>
      <w:r w:rsidR="003E1031">
        <w:rPr>
          <w:rFonts w:ascii="Verdana" w:eastAsia="Calibri" w:hAnsi="Verdana" w:cs="Arial"/>
          <w:lang w:eastAsia="es-ES_tradnl"/>
        </w:rPr>
        <w:t>Carvajal Díaz</w:t>
      </w:r>
      <w:r w:rsidRPr="005B7C42">
        <w:rPr>
          <w:rFonts w:ascii="Verdana" w:eastAsia="Calibri" w:hAnsi="Verdana" w:cs="Arial"/>
          <w:bCs/>
          <w:lang w:eastAsia="es-ES_tradnl"/>
        </w:rPr>
        <w:t>,</w:t>
      </w:r>
      <w:r>
        <w:rPr>
          <w:rFonts w:ascii="Verdana" w:eastAsia="Calibri" w:hAnsi="Verdana" w:cs="Arial"/>
          <w:bCs/>
          <w:lang w:eastAsia="es-ES_tradnl"/>
        </w:rPr>
        <w:t xml:space="preserve"> </w:t>
      </w:r>
    </w:p>
    <w:p w14:paraId="561681F9" w14:textId="77777777" w:rsidR="00C619A7" w:rsidRPr="005B7C42" w:rsidRDefault="00C619A7" w:rsidP="00C619A7">
      <w:pPr>
        <w:spacing w:after="0" w:line="276" w:lineRule="auto"/>
        <w:contextualSpacing/>
        <w:jc w:val="both"/>
        <w:rPr>
          <w:rFonts w:ascii="Verdana" w:eastAsia="Calibri" w:hAnsi="Verdana" w:cs="Arial"/>
          <w:lang w:eastAsia="es-ES_tradnl"/>
        </w:rPr>
      </w:pPr>
    </w:p>
    <w:p w14:paraId="38850D11" w14:textId="6E5C0D5C" w:rsidR="00C619A7" w:rsidRDefault="00C619A7" w:rsidP="00C619A7">
      <w:pPr>
        <w:spacing w:after="0" w:line="276" w:lineRule="auto"/>
        <w:jc w:val="both"/>
        <w:rPr>
          <w:rFonts w:ascii="Verdana" w:eastAsia="Calibri" w:hAnsi="Verdana" w:cs="Arial"/>
          <w:lang w:eastAsia="es-ES_tradnl"/>
        </w:rPr>
      </w:pPr>
      <w:r w:rsidRPr="005B7C42">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w:t>
      </w:r>
      <w:r w:rsidR="00C00233">
        <w:rPr>
          <w:rFonts w:ascii="Verdana" w:eastAsia="Calibri" w:hAnsi="Verdana" w:cs="Arial"/>
          <w:lang w:eastAsia="es-ES_tradnl"/>
        </w:rPr>
        <w:t>su</w:t>
      </w:r>
      <w:r w:rsidRPr="005B7C42">
        <w:rPr>
          <w:rFonts w:ascii="Verdana" w:eastAsia="Calibri" w:hAnsi="Verdana" w:cs="Arial"/>
          <w:lang w:eastAsia="es-ES_tradnl"/>
        </w:rPr>
        <w:t xml:space="preserve"> consulta </w:t>
      </w:r>
      <w:r w:rsidR="00C00233">
        <w:rPr>
          <w:rFonts w:ascii="Verdana" w:eastAsia="Calibri" w:hAnsi="Verdana" w:cs="Arial"/>
          <w:lang w:eastAsia="es-ES_tradnl"/>
        </w:rPr>
        <w:t xml:space="preserve">presentada el 24 </w:t>
      </w:r>
      <w:r w:rsidRPr="005B7C42">
        <w:rPr>
          <w:rFonts w:ascii="Verdana" w:eastAsia="Calibri" w:hAnsi="Verdana" w:cs="Arial"/>
          <w:lang w:eastAsia="es-ES_tradnl"/>
        </w:rPr>
        <w:t xml:space="preserve">de </w:t>
      </w:r>
      <w:r>
        <w:rPr>
          <w:rFonts w:ascii="Verdana" w:eastAsia="Calibri" w:hAnsi="Verdana" w:cs="Arial"/>
          <w:lang w:eastAsia="es-ES_tradnl"/>
        </w:rPr>
        <w:t>enero</w:t>
      </w:r>
      <w:r w:rsidRPr="005B7C42">
        <w:rPr>
          <w:rFonts w:ascii="Verdana" w:eastAsia="Calibri" w:hAnsi="Verdana" w:cs="Arial"/>
          <w:lang w:eastAsia="es-ES_tradnl"/>
        </w:rPr>
        <w:t xml:space="preserve"> de 202</w:t>
      </w:r>
      <w:r>
        <w:rPr>
          <w:rFonts w:ascii="Verdana" w:eastAsia="Calibri" w:hAnsi="Verdana" w:cs="Arial"/>
          <w:lang w:eastAsia="es-ES_tradnl"/>
        </w:rPr>
        <w:t>5</w:t>
      </w:r>
      <w:r w:rsidRPr="005B7C42">
        <w:rPr>
          <w:rFonts w:ascii="Verdana" w:eastAsia="Calibri" w:hAnsi="Verdana" w:cs="Arial"/>
          <w:lang w:eastAsia="es-ES_tradnl"/>
        </w:rPr>
        <w:t xml:space="preserve">, </w:t>
      </w:r>
      <w:r w:rsidR="00E228E7">
        <w:rPr>
          <w:rFonts w:ascii="Verdana" w:eastAsia="Calibri" w:hAnsi="Verdana" w:cs="Arial"/>
          <w:lang w:eastAsia="es-ES_tradnl"/>
        </w:rPr>
        <w:t>formulada en los siguientes términos</w:t>
      </w:r>
      <w:r>
        <w:rPr>
          <w:rFonts w:ascii="Verdana" w:eastAsia="Calibri" w:hAnsi="Verdana" w:cs="Arial"/>
          <w:lang w:eastAsia="es-ES_tradnl"/>
        </w:rPr>
        <w:t>:</w:t>
      </w:r>
    </w:p>
    <w:p w14:paraId="63531652" w14:textId="77777777" w:rsidR="00C619A7" w:rsidRDefault="00C619A7" w:rsidP="00C619A7">
      <w:pPr>
        <w:spacing w:after="0" w:line="276" w:lineRule="auto"/>
        <w:jc w:val="both"/>
        <w:rPr>
          <w:rFonts w:ascii="Verdana" w:eastAsia="Calibri" w:hAnsi="Verdana" w:cs="Arial"/>
          <w:lang w:eastAsia="es-ES_tradnl"/>
        </w:rPr>
      </w:pPr>
    </w:p>
    <w:p w14:paraId="058C3D21" w14:textId="77777777" w:rsidR="00C619A7" w:rsidRDefault="00C619A7" w:rsidP="00C619A7">
      <w:pPr>
        <w:spacing w:after="120" w:line="240" w:lineRule="auto"/>
        <w:ind w:left="709" w:right="709"/>
        <w:jc w:val="both"/>
        <w:rPr>
          <w:rFonts w:ascii="Verdana" w:eastAsia="Times New Roman" w:hAnsi="Verdana" w:cs="Arial"/>
          <w:iCs/>
          <w:sz w:val="20"/>
          <w:szCs w:val="20"/>
          <w:lang w:eastAsia="es-ES_tradnl"/>
        </w:rPr>
      </w:pPr>
      <w:r w:rsidRPr="004E1A87">
        <w:rPr>
          <w:rFonts w:ascii="Verdana" w:eastAsia="Times New Roman" w:hAnsi="Verdana" w:cs="Arial"/>
          <w:iCs/>
          <w:sz w:val="20"/>
          <w:szCs w:val="20"/>
          <w:lang w:eastAsia="es-ES_tradnl"/>
        </w:rPr>
        <w:t>“</w:t>
      </w:r>
      <w:r>
        <w:rPr>
          <w:rFonts w:ascii="Verdana" w:eastAsia="Times New Roman" w:hAnsi="Verdana" w:cs="Arial"/>
          <w:iCs/>
          <w:sz w:val="20"/>
          <w:szCs w:val="20"/>
          <w:lang w:eastAsia="es-ES_tradnl"/>
        </w:rPr>
        <w:t>[…]</w:t>
      </w:r>
    </w:p>
    <w:p w14:paraId="1427ED54" w14:textId="1C0837AD" w:rsidR="00DF784D" w:rsidRPr="00DF784D" w:rsidRDefault="00DF784D" w:rsidP="00DF784D">
      <w:pPr>
        <w:spacing w:after="120" w:line="240" w:lineRule="auto"/>
        <w:ind w:left="709" w:right="709"/>
        <w:jc w:val="both"/>
        <w:rPr>
          <w:rFonts w:ascii="Verdana" w:eastAsia="Times New Roman" w:hAnsi="Verdana" w:cs="Arial"/>
          <w:iCs/>
          <w:sz w:val="20"/>
          <w:szCs w:val="20"/>
          <w:lang w:eastAsia="es-ES_tradnl"/>
        </w:rPr>
      </w:pPr>
      <w:r w:rsidRPr="00DF784D">
        <w:rPr>
          <w:rFonts w:ascii="Verdana" w:eastAsia="Times New Roman" w:hAnsi="Verdana" w:cs="Arial"/>
          <w:iCs/>
          <w:sz w:val="20"/>
          <w:szCs w:val="20"/>
          <w:lang w:eastAsia="es-ES_tradnl"/>
        </w:rPr>
        <w:t>1) Se solicita informar si el contrato de comodato CD-COM-DATT-OO1-2024 de la Alcaldía de Cartagena se encuentra publicado en SECOP?</w:t>
      </w:r>
    </w:p>
    <w:p w14:paraId="53DE03B4" w14:textId="2E81C489" w:rsidR="00DF784D" w:rsidRPr="00DF784D" w:rsidRDefault="00DF784D" w:rsidP="00DF784D">
      <w:pPr>
        <w:spacing w:after="120" w:line="240" w:lineRule="auto"/>
        <w:ind w:left="709" w:right="709"/>
        <w:jc w:val="both"/>
        <w:rPr>
          <w:rFonts w:ascii="Verdana" w:eastAsia="Times New Roman" w:hAnsi="Verdana" w:cs="Arial"/>
          <w:iCs/>
          <w:sz w:val="20"/>
          <w:szCs w:val="20"/>
          <w:lang w:eastAsia="es-ES_tradnl"/>
        </w:rPr>
      </w:pPr>
      <w:r w:rsidRPr="00DF784D">
        <w:rPr>
          <w:rFonts w:ascii="Verdana" w:eastAsia="Times New Roman" w:hAnsi="Verdana" w:cs="Arial"/>
          <w:iCs/>
          <w:sz w:val="20"/>
          <w:szCs w:val="20"/>
          <w:lang w:eastAsia="es-ES_tradnl"/>
        </w:rPr>
        <w:t>2) Se solicita informar si existe alguna norma legal de contratación pública que permita a una entidad pública del orden Municipal el no publicar contratos de comodato en SECOP que otras entidades del mismo orden si publican?</w:t>
      </w:r>
    </w:p>
    <w:p w14:paraId="62E4CE65" w14:textId="3EF46E24" w:rsidR="00DF784D" w:rsidRPr="00DF784D" w:rsidRDefault="00DF784D" w:rsidP="00DF784D">
      <w:pPr>
        <w:spacing w:after="120" w:line="240" w:lineRule="auto"/>
        <w:ind w:left="709" w:right="709"/>
        <w:jc w:val="both"/>
        <w:rPr>
          <w:rFonts w:ascii="Verdana" w:eastAsia="Times New Roman" w:hAnsi="Verdana" w:cs="Arial"/>
          <w:iCs/>
          <w:sz w:val="20"/>
          <w:szCs w:val="20"/>
          <w:lang w:eastAsia="es-ES_tradnl"/>
        </w:rPr>
      </w:pPr>
      <w:r w:rsidRPr="00DF784D">
        <w:rPr>
          <w:rFonts w:ascii="Verdana" w:eastAsia="Times New Roman" w:hAnsi="Verdana" w:cs="Arial"/>
          <w:iCs/>
          <w:sz w:val="20"/>
          <w:szCs w:val="20"/>
          <w:lang w:eastAsia="es-ES_tradnl"/>
        </w:rPr>
        <w:lastRenderedPageBreak/>
        <w:t>3) Se solicita informar si existe alguna norma legal de contratación pública que permita a una entidad pública del orden Municipal suscribir un contrato de comodato sin los respectivos estudios previos?</w:t>
      </w:r>
    </w:p>
    <w:p w14:paraId="6A49A628" w14:textId="2A55D050" w:rsidR="00C619A7" w:rsidRPr="004E1A87" w:rsidRDefault="00DF784D" w:rsidP="00C619A7">
      <w:pPr>
        <w:spacing w:after="120" w:line="240" w:lineRule="auto"/>
        <w:ind w:left="709" w:right="709"/>
        <w:jc w:val="both"/>
        <w:rPr>
          <w:rFonts w:ascii="Verdana" w:eastAsia="Times New Roman" w:hAnsi="Verdana" w:cs="Arial"/>
          <w:i/>
          <w:sz w:val="20"/>
          <w:szCs w:val="20"/>
          <w:lang w:eastAsia="es-ES_tradnl"/>
        </w:rPr>
      </w:pPr>
      <w:r w:rsidRPr="00DF784D">
        <w:rPr>
          <w:rFonts w:ascii="Verdana" w:eastAsia="Times New Roman" w:hAnsi="Verdana" w:cs="Arial"/>
          <w:iCs/>
          <w:sz w:val="20"/>
          <w:szCs w:val="20"/>
          <w:lang w:eastAsia="es-ES_tradnl"/>
        </w:rPr>
        <w:t>4) Se solicita informar si existe alguna norma legal de contratación pública que permita a una entidad pública del orden Municipal suscribir un contrato sin indicar la fecha de la firma del contrato, la fecha de inicio del contrato y la fecha de terminación del contrato.</w:t>
      </w:r>
      <w:r w:rsidR="00C619A7" w:rsidRPr="004E1A87">
        <w:rPr>
          <w:rFonts w:ascii="Verdana" w:eastAsia="Times New Roman" w:hAnsi="Verdana" w:cs="Arial"/>
          <w:iCs/>
          <w:sz w:val="20"/>
          <w:szCs w:val="20"/>
          <w:lang w:eastAsia="es-ES_tradnl"/>
        </w:rPr>
        <w:t>” [SIC].</w:t>
      </w:r>
    </w:p>
    <w:p w14:paraId="26784AA3" w14:textId="77777777" w:rsidR="00C619A7" w:rsidRPr="005B7C42" w:rsidRDefault="00C619A7" w:rsidP="00C619A7">
      <w:pPr>
        <w:spacing w:after="0" w:line="240" w:lineRule="auto"/>
        <w:ind w:left="709" w:right="709"/>
        <w:jc w:val="both"/>
        <w:rPr>
          <w:rFonts w:ascii="Verdana" w:eastAsia="Times New Roman" w:hAnsi="Verdana" w:cs="Arial"/>
          <w:i/>
          <w:lang w:eastAsia="es-ES_tradnl"/>
        </w:rPr>
      </w:pPr>
    </w:p>
    <w:p w14:paraId="6FD41D96" w14:textId="77777777" w:rsidR="00C619A7" w:rsidRPr="005B7C42" w:rsidRDefault="00C619A7" w:rsidP="00C619A7">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3780038C" w14:textId="77777777" w:rsidR="00C619A7" w:rsidRPr="005B7C42" w:rsidRDefault="00C619A7" w:rsidP="00C619A7">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w:t>
      </w:r>
      <w:r>
        <w:rPr>
          <w:rFonts w:ascii="Verdana" w:eastAsia="Calibri" w:hAnsi="Verdana" w:cs="Arial"/>
          <w:lang w:eastAsia="es-ES"/>
        </w:rPr>
        <w:t xml:space="preserve">esto es, </w:t>
      </w:r>
      <w:r w:rsidRPr="0099654F">
        <w:rPr>
          <w:rFonts w:ascii="Verdana" w:eastAsia="Calibri" w:hAnsi="Verdana" w:cs="Arial"/>
          <w:lang w:eastAsia="es-ES"/>
        </w:rPr>
        <w:t xml:space="preserve">haciendo abstracción de las circunstancias particulares y concretas mencionadas en su petición, </w:t>
      </w:r>
      <w:r>
        <w:rPr>
          <w:rFonts w:ascii="Verdana" w:eastAsia="Calibri" w:hAnsi="Verdana" w:cs="Arial"/>
          <w:lang w:eastAsia="es-ES"/>
        </w:rPr>
        <w:t>pero exponiendo algunas</w:t>
      </w:r>
      <w:r w:rsidRPr="005B7C42">
        <w:rPr>
          <w:rFonts w:ascii="Verdana" w:eastAsia="Calibri" w:hAnsi="Verdana" w:cs="Arial"/>
          <w:lang w:eastAsia="es-ES"/>
        </w:rPr>
        <w:t xml:space="preserve"> consideraciones sobre las normas generales relacionadas con el problema jurídico de su consulta. </w:t>
      </w:r>
    </w:p>
    <w:p w14:paraId="4514D5AB" w14:textId="77777777" w:rsidR="00C619A7" w:rsidRPr="005B7C42" w:rsidRDefault="00C619A7" w:rsidP="00C619A7">
      <w:pPr>
        <w:spacing w:after="0" w:line="276" w:lineRule="auto"/>
        <w:contextualSpacing/>
        <w:jc w:val="both"/>
        <w:rPr>
          <w:rFonts w:ascii="Verdana" w:eastAsia="Times New Roman" w:hAnsi="Verdana" w:cs="Arial"/>
          <w:szCs w:val="24"/>
          <w:lang w:eastAsia="es-ES_tradnl"/>
        </w:rPr>
      </w:pPr>
    </w:p>
    <w:p w14:paraId="4B55E9B8" w14:textId="77777777" w:rsidR="00C619A7" w:rsidRPr="005B7C42" w:rsidRDefault="00C619A7" w:rsidP="00C619A7">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39F42790" w14:textId="77777777" w:rsidR="00C619A7" w:rsidRPr="005B7C42" w:rsidRDefault="00C619A7" w:rsidP="00C619A7">
      <w:pPr>
        <w:tabs>
          <w:tab w:val="left" w:pos="0"/>
          <w:tab w:val="left" w:pos="284"/>
        </w:tabs>
        <w:spacing w:after="0" w:line="276" w:lineRule="auto"/>
        <w:contextualSpacing/>
        <w:jc w:val="both"/>
        <w:rPr>
          <w:rFonts w:ascii="Verdana" w:eastAsia="Calibri" w:hAnsi="Verdana" w:cs="Arial"/>
          <w:b/>
        </w:rPr>
      </w:pPr>
    </w:p>
    <w:p w14:paraId="669E927B" w14:textId="77777777" w:rsidR="00C619A7" w:rsidRDefault="00C619A7" w:rsidP="00C619A7">
      <w:pPr>
        <w:spacing w:after="0" w:line="276" w:lineRule="auto"/>
        <w:jc w:val="both"/>
        <w:rPr>
          <w:rFonts w:ascii="Verdana" w:hAnsi="Verdana"/>
        </w:rPr>
      </w:pPr>
      <w:r w:rsidRPr="0079666E">
        <w:rPr>
          <w:rFonts w:ascii="Verdana" w:hAnsi="Verdana"/>
        </w:rPr>
        <w:t xml:space="preserve">De acuerdo con el contenido de su solicitud, esta Agencia resolverá el </w:t>
      </w:r>
      <w:r>
        <w:rPr>
          <w:rFonts w:ascii="Verdana" w:hAnsi="Verdana"/>
        </w:rPr>
        <w:t>interrogante</w:t>
      </w:r>
      <w:r w:rsidRPr="0079666E">
        <w:rPr>
          <w:rFonts w:ascii="Verdana" w:hAnsi="Verdana"/>
        </w:rPr>
        <w:t>:</w:t>
      </w:r>
      <w:r>
        <w:rPr>
          <w:rFonts w:ascii="Verdana" w:hAnsi="Verdana"/>
        </w:rPr>
        <w:t xml:space="preserve"> </w:t>
      </w:r>
    </w:p>
    <w:p w14:paraId="6C666A59" w14:textId="77777777" w:rsidR="00C619A7" w:rsidRDefault="00C619A7" w:rsidP="00C619A7">
      <w:pPr>
        <w:spacing w:after="0" w:line="276" w:lineRule="auto"/>
        <w:jc w:val="both"/>
        <w:rPr>
          <w:rFonts w:ascii="Verdana" w:hAnsi="Verdana"/>
        </w:rPr>
      </w:pPr>
    </w:p>
    <w:p w14:paraId="49E328B2" w14:textId="6AE52D85" w:rsidR="00C619A7" w:rsidRDefault="00C619A7" w:rsidP="008458FD">
      <w:pPr>
        <w:spacing w:after="0" w:line="276" w:lineRule="auto"/>
        <w:jc w:val="both"/>
        <w:rPr>
          <w:rFonts w:ascii="Verdana" w:hAnsi="Verdana"/>
        </w:rPr>
      </w:pPr>
      <w:r>
        <w:rPr>
          <w:rFonts w:ascii="Verdana" w:hAnsi="Verdana"/>
        </w:rPr>
        <w:t xml:space="preserve">1. </w:t>
      </w:r>
      <w:r w:rsidR="008458FD">
        <w:rPr>
          <w:rFonts w:ascii="Verdana" w:hAnsi="Verdana"/>
        </w:rPr>
        <w:t>¿</w:t>
      </w:r>
      <w:r w:rsidR="00DF2B4A">
        <w:rPr>
          <w:rFonts w:ascii="Verdana" w:hAnsi="Verdana"/>
        </w:rPr>
        <w:t xml:space="preserve">Cuál es el procedimiento </w:t>
      </w:r>
      <w:r w:rsidR="00657F63">
        <w:rPr>
          <w:rFonts w:ascii="Verdana" w:hAnsi="Verdana"/>
        </w:rPr>
        <w:t>para consultar</w:t>
      </w:r>
      <w:r w:rsidR="00DF2B4A">
        <w:rPr>
          <w:rFonts w:ascii="Verdana" w:hAnsi="Verdana"/>
        </w:rPr>
        <w:t xml:space="preserve"> procesos de selección y contratos publicados en el SECOP</w:t>
      </w:r>
      <w:r w:rsidR="00BD7C3F">
        <w:rPr>
          <w:rFonts w:ascii="Verdana" w:hAnsi="Verdana"/>
        </w:rPr>
        <w:t xml:space="preserve"> (I y II)</w:t>
      </w:r>
      <w:r w:rsidR="00460E04">
        <w:rPr>
          <w:rFonts w:ascii="Verdana" w:hAnsi="Verdana"/>
        </w:rPr>
        <w:t xml:space="preserve"> que debe aplicar cualquier interesado en consultar</w:t>
      </w:r>
      <w:r w:rsidR="00BD7C3F">
        <w:rPr>
          <w:rFonts w:ascii="Verdana" w:hAnsi="Verdana"/>
        </w:rPr>
        <w:t>los</w:t>
      </w:r>
      <w:r w:rsidR="00DF2B4A">
        <w:rPr>
          <w:rFonts w:ascii="Verdana" w:hAnsi="Verdana"/>
        </w:rPr>
        <w:t>?</w:t>
      </w:r>
    </w:p>
    <w:p w14:paraId="0C6C586B" w14:textId="77777777" w:rsidR="00657F63" w:rsidRDefault="00657F63" w:rsidP="008458FD">
      <w:pPr>
        <w:spacing w:after="0" w:line="276" w:lineRule="auto"/>
        <w:jc w:val="both"/>
        <w:rPr>
          <w:rFonts w:ascii="Verdana" w:hAnsi="Verdana"/>
        </w:rPr>
      </w:pPr>
    </w:p>
    <w:p w14:paraId="25692102" w14:textId="0682F947" w:rsidR="00F2072F" w:rsidRDefault="00657F63" w:rsidP="00F2072F">
      <w:pPr>
        <w:spacing w:after="0" w:line="276" w:lineRule="auto"/>
        <w:jc w:val="both"/>
        <w:rPr>
          <w:rFonts w:ascii="Verdana" w:hAnsi="Verdana"/>
        </w:rPr>
      </w:pPr>
      <w:r>
        <w:rPr>
          <w:rFonts w:ascii="Verdana" w:hAnsi="Verdana"/>
        </w:rPr>
        <w:t xml:space="preserve">2. </w:t>
      </w:r>
      <w:r w:rsidR="00C804B4">
        <w:rPr>
          <w:rFonts w:ascii="Verdana" w:hAnsi="Verdana"/>
        </w:rPr>
        <w:t>¿</w:t>
      </w:r>
      <w:r w:rsidR="000C4C70">
        <w:rPr>
          <w:rFonts w:ascii="Verdana" w:hAnsi="Verdana"/>
        </w:rPr>
        <w:t xml:space="preserve">Qué tipo de </w:t>
      </w:r>
      <w:r w:rsidR="003F3CF7">
        <w:rPr>
          <w:rFonts w:ascii="Verdana" w:hAnsi="Verdana"/>
        </w:rPr>
        <w:t xml:space="preserve">información y qué </w:t>
      </w:r>
      <w:r w:rsidR="0037500B">
        <w:rPr>
          <w:rFonts w:ascii="Verdana" w:hAnsi="Verdana"/>
        </w:rPr>
        <w:t>contratos son los que, de conformidad con el marco normativo vigente, obliga a las entidades estatales sometidas al EGCAP a publicar en el SECOP</w:t>
      </w:r>
      <w:r w:rsidR="00F2072F">
        <w:rPr>
          <w:rFonts w:ascii="Verdana" w:hAnsi="Verdana"/>
        </w:rPr>
        <w:t>?</w:t>
      </w:r>
      <w:r w:rsidR="000A630A">
        <w:rPr>
          <w:rFonts w:ascii="Verdana" w:hAnsi="Verdana"/>
        </w:rPr>
        <w:t xml:space="preserve"> ¿Existe alguna excepción </w:t>
      </w:r>
      <w:r w:rsidR="0083043D">
        <w:rPr>
          <w:rFonts w:ascii="Verdana" w:hAnsi="Verdana"/>
        </w:rPr>
        <w:t xml:space="preserve">a la </w:t>
      </w:r>
      <w:r w:rsidR="00745AE1">
        <w:rPr>
          <w:rFonts w:ascii="Verdana" w:hAnsi="Verdana"/>
        </w:rPr>
        <w:t xml:space="preserve">exigencia de publicar dependiendo </w:t>
      </w:r>
      <w:r w:rsidR="000A630A">
        <w:rPr>
          <w:rFonts w:ascii="Verdana" w:hAnsi="Verdana"/>
        </w:rPr>
        <w:t>el tipo de contrato?</w:t>
      </w:r>
    </w:p>
    <w:p w14:paraId="22F4861D" w14:textId="77777777" w:rsidR="000A630A" w:rsidRDefault="000A630A" w:rsidP="00F2072F">
      <w:pPr>
        <w:spacing w:after="0" w:line="276" w:lineRule="auto"/>
        <w:jc w:val="both"/>
        <w:rPr>
          <w:rFonts w:ascii="Verdana" w:hAnsi="Verdana"/>
        </w:rPr>
      </w:pPr>
    </w:p>
    <w:p w14:paraId="68CBDF4E" w14:textId="77777777" w:rsidR="00C619A7" w:rsidRPr="005B7C42" w:rsidRDefault="00C619A7" w:rsidP="00C619A7">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7042A872" w14:textId="77777777" w:rsidR="00C619A7" w:rsidRPr="005B7C42" w:rsidRDefault="00C619A7" w:rsidP="00C619A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619A7" w:rsidRPr="005B7C42" w14:paraId="50E8C498" w14:textId="77777777" w:rsidTr="00DC099B">
        <w:tc>
          <w:tcPr>
            <w:tcW w:w="8828" w:type="dxa"/>
            <w:shd w:val="clear" w:color="auto" w:fill="auto"/>
          </w:tcPr>
          <w:p w14:paraId="5269E8D9" w14:textId="7E3C6E3B" w:rsidR="006E6936" w:rsidRDefault="00C619A7" w:rsidP="00DC099B">
            <w:pPr>
              <w:spacing w:after="120" w:line="276" w:lineRule="auto"/>
              <w:jc w:val="both"/>
              <w:rPr>
                <w:rFonts w:ascii="Verdana" w:eastAsia="Times New Roman" w:hAnsi="Verdana" w:cs="Arial"/>
                <w:lang w:eastAsia="es-ES"/>
                <w14:ligatures w14:val="standardContextual"/>
              </w:rPr>
            </w:pPr>
            <w:r w:rsidRPr="0095226C">
              <w:rPr>
                <w:rFonts w:ascii="Verdana" w:eastAsia="Times New Roman" w:hAnsi="Verdana" w:cs="Arial"/>
                <w:lang w:eastAsia="es-ES"/>
                <w14:ligatures w14:val="standardContextual"/>
              </w:rPr>
              <w:t>1.</w:t>
            </w:r>
            <w:r w:rsidR="0095226C" w:rsidRPr="0095226C">
              <w:rPr>
                <w:rFonts w:ascii="Verdana" w:eastAsia="Times New Roman" w:hAnsi="Verdana" w:cs="Arial"/>
                <w:lang w:eastAsia="es-ES"/>
                <w14:ligatures w14:val="standardContextual"/>
              </w:rPr>
              <w:t xml:space="preserve"> Tanto la plataforma SECOP I como la</w:t>
            </w:r>
            <w:r w:rsidR="0095226C">
              <w:rPr>
                <w:rFonts w:ascii="Verdana" w:eastAsia="Times New Roman" w:hAnsi="Verdana" w:cs="Arial"/>
                <w:lang w:eastAsia="es-ES"/>
                <w14:ligatures w14:val="standardContextual"/>
              </w:rPr>
              <w:t xml:space="preserve"> plataforma SECOP II permite</w:t>
            </w:r>
            <w:r w:rsidR="00E65991">
              <w:rPr>
                <w:rFonts w:ascii="Verdana" w:eastAsia="Times New Roman" w:hAnsi="Verdana" w:cs="Arial"/>
                <w:lang w:eastAsia="es-ES"/>
                <w14:ligatures w14:val="standardContextual"/>
              </w:rPr>
              <w:t>n</w:t>
            </w:r>
            <w:r w:rsidR="0095226C">
              <w:rPr>
                <w:rFonts w:ascii="Verdana" w:eastAsia="Times New Roman" w:hAnsi="Verdana" w:cs="Arial"/>
                <w:lang w:eastAsia="es-ES"/>
                <w14:ligatures w14:val="standardContextual"/>
              </w:rPr>
              <w:t xml:space="preserve"> que cualquier </w:t>
            </w:r>
            <w:r w:rsidR="009C34D8">
              <w:rPr>
                <w:rFonts w:ascii="Verdana" w:eastAsia="Times New Roman" w:hAnsi="Verdana" w:cs="Arial"/>
                <w:lang w:eastAsia="es-ES"/>
                <w14:ligatures w14:val="standardContextual"/>
              </w:rPr>
              <w:t xml:space="preserve">ciudadano interesado en consultar </w:t>
            </w:r>
            <w:r w:rsidR="00FC0620">
              <w:rPr>
                <w:rFonts w:ascii="Verdana" w:eastAsia="Times New Roman" w:hAnsi="Verdana" w:cs="Arial"/>
                <w:lang w:eastAsia="es-ES"/>
                <w14:ligatures w14:val="standardContextual"/>
              </w:rPr>
              <w:t>los documentos de la actividad contractual</w:t>
            </w:r>
            <w:r w:rsidR="00E65991">
              <w:rPr>
                <w:rFonts w:ascii="Verdana" w:eastAsia="Times New Roman" w:hAnsi="Verdana" w:cs="Arial"/>
                <w:lang w:eastAsia="es-ES"/>
                <w14:ligatures w14:val="standardContextual"/>
              </w:rPr>
              <w:t xml:space="preserve"> </w:t>
            </w:r>
            <w:r w:rsidR="00E32097">
              <w:rPr>
                <w:rFonts w:ascii="Verdana" w:eastAsia="Times New Roman" w:hAnsi="Verdana" w:cs="Arial"/>
                <w:lang w:eastAsia="es-ES"/>
                <w14:ligatures w14:val="standardContextual"/>
              </w:rPr>
              <w:t>puedan acceder desde la vista pública</w:t>
            </w:r>
            <w:r w:rsidR="00FC0620">
              <w:rPr>
                <w:rFonts w:ascii="Verdana" w:eastAsia="Times New Roman" w:hAnsi="Verdana" w:cs="Arial"/>
                <w:lang w:eastAsia="es-ES"/>
                <w14:ligatures w14:val="standardContextual"/>
              </w:rPr>
              <w:t>.</w:t>
            </w:r>
            <w:r w:rsidR="006E6936">
              <w:rPr>
                <w:rFonts w:ascii="Verdana" w:eastAsia="Times New Roman" w:hAnsi="Verdana" w:cs="Arial"/>
                <w:lang w:eastAsia="es-ES"/>
                <w14:ligatures w14:val="standardContextual"/>
              </w:rPr>
              <w:t xml:space="preserve"> </w:t>
            </w:r>
          </w:p>
          <w:p w14:paraId="0A802BAC" w14:textId="77777777" w:rsidR="00E958F7" w:rsidRDefault="006E6936" w:rsidP="00254FEE">
            <w:pPr>
              <w:spacing w:after="120" w:line="276" w:lineRule="auto"/>
              <w:ind w:firstLine="743"/>
              <w:jc w:val="both"/>
              <w:rPr>
                <w:rFonts w:ascii="Verdana" w:eastAsia="Times New Roman" w:hAnsi="Verdana" w:cs="Arial"/>
                <w:lang w:eastAsia="es-ES"/>
                <w14:ligatures w14:val="standardContextual"/>
              </w:rPr>
            </w:pPr>
            <w:r>
              <w:rPr>
                <w:rFonts w:ascii="Verdana" w:eastAsia="Times New Roman" w:hAnsi="Verdana" w:cs="Arial"/>
                <w:lang w:eastAsia="es-ES"/>
                <w14:ligatures w14:val="standardContextual"/>
              </w:rPr>
              <w:t xml:space="preserve">Para la consulta de la actividad contractual publicada en SECOP I, </w:t>
            </w:r>
            <w:r w:rsidR="00E958F7">
              <w:rPr>
                <w:rFonts w:ascii="Verdana" w:eastAsia="Times New Roman" w:hAnsi="Verdana" w:cs="Arial"/>
                <w:lang w:eastAsia="es-ES"/>
                <w14:ligatures w14:val="standardContextual"/>
              </w:rPr>
              <w:t>utilice el siguiente enlace:</w:t>
            </w:r>
          </w:p>
          <w:p w14:paraId="4EBC3431" w14:textId="77777777" w:rsidR="00ED5713" w:rsidRDefault="00ED5713" w:rsidP="00DC099B">
            <w:pPr>
              <w:spacing w:after="120" w:line="276" w:lineRule="auto"/>
              <w:jc w:val="both"/>
              <w:rPr>
                <w:rFonts w:ascii="Verdana" w:eastAsia="Times New Roman" w:hAnsi="Verdana" w:cs="Arial"/>
                <w:lang w:eastAsia="es-ES"/>
                <w14:ligatures w14:val="standardContextual"/>
              </w:rPr>
            </w:pPr>
            <w:hyperlink r:id="rId12" w:history="1">
              <w:r w:rsidRPr="001D0AAD">
                <w:rPr>
                  <w:rStyle w:val="Hipervnculo"/>
                  <w:rFonts w:ascii="Verdana" w:eastAsia="Times New Roman" w:hAnsi="Verdana" w:cs="Arial"/>
                  <w:lang w:eastAsia="es-ES"/>
                  <w14:ligatures w14:val="standardContextual"/>
                </w:rPr>
                <w:t>https://www.contratos.gov.co/consultas/inicioConsulta.do</w:t>
              </w:r>
            </w:hyperlink>
            <w:r>
              <w:rPr>
                <w:rFonts w:ascii="Verdana" w:eastAsia="Times New Roman" w:hAnsi="Verdana" w:cs="Arial"/>
                <w:lang w:eastAsia="es-ES"/>
                <w14:ligatures w14:val="standardContextual"/>
              </w:rPr>
              <w:t xml:space="preserve"> </w:t>
            </w:r>
          </w:p>
          <w:p w14:paraId="1D0CCF7D" w14:textId="0586F174" w:rsidR="00ED5713" w:rsidRDefault="00ED5713" w:rsidP="00254FEE">
            <w:pPr>
              <w:spacing w:after="120" w:line="276" w:lineRule="auto"/>
              <w:ind w:firstLine="743"/>
              <w:jc w:val="both"/>
              <w:rPr>
                <w:rFonts w:ascii="Verdana" w:eastAsia="Times New Roman" w:hAnsi="Verdana" w:cs="Arial"/>
                <w:lang w:eastAsia="es-ES"/>
                <w14:ligatures w14:val="standardContextual"/>
              </w:rPr>
            </w:pPr>
            <w:r>
              <w:rPr>
                <w:rFonts w:ascii="Verdana" w:eastAsia="Times New Roman" w:hAnsi="Verdana" w:cs="Arial"/>
                <w:lang w:eastAsia="es-ES"/>
                <w14:ligatures w14:val="standardContextual"/>
              </w:rPr>
              <w:t>Para la consulta de la actividad contractual publicada en SECOP II, utilice el siguiente enlace:</w:t>
            </w:r>
          </w:p>
          <w:p w14:paraId="324F963A" w14:textId="44513429" w:rsidR="00ED5713" w:rsidRDefault="00093C76" w:rsidP="00ED5713">
            <w:pPr>
              <w:spacing w:after="120" w:line="276" w:lineRule="auto"/>
              <w:jc w:val="both"/>
              <w:rPr>
                <w:rFonts w:ascii="Verdana" w:eastAsia="Times New Roman" w:hAnsi="Verdana" w:cs="Arial"/>
                <w:lang w:eastAsia="es-ES"/>
                <w14:ligatures w14:val="standardContextual"/>
              </w:rPr>
            </w:pPr>
            <w:hyperlink r:id="rId13" w:history="1">
              <w:r w:rsidRPr="001D0AAD">
                <w:rPr>
                  <w:rStyle w:val="Hipervnculo"/>
                  <w:rFonts w:ascii="Verdana" w:eastAsia="Times New Roman" w:hAnsi="Verdana" w:cs="Arial"/>
                  <w:lang w:eastAsia="es-ES"/>
                  <w14:ligatures w14:val="standardContextual"/>
                </w:rPr>
                <w:t>https://community.secop.gov.co/Public/Tendering/ContractNoticeManagement/Index?currentLanguage=es-CO&amp;Page=login&amp;Country=CO&amp;SkinName=CCE</w:t>
              </w:r>
            </w:hyperlink>
            <w:r>
              <w:rPr>
                <w:rFonts w:ascii="Verdana" w:eastAsia="Times New Roman" w:hAnsi="Verdana" w:cs="Arial"/>
                <w:lang w:eastAsia="es-ES"/>
                <w14:ligatures w14:val="standardContextual"/>
              </w:rPr>
              <w:t xml:space="preserve"> </w:t>
            </w:r>
          </w:p>
          <w:p w14:paraId="12B092DF" w14:textId="0BC4643D" w:rsidR="00093C76" w:rsidRDefault="008D0FA2" w:rsidP="00254FEE">
            <w:pPr>
              <w:spacing w:after="120" w:line="276" w:lineRule="auto"/>
              <w:ind w:firstLine="743"/>
              <w:jc w:val="both"/>
              <w:rPr>
                <w:rFonts w:ascii="Verdana" w:eastAsia="Times New Roman" w:hAnsi="Verdana" w:cs="Arial"/>
                <w:lang w:eastAsia="es-ES"/>
                <w14:ligatures w14:val="standardContextual"/>
              </w:rPr>
            </w:pPr>
            <w:r>
              <w:rPr>
                <w:rFonts w:ascii="Verdana" w:eastAsia="Times New Roman" w:hAnsi="Verdana" w:cs="Arial"/>
                <w:lang w:eastAsia="es-ES"/>
                <w14:ligatures w14:val="standardContextual"/>
              </w:rPr>
              <w:t xml:space="preserve">Adicionalmente, </w:t>
            </w:r>
            <w:r w:rsidR="00B34D80" w:rsidRPr="00B34D80">
              <w:rPr>
                <w:rFonts w:ascii="Verdana" w:eastAsia="Times New Roman" w:hAnsi="Verdana" w:cs="Arial"/>
                <w:lang w:eastAsia="es-ES"/>
                <w14:ligatures w14:val="standardContextual"/>
              </w:rPr>
              <w:t xml:space="preserve">en línea con la política pública de datos abiertos de Colombia liderada por el Ministerio de las Tecnologías de la Información y las Comunicaciones (MinTic) y con la iniciativa de la Alianza para las Contrataciones Abiertas (Open Contracting Partnership) </w:t>
            </w:r>
            <w:r w:rsidR="00A156A4">
              <w:rPr>
                <w:rFonts w:ascii="Verdana" w:eastAsia="Times New Roman" w:hAnsi="Verdana" w:cs="Arial"/>
                <w:lang w:eastAsia="es-ES"/>
                <w14:ligatures w14:val="standardContextual"/>
              </w:rPr>
              <w:t xml:space="preserve">esta Agencia puso </w:t>
            </w:r>
            <w:r w:rsidR="00B34D80" w:rsidRPr="00B34D80">
              <w:rPr>
                <w:rFonts w:ascii="Verdana" w:eastAsia="Times New Roman" w:hAnsi="Verdana" w:cs="Arial"/>
                <w:lang w:eastAsia="es-ES"/>
                <w14:ligatures w14:val="standardContextual"/>
              </w:rPr>
              <w:t>a disposición de los interesados el Manual de Datos Abiertos del Sistema Electrónico para la Contratación Pública -SECOP- con el objetivo de facilitar el análisis académico, de mercado o de control por parte de cualquier interesado en el Sistema de Compra Pública</w:t>
            </w:r>
            <w:r w:rsidR="00A156A4">
              <w:rPr>
                <w:rFonts w:ascii="Verdana" w:eastAsia="Times New Roman" w:hAnsi="Verdana" w:cs="Arial"/>
                <w:lang w:eastAsia="es-ES"/>
                <w14:ligatures w14:val="standardContextual"/>
              </w:rPr>
              <w:t>:</w:t>
            </w:r>
          </w:p>
          <w:p w14:paraId="2C46998C" w14:textId="7D8B0765" w:rsidR="00A156A4" w:rsidRDefault="00A156A4" w:rsidP="00ED5713">
            <w:pPr>
              <w:spacing w:after="120" w:line="276" w:lineRule="auto"/>
              <w:jc w:val="both"/>
              <w:rPr>
                <w:rFonts w:ascii="Verdana" w:eastAsia="Times New Roman" w:hAnsi="Verdana" w:cs="Arial"/>
                <w:lang w:eastAsia="es-ES"/>
                <w14:ligatures w14:val="standardContextual"/>
              </w:rPr>
            </w:pPr>
            <w:hyperlink r:id="rId14" w:history="1">
              <w:r w:rsidRPr="001D0AAD">
                <w:rPr>
                  <w:rStyle w:val="Hipervnculo"/>
                  <w:rFonts w:ascii="Verdana" w:eastAsia="Times New Roman" w:hAnsi="Verdana" w:cs="Arial"/>
                  <w:lang w:eastAsia="es-ES"/>
                  <w14:ligatures w14:val="standardContextual"/>
                </w:rPr>
                <w:t>https://www.colombiacompra.gov.co/sites/cce_public/files/files_2020/manual_de_datos_abiertos_actualizado.pdf</w:t>
              </w:r>
            </w:hyperlink>
            <w:r>
              <w:rPr>
                <w:rFonts w:ascii="Verdana" w:eastAsia="Times New Roman" w:hAnsi="Verdana" w:cs="Arial"/>
                <w:lang w:eastAsia="es-ES"/>
                <w14:ligatures w14:val="standardContextual"/>
              </w:rPr>
              <w:t xml:space="preserve"> </w:t>
            </w:r>
          </w:p>
          <w:p w14:paraId="318996B1" w14:textId="77777777" w:rsidR="00070A5E" w:rsidRDefault="00B90886" w:rsidP="00254FEE">
            <w:pPr>
              <w:spacing w:after="120" w:line="276" w:lineRule="auto"/>
              <w:ind w:firstLine="743"/>
              <w:jc w:val="both"/>
              <w:rPr>
                <w:rFonts w:ascii="Verdana" w:eastAsia="Times New Roman" w:hAnsi="Verdana" w:cs="Arial"/>
                <w:lang w:eastAsia="es-ES"/>
                <w14:ligatures w14:val="standardContextual"/>
              </w:rPr>
            </w:pPr>
            <w:r>
              <w:rPr>
                <w:rFonts w:ascii="Verdana" w:eastAsia="Times New Roman" w:hAnsi="Verdana" w:cs="Arial"/>
                <w:lang w:eastAsia="es-ES"/>
                <w14:ligatures w14:val="standardContextual"/>
              </w:rPr>
              <w:t xml:space="preserve">Ahora bien, con respecto al proceso de selección que usted cita en su consulta, al verificar </w:t>
            </w:r>
            <w:r w:rsidR="00EA2D18">
              <w:rPr>
                <w:rFonts w:ascii="Verdana" w:eastAsia="Times New Roman" w:hAnsi="Verdana" w:cs="Arial"/>
                <w:lang w:eastAsia="es-ES"/>
                <w14:ligatures w14:val="standardContextual"/>
              </w:rPr>
              <w:t>la información del SECOP que reposa en</w:t>
            </w:r>
            <w:r>
              <w:rPr>
                <w:rFonts w:ascii="Verdana" w:eastAsia="Times New Roman" w:hAnsi="Verdana" w:cs="Arial"/>
                <w:lang w:eastAsia="es-ES"/>
                <w14:ligatures w14:val="standardContextual"/>
              </w:rPr>
              <w:t xml:space="preserve"> </w:t>
            </w:r>
            <w:r w:rsidR="00EA2D18">
              <w:rPr>
                <w:rFonts w:ascii="Verdana" w:eastAsia="Times New Roman" w:hAnsi="Verdana" w:cs="Arial"/>
                <w:lang w:eastAsia="es-ES"/>
                <w14:ligatures w14:val="standardContextual"/>
              </w:rPr>
              <w:t>Datos Abiertos, identificamos que se encuentra publicado en la plataforma SECOP I</w:t>
            </w:r>
            <w:r w:rsidR="0057644D">
              <w:rPr>
                <w:rFonts w:ascii="Verdana" w:eastAsia="Times New Roman" w:hAnsi="Verdana" w:cs="Arial"/>
                <w:lang w:eastAsia="es-ES"/>
                <w14:ligatures w14:val="standardContextual"/>
              </w:rPr>
              <w:t xml:space="preserve">I el cual se encuentra en estado: </w:t>
            </w:r>
            <w:r w:rsidR="0057644D" w:rsidRPr="0057644D">
              <w:rPr>
                <w:rFonts w:ascii="Verdana" w:eastAsia="Times New Roman" w:hAnsi="Verdana" w:cs="Arial"/>
                <w:i/>
                <w:iCs/>
                <w:lang w:eastAsia="es-ES"/>
                <w14:ligatures w14:val="standardContextual"/>
              </w:rPr>
              <w:t>adjudicado y celebrado</w:t>
            </w:r>
            <w:r w:rsidR="0057644D">
              <w:rPr>
                <w:rFonts w:ascii="Verdana" w:eastAsia="Times New Roman" w:hAnsi="Verdana" w:cs="Arial"/>
                <w:i/>
                <w:iCs/>
                <w:lang w:eastAsia="es-ES"/>
                <w14:ligatures w14:val="standardContextual"/>
              </w:rPr>
              <w:t xml:space="preserve"> </w:t>
            </w:r>
            <w:r w:rsidR="0057644D" w:rsidRPr="0057644D">
              <w:rPr>
                <w:rFonts w:ascii="Verdana" w:eastAsia="Times New Roman" w:hAnsi="Verdana" w:cs="Arial"/>
                <w:lang w:eastAsia="es-ES"/>
                <w14:ligatures w14:val="standardContextual"/>
              </w:rPr>
              <w:t>y con contrato estatal asociado</w:t>
            </w:r>
            <w:r w:rsidR="00070A5E">
              <w:rPr>
                <w:rFonts w:ascii="Verdana" w:eastAsia="Times New Roman" w:hAnsi="Verdana" w:cs="Arial"/>
                <w:lang w:eastAsia="es-ES"/>
                <w14:ligatures w14:val="standardContextual"/>
              </w:rPr>
              <w:t xml:space="preserve">, número: </w:t>
            </w:r>
            <w:r w:rsidR="00070A5E" w:rsidRPr="00070A5E">
              <w:rPr>
                <w:rFonts w:ascii="Verdana" w:eastAsia="Times New Roman" w:hAnsi="Verdana" w:cs="Arial"/>
                <w:lang w:eastAsia="es-ES"/>
                <w14:ligatures w14:val="standardContextual"/>
              </w:rPr>
              <w:t>CD-COM-DATT-001-2024</w:t>
            </w:r>
            <w:r w:rsidR="00070A5E">
              <w:rPr>
                <w:rFonts w:ascii="Verdana" w:eastAsia="Times New Roman" w:hAnsi="Verdana" w:cs="Arial"/>
                <w:lang w:eastAsia="es-ES"/>
                <w14:ligatures w14:val="standardContextual"/>
              </w:rPr>
              <w:t>.</w:t>
            </w:r>
          </w:p>
          <w:p w14:paraId="4643D3A8" w14:textId="72D021DC" w:rsidR="0059541C" w:rsidRDefault="00070A5E" w:rsidP="00254FEE">
            <w:pPr>
              <w:spacing w:after="120" w:line="276" w:lineRule="auto"/>
              <w:ind w:firstLine="743"/>
              <w:jc w:val="both"/>
              <w:rPr>
                <w:rFonts w:ascii="Verdana" w:eastAsia="Times New Roman" w:hAnsi="Verdana" w:cs="Arial"/>
                <w:lang w:eastAsia="es-ES"/>
                <w14:ligatures w14:val="standardContextual"/>
              </w:rPr>
            </w:pPr>
            <w:r>
              <w:rPr>
                <w:rFonts w:ascii="Verdana" w:eastAsia="Times New Roman" w:hAnsi="Verdana" w:cs="Arial"/>
                <w:lang w:eastAsia="es-ES"/>
                <w14:ligatures w14:val="standardContextual"/>
              </w:rPr>
              <w:t xml:space="preserve">Para acceder a </w:t>
            </w:r>
            <w:r w:rsidR="0059541C">
              <w:rPr>
                <w:rFonts w:ascii="Verdana" w:eastAsia="Times New Roman" w:hAnsi="Verdana" w:cs="Arial"/>
                <w:lang w:eastAsia="es-ES"/>
                <w14:ligatures w14:val="standardContextual"/>
              </w:rPr>
              <w:t xml:space="preserve">los documentos e información adicional, </w:t>
            </w:r>
            <w:r w:rsidR="00844060">
              <w:rPr>
                <w:rFonts w:ascii="Verdana" w:eastAsia="Times New Roman" w:hAnsi="Verdana" w:cs="Arial"/>
                <w:lang w:eastAsia="es-ES"/>
                <w14:ligatures w14:val="standardContextual"/>
              </w:rPr>
              <w:t>de clic en los</w:t>
            </w:r>
            <w:r w:rsidR="0059541C">
              <w:rPr>
                <w:rFonts w:ascii="Verdana" w:eastAsia="Times New Roman" w:hAnsi="Verdana" w:cs="Arial"/>
                <w:lang w:eastAsia="es-ES"/>
                <w14:ligatures w14:val="standardContextual"/>
              </w:rPr>
              <w:t xml:space="preserve"> siguientes enlaces:</w:t>
            </w:r>
          </w:p>
          <w:p w14:paraId="3BA4F344" w14:textId="77777777" w:rsidR="001B60CF" w:rsidRPr="00012E3A" w:rsidRDefault="0059541C" w:rsidP="00254FEE">
            <w:pPr>
              <w:spacing w:line="276" w:lineRule="auto"/>
              <w:ind w:firstLine="743"/>
              <w:jc w:val="both"/>
              <w:rPr>
                <w:rFonts w:ascii="Verdana" w:eastAsia="Times New Roman" w:hAnsi="Verdana" w:cs="Arial"/>
                <w:lang w:val="pt-BR" w:eastAsia="es-ES"/>
                <w14:ligatures w14:val="standardContextual"/>
              </w:rPr>
            </w:pPr>
            <w:r w:rsidRPr="00012E3A">
              <w:rPr>
                <w:rFonts w:ascii="Verdana" w:eastAsia="Times New Roman" w:hAnsi="Verdana" w:cs="Arial"/>
                <w:lang w:val="pt-BR" w:eastAsia="es-ES"/>
                <w14:ligatures w14:val="standardContextual"/>
              </w:rPr>
              <w:t>Proceso de selección</w:t>
            </w:r>
            <w:r w:rsidR="001B60CF" w:rsidRPr="00012E3A">
              <w:rPr>
                <w:rFonts w:ascii="Verdana" w:eastAsia="Times New Roman" w:hAnsi="Verdana" w:cs="Arial"/>
                <w:lang w:val="pt-BR" w:eastAsia="es-ES"/>
                <w14:ligatures w14:val="standardContextual"/>
              </w:rPr>
              <w:t>:</w:t>
            </w:r>
            <w:r w:rsidRPr="00012E3A">
              <w:rPr>
                <w:rFonts w:ascii="Verdana" w:eastAsia="Times New Roman" w:hAnsi="Verdana" w:cs="Arial"/>
                <w:lang w:val="pt-BR" w:eastAsia="es-ES"/>
                <w14:ligatures w14:val="standardContextual"/>
              </w:rPr>
              <w:t xml:space="preserve"> </w:t>
            </w:r>
            <w:r w:rsidR="001B60CF" w:rsidRPr="00012E3A">
              <w:rPr>
                <w:rFonts w:ascii="Verdana" w:eastAsia="Times New Roman" w:hAnsi="Verdana" w:cs="Arial"/>
                <w:lang w:val="pt-BR" w:eastAsia="es-ES"/>
                <w14:ligatures w14:val="standardContextual"/>
              </w:rPr>
              <w:t>CD-COM-DATT-001-2024:</w:t>
            </w:r>
          </w:p>
          <w:p w14:paraId="4F614F7C" w14:textId="633321CF" w:rsidR="001B60CF" w:rsidRPr="00012E3A" w:rsidRDefault="001B60CF" w:rsidP="00254FEE">
            <w:pPr>
              <w:spacing w:line="276" w:lineRule="auto"/>
              <w:jc w:val="both"/>
              <w:rPr>
                <w:rFonts w:ascii="Verdana" w:eastAsia="Times New Roman" w:hAnsi="Verdana" w:cs="Arial"/>
                <w:lang w:val="pt-BR" w:eastAsia="es-ES"/>
                <w14:ligatures w14:val="standardContextual"/>
              </w:rPr>
            </w:pPr>
            <w:r w:rsidRPr="00012E3A">
              <w:rPr>
                <w:rFonts w:ascii="Verdana" w:eastAsia="Times New Roman" w:hAnsi="Verdana" w:cs="Arial"/>
                <w:lang w:val="pt-BR" w:eastAsia="es-ES"/>
                <w14:ligatures w14:val="standardContextual"/>
              </w:rPr>
              <w:lastRenderedPageBreak/>
              <w:t xml:space="preserve"> </w:t>
            </w:r>
            <w:hyperlink r:id="rId15" w:history="1">
              <w:r w:rsidRPr="00012E3A">
                <w:rPr>
                  <w:rStyle w:val="Hipervnculo"/>
                  <w:rFonts w:ascii="Verdana" w:eastAsia="Times New Roman" w:hAnsi="Verdana" w:cs="Arial"/>
                  <w:lang w:val="pt-BR" w:eastAsia="es-ES"/>
                  <w14:ligatures w14:val="standardContextual"/>
                </w:rPr>
                <w:t>https://community.secop.gov.co/Public/Tendering/OpportunityDetail/Index?noticeUID=CO1.NTC.6796110</w:t>
              </w:r>
            </w:hyperlink>
            <w:r w:rsidRPr="00012E3A">
              <w:rPr>
                <w:rFonts w:ascii="Verdana" w:eastAsia="Times New Roman" w:hAnsi="Verdana" w:cs="Arial"/>
                <w:lang w:val="pt-BR" w:eastAsia="es-ES"/>
                <w14:ligatures w14:val="standardContextual"/>
              </w:rPr>
              <w:t xml:space="preserve"> </w:t>
            </w:r>
          </w:p>
          <w:p w14:paraId="1900DFED" w14:textId="77777777" w:rsidR="00FD3861" w:rsidRPr="00012E3A" w:rsidRDefault="00FD3861" w:rsidP="00254FEE">
            <w:pPr>
              <w:spacing w:line="276" w:lineRule="auto"/>
              <w:jc w:val="both"/>
              <w:rPr>
                <w:rFonts w:ascii="Verdana" w:eastAsia="Times New Roman" w:hAnsi="Verdana" w:cs="Arial"/>
                <w:lang w:val="pt-BR" w:eastAsia="es-ES"/>
                <w14:ligatures w14:val="standardContextual"/>
              </w:rPr>
            </w:pPr>
          </w:p>
          <w:p w14:paraId="2132B980" w14:textId="4EC8EEC6" w:rsidR="001B60CF" w:rsidRPr="00012E3A" w:rsidRDefault="001B60CF" w:rsidP="00FD3861">
            <w:pPr>
              <w:spacing w:line="276" w:lineRule="auto"/>
              <w:ind w:firstLine="743"/>
              <w:jc w:val="both"/>
              <w:rPr>
                <w:rFonts w:ascii="Verdana" w:eastAsia="Times New Roman" w:hAnsi="Verdana" w:cs="Arial"/>
                <w:lang w:val="pt-BR" w:eastAsia="es-ES"/>
                <w14:ligatures w14:val="standardContextual"/>
              </w:rPr>
            </w:pPr>
            <w:r w:rsidRPr="00012E3A">
              <w:rPr>
                <w:rFonts w:ascii="Verdana" w:eastAsia="Times New Roman" w:hAnsi="Verdana" w:cs="Arial"/>
                <w:lang w:val="pt-BR" w:eastAsia="es-ES"/>
                <w14:ligatures w14:val="standardContextual"/>
              </w:rPr>
              <w:t xml:space="preserve">Contrato: </w:t>
            </w:r>
            <w:r w:rsidR="00043B69" w:rsidRPr="00012E3A">
              <w:rPr>
                <w:rFonts w:ascii="Verdana" w:eastAsia="Times New Roman" w:hAnsi="Verdana" w:cs="Arial"/>
                <w:lang w:val="pt-BR" w:eastAsia="es-ES"/>
                <w14:ligatures w14:val="standardContextual"/>
              </w:rPr>
              <w:t>CD-COM-DATT-001-2024:</w:t>
            </w:r>
          </w:p>
          <w:p w14:paraId="2C026671" w14:textId="77777777" w:rsidR="00844060" w:rsidRPr="00012E3A" w:rsidRDefault="00844060" w:rsidP="00FD3861">
            <w:pPr>
              <w:spacing w:line="276" w:lineRule="auto"/>
              <w:ind w:firstLine="743"/>
              <w:jc w:val="both"/>
              <w:rPr>
                <w:rFonts w:ascii="Verdana" w:eastAsia="Times New Roman" w:hAnsi="Verdana" w:cs="Arial"/>
                <w:lang w:val="pt-BR" w:eastAsia="es-ES"/>
                <w14:ligatures w14:val="standardContextual"/>
              </w:rPr>
            </w:pPr>
          </w:p>
          <w:p w14:paraId="0F2F821A" w14:textId="0C23C296" w:rsidR="00043B69" w:rsidRPr="00012E3A" w:rsidRDefault="00043B69" w:rsidP="00ED5713">
            <w:pPr>
              <w:spacing w:after="120" w:line="276" w:lineRule="auto"/>
              <w:jc w:val="both"/>
              <w:rPr>
                <w:rFonts w:ascii="Verdana" w:eastAsia="Times New Roman" w:hAnsi="Verdana" w:cs="Arial"/>
                <w:lang w:val="pt-BR" w:eastAsia="es-ES"/>
                <w14:ligatures w14:val="standardContextual"/>
              </w:rPr>
            </w:pPr>
            <w:hyperlink r:id="rId16" w:history="1">
              <w:r w:rsidRPr="00012E3A">
                <w:rPr>
                  <w:rStyle w:val="Hipervnculo"/>
                  <w:rFonts w:ascii="Verdana" w:eastAsia="Times New Roman" w:hAnsi="Verdana" w:cs="Arial"/>
                  <w:lang w:val="pt-BR" w:eastAsia="es-ES"/>
                  <w14:ligatures w14:val="standardContextual"/>
                </w:rPr>
                <w:t>https://community.secop.gov.co/Public/Tendering/OpportunityDetail/Index?noticeUID=CO1.NTC.6796110</w:t>
              </w:r>
            </w:hyperlink>
            <w:r w:rsidRPr="00012E3A">
              <w:rPr>
                <w:rFonts w:ascii="Verdana" w:eastAsia="Times New Roman" w:hAnsi="Verdana" w:cs="Arial"/>
                <w:lang w:val="pt-BR" w:eastAsia="es-ES"/>
                <w14:ligatures w14:val="standardContextual"/>
              </w:rPr>
              <w:t xml:space="preserve"> </w:t>
            </w:r>
          </w:p>
          <w:p w14:paraId="4F01CC5D" w14:textId="598EF63C" w:rsidR="00D01F7C" w:rsidRDefault="00043B69" w:rsidP="00DC099B">
            <w:pPr>
              <w:spacing w:after="120" w:line="276" w:lineRule="auto"/>
              <w:jc w:val="both"/>
              <w:rPr>
                <w:rFonts w:ascii="Verdana" w:hAnsi="Verdana" w:cs="Arial"/>
                <w:lang w:val="es-ES"/>
              </w:rPr>
            </w:pPr>
            <w:r>
              <w:rPr>
                <w:rFonts w:ascii="Verdana" w:eastAsia="Times New Roman" w:hAnsi="Verdana" w:cs="Arial"/>
                <w:lang w:eastAsia="es-ES"/>
                <w14:ligatures w14:val="standardContextual"/>
              </w:rPr>
              <w:t>2.</w:t>
            </w:r>
            <w:r w:rsidR="00254FEE">
              <w:rPr>
                <w:rFonts w:ascii="Verdana" w:hAnsi="Verdana" w:cs="Arial"/>
                <w:lang w:val="es-ES"/>
              </w:rPr>
              <w:t xml:space="preserve"> </w:t>
            </w:r>
            <w:r w:rsidR="00D01F7C">
              <w:rPr>
                <w:rFonts w:ascii="Verdana" w:hAnsi="Verdana" w:cs="Arial"/>
                <w:lang w:val="es-ES"/>
              </w:rPr>
              <w:t>L</w:t>
            </w:r>
            <w:r w:rsidR="00D01F7C" w:rsidRPr="00D01F7C">
              <w:rPr>
                <w:rFonts w:ascii="Verdana" w:hAnsi="Verdana" w:cs="Arial"/>
                <w:lang w:val="es-ES"/>
              </w:rPr>
              <w:t>a publicidad de los contratos estatales debe realizarse a través de SECOP, independientemente del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de comodato que tengan como parte a una entidad estatal, deberán publicarse en el SECOP independientemente del régimen aplicable o que impliquen o no erogación de recursos públicos.</w:t>
            </w:r>
          </w:p>
          <w:p w14:paraId="644A65B3" w14:textId="5243A778" w:rsidR="00E008AB" w:rsidRDefault="00E008AB" w:rsidP="00E008AB">
            <w:pPr>
              <w:spacing w:after="120" w:line="276" w:lineRule="auto"/>
              <w:ind w:firstLine="743"/>
              <w:jc w:val="both"/>
              <w:rPr>
                <w:rFonts w:ascii="Verdana" w:hAnsi="Verdana"/>
              </w:rPr>
            </w:pPr>
            <w:r>
              <w:rPr>
                <w:rFonts w:ascii="Verdana" w:hAnsi="Verdana" w:cs="Arial"/>
                <w:lang w:val="es-ES"/>
              </w:rPr>
              <w:t>Así mismo, e</w:t>
            </w:r>
            <w:r w:rsidRPr="000A5CEC">
              <w:rPr>
                <w:rFonts w:ascii="Verdana" w:hAnsi="Verdana"/>
              </w:rPr>
              <w:t xml:space="preserve">n </w:t>
            </w:r>
            <w:r w:rsidR="00314DDE">
              <w:rPr>
                <w:rFonts w:ascii="Verdana" w:hAnsi="Verdana"/>
              </w:rPr>
              <w:t>observancia</w:t>
            </w:r>
            <w:r w:rsidRPr="000A5CEC">
              <w:rPr>
                <w:rFonts w:ascii="Verdana" w:hAnsi="Verdana"/>
              </w:rPr>
              <w:t xml:space="preserve"> del principio de economía, </w:t>
            </w:r>
            <w:r w:rsidR="005749CB">
              <w:rPr>
                <w:rFonts w:ascii="Verdana" w:hAnsi="Verdana" w:cs="Arial"/>
                <w:lang w:val="es-ES"/>
              </w:rPr>
              <w:t>la entidad estatal</w:t>
            </w:r>
            <w:r w:rsidR="007001BA">
              <w:rPr>
                <w:rFonts w:ascii="Verdana" w:hAnsi="Verdana" w:cs="Arial"/>
                <w:lang w:val="es-ES"/>
              </w:rPr>
              <w:t xml:space="preserve"> debe adelantar </w:t>
            </w:r>
            <w:r w:rsidR="007001BA" w:rsidRPr="000A5CEC">
              <w:rPr>
                <w:rFonts w:ascii="Verdana" w:hAnsi="Verdana"/>
              </w:rPr>
              <w:t xml:space="preserve">unos estudios previos que permitan estructurar, concretar y viabilizar los aspectos esenciales del futuro contrato, dentro de los cuales se encuentran </w:t>
            </w:r>
            <w:r w:rsidR="007001BA">
              <w:rPr>
                <w:rFonts w:ascii="Verdana" w:hAnsi="Verdana"/>
              </w:rPr>
              <w:t xml:space="preserve">la modalidad de selección del contratista, </w:t>
            </w:r>
            <w:r w:rsidR="007001BA" w:rsidRPr="000A5CEC">
              <w:rPr>
                <w:rFonts w:ascii="Verdana" w:hAnsi="Verdana"/>
              </w:rPr>
              <w:t>su objeto y valor estimado, entre otros elementos</w:t>
            </w:r>
            <w:r w:rsidR="005749CB">
              <w:rPr>
                <w:rFonts w:ascii="Verdana" w:hAnsi="Verdana" w:cs="Arial"/>
                <w:lang w:val="es-ES"/>
              </w:rPr>
              <w:t xml:space="preserve">, </w:t>
            </w:r>
            <w:r>
              <w:rPr>
                <w:rFonts w:ascii="Verdana" w:hAnsi="Verdana"/>
              </w:rPr>
              <w:t>sin que sea relevante la modalidad de selección o la tipología contractual,</w:t>
            </w:r>
            <w:r w:rsidRPr="000A5CEC">
              <w:rPr>
                <w:rFonts w:ascii="Verdana" w:hAnsi="Verdana"/>
              </w:rPr>
              <w:t xml:space="preserve"> </w:t>
            </w:r>
            <w:r w:rsidR="007001BA">
              <w:rPr>
                <w:rFonts w:ascii="Verdana" w:hAnsi="Verdana"/>
              </w:rPr>
              <w:t>de acuerdo con lo contemplado en el</w:t>
            </w:r>
            <w:r w:rsidRPr="000A5CEC">
              <w:rPr>
                <w:rFonts w:ascii="Verdana" w:hAnsi="Verdana"/>
              </w:rPr>
              <w:t xml:space="preserve"> artículo 2.2.1.1.2.1.1 del Decreto 1082 de 2015, norma que exige que se determine el objeto a contratar con sus especificaciones y se estime el costo que implica la celebración del contrato</w:t>
            </w:r>
            <w:r>
              <w:rPr>
                <w:rFonts w:ascii="Verdana" w:hAnsi="Verdana"/>
              </w:rPr>
              <w:t>.</w:t>
            </w:r>
          </w:p>
          <w:p w14:paraId="4C533E2A" w14:textId="5E5704F4" w:rsidR="004B09D5" w:rsidRDefault="00E008AB" w:rsidP="004B09D5">
            <w:pPr>
              <w:spacing w:after="120" w:line="276" w:lineRule="auto"/>
              <w:ind w:firstLine="743"/>
              <w:jc w:val="both"/>
              <w:rPr>
                <w:rFonts w:ascii="Verdana" w:hAnsi="Verdana" w:cs="Arial"/>
                <w:lang w:val="es-ES"/>
              </w:rPr>
            </w:pPr>
            <w:r>
              <w:rPr>
                <w:rFonts w:ascii="Verdana" w:hAnsi="Verdana"/>
              </w:rPr>
              <w:t xml:space="preserve">En los estudios la </w:t>
            </w:r>
            <w:r w:rsidRPr="008A3357">
              <w:rPr>
                <w:rFonts w:ascii="Verdana" w:hAnsi="Verdana"/>
              </w:rPr>
              <w:t xml:space="preserve">entidad deberá evaluar, entre otros temas, los riesgos y las posibles erogaciones con ocasión </w:t>
            </w:r>
            <w:r w:rsidR="00AF6351">
              <w:rPr>
                <w:rFonts w:ascii="Verdana" w:hAnsi="Verdana"/>
              </w:rPr>
              <w:t xml:space="preserve">del </w:t>
            </w:r>
            <w:r w:rsidR="007001BA">
              <w:rPr>
                <w:rFonts w:ascii="Verdana" w:hAnsi="Verdana"/>
              </w:rPr>
              <w:t>contrato</w:t>
            </w:r>
            <w:r w:rsidRPr="008A3357">
              <w:rPr>
                <w:rFonts w:ascii="Verdana" w:hAnsi="Verdana"/>
              </w:rPr>
              <w:t xml:space="preserve">, el beneficio </w:t>
            </w:r>
            <w:r>
              <w:rPr>
                <w:rFonts w:ascii="Verdana" w:hAnsi="Verdana"/>
              </w:rPr>
              <w:t xml:space="preserve">para la comunidad </w:t>
            </w:r>
            <w:r w:rsidRPr="008A3357">
              <w:rPr>
                <w:rFonts w:ascii="Verdana" w:hAnsi="Verdana"/>
              </w:rPr>
              <w:t xml:space="preserve">que se obtendrá con </w:t>
            </w:r>
            <w:r w:rsidR="00D679B1">
              <w:rPr>
                <w:rFonts w:ascii="Verdana" w:hAnsi="Verdana"/>
              </w:rPr>
              <w:t>su celebración, entre otros aspectos</w:t>
            </w:r>
            <w:r w:rsidRPr="008A3357">
              <w:rPr>
                <w:rFonts w:ascii="Verdana" w:hAnsi="Verdana"/>
              </w:rPr>
              <w:t xml:space="preserve">. Adicionalmente, deberá justificar la elección del </w:t>
            </w:r>
            <w:r>
              <w:rPr>
                <w:rFonts w:ascii="Verdana" w:hAnsi="Verdana"/>
              </w:rPr>
              <w:t>contratista,</w:t>
            </w:r>
            <w:r w:rsidRPr="008A3357">
              <w:rPr>
                <w:rFonts w:ascii="Verdana" w:hAnsi="Verdana"/>
              </w:rPr>
              <w:t xml:space="preserve"> </w:t>
            </w:r>
            <w:r>
              <w:rPr>
                <w:rFonts w:ascii="Verdana" w:hAnsi="Verdana"/>
              </w:rPr>
              <w:t>el beneficio para la entidad y</w:t>
            </w:r>
            <w:r w:rsidRPr="008A3357">
              <w:rPr>
                <w:rFonts w:ascii="Verdana" w:hAnsi="Verdana"/>
              </w:rPr>
              <w:t xml:space="preserve"> su relación con los fines de </w:t>
            </w:r>
            <w:r w:rsidR="00B05D38">
              <w:rPr>
                <w:rFonts w:ascii="Verdana" w:hAnsi="Verdana"/>
              </w:rPr>
              <w:t>esta</w:t>
            </w:r>
            <w:r w:rsidRPr="008A3357">
              <w:rPr>
                <w:rFonts w:ascii="Verdana" w:hAnsi="Verdana"/>
              </w:rPr>
              <w:t>.</w:t>
            </w:r>
            <w:r w:rsidRPr="00B3510C">
              <w:rPr>
                <w:rFonts w:ascii="Verdana" w:hAnsi="Verdana"/>
                <w:lang w:val="es-ES"/>
              </w:rPr>
              <w:t xml:space="preserve"> En este sentido, el artículo 2.2.1.1.1.6.1 del Decreto 1082 de 2015 dispone lo siguiente: </w:t>
            </w:r>
            <w:r>
              <w:rPr>
                <w:rFonts w:ascii="Verdana" w:hAnsi="Verdana"/>
                <w:lang w:val="es-ES"/>
              </w:rPr>
              <w:t>“</w:t>
            </w:r>
            <w:r w:rsidRPr="00B3510C">
              <w:rPr>
                <w:rFonts w:ascii="Verdana" w:hAnsi="Verdana"/>
                <w:lang w:val="es-ES"/>
              </w:rPr>
              <w:t xml:space="preserve">La Entidad Estatal debe hacer, durante la etapa de planeación, el análisis necesario para conocer el sector relativo al objeto del Proceso de Contratación desde la </w:t>
            </w:r>
            <w:r w:rsidRPr="00B3510C">
              <w:rPr>
                <w:rFonts w:ascii="Verdana" w:hAnsi="Verdana"/>
                <w:lang w:val="es-ES"/>
              </w:rPr>
              <w:lastRenderedPageBreak/>
              <w:t>perspectiva legal, comercial, financiera, organizacional, técnica, y de análisis de Riesgo. La Entidad Estatal debe dejar constancia de este análisis en los Documentos del Proceso</w:t>
            </w:r>
            <w:r w:rsidR="00D679B1">
              <w:rPr>
                <w:rFonts w:ascii="Verdana" w:hAnsi="Verdana"/>
                <w:lang w:val="es-ES"/>
              </w:rPr>
              <w:t xml:space="preserve">”. </w:t>
            </w:r>
            <w:r w:rsidR="00B05D38">
              <w:rPr>
                <w:rFonts w:ascii="Verdana" w:hAnsi="Verdana"/>
                <w:lang w:val="es-ES"/>
              </w:rPr>
              <w:t>En consecuencia, los e</w:t>
            </w:r>
            <w:r w:rsidR="00D679B1">
              <w:rPr>
                <w:rFonts w:ascii="Verdana" w:hAnsi="Verdana"/>
                <w:lang w:val="es-ES"/>
              </w:rPr>
              <w:t xml:space="preserve">studios y documentos previos también deben </w:t>
            </w:r>
            <w:r w:rsidR="00B05D38">
              <w:rPr>
                <w:rFonts w:ascii="Verdana" w:hAnsi="Verdana"/>
                <w:lang w:val="es-ES"/>
              </w:rPr>
              <w:t>ser publicados</w:t>
            </w:r>
            <w:r w:rsidR="00314DDE">
              <w:rPr>
                <w:rFonts w:ascii="Verdana" w:hAnsi="Verdana"/>
                <w:lang w:val="es-ES"/>
              </w:rPr>
              <w:t>,</w:t>
            </w:r>
            <w:r w:rsidR="00E81B86">
              <w:rPr>
                <w:rFonts w:ascii="Verdana" w:hAnsi="Verdana" w:cs="Arial"/>
                <w:lang w:val="es-ES"/>
              </w:rPr>
              <w:t xml:space="preserve"> por </w:t>
            </w:r>
            <w:r w:rsidR="00254FEE" w:rsidRPr="00FF14D0">
              <w:rPr>
                <w:rFonts w:ascii="Verdana" w:hAnsi="Verdana" w:cs="Arial"/>
                <w:lang w:val="es-ES"/>
              </w:rPr>
              <w:t>virtud de lo dispuesto en el artículo 3 de la Ley 1150 de 2007, desarrollado por el artículo 2.2.1.1.1.7.1. del Decreto 1082 de 2015</w:t>
            </w:r>
            <w:r w:rsidR="004B09D5">
              <w:rPr>
                <w:rFonts w:ascii="Verdana" w:hAnsi="Verdana" w:cs="Arial"/>
                <w:lang w:val="es-ES"/>
              </w:rPr>
              <w:t>.</w:t>
            </w:r>
          </w:p>
          <w:p w14:paraId="231C1E81" w14:textId="77777777" w:rsidR="00216BB7" w:rsidRDefault="00254FEE" w:rsidP="004B09D5">
            <w:pPr>
              <w:spacing w:after="120" w:line="276" w:lineRule="auto"/>
              <w:ind w:firstLine="743"/>
              <w:jc w:val="both"/>
              <w:rPr>
                <w:rFonts w:ascii="Verdana" w:hAnsi="Verdana" w:cs="Arial"/>
                <w:lang w:val="es-ES"/>
              </w:rPr>
            </w:pPr>
            <w:r w:rsidRPr="00FF14D0">
              <w:rPr>
                <w:rFonts w:ascii="Verdana" w:hAnsi="Verdana" w:cs="Arial"/>
                <w:lang w:val="es-ES"/>
              </w:rPr>
              <w:t xml:space="preserve">Cabe resaltar que el deber de publicar los documentos relacionados con la contratación no se encuentra regulado solamente por las normas del </w:t>
            </w:r>
            <w:r>
              <w:rPr>
                <w:rFonts w:ascii="Verdana" w:hAnsi="Verdana" w:cs="Arial"/>
                <w:lang w:val="es-ES"/>
              </w:rPr>
              <w:t>EGCAP</w:t>
            </w:r>
            <w:r w:rsidRPr="00FF14D0">
              <w:rPr>
                <w:rFonts w:ascii="Verdana" w:hAnsi="Verdana" w:cs="Arial"/>
                <w:lang w:val="es-ES"/>
              </w:rPr>
              <w:t>. Esto, por cuanto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Dicha obligación, en principio, fue reglamentada por el Decreto 103 de 2015, hoy compilado en el Decreto 1081 de 2015.  Este último señala, en el artículo 2.1.1.2.1.7, que las entidades deberán publicar en el SECOP la información de su gestión contractual.</w:t>
            </w:r>
          </w:p>
          <w:p w14:paraId="2F8D0AEC" w14:textId="2291FCC4" w:rsidR="00A42998" w:rsidRPr="005C049C" w:rsidRDefault="00A42998" w:rsidP="004B09D5">
            <w:pPr>
              <w:spacing w:after="120" w:line="276" w:lineRule="auto"/>
              <w:ind w:firstLine="743"/>
              <w:jc w:val="both"/>
              <w:rPr>
                <w:rFonts w:ascii="Verdana" w:hAnsi="Verdana" w:cs="Arial"/>
                <w:lang w:val="es-ES"/>
              </w:rPr>
            </w:pPr>
            <w:r w:rsidRPr="00A42998">
              <w:rPr>
                <w:rFonts w:ascii="Verdana" w:hAnsi="Verdana" w:cs="Arial"/>
                <w:lang w:val="es-ES"/>
              </w:rPr>
              <w:t>Por último, es responsabilidad de la entidad estatal contratante</w:t>
            </w:r>
            <w:r w:rsidRPr="005F6554">
              <w:rPr>
                <w:rFonts w:ascii="Verdana" w:hAnsi="Verdana" w:cs="Arial"/>
                <w:lang w:val="es-ES"/>
              </w:rPr>
              <w:t xml:space="preserve"> </w:t>
            </w:r>
            <w:r w:rsidR="005F6554" w:rsidRPr="005F6554">
              <w:rPr>
                <w:rFonts w:ascii="Verdana" w:hAnsi="Verdana" w:cs="Arial"/>
                <w:lang w:val="es-ES"/>
              </w:rPr>
              <w:t>vela</w:t>
            </w:r>
            <w:r w:rsidR="005F6554">
              <w:rPr>
                <w:rFonts w:ascii="Verdana" w:hAnsi="Verdana" w:cs="Arial"/>
                <w:lang w:val="es-ES"/>
              </w:rPr>
              <w:t xml:space="preserve">r por la completitud y </w:t>
            </w:r>
            <w:r w:rsidR="00C01F88">
              <w:rPr>
                <w:rFonts w:ascii="Verdana" w:hAnsi="Verdana" w:cs="Arial"/>
                <w:lang w:val="es-ES"/>
              </w:rPr>
              <w:t xml:space="preserve">claridad de los documentos que publique en las plataformas del SECOP, </w:t>
            </w:r>
            <w:r w:rsidR="00F81A89">
              <w:rPr>
                <w:rFonts w:ascii="Verdana" w:hAnsi="Verdana" w:cs="Arial"/>
                <w:lang w:val="es-ES"/>
              </w:rPr>
              <w:t xml:space="preserve">con el propósito de que todos los interesados accedan y conozcan su contenido y permitan </w:t>
            </w:r>
            <w:r w:rsidR="00A06EAF">
              <w:rPr>
                <w:rFonts w:ascii="Verdana" w:hAnsi="Verdana" w:cs="Arial"/>
                <w:lang w:val="es-ES"/>
              </w:rPr>
              <w:t>que se efectúe el seguimiento y la vigilancia de dicha actividad contractual.</w:t>
            </w:r>
          </w:p>
        </w:tc>
      </w:tr>
    </w:tbl>
    <w:p w14:paraId="0CCAD24A" w14:textId="77777777" w:rsidR="00C619A7" w:rsidRPr="005B7C42" w:rsidRDefault="00C619A7" w:rsidP="00C619A7">
      <w:pPr>
        <w:spacing w:after="0" w:line="276" w:lineRule="auto"/>
        <w:contextualSpacing/>
        <w:jc w:val="both"/>
        <w:rPr>
          <w:rFonts w:ascii="Verdana" w:eastAsia="Times New Roman" w:hAnsi="Verdana" w:cs="Arial"/>
          <w:lang w:eastAsia="es-ES_tradnl"/>
        </w:rPr>
      </w:pPr>
    </w:p>
    <w:p w14:paraId="5BF216E8" w14:textId="77777777" w:rsidR="00C619A7" w:rsidRPr="005B7C42" w:rsidRDefault="00C619A7" w:rsidP="00C619A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71659AB2" w14:textId="77777777" w:rsidR="00C619A7" w:rsidRPr="005B7C42" w:rsidRDefault="00C619A7" w:rsidP="00C619A7">
      <w:pPr>
        <w:spacing w:after="0" w:line="276" w:lineRule="auto"/>
        <w:jc w:val="both"/>
        <w:rPr>
          <w:rFonts w:ascii="Verdana" w:eastAsia="Calibri" w:hAnsi="Verdana" w:cs="Arial"/>
          <w:color w:val="7030A0"/>
        </w:rPr>
      </w:pPr>
    </w:p>
    <w:p w14:paraId="61EC8564" w14:textId="77777777" w:rsidR="00C619A7" w:rsidRPr="005B7C42" w:rsidRDefault="00C619A7" w:rsidP="00C619A7">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49C6285E" w14:textId="77777777" w:rsidR="00C619A7" w:rsidRPr="00215670" w:rsidRDefault="00C619A7" w:rsidP="00C619A7">
      <w:pPr>
        <w:spacing w:after="0" w:line="276" w:lineRule="auto"/>
        <w:jc w:val="both"/>
        <w:rPr>
          <w:rFonts w:ascii="Verdana" w:eastAsia="Calibri" w:hAnsi="Verdana" w:cs="Arial"/>
        </w:rPr>
      </w:pPr>
    </w:p>
    <w:p w14:paraId="03564E3C" w14:textId="77777777" w:rsidR="0072217A" w:rsidRDefault="0072217A" w:rsidP="0072217A">
      <w:pPr>
        <w:widowControl w:val="0"/>
        <w:tabs>
          <w:tab w:val="left" w:pos="728"/>
        </w:tabs>
        <w:autoSpaceDE w:val="0"/>
        <w:autoSpaceDN w:val="0"/>
        <w:spacing w:after="0" w:line="276" w:lineRule="auto"/>
        <w:jc w:val="both"/>
        <w:rPr>
          <w:rFonts w:ascii="Verdana" w:eastAsia="Arial" w:hAnsi="Verdana" w:cs="Arial"/>
          <w:lang w:val="es-ES"/>
        </w:rPr>
      </w:pPr>
      <w:r w:rsidRPr="00ED55F4">
        <w:rPr>
          <w:rFonts w:ascii="Verdana" w:eastAsia="Arial" w:hAnsi="Verdana" w:cs="Arial"/>
          <w:lang w:val="es-ES"/>
        </w:rPr>
        <w:t xml:space="preserve">Para la Corte Constitucional el principio de publicidad es la garantía de las personas de conocer las actuaciones judiciales y administrativas, para, con base en ese conocimiento, tener la posibilidad de exigir que se realicen conforme a la ley: </w:t>
      </w:r>
    </w:p>
    <w:p w14:paraId="2103FD4F" w14:textId="77777777" w:rsidR="0072217A" w:rsidRPr="00ED55F4" w:rsidRDefault="0072217A" w:rsidP="0072217A">
      <w:pPr>
        <w:widowControl w:val="0"/>
        <w:tabs>
          <w:tab w:val="left" w:pos="728"/>
        </w:tabs>
        <w:autoSpaceDE w:val="0"/>
        <w:autoSpaceDN w:val="0"/>
        <w:spacing w:after="0" w:line="276" w:lineRule="auto"/>
        <w:jc w:val="both"/>
        <w:rPr>
          <w:rFonts w:ascii="Verdana" w:eastAsia="Arial" w:hAnsi="Verdana" w:cs="Arial"/>
          <w:b/>
          <w:lang w:val="es-ES"/>
        </w:rPr>
      </w:pPr>
    </w:p>
    <w:p w14:paraId="31198B4E" w14:textId="77777777" w:rsidR="0072217A" w:rsidRPr="00ED55F4" w:rsidRDefault="0072217A" w:rsidP="0072217A">
      <w:pPr>
        <w:widowControl w:val="0"/>
        <w:tabs>
          <w:tab w:val="left" w:pos="728"/>
        </w:tabs>
        <w:autoSpaceDE w:val="0"/>
        <w:autoSpaceDN w:val="0"/>
        <w:spacing w:after="120"/>
        <w:ind w:left="709" w:right="709"/>
        <w:jc w:val="both"/>
        <w:rPr>
          <w:rFonts w:ascii="Verdana" w:eastAsia="Arial" w:hAnsi="Verdana" w:cs="Arial"/>
          <w:sz w:val="21"/>
          <w:szCs w:val="21"/>
          <w:lang w:val="es-ES"/>
        </w:rPr>
      </w:pPr>
      <w:r>
        <w:rPr>
          <w:rFonts w:ascii="Verdana" w:hAnsi="Verdana" w:cs="Arial"/>
          <w:color w:val="000000"/>
          <w:sz w:val="21"/>
          <w:szCs w:val="21"/>
          <w:bdr w:val="none" w:sz="0" w:space="0" w:color="auto" w:frame="1"/>
          <w:lang w:val="es-ES"/>
        </w:rPr>
        <w:t>“</w:t>
      </w:r>
      <w:r w:rsidRPr="00ED55F4">
        <w:rPr>
          <w:rFonts w:ascii="Verdana" w:eastAsia="Arial" w:hAnsi="Verdana" w:cs="Arial"/>
          <w:sz w:val="21"/>
          <w:szCs w:val="21"/>
          <w:lang w:val="es-ES"/>
        </w:rPr>
        <w:t xml:space="preserve">El principio de publicidad se encuentra consagrado en el artículo 209 de la Constitución Política, que señala que la función administrativa está al servicio de los intereses generales y se desarrolla con fundamento entre otros, en el </w:t>
      </w:r>
      <w:r>
        <w:rPr>
          <w:rFonts w:ascii="Verdana" w:eastAsia="Arial" w:hAnsi="Verdana" w:cs="Arial"/>
          <w:sz w:val="21"/>
          <w:szCs w:val="21"/>
          <w:lang w:val="es-ES"/>
        </w:rPr>
        <w:t>“</w:t>
      </w:r>
      <w:r w:rsidRPr="00ED55F4">
        <w:rPr>
          <w:rFonts w:ascii="Verdana" w:eastAsia="Arial" w:hAnsi="Verdana" w:cs="Arial"/>
          <w:sz w:val="21"/>
          <w:szCs w:val="21"/>
          <w:lang w:val="es-ES"/>
        </w:rPr>
        <w:t>principio de publicidad</w:t>
      </w:r>
      <w:r>
        <w:rPr>
          <w:rFonts w:ascii="Verdana" w:eastAsia="Arial" w:hAnsi="Verdana" w:cs="Arial"/>
          <w:sz w:val="21"/>
          <w:szCs w:val="21"/>
          <w:lang w:val="es-ES"/>
        </w:rPr>
        <w:t>”</w:t>
      </w:r>
      <w:r w:rsidRPr="00ED55F4">
        <w:rPr>
          <w:rFonts w:ascii="Verdana" w:eastAsia="Arial" w:hAnsi="Verdana" w:cs="Arial"/>
          <w:sz w:val="21"/>
          <w:szCs w:val="21"/>
          <w:lang w:val="es-ES"/>
        </w:rPr>
        <w:t>, el cual se evidencia en dos dimensiones.</w:t>
      </w:r>
    </w:p>
    <w:p w14:paraId="3C01ED61" w14:textId="77777777" w:rsidR="0072217A" w:rsidRDefault="0072217A" w:rsidP="0072217A">
      <w:pPr>
        <w:widowControl w:val="0"/>
        <w:tabs>
          <w:tab w:val="left" w:pos="728"/>
        </w:tabs>
        <w:autoSpaceDE w:val="0"/>
        <w:autoSpaceDN w:val="0"/>
        <w:spacing w:after="0"/>
        <w:ind w:left="709" w:right="709"/>
        <w:jc w:val="both"/>
        <w:rPr>
          <w:rFonts w:ascii="Verdana" w:hAnsi="Verdana" w:cs="Arial"/>
          <w:color w:val="000000"/>
          <w:sz w:val="21"/>
          <w:szCs w:val="21"/>
          <w:bdr w:val="none" w:sz="0" w:space="0" w:color="auto" w:frame="1"/>
          <w:lang w:val="es-ES"/>
        </w:rPr>
      </w:pPr>
      <w:r w:rsidRPr="00ED55F4">
        <w:rPr>
          <w:rFonts w:ascii="Verdana" w:eastAsia="Arial" w:hAnsi="Verdana" w:cs="Arial"/>
          <w:sz w:val="21"/>
          <w:szCs w:val="21"/>
          <w:lang w:val="es-ES"/>
        </w:rPr>
        <w:t xml:space="preserve">La primera de ellas, como el derecho que tienen las personas </w:t>
      </w:r>
      <w:r w:rsidRPr="00ED55F4">
        <w:rPr>
          <w:rFonts w:ascii="Verdana" w:eastAsia="Arial" w:hAnsi="Verdana" w:cs="Arial"/>
          <w:sz w:val="21"/>
          <w:szCs w:val="21"/>
          <w:lang w:val="es-ES"/>
        </w:rPr>
        <w:lastRenderedPageBreak/>
        <w:t>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ED55F4">
        <w:rPr>
          <w:rFonts w:ascii="Verdana" w:eastAsia="Arial" w:hAnsi="Verdana" w:cs="Arial"/>
          <w:sz w:val="21"/>
          <w:szCs w:val="21"/>
          <w:vertAlign w:val="superscript"/>
          <w:lang w:val="es-ES"/>
        </w:rPr>
        <w:footnoteReference w:id="1"/>
      </w:r>
      <w:r w:rsidRPr="00ED55F4">
        <w:rPr>
          <w:rFonts w:ascii="Verdana" w:eastAsia="Arial" w:hAnsi="Verdana" w:cs="Arial"/>
          <w:sz w:val="21"/>
          <w:szCs w:val="21"/>
          <w:lang w:val="es-ES"/>
        </w:rPr>
        <w:t>.</w:t>
      </w:r>
      <w:r>
        <w:rPr>
          <w:rFonts w:ascii="Verdana" w:hAnsi="Verdana" w:cs="Arial"/>
          <w:color w:val="000000"/>
          <w:sz w:val="21"/>
          <w:szCs w:val="21"/>
          <w:bdr w:val="none" w:sz="0" w:space="0" w:color="auto" w:frame="1"/>
          <w:lang w:val="es-ES"/>
        </w:rPr>
        <w:t>”</w:t>
      </w:r>
    </w:p>
    <w:p w14:paraId="30FC6500" w14:textId="77777777" w:rsidR="0072217A" w:rsidRPr="00ED55F4" w:rsidRDefault="0072217A" w:rsidP="0072217A">
      <w:pPr>
        <w:widowControl w:val="0"/>
        <w:tabs>
          <w:tab w:val="left" w:pos="728"/>
        </w:tabs>
        <w:autoSpaceDE w:val="0"/>
        <w:autoSpaceDN w:val="0"/>
        <w:spacing w:after="0"/>
        <w:ind w:left="709" w:right="709"/>
        <w:jc w:val="both"/>
        <w:rPr>
          <w:rFonts w:ascii="Verdana" w:eastAsia="Arial" w:hAnsi="Verdana" w:cs="Arial"/>
          <w:sz w:val="21"/>
          <w:szCs w:val="21"/>
          <w:lang w:val="es-ES"/>
        </w:rPr>
      </w:pPr>
    </w:p>
    <w:p w14:paraId="5DBB84C5" w14:textId="77777777" w:rsidR="0072217A" w:rsidRPr="00ED55F4" w:rsidRDefault="0072217A" w:rsidP="0072217A">
      <w:pPr>
        <w:widowControl w:val="0"/>
        <w:tabs>
          <w:tab w:val="left" w:pos="728"/>
        </w:tabs>
        <w:autoSpaceDE w:val="0"/>
        <w:autoSpaceDN w:val="0"/>
        <w:spacing w:line="276" w:lineRule="auto"/>
        <w:jc w:val="both"/>
        <w:rPr>
          <w:rFonts w:ascii="Verdana" w:eastAsia="Arial" w:hAnsi="Verdana" w:cs="Arial"/>
          <w:lang w:val="es-ES"/>
        </w:rPr>
      </w:pPr>
      <w:r w:rsidRPr="00ED55F4">
        <w:rPr>
          <w:rFonts w:ascii="Verdana" w:eastAsia="Arial" w:hAnsi="Verdana" w:cs="Arial"/>
          <w:lang w:val="es-ES"/>
        </w:rPr>
        <w:tab/>
        <w:t xml:space="preserve">El principio de publicidad 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w:t>
      </w:r>
      <w:r>
        <w:rPr>
          <w:rFonts w:ascii="Verdana" w:eastAsia="Arial" w:hAnsi="Verdana" w:cs="Arial"/>
          <w:lang w:val="es-ES"/>
        </w:rPr>
        <w:t>“</w:t>
      </w:r>
      <w:r w:rsidRPr="00ED55F4">
        <w:rPr>
          <w:rFonts w:ascii="Verdana" w:eastAsia="Arial" w:hAnsi="Verdana" w:cs="Arial"/>
          <w:lang w:val="es-ES"/>
        </w:rPr>
        <w:t>contará con la información oficial de la contratación realizada con dineros públicos, para lo cual establecerá los patrones a que haya lugar y se encargará de su difusión a través de canales electrónicos</w:t>
      </w:r>
      <w:r>
        <w:rPr>
          <w:rFonts w:ascii="Verdana" w:eastAsia="Arial" w:hAnsi="Verdana" w:cs="Arial"/>
          <w:lang w:val="es-ES"/>
        </w:rPr>
        <w:t>”</w:t>
      </w:r>
      <w:r w:rsidRPr="00ED55F4">
        <w:rPr>
          <w:rFonts w:ascii="Verdana" w:eastAsia="Arial" w:hAnsi="Verdana" w:cs="Arial"/>
          <w:vertAlign w:val="superscript"/>
          <w:lang w:val="es-ES"/>
        </w:rPr>
        <w:footnoteReference w:id="2"/>
      </w:r>
      <w:r w:rsidRPr="00ED55F4">
        <w:rPr>
          <w:rFonts w:ascii="Verdana" w:eastAsia="Arial" w:hAnsi="Verdana" w:cs="Arial"/>
          <w:lang w:val="es-ES"/>
        </w:rPr>
        <w:t xml:space="preserve">. </w:t>
      </w:r>
    </w:p>
    <w:p w14:paraId="7DE15640" w14:textId="77777777" w:rsidR="0072217A" w:rsidRPr="00ED55F4" w:rsidRDefault="0072217A" w:rsidP="0072217A">
      <w:pPr>
        <w:widowControl w:val="0"/>
        <w:tabs>
          <w:tab w:val="left" w:pos="728"/>
        </w:tabs>
        <w:autoSpaceDE w:val="0"/>
        <w:autoSpaceDN w:val="0"/>
        <w:spacing w:before="120" w:after="120" w:line="276" w:lineRule="auto"/>
        <w:jc w:val="both"/>
        <w:rPr>
          <w:rFonts w:ascii="Verdana" w:eastAsia="Arial" w:hAnsi="Verdana" w:cs="Arial"/>
          <w:lang w:val="es-ES"/>
        </w:rPr>
      </w:pPr>
      <w:r w:rsidRPr="00ED55F4">
        <w:rPr>
          <w:rFonts w:ascii="Verdana" w:eastAsia="Arial" w:hAnsi="Verdana" w:cs="Arial"/>
          <w:lang w:val="es-ES"/>
        </w:rPr>
        <w:tab/>
        <w:t xml:space="preserve">De otra parte, la Ley 1712 de 2014, por medio de la cual se regula la transparencia y 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w:t>
      </w:r>
      <w:r>
        <w:rPr>
          <w:rFonts w:ascii="Verdana" w:eastAsia="Arial" w:hAnsi="Verdana" w:cs="Arial"/>
          <w:lang w:val="es-ES"/>
        </w:rPr>
        <w:t>“</w:t>
      </w:r>
      <w:r w:rsidRPr="00ED55F4">
        <w:rPr>
          <w:rFonts w:ascii="Verdana" w:eastAsia="Arial" w:hAnsi="Verdana" w:cs="Arial"/>
          <w:lang w:val="es-ES"/>
        </w:rPr>
        <w:t>toda información en posesión, bajo control o custodia de un sujeto obligado es pública y no podrá ser reservada o limitada sino por disposición constitucional o legal</w:t>
      </w:r>
      <w:r>
        <w:rPr>
          <w:rFonts w:ascii="Verdana" w:eastAsia="Arial" w:hAnsi="Verdana" w:cs="Arial"/>
          <w:lang w:val="es-ES"/>
        </w:rPr>
        <w:t>”</w:t>
      </w:r>
      <w:r w:rsidRPr="00ED55F4">
        <w:rPr>
          <w:rFonts w:ascii="Verdana" w:eastAsia="Arial" w:hAnsi="Verdana" w:cs="Arial"/>
          <w:vertAlign w:val="superscript"/>
          <w:lang w:val="es-ES"/>
        </w:rPr>
        <w:footnoteReference w:id="3"/>
      </w:r>
      <w:r w:rsidRPr="00ED55F4">
        <w:rPr>
          <w:rFonts w:ascii="Verdana" w:eastAsia="Arial" w:hAnsi="Verdana" w:cs="Arial"/>
          <w:lang w:val="es-ES"/>
        </w:rPr>
        <w:t xml:space="preserve">. El principio de transparencia en la información alude al deber de los sujetos de proporcionar y facilitar el acceso a la misma en los términos más amplios posibles, y a través de los medios y procedimientos que establezca la ley. </w:t>
      </w:r>
    </w:p>
    <w:p w14:paraId="48B6C98A" w14:textId="77777777" w:rsidR="0072217A" w:rsidRDefault="0072217A" w:rsidP="0072217A">
      <w:pPr>
        <w:widowControl w:val="0"/>
        <w:tabs>
          <w:tab w:val="left" w:pos="728"/>
        </w:tabs>
        <w:autoSpaceDE w:val="0"/>
        <w:autoSpaceDN w:val="0"/>
        <w:spacing w:after="0" w:line="276" w:lineRule="auto"/>
        <w:jc w:val="both"/>
        <w:rPr>
          <w:rFonts w:ascii="Verdana" w:hAnsi="Verdana" w:cs="Arial"/>
          <w:lang w:val="es-ES"/>
        </w:rPr>
      </w:pPr>
      <w:r w:rsidRPr="00ED55F4">
        <w:rPr>
          <w:rFonts w:ascii="Verdana" w:hAnsi="Verdana" w:cs="Arial"/>
          <w:lang w:val="es-ES"/>
        </w:rPr>
        <w:tab/>
        <w:t xml:space="preserve">El deber de publicidad de los documentos expedidos en virtud de la actividad contractual que se desprende del artículo 3 de la Ley 1150 de 2007, se encuentra reglamentado en el artículo 2.2.1.1.1.7.1. del Decreto 1082 de </w:t>
      </w:r>
      <w:r w:rsidRPr="00ED55F4">
        <w:rPr>
          <w:rFonts w:ascii="Verdana" w:hAnsi="Verdana" w:cs="Arial"/>
          <w:lang w:val="es-ES"/>
        </w:rPr>
        <w:lastRenderedPageBreak/>
        <w:t>2015. Este precepto establece los documentos que se deben publicar y al SECOP como medio de publicación</w:t>
      </w:r>
      <w:r w:rsidRPr="00ED55F4">
        <w:rPr>
          <w:rFonts w:ascii="Verdana" w:hAnsi="Verdana" w:cs="Arial"/>
          <w:vertAlign w:val="superscript"/>
          <w:lang w:val="es-ES"/>
        </w:rPr>
        <w:footnoteReference w:id="4"/>
      </w:r>
      <w:r w:rsidRPr="00ED55F4">
        <w:rPr>
          <w:rFonts w:ascii="Verdana" w:hAnsi="Verdana" w:cs="Arial"/>
          <w:lang w:val="es-ES"/>
        </w:rPr>
        <w:t>,  lo que permite controlar las actuaciones y decisiones de la Administración y el cumplimiento de los demás principios de la contratación pública. Así lo confirma el Consejo de Estado, analizando el principio de publicidad:</w:t>
      </w:r>
    </w:p>
    <w:p w14:paraId="275E8961" w14:textId="77777777" w:rsidR="0072217A" w:rsidRPr="00ED55F4" w:rsidRDefault="0072217A" w:rsidP="0072217A">
      <w:pPr>
        <w:widowControl w:val="0"/>
        <w:tabs>
          <w:tab w:val="left" w:pos="728"/>
        </w:tabs>
        <w:autoSpaceDE w:val="0"/>
        <w:autoSpaceDN w:val="0"/>
        <w:spacing w:after="0" w:line="276" w:lineRule="auto"/>
        <w:jc w:val="both"/>
        <w:rPr>
          <w:rFonts w:ascii="Verdana" w:hAnsi="Verdana" w:cs="Arial"/>
          <w:lang w:val="es-ES"/>
        </w:rPr>
      </w:pPr>
    </w:p>
    <w:p w14:paraId="70C90455" w14:textId="77777777" w:rsidR="0072217A" w:rsidRPr="00ED55F4" w:rsidRDefault="0072217A" w:rsidP="0072217A">
      <w:pPr>
        <w:spacing w:after="120"/>
        <w:ind w:left="709" w:right="709"/>
        <w:jc w:val="both"/>
        <w:rPr>
          <w:rFonts w:ascii="Verdana" w:hAnsi="Verdana" w:cs="Arial"/>
          <w:sz w:val="21"/>
          <w:szCs w:val="21"/>
          <w:lang w:val="es-ES"/>
        </w:rPr>
      </w:pPr>
      <w:r>
        <w:rPr>
          <w:rFonts w:ascii="Verdana" w:hAnsi="Verdana" w:cs="Arial"/>
          <w:color w:val="000000"/>
          <w:sz w:val="21"/>
          <w:szCs w:val="21"/>
          <w:bdr w:val="none" w:sz="0" w:space="0" w:color="auto" w:frame="1"/>
          <w:lang w:val="es-ES"/>
        </w:rPr>
        <w:t>“</w:t>
      </w:r>
      <w:r w:rsidRPr="00ED55F4">
        <w:rPr>
          <w:rFonts w:ascii="Verdana" w:hAnsi="Verdana" w:cs="Arial"/>
          <w:sz w:val="21"/>
          <w:szCs w:val="21"/>
          <w:lang w:val="es-ES"/>
        </w:rPr>
        <w:t>En virtud del principio de publicidad: las autoridades deben dar a conocer sus actuaciones y decisiones mediante las comunicaciones, notificaciones o publicaciones que ordena la ley, con el propósito de que sean vinculantes y puedan ser acatadas por sus destinatarios. Publicidad significa anunciar, divulgar, difundir, informar y revelar las decisiones y su motivación para hacerlas saber a quiénes va dirigida, de manera que puedan ser obligatorias, controvertibles y controlables.</w:t>
      </w:r>
    </w:p>
    <w:p w14:paraId="6AB836A0" w14:textId="77777777" w:rsidR="0072217A" w:rsidRPr="00ED55F4" w:rsidRDefault="0072217A" w:rsidP="0072217A">
      <w:pPr>
        <w:spacing w:before="120" w:after="120"/>
        <w:ind w:left="709" w:right="709"/>
        <w:jc w:val="both"/>
        <w:rPr>
          <w:rFonts w:ascii="Verdana" w:hAnsi="Verdana" w:cs="Arial"/>
          <w:sz w:val="21"/>
          <w:szCs w:val="21"/>
          <w:lang w:val="es-ES"/>
        </w:rPr>
      </w:pPr>
      <w:r w:rsidRPr="00ED55F4">
        <w:rPr>
          <w:rFonts w:ascii="Verdana" w:hAnsi="Verdana" w:cs="Arial"/>
          <w:sz w:val="21"/>
          <w:szCs w:val="21"/>
          <w:lang w:val="es-ES"/>
        </w:rPr>
        <w:t>En efecto, los posibles oferentes y la comunidad en general deben tener conocimiento o la oportunidad de conocer tanto la convocatoria y reglas del proceso de selección o llamado a la licitación, como los actos y hechos del procedimiento y los participantes de presentar observaciones (art. 24 Nos. 2 y 6 y 30 No. 3 Ley 80 de 1993). La actuación de la administración debe ser abierta al público y a los participantes o concurrentes, quienes, incluso, en el caso de la licitación pueden hacer uso del ejercicio del derecho a la audiencia pública (art. 24 No. 3 ibídem en armonía con el artículo 273 de la Constitución Política).</w:t>
      </w:r>
    </w:p>
    <w:p w14:paraId="38147ACE" w14:textId="77777777" w:rsidR="0072217A" w:rsidRPr="00ED55F4" w:rsidRDefault="0072217A" w:rsidP="0072217A">
      <w:pPr>
        <w:spacing w:before="120" w:after="0"/>
        <w:ind w:left="709" w:right="709"/>
        <w:jc w:val="both"/>
        <w:rPr>
          <w:rFonts w:ascii="Verdana" w:hAnsi="Verdana" w:cs="Arial"/>
          <w:color w:val="000000"/>
          <w:sz w:val="21"/>
          <w:szCs w:val="21"/>
          <w:bdr w:val="none" w:sz="0" w:space="0" w:color="auto" w:frame="1"/>
          <w:lang w:val="es-ES"/>
        </w:rPr>
      </w:pPr>
      <w:r w:rsidRPr="00ED55F4">
        <w:rPr>
          <w:rFonts w:ascii="Verdana" w:hAnsi="Verdana" w:cs="Arial"/>
          <w:sz w:val="21"/>
          <w:szCs w:val="21"/>
          <w:lang w:val="es-ES"/>
        </w:rPr>
        <w:t>Este principio-deber también se traduce en el correlativo derecho de los interesados de enterarse de esas actuaciones de la administración, pedir por parte de quien demuestre un interés legítimo información y solicitar las copias de los documentos que la integran, con sujeción a la reserva de ley (art. 23 y 74 de la C.P., No. 4 del artículo 24 de la Ley 80 de 1993, entre otros)</w:t>
      </w:r>
      <w:r w:rsidRPr="00ED55F4">
        <w:rPr>
          <w:rFonts w:ascii="Verdana" w:hAnsi="Verdana" w:cs="Arial"/>
          <w:sz w:val="21"/>
          <w:szCs w:val="21"/>
          <w:vertAlign w:val="superscript"/>
          <w:lang w:val="es-ES"/>
        </w:rPr>
        <w:footnoteReference w:id="5"/>
      </w:r>
      <w:r>
        <w:rPr>
          <w:rFonts w:ascii="Verdana" w:hAnsi="Verdana" w:cs="Arial"/>
          <w:color w:val="000000"/>
          <w:sz w:val="21"/>
          <w:szCs w:val="21"/>
          <w:bdr w:val="none" w:sz="0" w:space="0" w:color="auto" w:frame="1"/>
          <w:lang w:val="es-ES"/>
        </w:rPr>
        <w:t>“</w:t>
      </w:r>
      <w:r w:rsidRPr="00ED55F4">
        <w:rPr>
          <w:rFonts w:ascii="Verdana" w:hAnsi="Verdana" w:cs="Arial"/>
          <w:color w:val="000000"/>
          <w:sz w:val="21"/>
          <w:szCs w:val="21"/>
          <w:bdr w:val="none" w:sz="0" w:space="0" w:color="auto" w:frame="1"/>
          <w:lang w:val="es-ES"/>
        </w:rPr>
        <w:t>.</w:t>
      </w:r>
    </w:p>
    <w:p w14:paraId="04B81325" w14:textId="77777777" w:rsidR="0072217A" w:rsidRPr="00ED55F4" w:rsidRDefault="0072217A" w:rsidP="0072217A">
      <w:pPr>
        <w:spacing w:after="0"/>
        <w:ind w:left="709" w:right="709"/>
        <w:jc w:val="both"/>
        <w:rPr>
          <w:rFonts w:ascii="Verdana" w:hAnsi="Verdana" w:cs="Arial"/>
          <w:sz w:val="21"/>
          <w:szCs w:val="21"/>
          <w:lang w:val="es-ES"/>
        </w:rPr>
      </w:pPr>
    </w:p>
    <w:p w14:paraId="24C331E8" w14:textId="77777777" w:rsidR="0072217A" w:rsidRPr="00ED55F4" w:rsidRDefault="0072217A" w:rsidP="0072217A">
      <w:pPr>
        <w:spacing w:after="120" w:line="276" w:lineRule="auto"/>
        <w:ind w:firstLine="709"/>
        <w:jc w:val="both"/>
        <w:rPr>
          <w:rFonts w:ascii="Verdana" w:hAnsi="Verdana" w:cs="Arial"/>
          <w:lang w:val="es-ES"/>
        </w:rPr>
      </w:pPr>
      <w:r w:rsidRPr="00ED55F4">
        <w:rPr>
          <w:rFonts w:ascii="Verdana" w:hAnsi="Verdana" w:cs="Arial"/>
          <w:lang w:val="es-ES"/>
        </w:rPr>
        <w:t xml:space="preserve">En conclusión, el artículo 3 de la Ley 1150 de 2007 desarrolla los principios de publicidad y transparencia de las actuaciones contractuales, del cual se desprende el deber de publicarlas. Esto implica que todas las entidades estatales </w:t>
      </w:r>
      <w:r w:rsidRPr="00ED55F4">
        <w:rPr>
          <w:rFonts w:ascii="Verdana" w:hAnsi="Verdana" w:cs="Arial"/>
          <w:lang w:val="es-ES"/>
        </w:rPr>
        <w:lastRenderedPageBreak/>
        <w:t>publiquen los documentos en los que se evidencia el desarrollo de sus procesos de contratación, comoquiera que el objetivo del deber de dar publicidad a las actuaciones contractuales es materializar el derecho a conocer e intervenir las decisiones de la Administración Pública.</w:t>
      </w:r>
    </w:p>
    <w:p w14:paraId="6F5E6559" w14:textId="77777777" w:rsidR="0072217A" w:rsidRPr="00ED55F4" w:rsidRDefault="0072217A" w:rsidP="0072217A">
      <w:pPr>
        <w:widowControl w:val="0"/>
        <w:autoSpaceDE w:val="0"/>
        <w:autoSpaceDN w:val="0"/>
        <w:spacing w:before="120" w:after="120" w:line="276" w:lineRule="auto"/>
        <w:ind w:firstLine="709"/>
        <w:jc w:val="both"/>
        <w:rPr>
          <w:rFonts w:ascii="Verdana" w:eastAsia="Arial" w:hAnsi="Verdana" w:cs="Arial"/>
          <w:lang w:val="es-ES"/>
        </w:rPr>
      </w:pPr>
      <w:r w:rsidRPr="00ED55F4">
        <w:rPr>
          <w:rFonts w:ascii="Verdana" w:eastAsia="Arial" w:hAnsi="Verdana" w:cs="Arial"/>
          <w:lang w:val="es-ES"/>
        </w:rPr>
        <w:t xml:space="preserve">Ahora bien, las entidades estatales, conforme al artículo 2.2.1.1.1.7.1. del Decreto 1082 de 2015, tienen la obligación de publicar en el SECOP </w:t>
      </w:r>
      <w:r>
        <w:rPr>
          <w:rFonts w:ascii="Verdana" w:eastAsia="Arial" w:hAnsi="Verdana" w:cs="Arial"/>
          <w:lang w:val="es-ES"/>
        </w:rPr>
        <w:t>“</w:t>
      </w:r>
      <w:r w:rsidRPr="00ED55F4">
        <w:rPr>
          <w:rFonts w:ascii="Verdana" w:eastAsia="Arial" w:hAnsi="Verdana" w:cs="Arial"/>
          <w:lang w:val="es-ES"/>
        </w:rPr>
        <w:t>[…] los Documentos del Proceso y los actos administrativos del Proceso de Contratación, dentro de los tres (3) días siguientes a su expedición […]</w:t>
      </w:r>
      <w:r>
        <w:rPr>
          <w:rFonts w:ascii="Verdana" w:eastAsia="Arial" w:hAnsi="Verdana" w:cs="Arial"/>
          <w:lang w:val="es-ES"/>
        </w:rPr>
        <w:t>”</w:t>
      </w:r>
      <w:r w:rsidRPr="00ED55F4">
        <w:rPr>
          <w:rFonts w:ascii="Verdana" w:eastAsia="Arial" w:hAnsi="Verdana" w:cs="Arial"/>
          <w:lang w:val="es-ES"/>
        </w:rPr>
        <w:t xml:space="preserve">. </w:t>
      </w:r>
    </w:p>
    <w:p w14:paraId="1362FFE5" w14:textId="77777777" w:rsidR="0072217A" w:rsidRPr="00ED55F4" w:rsidRDefault="0072217A" w:rsidP="0072217A">
      <w:pPr>
        <w:widowControl w:val="0"/>
        <w:autoSpaceDE w:val="0"/>
        <w:autoSpaceDN w:val="0"/>
        <w:spacing w:before="120" w:after="120" w:line="276" w:lineRule="auto"/>
        <w:ind w:firstLine="709"/>
        <w:jc w:val="both"/>
        <w:rPr>
          <w:rFonts w:ascii="Verdana" w:eastAsia="Arial" w:hAnsi="Verdana" w:cs="Arial"/>
          <w:lang w:val="es-ES"/>
        </w:rPr>
      </w:pPr>
      <w:r w:rsidRPr="00ED55F4">
        <w:rPr>
          <w:rFonts w:ascii="Verdana" w:eastAsia="Arial" w:hAnsi="Verdana" w:cs="Arial"/>
          <w:lang w:val="es-ES"/>
        </w:rPr>
        <w:t xml:space="preserve">La expresión </w:t>
      </w:r>
      <w:r w:rsidRPr="00ED55F4">
        <w:rPr>
          <w:rFonts w:ascii="Verdana" w:eastAsia="Arial" w:hAnsi="Verdana" w:cs="Arial"/>
          <w:i/>
          <w:iCs/>
          <w:lang w:val="es-ES"/>
        </w:rPr>
        <w:t>Documentos del Proceso</w:t>
      </w:r>
      <w:r w:rsidRPr="00ED55F4">
        <w:rPr>
          <w:rFonts w:ascii="Verdana" w:eastAsia="Arial" w:hAnsi="Verdana" w:cs="Arial"/>
          <w:lang w:val="es-ES"/>
        </w:rPr>
        <w:t xml:space="preserve"> está definida en el artículo 2.2.1.1.1.3.1. del Decreto 1082 de 2015, donde se establece que: </w:t>
      </w:r>
      <w:r>
        <w:rPr>
          <w:rFonts w:ascii="Verdana" w:eastAsia="Arial" w:hAnsi="Verdana" w:cs="Arial"/>
          <w:lang w:val="es-ES"/>
        </w:rPr>
        <w:t>“</w:t>
      </w:r>
      <w:r w:rsidRPr="00ED55F4">
        <w:rPr>
          <w:rFonts w:ascii="Verdana" w:eastAsia="Arial" w:hAnsi="Verdana" w:cs="Arial"/>
          <w:lang w:val="es-ES"/>
        </w:rPr>
        <w:t>[…]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r>
        <w:rPr>
          <w:rFonts w:ascii="Verdana" w:eastAsia="Arial" w:hAnsi="Verdana" w:cs="Arial"/>
          <w:lang w:val="es-ES"/>
        </w:rPr>
        <w:t>”</w:t>
      </w:r>
      <w:r w:rsidRPr="00ED55F4">
        <w:rPr>
          <w:rFonts w:ascii="Verdana" w:eastAsia="Arial" w:hAnsi="Verdana" w:cs="Arial"/>
          <w:lang w:val="es-ES"/>
        </w:rPr>
        <w:t xml:space="preserve">. </w:t>
      </w:r>
    </w:p>
    <w:p w14:paraId="57FFB1B5" w14:textId="77777777" w:rsidR="0072217A" w:rsidRPr="00ED55F4" w:rsidRDefault="0072217A" w:rsidP="0072217A">
      <w:pPr>
        <w:widowControl w:val="0"/>
        <w:autoSpaceDE w:val="0"/>
        <w:autoSpaceDN w:val="0"/>
        <w:spacing w:before="120" w:after="120" w:line="276" w:lineRule="auto"/>
        <w:ind w:firstLine="709"/>
        <w:jc w:val="both"/>
        <w:rPr>
          <w:rFonts w:ascii="Verdana" w:eastAsia="Arial" w:hAnsi="Verdana" w:cs="Arial"/>
          <w:lang w:val="es-ES"/>
        </w:rPr>
      </w:pPr>
      <w:r w:rsidRPr="00ED55F4">
        <w:rPr>
          <w:rFonts w:ascii="Verdana" w:eastAsia="Arial" w:hAnsi="Verdana" w:cs="Arial"/>
          <w:lang w:val="es-ES"/>
        </w:rPr>
        <w:t xml:space="preserve">No obstante, para identificar los documentos que deben publicarse, es necesario realizar una interpretación sistemática de las disposiciones del Decreto 1082 del 2015, en razón a que lo ahí previsto no se trata de un listado taxativo, sino enunciativo. En ese sentido, es oportuno aclarar que, además de los documentos enlistados, el artículo 2.2.1.1.1.3.1 </w:t>
      </w:r>
      <w:r w:rsidRPr="00ED55F4">
        <w:rPr>
          <w:rFonts w:ascii="Verdana" w:eastAsia="Arial" w:hAnsi="Verdana" w:cs="Arial"/>
          <w:i/>
          <w:iCs/>
          <w:lang w:val="es-ES"/>
        </w:rPr>
        <w:t>Ibídem</w:t>
      </w:r>
      <w:r w:rsidRPr="00ED55F4">
        <w:rPr>
          <w:rFonts w:ascii="Verdana" w:eastAsia="Arial" w:hAnsi="Verdana" w:cs="Arial"/>
          <w:lang w:val="es-ES"/>
        </w:rPr>
        <w:t xml:space="preserve"> recoge en la noción de </w:t>
      </w:r>
      <w:r w:rsidRPr="00ED55F4">
        <w:rPr>
          <w:rFonts w:ascii="Verdana" w:eastAsia="Arial" w:hAnsi="Verdana" w:cs="Arial"/>
          <w:i/>
          <w:iCs/>
          <w:lang w:val="es-ES"/>
        </w:rPr>
        <w:t>Documentos del Proceso</w:t>
      </w:r>
      <w:r w:rsidRPr="00ED55F4">
        <w:rPr>
          <w:rFonts w:ascii="Verdana" w:eastAsia="Arial" w:hAnsi="Verdana" w:cs="Arial"/>
          <w:lang w:val="es-ES"/>
        </w:rPr>
        <w:t xml:space="preserve"> </w:t>
      </w:r>
      <w:r>
        <w:rPr>
          <w:rFonts w:ascii="Verdana" w:eastAsia="Arial" w:hAnsi="Verdana" w:cs="Arial"/>
          <w:lang w:val="es-ES"/>
        </w:rPr>
        <w:t>“</w:t>
      </w:r>
      <w:r w:rsidRPr="00ED55F4">
        <w:rPr>
          <w:rFonts w:ascii="Verdana" w:eastAsia="Arial" w:hAnsi="Verdana" w:cs="Arial"/>
          <w:lang w:val="es-ES"/>
        </w:rPr>
        <w:t xml:space="preserve">cualquier otro documento expedido por la Entidad Estatal durante el </w:t>
      </w:r>
      <w:r w:rsidRPr="00ED55F4">
        <w:rPr>
          <w:rFonts w:ascii="Verdana" w:eastAsia="Arial" w:hAnsi="Verdana" w:cs="Arial"/>
          <w:i/>
          <w:iCs/>
          <w:lang w:val="es-ES"/>
        </w:rPr>
        <w:t>Proceso de Contratación</w:t>
      </w:r>
      <w:r>
        <w:rPr>
          <w:rFonts w:ascii="Verdana" w:eastAsia="Arial" w:hAnsi="Verdana" w:cs="Arial"/>
          <w:i/>
          <w:iCs/>
          <w:lang w:val="es-ES"/>
        </w:rPr>
        <w:t>”</w:t>
      </w:r>
      <w:r w:rsidRPr="00ED55F4">
        <w:rPr>
          <w:rFonts w:ascii="Verdana" w:eastAsia="Arial" w:hAnsi="Verdana" w:cs="Arial"/>
          <w:lang w:val="es-ES"/>
        </w:rPr>
        <w:t xml:space="preserve">. Este mismo artículo define la expresión </w:t>
      </w:r>
      <w:r w:rsidRPr="00ED55F4">
        <w:rPr>
          <w:rFonts w:ascii="Verdana" w:eastAsia="Arial" w:hAnsi="Verdana" w:cs="Arial"/>
          <w:i/>
          <w:iCs/>
          <w:lang w:val="es-ES"/>
        </w:rPr>
        <w:t>Proceso de Contratación</w:t>
      </w:r>
      <w:r w:rsidRPr="00ED55F4">
        <w:rPr>
          <w:rFonts w:ascii="Verdana" w:eastAsia="Arial" w:hAnsi="Verdana" w:cs="Arial"/>
          <w:lang w:val="es-ES"/>
        </w:rPr>
        <w:t xml:space="preserve"> como el </w:t>
      </w:r>
      <w:r>
        <w:rPr>
          <w:rFonts w:ascii="Verdana" w:eastAsia="Arial" w:hAnsi="Verdana" w:cs="Arial"/>
          <w:lang w:val="es-ES"/>
        </w:rPr>
        <w:t>“</w:t>
      </w:r>
      <w:r w:rsidRPr="00ED55F4">
        <w:rPr>
          <w:rFonts w:ascii="Verdana" w:eastAsia="Arial" w:hAnsi="Verdana" w:cs="Arial"/>
          <w:lang w:val="es-ES"/>
        </w:rPr>
        <w:t>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w:t>
      </w:r>
      <w:r>
        <w:rPr>
          <w:rFonts w:ascii="Verdana" w:eastAsia="Arial" w:hAnsi="Verdana" w:cs="Arial"/>
          <w:lang w:val="es-ES"/>
        </w:rPr>
        <w:t>”</w:t>
      </w:r>
      <w:r w:rsidRPr="00ED55F4">
        <w:rPr>
          <w:rFonts w:ascii="Verdana" w:eastAsia="Arial" w:hAnsi="Verdana" w:cs="Arial"/>
          <w:lang w:val="es-ES"/>
        </w:rPr>
        <w:t xml:space="preserve">.  </w:t>
      </w:r>
    </w:p>
    <w:p w14:paraId="07514B78" w14:textId="77777777" w:rsidR="0072217A" w:rsidRPr="00ED55F4" w:rsidRDefault="0072217A" w:rsidP="0072217A">
      <w:pPr>
        <w:widowControl w:val="0"/>
        <w:autoSpaceDE w:val="0"/>
        <w:autoSpaceDN w:val="0"/>
        <w:spacing w:before="120" w:after="120" w:line="276" w:lineRule="auto"/>
        <w:ind w:firstLine="709"/>
        <w:jc w:val="both"/>
        <w:rPr>
          <w:rFonts w:ascii="Verdana" w:eastAsia="Arial" w:hAnsi="Verdana" w:cs="Arial"/>
          <w:lang w:val="es-ES"/>
        </w:rPr>
      </w:pPr>
      <w:r w:rsidRPr="00ED55F4">
        <w:rPr>
          <w:rFonts w:ascii="Verdana" w:eastAsia="Arial" w:hAnsi="Verdana" w:cs="Arial"/>
          <w:lang w:val="es-ES"/>
        </w:rPr>
        <w:t xml:space="preserve">Nótese que la norma hace referencia a los documentos </w:t>
      </w:r>
      <w:r>
        <w:rPr>
          <w:rFonts w:ascii="Verdana" w:eastAsia="Arial" w:hAnsi="Verdana" w:cs="Arial"/>
          <w:lang w:val="es-ES"/>
        </w:rPr>
        <w:t>“</w:t>
      </w:r>
      <w:r w:rsidRPr="00ED55F4">
        <w:rPr>
          <w:rFonts w:ascii="Verdana" w:eastAsia="Arial" w:hAnsi="Verdana" w:cs="Arial"/>
          <w:lang w:val="es-ES"/>
        </w:rPr>
        <w:t>expedidos por la entidad estatal</w:t>
      </w:r>
      <w:r>
        <w:rPr>
          <w:rFonts w:ascii="Verdana" w:eastAsia="Arial" w:hAnsi="Verdana" w:cs="Arial"/>
          <w:lang w:val="es-ES"/>
        </w:rPr>
        <w:t>”</w:t>
      </w:r>
      <w:r w:rsidRPr="00ED55F4">
        <w:rPr>
          <w:rFonts w:ascii="Verdana" w:eastAsia="Arial" w:hAnsi="Verdana" w:cs="Arial"/>
          <w:lang w:val="es-ES"/>
        </w:rPr>
        <w:t xml:space="preserve"> durante el proceso de contratación, excluyendo de la noción de </w:t>
      </w:r>
      <w:r w:rsidRPr="00ED55F4">
        <w:rPr>
          <w:rFonts w:ascii="Verdana" w:eastAsia="Arial" w:hAnsi="Verdana" w:cs="Arial"/>
          <w:i/>
          <w:iCs/>
          <w:lang w:val="es-ES"/>
        </w:rPr>
        <w:t>Documentos del Proceso</w:t>
      </w:r>
      <w:r w:rsidRPr="00ED55F4">
        <w:rPr>
          <w:rFonts w:ascii="Verdana" w:eastAsia="Arial" w:hAnsi="Verdana" w:cs="Arial"/>
          <w:lang w:val="es-ES"/>
        </w:rPr>
        <w:t xml:space="preserve"> los expedidos por un sujeto distinto a la entidad, salvo la oferta, la cual se incluye expresamente en el artículo 2.2.1.1.1.3.1. </w:t>
      </w:r>
    </w:p>
    <w:p w14:paraId="54C8DE7C" w14:textId="77777777" w:rsidR="0072217A" w:rsidRPr="00ED55F4" w:rsidRDefault="0072217A" w:rsidP="0072217A">
      <w:pPr>
        <w:widowControl w:val="0"/>
        <w:autoSpaceDE w:val="0"/>
        <w:autoSpaceDN w:val="0"/>
        <w:spacing w:before="120" w:after="120" w:line="276" w:lineRule="auto"/>
        <w:ind w:firstLine="708"/>
        <w:jc w:val="both"/>
        <w:rPr>
          <w:rFonts w:ascii="Verdana" w:eastAsia="Arial" w:hAnsi="Verdana" w:cs="Arial"/>
          <w:lang w:val="es-ES"/>
        </w:rPr>
      </w:pPr>
      <w:r w:rsidRPr="00ED55F4">
        <w:rPr>
          <w:rFonts w:ascii="Verdana" w:eastAsia="Arial" w:hAnsi="Verdana" w:cs="Arial"/>
          <w:lang w:val="es-ES"/>
        </w:rPr>
        <w:t xml:space="preserve">En consecuencia, la interpretación sistemática de los preceptos del Decreto 1082 de 2015, de acuerdo con el principio de publicidad, inicialmente, indica que las entidades estatales tienen la obligación de publicar todos los documentos que expidan con ocasión del </w:t>
      </w:r>
      <w:r w:rsidRPr="00ED55F4">
        <w:rPr>
          <w:rFonts w:ascii="Verdana" w:eastAsia="Arial" w:hAnsi="Verdana" w:cs="Arial"/>
          <w:i/>
          <w:iCs/>
          <w:lang w:val="es-ES"/>
        </w:rPr>
        <w:t>Proceso de Contratación</w:t>
      </w:r>
      <w:r w:rsidRPr="00ED55F4">
        <w:rPr>
          <w:rFonts w:ascii="Verdana" w:eastAsia="Arial" w:hAnsi="Verdana" w:cs="Arial"/>
          <w:lang w:val="es-ES"/>
        </w:rPr>
        <w:t xml:space="preserve">.  Esto implica publicar todos aquellos documentos producidos desde la fase de planeación hasta </w:t>
      </w:r>
      <w:r>
        <w:rPr>
          <w:rFonts w:ascii="Verdana" w:eastAsia="Arial" w:hAnsi="Verdana" w:cs="Arial"/>
          <w:lang w:val="es-ES"/>
        </w:rPr>
        <w:t>“</w:t>
      </w:r>
      <w:r w:rsidRPr="00ED55F4">
        <w:rPr>
          <w:rFonts w:ascii="Verdana" w:eastAsia="Arial" w:hAnsi="Verdana" w:cs="Arial"/>
          <w:lang w:val="es-ES"/>
        </w:rPr>
        <w:t xml:space="preserve">el vencimiento de las garantías de calidad, estabilidad y mantenimiento, </w:t>
      </w:r>
      <w:r w:rsidRPr="00ED55F4">
        <w:rPr>
          <w:rFonts w:ascii="Verdana" w:eastAsia="Arial" w:hAnsi="Verdana" w:cs="Arial"/>
          <w:lang w:val="es-ES"/>
        </w:rPr>
        <w:lastRenderedPageBreak/>
        <w:t>o las condiciones de disposición final o recuperación ambiental de las obras o bienes o el vencimiento del plazo, lo que ocurra más tarde</w:t>
      </w:r>
      <w:r>
        <w:rPr>
          <w:rFonts w:ascii="Verdana" w:eastAsia="Arial" w:hAnsi="Verdana" w:cs="Arial"/>
          <w:lang w:val="es-ES"/>
        </w:rPr>
        <w:t>”</w:t>
      </w:r>
      <w:r w:rsidRPr="00ED55F4">
        <w:rPr>
          <w:rFonts w:ascii="Verdana" w:eastAsia="Arial" w:hAnsi="Verdana" w:cs="Arial"/>
          <w:lang w:val="es-ES"/>
        </w:rPr>
        <w:t>. Por tanto, la entidad debe publicar todos aquellos documentos expedidos durante las etapas precontractual, de ejecución y post-contractual en el SECOP, dentro de los tres (3) días siguientes a su expedición, para cumplir el deber de publicidad regulado por el artículo 2.2.1.1.1.7.1. del Decreto 1082 de 2015.</w:t>
      </w:r>
    </w:p>
    <w:p w14:paraId="390C151D" w14:textId="77777777" w:rsidR="0072217A" w:rsidRPr="00ED55F4" w:rsidRDefault="0072217A" w:rsidP="0072217A">
      <w:pPr>
        <w:widowControl w:val="0"/>
        <w:autoSpaceDE w:val="0"/>
        <w:autoSpaceDN w:val="0"/>
        <w:spacing w:before="120" w:after="120" w:line="276" w:lineRule="auto"/>
        <w:ind w:firstLine="708"/>
        <w:jc w:val="both"/>
        <w:rPr>
          <w:rFonts w:ascii="Verdana" w:eastAsia="Arial" w:hAnsi="Verdana" w:cs="Arial"/>
          <w:lang w:val="es-ES"/>
        </w:rPr>
      </w:pPr>
      <w:r w:rsidRPr="00ED55F4">
        <w:rPr>
          <w:rFonts w:ascii="Verdana" w:eastAsia="Arial" w:hAnsi="Verdana" w:cs="Arial"/>
          <w:lang w:val="es-ES"/>
        </w:rPr>
        <w:t xml:space="preserve">De lo anterior se puede concluir que, en virtud de lo dispuesto en el artículo 3 de la Ley 1150 de 2007, desarrollado por el artículo 2.2.1.1.1.7.1. del Decreto 1082 de 2015, las entidades están obligadas a publicar en el SECOP todos los documentos relacionados con el </w:t>
      </w:r>
      <w:r w:rsidRPr="00ED55F4">
        <w:rPr>
          <w:rFonts w:ascii="Verdana" w:eastAsia="Arial" w:hAnsi="Verdana" w:cs="Arial"/>
          <w:i/>
          <w:iCs/>
          <w:lang w:val="es-ES"/>
        </w:rPr>
        <w:t>Proceso de Contratación</w:t>
      </w:r>
      <w:r w:rsidRPr="00ED55F4">
        <w:rPr>
          <w:rFonts w:ascii="Verdana" w:eastAsia="Arial" w:hAnsi="Verdana" w:cs="Arial"/>
          <w:lang w:val="es-ES"/>
        </w:rPr>
        <w:t xml:space="preserve"> expedidos durante las etapas precontractual, de ejecución y post-contractual, dentro de los tres (3) días hábiles siguientes a su producción</w:t>
      </w:r>
      <w:r w:rsidRPr="00ED55F4">
        <w:rPr>
          <w:rStyle w:val="Refdenotaalpie"/>
          <w:rFonts w:ascii="Verdana" w:eastAsia="Arial" w:hAnsi="Verdana" w:cs="Arial"/>
          <w:lang w:val="es-ES"/>
        </w:rPr>
        <w:footnoteReference w:id="6"/>
      </w:r>
      <w:r w:rsidRPr="00ED55F4">
        <w:rPr>
          <w:rFonts w:ascii="Verdana" w:eastAsia="Arial" w:hAnsi="Verdana" w:cs="Arial"/>
          <w:lang w:val="es-ES"/>
        </w:rPr>
        <w:t>. Este deber aplica a todas las modalidades de selección y entidades regidas por el Estatuto General de Contratación de la Administración Pública. Solo se encuentran excluidas las ofertas que no se aprobaron y los documentos expedidos en el marco de operaciones de bolsa de productos.</w:t>
      </w:r>
    </w:p>
    <w:p w14:paraId="1F92B9C0" w14:textId="77777777" w:rsidR="0072217A" w:rsidRPr="00ED55F4" w:rsidRDefault="0072217A" w:rsidP="0072217A">
      <w:pPr>
        <w:spacing w:before="120" w:after="120" w:line="276" w:lineRule="auto"/>
        <w:ind w:firstLine="709"/>
        <w:jc w:val="both"/>
        <w:rPr>
          <w:rFonts w:ascii="Verdana" w:eastAsia="Calibri" w:hAnsi="Verdana" w:cs="Arial"/>
          <w:lang w:val="es-ES"/>
        </w:rPr>
      </w:pPr>
      <w:r w:rsidRPr="00ED55F4">
        <w:rPr>
          <w:rFonts w:ascii="Verdana" w:eastAsia="Calibri" w:hAnsi="Verdana" w:cs="Arial"/>
          <w:lang w:val="es-ES"/>
        </w:rPr>
        <w:t xml:space="preserve">Cabe resaltar que el deber de publicar los documentos relacionados con la contratación no se encuentra regulado solamente por las normas del Estatuto General de Contratación de la Administración Pública. Esto, por cuanto la Ley 1712 de 2014, normativa de la transparencia y del derecho de acceso a la información pública, señala en el literal g) del artículo 11, que todo sujeto obligado debe publicar sus procedimientos, lineamientos, políticas en materia de adquisiciones y compras, así como todos los datos de adjudicación y ejecución de sus contratos. Dicha obligación, en principio, fue reglamentada por el Decreto 103 de 2015, hoy compilado en el Decreto 1081 de 2015.  Este último señala, en el artículo 2.1.1.2.1.7, que las entidades deberán publicar en el SECOP </w:t>
      </w:r>
      <w:r w:rsidRPr="00ED55F4">
        <w:rPr>
          <w:rFonts w:ascii="Verdana" w:hAnsi="Verdana" w:cs="Arial"/>
          <w:lang w:val="es-ES"/>
        </w:rPr>
        <w:t>la información de su gestión contractual</w:t>
      </w:r>
      <w:r w:rsidRPr="00ED55F4">
        <w:rPr>
          <w:rStyle w:val="Refdenotaalpie"/>
          <w:rFonts w:ascii="Verdana" w:hAnsi="Verdana" w:cs="Arial"/>
          <w:lang w:val="es-ES"/>
        </w:rPr>
        <w:footnoteReference w:id="7"/>
      </w:r>
      <w:r w:rsidRPr="00ED55F4">
        <w:rPr>
          <w:rFonts w:ascii="Verdana" w:eastAsia="Calibri" w:hAnsi="Verdana" w:cs="Arial"/>
          <w:lang w:val="es-ES"/>
        </w:rPr>
        <w:t xml:space="preserve">. Por su parte, el artículo 2.1.1.2.1.9 </w:t>
      </w:r>
      <w:r w:rsidRPr="00ED55F4">
        <w:rPr>
          <w:rFonts w:ascii="Verdana" w:eastAsia="Calibri" w:hAnsi="Verdana" w:cs="Arial"/>
          <w:lang w:val="es-ES"/>
        </w:rPr>
        <w:lastRenderedPageBreak/>
        <w:t>expresa que las entidades deberán publicar los procedimientos, lineamientos y políticas en materia de adquisición, que no son otros que los previstos en el manual de contratación, el cual debe publicarse en el sitio web del sujeto obligado</w:t>
      </w:r>
      <w:r w:rsidRPr="00ED55F4">
        <w:rPr>
          <w:rStyle w:val="Refdenotaalpie"/>
          <w:rFonts w:ascii="Verdana" w:eastAsia="Calibri" w:hAnsi="Verdana" w:cs="Arial"/>
          <w:lang w:val="es-ES"/>
        </w:rPr>
        <w:footnoteReference w:id="8"/>
      </w:r>
      <w:r w:rsidRPr="00ED55F4">
        <w:rPr>
          <w:rFonts w:ascii="Verdana" w:eastAsia="Calibri" w:hAnsi="Verdana" w:cs="Arial"/>
          <w:lang w:val="es-ES"/>
        </w:rPr>
        <w:t>. El artículo 2.1.1.2.1.10 establece la obligación que tienen las entidades de publicar en el SECOP el Plan Anual de Adquisiciones</w:t>
      </w:r>
      <w:r w:rsidRPr="00ED55F4">
        <w:rPr>
          <w:rStyle w:val="Refdenotaalpie"/>
          <w:rFonts w:ascii="Verdana" w:eastAsia="Calibri" w:hAnsi="Verdana" w:cs="Arial"/>
          <w:lang w:val="es-ES"/>
        </w:rPr>
        <w:footnoteReference w:id="9"/>
      </w:r>
      <w:r w:rsidRPr="00ED55F4">
        <w:rPr>
          <w:rFonts w:ascii="Verdana" w:eastAsia="Calibri" w:hAnsi="Verdana" w:cs="Arial"/>
          <w:lang w:val="es-ES"/>
        </w:rPr>
        <w:t xml:space="preserve">. </w:t>
      </w:r>
    </w:p>
    <w:p w14:paraId="5AECC7C6" w14:textId="77777777" w:rsidR="0072217A" w:rsidRPr="00ED55F4" w:rsidRDefault="0072217A" w:rsidP="0072217A">
      <w:pPr>
        <w:spacing w:before="120" w:after="120" w:line="276" w:lineRule="auto"/>
        <w:ind w:firstLine="709"/>
        <w:jc w:val="both"/>
        <w:rPr>
          <w:rFonts w:ascii="Verdana" w:eastAsia="Calibri" w:hAnsi="Verdana" w:cs="Arial"/>
          <w:lang w:val="es-ES"/>
        </w:rPr>
      </w:pPr>
      <w:r w:rsidRPr="00ED55F4">
        <w:rPr>
          <w:rFonts w:ascii="Verdana" w:eastAsia="Calibri" w:hAnsi="Verdana" w:cs="Arial"/>
          <w:lang w:val="es-ES"/>
        </w:rPr>
        <w:t xml:space="preserve">De otro lado, el artículo 2.1.1.2.1.8, establece los efectos de </w:t>
      </w:r>
      <w:r w:rsidRPr="00ED55F4">
        <w:rPr>
          <w:rFonts w:ascii="Verdana" w:hAnsi="Verdana" w:cs="Arial"/>
          <w:lang w:val="es-ES"/>
        </w:rPr>
        <w:t>la obligación contenida en el literal g) del artículo 11 de la Ley 1712 de 2014, en relación con los documentos producidos durante la ejecución del contrato, señalando que se</w:t>
      </w:r>
      <w:r w:rsidRPr="00ED55F4">
        <w:rPr>
          <w:rFonts w:ascii="Verdana" w:eastAsia="Calibri" w:hAnsi="Verdana" w:cs="Arial"/>
          <w:lang w:val="es-ES"/>
        </w:rPr>
        <w:t xml:space="preserve"> deben publicar las aprobaciones, autorizaciones, requerimientos o informes del supervisor o interventor, que prueben la ejecución del contrato</w:t>
      </w:r>
      <w:r w:rsidRPr="00ED55F4">
        <w:rPr>
          <w:rStyle w:val="Refdenotaalpie"/>
          <w:rFonts w:ascii="Verdana" w:eastAsia="Calibri" w:hAnsi="Verdana" w:cs="Arial"/>
          <w:lang w:val="es-ES"/>
        </w:rPr>
        <w:footnoteReference w:id="10"/>
      </w:r>
      <w:r w:rsidRPr="00ED55F4">
        <w:rPr>
          <w:rFonts w:ascii="Verdana" w:eastAsia="Calibri" w:hAnsi="Verdana" w:cs="Arial"/>
          <w:lang w:val="es-ES"/>
        </w:rPr>
        <w:t>.</w:t>
      </w:r>
    </w:p>
    <w:p w14:paraId="48B8ECA4" w14:textId="77777777" w:rsidR="0072217A" w:rsidRPr="00ED55F4" w:rsidRDefault="0072217A" w:rsidP="0072217A">
      <w:pPr>
        <w:spacing w:before="120" w:after="120" w:line="276" w:lineRule="auto"/>
        <w:ind w:firstLine="709"/>
        <w:jc w:val="both"/>
        <w:rPr>
          <w:rFonts w:ascii="Verdana" w:eastAsia="Calibri" w:hAnsi="Verdana" w:cs="Arial"/>
          <w:lang w:val="es-ES"/>
        </w:rPr>
      </w:pPr>
      <w:r w:rsidRPr="00ED55F4">
        <w:rPr>
          <w:rFonts w:ascii="Verdana" w:eastAsia="Calibri" w:hAnsi="Verdana" w:cs="Arial"/>
          <w:lang w:val="es-ES"/>
        </w:rPr>
        <w:t xml:space="preserve">En ese orden de ideas, el deber de publicar la actividad contractual de las entidades estatales no solo está regulado en el artículo 3 de la Ley 1150 de 2007 y en el </w:t>
      </w:r>
      <w:r w:rsidRPr="00ED55F4">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w:t>
      </w:r>
      <w:r>
        <w:rPr>
          <w:rFonts w:ascii="Verdana" w:eastAsia="Arial" w:hAnsi="Verdana" w:cs="Arial"/>
          <w:lang w:val="es-ES"/>
        </w:rPr>
        <w:t>“</w:t>
      </w:r>
      <w:r w:rsidRPr="00ED55F4">
        <w:rPr>
          <w:rFonts w:ascii="Verdana" w:eastAsia="Arial" w:hAnsi="Verdana" w:cs="Arial"/>
          <w:lang w:val="es-ES"/>
        </w:rPr>
        <w:t>procedimientos</w:t>
      </w:r>
      <w:r>
        <w:rPr>
          <w:rFonts w:ascii="Verdana" w:eastAsia="Arial" w:hAnsi="Verdana" w:cs="Arial"/>
          <w:lang w:val="es-ES"/>
        </w:rPr>
        <w:t>”</w:t>
      </w:r>
      <w:r w:rsidRPr="00ED55F4">
        <w:rPr>
          <w:rFonts w:ascii="Verdana" w:eastAsia="Arial" w:hAnsi="Verdana" w:cs="Arial"/>
          <w:lang w:val="es-ES"/>
        </w:rPr>
        <w:t xml:space="preserve"> y la información relativa a la </w:t>
      </w:r>
      <w:r>
        <w:rPr>
          <w:rFonts w:ascii="Verdana" w:eastAsia="Arial" w:hAnsi="Verdana" w:cs="Arial"/>
          <w:lang w:val="es-ES"/>
        </w:rPr>
        <w:t>“</w:t>
      </w:r>
      <w:r w:rsidRPr="00ED55F4">
        <w:rPr>
          <w:rFonts w:ascii="Verdana" w:eastAsia="Arial" w:hAnsi="Verdana" w:cs="Arial"/>
          <w:lang w:val="es-ES"/>
        </w:rPr>
        <w:t>gestión contractual</w:t>
      </w:r>
      <w:r>
        <w:rPr>
          <w:rFonts w:ascii="Verdana" w:eastAsia="Arial" w:hAnsi="Verdana" w:cs="Arial"/>
          <w:lang w:val="es-ES"/>
        </w:rPr>
        <w:t>”</w:t>
      </w:r>
      <w:r w:rsidRPr="00ED55F4">
        <w:rPr>
          <w:rFonts w:ascii="Verdana" w:eastAsia="Arial" w:hAnsi="Verdana" w:cs="Arial"/>
          <w:lang w:val="es-ES"/>
        </w:rPr>
        <w:t xml:space="preserve">, sin el condicionamiento de tratarse exclusivamente de los </w:t>
      </w:r>
      <w:r w:rsidRPr="00ED55F4">
        <w:rPr>
          <w:rFonts w:ascii="Verdana" w:eastAsia="Arial" w:hAnsi="Verdana" w:cs="Arial"/>
          <w:i/>
          <w:iCs/>
          <w:lang w:val="es-ES"/>
        </w:rPr>
        <w:t xml:space="preserve">Documentos del Proceso </w:t>
      </w:r>
      <w:r w:rsidRPr="00ED55F4">
        <w:rPr>
          <w:rFonts w:ascii="Verdana" w:eastAsia="Arial" w:hAnsi="Verdana" w:cs="Arial"/>
          <w:lang w:val="es-ES"/>
        </w:rPr>
        <w:t xml:space="preserve">expedidos por la </w:t>
      </w:r>
      <w:r>
        <w:rPr>
          <w:rFonts w:ascii="Verdana" w:eastAsia="Arial" w:hAnsi="Verdana" w:cs="Arial"/>
          <w:lang w:val="es-ES"/>
        </w:rPr>
        <w:t>“</w:t>
      </w:r>
      <w:r w:rsidRPr="00ED55F4">
        <w:rPr>
          <w:rFonts w:ascii="Verdana" w:eastAsia="Arial" w:hAnsi="Verdana" w:cs="Arial"/>
          <w:lang w:val="es-ES"/>
        </w:rPr>
        <w:t>entidad estatal</w:t>
      </w:r>
      <w:r>
        <w:rPr>
          <w:rFonts w:ascii="Verdana" w:eastAsia="Arial" w:hAnsi="Verdana" w:cs="Arial"/>
          <w:lang w:val="es-ES"/>
        </w:rPr>
        <w:t>”</w:t>
      </w:r>
      <w:r w:rsidRPr="00ED55F4">
        <w:rPr>
          <w:rFonts w:ascii="Verdana" w:eastAsia="Arial" w:hAnsi="Verdana" w:cs="Arial"/>
          <w:lang w:val="es-ES"/>
        </w:rPr>
        <w:t>.</w:t>
      </w:r>
    </w:p>
    <w:p w14:paraId="795B3720" w14:textId="77777777" w:rsidR="0072217A" w:rsidRPr="00ED55F4" w:rsidRDefault="0072217A" w:rsidP="0072217A">
      <w:pPr>
        <w:spacing w:before="120" w:after="120" w:line="276" w:lineRule="auto"/>
        <w:ind w:firstLine="709"/>
        <w:jc w:val="both"/>
        <w:rPr>
          <w:rFonts w:ascii="Verdana" w:eastAsia="Calibri" w:hAnsi="Verdana" w:cs="Arial"/>
          <w:lang w:val="es-ES"/>
        </w:rPr>
      </w:pPr>
      <w:r w:rsidRPr="00ED55F4">
        <w:rPr>
          <w:rFonts w:ascii="Verdana" w:eastAsia="Calibri" w:hAnsi="Verdana" w:cs="Arial"/>
          <w:lang w:val="es-ES"/>
        </w:rPr>
        <w:lastRenderedPageBreak/>
        <w:t xml:space="preserve">Las publicaciones que corresponde efectuar a las entidades estatales, como sujetos obligados por la normativa de la transparencia y acceso a la información pública, en particular en lo referente a la información contractual, antes que una derogación o subrogación del contenido del deber de publicidad regulado por el EGCAP, suponen una ampliación de su alcance, que lo hace trascender de la simple publicación de la información </w:t>
      </w:r>
      <w:r>
        <w:rPr>
          <w:rFonts w:ascii="Verdana" w:eastAsia="Calibri" w:hAnsi="Verdana" w:cs="Arial"/>
          <w:lang w:val="es-ES"/>
        </w:rPr>
        <w:t>“</w:t>
      </w:r>
      <w:r w:rsidRPr="00ED55F4">
        <w:rPr>
          <w:rFonts w:ascii="Verdana" w:eastAsia="Calibri" w:hAnsi="Verdana" w:cs="Arial"/>
          <w:lang w:val="es-ES"/>
        </w:rPr>
        <w:t>producida por la entidad estatal</w:t>
      </w:r>
      <w:r>
        <w:rPr>
          <w:rFonts w:ascii="Verdana" w:eastAsia="Calibri" w:hAnsi="Verdana" w:cs="Arial"/>
          <w:lang w:val="es-ES"/>
        </w:rPr>
        <w:t>”</w:t>
      </w:r>
      <w:r w:rsidRPr="00ED55F4">
        <w:rPr>
          <w:rFonts w:ascii="Verdana" w:eastAsia="Calibri" w:hAnsi="Verdana" w:cs="Arial"/>
          <w:lang w:val="es-ES"/>
        </w:rPr>
        <w:t xml:space="preserve"> asociada a la noción de </w:t>
      </w:r>
      <w:r w:rsidRPr="00ED55F4">
        <w:rPr>
          <w:rFonts w:ascii="Verdana" w:eastAsia="Calibri" w:hAnsi="Verdana" w:cs="Arial"/>
          <w:i/>
          <w:iCs/>
          <w:lang w:val="es-ES"/>
        </w:rPr>
        <w:t>Documentos del Proceso.</w:t>
      </w:r>
      <w:r w:rsidRPr="00ED55F4">
        <w:rPr>
          <w:rFonts w:ascii="Verdana" w:hAnsi="Verdana" w:cs="Arial"/>
          <w:lang w:val="es-ES"/>
        </w:rPr>
        <w:t xml:space="preserve"> Esto</w:t>
      </w:r>
      <w:r w:rsidRPr="00ED55F4">
        <w:rPr>
          <w:rFonts w:ascii="Verdana" w:eastAsia="Calibri" w:hAnsi="Verdana" w:cs="Arial"/>
          <w:i/>
          <w:iCs/>
          <w:lang w:val="es-ES"/>
        </w:rPr>
        <w:t xml:space="preserve"> </w:t>
      </w:r>
      <w:r w:rsidRPr="00ED55F4">
        <w:rPr>
          <w:rFonts w:ascii="Verdana" w:eastAsia="Calibri" w:hAnsi="Verdana" w:cs="Arial"/>
          <w:lang w:val="es-ES"/>
        </w:rPr>
        <w:t xml:space="preserve">en la medida en que, al establecerse la obligación de publicar los </w:t>
      </w:r>
      <w:r>
        <w:rPr>
          <w:rFonts w:ascii="Verdana" w:eastAsia="Calibri" w:hAnsi="Verdana" w:cs="Arial"/>
          <w:lang w:val="es-ES"/>
        </w:rPr>
        <w:t>“</w:t>
      </w:r>
      <w:r w:rsidRPr="00ED55F4">
        <w:rPr>
          <w:rFonts w:ascii="Verdana" w:eastAsia="Calibri" w:hAnsi="Verdana" w:cs="Arial"/>
          <w:lang w:val="es-ES"/>
        </w:rPr>
        <w:t>procedimientos</w:t>
      </w:r>
      <w:r>
        <w:rPr>
          <w:rFonts w:ascii="Verdana" w:eastAsia="Calibri" w:hAnsi="Verdana" w:cs="Arial"/>
          <w:lang w:val="es-ES"/>
        </w:rPr>
        <w:t>”</w:t>
      </w:r>
      <w:r w:rsidRPr="00ED55F4">
        <w:rPr>
          <w:rFonts w:ascii="Verdana" w:eastAsia="Calibri" w:hAnsi="Verdana" w:cs="Arial"/>
          <w:lang w:val="es-ES"/>
        </w:rPr>
        <w:t xml:space="preserve"> y la </w:t>
      </w:r>
      <w:r>
        <w:rPr>
          <w:rFonts w:ascii="Verdana" w:eastAsia="Calibri" w:hAnsi="Verdana" w:cs="Arial"/>
          <w:lang w:val="es-ES"/>
        </w:rPr>
        <w:t>“</w:t>
      </w:r>
      <w:r w:rsidRPr="00ED55F4">
        <w:rPr>
          <w:rFonts w:ascii="Verdana" w:eastAsia="Calibri" w:hAnsi="Verdana" w:cs="Arial"/>
          <w:lang w:val="es-ES"/>
        </w:rPr>
        <w:t>información de la gestión contractual</w:t>
      </w:r>
      <w:r>
        <w:rPr>
          <w:rFonts w:ascii="Verdana" w:eastAsia="Calibri" w:hAnsi="Verdana" w:cs="Arial"/>
          <w:lang w:val="es-ES"/>
        </w:rPr>
        <w:t>”</w:t>
      </w:r>
      <w:r w:rsidRPr="00ED55F4">
        <w:rPr>
          <w:rFonts w:ascii="Verdana" w:eastAsia="Calibri" w:hAnsi="Verdana" w:cs="Arial"/>
          <w:lang w:val="es-ES"/>
        </w:rPr>
        <w:t xml:space="preserve"> en el SECOP, se incorporó una visión omnicomprensiva de la actividad contractual que debe publicarse, toda vez que la noción de procedimiento debe asimilarse a la de </w:t>
      </w:r>
      <w:r w:rsidRPr="00ED55F4">
        <w:rPr>
          <w:rFonts w:ascii="Verdana" w:eastAsia="Calibri" w:hAnsi="Verdana" w:cs="Arial"/>
          <w:i/>
          <w:iCs/>
          <w:lang w:val="es-ES"/>
        </w:rPr>
        <w:t>Proceso de Contratación.</w:t>
      </w:r>
      <w:r w:rsidRPr="00ED55F4">
        <w:rPr>
          <w:rFonts w:ascii="Verdana" w:eastAsia="Calibri" w:hAnsi="Verdana" w:cs="Arial"/>
          <w:lang w:val="es-ES"/>
        </w:rPr>
        <w:t xml:space="preserve"> Lo anterior implica que la publicación que corresponde a las entidades estatales, como sujetos obligados en el marco de la Ley 1712 de 2014, se extienda a todo el desarrollo del procedimiento, desde la etapa de planeación hasta el vencimiento de las garantías, incluyendo cada actuación que se produzca en ese lapso.  </w:t>
      </w:r>
    </w:p>
    <w:p w14:paraId="3B5EC7E0" w14:textId="77777777" w:rsidR="0072217A" w:rsidRPr="00ED55F4" w:rsidRDefault="0072217A" w:rsidP="0072217A">
      <w:pPr>
        <w:spacing w:before="120" w:after="120" w:line="276" w:lineRule="auto"/>
        <w:ind w:firstLine="709"/>
        <w:jc w:val="both"/>
        <w:rPr>
          <w:rFonts w:ascii="Verdana" w:eastAsia="Calibri" w:hAnsi="Verdana" w:cs="Arial"/>
          <w:lang w:val="es-ES"/>
        </w:rPr>
      </w:pPr>
      <w:r w:rsidRPr="00ED55F4">
        <w:rPr>
          <w:rFonts w:ascii="Verdana" w:eastAsia="Calibri" w:hAnsi="Verdana" w:cs="Arial"/>
          <w:lang w:val="es-ES"/>
        </w:rPr>
        <w:t>Esto quiere decir que las entidades estatales, además de los documentos y actos administrativos -de trámite o definitivos– que expiden durante los procedimientos de contratación</w:t>
      </w:r>
      <w:r w:rsidRPr="00ED55F4">
        <w:rPr>
          <w:rFonts w:ascii="Verdana" w:eastAsia="Calibri" w:hAnsi="Verdana" w:cs="Arial"/>
          <w:i/>
          <w:iCs/>
          <w:lang w:val="es-ES"/>
        </w:rPr>
        <w:t>,</w:t>
      </w:r>
      <w:r w:rsidRPr="00ED55F4">
        <w:rPr>
          <w:rFonts w:ascii="Verdana" w:eastAsia="Calibri" w:hAnsi="Verdana" w:cs="Arial"/>
          <w:lang w:val="es-ES"/>
        </w:rPr>
        <w:t xml:space="preserve"> deben publicar los documentos que los impulsan y materializan, incluso los que no produce la entidad, pero que hacen parte del procedimiento. En este grupo de documentos encontramos, por ejemplo, los contentivos de las observaciones formuladas por la ciudadanía al proyecto de pliego de condiciones, o por los proponentes al informe de evaluación y aclaraciones a las ofertas realizadas por los oferentes. En general, es posible afirmar que cualquier actuación ocurrida durante el </w:t>
      </w:r>
      <w:r w:rsidRPr="00ED55F4">
        <w:rPr>
          <w:rFonts w:ascii="Verdana" w:eastAsia="Calibri" w:hAnsi="Verdana" w:cs="Arial"/>
          <w:i/>
          <w:iCs/>
          <w:lang w:val="es-ES"/>
        </w:rPr>
        <w:t>Proceso de Contratación</w:t>
      </w:r>
      <w:r w:rsidRPr="00ED55F4">
        <w:rPr>
          <w:rFonts w:ascii="Verdana" w:eastAsia="Calibri" w:hAnsi="Verdana" w:cs="Arial"/>
          <w:lang w:val="es-ES"/>
        </w:rPr>
        <w:t>–a pesar de no tener origen en la entidad estatal, ni caber en estricto sentido en lo que se entiende con la expresión</w:t>
      </w:r>
      <w:r w:rsidRPr="00ED55F4">
        <w:rPr>
          <w:rFonts w:ascii="Verdana" w:eastAsia="Calibri" w:hAnsi="Verdana" w:cs="Arial"/>
          <w:i/>
          <w:iCs/>
          <w:lang w:val="es-ES"/>
        </w:rPr>
        <w:t xml:space="preserve"> Documento del Proceso–, </w:t>
      </w:r>
      <w:r w:rsidRPr="00ED55F4">
        <w:rPr>
          <w:rFonts w:ascii="Verdana" w:eastAsia="Calibri" w:hAnsi="Verdana" w:cs="Arial"/>
          <w:lang w:val="es-ES"/>
        </w:rPr>
        <w:t>hace parte del desarrollo del procedimiento, por lo que debe ser publicada por la entidad de manera proactiva en atención a lo dispuesto por la normativa de transparencia y acceso a la información pública.</w:t>
      </w:r>
    </w:p>
    <w:p w14:paraId="3E26C2F4" w14:textId="77777777" w:rsidR="0072217A" w:rsidRPr="00ED55F4" w:rsidRDefault="0072217A" w:rsidP="0072217A">
      <w:pPr>
        <w:spacing w:before="120" w:after="120" w:line="276" w:lineRule="auto"/>
        <w:ind w:firstLine="709"/>
        <w:jc w:val="both"/>
        <w:rPr>
          <w:rFonts w:ascii="Verdana" w:eastAsia="Calibri" w:hAnsi="Verdana" w:cs="Arial"/>
          <w:lang w:val="es-ES"/>
        </w:rPr>
      </w:pPr>
      <w:r w:rsidRPr="00ED55F4">
        <w:rPr>
          <w:rFonts w:ascii="Verdana" w:eastAsia="Calibri" w:hAnsi="Verdana" w:cs="Arial"/>
          <w:lang w:val="es-ES"/>
        </w:rPr>
        <w:t xml:space="preserve">Es importante resaltar que, al no existir efectos derogatorios o subrogatorios entre las disposiciones del EGCAP y la normativa de la transparencia y el acceso a la información pública, las disposiciones de ambos regímenes deben ser interpretadas de manera complementaria. Esto significa que a pesar de que los documentos objeto de publicación según el Decreto 1082 de 2015, se encuentren recogidos dentro de los que deben ser publicados conforme a la Ley 1712 de 2014 y el Decreto 1081 de 2015. De acuerdo con lo </w:t>
      </w:r>
      <w:r w:rsidRPr="00ED55F4">
        <w:rPr>
          <w:rFonts w:ascii="Verdana" w:eastAsia="Calibri" w:hAnsi="Verdana" w:cs="Arial"/>
          <w:lang w:val="es-ES"/>
        </w:rPr>
        <w:lastRenderedPageBreak/>
        <w:t xml:space="preserve">anterior, deben respetarse los aspectos expresamente regulados en cada norma, como, por ejemplo, el término de publicación y la excepción de publicación de los documentos de las operaciones que se celebren en bolsa de productos, conforme al </w:t>
      </w:r>
      <w:r w:rsidRPr="00ED55F4">
        <w:rPr>
          <w:rFonts w:ascii="Verdana" w:eastAsia="Arial" w:hAnsi="Verdana" w:cs="Arial"/>
          <w:lang w:val="es-ES"/>
        </w:rPr>
        <w:t>artículo 2.2.1.1.1.7.1. del Decreto 1082 de 2015.</w:t>
      </w:r>
    </w:p>
    <w:p w14:paraId="7011D7AA" w14:textId="77777777" w:rsidR="0072217A" w:rsidRPr="00ED55F4" w:rsidRDefault="0072217A" w:rsidP="0072217A">
      <w:pPr>
        <w:spacing w:before="120" w:after="120" w:line="276" w:lineRule="auto"/>
        <w:ind w:firstLine="709"/>
        <w:jc w:val="both"/>
        <w:rPr>
          <w:rFonts w:ascii="Verdana" w:eastAsia="Calibri" w:hAnsi="Verdana" w:cs="Arial"/>
          <w:lang w:val="es-ES"/>
        </w:rPr>
      </w:pPr>
      <w:r w:rsidRPr="00ED55F4">
        <w:rPr>
          <w:rFonts w:ascii="Verdana" w:eastAsia="Calibri" w:hAnsi="Verdana" w:cs="Arial"/>
          <w:lang w:val="es-ES"/>
        </w:rPr>
        <w:t xml:space="preserve">De conformidad con lo antes señalado, esta interpretación de las disposiciones analizadas permite incorporar al EGCAP importantes principios desarrollados por la normativa de la transparencia y acceso a la información pública, como </w:t>
      </w:r>
      <w:r w:rsidRPr="00351DE6">
        <w:rPr>
          <w:rFonts w:ascii="Verdana" w:eastAsia="Calibri" w:hAnsi="Verdana" w:cs="Arial"/>
          <w:lang w:val="es-ES"/>
        </w:rPr>
        <w:t>los de</w:t>
      </w:r>
      <w:r w:rsidRPr="00351DE6">
        <w:rPr>
          <w:rFonts w:ascii="Verdana" w:eastAsia="Calibri" w:hAnsi="Verdana" w:cs="Arial"/>
          <w:i/>
          <w:iCs/>
          <w:lang w:val="es-ES"/>
        </w:rPr>
        <w:t xml:space="preserve"> </w:t>
      </w:r>
      <w:r w:rsidRPr="00351DE6">
        <w:rPr>
          <w:rStyle w:val="nfasis"/>
          <w:rFonts w:ascii="Verdana" w:hAnsi="Verdana" w:cs="Arial"/>
        </w:rPr>
        <w:t>máxima publicidad para un titular universal</w:t>
      </w:r>
      <w:r w:rsidRPr="00351DE6">
        <w:rPr>
          <w:rStyle w:val="Refdenotaalpie"/>
          <w:rFonts w:ascii="Verdana" w:hAnsi="Verdana" w:cs="Arial"/>
          <w:lang w:val="es-ES"/>
        </w:rPr>
        <w:footnoteReference w:id="11"/>
      </w:r>
      <w:r w:rsidRPr="00351DE6">
        <w:rPr>
          <w:rStyle w:val="nfasis"/>
          <w:rFonts w:ascii="Verdana" w:hAnsi="Verdana" w:cs="Arial"/>
        </w:rPr>
        <w:t>, transparencia, facilitación y divulgación proactiva de la información</w:t>
      </w:r>
      <w:r w:rsidRPr="00351DE6">
        <w:rPr>
          <w:rStyle w:val="Refdenotaalpie"/>
          <w:rFonts w:ascii="Verdana" w:hAnsi="Verdana" w:cs="Arial"/>
          <w:lang w:val="es-ES"/>
        </w:rPr>
        <w:footnoteReference w:id="12"/>
      </w:r>
      <w:r w:rsidRPr="00351DE6">
        <w:rPr>
          <w:rStyle w:val="nfasis"/>
          <w:rFonts w:ascii="Verdana" w:hAnsi="Verdana" w:cs="Arial"/>
        </w:rPr>
        <w:t>. Ello es así, por cuanto al ampliarse la actividad contractual sobre la que recae el deber de publicación, se divulga un mayor volumen de información, que de por sí es pública, mediante un mecanismo como el SECOP, que facilita el acceso a la misma desde cualquier dispositivo con acceso a internet. Este mecanismo de publicidad garantiza mayor transparencia, al obligarse a las entidades estatales a publicar sus actuaciones de manera proactiva y rutinaria, lo que permite que la ciudadanía conozca con detalle y actualidad el desarrollo de la gestión contractual de la Administración, fomentándose en la contratación pública estándares altos de transparencia.</w:t>
      </w:r>
      <w:r w:rsidRPr="00ED55F4">
        <w:rPr>
          <w:rStyle w:val="nfasis"/>
          <w:rFonts w:ascii="Verdana" w:hAnsi="Verdana" w:cs="Arial"/>
        </w:rPr>
        <w:t xml:space="preserve">   </w:t>
      </w:r>
    </w:p>
    <w:p w14:paraId="778B8A78" w14:textId="77777777" w:rsidR="0072217A" w:rsidRPr="00ED55F4" w:rsidRDefault="0072217A" w:rsidP="0072217A">
      <w:pPr>
        <w:spacing w:before="120" w:after="120" w:line="276" w:lineRule="auto"/>
        <w:ind w:firstLine="709"/>
        <w:jc w:val="both"/>
        <w:rPr>
          <w:rFonts w:ascii="Verdana" w:hAnsi="Verdana" w:cs="Arial"/>
          <w:lang w:val="es-ES"/>
        </w:rPr>
      </w:pPr>
      <w:r w:rsidRPr="00E81B86">
        <w:rPr>
          <w:rStyle w:val="Textoennegrita"/>
          <w:rFonts w:ascii="Verdana" w:hAnsi="Verdana" w:cs="Arial"/>
          <w:b w:val="0"/>
          <w:bCs w:val="0"/>
          <w:lang w:val="es-ES"/>
        </w:rPr>
        <w:t xml:space="preserve">En conclusión, con base en los fundamentos normativos y argumentos expuestos, las entidades estatales regidas por el EGCAP deberán publicar en SECOP, entre otros, los siguientes documentos expedidos con ocasión del </w:t>
      </w:r>
      <w:r w:rsidRPr="00E81B86">
        <w:rPr>
          <w:rStyle w:val="Textoennegrita"/>
          <w:rFonts w:ascii="Verdana" w:hAnsi="Verdana" w:cs="Arial"/>
          <w:b w:val="0"/>
          <w:bCs w:val="0"/>
          <w:iCs/>
          <w:lang w:val="es-ES"/>
        </w:rPr>
        <w:t>proceso de contratación</w:t>
      </w:r>
      <w:r w:rsidRPr="00E81B86">
        <w:rPr>
          <w:rStyle w:val="Textoennegrita"/>
          <w:rFonts w:ascii="Verdana" w:hAnsi="Verdana" w:cs="Arial"/>
          <w:b w:val="0"/>
          <w:bCs w:val="0"/>
          <w:lang w:val="es-ES"/>
        </w:rPr>
        <w:t xml:space="preserve">: i) el estudio de oportunidad y conveniencia; ii) </w:t>
      </w:r>
      <w:r w:rsidRPr="00D921FA">
        <w:rPr>
          <w:rFonts w:ascii="Verdana" w:hAnsi="Verdana" w:cs="Arial"/>
          <w:lang w:val="es-ES"/>
        </w:rPr>
        <w:t xml:space="preserve">los </w:t>
      </w:r>
      <w:r w:rsidRPr="00ED55F4">
        <w:rPr>
          <w:rFonts w:ascii="Verdana" w:hAnsi="Verdana" w:cs="Arial"/>
          <w:lang w:val="es-ES"/>
        </w:rPr>
        <w:t xml:space="preserve">estudios y documentos previos –técnicos o no–; iii) el aviso de convocatoria; iv) el proyecto de pliego de condiciones y las observaciones que le formulen; v) el </w:t>
      </w:r>
      <w:r w:rsidRPr="00ED55F4">
        <w:rPr>
          <w:rFonts w:ascii="Verdana" w:hAnsi="Verdana" w:cs="Arial"/>
          <w:lang w:val="es-ES"/>
        </w:rPr>
        <w:lastRenderedPageBreak/>
        <w:t xml:space="preserve">pliego de condiciones o la invitación, así como las observaciones que se les realicen; vi) las actas de la audiencia de asignación de riesgos; vii) el acta de cierre del plazo para presentar ofertas; viii) las adendas; ix) en procesos cuya publicación deba realizarse en SECOP I, la oferta del adjudicatario y las aclaraciones que se le realicen; x) el informe de precalificación y las observaciones que se formulen; xi) el informe de evaluación y las observaciones que se formulen; xii) las respuestas a las observaciones; xiii) el contrato y los otrosíes o modificaciones; xiv) el acta de inicio; xv) las garantías; xvi) el acta de liquidación; xvii) los actos administrativos expedidos con ocasión del procedimiento de selección o la ejecución del contrato, como las resoluciones de apertura, de adjudicación, las que se impongan multas, la cláusula penal o declaren la caducidad del contrato; xviii) los documentos de los procesos por incumplimiento contractual que se lleven a cabo conforme al artículo 86 de la Ley 1474 de 2011, como la citación, las pruebas que se practiquen, la resolución que resuelve la actuación y demás documentos que se produzcan; ix) las reclamaciones que presenten las partes y las respuestas que se expidan a las mismas; xx) las actas de entrega o recibo, xxi) los informes de supervisión y/o interventoría; xxii) en cuanto a la ejecución, de conformidad con el artículo 2.1.1.2.1.8 de Decreto 1081 de 2015, deberán publicarse las aprobaciones, autorizaciones, requerimientos o informes del supervisor o del interventor, que prueben la ejecución del contrato; xxiii) la liquidación unilateral; y xxiv) en general cualquier otro documento producido o expedido con ocasión del </w:t>
      </w:r>
      <w:r w:rsidRPr="00ED55F4">
        <w:rPr>
          <w:rFonts w:ascii="Verdana" w:hAnsi="Verdana" w:cs="Arial"/>
          <w:i/>
          <w:iCs/>
          <w:lang w:val="es-ES"/>
        </w:rPr>
        <w:t>Proceso de Contratación</w:t>
      </w:r>
      <w:r w:rsidRPr="00ED55F4">
        <w:rPr>
          <w:rFonts w:ascii="Verdana" w:hAnsi="Verdana" w:cs="Arial"/>
          <w:lang w:val="es-ES"/>
        </w:rPr>
        <w:t>, sin importar quién sea su autor –la Administración o el contratista–, con excepción de los que pertenecen a</w:t>
      </w:r>
      <w:r w:rsidRPr="00ED55F4">
        <w:rPr>
          <w:rFonts w:ascii="Verdana" w:eastAsia="Arial" w:hAnsi="Verdana" w:cs="Arial"/>
          <w:lang w:val="es-ES"/>
        </w:rPr>
        <w:t xml:space="preserve">l marco de operaciones de bolsa de productos, expresamente excluidos de publicación por el artículo 2.2.1.1.1.7.1. del Decreto 1082 de 2015. </w:t>
      </w:r>
    </w:p>
    <w:p w14:paraId="3F4C0538" w14:textId="77777777" w:rsidR="0072217A" w:rsidRDefault="0072217A" w:rsidP="00477AF2">
      <w:pPr>
        <w:spacing w:before="120" w:after="120" w:line="276" w:lineRule="auto"/>
        <w:ind w:firstLine="708"/>
        <w:jc w:val="both"/>
        <w:rPr>
          <w:rFonts w:ascii="Verdana" w:hAnsi="Verdana" w:cs="Arial"/>
          <w:lang w:val="es-ES"/>
        </w:rPr>
      </w:pPr>
      <w:r w:rsidRPr="00ED55F4">
        <w:rPr>
          <w:rFonts w:ascii="Verdana" w:hAnsi="Verdana" w:cs="Arial"/>
          <w:lang w:val="es-ES"/>
        </w:rPr>
        <w:t>Sin perjuicio de lo anterior, no debe perderse de vista que, en virtud del principio de transparencia, específicamente por cuenta de lo dispuesto en el numeral 4 del artículo 24 de la Ley 80 de 1993</w:t>
      </w:r>
      <w:r w:rsidRPr="00ED55F4">
        <w:rPr>
          <w:rStyle w:val="Refdenotaalpie"/>
          <w:rFonts w:ascii="Verdana" w:hAnsi="Verdana" w:cs="Arial"/>
          <w:lang w:val="es-ES"/>
        </w:rPr>
        <w:footnoteReference w:id="13"/>
      </w:r>
      <w:r w:rsidRPr="00ED55F4">
        <w:rPr>
          <w:rFonts w:ascii="Verdana" w:hAnsi="Verdana" w:cs="Arial"/>
          <w:lang w:val="es-ES"/>
        </w:rPr>
        <w:t>, así como por el principio de máxima publicidad establecido en el artículo 2 de la Ley 1712 de 2014</w:t>
      </w:r>
      <w:r w:rsidRPr="00ED55F4">
        <w:rPr>
          <w:rStyle w:val="Refdenotaalpie"/>
          <w:rFonts w:ascii="Verdana" w:hAnsi="Verdana" w:cs="Arial"/>
          <w:lang w:val="es-ES"/>
        </w:rPr>
        <w:footnoteReference w:id="14"/>
      </w:r>
      <w:r w:rsidRPr="00ED55F4">
        <w:rPr>
          <w:rFonts w:ascii="Verdana" w:hAnsi="Verdana" w:cs="Arial"/>
          <w:lang w:val="es-ES"/>
        </w:rPr>
        <w:t xml:space="preserve">, el contenido del expediente en el que reposa la actuación es información pública, independientemente de si se trata de documentos que deban ser publicados en </w:t>
      </w:r>
      <w:r w:rsidRPr="00ED55F4">
        <w:rPr>
          <w:rFonts w:ascii="Verdana" w:hAnsi="Verdana" w:cs="Arial"/>
          <w:lang w:val="es-ES"/>
        </w:rPr>
        <w:lastRenderedPageBreak/>
        <w:t>SECOP. Por esta razón, los documentos que conforman el expediente pueden ser objeto de solicitudes de copias, en ejercicio del derecho de petición, en cualquier momento del proceso de selección, en la medida en que las normas señaladas no imponen ningún condicionamiento, así que podrán solicitarlas cualquier persona, dentro de lo que cabe el control social de la contratación pública, cuestión que podría interesar a cualquier ciudadano</w:t>
      </w:r>
      <w:r w:rsidRPr="00ED55F4">
        <w:rPr>
          <w:rStyle w:val="Refdenotaalpie"/>
          <w:rFonts w:ascii="Verdana" w:hAnsi="Verdana" w:cs="Arial"/>
          <w:lang w:val="es-ES"/>
        </w:rPr>
        <w:footnoteReference w:id="15"/>
      </w:r>
      <w:r w:rsidRPr="00ED55F4">
        <w:rPr>
          <w:rFonts w:ascii="Verdana" w:hAnsi="Verdana" w:cs="Arial"/>
          <w:lang w:val="es-ES"/>
        </w:rPr>
        <w:t>. Esta posibilidad solo se encuentra limitada respecto de la documentación que tenga la calidad de reservada</w:t>
      </w:r>
      <w:r w:rsidRPr="00ED55F4">
        <w:rPr>
          <w:rFonts w:ascii="Verdana" w:hAnsi="Verdana" w:cs="Arial"/>
          <w:vertAlign w:val="superscript"/>
          <w:lang w:val="es-ES"/>
        </w:rPr>
        <w:footnoteReference w:id="16"/>
      </w:r>
      <w:r w:rsidRPr="00ED55F4">
        <w:rPr>
          <w:rFonts w:ascii="Verdana" w:hAnsi="Verdana" w:cs="Arial"/>
          <w:lang w:val="es-ES"/>
        </w:rPr>
        <w:t>, que deberá someterse al tratamiento establecido en el artículo 36 del CPACA, en lo relativo a la formación de cuadernos separados</w:t>
      </w:r>
      <w:r w:rsidRPr="00ED55F4">
        <w:rPr>
          <w:rFonts w:ascii="Verdana" w:hAnsi="Verdana" w:cs="Arial"/>
          <w:vertAlign w:val="superscript"/>
          <w:lang w:val="es-ES"/>
        </w:rPr>
        <w:footnoteReference w:id="17"/>
      </w:r>
      <w:r w:rsidRPr="00ED55F4">
        <w:rPr>
          <w:rFonts w:ascii="Verdana" w:hAnsi="Verdana" w:cs="Arial"/>
          <w:lang w:val="es-ES"/>
        </w:rPr>
        <w:t>.</w:t>
      </w:r>
    </w:p>
    <w:p w14:paraId="42EAC948" w14:textId="305330A8" w:rsidR="00477AF2" w:rsidRPr="00477AF2" w:rsidRDefault="00477AF2" w:rsidP="00477AF2">
      <w:pPr>
        <w:spacing w:before="120" w:after="120" w:line="276" w:lineRule="auto"/>
        <w:ind w:firstLine="708"/>
        <w:jc w:val="both"/>
        <w:rPr>
          <w:rFonts w:ascii="Verdana" w:eastAsia="Calibri" w:hAnsi="Verdana" w:cs="Arial"/>
          <w:lang w:val="es-MX"/>
        </w:rPr>
      </w:pPr>
      <w:r w:rsidRPr="00477AF2">
        <w:rPr>
          <w:rFonts w:ascii="Verdana" w:eastAsia="Calibri" w:hAnsi="Verdana" w:cs="Arial"/>
          <w:lang w:val="es-MX"/>
        </w:rPr>
        <w:t>Así, analizando las normas sobre publicidad en el SECOP, se concluye que no existen disposiciones de las que se pueda inferir el interés de la ley en exigir la publicación exclusiva de los actos que comprometan la ejecución de recursos públicos, puesto que su objetivo es general y se refiere a la actividad precontractual, contractual y pos</w:t>
      </w:r>
      <w:r w:rsidR="00545143">
        <w:rPr>
          <w:rFonts w:ascii="Verdana" w:eastAsia="Calibri" w:hAnsi="Verdana" w:cs="Arial"/>
          <w:lang w:val="es-MX"/>
        </w:rPr>
        <w:t>t-</w:t>
      </w:r>
      <w:r w:rsidRPr="00477AF2">
        <w:rPr>
          <w:rFonts w:ascii="Verdana" w:eastAsia="Calibri" w:hAnsi="Verdana" w:cs="Arial"/>
          <w:lang w:val="es-MX"/>
        </w:rPr>
        <w:t>contractual de las entidades, sin que quepa interpretación diferente, debido a la finalidad de la ley respecto de la ciudadanía y su derecho a conocer las decisiones de la Administración pública.</w:t>
      </w:r>
    </w:p>
    <w:p w14:paraId="4CA11158" w14:textId="2A63B954" w:rsidR="00477AF2" w:rsidRDefault="00477AF2" w:rsidP="00545143">
      <w:pPr>
        <w:spacing w:after="0" w:line="276" w:lineRule="auto"/>
        <w:ind w:firstLine="708"/>
        <w:jc w:val="both"/>
        <w:rPr>
          <w:rFonts w:ascii="Verdana" w:eastAsia="Calibri" w:hAnsi="Verdana" w:cs="Arial"/>
          <w:lang w:val="es-MX"/>
        </w:rPr>
      </w:pPr>
      <w:r w:rsidRPr="00477AF2">
        <w:rPr>
          <w:rFonts w:ascii="Verdana" w:eastAsia="Calibri" w:hAnsi="Verdana" w:cs="Arial"/>
          <w:lang w:val="es-MX"/>
        </w:rPr>
        <w:t>La Corte Constitucional hizo énfasis en la transición de la actividad contractual impresa, que se publicaba en el Diario Único de Contratación, a una contratación pública electrónica desarrollada mediante el SECOP:</w:t>
      </w:r>
    </w:p>
    <w:p w14:paraId="0E620D61" w14:textId="77777777" w:rsidR="00545143" w:rsidRPr="00477AF2" w:rsidRDefault="00545143" w:rsidP="00545143">
      <w:pPr>
        <w:spacing w:after="0" w:line="276" w:lineRule="auto"/>
        <w:ind w:firstLine="708"/>
        <w:jc w:val="both"/>
        <w:rPr>
          <w:rFonts w:ascii="Verdana" w:eastAsia="Calibri" w:hAnsi="Verdana" w:cs="Arial"/>
          <w:lang w:val="es-MX"/>
        </w:rPr>
      </w:pPr>
    </w:p>
    <w:p w14:paraId="131A3EF6" w14:textId="67C1E200" w:rsidR="00477AF2" w:rsidRPr="00477AF2" w:rsidRDefault="00477AF2" w:rsidP="00477AF2">
      <w:pPr>
        <w:ind w:left="708" w:right="680"/>
        <w:jc w:val="both"/>
        <w:rPr>
          <w:rFonts w:ascii="Verdana" w:eastAsia="Calibri" w:hAnsi="Verdana" w:cs="Arial"/>
          <w:sz w:val="21"/>
          <w:szCs w:val="21"/>
          <w:lang w:val="es-MX"/>
        </w:rPr>
      </w:pPr>
      <w:r w:rsidRPr="00477AF2">
        <w:rPr>
          <w:rFonts w:ascii="Verdana" w:eastAsia="Calibri" w:hAnsi="Verdana" w:cs="Arial"/>
          <w:sz w:val="21"/>
          <w:szCs w:val="21"/>
          <w:lang w:val="es-MX"/>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w:t>
      </w:r>
      <w:r w:rsidRPr="00477AF2">
        <w:rPr>
          <w:rFonts w:ascii="Verdana" w:eastAsia="Calibri" w:hAnsi="Verdana" w:cs="Arial"/>
          <w:lang w:val="es-MX"/>
        </w:rPr>
        <w:t xml:space="preserve"> </w:t>
      </w:r>
      <w:r w:rsidRPr="00477AF2">
        <w:rPr>
          <w:rFonts w:ascii="Verdana" w:eastAsia="Calibri" w:hAnsi="Verdana" w:cs="Arial"/>
          <w:sz w:val="21"/>
          <w:szCs w:val="21"/>
          <w:lang w:val="es-MX"/>
        </w:rPr>
        <w:t>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7B0B95D3" w14:textId="49A87B8F" w:rsidR="00477AF2" w:rsidRDefault="00477AF2" w:rsidP="00CC14DF">
      <w:pPr>
        <w:spacing w:after="0"/>
        <w:ind w:left="708" w:right="680"/>
        <w:jc w:val="both"/>
        <w:rPr>
          <w:rFonts w:ascii="Verdana" w:eastAsia="Calibri" w:hAnsi="Verdana" w:cs="Arial"/>
          <w:sz w:val="21"/>
          <w:szCs w:val="21"/>
          <w:lang w:val="es-MX"/>
        </w:rPr>
      </w:pPr>
      <w:r w:rsidRPr="00477AF2">
        <w:rPr>
          <w:rFonts w:ascii="Verdana" w:eastAsia="Calibri" w:hAnsi="Verdana" w:cs="Arial"/>
          <w:sz w:val="21"/>
          <w:szCs w:val="21"/>
          <w:lang w:val="es-MX"/>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r w:rsidRPr="00477AF2">
        <w:rPr>
          <w:rFonts w:ascii="Verdana" w:eastAsia="Calibri" w:hAnsi="Verdana" w:cs="Arial"/>
          <w:vertAlign w:val="superscript"/>
          <w:lang w:val="es-MX"/>
        </w:rPr>
        <w:footnoteReference w:id="18"/>
      </w:r>
      <w:r w:rsidRPr="00477AF2">
        <w:rPr>
          <w:rFonts w:ascii="Verdana" w:eastAsia="Calibri" w:hAnsi="Verdana" w:cs="Arial"/>
          <w:sz w:val="21"/>
          <w:szCs w:val="21"/>
          <w:lang w:val="es-MX"/>
        </w:rPr>
        <w:t>.</w:t>
      </w:r>
    </w:p>
    <w:p w14:paraId="43469BBF" w14:textId="77777777" w:rsidR="00CC14DF" w:rsidRPr="00477AF2" w:rsidRDefault="00CC14DF" w:rsidP="00CC14DF">
      <w:pPr>
        <w:spacing w:after="0"/>
        <w:ind w:left="708" w:right="680"/>
        <w:jc w:val="both"/>
        <w:rPr>
          <w:rFonts w:ascii="Verdana" w:eastAsia="Calibri" w:hAnsi="Verdana" w:cs="Arial"/>
          <w:sz w:val="21"/>
          <w:szCs w:val="21"/>
          <w:lang w:val="es-MX"/>
        </w:rPr>
      </w:pPr>
    </w:p>
    <w:p w14:paraId="6CC513C1" w14:textId="38F55312" w:rsidR="00477AF2" w:rsidRDefault="00477AF2" w:rsidP="00CC14DF">
      <w:pPr>
        <w:spacing w:after="0" w:line="276" w:lineRule="auto"/>
        <w:ind w:right="49" w:firstLine="708"/>
        <w:jc w:val="both"/>
        <w:rPr>
          <w:rFonts w:ascii="Verdana" w:eastAsia="Calibri" w:hAnsi="Verdana" w:cs="Arial"/>
          <w:lang w:val="es-MX"/>
        </w:rPr>
      </w:pPr>
      <w:r w:rsidRPr="00477AF2">
        <w:rPr>
          <w:rFonts w:ascii="Verdana" w:eastAsia="Calibri" w:hAnsi="Verdana" w:cs="Arial"/>
          <w:lang w:val="es-MX"/>
        </w:rPr>
        <w:t xml:space="preserve">De acuerdo con lo anterior, sobre la obligatoriedad de publicar en el SECOP contratos </w:t>
      </w:r>
      <w:r w:rsidR="00CC14DF">
        <w:rPr>
          <w:rFonts w:ascii="Verdana" w:eastAsia="Calibri" w:hAnsi="Verdana" w:cs="Arial"/>
          <w:lang w:val="es-MX"/>
        </w:rPr>
        <w:t>de</w:t>
      </w:r>
      <w:r w:rsidRPr="00477AF2">
        <w:rPr>
          <w:rFonts w:ascii="Verdana" w:eastAsia="Calibri" w:hAnsi="Verdana" w:cs="Arial"/>
          <w:lang w:val="es-MX"/>
        </w:rPr>
        <w:t xml:space="preserve"> comodato ya se había pronunciado esta Agencia en el concepto C-087 del 4 marzo de 2020, en el que</w:t>
      </w:r>
      <w:r w:rsidR="00CC14DF">
        <w:rPr>
          <w:rFonts w:ascii="Verdana" w:eastAsia="Calibri" w:hAnsi="Verdana" w:cs="Arial"/>
          <w:lang w:val="es-MX"/>
        </w:rPr>
        <w:t>,</w:t>
      </w:r>
      <w:r w:rsidRPr="00477AF2">
        <w:rPr>
          <w:rFonts w:ascii="Verdana" w:eastAsia="Calibri" w:hAnsi="Verdana" w:cs="Arial"/>
          <w:lang w:val="es-MX"/>
        </w:rPr>
        <w:t xml:space="preserve"> al responder a la pregunta </w:t>
      </w:r>
      <w:r w:rsidR="00CC14DF">
        <w:rPr>
          <w:rFonts w:ascii="Verdana" w:eastAsia="Calibri" w:hAnsi="Verdana" w:cs="Arial"/>
          <w:lang w:val="es-MX"/>
        </w:rPr>
        <w:t>“</w:t>
      </w:r>
      <w:r w:rsidRPr="00477AF2">
        <w:rPr>
          <w:rFonts w:ascii="Verdana" w:eastAsia="Calibri" w:hAnsi="Verdana" w:cs="Arial"/>
          <w:lang w:val="es-MX"/>
        </w:rPr>
        <w:t>¿Se debe publicar en el SECOP II los contratos de arrendamiento o comodato donde el municipio no desembolsa recursos?</w:t>
      </w:r>
      <w:r w:rsidR="00CC14DF">
        <w:rPr>
          <w:rFonts w:ascii="Verdana" w:eastAsia="Calibri" w:hAnsi="Verdana" w:cs="Arial"/>
          <w:lang w:val="es-MX"/>
        </w:rPr>
        <w:t>”,</w:t>
      </w:r>
      <w:r w:rsidRPr="00477AF2">
        <w:rPr>
          <w:rFonts w:ascii="Verdana" w:eastAsia="Calibri" w:hAnsi="Verdana" w:cs="Arial"/>
          <w:lang w:val="es-MX"/>
        </w:rPr>
        <w:t xml:space="preserve"> consideró que:</w:t>
      </w:r>
    </w:p>
    <w:p w14:paraId="143B7D87" w14:textId="77777777" w:rsidR="00CC14DF" w:rsidRPr="00477AF2" w:rsidRDefault="00CC14DF" w:rsidP="00CC14DF">
      <w:pPr>
        <w:spacing w:after="0" w:line="276" w:lineRule="auto"/>
        <w:ind w:right="49" w:firstLine="708"/>
        <w:jc w:val="both"/>
        <w:rPr>
          <w:rFonts w:ascii="Verdana" w:eastAsia="Calibri" w:hAnsi="Verdana" w:cs="Arial"/>
          <w:lang w:val="es-MX"/>
        </w:rPr>
      </w:pPr>
    </w:p>
    <w:p w14:paraId="4155E7D5" w14:textId="478C6887" w:rsidR="00477AF2" w:rsidRDefault="00477AF2" w:rsidP="00CC14DF">
      <w:pPr>
        <w:spacing w:after="0"/>
        <w:ind w:left="709" w:right="709"/>
        <w:jc w:val="both"/>
        <w:rPr>
          <w:rFonts w:ascii="Verdana" w:eastAsia="Calibri" w:hAnsi="Verdana" w:cs="Arial"/>
          <w:sz w:val="21"/>
          <w:szCs w:val="21"/>
          <w:lang w:val="es-MX"/>
        </w:rPr>
      </w:pPr>
      <w:r w:rsidRPr="00477AF2">
        <w:rPr>
          <w:rFonts w:ascii="Verdana" w:eastAsia="Calibri" w:hAnsi="Verdana" w:cs="Arial"/>
          <w:sz w:val="21"/>
          <w:szCs w:val="21"/>
          <w:lang w:val="es-MX"/>
        </w:rPr>
        <w:t>[…] la obligatoriedad de publicar las actuaciones contractuales de las entidades no está sujeta a la ejecución de recursos públicos, por ende, las entidades deben publicar los documentos relacionados con sus procedimientos contractuales, que según el artículo 2.2.1.1.1.3.1. del Decreto 1082 de 2015, incluyen el contrato y cualquier otro documento expedido por la entidad en el desarrollo de esa actividad</w:t>
      </w:r>
      <w:r w:rsidRPr="00477AF2">
        <w:rPr>
          <w:rFonts w:ascii="Verdana" w:eastAsia="Calibri" w:hAnsi="Verdana" w:cs="Arial"/>
          <w:sz w:val="21"/>
          <w:szCs w:val="21"/>
          <w:vertAlign w:val="superscript"/>
          <w:lang w:val="es-MX"/>
        </w:rPr>
        <w:footnoteReference w:id="19"/>
      </w:r>
      <w:r w:rsidRPr="00477AF2">
        <w:rPr>
          <w:rFonts w:ascii="Verdana" w:eastAsia="Calibri" w:hAnsi="Verdana" w:cs="Arial"/>
          <w:sz w:val="21"/>
          <w:szCs w:val="21"/>
          <w:lang w:val="es-MX"/>
        </w:rPr>
        <w:t>.</w:t>
      </w:r>
    </w:p>
    <w:p w14:paraId="220089C1" w14:textId="77777777" w:rsidR="00CC14DF" w:rsidRPr="00477AF2" w:rsidRDefault="00CC14DF" w:rsidP="00CC14DF">
      <w:pPr>
        <w:spacing w:after="0"/>
        <w:ind w:left="709" w:right="709"/>
        <w:jc w:val="both"/>
        <w:rPr>
          <w:rFonts w:ascii="Verdana" w:eastAsia="Calibri" w:hAnsi="Verdana" w:cs="Arial"/>
          <w:sz w:val="21"/>
          <w:szCs w:val="21"/>
          <w:lang w:val="es-MX"/>
        </w:rPr>
      </w:pPr>
    </w:p>
    <w:p w14:paraId="17AB9F10" w14:textId="77777777" w:rsidR="00477AF2" w:rsidRPr="00477AF2" w:rsidRDefault="00477AF2" w:rsidP="00477AF2">
      <w:pPr>
        <w:spacing w:after="120" w:line="276" w:lineRule="auto"/>
        <w:ind w:firstLine="709"/>
        <w:jc w:val="both"/>
        <w:rPr>
          <w:rFonts w:ascii="Verdana" w:eastAsia="Calibri" w:hAnsi="Verdana" w:cs="Arial"/>
          <w:lang w:val="es-MX"/>
        </w:rPr>
      </w:pPr>
      <w:r w:rsidRPr="00477AF2">
        <w:rPr>
          <w:rFonts w:ascii="Verdana" w:eastAsia="Calibri" w:hAnsi="Verdana" w:cs="Arial"/>
          <w:lang w:val="es-MX"/>
        </w:rPr>
        <w:t>Debe precisarse que la calidad de contrato estatal obedece a un criterio eminentemente orgánico</w:t>
      </w:r>
      <w:r w:rsidRPr="00477AF2">
        <w:rPr>
          <w:rFonts w:ascii="Verdana" w:eastAsia="Calibri" w:hAnsi="Verdana" w:cs="Arial"/>
          <w:vertAlign w:val="superscript"/>
          <w:lang w:val="es-MX"/>
        </w:rPr>
        <w:footnoteReference w:id="20"/>
      </w:r>
      <w:r w:rsidRPr="00477AF2">
        <w:rPr>
          <w:rFonts w:ascii="Verdana" w:eastAsia="Calibri" w:hAnsi="Verdana" w:cs="Arial"/>
          <w:lang w:val="es-MX"/>
        </w:rPr>
        <w:t xml:space="preserve">, por lo que son todos aquellos celebrados por alguna de entidad estatal, de las cuales, las enlistadas en el artículo 2 de la Ley 80 de 1993, están obligadas a aplicar las normas contenidas en dicha ley. No obstante, la Ley 80 de 1993, la Ley 1150 de 1993 y su reglamentación, no constituyen un conjunto de normas que por sí solas gobiernen el grueso de las relaciones contractuales de las entidades estatales –de acuerdo con el artículo 2 </w:t>
      </w:r>
      <w:r w:rsidRPr="00477AF2">
        <w:rPr>
          <w:rFonts w:ascii="Verdana" w:eastAsia="Calibri" w:hAnsi="Verdana" w:cs="Arial"/>
          <w:i/>
          <w:iCs/>
          <w:lang w:val="es-MX"/>
        </w:rPr>
        <w:t>Ibídem</w:t>
      </w:r>
      <w:r w:rsidRPr="00477AF2">
        <w:rPr>
          <w:rFonts w:ascii="Verdana" w:eastAsia="Calibri" w:hAnsi="Verdana" w:cs="Arial"/>
          <w:lang w:val="es-MX"/>
        </w:rPr>
        <w:t>–. Por el contrario, constituyen una serie de reglas y principios que deben aplicarse de manera prevalente en los contratos que celebren dichos entes, pero que deben complementarse con el derecho privado, –tal como se desprende de los artículos 13 y 40 de la Ley 80 de 1993</w:t>
      </w:r>
      <w:r w:rsidRPr="00477AF2">
        <w:rPr>
          <w:rFonts w:ascii="Verdana" w:eastAsia="Calibri" w:hAnsi="Verdana" w:cs="Arial"/>
          <w:vertAlign w:val="superscript"/>
          <w:lang w:val="es-MX"/>
        </w:rPr>
        <w:footnoteReference w:id="21"/>
      </w:r>
      <w:r w:rsidRPr="00477AF2">
        <w:rPr>
          <w:rFonts w:ascii="Verdana" w:eastAsia="Calibri" w:hAnsi="Verdana" w:cs="Arial"/>
          <w:lang w:val="es-MX"/>
        </w:rPr>
        <w:t>– ámbito jurídico del que surgen la gran mayoría de tipologías contractuales celebradas por las entidades públicas.</w:t>
      </w:r>
    </w:p>
    <w:p w14:paraId="2E01E3A2" w14:textId="77777777" w:rsidR="00477AF2" w:rsidRPr="00477AF2" w:rsidRDefault="00477AF2" w:rsidP="00477AF2">
      <w:pPr>
        <w:spacing w:after="120" w:line="276" w:lineRule="auto"/>
        <w:ind w:firstLine="709"/>
        <w:jc w:val="both"/>
        <w:rPr>
          <w:rFonts w:ascii="Verdana" w:eastAsia="Calibri" w:hAnsi="Verdana" w:cs="Arial"/>
          <w:lang w:val="es-MX"/>
        </w:rPr>
      </w:pPr>
      <w:r w:rsidRPr="00477AF2">
        <w:rPr>
          <w:rFonts w:ascii="Verdana" w:eastAsia="Calibri" w:hAnsi="Verdana" w:cs="Arial"/>
          <w:lang w:val="es-MX"/>
        </w:rPr>
        <w:t xml:space="preserve">De acuerdo con esto, las 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ser satisfechas a través de contratos de comodato, en los que además de las disposiciones del EGCAP deberán aplicarse en su mayoría normas de derecho privado, lo que de ninguna manera desvirtúa la calidad de estatal de dichos contratos. </w:t>
      </w:r>
    </w:p>
    <w:p w14:paraId="3E6DA76E" w14:textId="5D909800" w:rsidR="00C619A7" w:rsidRDefault="00477AF2" w:rsidP="00065E07">
      <w:pPr>
        <w:spacing w:after="0" w:line="276" w:lineRule="auto"/>
        <w:ind w:firstLine="709"/>
        <w:jc w:val="both"/>
        <w:rPr>
          <w:rFonts w:ascii="Verdana" w:eastAsia="Calibri" w:hAnsi="Verdana" w:cs="Arial"/>
          <w:lang w:val="es-MX"/>
        </w:rPr>
      </w:pPr>
      <w:r w:rsidRPr="00477AF2">
        <w:rPr>
          <w:rFonts w:ascii="Verdana" w:eastAsia="Calibri" w:hAnsi="Verdana" w:cs="Arial"/>
          <w:lang w:val="es-MX"/>
        </w:rPr>
        <w:lastRenderedPageBreak/>
        <w:t xml:space="preserve">Dicha calidad de contrato estatal tampoco depende de que la relación contractual implique o no la erogación de recursos públicos, pues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 </w:t>
      </w:r>
    </w:p>
    <w:p w14:paraId="7A14B39B" w14:textId="77777777" w:rsidR="00065E07" w:rsidRPr="002539DB" w:rsidRDefault="00065E07" w:rsidP="00065E07">
      <w:pPr>
        <w:spacing w:after="0" w:line="276" w:lineRule="auto"/>
        <w:ind w:firstLine="709"/>
        <w:jc w:val="both"/>
        <w:rPr>
          <w:rFonts w:ascii="Verdana" w:eastAsia="Arial" w:hAnsi="Verdana" w:cs="Arial"/>
          <w:lang w:val="es-MX" w:eastAsia="es-ES" w:bidi="es-ES"/>
        </w:rPr>
      </w:pPr>
    </w:p>
    <w:p w14:paraId="0FBCEB13" w14:textId="77777777" w:rsidR="00C619A7" w:rsidRPr="005B7C42" w:rsidRDefault="00C619A7" w:rsidP="00C619A7">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5D92EFA6" w14:textId="77777777" w:rsidR="00C619A7" w:rsidRPr="005B7C42" w:rsidRDefault="00C619A7" w:rsidP="00C619A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619A7" w:rsidRPr="005B7C42" w14:paraId="4D9DEBFB" w14:textId="77777777" w:rsidTr="00DC099B">
        <w:trPr>
          <w:trHeight w:val="870"/>
        </w:trPr>
        <w:tc>
          <w:tcPr>
            <w:tcW w:w="8647" w:type="dxa"/>
          </w:tcPr>
          <w:p w14:paraId="29D98E71" w14:textId="77777777" w:rsidR="00FD3861" w:rsidRDefault="00FD3861" w:rsidP="00FD3861">
            <w:pPr>
              <w:pStyle w:val="Prrafodelista"/>
              <w:numPr>
                <w:ilvl w:val="0"/>
                <w:numId w:val="16"/>
              </w:numPr>
              <w:spacing w:line="276" w:lineRule="auto"/>
              <w:jc w:val="both"/>
              <w:rPr>
                <w:rFonts w:ascii="Verdana" w:eastAsia="Calibri" w:hAnsi="Verdana" w:cs="Arial"/>
                <w:bCs/>
                <w:color w:val="000000"/>
                <w:szCs w:val="24"/>
                <w:lang w:val="es-ES_tradnl" w:eastAsia="es-ES_tradnl" w:bidi="es-ES"/>
              </w:rPr>
            </w:pPr>
            <w:r>
              <w:rPr>
                <w:rFonts w:ascii="Verdana" w:eastAsia="Calibri" w:hAnsi="Verdana" w:cs="Arial"/>
                <w:bCs/>
                <w:color w:val="000000"/>
                <w:szCs w:val="24"/>
                <w:lang w:val="es-ES_tradnl" w:eastAsia="es-ES_tradnl" w:bidi="es-ES"/>
              </w:rPr>
              <w:t>Ley 80 de 1993, artículo 24, numeral 4</w:t>
            </w:r>
          </w:p>
          <w:p w14:paraId="1A3A498A" w14:textId="77777777" w:rsidR="00FD3861" w:rsidRDefault="00FD3861" w:rsidP="00FD3861">
            <w:pPr>
              <w:pStyle w:val="Prrafodelista"/>
              <w:numPr>
                <w:ilvl w:val="0"/>
                <w:numId w:val="16"/>
              </w:numPr>
              <w:spacing w:line="276" w:lineRule="auto"/>
              <w:jc w:val="both"/>
              <w:rPr>
                <w:rFonts w:ascii="Verdana" w:eastAsia="Calibri" w:hAnsi="Verdana" w:cs="Arial"/>
                <w:bCs/>
                <w:color w:val="000000"/>
                <w:szCs w:val="24"/>
                <w:lang w:val="es-ES_tradnl" w:eastAsia="es-ES_tradnl" w:bidi="es-ES"/>
              </w:rPr>
            </w:pPr>
            <w:r w:rsidRPr="00832150">
              <w:rPr>
                <w:rFonts w:ascii="Verdana" w:eastAsia="Calibri" w:hAnsi="Verdana" w:cs="Arial"/>
                <w:bCs/>
                <w:color w:val="000000"/>
                <w:szCs w:val="24"/>
                <w:lang w:val="es-ES_tradnl" w:eastAsia="es-ES_tradnl" w:bidi="es-ES"/>
              </w:rPr>
              <w:t>Ley 1150 de 2007</w:t>
            </w:r>
            <w:r>
              <w:rPr>
                <w:rFonts w:ascii="Verdana" w:eastAsia="Calibri" w:hAnsi="Verdana" w:cs="Arial"/>
                <w:bCs/>
                <w:color w:val="000000"/>
                <w:szCs w:val="24"/>
                <w:lang w:val="es-ES_tradnl" w:eastAsia="es-ES_tradnl" w:bidi="es-ES"/>
              </w:rPr>
              <w:t>, artículo 3</w:t>
            </w:r>
          </w:p>
          <w:p w14:paraId="4923E75C" w14:textId="77777777" w:rsidR="00FD3861" w:rsidRDefault="00FD3861" w:rsidP="00FD3861">
            <w:pPr>
              <w:pStyle w:val="Prrafodelista"/>
              <w:numPr>
                <w:ilvl w:val="0"/>
                <w:numId w:val="16"/>
              </w:numPr>
              <w:spacing w:line="276" w:lineRule="auto"/>
              <w:jc w:val="both"/>
              <w:rPr>
                <w:rFonts w:ascii="Verdana" w:eastAsia="Calibri" w:hAnsi="Verdana" w:cs="Arial"/>
                <w:bCs/>
                <w:color w:val="000000"/>
                <w:szCs w:val="24"/>
                <w:lang w:val="es-ES_tradnl" w:eastAsia="es-ES_tradnl" w:bidi="es-ES"/>
              </w:rPr>
            </w:pPr>
            <w:r w:rsidRPr="003D0C71">
              <w:rPr>
                <w:rFonts w:ascii="Verdana" w:eastAsia="Calibri" w:hAnsi="Verdana" w:cs="Arial"/>
                <w:bCs/>
                <w:color w:val="000000"/>
                <w:szCs w:val="24"/>
                <w:lang w:val="es-ES_tradnl" w:eastAsia="es-ES_tradnl" w:bidi="es-ES"/>
              </w:rPr>
              <w:t>Decreto 1082 de 2015</w:t>
            </w:r>
            <w:r>
              <w:rPr>
                <w:rFonts w:ascii="Verdana" w:eastAsia="Calibri" w:hAnsi="Verdana" w:cs="Arial"/>
                <w:bCs/>
                <w:color w:val="000000"/>
                <w:szCs w:val="24"/>
                <w:lang w:val="es-ES_tradnl" w:eastAsia="es-ES_tradnl" w:bidi="es-ES"/>
              </w:rPr>
              <w:t xml:space="preserve">, artículos </w:t>
            </w:r>
            <w:r w:rsidRPr="00285FD8">
              <w:rPr>
                <w:rFonts w:ascii="Verdana" w:hAnsi="Verdana" w:cs="Arial"/>
              </w:rPr>
              <w:t xml:space="preserve">2.2.1.1.1.3.1. </w:t>
            </w:r>
            <w:r>
              <w:rPr>
                <w:rFonts w:ascii="Verdana" w:eastAsia="Calibri" w:hAnsi="Verdana" w:cs="Arial"/>
                <w:bCs/>
                <w:color w:val="000000"/>
                <w:szCs w:val="24"/>
                <w:lang w:val="es-ES_tradnl" w:eastAsia="es-ES_tradnl" w:bidi="es-ES"/>
              </w:rPr>
              <w:t>y</w:t>
            </w:r>
            <w:r w:rsidRPr="00334B2F">
              <w:rPr>
                <w:rFonts w:ascii="Verdana" w:eastAsia="Calibri" w:hAnsi="Verdana" w:cs="Arial"/>
                <w:bCs/>
                <w:color w:val="000000"/>
                <w:szCs w:val="24"/>
                <w:lang w:val="es-ES_tradnl" w:eastAsia="es-ES_tradnl" w:bidi="es-ES"/>
              </w:rPr>
              <w:t xml:space="preserve"> </w:t>
            </w:r>
            <w:r w:rsidRPr="00FF14D0">
              <w:rPr>
                <w:rFonts w:ascii="Verdana" w:hAnsi="Verdana" w:cs="Arial"/>
              </w:rPr>
              <w:t>2.2.1.1.1.7.1.</w:t>
            </w:r>
          </w:p>
          <w:p w14:paraId="016F7F0E" w14:textId="77777777" w:rsidR="00FD3861" w:rsidRDefault="00FD3861" w:rsidP="00FD3861">
            <w:pPr>
              <w:pStyle w:val="Prrafodelista"/>
              <w:numPr>
                <w:ilvl w:val="0"/>
                <w:numId w:val="16"/>
              </w:numPr>
              <w:spacing w:line="276" w:lineRule="auto"/>
              <w:jc w:val="both"/>
              <w:rPr>
                <w:rFonts w:ascii="Verdana" w:eastAsia="Calibri" w:hAnsi="Verdana" w:cs="Arial"/>
                <w:bCs/>
                <w:color w:val="000000"/>
                <w:szCs w:val="24"/>
                <w:lang w:val="es-ES_tradnl" w:eastAsia="es-ES_tradnl" w:bidi="es-ES"/>
              </w:rPr>
            </w:pPr>
            <w:r w:rsidRPr="00351DE6">
              <w:rPr>
                <w:rFonts w:ascii="Verdana" w:eastAsia="Calibri" w:hAnsi="Verdana" w:cs="Arial"/>
                <w:bCs/>
                <w:color w:val="000000"/>
                <w:szCs w:val="24"/>
                <w:lang w:val="es-ES_tradnl" w:eastAsia="es-ES_tradnl" w:bidi="es-ES"/>
              </w:rPr>
              <w:t>Ley 1712 de 2014,</w:t>
            </w:r>
            <w:r>
              <w:rPr>
                <w:rFonts w:ascii="Verdana" w:eastAsia="Calibri" w:hAnsi="Verdana" w:cs="Arial"/>
                <w:bCs/>
                <w:color w:val="000000"/>
                <w:szCs w:val="24"/>
                <w:lang w:val="es-ES_tradnl" w:eastAsia="es-ES_tradnl" w:bidi="es-ES"/>
              </w:rPr>
              <w:t xml:space="preserve"> artículo 2, </w:t>
            </w:r>
            <w:r w:rsidRPr="00351DE6">
              <w:rPr>
                <w:rFonts w:ascii="Verdana" w:eastAsia="Calibri" w:hAnsi="Verdana" w:cs="Arial"/>
                <w:bCs/>
                <w:color w:val="000000"/>
                <w:szCs w:val="24"/>
                <w:lang w:val="es-ES_tradnl" w:eastAsia="es-ES_tradnl" w:bidi="es-ES"/>
              </w:rPr>
              <w:t>literal g) del artíc</w:t>
            </w:r>
            <w:r>
              <w:rPr>
                <w:rFonts w:ascii="Verdana" w:eastAsia="Calibri" w:hAnsi="Verdana" w:cs="Arial"/>
                <w:bCs/>
                <w:color w:val="000000"/>
                <w:szCs w:val="24"/>
                <w:lang w:val="es-ES_tradnl" w:eastAsia="es-ES_tradnl" w:bidi="es-ES"/>
              </w:rPr>
              <w:t>ulo 11</w:t>
            </w:r>
          </w:p>
          <w:p w14:paraId="5B96C71B" w14:textId="77777777" w:rsidR="00FD3861" w:rsidRPr="00393408" w:rsidRDefault="00FD3861" w:rsidP="00FD3861">
            <w:pPr>
              <w:pStyle w:val="Prrafodelista"/>
              <w:numPr>
                <w:ilvl w:val="0"/>
                <w:numId w:val="16"/>
              </w:numPr>
              <w:spacing w:line="276" w:lineRule="auto"/>
              <w:jc w:val="both"/>
              <w:rPr>
                <w:rFonts w:ascii="Verdana" w:eastAsia="Calibri" w:hAnsi="Verdana" w:cs="Arial"/>
                <w:color w:val="000000"/>
                <w:lang w:eastAsia="es-ES" w:bidi="es-ES"/>
              </w:rPr>
            </w:pPr>
            <w:r w:rsidRPr="00FF14D0">
              <w:rPr>
                <w:rFonts w:ascii="Verdana" w:hAnsi="Verdana" w:cs="Arial"/>
              </w:rPr>
              <w:t>Decreto 1081 de 2015</w:t>
            </w:r>
            <w:r>
              <w:rPr>
                <w:rFonts w:ascii="Verdana" w:hAnsi="Verdana" w:cs="Arial"/>
              </w:rPr>
              <w:t xml:space="preserve">, </w:t>
            </w:r>
            <w:r w:rsidRPr="00FF14D0">
              <w:rPr>
                <w:rFonts w:ascii="Verdana" w:hAnsi="Verdana" w:cs="Arial"/>
              </w:rPr>
              <w:t>artículo 2.1.1.2.1.7</w:t>
            </w:r>
            <w:r>
              <w:rPr>
                <w:rFonts w:ascii="Verdana" w:hAnsi="Verdana" w:cs="Arial"/>
              </w:rPr>
              <w:t>.</w:t>
            </w:r>
            <w:r w:rsidRPr="00FF14D0">
              <w:rPr>
                <w:rFonts w:ascii="Verdana" w:hAnsi="Verdana" w:cs="Arial"/>
              </w:rPr>
              <w:t>,</w:t>
            </w:r>
            <w:r>
              <w:rPr>
                <w:rFonts w:ascii="Verdana" w:hAnsi="Verdana" w:cs="Arial"/>
              </w:rPr>
              <w:t xml:space="preserve"> </w:t>
            </w:r>
            <w:r w:rsidRPr="00FF14D0">
              <w:rPr>
                <w:rFonts w:ascii="Verdana" w:hAnsi="Verdana" w:cs="Arial"/>
              </w:rPr>
              <w:t>2.1.1.2.1.8</w:t>
            </w:r>
            <w:r>
              <w:rPr>
                <w:rFonts w:ascii="Verdana" w:hAnsi="Verdana" w:cs="Arial"/>
              </w:rPr>
              <w:t xml:space="preserve">., </w:t>
            </w:r>
            <w:r w:rsidRPr="00FF14D0">
              <w:rPr>
                <w:rFonts w:ascii="Verdana" w:hAnsi="Verdana" w:cs="Arial"/>
              </w:rPr>
              <w:t>2.1.1.2.1.9</w:t>
            </w:r>
            <w:r>
              <w:rPr>
                <w:rFonts w:ascii="Verdana" w:hAnsi="Verdana" w:cs="Arial"/>
              </w:rPr>
              <w:t>., 2</w:t>
            </w:r>
            <w:r w:rsidRPr="00FF14D0">
              <w:rPr>
                <w:rFonts w:ascii="Verdana" w:hAnsi="Verdana" w:cs="Arial"/>
              </w:rPr>
              <w:t>.1.1.2.1.10</w:t>
            </w:r>
            <w:r>
              <w:rPr>
                <w:rFonts w:ascii="Verdana" w:hAnsi="Verdana" w:cs="Arial"/>
              </w:rPr>
              <w:t>.</w:t>
            </w:r>
          </w:p>
          <w:p w14:paraId="42614CE5" w14:textId="77777777" w:rsidR="00FD3861" w:rsidRPr="00393408" w:rsidRDefault="00FD3861" w:rsidP="00FD3861">
            <w:pPr>
              <w:pStyle w:val="Prrafodelista"/>
              <w:numPr>
                <w:ilvl w:val="0"/>
                <w:numId w:val="16"/>
              </w:numPr>
              <w:spacing w:line="276" w:lineRule="auto"/>
              <w:jc w:val="both"/>
              <w:rPr>
                <w:rFonts w:ascii="Verdana" w:eastAsia="Calibri" w:hAnsi="Verdana" w:cs="Arial"/>
                <w:color w:val="000000"/>
                <w:lang w:eastAsia="es-ES" w:bidi="es-ES"/>
              </w:rPr>
            </w:pPr>
            <w:r w:rsidRPr="00393408">
              <w:rPr>
                <w:rFonts w:ascii="Verdana" w:hAnsi="Verdana" w:cs="Arial"/>
              </w:rPr>
              <w:t>Código de Procedimiento Administrativo y de lo Contencioso Administrativo</w:t>
            </w:r>
            <w:r>
              <w:rPr>
                <w:rFonts w:ascii="Verdana" w:hAnsi="Verdana" w:cs="Arial"/>
              </w:rPr>
              <w:t xml:space="preserve"> – CPACA, artículo 36</w:t>
            </w:r>
          </w:p>
          <w:p w14:paraId="29CFD139" w14:textId="77777777" w:rsidR="00FD3861" w:rsidRDefault="00FD3861" w:rsidP="00FD3861">
            <w:pPr>
              <w:pStyle w:val="Prrafodelista"/>
              <w:numPr>
                <w:ilvl w:val="0"/>
                <w:numId w:val="16"/>
              </w:numPr>
              <w:spacing w:line="276" w:lineRule="auto"/>
              <w:jc w:val="both"/>
              <w:rPr>
                <w:rFonts w:ascii="Verdana" w:eastAsia="Calibri" w:hAnsi="Verdana" w:cs="Arial"/>
                <w:color w:val="000000"/>
                <w:lang w:eastAsia="es-ES" w:bidi="es-ES"/>
              </w:rPr>
            </w:pPr>
            <w:r w:rsidRPr="00393408">
              <w:rPr>
                <w:rFonts w:ascii="Verdana" w:eastAsia="Calibri" w:hAnsi="Verdana" w:cs="Arial"/>
                <w:color w:val="000000"/>
                <w:lang w:eastAsia="es-ES" w:bidi="es-ES"/>
              </w:rPr>
              <w:t>Corte Constitucional. Sentencia C- 341 del 4 de junio de 2014. M. P. Mauricio González Cuervo.</w:t>
            </w:r>
          </w:p>
          <w:p w14:paraId="2B6E9D86" w14:textId="249A3DFE" w:rsidR="00C619A7" w:rsidRPr="000C0AD4" w:rsidRDefault="00FD3861" w:rsidP="00FD3861">
            <w:pPr>
              <w:pStyle w:val="Prrafodelista"/>
              <w:numPr>
                <w:ilvl w:val="0"/>
                <w:numId w:val="16"/>
              </w:numPr>
              <w:jc w:val="both"/>
              <w:rPr>
                <w:rFonts w:ascii="Verdana" w:eastAsia="Calibri" w:hAnsi="Verdana" w:cs="Arial"/>
                <w:shd w:val="clear" w:color="auto" w:fill="FFFFFF"/>
              </w:rPr>
            </w:pPr>
            <w:r w:rsidRPr="00393408">
              <w:rPr>
                <w:rFonts w:ascii="Verdana" w:eastAsia="Calibri" w:hAnsi="Verdana" w:cs="Arial"/>
                <w:color w:val="000000"/>
                <w:lang w:eastAsia="es-ES" w:bidi="es-ES"/>
              </w:rPr>
              <w:t>Consejo de Estado. Sección Tercera. Sentencia del 14 de diciembre de 2007. Exp. 24.715. C.P. Ruth Stella Correa Palacio.</w:t>
            </w:r>
          </w:p>
        </w:tc>
      </w:tr>
    </w:tbl>
    <w:p w14:paraId="3E72CEE8" w14:textId="77777777" w:rsidR="00C619A7" w:rsidRPr="005B7C42" w:rsidRDefault="00C619A7" w:rsidP="00C619A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5786223" w14:textId="77777777" w:rsidR="00C619A7" w:rsidRPr="005B7C42" w:rsidRDefault="00C619A7" w:rsidP="00C619A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0659B9FA" w14:textId="77777777" w:rsidR="00C619A7" w:rsidRPr="005B7C42" w:rsidRDefault="00C619A7" w:rsidP="00C619A7">
      <w:pPr>
        <w:spacing w:after="0" w:line="276" w:lineRule="auto"/>
        <w:ind w:firstLine="709"/>
        <w:jc w:val="both"/>
        <w:rPr>
          <w:rFonts w:ascii="Verdana" w:eastAsia="Times New Roman" w:hAnsi="Verdana" w:cs="Arial"/>
          <w:szCs w:val="24"/>
          <w:lang w:eastAsia="es-ES_tradnl"/>
        </w:rPr>
      </w:pPr>
    </w:p>
    <w:p w14:paraId="3B405675" w14:textId="0D5E7683" w:rsidR="00C619A7" w:rsidRDefault="00AB732C" w:rsidP="00C619A7">
      <w:pPr>
        <w:widowControl w:val="0"/>
        <w:autoSpaceDE w:val="0"/>
        <w:autoSpaceDN w:val="0"/>
        <w:spacing w:after="0" w:line="276" w:lineRule="auto"/>
        <w:jc w:val="both"/>
        <w:rPr>
          <w:rFonts w:ascii="Verdana" w:hAnsi="Verdana"/>
        </w:rPr>
      </w:pPr>
      <w:r w:rsidRPr="00DB6EFB">
        <w:rPr>
          <w:rStyle w:val="normaltextrun"/>
          <w:rFonts w:ascii="Verdana" w:hAnsi="Verdana" w:cs="Arial"/>
          <w:shd w:val="clear" w:color="auto" w:fill="FFFFFF"/>
          <w:lang w:val="es-ES"/>
        </w:rPr>
        <w:t xml:space="preserve">Sobre </w:t>
      </w:r>
      <w:r w:rsidRPr="00DB6EFB">
        <w:rPr>
          <w:rStyle w:val="normaltextrun"/>
          <w:rFonts w:ascii="Verdana" w:hAnsi="Verdana" w:cs="Arial"/>
          <w:i/>
          <w:iCs/>
          <w:shd w:val="clear" w:color="auto" w:fill="FFFFFF"/>
          <w:lang w:val="es-ES"/>
        </w:rPr>
        <w:t>el deber de las entidades de publicar sus actuaciones contractuales en el SECOP</w:t>
      </w:r>
      <w:r w:rsidRPr="00DB6EFB">
        <w:rPr>
          <w:rStyle w:val="normaltextrun"/>
          <w:rFonts w:ascii="Verdana" w:hAnsi="Verdana" w:cs="Arial"/>
          <w:shd w:val="clear" w:color="auto" w:fill="FFFFFF"/>
          <w:lang w:val="es-ES"/>
        </w:rPr>
        <w:t xml:space="preserve">, esta Subdirección unificó su doctrina en el concepto CU-003 del 15 de enero de 2020.  Dicho concepto de unificación, fue reiterado en los conceptos C-116 del 18 de febrero de 2020, C-079 del 5 de febrero de 2020, C-061 del 3 de marzo de 2020, C-088 del 3 de marzo de 2020, C-072 del 4 de marzo de 2020, C-087 del 4 de marzo de 2020, C-147 del 17 de marzo de 2020, C-149 del 24 de marzo de 2020, C-158 del 3 de abril de 2020, C-265 del 3 de abril de 2020, C-176 del 6 de abril de 2020, C-264 del 7 de abril de 2020, C-270 del 15 de abril </w:t>
      </w:r>
      <w:r w:rsidRPr="00DB6EFB">
        <w:rPr>
          <w:rStyle w:val="normaltextrun"/>
          <w:rFonts w:ascii="Verdana" w:hAnsi="Verdana" w:cs="Arial"/>
          <w:shd w:val="clear" w:color="auto" w:fill="FFFFFF"/>
          <w:lang w:val="es-ES"/>
        </w:rPr>
        <w:lastRenderedPageBreak/>
        <w:t>de 2020, C-271 del 22 de abril de 2020, C-009 del 27 de abril de 2020, C-011 del 27 de abril de 2020, C-272 del 27 de abril de 2020, C-015 del 29 de abril de 2020,  C-312 del 6 de mayo de 2020, C-035 del 26 de mayo de 2020, C-346 del 26 de mayo de 2020,  C-369 del 4 de junio de 2020, C-399 del 26 de junio de 2020, C-372 del 30 de junio de 2020, C-437 del 6 de julio de 2020,C-468 del 24 de julio de 2020, C-494 del 4 de agosto de 2020, C-449 del 5 de agosto de 2020, C-559 del 25 de agosto de 2020, C-562 del 25 de agosto de 2020, C-574 del 27 de agosto de 2020, C-680 de 18 de noviembre de 2020, C-780 del 18 de enero de 2021, C-032 del 2 de marzo de 2021, C-137 del 7 de abril de 2021, C-172 del 13 de abril de 2021, C-185 del 29 de abril de 2021, C-222 del 19 de mayo de 2021, C-229 y C-238 del 24 de mayo de 2021, C-241 del 27 de mayo de 2021, C-253 del 2 de junio de 2021, C-026 del 18 de febrero de 2022, C-074 del 10 de marzo de 2022, C-083 del 18 de marzo de 2022, C-135 del 28 de marzo de 2022, C-495 del 2 de agosto de 2022, C-508 del 30 de agosto de 2022 y C-609 del 23 de septiembre de 2022,</w:t>
      </w:r>
      <w:r>
        <w:rPr>
          <w:rStyle w:val="normaltextrun"/>
          <w:rFonts w:ascii="Verdana" w:hAnsi="Verdana" w:cs="Arial"/>
          <w:shd w:val="clear" w:color="auto" w:fill="FFFFFF"/>
          <w:lang w:val="es-ES"/>
        </w:rPr>
        <w:t xml:space="preserve"> </w:t>
      </w:r>
      <w:r w:rsidR="00D6307B">
        <w:rPr>
          <w:rStyle w:val="normaltextrun"/>
          <w:rFonts w:ascii="Verdana" w:hAnsi="Verdana" w:cs="Arial"/>
          <w:shd w:val="clear" w:color="auto" w:fill="FFFFFF"/>
          <w:lang w:val="es-ES"/>
        </w:rPr>
        <w:t>C-893 del 5 de diciembre de 2024, C-</w:t>
      </w:r>
      <w:r w:rsidR="003F6101">
        <w:rPr>
          <w:rStyle w:val="normaltextrun"/>
          <w:rFonts w:ascii="Verdana" w:hAnsi="Verdana" w:cs="Arial"/>
          <w:shd w:val="clear" w:color="auto" w:fill="FFFFFF"/>
          <w:lang w:val="es-ES"/>
        </w:rPr>
        <w:t>906 del 27 de diciembre de 2024, entre otros</w:t>
      </w:r>
      <w:r w:rsidR="00C619A7" w:rsidRPr="00BC17B3">
        <w:rPr>
          <w:rFonts w:ascii="Verdana" w:hAnsi="Verdana"/>
        </w:rPr>
        <w:t>.</w:t>
      </w:r>
      <w:r w:rsidR="00C619A7">
        <w:rPr>
          <w:rFonts w:ascii="Verdana" w:hAnsi="Verdana"/>
        </w:rPr>
        <w:t xml:space="preserve"> </w:t>
      </w:r>
      <w:r w:rsidR="00C619A7" w:rsidRPr="00945DBF">
        <w:rPr>
          <w:rStyle w:val="normaltextrun"/>
          <w:rFonts w:ascii="Verdana" w:hAnsi="Verdana" w:cs="Arial"/>
          <w:shd w:val="clear" w:color="auto" w:fill="FFFFFF"/>
          <w:lang w:val="es-ES"/>
        </w:rPr>
        <w:t>Es</w:t>
      </w:r>
      <w:r w:rsidR="00C619A7" w:rsidRPr="00945DBF">
        <w:rPr>
          <w:rFonts w:ascii="Verdana" w:hAnsi="Verdana"/>
        </w:rPr>
        <w:t>tos y otros conceptos se encuentran disponibles para consulta en el Sistema de relatoría de la Agencia, al cual se puede acceder a través del siguiente enlace</w:t>
      </w:r>
      <w:r w:rsidR="00C619A7" w:rsidRPr="00A1554D">
        <w:rPr>
          <w:rFonts w:ascii="Verdana" w:hAnsi="Verdana"/>
        </w:rPr>
        <w:t>:</w:t>
      </w:r>
    </w:p>
    <w:p w14:paraId="2E41878B" w14:textId="77777777" w:rsidR="00C619A7" w:rsidRPr="005B7C42" w:rsidRDefault="00C619A7" w:rsidP="00C619A7">
      <w:pPr>
        <w:widowControl w:val="0"/>
        <w:autoSpaceDE w:val="0"/>
        <w:autoSpaceDN w:val="0"/>
        <w:spacing w:after="0" w:line="276" w:lineRule="auto"/>
        <w:jc w:val="both"/>
        <w:rPr>
          <w:rStyle w:val="normaltextrun"/>
          <w:rFonts w:ascii="Verdana" w:hAnsi="Verdana"/>
          <w:color w:val="000000"/>
        </w:rPr>
      </w:pPr>
    </w:p>
    <w:p w14:paraId="22F9AC73" w14:textId="77777777" w:rsidR="00C619A7" w:rsidRPr="005B7C42" w:rsidRDefault="00C619A7" w:rsidP="00C619A7">
      <w:pPr>
        <w:widowControl w:val="0"/>
        <w:autoSpaceDE w:val="0"/>
        <w:autoSpaceDN w:val="0"/>
        <w:spacing w:after="0" w:line="276" w:lineRule="auto"/>
        <w:jc w:val="both"/>
        <w:rPr>
          <w:rFonts w:ascii="Verdana" w:eastAsia="Calibri" w:hAnsi="Verdana" w:cs="Arial"/>
          <w:lang w:eastAsia="es-ES_tradnl"/>
        </w:rPr>
      </w:pPr>
      <w:hyperlink r:id="rId17" w:history="1">
        <w:r w:rsidRPr="007505E9">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5F598028" w14:textId="77777777" w:rsidR="00C619A7" w:rsidRPr="005B7C42" w:rsidRDefault="00C619A7" w:rsidP="00C619A7">
      <w:pPr>
        <w:widowControl w:val="0"/>
        <w:autoSpaceDE w:val="0"/>
        <w:autoSpaceDN w:val="0"/>
        <w:spacing w:after="0" w:line="276" w:lineRule="auto"/>
        <w:jc w:val="both"/>
        <w:rPr>
          <w:rFonts w:ascii="Verdana" w:eastAsia="Calibri" w:hAnsi="Verdana" w:cs="Arial"/>
          <w:lang w:eastAsia="es-ES_tradnl"/>
        </w:rPr>
      </w:pPr>
    </w:p>
    <w:p w14:paraId="07966A35" w14:textId="77777777" w:rsidR="00C619A7" w:rsidRDefault="00C619A7" w:rsidP="00C619A7">
      <w:pPr>
        <w:spacing w:after="0" w:line="240" w:lineRule="auto"/>
        <w:jc w:val="both"/>
        <w:rPr>
          <w:rFonts w:ascii="Verdana" w:eastAsia="Calibri" w:hAnsi="Verdana" w:cs="Arial"/>
          <w:lang w:val="es-ES" w:eastAsia="es-ES"/>
        </w:rPr>
      </w:pPr>
      <w:r w:rsidRPr="00944E10">
        <w:rPr>
          <w:rFonts w:ascii="Verdana" w:eastAsia="Calibri" w:hAnsi="Verdana" w:cs="Arial"/>
          <w:lang w:eastAsia="es-ES"/>
        </w:rPr>
        <w:t xml:space="preserve">Te informamos que ya se encuentra disponible la </w:t>
      </w:r>
      <w:r w:rsidRPr="00944E10">
        <w:rPr>
          <w:rFonts w:ascii="Verdana" w:eastAsia="Calibri" w:hAnsi="Verdana" w:cs="Arial"/>
          <w:b/>
          <w:bCs/>
          <w:lang w:eastAsia="es-ES"/>
        </w:rPr>
        <w:t>Cartilla para incentivar y fortalecer el acceso a las compras y contratación pública de los pueblos y comunidades étnicas en Colombia.</w:t>
      </w:r>
      <w:r w:rsidRPr="00944E10">
        <w:rPr>
          <w:rFonts w:ascii="Verdana" w:eastAsia="Calibri" w:hAnsi="Verdana" w:cs="Arial"/>
          <w:lang w:eastAsia="es-ES"/>
        </w:rPr>
        <w:t xml:space="preserve">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8" w:history="1">
        <w:r w:rsidRPr="00944E10">
          <w:rPr>
            <w:rStyle w:val="Hipervnculo"/>
            <w:rFonts w:ascii="Verdana" w:eastAsia="Calibri" w:hAnsi="Verdana" w:cs="Arial"/>
            <w:lang w:eastAsia="es-ES"/>
          </w:rPr>
          <w:t>Cartilla para incentivar y fortalecer el acceso a las compras y contratación pública de los pueblos y comunidades étnicas en Colombia | Colombia Compra Eficiente | Agencia Nacional de Contratación Pública</w:t>
        </w:r>
      </w:hyperlink>
    </w:p>
    <w:p w14:paraId="30752768" w14:textId="77777777" w:rsidR="00C619A7" w:rsidRPr="00944E10" w:rsidRDefault="00C619A7" w:rsidP="00C619A7">
      <w:pPr>
        <w:spacing w:after="0" w:line="240" w:lineRule="auto"/>
        <w:jc w:val="both"/>
        <w:rPr>
          <w:rFonts w:ascii="Verdana" w:eastAsia="Calibri" w:hAnsi="Verdana" w:cs="Arial"/>
          <w:lang w:eastAsia="es-ES"/>
        </w:rPr>
      </w:pPr>
    </w:p>
    <w:p w14:paraId="19758472" w14:textId="77777777" w:rsidR="00C619A7" w:rsidRDefault="00C619A7" w:rsidP="00C619A7">
      <w:pPr>
        <w:spacing w:after="0" w:line="240" w:lineRule="auto"/>
        <w:jc w:val="both"/>
        <w:rPr>
          <w:rFonts w:ascii="Verdana" w:eastAsia="Calibri" w:hAnsi="Verdana" w:cs="Arial"/>
          <w:lang w:val="es-ES" w:eastAsia="es-ES"/>
        </w:rPr>
      </w:pPr>
      <w:r w:rsidRPr="00944E10">
        <w:rPr>
          <w:rFonts w:ascii="Verdana" w:eastAsia="Calibri" w:hAnsi="Verdana" w:cs="Arial"/>
          <w:lang w:eastAsia="es-ES"/>
        </w:rPr>
        <w:t>De otra parte, </w:t>
      </w:r>
      <w:r>
        <w:rPr>
          <w:rFonts w:ascii="Verdana" w:eastAsia="Calibri" w:hAnsi="Verdana" w:cs="Arial"/>
          <w:lang w:eastAsia="es-ES"/>
        </w:rPr>
        <w:t>l</w:t>
      </w:r>
      <w:r w:rsidRPr="00944E10">
        <w:rPr>
          <w:rFonts w:ascii="Verdana" w:eastAsia="Calibri" w:hAnsi="Verdana" w:cs="Arial"/>
          <w:lang w:eastAsia="es-ES"/>
        </w:rPr>
        <w:t xml:space="preserve">e informamos que, con el objetivo de garantizar un conocimiento adecuado de las </w:t>
      </w:r>
      <w:r w:rsidRPr="00944E10">
        <w:rPr>
          <w:rFonts w:ascii="Verdana" w:eastAsia="Calibri" w:hAnsi="Verdana" w:cs="Arial"/>
          <w:b/>
          <w:bCs/>
          <w:lang w:eastAsia="es-ES"/>
        </w:rPr>
        <w:t>modificaciones y/o actualizaciones realizadas a los Documentos Tipo</w:t>
      </w:r>
      <w:r w:rsidRPr="00944E10">
        <w:rPr>
          <w:rFonts w:ascii="Verdana" w:eastAsia="Calibri" w:hAnsi="Verdana" w:cs="Arial"/>
          <w:lang w:eastAsia="es-ES"/>
        </w:rPr>
        <w:t xml:space="preserve">, hemos programado una serie de </w:t>
      </w:r>
      <w:r w:rsidRPr="00944E10">
        <w:rPr>
          <w:rFonts w:ascii="Verdana" w:eastAsia="Calibri" w:hAnsi="Verdana" w:cs="Arial"/>
          <w:b/>
          <w:bCs/>
          <w:lang w:eastAsia="es-ES"/>
        </w:rPr>
        <w:t xml:space="preserve">capacitaciones </w:t>
      </w:r>
      <w:r w:rsidRPr="00944E10">
        <w:rPr>
          <w:rFonts w:ascii="Verdana" w:eastAsia="Calibri" w:hAnsi="Verdana" w:cs="Arial"/>
          <w:lang w:eastAsia="es-ES"/>
        </w:rPr>
        <w:t xml:space="preserve">dirigidas a todos los actores involucrados en los procesos de selección. Podrá conocer la programación y realizar tu inscripción a estas capacitaciones a través del siguiente enlace: </w:t>
      </w:r>
      <w:hyperlink r:id="rId19" w:history="1">
        <w:r w:rsidRPr="00944E10">
          <w:rPr>
            <w:rStyle w:val="Hipervnculo"/>
            <w:rFonts w:ascii="Verdana" w:eastAsia="Calibri" w:hAnsi="Verdana" w:cs="Arial"/>
            <w:lang w:eastAsia="es-ES"/>
          </w:rPr>
          <w:t>Calendario | Colombia Compra Eficiente | Agencia Nacional de Contratación Pública</w:t>
        </w:r>
      </w:hyperlink>
    </w:p>
    <w:p w14:paraId="4C66BDB7" w14:textId="77777777" w:rsidR="00C619A7" w:rsidRPr="00944E10" w:rsidRDefault="00C619A7" w:rsidP="00C619A7">
      <w:pPr>
        <w:spacing w:after="0" w:line="240" w:lineRule="auto"/>
        <w:jc w:val="both"/>
        <w:rPr>
          <w:rFonts w:ascii="Verdana" w:eastAsia="Calibri" w:hAnsi="Verdana" w:cs="Arial"/>
          <w:lang w:eastAsia="es-ES"/>
        </w:rPr>
      </w:pPr>
    </w:p>
    <w:p w14:paraId="1C88E714" w14:textId="77777777" w:rsidR="00C619A7" w:rsidRPr="00944E10" w:rsidRDefault="00C619A7" w:rsidP="00C619A7">
      <w:pPr>
        <w:spacing w:after="0" w:line="240" w:lineRule="auto"/>
        <w:jc w:val="both"/>
        <w:rPr>
          <w:rFonts w:ascii="Verdana" w:eastAsia="Calibri" w:hAnsi="Verdana" w:cs="Arial"/>
          <w:lang w:eastAsia="es-ES"/>
        </w:rPr>
      </w:pPr>
      <w:r>
        <w:rPr>
          <w:rFonts w:ascii="Verdana" w:eastAsia="Calibri" w:hAnsi="Verdana" w:cs="Arial"/>
          <w:lang w:eastAsia="es-ES"/>
        </w:rPr>
        <w:lastRenderedPageBreak/>
        <w:t>Se le informa que</w:t>
      </w:r>
      <w:r w:rsidRPr="00944E10">
        <w:rPr>
          <w:rFonts w:ascii="Verdana" w:eastAsia="Calibri" w:hAnsi="Verdana" w:cs="Arial"/>
          <w:lang w:eastAsia="es-ES"/>
        </w:rPr>
        <w:t xml:space="preserve"> publicamos </w:t>
      </w:r>
      <w:r w:rsidRPr="00944E10">
        <w:rPr>
          <w:rFonts w:ascii="Verdana" w:eastAsia="Calibri" w:hAnsi="Verdana" w:cs="Arial"/>
          <w:b/>
          <w:bCs/>
          <w:lang w:eastAsia="es-ES"/>
        </w:rPr>
        <w:t>la nueva Guía de Contratación Pública Sostenible y Socialmente Responsable</w:t>
      </w:r>
      <w:r w:rsidRPr="00944E10">
        <w:rPr>
          <w:rFonts w:ascii="Verdana" w:eastAsia="Calibri" w:hAnsi="Verdana" w:cs="Arial"/>
          <w:lang w:eastAsia="es-ES"/>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0" w:history="1">
        <w:r w:rsidRPr="00944E10">
          <w:rPr>
            <w:rStyle w:val="Hipervnculo"/>
            <w:rFonts w:ascii="Verdana" w:eastAsia="Calibri" w:hAnsi="Verdana" w:cs="Arial"/>
            <w:lang w:eastAsia="es-ES"/>
          </w:rPr>
          <w:t>Guía de Contratación Pública Sostenible y Socialmente Responsable | Colombia Compra Eficiente | Agencia Nacional de Contratación Pública</w:t>
        </w:r>
      </w:hyperlink>
    </w:p>
    <w:p w14:paraId="4B15BCB0" w14:textId="77777777" w:rsidR="00C619A7" w:rsidRDefault="00C619A7" w:rsidP="00C619A7">
      <w:pPr>
        <w:spacing w:after="0" w:line="240" w:lineRule="auto"/>
        <w:jc w:val="both"/>
      </w:pPr>
    </w:p>
    <w:p w14:paraId="1BF47E49" w14:textId="77777777" w:rsidR="00C619A7" w:rsidRPr="00504DD6" w:rsidRDefault="00C619A7" w:rsidP="00C619A7">
      <w:pPr>
        <w:spacing w:after="0" w:line="240" w:lineRule="auto"/>
        <w:jc w:val="both"/>
        <w:rPr>
          <w:rFonts w:ascii="Verdana" w:eastAsia="Calibri" w:hAnsi="Verdana" w:cs="Arial"/>
          <w:lang w:eastAsia="es-ES_tradnl"/>
        </w:rPr>
      </w:pPr>
      <w:r>
        <w:rPr>
          <w:rFonts w:ascii="Verdana" w:eastAsia="Calibri" w:hAnsi="Verdana" w:cs="Arial"/>
          <w:lang w:eastAsia="es-ES_tradnl"/>
        </w:rPr>
        <w:t>Así mismo, lo</w:t>
      </w:r>
      <w:r w:rsidRPr="00B84822">
        <w:rPr>
          <w:rFonts w:ascii="Verdana" w:eastAsia="Calibri" w:hAnsi="Verdana" w:cs="Arial"/>
          <w:lang w:eastAsia="es-ES_tradnl"/>
        </w:rPr>
        <w:t xml:space="preserve"> invitamos a consultar la </w:t>
      </w:r>
      <w:r w:rsidRPr="00B84822">
        <w:rPr>
          <w:rFonts w:ascii="Verdana" w:eastAsia="Calibri" w:hAnsi="Verdana" w:cs="Arial"/>
          <w:b/>
          <w:bCs/>
          <w:lang w:eastAsia="es-ES_tradnl"/>
        </w:rPr>
        <w:t>versión VIII de 2024</w:t>
      </w:r>
      <w:r w:rsidRPr="00B84822">
        <w:rPr>
          <w:rFonts w:ascii="Verdana" w:eastAsia="Calibri" w:hAnsi="Verdana" w:cs="Arial"/>
          <w:lang w:eastAsia="es-ES_tradnl"/>
        </w:rPr>
        <w:t xml:space="preserve">, del </w:t>
      </w:r>
      <w:r w:rsidRPr="00B84822">
        <w:rPr>
          <w:rFonts w:ascii="Verdana" w:eastAsia="Calibri" w:hAnsi="Verdana" w:cs="Arial"/>
          <w:b/>
          <w:bCs/>
          <w:lang w:eastAsia="es-ES_tradnl"/>
        </w:rPr>
        <w:t>Boletín de Relatoría</w:t>
      </w:r>
      <w:r w:rsidRPr="00B84822">
        <w:rPr>
          <w:rFonts w:ascii="Verdana" w:eastAsia="Calibri" w:hAnsi="Verdana" w:cs="Arial"/>
          <w:lang w:eastAsia="es-ES_tradnl"/>
        </w:rPr>
        <w:t xml:space="preserve"> de la Subdirección de Gestión Contractual relacionado con la participación de las MIPYMES en los procesos de compra y contratación pública, el cual se puede descargar en la página web de la Agencia: </w:t>
      </w:r>
      <w:hyperlink r:id="rId21" w:history="1">
        <w:r w:rsidRPr="00B84822">
          <w:rPr>
            <w:rStyle w:val="Hipervnculo"/>
            <w:rFonts w:ascii="Verdana" w:eastAsia="Calibri" w:hAnsi="Verdana"/>
            <w:lang w:eastAsia="es-ES_tradnl"/>
          </w:rPr>
          <w:t>https://www.colombiacompra.gov.co/sites/cce_public/files/files_2020/boletin_de_realtoria_viii.pdf</w:t>
        </w:r>
      </w:hyperlink>
    </w:p>
    <w:p w14:paraId="0D9D81E7" w14:textId="77777777" w:rsidR="00C619A7" w:rsidRPr="005B7C42" w:rsidRDefault="00C619A7" w:rsidP="00C619A7">
      <w:pPr>
        <w:spacing w:after="0" w:line="240" w:lineRule="auto"/>
        <w:jc w:val="both"/>
        <w:rPr>
          <w:rFonts w:ascii="Verdana" w:hAnsi="Verdana"/>
        </w:rPr>
      </w:pPr>
    </w:p>
    <w:p w14:paraId="6E8D240D" w14:textId="77777777" w:rsidR="00C619A7" w:rsidRPr="005B7C42" w:rsidRDefault="00C619A7" w:rsidP="00C619A7">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37ACFC36" w14:textId="77777777" w:rsidR="00C619A7" w:rsidRPr="005B7C42" w:rsidRDefault="00C619A7" w:rsidP="00C619A7">
      <w:pPr>
        <w:spacing w:after="0" w:line="240" w:lineRule="auto"/>
        <w:jc w:val="both"/>
        <w:rPr>
          <w:rFonts w:ascii="Verdana" w:hAnsi="Verdana"/>
        </w:rPr>
      </w:pPr>
    </w:p>
    <w:p w14:paraId="02547644" w14:textId="77777777" w:rsidR="00C619A7" w:rsidRPr="005B7C42" w:rsidRDefault="00C619A7" w:rsidP="00C619A7">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7D49CF96" w14:textId="77777777" w:rsidR="00C619A7" w:rsidRPr="005B7C42" w:rsidRDefault="00C619A7" w:rsidP="00C619A7">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13ADB93D" w14:textId="77777777" w:rsidR="00C619A7" w:rsidRPr="005B7C42" w:rsidRDefault="00C619A7" w:rsidP="00C619A7">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0AA81A6D" w14:textId="77777777" w:rsidR="00C619A7" w:rsidRPr="005B7C42" w:rsidRDefault="00C619A7" w:rsidP="00C619A7">
      <w:pPr>
        <w:widowControl w:val="0"/>
        <w:autoSpaceDE w:val="0"/>
        <w:autoSpaceDN w:val="0"/>
        <w:spacing w:after="0" w:line="276" w:lineRule="auto"/>
        <w:jc w:val="both"/>
        <w:rPr>
          <w:rFonts w:ascii="Verdana" w:hAnsi="Verdana"/>
        </w:rPr>
      </w:pPr>
    </w:p>
    <w:p w14:paraId="6E0A8317" w14:textId="77777777" w:rsidR="00C619A7" w:rsidRPr="005B7C42" w:rsidRDefault="00C619A7" w:rsidP="00C619A7">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453EBBD" w14:textId="77777777" w:rsidR="00C619A7" w:rsidRPr="005B7C42" w:rsidRDefault="00C619A7" w:rsidP="00C619A7">
      <w:pPr>
        <w:spacing w:after="0" w:line="276" w:lineRule="auto"/>
        <w:ind w:firstLine="709"/>
        <w:jc w:val="both"/>
        <w:rPr>
          <w:rFonts w:ascii="Verdana" w:eastAsia="Times New Roman" w:hAnsi="Verdana" w:cs="Arial"/>
          <w:szCs w:val="24"/>
          <w:lang w:eastAsia="es-ES_tradnl"/>
        </w:rPr>
      </w:pPr>
    </w:p>
    <w:p w14:paraId="4287782B" w14:textId="77777777" w:rsidR="00C619A7" w:rsidRPr="005B7C42" w:rsidRDefault="00C619A7" w:rsidP="00C619A7">
      <w:pPr>
        <w:spacing w:after="0" w:line="276" w:lineRule="auto"/>
        <w:jc w:val="both"/>
        <w:rPr>
          <w:rFonts w:ascii="Verdana" w:eastAsia="Times New Roman" w:hAnsi="Verdana" w:cs="Arial"/>
          <w:lang w:eastAsia="es-CO"/>
        </w:rPr>
      </w:pPr>
      <w:bookmarkStart w:id="1" w:name="_Hlk117695077"/>
      <w:r w:rsidRPr="005B7C42">
        <w:rPr>
          <w:rFonts w:ascii="Verdana" w:eastAsia="Times New Roman" w:hAnsi="Verdana" w:cs="Arial"/>
          <w:lang w:eastAsia="es-CO"/>
        </w:rPr>
        <w:t>Atentamente,</w:t>
      </w:r>
    </w:p>
    <w:bookmarkEnd w:id="1"/>
    <w:p w14:paraId="6219E089" w14:textId="470157DC" w:rsidR="00C619A7" w:rsidRPr="005B7C42" w:rsidRDefault="00012E3A" w:rsidP="00C619A7">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19946BCA" wp14:editId="6DF7E83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2"/>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C619A7" w:rsidRPr="005B7C42" w14:paraId="593AACA4" w14:textId="77777777" w:rsidTr="00DC099B">
        <w:trPr>
          <w:trHeight w:val="286"/>
        </w:trPr>
        <w:tc>
          <w:tcPr>
            <w:tcW w:w="893" w:type="dxa"/>
            <w:vAlign w:val="center"/>
            <w:hideMark/>
          </w:tcPr>
          <w:p w14:paraId="15C7DC96" w14:textId="77777777" w:rsidR="00C619A7" w:rsidRPr="005B7C42" w:rsidRDefault="00C619A7"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2F6620CA" w14:textId="77777777" w:rsidR="00C619A7" w:rsidRPr="005B7C42" w:rsidRDefault="00C619A7" w:rsidP="00DC099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7C04A4FE" w14:textId="77777777" w:rsidR="00C619A7" w:rsidRPr="005B7C42" w:rsidRDefault="00C619A7"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C619A7" w:rsidRPr="005B7C42" w14:paraId="201D5F86" w14:textId="77777777" w:rsidTr="00DC099B">
        <w:trPr>
          <w:trHeight w:val="299"/>
        </w:trPr>
        <w:tc>
          <w:tcPr>
            <w:tcW w:w="893" w:type="dxa"/>
            <w:vAlign w:val="center"/>
            <w:hideMark/>
          </w:tcPr>
          <w:p w14:paraId="3AFDFFE5" w14:textId="77777777" w:rsidR="00C619A7" w:rsidRPr="005B7C42" w:rsidRDefault="00C619A7"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3D4ED8BF" w14:textId="77777777" w:rsidR="00C619A7" w:rsidRPr="005B7C42" w:rsidRDefault="00C619A7" w:rsidP="00DC099B">
            <w:pPr>
              <w:rPr>
                <w:rFonts w:ascii="Verdana" w:eastAsia="Times New Roman" w:hAnsi="Verdana" w:cs="Arial"/>
                <w:sz w:val="16"/>
                <w:szCs w:val="16"/>
                <w:lang w:eastAsia="es-ES"/>
              </w:rPr>
            </w:pPr>
            <w:r>
              <w:rPr>
                <w:rFonts w:ascii="Verdana" w:eastAsia="Times New Roman" w:hAnsi="Verdana" w:cs="Arial"/>
                <w:sz w:val="16"/>
                <w:szCs w:val="16"/>
                <w:lang w:eastAsia="es-ES"/>
              </w:rPr>
              <w:t>Alejandro R. Sarmiento Cantillo</w:t>
            </w:r>
          </w:p>
          <w:p w14:paraId="14DDE816" w14:textId="77777777" w:rsidR="00C619A7" w:rsidRPr="005B7C42" w:rsidRDefault="00C619A7"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Gestor T1 -1</w:t>
            </w:r>
            <w:r>
              <w:rPr>
                <w:rFonts w:ascii="Verdana" w:eastAsia="Times New Roman" w:hAnsi="Verdana" w:cs="Arial"/>
                <w:sz w:val="16"/>
                <w:szCs w:val="16"/>
                <w:lang w:eastAsia="es-ES"/>
              </w:rPr>
              <w:t>5</w:t>
            </w:r>
            <w:r w:rsidRPr="005B7C42">
              <w:rPr>
                <w:rFonts w:ascii="Verdana" w:eastAsia="Times New Roman" w:hAnsi="Verdana" w:cs="Arial"/>
                <w:sz w:val="16"/>
                <w:szCs w:val="16"/>
                <w:lang w:eastAsia="es-ES"/>
              </w:rPr>
              <w:t xml:space="preserve"> de la Subdirección de Gestión Contractual</w:t>
            </w:r>
          </w:p>
        </w:tc>
      </w:tr>
      <w:tr w:rsidR="00C619A7" w:rsidRPr="005B7C42" w14:paraId="5AAAFD1D" w14:textId="77777777" w:rsidTr="00DC099B">
        <w:trPr>
          <w:trHeight w:val="272"/>
        </w:trPr>
        <w:tc>
          <w:tcPr>
            <w:tcW w:w="893" w:type="dxa"/>
            <w:vAlign w:val="center"/>
            <w:hideMark/>
          </w:tcPr>
          <w:p w14:paraId="21E64EC1" w14:textId="77777777" w:rsidR="00C619A7" w:rsidRPr="005B7C42" w:rsidRDefault="00C619A7"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lastRenderedPageBreak/>
              <w:t>Aprobó:</w:t>
            </w:r>
          </w:p>
        </w:tc>
        <w:tc>
          <w:tcPr>
            <w:tcW w:w="4777" w:type="dxa"/>
            <w:tcBorders>
              <w:top w:val="dotted" w:sz="4" w:space="0" w:color="7F7F7F"/>
              <w:left w:val="nil"/>
              <w:bottom w:val="dotted" w:sz="4" w:space="0" w:color="7F7F7F"/>
              <w:right w:val="nil"/>
            </w:tcBorders>
            <w:vAlign w:val="center"/>
            <w:hideMark/>
          </w:tcPr>
          <w:p w14:paraId="1B6808FF" w14:textId="77777777" w:rsidR="00C619A7" w:rsidRPr="005B7C42" w:rsidRDefault="00C619A7" w:rsidP="00DC099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012DF209" w14:textId="77777777" w:rsidR="00C619A7" w:rsidRPr="005B7C42" w:rsidRDefault="00C619A7" w:rsidP="00DC099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6CBD2411" w14:textId="77777777" w:rsidR="00C619A7" w:rsidRPr="005B7C42" w:rsidRDefault="00C619A7" w:rsidP="00C619A7">
      <w:pPr>
        <w:spacing w:after="0" w:line="276" w:lineRule="auto"/>
        <w:jc w:val="both"/>
        <w:rPr>
          <w:rFonts w:ascii="Verdana" w:eastAsia="Times New Roman" w:hAnsi="Verdana" w:cs="Arial"/>
        </w:rPr>
      </w:pPr>
    </w:p>
    <w:p w14:paraId="2F1D8003" w14:textId="77777777" w:rsidR="00C619A7" w:rsidRDefault="00C619A7" w:rsidP="00C619A7"/>
    <w:bookmarkEnd w:id="0"/>
    <w:p w14:paraId="19C4B2DB" w14:textId="77777777" w:rsidR="00C619A7" w:rsidRPr="000B1C0B" w:rsidRDefault="00C619A7" w:rsidP="00C619A7"/>
    <w:p w14:paraId="2A0E4524" w14:textId="77777777" w:rsidR="00C619A7" w:rsidRPr="00686D74" w:rsidRDefault="00C619A7" w:rsidP="00C619A7"/>
    <w:p w14:paraId="007F37CB" w14:textId="77777777" w:rsidR="00C619A7" w:rsidRDefault="00C619A7" w:rsidP="00C619A7"/>
    <w:p w14:paraId="3900974D" w14:textId="77777777" w:rsidR="003D5B0D" w:rsidRPr="00C619A7" w:rsidRDefault="003D5B0D" w:rsidP="00C619A7"/>
    <w:sectPr w:rsidR="003D5B0D" w:rsidRPr="00C619A7" w:rsidSect="00C83B6D">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F5B66" w14:textId="77777777" w:rsidR="00C83B6D" w:rsidRDefault="00C83B6D" w:rsidP="004A1847">
      <w:pPr>
        <w:spacing w:after="0" w:line="240" w:lineRule="auto"/>
      </w:pPr>
      <w:r>
        <w:separator/>
      </w:r>
    </w:p>
  </w:endnote>
  <w:endnote w:type="continuationSeparator" w:id="0">
    <w:p w14:paraId="4942C66C" w14:textId="77777777" w:rsidR="00C83B6D" w:rsidRDefault="00C83B6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DBD2D" w14:textId="77777777" w:rsidR="00C83B6D" w:rsidRDefault="00C83B6D" w:rsidP="004A1847">
      <w:pPr>
        <w:spacing w:after="0" w:line="240" w:lineRule="auto"/>
      </w:pPr>
      <w:r>
        <w:separator/>
      </w:r>
    </w:p>
  </w:footnote>
  <w:footnote w:type="continuationSeparator" w:id="0">
    <w:p w14:paraId="1C3522A4" w14:textId="77777777" w:rsidR="00C83B6D" w:rsidRDefault="00C83B6D" w:rsidP="004A1847">
      <w:pPr>
        <w:spacing w:after="0" w:line="240" w:lineRule="auto"/>
      </w:pPr>
      <w:r>
        <w:continuationSeparator/>
      </w:r>
    </w:p>
  </w:footnote>
  <w:footnote w:id="1">
    <w:p w14:paraId="322E156B"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Corte Constitucional. Sentencia C- 341 del 4 de junio de 2014. M. P. Mauricio González Cuervo.</w:t>
      </w:r>
    </w:p>
    <w:p w14:paraId="2CF878EC" w14:textId="77777777" w:rsidR="0072217A" w:rsidRPr="00CC14DF" w:rsidRDefault="0072217A" w:rsidP="0072217A">
      <w:pPr>
        <w:pStyle w:val="Textonotapie"/>
        <w:ind w:right="49" w:firstLine="709"/>
        <w:jc w:val="both"/>
        <w:rPr>
          <w:rFonts w:ascii="Verdana" w:hAnsi="Verdana" w:cs="Arial"/>
          <w:color w:val="000000" w:themeColor="text1"/>
          <w:sz w:val="14"/>
          <w:szCs w:val="14"/>
        </w:rPr>
      </w:pPr>
    </w:p>
  </w:footnote>
  <w:footnote w:id="2">
    <w:p w14:paraId="5343C169"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95FC484"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Fonts w:ascii="Verdana" w:hAnsi="Verdana" w:cs="Arial"/>
          <w:color w:val="000000" w:themeColor="text1"/>
          <w:sz w:val="14"/>
          <w:szCs w:val="14"/>
        </w:rPr>
        <w:t>Lo anterior, sin perjuicio de las publicaciones previstas en el numeral 3 del artículo 30 de la Ley 80 de 1993.</w:t>
      </w:r>
    </w:p>
    <w:p w14:paraId="1A02E0F6"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Fonts w:ascii="Verdana" w:hAnsi="Verdana" w:cs="Arial"/>
          <w:color w:val="000000" w:themeColor="text1"/>
          <w:sz w:val="14"/>
          <w:szCs w:val="14"/>
        </w:rPr>
        <w:t xml:space="preserve">Con el fin de materializar los objetivos a que se refiere el inciso anterior, el Gobierno Nacional desarrollará el Sistema Electrónico para la Contratación Pública, Secop, el cual: </w:t>
      </w:r>
    </w:p>
    <w:p w14:paraId="7B7CEB25"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Fonts w:ascii="Verdana" w:hAnsi="Verdana" w:cs="Arial"/>
          <w:color w:val="000000" w:themeColor="text1"/>
          <w:sz w:val="14"/>
          <w:szCs w:val="14"/>
        </w:rPr>
        <w:t>[…]</w:t>
      </w:r>
    </w:p>
    <w:p w14:paraId="0255E9F9"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Fonts w:ascii="Verdana" w:hAnsi="Verdana" w:cs="Arial"/>
          <w:color w:val="000000" w:themeColor="text1"/>
          <w:sz w:val="14"/>
          <w:szCs w:val="14"/>
        </w:rPr>
        <w:t xml:space="preserve">c) Contará con la información oficial de la contratación realizada con dineros públicos, para lo cual establecerá los patrones a que haya lugar y se encargará de su difusión a través de canales electrónico”. </w:t>
      </w:r>
    </w:p>
    <w:p w14:paraId="34FDAEEE" w14:textId="77777777" w:rsidR="0072217A" w:rsidRPr="00CC14DF" w:rsidRDefault="0072217A" w:rsidP="0072217A">
      <w:pPr>
        <w:pStyle w:val="Textonotapie"/>
        <w:ind w:right="49"/>
        <w:jc w:val="both"/>
        <w:rPr>
          <w:rFonts w:ascii="Verdana" w:hAnsi="Verdana" w:cs="Arial"/>
          <w:color w:val="000000" w:themeColor="text1"/>
          <w:sz w:val="14"/>
          <w:szCs w:val="14"/>
        </w:rPr>
      </w:pPr>
    </w:p>
  </w:footnote>
  <w:footnote w:id="3">
    <w:p w14:paraId="032CA028"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208D1C8" w14:textId="77777777" w:rsidR="0072217A" w:rsidRPr="00CC14DF" w:rsidRDefault="0072217A" w:rsidP="0072217A">
      <w:pPr>
        <w:pStyle w:val="Textonotapie"/>
        <w:ind w:right="49" w:firstLine="709"/>
        <w:jc w:val="both"/>
        <w:rPr>
          <w:rFonts w:ascii="Verdana" w:hAnsi="Verdana" w:cs="Arial"/>
          <w:color w:val="000000" w:themeColor="text1"/>
          <w:sz w:val="14"/>
          <w:szCs w:val="14"/>
        </w:rPr>
      </w:pPr>
    </w:p>
  </w:footnote>
  <w:footnote w:id="4">
    <w:p w14:paraId="0764C8CB" w14:textId="77777777" w:rsidR="0072217A" w:rsidRPr="00CC14DF" w:rsidRDefault="0072217A" w:rsidP="0072217A">
      <w:pPr>
        <w:pStyle w:val="Textonotapie"/>
        <w:ind w:right="49" w:firstLine="708"/>
        <w:jc w:val="both"/>
        <w:rPr>
          <w:rFonts w:ascii="Verdana" w:hAnsi="Verdana" w:cs="Arial"/>
          <w:color w:val="000000" w:themeColor="text1"/>
          <w:sz w:val="14"/>
          <w:szCs w:val="14"/>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4077C3C7" w14:textId="77777777" w:rsidR="0072217A" w:rsidRPr="00CC14DF" w:rsidRDefault="0072217A" w:rsidP="0072217A">
      <w:pPr>
        <w:pStyle w:val="Textonotapie"/>
        <w:ind w:right="49" w:firstLine="708"/>
        <w:jc w:val="both"/>
        <w:rPr>
          <w:rFonts w:ascii="Verdana" w:hAnsi="Verdana" w:cs="Arial"/>
          <w:color w:val="000000" w:themeColor="text1"/>
          <w:sz w:val="14"/>
          <w:szCs w:val="14"/>
          <w:lang w:val="es-ES"/>
        </w:rPr>
      </w:pPr>
      <w:r w:rsidRPr="00CC14DF">
        <w:rPr>
          <w:rFonts w:ascii="Verdana" w:hAnsi="Verdana" w:cs="Arial"/>
          <w:color w:val="000000" w:themeColor="text1"/>
          <w:sz w:val="14"/>
          <w:szCs w:val="14"/>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5">
    <w:p w14:paraId="4D9E6D54" w14:textId="77777777" w:rsidR="0072217A" w:rsidRPr="00CC14DF" w:rsidRDefault="0072217A" w:rsidP="0072217A">
      <w:pPr>
        <w:pStyle w:val="Textonotapie"/>
        <w:ind w:right="49" w:firstLine="708"/>
        <w:jc w:val="both"/>
        <w:rPr>
          <w:rFonts w:ascii="Verdana" w:hAnsi="Verdana" w:cs="Arial"/>
          <w:color w:val="000000" w:themeColor="text1"/>
          <w:sz w:val="14"/>
          <w:szCs w:val="14"/>
          <w:lang w:val="es-ES"/>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Consejo de Estado. Sección Tercera. Sentencia del 14 de diciembre de 2007. Exp. 24.715. C.P. Ruth Stella Correa Palacio.</w:t>
      </w:r>
    </w:p>
  </w:footnote>
  <w:footnote w:id="6">
    <w:p w14:paraId="51D506A8" w14:textId="77777777" w:rsidR="0072217A" w:rsidRPr="00CC14DF" w:rsidRDefault="0072217A" w:rsidP="0072217A">
      <w:pPr>
        <w:pStyle w:val="Textonotapie"/>
        <w:ind w:firstLine="708"/>
        <w:jc w:val="both"/>
        <w:rPr>
          <w:rFonts w:ascii="Verdana" w:hAnsi="Verdana" w:cs="Arial"/>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Si bien el artículo 2.2.1.1.1.7.1. del Decreto 1082 de 2015 no dice que el término para publicar sea de días hábiles, la Ley 4 de 1913, por un lado, en el artículo 59, establece que los plazos a los que se haga mención en la ley terminan a la medianoche, y que por día 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lo que significa que lo días referidos en la ley deben entenderse como hábiles. Respecto a la noción de día hábil, son relevantes las consideraciones expuestas por esta Subdirección en el concepto C-160 del 3 de abril de 2020 –radicado No. 2202013000002420–, donde se expuso que “[…] los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al público, los cuales son, por regla general, todos los días de la semana, con excepción de los sábados, domingos y feriados previstos en la generalidad de entidades como días de descanso”.</w:t>
      </w:r>
    </w:p>
    <w:p w14:paraId="746D3E62" w14:textId="77777777" w:rsidR="0072217A" w:rsidRPr="00CC14DF" w:rsidRDefault="0072217A" w:rsidP="0072217A">
      <w:pPr>
        <w:pStyle w:val="Textonotapie"/>
        <w:ind w:firstLine="708"/>
        <w:jc w:val="both"/>
        <w:rPr>
          <w:rFonts w:ascii="Verdana" w:hAnsi="Verdana" w:cs="Arial"/>
          <w:sz w:val="14"/>
          <w:szCs w:val="14"/>
        </w:rPr>
      </w:pPr>
    </w:p>
  </w:footnote>
  <w:footnote w:id="7">
    <w:p w14:paraId="1DFF3043" w14:textId="77777777" w:rsidR="0072217A" w:rsidRPr="00CC14DF" w:rsidRDefault="0072217A" w:rsidP="0072217A">
      <w:pPr>
        <w:pStyle w:val="NormalWeb"/>
        <w:spacing w:before="0" w:beforeAutospacing="0" w:after="0" w:afterAutospacing="0"/>
        <w:ind w:firstLine="708"/>
        <w:jc w:val="both"/>
        <w:rPr>
          <w:rFonts w:ascii="Verdana" w:hAnsi="Verdana" w:cs="Arial"/>
          <w:color w:val="000000"/>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Decreto 1081 de 2015 “</w:t>
      </w:r>
      <w:r w:rsidRPr="00CC14DF">
        <w:rPr>
          <w:rFonts w:ascii="Verdana" w:hAnsi="Verdana" w:cs="Arial"/>
          <w:color w:val="000000"/>
          <w:sz w:val="14"/>
          <w:szCs w:val="14"/>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1EB3B27" w14:textId="77777777" w:rsidR="0072217A" w:rsidRPr="00CC14DF" w:rsidRDefault="0072217A" w:rsidP="0072217A">
      <w:pPr>
        <w:spacing w:after="0"/>
        <w:jc w:val="both"/>
        <w:rPr>
          <w:rFonts w:ascii="Verdana" w:hAnsi="Verdana" w:cs="Arial"/>
          <w:sz w:val="14"/>
          <w:szCs w:val="14"/>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Los sujetos obligados que contratan con cargo a recursos públicos deben publicar la información de su gestión contractual en el plazo previsto en el artículo 19 del Decreto 1510 de 2013, o el que lo modifique, sustituya o adicione.   </w:t>
      </w:r>
      <w:r w:rsidRPr="00CC14DF">
        <w:rPr>
          <w:rFonts w:ascii="Verdana" w:hAnsi="Verdana" w:cs="Arial"/>
          <w:color w:val="000000"/>
          <w:sz w:val="14"/>
          <w:szCs w:val="14"/>
          <w:lang w:eastAsia="es-CO"/>
        </w:rPr>
        <w:tab/>
        <w:t>Los sujetos obligados que contratan con recursos públicos y recursos privados deben publicar la información de su gestión contractual con cargo a recursos públicos en el Sistema Electrónico para la Contratación Pública (SECOP)</w:t>
      </w:r>
      <w:r w:rsidRPr="00CC14DF">
        <w:rPr>
          <w:rFonts w:ascii="Verdana" w:hAnsi="Verdana" w:cs="Arial"/>
          <w:sz w:val="14"/>
          <w:szCs w:val="14"/>
        </w:rPr>
        <w:t>”.</w:t>
      </w:r>
    </w:p>
    <w:p w14:paraId="18492595" w14:textId="77777777" w:rsidR="0072217A" w:rsidRPr="00CC14DF" w:rsidRDefault="0072217A" w:rsidP="0072217A">
      <w:pPr>
        <w:spacing w:after="0"/>
        <w:jc w:val="both"/>
        <w:rPr>
          <w:rFonts w:ascii="Verdana" w:hAnsi="Verdana" w:cs="Arial"/>
          <w:color w:val="000000"/>
          <w:sz w:val="14"/>
          <w:szCs w:val="14"/>
          <w:lang w:eastAsia="es-CO"/>
        </w:rPr>
      </w:pPr>
    </w:p>
  </w:footnote>
  <w:footnote w:id="8">
    <w:p w14:paraId="49337382"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Decreto 1081 de 2015: “Artículo 2.1.1.2.1.9.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–Colombia Compra Eficiente–, el cual debe estar publicado en el sitio web oficial del sujeto obligado”.</w:t>
      </w:r>
    </w:p>
    <w:p w14:paraId="55E32CC6" w14:textId="77777777" w:rsidR="0072217A" w:rsidRPr="00CC14DF" w:rsidRDefault="0072217A" w:rsidP="0072217A">
      <w:pPr>
        <w:pStyle w:val="Textonotapie"/>
        <w:ind w:right="49" w:firstLine="709"/>
        <w:jc w:val="both"/>
        <w:rPr>
          <w:rFonts w:ascii="Verdana" w:hAnsi="Verdana" w:cs="Arial"/>
          <w:color w:val="000000" w:themeColor="text1"/>
          <w:sz w:val="14"/>
          <w:szCs w:val="14"/>
        </w:rPr>
      </w:pPr>
    </w:p>
  </w:footnote>
  <w:footnote w:id="9">
    <w:p w14:paraId="07398D03"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Decreto 1081 de 2015: “Artículo 2.1.1.2.1.10.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 </w:t>
      </w:r>
    </w:p>
    <w:p w14:paraId="45E360D7"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Fonts w:ascii="Verdana" w:hAnsi="Verdana" w:cs="Arial"/>
          <w:color w:val="000000" w:themeColor="text1"/>
          <w:sz w:val="14"/>
          <w:szCs w:val="14"/>
        </w:rPr>
        <w:t xml:space="preserve">Los sujetos obligados que no contratan con cargo a recursos públicos no están obligados a publicar su Plan Anual de Adquisiciones. </w:t>
      </w:r>
    </w:p>
    <w:p w14:paraId="3F06ED26"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Fonts w:ascii="Verdana" w:hAnsi="Verdana" w:cs="Arial"/>
          <w:color w:val="000000" w:themeColor="text1"/>
          <w:sz w:val="14"/>
          <w:szCs w:val="14"/>
        </w:rPr>
        <w:t xml:space="preserve">Los sujetos obligados que contratan con cargo a recursos públicos y recursos privados deben publicar en su página web y en el SECOP el Plan Anual de Adquisiciones para los recursos de carácter público que ejecutarán en el año. </w:t>
      </w:r>
    </w:p>
    <w:p w14:paraId="07C4AADE"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Fonts w:ascii="Verdana" w:hAnsi="Verdana" w:cs="Arial"/>
          <w:color w:val="000000" w:themeColor="text1"/>
          <w:sz w:val="14"/>
          <w:szCs w:val="14"/>
        </w:rPr>
        <w:t>Se entenderá como definición de Plan Anual de Adquisiciones respecto a todos los sujetos obligados que contratan con recursos públicos, la prevista en el artículo 3° del Decreto 1510 de 2013, o el que lo modifique, sustituya o adicione”.</w:t>
      </w:r>
    </w:p>
    <w:p w14:paraId="1EDBB4E2" w14:textId="77777777" w:rsidR="0072217A" w:rsidRPr="00CC14DF" w:rsidRDefault="0072217A" w:rsidP="0072217A">
      <w:pPr>
        <w:pStyle w:val="Textonotapie"/>
        <w:ind w:right="49" w:firstLine="709"/>
        <w:jc w:val="both"/>
        <w:rPr>
          <w:rFonts w:ascii="Verdana" w:hAnsi="Verdana" w:cs="Arial"/>
          <w:color w:val="000000" w:themeColor="text1"/>
          <w:sz w:val="14"/>
          <w:szCs w:val="14"/>
        </w:rPr>
      </w:pPr>
    </w:p>
  </w:footnote>
  <w:footnote w:id="10">
    <w:p w14:paraId="6DB6F859" w14:textId="77777777" w:rsidR="0072217A" w:rsidRPr="00CC14DF" w:rsidRDefault="0072217A" w:rsidP="0072217A">
      <w:pPr>
        <w:pStyle w:val="Textonotapie"/>
        <w:ind w:right="49" w:firstLine="709"/>
        <w:jc w:val="both"/>
        <w:rPr>
          <w:rFonts w:ascii="Verdana" w:hAnsi="Verdana" w:cs="Arial"/>
          <w:color w:val="000000" w:themeColor="text1"/>
          <w:sz w:val="14"/>
          <w:szCs w:val="14"/>
        </w:rPr>
      </w:pPr>
      <w:r w:rsidRPr="00CC14DF">
        <w:rPr>
          <w:rStyle w:val="Refdenotaalpie"/>
          <w:rFonts w:ascii="Verdana" w:hAnsi="Verdana" w:cs="Arial"/>
          <w:color w:val="000000" w:themeColor="text1"/>
          <w:sz w:val="14"/>
          <w:szCs w:val="14"/>
        </w:rPr>
        <w:footnoteRef/>
      </w:r>
      <w:r w:rsidRPr="00CC14DF">
        <w:rPr>
          <w:rFonts w:ascii="Verdana" w:hAnsi="Verdana" w:cs="Arial"/>
          <w:color w:val="000000" w:themeColor="text1"/>
          <w:sz w:val="14"/>
          <w:szCs w:val="14"/>
        </w:rPr>
        <w:t xml:space="preserve"> Decreto 1081 de 2015: “Artículo 2.1.1.2.1.8.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footnote>
  <w:footnote w:id="11">
    <w:p w14:paraId="1F625BA8" w14:textId="77777777" w:rsidR="0072217A" w:rsidRPr="00CC14DF" w:rsidRDefault="0072217A" w:rsidP="0072217A">
      <w:pPr>
        <w:pStyle w:val="Textonotapie"/>
        <w:ind w:firstLine="708"/>
        <w:jc w:val="both"/>
        <w:rPr>
          <w:rFonts w:ascii="Verdana" w:hAnsi="Verdana" w:cs="Arial"/>
          <w:sz w:val="14"/>
          <w:szCs w:val="14"/>
          <w:lang w:val="es-CO"/>
        </w:rPr>
      </w:pPr>
      <w:r w:rsidRPr="00CC14DF">
        <w:rPr>
          <w:rStyle w:val="Refdenotaalpie"/>
          <w:rFonts w:ascii="Verdana" w:hAnsi="Verdana" w:cs="Arial"/>
          <w:sz w:val="14"/>
          <w:szCs w:val="14"/>
        </w:rPr>
        <w:footnoteRef/>
      </w:r>
      <w:r w:rsidRPr="00CC14DF">
        <w:rPr>
          <w:rFonts w:ascii="Verdana" w:hAnsi="Verdana" w:cs="Arial"/>
          <w:sz w:val="14"/>
          <w:szCs w:val="14"/>
        </w:rPr>
        <w:t xml:space="preserve">  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footnote>
  <w:footnote w:id="12">
    <w:p w14:paraId="1B62F01C" w14:textId="77777777" w:rsidR="0072217A" w:rsidRPr="00CC14DF" w:rsidRDefault="0072217A" w:rsidP="0072217A">
      <w:pPr>
        <w:pStyle w:val="Textonotapie"/>
        <w:rPr>
          <w:rFonts w:ascii="Verdana" w:hAnsi="Verdana" w:cs="Arial"/>
          <w:sz w:val="14"/>
          <w:szCs w:val="14"/>
        </w:rPr>
      </w:pPr>
    </w:p>
    <w:p w14:paraId="3DA21EDD" w14:textId="77777777" w:rsidR="0072217A" w:rsidRPr="00CC14DF" w:rsidRDefault="0072217A" w:rsidP="0072217A">
      <w:pPr>
        <w:pStyle w:val="NormalWeb"/>
        <w:spacing w:before="0" w:beforeAutospacing="0" w:after="0" w:afterAutospacing="0"/>
        <w:ind w:firstLine="708"/>
        <w:jc w:val="both"/>
        <w:rPr>
          <w:rFonts w:ascii="Verdana" w:hAnsi="Verdana" w:cs="Arial"/>
          <w:color w:val="000000"/>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Ley 1712 de 2014 “</w:t>
      </w:r>
      <w:r w:rsidRPr="00CC14DF">
        <w:rPr>
          <w:rStyle w:val="PiedepginaCar"/>
          <w:rFonts w:ascii="Verdana" w:eastAsiaTheme="majorEastAsia" w:hAnsi="Verdana" w:cs="Arial"/>
          <w:color w:val="000000"/>
          <w:sz w:val="14"/>
          <w:szCs w:val="14"/>
        </w:rPr>
        <w:t>Artículo</w:t>
      </w:r>
      <w:r w:rsidRPr="00CC14DF">
        <w:rPr>
          <w:rFonts w:ascii="Verdana" w:hAnsi="Verdana" w:cs="Arial"/>
          <w:color w:val="000000"/>
          <w:sz w:val="14"/>
          <w:szCs w:val="14"/>
        </w:rPr>
        <w:t xml:space="preserve"> 3°. Otros principios de la transparencia y acceso a la información pública. En la interpretación del derecho de acceso a la información se deberá adoptar un criterio de razonabilidad y proporcionalidad, así como aplicar los siguientes principios: </w:t>
      </w:r>
    </w:p>
    <w:p w14:paraId="0F86E313" w14:textId="77777777" w:rsidR="0072217A" w:rsidRPr="00CC14DF" w:rsidRDefault="0072217A" w:rsidP="0072217A">
      <w:pPr>
        <w:spacing w:after="0"/>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Principio de transparencia. Principio conforme al cual toda la información en poder de los sujetos obligados definidos en esta ley se presume pública, en consecuencia,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44C1FAC3" w14:textId="77777777" w:rsidR="0072217A" w:rsidRPr="00CC14DF" w:rsidRDefault="0072217A" w:rsidP="0072217A">
      <w:pPr>
        <w:spacing w:after="0"/>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 </w:t>
      </w:r>
    </w:p>
    <w:p w14:paraId="60BDE0C8" w14:textId="77777777" w:rsidR="0072217A" w:rsidRPr="00CC14DF" w:rsidRDefault="0072217A" w:rsidP="0072217A">
      <w:pPr>
        <w:spacing w:after="0"/>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Principio de facilitación. En virtud de este principio los sujetos obligados deberán facilitar el ejercicio del derecho de acceso a la información pública, excluyendo exigencias o requisitos que puedan obstruirlo o impedirlo. </w:t>
      </w:r>
    </w:p>
    <w:p w14:paraId="6F653F9B" w14:textId="77777777" w:rsidR="0072217A" w:rsidRPr="00CC14DF" w:rsidRDefault="0072217A" w:rsidP="0072217A">
      <w:pPr>
        <w:spacing w:after="0"/>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w:t>
      </w:r>
    </w:p>
    <w:p w14:paraId="1A460D2E" w14:textId="77777777" w:rsidR="0072217A" w:rsidRPr="00CC14DF" w:rsidRDefault="0072217A" w:rsidP="0072217A">
      <w:pPr>
        <w:spacing w:after="0"/>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Principio de la divulgación proactiva de la información. El derecho de acceso a la información no radica únicamente en la obligación de dar respuesta a las peticiones de la sociedad, sino también en el deber de los sujetos obligados de promover y generar una cultura de transparencia, lo que conlleva la obligación de publicar y divulgar documentos y archivos que plasman la actividad estatal y de interés público, de forma rutinaria y proactiva, actualizada, accesible y comprensible, atendiendo a límites razonables del talento humano y recursos físicos y financieros […]”.</w:t>
      </w:r>
    </w:p>
    <w:p w14:paraId="0C745888" w14:textId="77777777" w:rsidR="0072217A" w:rsidRPr="00CC14DF" w:rsidRDefault="0072217A" w:rsidP="0072217A">
      <w:pPr>
        <w:pStyle w:val="Textonotapie"/>
        <w:rPr>
          <w:rFonts w:ascii="Verdana" w:hAnsi="Verdana" w:cs="Arial"/>
          <w:sz w:val="14"/>
          <w:szCs w:val="14"/>
          <w:lang w:val="es-CO"/>
        </w:rPr>
      </w:pPr>
    </w:p>
  </w:footnote>
  <w:footnote w:id="13">
    <w:p w14:paraId="6675236F" w14:textId="77777777" w:rsidR="0072217A" w:rsidRPr="00CC14DF" w:rsidRDefault="0072217A" w:rsidP="0072217A">
      <w:pPr>
        <w:pStyle w:val="Textonotapie"/>
        <w:ind w:firstLine="708"/>
        <w:jc w:val="both"/>
        <w:rPr>
          <w:rFonts w:ascii="Verdana" w:hAnsi="Verdana" w:cs="Arial"/>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Ley 80 de 1993 “Artículo 24. Del principio de transparencia. En virtud de este principio: </w:t>
      </w:r>
    </w:p>
    <w:p w14:paraId="36DD44D9" w14:textId="77777777" w:rsidR="0072217A" w:rsidRPr="00CC14DF" w:rsidRDefault="0072217A" w:rsidP="0072217A">
      <w:pPr>
        <w:pStyle w:val="Textonotapie"/>
        <w:ind w:firstLine="708"/>
        <w:jc w:val="both"/>
        <w:rPr>
          <w:rFonts w:ascii="Verdana" w:hAnsi="Verdana" w:cs="Arial"/>
          <w:sz w:val="14"/>
          <w:szCs w:val="14"/>
        </w:rPr>
      </w:pPr>
      <w:r w:rsidRPr="00CC14DF">
        <w:rPr>
          <w:rFonts w:ascii="Verdana" w:hAnsi="Verdana" w:cs="Arial"/>
          <w:sz w:val="14"/>
          <w:szCs w:val="14"/>
        </w:rPr>
        <w:t>[…]</w:t>
      </w:r>
    </w:p>
    <w:p w14:paraId="61A70568" w14:textId="77777777" w:rsidR="0072217A" w:rsidRPr="00CC14DF" w:rsidRDefault="0072217A" w:rsidP="0072217A">
      <w:pPr>
        <w:pStyle w:val="Textonotapie"/>
        <w:ind w:firstLine="708"/>
        <w:jc w:val="both"/>
        <w:rPr>
          <w:rFonts w:ascii="Verdana" w:hAnsi="Verdana" w:cs="Arial"/>
          <w:sz w:val="14"/>
          <w:szCs w:val="14"/>
          <w:lang w:val="es-CO"/>
        </w:rPr>
      </w:pPr>
      <w:r w:rsidRPr="00CC14DF">
        <w:rPr>
          <w:rFonts w:ascii="Verdana" w:hAnsi="Verdana" w:cs="Arial"/>
          <w:sz w:val="14"/>
          <w:szCs w:val="14"/>
        </w:rPr>
        <w:t>4o. Las autoridades expedirán a costa de aquellas personas que demuestren interés legítimo, copias de las actuaciones y propuestas recibidas, respetando la reserva de que gocen legalmente las patentes, procedimientos y privilegios”.</w:t>
      </w:r>
    </w:p>
    <w:p w14:paraId="5F87590C" w14:textId="77777777" w:rsidR="0072217A" w:rsidRPr="00CC14DF" w:rsidRDefault="0072217A" w:rsidP="0072217A">
      <w:pPr>
        <w:pStyle w:val="Textonotapie"/>
        <w:ind w:firstLine="708"/>
        <w:jc w:val="both"/>
        <w:rPr>
          <w:rFonts w:ascii="Verdana" w:hAnsi="Verdana" w:cs="Arial"/>
          <w:sz w:val="14"/>
          <w:szCs w:val="14"/>
          <w:lang w:val="es-CO"/>
        </w:rPr>
      </w:pPr>
      <w:r w:rsidRPr="00CC14DF">
        <w:rPr>
          <w:rFonts w:ascii="Verdana" w:hAnsi="Verdana" w:cs="Arial"/>
          <w:sz w:val="14"/>
          <w:szCs w:val="14"/>
        </w:rPr>
        <w:t xml:space="preserve"> </w:t>
      </w:r>
    </w:p>
  </w:footnote>
  <w:footnote w:id="14">
    <w:p w14:paraId="666FFB45" w14:textId="77777777" w:rsidR="0072217A" w:rsidRPr="00CC14DF" w:rsidRDefault="0072217A" w:rsidP="0072217A">
      <w:pPr>
        <w:pStyle w:val="Textonotapie"/>
        <w:ind w:firstLine="708"/>
        <w:jc w:val="both"/>
        <w:rPr>
          <w:rFonts w:ascii="Verdana" w:hAnsi="Verdana" w:cs="Arial"/>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Ley 1712 de 2014 “Artículo 2°. Principio de máxima publicidad para titular universal. Toda información en posesión, bajo control o custodia de un sujeto obligado es pública y no podrá ser reservada o limitada sino por disposición constitucional o legal, de conformidad con la presente ley”.</w:t>
      </w:r>
    </w:p>
    <w:p w14:paraId="71078511" w14:textId="77777777" w:rsidR="0072217A" w:rsidRPr="00CC14DF" w:rsidRDefault="0072217A" w:rsidP="0072217A">
      <w:pPr>
        <w:pStyle w:val="Textonotapie"/>
        <w:rPr>
          <w:rFonts w:ascii="Verdana" w:hAnsi="Verdana" w:cs="Arial"/>
          <w:sz w:val="14"/>
          <w:szCs w:val="14"/>
          <w:lang w:val="es-CO"/>
        </w:rPr>
      </w:pPr>
    </w:p>
  </w:footnote>
  <w:footnote w:id="15">
    <w:p w14:paraId="4888D8CF" w14:textId="77777777" w:rsidR="0072217A" w:rsidRPr="00CC14DF" w:rsidRDefault="0072217A" w:rsidP="0072217A">
      <w:pPr>
        <w:pStyle w:val="Textonotapie"/>
        <w:ind w:firstLine="708"/>
        <w:jc w:val="both"/>
        <w:rPr>
          <w:rFonts w:ascii="Verdana" w:hAnsi="Verdana" w:cs="Arial"/>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MATALLANA CAMACHO Ernesto. Manual de Contratación de la Administración Pública. Reforma a la Ley 80 de 1993. Universidad Externado de Colombia, Cuarta edición, 2015, pp 139.</w:t>
      </w:r>
    </w:p>
    <w:p w14:paraId="44F24BF3" w14:textId="77777777" w:rsidR="0072217A" w:rsidRPr="00CC14DF" w:rsidRDefault="0072217A" w:rsidP="0072217A">
      <w:pPr>
        <w:pStyle w:val="Textonotapie"/>
        <w:ind w:firstLine="708"/>
        <w:jc w:val="both"/>
        <w:rPr>
          <w:rFonts w:ascii="Verdana" w:hAnsi="Verdana" w:cs="Arial"/>
          <w:sz w:val="14"/>
          <w:szCs w:val="14"/>
          <w:lang w:val="es-CO"/>
        </w:rPr>
      </w:pPr>
      <w:r w:rsidRPr="00CC14DF">
        <w:rPr>
          <w:rFonts w:ascii="Verdana" w:hAnsi="Verdana" w:cs="Arial"/>
          <w:sz w:val="14"/>
          <w:szCs w:val="14"/>
        </w:rPr>
        <w:t xml:space="preserve">  </w:t>
      </w:r>
    </w:p>
  </w:footnote>
  <w:footnote w:id="16">
    <w:p w14:paraId="1E587F72" w14:textId="77777777" w:rsidR="0072217A" w:rsidRPr="00CC14DF" w:rsidRDefault="0072217A" w:rsidP="0072217A">
      <w:pPr>
        <w:pStyle w:val="Textonotapie"/>
        <w:ind w:firstLine="708"/>
        <w:jc w:val="both"/>
        <w:rPr>
          <w:rFonts w:ascii="Verdana" w:hAnsi="Verdana" w:cs="Arial"/>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Ley 1437 de 2011 “Artículo 24. Informaciones y documentos reservados. Solo tendrán carácter reservado las informaciones y documentos expresamente sometidos a reserva por la Constitución Política o la ley, y en especial:  </w:t>
      </w:r>
    </w:p>
    <w:p w14:paraId="441E0DE8"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1. Los relacionados con la defensa o seguridad nacionales.  </w:t>
      </w:r>
    </w:p>
    <w:p w14:paraId="500860C9"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2. Las instrucciones en materia diplomática o sobre negociaciones reservadas.  </w:t>
      </w:r>
    </w:p>
    <w:p w14:paraId="6C75E140"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014F331D"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56689183"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5. Los datos referentes a la información financiera y comercial, en los términos de la Ley Estatutaria 1266 de 2008.  </w:t>
      </w:r>
    </w:p>
    <w:p w14:paraId="04A32E5A"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6. Los protegidos por el secreto comercial o industrial, así como los planes estratégicos de las empresas públicas de servicios públicos.  </w:t>
      </w:r>
    </w:p>
    <w:p w14:paraId="0335F6E2"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7. Los amparados por el secreto profesional.  </w:t>
      </w:r>
    </w:p>
    <w:p w14:paraId="484CFAD1"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8. Los datos genéticos humanos.  </w:t>
      </w:r>
    </w:p>
    <w:p w14:paraId="4C3EFF0A" w14:textId="77777777" w:rsidR="0072217A" w:rsidRPr="00CC14DF" w:rsidRDefault="0072217A" w:rsidP="0072217A">
      <w:pPr>
        <w:pStyle w:val="Textonotapie"/>
        <w:ind w:firstLine="708"/>
        <w:rPr>
          <w:rFonts w:ascii="Verdana" w:hAnsi="Verdana" w:cs="Arial"/>
          <w:sz w:val="14"/>
          <w:szCs w:val="14"/>
        </w:rPr>
      </w:pPr>
      <w:r w:rsidRPr="00CC14DF">
        <w:rPr>
          <w:rFonts w:ascii="Verdana" w:hAnsi="Verdana" w:cs="Arial"/>
          <w:sz w:val="14"/>
          <w:szCs w:val="14"/>
        </w:rPr>
        <w:t xml:space="preserve">Parágrafo.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27CB0EAE" w14:textId="77777777" w:rsidR="0072217A" w:rsidRPr="00CC14DF" w:rsidRDefault="0072217A" w:rsidP="0072217A">
      <w:pPr>
        <w:pStyle w:val="Textonotapie"/>
        <w:ind w:firstLine="708"/>
        <w:rPr>
          <w:rFonts w:ascii="Verdana" w:hAnsi="Verdana" w:cs="Arial"/>
          <w:sz w:val="14"/>
          <w:szCs w:val="14"/>
        </w:rPr>
      </w:pPr>
    </w:p>
  </w:footnote>
  <w:footnote w:id="17">
    <w:p w14:paraId="33FF0034" w14:textId="77777777" w:rsidR="0072217A" w:rsidRPr="00CC14DF" w:rsidRDefault="0072217A" w:rsidP="0072217A">
      <w:pPr>
        <w:pStyle w:val="Textonotapie"/>
        <w:ind w:firstLine="708"/>
        <w:jc w:val="both"/>
        <w:rPr>
          <w:rFonts w:ascii="Verdana" w:hAnsi="Verdana" w:cs="Arial"/>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Resultan relevantes las consideraciones expuestas en el concepto C- 322 del 16 de junio de 2020 –radicado No. 2202013000005088–, sobre la aplicación del artículo 36 del CPACA en torno al manejo de información reservada en cuadernos separados: “</w:t>
      </w:r>
      <w:r w:rsidRPr="00CC14DF">
        <w:rPr>
          <w:rFonts w:ascii="Verdana" w:eastAsia="Calibri" w:hAnsi="Verdana" w:cs="Arial"/>
          <w:sz w:val="14"/>
          <w:szCs w:val="14"/>
        </w:rPr>
        <w:t>tratándose de información sometida a reserva, considera esta Agencia que el tratamiento que corresponde a esta información es el procedente a partir de lo dispuesto en el artículo 36 del CPACA sobre la formación y examen de expedientes, en el que se establece que los documentos sometidos a reserva deberán insertarse en un cuaderno separado del expediente principal, el cual no podrá ser consultado por la ciudadanía o interesados en general. El manejo de estos documentos conforme lo indica esta norma, permite guardar la reserva a la que están sometidos dichos documentos en el marco de procesos de contratación, sin que se vean lesionados los intereses de los titulares de la información o contrariadas las normas del régimen de protección de datos personales”.</w:t>
      </w:r>
    </w:p>
  </w:footnote>
  <w:footnote w:id="18">
    <w:p w14:paraId="5917AE42" w14:textId="77777777" w:rsidR="00477AF2" w:rsidRPr="00CC14DF" w:rsidRDefault="00477AF2" w:rsidP="00477AF2">
      <w:pPr>
        <w:pStyle w:val="Textonotapie"/>
        <w:ind w:firstLine="708"/>
        <w:jc w:val="both"/>
        <w:rPr>
          <w:rFonts w:ascii="Verdana" w:hAnsi="Verdana" w:cs="Arial"/>
          <w:color w:val="000000"/>
          <w:sz w:val="14"/>
          <w:szCs w:val="14"/>
          <w:lang w:val="es-CO"/>
        </w:rPr>
      </w:pPr>
      <w:r w:rsidRPr="00CC14DF">
        <w:rPr>
          <w:rStyle w:val="Refdenotaalpie"/>
          <w:rFonts w:ascii="Verdana" w:hAnsi="Verdana" w:cs="Arial"/>
          <w:color w:val="000000"/>
          <w:sz w:val="14"/>
          <w:szCs w:val="14"/>
        </w:rPr>
        <w:footnoteRef/>
      </w:r>
      <w:r w:rsidRPr="00CC14DF">
        <w:rPr>
          <w:rFonts w:ascii="Verdana" w:hAnsi="Verdana" w:cs="Arial"/>
          <w:color w:val="000000"/>
          <w:sz w:val="14"/>
          <w:szCs w:val="14"/>
        </w:rPr>
        <w:t xml:space="preserve"> Corte Constitucional. </w:t>
      </w:r>
      <w:r w:rsidRPr="00CC14DF">
        <w:rPr>
          <w:rFonts w:ascii="Verdana" w:hAnsi="Verdana" w:cs="Arial"/>
          <w:color w:val="000000"/>
          <w:sz w:val="14"/>
          <w:szCs w:val="14"/>
          <w:lang w:val="es-CO"/>
        </w:rPr>
        <w:t xml:space="preserve">Sentencia C 711 del 11 de marzo de 2011. M.P. Mauricio González Cuervo. </w:t>
      </w:r>
    </w:p>
    <w:p w14:paraId="7C850CEA" w14:textId="77777777" w:rsidR="00477AF2" w:rsidRPr="00CC14DF" w:rsidRDefault="00477AF2" w:rsidP="00477AF2">
      <w:pPr>
        <w:pStyle w:val="Textonotapie"/>
        <w:ind w:firstLine="708"/>
        <w:jc w:val="both"/>
        <w:rPr>
          <w:rFonts w:ascii="Verdana" w:hAnsi="Verdana" w:cs="Arial"/>
          <w:color w:val="000000"/>
          <w:sz w:val="14"/>
          <w:szCs w:val="14"/>
          <w:lang w:val="es-CO"/>
        </w:rPr>
      </w:pPr>
    </w:p>
  </w:footnote>
  <w:footnote w:id="19">
    <w:p w14:paraId="174D5F47" w14:textId="77777777" w:rsidR="00477AF2" w:rsidRPr="00CC14DF" w:rsidRDefault="00477AF2" w:rsidP="00477AF2">
      <w:pPr>
        <w:pStyle w:val="Textonotapie"/>
        <w:ind w:firstLine="708"/>
        <w:jc w:val="both"/>
        <w:rPr>
          <w:rFonts w:ascii="Verdana" w:hAnsi="Verdana" w:cs="Arial"/>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Agencia Nacional de Contratación Pública – Colombia Compra Eficiente. Concepto C-087 del del 4 de marzo de 2020. Radicado de entrada No. 4202012000000579. Radicado de salida No. 2202013000001598.</w:t>
      </w:r>
    </w:p>
  </w:footnote>
  <w:footnote w:id="20">
    <w:p w14:paraId="0E4CDA6C" w14:textId="77777777" w:rsidR="00477AF2" w:rsidRPr="00CC14DF" w:rsidRDefault="00477AF2" w:rsidP="00477AF2">
      <w:pPr>
        <w:pStyle w:val="Textonotapie"/>
        <w:jc w:val="both"/>
        <w:rPr>
          <w:rFonts w:ascii="Verdana" w:hAnsi="Verdana" w:cs="Arial"/>
          <w:sz w:val="14"/>
          <w:szCs w:val="14"/>
        </w:rPr>
      </w:pPr>
    </w:p>
    <w:p w14:paraId="35641A7B" w14:textId="1581C31F" w:rsidR="00477AF2" w:rsidRDefault="00477AF2" w:rsidP="00477AF2">
      <w:pPr>
        <w:pStyle w:val="Textonotapie"/>
        <w:ind w:firstLine="708"/>
        <w:jc w:val="both"/>
        <w:rPr>
          <w:rFonts w:ascii="Verdana" w:hAnsi="Verdana" w:cs="Arial"/>
          <w:color w:val="000000"/>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Ley 80 de 1993 </w:t>
      </w:r>
      <w:r w:rsidR="00E96958">
        <w:rPr>
          <w:rFonts w:ascii="Verdana" w:hAnsi="Verdana" w:cs="Arial"/>
          <w:sz w:val="14"/>
          <w:szCs w:val="14"/>
        </w:rPr>
        <w:t>“</w:t>
      </w:r>
      <w:r w:rsidRPr="00E96958">
        <w:rPr>
          <w:rStyle w:val="Textoennegrita"/>
          <w:rFonts w:ascii="Verdana" w:hAnsi="Verdana" w:cs="Arial"/>
          <w:b w:val="0"/>
          <w:bCs w:val="0"/>
          <w:color w:val="000000"/>
          <w:sz w:val="14"/>
          <w:szCs w:val="14"/>
        </w:rPr>
        <w:t>Articulo 32. De los contratos estatales.</w:t>
      </w:r>
      <w:r w:rsidRPr="00CC14DF">
        <w:rPr>
          <w:rStyle w:val="Textoennegrita"/>
          <w:rFonts w:ascii="Verdana" w:hAnsi="Verdana" w:cs="Arial"/>
          <w:color w:val="000000"/>
          <w:sz w:val="14"/>
          <w:szCs w:val="14"/>
        </w:rPr>
        <w:t> </w:t>
      </w:r>
      <w:r w:rsidRPr="00CC14DF">
        <w:rPr>
          <w:rFonts w:ascii="Verdana" w:hAnsi="Verdana" w:cs="Arial"/>
          <w:color w:val="000000"/>
          <w:sz w:val="14"/>
          <w:szCs w:val="14"/>
        </w:rPr>
        <w:t>Son contratos estatales todos los actos jurídicos generadores de obligaciones que celebren las entidades a que se refiere el presente estatuto, previstos en el derecho privado o en disposiciones especiales, o derivados del ejercicio de la autonomía de la voluntad […]</w:t>
      </w:r>
      <w:r w:rsidR="00E96958">
        <w:rPr>
          <w:rFonts w:ascii="Verdana" w:hAnsi="Verdana" w:cs="Arial"/>
          <w:color w:val="000000"/>
          <w:sz w:val="14"/>
          <w:szCs w:val="14"/>
        </w:rPr>
        <w:t>”</w:t>
      </w:r>
      <w:r w:rsidRPr="00CC14DF">
        <w:rPr>
          <w:rFonts w:ascii="Verdana" w:hAnsi="Verdana" w:cs="Arial"/>
          <w:color w:val="000000"/>
          <w:sz w:val="14"/>
          <w:szCs w:val="14"/>
        </w:rPr>
        <w:t>.</w:t>
      </w:r>
    </w:p>
    <w:p w14:paraId="5722857A" w14:textId="77777777" w:rsidR="00E96958" w:rsidRPr="00CC14DF" w:rsidRDefault="00E96958" w:rsidP="00477AF2">
      <w:pPr>
        <w:pStyle w:val="Textonotapie"/>
        <w:ind w:firstLine="708"/>
        <w:jc w:val="both"/>
        <w:rPr>
          <w:rFonts w:ascii="Verdana" w:hAnsi="Verdana" w:cs="Arial"/>
          <w:sz w:val="14"/>
          <w:szCs w:val="14"/>
        </w:rPr>
      </w:pPr>
    </w:p>
  </w:footnote>
  <w:footnote w:id="21">
    <w:p w14:paraId="5C58B1D4" w14:textId="5F8E4A06" w:rsidR="00477AF2" w:rsidRPr="00CC14DF" w:rsidRDefault="00477AF2" w:rsidP="00E96958">
      <w:pPr>
        <w:pStyle w:val="NormalWeb"/>
        <w:spacing w:before="0" w:beforeAutospacing="0" w:after="0" w:afterAutospacing="0"/>
        <w:ind w:firstLine="708"/>
        <w:jc w:val="both"/>
        <w:rPr>
          <w:rFonts w:ascii="Verdana" w:hAnsi="Verdana" w:cs="Arial"/>
          <w:color w:val="000000"/>
          <w:sz w:val="14"/>
          <w:szCs w:val="14"/>
        </w:rPr>
      </w:pPr>
      <w:r w:rsidRPr="00CC14DF">
        <w:rPr>
          <w:rStyle w:val="Refdenotaalpie"/>
          <w:rFonts w:ascii="Verdana" w:hAnsi="Verdana" w:cs="Arial"/>
          <w:sz w:val="14"/>
          <w:szCs w:val="14"/>
        </w:rPr>
        <w:footnoteRef/>
      </w:r>
      <w:r w:rsidRPr="00CC14DF">
        <w:rPr>
          <w:rFonts w:ascii="Verdana" w:hAnsi="Verdana" w:cs="Arial"/>
          <w:sz w:val="14"/>
          <w:szCs w:val="14"/>
        </w:rPr>
        <w:t xml:space="preserve"> Ley 80 de 1993 </w:t>
      </w:r>
      <w:r w:rsidR="00E96958">
        <w:rPr>
          <w:rFonts w:ascii="Verdana" w:hAnsi="Verdana" w:cs="Arial"/>
          <w:sz w:val="14"/>
          <w:szCs w:val="14"/>
        </w:rPr>
        <w:t>“</w:t>
      </w:r>
      <w:r w:rsidRPr="00CC14DF">
        <w:rPr>
          <w:rFonts w:ascii="Verdana" w:hAnsi="Verdana" w:cs="Arial"/>
          <w:color w:val="000000"/>
          <w:sz w:val="14"/>
          <w:szCs w:val="14"/>
        </w:rPr>
        <w:t>Artículo 13</w:t>
      </w:r>
      <w:r w:rsidRPr="00E96958">
        <w:rPr>
          <w:rFonts w:ascii="Verdana" w:hAnsi="Verdana" w:cs="Arial"/>
          <w:color w:val="000000"/>
          <w:sz w:val="14"/>
          <w:szCs w:val="14"/>
        </w:rPr>
        <w:t xml:space="preserve">. </w:t>
      </w:r>
      <w:r w:rsidRPr="00CC14DF">
        <w:rPr>
          <w:rFonts w:ascii="Verdana" w:hAnsi="Verdana" w:cs="Arial"/>
          <w:color w:val="000000"/>
          <w:sz w:val="14"/>
          <w:szCs w:val="14"/>
        </w:rPr>
        <w:t>De la normatividad aplicable a los contratos estatales. Los contratos que celebren las entidades a que se refiere el artículo 2o. del presente estatuto se regirán por las disposiciones comerciales y civiles pertinentes, salvo en las materias particularmente reguladas en esta ley.</w:t>
      </w:r>
    </w:p>
    <w:p w14:paraId="6F42EE86" w14:textId="77777777" w:rsidR="00E96958" w:rsidRDefault="00477AF2" w:rsidP="00E96958">
      <w:pPr>
        <w:spacing w:after="0"/>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Los contratos celebrados en el exterior se podrán regir en su ejecución por las reglas del país en donde se hayan suscrito, a menos que deban cumplirse en Colombia. </w:t>
      </w:r>
    </w:p>
    <w:p w14:paraId="527C450C" w14:textId="77777777" w:rsidR="00E96958" w:rsidRDefault="00477AF2" w:rsidP="00E96958">
      <w:pPr>
        <w:spacing w:after="0"/>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Los contratos que se celebren en Colombia y deban ejecutarse o cumplirse en el extranjero, podrán someterse a la ley extranjera. </w:t>
      </w:r>
    </w:p>
    <w:p w14:paraId="0BDA599A" w14:textId="77777777" w:rsidR="00E96958" w:rsidRDefault="00477AF2" w:rsidP="00E96958">
      <w:pPr>
        <w:spacing w:after="0"/>
        <w:ind w:firstLine="708"/>
        <w:jc w:val="both"/>
        <w:rPr>
          <w:rFonts w:ascii="Verdana" w:hAnsi="Verdana" w:cs="Arial"/>
          <w:sz w:val="14"/>
          <w:szCs w:val="14"/>
        </w:rPr>
      </w:pPr>
      <w:r w:rsidRPr="00CC14DF">
        <w:rPr>
          <w:rFonts w:ascii="Verdana" w:hAnsi="Verdana" w:cs="Arial"/>
          <w:sz w:val="14"/>
          <w:szCs w:val="14"/>
        </w:rPr>
        <w:t>[…]</w:t>
      </w:r>
    </w:p>
    <w:p w14:paraId="5AAEE94B" w14:textId="0A1CBF0F" w:rsidR="00477AF2" w:rsidRPr="00CC14DF" w:rsidRDefault="00477AF2" w:rsidP="00E96958">
      <w:pPr>
        <w:spacing w:after="0"/>
        <w:ind w:firstLine="708"/>
        <w:jc w:val="both"/>
        <w:rPr>
          <w:rFonts w:ascii="Verdana" w:hAnsi="Verdana" w:cs="Arial"/>
          <w:color w:val="000000"/>
          <w:sz w:val="14"/>
          <w:szCs w:val="14"/>
        </w:rPr>
      </w:pPr>
      <w:r w:rsidRPr="00CC14DF">
        <w:rPr>
          <w:rFonts w:ascii="Verdana" w:hAnsi="Verdana" w:cs="Arial"/>
          <w:color w:val="000000"/>
          <w:sz w:val="14"/>
          <w:szCs w:val="14"/>
        </w:rPr>
        <w:t>Artículo 40. Del contenido del contrato estatal. Las estipulaciones de los contratos serán las que de acuerdo con las normas civiles, comerciales y las previstas en esta ley, correspondan a su esencia y naturaleza. </w:t>
      </w:r>
    </w:p>
    <w:p w14:paraId="0338B9FE" w14:textId="33F7A1D8" w:rsidR="00477AF2" w:rsidRPr="00CC14DF" w:rsidRDefault="00477AF2" w:rsidP="00477AF2">
      <w:pPr>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Las entidades podrán celebrar los contratos y acuerdos que permitan la autonomía de la voluntad y requieran el cumplimiento de los fines estatales</w:t>
      </w:r>
      <w:r w:rsidR="00E96958">
        <w:rPr>
          <w:rFonts w:ascii="Verdana" w:hAnsi="Verdana" w:cs="Arial"/>
          <w:color w:val="000000"/>
          <w:sz w:val="14"/>
          <w:szCs w:val="14"/>
          <w:lang w:eastAsia="es-CO"/>
        </w:rPr>
        <w:t>”.</w:t>
      </w:r>
    </w:p>
    <w:p w14:paraId="3243ED49" w14:textId="77777777" w:rsidR="00477AF2" w:rsidRPr="00CC14DF" w:rsidRDefault="00477AF2" w:rsidP="00477AF2">
      <w:pPr>
        <w:jc w:val="both"/>
        <w:rPr>
          <w:rFonts w:ascii="Verdana" w:hAnsi="Verdana" w:cs="Arial"/>
          <w:color w:val="000000"/>
          <w:sz w:val="14"/>
          <w:szCs w:val="14"/>
          <w:lang w:eastAsia="es-CO"/>
        </w:rPr>
      </w:pPr>
      <w:r w:rsidRPr="00CC14DF">
        <w:rPr>
          <w:rFonts w:ascii="Verdana" w:hAnsi="Verdana" w:cs="Arial"/>
          <w:color w:val="000000"/>
          <w:sz w:val="14"/>
          <w:szCs w:val="14"/>
          <w:lang w:eastAsia="es-CO"/>
        </w:rPr>
        <w:t xml:space="preserve">   </w:t>
      </w:r>
      <w:r w:rsidRPr="00CC14DF">
        <w:rPr>
          <w:rFonts w:ascii="Verdana" w:hAnsi="Verdana" w:cs="Arial"/>
          <w:color w:val="000000"/>
          <w:sz w:val="14"/>
          <w:szCs w:val="14"/>
          <w:lang w:eastAsia="es-CO"/>
        </w:rPr>
        <w:tab/>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72F2E335" w14:textId="77777777" w:rsidR="00477AF2" w:rsidRPr="00CC14DF" w:rsidRDefault="00477AF2" w:rsidP="00477AF2">
      <w:pPr>
        <w:jc w:val="both"/>
        <w:rPr>
          <w:rFonts w:ascii="Verdana" w:hAnsi="Verdana" w:cs="Arial"/>
          <w:color w:val="000000"/>
          <w:sz w:val="14"/>
          <w:szCs w:val="14"/>
          <w:lang w:eastAsia="es-CO"/>
        </w:rPr>
      </w:pPr>
      <w:r w:rsidRPr="00CC14DF">
        <w:rPr>
          <w:rFonts w:ascii="Verdana" w:hAnsi="Verdana" w:cs="Arial"/>
          <w:color w:val="000000"/>
          <w:sz w:val="14"/>
          <w:szCs w:val="14"/>
          <w:lang w:eastAsia="es-CO"/>
        </w:rPr>
        <w:t>  </w:t>
      </w:r>
      <w:r w:rsidRPr="00CC14DF">
        <w:rPr>
          <w:rFonts w:ascii="Verdana" w:hAnsi="Verdana" w:cs="Arial"/>
          <w:color w:val="000000"/>
          <w:sz w:val="14"/>
          <w:szCs w:val="14"/>
          <w:lang w:eastAsia="es-CO"/>
        </w:rPr>
        <w:tab/>
        <w:t>»En los contratos de empréstito o cualquier otra forma de financiación de organismos multilaterales, podrán incluirse las previsiones y particularidades contempladas en los reglamentos de tales entidades, que no sean contrarias a la Constitución o a la ley […]». </w:t>
      </w:r>
    </w:p>
    <w:p w14:paraId="6B03695A" w14:textId="77777777" w:rsidR="00477AF2" w:rsidRPr="00CC14DF" w:rsidRDefault="00477AF2" w:rsidP="00477AF2">
      <w:pPr>
        <w:pStyle w:val="Textonotapie"/>
        <w:ind w:firstLine="708"/>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32800E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56936923" o:spid="_x0000_i1025" type="#_x0000_t75" style="width:11.4pt;height:11.4pt;visibility:visible;mso-wrap-style:square">
            <v:imagedata r:id="rId1" o:title=""/>
          </v:shape>
        </w:pict>
      </mc:Choice>
      <mc:Fallback>
        <w:drawing>
          <wp:inline distT="0" distB="0" distL="0" distR="0" wp14:anchorId="6BF389E2" wp14:editId="6BF389E3">
            <wp:extent cx="144780" cy="144780"/>
            <wp:effectExtent l="0" t="0" r="0" b="0"/>
            <wp:docPr id="1956936923" name="Imagen 1956936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70745B"/>
    <w:multiLevelType w:val="hybridMultilevel"/>
    <w:tmpl w:val="2048B5C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EF4B51"/>
    <w:multiLevelType w:val="hybridMultilevel"/>
    <w:tmpl w:val="569860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8"/>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682781270">
    <w:abstractNumId w:val="7"/>
  </w:num>
  <w:num w:numId="17" w16cid:durableId="16110069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2E3A"/>
    <w:rsid w:val="00016F78"/>
    <w:rsid w:val="00043B69"/>
    <w:rsid w:val="00046945"/>
    <w:rsid w:val="00061B2A"/>
    <w:rsid w:val="00065E07"/>
    <w:rsid w:val="00070A5E"/>
    <w:rsid w:val="00082362"/>
    <w:rsid w:val="00093C76"/>
    <w:rsid w:val="000A630A"/>
    <w:rsid w:val="000A683E"/>
    <w:rsid w:val="000B19B9"/>
    <w:rsid w:val="000C4C70"/>
    <w:rsid w:val="000D0334"/>
    <w:rsid w:val="000F6486"/>
    <w:rsid w:val="00125105"/>
    <w:rsid w:val="00127233"/>
    <w:rsid w:val="001511A0"/>
    <w:rsid w:val="001B44D8"/>
    <w:rsid w:val="001B60CF"/>
    <w:rsid w:val="001E4177"/>
    <w:rsid w:val="001F7DC6"/>
    <w:rsid w:val="00216BB7"/>
    <w:rsid w:val="002421BB"/>
    <w:rsid w:val="00254FEE"/>
    <w:rsid w:val="0025796E"/>
    <w:rsid w:val="002707A2"/>
    <w:rsid w:val="00287423"/>
    <w:rsid w:val="002951A0"/>
    <w:rsid w:val="002962BC"/>
    <w:rsid w:val="002A093D"/>
    <w:rsid w:val="002A0DD0"/>
    <w:rsid w:val="002A49AC"/>
    <w:rsid w:val="002A64FD"/>
    <w:rsid w:val="002C7A84"/>
    <w:rsid w:val="002E4FD9"/>
    <w:rsid w:val="00314DDE"/>
    <w:rsid w:val="00322A85"/>
    <w:rsid w:val="00324168"/>
    <w:rsid w:val="003448F4"/>
    <w:rsid w:val="00374F5E"/>
    <w:rsid w:val="0037500B"/>
    <w:rsid w:val="00377E3E"/>
    <w:rsid w:val="00397CD6"/>
    <w:rsid w:val="003A779E"/>
    <w:rsid w:val="003D0F4D"/>
    <w:rsid w:val="003D5B0D"/>
    <w:rsid w:val="003E0499"/>
    <w:rsid w:val="003E1031"/>
    <w:rsid w:val="003F3941"/>
    <w:rsid w:val="003F3CF7"/>
    <w:rsid w:val="003F6101"/>
    <w:rsid w:val="00406575"/>
    <w:rsid w:val="00414C74"/>
    <w:rsid w:val="0042722E"/>
    <w:rsid w:val="0044528D"/>
    <w:rsid w:val="00460E04"/>
    <w:rsid w:val="00477AF2"/>
    <w:rsid w:val="004A1847"/>
    <w:rsid w:val="004A305D"/>
    <w:rsid w:val="004B09D5"/>
    <w:rsid w:val="004B4613"/>
    <w:rsid w:val="004D41CF"/>
    <w:rsid w:val="004F21C4"/>
    <w:rsid w:val="004F685F"/>
    <w:rsid w:val="00545143"/>
    <w:rsid w:val="005566E8"/>
    <w:rsid w:val="00574867"/>
    <w:rsid w:val="005749CB"/>
    <w:rsid w:val="0057644D"/>
    <w:rsid w:val="00591460"/>
    <w:rsid w:val="0059541C"/>
    <w:rsid w:val="005B3816"/>
    <w:rsid w:val="005C049C"/>
    <w:rsid w:val="005C3777"/>
    <w:rsid w:val="005C5CDC"/>
    <w:rsid w:val="005D476C"/>
    <w:rsid w:val="005F6554"/>
    <w:rsid w:val="006219F8"/>
    <w:rsid w:val="00657F63"/>
    <w:rsid w:val="00665D70"/>
    <w:rsid w:val="006900D9"/>
    <w:rsid w:val="006E6936"/>
    <w:rsid w:val="007001BA"/>
    <w:rsid w:val="00706C16"/>
    <w:rsid w:val="0072217A"/>
    <w:rsid w:val="00745AE1"/>
    <w:rsid w:val="00756841"/>
    <w:rsid w:val="007649AB"/>
    <w:rsid w:val="00771D0C"/>
    <w:rsid w:val="007833AC"/>
    <w:rsid w:val="0079328E"/>
    <w:rsid w:val="007B268C"/>
    <w:rsid w:val="007B7171"/>
    <w:rsid w:val="007C0C0F"/>
    <w:rsid w:val="007C3DC2"/>
    <w:rsid w:val="007E5497"/>
    <w:rsid w:val="00806F5F"/>
    <w:rsid w:val="00820278"/>
    <w:rsid w:val="0083043D"/>
    <w:rsid w:val="008347E4"/>
    <w:rsid w:val="00844060"/>
    <w:rsid w:val="008458FD"/>
    <w:rsid w:val="00867F95"/>
    <w:rsid w:val="008843B6"/>
    <w:rsid w:val="00891928"/>
    <w:rsid w:val="008A446D"/>
    <w:rsid w:val="008C452B"/>
    <w:rsid w:val="008D0FA2"/>
    <w:rsid w:val="008D180B"/>
    <w:rsid w:val="008F0EA7"/>
    <w:rsid w:val="00923EEF"/>
    <w:rsid w:val="009419F9"/>
    <w:rsid w:val="0095226C"/>
    <w:rsid w:val="0095685E"/>
    <w:rsid w:val="00961B09"/>
    <w:rsid w:val="00965334"/>
    <w:rsid w:val="0097093E"/>
    <w:rsid w:val="00986AC5"/>
    <w:rsid w:val="009A0DFA"/>
    <w:rsid w:val="009B2D26"/>
    <w:rsid w:val="009C34D8"/>
    <w:rsid w:val="009C71FA"/>
    <w:rsid w:val="009C72E7"/>
    <w:rsid w:val="009D3058"/>
    <w:rsid w:val="009F3A13"/>
    <w:rsid w:val="00A06EAF"/>
    <w:rsid w:val="00A122D3"/>
    <w:rsid w:val="00A156A4"/>
    <w:rsid w:val="00A17F13"/>
    <w:rsid w:val="00A20739"/>
    <w:rsid w:val="00A33C78"/>
    <w:rsid w:val="00A42998"/>
    <w:rsid w:val="00A43252"/>
    <w:rsid w:val="00AB0ADB"/>
    <w:rsid w:val="00AB732C"/>
    <w:rsid w:val="00AE562D"/>
    <w:rsid w:val="00AF6351"/>
    <w:rsid w:val="00B000B6"/>
    <w:rsid w:val="00B01B1A"/>
    <w:rsid w:val="00B05D38"/>
    <w:rsid w:val="00B34D80"/>
    <w:rsid w:val="00B66319"/>
    <w:rsid w:val="00B72CD3"/>
    <w:rsid w:val="00B72FFF"/>
    <w:rsid w:val="00B90886"/>
    <w:rsid w:val="00BC3D36"/>
    <w:rsid w:val="00BD7C3F"/>
    <w:rsid w:val="00BD7F72"/>
    <w:rsid w:val="00C00233"/>
    <w:rsid w:val="00C01F88"/>
    <w:rsid w:val="00C04FB3"/>
    <w:rsid w:val="00C330EB"/>
    <w:rsid w:val="00C41061"/>
    <w:rsid w:val="00C619A7"/>
    <w:rsid w:val="00C754BE"/>
    <w:rsid w:val="00C76B1C"/>
    <w:rsid w:val="00C804B4"/>
    <w:rsid w:val="00C83B6D"/>
    <w:rsid w:val="00CB6357"/>
    <w:rsid w:val="00CC14DF"/>
    <w:rsid w:val="00CC1B26"/>
    <w:rsid w:val="00D01F7C"/>
    <w:rsid w:val="00D423A2"/>
    <w:rsid w:val="00D520D8"/>
    <w:rsid w:val="00D5515B"/>
    <w:rsid w:val="00D6307B"/>
    <w:rsid w:val="00D63AC2"/>
    <w:rsid w:val="00D679B1"/>
    <w:rsid w:val="00D7383B"/>
    <w:rsid w:val="00D921FA"/>
    <w:rsid w:val="00DA231B"/>
    <w:rsid w:val="00DC39FC"/>
    <w:rsid w:val="00DF2B4A"/>
    <w:rsid w:val="00DF5254"/>
    <w:rsid w:val="00DF784D"/>
    <w:rsid w:val="00E008AB"/>
    <w:rsid w:val="00E02692"/>
    <w:rsid w:val="00E16408"/>
    <w:rsid w:val="00E20894"/>
    <w:rsid w:val="00E228E7"/>
    <w:rsid w:val="00E245AB"/>
    <w:rsid w:val="00E2764C"/>
    <w:rsid w:val="00E27F2E"/>
    <w:rsid w:val="00E316D0"/>
    <w:rsid w:val="00E32097"/>
    <w:rsid w:val="00E50AFE"/>
    <w:rsid w:val="00E65991"/>
    <w:rsid w:val="00E75C92"/>
    <w:rsid w:val="00E771DC"/>
    <w:rsid w:val="00E81B86"/>
    <w:rsid w:val="00E8772A"/>
    <w:rsid w:val="00E90F6B"/>
    <w:rsid w:val="00E92C27"/>
    <w:rsid w:val="00E958F7"/>
    <w:rsid w:val="00E96958"/>
    <w:rsid w:val="00EA0E3D"/>
    <w:rsid w:val="00EA2D18"/>
    <w:rsid w:val="00EC38A7"/>
    <w:rsid w:val="00ED5713"/>
    <w:rsid w:val="00ED7384"/>
    <w:rsid w:val="00EE1AA8"/>
    <w:rsid w:val="00F2072F"/>
    <w:rsid w:val="00F31EDC"/>
    <w:rsid w:val="00F462B3"/>
    <w:rsid w:val="00F5409C"/>
    <w:rsid w:val="00F5664F"/>
    <w:rsid w:val="00F666C4"/>
    <w:rsid w:val="00F76AFC"/>
    <w:rsid w:val="00F81A89"/>
    <w:rsid w:val="00F91666"/>
    <w:rsid w:val="00FA47C0"/>
    <w:rsid w:val="00FB5DD1"/>
    <w:rsid w:val="00FC0620"/>
    <w:rsid w:val="00FC2B5D"/>
    <w:rsid w:val="00FD3861"/>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59"/>
    <w:rsid w:val="00C619A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C619A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619A7"/>
    <w:rPr>
      <w:rFonts w:ascii="Geomanist Light" w:hAnsi="Geomanist Light"/>
      <w:lang w:val="es-ES"/>
    </w:rPr>
  </w:style>
  <w:style w:type="character" w:styleId="nfasis">
    <w:name w:val="Emphasis"/>
    <w:basedOn w:val="Fuentedeprrafopredeter"/>
    <w:uiPriority w:val="20"/>
    <w:qFormat/>
    <w:rsid w:val="0072217A"/>
    <w:rPr>
      <w:i/>
      <w:iCs/>
    </w:rPr>
  </w:style>
  <w:style w:type="character" w:styleId="Textoennegrita">
    <w:name w:val="Strong"/>
    <w:basedOn w:val="Fuentedeprrafopredeter"/>
    <w:uiPriority w:val="22"/>
    <w:qFormat/>
    <w:rsid w:val="0072217A"/>
    <w:rPr>
      <w:b/>
      <w:bCs/>
    </w:rPr>
  </w:style>
  <w:style w:type="character" w:customStyle="1" w:styleId="NormalWebCar">
    <w:name w:val="Normal (Web) Car"/>
    <w:link w:val="NormalWeb"/>
    <w:uiPriority w:val="99"/>
    <w:rsid w:val="0072217A"/>
    <w:rPr>
      <w:rFonts w:ascii="Times New Roman" w:eastAsia="Times New Roman" w:hAnsi="Times New Roman" w:cs="Times New Roman"/>
      <w:sz w:val="24"/>
      <w:szCs w:val="24"/>
      <w:lang w:eastAsia="es-CO"/>
    </w:rPr>
  </w:style>
  <w:style w:type="paragraph" w:styleId="Subttulo">
    <w:name w:val="Subtitle"/>
    <w:basedOn w:val="Normal"/>
    <w:next w:val="Normal"/>
    <w:link w:val="SubttuloCar"/>
    <w:uiPriority w:val="11"/>
    <w:qFormat/>
    <w:rsid w:val="00FD386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D3861"/>
    <w:rPr>
      <w:rFonts w:eastAsiaTheme="majorEastAsia" w:cstheme="majorBidi"/>
      <w:color w:val="595959" w:themeColor="text1" w:themeTint="A6"/>
      <w:spacing w:val="1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1876201">
      <w:bodyDiv w:val="1"/>
      <w:marLeft w:val="0"/>
      <w:marRight w:val="0"/>
      <w:marTop w:val="0"/>
      <w:marBottom w:val="0"/>
      <w:divBdr>
        <w:top w:val="none" w:sz="0" w:space="0" w:color="auto"/>
        <w:left w:val="none" w:sz="0" w:space="0" w:color="auto"/>
        <w:bottom w:val="none" w:sz="0" w:space="0" w:color="auto"/>
        <w:right w:val="none" w:sz="0" w:space="0" w:color="auto"/>
      </w:divBdr>
    </w:div>
    <w:div w:id="837767836">
      <w:bodyDiv w:val="1"/>
      <w:marLeft w:val="0"/>
      <w:marRight w:val="0"/>
      <w:marTop w:val="0"/>
      <w:marBottom w:val="0"/>
      <w:divBdr>
        <w:top w:val="none" w:sz="0" w:space="0" w:color="auto"/>
        <w:left w:val="none" w:sz="0" w:space="0" w:color="auto"/>
        <w:bottom w:val="none" w:sz="0" w:space="0" w:color="auto"/>
        <w:right w:val="none" w:sz="0" w:space="0" w:color="auto"/>
      </w:divBdr>
    </w:div>
    <w:div w:id="98350448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6115977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ommunity.secop.gov.co/Public/Tendering/ContractNoticeManagement/Index?currentLanguage=es-CO&amp;Page=login&amp;Country=CO&amp;SkinName=CCE" TargetMode="External"/><Relationship Id="rId18" Type="http://schemas.openxmlformats.org/officeDocument/2006/relationships/hyperlink" Target="https://nam02.safelinks.protection.outlook.com/?url=https%3A%2F%2Fwww.colombiacompra.gov.co%2Fmanuales-guias-y-pliegos-tipo%2Fmanuales-y-guias%2Fcartilla-para-incentivar-y-fortalecer-el-acceso-las&amp;data=05%7C02%7Csergio.caballero%40colombiacompra.gov.co%7Ceb0fd05604104aa4d3bc08dd4c4ad35e%7C7b09041e245149d08cb179d5e3d8c1be%7C0%7C0%7C638750606450638124%7CUnknown%7CTWFpbGZsb3d8eyJFbXB0eU1hcGkiOnRydWUsIlYiOiIwLjAuMDAwMCIsIlAiOiJXaW4zMiIsIkFOIjoiTWFpbCIsIldUIjoyfQ%3D%3D%7C0%7C%7C%7C&amp;sdata=GsJIL57dtjU4EgyeV9GoXT9Qyf5HCr3L97ztn6DduKY%3D&amp;reserved=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olombiacompra.gov.co/sites/cce_public/files/files_2020/boletin_de_realtoria_viii.pdf" TargetMode="External"/><Relationship Id="rId7" Type="http://schemas.openxmlformats.org/officeDocument/2006/relationships/webSettings" Target="webSettings.xml"/><Relationship Id="rId12" Type="http://schemas.openxmlformats.org/officeDocument/2006/relationships/hyperlink" Target="https://www.contratos.gov.co/consultas/inicioConsulta.do" TargetMode="External"/><Relationship Id="rId17" Type="http://schemas.openxmlformats.org/officeDocument/2006/relationships/hyperlink" Target="https://relatoria.colombiacompra.gov.c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ommunity.secop.gov.co/Public/Tendering/OpportunityDetail/Index?noticeUID=CO1.NTC.6796110" TargetMode="External"/><Relationship Id="rId20" Type="http://schemas.openxmlformats.org/officeDocument/2006/relationships/hyperlink" Target="https://nam02.safelinks.protection.outlook.com/?url=https%3A%2F%2Fwww.colombiacompra.gov.co%2Fmanuales-guias-y-pliegos-tipo%2Fmanuales-y-guias%2Fguia-de-contratacion-publica-sostenible-y-socialmente&amp;data=05%7C02%7Csergio.caballero%40colombiacompra.gov.co%7Ceb0fd05604104aa4d3bc08dd4c4ad35e%7C7b09041e245149d08cb179d5e3d8c1be%7C0%7C0%7C638750606450689684%7CUnknown%7CTWFpbGZsb3d8eyJFbXB0eU1hcGkiOnRydWUsIlYiOiIwLjAuMDAwMCIsIlAiOiJXaW4zMiIsIkFOIjoiTWFpbCIsIldUIjoyfQ%3D%3D%7C0%7C%7C%7C&amp;sdata=NxWmEz0gePs69v4kYbGRcHH9k%2FqWDe2nEUXaxf28aZc%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aulacarvajalpacd@gmail.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community.secop.gov.co/Public/Tendering/OpportunityDetail/Index?noticeUID=CO1.NTC.6796110"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yperlink" Target="https://nam02.safelinks.protection.outlook.com/?url=https%3A%2F%2Fwww.colombiacompra.gov.co%2Fciudadanos%2Fcalendario&amp;data=05%7C02%7Csergio.caballero%40colombiacompra.gov.co%7Ceb0fd05604104aa4d3bc08dd4c4ad35e%7C7b09041e245149d08cb179d5e3d8c1be%7C0%7C0%7C638750606450666822%7CUnknown%7CTWFpbGZsb3d8eyJFbXB0eU1hcGkiOnRydWUsIlYiOiIwLjAuMDAwMCIsIlAiOiJXaW4zMiIsIkFOIjoiTWFpbCIsIldUIjoyfQ%3D%3D%7C0%7C%7C%7C&amp;sdata=mU5XUX7Q%2BXd%2FpAjSuS1xL4Fxie0rJRg%2FgAbyPiGkYwc%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sites/cce_public/files/files_2020/manual_de_datos_abiertos_actualizado.pdf" TargetMode="External"/><Relationship Id="rId22"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2A95C84-4415-4DD7-8E21-4F8D1BFF0D8D}"/>
</file>

<file path=customXml/itemProps3.xml><?xml version="1.0" encoding="utf-8"?>
<ds:datastoreItem xmlns:ds="http://schemas.openxmlformats.org/officeDocument/2006/customXml" ds:itemID="{163618BE-28CB-4D69-955E-CDA788483BED}">
  <ds:schemaRefs>
    <ds:schemaRef ds:uri="b531b13d-89bf-4629-be1e-22fdf3dd34d4"/>
    <ds:schemaRef ds:uri="http://schemas.microsoft.com/office/2006/metadata/properties"/>
    <ds:schemaRef ds:uri="http://www.w3.org/XML/1998/namespace"/>
    <ds:schemaRef ds:uri="8ae15d26-076e-464e-81a7-6f76a0fb3917"/>
    <ds:schemaRef ds:uri="http://purl.org/dc/dcmitype/"/>
    <ds:schemaRef ds:uri="http://purl.org/dc/terms/"/>
    <ds:schemaRef ds:uri="http://schemas.microsoft.com/office/infopath/2007/PartnerControls"/>
    <ds:schemaRef ds:uri="http://schemas.openxmlformats.org/package/2006/metadata/core-properties"/>
    <ds:schemaRef ds:uri="http://schemas.microsoft.com/office/2006/documentManagement/typ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7152</Words>
  <Characters>39339</Characters>
  <Application>Microsoft Office Word</Application>
  <DocSecurity>0</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Enrique Caballero Lesmes</cp:lastModifiedBy>
  <cp:revision>3</cp:revision>
  <cp:lastPrinted>2023-01-10T21:18:00Z</cp:lastPrinted>
  <dcterms:created xsi:type="dcterms:W3CDTF">2025-02-25T20:23:00Z</dcterms:created>
  <dcterms:modified xsi:type="dcterms:W3CDTF">2025-02-26T16:31:00Z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