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EA747" w14:textId="77777777" w:rsidR="00AE164A" w:rsidRPr="005549AE" w:rsidRDefault="00AE164A" w:rsidP="00AE164A">
      <w:pPr>
        <w:spacing w:after="0" w:line="240" w:lineRule="auto"/>
        <w:jc w:val="both"/>
        <w:rPr>
          <w:rFonts w:ascii="Verdana" w:hAnsi="Verdana"/>
          <w:b/>
          <w:bCs/>
          <w:sz w:val="20"/>
          <w:szCs w:val="20"/>
          <w:lang w:val="es-ES"/>
        </w:rPr>
      </w:pPr>
    </w:p>
    <w:p w14:paraId="15D4039F" w14:textId="77777777" w:rsidR="00AE164A" w:rsidRPr="005549AE" w:rsidRDefault="00AE164A" w:rsidP="00AE164A">
      <w:pPr>
        <w:spacing w:after="0" w:line="240" w:lineRule="auto"/>
        <w:jc w:val="both"/>
        <w:rPr>
          <w:rFonts w:ascii="Verdana" w:hAnsi="Verdana"/>
          <w:b/>
        </w:rPr>
      </w:pPr>
      <w:r w:rsidRPr="00660AA2">
        <w:rPr>
          <w:rFonts w:ascii="Verdana" w:hAnsi="Verdana"/>
          <w:b/>
        </w:rPr>
        <w:t>EQUILIBRIO ECONÓMICO – Contrato estatal – Fundamento</w:t>
      </w:r>
    </w:p>
    <w:p w14:paraId="019BA06A" w14:textId="77777777" w:rsidR="00AE164A" w:rsidRPr="005549AE" w:rsidRDefault="00AE164A" w:rsidP="00AE164A">
      <w:pPr>
        <w:spacing w:after="0" w:line="240" w:lineRule="auto"/>
        <w:jc w:val="both"/>
        <w:rPr>
          <w:rFonts w:ascii="Verdana" w:hAnsi="Verdana"/>
          <w:bCs/>
          <w:sz w:val="20"/>
          <w:szCs w:val="20"/>
        </w:rPr>
      </w:pPr>
    </w:p>
    <w:p w14:paraId="4A65B815" w14:textId="77777777" w:rsidR="00AE164A" w:rsidRPr="00660AA2" w:rsidRDefault="00AE164A" w:rsidP="00AE164A">
      <w:pPr>
        <w:spacing w:after="0" w:line="240" w:lineRule="auto"/>
        <w:jc w:val="both"/>
        <w:rPr>
          <w:rFonts w:ascii="Verdana" w:eastAsia="Calibri" w:hAnsi="Verdana" w:cs="Arial"/>
          <w:sz w:val="20"/>
          <w:szCs w:val="20"/>
          <w:shd w:val="clear" w:color="auto" w:fill="FFFFFF"/>
          <w:lang w:val="es-ES"/>
        </w:rPr>
      </w:pPr>
      <w:r w:rsidRPr="00660AA2">
        <w:rPr>
          <w:rFonts w:ascii="Verdana" w:eastAsia="Calibri" w:hAnsi="Verdana" w:cs="Arial"/>
          <w:sz w:val="20"/>
          <w:szCs w:val="20"/>
          <w:shd w:val="clear" w:color="auto" w:fill="FFFFFF"/>
          <w:lang w:val="es-ES"/>
        </w:rPr>
        <w:t xml:space="preserve">De conformidad con el artículo 3 de la Ley 80 de 1993 la celebración y ejecución de los contratos estatales 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 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3B53D299" w14:textId="77777777" w:rsidR="00AE164A" w:rsidRPr="00660AA2" w:rsidRDefault="00AE164A" w:rsidP="00AE164A">
      <w:pPr>
        <w:spacing w:after="0" w:line="240" w:lineRule="auto"/>
        <w:jc w:val="both"/>
        <w:rPr>
          <w:rFonts w:ascii="Verdana" w:eastAsia="Calibri" w:hAnsi="Verdana" w:cs="Arial"/>
          <w:sz w:val="20"/>
          <w:szCs w:val="20"/>
          <w:shd w:val="clear" w:color="auto" w:fill="FFFFFF"/>
          <w:lang w:val="es-ES"/>
        </w:rPr>
      </w:pPr>
    </w:p>
    <w:p w14:paraId="19C31C23" w14:textId="77777777" w:rsidR="00AE164A" w:rsidRPr="005549AE" w:rsidRDefault="00AE164A" w:rsidP="00AE164A">
      <w:pPr>
        <w:spacing w:after="0" w:line="240" w:lineRule="auto"/>
        <w:jc w:val="both"/>
        <w:rPr>
          <w:rFonts w:ascii="Verdana" w:eastAsia="Arial MT" w:hAnsi="Verdana" w:cs="Arial"/>
          <w:sz w:val="20"/>
          <w:szCs w:val="20"/>
          <w:lang w:eastAsia="es-ES" w:bidi="es-ES"/>
        </w:rPr>
      </w:pPr>
      <w:r w:rsidRPr="00660AA2">
        <w:rPr>
          <w:rFonts w:ascii="Verdana" w:eastAsia="Calibri" w:hAnsi="Verdana" w:cs="Arial"/>
          <w:sz w:val="20"/>
          <w:szCs w:val="20"/>
          <w:shd w:val="clear" w:color="auto" w:fill="FFFFFF"/>
          <w:lang w:val="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w:t>
      </w:r>
    </w:p>
    <w:p w14:paraId="6D1B3B69" w14:textId="77777777" w:rsidR="00AE164A" w:rsidRPr="005549AE" w:rsidRDefault="00AE164A" w:rsidP="00AE164A">
      <w:pPr>
        <w:spacing w:after="0" w:line="240" w:lineRule="auto"/>
        <w:jc w:val="both"/>
        <w:rPr>
          <w:rFonts w:ascii="Verdana" w:hAnsi="Verdana"/>
          <w:bCs/>
          <w:sz w:val="20"/>
          <w:szCs w:val="20"/>
        </w:rPr>
      </w:pPr>
    </w:p>
    <w:p w14:paraId="48C31D09" w14:textId="77777777" w:rsidR="00AE164A" w:rsidRPr="005549AE" w:rsidRDefault="00AE164A" w:rsidP="00AE164A">
      <w:pPr>
        <w:spacing w:after="0" w:line="240" w:lineRule="auto"/>
        <w:jc w:val="both"/>
        <w:rPr>
          <w:rFonts w:ascii="Verdana" w:hAnsi="Verdana"/>
          <w:b/>
        </w:rPr>
      </w:pPr>
      <w:r w:rsidRPr="00660AA2">
        <w:rPr>
          <w:rFonts w:ascii="Verdana" w:hAnsi="Verdana"/>
          <w:b/>
        </w:rPr>
        <w:t>EQUILIBRIO ECONÓMICO – Contrato estatal – Concepto</w:t>
      </w:r>
    </w:p>
    <w:p w14:paraId="003DBFB6" w14:textId="77777777" w:rsidR="00AE164A" w:rsidRPr="005549AE" w:rsidRDefault="00AE164A" w:rsidP="00AE164A">
      <w:pPr>
        <w:spacing w:after="0" w:line="240" w:lineRule="auto"/>
        <w:jc w:val="both"/>
        <w:rPr>
          <w:rFonts w:ascii="Verdana" w:hAnsi="Verdana"/>
          <w:bCs/>
          <w:sz w:val="20"/>
          <w:szCs w:val="20"/>
        </w:rPr>
      </w:pPr>
    </w:p>
    <w:p w14:paraId="5BF049A2" w14:textId="77777777" w:rsidR="00AE164A" w:rsidRPr="005549AE" w:rsidRDefault="00AE164A" w:rsidP="00AE164A">
      <w:pPr>
        <w:spacing w:after="0" w:line="240" w:lineRule="auto"/>
        <w:jc w:val="both"/>
        <w:rPr>
          <w:rFonts w:ascii="Verdana" w:hAnsi="Verdana"/>
          <w:b/>
          <w:bCs/>
          <w:sz w:val="20"/>
          <w:szCs w:val="20"/>
        </w:rPr>
      </w:pPr>
      <w:r w:rsidRPr="00660AA2">
        <w:rPr>
          <w:rFonts w:ascii="Verdana" w:eastAsia="Arial MT" w:hAnsi="Verdana" w:cs="Arial"/>
          <w:sz w:val="20"/>
          <w:szCs w:val="20"/>
          <w:lang w:eastAsia="es-ES" w:bidi="es-ES"/>
        </w:rPr>
        <w:t>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 En concordancia, la doctrina ha indicado que con este principio, también denominado «el de la honesta equivalencia de prestaciones», se privilegia el carácter conmutativo o sinalagmático que, por regla general, tiene el contrato estatal, «lo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p>
    <w:p w14:paraId="2C45C59D" w14:textId="77777777" w:rsidR="00AE164A" w:rsidRPr="005549AE" w:rsidRDefault="00AE164A" w:rsidP="00AE164A">
      <w:pPr>
        <w:spacing w:after="0" w:line="240" w:lineRule="auto"/>
        <w:jc w:val="both"/>
        <w:rPr>
          <w:rFonts w:ascii="Verdana" w:hAnsi="Verdana"/>
          <w:b/>
          <w:bCs/>
          <w:sz w:val="20"/>
          <w:szCs w:val="20"/>
        </w:rPr>
      </w:pPr>
    </w:p>
    <w:p w14:paraId="0BBAE045" w14:textId="77777777" w:rsidR="00AE164A" w:rsidRPr="005549AE" w:rsidRDefault="00AE164A" w:rsidP="00AE164A">
      <w:pPr>
        <w:spacing w:after="0" w:line="240" w:lineRule="auto"/>
        <w:jc w:val="both"/>
        <w:rPr>
          <w:rFonts w:ascii="Verdana" w:hAnsi="Verdana"/>
          <w:b/>
          <w:bCs/>
        </w:rPr>
      </w:pPr>
      <w:r w:rsidRPr="00660AA2">
        <w:rPr>
          <w:rFonts w:ascii="Verdana" w:hAnsi="Verdana"/>
          <w:b/>
          <w:bCs/>
        </w:rPr>
        <w:t>EQUILIBRIO ECONÓMICO – Contrato estatal – Restablecimiento – Procedencia – Requisitos</w:t>
      </w:r>
    </w:p>
    <w:p w14:paraId="1B3A6E71" w14:textId="77777777" w:rsidR="00AE164A" w:rsidRPr="005549AE" w:rsidRDefault="00AE164A" w:rsidP="00AE164A">
      <w:pPr>
        <w:spacing w:after="0" w:line="240" w:lineRule="auto"/>
        <w:jc w:val="both"/>
        <w:rPr>
          <w:rFonts w:ascii="Verdana" w:hAnsi="Verdana"/>
          <w:b/>
          <w:bCs/>
          <w:sz w:val="20"/>
          <w:szCs w:val="20"/>
        </w:rPr>
      </w:pPr>
    </w:p>
    <w:p w14:paraId="2BABA172" w14:textId="77777777" w:rsidR="00AE164A" w:rsidRPr="00660AA2" w:rsidRDefault="00AE164A" w:rsidP="00AE164A">
      <w:pPr>
        <w:spacing w:after="0" w:line="240" w:lineRule="auto"/>
        <w:jc w:val="both"/>
        <w:rPr>
          <w:rFonts w:ascii="Verdana" w:hAnsi="Verdana"/>
          <w:sz w:val="20"/>
          <w:szCs w:val="20"/>
        </w:rPr>
      </w:pPr>
      <w:r w:rsidRPr="00660AA2">
        <w:rPr>
          <w:rFonts w:ascii="Verdana" w:hAnsi="Verdana"/>
          <w:sz w:val="20"/>
          <w:szCs w:val="20"/>
          <w:lang w:bidi="es-ES"/>
        </w:rPr>
        <w:t xml:space="preserve">En lo que atañe a la procedencia del restablecimiento del equilibrio financiero del contrato cuando este se vulnera, la jurisprudencia ha señalado que para estos efectos </w:t>
      </w:r>
      <w:r w:rsidRPr="00660AA2">
        <w:rPr>
          <w:rFonts w:ascii="Verdana" w:hAnsi="Verdana"/>
          <w:sz w:val="20"/>
          <w:szCs w:val="20"/>
          <w:lang w:bidi="es-ES"/>
        </w:rPr>
        <w:lastRenderedPageBreak/>
        <w:t xml:space="preserve">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sidRPr="00660AA2">
        <w:rPr>
          <w:rFonts w:ascii="Verdana" w:hAnsi="Verdana"/>
          <w:sz w:val="20"/>
          <w:szCs w:val="20"/>
        </w:rPr>
        <w:t xml:space="preserve">si las solicitudes, o salvedades </w:t>
      </w:r>
      <w:r w:rsidRPr="00660AA2">
        <w:rPr>
          <w:rFonts w:ascii="Verdana" w:hAnsi="Verdana"/>
          <w:sz w:val="20"/>
          <w:szCs w:val="20"/>
          <w:lang w:val="es-MX"/>
        </w:rPr>
        <w:t>«</w:t>
      </w:r>
      <w:r w:rsidRPr="00660AA2">
        <w:rPr>
          <w:rFonts w:ascii="Verdana" w:hAnsi="Verdana"/>
          <w:sz w:val="20"/>
          <w:szCs w:val="20"/>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660AA2">
        <w:rPr>
          <w:rFonts w:ascii="Verdana" w:hAnsi="Verdana"/>
          <w:sz w:val="20"/>
          <w:szCs w:val="20"/>
          <w:lang w:val="es-MX"/>
        </w:rPr>
        <w:t xml:space="preserve">». </w:t>
      </w:r>
    </w:p>
    <w:p w14:paraId="725D5553" w14:textId="77777777" w:rsidR="00AE164A" w:rsidRPr="00660AA2" w:rsidRDefault="00AE164A" w:rsidP="00AE164A">
      <w:pPr>
        <w:spacing w:after="0" w:line="240" w:lineRule="auto"/>
        <w:jc w:val="both"/>
        <w:rPr>
          <w:rFonts w:ascii="Verdana" w:hAnsi="Verdana"/>
          <w:sz w:val="20"/>
          <w:szCs w:val="20"/>
          <w:lang w:bidi="es-ES"/>
        </w:rPr>
      </w:pPr>
    </w:p>
    <w:p w14:paraId="019F32DD" w14:textId="77777777" w:rsidR="00AE164A" w:rsidRPr="00660AA2" w:rsidRDefault="00AE164A" w:rsidP="00AE164A">
      <w:pPr>
        <w:spacing w:after="0" w:line="240" w:lineRule="auto"/>
        <w:jc w:val="both"/>
        <w:rPr>
          <w:rFonts w:ascii="Verdana" w:hAnsi="Verdana"/>
          <w:sz w:val="20"/>
          <w:szCs w:val="20"/>
          <w:lang w:bidi="es-ES"/>
        </w:rPr>
      </w:pPr>
      <w:r w:rsidRPr="00660AA2">
        <w:rPr>
          <w:rFonts w:ascii="Verdana" w:hAnsi="Verdana"/>
          <w:sz w:val="20"/>
          <w:szCs w:val="20"/>
          <w:lang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536EF65D" w14:textId="77777777" w:rsidR="00AE164A" w:rsidRPr="00660AA2" w:rsidRDefault="00AE164A" w:rsidP="00AE164A">
      <w:pPr>
        <w:spacing w:after="0" w:line="240" w:lineRule="auto"/>
        <w:jc w:val="both"/>
        <w:rPr>
          <w:rFonts w:ascii="Verdana" w:hAnsi="Verdana"/>
          <w:sz w:val="20"/>
          <w:szCs w:val="20"/>
        </w:rPr>
      </w:pPr>
    </w:p>
    <w:p w14:paraId="62EE42D3" w14:textId="77777777" w:rsidR="00AE164A" w:rsidRPr="00660AA2" w:rsidRDefault="00AE164A" w:rsidP="00AE164A">
      <w:pPr>
        <w:spacing w:after="0" w:line="240" w:lineRule="auto"/>
        <w:jc w:val="both"/>
        <w:rPr>
          <w:rFonts w:ascii="Verdana" w:hAnsi="Verdana"/>
          <w:sz w:val="20"/>
          <w:szCs w:val="20"/>
        </w:rPr>
      </w:pPr>
      <w:r w:rsidRPr="00660AA2">
        <w:rPr>
          <w:rFonts w:ascii="Verdana" w:hAnsi="Verdana"/>
          <w:sz w:val="20"/>
          <w:szCs w:val="20"/>
          <w:lang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660AA2">
        <w:rPr>
          <w:rFonts w:ascii="Verdana" w:hAnsi="Verdana"/>
          <w:sz w:val="20"/>
          <w:szCs w:val="20"/>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660AA2">
        <w:rPr>
          <w:rFonts w:ascii="Verdana" w:hAnsi="Verdana"/>
          <w:sz w:val="20"/>
          <w:szCs w:val="20"/>
          <w:lang w:val="es-MX"/>
        </w:rPr>
        <w:t>«</w:t>
      </w:r>
      <w:r w:rsidRPr="00660AA2">
        <w:rPr>
          <w:rFonts w:ascii="Verdana" w:hAnsi="Verdana"/>
          <w:sz w:val="20"/>
          <w:szCs w:val="20"/>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 de tales situaciones, haya concurrido a suscribirlo, sin dejar alguna manifestación sobre la insuficiencia de ese acuerdo para satisfacer sus reclamaciones</w:t>
      </w:r>
      <w:r w:rsidRPr="00660AA2">
        <w:rPr>
          <w:rFonts w:ascii="Verdana" w:hAnsi="Verdana"/>
          <w:sz w:val="20"/>
          <w:szCs w:val="20"/>
          <w:lang w:val="es-MX"/>
        </w:rPr>
        <w:t>»</w:t>
      </w:r>
      <w:r w:rsidRPr="00660AA2">
        <w:rPr>
          <w:rFonts w:ascii="Verdana" w:hAnsi="Verdana"/>
          <w:sz w:val="20"/>
          <w:szCs w:val="20"/>
        </w:rPr>
        <w:t>.</w:t>
      </w:r>
    </w:p>
    <w:p w14:paraId="69867350" w14:textId="77777777" w:rsidR="00AE164A" w:rsidRPr="005549AE" w:rsidRDefault="00AE164A" w:rsidP="00AE164A">
      <w:pPr>
        <w:spacing w:after="0" w:line="240" w:lineRule="auto"/>
        <w:jc w:val="both"/>
        <w:rPr>
          <w:rFonts w:ascii="Verdana" w:hAnsi="Verdana"/>
          <w:sz w:val="20"/>
          <w:szCs w:val="20"/>
        </w:rPr>
      </w:pPr>
    </w:p>
    <w:p w14:paraId="6602BC05" w14:textId="77777777" w:rsidR="00AE164A" w:rsidRPr="00AF1555" w:rsidRDefault="00AE164A" w:rsidP="00AE164A">
      <w:pPr>
        <w:tabs>
          <w:tab w:val="left" w:pos="426"/>
        </w:tabs>
        <w:spacing w:after="0" w:line="240" w:lineRule="auto"/>
        <w:jc w:val="both"/>
        <w:rPr>
          <w:rFonts w:ascii="Verdana" w:hAnsi="Verdana" w:cs="Arial"/>
          <w:b/>
          <w:lang w:eastAsia="es-CO"/>
        </w:rPr>
      </w:pPr>
      <w:r>
        <w:rPr>
          <w:rFonts w:ascii="Verdana" w:hAnsi="Verdana" w:cs="Arial"/>
          <w:b/>
          <w:lang w:val="es-ES_tradnl" w:eastAsia="es-CO"/>
        </w:rPr>
        <w:t>RESTABLECIMIENTO DE LA ECUACIÓN ECONÓMICA</w:t>
      </w:r>
      <w:r>
        <w:rPr>
          <w:rFonts w:ascii="Verdana" w:hAnsi="Verdana" w:cs="Arial"/>
          <w:b/>
          <w:lang w:eastAsia="es-CO"/>
        </w:rPr>
        <w:t xml:space="preserve"> – Liquidación</w:t>
      </w:r>
      <w:r w:rsidRPr="00AF1555">
        <w:rPr>
          <w:rFonts w:ascii="Verdana" w:hAnsi="Verdana" w:cs="Arial"/>
          <w:b/>
          <w:lang w:eastAsia="es-CO"/>
        </w:rPr>
        <w:t xml:space="preserve">  </w:t>
      </w:r>
    </w:p>
    <w:p w14:paraId="11F4049B" w14:textId="77777777" w:rsidR="00AE164A" w:rsidRPr="00AF1555" w:rsidRDefault="00AE164A" w:rsidP="00AE164A">
      <w:pPr>
        <w:tabs>
          <w:tab w:val="left" w:pos="426"/>
        </w:tabs>
        <w:spacing w:after="0" w:line="240" w:lineRule="auto"/>
        <w:jc w:val="both"/>
        <w:rPr>
          <w:rFonts w:ascii="Verdana" w:hAnsi="Verdana" w:cs="Arial"/>
          <w:b/>
          <w:sz w:val="20"/>
          <w:szCs w:val="20"/>
          <w:lang w:eastAsia="es-CO"/>
        </w:rPr>
      </w:pPr>
    </w:p>
    <w:p w14:paraId="59615A4A" w14:textId="77777777" w:rsidR="00AE164A" w:rsidRPr="006F121D" w:rsidRDefault="00AE164A" w:rsidP="00AE164A">
      <w:pPr>
        <w:spacing w:after="0" w:line="240" w:lineRule="auto"/>
        <w:jc w:val="both"/>
        <w:rPr>
          <w:rFonts w:ascii="Verdana" w:hAnsi="Verdana" w:cs="Arial"/>
          <w:bCs/>
          <w:sz w:val="20"/>
          <w:szCs w:val="20"/>
          <w:lang w:eastAsia="es-CO"/>
        </w:rPr>
      </w:pPr>
      <w:r w:rsidRPr="006F121D">
        <w:rPr>
          <w:rFonts w:ascii="Verdana" w:hAnsi="Verdana" w:cs="Arial"/>
          <w:bCs/>
          <w:sz w:val="20"/>
          <w:szCs w:val="20"/>
          <w:lang w:eastAsia="es-CO"/>
        </w:rPr>
        <w:t>De los incisos segundo y tercero del artículo 60 del EGCAP se desprende que en la liquidación “[…] las partes acordarán los ajustes, revisiones y reconocimientos a que haya lugar” y en ella “[…] constarán los acuerdos, conciliaciones y transacciones a que llegaren las partes para poner fin a las divergencias presentadas y poder declararse a paz y salvo”. Esto hace que la liquidación no sólo sea un mecanismo alternativo de solución de conflictos, sino también un medio para resolver asuntos relacionados con el desequilibrio económico del contrato. Sobre esta última faceta, la doctrina explica que la norma en comento consagra una posibilidad para que las entidades públicas garanticen el equilibrio económico si éste resultó afectado en la ejecución del negocio jurídico, así que la liquidación es el momento oportuno para resolver las diferencias existentes.</w:t>
      </w:r>
    </w:p>
    <w:p w14:paraId="06D1BAA1" w14:textId="77777777" w:rsidR="00AE164A" w:rsidRPr="006F121D" w:rsidRDefault="00AE164A" w:rsidP="00AE164A">
      <w:pPr>
        <w:spacing w:after="0" w:line="240" w:lineRule="auto"/>
        <w:jc w:val="both"/>
        <w:rPr>
          <w:rFonts w:ascii="Verdana" w:hAnsi="Verdana" w:cs="Arial"/>
          <w:bCs/>
          <w:sz w:val="20"/>
          <w:szCs w:val="20"/>
          <w:lang w:eastAsia="es-CO"/>
        </w:rPr>
      </w:pPr>
    </w:p>
    <w:p w14:paraId="36F15BA0" w14:textId="77777777" w:rsidR="00AE164A" w:rsidRPr="006F121D" w:rsidRDefault="00AE164A" w:rsidP="00AE164A">
      <w:pPr>
        <w:spacing w:after="0" w:line="240" w:lineRule="auto"/>
        <w:jc w:val="both"/>
        <w:rPr>
          <w:rFonts w:ascii="Verdana" w:eastAsia="Geomanist Light" w:hAnsi="Verdana" w:cs="Arial"/>
          <w:color w:val="000000" w:themeColor="text1"/>
          <w:sz w:val="20"/>
          <w:szCs w:val="20"/>
        </w:rPr>
      </w:pPr>
      <w:r w:rsidRPr="006F121D">
        <w:rPr>
          <w:rFonts w:ascii="Verdana" w:hAnsi="Verdana" w:cs="Arial"/>
          <w:bCs/>
          <w:sz w:val="20"/>
          <w:szCs w:val="20"/>
          <w:lang w:eastAsia="es-CO"/>
        </w:rPr>
        <w:lastRenderedPageBreak/>
        <w:t>No obstante, de acuerdo con la Sentencia de Unificación del 19 de noviembre de 2012 de la Sala Plena del Consejo de Estado, por regla general,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 De cara al artículo 10 del CPACA, considerando las tres (3) excepciones contempladas en dicha sentencia, en la actualidad está limitada la posibilidad de reconocer en la liquidación actividades no incluidas dentro del contrato. Así, su pago no sólo está sujeto al soporte probatorio, sino que la decisión también debe armonizarse con la doctrina fijada por el máximo órgano de la jurisdicción contenciosa administrativa</w:t>
      </w:r>
      <w:r w:rsidRPr="006F121D">
        <w:rPr>
          <w:rFonts w:ascii="Verdana" w:eastAsia="Geomanist Light" w:hAnsi="Verdana" w:cs="Arial"/>
          <w:color w:val="000000" w:themeColor="text1"/>
          <w:sz w:val="20"/>
          <w:szCs w:val="20"/>
        </w:rPr>
        <w:t>.</w:t>
      </w:r>
    </w:p>
    <w:p w14:paraId="6454D83F" w14:textId="77777777" w:rsidR="00AE164A" w:rsidRPr="006F121D" w:rsidRDefault="00AE164A" w:rsidP="00AE164A">
      <w:pPr>
        <w:spacing w:after="0" w:line="240" w:lineRule="auto"/>
        <w:jc w:val="both"/>
        <w:rPr>
          <w:rFonts w:ascii="Verdana" w:hAnsi="Verdana" w:cs="Arial"/>
          <w:sz w:val="20"/>
          <w:szCs w:val="20"/>
        </w:rPr>
      </w:pPr>
    </w:p>
    <w:p w14:paraId="25F8E1E6" w14:textId="77777777" w:rsidR="00AE164A" w:rsidRPr="00B4318D" w:rsidRDefault="00AE164A" w:rsidP="00AE164A">
      <w:pPr>
        <w:spacing w:after="0" w:line="240" w:lineRule="auto"/>
        <w:jc w:val="both"/>
        <w:rPr>
          <w:rFonts w:ascii="Verdana" w:hAnsi="Verdana"/>
          <w:b/>
        </w:rPr>
      </w:pPr>
      <w:r w:rsidRPr="00B4318D">
        <w:rPr>
          <w:rFonts w:ascii="Verdana" w:hAnsi="Verdana"/>
          <w:b/>
        </w:rPr>
        <w:t xml:space="preserve">ENRIQUECIMIENTO SIN JUSTA CAUSA – Sentencia de Unificación del 19 de noviembre de 2012 – Alcance </w:t>
      </w:r>
    </w:p>
    <w:p w14:paraId="57FEF571" w14:textId="77777777" w:rsidR="00AE164A" w:rsidRPr="00B4318D" w:rsidRDefault="00AE164A" w:rsidP="00AE164A">
      <w:pPr>
        <w:spacing w:after="0" w:line="240" w:lineRule="auto"/>
        <w:jc w:val="both"/>
        <w:rPr>
          <w:rFonts w:ascii="Verdana" w:hAnsi="Verdana"/>
          <w:b/>
        </w:rPr>
      </w:pPr>
    </w:p>
    <w:p w14:paraId="6B1AD56D" w14:textId="77777777" w:rsidR="00AE164A" w:rsidRPr="00CE3030" w:rsidRDefault="00AE164A" w:rsidP="00AE164A">
      <w:pPr>
        <w:spacing w:after="0" w:line="240" w:lineRule="auto"/>
        <w:jc w:val="both"/>
        <w:rPr>
          <w:rFonts w:ascii="Verdana" w:hAnsi="Verdana"/>
          <w:sz w:val="20"/>
        </w:rPr>
      </w:pPr>
      <w:r w:rsidRPr="00CE3030">
        <w:rPr>
          <w:rFonts w:ascii="Verdana" w:hAnsi="Verdana"/>
          <w:sz w:val="20"/>
        </w:rPr>
        <w:t xml:space="preserve">[…] la Sala Plena del Consejo de Estado </w:t>
      </w:r>
      <w:r>
        <w:rPr>
          <w:rFonts w:ascii="Verdana" w:hAnsi="Verdana"/>
          <w:sz w:val="20"/>
        </w:rPr>
        <w:t>en</w:t>
      </w:r>
      <w:r w:rsidRPr="00CE3030">
        <w:rPr>
          <w:rFonts w:ascii="Verdana" w:hAnsi="Verdana"/>
          <w:sz w:val="20"/>
        </w:rPr>
        <w:t xml:space="preserve"> la Sentencia de Unificación del 19 de noviembre de 2012, </w:t>
      </w:r>
      <w:r w:rsidRPr="00CE3030">
        <w:rPr>
          <w:rFonts w:ascii="Verdana" w:hAnsi="Verdana"/>
          <w:i/>
          <w:iCs/>
          <w:sz w:val="20"/>
        </w:rPr>
        <w:t>por regla general,</w:t>
      </w:r>
      <w:r w:rsidRPr="00CE3030">
        <w:rPr>
          <w:rFonts w:ascii="Verdana" w:hAnsi="Verdana"/>
          <w:sz w:val="20"/>
        </w:rPr>
        <w:t xml:space="preserve">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w:t>
      </w:r>
    </w:p>
    <w:p w14:paraId="7F7AAD95" w14:textId="77777777" w:rsidR="00AE164A" w:rsidRPr="00CE3030" w:rsidRDefault="00AE164A" w:rsidP="00AE164A">
      <w:pPr>
        <w:spacing w:after="0" w:line="240" w:lineRule="auto"/>
        <w:jc w:val="both"/>
        <w:rPr>
          <w:rFonts w:ascii="Verdana" w:hAnsi="Verdana"/>
          <w:sz w:val="20"/>
        </w:rPr>
      </w:pPr>
    </w:p>
    <w:p w14:paraId="2062180E" w14:textId="77777777" w:rsidR="00AE164A" w:rsidRPr="00CE3030" w:rsidRDefault="00AE164A" w:rsidP="00AE164A">
      <w:pPr>
        <w:spacing w:after="0" w:line="240" w:lineRule="auto"/>
        <w:jc w:val="both"/>
        <w:rPr>
          <w:rFonts w:ascii="Verdana" w:hAnsi="Verdana"/>
          <w:sz w:val="20"/>
        </w:rPr>
      </w:pPr>
      <w:r w:rsidRPr="00CE3030">
        <w:rPr>
          <w:rFonts w:ascii="Verdana" w:hAnsi="Verdana"/>
          <w:i/>
          <w:iCs/>
          <w:sz w:val="20"/>
        </w:rPr>
        <w:t>Excepcionalmente</w:t>
      </w:r>
      <w:r w:rsidRPr="00CE3030">
        <w:rPr>
          <w:rFonts w:ascii="Verdana" w:hAnsi="Verdana"/>
          <w:sz w:val="20"/>
        </w:rPr>
        <w:t xml:space="preserve">, la jurisprudencia citada admitió la posibilidad de reconocer al contratista la ejecución de obras extras o adicionales en tres (3) eventos de interpretación restrictiva: i) cuando existe prueba fehaciente de que la ejecución de obras o servicios extras o adicionales o el suministro de bienes, por fuera del objeto contractual, se haya realizado por la imposición de la entidad, en ejercicio de su autoridad; </w:t>
      </w:r>
      <w:proofErr w:type="spellStart"/>
      <w:r w:rsidRPr="00CE3030">
        <w:rPr>
          <w:rFonts w:ascii="Verdana" w:hAnsi="Verdana"/>
          <w:sz w:val="20"/>
        </w:rPr>
        <w:t>ii</w:t>
      </w:r>
      <w:proofErr w:type="spellEnd"/>
      <w:r w:rsidRPr="00CE3030">
        <w:rPr>
          <w:rFonts w:ascii="Verdana" w:hAnsi="Verdana"/>
          <w:sz w:val="20"/>
        </w:rPr>
        <w:t xml:space="preserve">) que fueran urgentes para evitar una lesión inminente e irreversible al derecho a la salud; y </w:t>
      </w:r>
      <w:proofErr w:type="spellStart"/>
      <w:r w:rsidRPr="00CE3030">
        <w:rPr>
          <w:rFonts w:ascii="Verdana" w:hAnsi="Verdana"/>
          <w:sz w:val="20"/>
        </w:rPr>
        <w:t>iii</w:t>
      </w:r>
      <w:proofErr w:type="spellEnd"/>
      <w:r w:rsidRPr="00CE3030">
        <w:rPr>
          <w:rFonts w:ascii="Verdana" w:hAnsi="Verdana"/>
          <w:sz w:val="20"/>
        </w:rPr>
        <w:t xml:space="preserve">) cuando se omite el decreto de la urgencia manifiesta y concurren las circunstancias para que ésta hubiera sido declarada.  </w:t>
      </w:r>
    </w:p>
    <w:p w14:paraId="6E418C5A" w14:textId="77777777" w:rsidR="00AE164A" w:rsidRPr="00B4318D" w:rsidRDefault="00AE164A" w:rsidP="00AE164A">
      <w:pPr>
        <w:spacing w:after="0" w:line="240" w:lineRule="auto"/>
        <w:jc w:val="both"/>
        <w:rPr>
          <w:rFonts w:ascii="Verdana" w:hAnsi="Verdana"/>
          <w:b/>
        </w:rPr>
      </w:pPr>
      <w:r w:rsidRPr="00B4318D">
        <w:rPr>
          <w:rFonts w:ascii="Verdana" w:hAnsi="Verdana"/>
          <w:b/>
        </w:rPr>
        <w:t xml:space="preserve"> </w:t>
      </w:r>
    </w:p>
    <w:p w14:paraId="63B24C88" w14:textId="77777777" w:rsidR="00AE164A" w:rsidRPr="00B4318D" w:rsidRDefault="00AE164A" w:rsidP="00AE164A">
      <w:pPr>
        <w:spacing w:after="0" w:line="240" w:lineRule="auto"/>
        <w:jc w:val="both"/>
        <w:rPr>
          <w:rFonts w:ascii="Verdana" w:hAnsi="Verdana"/>
          <w:b/>
        </w:rPr>
      </w:pPr>
      <w:r w:rsidRPr="00B4318D">
        <w:rPr>
          <w:rFonts w:ascii="Verdana" w:hAnsi="Verdana"/>
          <w:b/>
        </w:rPr>
        <w:t xml:space="preserve">ENRIQUECIMIENTO SIN JUSTA CAUSA – Nueva Postura – Sentencia de Unificación Jurisprudencial – Elementos – Prueba de la Actividad - Circunstancia Excepcional - Procedencia  </w:t>
      </w:r>
    </w:p>
    <w:p w14:paraId="4A2EF691" w14:textId="77777777" w:rsidR="00AE164A" w:rsidRPr="00CE3030" w:rsidRDefault="00AE164A" w:rsidP="00AE164A">
      <w:pPr>
        <w:spacing w:after="0" w:line="240" w:lineRule="auto"/>
        <w:jc w:val="both"/>
        <w:rPr>
          <w:rFonts w:ascii="Verdana" w:hAnsi="Verdana"/>
          <w:sz w:val="20"/>
        </w:rPr>
      </w:pPr>
    </w:p>
    <w:p w14:paraId="06B5E781" w14:textId="77777777" w:rsidR="00AE164A" w:rsidRDefault="00AE164A" w:rsidP="00AE164A">
      <w:pPr>
        <w:spacing w:after="0" w:line="240" w:lineRule="auto"/>
        <w:jc w:val="both"/>
        <w:rPr>
          <w:rFonts w:ascii="Verdana" w:hAnsi="Verdana"/>
          <w:sz w:val="20"/>
        </w:rPr>
      </w:pPr>
      <w:r w:rsidRPr="00CE3030">
        <w:rPr>
          <w:rFonts w:ascii="Verdana" w:hAnsi="Verdana"/>
          <w:sz w:val="20"/>
        </w:rPr>
        <w:t xml:space="preserve">En todo caso, esta postura jurisprudencial consolidada cambió con la Sentencia de Unificación del 31 de julio de 2025, en la que se expresó la compensación del enriquecimiento sin justa causa no está condicionado a la subsunción de ciertos hechos que se concuerdan con una lista de hipótesis fácticas previa y taxativamente definidas, sino que corresponde al juez, en virtud de los elementos sustantivos y la revisión el comportamiento de las partes, establecer la viabilidad de ordenar que haya una corrección al traslado patrimonial injustificado por bienes y obras no previstos en el contrato. </w:t>
      </w:r>
    </w:p>
    <w:p w14:paraId="0B7EF6A4" w14:textId="77777777" w:rsidR="00AE164A" w:rsidRPr="00CE3030" w:rsidRDefault="00AE164A" w:rsidP="00AE164A">
      <w:pPr>
        <w:spacing w:after="0" w:line="240" w:lineRule="auto"/>
        <w:jc w:val="both"/>
        <w:rPr>
          <w:rFonts w:ascii="Verdana" w:hAnsi="Verdana"/>
          <w:sz w:val="20"/>
        </w:rPr>
      </w:pPr>
    </w:p>
    <w:p w14:paraId="20C89C97" w14:textId="77777777" w:rsidR="00AE164A" w:rsidRDefault="00AE164A" w:rsidP="00AE164A">
      <w:pPr>
        <w:spacing w:after="0" w:line="240" w:lineRule="auto"/>
        <w:jc w:val="both"/>
        <w:rPr>
          <w:rFonts w:ascii="Verdana" w:hAnsi="Verdana"/>
          <w:sz w:val="20"/>
        </w:rPr>
      </w:pPr>
      <w:r>
        <w:rPr>
          <w:rFonts w:ascii="Verdana" w:hAnsi="Verdana"/>
          <w:sz w:val="20"/>
        </w:rPr>
        <w:t>[…]</w:t>
      </w:r>
    </w:p>
    <w:p w14:paraId="4B2C0A5F" w14:textId="77777777" w:rsidR="00AE164A" w:rsidRPr="00CE3030" w:rsidRDefault="00AE164A" w:rsidP="00AE164A">
      <w:pPr>
        <w:spacing w:after="0" w:line="240" w:lineRule="auto"/>
        <w:jc w:val="both"/>
        <w:rPr>
          <w:rFonts w:ascii="Verdana" w:hAnsi="Verdana"/>
          <w:sz w:val="20"/>
        </w:rPr>
      </w:pPr>
    </w:p>
    <w:p w14:paraId="7396BD38" w14:textId="77777777" w:rsidR="00AE164A" w:rsidRPr="00381D6C" w:rsidRDefault="00AE164A" w:rsidP="00AE164A">
      <w:pPr>
        <w:spacing w:after="0" w:line="240" w:lineRule="auto"/>
        <w:jc w:val="both"/>
        <w:rPr>
          <w:rFonts w:ascii="Verdana" w:hAnsi="Verdana"/>
          <w:sz w:val="20"/>
          <w:szCs w:val="20"/>
          <w:lang w:val="es-ES"/>
        </w:rPr>
      </w:pPr>
      <w:r w:rsidRPr="00CE3030">
        <w:rPr>
          <w:rFonts w:ascii="Verdana" w:hAnsi="Verdana"/>
          <w:sz w:val="20"/>
        </w:rPr>
        <w:t>Teniendo en cuenta los elementos, debe tenerse en cuenta la prueba de la actividad, sumado a la circunstancia excepcional que se invoca. El Consejo de Estado estableció que esta regla sobre el reconocimiento económico debe aplicarse a partir de la ejecutoria de la nueva sentencia de unificación, en aquellas pretensiones de compensación por enriquecimiento sin causa, de forma que no podrá dejarse de conceder lo pedido por el solo hecho de que el caso no se enmarque en los eventos indicados en la Sentencia del 19 de noviembre de 2012.</w:t>
      </w:r>
    </w:p>
    <w:p w14:paraId="78E5FDF5" w14:textId="77777777" w:rsidR="00AE164A" w:rsidRDefault="00AE164A" w:rsidP="00AE164A">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 xml:space="preserve"> </w:t>
      </w:r>
    </w:p>
    <w:p w14:paraId="2A4CA082" w14:textId="77777777" w:rsidR="00AE164A" w:rsidRPr="00705C5F" w:rsidRDefault="00AE164A" w:rsidP="00AE164A">
      <w:pPr>
        <w:spacing w:after="0" w:line="240" w:lineRule="auto"/>
        <w:jc w:val="both"/>
        <w:rPr>
          <w:rFonts w:ascii="Verdana" w:eastAsia="Times New Roman" w:hAnsi="Verdana" w:cs="Arial"/>
          <w:color w:val="000000"/>
          <w:sz w:val="20"/>
          <w:szCs w:val="20"/>
          <w:lang w:eastAsia="es-MX"/>
        </w:rPr>
      </w:pPr>
    </w:p>
    <w:p w14:paraId="58B6627B" w14:textId="77777777" w:rsidR="00AE164A" w:rsidRPr="00DE2AC7" w:rsidRDefault="00AE164A" w:rsidP="00AE164A">
      <w:pPr>
        <w:spacing w:after="0" w:line="240" w:lineRule="auto"/>
        <w:jc w:val="both"/>
        <w:rPr>
          <w:rFonts w:ascii="Verdana" w:eastAsia="Geomanist Light" w:hAnsi="Verdana" w:cs="Arial"/>
          <w:color w:val="000000" w:themeColor="text1"/>
        </w:rPr>
      </w:pPr>
    </w:p>
    <w:p w14:paraId="67ECFEEB" w14:textId="77777777" w:rsidR="00AE164A" w:rsidRDefault="00AE164A" w:rsidP="00AE164A">
      <w:pPr>
        <w:spacing w:after="0" w:line="240" w:lineRule="auto"/>
        <w:rPr>
          <w:rFonts w:ascii="Verdana" w:eastAsia="Geomanist Light" w:hAnsi="Verdana" w:cs="Arial"/>
          <w:color w:val="000000" w:themeColor="text1"/>
          <w:lang w:val="es-MX"/>
        </w:rPr>
      </w:pPr>
    </w:p>
    <w:p w14:paraId="09FC6F57" w14:textId="77777777" w:rsidR="00AE164A" w:rsidRDefault="00AE164A" w:rsidP="00AE164A">
      <w:pPr>
        <w:spacing w:after="0" w:line="240" w:lineRule="auto"/>
        <w:rPr>
          <w:rFonts w:ascii="Verdana" w:eastAsia="Geomanist Light" w:hAnsi="Verdana" w:cs="Arial"/>
          <w:color w:val="000000" w:themeColor="text1"/>
          <w:lang w:val="es-MX"/>
        </w:rPr>
      </w:pPr>
    </w:p>
    <w:p w14:paraId="34481AA6" w14:textId="77777777" w:rsidR="00AE164A" w:rsidRDefault="00AE164A" w:rsidP="00AE164A">
      <w:pPr>
        <w:spacing w:after="0" w:line="240" w:lineRule="auto"/>
        <w:rPr>
          <w:rFonts w:ascii="Verdana" w:eastAsia="Geomanist Light" w:hAnsi="Verdana" w:cs="Arial"/>
          <w:color w:val="000000" w:themeColor="text1"/>
          <w:lang w:val="es-MX"/>
        </w:rPr>
      </w:pPr>
    </w:p>
    <w:p w14:paraId="4D331511" w14:textId="77777777" w:rsidR="00AE164A" w:rsidRDefault="00AE164A" w:rsidP="00AE164A">
      <w:pPr>
        <w:spacing w:after="0" w:line="240" w:lineRule="auto"/>
        <w:rPr>
          <w:rFonts w:ascii="Verdana" w:eastAsia="Geomanist Light" w:hAnsi="Verdana" w:cs="Arial"/>
          <w:color w:val="000000" w:themeColor="text1"/>
          <w:lang w:val="es-MX"/>
        </w:rPr>
      </w:pPr>
    </w:p>
    <w:p w14:paraId="3BBC00F2" w14:textId="77777777" w:rsidR="00AE164A" w:rsidRDefault="00AE164A" w:rsidP="00AE164A">
      <w:pPr>
        <w:spacing w:after="0" w:line="240" w:lineRule="auto"/>
        <w:rPr>
          <w:rFonts w:ascii="Verdana" w:eastAsia="Geomanist Light" w:hAnsi="Verdana" w:cs="Arial"/>
          <w:color w:val="000000" w:themeColor="text1"/>
          <w:lang w:val="es-MX"/>
        </w:rPr>
      </w:pPr>
    </w:p>
    <w:p w14:paraId="367D209A" w14:textId="77777777" w:rsidR="00AE164A" w:rsidRDefault="00AE164A" w:rsidP="00AE164A">
      <w:pPr>
        <w:spacing w:after="0" w:line="240" w:lineRule="auto"/>
        <w:rPr>
          <w:rFonts w:ascii="Verdana" w:eastAsia="Geomanist Light" w:hAnsi="Verdana" w:cs="Arial"/>
          <w:color w:val="000000" w:themeColor="text1"/>
          <w:lang w:val="es-MX"/>
        </w:rPr>
      </w:pPr>
    </w:p>
    <w:p w14:paraId="795881DE" w14:textId="77777777" w:rsidR="00AE164A" w:rsidRDefault="00AE164A" w:rsidP="00AE164A">
      <w:pPr>
        <w:spacing w:after="0" w:line="240" w:lineRule="auto"/>
        <w:rPr>
          <w:rFonts w:ascii="Verdana" w:eastAsia="Geomanist Light" w:hAnsi="Verdana" w:cs="Arial"/>
          <w:color w:val="000000" w:themeColor="text1"/>
          <w:lang w:val="es-MX"/>
        </w:rPr>
      </w:pPr>
    </w:p>
    <w:p w14:paraId="537B1E41" w14:textId="77777777" w:rsidR="00AE164A" w:rsidRDefault="00AE164A" w:rsidP="00AE164A">
      <w:pPr>
        <w:spacing w:after="0" w:line="240" w:lineRule="auto"/>
        <w:rPr>
          <w:rFonts w:ascii="Verdana" w:eastAsia="Geomanist Light" w:hAnsi="Verdana" w:cs="Arial"/>
          <w:color w:val="000000" w:themeColor="text1"/>
          <w:lang w:val="es-MX"/>
        </w:rPr>
      </w:pPr>
    </w:p>
    <w:p w14:paraId="35448027" w14:textId="77777777" w:rsidR="00AE164A" w:rsidRDefault="00AE164A" w:rsidP="00AE164A">
      <w:pPr>
        <w:spacing w:after="0" w:line="240" w:lineRule="auto"/>
        <w:rPr>
          <w:rFonts w:ascii="Verdana" w:eastAsia="Geomanist Light" w:hAnsi="Verdana" w:cs="Arial"/>
          <w:color w:val="000000" w:themeColor="text1"/>
          <w:lang w:val="es-MX"/>
        </w:rPr>
      </w:pPr>
    </w:p>
    <w:p w14:paraId="1FF51829" w14:textId="77777777" w:rsidR="00AE164A" w:rsidRDefault="00AE164A" w:rsidP="00AE164A">
      <w:pPr>
        <w:spacing w:after="0" w:line="240" w:lineRule="auto"/>
        <w:rPr>
          <w:rFonts w:ascii="Verdana" w:eastAsia="Geomanist Light" w:hAnsi="Verdana" w:cs="Arial"/>
          <w:color w:val="000000" w:themeColor="text1"/>
          <w:lang w:val="es-MX"/>
        </w:rPr>
      </w:pPr>
    </w:p>
    <w:p w14:paraId="18AC9505" w14:textId="77777777" w:rsidR="00AE164A" w:rsidRDefault="00AE164A" w:rsidP="00AE164A">
      <w:pPr>
        <w:spacing w:after="0" w:line="240" w:lineRule="auto"/>
        <w:rPr>
          <w:rFonts w:ascii="Verdana" w:eastAsia="Geomanist Light" w:hAnsi="Verdana" w:cs="Arial"/>
          <w:color w:val="000000" w:themeColor="text1"/>
          <w:lang w:val="es-MX"/>
        </w:rPr>
      </w:pPr>
    </w:p>
    <w:p w14:paraId="2FDD962B" w14:textId="77777777" w:rsidR="00AE164A" w:rsidRDefault="00AE164A" w:rsidP="00AE164A">
      <w:pPr>
        <w:spacing w:after="0" w:line="240" w:lineRule="auto"/>
        <w:rPr>
          <w:rFonts w:ascii="Verdana" w:eastAsia="Geomanist Light" w:hAnsi="Verdana" w:cs="Arial"/>
          <w:color w:val="000000" w:themeColor="text1"/>
          <w:lang w:val="es-MX"/>
        </w:rPr>
      </w:pPr>
    </w:p>
    <w:p w14:paraId="62D6AFAF" w14:textId="77777777" w:rsidR="00AE164A" w:rsidRDefault="00AE164A" w:rsidP="00AE164A">
      <w:pPr>
        <w:spacing w:after="0" w:line="240" w:lineRule="auto"/>
        <w:rPr>
          <w:rFonts w:ascii="Verdana" w:eastAsia="Geomanist Light" w:hAnsi="Verdana" w:cs="Arial"/>
          <w:color w:val="000000" w:themeColor="text1"/>
          <w:lang w:val="es-MX"/>
        </w:rPr>
      </w:pPr>
    </w:p>
    <w:p w14:paraId="611EB207" w14:textId="77777777" w:rsidR="00AE164A" w:rsidRDefault="00AE164A" w:rsidP="00AE164A">
      <w:pPr>
        <w:spacing w:after="0" w:line="240" w:lineRule="auto"/>
        <w:rPr>
          <w:rFonts w:ascii="Verdana" w:eastAsia="Geomanist Light" w:hAnsi="Verdana" w:cs="Arial"/>
          <w:color w:val="000000" w:themeColor="text1"/>
          <w:lang w:val="es-MX"/>
        </w:rPr>
      </w:pPr>
    </w:p>
    <w:p w14:paraId="71A08E22" w14:textId="77777777" w:rsidR="00AE164A" w:rsidRDefault="00AE164A" w:rsidP="00AE164A">
      <w:pPr>
        <w:spacing w:after="0" w:line="240" w:lineRule="auto"/>
        <w:rPr>
          <w:rFonts w:ascii="Verdana" w:eastAsia="Geomanist Light" w:hAnsi="Verdana" w:cs="Arial"/>
          <w:color w:val="000000" w:themeColor="text1"/>
          <w:lang w:val="es-MX"/>
        </w:rPr>
      </w:pPr>
    </w:p>
    <w:p w14:paraId="37799527" w14:textId="77777777" w:rsidR="00AE164A" w:rsidRDefault="00AE164A" w:rsidP="00AE164A">
      <w:pPr>
        <w:spacing w:after="0" w:line="240" w:lineRule="auto"/>
        <w:rPr>
          <w:rFonts w:ascii="Verdana" w:eastAsia="Geomanist Light" w:hAnsi="Verdana" w:cs="Arial"/>
          <w:color w:val="000000" w:themeColor="text1"/>
          <w:lang w:val="es-MX"/>
        </w:rPr>
      </w:pPr>
    </w:p>
    <w:p w14:paraId="4E5BDB19" w14:textId="77777777" w:rsidR="00AE164A" w:rsidRDefault="00AE164A" w:rsidP="00AE164A">
      <w:pPr>
        <w:spacing w:after="0" w:line="240" w:lineRule="auto"/>
        <w:rPr>
          <w:rFonts w:ascii="Verdana" w:eastAsia="Geomanist Light" w:hAnsi="Verdana" w:cs="Arial"/>
          <w:color w:val="000000" w:themeColor="text1"/>
          <w:lang w:val="es-MX"/>
        </w:rPr>
      </w:pPr>
    </w:p>
    <w:p w14:paraId="34F1376F" w14:textId="77777777" w:rsidR="00AE164A" w:rsidRDefault="00AE164A" w:rsidP="00AE164A">
      <w:pPr>
        <w:spacing w:after="0" w:line="240" w:lineRule="auto"/>
        <w:rPr>
          <w:rFonts w:ascii="Verdana" w:eastAsia="Geomanist Light" w:hAnsi="Verdana" w:cs="Arial"/>
          <w:color w:val="000000" w:themeColor="text1"/>
          <w:lang w:val="es-MX"/>
        </w:rPr>
      </w:pPr>
    </w:p>
    <w:p w14:paraId="24E85FA3" w14:textId="77777777" w:rsidR="00AE164A" w:rsidRDefault="00AE164A" w:rsidP="00AE164A">
      <w:pPr>
        <w:spacing w:after="0" w:line="240" w:lineRule="auto"/>
        <w:rPr>
          <w:rFonts w:ascii="Verdana" w:eastAsia="Geomanist Light" w:hAnsi="Verdana" w:cs="Arial"/>
          <w:color w:val="000000" w:themeColor="text1"/>
          <w:lang w:val="es-MX"/>
        </w:rPr>
      </w:pPr>
    </w:p>
    <w:p w14:paraId="01A9C08B" w14:textId="77777777" w:rsidR="00AE164A" w:rsidRDefault="00AE164A" w:rsidP="00AE164A">
      <w:pPr>
        <w:spacing w:after="0" w:line="240" w:lineRule="auto"/>
        <w:rPr>
          <w:rFonts w:ascii="Verdana" w:eastAsia="Geomanist Light" w:hAnsi="Verdana" w:cs="Arial"/>
          <w:color w:val="000000" w:themeColor="text1"/>
          <w:lang w:val="es-MX"/>
        </w:rPr>
      </w:pPr>
    </w:p>
    <w:p w14:paraId="684C3D2E" w14:textId="77777777" w:rsidR="00AE164A" w:rsidRDefault="00AE164A" w:rsidP="00AE164A">
      <w:pPr>
        <w:spacing w:after="0" w:line="240" w:lineRule="auto"/>
        <w:rPr>
          <w:rFonts w:ascii="Verdana" w:eastAsia="Geomanist Light" w:hAnsi="Verdana" w:cs="Arial"/>
          <w:color w:val="000000" w:themeColor="text1"/>
          <w:lang w:val="es-MX"/>
        </w:rPr>
      </w:pPr>
    </w:p>
    <w:p w14:paraId="4FD3FFC1" w14:textId="77777777" w:rsidR="00AE164A" w:rsidRDefault="00AE164A" w:rsidP="00AE164A">
      <w:pPr>
        <w:spacing w:after="0" w:line="240" w:lineRule="auto"/>
        <w:rPr>
          <w:rFonts w:ascii="Verdana" w:eastAsia="Geomanist Light" w:hAnsi="Verdana" w:cs="Arial"/>
          <w:color w:val="000000" w:themeColor="text1"/>
          <w:lang w:val="es-MX"/>
        </w:rPr>
      </w:pPr>
    </w:p>
    <w:p w14:paraId="13075F97" w14:textId="77777777" w:rsidR="00AE164A" w:rsidRDefault="00AE164A" w:rsidP="00AE164A">
      <w:pPr>
        <w:spacing w:after="0" w:line="240" w:lineRule="auto"/>
        <w:rPr>
          <w:rFonts w:ascii="Verdana" w:eastAsia="Geomanist Light" w:hAnsi="Verdana" w:cs="Arial"/>
          <w:color w:val="000000" w:themeColor="text1"/>
          <w:lang w:val="es-MX"/>
        </w:rPr>
      </w:pPr>
    </w:p>
    <w:p w14:paraId="1CEADA7B" w14:textId="77777777" w:rsidR="00AE164A" w:rsidRDefault="00AE164A" w:rsidP="00AE164A">
      <w:pPr>
        <w:spacing w:after="0" w:line="240" w:lineRule="auto"/>
        <w:rPr>
          <w:rFonts w:ascii="Verdana" w:eastAsia="Geomanist Light" w:hAnsi="Verdana" w:cs="Arial"/>
          <w:color w:val="000000" w:themeColor="text1"/>
          <w:lang w:val="es-MX"/>
        </w:rPr>
      </w:pPr>
    </w:p>
    <w:p w14:paraId="78CC641E" w14:textId="77777777" w:rsidR="00AE164A" w:rsidRDefault="00AE164A" w:rsidP="00AE164A">
      <w:pPr>
        <w:spacing w:after="0" w:line="240" w:lineRule="auto"/>
        <w:rPr>
          <w:rFonts w:ascii="Verdana" w:eastAsia="Geomanist Light" w:hAnsi="Verdana" w:cs="Arial"/>
          <w:color w:val="000000" w:themeColor="text1"/>
          <w:lang w:val="es-MX"/>
        </w:rPr>
      </w:pPr>
    </w:p>
    <w:p w14:paraId="5429BF05" w14:textId="77777777" w:rsidR="00AE164A" w:rsidRDefault="00AE164A" w:rsidP="00AE164A">
      <w:pPr>
        <w:spacing w:after="0" w:line="240" w:lineRule="auto"/>
        <w:rPr>
          <w:rFonts w:ascii="Verdana" w:eastAsia="Geomanist Light" w:hAnsi="Verdana" w:cs="Arial"/>
          <w:color w:val="000000" w:themeColor="text1"/>
          <w:lang w:val="es-MX"/>
        </w:rPr>
      </w:pPr>
    </w:p>
    <w:p w14:paraId="609200DA" w14:textId="77777777" w:rsidR="00AE164A" w:rsidRDefault="00AE164A" w:rsidP="00AE164A">
      <w:pPr>
        <w:spacing w:after="0" w:line="240" w:lineRule="auto"/>
        <w:rPr>
          <w:rFonts w:ascii="Verdana" w:eastAsia="Geomanist Light" w:hAnsi="Verdana" w:cs="Arial"/>
          <w:color w:val="000000" w:themeColor="text1"/>
          <w:lang w:val="es-MX"/>
        </w:rPr>
      </w:pPr>
    </w:p>
    <w:p w14:paraId="5C378376" w14:textId="77777777" w:rsidR="00AE164A" w:rsidRDefault="00AE164A" w:rsidP="00AE164A">
      <w:pPr>
        <w:spacing w:after="0" w:line="240" w:lineRule="auto"/>
        <w:rPr>
          <w:rFonts w:ascii="Verdana" w:eastAsia="Geomanist Light" w:hAnsi="Verdana" w:cs="Arial"/>
          <w:color w:val="000000" w:themeColor="text1"/>
          <w:lang w:val="es-MX"/>
        </w:rPr>
      </w:pPr>
    </w:p>
    <w:p w14:paraId="58BB1EA8" w14:textId="77777777" w:rsidR="00AE164A" w:rsidRDefault="00AE164A" w:rsidP="00AE164A">
      <w:pPr>
        <w:spacing w:after="0" w:line="240" w:lineRule="auto"/>
        <w:rPr>
          <w:rFonts w:ascii="Verdana" w:eastAsia="Geomanist Light" w:hAnsi="Verdana" w:cs="Arial"/>
          <w:color w:val="000000" w:themeColor="text1"/>
          <w:lang w:val="es-MX"/>
        </w:rPr>
      </w:pPr>
    </w:p>
    <w:p w14:paraId="456FB821" w14:textId="77777777" w:rsidR="00AE164A" w:rsidRDefault="00AE164A" w:rsidP="00455C07">
      <w:pPr>
        <w:spacing w:after="0" w:line="240" w:lineRule="auto"/>
        <w:rPr>
          <w:rFonts w:ascii="Verdana" w:eastAsia="Geomanist Light" w:hAnsi="Verdana" w:cs="Arial"/>
          <w:color w:val="000000" w:themeColor="text1"/>
          <w:lang w:val="es-MX"/>
        </w:rPr>
      </w:pPr>
    </w:p>
    <w:p w14:paraId="7A57FE48" w14:textId="77777777" w:rsidR="00AE164A" w:rsidRDefault="00AE164A" w:rsidP="00455C07">
      <w:pPr>
        <w:spacing w:after="0" w:line="240" w:lineRule="auto"/>
        <w:rPr>
          <w:rFonts w:ascii="Verdana" w:eastAsia="Geomanist Light" w:hAnsi="Verdana" w:cs="Arial"/>
          <w:color w:val="000000" w:themeColor="text1"/>
          <w:lang w:val="es-MX"/>
        </w:rPr>
      </w:pPr>
    </w:p>
    <w:p w14:paraId="56F6CF5F" w14:textId="21689D85" w:rsidR="00455C07" w:rsidRPr="00A8742B" w:rsidRDefault="00455C07" w:rsidP="00455C07">
      <w:pPr>
        <w:spacing w:after="0" w:line="240" w:lineRule="auto"/>
        <w:rPr>
          <w:rFonts w:ascii="Verdana" w:eastAsia="Geomanist Light" w:hAnsi="Verdana" w:cs="Arial"/>
          <w:color w:val="201F1E"/>
        </w:rPr>
      </w:pPr>
      <w:r w:rsidRPr="00593A5F">
        <w:rPr>
          <w:rFonts w:ascii="Verdana" w:eastAsia="Geomanist Light" w:hAnsi="Verdana" w:cs="Arial"/>
          <w:color w:val="000000" w:themeColor="text1"/>
          <w:lang w:val="es-MX"/>
        </w:rPr>
        <w:lastRenderedPageBreak/>
        <w:t>Bogotá D.C., </w:t>
      </w:r>
      <w:r w:rsidR="00A8742B" w:rsidRPr="00A8742B">
        <w:rPr>
          <w:rFonts w:ascii="Verdana" w:eastAsia="Geomanist Light" w:hAnsi="Verdana" w:cs="Arial"/>
          <w:color w:val="000000" w:themeColor="text1"/>
          <w:lang w:val="es-MX"/>
        </w:rPr>
        <w:t>30 de Enero de 2026</w:t>
      </w:r>
    </w:p>
    <w:p w14:paraId="557E6539" w14:textId="77777777" w:rsidR="00455C07" w:rsidRDefault="00455C07" w:rsidP="00455C07">
      <w:pPr>
        <w:spacing w:after="0" w:line="240" w:lineRule="auto"/>
        <w:jc w:val="both"/>
        <w:rPr>
          <w:rFonts w:ascii="Verdana" w:eastAsia="Calibri" w:hAnsi="Verdana" w:cs="Arial"/>
          <w:color w:val="000000"/>
          <w:lang w:val="es-ES"/>
        </w:rPr>
      </w:pPr>
    </w:p>
    <w:p w14:paraId="6CFE2341" w14:textId="58459559" w:rsidR="00455C07" w:rsidRDefault="001F3DC5" w:rsidP="002A2E83">
      <w:pPr>
        <w:spacing w:after="0" w:line="240" w:lineRule="auto"/>
        <w:jc w:val="right"/>
        <w:rPr>
          <w:rFonts w:ascii="Verdana" w:eastAsia="Calibri" w:hAnsi="Verdana" w:cs="Arial"/>
          <w:color w:val="000000"/>
          <w:lang w:val="es-ES"/>
        </w:rPr>
      </w:pPr>
      <w:r w:rsidRPr="001F3DC5">
        <w:rPr>
          <w:rFonts w:ascii="Verdana" w:eastAsia="Calibri" w:hAnsi="Verdana" w:cs="Arial"/>
          <w:noProof/>
          <w:color w:val="000000"/>
          <w:lang w:val="es-ES"/>
        </w:rPr>
        <w:drawing>
          <wp:inline distT="0" distB="0" distL="0" distR="0" wp14:anchorId="007F4E07" wp14:editId="2EE11C17">
            <wp:extent cx="3238500" cy="901700"/>
            <wp:effectExtent l="0" t="0" r="0" b="0"/>
            <wp:docPr id="2110759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5971" name=""/>
                    <pic:cNvPicPr/>
                  </pic:nvPicPr>
                  <pic:blipFill>
                    <a:blip r:embed="rId10"/>
                    <a:stretch>
                      <a:fillRect/>
                    </a:stretch>
                  </pic:blipFill>
                  <pic:spPr>
                    <a:xfrm>
                      <a:off x="0" y="0"/>
                      <a:ext cx="3238500" cy="901700"/>
                    </a:xfrm>
                    <a:prstGeom prst="rect">
                      <a:avLst/>
                    </a:prstGeom>
                  </pic:spPr>
                </pic:pic>
              </a:graphicData>
            </a:graphic>
          </wp:inline>
        </w:drawing>
      </w:r>
    </w:p>
    <w:p w14:paraId="03B073A7" w14:textId="77777777" w:rsidR="001F3DC5" w:rsidRPr="00593A5F" w:rsidRDefault="001F3DC5" w:rsidP="00455C07">
      <w:pPr>
        <w:spacing w:after="0" w:line="240" w:lineRule="auto"/>
        <w:jc w:val="both"/>
        <w:rPr>
          <w:rFonts w:ascii="Verdana" w:eastAsia="Calibri" w:hAnsi="Verdana" w:cs="Arial"/>
          <w:color w:val="000000"/>
          <w:lang w:val="es-ES"/>
        </w:rPr>
      </w:pPr>
    </w:p>
    <w:p w14:paraId="6C9B75DD" w14:textId="77777777" w:rsidR="00455C07" w:rsidRPr="00B96799" w:rsidRDefault="00455C07" w:rsidP="00455C07">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30585DD" w14:textId="77777777" w:rsidR="00455C07" w:rsidRPr="0085423D" w:rsidRDefault="00455C07" w:rsidP="00455C07">
      <w:pPr>
        <w:spacing w:after="0" w:line="240" w:lineRule="auto"/>
        <w:rPr>
          <w:rFonts w:ascii="Verdana" w:eastAsia="Calibri" w:hAnsi="Verdana" w:cs="Arial"/>
          <w:b/>
          <w:lang w:val="es-ES_tradnl" w:eastAsia="es-ES_tradnl"/>
        </w:rPr>
      </w:pPr>
      <w:bookmarkStart w:id="0" w:name="OLE_LINK1"/>
      <w:r w:rsidRPr="008C5452">
        <w:rPr>
          <w:rFonts w:ascii="Verdana" w:eastAsia="Calibri" w:hAnsi="Verdana" w:cs="Arial"/>
          <w:b/>
          <w:lang w:val="es-ES_tradnl" w:eastAsia="es-ES_tradnl"/>
        </w:rPr>
        <w:t>Luis Fernando Alarcón Pena</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25ED3C63" w14:textId="77777777" w:rsidR="00455C07" w:rsidRPr="00A804BA" w:rsidRDefault="00455C07" w:rsidP="00455C07">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1A3BA0">
        <w:rPr>
          <w:rFonts w:ascii="Verdana" w:hAnsi="Verdana"/>
        </w:rPr>
        <w:instrText>luisfernandoalarconp@gmail.com</w:instrText>
      </w:r>
      <w:r>
        <w:rPr>
          <w:rFonts w:ascii="Verdana" w:hAnsi="Verdana"/>
        </w:rPr>
        <w:instrText>"</w:instrText>
      </w:r>
      <w:r>
        <w:rPr>
          <w:rFonts w:ascii="Verdana" w:hAnsi="Verdana"/>
        </w:rPr>
      </w:r>
      <w:r>
        <w:rPr>
          <w:rFonts w:ascii="Verdana" w:hAnsi="Verdana"/>
        </w:rPr>
        <w:fldChar w:fldCharType="separate"/>
      </w:r>
      <w:r w:rsidRPr="00A76235">
        <w:rPr>
          <w:rStyle w:val="Hipervnculo"/>
          <w:rFonts w:ascii="Verdana" w:hAnsi="Verdana"/>
        </w:rPr>
        <w:t>luisfernandoalarconp@gmail.com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19327849" w14:textId="77777777" w:rsidR="00455C07" w:rsidRDefault="00455C07" w:rsidP="00455C07">
      <w:pPr>
        <w:spacing w:after="0" w:line="240" w:lineRule="auto"/>
        <w:rPr>
          <w:rFonts w:ascii="Verdana" w:eastAsia="Calibri" w:hAnsi="Verdana" w:cs="Arial"/>
          <w:lang w:val="es-ES" w:eastAsia="es-ES"/>
        </w:rPr>
      </w:pPr>
      <w:r w:rsidRPr="00226404">
        <w:rPr>
          <w:rFonts w:ascii="Verdana" w:eastAsia="Calibri" w:hAnsi="Verdana" w:cs="Arial"/>
          <w:lang w:val="es-ES" w:eastAsia="es-ES"/>
        </w:rPr>
        <w:t>Bogotá D.C.</w:t>
      </w:r>
      <w:r>
        <w:rPr>
          <w:rFonts w:ascii="Verdana" w:eastAsia="Calibri" w:hAnsi="Verdana" w:cs="Arial"/>
          <w:lang w:val="es-ES" w:eastAsia="es-ES"/>
        </w:rPr>
        <w:t xml:space="preserve"> </w:t>
      </w:r>
    </w:p>
    <w:p w14:paraId="403D4596" w14:textId="77777777" w:rsidR="00455C07" w:rsidRPr="00593A5F" w:rsidRDefault="00455C07" w:rsidP="00455C07">
      <w:pPr>
        <w:spacing w:after="0" w:line="240" w:lineRule="auto"/>
        <w:rPr>
          <w:rFonts w:ascii="Verdana" w:eastAsia="Calibri" w:hAnsi="Verdana" w:cs="Arial"/>
          <w:b/>
          <w:bCs/>
          <w:color w:val="000000"/>
          <w:lang w:val="es-ES_tradnl" w:eastAsia="es-ES_tradnl"/>
        </w:rPr>
      </w:pPr>
    </w:p>
    <w:p w14:paraId="09A366C2" w14:textId="77777777" w:rsidR="00455C07" w:rsidRPr="00593A5F" w:rsidRDefault="00455C07" w:rsidP="00455C0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5C07" w:rsidRPr="00593A5F" w14:paraId="6D41921C" w14:textId="77777777" w:rsidTr="00C15788">
        <w:trPr>
          <w:trHeight w:val="884"/>
        </w:trPr>
        <w:tc>
          <w:tcPr>
            <w:tcW w:w="2689" w:type="dxa"/>
          </w:tcPr>
          <w:p w14:paraId="5CA9DD18" w14:textId="77777777" w:rsidR="00455C07" w:rsidRPr="00C00976" w:rsidRDefault="00455C07" w:rsidP="00C15788">
            <w:pPr>
              <w:jc w:val="both"/>
              <w:rPr>
                <w:rFonts w:ascii="Verdana" w:eastAsia="Calibri" w:hAnsi="Verdana" w:cs="Arial"/>
                <w:b/>
                <w:bCs/>
                <w:color w:val="7030A0"/>
                <w:lang w:val="es-ES_tradnl" w:eastAsia="es-ES_tradnl"/>
              </w:rPr>
            </w:pPr>
          </w:p>
        </w:tc>
        <w:tc>
          <w:tcPr>
            <w:tcW w:w="6100" w:type="dxa"/>
          </w:tcPr>
          <w:p w14:paraId="7B93B988" w14:textId="77777777" w:rsidR="00455C07" w:rsidRPr="00C00976" w:rsidRDefault="00455C07" w:rsidP="00C1578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080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455C07" w:rsidRPr="00593A5F" w14:paraId="5BD94802" w14:textId="77777777" w:rsidTr="00C15788">
        <w:trPr>
          <w:trHeight w:val="884"/>
        </w:trPr>
        <w:tc>
          <w:tcPr>
            <w:tcW w:w="2689" w:type="dxa"/>
          </w:tcPr>
          <w:p w14:paraId="078F382F" w14:textId="77777777" w:rsidR="00455C07" w:rsidRPr="00593A5F" w:rsidRDefault="00455C07" w:rsidP="00C1578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C6B07DE" w14:textId="77777777" w:rsidR="00455C07" w:rsidRDefault="00455C07" w:rsidP="00C15788">
            <w:pPr>
              <w:spacing w:line="276" w:lineRule="auto"/>
              <w:jc w:val="both"/>
              <w:rPr>
                <w:rFonts w:ascii="Verdana" w:eastAsia="Calibri" w:hAnsi="Verdana" w:cs="Arial"/>
                <w:lang w:val="es-ES" w:eastAsia="es-ES"/>
              </w:rPr>
            </w:pPr>
            <w:r w:rsidRPr="00660AA2">
              <w:rPr>
                <w:rFonts w:ascii="Verdana" w:eastAsia="Calibri" w:hAnsi="Verdana" w:cs="Arial"/>
                <w:lang w:val="es-ES" w:eastAsia="es-ES"/>
              </w:rPr>
              <w:t>EQUILIBRIO ECONÓMICO – Contrato estatal – Fundamento / EQUILIBRIO ECONÓMICO – Contrato estatal – Concepto / EQUILIBRIO ECONÓMICO – Contrato estatal – Restablecimiento – Procedencia – Requisitos</w:t>
            </w:r>
            <w:r>
              <w:rPr>
                <w:rFonts w:ascii="Verdana" w:eastAsia="Calibri" w:hAnsi="Verdana" w:cs="Arial"/>
                <w:lang w:val="es-ES" w:eastAsia="es-ES"/>
              </w:rPr>
              <w:t xml:space="preserve"> / </w:t>
            </w:r>
            <w:r w:rsidRPr="00660AA2">
              <w:rPr>
                <w:rFonts w:ascii="Verdana" w:eastAsia="Calibri" w:hAnsi="Verdana" w:cs="Arial"/>
                <w:lang w:val="es-ES" w:eastAsia="es-ES"/>
              </w:rPr>
              <w:t xml:space="preserve">RESTABLECIMIENTO DE LA ECUACIÓN ECONÓMICA – Liquidación </w:t>
            </w:r>
            <w:r>
              <w:rPr>
                <w:rFonts w:ascii="Verdana" w:eastAsia="Calibri" w:hAnsi="Verdana" w:cs="Arial"/>
                <w:lang w:val="es-ES" w:eastAsia="es-ES"/>
              </w:rPr>
              <w:t xml:space="preserve">/ </w:t>
            </w:r>
            <w:r w:rsidRPr="00A04C35">
              <w:rPr>
                <w:rFonts w:ascii="Verdana" w:hAnsi="Verdana" w:cs="Arial"/>
                <w:lang w:val="es-ES" w:eastAsia="es-ES"/>
              </w:rPr>
              <w:t>ENRIQUECIMIENTO SIN JUSTA CAUSA – Sentencia de Unificación del 19 de noviembre de 2012 – Alcance / ENRIQUECIMIENTO SIN JUSTA CAUSA – Nueva Postura – Sentencia de Unificación Jurisprudencial – Elementos – Prueba de la Actividad - Circunstancia Excepcional - Procedencia</w:t>
            </w:r>
          </w:p>
          <w:p w14:paraId="51198A3E" w14:textId="77777777" w:rsidR="00455C07" w:rsidRPr="00593A5F" w:rsidRDefault="00455C07" w:rsidP="00C1578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55C07" w:rsidRPr="008E6AD9" w14:paraId="039A27E2" w14:textId="77777777" w:rsidTr="00C15788">
        <w:tc>
          <w:tcPr>
            <w:tcW w:w="2689" w:type="dxa"/>
          </w:tcPr>
          <w:p w14:paraId="39AC6C9D" w14:textId="77777777" w:rsidR="00455C07" w:rsidRPr="008E6AD9" w:rsidRDefault="00455C07" w:rsidP="00C1578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6CF8E7D" w14:textId="77777777" w:rsidR="00455C07" w:rsidRPr="00B92340" w:rsidRDefault="00455C07" w:rsidP="00C1578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206157">
              <w:rPr>
                <w:rFonts w:ascii="Verdana" w:eastAsia="Calibri" w:hAnsi="Verdana" w:cs="Arial"/>
                <w:lang w:val="es-ES_tradnl" w:eastAsia="es-ES_tradnl"/>
              </w:rPr>
              <w:t>1_2026_01_21_000645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BF8ADBE" w14:textId="77777777" w:rsidR="00455C07" w:rsidRPr="00593A5F" w:rsidRDefault="00455C07" w:rsidP="00455C07">
      <w:pPr>
        <w:spacing w:after="0" w:line="240" w:lineRule="auto"/>
        <w:jc w:val="both"/>
        <w:rPr>
          <w:rFonts w:ascii="Verdana" w:eastAsia="Calibri" w:hAnsi="Verdana" w:cs="Arial"/>
          <w:color w:val="000000"/>
          <w:lang w:val="es-ES_tradnl" w:eastAsia="es-ES_tradnl"/>
        </w:rPr>
      </w:pPr>
    </w:p>
    <w:p w14:paraId="1E2E250C" w14:textId="77777777" w:rsidR="00455C07" w:rsidRPr="00593A5F" w:rsidRDefault="00455C07" w:rsidP="00455C07">
      <w:pPr>
        <w:spacing w:after="0" w:line="240" w:lineRule="auto"/>
        <w:jc w:val="both"/>
        <w:rPr>
          <w:rFonts w:ascii="Verdana" w:eastAsia="Calibri" w:hAnsi="Verdana" w:cs="Arial"/>
          <w:color w:val="000000"/>
          <w:lang w:val="es-ES_tradnl" w:eastAsia="es-ES_tradnl"/>
        </w:rPr>
      </w:pPr>
    </w:p>
    <w:p w14:paraId="6B4FFAB9" w14:textId="77777777" w:rsidR="00455C07" w:rsidRPr="008E6AD9" w:rsidRDefault="00455C07" w:rsidP="00455C0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BC2A27">
        <w:rPr>
          <w:rFonts w:ascii="Verdana" w:eastAsia="Calibri" w:hAnsi="Verdana" w:cs="Arial"/>
          <w:lang w:val="es-ES" w:eastAsia="es-ES"/>
        </w:rPr>
        <w:t>Alarcón Pena</w:t>
      </w:r>
      <w:r w:rsidRPr="008E6AD9">
        <w:rPr>
          <w:rFonts w:ascii="Verdana" w:eastAsia="Calibri" w:hAnsi="Verdana" w:cs="Arial"/>
          <w:lang w:val="es-ES" w:eastAsia="es-ES"/>
        </w:rPr>
        <w:t xml:space="preserve">: </w:t>
      </w:r>
    </w:p>
    <w:p w14:paraId="76528257" w14:textId="77777777" w:rsidR="00455C07" w:rsidRDefault="00455C07" w:rsidP="00455C0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5F3C77" w14:textId="77777777" w:rsidR="00455C07" w:rsidRPr="00593A5F" w:rsidRDefault="00455C07" w:rsidP="00455C0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w:t>
      </w:r>
      <w:r w:rsidRPr="00593A5F">
        <w:rPr>
          <w:rFonts w:ascii="Verdana" w:eastAsia="Calibri" w:hAnsi="Verdana" w:cs="Arial"/>
          <w:color w:val="000000" w:themeColor="text1"/>
          <w:lang w:val="es-ES" w:eastAsia="es-ES"/>
        </w:rPr>
        <w:lastRenderedPageBreak/>
        <w:t>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21 de enero de 2025, en la cual pregunta lo siguiente</w:t>
      </w:r>
      <w:r w:rsidRPr="008E6AD9">
        <w:rPr>
          <w:rFonts w:ascii="Verdana" w:eastAsia="Calibri" w:hAnsi="Verdana" w:cs="Arial"/>
          <w:lang w:val="es-ES" w:eastAsia="es-ES"/>
        </w:rPr>
        <w:t xml:space="preserve">: </w:t>
      </w:r>
    </w:p>
    <w:p w14:paraId="1E9F7A9F" w14:textId="77777777" w:rsidR="00455C07" w:rsidRPr="00272A7B" w:rsidRDefault="00455C07" w:rsidP="00455C07">
      <w:pPr>
        <w:pStyle w:val="Prrafodelista"/>
        <w:tabs>
          <w:tab w:val="left" w:pos="142"/>
          <w:tab w:val="left" w:pos="284"/>
        </w:tabs>
        <w:spacing w:after="0" w:line="276" w:lineRule="auto"/>
        <w:ind w:left="0"/>
        <w:jc w:val="both"/>
        <w:rPr>
          <w:rFonts w:ascii="Verdana" w:eastAsia="Century Gothic" w:hAnsi="Verdana" w:cs="Century Gothic"/>
          <w:b/>
          <w:bCs/>
        </w:rPr>
      </w:pPr>
    </w:p>
    <w:p w14:paraId="672FF3FC" w14:textId="77777777" w:rsidR="00455C07" w:rsidRPr="00AA6517" w:rsidRDefault="00455C07" w:rsidP="00455C07">
      <w:pPr>
        <w:spacing w:after="0" w:line="240" w:lineRule="auto"/>
        <w:ind w:left="709" w:right="709"/>
        <w:jc w:val="both"/>
        <w:rPr>
          <w:rFonts w:ascii="Verdana" w:eastAsia="Century Gothic" w:hAnsi="Verdana" w:cs="Century Gothic"/>
          <w:sz w:val="20"/>
          <w:szCs w:val="20"/>
          <w:lang w:val="es-ES"/>
        </w:rPr>
      </w:pPr>
      <w:bookmarkStart w:id="1" w:name="_Hlk95313578"/>
      <w:r w:rsidRPr="00AA6517">
        <w:rPr>
          <w:rFonts w:ascii="Verdana" w:eastAsia="Century Gothic" w:hAnsi="Verdana" w:cs="Century Gothic"/>
          <w:sz w:val="20"/>
          <w:szCs w:val="20"/>
          <w:lang w:val="es-ES"/>
        </w:rPr>
        <w:t>“</w:t>
      </w:r>
      <w:bookmarkEnd w:id="1"/>
      <w:r w:rsidRPr="00547C5A">
        <w:rPr>
          <w:rFonts w:ascii="Verdana" w:eastAsia="Century Gothic" w:hAnsi="Verdana" w:cs="Century Gothic"/>
          <w:sz w:val="20"/>
          <w:szCs w:val="20"/>
          <w:lang w:val="es-ES"/>
        </w:rPr>
        <w:t>Quiero saber si hay una normatividad o reglamentación o recomendación de la fórmula de reajuste de precios en contratos públicos</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35AFFCAA" w14:textId="77777777" w:rsidR="00455C07" w:rsidRPr="008E6AD9" w:rsidRDefault="00455C07" w:rsidP="00455C07">
      <w:pPr>
        <w:pStyle w:val="Prrafodelista"/>
        <w:tabs>
          <w:tab w:val="left" w:pos="142"/>
          <w:tab w:val="left" w:pos="284"/>
        </w:tabs>
        <w:spacing w:after="0" w:line="276" w:lineRule="auto"/>
        <w:ind w:left="0"/>
        <w:jc w:val="both"/>
        <w:rPr>
          <w:rFonts w:ascii="Verdana" w:eastAsia="Century Gothic" w:hAnsi="Verdana" w:cs="Century Gothic"/>
          <w:b/>
          <w:bCs/>
        </w:rPr>
      </w:pPr>
    </w:p>
    <w:p w14:paraId="3B7CD1BC" w14:textId="77777777" w:rsidR="00455C07" w:rsidRPr="00A652FF" w:rsidRDefault="00455C07" w:rsidP="00455C0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E86FA2E" w14:textId="77777777" w:rsidR="00455C07" w:rsidRDefault="00455C07" w:rsidP="00455C0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B388B3B" w14:textId="77777777" w:rsidR="00455C07" w:rsidRPr="00593A5F" w:rsidRDefault="00455C07" w:rsidP="00455C07">
      <w:pPr>
        <w:spacing w:after="0" w:line="276" w:lineRule="auto"/>
        <w:ind w:firstLine="709"/>
        <w:jc w:val="both"/>
        <w:rPr>
          <w:rFonts w:ascii="Verdana" w:eastAsia="Calibri" w:hAnsi="Verdana" w:cs="Arial"/>
          <w:color w:val="000000"/>
          <w:lang w:val="es-ES" w:eastAsia="es-ES"/>
        </w:rPr>
      </w:pPr>
    </w:p>
    <w:p w14:paraId="23422C14" w14:textId="77777777" w:rsidR="00455C07" w:rsidRPr="00593A5F" w:rsidRDefault="00455C07" w:rsidP="00455C0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CA1C658" w14:textId="77777777" w:rsidR="00455C07" w:rsidRPr="00593A5F" w:rsidRDefault="00455C07" w:rsidP="00455C07">
      <w:pPr>
        <w:tabs>
          <w:tab w:val="left" w:pos="426"/>
        </w:tabs>
        <w:spacing w:after="0" w:line="276" w:lineRule="auto"/>
        <w:jc w:val="both"/>
        <w:rPr>
          <w:rFonts w:ascii="Verdana" w:eastAsia="Century Gothic" w:hAnsi="Verdana" w:cs="Century Gothic"/>
          <w:lang w:val="es-ES"/>
        </w:rPr>
      </w:pPr>
    </w:p>
    <w:p w14:paraId="2542F7F6" w14:textId="77777777" w:rsidR="00455C07" w:rsidRPr="00593A5F" w:rsidRDefault="00455C07" w:rsidP="00455C07">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¿qué papel juega la cláusula de reajuste de precios dentro del restablecimiento de la ecuación financiera del contrato?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52F519E" w14:textId="77777777" w:rsidR="00455C07" w:rsidRPr="004B140F" w:rsidRDefault="00455C07" w:rsidP="00455C07">
      <w:pPr>
        <w:spacing w:after="0" w:line="276" w:lineRule="auto"/>
        <w:jc w:val="both"/>
        <w:rPr>
          <w:rFonts w:ascii="Verdana" w:eastAsia="Calibri" w:hAnsi="Verdana" w:cs="Arial"/>
          <w:color w:val="7030A0"/>
        </w:rPr>
      </w:pPr>
    </w:p>
    <w:p w14:paraId="535AC52F" w14:textId="77777777" w:rsidR="00455C07" w:rsidRPr="00593A5F" w:rsidRDefault="00455C07" w:rsidP="00455C0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C4B6B0C" w14:textId="77777777" w:rsidR="00455C07" w:rsidRPr="00593A5F" w:rsidRDefault="00455C07" w:rsidP="00455C0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55C07" w:rsidRPr="00593A5F" w14:paraId="70D0D438" w14:textId="77777777" w:rsidTr="00C15788">
        <w:trPr>
          <w:jc w:val="center"/>
        </w:trPr>
        <w:tc>
          <w:tcPr>
            <w:tcW w:w="8828" w:type="dxa"/>
          </w:tcPr>
          <w:p w14:paraId="5456966E" w14:textId="77777777" w:rsidR="00455C07" w:rsidRDefault="00455C07" w:rsidP="00C15788">
            <w:pPr>
              <w:spacing w:after="120" w:line="276" w:lineRule="auto"/>
              <w:ind w:right="51"/>
              <w:jc w:val="both"/>
              <w:rPr>
                <w:rFonts w:ascii="Verdana" w:eastAsia="Arial" w:hAnsi="Verdana" w:cs="Arial"/>
                <w:color w:val="000000" w:themeColor="text1"/>
                <w:lang w:eastAsia="es-ES" w:bidi="es-ES"/>
              </w:rPr>
            </w:pPr>
            <w:bookmarkStart w:id="2" w:name="_Hlk171694685"/>
            <w:r>
              <w:rPr>
                <w:rFonts w:ascii="Verdana" w:eastAsia="Calibri" w:hAnsi="Verdana" w:cs="Arial"/>
                <w:bCs/>
                <w:color w:val="000000" w:themeColor="text1"/>
              </w:rPr>
              <w:t>Conforme a la interpretación general de las normas del sistema de compras públicas, p</w:t>
            </w:r>
            <w:r>
              <w:rPr>
                <w:rFonts w:ascii="Verdana" w:eastAsia="Arial" w:hAnsi="Verdana" w:cs="Arial"/>
                <w:color w:val="000000" w:themeColor="text1"/>
                <w:lang w:eastAsia="es-ES" w:bidi="es-ES"/>
              </w:rPr>
              <w:t xml:space="preserve">or remisión de los artículos 13, 32 y 40 del EGCAP al derecho privado, el contrato es ley para las partes conforme al artículo 1602 del Código Civil.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t xml:space="preserve">de </w:t>
            </w:r>
            <w:r>
              <w:rPr>
                <w:rFonts w:ascii="Verdana" w:eastAsia="Arial" w:hAnsi="Verdana" w:cs="Arial"/>
                <w:i/>
                <w:iCs/>
                <w:color w:val="000000" w:themeColor="text1"/>
                <w:lang w:eastAsia="es-ES" w:bidi="es-ES"/>
              </w:rPr>
              <w:lastRenderedPageBreak/>
              <w:t>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 xml:space="preserve">obligaciones. </w:t>
            </w:r>
          </w:p>
          <w:p w14:paraId="18D5E975" w14:textId="77777777" w:rsidR="00455C07" w:rsidRDefault="00455C07" w:rsidP="00C15788">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Para estos efectos, </w:t>
            </w:r>
            <w:r w:rsidRPr="00E97A27">
              <w:rPr>
                <w:rFonts w:ascii="Verdana" w:eastAsia="Arial" w:hAnsi="Verdana" w:cs="Arial"/>
                <w:color w:val="000000" w:themeColor="text1"/>
                <w:lang w:val="es-ES" w:eastAsia="es-ES" w:bidi="es-ES"/>
              </w:rPr>
              <w:t xml:space="preserve">el numeral 3 del artículo 4 </w:t>
            </w:r>
            <w:r>
              <w:rPr>
                <w:rFonts w:ascii="Verdana" w:eastAsia="Arial" w:hAnsi="Verdana" w:cs="Arial"/>
                <w:color w:val="000000" w:themeColor="text1"/>
                <w:lang w:val="es-ES" w:eastAsia="es-ES" w:bidi="es-ES"/>
              </w:rPr>
              <w:t>del EGCAP</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w:t>
            </w:r>
            <w:r>
              <w:rPr>
                <w:rFonts w:ascii="Verdana" w:eastAsia="Arial" w:hAnsi="Verdana" w:cs="Arial"/>
                <w:color w:val="000000" w:themeColor="text1"/>
                <w:lang w:val="es-ES" w:eastAsia="es-ES" w:bidi="es-ES"/>
              </w:rPr>
              <w:t>. De acuerdo con la jurisprudencia:</w:t>
            </w:r>
          </w:p>
          <w:p w14:paraId="6169EBC5" w14:textId="77777777" w:rsidR="00455C07" w:rsidRDefault="00455C07" w:rsidP="00C15788">
            <w:pPr>
              <w:widowControl w:val="0"/>
              <w:autoSpaceDE w:val="0"/>
              <w:autoSpaceDN w:val="0"/>
              <w:spacing w:line="276" w:lineRule="auto"/>
              <w:ind w:firstLine="709"/>
              <w:jc w:val="both"/>
              <w:rPr>
                <w:rFonts w:ascii="Verdana" w:eastAsia="Arial" w:hAnsi="Verdana" w:cs="Arial"/>
                <w:color w:val="000000" w:themeColor="text1"/>
                <w:lang w:val="es-ES" w:eastAsia="es-ES" w:bidi="es-ES"/>
              </w:rPr>
            </w:pPr>
          </w:p>
          <w:p w14:paraId="3786BC3C" w14:textId="77777777" w:rsidR="00455C07" w:rsidRPr="000E4887" w:rsidRDefault="00455C07" w:rsidP="00C15788">
            <w:pPr>
              <w:widowControl w:val="0"/>
              <w:autoSpaceDE w:val="0"/>
              <w:autoSpaceDN w:val="0"/>
              <w:ind w:left="709" w:right="709"/>
              <w:jc w:val="both"/>
              <w:rPr>
                <w:rFonts w:ascii="Verdana" w:eastAsia="Arial" w:hAnsi="Verdana" w:cs="Arial"/>
                <w:color w:val="000000" w:themeColor="text1"/>
                <w:sz w:val="20"/>
                <w:szCs w:val="20"/>
                <w:lang w:val="es-ES" w:eastAsia="es-ES" w:bidi="es-ES"/>
              </w:rPr>
            </w:pPr>
            <w:r w:rsidRPr="000E4887">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46F01134" w14:textId="77777777" w:rsidR="00455C07" w:rsidRDefault="00455C07" w:rsidP="00C15788">
            <w:pPr>
              <w:widowControl w:val="0"/>
              <w:autoSpaceDE w:val="0"/>
              <w:autoSpaceDN w:val="0"/>
              <w:spacing w:before="120"/>
              <w:ind w:left="709" w:right="709"/>
              <w:jc w:val="both"/>
              <w:rPr>
                <w:rFonts w:ascii="Verdana" w:eastAsia="Arial" w:hAnsi="Verdana" w:cs="Arial"/>
                <w:color w:val="000000" w:themeColor="text1"/>
                <w:lang w:val="es-ES" w:eastAsia="es-ES" w:bidi="es-ES"/>
              </w:rPr>
            </w:pPr>
            <w:r w:rsidRPr="000E4887">
              <w:rPr>
                <w:rFonts w:ascii="Verdana" w:eastAsia="Arial" w:hAnsi="Verdana" w:cs="Arial"/>
                <w:color w:val="000000" w:themeColor="text1"/>
                <w:sz w:val="20"/>
                <w:szCs w:val="20"/>
                <w:lang w:val="es-ES" w:eastAsia="es-ES" w:bidi="es-ES"/>
              </w:rPr>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p>
          <w:p w14:paraId="02D0D5B4" w14:textId="77777777" w:rsidR="00455C07" w:rsidRPr="00F74AF6" w:rsidRDefault="00455C07" w:rsidP="00C15788">
            <w:pPr>
              <w:spacing w:line="276" w:lineRule="auto"/>
              <w:ind w:right="51"/>
              <w:jc w:val="both"/>
              <w:rPr>
                <w:rFonts w:ascii="Verdana" w:eastAsia="Arial" w:hAnsi="Verdana" w:cs="Arial"/>
                <w:color w:val="000000" w:themeColor="text1"/>
                <w:lang w:val="es-ES" w:eastAsia="es-ES" w:bidi="es-ES"/>
              </w:rPr>
            </w:pPr>
          </w:p>
          <w:p w14:paraId="20A31DC1" w14:textId="77777777" w:rsidR="00455C07" w:rsidRPr="00324083" w:rsidRDefault="00455C07" w:rsidP="00C15788">
            <w:pPr>
              <w:spacing w:after="120" w:line="276" w:lineRule="auto"/>
              <w:ind w:right="51" w:firstLine="737"/>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Asimismo, </w:t>
            </w:r>
            <w:r w:rsidRPr="00E97A27">
              <w:rPr>
                <w:rFonts w:ascii="Verdana" w:eastAsia="Arial" w:hAnsi="Verdana" w:cs="Arial"/>
                <w:color w:val="000000" w:themeColor="text1"/>
                <w:lang w:val="es-ES" w:eastAsia="es-ES" w:bidi="es-ES"/>
              </w:rPr>
              <w:t xml:space="preserve">cuando se presenten situaciones que generen el desequilibrio económico del contrato, previa revisión de su procedencia, conforme el análisis del caso concreto, la entidad deberá adoptar las medidas </w:t>
            </w:r>
            <w:r w:rsidRPr="00E97A27">
              <w:rPr>
                <w:rFonts w:ascii="Verdana" w:eastAsia="Arial" w:hAnsi="Verdana" w:cs="Arial"/>
                <w:color w:val="000000" w:themeColor="text1"/>
                <w:lang w:val="es-ES" w:eastAsia="es-ES" w:bidi="es-ES"/>
              </w:rPr>
              <w:lastRenderedPageBreak/>
              <w:t>correspondientes para su restablecimiento, si a ello hay lugar, para lo cual tiene la potestad de suscribir los acuerdos necesarios sobre cuantía, condiciones, forma de pago, etc.</w:t>
            </w:r>
            <w:r>
              <w:rPr>
                <w:rFonts w:ascii="Verdana" w:eastAsia="Arial" w:hAnsi="Verdana" w:cs="Arial"/>
                <w:color w:val="000000" w:themeColor="text1"/>
                <w:lang w:val="es-ES" w:eastAsia="es-ES" w:bidi="es-ES"/>
              </w:rPr>
              <w:t xml:space="preserve"> </w:t>
            </w:r>
            <w:r w:rsidRPr="00E97A27">
              <w:rPr>
                <w:rFonts w:ascii="Verdana" w:eastAsia="Arial" w:hAnsi="Verdana" w:cs="Arial"/>
                <w:color w:val="000000" w:themeColor="text1"/>
                <w:lang w:val="es-ES" w:eastAsia="es-ES" w:bidi="es-ES"/>
              </w:rPr>
              <w:t>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w:t>
            </w:r>
          </w:p>
          <w:p w14:paraId="2CB933E8" w14:textId="77777777" w:rsidR="00455C07" w:rsidRPr="00324083" w:rsidRDefault="00455C07" w:rsidP="00C15788">
            <w:pPr>
              <w:spacing w:after="120" w:line="276" w:lineRule="auto"/>
              <w:ind w:firstLine="737"/>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Finalmente, conforme a los incisos segundo y tercero del artículo 60 del EGCAP, en la liquidación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 En el marco </w:t>
            </w:r>
            <w:r w:rsidRPr="00A04C35">
              <w:rPr>
                <w:rFonts w:ascii="Verdana" w:eastAsia="Times New Roman" w:hAnsi="Verdana" w:cs="Arial"/>
                <w:color w:val="000000"/>
                <w:bdr w:val="none" w:sz="0" w:space="0" w:color="auto" w:frame="1"/>
                <w:shd w:val="clear" w:color="auto" w:fill="FFFFFF"/>
                <w:lang w:eastAsia="es-ES_tradnl"/>
              </w:rPr>
              <w:t>la Sentencia de Unificación del 31 de julio de 2025</w:t>
            </w:r>
            <w:r>
              <w:rPr>
                <w:rFonts w:ascii="Verdana" w:eastAsia="Times New Roman" w:hAnsi="Verdana" w:cs="Arial"/>
                <w:color w:val="000000"/>
                <w:bdr w:val="none" w:sz="0" w:space="0" w:color="auto" w:frame="1"/>
                <w:shd w:val="clear" w:color="auto" w:fill="FFFFFF"/>
                <w:lang w:eastAsia="es-ES_tradnl"/>
              </w:rPr>
              <w:t xml:space="preserve">, </w:t>
            </w:r>
            <w:r w:rsidRPr="00A04C35">
              <w:rPr>
                <w:rFonts w:ascii="Verdana" w:eastAsia="Times New Roman" w:hAnsi="Verdana" w:cs="Arial"/>
                <w:color w:val="000000"/>
                <w:bdr w:val="none" w:sz="0" w:space="0" w:color="auto" w:frame="1"/>
                <w:shd w:val="clear" w:color="auto" w:fill="FFFFFF"/>
                <w:lang w:eastAsia="es-ES_tradnl"/>
              </w:rPr>
              <w:t xml:space="preserve">existe la posibilidad de reconocer en la liquidación actividades no incluidas o </w:t>
            </w:r>
            <w:r w:rsidRPr="0044442B">
              <w:rPr>
                <w:rFonts w:ascii="Verdana" w:eastAsia="Times New Roman" w:hAnsi="Verdana" w:cs="Arial"/>
                <w:color w:val="000000"/>
                <w:bdr w:val="none" w:sz="0" w:space="0" w:color="auto" w:frame="1"/>
                <w:shd w:val="clear" w:color="auto" w:fill="FFFFFF"/>
                <w:lang w:eastAsia="es-ES_tradnl"/>
              </w:rPr>
              <w:t>ítems</w:t>
            </w:r>
            <w:r w:rsidRPr="00A04C35">
              <w:rPr>
                <w:rFonts w:ascii="Verdana" w:eastAsia="Times New Roman" w:hAnsi="Verdana" w:cs="Arial"/>
                <w:color w:val="000000"/>
                <w:bdr w:val="none" w:sz="0" w:space="0" w:color="auto" w:frame="1"/>
                <w:shd w:val="clear" w:color="auto" w:fill="FFFFFF"/>
                <w:lang w:eastAsia="es-ES_tradnl"/>
              </w:rPr>
              <w:t xml:space="preserve"> no previstos dentro del contrato, pues no se limita a los supuestos planteados de la Sentencia de Unificación del 19 de noviembre de 2012, sino que se configuren los elementos del enriquecimiento sin justa causa, la prueba de la actividad, sumado a la circunstancia excepcional que se invoca.</w:t>
            </w:r>
          </w:p>
          <w:p w14:paraId="58091E00" w14:textId="77777777" w:rsidR="00455C07" w:rsidRPr="001941FD" w:rsidRDefault="00455C07" w:rsidP="00C15788">
            <w:pPr>
              <w:spacing w:line="276" w:lineRule="auto"/>
              <w:ind w:firstLine="709"/>
              <w:jc w:val="both"/>
              <w:rPr>
                <w:rFonts w:ascii="Verdana" w:eastAsia="Calibri" w:hAnsi="Verdana" w:cs="Arial"/>
                <w:bCs/>
                <w:color w:val="000000" w:themeColor="text1"/>
              </w:rPr>
            </w:pPr>
            <w:r w:rsidRPr="005A13AE">
              <w:rPr>
                <w:rStyle w:val="s15"/>
                <w:rFonts w:ascii="Verdana" w:hAnsi="Verdana"/>
                <w:color w:val="000000"/>
              </w:rPr>
              <w:t>Al margen de la explicación precedente debe advertirse que el análisis requerido para resolver problemas específicos en torno a los reconocimientos económicos derivados del desequilibrio en el contrato debe ser realizado por quienes tengan interés en ello, de acuerdo con lo explicado la aclaración preliminar del presente oficio</w:t>
            </w:r>
            <w:r w:rsidRPr="001941FD">
              <w:rPr>
                <w:rStyle w:val="s15"/>
                <w:rFonts w:ascii="Verdana" w:hAnsi="Verdana"/>
                <w:color w:val="000000"/>
              </w:rPr>
              <w:t>.</w:t>
            </w:r>
            <w:r w:rsidRPr="001941FD">
              <w:rPr>
                <w:rStyle w:val="apple-converted-space"/>
                <w:rFonts w:ascii="Verdana" w:hAnsi="Verdana"/>
                <w:color w:val="000000"/>
              </w:rPr>
              <w:t> </w:t>
            </w:r>
            <w:r w:rsidRPr="001941FD">
              <w:rPr>
                <w:rStyle w:val="s15"/>
                <w:rFonts w:ascii="Verdana" w:hAnsi="Verdana"/>
                <w:color w:val="000000"/>
              </w:rPr>
              <w:t>Por lo anterior,</w:t>
            </w:r>
            <w:r>
              <w:rPr>
                <w:rStyle w:val="s15"/>
                <w:rFonts w:ascii="Verdana" w:hAnsi="Verdana"/>
                <w:color w:val="000000"/>
              </w:rPr>
              <w:t xml:space="preserve"> </w:t>
            </w:r>
            <w:r>
              <w:rPr>
                <w:rFonts w:ascii="Verdana" w:hAnsi="Verdana" w:cs="Arial"/>
                <w:lang w:eastAsia="es-ES"/>
              </w:rPr>
              <w:t>de acuerdo con la distribución de los riesgos</w:t>
            </w:r>
            <w:r w:rsidRPr="001941FD">
              <w:rPr>
                <w:rStyle w:val="s15"/>
                <w:rFonts w:ascii="Verdana" w:hAnsi="Verdana"/>
                <w:color w:val="000000"/>
              </w:rPr>
              <w:t xml:space="preserve">, corresponde </w:t>
            </w:r>
            <w:r>
              <w:rPr>
                <w:rStyle w:val="s15"/>
                <w:rFonts w:ascii="Verdana" w:hAnsi="Verdana"/>
                <w:color w:val="000000"/>
              </w:rPr>
              <w:t>a las partes del contrato</w:t>
            </w:r>
            <w:r w:rsidRPr="001941FD">
              <w:rPr>
                <w:rStyle w:val="s15"/>
                <w:rFonts w:ascii="Verdana" w:hAnsi="Verdana"/>
                <w:color w:val="000000"/>
              </w:rPr>
              <w:t xml:space="preserve"> </w:t>
            </w:r>
            <w:r>
              <w:rPr>
                <w:rStyle w:val="s15"/>
                <w:rFonts w:ascii="Verdana" w:hAnsi="Verdana"/>
                <w:color w:val="000000"/>
              </w:rPr>
              <w:t xml:space="preserve">definir si determinados </w:t>
            </w:r>
            <w:r w:rsidRPr="0013555B">
              <w:rPr>
                <w:rStyle w:val="s15"/>
                <w:rFonts w:ascii="Verdana" w:hAnsi="Verdana"/>
                <w:i/>
                <w:iCs/>
                <w:color w:val="000000"/>
              </w:rPr>
              <w:t>ítems</w:t>
            </w:r>
            <w:r w:rsidRPr="0013555B">
              <w:rPr>
                <w:rStyle w:val="s15"/>
                <w:rFonts w:ascii="Verdana" w:hAnsi="Verdana"/>
                <w:color w:val="000000"/>
              </w:rPr>
              <w:t xml:space="preserve"> </w:t>
            </w:r>
            <w:r>
              <w:rPr>
                <w:rStyle w:val="s15"/>
                <w:rFonts w:ascii="Verdana" w:hAnsi="Verdana"/>
                <w:color w:val="000000"/>
              </w:rPr>
              <w:t xml:space="preserve">serán objeto de </w:t>
            </w:r>
            <w:r w:rsidRPr="0013555B">
              <w:rPr>
                <w:rStyle w:val="s15"/>
                <w:rFonts w:ascii="Verdana" w:hAnsi="Verdana"/>
                <w:color w:val="000000"/>
              </w:rPr>
              <w:t>adición presupuestal o deben ejecutar</w:t>
            </w:r>
            <w:r>
              <w:rPr>
                <w:rStyle w:val="s15"/>
                <w:rFonts w:ascii="Verdana" w:hAnsi="Verdana"/>
                <w:color w:val="000000"/>
              </w:rPr>
              <w:t>se</w:t>
            </w:r>
            <w:r w:rsidRPr="0013555B">
              <w:rPr>
                <w:rStyle w:val="s15"/>
                <w:rFonts w:ascii="Verdana" w:hAnsi="Verdana"/>
                <w:color w:val="000000"/>
              </w:rPr>
              <w:t xml:space="preserve"> con el valor inicialmente definido </w:t>
            </w:r>
            <w:r>
              <w:rPr>
                <w:rStyle w:val="s15"/>
                <w:rFonts w:ascii="Verdana" w:hAnsi="Verdana"/>
                <w:color w:val="000000"/>
              </w:rPr>
              <w:t>en los documentos del proceso; motivo por el cual,</w:t>
            </w:r>
            <w:r w:rsidRPr="001941FD">
              <w:rPr>
                <w:rStyle w:val="s15"/>
                <w:rFonts w:ascii="Verdana" w:hAnsi="Verdana"/>
                <w:color w:val="000000"/>
              </w:rPr>
              <w:t xml:space="preserve"> en caso de conflicto, </w:t>
            </w:r>
            <w:r>
              <w:rPr>
                <w:rStyle w:val="s15"/>
                <w:rFonts w:ascii="Verdana" w:hAnsi="Verdana"/>
                <w:color w:val="000000"/>
              </w:rPr>
              <w:t xml:space="preserve">intervendrán </w:t>
            </w:r>
            <w:r w:rsidRPr="001941FD">
              <w:rPr>
                <w:rStyle w:val="s15"/>
                <w:rFonts w:ascii="Verdana" w:hAnsi="Verdana"/>
                <w:color w:val="000000"/>
              </w:rPr>
              <w:t>las autoridades judiciales, fiscales y disciplinarias. Así, cada entidad definirá la forma de adelantar su gestión contractual, sin que sea atribución de Colombia Compra Eficiente validar sus actuaciones.</w:t>
            </w:r>
          </w:p>
        </w:tc>
      </w:tr>
    </w:tbl>
    <w:p w14:paraId="166A499B" w14:textId="77777777" w:rsidR="00455C07" w:rsidRPr="00593A5F" w:rsidRDefault="00455C07" w:rsidP="00455C07">
      <w:pPr>
        <w:tabs>
          <w:tab w:val="left" w:pos="142"/>
          <w:tab w:val="left" w:pos="284"/>
        </w:tabs>
        <w:spacing w:after="0" w:line="276" w:lineRule="auto"/>
        <w:jc w:val="both"/>
        <w:rPr>
          <w:rFonts w:ascii="Verdana" w:eastAsia="Century Gothic" w:hAnsi="Verdana" w:cs="Century Gothic"/>
          <w:b/>
          <w:bCs/>
          <w:lang w:val="es-ES"/>
        </w:rPr>
      </w:pPr>
    </w:p>
    <w:bookmarkEnd w:id="2"/>
    <w:p w14:paraId="069669F2" w14:textId="77777777" w:rsidR="00455C07" w:rsidRPr="00593A5F" w:rsidRDefault="00455C07" w:rsidP="00455C0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536B29F3" w14:textId="77777777" w:rsidR="00455C07" w:rsidRPr="00593A5F" w:rsidRDefault="00455C07" w:rsidP="00455C07">
      <w:pPr>
        <w:spacing w:after="0" w:line="276" w:lineRule="auto"/>
        <w:jc w:val="both"/>
        <w:rPr>
          <w:rFonts w:ascii="Verdana" w:eastAsia="Calibri" w:hAnsi="Verdana" w:cs="Arial"/>
          <w:color w:val="7030A0"/>
          <w:lang w:val="es-ES"/>
        </w:rPr>
      </w:pPr>
    </w:p>
    <w:p w14:paraId="51354297" w14:textId="77777777" w:rsidR="00455C07" w:rsidRDefault="00455C07" w:rsidP="00455C0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348899A" w14:textId="77777777" w:rsidR="00455C07" w:rsidRPr="00415608" w:rsidRDefault="00455C07" w:rsidP="00455C07">
      <w:pPr>
        <w:spacing w:after="0" w:line="276" w:lineRule="auto"/>
        <w:jc w:val="both"/>
        <w:rPr>
          <w:rFonts w:ascii="Verdana" w:eastAsia="Calibri" w:hAnsi="Verdana" w:cs="Arial"/>
          <w:lang w:val="es-ES"/>
        </w:rPr>
      </w:pPr>
    </w:p>
    <w:p w14:paraId="10D39E42" w14:textId="77777777" w:rsidR="00455C07" w:rsidRPr="00E97A27" w:rsidRDefault="00455C07" w:rsidP="00455C07">
      <w:pPr>
        <w:widowControl w:val="0"/>
        <w:autoSpaceDE w:val="0"/>
        <w:autoSpaceDN w:val="0"/>
        <w:spacing w:after="0" w:line="276" w:lineRule="auto"/>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conformidad con el artículo 3 de la Ley 80 de 1993 la celebración y ejecución de los contratos estatales </w:t>
      </w:r>
      <w:r w:rsidRPr="00E97A27">
        <w:rPr>
          <w:rFonts w:ascii="Verdana" w:eastAsia="Arial" w:hAnsi="Verdana" w:cs="Arial"/>
          <w:color w:val="000000" w:themeColor="text1"/>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E97A27">
        <w:rPr>
          <w:rFonts w:ascii="Verdana" w:hAnsi="Verdana" w:cs="Arial"/>
          <w:color w:val="4B4949"/>
          <w:sz w:val="18"/>
          <w:szCs w:val="18"/>
        </w:rPr>
        <w:t xml:space="preserve"> </w:t>
      </w:r>
      <w:r w:rsidRPr="00E97A27">
        <w:rPr>
          <w:rFonts w:ascii="Verdana" w:eastAsia="Arial" w:hAnsi="Verdana"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216AFE22"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eastAsia="es-ES" w:bidi="es-ES"/>
        </w:rPr>
        <w:t xml:space="preserve">Por remisión de los artículos 13, 32 y 40 del EGCAP al derecho privado, el contrato es ley para las partes conforme al artículo 1602 del Código Civil. Sin embargo,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t>de 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obligaciones</w:t>
      </w:r>
      <w:r w:rsidRPr="00752476">
        <w:rPr>
          <w:rFonts w:ascii="Verdana" w:eastAsia="Arial" w:hAnsi="Verdana" w:cs="Arial"/>
          <w:color w:val="000000" w:themeColor="text1"/>
          <w:lang w:eastAsia="es-ES" w:bidi="es-ES"/>
        </w:rPr>
        <w:t>.</w:t>
      </w:r>
      <w:r>
        <w:rPr>
          <w:rFonts w:ascii="Verdana" w:eastAsia="Arial" w:hAnsi="Verdana" w:cs="Arial"/>
          <w:color w:val="000000" w:themeColor="text1"/>
          <w:lang w:eastAsia="es-ES" w:bidi="es-ES"/>
        </w:rPr>
        <w:t xml:space="preserve"> </w:t>
      </w:r>
      <w:r w:rsidRPr="00E97A27">
        <w:rPr>
          <w:rFonts w:ascii="Verdana" w:eastAsia="Arial" w:hAnsi="Verdana" w:cs="Arial"/>
          <w:color w:val="000000" w:themeColor="text1"/>
          <w:lang w:eastAsia="es-ES" w:bidi="es-ES"/>
        </w:rPr>
        <w:t>De esta manera, los contratos estatales deben pactar</w:t>
      </w:r>
      <w:r>
        <w:rPr>
          <w:rFonts w:ascii="Verdana" w:eastAsia="Arial" w:hAnsi="Verdana" w:cs="Arial"/>
          <w:color w:val="000000" w:themeColor="text1"/>
          <w:lang w:eastAsia="es-ES" w:bidi="es-ES"/>
        </w:rPr>
        <w:t>se</w:t>
      </w:r>
      <w:r w:rsidRPr="00E97A27">
        <w:rPr>
          <w:rFonts w:ascii="Verdana" w:eastAsia="Arial" w:hAnsi="Verdana" w:cs="Arial"/>
          <w:color w:val="000000" w:themeColor="text1"/>
          <w:lang w:eastAsia="es-ES" w:bidi="es-ES"/>
        </w:rPr>
        <w:t xml:space="preserve">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20A412A7" w14:textId="77777777" w:rsidR="00455C07" w:rsidRPr="00E97A27" w:rsidRDefault="00455C07" w:rsidP="00455C07">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516C6244" w14:textId="77777777" w:rsidR="00455C07" w:rsidRPr="00AA6517" w:rsidRDefault="00455C07" w:rsidP="00455C07">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w:t>
      </w:r>
      <w:r w:rsidRPr="00AA6517">
        <w:rPr>
          <w:rFonts w:ascii="Verdana" w:eastAsia="Arial" w:hAnsi="Verdana" w:cs="Arial"/>
          <w:color w:val="000000" w:themeColor="text1"/>
          <w:sz w:val="20"/>
          <w:szCs w:val="20"/>
          <w:lang w:val="es-ES" w:eastAsia="es-ES" w:bidi="es-ES"/>
        </w:rPr>
        <w:lastRenderedPageBreak/>
        <w:t>apropiación de que trata el numeral 14 del artículo </w:t>
      </w:r>
      <w:hyperlink r:id="rId11" w:anchor="25" w:history="1">
        <w:r w:rsidRPr="00AA6517">
          <w:rPr>
            <w:rFonts w:ascii="Verdana" w:hAnsi="Verdana" w:cs="Arial"/>
            <w:sz w:val="20"/>
            <w:szCs w:val="20"/>
            <w:lang w:val="es-ES" w:eastAsia="es-ES" w:bidi="es-ES"/>
          </w:rPr>
          <w:t>25</w:t>
        </w:r>
      </w:hyperlink>
      <w:r w:rsidRPr="00AA6517">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46029D20" w14:textId="77777777" w:rsidR="00455C07" w:rsidRPr="00E97A27" w:rsidRDefault="00455C07" w:rsidP="00455C07">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6D52A6F8" w14:textId="77777777" w:rsidR="00455C07" w:rsidRPr="00E97A27" w:rsidRDefault="00455C07" w:rsidP="00455C07">
      <w:pPr>
        <w:autoSpaceDE w:val="0"/>
        <w:autoSpaceDN w:val="0"/>
        <w:adjustRightInd w:val="0"/>
        <w:spacing w:after="0" w:line="276" w:lineRule="auto"/>
        <w:ind w:firstLine="709"/>
        <w:jc w:val="both"/>
        <w:rPr>
          <w:rFonts w:ascii="Verdana" w:hAnsi="Verdana" w:cs="Arial"/>
        </w:rPr>
      </w:pPr>
      <w:r w:rsidRPr="00E97A27">
        <w:rPr>
          <w:rFonts w:ascii="Verdana" w:eastAsia="Arial" w:hAnsi="Verdana" w:cs="Arial"/>
          <w:color w:val="000000" w:themeColor="text1"/>
          <w:lang w:val="es-ES" w:eastAsia="es-ES" w:bidi="es-ES"/>
        </w:rPr>
        <w:t xml:space="preserve">Sobre el principio del equilibrio financiero del contrato, el Consejo de Estado ha señalado que </w:t>
      </w:r>
      <w:r w:rsidRPr="00E97A27">
        <w:rPr>
          <w:rFonts w:ascii="Verdana" w:eastAsia="Arial" w:hAnsi="Verdana" w:cs="Arial"/>
          <w:color w:val="000000" w:themeColor="text1"/>
          <w:lang w:eastAsia="es-ES" w:bidi="es-ES"/>
        </w:rPr>
        <w:t xml:space="preserve">consiste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
      </w:r>
      <w:r w:rsidRPr="00E97A27">
        <w:rPr>
          <w:rFonts w:ascii="Verdana" w:eastAsia="Arial" w:hAnsi="Verdana" w:cs="Arial"/>
          <w:color w:val="000000" w:themeColor="text1"/>
          <w:lang w:val="es-MX" w:eastAsia="es-ES" w:bidi="es-ES"/>
        </w:rPr>
        <w:t>. En concordancia, la doctrina ha indicado que con este</w:t>
      </w:r>
      <w:r w:rsidRPr="00E97A27">
        <w:rPr>
          <w:rFonts w:ascii="Verdana" w:hAnsi="Verdana" w:cs="Arial"/>
        </w:rPr>
        <w:t xml:space="preserve"> principio, también denominado </w:t>
      </w:r>
      <w:r>
        <w:rPr>
          <w:rFonts w:ascii="Verdana" w:eastAsia="Arial" w:hAnsi="Verdana" w:cs="Arial"/>
          <w:color w:val="000000" w:themeColor="text1"/>
          <w:lang w:val="es-MX" w:eastAsia="es-ES" w:bidi="es-ES"/>
        </w:rPr>
        <w:t>“</w:t>
      </w:r>
      <w:r w:rsidRPr="00E97A27">
        <w:rPr>
          <w:rFonts w:ascii="Verdana" w:hAnsi="Verdana" w:cs="Arial"/>
        </w:rPr>
        <w:t>el de la honesta equivalencia de prestaciones</w:t>
      </w:r>
      <w:r>
        <w:rPr>
          <w:rFonts w:ascii="Verdana" w:eastAsia="Arial" w:hAnsi="Verdana" w:cs="Arial"/>
          <w:color w:val="000000" w:themeColor="text1"/>
          <w:lang w:val="es-MX" w:eastAsia="es-ES" w:bidi="es-ES"/>
        </w:rPr>
        <w:t>”</w:t>
      </w:r>
      <w:r w:rsidRPr="00E97A27">
        <w:rPr>
          <w:rFonts w:ascii="Verdana" w:hAnsi="Verdana" w:cs="Arial"/>
        </w:rPr>
        <w:t xml:space="preserve">, se privilegia el carácter conmutativo o sinalagmático que, por regla general, tiene el contrato estatal, </w:t>
      </w:r>
      <w:r>
        <w:rPr>
          <w:rFonts w:ascii="Verdana" w:eastAsia="Arial" w:hAnsi="Verdana" w:cs="Arial"/>
          <w:color w:val="000000" w:themeColor="text1"/>
          <w:lang w:val="es-MX" w:eastAsia="es-ES" w:bidi="es-ES"/>
        </w:rPr>
        <w:t>“</w:t>
      </w:r>
      <w:r w:rsidRPr="00E97A27">
        <w:rPr>
          <w:rFonts w:ascii="Verdana" w:hAnsi="Verdana" w:cs="Arial"/>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3"/>
      </w:r>
      <w:r w:rsidRPr="00E97A27">
        <w:rPr>
          <w:rFonts w:ascii="Verdana" w:hAnsi="Verdana" w:cs="Arial"/>
        </w:rPr>
        <w:t xml:space="preserve">.  </w:t>
      </w:r>
    </w:p>
    <w:p w14:paraId="16DC69D6"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MX" w:eastAsia="es-ES" w:bidi="es-ES"/>
        </w:rPr>
        <w:t xml:space="preserve">Conforme a lo anterior el equilibrio financiero del contrato se constituye en un principio medular de la contratación estatal que </w:t>
      </w:r>
      <w:r w:rsidRPr="00E97A27">
        <w:rPr>
          <w:rFonts w:ascii="Verdana" w:eastAsia="Arial" w:hAnsi="Verdana" w:cs="Arial"/>
          <w:color w:val="000000" w:themeColor="text1"/>
          <w:lang w:eastAsia="es-ES" w:bidi="es-ES"/>
        </w:rPr>
        <w:t xml:space="preserve">busca, precisamente, mantener las mismas condiciones </w:t>
      </w:r>
      <w:r w:rsidRPr="00E97A27">
        <w:rPr>
          <w:rFonts w:ascii="Verdana" w:eastAsia="Arial" w:hAnsi="Verdana"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20D5063E" w14:textId="77777777" w:rsidR="00455C0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w:t>
      </w:r>
      <w:r w:rsidRPr="00E97A27">
        <w:rPr>
          <w:rFonts w:ascii="Verdana" w:eastAsia="Arial" w:hAnsi="Verdana" w:cs="Arial"/>
          <w:color w:val="000000" w:themeColor="text1"/>
          <w:lang w:val="es-ES" w:eastAsia="es-ES" w:bidi="es-ES"/>
        </w:rPr>
        <w:lastRenderedPageBreak/>
        <w:t xml:space="preserve">diferentes disposiciones de dicha Ley. En efecto, el numeral 3 del artículo 4 </w:t>
      </w:r>
      <w:r w:rsidRPr="00E97A27">
        <w:rPr>
          <w:rFonts w:ascii="Verdana" w:eastAsia="Arial" w:hAnsi="Verdana" w:cs="Arial"/>
          <w:i/>
          <w:iCs/>
          <w:color w:val="000000" w:themeColor="text1"/>
          <w:lang w:val="es-ES" w:eastAsia="es-ES" w:bidi="es-ES"/>
        </w:rPr>
        <w:t>ibidem</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r>
        <w:rPr>
          <w:rFonts w:ascii="Verdana" w:eastAsia="Arial" w:hAnsi="Verdana" w:cs="Arial"/>
          <w:color w:val="000000" w:themeColor="text1"/>
          <w:lang w:val="es-ES" w:eastAsia="es-ES" w:bidi="es-ES"/>
        </w:rPr>
        <w:t>De acuerdo con la jurisprudencia:</w:t>
      </w:r>
    </w:p>
    <w:p w14:paraId="275D47A6" w14:textId="77777777" w:rsidR="00455C07" w:rsidRDefault="00455C07" w:rsidP="00455C07">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40927DF3" w14:textId="77777777" w:rsidR="00455C07" w:rsidRPr="000E4887" w:rsidRDefault="00455C07" w:rsidP="00455C07">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0E4887">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4EF6BA87" w14:textId="77777777" w:rsidR="00455C07" w:rsidRDefault="00455C07" w:rsidP="00455C07">
      <w:pPr>
        <w:widowControl w:val="0"/>
        <w:autoSpaceDE w:val="0"/>
        <w:autoSpaceDN w:val="0"/>
        <w:spacing w:before="120" w:after="0" w:line="240" w:lineRule="auto"/>
        <w:ind w:left="709" w:right="709"/>
        <w:jc w:val="both"/>
        <w:rPr>
          <w:rFonts w:ascii="Verdana" w:eastAsia="Arial" w:hAnsi="Verdana" w:cs="Arial"/>
          <w:color w:val="000000" w:themeColor="text1"/>
          <w:lang w:val="es-ES" w:eastAsia="es-ES" w:bidi="es-ES"/>
        </w:rPr>
      </w:pPr>
      <w:r w:rsidRPr="000E4887">
        <w:rPr>
          <w:rFonts w:ascii="Verdana" w:eastAsia="Arial" w:hAnsi="Verdana" w:cs="Arial"/>
          <w:color w:val="000000" w:themeColor="text1"/>
          <w:sz w:val="20"/>
          <w:szCs w:val="20"/>
          <w:lang w:val="es-ES" w:eastAsia="es-ES" w:bidi="es-ES"/>
        </w:rPr>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r>
        <w:rPr>
          <w:rStyle w:val="Refdenotaalpie"/>
          <w:rFonts w:ascii="Verdana" w:eastAsia="Arial" w:hAnsi="Verdana" w:cs="Arial"/>
          <w:color w:val="000000" w:themeColor="text1"/>
          <w:sz w:val="20"/>
          <w:szCs w:val="20"/>
          <w:lang w:val="es-ES" w:eastAsia="es-ES" w:bidi="es-ES"/>
        </w:rPr>
        <w:footnoteReference w:id="4"/>
      </w:r>
      <w:r w:rsidRPr="000E4887">
        <w:rPr>
          <w:rFonts w:ascii="Verdana" w:eastAsia="Arial" w:hAnsi="Verdana" w:cs="Arial"/>
          <w:color w:val="000000" w:themeColor="text1"/>
          <w:sz w:val="20"/>
          <w:szCs w:val="20"/>
          <w:lang w:val="es-ES" w:eastAsia="es-ES" w:bidi="es-ES"/>
        </w:rPr>
        <w:t>.</w:t>
      </w:r>
    </w:p>
    <w:p w14:paraId="6A5EB26B" w14:textId="77777777" w:rsidR="00455C07" w:rsidRPr="000E4887" w:rsidRDefault="00455C07" w:rsidP="00455C07">
      <w:pPr>
        <w:widowControl w:val="0"/>
        <w:autoSpaceDE w:val="0"/>
        <w:autoSpaceDN w:val="0"/>
        <w:spacing w:after="0" w:line="276" w:lineRule="auto"/>
        <w:jc w:val="both"/>
        <w:rPr>
          <w:rFonts w:ascii="Verdana" w:eastAsia="Arial" w:hAnsi="Verdana" w:cs="Arial"/>
          <w:color w:val="000000" w:themeColor="text1"/>
          <w:lang w:val="es-ES" w:eastAsia="es-ES" w:bidi="es-ES"/>
        </w:rPr>
      </w:pPr>
    </w:p>
    <w:p w14:paraId="4DEFA9DB" w14:textId="77777777" w:rsidR="00455C07" w:rsidRPr="00E97A27" w:rsidRDefault="00455C07" w:rsidP="00455C07">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E97A27">
        <w:rPr>
          <w:rFonts w:ascii="Verdana" w:eastAsia="Arial" w:hAnsi="Verdana" w:cs="Arial"/>
          <w:i/>
          <w:iCs/>
          <w:color w:val="000000" w:themeColor="text1"/>
          <w:lang w:val="es-ES" w:eastAsia="es-ES" w:bidi="es-ES"/>
        </w:rPr>
        <w:t>el equilibrio de la ecuación económica</w:t>
      </w:r>
      <w:r w:rsidRPr="00E97A27">
        <w:rPr>
          <w:rFonts w:ascii="Verdana" w:eastAsia="Arial" w:hAnsi="Verdana" w:cs="Arial"/>
          <w:color w:val="000000" w:themeColor="text1"/>
          <w:lang w:val="es-ES" w:eastAsia="es-ES" w:bidi="es-ES"/>
        </w:rPr>
        <w:t xml:space="preserve"> del contrato por la ocurrencia de situaciones imprevistas que no sean imputables a los </w:t>
      </w:r>
      <w:r w:rsidRPr="00E97A27">
        <w:rPr>
          <w:rFonts w:ascii="Verdana" w:eastAsia="Arial" w:hAnsi="Verdana" w:cs="Arial"/>
          <w:color w:val="000000" w:themeColor="text1"/>
          <w:lang w:val="es-ES" w:eastAsia="es-ES" w:bidi="es-ES"/>
        </w:rPr>
        <w:lastRenderedPageBreak/>
        <w:t>contratistas. Si dicho equilibrio se rompe por incumplimiento de la entidad estatal contratante, tendrá que restablecerse la ecuación surgida al momento del nacimiento del contrato.</w:t>
      </w:r>
    </w:p>
    <w:p w14:paraId="7E54217A" w14:textId="77777777" w:rsidR="00455C07" w:rsidRPr="00E97A27" w:rsidRDefault="00455C07" w:rsidP="00455C07">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E97A27">
        <w:rPr>
          <w:rFonts w:ascii="Verdana" w:eastAsia="Arial" w:hAnsi="Verdana" w:cs="Arial"/>
          <w:i/>
          <w:iCs/>
          <w:color w:val="000000" w:themeColor="text1"/>
          <w:lang w:val="es-ES" w:eastAsia="es-ES" w:bidi="es-ES"/>
        </w:rPr>
        <w:t>la ecuación o equilibrio inicial.</w:t>
      </w:r>
    </w:p>
    <w:p w14:paraId="7C954D3D" w14:textId="77777777" w:rsidR="00455C07" w:rsidRDefault="00455C07" w:rsidP="00455C07">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06C10A09" w14:textId="77777777" w:rsidR="00455C07" w:rsidRPr="00E97A27" w:rsidRDefault="00455C07" w:rsidP="00455C07">
      <w:pPr>
        <w:widowControl w:val="0"/>
        <w:autoSpaceDE w:val="0"/>
        <w:autoSpaceDN w:val="0"/>
        <w:spacing w:after="0" w:line="276" w:lineRule="auto"/>
        <w:ind w:firstLine="708"/>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36AAABE6" w14:textId="77777777" w:rsidR="00455C07" w:rsidRPr="00E97A27" w:rsidRDefault="00455C07" w:rsidP="00455C07">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4C916BF9" w14:textId="77777777" w:rsidR="00455C07" w:rsidRPr="00AA6517" w:rsidRDefault="00455C07" w:rsidP="00455C07">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01E80BFF" w14:textId="77777777" w:rsidR="00455C07" w:rsidRPr="00AA6517" w:rsidRDefault="00455C07" w:rsidP="00455C07">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3E20F5A0" w14:textId="77777777" w:rsidR="00455C07" w:rsidRPr="00AA6517" w:rsidRDefault="00455C07" w:rsidP="00455C07">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117BD99D" w14:textId="77777777" w:rsidR="00455C07" w:rsidRPr="00E97A27" w:rsidRDefault="00455C07" w:rsidP="00455C07">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AA6517">
        <w:rPr>
          <w:rFonts w:ascii="Verdana" w:eastAsia="Arial" w:hAnsi="Verdana" w:cs="Arial"/>
          <w:color w:val="000000" w:themeColor="text1"/>
          <w:sz w:val="20"/>
          <w:szCs w:val="20"/>
          <w:lang w:val="es-ES" w:eastAsia="es-ES" w:bidi="es-ES"/>
        </w:rPr>
        <w:t xml:space="preserve">En todos estos eventos surge la obligación de la administración contratante de auxiliar al contratista colaborador asumiendo mediante una </w:t>
      </w:r>
      <w:r w:rsidRPr="00AA6517">
        <w:rPr>
          <w:rFonts w:ascii="Verdana" w:eastAsia="Arial" w:hAnsi="Verdana" w:cs="Arial"/>
          <w:color w:val="000000" w:themeColor="text1"/>
          <w:sz w:val="20"/>
          <w:szCs w:val="20"/>
          <w:lang w:val="es-ES" w:eastAsia="es-ES" w:bidi="es-ES"/>
        </w:rPr>
        <w:lastRenderedPageBreak/>
        <w:t>compensación -llevarlo hasta el punto de no pérdida- o nace el deber de indemnizarlo integralmente, según el caso y si se cumplen los requisitos señalados para cada figura”</w:t>
      </w:r>
      <w:r w:rsidRPr="00AA6517">
        <w:rPr>
          <w:rStyle w:val="Refdenotaalpie"/>
          <w:rFonts w:ascii="Verdana" w:eastAsia="Arial" w:hAnsi="Verdana" w:cs="Arial"/>
          <w:color w:val="000000" w:themeColor="text1"/>
          <w:sz w:val="20"/>
          <w:szCs w:val="20"/>
          <w:lang w:val="es-ES" w:eastAsia="es-ES" w:bidi="es-ES"/>
        </w:rPr>
        <w:footnoteReference w:id="5"/>
      </w:r>
      <w:r w:rsidRPr="00AA6517">
        <w:rPr>
          <w:rFonts w:ascii="Verdana" w:eastAsia="Arial" w:hAnsi="Verdana" w:cs="Arial"/>
          <w:color w:val="000000" w:themeColor="text1"/>
          <w:sz w:val="20"/>
          <w:szCs w:val="20"/>
          <w:lang w:val="es-ES" w:eastAsia="es-ES" w:bidi="es-ES"/>
        </w:rPr>
        <w:t>.</w:t>
      </w:r>
    </w:p>
    <w:p w14:paraId="57582863" w14:textId="77777777" w:rsidR="00455C07" w:rsidRPr="00E97A27" w:rsidRDefault="00455C07" w:rsidP="00455C07">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6C123B53" w14:textId="77777777" w:rsidR="00455C07" w:rsidRPr="00E97A27" w:rsidRDefault="00455C07" w:rsidP="00455C07">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E97A27">
        <w:rPr>
          <w:rStyle w:val="Refdenotaalpie"/>
          <w:rFonts w:ascii="Verdana" w:eastAsia="Arial" w:hAnsi="Verdana" w:cs="Arial"/>
          <w:color w:val="000000" w:themeColor="text1"/>
          <w:lang w:val="es-ES" w:eastAsia="es-ES" w:bidi="es-ES"/>
        </w:rPr>
        <w:footnoteReference w:id="6"/>
      </w:r>
      <w:r w:rsidRPr="00E97A27">
        <w:rPr>
          <w:rFonts w:ascii="Verdana" w:eastAsia="Arial" w:hAnsi="Verdana" w:cs="Arial"/>
          <w:color w:val="000000" w:themeColor="text1"/>
          <w:lang w:val="es-ES" w:eastAsia="es-ES" w:bidi="es-ES"/>
        </w:rPr>
        <w:t xml:space="preserve">. Además, es necesario que las reclamaciones para el restablecimiento se realicen en la oportunidad debida, de manera que </w:t>
      </w:r>
      <w:r w:rsidRPr="00E97A27">
        <w:rPr>
          <w:rFonts w:ascii="Verdana" w:eastAsia="Arial" w:hAnsi="Verdana" w:cs="Arial"/>
          <w:color w:val="000000" w:themeColor="text1"/>
          <w:lang w:eastAsia="es-ES" w:bidi="es-ES"/>
        </w:rPr>
        <w:t xml:space="preserve">si las solicitudes, o salvedades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7"/>
      </w:r>
      <w:r w:rsidRPr="00E97A27">
        <w:rPr>
          <w:rFonts w:ascii="Verdana" w:eastAsia="Arial" w:hAnsi="Verdana" w:cs="Arial"/>
          <w:color w:val="000000" w:themeColor="text1"/>
          <w:lang w:val="es-MX" w:eastAsia="es-ES" w:bidi="es-ES"/>
        </w:rPr>
        <w:t xml:space="preserve">. </w:t>
      </w:r>
    </w:p>
    <w:p w14:paraId="127AC56F"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0AF4E48E"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E97A27">
        <w:rPr>
          <w:rFonts w:ascii="Verdana" w:eastAsia="Arial" w:hAnsi="Verdana" w:cs="Arial"/>
          <w:color w:val="000000" w:themeColor="text1"/>
          <w:lang w:eastAsia="es-ES" w:bidi="es-ES"/>
        </w:rPr>
        <w:t xml:space="preserve"> cada caso el contenido del respectivo acuerdo y de sus antecedentes, para determinar el alcance de los otrosíes o de las actas de suspensión correspondientes</w:t>
      </w:r>
      <w:r w:rsidRPr="00E97A27">
        <w:rPr>
          <w:rStyle w:val="Refdenotaalpie"/>
          <w:rFonts w:ascii="Verdana" w:eastAsia="Arial" w:hAnsi="Verdana" w:cs="Arial"/>
          <w:color w:val="000000" w:themeColor="text1"/>
          <w:lang w:eastAsia="es-ES" w:bidi="es-ES"/>
        </w:rPr>
        <w:footnoteReference w:id="8"/>
      </w:r>
      <w:r w:rsidRPr="00E97A27">
        <w:rPr>
          <w:rFonts w:ascii="Verdana" w:eastAsia="Arial" w:hAnsi="Verdana" w:cs="Arial"/>
          <w:color w:val="000000" w:themeColor="text1"/>
          <w:lang w:eastAsia="es-ES" w:bidi="es-ES"/>
        </w:rPr>
        <w:t xml:space="preserve">. En tal </w:t>
      </w:r>
      <w:r w:rsidRPr="00E97A27">
        <w:rPr>
          <w:rFonts w:ascii="Verdana" w:eastAsia="Arial" w:hAnsi="Verdana" w:cs="Arial"/>
          <w:color w:val="000000" w:themeColor="text1"/>
          <w:lang w:eastAsia="es-ES" w:bidi="es-ES"/>
        </w:rPr>
        <w:lastRenderedPageBreak/>
        <w:t xml:space="preserve">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E97A27">
        <w:rPr>
          <w:rFonts w:ascii="Verdana" w:hAnsi="Verdana" w:cs="Arial"/>
        </w:rPr>
        <w:t xml:space="preserve"> </w:t>
      </w:r>
      <w:r w:rsidRPr="00E97A27">
        <w:rPr>
          <w:rFonts w:ascii="Verdana" w:eastAsia="Arial" w:hAnsi="Verdana" w:cs="Arial"/>
          <w:color w:val="000000" w:themeColor="text1"/>
          <w:lang w:eastAsia="es-ES" w:bidi="es-ES"/>
        </w:rPr>
        <w:t>de tales situaciones, haya concurrido a suscribirlo, sin dejar alguna manifestación sobre la insuficiencia de ese acuerdo para satisfacer sus reclamaciones</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w:t>
      </w:r>
    </w:p>
    <w:p w14:paraId="6FF0DC06"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0635B41D"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554B7F98"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Aunado a lo expuesto, la jurisprudencia resalta que la posibilidad de </w:t>
      </w:r>
      <w:r w:rsidRPr="00E97A27">
        <w:rPr>
          <w:rFonts w:ascii="Verdana" w:eastAsia="Arial" w:hAnsi="Verdana" w:cs="Arial"/>
          <w:color w:val="000000" w:themeColor="text1"/>
          <w:lang w:val="es-ES" w:eastAsia="es-ES" w:bidi="es-ES"/>
        </w:rPr>
        <w:lastRenderedPageBreak/>
        <w:t>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E97A27">
        <w:rPr>
          <w:rFonts w:ascii="Verdana" w:eastAsia="Arial" w:hAnsi="Verdana" w:cs="Arial"/>
          <w:lang w:val="es-ES" w:eastAsia="es-ES" w:bidi="es-ES"/>
        </w:rPr>
        <w:t xml:space="preserve"> es </w:t>
      </w:r>
      <w:r>
        <w:rPr>
          <w:rFonts w:ascii="Verdana" w:eastAsia="Arial" w:hAnsi="Verdana" w:cs="Arial"/>
          <w:color w:val="000000" w:themeColor="text1"/>
          <w:lang w:val="es-MX" w:eastAsia="es-ES" w:bidi="es-ES"/>
        </w:rPr>
        <w:t>“</w:t>
      </w:r>
      <w:r w:rsidRPr="00E97A27">
        <w:rPr>
          <w:rFonts w:ascii="Verdana" w:eastAsia="Arial" w:hAnsi="Verdana" w:cs="Arial"/>
          <w:lang w:val="es-ES" w:eastAsia="es-ES" w:bidi="es-ES"/>
        </w:rPr>
        <w:t>preciso entonces el diseño de reglas que permitan la adaptación y la resolución pacífica de las controversias para evitar el fracaso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9"/>
      </w:r>
      <w:r w:rsidRPr="00E97A27">
        <w:rPr>
          <w:rFonts w:ascii="Verdana" w:eastAsia="Arial" w:hAnsi="Verdana" w:cs="Arial"/>
          <w:lang w:val="es-ES" w:eastAsia="es-ES" w:bidi="es-ES"/>
        </w:rPr>
        <w:t>.</w:t>
      </w:r>
      <w:r w:rsidRPr="00E97A27">
        <w:rPr>
          <w:rFonts w:ascii="Verdana" w:eastAsia="Arial" w:hAnsi="Verdana" w:cs="Arial"/>
          <w:sz w:val="21"/>
          <w:szCs w:val="21"/>
          <w:lang w:val="es-ES" w:eastAsia="es-ES" w:bidi="es-ES"/>
        </w:rPr>
        <w:t xml:space="preserve"> </w:t>
      </w:r>
    </w:p>
    <w:p w14:paraId="4C6AD9DD" w14:textId="77777777" w:rsidR="00455C07" w:rsidRPr="00E97A27" w:rsidRDefault="00455C07" w:rsidP="00455C07">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En armonía con lo anterior, la doctrina ha señalado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E97A27">
        <w:rPr>
          <w:rFonts w:ascii="Verdana" w:eastAsia="Arial" w:hAnsi="Verdana" w:cs="Arial"/>
          <w:color w:val="000000" w:themeColor="text1"/>
          <w:lang w:val="es-ES" w:eastAsia="es-ES" w:bidi="es-ES"/>
        </w:rPr>
        <w:t>inc</w:t>
      </w:r>
      <w:proofErr w:type="spellEnd"/>
      <w:r w:rsidRPr="00E97A27">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ES" w:eastAsia="es-ES" w:bidi="es-ES"/>
        </w:rPr>
        <w:footnoteReference w:id="10"/>
      </w:r>
      <w:r w:rsidRPr="00E97A27">
        <w:rPr>
          <w:rFonts w:ascii="Verdana" w:eastAsia="Arial" w:hAnsi="Verdana" w:cs="Arial"/>
          <w:color w:val="000000" w:themeColor="text1"/>
          <w:lang w:val="es-ES" w:eastAsia="es-ES" w:bidi="es-ES"/>
        </w:rPr>
        <w:t xml:space="preserve">. </w:t>
      </w:r>
    </w:p>
    <w:p w14:paraId="3A34BF7D" w14:textId="77777777" w:rsidR="00455C07" w:rsidRDefault="00455C07" w:rsidP="00455C07">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Así la cosas, con fundamento en el EGCAP, en la jurisprudencia y en la doctrina puede concluir</w:t>
      </w:r>
      <w:r>
        <w:rPr>
          <w:rFonts w:ascii="Verdana" w:eastAsia="Arial" w:hAnsi="Verdana" w:cs="Arial"/>
          <w:color w:val="000000" w:themeColor="text1"/>
          <w:lang w:val="es-ES" w:eastAsia="es-ES" w:bidi="es-ES"/>
        </w:rPr>
        <w:t>se</w:t>
      </w:r>
      <w:r w:rsidRPr="00E97A27">
        <w:rPr>
          <w:rFonts w:ascii="Verdana" w:eastAsia="Arial" w:hAnsi="Verdana" w:cs="Arial"/>
          <w:color w:val="000000" w:themeColor="text1"/>
          <w:lang w:val="es-ES" w:eastAsia="es-ES" w:bidi="es-ES"/>
        </w:rPr>
        <w:t xml:space="preserve">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14A2EDD6" w14:textId="77777777" w:rsidR="00455C07"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t>R</w:t>
      </w:r>
      <w:r w:rsidRPr="004474BA">
        <w:rPr>
          <w:rFonts w:ascii="Verdana" w:eastAsia="Times New Roman" w:hAnsi="Verdana" w:cs="Arial"/>
          <w:color w:val="000000"/>
          <w:bdr w:val="none" w:sz="0" w:space="0" w:color="auto" w:frame="1"/>
          <w:shd w:val="clear" w:color="auto" w:fill="FFFFFF"/>
          <w:lang w:eastAsia="es-ES_tradnl"/>
        </w:rPr>
        <w:t>especto al contenido de la liquidación</w:t>
      </w:r>
      <w:r>
        <w:rPr>
          <w:rFonts w:ascii="Verdana" w:eastAsia="Times New Roman" w:hAnsi="Verdana" w:cs="Arial"/>
          <w:color w:val="000000"/>
          <w:bdr w:val="none" w:sz="0" w:space="0" w:color="auto" w:frame="1"/>
          <w:shd w:val="clear" w:color="auto" w:fill="FFFFFF"/>
          <w:lang w:eastAsia="es-ES_tradnl"/>
        </w:rPr>
        <w:t xml:space="preserve">, conforme a los incisos segundo y tercero del artículo 60 del EGCAP,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 Sobre esta última faceta, la doctrina explica que la norma en comento consagra una posibilidad para que las entidades públicas </w:t>
      </w:r>
      <w:r>
        <w:rPr>
          <w:rFonts w:ascii="Verdana" w:eastAsia="Times New Roman" w:hAnsi="Verdana" w:cs="Arial"/>
          <w:color w:val="000000"/>
          <w:bdr w:val="none" w:sz="0" w:space="0" w:color="auto" w:frame="1"/>
          <w:shd w:val="clear" w:color="auto" w:fill="FFFFFF"/>
          <w:lang w:eastAsia="es-ES_tradnl"/>
        </w:rPr>
        <w:lastRenderedPageBreak/>
        <w:t xml:space="preserve">garanticen el equilibrio económico si éste resultó afectado en la ejecución del negocio jurídico, así que la liquidación es el momento oportuno para resolver las diferencias existentes. De esta manera: </w:t>
      </w:r>
    </w:p>
    <w:p w14:paraId="498AF2E6" w14:textId="77777777" w:rsidR="00455C07"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72953852" w14:textId="77777777" w:rsidR="00455C07" w:rsidRPr="00AA6517" w:rsidRDefault="00455C07" w:rsidP="00455C07">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A6517">
        <w:rPr>
          <w:rFonts w:ascii="Verdana" w:eastAsia="Times New Roman" w:hAnsi="Verdana" w:cs="Arial"/>
          <w:color w:val="000000"/>
          <w:sz w:val="20"/>
          <w:szCs w:val="20"/>
          <w:bdr w:val="none" w:sz="0" w:space="0" w:color="auto" w:frame="1"/>
          <w:shd w:val="clear" w:color="auto" w:fill="FFFFFF"/>
          <w:lang w:eastAsia="es-ES_tradnl"/>
        </w:rPr>
        <w:t>“A través de la liquidación de los contratos se busca en especial establecer el equilibrio final en las relaciones suscitadas entre la entidad estatal y el contratista, con el objeto de dejar niveladas las prestaciones y derechos surgidos del negocio jurídico. En este sentido, el principio de la conmutatividad, entendido como la equivalencia obvia que debe existir entre lo que se da o hace por una parte y lo que se recibe por la otra, se torna en regla vinculante e imperativa, que debe ser restablecida al final de la relación jurídica, con el propósito de que el negocio finalmente sea equivalente entre las partes”</w:t>
      </w:r>
      <w:r w:rsidRPr="00AA6517">
        <w:rPr>
          <w:rStyle w:val="Refdenotaalpie"/>
          <w:rFonts w:ascii="Verdana" w:eastAsia="Times New Roman" w:hAnsi="Verdana" w:cs="Arial"/>
          <w:color w:val="000000"/>
          <w:sz w:val="20"/>
          <w:szCs w:val="20"/>
          <w:bdr w:val="none" w:sz="0" w:space="0" w:color="auto" w:frame="1"/>
          <w:shd w:val="clear" w:color="auto" w:fill="FFFFFF"/>
          <w:lang w:eastAsia="es-ES_tradnl"/>
        </w:rPr>
        <w:footnoteReference w:id="11"/>
      </w:r>
      <w:r w:rsidRPr="00AA6517">
        <w:rPr>
          <w:rFonts w:ascii="Verdana" w:eastAsia="Times New Roman" w:hAnsi="Verdana" w:cs="Arial"/>
          <w:color w:val="000000"/>
          <w:sz w:val="20"/>
          <w:szCs w:val="20"/>
          <w:bdr w:val="none" w:sz="0" w:space="0" w:color="auto" w:frame="1"/>
          <w:shd w:val="clear" w:color="auto" w:fill="FFFFFF"/>
          <w:lang w:eastAsia="es-ES_tradnl"/>
        </w:rPr>
        <w:t xml:space="preserve">. </w:t>
      </w:r>
    </w:p>
    <w:p w14:paraId="619E88AA" w14:textId="77777777" w:rsidR="00455C07"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19EDCABC" w14:textId="77777777" w:rsidR="00455C07"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t xml:space="preserve">De acuerdo con la Sentencia de Unificación del 19 de noviembre de 2012 de la Sala Plena del Consejo de Estado, </w:t>
      </w:r>
      <w:r>
        <w:rPr>
          <w:rFonts w:ascii="Verdana" w:eastAsia="Times New Roman" w:hAnsi="Verdana" w:cs="Arial"/>
          <w:i/>
          <w:iCs/>
          <w:color w:val="000000"/>
          <w:bdr w:val="none" w:sz="0" w:space="0" w:color="auto" w:frame="1"/>
          <w:shd w:val="clear" w:color="auto" w:fill="FFFFFF"/>
          <w:lang w:eastAsia="es-ES_tradnl"/>
        </w:rPr>
        <w:t>por regla general,</w:t>
      </w:r>
      <w:r>
        <w:rPr>
          <w:rFonts w:ascii="Verdana" w:eastAsia="Times New Roman" w:hAnsi="Verdana" w:cs="Arial"/>
          <w:color w:val="000000"/>
          <w:bdr w:val="none" w:sz="0" w:space="0" w:color="auto" w:frame="1"/>
          <w:shd w:val="clear" w:color="auto" w:fill="FFFFFF"/>
          <w:lang w:eastAsia="es-ES_tradnl"/>
        </w:rPr>
        <w:t xml:space="preserve">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 Dentro de esta línea:</w:t>
      </w:r>
    </w:p>
    <w:p w14:paraId="52875421" w14:textId="77777777" w:rsidR="00455C07"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2CB35AEB" w14:textId="77777777" w:rsidR="00455C07" w:rsidRPr="00AA6517" w:rsidRDefault="00455C07" w:rsidP="00455C07">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A6517">
        <w:rPr>
          <w:rFonts w:ascii="Verdana" w:eastAsia="Times New Roman" w:hAnsi="Verdana" w:cs="Arial"/>
          <w:color w:val="000000"/>
          <w:sz w:val="20"/>
          <w:szCs w:val="20"/>
          <w:bdr w:val="none" w:sz="0" w:space="0" w:color="auto" w:frame="1"/>
          <w:shd w:val="clear" w:color="auto" w:fill="FFFFFF"/>
          <w:lang w:eastAsia="es-ES_tradnl"/>
        </w:rPr>
        <w:t>“EL E.C. establece que en el acta de liquidación del contrato podrán efectuarse las transacciones a las que hubiere lugar. Se trata de un mecanismo de solucionar eventuales conflictos de orden contractual, por esto, no se podrán incorporar reconocimientos que se han causado y que resulten ajenos a las obligaciones contractuales y legales. Aquellas actividades ejecutadas por el contratista que no se desprendan o se encuentren incorporadas en el contrato, no podrán ser reconocidas en el acta de liquidación. Esto no significa que a la entidad se le cierre la posibilidad de solucionar directamente el conflicto, pero, podrá precaverlo, suscribiendo un contrato de transacción con las formalidades establecidas en nuestro ordenamiento”</w:t>
      </w:r>
      <w:r w:rsidRPr="00AA6517">
        <w:rPr>
          <w:rStyle w:val="Refdenotaalpie"/>
          <w:rFonts w:ascii="Verdana" w:eastAsia="Times New Roman" w:hAnsi="Verdana" w:cs="Arial"/>
          <w:color w:val="000000"/>
          <w:sz w:val="20"/>
          <w:szCs w:val="20"/>
          <w:bdr w:val="none" w:sz="0" w:space="0" w:color="auto" w:frame="1"/>
          <w:shd w:val="clear" w:color="auto" w:fill="FFFFFF"/>
          <w:lang w:eastAsia="es-ES_tradnl"/>
        </w:rPr>
        <w:footnoteReference w:id="12"/>
      </w:r>
      <w:r w:rsidRPr="00AA6517">
        <w:rPr>
          <w:rFonts w:ascii="Verdana" w:eastAsia="Times New Roman" w:hAnsi="Verdana" w:cs="Arial"/>
          <w:color w:val="000000"/>
          <w:sz w:val="20"/>
          <w:szCs w:val="20"/>
          <w:bdr w:val="none" w:sz="0" w:space="0" w:color="auto" w:frame="1"/>
          <w:shd w:val="clear" w:color="auto" w:fill="FFFFFF"/>
          <w:lang w:eastAsia="es-ES_tradnl"/>
        </w:rPr>
        <w:t xml:space="preserve">.  </w:t>
      </w:r>
    </w:p>
    <w:p w14:paraId="77B3B68B"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446EF625" w14:textId="77777777" w:rsidR="00455C07" w:rsidRPr="00A04C35" w:rsidRDefault="00455C07" w:rsidP="00455C07">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r>
      <w:r w:rsidRPr="00A04C35">
        <w:rPr>
          <w:rFonts w:ascii="Verdana" w:eastAsia="Times New Roman" w:hAnsi="Verdana" w:cs="Arial"/>
          <w:i/>
          <w:iCs/>
          <w:color w:val="000000"/>
          <w:bdr w:val="none" w:sz="0" w:space="0" w:color="auto" w:frame="1"/>
          <w:shd w:val="clear" w:color="auto" w:fill="FFFFFF"/>
          <w:lang w:eastAsia="es-ES_tradnl"/>
        </w:rPr>
        <w:t>Excepcionalmente</w:t>
      </w:r>
      <w:r w:rsidRPr="00A04C35">
        <w:rPr>
          <w:rFonts w:ascii="Verdana" w:eastAsia="Times New Roman" w:hAnsi="Verdana" w:cs="Arial"/>
          <w:color w:val="000000"/>
          <w:bdr w:val="none" w:sz="0" w:space="0" w:color="auto" w:frame="1"/>
          <w:shd w:val="clear" w:color="auto" w:fill="FFFFFF"/>
          <w:lang w:eastAsia="es-ES_tradnl"/>
        </w:rPr>
        <w:t xml:space="preserve">, la jurisprudencia citada admitió la posibilidad de reconocer al contratista la ejecución de obras extras o adicionales en tres (3) eventos de interpretación restrictiva: i) cuando existe prueba fehaciente de que </w:t>
      </w:r>
      <w:r w:rsidRPr="00A04C35">
        <w:rPr>
          <w:rFonts w:ascii="Verdana" w:eastAsia="Times New Roman" w:hAnsi="Verdana" w:cs="Arial"/>
          <w:color w:val="000000"/>
          <w:bdr w:val="none" w:sz="0" w:space="0" w:color="auto" w:frame="1"/>
          <w:shd w:val="clear" w:color="auto" w:fill="FFFFFF"/>
          <w:lang w:eastAsia="es-ES_tradnl"/>
        </w:rPr>
        <w:lastRenderedPageBreak/>
        <w:t xml:space="preserve">la ejecución de obras o servicios extras o adicionales o el suministro de bienes, por fuera del objeto contractual, se haya realizado por la imposición de la entidad, en ejercicio de su autoridad; </w:t>
      </w:r>
      <w:proofErr w:type="spellStart"/>
      <w:r w:rsidRPr="00A04C35">
        <w:rPr>
          <w:rFonts w:ascii="Verdana" w:eastAsia="Times New Roman" w:hAnsi="Verdana" w:cs="Arial"/>
          <w:color w:val="000000"/>
          <w:bdr w:val="none" w:sz="0" w:space="0" w:color="auto" w:frame="1"/>
          <w:shd w:val="clear" w:color="auto" w:fill="FFFFFF"/>
          <w:lang w:eastAsia="es-ES_tradnl"/>
        </w:rPr>
        <w:t>ii</w:t>
      </w:r>
      <w:proofErr w:type="spellEnd"/>
      <w:r w:rsidRPr="00A04C35">
        <w:rPr>
          <w:rFonts w:ascii="Verdana" w:eastAsia="Times New Roman" w:hAnsi="Verdana" w:cs="Arial"/>
          <w:color w:val="000000"/>
          <w:bdr w:val="none" w:sz="0" w:space="0" w:color="auto" w:frame="1"/>
          <w:shd w:val="clear" w:color="auto" w:fill="FFFFFF"/>
          <w:lang w:eastAsia="es-ES_tradnl"/>
        </w:rPr>
        <w:t xml:space="preserve">) que fueran urgentes para evitar una lesión inminente e irreversible al derecho a la salud; y </w:t>
      </w:r>
      <w:proofErr w:type="spellStart"/>
      <w:r w:rsidRPr="00A04C35">
        <w:rPr>
          <w:rFonts w:ascii="Verdana" w:eastAsia="Times New Roman" w:hAnsi="Verdana" w:cs="Arial"/>
          <w:color w:val="000000"/>
          <w:bdr w:val="none" w:sz="0" w:space="0" w:color="auto" w:frame="1"/>
          <w:shd w:val="clear" w:color="auto" w:fill="FFFFFF"/>
          <w:lang w:eastAsia="es-ES_tradnl"/>
        </w:rPr>
        <w:t>iii</w:t>
      </w:r>
      <w:proofErr w:type="spellEnd"/>
      <w:r w:rsidRPr="00A04C35">
        <w:rPr>
          <w:rFonts w:ascii="Verdana" w:eastAsia="Times New Roman" w:hAnsi="Verdana" w:cs="Arial"/>
          <w:color w:val="000000"/>
          <w:bdr w:val="none" w:sz="0" w:space="0" w:color="auto" w:frame="1"/>
          <w:shd w:val="clear" w:color="auto" w:fill="FFFFFF"/>
          <w:lang w:eastAsia="es-ES_tradnl"/>
        </w:rPr>
        <w:t>) cuando se omite el decreto de la urgencia manifiesta y concurren las circunstancias para que ésta hubiera sido declarada</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3"/>
      </w:r>
      <w:r w:rsidRPr="00A04C35">
        <w:rPr>
          <w:rFonts w:ascii="Verdana" w:eastAsia="Times New Roman" w:hAnsi="Verdana" w:cs="Arial"/>
          <w:color w:val="000000"/>
          <w:bdr w:val="none" w:sz="0" w:space="0" w:color="auto" w:frame="1"/>
          <w:shd w:val="clear" w:color="auto" w:fill="FFFFFF"/>
          <w:lang w:eastAsia="es-ES_tradnl"/>
        </w:rPr>
        <w:t xml:space="preserve">.  </w:t>
      </w:r>
    </w:p>
    <w:p w14:paraId="6FE5C8D3"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t>En todo caso, esta postura jurisprudencial consolidada cambió con la Sentencia de Unificación del 31 de julio de 2025, en la que se expresó la compensación del enriquecimiento sin justa causa no está condicionado a la subsunción de ciertos hechos que se concuerdan con una lista de hipótesis fácticas previa y taxativamente definidas, sino que corresponde al juez, en virtud de los elementos sustantivos y la revisión el comportamiento de las partes, establecer la viabilidad de ordenar que haya una corrección al traslado patrimonial injustificado por bienes y obras no previstos en el contrato</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4"/>
      </w:r>
      <w:r w:rsidRPr="00A04C35">
        <w:rPr>
          <w:rFonts w:ascii="Verdana" w:eastAsia="Times New Roman" w:hAnsi="Verdana" w:cs="Arial"/>
          <w:color w:val="000000"/>
          <w:bdr w:val="none" w:sz="0" w:space="0" w:color="auto" w:frame="1"/>
          <w:shd w:val="clear" w:color="auto" w:fill="FFFFFF"/>
          <w:lang w:eastAsia="es-ES_tradnl"/>
        </w:rPr>
        <w:t xml:space="preserve">. Dicho reconocimiento está supeditado a que la parte interesada demuestre la concurrencia de los siguientes elementos: </w:t>
      </w:r>
    </w:p>
    <w:p w14:paraId="5D562942"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4D79A450" w14:textId="77777777" w:rsidR="00455C07" w:rsidRPr="00A04C35" w:rsidRDefault="00455C07" w:rsidP="00455C07">
      <w:pPr>
        <w:tabs>
          <w:tab w:val="left" w:pos="709"/>
        </w:tabs>
        <w:spacing w:after="0" w:line="240" w:lineRule="auto"/>
        <w:ind w:left="709" w:right="709"/>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sz w:val="20"/>
          <w:szCs w:val="20"/>
          <w:bdr w:val="none" w:sz="0" w:space="0" w:color="auto" w:frame="1"/>
          <w:shd w:val="clear" w:color="auto" w:fill="FFFFFF"/>
          <w:lang w:eastAsia="es-ES_tradnl"/>
        </w:rPr>
        <w:t>“Ese reconocimiento, además, está supeditado a que se reúnan los siguientes elementos: (i) la existencia de una ventaja patrimonial en beneficio de la entidad;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ii</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un empobrecimiento correlativo sufrido por el demandante, el cual pueda atribuirse al acrecimiento mencionado;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iii</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la ausencia de causa jurídica en el desequilibrio producido, en cuanto a que no haya sido generada por un hecho o un acto jurídico, como tampoco por una disposición expresa de la ley;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iv</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que el demandante carezca de cualquier otro mecanismo para reclamar la compensación, lo que pone en evidencia su subsidiariedad; y (v) la compensación no procede cuando con ella se pretende soslayar una disposición imperativa de la ley”</w:t>
      </w:r>
      <w:r w:rsidRPr="00A04C35">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5"/>
      </w:r>
      <w:r w:rsidRPr="00A04C35">
        <w:rPr>
          <w:rFonts w:ascii="Verdana" w:eastAsia="Times New Roman" w:hAnsi="Verdana" w:cs="Arial"/>
          <w:color w:val="000000"/>
          <w:sz w:val="20"/>
          <w:szCs w:val="20"/>
          <w:bdr w:val="none" w:sz="0" w:space="0" w:color="auto" w:frame="1"/>
          <w:shd w:val="clear" w:color="auto" w:fill="FFFFFF"/>
          <w:lang w:eastAsia="es-ES_tradnl"/>
        </w:rPr>
        <w:t>.</w:t>
      </w:r>
    </w:p>
    <w:p w14:paraId="4EA17B03"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23F8F5C9"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t xml:space="preserve">Teniendo en cuenta los elementos, debe tenerse en cuenta la prueba de la actividad, sumado a la circunstancia excepcional que se invoca. El Consejo de Estado estableció que esta regla sobre el reconocimiento económico debe aplicarse a partir de la ejecutoria de la nueva sentencia de unificación, en aquellas pretensiones de compensación por enriquecimiento sin causa, de forma que no podrá dejarse de conceder lo pedido por el solo hecho de que el caso no </w:t>
      </w:r>
      <w:r w:rsidRPr="00A04C35">
        <w:rPr>
          <w:rFonts w:ascii="Verdana" w:eastAsia="Times New Roman" w:hAnsi="Verdana" w:cs="Arial"/>
          <w:color w:val="000000"/>
          <w:bdr w:val="none" w:sz="0" w:space="0" w:color="auto" w:frame="1"/>
          <w:shd w:val="clear" w:color="auto" w:fill="FFFFFF"/>
          <w:lang w:eastAsia="es-ES_tradnl"/>
        </w:rPr>
        <w:lastRenderedPageBreak/>
        <w:t>se enmarque en los eventos indicados en la Sentencia del 19 de noviembre de 2012</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6"/>
      </w:r>
      <w:r w:rsidRPr="00A04C35">
        <w:rPr>
          <w:rFonts w:ascii="Verdana" w:eastAsia="Times New Roman" w:hAnsi="Verdana" w:cs="Arial"/>
          <w:color w:val="000000"/>
          <w:bdr w:val="none" w:sz="0" w:space="0" w:color="auto" w:frame="1"/>
          <w:shd w:val="clear" w:color="auto" w:fill="FFFFFF"/>
          <w:lang w:eastAsia="es-ES_tradnl"/>
        </w:rPr>
        <w:t xml:space="preserve">. De este modo, dicha Sentencia de Unificación expresa: </w:t>
      </w:r>
    </w:p>
    <w:p w14:paraId="20F9F5BD" w14:textId="77777777" w:rsidR="00455C07" w:rsidRPr="00A04C35" w:rsidRDefault="00455C07" w:rsidP="00455C07">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305525B5" w14:textId="77777777" w:rsidR="00455C07" w:rsidRPr="00A04C35" w:rsidRDefault="00455C07" w:rsidP="00455C07">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04C35">
        <w:rPr>
          <w:rFonts w:ascii="Verdana" w:eastAsia="Times New Roman" w:hAnsi="Verdana" w:cs="Arial"/>
          <w:color w:val="000000"/>
          <w:sz w:val="20"/>
          <w:szCs w:val="20"/>
          <w:bdr w:val="none" w:sz="0" w:space="0" w:color="auto" w:frame="1"/>
          <w:shd w:val="clear" w:color="auto" w:fill="FFFFFF"/>
          <w:lang w:eastAsia="es-ES_tradnl"/>
        </w:rPr>
        <w:t>“Sobre lo primero, en torno a la configuración y procedencia del enriquecimiento sin justa causa cuando se han ejecutado actividades sin el respaldo de un contrato, en favor de entidades que -en su gestión- deben aplicar el Estatuto General de Contratación Pública, se decantó que la respectiva pretensión de compensación, cuando se carezca de otro mecanismo para reclamar, debe cumplir los presupuestos procesales de la reparación directa (incluso cuando se ha celebrado un contrato cuyo objeto se haya agotado para el momento de la extinción del plazo previsto y ante el desarrollo de actividades con posterioridad a la finalización), sin que sea exigible haber provocado una decisión por parte de la administración y, al satisfacerse, debe ser tramitada, pese a que el demandante mencione otro medio o guarde silencio sobre su denominación. Su prosperidad es absolutamente excepcional, depende de la plena prueba de la actividad desarrollada, sustentada en la demostración de una circunstancia extraordinaria y en razones de interés general, sin que, al respecto, se preestablezcan hipótesis fácticas taxativas; pero, sí se debe supeditar a la existencia de una ventaja patrimonial en beneficio de la demandada, un empobrecimiento correlativo sufrido por el demandante, la ausencia de causa jurídica en el desequilibrio producido y que no se haya soslayado la ley. Cumplido lo anterior, procede corregir el traslado patrimonial injustificado, mas no indemnizar un daño, salvo que el menoscabo emane de una conducta constitutiva de responsabilidad extracontractual del Estado, como una coacción o constreñimiento, que realmente constituyen eventos de falla del servicio”</w:t>
      </w:r>
      <w:r w:rsidRPr="00A04C35">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7"/>
      </w:r>
      <w:r w:rsidRPr="00A04C35">
        <w:rPr>
          <w:rFonts w:ascii="Verdana" w:eastAsia="Times New Roman" w:hAnsi="Verdana" w:cs="Arial"/>
          <w:color w:val="000000"/>
          <w:sz w:val="20"/>
          <w:szCs w:val="20"/>
          <w:bdr w:val="none" w:sz="0" w:space="0" w:color="auto" w:frame="1"/>
          <w:shd w:val="clear" w:color="auto" w:fill="FFFFFF"/>
          <w:lang w:eastAsia="es-ES_tradnl"/>
        </w:rPr>
        <w:t>.</w:t>
      </w:r>
    </w:p>
    <w:p w14:paraId="4D94669F" w14:textId="77777777" w:rsidR="00455C07" w:rsidRPr="00A04C35" w:rsidRDefault="00455C07" w:rsidP="00455C07">
      <w:pPr>
        <w:tabs>
          <w:tab w:val="left" w:pos="709"/>
        </w:tabs>
        <w:spacing w:after="0" w:line="240" w:lineRule="auto"/>
        <w:jc w:val="both"/>
        <w:rPr>
          <w:rFonts w:ascii="Verdana" w:eastAsia="Times New Roman" w:hAnsi="Verdana" w:cs="Arial"/>
          <w:color w:val="000000"/>
          <w:bdr w:val="none" w:sz="0" w:space="0" w:color="auto" w:frame="1"/>
          <w:shd w:val="clear" w:color="auto" w:fill="FFFFFF"/>
          <w:lang w:eastAsia="es-ES_tradnl"/>
        </w:rPr>
      </w:pPr>
    </w:p>
    <w:p w14:paraId="5131C1BE" w14:textId="77777777" w:rsidR="00455C07" w:rsidRDefault="00455C07" w:rsidP="00455C07">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t xml:space="preserve">Conforme al artículo 10 de la Ley 1437 de 2011, “Al resolver los asuntos de su competencia, las autoridades aplicarán las disposiciones constitucionales, legales y reglamentarias de manera uniforme a situaciones que tengan los mismos supuestos fácticos y jurídicos. </w:t>
      </w:r>
      <w:r w:rsidRPr="00A04C35">
        <w:rPr>
          <w:rFonts w:ascii="Verdana" w:eastAsia="Times New Roman" w:hAnsi="Verdana" w:cs="Arial"/>
          <w:i/>
          <w:iCs/>
          <w:color w:val="000000"/>
          <w:bdr w:val="none" w:sz="0" w:space="0" w:color="auto" w:frame="1"/>
          <w:shd w:val="clear" w:color="auto" w:fill="FFFFFF"/>
          <w:lang w:eastAsia="es-ES_tradnl"/>
        </w:rPr>
        <w:t>Con este propósito, al adoptar las decisiones de su competencia, deberán tener en cuenta las sentencias de unificación jurisprudencial del Consejo de Estado en las que se interpreten y apliquen dichas normas</w:t>
      </w:r>
      <w:r w:rsidRPr="00A04C35">
        <w:rPr>
          <w:rFonts w:ascii="Verdana" w:eastAsia="Times New Roman" w:hAnsi="Verdana" w:cs="Arial"/>
          <w:color w:val="000000"/>
          <w:bdr w:val="none" w:sz="0" w:space="0" w:color="auto" w:frame="1"/>
          <w:shd w:val="clear" w:color="auto" w:fill="FFFFFF"/>
          <w:lang w:eastAsia="es-ES_tradnl"/>
        </w:rPr>
        <w:t xml:space="preserve">” (Énfasis fuera de texto). Por tanto, en la actualidad existe la posibilidad de reconocer en la liquidación actividades no incluidas o ítems no previstos dentro del contrato, pues no se limita a los supuestos planteados de la Sentencia de Unificación del 19 de noviembre de 2012, sino </w:t>
      </w:r>
      <w:r w:rsidRPr="00A04C35">
        <w:rPr>
          <w:rFonts w:ascii="Verdana" w:eastAsia="Times New Roman" w:hAnsi="Verdana" w:cs="Arial"/>
          <w:color w:val="000000"/>
          <w:bdr w:val="none" w:sz="0" w:space="0" w:color="auto" w:frame="1"/>
          <w:shd w:val="clear" w:color="auto" w:fill="FFFFFF"/>
          <w:lang w:eastAsia="es-ES_tradnl"/>
        </w:rPr>
        <w:lastRenderedPageBreak/>
        <w:t>que se configuren los elementos del enriquecimiento sin justa causa, la prueba de la actividad, sumado a la circunstancia excepcional que se invoca.</w:t>
      </w:r>
      <w:r>
        <w:rPr>
          <w:rFonts w:ascii="Verdana" w:eastAsia="Times New Roman" w:hAnsi="Verdana" w:cs="Arial"/>
          <w:color w:val="000000"/>
          <w:bdr w:val="none" w:sz="0" w:space="0" w:color="auto" w:frame="1"/>
          <w:shd w:val="clear" w:color="auto" w:fill="FFFFFF"/>
          <w:lang w:eastAsia="es-ES_tradnl"/>
        </w:rPr>
        <w:t xml:space="preserve">  </w:t>
      </w:r>
    </w:p>
    <w:p w14:paraId="7CE28A02" w14:textId="77777777" w:rsidR="00455C07" w:rsidRPr="006162A9" w:rsidRDefault="00455C07" w:rsidP="00455C07">
      <w:pPr>
        <w:widowControl w:val="0"/>
        <w:autoSpaceDE w:val="0"/>
        <w:autoSpaceDN w:val="0"/>
        <w:spacing w:after="0" w:line="276" w:lineRule="auto"/>
        <w:ind w:firstLine="708"/>
        <w:jc w:val="both"/>
        <w:rPr>
          <w:rFonts w:ascii="Verdana" w:hAnsi="Verdana"/>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los reconocimientos económicos derivados del desequilibrio en el contrato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1941FD">
        <w:rPr>
          <w:rStyle w:val="s15"/>
          <w:rFonts w:ascii="Verdana" w:hAnsi="Verdana"/>
          <w:color w:val="000000"/>
        </w:rPr>
        <w:t>Por lo anterior,</w:t>
      </w:r>
      <w:r>
        <w:rPr>
          <w:rStyle w:val="s15"/>
          <w:rFonts w:ascii="Verdana" w:hAnsi="Verdana"/>
          <w:color w:val="000000"/>
        </w:rPr>
        <w:t xml:space="preserve"> </w:t>
      </w:r>
      <w:r w:rsidRPr="001941FD">
        <w:rPr>
          <w:rStyle w:val="s15"/>
          <w:rFonts w:ascii="Verdana" w:hAnsi="Verdana"/>
          <w:color w:val="000000"/>
        </w:rPr>
        <w:t>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corresponde </w:t>
      </w:r>
      <w:r>
        <w:rPr>
          <w:rStyle w:val="s15"/>
          <w:rFonts w:ascii="Verdana" w:hAnsi="Verdana"/>
          <w:color w:val="000000"/>
        </w:rPr>
        <w:t>a las partes del contrato</w:t>
      </w:r>
      <w:r w:rsidRPr="001941FD">
        <w:rPr>
          <w:rStyle w:val="s15"/>
          <w:rFonts w:ascii="Verdana" w:hAnsi="Verdana"/>
          <w:color w:val="000000"/>
        </w:rPr>
        <w:t xml:space="preserve"> </w:t>
      </w:r>
      <w:r>
        <w:rPr>
          <w:rStyle w:val="s15"/>
          <w:rFonts w:ascii="Verdana" w:hAnsi="Verdana"/>
          <w:color w:val="000000"/>
        </w:rPr>
        <w:t xml:space="preserve">definir si determinados </w:t>
      </w:r>
      <w:r w:rsidRPr="0013555B">
        <w:rPr>
          <w:rStyle w:val="s15"/>
          <w:rFonts w:ascii="Verdana" w:hAnsi="Verdana"/>
          <w:i/>
          <w:iCs/>
          <w:color w:val="000000"/>
        </w:rPr>
        <w:t>ítems</w:t>
      </w:r>
      <w:r w:rsidRPr="0013555B">
        <w:rPr>
          <w:rStyle w:val="s15"/>
          <w:rFonts w:ascii="Verdana" w:hAnsi="Verdana"/>
          <w:color w:val="000000"/>
        </w:rPr>
        <w:t xml:space="preserve"> </w:t>
      </w:r>
      <w:r>
        <w:rPr>
          <w:rStyle w:val="s15"/>
          <w:rFonts w:ascii="Verdana" w:hAnsi="Verdana"/>
          <w:color w:val="000000"/>
        </w:rPr>
        <w:t xml:space="preserve">serán objeto de </w:t>
      </w:r>
      <w:r w:rsidRPr="0013555B">
        <w:rPr>
          <w:rStyle w:val="s15"/>
          <w:rFonts w:ascii="Verdana" w:hAnsi="Verdana"/>
          <w:color w:val="000000"/>
        </w:rPr>
        <w:t>adición presupuestal o deben ejecutar</w:t>
      </w:r>
      <w:r>
        <w:rPr>
          <w:rStyle w:val="s15"/>
          <w:rFonts w:ascii="Verdana" w:hAnsi="Verdana"/>
          <w:color w:val="000000"/>
        </w:rPr>
        <w:t>se</w:t>
      </w:r>
      <w:r w:rsidRPr="0013555B">
        <w:rPr>
          <w:rStyle w:val="s15"/>
          <w:rFonts w:ascii="Verdana" w:hAnsi="Verdana"/>
          <w:color w:val="000000"/>
        </w:rPr>
        <w:t xml:space="preserve"> con el valor inicialmente definido </w:t>
      </w:r>
      <w:r>
        <w:rPr>
          <w:rStyle w:val="s15"/>
          <w:rFonts w:ascii="Verdana" w:hAnsi="Verdana"/>
          <w:color w:val="000000"/>
        </w:rPr>
        <w:t>en los documentos del proceso; motivo por el cual,</w:t>
      </w:r>
      <w:r w:rsidRPr="001941FD">
        <w:rPr>
          <w:rStyle w:val="s15"/>
          <w:rFonts w:ascii="Verdana" w:hAnsi="Verdana"/>
          <w:color w:val="000000"/>
        </w:rPr>
        <w:t xml:space="preserve"> en caso de conflicto, </w:t>
      </w:r>
      <w:r>
        <w:rPr>
          <w:rStyle w:val="s15"/>
          <w:rFonts w:ascii="Verdana" w:hAnsi="Verdana"/>
          <w:color w:val="000000"/>
        </w:rPr>
        <w:t xml:space="preserve">intervendrán </w:t>
      </w:r>
      <w:r w:rsidRPr="001941FD">
        <w:rPr>
          <w:rStyle w:val="s15"/>
          <w:rFonts w:ascii="Verdana" w:hAnsi="Verdana"/>
          <w:color w:val="000000"/>
        </w:rPr>
        <w:t>las autoridades judiciales, fiscales y disciplinarias</w:t>
      </w:r>
      <w:r>
        <w:rPr>
          <w:rStyle w:val="s15"/>
          <w:rFonts w:ascii="Verdana" w:hAnsi="Verdana"/>
          <w:color w:val="000000"/>
        </w:rPr>
        <w:t>.</w:t>
      </w:r>
    </w:p>
    <w:p w14:paraId="19D575D3" w14:textId="77777777" w:rsidR="00455C07" w:rsidRPr="00301910" w:rsidRDefault="00455C07" w:rsidP="00455C07">
      <w:pPr>
        <w:spacing w:before="120" w:after="0" w:line="276" w:lineRule="auto"/>
        <w:ind w:firstLine="709"/>
        <w:jc w:val="both"/>
        <w:rPr>
          <w:rFonts w:ascii="Verdana" w:hAnsi="Verdana" w:cs="Arial"/>
          <w:lang w:eastAsia="es-ES"/>
        </w:rPr>
      </w:pPr>
      <w:r w:rsidRPr="00301910">
        <w:rPr>
          <w:rFonts w:ascii="Verdana" w:hAnsi="Verdana" w:cs="Arial"/>
          <w:lang w:eastAsia="es-ES"/>
        </w:rPr>
        <w:t xml:space="preserve">Dentro de este marco, </w:t>
      </w:r>
      <w:r>
        <w:rPr>
          <w:rFonts w:ascii="Verdana" w:hAnsi="Verdana" w:cs="Arial"/>
          <w:lang w:eastAsia="es-ES"/>
        </w:rPr>
        <w:t xml:space="preserve">de acuerdo con la distribución de los riesgos, </w:t>
      </w:r>
      <w:r w:rsidRPr="00301910">
        <w:rPr>
          <w:rFonts w:ascii="Verdana" w:hAnsi="Verdana" w:cs="Arial"/>
          <w:lang w:eastAsia="es-ES"/>
        </w:rPr>
        <w:t>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2D15E650" w14:textId="77777777" w:rsidR="00455C07" w:rsidRPr="00182C89" w:rsidRDefault="00455C07" w:rsidP="00455C07">
      <w:pPr>
        <w:tabs>
          <w:tab w:val="left" w:pos="709"/>
        </w:tabs>
        <w:spacing w:after="0" w:line="276" w:lineRule="auto"/>
        <w:jc w:val="both"/>
        <w:rPr>
          <w:rFonts w:ascii="Verdana" w:eastAsia="Calibri" w:hAnsi="Verdana" w:cs="Arial"/>
          <w:color w:val="000000" w:themeColor="text1"/>
        </w:rPr>
      </w:pPr>
    </w:p>
    <w:p w14:paraId="3C31498E" w14:textId="77777777" w:rsidR="00455C07" w:rsidRPr="00AE65D5" w:rsidRDefault="00455C07" w:rsidP="00455C0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9DF92CB" w14:textId="77777777" w:rsidR="00455C07" w:rsidRPr="00593A5F" w:rsidRDefault="00455C07" w:rsidP="00455C0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5C07" w:rsidRPr="002407CE" w14:paraId="5F649E02" w14:textId="77777777" w:rsidTr="00C15788">
        <w:trPr>
          <w:trHeight w:val="870"/>
          <w:jc w:val="center"/>
        </w:trPr>
        <w:tc>
          <w:tcPr>
            <w:tcW w:w="8647" w:type="dxa"/>
          </w:tcPr>
          <w:p w14:paraId="210F5728" w14:textId="77777777" w:rsidR="00455C07" w:rsidRDefault="00455C07" w:rsidP="00C1578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 4, 5, 13, 14, 27, 32, 39, 40, 41 y 60.</w:t>
            </w:r>
          </w:p>
          <w:p w14:paraId="648F521A" w14:textId="77777777" w:rsidR="00455C07" w:rsidRDefault="00455C07" w:rsidP="00C1578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10.</w:t>
            </w:r>
          </w:p>
          <w:p w14:paraId="694D8E9A" w14:textId="77777777" w:rsidR="00455C07" w:rsidRPr="00AE65D5" w:rsidRDefault="00455C07" w:rsidP="00C1578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1602.</w:t>
            </w:r>
          </w:p>
        </w:tc>
      </w:tr>
    </w:tbl>
    <w:p w14:paraId="320E9A6E" w14:textId="77777777" w:rsidR="00455C07" w:rsidRPr="002407CE" w:rsidRDefault="00455C07" w:rsidP="00455C07">
      <w:pPr>
        <w:widowControl w:val="0"/>
        <w:autoSpaceDE w:val="0"/>
        <w:autoSpaceDN w:val="0"/>
        <w:spacing w:after="0" w:line="276" w:lineRule="auto"/>
        <w:jc w:val="both"/>
        <w:rPr>
          <w:rFonts w:ascii="Verdana" w:hAnsi="Verdana" w:cs="Arial"/>
        </w:rPr>
      </w:pPr>
    </w:p>
    <w:p w14:paraId="7547306B" w14:textId="77777777" w:rsidR="00455C07" w:rsidRPr="00593A5F" w:rsidRDefault="00455C07" w:rsidP="00455C0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7197D7E" w14:textId="77777777" w:rsidR="00455C07" w:rsidRPr="00593A5F" w:rsidRDefault="00455C07" w:rsidP="00455C07">
      <w:pPr>
        <w:widowControl w:val="0"/>
        <w:autoSpaceDE w:val="0"/>
        <w:autoSpaceDN w:val="0"/>
        <w:spacing w:after="0" w:line="276" w:lineRule="auto"/>
        <w:jc w:val="both"/>
        <w:rPr>
          <w:rFonts w:ascii="Verdana" w:hAnsi="Verdana" w:cs="Arial"/>
        </w:rPr>
      </w:pPr>
    </w:p>
    <w:p w14:paraId="37F037F2" w14:textId="77777777" w:rsidR="00455C07" w:rsidRPr="007E4299" w:rsidRDefault="00455C07" w:rsidP="00455C07">
      <w:pPr>
        <w:widowControl w:val="0"/>
        <w:autoSpaceDE w:val="0"/>
        <w:autoSpaceDN w:val="0"/>
        <w:spacing w:after="0" w:line="276" w:lineRule="auto"/>
        <w:jc w:val="both"/>
        <w:rPr>
          <w:rStyle w:val="normaltextrun"/>
          <w:rFonts w:ascii="Verdana" w:hAnsi="Verdana"/>
        </w:rPr>
      </w:pPr>
      <w:r w:rsidRPr="00DA1FE4">
        <w:rPr>
          <w:rFonts w:ascii="Verdana" w:eastAsia="Calibri" w:hAnsi="Verdana" w:cs="Arial"/>
          <w:shd w:val="clear" w:color="auto" w:fill="FFFFFF"/>
        </w:rPr>
        <w:t xml:space="preserve">La Agencia Nacional de Contratación Pública – Colombia Compra Eficiente se pronunció sobre </w:t>
      </w:r>
      <w:r>
        <w:rPr>
          <w:rFonts w:ascii="Verdana" w:eastAsia="Calibri" w:hAnsi="Verdana" w:cs="Arial"/>
          <w:shd w:val="clear" w:color="auto" w:fill="FFFFFF"/>
        </w:rPr>
        <w:t>el equilibrio económico del contrato estatal en los Conceptos C-</w:t>
      </w:r>
      <w:r>
        <w:rPr>
          <w:rFonts w:ascii="Verdana" w:eastAsia="Calibri" w:hAnsi="Verdana" w:cs="Arial"/>
          <w:shd w:val="clear" w:color="auto" w:fill="FFFFFF"/>
        </w:rPr>
        <w:lastRenderedPageBreak/>
        <w:t xml:space="preserve">938 del 27 de diciembre de 2022, C-774 del 20 de noviembre de 2024, C-565 del 10 de junio de 2025, C-1029 del 31 de julio de 2025, C-1035 del 8 de septiembre de 2025 y C-1429 del 21 de octubre de 2025.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59F0B58" w14:textId="77777777" w:rsidR="00455C07" w:rsidRPr="00096788" w:rsidRDefault="00455C07" w:rsidP="00455C07">
      <w:pPr>
        <w:widowControl w:val="0"/>
        <w:autoSpaceDE w:val="0"/>
        <w:autoSpaceDN w:val="0"/>
        <w:spacing w:after="0" w:line="276" w:lineRule="auto"/>
        <w:jc w:val="both"/>
        <w:rPr>
          <w:rFonts w:ascii="Verdana" w:hAnsi="Verdana" w:cs="Arial"/>
          <w:color w:val="000000" w:themeColor="text1"/>
          <w:shd w:val="clear" w:color="auto" w:fill="FFFFFF"/>
        </w:rPr>
      </w:pPr>
    </w:p>
    <w:p w14:paraId="1182ECF0" w14:textId="77777777" w:rsidR="00455C07" w:rsidRPr="001205D1" w:rsidRDefault="00455C07" w:rsidP="00455C07">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66C86EFA" w14:textId="77777777" w:rsidR="00455C07" w:rsidRPr="009C4035" w:rsidRDefault="00455C07" w:rsidP="00455C07">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2566B13" w14:textId="77777777" w:rsidR="00455C07" w:rsidRPr="00593A5F" w:rsidRDefault="00455C07" w:rsidP="00455C0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8569437" w14:textId="77777777" w:rsidR="00455C07" w:rsidRPr="00593A5F" w:rsidRDefault="00455C07" w:rsidP="00455C07">
      <w:pPr>
        <w:widowControl w:val="0"/>
        <w:autoSpaceDE w:val="0"/>
        <w:autoSpaceDN w:val="0"/>
        <w:spacing w:after="0" w:line="276" w:lineRule="auto"/>
        <w:jc w:val="both"/>
        <w:rPr>
          <w:rFonts w:ascii="Verdana" w:hAnsi="Verdana" w:cs="Arial"/>
        </w:rPr>
      </w:pPr>
    </w:p>
    <w:p w14:paraId="6C80D36D" w14:textId="77777777" w:rsidR="00455C07" w:rsidRPr="00593A5F" w:rsidRDefault="00455C07" w:rsidP="00455C0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53BE773" w14:textId="13A5732B" w:rsidR="00455C07" w:rsidRPr="00593A5F" w:rsidRDefault="00215CE1" w:rsidP="00455C07">
      <w:pPr>
        <w:spacing w:line="276" w:lineRule="auto"/>
        <w:jc w:val="center"/>
        <w:rPr>
          <w:rFonts w:ascii="Verdana" w:hAnsi="Verdana" w:cs="Arial"/>
          <w:color w:val="000000"/>
          <w:lang w:val="es-ES_tradnl" w:eastAsia="es-CO"/>
        </w:rPr>
      </w:pPr>
      <w:r>
        <w:rPr>
          <w:noProof/>
        </w:rPr>
        <w:drawing>
          <wp:inline distT="0" distB="0" distL="0" distR="0" wp14:anchorId="4D3FF1F1" wp14:editId="29318E2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55C07" w:rsidRPr="00593A5F" w14:paraId="001468E7" w14:textId="77777777" w:rsidTr="00C15788">
        <w:trPr>
          <w:trHeight w:val="315"/>
        </w:trPr>
        <w:tc>
          <w:tcPr>
            <w:tcW w:w="893" w:type="dxa"/>
            <w:vAlign w:val="center"/>
            <w:hideMark/>
          </w:tcPr>
          <w:p w14:paraId="062ADB02" w14:textId="77777777" w:rsidR="00455C07" w:rsidRPr="003751C7" w:rsidRDefault="00455C07" w:rsidP="00C1578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5207FFE" w14:textId="77777777" w:rsidR="00455C07" w:rsidRPr="00254A7A" w:rsidRDefault="00455C07" w:rsidP="00C1578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ADB09D1" w14:textId="77777777" w:rsidR="00455C07" w:rsidRPr="00254A7A" w:rsidRDefault="00455C07" w:rsidP="00C1578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55C07" w:rsidRPr="00593A5F" w14:paraId="0EF60D6F" w14:textId="77777777" w:rsidTr="00C15788">
        <w:trPr>
          <w:trHeight w:val="330"/>
        </w:trPr>
        <w:tc>
          <w:tcPr>
            <w:tcW w:w="893" w:type="dxa"/>
            <w:vAlign w:val="center"/>
            <w:hideMark/>
          </w:tcPr>
          <w:p w14:paraId="2A090E75" w14:textId="77777777" w:rsidR="00455C07" w:rsidRPr="003751C7" w:rsidRDefault="00455C07" w:rsidP="00C1578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7C5C3F" w14:textId="77777777" w:rsidR="00455C07" w:rsidRPr="001B6B73" w:rsidRDefault="00455C07" w:rsidP="00C15788">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5EBB7C7" w14:textId="77777777" w:rsidR="00455C07" w:rsidRPr="00254A7A" w:rsidRDefault="00455C07" w:rsidP="00C15788">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455C07" w:rsidRPr="00593A5F" w14:paraId="24C85FF8" w14:textId="77777777" w:rsidTr="00C15788">
        <w:trPr>
          <w:trHeight w:val="300"/>
        </w:trPr>
        <w:tc>
          <w:tcPr>
            <w:tcW w:w="893" w:type="dxa"/>
            <w:vAlign w:val="center"/>
          </w:tcPr>
          <w:p w14:paraId="106E2163" w14:textId="77777777" w:rsidR="00455C07" w:rsidRPr="003751C7" w:rsidRDefault="00455C07" w:rsidP="00C1578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C038012" w14:textId="77777777" w:rsidR="00455C07" w:rsidRPr="001133D2" w:rsidRDefault="00455C07" w:rsidP="00C15788">
            <w:pPr>
              <w:contextualSpacing/>
              <w:rPr>
                <w:rFonts w:ascii="Verdana" w:eastAsia="Calibri" w:hAnsi="Verdana" w:cs="Arial"/>
                <w:sz w:val="16"/>
                <w:szCs w:val="16"/>
                <w:lang w:val="es-ES" w:eastAsia="es-ES"/>
              </w:rPr>
            </w:pPr>
            <w:r w:rsidRPr="2021F763">
              <w:rPr>
                <w:rFonts w:ascii="Verdana" w:eastAsia="Calibri" w:hAnsi="Verdana" w:cs="Arial"/>
                <w:sz w:val="16"/>
                <w:szCs w:val="16"/>
                <w:lang w:val="es-ES" w:eastAsia="es-ES"/>
              </w:rPr>
              <w:t xml:space="preserve">Carolina Quintero </w:t>
            </w:r>
            <w:proofErr w:type="spellStart"/>
            <w:r w:rsidRPr="2021F763">
              <w:rPr>
                <w:rFonts w:ascii="Verdana" w:eastAsia="Calibri" w:hAnsi="Verdana" w:cs="Arial"/>
                <w:sz w:val="16"/>
                <w:szCs w:val="16"/>
                <w:lang w:val="es-ES" w:eastAsia="es-ES"/>
              </w:rPr>
              <w:t>Gacharná</w:t>
            </w:r>
            <w:proofErr w:type="spellEnd"/>
          </w:p>
          <w:p w14:paraId="5D5519B7" w14:textId="77777777" w:rsidR="00455C07" w:rsidRPr="003751C7" w:rsidRDefault="00455C07" w:rsidP="00C15788">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lastRenderedPageBreak/>
              <w:t>Subdirectora de Gestión Contractual ANCP – CCE</w:t>
            </w:r>
          </w:p>
        </w:tc>
      </w:tr>
    </w:tbl>
    <w:p w14:paraId="36166272" w14:textId="77777777" w:rsidR="00455C07" w:rsidRPr="00543BFE" w:rsidRDefault="00455C07" w:rsidP="00455C07"/>
    <w:p w14:paraId="13CB6F7B" w14:textId="77777777" w:rsidR="00455C07" w:rsidRPr="00543BFE" w:rsidRDefault="00455C07" w:rsidP="00455C07"/>
    <w:p w14:paraId="0F293BF4" w14:textId="6FDFFB89" w:rsidR="00127233" w:rsidRPr="00455C07" w:rsidRDefault="00127233" w:rsidP="00455C07"/>
    <w:sectPr w:rsidR="00127233" w:rsidRPr="00455C0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580A" w14:textId="77777777" w:rsidR="00C3730D" w:rsidRDefault="00C3730D" w:rsidP="004A1847">
      <w:pPr>
        <w:spacing w:after="0" w:line="240" w:lineRule="auto"/>
      </w:pPr>
      <w:r>
        <w:separator/>
      </w:r>
    </w:p>
  </w:endnote>
  <w:endnote w:type="continuationSeparator" w:id="0">
    <w:p w14:paraId="3E353F69" w14:textId="77777777" w:rsidR="00C3730D" w:rsidRDefault="00C3730D" w:rsidP="004A1847">
      <w:pPr>
        <w:spacing w:after="0" w:line="240" w:lineRule="auto"/>
      </w:pPr>
      <w:r>
        <w:continuationSeparator/>
      </w:r>
    </w:p>
  </w:endnote>
  <w:endnote w:type="continuationNotice" w:id="1">
    <w:p w14:paraId="5874CAB4" w14:textId="77777777" w:rsidR="00C3730D" w:rsidRDefault="00C37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C7FCC" w14:textId="77777777" w:rsidR="00C3730D" w:rsidRDefault="00C3730D" w:rsidP="004A1847">
      <w:pPr>
        <w:spacing w:after="0" w:line="240" w:lineRule="auto"/>
      </w:pPr>
      <w:r>
        <w:separator/>
      </w:r>
    </w:p>
  </w:footnote>
  <w:footnote w:type="continuationSeparator" w:id="0">
    <w:p w14:paraId="4A4D78BF" w14:textId="77777777" w:rsidR="00C3730D" w:rsidRDefault="00C3730D" w:rsidP="004A1847">
      <w:pPr>
        <w:spacing w:after="0" w:line="240" w:lineRule="auto"/>
      </w:pPr>
      <w:r>
        <w:continuationSeparator/>
      </w:r>
    </w:p>
  </w:footnote>
  <w:footnote w:type="continuationNotice" w:id="1">
    <w:p w14:paraId="32C3E184" w14:textId="77777777" w:rsidR="00C3730D" w:rsidRDefault="00C3730D">
      <w:pPr>
        <w:spacing w:after="0" w:line="240" w:lineRule="auto"/>
      </w:pPr>
    </w:p>
  </w:footnote>
  <w:footnote w:id="2">
    <w:p w14:paraId="7A68EC31" w14:textId="77777777" w:rsidR="00455C07" w:rsidRPr="00210C7D" w:rsidRDefault="00455C07" w:rsidP="00455C07">
      <w:pPr>
        <w:pStyle w:val="Textonotapie"/>
        <w:ind w:firstLine="709"/>
        <w:jc w:val="both"/>
        <w:rPr>
          <w:rFonts w:ascii="Verdana" w:hAnsi="Verdana" w:cs="Arial"/>
          <w:color w:val="000000" w:themeColor="text1"/>
          <w:sz w:val="16"/>
          <w:szCs w:val="16"/>
        </w:rPr>
      </w:pPr>
      <w:r w:rsidRPr="00210C7D">
        <w:rPr>
          <w:rStyle w:val="Refdenotaalpie"/>
          <w:rFonts w:ascii="Verdana" w:hAnsi="Verdana" w:cs="Arial"/>
          <w:sz w:val="16"/>
          <w:szCs w:val="16"/>
        </w:rPr>
        <w:footnoteRef/>
      </w:r>
      <w:r w:rsidRPr="00210C7D">
        <w:rPr>
          <w:rFonts w:ascii="Verdana" w:hAnsi="Verdana" w:cs="Arial"/>
          <w:sz w:val="16"/>
          <w:szCs w:val="16"/>
        </w:rPr>
        <w:t xml:space="preserve"> </w:t>
      </w:r>
      <w:r w:rsidRPr="00210C7D">
        <w:rPr>
          <w:rFonts w:ascii="Verdana" w:hAnsi="Verdana" w:cs="Arial"/>
          <w:color w:val="000000" w:themeColor="text1"/>
          <w:sz w:val="16"/>
          <w:szCs w:val="16"/>
        </w:rPr>
        <w:t xml:space="preserve">Consejo de Estado. Sentencia del 28 de junio de 2012. Rad. Nro. 21990. C.P: Ruth Stella Correa Palacio. </w:t>
      </w:r>
    </w:p>
  </w:footnote>
  <w:footnote w:id="3">
    <w:p w14:paraId="2639FCB4" w14:textId="77777777" w:rsidR="00455C07" w:rsidRPr="00210C7D" w:rsidRDefault="00455C07" w:rsidP="00455C07">
      <w:pPr>
        <w:pStyle w:val="Textonotapie"/>
        <w:ind w:firstLine="709"/>
        <w:jc w:val="both"/>
        <w:rPr>
          <w:rFonts w:ascii="Verdana" w:hAnsi="Verdana" w:cs="Arial"/>
          <w:iCs/>
          <w:sz w:val="16"/>
          <w:szCs w:val="16"/>
        </w:rPr>
      </w:pPr>
      <w:r w:rsidRPr="00210C7D">
        <w:rPr>
          <w:rStyle w:val="Refdenotaalpie"/>
          <w:rFonts w:ascii="Verdana" w:hAnsi="Verdana" w:cs="Arial"/>
          <w:sz w:val="16"/>
          <w:szCs w:val="16"/>
        </w:rPr>
        <w:footnoteRef/>
      </w:r>
      <w:r w:rsidRPr="00210C7D">
        <w:rPr>
          <w:rFonts w:ascii="Verdana" w:hAnsi="Verdana" w:cs="Arial"/>
          <w:sz w:val="16"/>
          <w:szCs w:val="16"/>
        </w:rPr>
        <w:t xml:space="preserve"> </w:t>
      </w:r>
      <w:r w:rsidRPr="00210C7D">
        <w:rPr>
          <w:rFonts w:ascii="Verdana" w:hAnsi="Verdana" w:cs="Arial"/>
          <w:iCs/>
          <w:sz w:val="16"/>
          <w:szCs w:val="16"/>
          <w:lang w:val="es-CO"/>
        </w:rPr>
        <w:t xml:space="preserve">IBAÑEZ NAJAR, Jorge Enrique. </w:t>
      </w:r>
      <w:r w:rsidRPr="00210C7D">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210C7D">
        <w:rPr>
          <w:rFonts w:ascii="Verdana" w:hAnsi="Verdana" w:cs="Arial"/>
          <w:iCs/>
          <w:sz w:val="16"/>
          <w:szCs w:val="16"/>
          <w:lang w:val="es-CO"/>
        </w:rPr>
        <w:t>y la jurisprudencia. En: PALACIO JARAMILLO, María Teresa (editora académica). Contratos Estatales. Tomo II. 2022. Bogotá: Universidad del Rosario. P. 630</w:t>
      </w:r>
    </w:p>
  </w:footnote>
  <w:footnote w:id="4">
    <w:p w14:paraId="19A04442" w14:textId="77777777" w:rsidR="00455C07" w:rsidRPr="000E4887" w:rsidRDefault="00455C07" w:rsidP="00455C07">
      <w:pPr>
        <w:pStyle w:val="Textonotapie"/>
        <w:ind w:firstLine="708"/>
        <w:jc w:val="both"/>
        <w:rPr>
          <w:rFonts w:ascii="Verdana" w:hAnsi="Verdana"/>
          <w:sz w:val="16"/>
          <w:szCs w:val="16"/>
          <w:lang w:val="es-CO"/>
        </w:rPr>
      </w:pPr>
      <w:r w:rsidRPr="000E4887">
        <w:rPr>
          <w:rStyle w:val="Refdenotaalpie"/>
          <w:rFonts w:ascii="Verdana" w:hAnsi="Verdana"/>
          <w:sz w:val="16"/>
          <w:szCs w:val="16"/>
        </w:rPr>
        <w:footnoteRef/>
      </w:r>
      <w:r w:rsidRPr="000E4887">
        <w:rPr>
          <w:rFonts w:ascii="Verdana" w:hAnsi="Verdana"/>
          <w:sz w:val="16"/>
          <w:szCs w:val="16"/>
        </w:rPr>
        <w:t xml:space="preserve"> </w:t>
      </w:r>
      <w:r>
        <w:rPr>
          <w:rFonts w:ascii="Verdana" w:hAnsi="Verdana"/>
          <w:sz w:val="16"/>
          <w:szCs w:val="16"/>
        </w:rPr>
        <w:t xml:space="preserve">CONSEJO DE ESTADO. Sección Tercera. Subsección C. Sentencia del 20 de abril de 2022. Exp. </w:t>
      </w:r>
      <w:r w:rsidRPr="000E4887">
        <w:rPr>
          <w:rFonts w:ascii="Verdana" w:hAnsi="Verdana"/>
          <w:sz w:val="16"/>
          <w:szCs w:val="16"/>
        </w:rPr>
        <w:t>56508</w:t>
      </w:r>
      <w:r>
        <w:rPr>
          <w:rFonts w:ascii="Verdana" w:hAnsi="Verdana"/>
          <w:sz w:val="16"/>
          <w:szCs w:val="16"/>
        </w:rPr>
        <w:t xml:space="preserve">. C.P. </w:t>
      </w:r>
      <w:r w:rsidRPr="000E4887">
        <w:rPr>
          <w:rFonts w:ascii="Verdana" w:hAnsi="Verdana"/>
          <w:sz w:val="16"/>
          <w:szCs w:val="16"/>
        </w:rPr>
        <w:t>Nicolás Yepes Corrales</w:t>
      </w:r>
      <w:r>
        <w:rPr>
          <w:rFonts w:ascii="Verdana" w:hAnsi="Verdana"/>
          <w:sz w:val="16"/>
          <w:szCs w:val="16"/>
        </w:rPr>
        <w:t>.</w:t>
      </w:r>
    </w:p>
  </w:footnote>
  <w:footnote w:id="5">
    <w:p w14:paraId="34675AAA" w14:textId="77777777" w:rsidR="00455C07" w:rsidRPr="00210C7D" w:rsidRDefault="00455C07" w:rsidP="00455C07">
      <w:pPr>
        <w:pStyle w:val="Textonotapie"/>
        <w:ind w:firstLine="709"/>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Consejo de Estado. Sección Tercera. Sentencia del 31 de agosto de 2011. Exp. 18.080. CP.: Ruth Stella Correa Palacio. Reiterada en </w:t>
      </w:r>
      <w:r w:rsidRPr="00210C7D">
        <w:rPr>
          <w:rFonts w:ascii="Verdana" w:hAnsi="Verdana" w:cs="Arial"/>
          <w:sz w:val="16"/>
          <w:szCs w:val="16"/>
          <w:lang w:val="es-CO"/>
        </w:rPr>
        <w:t xml:space="preserve">Sentencia del 8 de febrero de 2012. Exp. 20344. </w:t>
      </w:r>
      <w:r w:rsidRPr="00210C7D">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6">
    <w:p w14:paraId="7C0DF88E" w14:textId="77777777" w:rsidR="00455C07" w:rsidRPr="00210C7D" w:rsidRDefault="00455C07" w:rsidP="00455C07">
      <w:pPr>
        <w:pStyle w:val="Textonotapie"/>
        <w:ind w:firstLine="708"/>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Consejo de Estado. Sección Tercera. Sentencia del 29 de enero de 2018. Exp. 52.666 CP.: Jaime Orlando Santofimio Gamboa.</w:t>
      </w:r>
    </w:p>
  </w:footnote>
  <w:footnote w:id="7">
    <w:p w14:paraId="3F0566C2" w14:textId="77777777" w:rsidR="00455C07" w:rsidRPr="00210C7D" w:rsidRDefault="00455C07" w:rsidP="00455C07">
      <w:pPr>
        <w:pStyle w:val="Textonotapie"/>
        <w:ind w:firstLine="708"/>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Ibidem </w:t>
      </w:r>
    </w:p>
  </w:footnote>
  <w:footnote w:id="8">
    <w:p w14:paraId="4D43EE07" w14:textId="77777777" w:rsidR="00455C07" w:rsidRPr="00210C7D" w:rsidRDefault="00455C07" w:rsidP="00455C07">
      <w:pPr>
        <w:pStyle w:val="Textonotapie"/>
        <w:ind w:firstLine="708"/>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Consejo de Estado. Sección Tercera.</w:t>
      </w:r>
      <w:r w:rsidRPr="00210C7D">
        <w:rPr>
          <w:rFonts w:ascii="Verdana" w:hAnsi="Verdana" w:cs="Arial"/>
          <w:sz w:val="16"/>
          <w:szCs w:val="16"/>
          <w:lang w:val="es-CO"/>
        </w:rPr>
        <w:t xml:space="preserve"> Subsección A.</w:t>
      </w:r>
      <w:r w:rsidRPr="00210C7D">
        <w:rPr>
          <w:rFonts w:ascii="Verdana" w:hAnsi="Verdana" w:cs="Arial"/>
          <w:sz w:val="16"/>
          <w:szCs w:val="16"/>
        </w:rPr>
        <w:t xml:space="preserve"> Sentencia del 6 de julio de 2022. Exp. 54.319 CP.: María Adriana Marín. Ver también: </w:t>
      </w:r>
      <w:r w:rsidRPr="00210C7D">
        <w:rPr>
          <w:rFonts w:ascii="Verdana" w:hAnsi="Verdana" w:cs="Arial"/>
          <w:sz w:val="16"/>
          <w:szCs w:val="16"/>
          <w:lang w:val="es-CO"/>
        </w:rPr>
        <w:t>Consejo de Estado. Sección Tercera. Subsección A. Sentencia del 3 de junio de 2022. Exp. 53299. C.P.: José Roberto Sáchica Méndez</w:t>
      </w:r>
    </w:p>
  </w:footnote>
  <w:footnote w:id="9">
    <w:p w14:paraId="420F5C4F" w14:textId="77777777" w:rsidR="00455C07" w:rsidRPr="00210C7D" w:rsidRDefault="00455C07" w:rsidP="00455C07">
      <w:pPr>
        <w:pStyle w:val="Textonotapie"/>
        <w:ind w:firstLine="709"/>
        <w:jc w:val="both"/>
        <w:rPr>
          <w:rFonts w:ascii="Verdana" w:hAnsi="Verdana" w:cs="Arial"/>
          <w:sz w:val="16"/>
          <w:szCs w:val="16"/>
          <w:lang w:bidi="es-ES"/>
        </w:rPr>
      </w:pPr>
      <w:r w:rsidRPr="00210C7D">
        <w:rPr>
          <w:rStyle w:val="Refdenotaalpie"/>
          <w:rFonts w:ascii="Verdana" w:hAnsi="Verdana" w:cs="Arial"/>
          <w:sz w:val="16"/>
          <w:szCs w:val="16"/>
        </w:rPr>
        <w:footnoteRef/>
      </w:r>
      <w:r w:rsidRPr="00210C7D">
        <w:rPr>
          <w:rFonts w:ascii="Verdana" w:hAnsi="Verdana" w:cs="Arial"/>
          <w:sz w:val="16"/>
          <w:szCs w:val="16"/>
        </w:rPr>
        <w:t xml:space="preserve"> </w:t>
      </w:r>
      <w:r w:rsidRPr="00210C7D">
        <w:rPr>
          <w:rFonts w:ascii="Verdana" w:hAnsi="Verdana" w:cs="Arial"/>
          <w:sz w:val="16"/>
          <w:szCs w:val="16"/>
          <w:lang w:bidi="es-ES"/>
        </w:rPr>
        <w:t xml:space="preserve">Corte Constitucional. Sentencia C-416 de 2012. </w:t>
      </w:r>
    </w:p>
  </w:footnote>
  <w:footnote w:id="10">
    <w:p w14:paraId="62550D67" w14:textId="77777777" w:rsidR="00455C07" w:rsidRPr="00210C7D" w:rsidRDefault="00455C07" w:rsidP="00455C07">
      <w:pPr>
        <w:pStyle w:val="Textonotapie"/>
        <w:ind w:firstLine="709"/>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EXPÓSITO VÉLEZ, Juan Carlos. </w:t>
      </w:r>
      <w:r w:rsidRPr="00210C7D">
        <w:rPr>
          <w:rFonts w:ascii="Verdana" w:hAnsi="Verdana" w:cs="Arial"/>
          <w:sz w:val="16"/>
          <w:szCs w:val="16"/>
          <w:lang w:val="es-CO"/>
        </w:rPr>
        <w:t xml:space="preserve">Formas, formalidades y contenido del contrato estatal. Serie de derecho administrativo Nro. 34. Universidad Externado de Colombia. 2020. </w:t>
      </w:r>
    </w:p>
  </w:footnote>
  <w:footnote w:id="11">
    <w:p w14:paraId="73F005ED" w14:textId="77777777" w:rsidR="00455C07" w:rsidRPr="00210C7D" w:rsidRDefault="00455C07" w:rsidP="00455C07">
      <w:pPr>
        <w:pStyle w:val="Textonotapie"/>
        <w:ind w:firstLine="708"/>
        <w:jc w:val="both"/>
        <w:rPr>
          <w:rFonts w:ascii="Verdana" w:hAnsi="Verdana"/>
          <w:sz w:val="16"/>
          <w:szCs w:val="16"/>
          <w:lang w:val="es-CO"/>
        </w:rPr>
      </w:pPr>
      <w:r w:rsidRPr="00210C7D">
        <w:rPr>
          <w:rStyle w:val="Refdenotaalpie"/>
          <w:rFonts w:ascii="Verdana" w:hAnsi="Verdana"/>
          <w:sz w:val="16"/>
          <w:szCs w:val="16"/>
        </w:rPr>
        <w:footnoteRef/>
      </w:r>
      <w:r w:rsidRPr="00210C7D">
        <w:rPr>
          <w:rFonts w:ascii="Verdana" w:hAnsi="Verdana"/>
          <w:sz w:val="16"/>
          <w:szCs w:val="16"/>
        </w:rPr>
        <w:t xml:space="preserve"> SANTOFIMIO GAMBOA, Jaime Orlando. Tratado de derecho administrativo: contratación indebida. Tomo IV. Bogotá: Universidad Externado de Colombia, 2004. pp. 388-389.</w:t>
      </w:r>
    </w:p>
  </w:footnote>
  <w:footnote w:id="12">
    <w:p w14:paraId="5A20494F" w14:textId="77777777" w:rsidR="00455C07" w:rsidRPr="00210C7D" w:rsidRDefault="00455C07" w:rsidP="00455C07">
      <w:pPr>
        <w:pStyle w:val="Textonotapie"/>
        <w:ind w:firstLine="708"/>
        <w:jc w:val="both"/>
        <w:rPr>
          <w:rFonts w:ascii="Verdana" w:hAnsi="Verdana"/>
          <w:sz w:val="16"/>
          <w:szCs w:val="16"/>
          <w:lang w:val="es-CO"/>
        </w:rPr>
      </w:pPr>
      <w:r w:rsidRPr="00210C7D">
        <w:rPr>
          <w:rStyle w:val="Refdenotaalpie"/>
          <w:rFonts w:ascii="Verdana" w:hAnsi="Verdana"/>
          <w:sz w:val="16"/>
          <w:szCs w:val="16"/>
        </w:rPr>
        <w:footnoteRef/>
      </w:r>
      <w:r w:rsidRPr="00210C7D">
        <w:rPr>
          <w:rFonts w:ascii="Verdana" w:hAnsi="Verdana"/>
          <w:sz w:val="16"/>
          <w:szCs w:val="16"/>
        </w:rPr>
        <w:t xml:space="preserve"> PINO RICCI, Jorge. El régimen jurídico de los contratos estatales. Bogotá: Universidad Externado de Colombia, 2005. pp. 376-377.</w:t>
      </w:r>
    </w:p>
  </w:footnote>
  <w:footnote w:id="13">
    <w:p w14:paraId="23A9516A" w14:textId="77777777" w:rsidR="00455C07" w:rsidRPr="00210C7D" w:rsidRDefault="00455C07" w:rsidP="00455C07">
      <w:pPr>
        <w:pStyle w:val="Textonotapie"/>
        <w:ind w:firstLine="708"/>
        <w:jc w:val="both"/>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rPr>
        <w:t xml:space="preserve"> </w:t>
      </w:r>
      <w:r w:rsidRPr="00210C7D">
        <w:rPr>
          <w:rFonts w:ascii="Verdana" w:hAnsi="Verdana"/>
          <w:sz w:val="16"/>
          <w:szCs w:val="16"/>
          <w:lang w:val="es-CO"/>
        </w:rPr>
        <w:t xml:space="preserve">CONSEJO DE ESTADO. Sala Plena. Sección Tercera. Sentencia de Unificación del 19 de noviembre de 2012. </w:t>
      </w:r>
      <w:r w:rsidRPr="00210C7D">
        <w:rPr>
          <w:rFonts w:ascii="Verdana" w:hAnsi="Verdana"/>
          <w:sz w:val="16"/>
          <w:szCs w:val="16"/>
          <w:lang w:val="pt-BR"/>
        </w:rPr>
        <w:t>C.P. Jaime Orlando Santofimio Gamboa. Exp. 24987.</w:t>
      </w:r>
    </w:p>
  </w:footnote>
  <w:footnote w:id="14">
    <w:p w14:paraId="31A510B2" w14:textId="77777777" w:rsidR="00455C07" w:rsidRPr="00210C7D" w:rsidRDefault="00455C07" w:rsidP="00455C07">
      <w:pPr>
        <w:pStyle w:val="Textonotapie"/>
        <w:ind w:firstLine="708"/>
        <w:jc w:val="both"/>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CONSEJO DE ESTADO. </w:t>
      </w:r>
      <w:r w:rsidRPr="00210C7D">
        <w:rPr>
          <w:rFonts w:ascii="Verdana" w:hAnsi="Verdana"/>
          <w:sz w:val="16"/>
          <w:szCs w:val="16"/>
        </w:rPr>
        <w:t xml:space="preserve">Sala Plena. Sección Tercera. Sentencia de Unificación del 31 de julio de 2025. </w:t>
      </w:r>
      <w:r w:rsidRPr="00210C7D">
        <w:rPr>
          <w:rFonts w:ascii="Verdana" w:hAnsi="Verdana"/>
          <w:sz w:val="16"/>
          <w:szCs w:val="16"/>
          <w:lang w:val="pt-BR"/>
        </w:rPr>
        <w:t xml:space="preserve">C.P. Fernando Alexei Pardo Flórez. Exp. 57464. </w:t>
      </w:r>
    </w:p>
  </w:footnote>
  <w:footnote w:id="15">
    <w:p w14:paraId="247E578E" w14:textId="77777777" w:rsidR="00455C07" w:rsidRPr="00210C7D" w:rsidRDefault="00455C07" w:rsidP="00455C07">
      <w:pPr>
        <w:pStyle w:val="Textonotapie"/>
        <w:ind w:firstLine="708"/>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w:t>
      </w:r>
      <w:r w:rsidRPr="00210C7D">
        <w:rPr>
          <w:rFonts w:ascii="Verdana" w:hAnsi="Verdana"/>
          <w:i/>
          <w:iCs/>
          <w:sz w:val="16"/>
          <w:szCs w:val="16"/>
          <w:lang w:val="pt-BR"/>
        </w:rPr>
        <w:t>Ibidem</w:t>
      </w:r>
      <w:r w:rsidRPr="00210C7D">
        <w:rPr>
          <w:rFonts w:ascii="Verdana" w:hAnsi="Verdana"/>
          <w:sz w:val="16"/>
          <w:szCs w:val="16"/>
          <w:lang w:val="pt-BR"/>
        </w:rPr>
        <w:t xml:space="preserve">. </w:t>
      </w:r>
    </w:p>
  </w:footnote>
  <w:footnote w:id="16">
    <w:p w14:paraId="1DF1A2BA" w14:textId="77777777" w:rsidR="00455C07" w:rsidRPr="00210C7D" w:rsidRDefault="00455C07" w:rsidP="00455C07">
      <w:pPr>
        <w:pStyle w:val="Textonotapie"/>
        <w:ind w:firstLine="708"/>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w:t>
      </w:r>
      <w:r w:rsidRPr="00210C7D">
        <w:rPr>
          <w:rFonts w:ascii="Verdana" w:hAnsi="Verdana"/>
          <w:i/>
          <w:iCs/>
          <w:sz w:val="16"/>
          <w:szCs w:val="16"/>
          <w:lang w:val="pt-BR"/>
        </w:rPr>
        <w:t>Ibidem</w:t>
      </w:r>
      <w:r w:rsidRPr="00210C7D">
        <w:rPr>
          <w:rFonts w:ascii="Verdana" w:hAnsi="Verdana"/>
          <w:sz w:val="16"/>
          <w:szCs w:val="16"/>
          <w:lang w:val="pt-BR"/>
        </w:rPr>
        <w:t xml:space="preserve">.  </w:t>
      </w:r>
    </w:p>
  </w:footnote>
  <w:footnote w:id="17">
    <w:p w14:paraId="59FC7FA1" w14:textId="77777777" w:rsidR="00455C07" w:rsidRPr="00210C7D" w:rsidRDefault="00455C07" w:rsidP="00455C07">
      <w:pPr>
        <w:pStyle w:val="Textonotapie"/>
        <w:ind w:firstLine="708"/>
        <w:rPr>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8pt;height:11.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13E"/>
    <w:rsid w:val="000A683E"/>
    <w:rsid w:val="000B19B9"/>
    <w:rsid w:val="000D0334"/>
    <w:rsid w:val="000D5DA7"/>
    <w:rsid w:val="000F4DD7"/>
    <w:rsid w:val="000F6486"/>
    <w:rsid w:val="00116940"/>
    <w:rsid w:val="00125105"/>
    <w:rsid w:val="00127233"/>
    <w:rsid w:val="0015699B"/>
    <w:rsid w:val="001A33BF"/>
    <w:rsid w:val="001E4177"/>
    <w:rsid w:val="001F0B24"/>
    <w:rsid w:val="001F3DC5"/>
    <w:rsid w:val="001F7DC6"/>
    <w:rsid w:val="00215CE1"/>
    <w:rsid w:val="0022400B"/>
    <w:rsid w:val="002421BB"/>
    <w:rsid w:val="0025796E"/>
    <w:rsid w:val="002707A2"/>
    <w:rsid w:val="002951A0"/>
    <w:rsid w:val="002962BC"/>
    <w:rsid w:val="002A093D"/>
    <w:rsid w:val="002A0DD0"/>
    <w:rsid w:val="002A2E83"/>
    <w:rsid w:val="002A49AC"/>
    <w:rsid w:val="002A64FD"/>
    <w:rsid w:val="002C7A84"/>
    <w:rsid w:val="002E2BF8"/>
    <w:rsid w:val="002E4FD9"/>
    <w:rsid w:val="0030657A"/>
    <w:rsid w:val="00322A85"/>
    <w:rsid w:val="00324168"/>
    <w:rsid w:val="00330834"/>
    <w:rsid w:val="003448F4"/>
    <w:rsid w:val="00374F5E"/>
    <w:rsid w:val="00377E3E"/>
    <w:rsid w:val="003A137D"/>
    <w:rsid w:val="003A779E"/>
    <w:rsid w:val="003C6341"/>
    <w:rsid w:val="003D0F4D"/>
    <w:rsid w:val="003D5B0D"/>
    <w:rsid w:val="003E0499"/>
    <w:rsid w:val="003E4F80"/>
    <w:rsid w:val="003E6439"/>
    <w:rsid w:val="003F3941"/>
    <w:rsid w:val="00406575"/>
    <w:rsid w:val="00414C74"/>
    <w:rsid w:val="0042722E"/>
    <w:rsid w:val="0044528D"/>
    <w:rsid w:val="00455C07"/>
    <w:rsid w:val="00466E39"/>
    <w:rsid w:val="004A1847"/>
    <w:rsid w:val="004A305D"/>
    <w:rsid w:val="004F21C4"/>
    <w:rsid w:val="004F685F"/>
    <w:rsid w:val="00544451"/>
    <w:rsid w:val="005566E8"/>
    <w:rsid w:val="00574867"/>
    <w:rsid w:val="00586C9F"/>
    <w:rsid w:val="00591460"/>
    <w:rsid w:val="005A65E0"/>
    <w:rsid w:val="005C3777"/>
    <w:rsid w:val="005C5CDC"/>
    <w:rsid w:val="005D476C"/>
    <w:rsid w:val="006200BF"/>
    <w:rsid w:val="006219F8"/>
    <w:rsid w:val="006302F7"/>
    <w:rsid w:val="00646B9F"/>
    <w:rsid w:val="00665D70"/>
    <w:rsid w:val="006900D9"/>
    <w:rsid w:val="006E7BFE"/>
    <w:rsid w:val="00706C16"/>
    <w:rsid w:val="007340C3"/>
    <w:rsid w:val="0075235A"/>
    <w:rsid w:val="00756841"/>
    <w:rsid w:val="007649AB"/>
    <w:rsid w:val="00771D0C"/>
    <w:rsid w:val="007833AC"/>
    <w:rsid w:val="007B268C"/>
    <w:rsid w:val="007B7171"/>
    <w:rsid w:val="007C0C0F"/>
    <w:rsid w:val="007C256A"/>
    <w:rsid w:val="007C3DC2"/>
    <w:rsid w:val="007E5497"/>
    <w:rsid w:val="00806F5F"/>
    <w:rsid w:val="00820278"/>
    <w:rsid w:val="008258C9"/>
    <w:rsid w:val="00844AE9"/>
    <w:rsid w:val="00867F95"/>
    <w:rsid w:val="0087655A"/>
    <w:rsid w:val="008843B6"/>
    <w:rsid w:val="00891928"/>
    <w:rsid w:val="008A446D"/>
    <w:rsid w:val="008B25F1"/>
    <w:rsid w:val="008D180B"/>
    <w:rsid w:val="008F0EA7"/>
    <w:rsid w:val="00923D08"/>
    <w:rsid w:val="00923EEF"/>
    <w:rsid w:val="009419F9"/>
    <w:rsid w:val="0095685E"/>
    <w:rsid w:val="00961B09"/>
    <w:rsid w:val="00965334"/>
    <w:rsid w:val="0097093E"/>
    <w:rsid w:val="00982217"/>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742B"/>
    <w:rsid w:val="00AB0ADB"/>
    <w:rsid w:val="00AE164A"/>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3730D"/>
    <w:rsid w:val="00C425F7"/>
    <w:rsid w:val="00C50D69"/>
    <w:rsid w:val="00C5365C"/>
    <w:rsid w:val="00C55E4A"/>
    <w:rsid w:val="00C754BE"/>
    <w:rsid w:val="00C76B1C"/>
    <w:rsid w:val="00C925AC"/>
    <w:rsid w:val="00CB6357"/>
    <w:rsid w:val="00CC1B26"/>
    <w:rsid w:val="00CF4BF7"/>
    <w:rsid w:val="00D361FD"/>
    <w:rsid w:val="00D423A2"/>
    <w:rsid w:val="00D44E26"/>
    <w:rsid w:val="00D520D8"/>
    <w:rsid w:val="00D53676"/>
    <w:rsid w:val="00D56EA0"/>
    <w:rsid w:val="00D63AC2"/>
    <w:rsid w:val="00D7383B"/>
    <w:rsid w:val="00D7788A"/>
    <w:rsid w:val="00DA231B"/>
    <w:rsid w:val="00DB7281"/>
    <w:rsid w:val="00DC39FC"/>
    <w:rsid w:val="00DF5254"/>
    <w:rsid w:val="00E02524"/>
    <w:rsid w:val="00E03833"/>
    <w:rsid w:val="00E10340"/>
    <w:rsid w:val="00E16408"/>
    <w:rsid w:val="00E20894"/>
    <w:rsid w:val="00E245AB"/>
    <w:rsid w:val="00E2764C"/>
    <w:rsid w:val="00E27F2E"/>
    <w:rsid w:val="00E369FA"/>
    <w:rsid w:val="00E50AFE"/>
    <w:rsid w:val="00E75C92"/>
    <w:rsid w:val="00E771DC"/>
    <w:rsid w:val="00E8772A"/>
    <w:rsid w:val="00E90F6B"/>
    <w:rsid w:val="00E92C27"/>
    <w:rsid w:val="00EA0E3D"/>
    <w:rsid w:val="00EB668A"/>
    <w:rsid w:val="00EC38A7"/>
    <w:rsid w:val="00EC77A5"/>
    <w:rsid w:val="00EE1AA8"/>
    <w:rsid w:val="00F23FEA"/>
    <w:rsid w:val="00F31EDC"/>
    <w:rsid w:val="00F462B3"/>
    <w:rsid w:val="00F5664F"/>
    <w:rsid w:val="00F666C4"/>
    <w:rsid w:val="00F76AFC"/>
    <w:rsid w:val="00FA47C0"/>
    <w:rsid w:val="00FB5DD1"/>
    <w:rsid w:val="00FC2B5D"/>
    <w:rsid w:val="00FC560A"/>
    <w:rsid w:val="00FD3F3A"/>
    <w:rsid w:val="00FF1449"/>
    <w:rsid w:val="00FF2B2E"/>
    <w:rsid w:val="00FF7963"/>
    <w:rsid w:val="071B8F93"/>
    <w:rsid w:val="09908A09"/>
    <w:rsid w:val="0FF4CCA8"/>
    <w:rsid w:val="13CFC91B"/>
    <w:rsid w:val="19A2EC2C"/>
    <w:rsid w:val="2021F763"/>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55C0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55C07"/>
    <w:rPr>
      <w:rFonts w:ascii="Geomanist Light" w:hAnsi="Geomanist Light"/>
      <w:lang w:val="es-ES"/>
    </w:rPr>
  </w:style>
  <w:style w:type="character" w:customStyle="1" w:styleId="s15">
    <w:name w:val="s15"/>
    <w:basedOn w:val="Fuentedeprrafopredeter"/>
    <w:rsid w:val="00455C07"/>
  </w:style>
  <w:style w:type="character" w:customStyle="1" w:styleId="apple-converted-space">
    <w:name w:val="apple-converted-space"/>
    <w:basedOn w:val="Fuentedeprrafopredeter"/>
    <w:rsid w:val="00455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5619379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91F18F3-8F67-4167-A189-2705364CE0A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21</Pages>
  <Words>7238</Words>
  <Characters>39812</Characters>
  <Application>Microsoft Office Word</Application>
  <DocSecurity>0</DocSecurity>
  <Lines>331</Lines>
  <Paragraphs>93</Paragraphs>
  <ScaleCrop>false</ScaleCrop>
  <Company/>
  <LinksUpToDate>false</LinksUpToDate>
  <CharactersWithSpaces>46957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2026-01-30T15:28:00Z</dcterms:created>
  <dcterms:modified xsi:type="dcterms:W3CDTF">2026-01-30T18:33:00Z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