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5419DA" w:rsidRDefault="00B55C69" w:rsidP="001A4314">
      <w:pPr>
        <w:jc w:val="right"/>
        <w:rPr>
          <w:rFonts w:ascii="Arial" w:eastAsia="Calibri" w:hAnsi="Arial" w:cs="Arial"/>
          <w:b/>
          <w:color w:val="000000" w:themeColor="text1"/>
          <w:sz w:val="20"/>
          <w:szCs w:val="20"/>
          <w:lang w:val="es-ES_tradnl"/>
        </w:rPr>
      </w:pPr>
      <w:bookmarkStart w:id="0" w:name="_Hlk28946138"/>
      <w:bookmarkStart w:id="1" w:name="_Hlk29548183"/>
      <w:r w:rsidRPr="005419DA">
        <w:rPr>
          <w:rFonts w:ascii="Arial" w:hAnsi="Arial" w:cs="Arial"/>
          <w:bCs/>
          <w:color w:val="000000" w:themeColor="text1"/>
          <w:sz w:val="16"/>
          <w:szCs w:val="16"/>
          <w:lang w:val="es-ES_tradnl" w:eastAsia="es-ES"/>
        </w:rPr>
        <w:t>CCE-DES-FM-17</w:t>
      </w:r>
      <w:bookmarkEnd w:id="0"/>
      <w:bookmarkEnd w:id="1"/>
    </w:p>
    <w:p w14:paraId="55FBD910" w14:textId="77777777" w:rsidR="008536BB" w:rsidRPr="005419DA" w:rsidRDefault="008536BB" w:rsidP="00B95C30">
      <w:pPr>
        <w:spacing w:line="276" w:lineRule="auto"/>
        <w:jc w:val="both"/>
        <w:rPr>
          <w:rFonts w:ascii="Arial" w:hAnsi="Arial" w:cs="Arial"/>
          <w:noProof/>
          <w:color w:val="000000" w:themeColor="text1"/>
          <w:sz w:val="22"/>
          <w:lang w:val="es-ES_tradnl"/>
        </w:rPr>
      </w:pPr>
    </w:p>
    <w:p w14:paraId="6A9E6ADF" w14:textId="169A7A08" w:rsidR="00EC224E" w:rsidRPr="005419DA" w:rsidRDefault="00EC224E" w:rsidP="00EC224E">
      <w:pPr>
        <w:jc w:val="both"/>
        <w:rPr>
          <w:rFonts w:ascii="Arial" w:eastAsia="Calibri" w:hAnsi="Arial" w:cs="Arial"/>
          <w:b/>
          <w:sz w:val="22"/>
          <w:lang w:val="es-ES_tradnl"/>
        </w:rPr>
      </w:pPr>
      <w:r w:rsidRPr="005419DA">
        <w:rPr>
          <w:rFonts w:ascii="Arial" w:eastAsia="Calibri" w:hAnsi="Arial" w:cs="Arial"/>
          <w:b/>
          <w:sz w:val="22"/>
          <w:lang w:val="es-ES_tradnl"/>
        </w:rPr>
        <w:t xml:space="preserve">LEY DE EMPRENDIMIENTO </w:t>
      </w:r>
      <w:r w:rsidRPr="005419DA">
        <w:rPr>
          <w:rFonts w:ascii="Arial" w:eastAsia="Calibri" w:hAnsi="Arial" w:cs="Arial"/>
          <w:b/>
          <w:color w:val="000000" w:themeColor="text1"/>
          <w:sz w:val="22"/>
          <w:lang w:val="es-ES_tradnl"/>
        </w:rPr>
        <w:t>–</w:t>
      </w:r>
      <w:r w:rsidRPr="005419DA">
        <w:rPr>
          <w:rFonts w:ascii="Arial" w:eastAsia="Calibri" w:hAnsi="Arial" w:cs="Arial"/>
          <w:b/>
          <w:sz w:val="22"/>
          <w:lang w:val="es-ES_tradnl"/>
        </w:rPr>
        <w:t xml:space="preserve"> Ley </w:t>
      </w:r>
      <w:r w:rsidR="001F0325">
        <w:rPr>
          <w:rFonts w:ascii="Arial" w:eastAsia="Calibri" w:hAnsi="Arial" w:cs="Arial"/>
          <w:b/>
          <w:sz w:val="22"/>
          <w:lang w:val="es-ES_tradnl"/>
        </w:rPr>
        <w:t>2069</w:t>
      </w:r>
      <w:r w:rsidRPr="005419DA">
        <w:rPr>
          <w:rFonts w:ascii="Arial" w:eastAsia="Calibri" w:hAnsi="Arial" w:cs="Arial"/>
          <w:b/>
          <w:sz w:val="22"/>
          <w:lang w:val="es-ES_tradnl"/>
        </w:rPr>
        <w:t xml:space="preserve"> de 2020 </w:t>
      </w:r>
      <w:r w:rsidRPr="005419DA">
        <w:rPr>
          <w:rFonts w:ascii="Arial" w:eastAsia="Calibri" w:hAnsi="Arial" w:cs="Arial"/>
          <w:b/>
          <w:color w:val="000000" w:themeColor="text1"/>
          <w:sz w:val="22"/>
          <w:lang w:val="es-ES_tradnl"/>
        </w:rPr>
        <w:t xml:space="preserve">– Vigencia </w:t>
      </w:r>
    </w:p>
    <w:p w14:paraId="5A76D430" w14:textId="77777777" w:rsidR="00EC224E" w:rsidRPr="005419DA" w:rsidRDefault="00EC224E" w:rsidP="00EC224E">
      <w:pPr>
        <w:jc w:val="both"/>
        <w:rPr>
          <w:rFonts w:ascii="Arial" w:eastAsia="Calibri" w:hAnsi="Arial" w:cs="Arial"/>
          <w:b/>
          <w:sz w:val="22"/>
          <w:lang w:val="es-ES_tradnl"/>
        </w:rPr>
      </w:pPr>
    </w:p>
    <w:p w14:paraId="0D9471D6" w14:textId="77777777" w:rsidR="00C167F7" w:rsidRPr="005419DA" w:rsidRDefault="00C167F7" w:rsidP="00C167F7">
      <w:pPr>
        <w:jc w:val="both"/>
        <w:rPr>
          <w:rFonts w:ascii="Arial" w:eastAsia="Calibri" w:hAnsi="Arial" w:cs="Arial"/>
          <w:sz w:val="20"/>
          <w:szCs w:val="20"/>
          <w:lang w:val="es-ES_tradnl"/>
        </w:rPr>
      </w:pPr>
      <w:r w:rsidRPr="005419DA">
        <w:rPr>
          <w:rFonts w:ascii="Arial" w:eastAsia="Calibri" w:hAnsi="Arial" w:cs="Arial"/>
          <w:sz w:val="20"/>
          <w:szCs w:val="20"/>
          <w:lang w:val="es-ES_tradnl"/>
        </w:rPr>
        <w:t xml:space="preserve">El 31 de diciembre de 2020 se promulgó la Ley </w:t>
      </w:r>
      <w:r>
        <w:rPr>
          <w:rFonts w:ascii="Arial" w:eastAsia="Calibri" w:hAnsi="Arial" w:cs="Arial"/>
          <w:sz w:val="20"/>
          <w:szCs w:val="20"/>
          <w:lang w:val="es-ES_tradnl"/>
        </w:rPr>
        <w:t>2069</w:t>
      </w:r>
      <w:r w:rsidRPr="005419DA">
        <w:rPr>
          <w:rFonts w:ascii="Arial" w:eastAsia="Calibri" w:hAnsi="Arial" w:cs="Arial"/>
          <w:sz w:val="20"/>
          <w:szCs w:val="20"/>
          <w:lang w:val="es-ES_tradnl"/>
        </w:rPr>
        <w:t>,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p>
    <w:p w14:paraId="12DFC6D5" w14:textId="77777777" w:rsidR="00C167F7" w:rsidRPr="005419DA" w:rsidRDefault="00C167F7" w:rsidP="00C167F7">
      <w:pPr>
        <w:jc w:val="both"/>
        <w:rPr>
          <w:rFonts w:ascii="Arial" w:eastAsia="Calibri" w:hAnsi="Arial" w:cs="Arial"/>
          <w:sz w:val="20"/>
          <w:szCs w:val="20"/>
          <w:lang w:val="es-ES_tradnl"/>
        </w:rPr>
      </w:pPr>
    </w:p>
    <w:p w14:paraId="2DDB93AD" w14:textId="77777777" w:rsidR="00C167F7" w:rsidRPr="005419DA" w:rsidRDefault="00C167F7" w:rsidP="00C167F7">
      <w:pPr>
        <w:jc w:val="both"/>
        <w:rPr>
          <w:rFonts w:ascii="Arial" w:eastAsia="Calibri" w:hAnsi="Arial" w:cs="Arial"/>
          <w:sz w:val="20"/>
          <w:szCs w:val="20"/>
          <w:lang w:val="es-ES_tradnl"/>
        </w:rPr>
      </w:pPr>
      <w:r w:rsidRPr="005419DA">
        <w:rPr>
          <w:rFonts w:ascii="Arial" w:eastAsia="Calibri" w:hAnsi="Arial" w:cs="Arial"/>
          <w:sz w:val="20"/>
          <w:szCs w:val="20"/>
          <w:lang w:val="es-ES_tradnl"/>
        </w:rPr>
        <w:t>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5419DA">
        <w:rPr>
          <w:rFonts w:ascii="Arial" w:eastAsia="Calibri" w:hAnsi="Arial" w:cs="Arial"/>
          <w:sz w:val="20"/>
          <w:szCs w:val="20"/>
          <w:lang w:val="es-ES_tradnl"/>
        </w:rPr>
        <w:t>mipymes</w:t>
      </w:r>
      <w:proofErr w:type="spellEnd"/>
      <w:r w:rsidRPr="005419DA">
        <w:rPr>
          <w:rFonts w:ascii="Arial" w:eastAsia="Calibri" w:hAnsi="Arial" w:cs="Arial"/>
          <w:sz w:val="20"/>
          <w:szCs w:val="20"/>
          <w:lang w:val="es-ES_tradnl"/>
        </w:rPr>
        <w:t>»–, mediante la racionalización y simplificación de los trámites y tarifas, así como la consagración de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19641C5C" w14:textId="77777777" w:rsidR="00EC224E" w:rsidRDefault="00EC224E" w:rsidP="00EC224E">
      <w:pPr>
        <w:jc w:val="both"/>
        <w:rPr>
          <w:rFonts w:ascii="Arial" w:eastAsia="Calibri" w:hAnsi="Arial" w:cs="Arial"/>
          <w:sz w:val="20"/>
          <w:szCs w:val="20"/>
          <w:lang w:val="es-ES_tradnl"/>
        </w:rPr>
      </w:pPr>
    </w:p>
    <w:p w14:paraId="30A0AA2C" w14:textId="55A19152" w:rsidR="00EC224E" w:rsidRPr="0027683D" w:rsidRDefault="007648AE" w:rsidP="00EC224E">
      <w:pPr>
        <w:jc w:val="both"/>
        <w:rPr>
          <w:rFonts w:ascii="Arial" w:eastAsia="Calibri" w:hAnsi="Arial" w:cs="Arial"/>
          <w:b/>
          <w:sz w:val="22"/>
          <w:lang w:val="es-ES_tradnl"/>
        </w:rPr>
      </w:pPr>
      <w:r w:rsidRPr="0027683D">
        <w:rPr>
          <w:rFonts w:ascii="Arial" w:eastAsia="Calibri" w:hAnsi="Arial" w:cs="Arial"/>
          <w:b/>
          <w:sz w:val="22"/>
          <w:lang w:val="es-ES_tradnl"/>
        </w:rPr>
        <w:t>PROMOCIÓN DEL DESARROLLO</w:t>
      </w:r>
      <w:r w:rsidR="00EC224E" w:rsidRPr="0027683D">
        <w:rPr>
          <w:rFonts w:ascii="Arial" w:eastAsia="Calibri" w:hAnsi="Arial" w:cs="Arial"/>
          <w:b/>
          <w:sz w:val="22"/>
          <w:lang w:val="es-ES_tradnl"/>
        </w:rPr>
        <w:t xml:space="preserve"> </w:t>
      </w:r>
      <w:r w:rsidR="00EC224E" w:rsidRPr="0027683D">
        <w:rPr>
          <w:rFonts w:ascii="Arial" w:eastAsia="Calibri" w:hAnsi="Arial" w:cs="Arial"/>
          <w:b/>
          <w:color w:val="000000" w:themeColor="text1"/>
          <w:sz w:val="22"/>
          <w:lang w:val="es-ES_tradnl"/>
        </w:rPr>
        <w:t>–</w:t>
      </w:r>
      <w:r w:rsidRPr="0027683D">
        <w:rPr>
          <w:rFonts w:ascii="Arial" w:eastAsia="Calibri" w:hAnsi="Arial" w:cs="Arial"/>
          <w:b/>
          <w:color w:val="000000" w:themeColor="text1"/>
          <w:sz w:val="22"/>
          <w:lang w:val="es-ES_tradnl"/>
        </w:rPr>
        <w:t xml:space="preserve"> Contratación estatal</w:t>
      </w:r>
      <w:r w:rsidR="004774FB" w:rsidRPr="0027683D">
        <w:rPr>
          <w:rFonts w:ascii="Arial" w:eastAsia="Calibri" w:hAnsi="Arial" w:cs="Arial"/>
          <w:b/>
          <w:color w:val="000000" w:themeColor="text1"/>
          <w:sz w:val="22"/>
          <w:lang w:val="es-ES_tradnl"/>
        </w:rPr>
        <w:t xml:space="preserve"> –</w:t>
      </w:r>
      <w:r w:rsidR="00EC224E" w:rsidRPr="0027683D">
        <w:rPr>
          <w:rFonts w:ascii="Arial" w:eastAsia="Calibri" w:hAnsi="Arial" w:cs="Arial"/>
          <w:b/>
          <w:sz w:val="22"/>
          <w:lang w:val="es-ES_tradnl"/>
        </w:rPr>
        <w:t xml:space="preserve"> Ley </w:t>
      </w:r>
      <w:r w:rsidR="001F0325" w:rsidRPr="0027683D">
        <w:rPr>
          <w:rFonts w:ascii="Arial" w:eastAsia="Calibri" w:hAnsi="Arial" w:cs="Arial"/>
          <w:b/>
          <w:sz w:val="22"/>
          <w:lang w:val="es-ES_tradnl"/>
        </w:rPr>
        <w:t>2069</w:t>
      </w:r>
      <w:r w:rsidR="00EC224E" w:rsidRPr="0027683D">
        <w:rPr>
          <w:rFonts w:ascii="Arial" w:eastAsia="Calibri" w:hAnsi="Arial" w:cs="Arial"/>
          <w:b/>
          <w:sz w:val="22"/>
          <w:lang w:val="es-ES_tradnl"/>
        </w:rPr>
        <w:t xml:space="preserve"> </w:t>
      </w:r>
      <w:r w:rsidR="00EC224E" w:rsidRPr="0027683D">
        <w:rPr>
          <w:rFonts w:ascii="Arial" w:eastAsia="Calibri" w:hAnsi="Arial" w:cs="Arial"/>
          <w:b/>
          <w:color w:val="000000" w:themeColor="text1"/>
          <w:sz w:val="22"/>
          <w:lang w:val="es-ES_tradnl"/>
        </w:rPr>
        <w:t>– Artículo 34</w:t>
      </w:r>
      <w:r w:rsidR="00821E42" w:rsidRPr="0027683D">
        <w:rPr>
          <w:rFonts w:ascii="Arial" w:eastAsia="Calibri" w:hAnsi="Arial" w:cs="Arial"/>
          <w:b/>
          <w:color w:val="000000" w:themeColor="text1"/>
          <w:sz w:val="22"/>
          <w:lang w:val="es-ES_tradnl"/>
        </w:rPr>
        <w:t xml:space="preserve"> – Subrogación</w:t>
      </w:r>
      <w:r w:rsidR="00EC224E" w:rsidRPr="0027683D">
        <w:rPr>
          <w:rFonts w:ascii="Arial" w:eastAsia="Calibri" w:hAnsi="Arial" w:cs="Arial"/>
          <w:b/>
          <w:color w:val="000000" w:themeColor="text1"/>
          <w:sz w:val="22"/>
          <w:lang w:val="es-ES_tradnl"/>
        </w:rPr>
        <w:t xml:space="preserve"> </w:t>
      </w:r>
    </w:p>
    <w:p w14:paraId="7211A414" w14:textId="77777777" w:rsidR="000538D3" w:rsidRPr="0027683D" w:rsidRDefault="000538D3" w:rsidP="00B15599">
      <w:pPr>
        <w:jc w:val="both"/>
        <w:rPr>
          <w:rFonts w:ascii="Arial" w:eastAsia="Calibri" w:hAnsi="Arial" w:cs="Arial"/>
          <w:sz w:val="20"/>
          <w:szCs w:val="20"/>
          <w:lang w:val="es-ES_tradnl"/>
        </w:rPr>
      </w:pPr>
    </w:p>
    <w:p w14:paraId="29D090C6" w14:textId="50AC8DDF" w:rsidR="000538D3" w:rsidRPr="0027683D" w:rsidRDefault="000538D3" w:rsidP="00B15599">
      <w:pPr>
        <w:jc w:val="both"/>
        <w:rPr>
          <w:rFonts w:ascii="Arial" w:eastAsia="Calibri" w:hAnsi="Arial" w:cs="Arial"/>
          <w:sz w:val="20"/>
          <w:szCs w:val="20"/>
          <w:lang w:val="es-ES_tradnl"/>
        </w:rPr>
      </w:pPr>
      <w:r w:rsidRPr="0027683D">
        <w:rPr>
          <w:rFonts w:ascii="Arial" w:eastAsia="Calibri" w:hAnsi="Arial" w:cs="Arial"/>
          <w:sz w:val="20"/>
          <w:szCs w:val="20"/>
          <w:lang w:val="es-ES_tradnl"/>
        </w:rPr>
        <w:t xml:space="preserve">La subrogación es, </w:t>
      </w:r>
      <w:r w:rsidR="00C71908" w:rsidRPr="0027683D">
        <w:rPr>
          <w:rFonts w:ascii="Arial" w:eastAsia="Calibri" w:hAnsi="Arial" w:cs="Arial"/>
          <w:sz w:val="20"/>
          <w:szCs w:val="20"/>
          <w:lang w:val="es-ES_tradnl"/>
        </w:rPr>
        <w:t>[…]</w:t>
      </w:r>
      <w:r w:rsidRPr="0027683D">
        <w:rPr>
          <w:rFonts w:ascii="Arial" w:eastAsia="Calibri" w:hAnsi="Arial" w:cs="Arial"/>
          <w:sz w:val="20"/>
          <w:szCs w:val="20"/>
          <w:lang w:val="es-ES_tradnl"/>
        </w:rPr>
        <w:t>, una forma de derogación de los actos normativos, que consiste en el reemplazo de su contenido por un enunciado normativo nuevo. Se distingue de la derogación simple en que en este último evento la disposición normativa posterior no sustituye el texto, sino que solo le hace perder vigencia a la disposición normativa anterior. Como lo explica la Corte Constitucional, la subrogación puede presentarse bien porque el enunciado normativo regule de manera diferente una materia o porque reproduzca apartados normativos de otra. Pero lo cierto es que, en uno u otro caso, la disposición normativa anterior pierde vigencia.</w:t>
      </w:r>
    </w:p>
    <w:p w14:paraId="249256A8" w14:textId="77777777" w:rsidR="00C71908" w:rsidRPr="0027683D" w:rsidRDefault="00C71908" w:rsidP="00B15599">
      <w:pPr>
        <w:jc w:val="both"/>
        <w:rPr>
          <w:rFonts w:ascii="Arial" w:eastAsia="Calibri" w:hAnsi="Arial" w:cs="Arial"/>
          <w:sz w:val="20"/>
          <w:szCs w:val="20"/>
          <w:lang w:val="es-ES_tradnl"/>
        </w:rPr>
      </w:pPr>
    </w:p>
    <w:p w14:paraId="414EB8FF" w14:textId="7A97973F" w:rsidR="000538D3" w:rsidRPr="00B15599" w:rsidRDefault="000538D3" w:rsidP="00B15599">
      <w:pPr>
        <w:jc w:val="both"/>
        <w:rPr>
          <w:rFonts w:ascii="Arial" w:eastAsia="Calibri" w:hAnsi="Arial" w:cs="Arial"/>
          <w:sz w:val="20"/>
          <w:szCs w:val="20"/>
          <w:lang w:val="es-ES_tradnl"/>
        </w:rPr>
      </w:pPr>
      <w:r w:rsidRPr="0027683D">
        <w:rPr>
          <w:rFonts w:ascii="Arial" w:eastAsia="Calibri" w:hAnsi="Arial" w:cs="Arial"/>
          <w:sz w:val="20"/>
          <w:szCs w:val="20"/>
          <w:lang w:val="es-ES_tradnl"/>
        </w:rPr>
        <w:t>El artículo 12 de la Ley 1150 de 2007 fue subrogado por el artículo 34 de la Ley 2069 de 2020, porque este contiene una regulación diferente de la promoción del desarrollo en la contratación estatal. Además, en el primer inciso del artículo 34 de la Ley 2069 de 2020 se lee claramente: «Modifíquese el artículo 12 de la Ley 1150 de 2007, el cual quedará así». Esto significa que la voluntad del legislador no estuvo dirigida a efectuar una reforma parcial del artículo 12 de la Ley 1150 de 2007, sino a modificarlo completamente, sustituyéndolo por uno nuevo.</w:t>
      </w:r>
    </w:p>
    <w:p w14:paraId="1632D0E3" w14:textId="77777777" w:rsidR="000538D3" w:rsidRPr="00A6662C" w:rsidRDefault="000538D3" w:rsidP="00EC224E">
      <w:pPr>
        <w:jc w:val="both"/>
        <w:rPr>
          <w:rFonts w:ascii="Arial" w:eastAsia="Calibri" w:hAnsi="Arial" w:cs="Arial"/>
          <w:sz w:val="20"/>
          <w:szCs w:val="20"/>
          <w:lang w:val="es-ES_tradnl"/>
        </w:rPr>
      </w:pPr>
    </w:p>
    <w:p w14:paraId="6A654097" w14:textId="3F3577FF" w:rsidR="00C978D4" w:rsidRPr="005419DA" w:rsidRDefault="00272945" w:rsidP="00C978D4">
      <w:pPr>
        <w:jc w:val="both"/>
        <w:rPr>
          <w:rFonts w:ascii="Arial" w:eastAsia="Calibri" w:hAnsi="Arial" w:cs="Arial"/>
          <w:b/>
          <w:sz w:val="22"/>
          <w:lang w:val="es-ES_tradnl"/>
        </w:rPr>
      </w:pPr>
      <w:r w:rsidRPr="005419DA">
        <w:rPr>
          <w:rFonts w:ascii="Arial" w:eastAsia="Calibri" w:hAnsi="Arial" w:cs="Arial"/>
          <w:b/>
          <w:sz w:val="22"/>
          <w:lang w:val="es-ES_tradnl"/>
        </w:rPr>
        <w:t>SELECCIÓN OBJETIVA</w:t>
      </w:r>
      <w:r w:rsidR="00C978D4" w:rsidRPr="005419DA">
        <w:rPr>
          <w:rFonts w:ascii="Arial" w:eastAsia="Calibri" w:hAnsi="Arial" w:cs="Arial"/>
          <w:b/>
          <w:sz w:val="22"/>
          <w:lang w:val="es-ES_tradnl"/>
        </w:rPr>
        <w:t xml:space="preserve"> </w:t>
      </w:r>
      <w:r w:rsidR="00C978D4" w:rsidRPr="005419DA">
        <w:rPr>
          <w:rFonts w:ascii="Arial" w:eastAsia="Calibri" w:hAnsi="Arial" w:cs="Arial"/>
          <w:b/>
          <w:color w:val="000000" w:themeColor="text1"/>
          <w:sz w:val="22"/>
          <w:lang w:val="es-ES_tradnl"/>
        </w:rPr>
        <w:t>–</w:t>
      </w:r>
      <w:r w:rsidR="00C978D4" w:rsidRPr="005419DA">
        <w:rPr>
          <w:rFonts w:ascii="Arial" w:eastAsia="Calibri" w:hAnsi="Arial" w:cs="Arial"/>
          <w:b/>
          <w:sz w:val="22"/>
          <w:lang w:val="es-ES_tradnl"/>
        </w:rPr>
        <w:t xml:space="preserve"> </w:t>
      </w:r>
      <w:r w:rsidR="00003D39" w:rsidRPr="005419DA">
        <w:rPr>
          <w:rFonts w:ascii="Arial" w:eastAsia="Calibri" w:hAnsi="Arial" w:cs="Arial"/>
          <w:b/>
          <w:sz w:val="22"/>
          <w:lang w:val="es-ES_tradnl"/>
        </w:rPr>
        <w:t>Contratación estatal</w:t>
      </w:r>
      <w:r w:rsidR="00616D7F" w:rsidRPr="005419DA">
        <w:rPr>
          <w:rFonts w:ascii="Arial" w:eastAsia="Calibri" w:hAnsi="Arial" w:cs="Arial"/>
          <w:b/>
          <w:sz w:val="22"/>
          <w:lang w:val="es-ES_tradnl"/>
        </w:rPr>
        <w:t xml:space="preserve"> </w:t>
      </w:r>
      <w:r w:rsidR="00C978D4" w:rsidRPr="005419DA">
        <w:rPr>
          <w:rFonts w:ascii="Arial" w:eastAsia="Calibri" w:hAnsi="Arial" w:cs="Arial"/>
          <w:b/>
          <w:color w:val="000000" w:themeColor="text1"/>
          <w:sz w:val="22"/>
          <w:lang w:val="es-ES_tradnl"/>
        </w:rPr>
        <w:t xml:space="preserve">– </w:t>
      </w:r>
      <w:r w:rsidRPr="005419DA">
        <w:rPr>
          <w:rFonts w:ascii="Arial" w:eastAsia="Calibri" w:hAnsi="Arial" w:cs="Arial"/>
          <w:b/>
          <w:color w:val="000000" w:themeColor="text1"/>
          <w:sz w:val="22"/>
          <w:lang w:val="es-ES_tradnl"/>
        </w:rPr>
        <w:t>Concepto</w:t>
      </w:r>
    </w:p>
    <w:p w14:paraId="4AAB8DDD" w14:textId="537B898C" w:rsidR="00C978D4" w:rsidRPr="005419DA" w:rsidRDefault="00C978D4" w:rsidP="0099531F">
      <w:pPr>
        <w:jc w:val="both"/>
        <w:rPr>
          <w:rFonts w:ascii="Arial" w:eastAsia="Calibri" w:hAnsi="Arial" w:cs="Arial"/>
          <w:b/>
          <w:sz w:val="22"/>
          <w:lang w:val="es-ES_tradnl"/>
        </w:rPr>
      </w:pPr>
    </w:p>
    <w:p w14:paraId="2BC15560" w14:textId="319B59C7" w:rsidR="00446922" w:rsidRPr="005419DA" w:rsidRDefault="00446922" w:rsidP="00446922">
      <w:pPr>
        <w:jc w:val="both"/>
        <w:rPr>
          <w:rFonts w:ascii="Arial" w:eastAsia="Calibri" w:hAnsi="Arial" w:cs="Arial"/>
          <w:sz w:val="20"/>
          <w:szCs w:val="20"/>
          <w:lang w:val="es-ES_tradnl"/>
        </w:rPr>
      </w:pPr>
      <w:r w:rsidRPr="005419DA">
        <w:rPr>
          <w:rFonts w:ascii="Arial" w:eastAsia="Calibri" w:hAnsi="Arial" w:cs="Arial"/>
          <w:sz w:val="20"/>
          <w:szCs w:val="20"/>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w:t>
      </w:r>
      <w:r w:rsidRPr="005419DA">
        <w:rPr>
          <w:rFonts w:ascii="Arial" w:eastAsia="Calibri" w:hAnsi="Arial" w:cs="Arial"/>
          <w:sz w:val="20"/>
          <w:szCs w:val="20"/>
          <w:lang w:val="es-ES_tradnl"/>
        </w:rPr>
        <w:lastRenderedPageBreak/>
        <w:t>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0EA25C4D" w14:textId="77777777" w:rsidR="00AF6DEC" w:rsidRPr="005419DA" w:rsidRDefault="00AF6DEC" w:rsidP="0099531F">
      <w:pPr>
        <w:jc w:val="both"/>
        <w:rPr>
          <w:rFonts w:ascii="Arial" w:eastAsia="Calibri" w:hAnsi="Arial" w:cs="Arial"/>
          <w:b/>
          <w:sz w:val="22"/>
          <w:lang w:val="es-ES_tradnl"/>
        </w:rPr>
      </w:pPr>
    </w:p>
    <w:p w14:paraId="73365DCF" w14:textId="63E2A713" w:rsidR="00272945" w:rsidRPr="005419DA" w:rsidRDefault="00B54215" w:rsidP="00272945">
      <w:pPr>
        <w:jc w:val="both"/>
        <w:rPr>
          <w:rFonts w:ascii="Arial" w:eastAsia="Calibri" w:hAnsi="Arial" w:cs="Arial"/>
          <w:b/>
          <w:sz w:val="22"/>
          <w:lang w:val="es-ES_tradnl"/>
        </w:rPr>
      </w:pPr>
      <w:r w:rsidRPr="005419DA">
        <w:rPr>
          <w:rFonts w:ascii="Arial" w:eastAsia="Calibri" w:hAnsi="Arial" w:cs="Arial"/>
          <w:b/>
          <w:sz w:val="22"/>
          <w:lang w:val="es-ES_tradnl"/>
        </w:rPr>
        <w:t>EMPATE</w:t>
      </w:r>
      <w:r w:rsidR="00272945" w:rsidRPr="005419DA">
        <w:rPr>
          <w:rFonts w:ascii="Arial" w:eastAsia="Calibri" w:hAnsi="Arial" w:cs="Arial"/>
          <w:b/>
          <w:sz w:val="22"/>
          <w:lang w:val="es-ES_tradnl"/>
        </w:rPr>
        <w:t xml:space="preserve"> </w:t>
      </w:r>
      <w:r w:rsidR="00272945" w:rsidRPr="005419DA">
        <w:rPr>
          <w:rFonts w:ascii="Arial" w:eastAsia="Calibri" w:hAnsi="Arial" w:cs="Arial"/>
          <w:b/>
          <w:color w:val="000000" w:themeColor="text1"/>
          <w:sz w:val="22"/>
          <w:lang w:val="es-ES_tradnl"/>
        </w:rPr>
        <w:t>–</w:t>
      </w:r>
      <w:r w:rsidR="00272945" w:rsidRPr="005419DA">
        <w:rPr>
          <w:rFonts w:ascii="Arial" w:eastAsia="Calibri" w:hAnsi="Arial" w:cs="Arial"/>
          <w:b/>
          <w:sz w:val="22"/>
          <w:lang w:val="es-ES_tradnl"/>
        </w:rPr>
        <w:t xml:space="preserve"> </w:t>
      </w:r>
      <w:r w:rsidRPr="005419DA">
        <w:rPr>
          <w:rFonts w:ascii="Arial" w:eastAsia="Calibri" w:hAnsi="Arial" w:cs="Arial"/>
          <w:b/>
          <w:sz w:val="22"/>
          <w:lang w:val="es-ES_tradnl"/>
        </w:rPr>
        <w:t>Procedimiento de selección</w:t>
      </w:r>
      <w:r w:rsidR="00272945" w:rsidRPr="005419DA">
        <w:rPr>
          <w:rFonts w:ascii="Arial" w:eastAsia="Calibri" w:hAnsi="Arial" w:cs="Arial"/>
          <w:b/>
          <w:sz w:val="22"/>
          <w:lang w:val="es-ES_tradnl"/>
        </w:rPr>
        <w:t xml:space="preserve"> </w:t>
      </w:r>
      <w:r w:rsidR="00272945" w:rsidRPr="005419DA">
        <w:rPr>
          <w:rFonts w:ascii="Arial" w:eastAsia="Calibri" w:hAnsi="Arial" w:cs="Arial"/>
          <w:b/>
          <w:color w:val="000000" w:themeColor="text1"/>
          <w:sz w:val="22"/>
          <w:lang w:val="es-ES_tradnl"/>
        </w:rPr>
        <w:t>– Concepto</w:t>
      </w:r>
    </w:p>
    <w:p w14:paraId="182F8CB9" w14:textId="246E5B50" w:rsidR="00272945" w:rsidRPr="005419DA" w:rsidRDefault="00272945" w:rsidP="0099531F">
      <w:pPr>
        <w:jc w:val="both"/>
        <w:rPr>
          <w:rFonts w:ascii="Arial" w:eastAsia="Calibri" w:hAnsi="Arial" w:cs="Arial"/>
          <w:b/>
          <w:sz w:val="22"/>
          <w:lang w:val="es-ES_tradnl"/>
        </w:rPr>
      </w:pPr>
    </w:p>
    <w:p w14:paraId="36D9430C" w14:textId="77777777" w:rsidR="00066A7F" w:rsidRPr="005419DA" w:rsidRDefault="00066A7F" w:rsidP="00066A7F">
      <w:pPr>
        <w:jc w:val="both"/>
        <w:rPr>
          <w:rFonts w:ascii="Arial" w:hAnsi="Arial" w:cs="Arial"/>
          <w:noProof/>
          <w:color w:val="000000" w:themeColor="text1"/>
          <w:sz w:val="22"/>
          <w:lang w:val="es-ES_tradnl"/>
        </w:rPr>
      </w:pPr>
      <w:r w:rsidRPr="005419DA">
        <w:rPr>
          <w:rFonts w:ascii="Arial" w:eastAsia="Calibri" w:hAnsi="Arial" w:cs="Arial"/>
          <w:sz w:val="20"/>
          <w:szCs w:val="20"/>
          <w:lang w:val="es-ES_tradnl"/>
        </w:rPr>
        <w:t>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p>
    <w:p w14:paraId="2B2F279A" w14:textId="77777777" w:rsidR="005C6D19" w:rsidRPr="005419DA" w:rsidRDefault="005C6D19" w:rsidP="00DF71EA">
      <w:pPr>
        <w:jc w:val="both"/>
        <w:rPr>
          <w:rFonts w:ascii="Arial" w:eastAsia="Calibri" w:hAnsi="Arial" w:cs="Arial"/>
          <w:b/>
          <w:sz w:val="22"/>
          <w:lang w:val="es-ES_tradnl"/>
        </w:rPr>
      </w:pPr>
    </w:p>
    <w:p w14:paraId="04086EC5" w14:textId="5C2FA739" w:rsidR="00DF71EA" w:rsidRPr="005419DA" w:rsidRDefault="00D73881" w:rsidP="00DF71EA">
      <w:pPr>
        <w:jc w:val="both"/>
        <w:rPr>
          <w:rFonts w:ascii="Arial" w:eastAsia="Calibri" w:hAnsi="Arial" w:cs="Arial"/>
          <w:b/>
          <w:sz w:val="22"/>
          <w:lang w:val="es-ES_tradnl"/>
        </w:rPr>
      </w:pPr>
      <w:r w:rsidRPr="005419DA">
        <w:rPr>
          <w:rFonts w:ascii="Arial" w:eastAsia="Calibri" w:hAnsi="Arial" w:cs="Arial"/>
          <w:b/>
          <w:sz w:val="22"/>
          <w:lang w:val="es-ES_tradnl"/>
        </w:rPr>
        <w:t>FACTORES DE DESEMPATE</w:t>
      </w:r>
      <w:r w:rsidR="00DF71EA" w:rsidRPr="005419DA">
        <w:rPr>
          <w:rFonts w:ascii="Arial" w:eastAsia="Calibri" w:hAnsi="Arial" w:cs="Arial"/>
          <w:b/>
          <w:sz w:val="22"/>
          <w:lang w:val="es-ES_tradnl"/>
        </w:rPr>
        <w:t xml:space="preserve"> </w:t>
      </w:r>
      <w:r w:rsidR="00DF71EA" w:rsidRPr="005419DA">
        <w:rPr>
          <w:rFonts w:ascii="Arial" w:eastAsia="Calibri" w:hAnsi="Arial" w:cs="Arial"/>
          <w:b/>
          <w:color w:val="000000" w:themeColor="text1"/>
          <w:sz w:val="22"/>
          <w:lang w:val="es-ES_tradnl"/>
        </w:rPr>
        <w:t>–</w:t>
      </w:r>
      <w:r w:rsidR="00DF71EA" w:rsidRPr="005419DA">
        <w:rPr>
          <w:rFonts w:ascii="Arial" w:eastAsia="Calibri" w:hAnsi="Arial" w:cs="Arial"/>
          <w:b/>
          <w:sz w:val="22"/>
          <w:lang w:val="es-ES_tradnl"/>
        </w:rPr>
        <w:t xml:space="preserve"> </w:t>
      </w:r>
      <w:r w:rsidRPr="005419DA">
        <w:rPr>
          <w:rFonts w:ascii="Arial" w:eastAsia="Calibri" w:hAnsi="Arial" w:cs="Arial"/>
          <w:b/>
          <w:sz w:val="22"/>
          <w:lang w:val="es-ES_tradnl"/>
        </w:rPr>
        <w:t>Características</w:t>
      </w:r>
      <w:r w:rsidR="00DF71EA" w:rsidRPr="005419DA">
        <w:rPr>
          <w:rFonts w:ascii="Arial" w:eastAsia="Calibri" w:hAnsi="Arial" w:cs="Arial"/>
          <w:b/>
          <w:sz w:val="22"/>
          <w:lang w:val="es-ES_tradnl"/>
        </w:rPr>
        <w:t xml:space="preserve"> </w:t>
      </w:r>
      <w:r w:rsidR="00DF71EA" w:rsidRPr="005419DA">
        <w:rPr>
          <w:rFonts w:ascii="Arial" w:eastAsia="Calibri" w:hAnsi="Arial" w:cs="Arial"/>
          <w:b/>
          <w:color w:val="000000" w:themeColor="text1"/>
          <w:sz w:val="22"/>
          <w:lang w:val="es-ES_tradnl"/>
        </w:rPr>
        <w:t xml:space="preserve">– </w:t>
      </w:r>
      <w:r w:rsidRPr="005419DA">
        <w:rPr>
          <w:rFonts w:ascii="Arial" w:eastAsia="Calibri" w:hAnsi="Arial" w:cs="Arial"/>
          <w:b/>
          <w:color w:val="000000" w:themeColor="text1"/>
          <w:sz w:val="22"/>
          <w:lang w:val="es-ES_tradnl"/>
        </w:rPr>
        <w:t>Límites</w:t>
      </w:r>
    </w:p>
    <w:p w14:paraId="583F00A4" w14:textId="390EB1EB" w:rsidR="00DF71EA" w:rsidRPr="005419DA" w:rsidRDefault="00DF71EA" w:rsidP="00B95C30">
      <w:pPr>
        <w:spacing w:line="276" w:lineRule="auto"/>
        <w:jc w:val="both"/>
        <w:rPr>
          <w:rFonts w:ascii="Arial" w:hAnsi="Arial" w:cs="Arial"/>
          <w:noProof/>
          <w:color w:val="000000" w:themeColor="text1"/>
          <w:sz w:val="22"/>
          <w:lang w:val="es-ES_tradnl"/>
        </w:rPr>
      </w:pPr>
    </w:p>
    <w:p w14:paraId="1D564DCD" w14:textId="77777777" w:rsidR="00A611B1" w:rsidRPr="005419DA" w:rsidRDefault="00A611B1" w:rsidP="00A611B1">
      <w:pPr>
        <w:jc w:val="both"/>
        <w:rPr>
          <w:rFonts w:ascii="Arial" w:eastAsia="Calibri" w:hAnsi="Arial" w:cs="Arial"/>
          <w:sz w:val="20"/>
          <w:szCs w:val="20"/>
          <w:lang w:val="es-ES_tradnl"/>
        </w:rPr>
      </w:pPr>
      <w:r w:rsidRPr="005419DA">
        <w:rPr>
          <w:rFonts w:ascii="Arial" w:eastAsia="Calibri" w:hAnsi="Arial" w:cs="Arial"/>
          <w:sz w:val="20"/>
          <w:szCs w:val="20"/>
          <w:lang w:val="es-ES_tradnl"/>
        </w:rPr>
        <w:t xml:space="preserve">Pero,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halla el artículo 35 de la Ley </w:t>
      </w:r>
      <w:r>
        <w:rPr>
          <w:rFonts w:ascii="Arial" w:eastAsia="Calibri" w:hAnsi="Arial" w:cs="Arial"/>
          <w:sz w:val="20"/>
          <w:szCs w:val="20"/>
          <w:lang w:val="es-ES_tradnl"/>
        </w:rPr>
        <w:t>2069</w:t>
      </w:r>
      <w:r w:rsidRPr="005419DA">
        <w:rPr>
          <w:rFonts w:ascii="Arial" w:eastAsia="Calibri" w:hAnsi="Arial" w:cs="Arial"/>
          <w:sz w:val="20"/>
          <w:szCs w:val="20"/>
          <w:lang w:val="es-ES_tradnl"/>
        </w:rPr>
        <w:t xml:space="preserve"> de 2020. La </w:t>
      </w:r>
      <w:r>
        <w:rPr>
          <w:rFonts w:ascii="Arial" w:eastAsia="Calibri" w:hAnsi="Arial" w:cs="Arial"/>
          <w:sz w:val="20"/>
          <w:szCs w:val="20"/>
          <w:lang w:val="es-ES_tradnl"/>
        </w:rPr>
        <w:t>jurisprudencia</w:t>
      </w:r>
      <w:r w:rsidRPr="005419DA">
        <w:rPr>
          <w:rFonts w:ascii="Arial" w:eastAsia="Calibri" w:hAnsi="Arial" w:cs="Arial"/>
          <w:sz w:val="20"/>
          <w:szCs w:val="20"/>
          <w:lang w:val="es-ES_tradnl"/>
        </w:rPr>
        <w:t xml:space="preserve"> comparte la idea de que los criterios de desempate deben estar establecidos de antemano y constituyen un límite a la discrecionalidad administrativa en los procedimientos de selección.</w:t>
      </w:r>
    </w:p>
    <w:p w14:paraId="12F37450" w14:textId="77777777" w:rsidR="00A611B1" w:rsidRPr="005419DA" w:rsidRDefault="00A611B1" w:rsidP="00A611B1">
      <w:pPr>
        <w:jc w:val="both"/>
        <w:rPr>
          <w:rFonts w:ascii="Arial" w:eastAsia="Calibri" w:hAnsi="Arial" w:cs="Arial"/>
          <w:sz w:val="20"/>
          <w:szCs w:val="20"/>
          <w:lang w:val="es-ES_tradnl"/>
        </w:rPr>
      </w:pPr>
    </w:p>
    <w:p w14:paraId="20C1D571" w14:textId="77777777" w:rsidR="00A611B1" w:rsidRPr="005419DA" w:rsidRDefault="00A611B1" w:rsidP="00A611B1">
      <w:pPr>
        <w:jc w:val="both"/>
        <w:rPr>
          <w:rFonts w:ascii="Arial" w:eastAsia="Calibri" w:hAnsi="Arial" w:cs="Arial"/>
          <w:sz w:val="20"/>
          <w:szCs w:val="20"/>
          <w:lang w:val="es-ES_tradnl"/>
        </w:rPr>
      </w:pPr>
      <w:r w:rsidRPr="005419DA">
        <w:rPr>
          <w:rFonts w:ascii="Arial" w:eastAsia="Calibri" w:hAnsi="Arial" w:cs="Arial"/>
          <w:sz w:val="20"/>
          <w:szCs w:val="20"/>
          <w:lang w:val="es-ES_tradnl"/>
        </w:rPr>
        <w:t xml:space="preserve">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 Es más, según el Consejo de Estado, ir en contra de los factores de desempate establecidos expresamente genera la nulidad del contrato, conforme al artículo 44, inciso 1º de la Ley 80 de 1993. </w:t>
      </w:r>
    </w:p>
    <w:p w14:paraId="7B24A529" w14:textId="298FAC10" w:rsidR="008410B1" w:rsidRPr="0079041B" w:rsidRDefault="00D73881" w:rsidP="008410B1">
      <w:pPr>
        <w:jc w:val="both"/>
        <w:rPr>
          <w:rFonts w:ascii="Arial" w:eastAsia="Calibri" w:hAnsi="Arial" w:cs="Arial"/>
          <w:sz w:val="20"/>
          <w:szCs w:val="20"/>
          <w:lang w:val="es-ES_tradnl"/>
        </w:rPr>
      </w:pPr>
      <w:r w:rsidRPr="005419DA">
        <w:rPr>
          <w:rFonts w:ascii="Arial" w:eastAsia="Calibri" w:hAnsi="Arial" w:cs="Arial"/>
          <w:sz w:val="20"/>
          <w:szCs w:val="20"/>
          <w:lang w:val="es-ES_tradnl"/>
        </w:rPr>
        <w:t xml:space="preserve"> </w:t>
      </w:r>
    </w:p>
    <w:p w14:paraId="5C894141" w14:textId="1011AF9F" w:rsidR="00D73881" w:rsidRPr="005419DA" w:rsidRDefault="00D73881" w:rsidP="00D73881">
      <w:pPr>
        <w:jc w:val="both"/>
        <w:rPr>
          <w:rFonts w:ascii="Arial" w:eastAsia="Calibri" w:hAnsi="Arial" w:cs="Arial"/>
          <w:b/>
          <w:sz w:val="22"/>
          <w:lang w:val="es-ES_tradnl"/>
        </w:rPr>
      </w:pPr>
      <w:r w:rsidRPr="005419DA">
        <w:rPr>
          <w:rFonts w:ascii="Arial" w:eastAsia="Calibri" w:hAnsi="Arial" w:cs="Arial"/>
          <w:b/>
          <w:sz w:val="22"/>
          <w:lang w:val="es-ES_tradnl"/>
        </w:rPr>
        <w:t xml:space="preserve">FACTORES DE DESEMPATE </w:t>
      </w:r>
      <w:r w:rsidRPr="005419DA">
        <w:rPr>
          <w:rFonts w:ascii="Arial" w:eastAsia="Calibri" w:hAnsi="Arial" w:cs="Arial"/>
          <w:b/>
          <w:color w:val="000000" w:themeColor="text1"/>
          <w:sz w:val="22"/>
          <w:lang w:val="es-ES_tradnl"/>
        </w:rPr>
        <w:t>–</w:t>
      </w:r>
      <w:r w:rsidRPr="005419DA">
        <w:rPr>
          <w:rFonts w:ascii="Arial" w:eastAsia="Calibri" w:hAnsi="Arial" w:cs="Arial"/>
          <w:b/>
          <w:sz w:val="22"/>
          <w:lang w:val="es-ES_tradnl"/>
        </w:rPr>
        <w:t xml:space="preserve"> Ley </w:t>
      </w:r>
      <w:r w:rsidR="001F0325">
        <w:rPr>
          <w:rFonts w:ascii="Arial" w:eastAsia="Calibri" w:hAnsi="Arial" w:cs="Arial"/>
          <w:b/>
          <w:sz w:val="22"/>
          <w:lang w:val="es-ES_tradnl"/>
        </w:rPr>
        <w:t>2069</w:t>
      </w:r>
      <w:r w:rsidRPr="005419DA">
        <w:rPr>
          <w:rFonts w:ascii="Arial" w:eastAsia="Calibri" w:hAnsi="Arial" w:cs="Arial"/>
          <w:b/>
          <w:sz w:val="22"/>
          <w:lang w:val="es-ES_tradnl"/>
        </w:rPr>
        <w:t xml:space="preserve"> </w:t>
      </w:r>
      <w:r w:rsidRPr="005419DA">
        <w:rPr>
          <w:rFonts w:ascii="Arial" w:eastAsia="Calibri" w:hAnsi="Arial" w:cs="Arial"/>
          <w:b/>
          <w:color w:val="000000" w:themeColor="text1"/>
          <w:sz w:val="22"/>
          <w:lang w:val="es-ES_tradnl"/>
        </w:rPr>
        <w:t xml:space="preserve">– Artículo 35 – </w:t>
      </w:r>
      <w:r w:rsidR="00B213DB">
        <w:rPr>
          <w:rFonts w:ascii="Arial" w:eastAsia="Calibri" w:hAnsi="Arial" w:cs="Arial"/>
          <w:b/>
          <w:color w:val="000000" w:themeColor="text1"/>
          <w:sz w:val="22"/>
          <w:lang w:val="es-ES_tradnl"/>
        </w:rPr>
        <w:t>Vigencia</w:t>
      </w:r>
    </w:p>
    <w:p w14:paraId="4D9EB4C1" w14:textId="20D03020" w:rsidR="00D73881" w:rsidRPr="005419DA" w:rsidRDefault="00D73881" w:rsidP="00B95C30">
      <w:pPr>
        <w:spacing w:line="276" w:lineRule="auto"/>
        <w:jc w:val="both"/>
        <w:rPr>
          <w:rFonts w:ascii="Arial" w:hAnsi="Arial" w:cs="Arial"/>
          <w:noProof/>
          <w:color w:val="000000" w:themeColor="text1"/>
          <w:sz w:val="22"/>
          <w:lang w:val="es-ES_tradnl"/>
        </w:rPr>
      </w:pPr>
    </w:p>
    <w:p w14:paraId="1309897E" w14:textId="77777777" w:rsidR="00B213DB" w:rsidRPr="00B213DB" w:rsidRDefault="00B213DB" w:rsidP="00B213DB">
      <w:pPr>
        <w:jc w:val="both"/>
        <w:rPr>
          <w:rFonts w:ascii="Arial" w:eastAsia="Calibri" w:hAnsi="Arial" w:cs="Arial"/>
          <w:sz w:val="20"/>
          <w:szCs w:val="20"/>
          <w:lang w:val="es-ES_tradnl"/>
        </w:rPr>
      </w:pPr>
      <w:r w:rsidRPr="00B213DB">
        <w:rPr>
          <w:rFonts w:ascii="Arial" w:eastAsia="Calibri" w:hAnsi="Arial" w:cs="Arial"/>
          <w:sz w:val="20"/>
          <w:szCs w:val="20"/>
          <w:lang w:val="es-ES_tradnl"/>
        </w:rPr>
        <w:t>El artículo 35 de la Ley 2069 de 2020 modifica la regulación de los factores de desempate en la contratación estatal. En consideración a que en la consulta se solicita que la Agencia Nacional de Contratación Pública – Colombia Compra Eficiente indique si dicho artículo es de obligatoria aplicación, se aclarará cuál es la interpretación o el sentido que le otorga la Agencia a este tema. Esto sin pasar por alto la novedad de dicho enunciado normativo –dada su reciente entrada en vigencia– y la ausencia de pronunciamientos jurisprudenciales o estudios doctrinarios sobre la materia.</w:t>
      </w:r>
    </w:p>
    <w:p w14:paraId="493627A0" w14:textId="77777777" w:rsidR="00B213DB" w:rsidRDefault="00B213DB" w:rsidP="00B213DB">
      <w:pPr>
        <w:jc w:val="both"/>
        <w:rPr>
          <w:rFonts w:ascii="Arial" w:eastAsia="Calibri" w:hAnsi="Arial" w:cs="Arial"/>
          <w:sz w:val="20"/>
          <w:szCs w:val="20"/>
          <w:lang w:val="es-ES_tradnl"/>
        </w:rPr>
      </w:pPr>
    </w:p>
    <w:p w14:paraId="5B078637" w14:textId="3D9AFBD1" w:rsidR="00B167C8" w:rsidRPr="00B213DB" w:rsidRDefault="00B213DB" w:rsidP="00B213DB">
      <w:pPr>
        <w:jc w:val="both"/>
        <w:rPr>
          <w:rFonts w:ascii="Arial" w:eastAsia="Calibri" w:hAnsi="Arial" w:cs="Arial"/>
          <w:sz w:val="20"/>
          <w:szCs w:val="20"/>
          <w:lang w:val="es-ES_tradnl"/>
        </w:rPr>
      </w:pPr>
      <w:r w:rsidRPr="00B213DB">
        <w:rPr>
          <w:rFonts w:ascii="Arial" w:eastAsia="Calibri" w:hAnsi="Arial" w:cs="Arial"/>
          <w:sz w:val="20"/>
          <w:szCs w:val="20"/>
          <w:lang w:val="es-ES_tradnl"/>
        </w:rPr>
        <w:t xml:space="preserve">Al respecto, pese a que el parágrafo 3 dispone que el Gobierno Nacional podrá regular los supuestos en que concurran dos o más factores de desempate, se considera que el artículo 35 de la Ley 2069 de 2020 goza de aplicación directa desde la fecha de su promulgación, es decir, no requiere de una </w:t>
      </w:r>
      <w:r w:rsidRPr="00B213DB">
        <w:rPr>
          <w:rFonts w:ascii="Arial" w:eastAsia="Calibri" w:hAnsi="Arial" w:cs="Arial"/>
          <w:sz w:val="20"/>
          <w:szCs w:val="20"/>
          <w:lang w:val="es-ES_tradnl"/>
        </w:rPr>
        <w:lastRenderedPageBreak/>
        <w:t>reglamentación previa como presupuesto para su eficacia. Esta precisión reviste importancia, porque algunos enunciados normativos de la Ley bajo análisis establecen un mandato de reglamentación, dirigido al gobierno nacional, como condición para aplicar lo dispuesto en dicha Ley</w:t>
      </w:r>
      <w:r>
        <w:rPr>
          <w:rFonts w:ascii="Arial" w:eastAsia="Calibri" w:hAnsi="Arial" w:cs="Arial"/>
          <w:sz w:val="20"/>
          <w:szCs w:val="20"/>
          <w:lang w:val="es-ES_tradnl"/>
        </w:rPr>
        <w:t>.</w:t>
      </w:r>
    </w:p>
    <w:p w14:paraId="13C27EB7" w14:textId="77777777" w:rsidR="00B167C8" w:rsidRPr="005419DA" w:rsidRDefault="00B167C8" w:rsidP="00B95C30">
      <w:pPr>
        <w:spacing w:line="276" w:lineRule="auto"/>
        <w:jc w:val="both"/>
        <w:rPr>
          <w:rFonts w:ascii="Arial" w:hAnsi="Arial" w:cs="Arial"/>
          <w:noProof/>
          <w:color w:val="000000" w:themeColor="text1"/>
          <w:sz w:val="22"/>
          <w:lang w:val="es-ES_tradnl"/>
        </w:rPr>
      </w:pPr>
    </w:p>
    <w:p w14:paraId="0AB212D3" w14:textId="77777777" w:rsidR="00B167C8" w:rsidRPr="005419DA" w:rsidRDefault="00B167C8" w:rsidP="00B95C30">
      <w:pPr>
        <w:spacing w:line="276" w:lineRule="auto"/>
        <w:jc w:val="both"/>
        <w:rPr>
          <w:rFonts w:ascii="Arial" w:hAnsi="Arial" w:cs="Arial"/>
          <w:noProof/>
          <w:color w:val="000000" w:themeColor="text1"/>
          <w:sz w:val="22"/>
          <w:lang w:val="es-ES_tradnl"/>
        </w:rPr>
      </w:pPr>
    </w:p>
    <w:p w14:paraId="5B23BC21" w14:textId="77777777" w:rsidR="00B167C8" w:rsidRPr="005419DA" w:rsidRDefault="00B167C8" w:rsidP="00B95C30">
      <w:pPr>
        <w:spacing w:line="276" w:lineRule="auto"/>
        <w:jc w:val="both"/>
        <w:rPr>
          <w:rFonts w:ascii="Arial" w:hAnsi="Arial" w:cs="Arial"/>
          <w:noProof/>
          <w:color w:val="000000" w:themeColor="text1"/>
          <w:sz w:val="22"/>
          <w:lang w:val="es-ES_tradnl"/>
        </w:rPr>
      </w:pPr>
    </w:p>
    <w:p w14:paraId="47C05A37" w14:textId="1069F92E" w:rsidR="00F53F4F" w:rsidRPr="005419DA" w:rsidRDefault="00F53F4F" w:rsidP="00B95C30">
      <w:pPr>
        <w:spacing w:line="276" w:lineRule="auto"/>
        <w:jc w:val="both"/>
        <w:rPr>
          <w:rFonts w:ascii="Arial" w:hAnsi="Arial" w:cs="Arial"/>
          <w:noProof/>
          <w:color w:val="000000" w:themeColor="text1"/>
          <w:sz w:val="22"/>
          <w:lang w:val="es-ES_tradnl"/>
        </w:rPr>
      </w:pPr>
    </w:p>
    <w:p w14:paraId="4C890ADD" w14:textId="4072A01E" w:rsidR="00160C01" w:rsidRPr="005419DA" w:rsidRDefault="00160C01" w:rsidP="00B95C30">
      <w:pPr>
        <w:spacing w:line="276" w:lineRule="auto"/>
        <w:jc w:val="both"/>
        <w:rPr>
          <w:rFonts w:ascii="Arial" w:hAnsi="Arial" w:cs="Arial"/>
          <w:noProof/>
          <w:color w:val="000000" w:themeColor="text1"/>
          <w:sz w:val="22"/>
          <w:lang w:val="es-ES_tradnl"/>
        </w:rPr>
      </w:pPr>
    </w:p>
    <w:p w14:paraId="087584F4" w14:textId="1F7A4741" w:rsidR="00160C01" w:rsidRPr="005419DA" w:rsidRDefault="00160C01" w:rsidP="00B95C30">
      <w:pPr>
        <w:spacing w:line="276" w:lineRule="auto"/>
        <w:jc w:val="both"/>
        <w:rPr>
          <w:rFonts w:ascii="Arial" w:hAnsi="Arial" w:cs="Arial"/>
          <w:noProof/>
          <w:color w:val="000000" w:themeColor="text1"/>
          <w:sz w:val="22"/>
          <w:lang w:val="es-ES_tradnl"/>
        </w:rPr>
      </w:pPr>
    </w:p>
    <w:p w14:paraId="310C4E73" w14:textId="402A5058" w:rsidR="00160C01" w:rsidRPr="005419DA" w:rsidRDefault="00160C01" w:rsidP="00B95C30">
      <w:pPr>
        <w:spacing w:line="276" w:lineRule="auto"/>
        <w:jc w:val="both"/>
        <w:rPr>
          <w:rFonts w:ascii="Arial" w:hAnsi="Arial" w:cs="Arial"/>
          <w:noProof/>
          <w:color w:val="000000" w:themeColor="text1"/>
          <w:sz w:val="22"/>
          <w:lang w:val="es-ES_tradnl"/>
        </w:rPr>
      </w:pPr>
    </w:p>
    <w:p w14:paraId="32590D25" w14:textId="1D5A21BB" w:rsidR="00160C01" w:rsidRPr="005419DA" w:rsidRDefault="00160C01" w:rsidP="00B95C30">
      <w:pPr>
        <w:spacing w:line="276" w:lineRule="auto"/>
        <w:jc w:val="both"/>
        <w:rPr>
          <w:rFonts w:ascii="Arial" w:hAnsi="Arial" w:cs="Arial"/>
          <w:noProof/>
          <w:color w:val="000000" w:themeColor="text1"/>
          <w:sz w:val="22"/>
          <w:lang w:val="es-ES_tradnl"/>
        </w:rPr>
      </w:pPr>
    </w:p>
    <w:p w14:paraId="25CCBBE2" w14:textId="3A508260" w:rsidR="00160C01" w:rsidRPr="005419DA" w:rsidRDefault="00160C01" w:rsidP="00B95C30">
      <w:pPr>
        <w:spacing w:line="276" w:lineRule="auto"/>
        <w:jc w:val="both"/>
        <w:rPr>
          <w:rFonts w:ascii="Arial" w:hAnsi="Arial" w:cs="Arial"/>
          <w:noProof/>
          <w:color w:val="000000" w:themeColor="text1"/>
          <w:sz w:val="22"/>
          <w:lang w:val="es-ES_tradnl"/>
        </w:rPr>
      </w:pPr>
    </w:p>
    <w:p w14:paraId="3DA67C56" w14:textId="77777777" w:rsidR="00160C01" w:rsidRPr="005419DA" w:rsidRDefault="00160C01" w:rsidP="00B95C30">
      <w:pPr>
        <w:spacing w:line="276" w:lineRule="auto"/>
        <w:jc w:val="both"/>
        <w:rPr>
          <w:rFonts w:ascii="Arial" w:hAnsi="Arial" w:cs="Arial"/>
          <w:noProof/>
          <w:color w:val="000000" w:themeColor="text1"/>
          <w:sz w:val="22"/>
          <w:lang w:val="es-ES_tradnl"/>
        </w:rPr>
      </w:pPr>
    </w:p>
    <w:p w14:paraId="12A9C41A" w14:textId="77777777" w:rsidR="00F53F4F" w:rsidRPr="005419DA" w:rsidRDefault="00F53F4F" w:rsidP="00B95C30">
      <w:pPr>
        <w:spacing w:line="276" w:lineRule="auto"/>
        <w:jc w:val="both"/>
        <w:rPr>
          <w:rFonts w:ascii="Arial" w:hAnsi="Arial" w:cs="Arial"/>
          <w:noProof/>
          <w:color w:val="000000" w:themeColor="text1"/>
          <w:sz w:val="22"/>
          <w:lang w:val="es-ES_tradnl"/>
        </w:rPr>
      </w:pPr>
    </w:p>
    <w:p w14:paraId="4656B165" w14:textId="77777777" w:rsidR="00D96E12" w:rsidRDefault="00D96E12" w:rsidP="00B95C30">
      <w:pPr>
        <w:spacing w:line="276" w:lineRule="auto"/>
        <w:jc w:val="both"/>
        <w:rPr>
          <w:rFonts w:ascii="Arial" w:hAnsi="Arial" w:cs="Arial"/>
          <w:noProof/>
          <w:color w:val="000000" w:themeColor="text1"/>
          <w:sz w:val="22"/>
          <w:lang w:val="es-ES_tradnl"/>
        </w:rPr>
      </w:pPr>
    </w:p>
    <w:p w14:paraId="66FE663B" w14:textId="77777777" w:rsidR="00D96E12" w:rsidRDefault="00D96E12" w:rsidP="00B95C30">
      <w:pPr>
        <w:spacing w:line="276" w:lineRule="auto"/>
        <w:jc w:val="both"/>
        <w:rPr>
          <w:rFonts w:ascii="Arial" w:hAnsi="Arial" w:cs="Arial"/>
          <w:noProof/>
          <w:color w:val="000000" w:themeColor="text1"/>
          <w:sz w:val="22"/>
          <w:lang w:val="es-ES_tradnl"/>
        </w:rPr>
      </w:pPr>
    </w:p>
    <w:p w14:paraId="743C273C" w14:textId="77777777" w:rsidR="00D96E12" w:rsidRDefault="00D96E12" w:rsidP="00B95C30">
      <w:pPr>
        <w:spacing w:line="276" w:lineRule="auto"/>
        <w:jc w:val="both"/>
        <w:rPr>
          <w:rFonts w:ascii="Arial" w:hAnsi="Arial" w:cs="Arial"/>
          <w:noProof/>
          <w:color w:val="000000" w:themeColor="text1"/>
          <w:sz w:val="22"/>
          <w:lang w:val="es-ES_tradnl"/>
        </w:rPr>
      </w:pPr>
    </w:p>
    <w:p w14:paraId="7A8FF912" w14:textId="77777777" w:rsidR="00D96E12" w:rsidRDefault="00D96E12" w:rsidP="00B95C30">
      <w:pPr>
        <w:spacing w:line="276" w:lineRule="auto"/>
        <w:jc w:val="both"/>
        <w:rPr>
          <w:rFonts w:ascii="Arial" w:hAnsi="Arial" w:cs="Arial"/>
          <w:noProof/>
          <w:color w:val="000000" w:themeColor="text1"/>
          <w:sz w:val="22"/>
          <w:lang w:val="es-ES_tradnl"/>
        </w:rPr>
      </w:pPr>
    </w:p>
    <w:p w14:paraId="11C0CED8" w14:textId="77777777" w:rsidR="00D96E12" w:rsidRDefault="00D96E12" w:rsidP="00B95C30">
      <w:pPr>
        <w:spacing w:line="276" w:lineRule="auto"/>
        <w:jc w:val="both"/>
        <w:rPr>
          <w:rFonts w:ascii="Arial" w:hAnsi="Arial" w:cs="Arial"/>
          <w:noProof/>
          <w:color w:val="000000" w:themeColor="text1"/>
          <w:sz w:val="22"/>
          <w:lang w:val="es-ES_tradnl"/>
        </w:rPr>
      </w:pPr>
    </w:p>
    <w:p w14:paraId="27401B6D" w14:textId="77777777" w:rsidR="00D96E12" w:rsidRDefault="00D96E12" w:rsidP="00B95C30">
      <w:pPr>
        <w:spacing w:line="276" w:lineRule="auto"/>
        <w:jc w:val="both"/>
        <w:rPr>
          <w:rFonts w:ascii="Arial" w:hAnsi="Arial" w:cs="Arial"/>
          <w:noProof/>
          <w:color w:val="000000" w:themeColor="text1"/>
          <w:sz w:val="22"/>
          <w:lang w:val="es-ES_tradnl"/>
        </w:rPr>
      </w:pPr>
    </w:p>
    <w:p w14:paraId="1315AA73" w14:textId="77777777" w:rsidR="00D96E12" w:rsidRDefault="00D96E12" w:rsidP="00B95C30">
      <w:pPr>
        <w:spacing w:line="276" w:lineRule="auto"/>
        <w:jc w:val="both"/>
        <w:rPr>
          <w:rFonts w:ascii="Arial" w:hAnsi="Arial" w:cs="Arial"/>
          <w:noProof/>
          <w:color w:val="000000" w:themeColor="text1"/>
          <w:sz w:val="22"/>
          <w:lang w:val="es-ES_tradnl"/>
        </w:rPr>
      </w:pPr>
    </w:p>
    <w:p w14:paraId="391143F9" w14:textId="77777777" w:rsidR="00D96E12" w:rsidRDefault="00D96E12" w:rsidP="00B95C30">
      <w:pPr>
        <w:spacing w:line="276" w:lineRule="auto"/>
        <w:jc w:val="both"/>
        <w:rPr>
          <w:rFonts w:ascii="Arial" w:hAnsi="Arial" w:cs="Arial"/>
          <w:noProof/>
          <w:color w:val="000000" w:themeColor="text1"/>
          <w:sz w:val="22"/>
          <w:lang w:val="es-ES_tradnl"/>
        </w:rPr>
      </w:pPr>
    </w:p>
    <w:p w14:paraId="77615FFD" w14:textId="77777777" w:rsidR="00D96E12" w:rsidRDefault="00D96E12" w:rsidP="00B95C30">
      <w:pPr>
        <w:spacing w:line="276" w:lineRule="auto"/>
        <w:jc w:val="both"/>
        <w:rPr>
          <w:rFonts w:ascii="Arial" w:hAnsi="Arial" w:cs="Arial"/>
          <w:noProof/>
          <w:color w:val="000000" w:themeColor="text1"/>
          <w:sz w:val="22"/>
          <w:lang w:val="es-ES_tradnl"/>
        </w:rPr>
      </w:pPr>
    </w:p>
    <w:p w14:paraId="074AECAC" w14:textId="77777777" w:rsidR="00D96E12" w:rsidRDefault="00D96E12" w:rsidP="00B95C30">
      <w:pPr>
        <w:spacing w:line="276" w:lineRule="auto"/>
        <w:jc w:val="both"/>
        <w:rPr>
          <w:rFonts w:ascii="Arial" w:hAnsi="Arial" w:cs="Arial"/>
          <w:noProof/>
          <w:color w:val="000000" w:themeColor="text1"/>
          <w:sz w:val="22"/>
          <w:lang w:val="es-ES_tradnl"/>
        </w:rPr>
      </w:pPr>
    </w:p>
    <w:p w14:paraId="49960E0B" w14:textId="77777777" w:rsidR="00D96E12" w:rsidRDefault="00D96E12" w:rsidP="00B95C30">
      <w:pPr>
        <w:spacing w:line="276" w:lineRule="auto"/>
        <w:jc w:val="both"/>
        <w:rPr>
          <w:rFonts w:ascii="Arial" w:hAnsi="Arial" w:cs="Arial"/>
          <w:noProof/>
          <w:color w:val="000000" w:themeColor="text1"/>
          <w:sz w:val="22"/>
          <w:lang w:val="es-ES_tradnl"/>
        </w:rPr>
      </w:pPr>
    </w:p>
    <w:p w14:paraId="16EDCA5E" w14:textId="77777777" w:rsidR="00D96E12" w:rsidRDefault="00D96E12" w:rsidP="00B95C30">
      <w:pPr>
        <w:spacing w:line="276" w:lineRule="auto"/>
        <w:jc w:val="both"/>
        <w:rPr>
          <w:rFonts w:ascii="Arial" w:hAnsi="Arial" w:cs="Arial"/>
          <w:noProof/>
          <w:color w:val="000000" w:themeColor="text1"/>
          <w:sz w:val="22"/>
          <w:lang w:val="es-ES_tradnl"/>
        </w:rPr>
      </w:pPr>
    </w:p>
    <w:p w14:paraId="3223EF74" w14:textId="77777777" w:rsidR="00D96E12" w:rsidRDefault="00D96E12" w:rsidP="00B95C30">
      <w:pPr>
        <w:spacing w:line="276" w:lineRule="auto"/>
        <w:jc w:val="both"/>
        <w:rPr>
          <w:rFonts w:ascii="Arial" w:hAnsi="Arial" w:cs="Arial"/>
          <w:noProof/>
          <w:color w:val="000000" w:themeColor="text1"/>
          <w:sz w:val="22"/>
          <w:lang w:val="es-ES_tradnl"/>
        </w:rPr>
      </w:pPr>
    </w:p>
    <w:p w14:paraId="27C4CE6D" w14:textId="77777777" w:rsidR="00D96E12" w:rsidRDefault="00D96E12" w:rsidP="00B95C30">
      <w:pPr>
        <w:spacing w:line="276" w:lineRule="auto"/>
        <w:jc w:val="both"/>
        <w:rPr>
          <w:rFonts w:ascii="Arial" w:hAnsi="Arial" w:cs="Arial"/>
          <w:noProof/>
          <w:color w:val="000000" w:themeColor="text1"/>
          <w:sz w:val="22"/>
          <w:lang w:val="es-ES_tradnl"/>
        </w:rPr>
      </w:pPr>
    </w:p>
    <w:p w14:paraId="00F16F80" w14:textId="77777777" w:rsidR="00D96E12" w:rsidRDefault="00D96E12" w:rsidP="00B95C30">
      <w:pPr>
        <w:spacing w:line="276" w:lineRule="auto"/>
        <w:jc w:val="both"/>
        <w:rPr>
          <w:rFonts w:ascii="Arial" w:hAnsi="Arial" w:cs="Arial"/>
          <w:noProof/>
          <w:color w:val="000000" w:themeColor="text1"/>
          <w:sz w:val="22"/>
          <w:lang w:val="es-ES_tradnl"/>
        </w:rPr>
      </w:pPr>
    </w:p>
    <w:p w14:paraId="0122D04E" w14:textId="77777777" w:rsidR="00D96E12" w:rsidRDefault="00D96E12" w:rsidP="00B95C30">
      <w:pPr>
        <w:spacing w:line="276" w:lineRule="auto"/>
        <w:jc w:val="both"/>
        <w:rPr>
          <w:rFonts w:ascii="Arial" w:hAnsi="Arial" w:cs="Arial"/>
          <w:noProof/>
          <w:color w:val="000000" w:themeColor="text1"/>
          <w:sz w:val="22"/>
          <w:lang w:val="es-ES_tradnl"/>
        </w:rPr>
      </w:pPr>
    </w:p>
    <w:p w14:paraId="58DEACE6" w14:textId="77777777" w:rsidR="00D96E12" w:rsidRDefault="00D96E12" w:rsidP="00B95C30">
      <w:pPr>
        <w:spacing w:line="276" w:lineRule="auto"/>
        <w:jc w:val="both"/>
        <w:rPr>
          <w:rFonts w:ascii="Arial" w:hAnsi="Arial" w:cs="Arial"/>
          <w:noProof/>
          <w:color w:val="000000" w:themeColor="text1"/>
          <w:sz w:val="22"/>
          <w:lang w:val="es-ES_tradnl"/>
        </w:rPr>
      </w:pPr>
    </w:p>
    <w:p w14:paraId="03EDBD31" w14:textId="77777777" w:rsidR="00D96E12" w:rsidRDefault="00D96E12" w:rsidP="00B95C30">
      <w:pPr>
        <w:spacing w:line="276" w:lineRule="auto"/>
        <w:jc w:val="both"/>
        <w:rPr>
          <w:rFonts w:ascii="Arial" w:hAnsi="Arial" w:cs="Arial"/>
          <w:noProof/>
          <w:color w:val="000000" w:themeColor="text1"/>
          <w:sz w:val="22"/>
          <w:lang w:val="es-ES_tradnl"/>
        </w:rPr>
      </w:pPr>
    </w:p>
    <w:p w14:paraId="095ECC05" w14:textId="77777777" w:rsidR="00D96E12" w:rsidRDefault="00D96E12" w:rsidP="00B95C30">
      <w:pPr>
        <w:spacing w:line="276" w:lineRule="auto"/>
        <w:jc w:val="both"/>
        <w:rPr>
          <w:rFonts w:ascii="Arial" w:hAnsi="Arial" w:cs="Arial"/>
          <w:noProof/>
          <w:color w:val="000000" w:themeColor="text1"/>
          <w:sz w:val="22"/>
          <w:lang w:val="es-ES_tradnl"/>
        </w:rPr>
      </w:pPr>
    </w:p>
    <w:p w14:paraId="7908CE12" w14:textId="77777777" w:rsidR="00D96E12" w:rsidRDefault="00D96E12" w:rsidP="00B95C30">
      <w:pPr>
        <w:spacing w:line="276" w:lineRule="auto"/>
        <w:jc w:val="both"/>
        <w:rPr>
          <w:rFonts w:ascii="Arial" w:hAnsi="Arial" w:cs="Arial"/>
          <w:noProof/>
          <w:color w:val="000000" w:themeColor="text1"/>
          <w:sz w:val="22"/>
          <w:lang w:val="es-ES_tradnl"/>
        </w:rPr>
      </w:pPr>
    </w:p>
    <w:p w14:paraId="7EC72D14" w14:textId="77777777" w:rsidR="00D96E12" w:rsidRDefault="00D96E12" w:rsidP="00B95C30">
      <w:pPr>
        <w:spacing w:line="276" w:lineRule="auto"/>
        <w:jc w:val="both"/>
        <w:rPr>
          <w:rFonts w:ascii="Arial" w:hAnsi="Arial" w:cs="Arial"/>
          <w:noProof/>
          <w:color w:val="000000" w:themeColor="text1"/>
          <w:sz w:val="22"/>
          <w:lang w:val="es-ES_tradnl"/>
        </w:rPr>
      </w:pPr>
    </w:p>
    <w:p w14:paraId="7F675A47" w14:textId="77777777" w:rsidR="008D5BB1" w:rsidRDefault="008D5BB1" w:rsidP="00B95C30">
      <w:pPr>
        <w:spacing w:line="276" w:lineRule="auto"/>
        <w:jc w:val="both"/>
        <w:rPr>
          <w:rFonts w:ascii="Arial" w:hAnsi="Arial" w:cs="Arial"/>
          <w:noProof/>
          <w:color w:val="000000" w:themeColor="text1"/>
          <w:sz w:val="22"/>
          <w:lang w:val="es-ES_tradnl"/>
        </w:rPr>
      </w:pPr>
    </w:p>
    <w:p w14:paraId="6FDAF1A8" w14:textId="77777777" w:rsidR="008D5BB1" w:rsidRDefault="008D5BB1" w:rsidP="00B95C30">
      <w:pPr>
        <w:spacing w:line="276" w:lineRule="auto"/>
        <w:jc w:val="both"/>
        <w:rPr>
          <w:rFonts w:ascii="Arial" w:hAnsi="Arial" w:cs="Arial"/>
          <w:noProof/>
          <w:color w:val="000000" w:themeColor="text1"/>
          <w:sz w:val="22"/>
          <w:lang w:val="es-ES_tradnl"/>
        </w:rPr>
      </w:pPr>
    </w:p>
    <w:p w14:paraId="68B87EA4" w14:textId="77777777" w:rsidR="008D5BB1" w:rsidRDefault="008D5BB1" w:rsidP="00B95C30">
      <w:pPr>
        <w:spacing w:line="276" w:lineRule="auto"/>
        <w:jc w:val="both"/>
        <w:rPr>
          <w:rFonts w:ascii="Arial" w:hAnsi="Arial" w:cs="Arial"/>
          <w:noProof/>
          <w:color w:val="000000" w:themeColor="text1"/>
          <w:sz w:val="22"/>
          <w:lang w:val="es-ES_tradnl"/>
        </w:rPr>
      </w:pPr>
    </w:p>
    <w:p w14:paraId="7AD4C737" w14:textId="77777777" w:rsidR="008D5BB1" w:rsidRDefault="008D5BB1" w:rsidP="00B95C30">
      <w:pPr>
        <w:spacing w:line="276" w:lineRule="auto"/>
        <w:jc w:val="both"/>
        <w:rPr>
          <w:rFonts w:ascii="Arial" w:hAnsi="Arial" w:cs="Arial"/>
          <w:noProof/>
          <w:color w:val="000000" w:themeColor="text1"/>
          <w:sz w:val="22"/>
          <w:lang w:val="es-ES_tradnl"/>
        </w:rPr>
      </w:pPr>
    </w:p>
    <w:p w14:paraId="17572024" w14:textId="77777777" w:rsidR="008D5BB1" w:rsidRDefault="008D5BB1" w:rsidP="00B95C30">
      <w:pPr>
        <w:spacing w:line="276" w:lineRule="auto"/>
        <w:jc w:val="both"/>
        <w:rPr>
          <w:rFonts w:ascii="Arial" w:hAnsi="Arial" w:cs="Arial"/>
          <w:noProof/>
          <w:color w:val="000000" w:themeColor="text1"/>
          <w:sz w:val="22"/>
          <w:lang w:val="es-ES_tradnl"/>
        </w:rPr>
      </w:pPr>
    </w:p>
    <w:p w14:paraId="75FC04FF" w14:textId="77777777" w:rsidR="00450D80" w:rsidRDefault="00450D80" w:rsidP="00B95C30">
      <w:pPr>
        <w:spacing w:line="276" w:lineRule="auto"/>
        <w:jc w:val="both"/>
        <w:rPr>
          <w:rFonts w:ascii="Arial" w:hAnsi="Arial" w:cs="Arial"/>
          <w:noProof/>
          <w:color w:val="000000" w:themeColor="text1"/>
          <w:sz w:val="22"/>
          <w:lang w:val="es-ES_tradnl"/>
        </w:rPr>
      </w:pPr>
    </w:p>
    <w:p w14:paraId="01971546" w14:textId="77777777" w:rsidR="00450D80" w:rsidRDefault="00450D80" w:rsidP="00B95C30">
      <w:pPr>
        <w:spacing w:line="276" w:lineRule="auto"/>
        <w:jc w:val="both"/>
        <w:rPr>
          <w:rFonts w:ascii="Arial" w:hAnsi="Arial" w:cs="Arial"/>
          <w:noProof/>
          <w:color w:val="000000" w:themeColor="text1"/>
          <w:sz w:val="22"/>
          <w:lang w:val="es-ES_tradnl"/>
        </w:rPr>
      </w:pPr>
    </w:p>
    <w:p w14:paraId="7DD48F49" w14:textId="645676E5" w:rsidR="00B95C30" w:rsidRPr="005419DA" w:rsidRDefault="00B95C30" w:rsidP="00B95C30">
      <w:pPr>
        <w:spacing w:line="276" w:lineRule="auto"/>
        <w:jc w:val="both"/>
        <w:rPr>
          <w:rFonts w:ascii="Arial" w:hAnsi="Arial" w:cs="Arial"/>
          <w:b/>
          <w:bCs/>
          <w:noProof/>
          <w:color w:val="000000" w:themeColor="text1"/>
          <w:sz w:val="22"/>
          <w:lang w:val="es-ES_tradnl"/>
        </w:rPr>
      </w:pPr>
      <w:r w:rsidRPr="005419DA">
        <w:rPr>
          <w:rFonts w:ascii="Arial" w:hAnsi="Arial" w:cs="Arial"/>
          <w:noProof/>
          <w:color w:val="000000" w:themeColor="text1"/>
          <w:sz w:val="22"/>
          <w:lang w:val="es-ES_tradnl"/>
        </w:rPr>
        <w:t xml:space="preserve">Bogotá D.C., </w:t>
      </w:r>
      <w:r w:rsidR="00654315">
        <w:rPr>
          <w:rFonts w:ascii="Arial" w:hAnsi="Arial" w:cs="Arial"/>
          <w:b/>
          <w:bCs/>
          <w:noProof/>
          <w:color w:val="000000" w:themeColor="text1"/>
          <w:sz w:val="22"/>
          <w:lang w:val="es-ES_tradnl"/>
        </w:rPr>
        <w:t>23/02/2021</w:t>
      </w:r>
      <w:r w:rsidR="00A019E9">
        <w:rPr>
          <w:rFonts w:ascii="Arial" w:hAnsi="Arial" w:cs="Arial"/>
          <w:b/>
          <w:bCs/>
          <w:noProof/>
          <w:color w:val="000000" w:themeColor="text1"/>
          <w:sz w:val="22"/>
          <w:lang w:val="es-ES_tradnl"/>
        </w:rPr>
        <w:t xml:space="preserve"> 19:12:31</w:t>
      </w:r>
    </w:p>
    <w:p w14:paraId="1F928DBD" w14:textId="77777777" w:rsidR="00F53F4F" w:rsidRPr="005419DA" w:rsidRDefault="00F53F4F" w:rsidP="00B95C30">
      <w:pPr>
        <w:spacing w:line="276" w:lineRule="auto"/>
        <w:jc w:val="both"/>
        <w:rPr>
          <w:rFonts w:ascii="Arial" w:eastAsia="Calibri" w:hAnsi="Arial" w:cs="Arial"/>
          <w:noProof/>
          <w:color w:val="000000" w:themeColor="text1"/>
          <w:sz w:val="22"/>
          <w:szCs w:val="22"/>
          <w:lang w:val="es-ES_tradnl"/>
        </w:rPr>
      </w:pPr>
    </w:p>
    <w:p w14:paraId="0E51ECA3" w14:textId="0FFA2499" w:rsidR="00A019E9" w:rsidRPr="00A019E9" w:rsidRDefault="00A019E9" w:rsidP="00A019E9">
      <w:pPr>
        <w:jc w:val="right"/>
      </w:pPr>
      <w:r w:rsidRPr="00A019E9">
        <w:fldChar w:fldCharType="begin"/>
      </w:r>
      <w:r w:rsidRPr="00A019E9">
        <w:instrText xml:space="preserve"> INCLUDEPICTURE "/var/folders/5l/v1rdjm0x1x9416lmbj7_vjt40000gn/T/com.microsoft.Word/WebArchiveCopyPasteTempFiles/page1image1818176" \* MERGEFORMATINET </w:instrText>
      </w:r>
      <w:r w:rsidRPr="00A019E9">
        <w:fldChar w:fldCharType="separate"/>
      </w:r>
      <w:r w:rsidRPr="00A019E9">
        <w:rPr>
          <w:noProof/>
        </w:rPr>
        <w:drawing>
          <wp:inline distT="0" distB="0" distL="0" distR="0" wp14:anchorId="0DB5B0F2" wp14:editId="2FC0BC07">
            <wp:extent cx="2399030" cy="609600"/>
            <wp:effectExtent l="0" t="0" r="1270" b="0"/>
            <wp:docPr id="4" name="Imagen 4" descr="page1image1818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81817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99030" cy="609600"/>
                    </a:xfrm>
                    <a:prstGeom prst="rect">
                      <a:avLst/>
                    </a:prstGeom>
                    <a:noFill/>
                    <a:ln>
                      <a:noFill/>
                    </a:ln>
                  </pic:spPr>
                </pic:pic>
              </a:graphicData>
            </a:graphic>
          </wp:inline>
        </w:drawing>
      </w:r>
      <w:r w:rsidRPr="00A019E9">
        <w:fldChar w:fldCharType="end"/>
      </w:r>
    </w:p>
    <w:p w14:paraId="6A8A869B" w14:textId="514D7C5B" w:rsidR="00B95C30" w:rsidRPr="005419DA" w:rsidRDefault="00B95C30" w:rsidP="00B95C30">
      <w:pPr>
        <w:jc w:val="both"/>
        <w:rPr>
          <w:rFonts w:ascii="Arial" w:hAnsi="Arial" w:cs="Arial"/>
          <w:b/>
          <w:color w:val="000000" w:themeColor="text1"/>
          <w:sz w:val="22"/>
          <w:lang w:val="es-ES_tradnl"/>
        </w:rPr>
      </w:pPr>
    </w:p>
    <w:p w14:paraId="24A88D3F" w14:textId="77777777" w:rsidR="00F53F4F" w:rsidRPr="005419DA" w:rsidRDefault="00F53F4F" w:rsidP="00B95C30">
      <w:pPr>
        <w:jc w:val="both"/>
        <w:rPr>
          <w:rFonts w:ascii="Arial" w:hAnsi="Arial" w:cs="Arial"/>
          <w:b/>
          <w:color w:val="000000" w:themeColor="text1"/>
          <w:sz w:val="22"/>
          <w:lang w:val="es-ES_tradnl"/>
        </w:rPr>
      </w:pPr>
    </w:p>
    <w:p w14:paraId="5F5AE9EF" w14:textId="040BA373" w:rsidR="00B95C30" w:rsidRPr="005419DA" w:rsidRDefault="00BE4FBF" w:rsidP="00B95C30">
      <w:pPr>
        <w:jc w:val="both"/>
        <w:rPr>
          <w:rFonts w:ascii="Arial" w:eastAsia="Calibri" w:hAnsi="Arial" w:cs="Arial"/>
          <w:color w:val="000000" w:themeColor="text1"/>
          <w:sz w:val="22"/>
          <w:lang w:val="es-ES_tradnl"/>
        </w:rPr>
      </w:pPr>
      <w:r w:rsidRPr="005419DA">
        <w:rPr>
          <w:rFonts w:ascii="Arial" w:eastAsia="Calibri" w:hAnsi="Arial" w:cs="Arial"/>
          <w:color w:val="000000" w:themeColor="text1"/>
          <w:sz w:val="22"/>
          <w:lang w:val="es-ES_tradnl"/>
        </w:rPr>
        <w:t>Señor</w:t>
      </w:r>
      <w:r w:rsidR="005463C7">
        <w:rPr>
          <w:rFonts w:ascii="Arial" w:eastAsia="Calibri" w:hAnsi="Arial" w:cs="Arial"/>
          <w:color w:val="000000" w:themeColor="text1"/>
          <w:sz w:val="22"/>
          <w:lang w:val="es-ES_tradnl"/>
        </w:rPr>
        <w:t>es</w:t>
      </w:r>
    </w:p>
    <w:p w14:paraId="3DCD58CE" w14:textId="1A2B2BAC" w:rsidR="00B95C30" w:rsidRPr="005419DA" w:rsidRDefault="005463C7" w:rsidP="00B95C30">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Grupo EDK S.A.S.</w:t>
      </w:r>
    </w:p>
    <w:p w14:paraId="09D4AEA8" w14:textId="0B221035" w:rsidR="00B95C30" w:rsidRPr="005419DA" w:rsidRDefault="005463C7" w:rsidP="00B95C30">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Soacha</w:t>
      </w:r>
    </w:p>
    <w:p w14:paraId="3B584A57" w14:textId="4528CA3D" w:rsidR="00F53F4F" w:rsidRPr="005419DA" w:rsidRDefault="00F53F4F" w:rsidP="00B95C30">
      <w:pPr>
        <w:jc w:val="both"/>
        <w:rPr>
          <w:rFonts w:ascii="Arial" w:eastAsia="Calibri" w:hAnsi="Arial" w:cs="Arial"/>
          <w:color w:val="000000" w:themeColor="text1"/>
          <w:sz w:val="22"/>
          <w:lang w:val="es-ES_tradnl"/>
        </w:rPr>
      </w:pPr>
    </w:p>
    <w:p w14:paraId="48E36FCF" w14:textId="77777777" w:rsidR="00F53F4F" w:rsidRPr="005419DA" w:rsidRDefault="00F53F4F" w:rsidP="00B95C30">
      <w:pPr>
        <w:jc w:val="both"/>
        <w:rPr>
          <w:rFonts w:ascii="Arial" w:eastAsia="Calibri" w:hAnsi="Arial" w:cs="Arial"/>
          <w:color w:val="000000" w:themeColor="text1"/>
          <w:sz w:val="22"/>
          <w:lang w:val="es-ES_tradnl"/>
        </w:rPr>
      </w:pPr>
    </w:p>
    <w:p w14:paraId="12E66182" w14:textId="23394A22" w:rsidR="00B95C30" w:rsidRPr="005419DA" w:rsidRDefault="00F53F4F" w:rsidP="001D6CD2">
      <w:pPr>
        <w:rPr>
          <w:rFonts w:ascii="Arial" w:eastAsia="Calibri" w:hAnsi="Arial" w:cs="Arial"/>
          <w:b/>
          <w:bCs/>
          <w:color w:val="000000" w:themeColor="text1"/>
          <w:sz w:val="22"/>
          <w:lang w:val="es-ES_tradnl"/>
        </w:rPr>
      </w:pPr>
      <w:r w:rsidRPr="005419DA">
        <w:rPr>
          <w:rFonts w:ascii="Arial" w:eastAsia="Calibri" w:hAnsi="Arial" w:cs="Arial"/>
          <w:b/>
          <w:bCs/>
          <w:color w:val="000000" w:themeColor="text1"/>
          <w:sz w:val="22"/>
          <w:lang w:val="es-ES_tradnl"/>
        </w:rPr>
        <w:t xml:space="preserve">                                            </w:t>
      </w:r>
      <w:r w:rsidR="00B95C30" w:rsidRPr="005419DA">
        <w:rPr>
          <w:rFonts w:ascii="Arial" w:eastAsia="Calibri" w:hAnsi="Arial" w:cs="Arial"/>
          <w:b/>
          <w:bCs/>
          <w:color w:val="000000" w:themeColor="text1"/>
          <w:sz w:val="22"/>
          <w:lang w:val="es-ES_tradnl"/>
        </w:rPr>
        <w:t xml:space="preserve">Concepto C ‒ </w:t>
      </w:r>
      <w:r w:rsidR="0047480D">
        <w:rPr>
          <w:rFonts w:ascii="Arial" w:eastAsia="Calibri" w:hAnsi="Arial" w:cs="Arial"/>
          <w:b/>
          <w:bCs/>
          <w:color w:val="000000" w:themeColor="text1"/>
          <w:sz w:val="22"/>
          <w:lang w:val="es-ES_tradnl"/>
        </w:rPr>
        <w:t>0</w:t>
      </w:r>
      <w:r w:rsidR="00AE6547">
        <w:rPr>
          <w:rFonts w:ascii="Arial" w:eastAsia="Calibri" w:hAnsi="Arial" w:cs="Arial"/>
          <w:b/>
          <w:bCs/>
          <w:color w:val="000000" w:themeColor="text1"/>
          <w:sz w:val="22"/>
          <w:lang w:val="es-ES_tradnl"/>
        </w:rPr>
        <w:t xml:space="preserve">81 </w:t>
      </w:r>
      <w:r w:rsidR="00B95C30" w:rsidRPr="005419DA">
        <w:rPr>
          <w:rFonts w:ascii="Arial" w:eastAsia="Calibri" w:hAnsi="Arial" w:cs="Arial"/>
          <w:b/>
          <w:bCs/>
          <w:color w:val="000000" w:themeColor="text1"/>
          <w:sz w:val="22"/>
          <w:lang w:val="es-ES_tradnl"/>
        </w:rPr>
        <w:t>de 202</w:t>
      </w:r>
      <w:r w:rsidR="005E781C" w:rsidRPr="005419DA">
        <w:rPr>
          <w:rFonts w:ascii="Arial" w:eastAsia="Calibri" w:hAnsi="Arial" w:cs="Arial"/>
          <w:b/>
          <w:bCs/>
          <w:color w:val="000000" w:themeColor="text1"/>
          <w:sz w:val="22"/>
          <w:lang w:val="es-ES_tradnl"/>
        </w:rPr>
        <w:t>1</w:t>
      </w:r>
    </w:p>
    <w:p w14:paraId="1BD594F9" w14:textId="77777777" w:rsidR="00B95C30" w:rsidRPr="005419DA"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5419DA" w14:paraId="19DFC051" w14:textId="77777777" w:rsidTr="008F4163">
        <w:tc>
          <w:tcPr>
            <w:tcW w:w="2689" w:type="dxa"/>
          </w:tcPr>
          <w:p w14:paraId="6BC0D1AC" w14:textId="77777777" w:rsidR="00B95C30" w:rsidRPr="005419DA" w:rsidRDefault="00B95C30" w:rsidP="008F4163">
            <w:pPr>
              <w:jc w:val="both"/>
              <w:rPr>
                <w:rFonts w:ascii="Arial" w:eastAsia="Calibri" w:hAnsi="Arial" w:cs="Arial"/>
                <w:color w:val="000000" w:themeColor="text1"/>
                <w:sz w:val="22"/>
                <w:lang w:val="es-ES_tradnl"/>
              </w:rPr>
            </w:pPr>
            <w:r w:rsidRPr="005419DA">
              <w:rPr>
                <w:rFonts w:ascii="Arial" w:eastAsia="Calibri" w:hAnsi="Arial" w:cs="Arial"/>
                <w:b/>
                <w:color w:val="000000" w:themeColor="text1"/>
                <w:sz w:val="22"/>
                <w:lang w:val="es-ES_tradnl"/>
              </w:rPr>
              <w:t>Temas:</w:t>
            </w:r>
            <w:r w:rsidRPr="005419DA">
              <w:rPr>
                <w:rFonts w:ascii="Arial" w:eastAsia="Calibri" w:hAnsi="Arial" w:cs="Arial"/>
                <w:color w:val="000000" w:themeColor="text1"/>
                <w:sz w:val="22"/>
                <w:lang w:val="es-ES_tradnl"/>
              </w:rPr>
              <w:t xml:space="preserve">                                      </w:t>
            </w:r>
          </w:p>
        </w:tc>
        <w:tc>
          <w:tcPr>
            <w:tcW w:w="6237" w:type="dxa"/>
          </w:tcPr>
          <w:p w14:paraId="5F389CAF" w14:textId="59ED2003" w:rsidR="00B95C30" w:rsidRPr="0027683D" w:rsidRDefault="00A54A55" w:rsidP="008F4163">
            <w:pPr>
              <w:jc w:val="both"/>
              <w:rPr>
                <w:rFonts w:ascii="Arial" w:eastAsia="Calibri" w:hAnsi="Arial" w:cs="Arial"/>
                <w:color w:val="000000" w:themeColor="text1"/>
                <w:sz w:val="22"/>
                <w:lang w:val="es-ES_tradnl"/>
              </w:rPr>
            </w:pPr>
            <w:r w:rsidRPr="0027683D">
              <w:rPr>
                <w:rFonts w:ascii="Arial" w:eastAsia="Calibri" w:hAnsi="Arial" w:cs="Arial"/>
                <w:bCs/>
                <w:sz w:val="22"/>
                <w:lang w:val="es-ES_tradnl"/>
              </w:rPr>
              <w:t>LEY DE EMPRENDIMIENTO – Ley 2069 de 2020 – Vigencia / PROMOCIÓN DEL DESARROLLO – Contratación estatal – Ley 2069 – Artículo 34 – Subrogación / SELECCIÓN OBJETIVA – Contratación estatal – Concepto / EMPATE – Procedimiento de selección – Concepto / FACTORES DE DESEMPATE – Características – Límites / FACTORES DE DESEMPATE – Ley 2069 – Artículo 35 – Vigencia</w:t>
            </w:r>
            <w:r w:rsidR="00B95C30" w:rsidRPr="0027683D">
              <w:rPr>
                <w:rFonts w:ascii="Arial" w:eastAsia="Arial" w:hAnsi="Arial" w:cs="Arial"/>
                <w:sz w:val="22"/>
                <w:lang w:val="es-ES_tradnl"/>
              </w:rPr>
              <w:t>.</w:t>
            </w:r>
          </w:p>
        </w:tc>
      </w:tr>
      <w:tr w:rsidR="00B95C30" w:rsidRPr="005419DA" w14:paraId="27CD52AB" w14:textId="77777777" w:rsidTr="008F4163">
        <w:tc>
          <w:tcPr>
            <w:tcW w:w="2689" w:type="dxa"/>
          </w:tcPr>
          <w:p w14:paraId="37E195A1" w14:textId="1BA218D5" w:rsidR="00B95C30" w:rsidRPr="005419DA" w:rsidRDefault="00B95C30" w:rsidP="008F4163">
            <w:pPr>
              <w:spacing w:before="120"/>
              <w:jc w:val="both"/>
              <w:rPr>
                <w:rFonts w:ascii="Arial" w:eastAsia="Calibri" w:hAnsi="Arial" w:cs="Arial"/>
                <w:b/>
                <w:color w:val="000000" w:themeColor="text1"/>
                <w:sz w:val="22"/>
                <w:lang w:val="es-ES_tradnl"/>
              </w:rPr>
            </w:pPr>
            <w:r w:rsidRPr="005419DA">
              <w:rPr>
                <w:rFonts w:ascii="Arial" w:eastAsia="Calibri" w:hAnsi="Arial" w:cs="Arial"/>
                <w:b/>
                <w:color w:val="000000" w:themeColor="text1"/>
                <w:sz w:val="22"/>
                <w:lang w:val="es-ES_tradnl"/>
              </w:rPr>
              <w:t>Radicación:</w:t>
            </w:r>
            <w:r w:rsidRPr="005419DA">
              <w:rPr>
                <w:rFonts w:ascii="Arial" w:eastAsia="Calibri" w:hAnsi="Arial" w:cs="Arial"/>
                <w:color w:val="000000" w:themeColor="text1"/>
                <w:sz w:val="22"/>
                <w:lang w:val="es-ES_tradnl"/>
              </w:rPr>
              <w:t xml:space="preserve">                              </w:t>
            </w:r>
          </w:p>
        </w:tc>
        <w:tc>
          <w:tcPr>
            <w:tcW w:w="6237" w:type="dxa"/>
          </w:tcPr>
          <w:p w14:paraId="09088B1B" w14:textId="111D1D1C" w:rsidR="00B95C30" w:rsidRPr="005419DA" w:rsidRDefault="00B95C30" w:rsidP="008F4163">
            <w:pPr>
              <w:spacing w:before="120"/>
              <w:jc w:val="both"/>
              <w:rPr>
                <w:rFonts w:ascii="Arial" w:eastAsia="Calibri" w:hAnsi="Arial" w:cs="Arial"/>
                <w:color w:val="000000" w:themeColor="text1"/>
                <w:sz w:val="22"/>
                <w:lang w:val="es-ES_tradnl"/>
              </w:rPr>
            </w:pPr>
            <w:r w:rsidRPr="005419DA">
              <w:rPr>
                <w:rFonts w:ascii="Arial" w:eastAsia="Calibri" w:hAnsi="Arial" w:cs="Arial"/>
                <w:color w:val="000000" w:themeColor="text1"/>
                <w:sz w:val="22"/>
                <w:lang w:val="es-ES_tradnl"/>
              </w:rPr>
              <w:t xml:space="preserve">Respuesta a consulta # </w:t>
            </w:r>
            <w:r w:rsidR="00591207" w:rsidRPr="00591207">
              <w:rPr>
                <w:rFonts w:ascii="Arial" w:eastAsia="Calibri" w:hAnsi="Arial" w:cs="Arial"/>
                <w:color w:val="000000" w:themeColor="text1"/>
                <w:sz w:val="22"/>
                <w:lang w:val="es-ES_tradnl"/>
              </w:rPr>
              <w:t>P20210204000920</w:t>
            </w:r>
          </w:p>
        </w:tc>
      </w:tr>
    </w:tbl>
    <w:p w14:paraId="61B55CA4" w14:textId="77777777" w:rsidR="00716BB0" w:rsidRPr="005419DA" w:rsidRDefault="00716BB0" w:rsidP="003C3339">
      <w:pPr>
        <w:jc w:val="both"/>
        <w:rPr>
          <w:rFonts w:ascii="Arial" w:eastAsia="Calibri" w:hAnsi="Arial" w:cs="Arial"/>
          <w:color w:val="000000" w:themeColor="text1"/>
          <w:sz w:val="22"/>
          <w:lang w:val="es-ES_tradnl"/>
        </w:rPr>
      </w:pPr>
    </w:p>
    <w:p w14:paraId="4B9B5156" w14:textId="77777777" w:rsidR="00716BB0" w:rsidRPr="005419DA" w:rsidRDefault="00716BB0" w:rsidP="003C3339">
      <w:pPr>
        <w:jc w:val="both"/>
        <w:rPr>
          <w:rFonts w:ascii="Arial" w:eastAsia="Calibri" w:hAnsi="Arial" w:cs="Arial"/>
          <w:color w:val="000000" w:themeColor="text1"/>
          <w:sz w:val="22"/>
          <w:lang w:val="es-ES_tradnl"/>
        </w:rPr>
      </w:pPr>
    </w:p>
    <w:p w14:paraId="1CF4AEA0" w14:textId="6243848A" w:rsidR="003C3339" w:rsidRPr="005419DA" w:rsidRDefault="003C3339" w:rsidP="003C3339">
      <w:pPr>
        <w:jc w:val="both"/>
        <w:rPr>
          <w:rFonts w:ascii="Arial" w:eastAsia="Calibri" w:hAnsi="Arial" w:cs="Arial"/>
          <w:color w:val="000000" w:themeColor="text1"/>
          <w:sz w:val="22"/>
          <w:lang w:val="es-ES_tradnl"/>
        </w:rPr>
      </w:pPr>
      <w:r w:rsidRPr="005419DA">
        <w:rPr>
          <w:rFonts w:ascii="Arial" w:eastAsia="Calibri" w:hAnsi="Arial" w:cs="Arial"/>
          <w:color w:val="000000" w:themeColor="text1"/>
          <w:sz w:val="22"/>
          <w:lang w:val="es-ES_tradnl"/>
        </w:rPr>
        <w:t>Estimad</w:t>
      </w:r>
      <w:r w:rsidR="00810A15" w:rsidRPr="005419DA">
        <w:rPr>
          <w:rFonts w:ascii="Arial" w:eastAsia="Calibri" w:hAnsi="Arial" w:cs="Arial"/>
          <w:color w:val="000000" w:themeColor="text1"/>
          <w:sz w:val="22"/>
          <w:lang w:val="es-ES_tradnl"/>
        </w:rPr>
        <w:t>o</w:t>
      </w:r>
      <w:r w:rsidR="005463C7">
        <w:rPr>
          <w:rFonts w:ascii="Arial" w:eastAsia="Calibri" w:hAnsi="Arial" w:cs="Arial"/>
          <w:color w:val="000000" w:themeColor="text1"/>
          <w:sz w:val="22"/>
          <w:lang w:val="es-ES_tradnl"/>
        </w:rPr>
        <w:t>s</w:t>
      </w:r>
      <w:r w:rsidRPr="005419DA">
        <w:rPr>
          <w:rFonts w:ascii="Arial" w:eastAsia="Calibri" w:hAnsi="Arial" w:cs="Arial"/>
          <w:color w:val="000000" w:themeColor="text1"/>
          <w:sz w:val="22"/>
          <w:lang w:val="es-ES_tradnl"/>
        </w:rPr>
        <w:t xml:space="preserve"> </w:t>
      </w:r>
      <w:r w:rsidR="0063732C" w:rsidRPr="005419DA">
        <w:rPr>
          <w:rFonts w:ascii="Arial" w:eastAsia="Calibri" w:hAnsi="Arial" w:cs="Arial"/>
          <w:color w:val="000000" w:themeColor="text1"/>
          <w:sz w:val="22"/>
          <w:lang w:val="es-ES_tradnl"/>
        </w:rPr>
        <w:t>señor</w:t>
      </w:r>
      <w:r w:rsidR="005463C7">
        <w:rPr>
          <w:rFonts w:ascii="Arial" w:eastAsia="Calibri" w:hAnsi="Arial" w:cs="Arial"/>
          <w:color w:val="000000" w:themeColor="text1"/>
          <w:sz w:val="22"/>
          <w:lang w:val="es-ES_tradnl"/>
        </w:rPr>
        <w:t>es</w:t>
      </w:r>
      <w:r w:rsidRPr="005419DA">
        <w:rPr>
          <w:rFonts w:ascii="Arial" w:eastAsia="Calibri" w:hAnsi="Arial" w:cs="Arial"/>
          <w:color w:val="000000" w:themeColor="text1"/>
          <w:sz w:val="22"/>
          <w:lang w:val="es-ES_tradnl"/>
        </w:rPr>
        <w:t>:</w:t>
      </w:r>
    </w:p>
    <w:p w14:paraId="1EAE5543" w14:textId="77777777" w:rsidR="00DD5B04" w:rsidRPr="005419DA" w:rsidRDefault="00DD5B04" w:rsidP="00DF76A2">
      <w:pPr>
        <w:jc w:val="both"/>
        <w:rPr>
          <w:rFonts w:ascii="Arial" w:eastAsia="Calibri" w:hAnsi="Arial" w:cs="Arial"/>
          <w:color w:val="000000" w:themeColor="text1"/>
          <w:sz w:val="22"/>
          <w:lang w:val="es-ES_tradnl"/>
        </w:rPr>
      </w:pPr>
    </w:p>
    <w:p w14:paraId="2109B2D3" w14:textId="4D0F57DB" w:rsidR="00DD5B04" w:rsidRPr="005419DA" w:rsidRDefault="00DD5B04" w:rsidP="00DF76A2">
      <w:pPr>
        <w:spacing w:line="276" w:lineRule="auto"/>
        <w:jc w:val="both"/>
        <w:rPr>
          <w:rFonts w:ascii="Arial" w:eastAsia="Calibri" w:hAnsi="Arial" w:cs="Arial"/>
          <w:color w:val="000000" w:themeColor="text1"/>
          <w:sz w:val="22"/>
          <w:lang w:val="es-ES_tradnl"/>
        </w:rPr>
      </w:pPr>
      <w:r w:rsidRPr="005419DA">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5419DA">
        <w:rPr>
          <w:rFonts w:ascii="Arial" w:eastAsia="Calibri" w:hAnsi="Arial" w:cs="Arial"/>
          <w:color w:val="000000" w:themeColor="text1"/>
          <w:sz w:val="22"/>
          <w:lang w:val="es-ES_tradnl"/>
        </w:rPr>
        <w:t xml:space="preserve"> </w:t>
      </w:r>
      <w:r w:rsidRPr="005419DA">
        <w:rPr>
          <w:rFonts w:ascii="Arial" w:eastAsia="Calibri" w:hAnsi="Arial" w:cs="Arial"/>
          <w:color w:val="000000" w:themeColor="text1"/>
          <w:sz w:val="22"/>
          <w:lang w:val="es-ES_tradnl"/>
        </w:rPr>
        <w:t xml:space="preserve">responde su consulta del </w:t>
      </w:r>
      <w:r w:rsidR="00BB0F91">
        <w:rPr>
          <w:rFonts w:ascii="Arial" w:eastAsia="Calibri" w:hAnsi="Arial" w:cs="Arial"/>
          <w:color w:val="000000" w:themeColor="text1"/>
          <w:sz w:val="22"/>
          <w:lang w:val="es-ES_tradnl"/>
        </w:rPr>
        <w:t>4</w:t>
      </w:r>
      <w:r w:rsidR="00FD4AF3" w:rsidRPr="005419DA">
        <w:rPr>
          <w:rFonts w:ascii="Arial" w:eastAsia="Calibri" w:hAnsi="Arial" w:cs="Arial"/>
          <w:color w:val="000000" w:themeColor="text1"/>
          <w:sz w:val="22"/>
          <w:lang w:val="es-ES_tradnl"/>
        </w:rPr>
        <w:t xml:space="preserve"> de </w:t>
      </w:r>
      <w:r w:rsidR="00BB0F91">
        <w:rPr>
          <w:rFonts w:ascii="Arial" w:eastAsia="Calibri" w:hAnsi="Arial" w:cs="Arial"/>
          <w:color w:val="000000" w:themeColor="text1"/>
          <w:sz w:val="22"/>
          <w:lang w:val="es-ES_tradnl"/>
        </w:rPr>
        <w:t>febrero</w:t>
      </w:r>
      <w:r w:rsidRPr="005419DA">
        <w:rPr>
          <w:rFonts w:ascii="Arial" w:eastAsia="Calibri" w:hAnsi="Arial" w:cs="Arial"/>
          <w:color w:val="000000" w:themeColor="text1"/>
          <w:sz w:val="22"/>
          <w:lang w:val="es-ES_tradnl"/>
        </w:rPr>
        <w:t xml:space="preserve"> del</w:t>
      </w:r>
      <w:r w:rsidR="007E74BF" w:rsidRPr="005419DA">
        <w:rPr>
          <w:rFonts w:ascii="Arial" w:eastAsia="Calibri" w:hAnsi="Arial" w:cs="Arial"/>
          <w:color w:val="000000" w:themeColor="text1"/>
          <w:sz w:val="22"/>
          <w:lang w:val="es-ES_tradnl"/>
        </w:rPr>
        <w:t xml:space="preserve"> </w:t>
      </w:r>
      <w:r w:rsidRPr="005419DA">
        <w:rPr>
          <w:rFonts w:ascii="Arial" w:eastAsia="Calibri" w:hAnsi="Arial" w:cs="Arial"/>
          <w:color w:val="000000" w:themeColor="text1"/>
          <w:sz w:val="22"/>
          <w:lang w:val="es-ES_tradnl"/>
        </w:rPr>
        <w:t>202</w:t>
      </w:r>
      <w:r w:rsidR="00FB0880" w:rsidRPr="005419DA">
        <w:rPr>
          <w:rFonts w:ascii="Arial" w:eastAsia="Calibri" w:hAnsi="Arial" w:cs="Arial"/>
          <w:color w:val="000000" w:themeColor="text1"/>
          <w:sz w:val="22"/>
          <w:lang w:val="es-ES_tradnl"/>
        </w:rPr>
        <w:t>1</w:t>
      </w:r>
      <w:r w:rsidR="008C3C57" w:rsidRPr="005419DA">
        <w:rPr>
          <w:rFonts w:ascii="Arial" w:eastAsia="Calibri" w:hAnsi="Arial" w:cs="Arial"/>
          <w:color w:val="000000" w:themeColor="text1"/>
          <w:sz w:val="22"/>
          <w:lang w:val="es-ES_tradnl"/>
        </w:rPr>
        <w:t>.</w:t>
      </w:r>
    </w:p>
    <w:p w14:paraId="0C1E0712" w14:textId="77777777" w:rsidR="00DD5B04" w:rsidRPr="005419DA"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5419DA"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5419DA">
        <w:rPr>
          <w:rFonts w:ascii="Arial" w:eastAsia="Calibri" w:hAnsi="Arial" w:cs="Arial"/>
          <w:b/>
          <w:color w:val="000000" w:themeColor="text1"/>
          <w:sz w:val="22"/>
          <w:lang w:val="es-ES_tradnl"/>
        </w:rPr>
        <w:t xml:space="preserve">Problema planteado </w:t>
      </w:r>
    </w:p>
    <w:p w14:paraId="224B43D3" w14:textId="77777777" w:rsidR="00DD5B04" w:rsidRPr="005419DA"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0B720C21" w:rsidR="00443B55" w:rsidRPr="005419DA" w:rsidRDefault="00DD5B04" w:rsidP="0099583D">
      <w:pPr>
        <w:spacing w:line="276" w:lineRule="auto"/>
        <w:jc w:val="both"/>
        <w:rPr>
          <w:rFonts w:ascii="Arial" w:hAnsi="Arial" w:cs="Arial"/>
          <w:color w:val="000000" w:themeColor="text1"/>
          <w:sz w:val="22"/>
          <w:lang w:val="es-ES_tradnl"/>
        </w:rPr>
      </w:pPr>
      <w:r w:rsidRPr="005419DA">
        <w:rPr>
          <w:rFonts w:ascii="Arial" w:hAnsi="Arial" w:cs="Arial"/>
          <w:color w:val="000000" w:themeColor="text1"/>
          <w:sz w:val="22"/>
          <w:lang w:val="es-ES_tradnl"/>
        </w:rPr>
        <w:t>Usted</w:t>
      </w:r>
      <w:r w:rsidR="007C3907">
        <w:rPr>
          <w:rFonts w:ascii="Arial" w:hAnsi="Arial" w:cs="Arial"/>
          <w:color w:val="000000" w:themeColor="text1"/>
          <w:sz w:val="22"/>
          <w:lang w:val="es-ES_tradnl"/>
        </w:rPr>
        <w:t>es</w:t>
      </w:r>
      <w:r w:rsidRPr="005419DA">
        <w:rPr>
          <w:rFonts w:ascii="Arial" w:hAnsi="Arial" w:cs="Arial"/>
          <w:color w:val="000000" w:themeColor="text1"/>
          <w:sz w:val="22"/>
          <w:lang w:val="es-ES_tradnl"/>
        </w:rPr>
        <w:t xml:space="preserve"> </w:t>
      </w:r>
      <w:r w:rsidR="00B422C0" w:rsidRPr="005419DA">
        <w:rPr>
          <w:rFonts w:ascii="Arial" w:hAnsi="Arial" w:cs="Arial"/>
          <w:color w:val="000000" w:themeColor="text1"/>
          <w:sz w:val="22"/>
          <w:lang w:val="es-ES_tradnl"/>
        </w:rPr>
        <w:t>formula</w:t>
      </w:r>
      <w:r w:rsidR="007C3907">
        <w:rPr>
          <w:rFonts w:ascii="Arial" w:hAnsi="Arial" w:cs="Arial"/>
          <w:color w:val="000000" w:themeColor="text1"/>
          <w:sz w:val="22"/>
          <w:lang w:val="es-ES_tradnl"/>
        </w:rPr>
        <w:t>n</w:t>
      </w:r>
      <w:r w:rsidR="006D46A3" w:rsidRPr="005419DA">
        <w:rPr>
          <w:rFonts w:ascii="Arial" w:hAnsi="Arial" w:cs="Arial"/>
          <w:color w:val="000000" w:themeColor="text1"/>
          <w:sz w:val="22"/>
          <w:lang w:val="es-ES_tradnl"/>
        </w:rPr>
        <w:t xml:space="preserve"> la siguient</w:t>
      </w:r>
      <w:r w:rsidR="003A4C7B">
        <w:rPr>
          <w:rFonts w:ascii="Arial" w:hAnsi="Arial" w:cs="Arial"/>
          <w:color w:val="000000" w:themeColor="text1"/>
          <w:sz w:val="22"/>
          <w:lang w:val="es-ES_tradnl"/>
        </w:rPr>
        <w:t>e consulta</w:t>
      </w:r>
      <w:r w:rsidR="00B422C0" w:rsidRPr="005419DA">
        <w:rPr>
          <w:rFonts w:ascii="Arial" w:hAnsi="Arial" w:cs="Arial"/>
          <w:color w:val="000000" w:themeColor="text1"/>
          <w:sz w:val="22"/>
          <w:lang w:val="es-ES_tradnl"/>
        </w:rPr>
        <w:t>:</w:t>
      </w:r>
      <w:r w:rsidR="007E18DF" w:rsidRPr="005419DA">
        <w:rPr>
          <w:rFonts w:ascii="Arial" w:hAnsi="Arial" w:cs="Arial"/>
          <w:color w:val="000000" w:themeColor="text1"/>
          <w:sz w:val="22"/>
          <w:lang w:val="es-ES_tradnl"/>
        </w:rPr>
        <w:t xml:space="preserve"> </w:t>
      </w:r>
    </w:p>
    <w:p w14:paraId="559EE20C" w14:textId="77777777" w:rsidR="00443B55" w:rsidRPr="005419DA" w:rsidRDefault="00443B55" w:rsidP="0099583D">
      <w:pPr>
        <w:spacing w:line="276" w:lineRule="auto"/>
        <w:jc w:val="both"/>
        <w:rPr>
          <w:rFonts w:ascii="Arial" w:hAnsi="Arial" w:cs="Arial"/>
          <w:color w:val="000000" w:themeColor="text1"/>
          <w:sz w:val="22"/>
          <w:lang w:val="es-ES_tradnl"/>
        </w:rPr>
      </w:pPr>
    </w:p>
    <w:p w14:paraId="7A4F765D" w14:textId="69075B94" w:rsidR="006126A2" w:rsidRPr="006126A2" w:rsidRDefault="001C79A4" w:rsidP="006126A2">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006126A2" w:rsidRPr="006126A2">
        <w:rPr>
          <w:rFonts w:ascii="Arial" w:hAnsi="Arial" w:cs="Arial"/>
          <w:color w:val="000000" w:themeColor="text1"/>
          <w:sz w:val="21"/>
          <w:szCs w:val="21"/>
          <w:lang w:val="es-ES_tradnl"/>
        </w:rPr>
        <w:t>1.</w:t>
      </w:r>
      <w:r w:rsidR="006126A2">
        <w:rPr>
          <w:rFonts w:ascii="Arial" w:hAnsi="Arial" w:cs="Arial"/>
          <w:color w:val="000000" w:themeColor="text1"/>
          <w:sz w:val="21"/>
          <w:szCs w:val="21"/>
          <w:lang w:val="es-ES_tradnl"/>
        </w:rPr>
        <w:t xml:space="preserve"> </w:t>
      </w:r>
      <w:r w:rsidR="006126A2" w:rsidRPr="006126A2">
        <w:rPr>
          <w:rFonts w:ascii="Arial" w:hAnsi="Arial" w:cs="Arial"/>
          <w:color w:val="000000" w:themeColor="text1"/>
          <w:sz w:val="21"/>
          <w:szCs w:val="21"/>
          <w:lang w:val="es-ES_tradnl"/>
        </w:rPr>
        <w:t>La aplicación de la Ley 2040 de 2020 en su artículo 3°, es de obligatoria aplicabilidad en los procesos de contratación públicos?</w:t>
      </w:r>
    </w:p>
    <w:p w14:paraId="7264A298" w14:textId="77777777" w:rsidR="00130053" w:rsidRDefault="00130053" w:rsidP="006126A2">
      <w:pPr>
        <w:ind w:left="709" w:right="709"/>
        <w:jc w:val="both"/>
        <w:rPr>
          <w:rFonts w:ascii="Arial" w:hAnsi="Arial" w:cs="Arial"/>
          <w:color w:val="000000" w:themeColor="text1"/>
          <w:sz w:val="21"/>
          <w:szCs w:val="21"/>
          <w:lang w:val="es-ES_tradnl"/>
        </w:rPr>
      </w:pPr>
    </w:p>
    <w:p w14:paraId="557CC24C" w14:textId="5F3E4186" w:rsidR="006126A2" w:rsidRPr="006126A2" w:rsidRDefault="00130053" w:rsidP="006126A2">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006126A2" w:rsidRPr="006126A2">
        <w:rPr>
          <w:rFonts w:ascii="Arial" w:hAnsi="Arial" w:cs="Arial"/>
          <w:color w:val="000000" w:themeColor="text1"/>
          <w:sz w:val="21"/>
          <w:szCs w:val="21"/>
          <w:lang w:val="es-ES_tradnl"/>
        </w:rPr>
        <w:t xml:space="preserve">2. El </w:t>
      </w:r>
      <w:r w:rsidRPr="006126A2">
        <w:rPr>
          <w:rFonts w:ascii="Arial" w:hAnsi="Arial" w:cs="Arial"/>
          <w:color w:val="000000" w:themeColor="text1"/>
          <w:sz w:val="21"/>
          <w:szCs w:val="21"/>
          <w:lang w:val="es-ES_tradnl"/>
        </w:rPr>
        <w:t>parágrafo</w:t>
      </w:r>
      <w:r w:rsidR="006126A2" w:rsidRPr="006126A2">
        <w:rPr>
          <w:rFonts w:ascii="Arial" w:hAnsi="Arial" w:cs="Arial"/>
          <w:color w:val="000000" w:themeColor="text1"/>
          <w:sz w:val="21"/>
          <w:szCs w:val="21"/>
          <w:lang w:val="es-ES_tradnl"/>
        </w:rPr>
        <w:t xml:space="preserve"> 4° del </w:t>
      </w:r>
      <w:r w:rsidRPr="006126A2">
        <w:rPr>
          <w:rFonts w:ascii="Arial" w:hAnsi="Arial" w:cs="Arial"/>
          <w:color w:val="000000" w:themeColor="text1"/>
          <w:sz w:val="21"/>
          <w:szCs w:val="21"/>
          <w:lang w:val="es-ES_tradnl"/>
        </w:rPr>
        <w:t>artículo</w:t>
      </w:r>
      <w:r w:rsidR="006126A2" w:rsidRPr="006126A2">
        <w:rPr>
          <w:rFonts w:ascii="Arial" w:hAnsi="Arial" w:cs="Arial"/>
          <w:color w:val="000000" w:themeColor="text1"/>
          <w:sz w:val="21"/>
          <w:szCs w:val="21"/>
          <w:lang w:val="es-ES_tradnl"/>
        </w:rPr>
        <w:t xml:space="preserve"> 12 de la Ley 1150 de 2007 esta vigente a la fecha?</w:t>
      </w:r>
      <w:r>
        <w:rPr>
          <w:rFonts w:ascii="Arial" w:hAnsi="Arial" w:cs="Arial"/>
          <w:color w:val="000000" w:themeColor="text1"/>
          <w:sz w:val="21"/>
          <w:szCs w:val="21"/>
          <w:lang w:val="es-ES_tradnl"/>
        </w:rPr>
        <w:t xml:space="preserve"> (sic)</w:t>
      </w:r>
    </w:p>
    <w:p w14:paraId="3FB9AFC6" w14:textId="77777777" w:rsidR="00130053" w:rsidRDefault="00130053" w:rsidP="006126A2">
      <w:pPr>
        <w:ind w:left="709" w:right="709"/>
        <w:jc w:val="both"/>
        <w:rPr>
          <w:rFonts w:ascii="Arial" w:hAnsi="Arial" w:cs="Arial"/>
          <w:color w:val="000000" w:themeColor="text1"/>
          <w:sz w:val="21"/>
          <w:szCs w:val="21"/>
          <w:lang w:val="es-ES_tradnl"/>
        </w:rPr>
      </w:pPr>
    </w:p>
    <w:p w14:paraId="1F640B64" w14:textId="2C7111B8" w:rsidR="00450D80" w:rsidRDefault="00130053" w:rsidP="00450D80">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006126A2" w:rsidRPr="006126A2">
        <w:rPr>
          <w:rFonts w:ascii="Arial" w:hAnsi="Arial" w:cs="Arial"/>
          <w:color w:val="000000" w:themeColor="text1"/>
          <w:sz w:val="21"/>
          <w:szCs w:val="21"/>
          <w:lang w:val="es-ES_tradnl"/>
        </w:rPr>
        <w:t xml:space="preserve">3. La Ley 2069 de 2020 en su </w:t>
      </w:r>
      <w:r w:rsidRPr="006126A2">
        <w:rPr>
          <w:rFonts w:ascii="Arial" w:hAnsi="Arial" w:cs="Arial"/>
          <w:color w:val="000000" w:themeColor="text1"/>
          <w:sz w:val="21"/>
          <w:szCs w:val="21"/>
          <w:lang w:val="es-ES_tradnl"/>
        </w:rPr>
        <w:t>artículo</w:t>
      </w:r>
      <w:r w:rsidR="006126A2" w:rsidRPr="006126A2">
        <w:rPr>
          <w:rFonts w:ascii="Arial" w:hAnsi="Arial" w:cs="Arial"/>
          <w:color w:val="000000" w:themeColor="text1"/>
          <w:sz w:val="21"/>
          <w:szCs w:val="21"/>
          <w:lang w:val="es-ES_tradnl"/>
        </w:rPr>
        <w:t xml:space="preserve"> 35, es de obligatoria aplicabilidad en los procesos de </w:t>
      </w:r>
      <w:r w:rsidRPr="006126A2">
        <w:rPr>
          <w:rFonts w:ascii="Arial" w:hAnsi="Arial" w:cs="Arial"/>
          <w:color w:val="000000" w:themeColor="text1"/>
          <w:sz w:val="21"/>
          <w:szCs w:val="21"/>
          <w:lang w:val="es-ES_tradnl"/>
        </w:rPr>
        <w:t>contratación</w:t>
      </w:r>
      <w:r w:rsidR="006126A2" w:rsidRPr="006126A2">
        <w:rPr>
          <w:rFonts w:ascii="Arial" w:hAnsi="Arial" w:cs="Arial"/>
          <w:color w:val="000000" w:themeColor="text1"/>
          <w:sz w:val="21"/>
          <w:szCs w:val="21"/>
          <w:lang w:val="es-ES_tradnl"/>
        </w:rPr>
        <w:t xml:space="preserve"> realizados con cargo a recursos </w:t>
      </w:r>
      <w:r w:rsidRPr="006126A2">
        <w:rPr>
          <w:rFonts w:ascii="Arial" w:hAnsi="Arial" w:cs="Arial"/>
          <w:color w:val="000000" w:themeColor="text1"/>
          <w:sz w:val="21"/>
          <w:szCs w:val="21"/>
          <w:lang w:val="es-ES_tradnl"/>
        </w:rPr>
        <w:t>públicos</w:t>
      </w:r>
      <w:r w:rsidR="006126A2" w:rsidRPr="006126A2">
        <w:rPr>
          <w:rFonts w:ascii="Arial" w:hAnsi="Arial" w:cs="Arial"/>
          <w:color w:val="000000" w:themeColor="text1"/>
          <w:sz w:val="21"/>
          <w:szCs w:val="21"/>
          <w:lang w:val="es-ES_tradnl"/>
        </w:rPr>
        <w:t>?</w:t>
      </w:r>
      <w:r>
        <w:rPr>
          <w:rFonts w:ascii="Arial" w:hAnsi="Arial" w:cs="Arial"/>
          <w:color w:val="000000" w:themeColor="text1"/>
          <w:sz w:val="21"/>
          <w:szCs w:val="21"/>
          <w:lang w:val="es-ES_tradnl"/>
        </w:rPr>
        <w:t>»</w:t>
      </w:r>
    </w:p>
    <w:p w14:paraId="4BC52E1F" w14:textId="1C17D31B" w:rsidR="00450D80" w:rsidRDefault="00450D80" w:rsidP="00AD33A1">
      <w:pPr>
        <w:ind w:left="709" w:right="709"/>
        <w:jc w:val="both"/>
        <w:rPr>
          <w:rFonts w:ascii="Arial" w:hAnsi="Arial" w:cs="Arial"/>
          <w:color w:val="000000" w:themeColor="text1"/>
          <w:sz w:val="21"/>
          <w:szCs w:val="21"/>
          <w:lang w:val="es-ES_tradnl"/>
        </w:rPr>
      </w:pPr>
    </w:p>
    <w:p w14:paraId="590A80E2" w14:textId="02FF4DC9" w:rsidR="00450D80" w:rsidRDefault="00450D80" w:rsidP="00AD33A1">
      <w:pPr>
        <w:ind w:left="709" w:right="709"/>
        <w:jc w:val="both"/>
        <w:rPr>
          <w:rFonts w:ascii="Arial" w:hAnsi="Arial" w:cs="Arial"/>
          <w:color w:val="000000" w:themeColor="text1"/>
          <w:sz w:val="21"/>
          <w:szCs w:val="21"/>
          <w:lang w:val="es-ES_tradnl"/>
        </w:rPr>
      </w:pPr>
    </w:p>
    <w:p w14:paraId="1757D490" w14:textId="77777777" w:rsidR="00450D80" w:rsidRPr="005419DA" w:rsidRDefault="00450D80" w:rsidP="00AD33A1">
      <w:pPr>
        <w:ind w:left="709" w:right="709"/>
        <w:jc w:val="both"/>
        <w:rPr>
          <w:rFonts w:ascii="Arial" w:hAnsi="Arial" w:cs="Arial"/>
          <w:color w:val="000000" w:themeColor="text1"/>
          <w:sz w:val="21"/>
          <w:szCs w:val="21"/>
          <w:lang w:val="es-ES_tradnl"/>
        </w:rPr>
      </w:pPr>
    </w:p>
    <w:p w14:paraId="124D2DCA" w14:textId="77777777" w:rsidR="00DD5B04" w:rsidRPr="005419DA"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5419DA">
        <w:rPr>
          <w:rFonts w:ascii="Arial" w:eastAsia="Calibri" w:hAnsi="Arial" w:cs="Arial"/>
          <w:b/>
          <w:color w:val="000000" w:themeColor="text1"/>
          <w:sz w:val="22"/>
          <w:lang w:val="es-ES_tradnl"/>
        </w:rPr>
        <w:t>Consideraciones</w:t>
      </w:r>
    </w:p>
    <w:p w14:paraId="7D050D2E" w14:textId="77777777" w:rsidR="00435703" w:rsidRPr="005419DA" w:rsidRDefault="00435703" w:rsidP="00DF76A2">
      <w:pPr>
        <w:spacing w:line="276" w:lineRule="auto"/>
        <w:jc w:val="both"/>
        <w:rPr>
          <w:rFonts w:ascii="Arial" w:eastAsia="Calibri" w:hAnsi="Arial" w:cs="Arial"/>
          <w:color w:val="000000" w:themeColor="text1"/>
          <w:sz w:val="22"/>
          <w:szCs w:val="22"/>
          <w:lang w:val="es-ES_tradnl"/>
        </w:rPr>
      </w:pPr>
    </w:p>
    <w:p w14:paraId="305BC2F1" w14:textId="0EBBD49A" w:rsidR="003C4317" w:rsidRPr="005419DA" w:rsidRDefault="008E30C4" w:rsidP="00271230">
      <w:pPr>
        <w:spacing w:line="276" w:lineRule="auto"/>
        <w:jc w:val="both"/>
        <w:rPr>
          <w:rFonts w:ascii="Arial" w:eastAsia="Calibri" w:hAnsi="Arial" w:cs="Arial"/>
          <w:color w:val="000000" w:themeColor="text1"/>
          <w:sz w:val="22"/>
          <w:szCs w:val="22"/>
          <w:lang w:val="es-ES_tradnl"/>
        </w:rPr>
      </w:pPr>
      <w:r w:rsidRPr="0027683D">
        <w:rPr>
          <w:rFonts w:ascii="Arial" w:eastAsia="Calibri" w:hAnsi="Arial" w:cs="Arial"/>
          <w:color w:val="000000" w:themeColor="text1"/>
          <w:sz w:val="22"/>
          <w:szCs w:val="22"/>
          <w:lang w:val="es-ES_tradnl"/>
        </w:rPr>
        <w:t xml:space="preserve">La Subdirección de Gestión Contractual responderá </w:t>
      </w:r>
      <w:r w:rsidR="00271230" w:rsidRPr="0027683D">
        <w:rPr>
          <w:rFonts w:ascii="Arial" w:eastAsia="Calibri" w:hAnsi="Arial" w:cs="Arial"/>
          <w:color w:val="000000" w:themeColor="text1"/>
          <w:sz w:val="22"/>
          <w:szCs w:val="22"/>
          <w:lang w:val="es-ES_tradnl"/>
        </w:rPr>
        <w:t>la consulta</w:t>
      </w:r>
      <w:r w:rsidRPr="0027683D">
        <w:rPr>
          <w:rFonts w:ascii="Arial" w:eastAsia="Calibri" w:hAnsi="Arial" w:cs="Arial"/>
          <w:color w:val="000000" w:themeColor="text1"/>
          <w:sz w:val="22"/>
          <w:szCs w:val="22"/>
          <w:lang w:val="es-ES_tradnl"/>
        </w:rPr>
        <w:t xml:space="preserve">, </w:t>
      </w:r>
      <w:r w:rsidR="00271230" w:rsidRPr="0027683D">
        <w:rPr>
          <w:rFonts w:ascii="Arial" w:eastAsia="Calibri" w:hAnsi="Arial" w:cs="Arial"/>
          <w:color w:val="000000" w:themeColor="text1"/>
          <w:sz w:val="22"/>
          <w:szCs w:val="22"/>
          <w:lang w:val="es-ES_tradnl"/>
        </w:rPr>
        <w:t>luego de analizar los</w:t>
      </w:r>
      <w:r w:rsidR="00822EC4" w:rsidRPr="0027683D">
        <w:rPr>
          <w:rFonts w:ascii="Arial" w:eastAsia="Calibri" w:hAnsi="Arial" w:cs="Arial"/>
          <w:color w:val="000000" w:themeColor="text1"/>
          <w:sz w:val="22"/>
          <w:szCs w:val="22"/>
          <w:lang w:val="es-ES_tradnl"/>
        </w:rPr>
        <w:t xml:space="preserve"> siguientes temas: </w:t>
      </w:r>
      <w:r w:rsidR="00833ADA" w:rsidRPr="0027683D">
        <w:rPr>
          <w:rFonts w:ascii="Arial" w:eastAsia="Calibri" w:hAnsi="Arial" w:cs="Arial"/>
          <w:color w:val="000000" w:themeColor="text1"/>
          <w:sz w:val="22"/>
          <w:szCs w:val="22"/>
          <w:lang w:val="es-ES_tradnl"/>
        </w:rPr>
        <w:t>i)</w:t>
      </w:r>
      <w:r w:rsidR="008F40DC" w:rsidRPr="0027683D">
        <w:rPr>
          <w:rFonts w:ascii="Arial" w:eastAsia="Calibri" w:hAnsi="Arial" w:cs="Arial"/>
          <w:color w:val="000000" w:themeColor="text1"/>
          <w:sz w:val="22"/>
          <w:szCs w:val="22"/>
          <w:lang w:val="es-ES_tradnl"/>
        </w:rPr>
        <w:t xml:space="preserve"> vigencia y ámbito de aplicación de la Ley </w:t>
      </w:r>
      <w:r w:rsidR="001F0325" w:rsidRPr="0027683D">
        <w:rPr>
          <w:rFonts w:ascii="Arial" w:eastAsia="Calibri" w:hAnsi="Arial" w:cs="Arial"/>
          <w:color w:val="000000" w:themeColor="text1"/>
          <w:sz w:val="22"/>
          <w:szCs w:val="22"/>
          <w:lang w:val="es-ES_tradnl"/>
        </w:rPr>
        <w:t>2069</w:t>
      </w:r>
      <w:r w:rsidR="008F40DC" w:rsidRPr="0027683D">
        <w:rPr>
          <w:rFonts w:ascii="Arial" w:eastAsia="Calibri" w:hAnsi="Arial" w:cs="Arial"/>
          <w:color w:val="000000" w:themeColor="text1"/>
          <w:sz w:val="22"/>
          <w:szCs w:val="22"/>
          <w:lang w:val="es-ES_tradnl"/>
        </w:rPr>
        <w:t xml:space="preserve"> de 2020, ii) </w:t>
      </w:r>
      <w:r w:rsidR="007D7F8F" w:rsidRPr="0027683D">
        <w:rPr>
          <w:rFonts w:ascii="Arial" w:eastAsia="Calibri" w:hAnsi="Arial" w:cs="Arial"/>
          <w:color w:val="000000" w:themeColor="text1"/>
          <w:sz w:val="22"/>
          <w:szCs w:val="22"/>
          <w:lang w:val="es-ES_tradnl"/>
        </w:rPr>
        <w:t>nueva regulación de la promoción del desarrollo en la contratación estatal en el artículo 34 de la Ley 2069 de 2020 y subrogación del artículo 12 de la Ley 1150 de 2007</w:t>
      </w:r>
      <w:r w:rsidR="006C2CC0" w:rsidRPr="0027683D">
        <w:rPr>
          <w:rFonts w:ascii="Arial" w:eastAsia="Calibri" w:hAnsi="Arial" w:cs="Arial"/>
          <w:color w:val="000000" w:themeColor="text1"/>
          <w:sz w:val="22"/>
          <w:szCs w:val="22"/>
          <w:lang w:val="es-ES_tradnl"/>
        </w:rPr>
        <w:t>,</w:t>
      </w:r>
      <w:r w:rsidR="008F40DC" w:rsidRPr="0027683D">
        <w:rPr>
          <w:rFonts w:ascii="Arial" w:eastAsia="Calibri" w:hAnsi="Arial" w:cs="Arial"/>
          <w:color w:val="000000" w:themeColor="text1"/>
          <w:sz w:val="22"/>
          <w:szCs w:val="22"/>
          <w:lang w:val="es-ES_tradnl"/>
        </w:rPr>
        <w:t xml:space="preserve"> iii)</w:t>
      </w:r>
      <w:r w:rsidR="00E420B7" w:rsidRPr="0027683D">
        <w:rPr>
          <w:rFonts w:ascii="Arial" w:eastAsia="Calibri" w:hAnsi="Arial" w:cs="Arial"/>
          <w:color w:val="000000" w:themeColor="text1"/>
          <w:sz w:val="22"/>
          <w:szCs w:val="22"/>
          <w:lang w:val="es-ES_tradnl"/>
        </w:rPr>
        <w:t xml:space="preserve"> </w:t>
      </w:r>
      <w:r w:rsidR="00833ADA" w:rsidRPr="0027683D">
        <w:rPr>
          <w:rFonts w:ascii="Arial" w:eastAsia="Calibri" w:hAnsi="Arial" w:cs="Arial"/>
          <w:color w:val="000000" w:themeColor="text1"/>
          <w:sz w:val="22"/>
          <w:szCs w:val="22"/>
          <w:lang w:val="es-ES_tradnl"/>
        </w:rPr>
        <w:t xml:space="preserve">definición de los criterios de desempate en la contratación estatal </w:t>
      </w:r>
      <w:r w:rsidR="00A12574" w:rsidRPr="0027683D">
        <w:rPr>
          <w:rFonts w:ascii="Arial" w:eastAsia="Calibri" w:hAnsi="Arial" w:cs="Arial"/>
          <w:color w:val="000000" w:themeColor="text1"/>
          <w:sz w:val="22"/>
          <w:szCs w:val="22"/>
          <w:lang w:val="es-ES_tradnl"/>
        </w:rPr>
        <w:t>y</w:t>
      </w:r>
      <w:r w:rsidR="00833ADA" w:rsidRPr="0027683D">
        <w:rPr>
          <w:rFonts w:ascii="Arial" w:eastAsia="Calibri" w:hAnsi="Arial" w:cs="Arial"/>
          <w:color w:val="000000" w:themeColor="text1"/>
          <w:sz w:val="22"/>
          <w:szCs w:val="22"/>
          <w:lang w:val="es-ES_tradnl"/>
        </w:rPr>
        <w:t xml:space="preserve"> </w:t>
      </w:r>
      <w:r w:rsidR="00523F41" w:rsidRPr="0027683D">
        <w:rPr>
          <w:rFonts w:ascii="Arial" w:eastAsia="Calibri" w:hAnsi="Arial" w:cs="Arial"/>
          <w:color w:val="000000" w:themeColor="text1"/>
          <w:sz w:val="22"/>
          <w:szCs w:val="22"/>
          <w:lang w:val="es-ES_tradnl"/>
        </w:rPr>
        <w:t>i</w:t>
      </w:r>
      <w:r w:rsidR="008F40DC" w:rsidRPr="0027683D">
        <w:rPr>
          <w:rFonts w:ascii="Arial" w:eastAsia="Calibri" w:hAnsi="Arial" w:cs="Arial"/>
          <w:color w:val="000000" w:themeColor="text1"/>
          <w:sz w:val="22"/>
          <w:szCs w:val="22"/>
          <w:lang w:val="es-ES_tradnl"/>
        </w:rPr>
        <w:t>v</w:t>
      </w:r>
      <w:r w:rsidR="00523F41" w:rsidRPr="0027683D">
        <w:rPr>
          <w:rFonts w:ascii="Arial" w:eastAsia="Calibri" w:hAnsi="Arial" w:cs="Arial"/>
          <w:color w:val="000000" w:themeColor="text1"/>
          <w:sz w:val="22"/>
          <w:szCs w:val="22"/>
          <w:lang w:val="es-ES_tradnl"/>
        </w:rPr>
        <w:t xml:space="preserve">) </w:t>
      </w:r>
      <w:r w:rsidR="00D43769" w:rsidRPr="0027683D">
        <w:rPr>
          <w:rFonts w:ascii="Arial" w:eastAsia="Calibri" w:hAnsi="Arial" w:cs="Arial"/>
          <w:color w:val="000000" w:themeColor="text1"/>
          <w:sz w:val="22"/>
          <w:szCs w:val="22"/>
          <w:lang w:val="es-ES_tradnl"/>
        </w:rPr>
        <w:t>aplicación obligatoria d</w:t>
      </w:r>
      <w:r w:rsidR="003C4317" w:rsidRPr="0027683D">
        <w:rPr>
          <w:rFonts w:ascii="Arial" w:eastAsia="Calibri" w:hAnsi="Arial" w:cs="Arial"/>
          <w:color w:val="000000" w:themeColor="text1"/>
          <w:sz w:val="22"/>
          <w:szCs w:val="22"/>
          <w:lang w:val="es-ES_tradnl"/>
        </w:rPr>
        <w:t xml:space="preserve">el artículo 35 </w:t>
      </w:r>
      <w:r w:rsidR="00137440" w:rsidRPr="0027683D">
        <w:rPr>
          <w:rFonts w:ascii="Arial" w:eastAsia="Calibri" w:hAnsi="Arial" w:cs="Arial"/>
          <w:color w:val="000000" w:themeColor="text1"/>
          <w:sz w:val="22"/>
          <w:szCs w:val="22"/>
          <w:lang w:val="es-ES_tradnl"/>
        </w:rPr>
        <w:t xml:space="preserve">de la mencionada </w:t>
      </w:r>
      <w:r w:rsidR="003C4317" w:rsidRPr="0027683D">
        <w:rPr>
          <w:rFonts w:ascii="Arial" w:eastAsia="Calibri" w:hAnsi="Arial" w:cs="Arial"/>
          <w:color w:val="000000" w:themeColor="text1"/>
          <w:sz w:val="22"/>
          <w:szCs w:val="22"/>
          <w:lang w:val="es-ES_tradnl"/>
        </w:rPr>
        <w:t>Ley.</w:t>
      </w:r>
    </w:p>
    <w:p w14:paraId="1144E6B3" w14:textId="4D48F172" w:rsidR="00C8331F" w:rsidRPr="005419DA" w:rsidRDefault="00EC1DAE" w:rsidP="00C8331F">
      <w:pPr>
        <w:spacing w:before="120" w:line="276" w:lineRule="auto"/>
        <w:ind w:firstLine="709"/>
        <w:jc w:val="both"/>
        <w:rPr>
          <w:rFonts w:ascii="Arial" w:eastAsia="Calibri" w:hAnsi="Arial" w:cs="Arial"/>
          <w:color w:val="000000" w:themeColor="text1"/>
          <w:sz w:val="22"/>
          <w:szCs w:val="22"/>
          <w:lang w:val="es-ES_tradnl"/>
        </w:rPr>
      </w:pPr>
      <w:r w:rsidRPr="0027683D">
        <w:rPr>
          <w:rFonts w:ascii="Arial" w:eastAsia="Calibri" w:hAnsi="Arial" w:cs="Arial"/>
          <w:color w:val="000000" w:themeColor="text1"/>
          <w:sz w:val="22"/>
          <w:szCs w:val="22"/>
          <w:lang w:val="es-ES_tradnl"/>
        </w:rPr>
        <w:t>E</w:t>
      </w:r>
      <w:r w:rsidR="00C8331F" w:rsidRPr="0027683D">
        <w:rPr>
          <w:rFonts w:ascii="Arial" w:eastAsia="Calibri" w:hAnsi="Arial" w:cs="Arial"/>
          <w:color w:val="000000" w:themeColor="text1"/>
          <w:sz w:val="22"/>
          <w:szCs w:val="22"/>
          <w:lang w:val="es-ES_tradnl"/>
        </w:rPr>
        <w:t>s importante destacar que la Agencia Nacional de Contratación Pública</w:t>
      </w:r>
      <w:r w:rsidRPr="0027683D">
        <w:rPr>
          <w:rFonts w:ascii="Arial" w:eastAsia="Calibri" w:hAnsi="Arial" w:cs="Arial"/>
          <w:color w:val="000000" w:themeColor="text1"/>
          <w:sz w:val="22"/>
          <w:szCs w:val="22"/>
          <w:lang w:val="es-ES_tradnl"/>
        </w:rPr>
        <w:t xml:space="preserve"> – Colombia Compra Eficiente se pronunció, en términos generales, sobre los factores de desempate en los procedimientos de contratación estatal</w:t>
      </w:r>
      <w:r w:rsidR="00442D13" w:rsidRPr="0027683D">
        <w:rPr>
          <w:rFonts w:ascii="Arial" w:eastAsia="Calibri" w:hAnsi="Arial" w:cs="Arial"/>
          <w:color w:val="000000" w:themeColor="text1"/>
          <w:sz w:val="22"/>
          <w:szCs w:val="22"/>
          <w:lang w:val="es-ES_tradnl"/>
        </w:rPr>
        <w:t>,</w:t>
      </w:r>
      <w:r w:rsidR="0091310F" w:rsidRPr="0027683D">
        <w:rPr>
          <w:rFonts w:ascii="Arial" w:eastAsia="Calibri" w:hAnsi="Arial" w:cs="Arial"/>
          <w:color w:val="000000" w:themeColor="text1"/>
          <w:sz w:val="22"/>
          <w:szCs w:val="22"/>
          <w:lang w:val="es-ES_tradnl"/>
        </w:rPr>
        <w:t xml:space="preserve"> en los conceptos C-285 del </w:t>
      </w:r>
      <w:r w:rsidR="00677212" w:rsidRPr="0027683D">
        <w:rPr>
          <w:rFonts w:ascii="Arial" w:eastAsia="Calibri" w:hAnsi="Arial" w:cs="Arial"/>
          <w:color w:val="000000" w:themeColor="text1"/>
          <w:sz w:val="22"/>
          <w:szCs w:val="22"/>
          <w:lang w:val="es-ES_tradnl"/>
        </w:rPr>
        <w:t>4</w:t>
      </w:r>
      <w:r w:rsidR="0091310F" w:rsidRPr="0027683D">
        <w:rPr>
          <w:rFonts w:ascii="Arial" w:eastAsia="Calibri" w:hAnsi="Arial" w:cs="Arial"/>
          <w:color w:val="000000" w:themeColor="text1"/>
          <w:sz w:val="22"/>
          <w:szCs w:val="22"/>
          <w:lang w:val="es-ES_tradnl"/>
        </w:rPr>
        <w:t xml:space="preserve"> de </w:t>
      </w:r>
      <w:r w:rsidR="00677212" w:rsidRPr="0027683D">
        <w:rPr>
          <w:rFonts w:ascii="Arial" w:eastAsia="Calibri" w:hAnsi="Arial" w:cs="Arial"/>
          <w:color w:val="000000" w:themeColor="text1"/>
          <w:sz w:val="22"/>
          <w:szCs w:val="22"/>
          <w:lang w:val="es-ES_tradnl"/>
        </w:rPr>
        <w:t>mayo</w:t>
      </w:r>
      <w:r w:rsidR="0091310F" w:rsidRPr="0027683D">
        <w:rPr>
          <w:rFonts w:ascii="Arial" w:eastAsia="Calibri" w:hAnsi="Arial" w:cs="Arial"/>
          <w:color w:val="000000" w:themeColor="text1"/>
          <w:sz w:val="22"/>
          <w:szCs w:val="22"/>
          <w:lang w:val="es-ES_tradnl"/>
        </w:rPr>
        <w:t xml:space="preserve"> de 2020, </w:t>
      </w:r>
      <w:r w:rsidR="006361C9" w:rsidRPr="0027683D">
        <w:rPr>
          <w:rFonts w:ascii="Arial" w:eastAsia="Calibri" w:hAnsi="Arial" w:cs="Arial"/>
          <w:color w:val="000000" w:themeColor="text1"/>
          <w:sz w:val="22"/>
          <w:szCs w:val="22"/>
          <w:lang w:val="es-ES_tradnl"/>
        </w:rPr>
        <w:t xml:space="preserve">C-481 del </w:t>
      </w:r>
      <w:r w:rsidR="004060DC" w:rsidRPr="0027683D">
        <w:rPr>
          <w:rFonts w:ascii="Arial" w:eastAsia="Calibri" w:hAnsi="Arial" w:cs="Arial"/>
          <w:color w:val="000000" w:themeColor="text1"/>
          <w:sz w:val="22"/>
          <w:szCs w:val="22"/>
          <w:lang w:val="es-ES_tradnl"/>
        </w:rPr>
        <w:t>27</w:t>
      </w:r>
      <w:r w:rsidR="00184219" w:rsidRPr="0027683D">
        <w:rPr>
          <w:rFonts w:ascii="Arial" w:eastAsia="Calibri" w:hAnsi="Arial" w:cs="Arial"/>
          <w:color w:val="000000" w:themeColor="text1"/>
          <w:sz w:val="22"/>
          <w:szCs w:val="22"/>
          <w:lang w:val="es-ES_tradnl"/>
        </w:rPr>
        <w:t xml:space="preserve"> de julio de 2020</w:t>
      </w:r>
      <w:r w:rsidR="006606A4" w:rsidRPr="0027683D">
        <w:rPr>
          <w:rFonts w:ascii="Arial" w:eastAsia="Calibri" w:hAnsi="Arial" w:cs="Arial"/>
          <w:color w:val="000000" w:themeColor="text1"/>
          <w:sz w:val="22"/>
          <w:szCs w:val="22"/>
          <w:lang w:val="es-ES_tradnl"/>
        </w:rPr>
        <w:t xml:space="preserve">, C-514 </w:t>
      </w:r>
      <w:r w:rsidR="002F7961" w:rsidRPr="0027683D">
        <w:rPr>
          <w:rFonts w:ascii="Arial" w:eastAsia="Calibri" w:hAnsi="Arial" w:cs="Arial"/>
          <w:color w:val="000000" w:themeColor="text1"/>
          <w:sz w:val="22"/>
          <w:szCs w:val="22"/>
          <w:lang w:val="es-ES_tradnl"/>
        </w:rPr>
        <w:t xml:space="preserve">y C-535 </w:t>
      </w:r>
      <w:r w:rsidR="006606A4" w:rsidRPr="0027683D">
        <w:rPr>
          <w:rFonts w:ascii="Arial" w:eastAsia="Calibri" w:hAnsi="Arial" w:cs="Arial"/>
          <w:color w:val="000000" w:themeColor="text1"/>
          <w:sz w:val="22"/>
          <w:szCs w:val="22"/>
          <w:lang w:val="es-ES_tradnl"/>
        </w:rPr>
        <w:t>del 26 de agosto de 2020</w:t>
      </w:r>
      <w:r w:rsidR="004060DC" w:rsidRPr="0027683D">
        <w:rPr>
          <w:rFonts w:ascii="Arial" w:eastAsia="Calibri" w:hAnsi="Arial" w:cs="Arial"/>
          <w:color w:val="000000" w:themeColor="text1"/>
          <w:sz w:val="22"/>
          <w:szCs w:val="22"/>
          <w:lang w:val="es-ES_tradnl"/>
        </w:rPr>
        <w:t xml:space="preserve"> y </w:t>
      </w:r>
      <w:r w:rsidR="00F96079" w:rsidRPr="0027683D">
        <w:rPr>
          <w:rFonts w:ascii="Arial" w:eastAsia="Calibri" w:hAnsi="Arial" w:cs="Arial"/>
          <w:color w:val="000000" w:themeColor="text1"/>
          <w:sz w:val="22"/>
          <w:szCs w:val="22"/>
          <w:lang w:val="es-ES_tradnl"/>
        </w:rPr>
        <w:t xml:space="preserve">C-556 del </w:t>
      </w:r>
      <w:r w:rsidR="00E820F4" w:rsidRPr="0027683D">
        <w:rPr>
          <w:rFonts w:ascii="Arial" w:eastAsia="Calibri" w:hAnsi="Arial" w:cs="Arial"/>
          <w:color w:val="000000" w:themeColor="text1"/>
          <w:sz w:val="22"/>
          <w:szCs w:val="22"/>
          <w:lang w:val="es-ES_tradnl"/>
        </w:rPr>
        <w:t>31 de agosto de 2020</w:t>
      </w:r>
      <w:r w:rsidR="004060DC" w:rsidRPr="0027683D">
        <w:rPr>
          <w:rFonts w:ascii="Arial" w:eastAsia="Calibri" w:hAnsi="Arial" w:cs="Arial"/>
          <w:color w:val="000000" w:themeColor="text1"/>
          <w:sz w:val="22"/>
          <w:szCs w:val="22"/>
          <w:lang w:val="es-ES_tradnl"/>
        </w:rPr>
        <w:t>.</w:t>
      </w:r>
      <w:r w:rsidR="00032689" w:rsidRPr="0027683D">
        <w:rPr>
          <w:rFonts w:ascii="Arial" w:eastAsia="Calibri" w:hAnsi="Arial" w:cs="Arial"/>
          <w:color w:val="000000" w:themeColor="text1"/>
          <w:sz w:val="22"/>
          <w:szCs w:val="22"/>
          <w:lang w:val="es-ES_tradnl"/>
        </w:rPr>
        <w:t xml:space="preserve"> Además, recientemente se expidieron los conceptos </w:t>
      </w:r>
      <w:r w:rsidR="00547778" w:rsidRPr="0027683D">
        <w:rPr>
          <w:rFonts w:ascii="Arial" w:eastAsia="Calibri" w:hAnsi="Arial" w:cs="Arial"/>
          <w:color w:val="000000" w:themeColor="text1"/>
          <w:sz w:val="22"/>
          <w:szCs w:val="22"/>
          <w:lang w:val="es-ES_tradnl"/>
        </w:rPr>
        <w:t xml:space="preserve">C-009, C-012, C-013, </w:t>
      </w:r>
      <w:r w:rsidR="00A51D65" w:rsidRPr="0027683D">
        <w:rPr>
          <w:rFonts w:ascii="Arial" w:eastAsia="Calibri" w:hAnsi="Arial" w:cs="Arial"/>
          <w:color w:val="000000" w:themeColor="text1"/>
          <w:sz w:val="22"/>
          <w:szCs w:val="22"/>
          <w:lang w:val="es-ES_tradnl"/>
        </w:rPr>
        <w:t>C-015, C-016 y C-026, del 4 de febrero de 2020, en los que s</w:t>
      </w:r>
      <w:r w:rsidR="00C43E53" w:rsidRPr="0027683D">
        <w:rPr>
          <w:rFonts w:ascii="Arial" w:eastAsia="Calibri" w:hAnsi="Arial" w:cs="Arial"/>
          <w:color w:val="000000" w:themeColor="text1"/>
          <w:sz w:val="22"/>
          <w:szCs w:val="22"/>
          <w:lang w:val="es-ES_tradnl"/>
        </w:rPr>
        <w:t>e analizó la vigencia y forma de acreditación de los factores de desempate contenidos en el artículo 35 de la Ley 2069 de 202</w:t>
      </w:r>
      <w:r w:rsidR="00F32356" w:rsidRPr="0027683D">
        <w:rPr>
          <w:rFonts w:ascii="Arial" w:eastAsia="Calibri" w:hAnsi="Arial" w:cs="Arial"/>
          <w:color w:val="000000" w:themeColor="text1"/>
          <w:sz w:val="22"/>
          <w:szCs w:val="22"/>
          <w:lang w:val="es-ES_tradnl"/>
        </w:rPr>
        <w:t>1</w:t>
      </w:r>
      <w:r w:rsidR="00C43E53" w:rsidRPr="0027683D">
        <w:rPr>
          <w:rFonts w:ascii="Arial" w:eastAsia="Calibri" w:hAnsi="Arial" w:cs="Arial"/>
          <w:color w:val="000000" w:themeColor="text1"/>
          <w:sz w:val="22"/>
          <w:szCs w:val="22"/>
          <w:lang w:val="es-ES_tradnl"/>
        </w:rPr>
        <w:t>.</w:t>
      </w:r>
      <w:r w:rsidR="004060DC" w:rsidRPr="0027683D">
        <w:rPr>
          <w:rFonts w:ascii="Arial" w:eastAsia="Calibri" w:hAnsi="Arial" w:cs="Arial"/>
          <w:color w:val="000000" w:themeColor="text1"/>
          <w:sz w:val="22"/>
          <w:szCs w:val="22"/>
          <w:lang w:val="es-ES_tradnl"/>
        </w:rPr>
        <w:t xml:space="preserve"> </w:t>
      </w:r>
      <w:r w:rsidR="00471857" w:rsidRPr="0027683D">
        <w:rPr>
          <w:rFonts w:ascii="Arial" w:eastAsia="Calibri" w:hAnsi="Arial" w:cs="Arial"/>
          <w:color w:val="000000" w:themeColor="text1"/>
          <w:sz w:val="22"/>
          <w:szCs w:val="22"/>
          <w:lang w:val="es-ES_tradnl"/>
        </w:rPr>
        <w:t xml:space="preserve">Igualmente, </w:t>
      </w:r>
      <w:r w:rsidR="00BC37D3" w:rsidRPr="0027683D">
        <w:rPr>
          <w:rFonts w:ascii="Arial" w:eastAsia="Calibri" w:hAnsi="Arial" w:cs="Arial"/>
          <w:color w:val="000000" w:themeColor="text1"/>
          <w:sz w:val="22"/>
          <w:szCs w:val="22"/>
          <w:lang w:val="es-ES_tradnl"/>
        </w:rPr>
        <w:t>se expidió el Concepto C-043 del 9 de febrero de 2021, en el que se</w:t>
      </w:r>
      <w:r w:rsidR="0096439C" w:rsidRPr="0027683D">
        <w:rPr>
          <w:rFonts w:ascii="Arial" w:eastAsia="Calibri" w:hAnsi="Arial" w:cs="Arial"/>
          <w:color w:val="000000" w:themeColor="text1"/>
          <w:sz w:val="22"/>
          <w:szCs w:val="22"/>
          <w:lang w:val="es-ES_tradnl"/>
        </w:rPr>
        <w:t xml:space="preserve"> estudió la vigencia del artículo 12 de la Ley 1150 de 2007, a partir de lo establecido en el artículo 34 de la Ley 2069 de 2020. </w:t>
      </w:r>
      <w:r w:rsidR="004060DC" w:rsidRPr="0027683D">
        <w:rPr>
          <w:rFonts w:ascii="Arial" w:eastAsia="Calibri" w:hAnsi="Arial" w:cs="Arial"/>
          <w:color w:val="000000" w:themeColor="text1"/>
          <w:sz w:val="22"/>
          <w:szCs w:val="22"/>
          <w:lang w:val="es-ES_tradnl"/>
        </w:rPr>
        <w:t xml:space="preserve">Algunas de las consideraciones </w:t>
      </w:r>
      <w:r w:rsidR="00A6144B" w:rsidRPr="0027683D">
        <w:rPr>
          <w:rFonts w:ascii="Arial" w:eastAsia="Calibri" w:hAnsi="Arial" w:cs="Arial"/>
          <w:color w:val="000000" w:themeColor="text1"/>
          <w:sz w:val="22"/>
          <w:szCs w:val="22"/>
          <w:lang w:val="es-ES_tradnl"/>
        </w:rPr>
        <w:t>de estos</w:t>
      </w:r>
      <w:r w:rsidR="004060DC" w:rsidRPr="0027683D">
        <w:rPr>
          <w:rFonts w:ascii="Arial" w:eastAsia="Calibri" w:hAnsi="Arial" w:cs="Arial"/>
          <w:color w:val="000000" w:themeColor="text1"/>
          <w:sz w:val="22"/>
          <w:szCs w:val="22"/>
          <w:lang w:val="es-ES_tradnl"/>
        </w:rPr>
        <w:t xml:space="preserve"> conceptos se </w:t>
      </w:r>
      <w:r w:rsidR="00F24BB1" w:rsidRPr="0027683D">
        <w:rPr>
          <w:rFonts w:ascii="Arial" w:eastAsia="Calibri" w:hAnsi="Arial" w:cs="Arial"/>
          <w:color w:val="000000" w:themeColor="text1"/>
          <w:sz w:val="22"/>
          <w:szCs w:val="22"/>
          <w:lang w:val="es-ES_tradnl"/>
        </w:rPr>
        <w:t>reiteran</w:t>
      </w:r>
      <w:r w:rsidR="004060DC" w:rsidRPr="0027683D">
        <w:rPr>
          <w:rFonts w:ascii="Arial" w:eastAsia="Calibri" w:hAnsi="Arial" w:cs="Arial"/>
          <w:color w:val="000000" w:themeColor="text1"/>
          <w:sz w:val="22"/>
          <w:szCs w:val="22"/>
          <w:lang w:val="es-ES_tradnl"/>
        </w:rPr>
        <w:t xml:space="preserve"> a continuación</w:t>
      </w:r>
      <w:r w:rsidR="0018258E" w:rsidRPr="0027683D">
        <w:rPr>
          <w:rFonts w:ascii="Arial" w:eastAsia="Calibri" w:hAnsi="Arial" w:cs="Arial"/>
          <w:color w:val="000000" w:themeColor="text1"/>
          <w:sz w:val="22"/>
          <w:szCs w:val="22"/>
          <w:lang w:val="es-ES_tradnl"/>
        </w:rPr>
        <w:t xml:space="preserve"> y se complementan en lo pertinente.</w:t>
      </w:r>
    </w:p>
    <w:p w14:paraId="331D0ECA" w14:textId="0CEC4B0A" w:rsidR="003C4317" w:rsidRDefault="003C4317" w:rsidP="00271230">
      <w:pPr>
        <w:spacing w:line="276" w:lineRule="auto"/>
        <w:jc w:val="both"/>
        <w:rPr>
          <w:rFonts w:ascii="Arial" w:eastAsia="Calibri" w:hAnsi="Arial" w:cs="Arial"/>
          <w:color w:val="000000" w:themeColor="text1"/>
          <w:sz w:val="22"/>
          <w:szCs w:val="22"/>
          <w:lang w:val="es-ES_tradnl"/>
        </w:rPr>
      </w:pPr>
    </w:p>
    <w:p w14:paraId="1BB98AEE" w14:textId="1CE81C6A" w:rsidR="005C6397" w:rsidRPr="005419DA" w:rsidRDefault="005C6397" w:rsidP="005C6397">
      <w:pPr>
        <w:spacing w:line="276" w:lineRule="auto"/>
        <w:jc w:val="both"/>
        <w:rPr>
          <w:rFonts w:ascii="Arial" w:eastAsia="Calibri" w:hAnsi="Arial" w:cs="Arial"/>
          <w:b/>
          <w:bCs/>
          <w:color w:val="000000" w:themeColor="text1"/>
          <w:sz w:val="22"/>
          <w:szCs w:val="22"/>
          <w:lang w:val="es-ES_tradnl"/>
        </w:rPr>
      </w:pPr>
      <w:r w:rsidRPr="005419DA">
        <w:rPr>
          <w:rFonts w:ascii="Arial" w:eastAsia="Calibri" w:hAnsi="Arial" w:cs="Arial"/>
          <w:b/>
          <w:bCs/>
          <w:color w:val="000000" w:themeColor="text1"/>
          <w:sz w:val="22"/>
          <w:szCs w:val="22"/>
          <w:lang w:val="es-ES_tradnl"/>
        </w:rPr>
        <w:t>2.</w:t>
      </w:r>
      <w:r w:rsidR="00B43718">
        <w:rPr>
          <w:rFonts w:ascii="Arial" w:eastAsia="Calibri" w:hAnsi="Arial" w:cs="Arial"/>
          <w:b/>
          <w:bCs/>
          <w:color w:val="000000" w:themeColor="text1"/>
          <w:sz w:val="22"/>
          <w:szCs w:val="22"/>
          <w:lang w:val="es-ES_tradnl"/>
        </w:rPr>
        <w:t>1</w:t>
      </w:r>
      <w:r w:rsidRPr="005419DA">
        <w:rPr>
          <w:rFonts w:ascii="Arial" w:eastAsia="Calibri" w:hAnsi="Arial" w:cs="Arial"/>
          <w:b/>
          <w:bCs/>
          <w:color w:val="000000" w:themeColor="text1"/>
          <w:sz w:val="22"/>
          <w:szCs w:val="22"/>
          <w:lang w:val="es-ES_tradnl"/>
        </w:rPr>
        <w:t xml:space="preserve">. Vigencia y ámbito de aplicación de la Ley </w:t>
      </w:r>
      <w:r w:rsidR="001F0325">
        <w:rPr>
          <w:rFonts w:ascii="Arial" w:eastAsia="Calibri" w:hAnsi="Arial" w:cs="Arial"/>
          <w:b/>
          <w:bCs/>
          <w:color w:val="000000" w:themeColor="text1"/>
          <w:sz w:val="22"/>
          <w:szCs w:val="22"/>
          <w:lang w:val="es-ES_tradnl"/>
        </w:rPr>
        <w:t>2069</w:t>
      </w:r>
      <w:r w:rsidRPr="005419DA">
        <w:rPr>
          <w:rFonts w:ascii="Arial" w:eastAsia="Calibri" w:hAnsi="Arial" w:cs="Arial"/>
          <w:b/>
          <w:bCs/>
          <w:color w:val="000000" w:themeColor="text1"/>
          <w:sz w:val="22"/>
          <w:szCs w:val="22"/>
          <w:lang w:val="es-ES_tradnl"/>
        </w:rPr>
        <w:t xml:space="preserve"> de 2020</w:t>
      </w:r>
    </w:p>
    <w:p w14:paraId="38137F57" w14:textId="77777777" w:rsidR="005C6397" w:rsidRPr="005419DA" w:rsidRDefault="005C6397" w:rsidP="005C6397">
      <w:pPr>
        <w:spacing w:line="276" w:lineRule="auto"/>
        <w:jc w:val="both"/>
        <w:rPr>
          <w:rFonts w:ascii="Arial" w:eastAsia="Calibri" w:hAnsi="Arial" w:cs="Arial"/>
          <w:color w:val="000000" w:themeColor="text1"/>
          <w:sz w:val="22"/>
          <w:szCs w:val="22"/>
          <w:lang w:val="es-ES_tradnl"/>
        </w:rPr>
      </w:pPr>
    </w:p>
    <w:p w14:paraId="33320CB6" w14:textId="77777777" w:rsidR="00C47F18" w:rsidRPr="005419DA" w:rsidRDefault="00C47F18" w:rsidP="00C47F18">
      <w:pPr>
        <w:spacing w:line="276" w:lineRule="auto"/>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El 31 de diciembre de 2020 se promulgó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221E74D7" w14:textId="77777777" w:rsidR="00C47F18" w:rsidRPr="005419DA" w:rsidRDefault="00C47F18" w:rsidP="00C47F18">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5419DA">
        <w:rPr>
          <w:rFonts w:ascii="Arial" w:eastAsia="Calibri" w:hAnsi="Arial" w:cs="Arial"/>
          <w:color w:val="000000" w:themeColor="text1"/>
          <w:sz w:val="22"/>
          <w:szCs w:val="22"/>
          <w:lang w:val="es-ES_tradnl"/>
        </w:rPr>
        <w:lastRenderedPageBreak/>
        <w:t>mipymes</w:t>
      </w:r>
      <w:proofErr w:type="spellEnd"/>
      <w:r w:rsidRPr="005419DA">
        <w:rPr>
          <w:rFonts w:ascii="Arial" w:eastAsia="Calibri" w:hAnsi="Arial" w:cs="Arial"/>
          <w:color w:val="000000" w:themeColor="text1"/>
          <w:sz w:val="22"/>
          <w:szCs w:val="22"/>
          <w:lang w:val="es-ES_tradnl"/>
        </w:rPr>
        <w:t>–, mediante la racionalización y simplificación de los trámites y tarifas</w:t>
      </w:r>
      <w:r w:rsidRPr="005419DA">
        <w:rPr>
          <w:rStyle w:val="Refdenotaalpie"/>
          <w:rFonts w:ascii="Arial" w:eastAsia="Calibri" w:hAnsi="Arial" w:cs="Arial"/>
          <w:color w:val="000000" w:themeColor="text1"/>
          <w:sz w:val="22"/>
          <w:szCs w:val="22"/>
          <w:lang w:val="es-ES_tradnl"/>
        </w:rPr>
        <w:footnoteReference w:id="2"/>
      </w:r>
      <w:r w:rsidRPr="005419DA">
        <w:rPr>
          <w:rFonts w:ascii="Arial" w:eastAsia="Calibri" w:hAnsi="Arial" w:cs="Arial"/>
          <w:color w:val="000000" w:themeColor="text1"/>
          <w:sz w:val="22"/>
          <w:szCs w:val="22"/>
          <w:lang w:val="es-ES_tradnl"/>
        </w:rPr>
        <w:t>, así como incentivos a favor de aquellas dentro del sistema de compras y contratación pública</w:t>
      </w:r>
      <w:r w:rsidRPr="005419DA">
        <w:rPr>
          <w:rStyle w:val="Refdenotaalpie"/>
          <w:rFonts w:ascii="Arial" w:eastAsia="Calibri" w:hAnsi="Arial" w:cs="Arial"/>
          <w:color w:val="000000" w:themeColor="text1"/>
          <w:sz w:val="22"/>
          <w:szCs w:val="22"/>
          <w:lang w:val="es-ES_tradnl"/>
        </w:rPr>
        <w:footnoteReference w:id="3"/>
      </w:r>
      <w:r w:rsidRPr="005419DA">
        <w:rPr>
          <w:rFonts w:ascii="Arial" w:eastAsia="Calibri" w:hAnsi="Arial" w:cs="Arial"/>
          <w:color w:val="000000" w:themeColor="text1"/>
          <w:sz w:val="22"/>
          <w:szCs w:val="22"/>
          <w:lang w:val="es-ES_tradnl"/>
        </w:rPr>
        <w:t>. También se consagran mecanismos de acceso al financiamiento</w:t>
      </w:r>
      <w:r w:rsidRPr="005419DA">
        <w:rPr>
          <w:rStyle w:val="Refdenotaalpie"/>
          <w:rFonts w:ascii="Arial" w:eastAsia="Calibri" w:hAnsi="Arial" w:cs="Arial"/>
          <w:color w:val="000000" w:themeColor="text1"/>
          <w:sz w:val="22"/>
          <w:szCs w:val="22"/>
          <w:lang w:val="es-ES_tradnl"/>
        </w:rPr>
        <w:footnoteReference w:id="4"/>
      </w:r>
      <w:r w:rsidRPr="005419DA">
        <w:rPr>
          <w:rFonts w:ascii="Arial" w:eastAsia="Calibri" w:hAnsi="Arial" w:cs="Arial"/>
          <w:color w:val="000000" w:themeColor="text1"/>
          <w:sz w:val="22"/>
          <w:szCs w:val="22"/>
          <w:lang w:val="es-ES_tradnl"/>
        </w:rPr>
        <w:t>, se unifican las fuentes de emprendimiento y de desarrollo empresarial, para fortalecer y promover los distintos sectores de la economía</w:t>
      </w:r>
      <w:r w:rsidRPr="005419DA">
        <w:rPr>
          <w:rStyle w:val="Refdenotaalpie"/>
          <w:rFonts w:ascii="Arial" w:eastAsia="Calibri" w:hAnsi="Arial" w:cs="Arial"/>
          <w:color w:val="000000" w:themeColor="text1"/>
          <w:sz w:val="22"/>
          <w:szCs w:val="22"/>
          <w:lang w:val="es-ES_tradnl"/>
        </w:rPr>
        <w:footnoteReference w:id="5"/>
      </w:r>
      <w:r w:rsidRPr="005419DA">
        <w:rPr>
          <w:rFonts w:ascii="Arial" w:eastAsia="Calibri" w:hAnsi="Arial" w:cs="Arial"/>
          <w:color w:val="000000" w:themeColor="text1"/>
          <w:sz w:val="22"/>
          <w:szCs w:val="22"/>
          <w:lang w:val="es-ES_tradnl"/>
        </w:rPr>
        <w:t xml:space="preserve"> y se prevén medidas de educación para el emprendimiento y la innovación</w:t>
      </w:r>
      <w:r w:rsidRPr="005419DA">
        <w:rPr>
          <w:rStyle w:val="Refdenotaalpie"/>
          <w:rFonts w:ascii="Arial" w:eastAsia="Calibri" w:hAnsi="Arial" w:cs="Arial"/>
          <w:color w:val="000000" w:themeColor="text1"/>
          <w:sz w:val="22"/>
          <w:szCs w:val="22"/>
          <w:lang w:val="es-ES_tradnl"/>
        </w:rPr>
        <w:footnoteReference w:id="6"/>
      </w:r>
      <w:r w:rsidRPr="005419DA">
        <w:rPr>
          <w:rFonts w:ascii="Arial" w:eastAsia="Calibri" w:hAnsi="Arial" w:cs="Arial"/>
          <w:color w:val="000000" w:themeColor="text1"/>
          <w:sz w:val="22"/>
          <w:szCs w:val="22"/>
          <w:lang w:val="es-ES_tradnl"/>
        </w:rPr>
        <w:t>.</w:t>
      </w:r>
    </w:p>
    <w:p w14:paraId="42EFB9AA" w14:textId="09F5CC67" w:rsidR="005C6397" w:rsidRPr="005419DA" w:rsidRDefault="005C6397" w:rsidP="005C6397">
      <w:pPr>
        <w:spacing w:before="120" w:line="276" w:lineRule="auto"/>
        <w:ind w:firstLine="709"/>
        <w:jc w:val="both"/>
        <w:rPr>
          <w:rFonts w:ascii="Arial" w:eastAsia="Calibri" w:hAnsi="Arial" w:cs="Arial"/>
          <w:color w:val="000000" w:themeColor="text1"/>
          <w:sz w:val="22"/>
          <w:szCs w:val="22"/>
          <w:lang w:val="es-ES_tradnl"/>
        </w:rPr>
      </w:pPr>
      <w:r w:rsidRPr="00955541">
        <w:rPr>
          <w:rFonts w:ascii="Arial" w:eastAsia="Calibri" w:hAnsi="Arial" w:cs="Arial"/>
          <w:color w:val="000000" w:themeColor="text1"/>
          <w:sz w:val="22"/>
          <w:szCs w:val="22"/>
          <w:lang w:val="es-ES_tradnl"/>
        </w:rPr>
        <w:t xml:space="preserve">Como se indicó, parte de la Ley </w:t>
      </w:r>
      <w:r w:rsidR="001F0325" w:rsidRPr="00955541">
        <w:rPr>
          <w:rFonts w:ascii="Arial" w:eastAsia="Calibri" w:hAnsi="Arial" w:cs="Arial"/>
          <w:color w:val="000000" w:themeColor="text1"/>
          <w:sz w:val="22"/>
          <w:szCs w:val="22"/>
          <w:lang w:val="es-ES_tradnl"/>
        </w:rPr>
        <w:t>2069</w:t>
      </w:r>
      <w:r w:rsidRPr="00955541">
        <w:rPr>
          <w:rFonts w:ascii="Arial" w:eastAsia="Calibri" w:hAnsi="Arial" w:cs="Arial"/>
          <w:color w:val="000000" w:themeColor="text1"/>
          <w:sz w:val="22"/>
          <w:szCs w:val="22"/>
          <w:lang w:val="es-ES_tradnl"/>
        </w:rPr>
        <w:t xml:space="preserve">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955541">
        <w:rPr>
          <w:rFonts w:ascii="Arial" w:eastAsia="Calibri" w:hAnsi="Arial" w:cs="Arial"/>
          <w:color w:val="000000" w:themeColor="text1"/>
          <w:sz w:val="22"/>
          <w:szCs w:val="22"/>
          <w:lang w:val="es-ES_tradnl"/>
        </w:rPr>
        <w:t>mipymes</w:t>
      </w:r>
      <w:proofErr w:type="spellEnd"/>
      <w:r w:rsidRPr="00955541">
        <w:rPr>
          <w:rFonts w:ascii="Arial" w:eastAsia="Calibri" w:hAnsi="Arial" w:cs="Arial"/>
          <w:color w:val="000000" w:themeColor="text1"/>
          <w:sz w:val="22"/>
          <w:szCs w:val="22"/>
          <w:lang w:val="es-ES_tradnl"/>
        </w:rPr>
        <w:t xml:space="preserve"> en el procedimiento de mínima cuantía, ii) criterios diferenciales para </w:t>
      </w:r>
      <w:proofErr w:type="spellStart"/>
      <w:r w:rsidRPr="00955541">
        <w:rPr>
          <w:rFonts w:ascii="Arial" w:eastAsia="Calibri" w:hAnsi="Arial" w:cs="Arial"/>
          <w:color w:val="000000" w:themeColor="text1"/>
          <w:sz w:val="22"/>
          <w:szCs w:val="22"/>
          <w:lang w:val="es-ES_tradnl"/>
        </w:rPr>
        <w:t>mipymes</w:t>
      </w:r>
      <w:proofErr w:type="spellEnd"/>
      <w:r w:rsidRPr="00955541">
        <w:rPr>
          <w:rFonts w:ascii="Arial" w:eastAsia="Calibri" w:hAnsi="Arial" w:cs="Arial"/>
          <w:color w:val="000000" w:themeColor="text1"/>
          <w:sz w:val="22"/>
          <w:szCs w:val="22"/>
          <w:lang w:val="es-ES_tradnl"/>
        </w:rPr>
        <w:t xml:space="preserve"> en el sistema de compras públicas, iii) criterios diferenciales para emprendimientos y empresas de mujeres en el sistema de compras públicas, iv) promoción del acceso de las </w:t>
      </w:r>
      <w:proofErr w:type="spellStart"/>
      <w:r w:rsidRPr="00955541">
        <w:rPr>
          <w:rFonts w:ascii="Arial" w:eastAsia="Calibri" w:hAnsi="Arial" w:cs="Arial"/>
          <w:color w:val="000000" w:themeColor="text1"/>
          <w:sz w:val="22"/>
          <w:szCs w:val="22"/>
          <w:lang w:val="es-ES_tradnl"/>
        </w:rPr>
        <w:t>mipymes</w:t>
      </w:r>
      <w:proofErr w:type="spellEnd"/>
      <w:r w:rsidRPr="00955541">
        <w:rPr>
          <w:rFonts w:ascii="Arial" w:eastAsia="Calibri" w:hAnsi="Arial" w:cs="Arial"/>
          <w:color w:val="000000" w:themeColor="text1"/>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w:t>
      </w:r>
      <w:r w:rsidR="00BA55E0" w:rsidRPr="00955541">
        <w:rPr>
          <w:rFonts w:ascii="Arial" w:eastAsia="Calibri" w:hAnsi="Arial" w:cs="Arial"/>
          <w:color w:val="000000" w:themeColor="text1"/>
          <w:sz w:val="22"/>
          <w:szCs w:val="22"/>
          <w:lang w:val="es-ES_tradnl"/>
        </w:rPr>
        <w:t>de los artículos 34 y</w:t>
      </w:r>
      <w:r w:rsidRPr="00955541">
        <w:rPr>
          <w:rFonts w:ascii="Arial" w:eastAsia="Calibri" w:hAnsi="Arial" w:cs="Arial"/>
          <w:color w:val="000000" w:themeColor="text1"/>
          <w:sz w:val="22"/>
          <w:szCs w:val="22"/>
          <w:lang w:val="es-ES_tradnl"/>
        </w:rPr>
        <w:t xml:space="preserve"> 35 de la referida Ley, a continuación se estudiará el contenido y alcance de dicha</w:t>
      </w:r>
      <w:r w:rsidR="00BA55E0" w:rsidRPr="00955541">
        <w:rPr>
          <w:rFonts w:ascii="Arial" w:eastAsia="Calibri" w:hAnsi="Arial" w:cs="Arial"/>
          <w:color w:val="000000" w:themeColor="text1"/>
          <w:sz w:val="22"/>
          <w:szCs w:val="22"/>
          <w:lang w:val="es-ES_tradnl"/>
        </w:rPr>
        <w:t>s</w:t>
      </w:r>
      <w:r w:rsidRPr="00955541">
        <w:rPr>
          <w:rFonts w:ascii="Arial" w:eastAsia="Calibri" w:hAnsi="Arial" w:cs="Arial"/>
          <w:color w:val="000000" w:themeColor="text1"/>
          <w:sz w:val="22"/>
          <w:szCs w:val="22"/>
          <w:lang w:val="es-ES_tradnl"/>
        </w:rPr>
        <w:t xml:space="preserve"> norma</w:t>
      </w:r>
      <w:r w:rsidR="00BA55E0" w:rsidRPr="00955541">
        <w:rPr>
          <w:rFonts w:ascii="Arial" w:eastAsia="Calibri" w:hAnsi="Arial" w:cs="Arial"/>
          <w:color w:val="000000" w:themeColor="text1"/>
          <w:sz w:val="22"/>
          <w:szCs w:val="22"/>
          <w:lang w:val="es-ES_tradnl"/>
        </w:rPr>
        <w:t>s</w:t>
      </w:r>
      <w:r w:rsidRPr="00955541">
        <w:rPr>
          <w:rFonts w:ascii="Arial" w:eastAsia="Calibri" w:hAnsi="Arial" w:cs="Arial"/>
          <w:color w:val="000000" w:themeColor="text1"/>
          <w:sz w:val="22"/>
          <w:szCs w:val="22"/>
          <w:lang w:val="es-ES_tradnl"/>
        </w:rPr>
        <w:t>.</w:t>
      </w:r>
      <w:r w:rsidRPr="005419DA">
        <w:rPr>
          <w:rFonts w:ascii="Arial" w:eastAsia="Calibri" w:hAnsi="Arial" w:cs="Arial"/>
          <w:color w:val="000000" w:themeColor="text1"/>
          <w:sz w:val="22"/>
          <w:szCs w:val="22"/>
          <w:lang w:val="es-ES_tradnl"/>
        </w:rPr>
        <w:t xml:space="preserve">  </w:t>
      </w:r>
    </w:p>
    <w:p w14:paraId="60078656" w14:textId="20CE103E" w:rsidR="005C6397" w:rsidRDefault="005C6397" w:rsidP="00271230">
      <w:pPr>
        <w:spacing w:line="276" w:lineRule="auto"/>
        <w:jc w:val="both"/>
        <w:rPr>
          <w:rFonts w:ascii="Arial" w:eastAsia="Calibri" w:hAnsi="Arial" w:cs="Arial"/>
          <w:color w:val="000000" w:themeColor="text1"/>
          <w:sz w:val="22"/>
          <w:szCs w:val="22"/>
          <w:lang w:val="es-ES_tradnl"/>
        </w:rPr>
      </w:pPr>
    </w:p>
    <w:p w14:paraId="1C51DF3C" w14:textId="530BC4F6" w:rsidR="00A04532" w:rsidRPr="004F2364" w:rsidRDefault="00A04532" w:rsidP="00271230">
      <w:pPr>
        <w:spacing w:line="276" w:lineRule="auto"/>
        <w:jc w:val="both"/>
        <w:rPr>
          <w:rFonts w:ascii="Arial" w:eastAsia="Calibri" w:hAnsi="Arial" w:cs="Arial"/>
          <w:b/>
          <w:bCs/>
          <w:color w:val="000000" w:themeColor="text1"/>
          <w:sz w:val="22"/>
          <w:szCs w:val="22"/>
          <w:lang w:val="es-ES_tradnl"/>
        </w:rPr>
      </w:pPr>
      <w:r w:rsidRPr="0027683D">
        <w:rPr>
          <w:rFonts w:ascii="Arial" w:eastAsia="Calibri" w:hAnsi="Arial" w:cs="Arial"/>
          <w:b/>
          <w:bCs/>
          <w:color w:val="000000" w:themeColor="text1"/>
          <w:sz w:val="22"/>
          <w:szCs w:val="22"/>
          <w:lang w:val="es-ES_tradnl"/>
        </w:rPr>
        <w:t xml:space="preserve">2.2. </w:t>
      </w:r>
      <w:r w:rsidR="0070045E" w:rsidRPr="0027683D">
        <w:rPr>
          <w:rFonts w:ascii="Arial" w:eastAsia="Calibri" w:hAnsi="Arial" w:cs="Arial"/>
          <w:b/>
          <w:bCs/>
          <w:color w:val="000000" w:themeColor="text1"/>
          <w:sz w:val="22"/>
          <w:szCs w:val="22"/>
          <w:lang w:val="es-ES_tradnl"/>
        </w:rPr>
        <w:t xml:space="preserve">Nueva regulación de la promoción </w:t>
      </w:r>
      <w:r w:rsidR="008C2F63" w:rsidRPr="0027683D">
        <w:rPr>
          <w:rFonts w:ascii="Arial" w:eastAsia="Calibri" w:hAnsi="Arial" w:cs="Arial"/>
          <w:b/>
          <w:bCs/>
          <w:color w:val="000000" w:themeColor="text1"/>
          <w:sz w:val="22"/>
          <w:szCs w:val="22"/>
          <w:lang w:val="es-ES_tradnl"/>
        </w:rPr>
        <w:t>del</w:t>
      </w:r>
      <w:r w:rsidR="0070045E" w:rsidRPr="0027683D">
        <w:rPr>
          <w:rFonts w:ascii="Arial" w:eastAsia="Calibri" w:hAnsi="Arial" w:cs="Arial"/>
          <w:b/>
          <w:bCs/>
          <w:color w:val="000000" w:themeColor="text1"/>
          <w:sz w:val="22"/>
          <w:szCs w:val="22"/>
          <w:lang w:val="es-ES_tradnl"/>
        </w:rPr>
        <w:t xml:space="preserve"> desarrollo en la contratación estatal</w:t>
      </w:r>
      <w:r w:rsidRPr="0027683D">
        <w:rPr>
          <w:rFonts w:ascii="Arial" w:eastAsia="Calibri" w:hAnsi="Arial" w:cs="Arial"/>
          <w:b/>
          <w:bCs/>
          <w:color w:val="000000" w:themeColor="text1"/>
          <w:sz w:val="22"/>
          <w:szCs w:val="22"/>
          <w:lang w:val="es-ES_tradnl"/>
        </w:rPr>
        <w:t xml:space="preserve"> en el artículo 34 de la Ley </w:t>
      </w:r>
      <w:r w:rsidR="001F0325" w:rsidRPr="0027683D">
        <w:rPr>
          <w:rFonts w:ascii="Arial" w:eastAsia="Calibri" w:hAnsi="Arial" w:cs="Arial"/>
          <w:b/>
          <w:bCs/>
          <w:color w:val="000000" w:themeColor="text1"/>
          <w:sz w:val="22"/>
          <w:szCs w:val="22"/>
          <w:lang w:val="es-ES_tradnl"/>
        </w:rPr>
        <w:t>2069</w:t>
      </w:r>
      <w:r w:rsidRPr="0027683D">
        <w:rPr>
          <w:rFonts w:ascii="Arial" w:eastAsia="Calibri" w:hAnsi="Arial" w:cs="Arial"/>
          <w:b/>
          <w:bCs/>
          <w:color w:val="000000" w:themeColor="text1"/>
          <w:sz w:val="22"/>
          <w:szCs w:val="22"/>
          <w:lang w:val="es-ES_tradnl"/>
        </w:rPr>
        <w:t xml:space="preserve"> de 2020. </w:t>
      </w:r>
      <w:r w:rsidR="008C2F63" w:rsidRPr="0027683D">
        <w:rPr>
          <w:rFonts w:ascii="Arial" w:eastAsia="Calibri" w:hAnsi="Arial" w:cs="Arial"/>
          <w:b/>
          <w:bCs/>
          <w:color w:val="000000" w:themeColor="text1"/>
          <w:sz w:val="22"/>
          <w:szCs w:val="22"/>
          <w:lang w:val="es-ES_tradnl"/>
        </w:rPr>
        <w:t>Subrogación del artículo 12 de la Ley 1150 de 2007</w:t>
      </w:r>
    </w:p>
    <w:p w14:paraId="0D50FD63" w14:textId="23BCDBD8" w:rsidR="00A04532" w:rsidRPr="004F2364" w:rsidRDefault="00A04532" w:rsidP="00271230">
      <w:pPr>
        <w:spacing w:line="276" w:lineRule="auto"/>
        <w:jc w:val="both"/>
        <w:rPr>
          <w:rFonts w:ascii="Arial" w:eastAsia="Calibri" w:hAnsi="Arial" w:cs="Arial"/>
          <w:color w:val="000000" w:themeColor="text1"/>
          <w:sz w:val="22"/>
          <w:szCs w:val="22"/>
          <w:lang w:val="es-ES_tradnl"/>
        </w:rPr>
      </w:pPr>
    </w:p>
    <w:p w14:paraId="645CC861" w14:textId="13B87C8C" w:rsidR="009A2B60" w:rsidRPr="004F2364" w:rsidRDefault="00E3212A" w:rsidP="00271230">
      <w:pPr>
        <w:spacing w:line="276" w:lineRule="auto"/>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El artículo 34 de la Ley 2069 de 2020 </w:t>
      </w:r>
      <w:r w:rsidR="002A3F66" w:rsidRPr="004F2364">
        <w:rPr>
          <w:rFonts w:ascii="Arial" w:eastAsia="Calibri" w:hAnsi="Arial" w:cs="Arial"/>
          <w:color w:val="000000" w:themeColor="text1"/>
          <w:sz w:val="22"/>
          <w:szCs w:val="22"/>
          <w:lang w:val="es-ES_tradnl"/>
        </w:rPr>
        <w:t>establece</w:t>
      </w:r>
      <w:r w:rsidR="0063247E" w:rsidRPr="004F2364">
        <w:rPr>
          <w:rFonts w:ascii="Arial" w:eastAsia="Calibri" w:hAnsi="Arial" w:cs="Arial"/>
          <w:color w:val="000000" w:themeColor="text1"/>
          <w:sz w:val="22"/>
          <w:szCs w:val="22"/>
          <w:lang w:val="es-ES_tradnl"/>
        </w:rPr>
        <w:t xml:space="preserve"> nuevas reglas sobre </w:t>
      </w:r>
      <w:r w:rsidR="00F87F37" w:rsidRPr="004F2364">
        <w:rPr>
          <w:rFonts w:ascii="Arial" w:eastAsia="Calibri" w:hAnsi="Arial" w:cs="Arial"/>
          <w:color w:val="000000" w:themeColor="text1"/>
          <w:sz w:val="22"/>
          <w:szCs w:val="22"/>
          <w:lang w:val="es-ES_tradnl"/>
        </w:rPr>
        <w:t xml:space="preserve">la </w:t>
      </w:r>
      <w:r w:rsidR="0063247E" w:rsidRPr="004F2364">
        <w:rPr>
          <w:rFonts w:ascii="Arial" w:eastAsia="Calibri" w:hAnsi="Arial" w:cs="Arial"/>
          <w:color w:val="000000" w:themeColor="text1"/>
          <w:sz w:val="22"/>
          <w:szCs w:val="22"/>
          <w:lang w:val="es-ES_tradnl"/>
        </w:rPr>
        <w:t>promoción al desarrollo en la contratación estatal</w:t>
      </w:r>
      <w:r w:rsidR="000F55A8" w:rsidRPr="004F2364">
        <w:rPr>
          <w:rFonts w:ascii="Arial" w:eastAsia="Calibri" w:hAnsi="Arial" w:cs="Arial"/>
          <w:color w:val="000000" w:themeColor="text1"/>
          <w:sz w:val="22"/>
          <w:szCs w:val="22"/>
          <w:lang w:val="es-ES_tradnl"/>
        </w:rPr>
        <w:t xml:space="preserve">. Concretamente, modifica </w:t>
      </w:r>
      <w:r w:rsidR="00D500ED" w:rsidRPr="004F2364">
        <w:rPr>
          <w:rFonts w:ascii="Arial" w:eastAsia="Calibri" w:hAnsi="Arial" w:cs="Arial"/>
          <w:color w:val="000000" w:themeColor="text1"/>
          <w:sz w:val="22"/>
          <w:szCs w:val="22"/>
          <w:lang w:val="es-ES_tradnl"/>
        </w:rPr>
        <w:t>el contenido del artículo 12 de la Ley 1150 de 2007</w:t>
      </w:r>
      <w:r w:rsidR="00903C57" w:rsidRPr="004F2364">
        <w:rPr>
          <w:rStyle w:val="Refdenotaalpie"/>
          <w:rFonts w:ascii="Arial" w:eastAsia="Calibri" w:hAnsi="Arial" w:cs="Arial"/>
          <w:color w:val="000000" w:themeColor="text1"/>
          <w:sz w:val="22"/>
          <w:szCs w:val="22"/>
          <w:lang w:val="es-ES_tradnl"/>
        </w:rPr>
        <w:footnoteReference w:id="7"/>
      </w:r>
      <w:r w:rsidR="007E7E80" w:rsidRPr="004F2364">
        <w:rPr>
          <w:rFonts w:ascii="Arial" w:eastAsia="Calibri" w:hAnsi="Arial" w:cs="Arial"/>
          <w:color w:val="000000" w:themeColor="text1"/>
          <w:sz w:val="22"/>
          <w:szCs w:val="22"/>
          <w:lang w:val="es-ES_tradnl"/>
        </w:rPr>
        <w:t xml:space="preserve">, prescribiendo </w:t>
      </w:r>
      <w:r w:rsidR="00D11687" w:rsidRPr="004F2364">
        <w:rPr>
          <w:rFonts w:ascii="Arial" w:eastAsia="Calibri" w:hAnsi="Arial" w:cs="Arial"/>
          <w:color w:val="000000" w:themeColor="text1"/>
          <w:sz w:val="22"/>
          <w:szCs w:val="22"/>
          <w:lang w:val="es-ES_tradnl"/>
        </w:rPr>
        <w:t>lo que se indica a continuación</w:t>
      </w:r>
      <w:r w:rsidR="007E7E80" w:rsidRPr="004F2364">
        <w:rPr>
          <w:rFonts w:ascii="Arial" w:eastAsia="Calibri" w:hAnsi="Arial" w:cs="Arial"/>
          <w:color w:val="000000" w:themeColor="text1"/>
          <w:sz w:val="22"/>
          <w:szCs w:val="22"/>
          <w:lang w:val="es-ES_tradnl"/>
        </w:rPr>
        <w:t>:</w:t>
      </w:r>
    </w:p>
    <w:p w14:paraId="04501723" w14:textId="7DE0E9FC" w:rsidR="007E7E80" w:rsidRPr="004F2364" w:rsidRDefault="007E7E80" w:rsidP="009A2B60">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lastRenderedPageBreak/>
        <w:t xml:space="preserve">i) </w:t>
      </w:r>
      <w:r w:rsidR="00741B0C" w:rsidRPr="004F2364">
        <w:rPr>
          <w:rFonts w:ascii="Arial" w:eastAsia="Calibri" w:hAnsi="Arial" w:cs="Arial"/>
          <w:color w:val="000000" w:themeColor="text1"/>
          <w:sz w:val="22"/>
          <w:szCs w:val="22"/>
          <w:lang w:val="es-ES_tradnl"/>
        </w:rPr>
        <w:t xml:space="preserve">Encomienda, con carácter imperativo, al gobierno nacional </w:t>
      </w:r>
      <w:r w:rsidR="00255AD7" w:rsidRPr="004F2364">
        <w:rPr>
          <w:rFonts w:ascii="Arial" w:eastAsia="Calibri" w:hAnsi="Arial" w:cs="Arial"/>
          <w:color w:val="000000" w:themeColor="text1"/>
          <w:sz w:val="22"/>
          <w:szCs w:val="22"/>
          <w:lang w:val="es-ES_tradnl"/>
        </w:rPr>
        <w:t>definir</w:t>
      </w:r>
      <w:r w:rsidR="00741B0C" w:rsidRPr="004F2364">
        <w:rPr>
          <w:rFonts w:ascii="Arial" w:eastAsia="Calibri" w:hAnsi="Arial" w:cs="Arial"/>
          <w:color w:val="000000" w:themeColor="text1"/>
          <w:sz w:val="22"/>
          <w:szCs w:val="22"/>
          <w:lang w:val="es-ES_tradnl"/>
        </w:rPr>
        <w:t xml:space="preserve"> </w:t>
      </w:r>
      <w:r w:rsidR="00C2186B" w:rsidRPr="004F2364">
        <w:rPr>
          <w:rFonts w:ascii="Arial" w:eastAsia="Calibri" w:hAnsi="Arial" w:cs="Arial"/>
          <w:color w:val="000000" w:themeColor="text1"/>
          <w:sz w:val="22"/>
          <w:szCs w:val="22"/>
          <w:lang w:val="es-ES_tradnl"/>
        </w:rPr>
        <w:t>las condiciones y los montos para que las entidades estatales</w:t>
      </w:r>
      <w:r w:rsidR="003F02A2" w:rsidRPr="004F2364">
        <w:rPr>
          <w:rFonts w:ascii="Arial" w:eastAsia="Calibri" w:hAnsi="Arial" w:cs="Arial"/>
          <w:color w:val="000000" w:themeColor="text1"/>
          <w:sz w:val="22"/>
          <w:szCs w:val="22"/>
          <w:lang w:val="es-ES_tradnl"/>
        </w:rPr>
        <w:t xml:space="preserve"> –cualquiera sea su régimen contractual–</w:t>
      </w:r>
      <w:r w:rsidR="003D4F41" w:rsidRPr="004F2364">
        <w:rPr>
          <w:rFonts w:ascii="Arial" w:eastAsia="Calibri" w:hAnsi="Arial" w:cs="Arial"/>
          <w:color w:val="000000" w:themeColor="text1"/>
          <w:sz w:val="22"/>
          <w:szCs w:val="22"/>
          <w:lang w:val="es-ES_tradnl"/>
        </w:rPr>
        <w:t>, los patrimonios autónomos constituidos por aquellas y los particulares que administren recursos públicos</w:t>
      </w:r>
      <w:r w:rsidR="003F02A2" w:rsidRPr="004F2364">
        <w:rPr>
          <w:rFonts w:ascii="Arial" w:eastAsia="Calibri" w:hAnsi="Arial" w:cs="Arial"/>
          <w:color w:val="000000" w:themeColor="text1"/>
          <w:sz w:val="22"/>
          <w:szCs w:val="22"/>
          <w:lang w:val="es-ES_tradnl"/>
        </w:rPr>
        <w:t xml:space="preserve">, efectúen convocatorias limitadas a </w:t>
      </w:r>
      <w:proofErr w:type="spellStart"/>
      <w:r w:rsidR="00AA47FA" w:rsidRPr="004F2364">
        <w:rPr>
          <w:rFonts w:ascii="Arial" w:eastAsia="Calibri" w:hAnsi="Arial" w:cs="Arial"/>
          <w:color w:val="000000" w:themeColor="text1"/>
          <w:sz w:val="22"/>
          <w:szCs w:val="22"/>
          <w:lang w:val="es-ES_tradnl"/>
        </w:rPr>
        <w:t>m</w:t>
      </w:r>
      <w:r w:rsidR="003F02A2" w:rsidRPr="004F2364">
        <w:rPr>
          <w:rFonts w:ascii="Arial" w:eastAsia="Calibri" w:hAnsi="Arial" w:cs="Arial"/>
          <w:color w:val="000000" w:themeColor="text1"/>
          <w:sz w:val="22"/>
          <w:szCs w:val="22"/>
          <w:lang w:val="es-ES_tradnl"/>
        </w:rPr>
        <w:t>ipymes</w:t>
      </w:r>
      <w:proofErr w:type="spellEnd"/>
      <w:r w:rsidR="00206F4D" w:rsidRPr="004F2364">
        <w:rPr>
          <w:rFonts w:ascii="Arial" w:eastAsia="Calibri" w:hAnsi="Arial" w:cs="Arial"/>
          <w:color w:val="000000" w:themeColor="text1"/>
          <w:sz w:val="22"/>
          <w:szCs w:val="22"/>
          <w:lang w:val="es-ES_tradnl"/>
        </w:rPr>
        <w:t xml:space="preserve"> en los procesos de contratación.</w:t>
      </w:r>
      <w:r w:rsidR="0082520B" w:rsidRPr="004F2364">
        <w:rPr>
          <w:rFonts w:ascii="Arial" w:eastAsia="Calibri" w:hAnsi="Arial" w:cs="Arial"/>
          <w:color w:val="000000" w:themeColor="text1"/>
          <w:sz w:val="22"/>
          <w:szCs w:val="22"/>
          <w:lang w:val="es-ES_tradnl"/>
        </w:rPr>
        <w:t xml:space="preserve"> </w:t>
      </w:r>
      <w:r w:rsidR="00DC50AA" w:rsidRPr="004F2364">
        <w:rPr>
          <w:rFonts w:ascii="Arial" w:eastAsia="Calibri" w:hAnsi="Arial" w:cs="Arial"/>
          <w:color w:val="000000" w:themeColor="text1"/>
          <w:sz w:val="22"/>
          <w:szCs w:val="22"/>
          <w:lang w:val="es-ES_tradnl"/>
        </w:rPr>
        <w:t xml:space="preserve">Y agrega que estas convocatorias se pueden realizar </w:t>
      </w:r>
      <w:r w:rsidR="003D65E0" w:rsidRPr="004F2364">
        <w:rPr>
          <w:rFonts w:ascii="Arial" w:eastAsia="Calibri" w:hAnsi="Arial" w:cs="Arial"/>
          <w:color w:val="000000" w:themeColor="text1"/>
          <w:sz w:val="22"/>
          <w:szCs w:val="22"/>
          <w:lang w:val="es-ES_tradnl"/>
        </w:rPr>
        <w:t>también en el ámbito municipal o departamental en el que se ejecute el contrato.</w:t>
      </w:r>
      <w:r w:rsidR="00DC50AA" w:rsidRPr="004F2364">
        <w:rPr>
          <w:rFonts w:ascii="Arial" w:eastAsia="Calibri" w:hAnsi="Arial" w:cs="Arial"/>
          <w:color w:val="000000" w:themeColor="text1"/>
          <w:sz w:val="22"/>
          <w:szCs w:val="22"/>
          <w:lang w:val="es-ES_tradnl"/>
        </w:rPr>
        <w:t xml:space="preserve"> </w:t>
      </w:r>
    </w:p>
    <w:p w14:paraId="3B240066" w14:textId="1ADE6963" w:rsidR="00AA47FA" w:rsidRPr="004F2364" w:rsidRDefault="00206F4D" w:rsidP="009A2B60">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ii) Indica que</w:t>
      </w:r>
      <w:r w:rsidR="005E665F" w:rsidRPr="004F2364">
        <w:rPr>
          <w:rFonts w:ascii="Arial" w:eastAsia="Calibri" w:hAnsi="Arial" w:cs="Arial"/>
          <w:color w:val="000000" w:themeColor="text1"/>
          <w:sz w:val="22"/>
          <w:szCs w:val="22"/>
          <w:lang w:val="es-ES_tradnl"/>
        </w:rPr>
        <w:t xml:space="preserve"> dichas convocatorias se deben efectuar –y así lo deberá reglamentar el gobierno nacional–</w:t>
      </w:r>
      <w:r w:rsidR="009A2B60" w:rsidRPr="004F2364">
        <w:rPr>
          <w:rFonts w:ascii="Arial" w:eastAsia="Calibri" w:hAnsi="Arial" w:cs="Arial"/>
          <w:color w:val="000000" w:themeColor="text1"/>
          <w:sz w:val="22"/>
          <w:szCs w:val="22"/>
          <w:lang w:val="es-ES_tradnl"/>
        </w:rPr>
        <w:t xml:space="preserve"> siempre </w:t>
      </w:r>
      <w:r w:rsidR="00D22BDD" w:rsidRPr="004F2364">
        <w:rPr>
          <w:rFonts w:ascii="Arial" w:eastAsia="Calibri" w:hAnsi="Arial" w:cs="Arial"/>
          <w:color w:val="000000" w:themeColor="text1"/>
          <w:sz w:val="22"/>
          <w:szCs w:val="22"/>
          <w:lang w:val="es-ES_tradnl"/>
        </w:rPr>
        <w:t>y cuando,</w:t>
      </w:r>
      <w:r w:rsidR="009A2B60" w:rsidRPr="004F2364">
        <w:rPr>
          <w:rFonts w:ascii="Arial" w:eastAsia="Calibri" w:hAnsi="Arial" w:cs="Arial"/>
          <w:color w:val="000000" w:themeColor="text1"/>
          <w:sz w:val="22"/>
          <w:szCs w:val="22"/>
          <w:lang w:val="es-ES_tradnl"/>
        </w:rPr>
        <w:t xml:space="preserve"> antes del acto administrativo de apertura del proceso de selección</w:t>
      </w:r>
      <w:r w:rsidR="00D22BDD" w:rsidRPr="004F2364">
        <w:rPr>
          <w:rFonts w:ascii="Arial" w:eastAsia="Calibri" w:hAnsi="Arial" w:cs="Arial"/>
          <w:color w:val="000000" w:themeColor="text1"/>
          <w:sz w:val="22"/>
          <w:szCs w:val="22"/>
          <w:lang w:val="es-ES_tradnl"/>
        </w:rPr>
        <w:t>,</w:t>
      </w:r>
      <w:r w:rsidR="009A2B60" w:rsidRPr="004F2364">
        <w:rPr>
          <w:rFonts w:ascii="Arial" w:eastAsia="Calibri" w:hAnsi="Arial" w:cs="Arial"/>
          <w:color w:val="000000" w:themeColor="text1"/>
          <w:sz w:val="22"/>
          <w:szCs w:val="22"/>
          <w:lang w:val="es-ES_tradnl"/>
        </w:rPr>
        <w:t xml:space="preserve"> </w:t>
      </w:r>
      <w:r w:rsidR="00AA47FA" w:rsidRPr="004F2364">
        <w:rPr>
          <w:rFonts w:ascii="Arial" w:eastAsia="Calibri" w:hAnsi="Arial" w:cs="Arial"/>
          <w:color w:val="000000" w:themeColor="text1"/>
          <w:sz w:val="22"/>
          <w:szCs w:val="22"/>
          <w:lang w:val="es-ES_tradnl"/>
        </w:rPr>
        <w:t>por lo menos dos</w:t>
      </w:r>
      <w:r w:rsidR="00857638" w:rsidRPr="004F2364">
        <w:rPr>
          <w:rFonts w:ascii="Arial" w:eastAsia="Calibri" w:hAnsi="Arial" w:cs="Arial"/>
          <w:color w:val="000000" w:themeColor="text1"/>
          <w:sz w:val="22"/>
          <w:szCs w:val="22"/>
          <w:lang w:val="es-ES_tradnl"/>
        </w:rPr>
        <w:t xml:space="preserve"> (2)</w:t>
      </w:r>
      <w:r w:rsidR="00AA47FA" w:rsidRPr="004F2364">
        <w:rPr>
          <w:rFonts w:ascii="Arial" w:eastAsia="Calibri" w:hAnsi="Arial" w:cs="Arial"/>
          <w:color w:val="000000" w:themeColor="text1"/>
          <w:sz w:val="22"/>
          <w:szCs w:val="22"/>
          <w:lang w:val="es-ES_tradnl"/>
        </w:rPr>
        <w:t xml:space="preserve"> </w:t>
      </w:r>
      <w:proofErr w:type="spellStart"/>
      <w:r w:rsidR="00AA47FA" w:rsidRPr="004F2364">
        <w:rPr>
          <w:rFonts w:ascii="Arial" w:eastAsia="Calibri" w:hAnsi="Arial" w:cs="Arial"/>
          <w:color w:val="000000" w:themeColor="text1"/>
          <w:sz w:val="22"/>
          <w:szCs w:val="22"/>
          <w:lang w:val="es-ES_tradnl"/>
        </w:rPr>
        <w:t>mipymes</w:t>
      </w:r>
      <w:proofErr w:type="spellEnd"/>
      <w:r w:rsidR="00AA47FA" w:rsidRPr="004F2364">
        <w:rPr>
          <w:rFonts w:ascii="Arial" w:eastAsia="Calibri" w:hAnsi="Arial" w:cs="Arial"/>
          <w:color w:val="000000" w:themeColor="text1"/>
          <w:sz w:val="22"/>
          <w:szCs w:val="22"/>
          <w:lang w:val="es-ES_tradnl"/>
        </w:rPr>
        <w:t xml:space="preserve"> hayan manifestado su interés.</w:t>
      </w:r>
    </w:p>
    <w:p w14:paraId="065EDECD" w14:textId="7D4261AC" w:rsidR="00597516" w:rsidRPr="004F2364" w:rsidRDefault="00AA47FA" w:rsidP="009A2B60">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iii) Determina que uno de los parámetros que deberá tener en cuenta el gobierno nacional para </w:t>
      </w:r>
      <w:r w:rsidR="001858C9" w:rsidRPr="004F2364">
        <w:rPr>
          <w:rFonts w:ascii="Arial" w:eastAsia="Calibri" w:hAnsi="Arial" w:cs="Arial"/>
          <w:color w:val="000000" w:themeColor="text1"/>
          <w:sz w:val="22"/>
          <w:szCs w:val="22"/>
          <w:lang w:val="es-ES_tradnl"/>
        </w:rPr>
        <w:t>reglamentar</w:t>
      </w:r>
      <w:r w:rsidRPr="004F2364">
        <w:rPr>
          <w:rFonts w:ascii="Arial" w:eastAsia="Calibri" w:hAnsi="Arial" w:cs="Arial"/>
          <w:color w:val="000000" w:themeColor="text1"/>
          <w:sz w:val="22"/>
          <w:szCs w:val="22"/>
          <w:lang w:val="es-ES_tradnl"/>
        </w:rPr>
        <w:t xml:space="preserve"> la mate</w:t>
      </w:r>
      <w:r w:rsidR="00400A1B" w:rsidRPr="004F2364">
        <w:rPr>
          <w:rFonts w:ascii="Arial" w:eastAsia="Calibri" w:hAnsi="Arial" w:cs="Arial"/>
          <w:color w:val="000000" w:themeColor="text1"/>
          <w:sz w:val="22"/>
          <w:szCs w:val="22"/>
          <w:lang w:val="es-ES_tradnl"/>
        </w:rPr>
        <w:t xml:space="preserve">ria </w:t>
      </w:r>
      <w:r w:rsidR="006A6D7B" w:rsidRPr="004F2364">
        <w:rPr>
          <w:rFonts w:ascii="Arial" w:eastAsia="Calibri" w:hAnsi="Arial" w:cs="Arial"/>
          <w:color w:val="000000" w:themeColor="text1"/>
          <w:sz w:val="22"/>
          <w:szCs w:val="22"/>
          <w:lang w:val="es-ES_tradnl"/>
        </w:rPr>
        <w:t>es el cumplimiento de</w:t>
      </w:r>
      <w:r w:rsidR="00400A1B" w:rsidRPr="004F2364">
        <w:rPr>
          <w:rFonts w:ascii="Arial" w:eastAsia="Calibri" w:hAnsi="Arial" w:cs="Arial"/>
          <w:color w:val="000000" w:themeColor="text1"/>
          <w:sz w:val="22"/>
          <w:szCs w:val="22"/>
          <w:lang w:val="es-ES_tradnl"/>
        </w:rPr>
        <w:t xml:space="preserve"> los compromisos internacionales vigentes. Es decir que se deberán considerar las estipulaciones</w:t>
      </w:r>
      <w:r w:rsidR="00597516" w:rsidRPr="004F2364">
        <w:rPr>
          <w:rFonts w:ascii="Arial" w:eastAsia="Calibri" w:hAnsi="Arial" w:cs="Arial"/>
          <w:color w:val="000000" w:themeColor="text1"/>
          <w:sz w:val="22"/>
          <w:szCs w:val="22"/>
          <w:lang w:val="es-ES_tradnl"/>
        </w:rPr>
        <w:t xml:space="preserve"> contenidas en los tratados comerciales suscritos entre Colombia y otros Estados.</w:t>
      </w:r>
    </w:p>
    <w:p w14:paraId="7C504D48" w14:textId="74451E22" w:rsidR="00D175B2" w:rsidRPr="004F2364" w:rsidRDefault="00597516" w:rsidP="009A2B60">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iv)</w:t>
      </w:r>
      <w:r w:rsidR="00AA31C5" w:rsidRPr="004F2364">
        <w:rPr>
          <w:rFonts w:ascii="Arial" w:eastAsia="Calibri" w:hAnsi="Arial" w:cs="Arial"/>
          <w:color w:val="000000" w:themeColor="text1"/>
          <w:sz w:val="22"/>
          <w:szCs w:val="22"/>
          <w:lang w:val="es-ES_tradnl"/>
        </w:rPr>
        <w:t xml:space="preserve"> </w:t>
      </w:r>
      <w:r w:rsidR="00244FC3" w:rsidRPr="004F2364">
        <w:rPr>
          <w:rFonts w:ascii="Arial" w:eastAsia="Calibri" w:hAnsi="Arial" w:cs="Arial"/>
          <w:color w:val="000000" w:themeColor="text1"/>
          <w:sz w:val="22"/>
          <w:szCs w:val="22"/>
          <w:lang w:val="es-ES_tradnl"/>
        </w:rPr>
        <w:t>Establece que</w:t>
      </w:r>
      <w:r w:rsidR="001858C9" w:rsidRPr="004F2364">
        <w:rPr>
          <w:rFonts w:ascii="Arial" w:eastAsia="Calibri" w:hAnsi="Arial" w:cs="Arial"/>
          <w:color w:val="000000" w:themeColor="text1"/>
          <w:sz w:val="22"/>
          <w:szCs w:val="22"/>
          <w:lang w:val="es-ES_tradnl"/>
        </w:rPr>
        <w:t>,</w:t>
      </w:r>
      <w:r w:rsidR="00244FC3" w:rsidRPr="004F2364">
        <w:rPr>
          <w:rFonts w:ascii="Arial" w:eastAsia="Calibri" w:hAnsi="Arial" w:cs="Arial"/>
          <w:color w:val="000000" w:themeColor="text1"/>
          <w:sz w:val="22"/>
          <w:szCs w:val="22"/>
          <w:lang w:val="es-ES_tradnl"/>
        </w:rPr>
        <w:t xml:space="preserve"> en el reglamento</w:t>
      </w:r>
      <w:r w:rsidR="001858C9" w:rsidRPr="004F2364">
        <w:rPr>
          <w:rFonts w:ascii="Arial" w:eastAsia="Calibri" w:hAnsi="Arial" w:cs="Arial"/>
          <w:color w:val="000000" w:themeColor="text1"/>
          <w:sz w:val="22"/>
          <w:szCs w:val="22"/>
          <w:lang w:val="es-ES_tradnl"/>
        </w:rPr>
        <w:t>,</w:t>
      </w:r>
      <w:r w:rsidR="00244FC3" w:rsidRPr="004F2364">
        <w:rPr>
          <w:rFonts w:ascii="Arial" w:eastAsia="Calibri" w:hAnsi="Arial" w:cs="Arial"/>
          <w:color w:val="000000" w:themeColor="text1"/>
          <w:sz w:val="22"/>
          <w:szCs w:val="22"/>
          <w:lang w:val="es-ES_tradnl"/>
        </w:rPr>
        <w:t xml:space="preserve"> el gobierno nacional podría</w:t>
      </w:r>
      <w:r w:rsidR="00D175B2" w:rsidRPr="004F2364">
        <w:rPr>
          <w:rFonts w:ascii="Arial" w:eastAsia="Calibri" w:hAnsi="Arial" w:cs="Arial"/>
          <w:color w:val="000000" w:themeColor="text1"/>
          <w:sz w:val="22"/>
          <w:szCs w:val="22"/>
          <w:lang w:val="es-ES_tradnl"/>
        </w:rPr>
        <w:t xml:space="preserve"> establecer condiciones preferenciales para los bienes y servicios producidos por las </w:t>
      </w:r>
      <w:proofErr w:type="spellStart"/>
      <w:r w:rsidR="00D175B2" w:rsidRPr="004F2364">
        <w:rPr>
          <w:rFonts w:ascii="Arial" w:eastAsia="Calibri" w:hAnsi="Arial" w:cs="Arial"/>
          <w:color w:val="000000" w:themeColor="text1"/>
          <w:sz w:val="22"/>
          <w:szCs w:val="22"/>
          <w:lang w:val="es-ES_tradnl"/>
        </w:rPr>
        <w:t>mipymes</w:t>
      </w:r>
      <w:proofErr w:type="spellEnd"/>
      <w:r w:rsidR="00D26DE7" w:rsidRPr="004F2364">
        <w:rPr>
          <w:rFonts w:ascii="Arial" w:eastAsia="Calibri" w:hAnsi="Arial" w:cs="Arial"/>
          <w:color w:val="000000" w:themeColor="text1"/>
          <w:sz w:val="22"/>
          <w:szCs w:val="22"/>
          <w:lang w:val="es-ES_tradnl"/>
        </w:rPr>
        <w:t xml:space="preserve">, sin contrariar los </w:t>
      </w:r>
      <w:r w:rsidR="00AA31C5" w:rsidRPr="004F2364">
        <w:rPr>
          <w:rFonts w:ascii="Arial" w:eastAsia="Calibri" w:hAnsi="Arial" w:cs="Arial"/>
          <w:color w:val="000000" w:themeColor="text1"/>
          <w:sz w:val="22"/>
          <w:szCs w:val="22"/>
          <w:lang w:val="es-ES_tradnl"/>
        </w:rPr>
        <w:t>compromisos internacionales</w:t>
      </w:r>
      <w:r w:rsidR="00D26DE7" w:rsidRPr="004F2364">
        <w:rPr>
          <w:rFonts w:ascii="Arial" w:eastAsia="Calibri" w:hAnsi="Arial" w:cs="Arial"/>
          <w:color w:val="000000" w:themeColor="text1"/>
          <w:sz w:val="22"/>
          <w:szCs w:val="22"/>
          <w:lang w:val="es-ES_tradnl"/>
        </w:rPr>
        <w:t xml:space="preserve"> vigentes.</w:t>
      </w:r>
    </w:p>
    <w:p w14:paraId="45F36E6C" w14:textId="3D4CFBCB" w:rsidR="005A1F51" w:rsidRPr="004F2364" w:rsidRDefault="00D175B2" w:rsidP="009A2B60">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v) </w:t>
      </w:r>
      <w:r w:rsidR="009A2B60" w:rsidRPr="004F2364">
        <w:rPr>
          <w:rFonts w:ascii="Arial" w:eastAsia="Calibri" w:hAnsi="Arial" w:cs="Arial"/>
          <w:color w:val="000000" w:themeColor="text1"/>
          <w:sz w:val="22"/>
          <w:szCs w:val="22"/>
          <w:lang w:val="es-ES_tradnl"/>
        </w:rPr>
        <w:t xml:space="preserve"> </w:t>
      </w:r>
      <w:r w:rsidR="00AA31C5" w:rsidRPr="004F2364">
        <w:rPr>
          <w:rFonts w:ascii="Arial" w:eastAsia="Calibri" w:hAnsi="Arial" w:cs="Arial"/>
          <w:color w:val="000000" w:themeColor="text1"/>
          <w:sz w:val="22"/>
          <w:szCs w:val="22"/>
          <w:lang w:val="es-ES_tradnl"/>
        </w:rPr>
        <w:t xml:space="preserve">Aclara que tanto las convocatorias limitadas a </w:t>
      </w:r>
      <w:proofErr w:type="spellStart"/>
      <w:r w:rsidR="00AA31C5" w:rsidRPr="004F2364">
        <w:rPr>
          <w:rFonts w:ascii="Arial" w:eastAsia="Calibri" w:hAnsi="Arial" w:cs="Arial"/>
          <w:color w:val="000000" w:themeColor="text1"/>
          <w:sz w:val="22"/>
          <w:szCs w:val="22"/>
          <w:lang w:val="es-ES_tradnl"/>
        </w:rPr>
        <w:t>mipymes</w:t>
      </w:r>
      <w:proofErr w:type="spellEnd"/>
      <w:r w:rsidR="00AA31C5" w:rsidRPr="004F2364">
        <w:rPr>
          <w:rFonts w:ascii="Arial" w:eastAsia="Calibri" w:hAnsi="Arial" w:cs="Arial"/>
          <w:color w:val="000000" w:themeColor="text1"/>
          <w:sz w:val="22"/>
          <w:szCs w:val="22"/>
          <w:lang w:val="es-ES_tradnl"/>
        </w:rPr>
        <w:t>, como</w:t>
      </w:r>
      <w:r w:rsidR="00977F52" w:rsidRPr="004F2364">
        <w:rPr>
          <w:rFonts w:ascii="Arial" w:eastAsia="Calibri" w:hAnsi="Arial" w:cs="Arial"/>
          <w:color w:val="000000" w:themeColor="text1"/>
          <w:sz w:val="22"/>
          <w:szCs w:val="22"/>
          <w:lang w:val="es-ES_tradnl"/>
        </w:rPr>
        <w:t xml:space="preserve"> las condiciones preferenciales a favor de los bienes y servicios producidos por estas, no es óbice para que deban cumplir l</w:t>
      </w:r>
      <w:r w:rsidR="005A1F51" w:rsidRPr="004F2364">
        <w:rPr>
          <w:rFonts w:ascii="Arial" w:eastAsia="Calibri" w:hAnsi="Arial" w:cs="Arial"/>
          <w:color w:val="000000" w:themeColor="text1"/>
          <w:sz w:val="22"/>
          <w:szCs w:val="22"/>
          <w:lang w:val="es-ES_tradnl"/>
        </w:rPr>
        <w:t xml:space="preserve">as </w:t>
      </w:r>
      <w:r w:rsidR="00AD30DB" w:rsidRPr="004F2364">
        <w:rPr>
          <w:rFonts w:ascii="Arial" w:eastAsia="Calibri" w:hAnsi="Arial" w:cs="Arial"/>
          <w:color w:val="000000" w:themeColor="text1"/>
          <w:sz w:val="22"/>
          <w:szCs w:val="22"/>
          <w:lang w:val="es-ES_tradnl"/>
        </w:rPr>
        <w:t>exigencias</w:t>
      </w:r>
      <w:r w:rsidR="005A1F51" w:rsidRPr="004F2364">
        <w:rPr>
          <w:rFonts w:ascii="Arial" w:eastAsia="Calibri" w:hAnsi="Arial" w:cs="Arial"/>
          <w:color w:val="000000" w:themeColor="text1"/>
          <w:sz w:val="22"/>
          <w:szCs w:val="22"/>
          <w:lang w:val="es-ES_tradnl"/>
        </w:rPr>
        <w:t xml:space="preserve"> técnicas y económicas </w:t>
      </w:r>
      <w:r w:rsidR="00AD30DB" w:rsidRPr="004F2364">
        <w:rPr>
          <w:rFonts w:ascii="Arial" w:eastAsia="Calibri" w:hAnsi="Arial" w:cs="Arial"/>
          <w:color w:val="000000" w:themeColor="text1"/>
          <w:sz w:val="22"/>
          <w:szCs w:val="22"/>
          <w:lang w:val="es-ES_tradnl"/>
        </w:rPr>
        <w:t>d</w:t>
      </w:r>
      <w:r w:rsidR="005A1F51" w:rsidRPr="004F2364">
        <w:rPr>
          <w:rFonts w:ascii="Arial" w:eastAsia="Calibri" w:hAnsi="Arial" w:cs="Arial"/>
          <w:color w:val="000000" w:themeColor="text1"/>
          <w:sz w:val="22"/>
          <w:szCs w:val="22"/>
          <w:lang w:val="es-ES_tradnl"/>
        </w:rPr>
        <w:t>el proceso de selección.</w:t>
      </w:r>
    </w:p>
    <w:p w14:paraId="41608704" w14:textId="37352778" w:rsidR="009E7068" w:rsidRPr="004F2364" w:rsidRDefault="005A1F51" w:rsidP="003A058E">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lastRenderedPageBreak/>
        <w:t xml:space="preserve">vi) </w:t>
      </w:r>
      <w:r w:rsidR="002C0589" w:rsidRPr="004F2364">
        <w:rPr>
          <w:rFonts w:ascii="Arial" w:eastAsia="Calibri" w:hAnsi="Arial" w:cs="Arial"/>
          <w:color w:val="000000" w:themeColor="text1"/>
          <w:sz w:val="22"/>
          <w:szCs w:val="22"/>
          <w:lang w:val="es-ES_tradnl"/>
        </w:rPr>
        <w:t>Señala que el reglamento que expida el gobierno nacional</w:t>
      </w:r>
      <w:r w:rsidR="00446709" w:rsidRPr="004F2364">
        <w:rPr>
          <w:rFonts w:ascii="Arial" w:eastAsia="Calibri" w:hAnsi="Arial" w:cs="Arial"/>
          <w:color w:val="000000" w:themeColor="text1"/>
          <w:sz w:val="22"/>
          <w:szCs w:val="22"/>
          <w:lang w:val="es-ES_tradnl"/>
        </w:rPr>
        <w:t xml:space="preserve">, además de las convocatorias limitadas a </w:t>
      </w:r>
      <w:proofErr w:type="spellStart"/>
      <w:r w:rsidR="00446709" w:rsidRPr="004F2364">
        <w:rPr>
          <w:rFonts w:ascii="Arial" w:eastAsia="Calibri" w:hAnsi="Arial" w:cs="Arial"/>
          <w:color w:val="000000" w:themeColor="text1"/>
          <w:sz w:val="22"/>
          <w:szCs w:val="22"/>
          <w:lang w:val="es-ES_tradnl"/>
        </w:rPr>
        <w:t>mipymes</w:t>
      </w:r>
      <w:proofErr w:type="spellEnd"/>
      <w:r w:rsidR="00446709" w:rsidRPr="004F2364">
        <w:rPr>
          <w:rFonts w:ascii="Arial" w:eastAsia="Calibri" w:hAnsi="Arial" w:cs="Arial"/>
          <w:color w:val="000000" w:themeColor="text1"/>
          <w:sz w:val="22"/>
          <w:szCs w:val="22"/>
          <w:lang w:val="es-ES_tradnl"/>
        </w:rPr>
        <w:t>, deberá contener disposiciones normativas que permitan la provisión de bienes y servicios, a través de la celebración de contratos estatales</w:t>
      </w:r>
      <w:r w:rsidR="00C04F1B" w:rsidRPr="004F2364">
        <w:rPr>
          <w:rFonts w:ascii="Arial" w:eastAsia="Calibri" w:hAnsi="Arial" w:cs="Arial"/>
          <w:color w:val="000000" w:themeColor="text1"/>
          <w:sz w:val="22"/>
          <w:szCs w:val="22"/>
          <w:lang w:val="es-ES_tradnl"/>
        </w:rPr>
        <w:t xml:space="preserve"> con </w:t>
      </w:r>
      <w:r w:rsidR="00446709" w:rsidRPr="004F2364">
        <w:rPr>
          <w:rFonts w:ascii="Arial" w:eastAsia="Calibri" w:hAnsi="Arial" w:cs="Arial"/>
          <w:color w:val="000000" w:themeColor="text1"/>
          <w:sz w:val="22"/>
          <w:szCs w:val="22"/>
          <w:lang w:val="es-ES_tradnl"/>
        </w:rPr>
        <w:t>algunas personas que gozan de especial protección constitucional.</w:t>
      </w:r>
      <w:r w:rsidR="00206F4D" w:rsidRPr="004F2364">
        <w:rPr>
          <w:rFonts w:ascii="Arial" w:eastAsia="Calibri" w:hAnsi="Arial" w:cs="Arial"/>
          <w:color w:val="000000" w:themeColor="text1"/>
          <w:sz w:val="22"/>
          <w:szCs w:val="22"/>
          <w:lang w:val="es-ES_tradnl"/>
        </w:rPr>
        <w:t xml:space="preserve"> </w:t>
      </w:r>
      <w:r w:rsidR="00C04F1B" w:rsidRPr="004F2364">
        <w:rPr>
          <w:rFonts w:ascii="Arial" w:eastAsia="Calibri" w:hAnsi="Arial" w:cs="Arial"/>
          <w:color w:val="000000" w:themeColor="text1"/>
          <w:sz w:val="22"/>
          <w:szCs w:val="22"/>
          <w:lang w:val="es-ES_tradnl"/>
        </w:rPr>
        <w:t>Entre tales personas se encuentran</w:t>
      </w:r>
      <w:r w:rsidR="00785FB2" w:rsidRPr="004F2364">
        <w:rPr>
          <w:rFonts w:ascii="Arial" w:eastAsia="Calibri" w:hAnsi="Arial" w:cs="Arial"/>
          <w:color w:val="000000" w:themeColor="text1"/>
          <w:sz w:val="22"/>
          <w:szCs w:val="22"/>
          <w:lang w:val="es-ES_tradnl"/>
        </w:rPr>
        <w:t xml:space="preserve"> las que tengan condiciones de pobreza extrema, las desplazadas por la violencia</w:t>
      </w:r>
      <w:r w:rsidR="007E7B55" w:rsidRPr="004F2364">
        <w:rPr>
          <w:rFonts w:ascii="Arial" w:eastAsia="Calibri" w:hAnsi="Arial" w:cs="Arial"/>
          <w:color w:val="000000" w:themeColor="text1"/>
          <w:sz w:val="22"/>
          <w:szCs w:val="22"/>
          <w:lang w:val="es-ES_tradnl"/>
        </w:rPr>
        <w:t xml:space="preserve"> y </w:t>
      </w:r>
      <w:r w:rsidR="00452A7C" w:rsidRPr="004F2364">
        <w:rPr>
          <w:rFonts w:ascii="Arial" w:eastAsia="Calibri" w:hAnsi="Arial" w:cs="Arial"/>
          <w:color w:val="000000" w:themeColor="text1"/>
          <w:sz w:val="22"/>
          <w:szCs w:val="22"/>
          <w:lang w:val="es-ES_tradnl"/>
        </w:rPr>
        <w:t>quienes estén en procesos de reintegración o reincorporación, entre otr</w:t>
      </w:r>
      <w:r w:rsidR="00F47026" w:rsidRPr="004F2364">
        <w:rPr>
          <w:rFonts w:ascii="Arial" w:eastAsia="Calibri" w:hAnsi="Arial" w:cs="Arial"/>
          <w:color w:val="000000" w:themeColor="text1"/>
          <w:sz w:val="22"/>
          <w:szCs w:val="22"/>
          <w:lang w:val="es-ES_tradnl"/>
        </w:rPr>
        <w:t>a</w:t>
      </w:r>
      <w:r w:rsidR="00452A7C" w:rsidRPr="004F2364">
        <w:rPr>
          <w:rFonts w:ascii="Arial" w:eastAsia="Calibri" w:hAnsi="Arial" w:cs="Arial"/>
          <w:color w:val="000000" w:themeColor="text1"/>
          <w:sz w:val="22"/>
          <w:szCs w:val="22"/>
          <w:lang w:val="es-ES_tradnl"/>
        </w:rPr>
        <w:t>s que incluya el reglamento.</w:t>
      </w:r>
    </w:p>
    <w:p w14:paraId="37CB71F7" w14:textId="253BDB69" w:rsidR="003351FF" w:rsidRPr="004F2364" w:rsidRDefault="003351FF" w:rsidP="003A058E">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vii) Precisa que la posibilidad de participar en convocatorias limitadas a </w:t>
      </w:r>
      <w:proofErr w:type="spellStart"/>
      <w:r w:rsidRPr="004F2364">
        <w:rPr>
          <w:rFonts w:ascii="Arial" w:eastAsia="Calibri" w:hAnsi="Arial" w:cs="Arial"/>
          <w:color w:val="000000" w:themeColor="text1"/>
          <w:sz w:val="22"/>
          <w:szCs w:val="22"/>
          <w:lang w:val="es-ES_tradnl"/>
        </w:rPr>
        <w:t>mipymes</w:t>
      </w:r>
      <w:proofErr w:type="spellEnd"/>
      <w:r w:rsidRPr="004F2364">
        <w:rPr>
          <w:rFonts w:ascii="Arial" w:eastAsia="Calibri" w:hAnsi="Arial" w:cs="Arial"/>
          <w:color w:val="000000" w:themeColor="text1"/>
          <w:sz w:val="22"/>
          <w:szCs w:val="22"/>
          <w:lang w:val="es-ES_tradnl"/>
        </w:rPr>
        <w:t xml:space="preserve"> se encuentra condicionada a que estas</w:t>
      </w:r>
      <w:r w:rsidR="000C084E" w:rsidRPr="004F2364">
        <w:rPr>
          <w:rFonts w:ascii="Arial" w:eastAsia="Calibri" w:hAnsi="Arial" w:cs="Arial"/>
          <w:color w:val="000000" w:themeColor="text1"/>
          <w:sz w:val="22"/>
          <w:szCs w:val="22"/>
          <w:lang w:val="es-ES_tradnl"/>
        </w:rPr>
        <w:t xml:space="preserve"> acrediten como mínimo un año de existencia, con el certificado expedido por la cámara de comercio respectiva</w:t>
      </w:r>
      <w:r w:rsidR="00A84935" w:rsidRPr="004F2364">
        <w:rPr>
          <w:rFonts w:ascii="Arial" w:eastAsia="Calibri" w:hAnsi="Arial" w:cs="Arial"/>
          <w:color w:val="000000" w:themeColor="text1"/>
          <w:sz w:val="22"/>
          <w:szCs w:val="22"/>
          <w:lang w:val="es-ES_tradnl"/>
        </w:rPr>
        <w:t xml:space="preserve"> o por la autoridad que sea competente para ello.</w:t>
      </w:r>
    </w:p>
    <w:p w14:paraId="1B793D8D" w14:textId="6CEF958B" w:rsidR="00DB387B" w:rsidRPr="0061221C" w:rsidRDefault="00A84935" w:rsidP="00DB387B">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viii) Hace </w:t>
      </w:r>
      <w:r w:rsidR="00DE4E67" w:rsidRPr="004F2364">
        <w:rPr>
          <w:rFonts w:ascii="Arial" w:eastAsia="Calibri" w:hAnsi="Arial" w:cs="Arial"/>
          <w:color w:val="000000" w:themeColor="text1"/>
          <w:sz w:val="22"/>
          <w:szCs w:val="22"/>
          <w:lang w:val="es-ES_tradnl"/>
        </w:rPr>
        <w:t xml:space="preserve">obligatorio el cumplimiento </w:t>
      </w:r>
      <w:r w:rsidR="00772E2A" w:rsidRPr="004F2364">
        <w:rPr>
          <w:rFonts w:ascii="Arial" w:eastAsia="Calibri" w:hAnsi="Arial" w:cs="Arial"/>
          <w:color w:val="000000" w:themeColor="text1"/>
          <w:sz w:val="22"/>
          <w:szCs w:val="22"/>
          <w:lang w:val="es-ES_tradnl"/>
        </w:rPr>
        <w:t>de lo dispuesto en los artículos 90 a 95 de la Ley 418</w:t>
      </w:r>
      <w:r w:rsidR="00AE1713" w:rsidRPr="004F2364">
        <w:rPr>
          <w:rFonts w:ascii="Arial" w:eastAsia="Calibri" w:hAnsi="Arial" w:cs="Arial"/>
          <w:color w:val="000000" w:themeColor="text1"/>
          <w:sz w:val="22"/>
          <w:szCs w:val="22"/>
          <w:lang w:val="es-ES_tradnl"/>
        </w:rPr>
        <w:t xml:space="preserve"> de 1997</w:t>
      </w:r>
      <w:r w:rsidR="00496AC4" w:rsidRPr="004F2364">
        <w:rPr>
          <w:rFonts w:ascii="Arial" w:eastAsia="Calibri" w:hAnsi="Arial" w:cs="Arial"/>
          <w:color w:val="000000" w:themeColor="text1"/>
          <w:sz w:val="22"/>
          <w:szCs w:val="22"/>
          <w:lang w:val="es-ES_tradnl"/>
        </w:rPr>
        <w:t xml:space="preserve"> –</w:t>
      </w:r>
      <w:r w:rsidR="00FA66F9" w:rsidRPr="004F2364">
        <w:rPr>
          <w:rFonts w:ascii="Arial" w:eastAsia="Calibri" w:hAnsi="Arial" w:cs="Arial"/>
          <w:color w:val="000000" w:themeColor="text1"/>
          <w:sz w:val="22"/>
          <w:szCs w:val="22"/>
          <w:lang w:val="es-ES_tradnl"/>
        </w:rPr>
        <w:t xml:space="preserve">normas </w:t>
      </w:r>
      <w:r w:rsidR="00496AC4" w:rsidRPr="004F2364">
        <w:rPr>
          <w:rFonts w:ascii="Arial" w:eastAsia="Calibri" w:hAnsi="Arial" w:cs="Arial"/>
          <w:color w:val="000000" w:themeColor="text1"/>
          <w:sz w:val="22"/>
          <w:szCs w:val="22"/>
          <w:lang w:val="es-ES_tradnl"/>
        </w:rPr>
        <w:t xml:space="preserve">que establecen la obligación de declarar la caducidad y la </w:t>
      </w:r>
      <w:r w:rsidR="00496AC4" w:rsidRPr="0061221C">
        <w:rPr>
          <w:rFonts w:ascii="Arial" w:eastAsia="Calibri" w:hAnsi="Arial" w:cs="Arial"/>
          <w:color w:val="000000" w:themeColor="text1"/>
          <w:sz w:val="22"/>
          <w:szCs w:val="22"/>
          <w:lang w:val="es-ES_tradnl"/>
        </w:rPr>
        <w:t>liquidación unilateral</w:t>
      </w:r>
      <w:r w:rsidR="00A46A5F" w:rsidRPr="0061221C">
        <w:rPr>
          <w:rFonts w:ascii="Arial" w:eastAsia="Calibri" w:hAnsi="Arial" w:cs="Arial"/>
          <w:color w:val="000000" w:themeColor="text1"/>
          <w:sz w:val="22"/>
          <w:szCs w:val="22"/>
          <w:lang w:val="es-ES_tradnl"/>
        </w:rPr>
        <w:t xml:space="preserve"> cuando el contratista beneficie grupos armados </w:t>
      </w:r>
      <w:r w:rsidR="005F7DE2" w:rsidRPr="0061221C">
        <w:rPr>
          <w:rFonts w:ascii="Arial" w:eastAsia="Calibri" w:hAnsi="Arial" w:cs="Arial"/>
          <w:color w:val="000000" w:themeColor="text1"/>
          <w:sz w:val="22"/>
          <w:szCs w:val="22"/>
          <w:lang w:val="es-ES_tradnl"/>
        </w:rPr>
        <w:t>organizados al margen de la ley–</w:t>
      </w:r>
      <w:r w:rsidR="00AE1713" w:rsidRPr="0061221C">
        <w:rPr>
          <w:rFonts w:ascii="Arial" w:eastAsia="Calibri" w:hAnsi="Arial" w:cs="Arial"/>
          <w:color w:val="000000" w:themeColor="text1"/>
          <w:sz w:val="22"/>
          <w:szCs w:val="22"/>
          <w:lang w:val="es-ES_tradnl"/>
        </w:rPr>
        <w:t xml:space="preserve"> en la ejecución de los contratos celebrados </w:t>
      </w:r>
      <w:r w:rsidR="00496AC4" w:rsidRPr="0061221C">
        <w:rPr>
          <w:rFonts w:ascii="Arial" w:eastAsia="Calibri" w:hAnsi="Arial" w:cs="Arial"/>
          <w:color w:val="000000" w:themeColor="text1"/>
          <w:sz w:val="22"/>
          <w:szCs w:val="22"/>
          <w:lang w:val="es-ES_tradnl"/>
        </w:rPr>
        <w:t>en virtud del artículo 34 de la Ley 2069 de 2020.</w:t>
      </w:r>
    </w:p>
    <w:p w14:paraId="030DC43C" w14:textId="77777777" w:rsidR="00657B67" w:rsidRPr="0061221C" w:rsidRDefault="00C537BA" w:rsidP="00772AAF">
      <w:pPr>
        <w:spacing w:before="120" w:line="276" w:lineRule="auto"/>
        <w:ind w:firstLine="709"/>
        <w:jc w:val="both"/>
        <w:rPr>
          <w:rFonts w:ascii="Arial" w:eastAsia="Calibri" w:hAnsi="Arial" w:cs="Arial"/>
          <w:color w:val="000000" w:themeColor="text1"/>
          <w:sz w:val="22"/>
          <w:szCs w:val="22"/>
          <w:lang w:val="es-ES_tradnl"/>
        </w:rPr>
      </w:pPr>
      <w:r w:rsidRPr="0061221C">
        <w:rPr>
          <w:rFonts w:ascii="Arial" w:eastAsia="Calibri" w:hAnsi="Arial" w:cs="Arial"/>
          <w:color w:val="000000" w:themeColor="text1"/>
          <w:sz w:val="22"/>
          <w:szCs w:val="22"/>
          <w:lang w:val="es-ES_tradnl"/>
        </w:rPr>
        <w:t>A partir de lo anterior, puede afirmarse que el artículo 34 de la Ley 2069 de 2020</w:t>
      </w:r>
      <w:r w:rsidR="00387C6C" w:rsidRPr="0061221C">
        <w:rPr>
          <w:rFonts w:ascii="Arial" w:eastAsia="Calibri" w:hAnsi="Arial" w:cs="Arial"/>
          <w:color w:val="000000" w:themeColor="text1"/>
          <w:sz w:val="22"/>
          <w:szCs w:val="22"/>
          <w:lang w:val="es-ES_tradnl"/>
        </w:rPr>
        <w:t xml:space="preserve"> sustituyó íntegramente el contenido del artículo 12 de la Ley 1150 de 2007. En este sentido</w:t>
      </w:r>
      <w:r w:rsidR="004102DD" w:rsidRPr="0061221C">
        <w:rPr>
          <w:rFonts w:ascii="Arial" w:eastAsia="Calibri" w:hAnsi="Arial" w:cs="Arial"/>
          <w:color w:val="000000" w:themeColor="text1"/>
          <w:sz w:val="22"/>
          <w:szCs w:val="22"/>
          <w:lang w:val="es-ES_tradnl"/>
        </w:rPr>
        <w:t>, frente a esta última norma se produjo el fenómeno de la subrogació</w:t>
      </w:r>
      <w:r w:rsidR="00657B67" w:rsidRPr="0061221C">
        <w:rPr>
          <w:rFonts w:ascii="Arial" w:eastAsia="Calibri" w:hAnsi="Arial" w:cs="Arial"/>
          <w:color w:val="000000" w:themeColor="text1"/>
          <w:sz w:val="22"/>
          <w:szCs w:val="22"/>
          <w:lang w:val="es-ES_tradnl"/>
        </w:rPr>
        <w:t xml:space="preserve">n, el cual ha sido explicado por la Corte Constitucional en los siguientes términos: </w:t>
      </w:r>
    </w:p>
    <w:p w14:paraId="72AF610C" w14:textId="77777777" w:rsidR="00657B67" w:rsidRPr="0061221C" w:rsidRDefault="00657B67" w:rsidP="00657B67">
      <w:pPr>
        <w:spacing w:line="276" w:lineRule="auto"/>
        <w:ind w:left="709" w:right="709"/>
        <w:jc w:val="both"/>
        <w:rPr>
          <w:rFonts w:ascii="Arial" w:eastAsia="Calibri" w:hAnsi="Arial" w:cs="Arial"/>
          <w:color w:val="000000" w:themeColor="text1"/>
          <w:sz w:val="21"/>
          <w:szCs w:val="21"/>
          <w:lang w:val="es-ES_tradnl"/>
        </w:rPr>
      </w:pPr>
    </w:p>
    <w:p w14:paraId="2A1706ED" w14:textId="51ED5634" w:rsidR="00C537BA" w:rsidRPr="0061221C" w:rsidRDefault="00657B67" w:rsidP="009B0D05">
      <w:pPr>
        <w:ind w:left="709" w:right="709"/>
        <w:jc w:val="both"/>
        <w:rPr>
          <w:rFonts w:ascii="Arial" w:eastAsia="Calibri" w:hAnsi="Arial" w:cs="Arial"/>
          <w:color w:val="000000" w:themeColor="text1"/>
          <w:sz w:val="21"/>
          <w:szCs w:val="21"/>
          <w:lang w:val="es-ES_tradnl"/>
        </w:rPr>
      </w:pPr>
      <w:r w:rsidRPr="0061221C">
        <w:rPr>
          <w:rFonts w:ascii="Arial" w:eastAsia="Calibri" w:hAnsi="Arial" w:cs="Arial"/>
          <w:color w:val="000000" w:themeColor="text1"/>
          <w:sz w:val="21"/>
          <w:szCs w:val="21"/>
          <w:lang w:val="es-ES_tradnl"/>
        </w:rPr>
        <w:t>La subrogación es entendida como el acto de sustituir una norma por otra. No se trata de una derogación simple, como quiera que antes que abolir o anular una disposición del sistema normativo establecido, lo que hace es poner un texto normativo en lugar de otro. Como resultado de la subrogación, las normas jurídicas preexistentes y afectadas con la medida pueden en parte ser derogadas, modificadas y en parte sustituidas por otras nuevas; pero también la subrogación puede incluir la reproducción de apartes normativos provenientes del texto legal que se subroga</w:t>
      </w:r>
      <w:r w:rsidR="00D83044" w:rsidRPr="0061221C">
        <w:rPr>
          <w:rStyle w:val="Refdenotaalpie"/>
          <w:rFonts w:ascii="Arial" w:eastAsia="Calibri" w:hAnsi="Arial" w:cs="Arial"/>
          <w:color w:val="000000" w:themeColor="text1"/>
          <w:sz w:val="21"/>
          <w:szCs w:val="21"/>
          <w:lang w:val="es-ES_tradnl"/>
        </w:rPr>
        <w:footnoteReference w:id="8"/>
      </w:r>
      <w:r w:rsidRPr="0061221C">
        <w:rPr>
          <w:rFonts w:ascii="Arial" w:eastAsia="Calibri" w:hAnsi="Arial" w:cs="Arial"/>
          <w:color w:val="000000" w:themeColor="text1"/>
          <w:sz w:val="21"/>
          <w:szCs w:val="21"/>
          <w:lang w:val="es-ES_tradnl"/>
        </w:rPr>
        <w:t>.</w:t>
      </w:r>
    </w:p>
    <w:p w14:paraId="7A82E3C8" w14:textId="77777777" w:rsidR="00D83044" w:rsidRPr="0061221C" w:rsidRDefault="00D83044" w:rsidP="00D83044">
      <w:pPr>
        <w:spacing w:line="276" w:lineRule="auto"/>
        <w:ind w:firstLine="709"/>
        <w:jc w:val="both"/>
        <w:rPr>
          <w:rFonts w:ascii="Arial" w:eastAsia="Calibri" w:hAnsi="Arial" w:cs="Arial"/>
          <w:color w:val="000000" w:themeColor="text1"/>
          <w:sz w:val="22"/>
          <w:szCs w:val="22"/>
          <w:lang w:val="es-ES_tradnl"/>
        </w:rPr>
      </w:pPr>
    </w:p>
    <w:p w14:paraId="16DFB311" w14:textId="780984CA" w:rsidR="00525822" w:rsidRPr="0061221C" w:rsidRDefault="00525822" w:rsidP="00D83044">
      <w:pPr>
        <w:spacing w:line="276" w:lineRule="auto"/>
        <w:ind w:firstLine="709"/>
        <w:jc w:val="both"/>
        <w:rPr>
          <w:rFonts w:ascii="Arial" w:eastAsia="Calibri" w:hAnsi="Arial" w:cs="Arial"/>
          <w:color w:val="000000" w:themeColor="text1"/>
          <w:sz w:val="22"/>
          <w:szCs w:val="22"/>
          <w:lang w:val="es-ES_tradnl"/>
        </w:rPr>
      </w:pPr>
      <w:r w:rsidRPr="0061221C">
        <w:rPr>
          <w:rFonts w:ascii="Arial" w:eastAsia="Calibri" w:hAnsi="Arial" w:cs="Arial"/>
          <w:color w:val="000000" w:themeColor="text1"/>
          <w:sz w:val="22"/>
          <w:szCs w:val="22"/>
          <w:lang w:val="es-ES_tradnl"/>
        </w:rPr>
        <w:t>La subrogación es, entonces, una forma de derogación de l</w:t>
      </w:r>
      <w:r w:rsidR="008E1924" w:rsidRPr="0061221C">
        <w:rPr>
          <w:rFonts w:ascii="Arial" w:eastAsia="Calibri" w:hAnsi="Arial" w:cs="Arial"/>
          <w:color w:val="000000" w:themeColor="text1"/>
          <w:sz w:val="22"/>
          <w:szCs w:val="22"/>
          <w:lang w:val="es-ES_tradnl"/>
        </w:rPr>
        <w:t>a</w:t>
      </w:r>
      <w:r w:rsidRPr="0061221C">
        <w:rPr>
          <w:rFonts w:ascii="Arial" w:eastAsia="Calibri" w:hAnsi="Arial" w:cs="Arial"/>
          <w:color w:val="000000" w:themeColor="text1"/>
          <w:sz w:val="22"/>
          <w:szCs w:val="22"/>
          <w:lang w:val="es-ES_tradnl"/>
        </w:rPr>
        <w:t xml:space="preserve">s </w:t>
      </w:r>
      <w:r w:rsidR="008E1924" w:rsidRPr="0061221C">
        <w:rPr>
          <w:rFonts w:ascii="Arial" w:eastAsia="Calibri" w:hAnsi="Arial" w:cs="Arial"/>
          <w:color w:val="000000" w:themeColor="text1"/>
          <w:sz w:val="22"/>
          <w:szCs w:val="22"/>
          <w:lang w:val="es-ES_tradnl"/>
        </w:rPr>
        <w:t>normas jurídicas</w:t>
      </w:r>
      <w:r w:rsidRPr="0061221C">
        <w:rPr>
          <w:rFonts w:ascii="Arial" w:eastAsia="Calibri" w:hAnsi="Arial" w:cs="Arial"/>
          <w:color w:val="000000" w:themeColor="text1"/>
          <w:sz w:val="22"/>
          <w:szCs w:val="22"/>
          <w:lang w:val="es-ES_tradnl"/>
        </w:rPr>
        <w:t>,</w:t>
      </w:r>
      <w:r w:rsidR="00274774" w:rsidRPr="0061221C">
        <w:rPr>
          <w:rFonts w:ascii="Arial" w:eastAsia="Calibri" w:hAnsi="Arial" w:cs="Arial"/>
          <w:color w:val="000000" w:themeColor="text1"/>
          <w:sz w:val="22"/>
          <w:szCs w:val="22"/>
          <w:lang w:val="es-ES_tradnl"/>
        </w:rPr>
        <w:t xml:space="preserve"> que consiste en el reemplazo </w:t>
      </w:r>
      <w:r w:rsidR="00B51776" w:rsidRPr="0061221C">
        <w:rPr>
          <w:rFonts w:ascii="Arial" w:eastAsia="Calibri" w:hAnsi="Arial" w:cs="Arial"/>
          <w:color w:val="000000" w:themeColor="text1"/>
          <w:sz w:val="22"/>
          <w:szCs w:val="22"/>
          <w:lang w:val="es-ES_tradnl"/>
        </w:rPr>
        <w:t>de su</w:t>
      </w:r>
      <w:r w:rsidR="00274774" w:rsidRPr="0061221C">
        <w:rPr>
          <w:rFonts w:ascii="Arial" w:eastAsia="Calibri" w:hAnsi="Arial" w:cs="Arial"/>
          <w:color w:val="000000" w:themeColor="text1"/>
          <w:sz w:val="22"/>
          <w:szCs w:val="22"/>
          <w:lang w:val="es-ES_tradnl"/>
        </w:rPr>
        <w:t xml:space="preserve"> contenido por un enunciado normativo nuevo. Se distingue de la derogación simple en que en este último evento la disposición normativa</w:t>
      </w:r>
      <w:r w:rsidR="00965D36" w:rsidRPr="0061221C">
        <w:rPr>
          <w:rFonts w:ascii="Arial" w:eastAsia="Calibri" w:hAnsi="Arial" w:cs="Arial"/>
          <w:color w:val="000000" w:themeColor="text1"/>
          <w:sz w:val="22"/>
          <w:szCs w:val="22"/>
          <w:lang w:val="es-ES_tradnl"/>
        </w:rPr>
        <w:t xml:space="preserve"> posterior no sustituye el texto, sino que</w:t>
      </w:r>
      <w:r w:rsidR="009D7E32" w:rsidRPr="0061221C">
        <w:rPr>
          <w:rFonts w:ascii="Arial" w:eastAsia="Calibri" w:hAnsi="Arial" w:cs="Arial"/>
          <w:color w:val="000000" w:themeColor="text1"/>
          <w:sz w:val="22"/>
          <w:szCs w:val="22"/>
          <w:lang w:val="es-ES_tradnl"/>
        </w:rPr>
        <w:t xml:space="preserve"> solo</w:t>
      </w:r>
      <w:r w:rsidR="00965D36" w:rsidRPr="0061221C">
        <w:rPr>
          <w:rFonts w:ascii="Arial" w:eastAsia="Calibri" w:hAnsi="Arial" w:cs="Arial"/>
          <w:color w:val="000000" w:themeColor="text1"/>
          <w:sz w:val="22"/>
          <w:szCs w:val="22"/>
          <w:lang w:val="es-ES_tradnl"/>
        </w:rPr>
        <w:t xml:space="preserve"> </w:t>
      </w:r>
      <w:r w:rsidR="009D7E32" w:rsidRPr="0061221C">
        <w:rPr>
          <w:rFonts w:ascii="Arial" w:eastAsia="Calibri" w:hAnsi="Arial" w:cs="Arial"/>
          <w:color w:val="000000" w:themeColor="text1"/>
          <w:sz w:val="22"/>
          <w:szCs w:val="22"/>
          <w:lang w:val="es-ES_tradnl"/>
        </w:rPr>
        <w:t>le hace perder vigencia a la</w:t>
      </w:r>
      <w:r w:rsidR="00B51776" w:rsidRPr="0061221C">
        <w:rPr>
          <w:rFonts w:ascii="Arial" w:eastAsia="Calibri" w:hAnsi="Arial" w:cs="Arial"/>
          <w:color w:val="000000" w:themeColor="text1"/>
          <w:sz w:val="22"/>
          <w:szCs w:val="22"/>
          <w:lang w:val="es-ES_tradnl"/>
        </w:rPr>
        <w:t xml:space="preserve"> disposición normativa</w:t>
      </w:r>
      <w:r w:rsidR="009D7E32" w:rsidRPr="0061221C">
        <w:rPr>
          <w:rFonts w:ascii="Arial" w:eastAsia="Calibri" w:hAnsi="Arial" w:cs="Arial"/>
          <w:color w:val="000000" w:themeColor="text1"/>
          <w:sz w:val="22"/>
          <w:szCs w:val="22"/>
          <w:lang w:val="es-ES_tradnl"/>
        </w:rPr>
        <w:t xml:space="preserve"> anterior.</w:t>
      </w:r>
      <w:r w:rsidR="006E1E86" w:rsidRPr="0061221C">
        <w:rPr>
          <w:rFonts w:ascii="Arial" w:eastAsia="Calibri" w:hAnsi="Arial" w:cs="Arial"/>
          <w:color w:val="000000" w:themeColor="text1"/>
          <w:sz w:val="22"/>
          <w:szCs w:val="22"/>
          <w:lang w:val="es-ES_tradnl"/>
        </w:rPr>
        <w:t xml:space="preserve"> Como lo explica la Corte Constitucional, la subrogación </w:t>
      </w:r>
      <w:r w:rsidR="008A7AEB" w:rsidRPr="0061221C">
        <w:rPr>
          <w:rFonts w:ascii="Arial" w:eastAsia="Calibri" w:hAnsi="Arial" w:cs="Arial"/>
          <w:color w:val="000000" w:themeColor="text1"/>
          <w:sz w:val="22"/>
          <w:szCs w:val="22"/>
          <w:lang w:val="es-ES_tradnl"/>
        </w:rPr>
        <w:t>puede presentarse</w:t>
      </w:r>
      <w:r w:rsidR="006E1E86" w:rsidRPr="0061221C">
        <w:rPr>
          <w:rFonts w:ascii="Arial" w:eastAsia="Calibri" w:hAnsi="Arial" w:cs="Arial"/>
          <w:color w:val="000000" w:themeColor="text1"/>
          <w:sz w:val="22"/>
          <w:szCs w:val="22"/>
          <w:lang w:val="es-ES_tradnl"/>
        </w:rPr>
        <w:t xml:space="preserve"> bien porque el enunciado normativo</w:t>
      </w:r>
      <w:r w:rsidR="009B6AE5" w:rsidRPr="0061221C">
        <w:rPr>
          <w:rFonts w:ascii="Arial" w:eastAsia="Calibri" w:hAnsi="Arial" w:cs="Arial"/>
          <w:color w:val="000000" w:themeColor="text1"/>
          <w:sz w:val="22"/>
          <w:szCs w:val="22"/>
          <w:lang w:val="es-ES_tradnl"/>
        </w:rPr>
        <w:t xml:space="preserve"> regule de manera diferente una materia o porque repro</w:t>
      </w:r>
      <w:r w:rsidR="00F07441" w:rsidRPr="0061221C">
        <w:rPr>
          <w:rFonts w:ascii="Arial" w:eastAsia="Calibri" w:hAnsi="Arial" w:cs="Arial"/>
          <w:color w:val="000000" w:themeColor="text1"/>
          <w:sz w:val="22"/>
          <w:szCs w:val="22"/>
          <w:lang w:val="es-ES_tradnl"/>
        </w:rPr>
        <w:t xml:space="preserve">duzca </w:t>
      </w:r>
      <w:r w:rsidR="00F07441" w:rsidRPr="0061221C">
        <w:rPr>
          <w:rFonts w:ascii="Arial" w:eastAsia="Calibri" w:hAnsi="Arial" w:cs="Arial"/>
          <w:color w:val="000000" w:themeColor="text1"/>
          <w:sz w:val="22"/>
          <w:szCs w:val="22"/>
          <w:lang w:val="es-ES_tradnl"/>
        </w:rPr>
        <w:lastRenderedPageBreak/>
        <w:t xml:space="preserve">apartados normativos de otra. Pero lo cierto es que, en uno u otro caso, la disposición normativa anterior </w:t>
      </w:r>
      <w:r w:rsidR="00031B7A" w:rsidRPr="0061221C">
        <w:rPr>
          <w:rFonts w:ascii="Arial" w:eastAsia="Calibri" w:hAnsi="Arial" w:cs="Arial"/>
          <w:color w:val="000000" w:themeColor="text1"/>
          <w:sz w:val="22"/>
          <w:szCs w:val="22"/>
          <w:lang w:val="es-ES_tradnl"/>
        </w:rPr>
        <w:t>pierde vigencia.</w:t>
      </w:r>
    </w:p>
    <w:p w14:paraId="79E5EF7C" w14:textId="77777777" w:rsidR="006D405E" w:rsidRPr="0061221C" w:rsidRDefault="008A7AEB" w:rsidP="00793D65">
      <w:pPr>
        <w:spacing w:before="120" w:line="276" w:lineRule="auto"/>
        <w:ind w:firstLine="709"/>
        <w:jc w:val="both"/>
        <w:rPr>
          <w:rFonts w:ascii="Arial" w:eastAsia="Calibri" w:hAnsi="Arial" w:cs="Arial"/>
          <w:color w:val="000000" w:themeColor="text1"/>
          <w:sz w:val="22"/>
          <w:szCs w:val="22"/>
          <w:lang w:val="es-ES_tradnl"/>
        </w:rPr>
      </w:pPr>
      <w:r w:rsidRPr="0061221C">
        <w:rPr>
          <w:rFonts w:ascii="Arial" w:eastAsia="Calibri" w:hAnsi="Arial" w:cs="Arial"/>
          <w:color w:val="000000" w:themeColor="text1"/>
          <w:sz w:val="22"/>
          <w:szCs w:val="22"/>
          <w:lang w:val="es-ES_tradnl"/>
        </w:rPr>
        <w:t xml:space="preserve">El artículo </w:t>
      </w:r>
      <w:r w:rsidR="006E0B2B" w:rsidRPr="0061221C">
        <w:rPr>
          <w:rFonts w:ascii="Arial" w:eastAsia="Calibri" w:hAnsi="Arial" w:cs="Arial"/>
          <w:color w:val="000000" w:themeColor="text1"/>
          <w:sz w:val="22"/>
          <w:szCs w:val="22"/>
          <w:lang w:val="es-ES_tradnl"/>
        </w:rPr>
        <w:t>12 de la Ley 1150 de 2007 fue subrogado por el artículo 34 de la Ley 2069 de 2020, porque este</w:t>
      </w:r>
      <w:r w:rsidR="00BB3A8F" w:rsidRPr="0061221C">
        <w:rPr>
          <w:rFonts w:ascii="Arial" w:eastAsia="Calibri" w:hAnsi="Arial" w:cs="Arial"/>
          <w:color w:val="000000" w:themeColor="text1"/>
          <w:sz w:val="22"/>
          <w:szCs w:val="22"/>
          <w:lang w:val="es-ES_tradnl"/>
        </w:rPr>
        <w:t xml:space="preserve"> contiene una regulación diferente de la promoción del desarrollo en la contratación estatal. Además, en el primer inciso de</w:t>
      </w:r>
      <w:r w:rsidR="004263A9" w:rsidRPr="0061221C">
        <w:rPr>
          <w:rFonts w:ascii="Arial" w:eastAsia="Calibri" w:hAnsi="Arial" w:cs="Arial"/>
          <w:color w:val="000000" w:themeColor="text1"/>
          <w:sz w:val="22"/>
          <w:szCs w:val="22"/>
          <w:lang w:val="es-ES_tradnl"/>
        </w:rPr>
        <w:t xml:space="preserve">l artículo 34 de la Ley 2069 de 2020 se lee claramente: «Modifíquese el artículo 12 de la Ley 1150 de 2007, el cual quedará así». </w:t>
      </w:r>
      <w:r w:rsidR="000453F7" w:rsidRPr="0061221C">
        <w:rPr>
          <w:rFonts w:ascii="Arial" w:eastAsia="Calibri" w:hAnsi="Arial" w:cs="Arial"/>
          <w:color w:val="000000" w:themeColor="text1"/>
          <w:sz w:val="22"/>
          <w:szCs w:val="22"/>
          <w:lang w:val="es-ES_tradnl"/>
        </w:rPr>
        <w:t>Esto significa que la voluntad del legislador no estuvo dirigida a efectuar una</w:t>
      </w:r>
      <w:r w:rsidR="00F8563E" w:rsidRPr="0061221C">
        <w:rPr>
          <w:rFonts w:ascii="Arial" w:eastAsia="Calibri" w:hAnsi="Arial" w:cs="Arial"/>
          <w:color w:val="000000" w:themeColor="text1"/>
          <w:sz w:val="22"/>
          <w:szCs w:val="22"/>
          <w:lang w:val="es-ES_tradnl"/>
        </w:rPr>
        <w:t xml:space="preserve"> </w:t>
      </w:r>
      <w:r w:rsidR="000453F7" w:rsidRPr="0061221C">
        <w:rPr>
          <w:rFonts w:ascii="Arial" w:eastAsia="Calibri" w:hAnsi="Arial" w:cs="Arial"/>
          <w:color w:val="000000" w:themeColor="text1"/>
          <w:sz w:val="22"/>
          <w:szCs w:val="22"/>
          <w:lang w:val="es-ES_tradnl"/>
        </w:rPr>
        <w:t>reforma parcial</w:t>
      </w:r>
      <w:r w:rsidR="00F8563E" w:rsidRPr="0061221C">
        <w:rPr>
          <w:rFonts w:ascii="Arial" w:eastAsia="Calibri" w:hAnsi="Arial" w:cs="Arial"/>
          <w:color w:val="000000" w:themeColor="text1"/>
          <w:sz w:val="22"/>
          <w:szCs w:val="22"/>
          <w:lang w:val="es-ES_tradnl"/>
        </w:rPr>
        <w:t xml:space="preserve"> del artículo 12 de la Ley 1150 de 2007, sino a modificarlo </w:t>
      </w:r>
      <w:r w:rsidR="00793D65" w:rsidRPr="0061221C">
        <w:rPr>
          <w:rFonts w:ascii="Arial" w:eastAsia="Calibri" w:hAnsi="Arial" w:cs="Arial"/>
          <w:color w:val="000000" w:themeColor="text1"/>
          <w:sz w:val="22"/>
          <w:szCs w:val="22"/>
          <w:lang w:val="es-ES_tradnl"/>
        </w:rPr>
        <w:t>completamente, sustituyéndolo por uno nuevo.</w:t>
      </w:r>
    </w:p>
    <w:p w14:paraId="109E199C" w14:textId="20382CED" w:rsidR="00992E5F" w:rsidRPr="0061221C" w:rsidRDefault="008E1924" w:rsidP="00A36BCF">
      <w:pPr>
        <w:spacing w:before="120" w:line="276" w:lineRule="auto"/>
        <w:ind w:firstLine="709"/>
        <w:jc w:val="both"/>
        <w:rPr>
          <w:rFonts w:ascii="Arial" w:eastAsia="Calibri" w:hAnsi="Arial" w:cs="Arial"/>
          <w:color w:val="000000" w:themeColor="text1"/>
          <w:sz w:val="22"/>
          <w:szCs w:val="22"/>
          <w:lang w:val="es-ES_tradnl"/>
        </w:rPr>
      </w:pPr>
      <w:r w:rsidRPr="0061221C">
        <w:rPr>
          <w:rFonts w:ascii="Arial" w:eastAsia="Calibri" w:hAnsi="Arial" w:cs="Arial"/>
          <w:color w:val="000000" w:themeColor="text1"/>
          <w:sz w:val="22"/>
          <w:szCs w:val="22"/>
          <w:lang w:val="es-ES_tradnl"/>
        </w:rPr>
        <w:t>Por tanto</w:t>
      </w:r>
      <w:r w:rsidR="0008285F" w:rsidRPr="0061221C">
        <w:rPr>
          <w:rFonts w:ascii="Arial" w:eastAsia="Calibri" w:hAnsi="Arial" w:cs="Arial"/>
          <w:color w:val="000000" w:themeColor="text1"/>
          <w:sz w:val="22"/>
          <w:szCs w:val="22"/>
          <w:lang w:val="es-ES_tradnl"/>
        </w:rPr>
        <w:t xml:space="preserve">, aunque el artículo 12 de la Ley 1150 de 2007 había sido modificado parcialmente por el artículo </w:t>
      </w:r>
      <w:r w:rsidR="00F45AA5" w:rsidRPr="0061221C">
        <w:rPr>
          <w:rFonts w:ascii="Arial" w:eastAsia="Calibri" w:hAnsi="Arial" w:cs="Arial"/>
          <w:color w:val="000000" w:themeColor="text1"/>
          <w:sz w:val="22"/>
          <w:szCs w:val="22"/>
          <w:lang w:val="es-ES_tradnl"/>
        </w:rPr>
        <w:t xml:space="preserve">3 de la Ley 2040 de 2020, que le había adicionado </w:t>
      </w:r>
      <w:r w:rsidR="00E1070C" w:rsidRPr="0061221C">
        <w:rPr>
          <w:rFonts w:ascii="Arial" w:eastAsia="Calibri" w:hAnsi="Arial" w:cs="Arial"/>
          <w:color w:val="000000" w:themeColor="text1"/>
          <w:sz w:val="22"/>
          <w:szCs w:val="22"/>
          <w:lang w:val="es-ES_tradnl"/>
        </w:rPr>
        <w:t>un parágrafo, también dicho parágrafo ha perdido su vigencia. En efecto</w:t>
      </w:r>
      <w:r w:rsidR="00992E5F" w:rsidRPr="0061221C">
        <w:rPr>
          <w:rFonts w:ascii="Arial" w:eastAsia="Calibri" w:hAnsi="Arial" w:cs="Arial"/>
          <w:color w:val="000000" w:themeColor="text1"/>
          <w:sz w:val="22"/>
          <w:szCs w:val="22"/>
          <w:lang w:val="es-ES_tradnl"/>
        </w:rPr>
        <w:t>,</w:t>
      </w:r>
      <w:r w:rsidR="00872484" w:rsidRPr="0061221C">
        <w:rPr>
          <w:rFonts w:ascii="Arial" w:eastAsia="Calibri" w:hAnsi="Arial" w:cs="Arial"/>
          <w:color w:val="000000" w:themeColor="text1"/>
          <w:sz w:val="22"/>
          <w:szCs w:val="22"/>
          <w:lang w:val="es-ES_tradnl"/>
        </w:rPr>
        <w:t xml:space="preserve"> el artículo 3 de la Ley 2040 de 2020 dispuso: </w:t>
      </w:r>
    </w:p>
    <w:p w14:paraId="16BF6207" w14:textId="77777777" w:rsidR="00A36BCF" w:rsidRPr="0061221C" w:rsidRDefault="00A36BCF" w:rsidP="00A36BCF">
      <w:pPr>
        <w:ind w:left="709" w:right="709"/>
        <w:jc w:val="both"/>
        <w:rPr>
          <w:rFonts w:ascii="Arial" w:eastAsia="Calibri" w:hAnsi="Arial" w:cs="Arial"/>
          <w:color w:val="000000" w:themeColor="text1"/>
          <w:sz w:val="21"/>
          <w:szCs w:val="21"/>
          <w:lang w:val="es-ES_tradnl"/>
        </w:rPr>
      </w:pPr>
    </w:p>
    <w:p w14:paraId="6BC3FC1A" w14:textId="03134EB7" w:rsidR="00A36BCF" w:rsidRPr="0061221C" w:rsidRDefault="00A36BCF" w:rsidP="00A36BCF">
      <w:pPr>
        <w:ind w:left="709" w:right="709"/>
        <w:jc w:val="both"/>
        <w:rPr>
          <w:rFonts w:ascii="Arial" w:eastAsia="Calibri" w:hAnsi="Arial" w:cs="Arial"/>
          <w:color w:val="000000" w:themeColor="text1"/>
          <w:sz w:val="21"/>
          <w:szCs w:val="21"/>
          <w:lang w:val="es-ES_tradnl"/>
        </w:rPr>
      </w:pPr>
      <w:r w:rsidRPr="0061221C">
        <w:rPr>
          <w:rFonts w:ascii="Arial" w:eastAsia="Calibri" w:hAnsi="Arial" w:cs="Arial"/>
          <w:color w:val="000000" w:themeColor="text1"/>
          <w:sz w:val="21"/>
          <w:szCs w:val="21"/>
          <w:lang w:val="es-ES_tradnl"/>
        </w:rPr>
        <w:t>Adiciónese un parágrafo al artículo 12 de la Ley 1150 de 2007:</w:t>
      </w:r>
    </w:p>
    <w:p w14:paraId="10EFE4BA" w14:textId="25BB91AE" w:rsidR="00A36BCF" w:rsidRPr="0061221C" w:rsidRDefault="00A36BCF" w:rsidP="00A36BCF">
      <w:pPr>
        <w:ind w:right="709"/>
        <w:jc w:val="both"/>
        <w:rPr>
          <w:rFonts w:ascii="Arial" w:eastAsia="Calibri" w:hAnsi="Arial" w:cs="Arial"/>
          <w:color w:val="000000" w:themeColor="text1"/>
          <w:sz w:val="21"/>
          <w:szCs w:val="21"/>
          <w:lang w:val="es-ES_tradnl"/>
        </w:rPr>
      </w:pPr>
    </w:p>
    <w:p w14:paraId="4C3E1537" w14:textId="42B620AC" w:rsidR="00992E5F" w:rsidRPr="0061221C" w:rsidRDefault="00A36BCF" w:rsidP="00A36BCF">
      <w:pPr>
        <w:ind w:left="709" w:right="709"/>
        <w:jc w:val="both"/>
        <w:rPr>
          <w:rFonts w:ascii="Arial" w:eastAsia="Calibri" w:hAnsi="Arial" w:cs="Arial"/>
          <w:color w:val="000000" w:themeColor="text1"/>
          <w:sz w:val="21"/>
          <w:szCs w:val="21"/>
          <w:lang w:val="es-ES_tradnl"/>
        </w:rPr>
      </w:pPr>
      <w:r w:rsidRPr="0061221C">
        <w:rPr>
          <w:rFonts w:ascii="Arial" w:eastAsia="Calibri" w:hAnsi="Arial" w:cs="Arial"/>
          <w:color w:val="000000" w:themeColor="text1"/>
          <w:sz w:val="21"/>
          <w:szCs w:val="21"/>
          <w:lang w:val="es-ES_tradnl"/>
        </w:rPr>
        <w:t>PARÁGRAFO 4°. Criterio de desempate.</w:t>
      </w:r>
      <w:r w:rsidR="00782D6D" w:rsidRPr="0061221C">
        <w:rPr>
          <w:rFonts w:ascii="Arial" w:eastAsia="Calibri" w:hAnsi="Arial" w:cs="Arial"/>
          <w:color w:val="000000" w:themeColor="text1"/>
          <w:sz w:val="21"/>
          <w:szCs w:val="21"/>
          <w:lang w:val="es-ES_tradnl"/>
        </w:rPr>
        <w:t xml:space="preserve"> </w:t>
      </w:r>
      <w:r w:rsidR="00992E5F" w:rsidRPr="0061221C">
        <w:rPr>
          <w:rFonts w:ascii="Arial" w:eastAsia="Calibri" w:hAnsi="Arial" w:cs="Arial"/>
          <w:color w:val="000000" w:themeColor="text1"/>
          <w:sz w:val="21"/>
          <w:szCs w:val="21"/>
          <w:lang w:val="es-ES_tradnl"/>
        </w:rPr>
        <w:t>En los procesos de contratación públicos, en caso de empate en la puntuación de dos o más proponentes, se preferirá a aquel que demuestre la vinculación del mayor porcentaje de personas mayores que no sean beneficiarios de la pensión de vejez, familiar o de sobrevivencia y que hayan cumplido el requisito de edad de pensión establecido en la Ley.</w:t>
      </w:r>
    </w:p>
    <w:p w14:paraId="634263CB" w14:textId="77777777" w:rsidR="00992E5F" w:rsidRPr="0061221C" w:rsidRDefault="00992E5F" w:rsidP="009B0D05">
      <w:pPr>
        <w:ind w:left="709" w:right="709"/>
        <w:jc w:val="both"/>
        <w:rPr>
          <w:rFonts w:ascii="Arial" w:eastAsia="Calibri" w:hAnsi="Arial" w:cs="Arial"/>
          <w:color w:val="000000" w:themeColor="text1"/>
          <w:sz w:val="21"/>
          <w:szCs w:val="21"/>
          <w:lang w:val="es-ES_tradnl"/>
        </w:rPr>
      </w:pPr>
    </w:p>
    <w:p w14:paraId="04C0CDF4" w14:textId="35A7039D" w:rsidR="00992E5F" w:rsidRPr="0061221C" w:rsidRDefault="00992E5F" w:rsidP="009B0D05">
      <w:pPr>
        <w:ind w:left="709" w:right="709"/>
        <w:jc w:val="both"/>
        <w:rPr>
          <w:rFonts w:ascii="Arial" w:eastAsia="Calibri" w:hAnsi="Arial" w:cs="Arial"/>
          <w:color w:val="000000" w:themeColor="text1"/>
          <w:sz w:val="21"/>
          <w:szCs w:val="21"/>
          <w:lang w:val="es-ES_tradnl"/>
        </w:rPr>
      </w:pPr>
      <w:r w:rsidRPr="0061221C">
        <w:rPr>
          <w:rFonts w:ascii="Arial" w:eastAsia="Calibri" w:hAnsi="Arial" w:cs="Arial"/>
          <w:color w:val="000000" w:themeColor="text1"/>
          <w:sz w:val="21"/>
          <w:szCs w:val="21"/>
          <w:lang w:val="es-ES_tradnl"/>
        </w:rPr>
        <w:t>Para los efectos de este parágrafo solo se tendrá en cuenta la vinculación de aquellos adultos mayores objeto de esta Ley que hayan estado vinculados con una anterioridad igual o mayor a un año. Para los casos de constitución inferior a un año se tendrá en cuenta a aquellos trabajadores que hayan estado vinculados desde el momento de constitución de la misma.</w:t>
      </w:r>
    </w:p>
    <w:p w14:paraId="4D7B40F5" w14:textId="6371D5AE" w:rsidR="00992E5F" w:rsidRPr="0061221C" w:rsidRDefault="00992E5F" w:rsidP="009B0D05">
      <w:pPr>
        <w:ind w:right="709"/>
        <w:jc w:val="both"/>
        <w:rPr>
          <w:rFonts w:ascii="Arial" w:eastAsia="Calibri" w:hAnsi="Arial" w:cs="Arial"/>
          <w:color w:val="000000" w:themeColor="text1"/>
          <w:sz w:val="21"/>
          <w:szCs w:val="21"/>
          <w:lang w:val="es-ES_tradnl"/>
        </w:rPr>
      </w:pPr>
    </w:p>
    <w:p w14:paraId="031328FE" w14:textId="77777777" w:rsidR="009B0D05" w:rsidRPr="0061221C" w:rsidRDefault="00992E5F" w:rsidP="009B0D05">
      <w:pPr>
        <w:ind w:left="709" w:right="709"/>
        <w:jc w:val="both"/>
        <w:rPr>
          <w:rFonts w:ascii="Arial" w:eastAsia="Calibri" w:hAnsi="Arial" w:cs="Arial"/>
          <w:color w:val="000000" w:themeColor="text1"/>
          <w:sz w:val="21"/>
          <w:szCs w:val="21"/>
          <w:lang w:val="es-ES_tradnl"/>
        </w:rPr>
      </w:pPr>
      <w:r w:rsidRPr="0061221C">
        <w:rPr>
          <w:rFonts w:ascii="Arial" w:eastAsia="Calibri" w:hAnsi="Arial" w:cs="Arial"/>
          <w:color w:val="000000" w:themeColor="text1"/>
          <w:sz w:val="21"/>
          <w:szCs w:val="21"/>
          <w:lang w:val="es-ES_tradnl"/>
        </w:rPr>
        <w:t>Dado el caso en que el contrato público haya sido obtenido con ocasión a esta forma de desempate, el empleador deberá mantener el mismo porcentaje de adultos mayores trabajadores al interior de la empresa durante la vigencia de ejecución del contrato. En caso contrario no podrá hacer uso de este beneficio en cualquier otro contrato que celebre con el Estado dentro de los 5 años siguientes a la terminación del contrato.</w:t>
      </w:r>
    </w:p>
    <w:p w14:paraId="6D77C6E7" w14:textId="77777777" w:rsidR="009B0D05" w:rsidRPr="0061221C" w:rsidRDefault="009B0D05" w:rsidP="009B0D05">
      <w:pPr>
        <w:ind w:left="709" w:right="709"/>
        <w:jc w:val="both"/>
        <w:rPr>
          <w:rFonts w:ascii="Arial" w:eastAsia="Calibri" w:hAnsi="Arial" w:cs="Arial"/>
          <w:color w:val="000000" w:themeColor="text1"/>
          <w:sz w:val="21"/>
          <w:szCs w:val="21"/>
          <w:lang w:val="es-ES_tradnl"/>
        </w:rPr>
      </w:pPr>
    </w:p>
    <w:p w14:paraId="254CC6FB" w14:textId="10BFDAC0" w:rsidR="009B0D05" w:rsidRPr="0061221C" w:rsidRDefault="00992E5F" w:rsidP="00A36BCF">
      <w:pPr>
        <w:ind w:left="709" w:right="709"/>
        <w:jc w:val="both"/>
        <w:rPr>
          <w:rFonts w:ascii="Arial" w:eastAsia="Calibri" w:hAnsi="Arial" w:cs="Arial"/>
          <w:color w:val="000000" w:themeColor="text1"/>
          <w:sz w:val="21"/>
          <w:szCs w:val="21"/>
          <w:lang w:val="es-ES_tradnl"/>
        </w:rPr>
      </w:pPr>
      <w:r w:rsidRPr="0061221C">
        <w:rPr>
          <w:rFonts w:ascii="Arial" w:eastAsia="Calibri" w:hAnsi="Arial" w:cs="Arial"/>
          <w:color w:val="000000" w:themeColor="text1"/>
          <w:sz w:val="21"/>
          <w:szCs w:val="21"/>
        </w:rPr>
        <w:t>Para estos efectos, la persona natural, el representante legal de la persona jurídica o el revisor fiscal, según corresponda, certificará, bajo la gravedad de juramento, el número total de trabajadores vinculados a la planta de personal del proponente o sus integrantes que cumplan con lo aquí señalado a la fecha de cierre del proceso de selección.</w:t>
      </w:r>
    </w:p>
    <w:p w14:paraId="12AAB67E" w14:textId="77777777" w:rsidR="00A36BCF" w:rsidRPr="0061221C" w:rsidRDefault="00A36BCF" w:rsidP="00A36BCF">
      <w:pPr>
        <w:spacing w:line="276" w:lineRule="auto"/>
        <w:ind w:firstLine="709"/>
        <w:jc w:val="both"/>
        <w:rPr>
          <w:rFonts w:ascii="Arial" w:eastAsia="Calibri" w:hAnsi="Arial" w:cs="Arial"/>
          <w:color w:val="000000" w:themeColor="text1"/>
          <w:sz w:val="22"/>
          <w:szCs w:val="22"/>
          <w:lang w:val="es-ES_tradnl"/>
        </w:rPr>
      </w:pPr>
    </w:p>
    <w:p w14:paraId="5E557502" w14:textId="6DEA7883" w:rsidR="00525822" w:rsidRPr="0061221C" w:rsidRDefault="009B0D05" w:rsidP="00A36BCF">
      <w:pPr>
        <w:spacing w:line="276" w:lineRule="auto"/>
        <w:ind w:firstLine="709"/>
        <w:jc w:val="both"/>
        <w:rPr>
          <w:rFonts w:ascii="Arial" w:eastAsia="Calibri" w:hAnsi="Arial" w:cs="Arial"/>
          <w:color w:val="000000" w:themeColor="text1"/>
          <w:sz w:val="22"/>
          <w:szCs w:val="22"/>
          <w:lang w:val="es-ES_tradnl"/>
        </w:rPr>
      </w:pPr>
      <w:r w:rsidRPr="0061221C">
        <w:rPr>
          <w:rFonts w:ascii="Arial" w:eastAsia="Calibri" w:hAnsi="Arial" w:cs="Arial"/>
          <w:color w:val="000000" w:themeColor="text1"/>
          <w:sz w:val="22"/>
          <w:szCs w:val="22"/>
          <w:lang w:val="es-ES_tradnl"/>
        </w:rPr>
        <w:t>El anterior texto, que</w:t>
      </w:r>
      <w:r w:rsidR="00A36BCF" w:rsidRPr="0061221C">
        <w:rPr>
          <w:rFonts w:ascii="Arial" w:eastAsia="Calibri" w:hAnsi="Arial" w:cs="Arial"/>
          <w:color w:val="000000" w:themeColor="text1"/>
          <w:sz w:val="22"/>
          <w:szCs w:val="22"/>
          <w:lang w:val="es-ES_tradnl"/>
        </w:rPr>
        <w:t xml:space="preserve">, </w:t>
      </w:r>
      <w:r w:rsidR="005407B0" w:rsidRPr="0061221C">
        <w:rPr>
          <w:rFonts w:ascii="Arial" w:eastAsia="Calibri" w:hAnsi="Arial" w:cs="Arial"/>
          <w:color w:val="000000" w:themeColor="text1"/>
          <w:sz w:val="22"/>
          <w:szCs w:val="22"/>
          <w:lang w:val="es-ES_tradnl"/>
        </w:rPr>
        <w:t>según</w:t>
      </w:r>
      <w:r w:rsidR="00A36BCF" w:rsidRPr="0061221C">
        <w:rPr>
          <w:rFonts w:ascii="Arial" w:eastAsia="Calibri" w:hAnsi="Arial" w:cs="Arial"/>
          <w:color w:val="000000" w:themeColor="text1"/>
          <w:sz w:val="22"/>
          <w:szCs w:val="22"/>
          <w:lang w:val="es-ES_tradnl"/>
        </w:rPr>
        <w:t xml:space="preserve"> se indicó, había quedado agregado al artículo 12 de la Ley 1150 de 2007 como parágrafo 4, también se ve </w:t>
      </w:r>
      <w:r w:rsidR="00A85D83" w:rsidRPr="0061221C">
        <w:rPr>
          <w:rFonts w:ascii="Arial" w:eastAsia="Calibri" w:hAnsi="Arial" w:cs="Arial"/>
          <w:color w:val="000000" w:themeColor="text1"/>
          <w:sz w:val="22"/>
          <w:szCs w:val="22"/>
          <w:lang w:val="es-ES_tradnl"/>
        </w:rPr>
        <w:t xml:space="preserve">afectado por el efecto de la subrogación </w:t>
      </w:r>
      <w:r w:rsidR="00A85D83" w:rsidRPr="0061221C">
        <w:rPr>
          <w:rFonts w:ascii="Arial" w:eastAsia="Calibri" w:hAnsi="Arial" w:cs="Arial"/>
          <w:color w:val="000000" w:themeColor="text1"/>
          <w:sz w:val="22"/>
          <w:szCs w:val="22"/>
          <w:lang w:val="es-ES_tradnl"/>
        </w:rPr>
        <w:lastRenderedPageBreak/>
        <w:t xml:space="preserve">producida por el artículo 34 de la Ley 2069 de 2020, porque en este artículo </w:t>
      </w:r>
      <w:r w:rsidR="009D1DD5" w:rsidRPr="0061221C">
        <w:rPr>
          <w:rFonts w:ascii="Arial" w:eastAsia="Calibri" w:hAnsi="Arial" w:cs="Arial"/>
          <w:color w:val="000000" w:themeColor="text1"/>
          <w:sz w:val="22"/>
          <w:szCs w:val="22"/>
          <w:lang w:val="es-ES_tradnl"/>
        </w:rPr>
        <w:t xml:space="preserve">no se dice que se mantiene vigente el referido parágrafo. Dicho de otra manera, si el artículo </w:t>
      </w:r>
      <w:r w:rsidR="00DE3D2C" w:rsidRPr="0061221C">
        <w:rPr>
          <w:rFonts w:ascii="Arial" w:eastAsia="Calibri" w:hAnsi="Arial" w:cs="Arial"/>
          <w:color w:val="000000" w:themeColor="text1"/>
          <w:sz w:val="22"/>
          <w:szCs w:val="22"/>
          <w:lang w:val="es-ES_tradnl"/>
        </w:rPr>
        <w:t xml:space="preserve">3 de la Ley 2040 de 2020 había adicionado un parágrafo 4 al artículo 12 de la Ley 1150 de 2007 y posteriormente el artículo 34 de la Ley 2069 de 2020 </w:t>
      </w:r>
      <w:r w:rsidR="00163190" w:rsidRPr="0061221C">
        <w:rPr>
          <w:rFonts w:ascii="Arial" w:eastAsia="Calibri" w:hAnsi="Arial" w:cs="Arial"/>
          <w:color w:val="000000" w:themeColor="text1"/>
          <w:sz w:val="22"/>
          <w:szCs w:val="22"/>
          <w:lang w:val="es-ES_tradnl"/>
        </w:rPr>
        <w:t>modificó integralmente el referido artículo 12, sustituyéndolo por un texto nuevo, se concluye que el parágrafo 4 quedó derogado.</w:t>
      </w:r>
      <w:r w:rsidR="00C05F6C" w:rsidRPr="0061221C">
        <w:rPr>
          <w:rFonts w:ascii="Arial" w:eastAsia="Calibri" w:hAnsi="Arial" w:cs="Arial"/>
          <w:color w:val="000000" w:themeColor="text1"/>
          <w:sz w:val="22"/>
          <w:szCs w:val="22"/>
          <w:lang w:val="es-ES_tradnl"/>
        </w:rPr>
        <w:t xml:space="preserve"> Por lo tanto</w:t>
      </w:r>
      <w:r w:rsidR="00440E76" w:rsidRPr="0061221C">
        <w:rPr>
          <w:rFonts w:ascii="Arial" w:eastAsia="Calibri" w:hAnsi="Arial" w:cs="Arial"/>
          <w:color w:val="000000" w:themeColor="text1"/>
          <w:sz w:val="22"/>
          <w:szCs w:val="22"/>
          <w:lang w:val="es-ES_tradnl"/>
        </w:rPr>
        <w:t>,</w:t>
      </w:r>
      <w:r w:rsidR="00C05F6C" w:rsidRPr="0061221C">
        <w:rPr>
          <w:rFonts w:ascii="Arial" w:eastAsia="Calibri" w:hAnsi="Arial" w:cs="Arial"/>
          <w:color w:val="000000" w:themeColor="text1"/>
          <w:sz w:val="22"/>
          <w:szCs w:val="22"/>
          <w:lang w:val="es-ES_tradnl"/>
        </w:rPr>
        <w:t xml:space="preserve"> no puede aplicar</w:t>
      </w:r>
      <w:r w:rsidR="00440E76" w:rsidRPr="0061221C">
        <w:rPr>
          <w:rFonts w:ascii="Arial" w:eastAsia="Calibri" w:hAnsi="Arial" w:cs="Arial"/>
          <w:color w:val="000000" w:themeColor="text1"/>
          <w:sz w:val="22"/>
          <w:szCs w:val="22"/>
          <w:lang w:val="es-ES_tradnl"/>
        </w:rPr>
        <w:t xml:space="preserve">se </w:t>
      </w:r>
      <w:r w:rsidR="00C05F6C" w:rsidRPr="0061221C">
        <w:rPr>
          <w:rFonts w:ascii="Arial" w:eastAsia="Calibri" w:hAnsi="Arial" w:cs="Arial"/>
          <w:color w:val="000000" w:themeColor="text1"/>
          <w:sz w:val="22"/>
          <w:szCs w:val="22"/>
          <w:lang w:val="es-ES_tradnl"/>
        </w:rPr>
        <w:t>en la actualidad</w:t>
      </w:r>
      <w:r w:rsidR="00440E76" w:rsidRPr="0061221C">
        <w:rPr>
          <w:rFonts w:ascii="Arial" w:eastAsia="Calibri" w:hAnsi="Arial" w:cs="Arial"/>
          <w:color w:val="000000" w:themeColor="text1"/>
          <w:sz w:val="22"/>
          <w:szCs w:val="22"/>
          <w:lang w:val="es-ES_tradnl"/>
        </w:rPr>
        <w:t xml:space="preserve"> y mucho menos puede entenderse como obligatorio en los procesos de selección, ya que no está vigente.</w:t>
      </w:r>
    </w:p>
    <w:p w14:paraId="346DF91E" w14:textId="017E3812" w:rsidR="003B5642" w:rsidRDefault="00291491" w:rsidP="00C4175E">
      <w:pPr>
        <w:spacing w:before="120" w:line="276" w:lineRule="auto"/>
        <w:ind w:firstLine="709"/>
        <w:jc w:val="both"/>
        <w:rPr>
          <w:rFonts w:ascii="Arial" w:eastAsia="Calibri" w:hAnsi="Arial" w:cs="Arial"/>
          <w:color w:val="000000" w:themeColor="text1"/>
          <w:sz w:val="22"/>
          <w:szCs w:val="22"/>
          <w:lang w:val="es-ES_tradnl"/>
        </w:rPr>
      </w:pPr>
      <w:r w:rsidRPr="0061221C">
        <w:rPr>
          <w:rFonts w:ascii="Arial" w:eastAsia="Calibri" w:hAnsi="Arial" w:cs="Arial"/>
          <w:color w:val="000000" w:themeColor="text1"/>
          <w:sz w:val="22"/>
          <w:szCs w:val="22"/>
          <w:lang w:val="es-ES_tradnl"/>
        </w:rPr>
        <w:t>Aunque el argumento anterior es suficiente, u</w:t>
      </w:r>
      <w:r w:rsidR="00C308E3" w:rsidRPr="0061221C">
        <w:rPr>
          <w:rFonts w:ascii="Arial" w:eastAsia="Calibri" w:hAnsi="Arial" w:cs="Arial"/>
          <w:color w:val="000000" w:themeColor="text1"/>
          <w:sz w:val="22"/>
          <w:szCs w:val="22"/>
          <w:lang w:val="es-ES_tradnl"/>
        </w:rPr>
        <w:t>na razón adicional</w:t>
      </w:r>
      <w:r w:rsidR="00BC058B" w:rsidRPr="0061221C">
        <w:rPr>
          <w:rFonts w:ascii="Arial" w:eastAsia="Calibri" w:hAnsi="Arial" w:cs="Arial"/>
          <w:color w:val="000000" w:themeColor="text1"/>
          <w:sz w:val="22"/>
          <w:szCs w:val="22"/>
          <w:lang w:val="es-ES_tradnl"/>
        </w:rPr>
        <w:t>,</w:t>
      </w:r>
      <w:r w:rsidR="00C308E3" w:rsidRPr="0061221C">
        <w:rPr>
          <w:rFonts w:ascii="Arial" w:eastAsia="Calibri" w:hAnsi="Arial" w:cs="Arial"/>
          <w:color w:val="000000" w:themeColor="text1"/>
          <w:sz w:val="22"/>
          <w:szCs w:val="22"/>
          <w:lang w:val="es-ES_tradnl"/>
        </w:rPr>
        <w:t xml:space="preserve"> para concluir</w:t>
      </w:r>
      <w:r w:rsidRPr="0061221C">
        <w:rPr>
          <w:rFonts w:ascii="Arial" w:eastAsia="Calibri" w:hAnsi="Arial" w:cs="Arial"/>
          <w:color w:val="000000" w:themeColor="text1"/>
          <w:sz w:val="22"/>
          <w:szCs w:val="22"/>
          <w:lang w:val="es-ES_tradnl"/>
        </w:rPr>
        <w:t xml:space="preserve"> que </w:t>
      </w:r>
      <w:r w:rsidR="00440E76" w:rsidRPr="0061221C">
        <w:rPr>
          <w:rFonts w:ascii="Arial" w:eastAsia="Calibri" w:hAnsi="Arial" w:cs="Arial"/>
          <w:color w:val="000000" w:themeColor="text1"/>
          <w:sz w:val="22"/>
          <w:szCs w:val="22"/>
          <w:lang w:val="es-ES_tradnl"/>
        </w:rPr>
        <w:t>el artículo 3</w:t>
      </w:r>
      <w:r w:rsidR="00032B89" w:rsidRPr="0061221C">
        <w:rPr>
          <w:rFonts w:ascii="Arial" w:eastAsia="Calibri" w:hAnsi="Arial" w:cs="Arial"/>
          <w:color w:val="000000" w:themeColor="text1"/>
          <w:sz w:val="22"/>
          <w:szCs w:val="22"/>
          <w:lang w:val="es-ES_tradnl"/>
        </w:rPr>
        <w:t>4</w:t>
      </w:r>
      <w:r w:rsidR="00440E76" w:rsidRPr="0061221C">
        <w:rPr>
          <w:rFonts w:ascii="Arial" w:eastAsia="Calibri" w:hAnsi="Arial" w:cs="Arial"/>
          <w:color w:val="000000" w:themeColor="text1"/>
          <w:sz w:val="22"/>
          <w:szCs w:val="22"/>
          <w:lang w:val="es-ES_tradnl"/>
        </w:rPr>
        <w:t xml:space="preserve"> de la Ley 2069 de 202</w:t>
      </w:r>
      <w:r w:rsidRPr="0061221C">
        <w:rPr>
          <w:rFonts w:ascii="Arial" w:eastAsia="Calibri" w:hAnsi="Arial" w:cs="Arial"/>
          <w:color w:val="000000" w:themeColor="text1"/>
          <w:sz w:val="22"/>
          <w:szCs w:val="22"/>
          <w:lang w:val="es-ES_tradnl"/>
        </w:rPr>
        <w:t>0 dejó sin vigencia el parágrafo 4 del artículo 12 de la Ley 1150 de 2007 –y por lo tanto, el artículo 3 de la Ley 2040 de 2020–</w:t>
      </w:r>
      <w:r w:rsidR="00032B89" w:rsidRPr="0061221C">
        <w:rPr>
          <w:rFonts w:ascii="Arial" w:eastAsia="Calibri" w:hAnsi="Arial" w:cs="Arial"/>
          <w:color w:val="000000" w:themeColor="text1"/>
          <w:sz w:val="22"/>
          <w:szCs w:val="22"/>
          <w:lang w:val="es-ES_tradnl"/>
        </w:rPr>
        <w:t>, es que</w:t>
      </w:r>
      <w:r w:rsidR="00F617A3" w:rsidRPr="0061221C">
        <w:rPr>
          <w:rFonts w:ascii="Arial" w:eastAsia="Calibri" w:hAnsi="Arial" w:cs="Arial"/>
          <w:color w:val="000000" w:themeColor="text1"/>
          <w:sz w:val="22"/>
          <w:szCs w:val="22"/>
          <w:lang w:val="es-ES_tradnl"/>
        </w:rPr>
        <w:t xml:space="preserve"> el artículo 35 de la Ley 2069 de 2020 contiene una regulación nueva de los factores de desempate en la contratación estatal</w:t>
      </w:r>
      <w:r w:rsidR="00782D6D" w:rsidRPr="0061221C">
        <w:rPr>
          <w:rFonts w:ascii="Arial" w:eastAsia="Calibri" w:hAnsi="Arial" w:cs="Arial"/>
          <w:color w:val="000000" w:themeColor="text1"/>
          <w:sz w:val="22"/>
          <w:szCs w:val="22"/>
          <w:lang w:val="es-ES_tradnl"/>
        </w:rPr>
        <w:t>, como se estudiará más adelante en este concepto. Más aún, el numeral</w:t>
      </w:r>
      <w:r w:rsidR="001805C2" w:rsidRPr="0061221C">
        <w:rPr>
          <w:rFonts w:ascii="Arial" w:eastAsia="Calibri" w:hAnsi="Arial" w:cs="Arial"/>
          <w:color w:val="000000" w:themeColor="text1"/>
          <w:sz w:val="22"/>
          <w:szCs w:val="22"/>
          <w:lang w:val="es-ES_tradnl"/>
        </w:rPr>
        <w:t xml:space="preserve"> 4 del artículo 35 dispone que en los procesos de selección</w:t>
      </w:r>
      <w:r w:rsidR="00C4175E" w:rsidRPr="0061221C">
        <w:rPr>
          <w:rFonts w:ascii="Arial" w:eastAsia="Calibri" w:hAnsi="Arial" w:cs="Arial"/>
          <w:color w:val="000000" w:themeColor="text1"/>
          <w:sz w:val="22"/>
          <w:szCs w:val="22"/>
          <w:lang w:val="es-ES_tradnl"/>
        </w:rPr>
        <w:t xml:space="preserve"> las entidades estatales deben</w:t>
      </w:r>
      <w:r w:rsidR="00EE3599" w:rsidRPr="0061221C">
        <w:rPr>
          <w:rFonts w:ascii="Arial" w:eastAsia="Calibri" w:hAnsi="Arial" w:cs="Arial"/>
          <w:color w:val="000000" w:themeColor="text1"/>
          <w:sz w:val="22"/>
          <w:szCs w:val="22"/>
          <w:lang w:val="es-ES_tradnl"/>
        </w:rPr>
        <w:t xml:space="preserve"> </w:t>
      </w:r>
      <w:r w:rsidR="00C4175E" w:rsidRPr="0061221C">
        <w:rPr>
          <w:rFonts w:ascii="Arial" w:eastAsia="Calibri" w:hAnsi="Arial" w:cs="Arial"/>
          <w:color w:val="000000" w:themeColor="text1"/>
          <w:sz w:val="22"/>
          <w:szCs w:val="22"/>
          <w:lang w:val="es-ES_tradnl"/>
        </w:rPr>
        <w:t>«Preferir la propuesta presentada por el oferente que acredite la vinculación en mayor proporción de personas mayores que no sean beneficiarios de la pensión de vejez, familiar o de sobrevivencia y que hayan cumplido el requisito de edad de pensión establecido en la Ley».</w:t>
      </w:r>
      <w:r w:rsidR="00D16CFA" w:rsidRPr="0061221C">
        <w:rPr>
          <w:rFonts w:ascii="Arial" w:eastAsia="Calibri" w:hAnsi="Arial" w:cs="Arial"/>
          <w:color w:val="000000" w:themeColor="text1"/>
          <w:sz w:val="22"/>
          <w:szCs w:val="22"/>
          <w:lang w:val="es-ES_tradnl"/>
        </w:rPr>
        <w:t xml:space="preserve"> Esta norma se encuentra vigente, ya que el legislador no condicionó su aplicación a la expedición de</w:t>
      </w:r>
      <w:r w:rsidR="00B74A8F" w:rsidRPr="0061221C">
        <w:rPr>
          <w:rFonts w:ascii="Arial" w:eastAsia="Calibri" w:hAnsi="Arial" w:cs="Arial"/>
          <w:color w:val="000000" w:themeColor="text1"/>
          <w:sz w:val="22"/>
          <w:szCs w:val="22"/>
          <w:lang w:val="es-ES_tradnl"/>
        </w:rPr>
        <w:t xml:space="preserve"> </w:t>
      </w:r>
      <w:r w:rsidR="00EE3599" w:rsidRPr="0061221C">
        <w:rPr>
          <w:rFonts w:ascii="Arial" w:eastAsia="Calibri" w:hAnsi="Arial" w:cs="Arial"/>
          <w:color w:val="000000" w:themeColor="text1"/>
          <w:sz w:val="22"/>
          <w:szCs w:val="22"/>
          <w:lang w:val="es-ES_tradnl"/>
        </w:rPr>
        <w:t xml:space="preserve">un </w:t>
      </w:r>
      <w:r w:rsidR="00B74A8F" w:rsidRPr="0061221C">
        <w:rPr>
          <w:rFonts w:ascii="Arial" w:eastAsia="Calibri" w:hAnsi="Arial" w:cs="Arial"/>
          <w:color w:val="000000" w:themeColor="text1"/>
          <w:sz w:val="22"/>
          <w:szCs w:val="22"/>
          <w:lang w:val="es-ES_tradnl"/>
        </w:rPr>
        <w:t>decreto reglamentario por parte del gobierno nacional, aunque nada se opone a que en ejercicio de la facultad discrecional con que cuenta para reglamentar las leyes</w:t>
      </w:r>
      <w:r w:rsidR="003B5642" w:rsidRPr="0061221C">
        <w:rPr>
          <w:rFonts w:ascii="Arial" w:eastAsia="Calibri" w:hAnsi="Arial" w:cs="Arial"/>
          <w:color w:val="000000" w:themeColor="text1"/>
          <w:sz w:val="22"/>
          <w:szCs w:val="22"/>
          <w:lang w:val="es-ES_tradnl"/>
        </w:rPr>
        <w:t xml:space="preserve"> –en virtud del artículo 189, numeral 11, de la Constitución–</w:t>
      </w:r>
      <w:r w:rsidR="00B74A8F" w:rsidRPr="0061221C">
        <w:rPr>
          <w:rFonts w:ascii="Arial" w:eastAsia="Calibri" w:hAnsi="Arial" w:cs="Arial"/>
          <w:color w:val="000000" w:themeColor="text1"/>
          <w:sz w:val="22"/>
          <w:szCs w:val="22"/>
          <w:lang w:val="es-ES_tradnl"/>
        </w:rPr>
        <w:t xml:space="preserve">, establezca condiciones </w:t>
      </w:r>
      <w:r w:rsidR="00EE3599" w:rsidRPr="0061221C">
        <w:rPr>
          <w:rFonts w:ascii="Arial" w:eastAsia="Calibri" w:hAnsi="Arial" w:cs="Arial"/>
          <w:color w:val="000000" w:themeColor="text1"/>
          <w:sz w:val="22"/>
          <w:szCs w:val="22"/>
          <w:lang w:val="es-ES_tradnl"/>
        </w:rPr>
        <w:t>para aplicar</w:t>
      </w:r>
      <w:r w:rsidR="003B5642" w:rsidRPr="0061221C">
        <w:rPr>
          <w:rFonts w:ascii="Arial" w:eastAsia="Calibri" w:hAnsi="Arial" w:cs="Arial"/>
          <w:color w:val="000000" w:themeColor="text1"/>
          <w:sz w:val="22"/>
          <w:szCs w:val="22"/>
          <w:lang w:val="es-ES_tradnl"/>
        </w:rPr>
        <w:t xml:space="preserve"> dicho numeral.</w:t>
      </w:r>
    </w:p>
    <w:p w14:paraId="5B837967" w14:textId="65038663" w:rsidR="000B7D5B" w:rsidRDefault="00E11A6F" w:rsidP="000B7D5B">
      <w:pPr>
        <w:spacing w:before="120" w:line="276" w:lineRule="auto"/>
        <w:ind w:firstLine="709"/>
        <w:jc w:val="both"/>
        <w:rPr>
          <w:rFonts w:ascii="Arial" w:hAnsi="Arial" w:cs="Arial"/>
          <w:color w:val="000000"/>
          <w:sz w:val="22"/>
          <w:szCs w:val="22"/>
          <w:bdr w:val="none" w:sz="0" w:space="0" w:color="auto" w:frame="1"/>
        </w:rPr>
      </w:pPr>
      <w:r>
        <w:rPr>
          <w:rFonts w:ascii="Arial" w:eastAsia="Calibri" w:hAnsi="Arial" w:cs="Arial"/>
          <w:color w:val="000000" w:themeColor="text1"/>
          <w:sz w:val="22"/>
          <w:szCs w:val="22"/>
          <w:lang w:val="es-ES_tradnl"/>
        </w:rPr>
        <w:t>Así pues</w:t>
      </w:r>
      <w:r w:rsidR="000B7D5B" w:rsidRPr="00A719D1">
        <w:rPr>
          <w:rFonts w:ascii="Arial" w:hAnsi="Arial" w:cs="Arial"/>
          <w:color w:val="000000"/>
          <w:sz w:val="22"/>
          <w:szCs w:val="22"/>
          <w:bdr w:val="none" w:sz="0" w:space="0" w:color="auto" w:frame="1"/>
        </w:rPr>
        <w:t>, el artículo 34</w:t>
      </w:r>
      <w:r w:rsidR="000B7D5B">
        <w:rPr>
          <w:rFonts w:ascii="Arial" w:hAnsi="Arial" w:cs="Arial"/>
          <w:color w:val="000000"/>
          <w:sz w:val="22"/>
          <w:szCs w:val="22"/>
          <w:bdr w:val="none" w:sz="0" w:space="0" w:color="auto" w:frame="1"/>
        </w:rPr>
        <w:t xml:space="preserve"> de la Ley 2069 de 2020 </w:t>
      </w:r>
      <w:r w:rsidR="000B7D5B" w:rsidRPr="00A719D1">
        <w:rPr>
          <w:rFonts w:ascii="Arial" w:hAnsi="Arial" w:cs="Arial"/>
          <w:color w:val="000000"/>
          <w:sz w:val="22"/>
          <w:szCs w:val="22"/>
          <w:bdr w:val="none" w:sz="0" w:space="0" w:color="auto" w:frame="1"/>
        </w:rPr>
        <w:t>cambia requisitos esenciales para que pueda haber convocatorias limitadas a mipymes: i) dice que estas deben desarrollarse independientemente del régimen de contratación de la entidad estatal</w:t>
      </w:r>
      <w:r w:rsidR="000B7D5B">
        <w:rPr>
          <w:rFonts w:ascii="Arial" w:hAnsi="Arial" w:cs="Arial"/>
          <w:color w:val="000000"/>
          <w:sz w:val="22"/>
          <w:szCs w:val="22"/>
          <w:bdr w:val="none" w:sz="0" w:space="0" w:color="auto" w:frame="1"/>
        </w:rPr>
        <w:t xml:space="preserve"> –</w:t>
      </w:r>
      <w:r w:rsidR="000B7D5B" w:rsidRPr="00A719D1">
        <w:rPr>
          <w:rFonts w:ascii="Arial" w:hAnsi="Arial" w:cs="Arial"/>
          <w:color w:val="000000"/>
          <w:sz w:val="22"/>
          <w:szCs w:val="22"/>
          <w:bdr w:val="none" w:sz="0" w:space="0" w:color="auto" w:frame="1"/>
        </w:rPr>
        <w:t xml:space="preserve">es decir, también deben efectuarlas las entidades estatales exceptuadas del </w:t>
      </w:r>
      <w:r w:rsidR="000B7D5B">
        <w:rPr>
          <w:rFonts w:ascii="Arial" w:hAnsi="Arial" w:cs="Arial"/>
          <w:color w:val="000000"/>
          <w:sz w:val="22"/>
          <w:szCs w:val="22"/>
          <w:bdr w:val="none" w:sz="0" w:space="0" w:color="auto" w:frame="1"/>
        </w:rPr>
        <w:t>Estatuto General de Contratación de la Administración Pública</w:t>
      </w:r>
      <w:r w:rsidR="000B7D5B" w:rsidRPr="00A719D1">
        <w:rPr>
          <w:rFonts w:ascii="Arial" w:hAnsi="Arial" w:cs="Arial"/>
          <w:color w:val="000000"/>
          <w:sz w:val="22"/>
          <w:szCs w:val="22"/>
          <w:bdr w:val="none" w:sz="0" w:space="0" w:color="auto" w:frame="1"/>
        </w:rPr>
        <w:t xml:space="preserve"> o que se rigen por derecho privado</w:t>
      </w:r>
      <w:r w:rsidR="000B7D5B">
        <w:rPr>
          <w:rFonts w:ascii="Arial" w:hAnsi="Arial" w:cs="Arial"/>
          <w:color w:val="000000"/>
          <w:sz w:val="22"/>
          <w:szCs w:val="22"/>
          <w:bdr w:val="none" w:sz="0" w:space="0" w:color="auto" w:frame="1"/>
        </w:rPr>
        <w:t>–</w:t>
      </w:r>
      <w:r w:rsidR="000B7D5B" w:rsidRPr="00A719D1">
        <w:rPr>
          <w:rFonts w:ascii="Arial" w:hAnsi="Arial" w:cs="Arial"/>
          <w:color w:val="000000"/>
          <w:sz w:val="22"/>
          <w:szCs w:val="22"/>
          <w:bdr w:val="none" w:sz="0" w:space="0" w:color="auto" w:frame="1"/>
        </w:rPr>
        <w:t xml:space="preserve">. ii) Señala que los patrimonios autónomos constituidos por entidades estatales y los particulares que ejecuten recursos públicos también son destinatarios de esta exigencia. iii) Indica que para que pueda haber convocatorias limitadas a mipymes, dos (2) de ellas deben manifestar su interés </w:t>
      </w:r>
      <w:r w:rsidR="000B7D5B">
        <w:rPr>
          <w:rFonts w:ascii="Arial" w:hAnsi="Arial" w:cs="Arial"/>
          <w:color w:val="000000"/>
          <w:sz w:val="22"/>
          <w:szCs w:val="22"/>
          <w:bdr w:val="none" w:sz="0" w:space="0" w:color="auto" w:frame="1"/>
        </w:rPr>
        <w:t>–</w:t>
      </w:r>
      <w:r w:rsidR="000B7D5B" w:rsidRPr="00A719D1">
        <w:rPr>
          <w:rFonts w:ascii="Arial" w:hAnsi="Arial" w:cs="Arial"/>
          <w:color w:val="000000"/>
          <w:sz w:val="22"/>
          <w:szCs w:val="22"/>
          <w:bdr w:val="none" w:sz="0" w:space="0" w:color="auto" w:frame="1"/>
        </w:rPr>
        <w:t>mientras que el artículo 12 de la Ley 1150 de 2007 no establecía un número mínimo y el Decreto 1082 de 2015 exigía tres (3)</w:t>
      </w:r>
      <w:r w:rsidR="000B7D5B">
        <w:rPr>
          <w:rFonts w:ascii="Arial" w:hAnsi="Arial" w:cs="Arial"/>
          <w:color w:val="000000"/>
          <w:sz w:val="22"/>
          <w:szCs w:val="22"/>
          <w:bdr w:val="none" w:sz="0" w:space="0" w:color="auto" w:frame="1"/>
        </w:rPr>
        <w:t>–</w:t>
      </w:r>
      <w:r w:rsidR="000B7D5B" w:rsidRPr="00A719D1">
        <w:rPr>
          <w:rFonts w:ascii="Arial" w:hAnsi="Arial" w:cs="Arial"/>
          <w:color w:val="000000"/>
          <w:sz w:val="22"/>
          <w:szCs w:val="22"/>
          <w:bdr w:val="none" w:sz="0" w:space="0" w:color="auto" w:frame="1"/>
        </w:rPr>
        <w:t>.</w:t>
      </w:r>
    </w:p>
    <w:p w14:paraId="5DD54479" w14:textId="77777777" w:rsidR="000B7D5B" w:rsidRDefault="000B7D5B" w:rsidP="000B7D5B">
      <w:pPr>
        <w:spacing w:before="120" w:line="276" w:lineRule="auto"/>
        <w:ind w:firstLine="709"/>
        <w:jc w:val="both"/>
        <w:rPr>
          <w:rFonts w:ascii="Arial" w:hAnsi="Arial" w:cs="Arial"/>
          <w:color w:val="000000"/>
          <w:sz w:val="22"/>
          <w:szCs w:val="22"/>
          <w:bdr w:val="none" w:sz="0" w:space="0" w:color="auto" w:frame="1"/>
        </w:rPr>
      </w:pPr>
      <w:r w:rsidRPr="00A719D1">
        <w:rPr>
          <w:rFonts w:ascii="Arial" w:hAnsi="Arial" w:cs="Arial"/>
          <w:color w:val="000000"/>
          <w:sz w:val="22"/>
          <w:szCs w:val="22"/>
          <w:bdr w:val="none" w:sz="0" w:space="0" w:color="auto" w:frame="1"/>
        </w:rPr>
        <w:t>Por otro lado, el artículo 34</w:t>
      </w:r>
      <w:r>
        <w:rPr>
          <w:rFonts w:ascii="Arial" w:hAnsi="Arial" w:cs="Arial"/>
          <w:color w:val="000000"/>
          <w:sz w:val="22"/>
          <w:szCs w:val="22"/>
          <w:bdr w:val="none" w:sz="0" w:space="0" w:color="auto" w:frame="1"/>
        </w:rPr>
        <w:t xml:space="preserve"> de la Ley 2069 de 2020</w:t>
      </w:r>
      <w:r w:rsidRPr="00A719D1">
        <w:rPr>
          <w:rFonts w:ascii="Arial" w:hAnsi="Arial" w:cs="Arial"/>
          <w:color w:val="000000"/>
          <w:sz w:val="22"/>
          <w:szCs w:val="22"/>
          <w:bdr w:val="none" w:sz="0" w:space="0" w:color="auto" w:frame="1"/>
        </w:rPr>
        <w:t xml:space="preserve"> </w:t>
      </w:r>
      <w:r>
        <w:rPr>
          <w:rFonts w:ascii="Arial" w:hAnsi="Arial" w:cs="Arial"/>
          <w:color w:val="000000"/>
          <w:sz w:val="22"/>
          <w:szCs w:val="22"/>
          <w:bdr w:val="none" w:sz="0" w:space="0" w:color="auto" w:frame="1"/>
        </w:rPr>
        <w:t>señala</w:t>
      </w:r>
      <w:r w:rsidRPr="00A719D1">
        <w:rPr>
          <w:rFonts w:ascii="Arial" w:hAnsi="Arial" w:cs="Arial"/>
          <w:color w:val="000000"/>
          <w:sz w:val="22"/>
          <w:szCs w:val="22"/>
          <w:bdr w:val="none" w:sz="0" w:space="0" w:color="auto" w:frame="1"/>
        </w:rPr>
        <w:t xml:space="preserve"> que el gobierno nacional debe definir las condiciones y montos para que se puedan realizar convocatorias limitadas a mipymes.</w:t>
      </w:r>
      <w:r w:rsidRPr="0003095C">
        <w:rPr>
          <w:rFonts w:ascii="Arial" w:hAnsi="Arial" w:cs="Arial"/>
          <w:color w:val="000000"/>
          <w:sz w:val="22"/>
          <w:szCs w:val="22"/>
          <w:bdr w:val="none" w:sz="0" w:space="0" w:color="auto" w:frame="1"/>
        </w:rPr>
        <w:t xml:space="preserve"> </w:t>
      </w:r>
      <w:r w:rsidRPr="00A719D1">
        <w:rPr>
          <w:rFonts w:ascii="Arial" w:hAnsi="Arial" w:cs="Arial"/>
          <w:color w:val="000000"/>
          <w:sz w:val="22"/>
          <w:szCs w:val="22"/>
        </w:rPr>
        <w:t xml:space="preserve">En este sentido, al producirse la mencionada subrogación </w:t>
      </w:r>
      <w:r>
        <w:rPr>
          <w:rFonts w:ascii="Arial" w:hAnsi="Arial" w:cs="Arial"/>
          <w:color w:val="000000"/>
          <w:sz w:val="22"/>
          <w:szCs w:val="22"/>
        </w:rPr>
        <w:t>–</w:t>
      </w:r>
      <w:r w:rsidRPr="00A719D1">
        <w:rPr>
          <w:rFonts w:ascii="Arial" w:hAnsi="Arial" w:cs="Arial"/>
          <w:color w:val="000000"/>
          <w:sz w:val="22"/>
          <w:szCs w:val="22"/>
        </w:rPr>
        <w:t>que incluye el cambio de los requisitos para las convocatorias limitadas a mipymes</w:t>
      </w:r>
      <w:r>
        <w:rPr>
          <w:rFonts w:ascii="Arial" w:hAnsi="Arial" w:cs="Arial"/>
          <w:color w:val="000000"/>
          <w:sz w:val="22"/>
          <w:szCs w:val="22"/>
        </w:rPr>
        <w:t>–</w:t>
      </w:r>
      <w:r w:rsidRPr="00A719D1">
        <w:rPr>
          <w:rFonts w:ascii="Arial" w:hAnsi="Arial" w:cs="Arial"/>
          <w:color w:val="000000"/>
          <w:sz w:val="22"/>
          <w:szCs w:val="22"/>
        </w:rPr>
        <w:t xml:space="preserve">, se genera el decaimiento </w:t>
      </w:r>
      <w:r>
        <w:rPr>
          <w:rFonts w:ascii="Arial" w:hAnsi="Arial" w:cs="Arial"/>
          <w:color w:val="000000"/>
          <w:sz w:val="22"/>
          <w:szCs w:val="22"/>
        </w:rPr>
        <w:t>–</w:t>
      </w:r>
      <w:r w:rsidRPr="00A719D1">
        <w:rPr>
          <w:rFonts w:ascii="Arial" w:hAnsi="Arial" w:cs="Arial"/>
          <w:color w:val="000000"/>
          <w:sz w:val="22"/>
          <w:szCs w:val="22"/>
        </w:rPr>
        <w:t>pérdida de fuerza ejecutoria</w:t>
      </w:r>
      <w:r>
        <w:rPr>
          <w:rFonts w:ascii="Arial" w:hAnsi="Arial" w:cs="Arial"/>
          <w:color w:val="000000"/>
          <w:sz w:val="22"/>
          <w:szCs w:val="22"/>
        </w:rPr>
        <w:t>–</w:t>
      </w:r>
      <w:r w:rsidRPr="00A719D1">
        <w:rPr>
          <w:rFonts w:ascii="Arial" w:hAnsi="Arial" w:cs="Arial"/>
          <w:color w:val="000000"/>
          <w:sz w:val="22"/>
          <w:szCs w:val="22"/>
        </w:rPr>
        <w:t xml:space="preserve"> de los artículos 2.2.1.2.4.2.2., 2.2.1.2.4.2.3. y 2.2.1.2.4.2.4. del Decreto 1082 de 2015. Lo anterior, por cuanto, al desaparecer </w:t>
      </w:r>
      <w:r>
        <w:rPr>
          <w:rFonts w:ascii="Arial" w:hAnsi="Arial" w:cs="Arial"/>
          <w:color w:val="000000"/>
          <w:sz w:val="22"/>
          <w:szCs w:val="22"/>
        </w:rPr>
        <w:t>–</w:t>
      </w:r>
      <w:r w:rsidRPr="00A719D1">
        <w:rPr>
          <w:rFonts w:ascii="Arial" w:hAnsi="Arial" w:cs="Arial"/>
          <w:color w:val="000000"/>
          <w:sz w:val="22"/>
          <w:szCs w:val="22"/>
        </w:rPr>
        <w:t>por subrogación</w:t>
      </w:r>
      <w:r>
        <w:rPr>
          <w:rFonts w:ascii="Arial" w:hAnsi="Arial" w:cs="Arial"/>
          <w:color w:val="000000"/>
          <w:sz w:val="22"/>
          <w:szCs w:val="22"/>
        </w:rPr>
        <w:t xml:space="preserve">– </w:t>
      </w:r>
      <w:r w:rsidRPr="00A719D1">
        <w:rPr>
          <w:rFonts w:ascii="Arial" w:hAnsi="Arial" w:cs="Arial"/>
          <w:color w:val="000000"/>
          <w:sz w:val="22"/>
          <w:szCs w:val="22"/>
        </w:rPr>
        <w:t xml:space="preserve">el fundamento normativo de tales disposiciones reglamentarias, y al oponerse, en cuanto a sus requisitos, al artículo 34 de la Ley 2069 de 2020, dichas normas </w:t>
      </w:r>
      <w:r w:rsidRPr="00A719D1">
        <w:rPr>
          <w:rFonts w:ascii="Arial" w:hAnsi="Arial" w:cs="Arial"/>
          <w:color w:val="000000"/>
          <w:sz w:val="22"/>
          <w:szCs w:val="22"/>
        </w:rPr>
        <w:lastRenderedPageBreak/>
        <w:t xml:space="preserve">han perdido vigencia. Además, estas normas reglamentaban las convocatorias limitadas a mipymes solo en tres procedimientos de selección </w:t>
      </w:r>
      <w:r>
        <w:rPr>
          <w:rFonts w:ascii="Arial" w:hAnsi="Arial" w:cs="Arial"/>
          <w:color w:val="000000"/>
          <w:sz w:val="22"/>
          <w:szCs w:val="22"/>
        </w:rPr>
        <w:t>–</w:t>
      </w:r>
      <w:r w:rsidRPr="00A719D1">
        <w:rPr>
          <w:rFonts w:ascii="Arial" w:hAnsi="Arial" w:cs="Arial"/>
          <w:color w:val="000000"/>
          <w:sz w:val="22"/>
          <w:szCs w:val="22"/>
        </w:rPr>
        <w:t>licitación pública, selección abreviada y concurso de méritos</w:t>
      </w:r>
      <w:r>
        <w:rPr>
          <w:rFonts w:ascii="Arial" w:hAnsi="Arial" w:cs="Arial"/>
          <w:color w:val="000000"/>
          <w:sz w:val="22"/>
          <w:szCs w:val="22"/>
        </w:rPr>
        <w:t>–</w:t>
      </w:r>
      <w:r w:rsidRPr="00A719D1">
        <w:rPr>
          <w:rFonts w:ascii="Arial" w:hAnsi="Arial" w:cs="Arial"/>
          <w:color w:val="000000"/>
          <w:sz w:val="22"/>
          <w:szCs w:val="22"/>
        </w:rPr>
        <w:t>, lo cual se opone al contenido del artículo 34, que dice que el gobierno nacional debe definir las condiciones y montos para que dichas convocatorias limitadas a miymes operen en los </w:t>
      </w:r>
      <w:r w:rsidRPr="00A719D1">
        <w:rPr>
          <w:rFonts w:ascii="Arial" w:hAnsi="Arial" w:cs="Arial"/>
          <w:i/>
          <w:iCs/>
          <w:color w:val="000000"/>
          <w:sz w:val="22"/>
          <w:szCs w:val="22"/>
        </w:rPr>
        <w:t>procesos de contratación</w:t>
      </w:r>
      <w:r w:rsidRPr="00A719D1">
        <w:rPr>
          <w:rFonts w:ascii="Arial" w:hAnsi="Arial" w:cs="Arial"/>
          <w:color w:val="000000"/>
          <w:sz w:val="22"/>
          <w:szCs w:val="22"/>
        </w:rPr>
        <w:t> </w:t>
      </w:r>
      <w:r>
        <w:rPr>
          <w:rFonts w:ascii="Arial" w:hAnsi="Arial" w:cs="Arial"/>
          <w:color w:val="000000"/>
          <w:sz w:val="22"/>
          <w:szCs w:val="22"/>
        </w:rPr>
        <w:t>–</w:t>
      </w:r>
      <w:r w:rsidRPr="00A719D1">
        <w:rPr>
          <w:rFonts w:ascii="Arial" w:hAnsi="Arial" w:cs="Arial"/>
          <w:color w:val="000000"/>
          <w:sz w:val="22"/>
          <w:szCs w:val="22"/>
        </w:rPr>
        <w:t>sin distinguir</w:t>
      </w:r>
      <w:r>
        <w:rPr>
          <w:rFonts w:ascii="Arial" w:hAnsi="Arial" w:cs="Arial"/>
          <w:color w:val="000000"/>
          <w:sz w:val="22"/>
          <w:szCs w:val="22"/>
        </w:rPr>
        <w:t>–</w:t>
      </w:r>
      <w:r w:rsidRPr="00A719D1">
        <w:rPr>
          <w:rFonts w:ascii="Arial" w:hAnsi="Arial" w:cs="Arial"/>
          <w:color w:val="000000"/>
          <w:sz w:val="22"/>
          <w:szCs w:val="22"/>
        </w:rPr>
        <w:t>.</w:t>
      </w:r>
    </w:p>
    <w:p w14:paraId="6239B938" w14:textId="59B0D0EA" w:rsidR="000B7D5B" w:rsidRPr="0061221C" w:rsidRDefault="000B7D5B" w:rsidP="000B7D5B">
      <w:pPr>
        <w:spacing w:before="120" w:line="276" w:lineRule="auto"/>
        <w:ind w:firstLine="709"/>
        <w:jc w:val="both"/>
        <w:rPr>
          <w:rFonts w:ascii="Arial" w:eastAsia="Calibri" w:hAnsi="Arial" w:cs="Arial"/>
          <w:color w:val="000000" w:themeColor="text1"/>
          <w:sz w:val="22"/>
          <w:szCs w:val="22"/>
          <w:lang w:val="es-ES_tradnl"/>
        </w:rPr>
      </w:pPr>
      <w:r w:rsidRPr="00A719D1">
        <w:rPr>
          <w:rFonts w:ascii="Arial" w:hAnsi="Arial" w:cs="Arial"/>
          <w:color w:val="000000"/>
          <w:sz w:val="22"/>
          <w:szCs w:val="22"/>
          <w:bdr w:val="none" w:sz="0" w:space="0" w:color="auto" w:frame="1"/>
        </w:rPr>
        <w:t xml:space="preserve">Como </w:t>
      </w:r>
      <w:r>
        <w:rPr>
          <w:rFonts w:ascii="Arial" w:hAnsi="Arial" w:cs="Arial"/>
          <w:color w:val="000000"/>
          <w:sz w:val="22"/>
          <w:szCs w:val="22"/>
          <w:bdr w:val="none" w:sz="0" w:space="0" w:color="auto" w:frame="1"/>
        </w:rPr>
        <w:t>el artículo 34 de la Ley 2069 de 2020</w:t>
      </w:r>
      <w:r w:rsidRPr="00A719D1">
        <w:rPr>
          <w:rFonts w:ascii="Arial" w:hAnsi="Arial" w:cs="Arial"/>
          <w:color w:val="000000"/>
          <w:sz w:val="22"/>
          <w:szCs w:val="22"/>
          <w:bdr w:val="none" w:sz="0" w:space="0" w:color="auto" w:frame="1"/>
        </w:rPr>
        <w:t xml:space="preserve"> amplió los sujetos destinatarios de la obligación</w:t>
      </w:r>
      <w:r>
        <w:rPr>
          <w:rFonts w:ascii="Arial" w:hAnsi="Arial" w:cs="Arial"/>
          <w:color w:val="000000"/>
          <w:sz w:val="22"/>
          <w:szCs w:val="22"/>
          <w:bdr w:val="none" w:sz="0" w:space="0" w:color="auto" w:frame="1"/>
        </w:rPr>
        <w:t xml:space="preserve"> de limitar las convocatorias a mipymes</w:t>
      </w:r>
      <w:r w:rsidRPr="00A719D1">
        <w:rPr>
          <w:rFonts w:ascii="Arial" w:hAnsi="Arial" w:cs="Arial"/>
          <w:color w:val="000000"/>
          <w:sz w:val="22"/>
          <w:szCs w:val="22"/>
          <w:bdr w:val="none" w:sz="0" w:space="0" w:color="auto" w:frame="1"/>
        </w:rPr>
        <w:t xml:space="preserve"> </w:t>
      </w:r>
      <w:r>
        <w:rPr>
          <w:rFonts w:ascii="Arial" w:hAnsi="Arial" w:cs="Arial"/>
          <w:color w:val="000000"/>
          <w:sz w:val="22"/>
          <w:szCs w:val="22"/>
          <w:bdr w:val="none" w:sz="0" w:space="0" w:color="auto" w:frame="1"/>
        </w:rPr>
        <w:t>–</w:t>
      </w:r>
      <w:r w:rsidRPr="00A719D1">
        <w:rPr>
          <w:rFonts w:ascii="Arial" w:hAnsi="Arial" w:cs="Arial"/>
          <w:color w:val="000000"/>
          <w:sz w:val="22"/>
          <w:szCs w:val="22"/>
          <w:bdr w:val="none" w:sz="0" w:space="0" w:color="auto" w:frame="1"/>
        </w:rPr>
        <w:t xml:space="preserve">trascendiendo de las entidades sometidas al </w:t>
      </w:r>
      <w:r>
        <w:rPr>
          <w:rFonts w:ascii="Arial" w:hAnsi="Arial" w:cs="Arial"/>
          <w:color w:val="000000"/>
          <w:sz w:val="22"/>
          <w:szCs w:val="22"/>
          <w:bdr w:val="none" w:sz="0" w:space="0" w:color="auto" w:frame="1"/>
        </w:rPr>
        <w:t>Estatuto General de Contratación de la Administración Pública,</w:t>
      </w:r>
      <w:r w:rsidRPr="00A719D1">
        <w:rPr>
          <w:rFonts w:ascii="Arial" w:hAnsi="Arial" w:cs="Arial"/>
          <w:color w:val="000000"/>
          <w:sz w:val="22"/>
          <w:szCs w:val="22"/>
          <w:bdr w:val="none" w:sz="0" w:space="0" w:color="auto" w:frame="1"/>
        </w:rPr>
        <w:t xml:space="preserve"> a las exceptuadas, a los patrimonios autónomos de entidades estatales y a los particulares que ejecuten recursos públicos</w:t>
      </w:r>
      <w:r>
        <w:rPr>
          <w:rFonts w:ascii="Arial" w:hAnsi="Arial" w:cs="Arial"/>
          <w:color w:val="000000"/>
          <w:sz w:val="22"/>
          <w:szCs w:val="22"/>
          <w:bdr w:val="none" w:sz="0" w:space="0" w:color="auto" w:frame="1"/>
        </w:rPr>
        <w:t>–</w:t>
      </w:r>
      <w:r w:rsidRPr="00A719D1">
        <w:rPr>
          <w:rFonts w:ascii="Arial" w:hAnsi="Arial" w:cs="Arial"/>
          <w:color w:val="000000"/>
          <w:sz w:val="22"/>
          <w:szCs w:val="22"/>
          <w:bdr w:val="none" w:sz="0" w:space="0" w:color="auto" w:frame="1"/>
        </w:rPr>
        <w:t xml:space="preserve">, la nueva norma reglamentaria debe contemplar los requisitos transversales para estos nuevos sujetos. Se considera que esta es la interpretación más adecuada y acorde con el nuevo espíritu del artículo 34 de la Ley 2069 de 2020, que, al subrogar el artículo 12 de la Ley 1150 de 2007, contiene un nuevo mandato de reglamentación, que no se satisface con el reglamento anterior. Además, precisamente porque la regulación de las convocatorias limitadas a mipymes en el Decreto 1082 de 2015 estaba pensada a partir del artículo 12 de la Ley 1150 de 2007, se opone en muchos aspectos </w:t>
      </w:r>
      <w:r>
        <w:rPr>
          <w:rFonts w:ascii="Arial" w:hAnsi="Arial" w:cs="Arial"/>
          <w:color w:val="000000"/>
          <w:sz w:val="22"/>
          <w:szCs w:val="22"/>
          <w:bdr w:val="none" w:sz="0" w:space="0" w:color="auto" w:frame="1"/>
        </w:rPr>
        <w:t>–</w:t>
      </w:r>
      <w:r w:rsidRPr="00A719D1">
        <w:rPr>
          <w:rFonts w:ascii="Arial" w:hAnsi="Arial" w:cs="Arial"/>
          <w:color w:val="000000"/>
          <w:sz w:val="22"/>
          <w:szCs w:val="22"/>
          <w:bdr w:val="none" w:sz="0" w:space="0" w:color="auto" w:frame="1"/>
        </w:rPr>
        <w:t>número de mipymes, procesos de selección, entidades que deben efectuar la convocatoria, etc.</w:t>
      </w:r>
      <w:r>
        <w:rPr>
          <w:rFonts w:ascii="Arial" w:hAnsi="Arial" w:cs="Arial"/>
          <w:color w:val="000000"/>
          <w:sz w:val="22"/>
          <w:szCs w:val="22"/>
          <w:bdr w:val="none" w:sz="0" w:space="0" w:color="auto" w:frame="1"/>
        </w:rPr>
        <w:t>–</w:t>
      </w:r>
      <w:r w:rsidRPr="00A719D1">
        <w:rPr>
          <w:rFonts w:ascii="Arial" w:hAnsi="Arial" w:cs="Arial"/>
          <w:color w:val="000000"/>
          <w:sz w:val="22"/>
          <w:szCs w:val="22"/>
          <w:bdr w:val="none" w:sz="0" w:space="0" w:color="auto" w:frame="1"/>
        </w:rPr>
        <w:t xml:space="preserve"> al artículo 34 de la Ley 2069 de 2020.</w:t>
      </w:r>
    </w:p>
    <w:p w14:paraId="22A615A2" w14:textId="353F920E" w:rsidR="00440E76" w:rsidRDefault="003B5642" w:rsidP="00C4175E">
      <w:pPr>
        <w:spacing w:before="120" w:line="276" w:lineRule="auto"/>
        <w:ind w:firstLine="709"/>
        <w:jc w:val="both"/>
        <w:rPr>
          <w:rFonts w:ascii="Arial" w:eastAsia="Calibri" w:hAnsi="Arial" w:cs="Arial"/>
          <w:color w:val="000000" w:themeColor="text1"/>
          <w:sz w:val="22"/>
          <w:szCs w:val="22"/>
          <w:lang w:val="es-ES_tradnl"/>
        </w:rPr>
      </w:pPr>
      <w:r w:rsidRPr="0061221C">
        <w:rPr>
          <w:rFonts w:ascii="Arial" w:eastAsia="Calibri" w:hAnsi="Arial" w:cs="Arial"/>
          <w:color w:val="000000" w:themeColor="text1"/>
          <w:sz w:val="22"/>
          <w:szCs w:val="22"/>
          <w:lang w:val="es-ES_tradnl"/>
        </w:rPr>
        <w:t>En conclusión, las entidades estatales</w:t>
      </w:r>
      <w:r w:rsidR="00F47EEA" w:rsidRPr="0061221C">
        <w:rPr>
          <w:rFonts w:ascii="Arial" w:eastAsia="Calibri" w:hAnsi="Arial" w:cs="Arial"/>
          <w:color w:val="000000" w:themeColor="text1"/>
          <w:sz w:val="22"/>
          <w:szCs w:val="22"/>
          <w:lang w:val="es-ES_tradnl"/>
        </w:rPr>
        <w:t xml:space="preserve">, independientemente del régimen contractual que </w:t>
      </w:r>
      <w:r w:rsidR="00EE3599" w:rsidRPr="0061221C">
        <w:rPr>
          <w:rFonts w:ascii="Arial" w:eastAsia="Calibri" w:hAnsi="Arial" w:cs="Arial"/>
          <w:color w:val="000000" w:themeColor="text1"/>
          <w:sz w:val="22"/>
          <w:szCs w:val="22"/>
          <w:lang w:val="es-ES_tradnl"/>
        </w:rPr>
        <w:t>las rige</w:t>
      </w:r>
      <w:r w:rsidR="00F47EEA" w:rsidRPr="0061221C">
        <w:rPr>
          <w:rFonts w:ascii="Arial" w:eastAsia="Calibri" w:hAnsi="Arial" w:cs="Arial"/>
          <w:color w:val="000000" w:themeColor="text1"/>
          <w:sz w:val="22"/>
          <w:szCs w:val="22"/>
          <w:lang w:val="es-ES_tradnl"/>
        </w:rPr>
        <w:t xml:space="preserve">, deben aplicar el factor de desempate </w:t>
      </w:r>
      <w:r w:rsidR="00E32A7A" w:rsidRPr="0061221C">
        <w:rPr>
          <w:rFonts w:ascii="Arial" w:eastAsia="Calibri" w:hAnsi="Arial" w:cs="Arial"/>
          <w:color w:val="000000" w:themeColor="text1"/>
          <w:sz w:val="22"/>
          <w:szCs w:val="22"/>
          <w:lang w:val="es-ES_tradnl"/>
        </w:rPr>
        <w:t>basado en la vinculación de personas mayores. Sin embargo, el fundamento de esta obligación ya no es el artículo 3 de la Ley 2040 de 2020 –pues no está vigente–, sino el artículo 35</w:t>
      </w:r>
      <w:r w:rsidR="001A282A" w:rsidRPr="0061221C">
        <w:rPr>
          <w:rFonts w:ascii="Arial" w:eastAsia="Calibri" w:hAnsi="Arial" w:cs="Arial"/>
          <w:color w:val="000000" w:themeColor="text1"/>
          <w:sz w:val="22"/>
          <w:szCs w:val="22"/>
          <w:lang w:val="es-ES_tradnl"/>
        </w:rPr>
        <w:t>, numeral 4, de la Ley 206</w:t>
      </w:r>
      <w:r w:rsidR="001B43B1" w:rsidRPr="0061221C">
        <w:rPr>
          <w:rFonts w:ascii="Arial" w:eastAsia="Calibri" w:hAnsi="Arial" w:cs="Arial"/>
          <w:color w:val="000000" w:themeColor="text1"/>
          <w:sz w:val="22"/>
          <w:szCs w:val="22"/>
          <w:lang w:val="es-ES_tradnl"/>
        </w:rPr>
        <w:t>9</w:t>
      </w:r>
      <w:r w:rsidR="001A282A" w:rsidRPr="0061221C">
        <w:rPr>
          <w:rFonts w:ascii="Arial" w:eastAsia="Calibri" w:hAnsi="Arial" w:cs="Arial"/>
          <w:color w:val="000000" w:themeColor="text1"/>
          <w:sz w:val="22"/>
          <w:szCs w:val="22"/>
          <w:lang w:val="es-ES_tradnl"/>
        </w:rPr>
        <w:t xml:space="preserve"> de 2020.</w:t>
      </w:r>
      <w:r w:rsidR="00C4175E" w:rsidRPr="00C4175E">
        <w:rPr>
          <w:rFonts w:ascii="Arial" w:eastAsia="Calibri" w:hAnsi="Arial" w:cs="Arial"/>
          <w:color w:val="000000" w:themeColor="text1"/>
          <w:sz w:val="22"/>
          <w:szCs w:val="22"/>
          <w:lang w:val="es-ES_tradnl"/>
        </w:rPr>
        <w:t xml:space="preserve"> </w:t>
      </w:r>
      <w:r w:rsidR="00782D6D">
        <w:rPr>
          <w:rFonts w:ascii="Arial" w:eastAsia="Calibri" w:hAnsi="Arial" w:cs="Arial"/>
          <w:color w:val="000000" w:themeColor="text1"/>
          <w:sz w:val="22"/>
          <w:szCs w:val="22"/>
          <w:lang w:val="es-ES_tradnl"/>
        </w:rPr>
        <w:t xml:space="preserve"> </w:t>
      </w:r>
      <w:r w:rsidR="00291491">
        <w:rPr>
          <w:rFonts w:ascii="Arial" w:eastAsia="Calibri" w:hAnsi="Arial" w:cs="Arial"/>
          <w:color w:val="000000" w:themeColor="text1"/>
          <w:sz w:val="22"/>
          <w:szCs w:val="22"/>
          <w:lang w:val="es-ES_tradnl"/>
        </w:rPr>
        <w:t xml:space="preserve"> </w:t>
      </w:r>
      <w:r w:rsidR="00440E76">
        <w:rPr>
          <w:rFonts w:ascii="Arial" w:eastAsia="Calibri" w:hAnsi="Arial" w:cs="Arial"/>
          <w:color w:val="000000" w:themeColor="text1"/>
          <w:sz w:val="22"/>
          <w:szCs w:val="22"/>
          <w:lang w:val="es-ES_tradnl"/>
        </w:rPr>
        <w:t xml:space="preserve"> </w:t>
      </w:r>
    </w:p>
    <w:p w14:paraId="1909D750" w14:textId="1EE550B2" w:rsidR="00F128D9" w:rsidRPr="004F2364" w:rsidRDefault="00BC30B3" w:rsidP="00A36BCF">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Luego de explicar </w:t>
      </w:r>
      <w:r w:rsidR="009715E1" w:rsidRPr="004F2364">
        <w:rPr>
          <w:rFonts w:ascii="Arial" w:eastAsia="Calibri" w:hAnsi="Arial" w:cs="Arial"/>
          <w:color w:val="000000" w:themeColor="text1"/>
          <w:sz w:val="22"/>
          <w:szCs w:val="22"/>
          <w:lang w:val="es-ES_tradnl"/>
        </w:rPr>
        <w:t xml:space="preserve">las reglas incluidas en la nueva regulación de la promoción del desarrollo en la contratación estatal, </w:t>
      </w:r>
      <w:r w:rsidR="0062267E" w:rsidRPr="004F2364">
        <w:rPr>
          <w:rFonts w:ascii="Arial" w:eastAsia="Calibri" w:hAnsi="Arial" w:cs="Arial"/>
          <w:color w:val="000000" w:themeColor="text1"/>
          <w:sz w:val="22"/>
          <w:szCs w:val="22"/>
          <w:lang w:val="es-ES_tradnl"/>
        </w:rPr>
        <w:t>previstas</w:t>
      </w:r>
      <w:r w:rsidR="009715E1" w:rsidRPr="004F2364">
        <w:rPr>
          <w:rFonts w:ascii="Arial" w:eastAsia="Calibri" w:hAnsi="Arial" w:cs="Arial"/>
          <w:color w:val="000000" w:themeColor="text1"/>
          <w:sz w:val="22"/>
          <w:szCs w:val="22"/>
          <w:lang w:val="es-ES_tradnl"/>
        </w:rPr>
        <w:t xml:space="preserve"> en el artículo 34 de la Ley 2069 de 2020</w:t>
      </w:r>
      <w:r w:rsidR="00FA66F9" w:rsidRPr="004F2364">
        <w:rPr>
          <w:rFonts w:ascii="Arial" w:eastAsia="Calibri" w:hAnsi="Arial" w:cs="Arial"/>
          <w:color w:val="000000" w:themeColor="text1"/>
          <w:sz w:val="22"/>
          <w:szCs w:val="22"/>
          <w:lang w:val="es-ES_tradnl"/>
        </w:rPr>
        <w:t>,</w:t>
      </w:r>
      <w:r w:rsidR="000F4A7F" w:rsidRPr="004F2364">
        <w:rPr>
          <w:rFonts w:ascii="Arial" w:eastAsia="Calibri" w:hAnsi="Arial" w:cs="Arial"/>
          <w:color w:val="000000" w:themeColor="text1"/>
          <w:sz w:val="22"/>
          <w:szCs w:val="22"/>
          <w:lang w:val="es-ES_tradnl"/>
        </w:rPr>
        <w:t xml:space="preserve"> y habiendo aclarado que dicha norma </w:t>
      </w:r>
      <w:r w:rsidR="00735CA5" w:rsidRPr="004F2364">
        <w:rPr>
          <w:rFonts w:ascii="Arial" w:eastAsia="Calibri" w:hAnsi="Arial" w:cs="Arial"/>
          <w:color w:val="000000" w:themeColor="text1"/>
          <w:sz w:val="22"/>
          <w:szCs w:val="22"/>
          <w:lang w:val="es-ES_tradnl"/>
        </w:rPr>
        <w:t>modificó</w:t>
      </w:r>
      <w:r w:rsidR="000F4A7F" w:rsidRPr="004F2364">
        <w:rPr>
          <w:rFonts w:ascii="Arial" w:eastAsia="Calibri" w:hAnsi="Arial" w:cs="Arial"/>
          <w:color w:val="000000" w:themeColor="text1"/>
          <w:sz w:val="22"/>
          <w:szCs w:val="22"/>
          <w:lang w:val="es-ES_tradnl"/>
        </w:rPr>
        <w:t xml:space="preserve"> el artículo 12 de la Ley 1150 de 2007, conviene preguntarse qué sucede con la vigencia del artículo</w:t>
      </w:r>
      <w:r w:rsidR="00425B2E" w:rsidRPr="004F2364">
        <w:rPr>
          <w:rFonts w:ascii="Arial" w:eastAsia="Calibri" w:hAnsi="Arial" w:cs="Arial"/>
          <w:color w:val="000000" w:themeColor="text1"/>
          <w:sz w:val="22"/>
          <w:szCs w:val="22"/>
          <w:lang w:val="es-ES_tradnl"/>
        </w:rPr>
        <w:t xml:space="preserve"> 2.2.1.2.4.2.2. del Decreto 1082 de 2015</w:t>
      </w:r>
      <w:r w:rsidR="00384494" w:rsidRPr="004F2364">
        <w:rPr>
          <w:rFonts w:ascii="Arial" w:eastAsia="Calibri" w:hAnsi="Arial" w:cs="Arial"/>
          <w:color w:val="000000" w:themeColor="text1"/>
          <w:sz w:val="22"/>
          <w:szCs w:val="22"/>
          <w:lang w:val="es-ES_tradnl"/>
        </w:rPr>
        <w:t>, que</w:t>
      </w:r>
      <w:r w:rsidR="00735CA5" w:rsidRPr="004F2364">
        <w:rPr>
          <w:rFonts w:ascii="Arial" w:eastAsia="Calibri" w:hAnsi="Arial" w:cs="Arial"/>
          <w:color w:val="000000" w:themeColor="text1"/>
          <w:sz w:val="22"/>
          <w:szCs w:val="22"/>
          <w:lang w:val="es-ES_tradnl"/>
        </w:rPr>
        <w:t>,</w:t>
      </w:r>
      <w:r w:rsidR="00384494" w:rsidRPr="004F2364">
        <w:rPr>
          <w:rFonts w:ascii="Arial" w:eastAsia="Calibri" w:hAnsi="Arial" w:cs="Arial"/>
          <w:color w:val="000000" w:themeColor="text1"/>
          <w:sz w:val="22"/>
          <w:szCs w:val="22"/>
          <w:lang w:val="es-ES_tradnl"/>
        </w:rPr>
        <w:t xml:space="preserve"> hasta la expedición de la Ley 2069 de 2020</w:t>
      </w:r>
      <w:r w:rsidR="00735CA5" w:rsidRPr="004F2364">
        <w:rPr>
          <w:rFonts w:ascii="Arial" w:eastAsia="Calibri" w:hAnsi="Arial" w:cs="Arial"/>
          <w:color w:val="000000" w:themeColor="text1"/>
          <w:sz w:val="22"/>
          <w:szCs w:val="22"/>
          <w:lang w:val="es-ES_tradnl"/>
        </w:rPr>
        <w:t>,</w:t>
      </w:r>
      <w:r w:rsidR="00384494" w:rsidRPr="004F2364">
        <w:rPr>
          <w:rFonts w:ascii="Arial" w:eastAsia="Calibri" w:hAnsi="Arial" w:cs="Arial"/>
          <w:color w:val="000000" w:themeColor="text1"/>
          <w:sz w:val="22"/>
          <w:szCs w:val="22"/>
          <w:lang w:val="es-ES_tradnl"/>
        </w:rPr>
        <w:t xml:space="preserve"> </w:t>
      </w:r>
      <w:r w:rsidR="000323C6" w:rsidRPr="004F2364">
        <w:rPr>
          <w:rFonts w:ascii="Arial" w:eastAsia="Calibri" w:hAnsi="Arial" w:cs="Arial"/>
          <w:color w:val="000000" w:themeColor="text1"/>
          <w:sz w:val="22"/>
          <w:szCs w:val="22"/>
          <w:lang w:val="es-ES_tradnl"/>
        </w:rPr>
        <w:t>regía</w:t>
      </w:r>
      <w:r w:rsidR="00384494" w:rsidRPr="004F2364">
        <w:rPr>
          <w:rFonts w:ascii="Arial" w:eastAsia="Calibri" w:hAnsi="Arial" w:cs="Arial"/>
          <w:color w:val="000000" w:themeColor="text1"/>
          <w:sz w:val="22"/>
          <w:szCs w:val="22"/>
          <w:lang w:val="es-ES_tradnl"/>
        </w:rPr>
        <w:t xml:space="preserve"> las convocatorias limitadas a </w:t>
      </w:r>
      <w:proofErr w:type="spellStart"/>
      <w:r w:rsidR="00384494" w:rsidRPr="004F2364">
        <w:rPr>
          <w:rFonts w:ascii="Arial" w:eastAsia="Calibri" w:hAnsi="Arial" w:cs="Arial"/>
          <w:color w:val="000000" w:themeColor="text1"/>
          <w:sz w:val="22"/>
          <w:szCs w:val="22"/>
          <w:lang w:val="es-ES_tradnl"/>
        </w:rPr>
        <w:t>mipymes</w:t>
      </w:r>
      <w:proofErr w:type="spellEnd"/>
      <w:r w:rsidR="00384494" w:rsidRPr="004F2364">
        <w:rPr>
          <w:rFonts w:ascii="Arial" w:eastAsia="Calibri" w:hAnsi="Arial" w:cs="Arial"/>
          <w:color w:val="000000" w:themeColor="text1"/>
          <w:sz w:val="22"/>
          <w:szCs w:val="22"/>
          <w:lang w:val="es-ES_tradnl"/>
        </w:rPr>
        <w:t>.</w:t>
      </w:r>
      <w:r w:rsidR="009477BD" w:rsidRPr="004F2364">
        <w:rPr>
          <w:rFonts w:ascii="Arial" w:eastAsia="Calibri" w:hAnsi="Arial" w:cs="Arial"/>
          <w:color w:val="000000" w:themeColor="text1"/>
          <w:sz w:val="22"/>
          <w:szCs w:val="22"/>
          <w:lang w:val="es-ES_tradnl"/>
        </w:rPr>
        <w:t xml:space="preserve"> En opinión de esta Agencia</w:t>
      </w:r>
      <w:r w:rsidR="000323C6" w:rsidRPr="004F2364">
        <w:rPr>
          <w:rFonts w:ascii="Arial" w:eastAsia="Calibri" w:hAnsi="Arial" w:cs="Arial"/>
          <w:color w:val="000000" w:themeColor="text1"/>
          <w:sz w:val="22"/>
          <w:szCs w:val="22"/>
          <w:lang w:val="es-ES_tradnl"/>
        </w:rPr>
        <w:t>,</w:t>
      </w:r>
      <w:r w:rsidR="009477BD" w:rsidRPr="004F2364">
        <w:rPr>
          <w:rFonts w:ascii="Arial" w:eastAsia="Calibri" w:hAnsi="Arial" w:cs="Arial"/>
          <w:color w:val="000000" w:themeColor="text1"/>
          <w:sz w:val="22"/>
          <w:szCs w:val="22"/>
          <w:lang w:val="es-ES_tradnl"/>
        </w:rPr>
        <w:t xml:space="preserve"> dicho artículo del Decreto reglamentario</w:t>
      </w:r>
      <w:r w:rsidR="00ED572F" w:rsidRPr="004F2364">
        <w:rPr>
          <w:rFonts w:ascii="Arial" w:eastAsia="Calibri" w:hAnsi="Arial" w:cs="Arial"/>
          <w:color w:val="000000" w:themeColor="text1"/>
          <w:sz w:val="22"/>
          <w:szCs w:val="22"/>
          <w:lang w:val="es-ES_tradnl"/>
        </w:rPr>
        <w:t xml:space="preserve"> </w:t>
      </w:r>
      <w:r w:rsidR="00BF775D" w:rsidRPr="004F2364">
        <w:rPr>
          <w:rFonts w:ascii="Arial" w:eastAsia="Calibri" w:hAnsi="Arial" w:cs="Arial"/>
          <w:color w:val="000000" w:themeColor="text1"/>
          <w:sz w:val="22"/>
          <w:szCs w:val="22"/>
          <w:lang w:val="es-ES_tradnl"/>
        </w:rPr>
        <w:t>no está vigente</w:t>
      </w:r>
      <w:r w:rsidR="00ED572F" w:rsidRPr="004F2364">
        <w:rPr>
          <w:rFonts w:ascii="Arial" w:eastAsia="Calibri" w:hAnsi="Arial" w:cs="Arial"/>
          <w:color w:val="000000" w:themeColor="text1"/>
          <w:sz w:val="22"/>
          <w:szCs w:val="22"/>
          <w:lang w:val="es-ES_tradnl"/>
        </w:rPr>
        <w:t>, porque su contenido es contrario a</w:t>
      </w:r>
      <w:r w:rsidR="0062267E" w:rsidRPr="004F2364">
        <w:rPr>
          <w:rFonts w:ascii="Arial" w:eastAsia="Calibri" w:hAnsi="Arial" w:cs="Arial"/>
          <w:color w:val="000000" w:themeColor="text1"/>
          <w:sz w:val="22"/>
          <w:szCs w:val="22"/>
          <w:lang w:val="es-ES_tradnl"/>
        </w:rPr>
        <w:t>l del artículo 34 de la Ley 2069 de 2020. En tal sentido, ha perdido fuerza ejecutoria</w:t>
      </w:r>
      <w:r w:rsidR="00F802B0" w:rsidRPr="004F2364">
        <w:rPr>
          <w:rFonts w:ascii="Arial" w:eastAsia="Calibri" w:hAnsi="Arial" w:cs="Arial"/>
          <w:color w:val="000000" w:themeColor="text1"/>
          <w:sz w:val="22"/>
          <w:szCs w:val="22"/>
          <w:lang w:val="es-ES_tradnl"/>
        </w:rPr>
        <w:t xml:space="preserve">, de conformidad con el artículo </w:t>
      </w:r>
      <w:r w:rsidR="007034D9" w:rsidRPr="004F2364">
        <w:rPr>
          <w:rFonts w:ascii="Arial" w:eastAsia="Calibri" w:hAnsi="Arial" w:cs="Arial"/>
          <w:color w:val="000000" w:themeColor="text1"/>
          <w:sz w:val="22"/>
          <w:szCs w:val="22"/>
          <w:lang w:val="es-ES_tradnl"/>
        </w:rPr>
        <w:t>91, numeral 2, de la Ley 1437 de 2011</w:t>
      </w:r>
      <w:r w:rsidR="007936E2" w:rsidRPr="004F2364">
        <w:rPr>
          <w:rFonts w:ascii="Arial" w:eastAsia="Calibri" w:hAnsi="Arial" w:cs="Arial"/>
          <w:color w:val="000000" w:themeColor="text1"/>
          <w:sz w:val="22"/>
          <w:szCs w:val="22"/>
          <w:lang w:val="es-ES_tradnl"/>
        </w:rPr>
        <w:t>, el cual establece que los actos administrativos –categoría que</w:t>
      </w:r>
      <w:r w:rsidR="00AD0861" w:rsidRPr="004F2364">
        <w:rPr>
          <w:rFonts w:ascii="Arial" w:eastAsia="Calibri" w:hAnsi="Arial" w:cs="Arial"/>
          <w:color w:val="000000" w:themeColor="text1"/>
          <w:sz w:val="22"/>
          <w:szCs w:val="22"/>
          <w:lang w:val="es-ES_tradnl"/>
        </w:rPr>
        <w:t>,</w:t>
      </w:r>
      <w:r w:rsidR="004278D8" w:rsidRPr="004F2364">
        <w:rPr>
          <w:rFonts w:ascii="Arial" w:eastAsia="Calibri" w:hAnsi="Arial" w:cs="Arial"/>
          <w:color w:val="000000" w:themeColor="text1"/>
          <w:sz w:val="22"/>
          <w:szCs w:val="22"/>
          <w:lang w:val="es-ES_tradnl"/>
        </w:rPr>
        <w:t xml:space="preserve"> como es sabido, </w:t>
      </w:r>
      <w:r w:rsidR="007936E2" w:rsidRPr="004F2364">
        <w:rPr>
          <w:rFonts w:ascii="Arial" w:eastAsia="Calibri" w:hAnsi="Arial" w:cs="Arial"/>
          <w:color w:val="000000" w:themeColor="text1"/>
          <w:sz w:val="22"/>
          <w:szCs w:val="22"/>
          <w:lang w:val="es-ES_tradnl"/>
        </w:rPr>
        <w:t>incluye los decretos reglamentarios–</w:t>
      </w:r>
      <w:r w:rsidR="008D4596" w:rsidRPr="004F2364">
        <w:rPr>
          <w:rFonts w:ascii="Arial" w:eastAsia="Calibri" w:hAnsi="Arial" w:cs="Arial"/>
          <w:color w:val="000000" w:themeColor="text1"/>
          <w:sz w:val="22"/>
          <w:szCs w:val="22"/>
          <w:lang w:val="es-ES_tradnl"/>
        </w:rPr>
        <w:t xml:space="preserve"> dejan de ser obligatorios o decaen «Cuando desaparezcan sus fundamentos de hecho o de derecho».</w:t>
      </w:r>
      <w:r w:rsidR="00772AAF" w:rsidRPr="004F2364">
        <w:rPr>
          <w:rFonts w:ascii="Arial" w:eastAsia="Calibri" w:hAnsi="Arial" w:cs="Arial"/>
          <w:color w:val="000000" w:themeColor="text1"/>
          <w:sz w:val="22"/>
          <w:szCs w:val="22"/>
          <w:lang w:val="es-ES_tradnl"/>
        </w:rPr>
        <w:t xml:space="preserve"> </w:t>
      </w:r>
    </w:p>
    <w:p w14:paraId="5D1BA105" w14:textId="3C48BEB7" w:rsidR="00A06EB6" w:rsidRPr="004F2364" w:rsidRDefault="008D4596" w:rsidP="00772AAF">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Si</w:t>
      </w:r>
      <w:r w:rsidR="00772AAF" w:rsidRPr="004F2364">
        <w:rPr>
          <w:rFonts w:ascii="Arial" w:eastAsia="Calibri" w:hAnsi="Arial" w:cs="Arial"/>
          <w:color w:val="000000" w:themeColor="text1"/>
          <w:sz w:val="22"/>
          <w:szCs w:val="22"/>
          <w:lang w:val="es-ES_tradnl"/>
        </w:rPr>
        <w:t xml:space="preserve"> los decretos reglamentarios que profiere el Presidente de la República en ejercicio de la potestad que le confiere el artículo 189, numeral 11, de la Constitución Política</w:t>
      </w:r>
      <w:r w:rsidR="00F128D9" w:rsidRPr="004F2364">
        <w:rPr>
          <w:rFonts w:ascii="Arial" w:eastAsia="Calibri" w:hAnsi="Arial" w:cs="Arial"/>
          <w:color w:val="000000" w:themeColor="text1"/>
          <w:sz w:val="22"/>
          <w:szCs w:val="22"/>
          <w:lang w:val="es-ES_tradnl"/>
        </w:rPr>
        <w:t>, buscan «la cumplida ejecución de las leyes»</w:t>
      </w:r>
      <w:r w:rsidR="008673AE" w:rsidRPr="004F2364">
        <w:rPr>
          <w:rFonts w:ascii="Arial" w:eastAsia="Calibri" w:hAnsi="Arial" w:cs="Arial"/>
          <w:color w:val="000000" w:themeColor="text1"/>
          <w:sz w:val="22"/>
          <w:szCs w:val="22"/>
          <w:lang w:val="es-ES_tradnl"/>
        </w:rPr>
        <w:t>,</w:t>
      </w:r>
      <w:r w:rsidR="00F128D9" w:rsidRPr="004F2364">
        <w:rPr>
          <w:rFonts w:ascii="Arial" w:eastAsia="Calibri" w:hAnsi="Arial" w:cs="Arial"/>
          <w:color w:val="000000" w:themeColor="text1"/>
          <w:sz w:val="22"/>
          <w:szCs w:val="22"/>
          <w:lang w:val="es-ES_tradnl"/>
        </w:rPr>
        <w:t xml:space="preserve"> y si la disposición legal que había servido de fundamento a la expedición del artículo 2.2.1.2.4.2.2. del Decreto 1082 de 2015 –es decir, </w:t>
      </w:r>
      <w:r w:rsidR="00F128D9" w:rsidRPr="004F2364">
        <w:rPr>
          <w:rFonts w:ascii="Arial" w:eastAsia="Calibri" w:hAnsi="Arial" w:cs="Arial"/>
          <w:color w:val="000000" w:themeColor="text1"/>
          <w:sz w:val="22"/>
          <w:szCs w:val="22"/>
          <w:lang w:val="es-ES_tradnl"/>
        </w:rPr>
        <w:lastRenderedPageBreak/>
        <w:t xml:space="preserve">el artículo 12 de la Ley 1150 de 2007– fue </w:t>
      </w:r>
      <w:r w:rsidR="00EF19A5" w:rsidRPr="004F2364">
        <w:rPr>
          <w:rFonts w:ascii="Arial" w:eastAsia="Calibri" w:hAnsi="Arial" w:cs="Arial"/>
          <w:color w:val="000000" w:themeColor="text1"/>
          <w:sz w:val="22"/>
          <w:szCs w:val="22"/>
          <w:lang w:val="es-ES_tradnl"/>
        </w:rPr>
        <w:t>modificado</w:t>
      </w:r>
      <w:r w:rsidR="00F128D9" w:rsidRPr="004F2364">
        <w:rPr>
          <w:rFonts w:ascii="Arial" w:eastAsia="Calibri" w:hAnsi="Arial" w:cs="Arial"/>
          <w:color w:val="000000" w:themeColor="text1"/>
          <w:sz w:val="22"/>
          <w:szCs w:val="22"/>
          <w:lang w:val="es-ES_tradnl"/>
        </w:rPr>
        <w:t xml:space="preserve"> por el artículo </w:t>
      </w:r>
      <w:r w:rsidR="00744273" w:rsidRPr="004F2364">
        <w:rPr>
          <w:rFonts w:ascii="Arial" w:eastAsia="Calibri" w:hAnsi="Arial" w:cs="Arial"/>
          <w:color w:val="000000" w:themeColor="text1"/>
          <w:sz w:val="22"/>
          <w:szCs w:val="22"/>
          <w:lang w:val="es-ES_tradnl"/>
        </w:rPr>
        <w:t>34 de la Ley 2069 de 2020, puede concluirse que la disposición reglamentaria decayó</w:t>
      </w:r>
      <w:r w:rsidR="008673AE" w:rsidRPr="004F2364">
        <w:rPr>
          <w:rFonts w:ascii="Arial" w:eastAsia="Calibri" w:hAnsi="Arial" w:cs="Arial"/>
          <w:color w:val="000000" w:themeColor="text1"/>
          <w:sz w:val="22"/>
          <w:szCs w:val="22"/>
          <w:lang w:val="es-ES_tradnl"/>
        </w:rPr>
        <w:t>,</w:t>
      </w:r>
      <w:r w:rsidR="00744273" w:rsidRPr="004F2364">
        <w:rPr>
          <w:rFonts w:ascii="Arial" w:eastAsia="Calibri" w:hAnsi="Arial" w:cs="Arial"/>
          <w:color w:val="000000" w:themeColor="text1"/>
          <w:sz w:val="22"/>
          <w:szCs w:val="22"/>
          <w:lang w:val="es-ES_tradnl"/>
        </w:rPr>
        <w:t xml:space="preserve"> por </w:t>
      </w:r>
      <w:r w:rsidR="008673AE" w:rsidRPr="004F2364">
        <w:rPr>
          <w:rFonts w:ascii="Arial" w:eastAsia="Calibri" w:hAnsi="Arial" w:cs="Arial"/>
          <w:color w:val="000000" w:themeColor="text1"/>
          <w:sz w:val="22"/>
          <w:szCs w:val="22"/>
          <w:lang w:val="es-ES_tradnl"/>
        </w:rPr>
        <w:t>desaparición de su fundamento de derecho</w:t>
      </w:r>
      <w:r w:rsidR="0011318E" w:rsidRPr="004F2364">
        <w:rPr>
          <w:rFonts w:ascii="Arial" w:eastAsia="Calibri" w:hAnsi="Arial" w:cs="Arial"/>
          <w:color w:val="000000" w:themeColor="text1"/>
          <w:sz w:val="22"/>
          <w:szCs w:val="22"/>
          <w:lang w:val="es-ES_tradnl"/>
        </w:rPr>
        <w:t>.</w:t>
      </w:r>
      <w:r w:rsidR="00EF19A5" w:rsidRPr="004F2364">
        <w:rPr>
          <w:rFonts w:ascii="Arial" w:eastAsia="Calibri" w:hAnsi="Arial" w:cs="Arial"/>
          <w:color w:val="000000" w:themeColor="text1"/>
          <w:sz w:val="22"/>
          <w:szCs w:val="22"/>
          <w:lang w:val="es-ES_tradnl"/>
        </w:rPr>
        <w:t xml:space="preserve"> Es decir, el fundamento de derecho</w:t>
      </w:r>
      <w:r w:rsidR="00FF44D7" w:rsidRPr="004F2364">
        <w:rPr>
          <w:rFonts w:ascii="Arial" w:eastAsia="Calibri" w:hAnsi="Arial" w:cs="Arial"/>
          <w:color w:val="000000" w:themeColor="text1"/>
          <w:sz w:val="22"/>
          <w:szCs w:val="22"/>
          <w:lang w:val="es-ES_tradnl"/>
        </w:rPr>
        <w:t xml:space="preserve">, </w:t>
      </w:r>
      <w:r w:rsidR="00EF19A5" w:rsidRPr="004F2364">
        <w:rPr>
          <w:rFonts w:ascii="Arial" w:eastAsia="Calibri" w:hAnsi="Arial" w:cs="Arial"/>
          <w:color w:val="000000" w:themeColor="text1"/>
          <w:sz w:val="22"/>
          <w:szCs w:val="22"/>
          <w:lang w:val="es-ES_tradnl"/>
        </w:rPr>
        <w:t>que era el contenido del artículo 12</w:t>
      </w:r>
      <w:r w:rsidR="00FF44D7" w:rsidRPr="004F2364">
        <w:rPr>
          <w:rFonts w:ascii="Arial" w:eastAsia="Calibri" w:hAnsi="Arial" w:cs="Arial"/>
          <w:color w:val="000000" w:themeColor="text1"/>
          <w:sz w:val="22"/>
          <w:szCs w:val="22"/>
          <w:lang w:val="es-ES_tradnl"/>
        </w:rPr>
        <w:t xml:space="preserve"> de la Ley 1150 de 2007</w:t>
      </w:r>
      <w:r w:rsidR="004774C3" w:rsidRPr="004F2364">
        <w:rPr>
          <w:rFonts w:ascii="Arial" w:eastAsia="Calibri" w:hAnsi="Arial" w:cs="Arial"/>
          <w:color w:val="000000" w:themeColor="text1"/>
          <w:sz w:val="22"/>
          <w:szCs w:val="22"/>
          <w:lang w:val="es-ES_tradnl"/>
        </w:rPr>
        <w:t xml:space="preserve">, </w:t>
      </w:r>
      <w:r w:rsidR="00FF44D7" w:rsidRPr="004F2364">
        <w:rPr>
          <w:rFonts w:ascii="Arial" w:eastAsia="Calibri" w:hAnsi="Arial" w:cs="Arial"/>
          <w:color w:val="000000" w:themeColor="text1"/>
          <w:sz w:val="22"/>
          <w:szCs w:val="22"/>
          <w:lang w:val="es-ES_tradnl"/>
        </w:rPr>
        <w:t>fue subrogado por el artículo 34 de la Ley 2069 de 2020.</w:t>
      </w:r>
      <w:r w:rsidR="0011318E" w:rsidRPr="004F2364">
        <w:rPr>
          <w:rFonts w:ascii="Arial" w:eastAsia="Calibri" w:hAnsi="Arial" w:cs="Arial"/>
          <w:color w:val="000000" w:themeColor="text1"/>
          <w:sz w:val="22"/>
          <w:szCs w:val="22"/>
          <w:lang w:val="es-ES_tradnl"/>
        </w:rPr>
        <w:t xml:space="preserve"> Sin embargo, no es solo por una razón formal</w:t>
      </w:r>
      <w:r w:rsidR="006F50C2" w:rsidRPr="004F2364">
        <w:rPr>
          <w:rFonts w:ascii="Arial" w:eastAsia="Calibri" w:hAnsi="Arial" w:cs="Arial"/>
          <w:color w:val="000000" w:themeColor="text1"/>
          <w:sz w:val="22"/>
          <w:szCs w:val="22"/>
          <w:lang w:val="es-ES_tradnl"/>
        </w:rPr>
        <w:t xml:space="preserve"> que se deduce la pérdida de fuerza ejecutoria del artículo 2.2.1.2.4.2.2. del Decreto 1082 de 2015, sino también por un argumento material, como</w:t>
      </w:r>
      <w:r w:rsidR="00576C8A" w:rsidRPr="004F2364">
        <w:rPr>
          <w:rFonts w:ascii="Arial" w:eastAsia="Calibri" w:hAnsi="Arial" w:cs="Arial"/>
          <w:color w:val="000000" w:themeColor="text1"/>
          <w:sz w:val="22"/>
          <w:szCs w:val="22"/>
          <w:lang w:val="es-ES_tradnl"/>
        </w:rPr>
        <w:t xml:space="preserve"> se explica a continuación.</w:t>
      </w:r>
    </w:p>
    <w:p w14:paraId="045D18D9" w14:textId="7C5502A8" w:rsidR="00A84935" w:rsidRPr="004F2364" w:rsidRDefault="00A06EB6" w:rsidP="00772AAF">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Además de que el artículo 2.2.1.2.4.2.2. del Decreto 1082 de 2015 perdió </w:t>
      </w:r>
      <w:r w:rsidR="004727B1" w:rsidRPr="004F2364">
        <w:rPr>
          <w:rFonts w:ascii="Arial" w:eastAsia="Calibri" w:hAnsi="Arial" w:cs="Arial"/>
          <w:color w:val="000000" w:themeColor="text1"/>
          <w:sz w:val="22"/>
          <w:szCs w:val="22"/>
          <w:lang w:val="es-ES_tradnl"/>
        </w:rPr>
        <w:t>el</w:t>
      </w:r>
      <w:r w:rsidRPr="004F2364">
        <w:rPr>
          <w:rFonts w:ascii="Arial" w:eastAsia="Calibri" w:hAnsi="Arial" w:cs="Arial"/>
          <w:color w:val="000000" w:themeColor="text1"/>
          <w:sz w:val="22"/>
          <w:szCs w:val="22"/>
          <w:lang w:val="es-ES_tradnl"/>
        </w:rPr>
        <w:t xml:space="preserve"> fundamento legal</w:t>
      </w:r>
      <w:r w:rsidR="00576C8A" w:rsidRPr="004F2364">
        <w:rPr>
          <w:rFonts w:ascii="Arial" w:eastAsia="Calibri" w:hAnsi="Arial" w:cs="Arial"/>
          <w:color w:val="000000" w:themeColor="text1"/>
          <w:sz w:val="22"/>
          <w:szCs w:val="22"/>
          <w:lang w:val="es-ES_tradnl"/>
        </w:rPr>
        <w:t>, su contenido es contrario</w:t>
      </w:r>
      <w:r w:rsidR="00F0749E" w:rsidRPr="004F2364">
        <w:rPr>
          <w:rFonts w:ascii="Arial" w:eastAsia="Calibri" w:hAnsi="Arial" w:cs="Arial"/>
          <w:color w:val="000000" w:themeColor="text1"/>
          <w:sz w:val="22"/>
          <w:szCs w:val="22"/>
          <w:lang w:val="es-ES_tradnl"/>
        </w:rPr>
        <w:t xml:space="preserve"> al del nuevo artículo 12 de la Ley 1150 de 2007, modificado por el artículo 34 de la Ley 2069 de 2020.</w:t>
      </w:r>
      <w:r w:rsidR="00641899" w:rsidRPr="004F2364">
        <w:rPr>
          <w:rFonts w:ascii="Arial" w:eastAsia="Calibri" w:hAnsi="Arial" w:cs="Arial"/>
          <w:color w:val="000000" w:themeColor="text1"/>
          <w:sz w:val="22"/>
          <w:szCs w:val="22"/>
          <w:lang w:val="es-ES_tradnl"/>
        </w:rPr>
        <w:t xml:space="preserve"> En efecto, </w:t>
      </w:r>
      <w:r w:rsidR="00E40FB8" w:rsidRPr="004F2364">
        <w:rPr>
          <w:rFonts w:ascii="Arial" w:eastAsia="Calibri" w:hAnsi="Arial" w:cs="Arial"/>
          <w:color w:val="000000" w:themeColor="text1"/>
          <w:sz w:val="22"/>
          <w:szCs w:val="22"/>
          <w:lang w:val="es-ES_tradnl"/>
        </w:rPr>
        <w:t xml:space="preserve">este </w:t>
      </w:r>
      <w:r w:rsidR="006D62EA" w:rsidRPr="004F2364">
        <w:rPr>
          <w:rFonts w:ascii="Arial" w:eastAsia="Calibri" w:hAnsi="Arial" w:cs="Arial"/>
          <w:color w:val="000000" w:themeColor="text1"/>
          <w:sz w:val="22"/>
          <w:szCs w:val="22"/>
          <w:lang w:val="es-ES_tradnl"/>
        </w:rPr>
        <w:t xml:space="preserve">último </w:t>
      </w:r>
      <w:r w:rsidR="00E40FB8" w:rsidRPr="004F2364">
        <w:rPr>
          <w:rFonts w:ascii="Arial" w:eastAsia="Calibri" w:hAnsi="Arial" w:cs="Arial"/>
          <w:color w:val="000000" w:themeColor="text1"/>
          <w:sz w:val="22"/>
          <w:szCs w:val="22"/>
          <w:lang w:val="es-ES_tradnl"/>
        </w:rPr>
        <w:t>artículo no consagra las mismas exigencias para la</w:t>
      </w:r>
      <w:r w:rsidR="001B3B25" w:rsidRPr="004F2364">
        <w:rPr>
          <w:rFonts w:ascii="Arial" w:eastAsia="Calibri" w:hAnsi="Arial" w:cs="Arial"/>
          <w:color w:val="000000" w:themeColor="text1"/>
          <w:sz w:val="22"/>
          <w:szCs w:val="22"/>
          <w:lang w:val="es-ES_tradnl"/>
        </w:rPr>
        <w:t>s</w:t>
      </w:r>
      <w:r w:rsidR="00E40FB8" w:rsidRPr="004F2364">
        <w:rPr>
          <w:rFonts w:ascii="Arial" w:eastAsia="Calibri" w:hAnsi="Arial" w:cs="Arial"/>
          <w:color w:val="000000" w:themeColor="text1"/>
          <w:sz w:val="22"/>
          <w:szCs w:val="22"/>
          <w:lang w:val="es-ES_tradnl"/>
        </w:rPr>
        <w:t xml:space="preserve"> convocatoria</w:t>
      </w:r>
      <w:r w:rsidR="001B3B25" w:rsidRPr="004F2364">
        <w:rPr>
          <w:rFonts w:ascii="Arial" w:eastAsia="Calibri" w:hAnsi="Arial" w:cs="Arial"/>
          <w:color w:val="000000" w:themeColor="text1"/>
          <w:sz w:val="22"/>
          <w:szCs w:val="22"/>
          <w:lang w:val="es-ES_tradnl"/>
        </w:rPr>
        <w:t>s</w:t>
      </w:r>
      <w:r w:rsidR="00E40FB8" w:rsidRPr="004F2364">
        <w:rPr>
          <w:rFonts w:ascii="Arial" w:eastAsia="Calibri" w:hAnsi="Arial" w:cs="Arial"/>
          <w:color w:val="000000" w:themeColor="text1"/>
          <w:sz w:val="22"/>
          <w:szCs w:val="22"/>
          <w:lang w:val="es-ES_tradnl"/>
        </w:rPr>
        <w:t xml:space="preserve"> limitada</w:t>
      </w:r>
      <w:r w:rsidR="001B3B25" w:rsidRPr="004F2364">
        <w:rPr>
          <w:rFonts w:ascii="Arial" w:eastAsia="Calibri" w:hAnsi="Arial" w:cs="Arial"/>
          <w:color w:val="000000" w:themeColor="text1"/>
          <w:sz w:val="22"/>
          <w:szCs w:val="22"/>
          <w:lang w:val="es-ES_tradnl"/>
        </w:rPr>
        <w:t>s</w:t>
      </w:r>
      <w:r w:rsidR="00E40FB8" w:rsidRPr="004F2364">
        <w:rPr>
          <w:rFonts w:ascii="Arial" w:eastAsia="Calibri" w:hAnsi="Arial" w:cs="Arial"/>
          <w:color w:val="000000" w:themeColor="text1"/>
          <w:sz w:val="22"/>
          <w:szCs w:val="22"/>
          <w:lang w:val="es-ES_tradnl"/>
        </w:rPr>
        <w:t xml:space="preserve"> a </w:t>
      </w:r>
      <w:proofErr w:type="spellStart"/>
      <w:r w:rsidR="00E40FB8" w:rsidRPr="004F2364">
        <w:rPr>
          <w:rFonts w:ascii="Arial" w:eastAsia="Calibri" w:hAnsi="Arial" w:cs="Arial"/>
          <w:color w:val="000000" w:themeColor="text1"/>
          <w:sz w:val="22"/>
          <w:szCs w:val="22"/>
          <w:lang w:val="es-ES_tradnl"/>
        </w:rPr>
        <w:t>mipymes</w:t>
      </w:r>
      <w:proofErr w:type="spellEnd"/>
      <w:r w:rsidR="001B3B25" w:rsidRPr="004F2364">
        <w:rPr>
          <w:rFonts w:ascii="Arial" w:eastAsia="Calibri" w:hAnsi="Arial" w:cs="Arial"/>
          <w:color w:val="000000" w:themeColor="text1"/>
          <w:sz w:val="22"/>
          <w:szCs w:val="22"/>
          <w:lang w:val="es-ES_tradnl"/>
        </w:rPr>
        <w:t>. Concretamente</w:t>
      </w:r>
      <w:r w:rsidR="004774C3" w:rsidRPr="004F2364">
        <w:rPr>
          <w:rFonts w:ascii="Arial" w:eastAsia="Calibri" w:hAnsi="Arial" w:cs="Arial"/>
          <w:color w:val="000000" w:themeColor="text1"/>
          <w:sz w:val="22"/>
          <w:szCs w:val="22"/>
          <w:lang w:val="es-ES_tradnl"/>
        </w:rPr>
        <w:t xml:space="preserve">, </w:t>
      </w:r>
      <w:r w:rsidR="001B3B25" w:rsidRPr="004F2364">
        <w:rPr>
          <w:rFonts w:ascii="Arial" w:eastAsia="Calibri" w:hAnsi="Arial" w:cs="Arial"/>
          <w:color w:val="000000" w:themeColor="text1"/>
          <w:sz w:val="22"/>
          <w:szCs w:val="22"/>
          <w:lang w:val="es-ES_tradnl"/>
        </w:rPr>
        <w:t xml:space="preserve">no incluye </w:t>
      </w:r>
      <w:r w:rsidR="00940207" w:rsidRPr="004F2364">
        <w:rPr>
          <w:rFonts w:ascii="Arial" w:eastAsia="Calibri" w:hAnsi="Arial" w:cs="Arial"/>
          <w:color w:val="000000" w:themeColor="text1"/>
          <w:sz w:val="22"/>
          <w:szCs w:val="22"/>
          <w:lang w:val="es-ES_tradnl"/>
        </w:rPr>
        <w:t xml:space="preserve">todos </w:t>
      </w:r>
      <w:r w:rsidR="001B3B25" w:rsidRPr="004F2364">
        <w:rPr>
          <w:rFonts w:ascii="Arial" w:eastAsia="Calibri" w:hAnsi="Arial" w:cs="Arial"/>
          <w:color w:val="000000" w:themeColor="text1"/>
          <w:sz w:val="22"/>
          <w:szCs w:val="22"/>
          <w:lang w:val="es-ES_tradnl"/>
        </w:rPr>
        <w:t>los requisitos</w:t>
      </w:r>
      <w:r w:rsidR="00940207" w:rsidRPr="004F2364">
        <w:rPr>
          <w:rFonts w:ascii="Arial" w:eastAsia="Calibri" w:hAnsi="Arial" w:cs="Arial"/>
          <w:color w:val="000000" w:themeColor="text1"/>
          <w:sz w:val="22"/>
          <w:szCs w:val="22"/>
          <w:lang w:val="es-ES_tradnl"/>
        </w:rPr>
        <w:t xml:space="preserve"> </w:t>
      </w:r>
      <w:r w:rsidR="001B3B25" w:rsidRPr="004F2364">
        <w:rPr>
          <w:rFonts w:ascii="Arial" w:eastAsia="Calibri" w:hAnsi="Arial" w:cs="Arial"/>
          <w:color w:val="000000" w:themeColor="text1"/>
          <w:sz w:val="22"/>
          <w:szCs w:val="22"/>
          <w:lang w:val="es-ES_tradnl"/>
        </w:rPr>
        <w:t>que</w:t>
      </w:r>
      <w:r w:rsidR="00940207" w:rsidRPr="004F2364">
        <w:rPr>
          <w:rFonts w:ascii="Arial" w:eastAsia="Calibri" w:hAnsi="Arial" w:cs="Arial"/>
          <w:color w:val="000000" w:themeColor="text1"/>
          <w:sz w:val="22"/>
          <w:szCs w:val="22"/>
          <w:lang w:val="es-ES_tradnl"/>
        </w:rPr>
        <w:t>,</w:t>
      </w:r>
      <w:r w:rsidR="001B3B25" w:rsidRPr="004F2364">
        <w:rPr>
          <w:rFonts w:ascii="Arial" w:eastAsia="Calibri" w:hAnsi="Arial" w:cs="Arial"/>
          <w:color w:val="000000" w:themeColor="text1"/>
          <w:sz w:val="22"/>
          <w:szCs w:val="22"/>
          <w:lang w:val="es-ES_tradnl"/>
        </w:rPr>
        <w:t xml:space="preserve"> hasta la entrada en vigencia de la Ley 2069 de 2020, establecía el </w:t>
      </w:r>
      <w:r w:rsidR="00E90067" w:rsidRPr="004F2364">
        <w:rPr>
          <w:rFonts w:ascii="Arial" w:eastAsia="Calibri" w:hAnsi="Arial" w:cs="Arial"/>
          <w:color w:val="000000" w:themeColor="text1"/>
          <w:sz w:val="22"/>
          <w:szCs w:val="22"/>
          <w:lang w:val="es-ES_tradnl"/>
        </w:rPr>
        <w:t>artículo 2.2.1.2.4.2.2. del Decreto 1082 de 2015. Esta norma indicaba</w:t>
      </w:r>
      <w:r w:rsidR="000C47E0" w:rsidRPr="004F2364">
        <w:rPr>
          <w:rFonts w:ascii="Arial" w:eastAsia="Calibri" w:hAnsi="Arial" w:cs="Arial"/>
          <w:color w:val="000000" w:themeColor="text1"/>
          <w:sz w:val="22"/>
          <w:szCs w:val="22"/>
          <w:lang w:val="es-ES_tradnl"/>
        </w:rPr>
        <w:t xml:space="preserve"> en </w:t>
      </w:r>
      <w:r w:rsidR="00BF0B32" w:rsidRPr="004F2364">
        <w:rPr>
          <w:rFonts w:ascii="Arial" w:eastAsia="Calibri" w:hAnsi="Arial" w:cs="Arial"/>
          <w:color w:val="000000" w:themeColor="text1"/>
          <w:sz w:val="22"/>
          <w:szCs w:val="22"/>
          <w:lang w:val="es-ES_tradnl"/>
        </w:rPr>
        <w:t>su</w:t>
      </w:r>
      <w:r w:rsidR="000C47E0" w:rsidRPr="004F2364">
        <w:rPr>
          <w:rFonts w:ascii="Arial" w:eastAsia="Calibri" w:hAnsi="Arial" w:cs="Arial"/>
          <w:color w:val="000000" w:themeColor="text1"/>
          <w:sz w:val="22"/>
          <w:szCs w:val="22"/>
          <w:lang w:val="es-ES_tradnl"/>
        </w:rPr>
        <w:t xml:space="preserve"> </w:t>
      </w:r>
      <w:r w:rsidR="00BF0B32" w:rsidRPr="004F2364">
        <w:rPr>
          <w:rFonts w:ascii="Arial" w:eastAsia="Calibri" w:hAnsi="Arial" w:cs="Arial"/>
          <w:color w:val="000000" w:themeColor="text1"/>
          <w:sz w:val="22"/>
          <w:szCs w:val="22"/>
          <w:lang w:val="es-ES_tradnl"/>
        </w:rPr>
        <w:t>primer inciso</w:t>
      </w:r>
      <w:r w:rsidR="000C47E0" w:rsidRPr="004F2364">
        <w:rPr>
          <w:rFonts w:ascii="Arial" w:eastAsia="Calibri" w:hAnsi="Arial" w:cs="Arial"/>
          <w:color w:val="000000" w:themeColor="text1"/>
          <w:sz w:val="22"/>
          <w:szCs w:val="22"/>
          <w:lang w:val="es-ES_tradnl"/>
        </w:rPr>
        <w:t xml:space="preserve"> que</w:t>
      </w:r>
      <w:r w:rsidR="009E13D2" w:rsidRPr="004F2364">
        <w:rPr>
          <w:rFonts w:ascii="Arial" w:eastAsia="Calibri" w:hAnsi="Arial" w:cs="Arial"/>
          <w:color w:val="000000" w:themeColor="text1"/>
          <w:sz w:val="22"/>
          <w:szCs w:val="22"/>
          <w:lang w:val="es-ES_tradnl"/>
        </w:rPr>
        <w:t xml:space="preserve"> </w:t>
      </w:r>
      <w:r w:rsidR="000C47E0" w:rsidRPr="004F2364">
        <w:rPr>
          <w:rFonts w:ascii="Arial" w:eastAsia="Calibri" w:hAnsi="Arial" w:cs="Arial"/>
          <w:color w:val="000000" w:themeColor="text1"/>
          <w:sz w:val="22"/>
          <w:szCs w:val="22"/>
          <w:lang w:val="es-ES_tradnl"/>
        </w:rPr>
        <w:t xml:space="preserve">la entidad estatal </w:t>
      </w:r>
      <w:r w:rsidR="00BF0B32" w:rsidRPr="004F2364">
        <w:rPr>
          <w:rFonts w:ascii="Arial" w:eastAsia="Calibri" w:hAnsi="Arial" w:cs="Arial"/>
          <w:color w:val="000000" w:themeColor="text1"/>
          <w:sz w:val="22"/>
          <w:szCs w:val="22"/>
          <w:lang w:val="es-ES_tradnl"/>
        </w:rPr>
        <w:t>solo podía</w:t>
      </w:r>
      <w:r w:rsidR="000C47E0" w:rsidRPr="004F2364">
        <w:rPr>
          <w:rFonts w:ascii="Arial" w:eastAsia="Calibri" w:hAnsi="Arial" w:cs="Arial"/>
          <w:color w:val="000000" w:themeColor="text1"/>
          <w:sz w:val="22"/>
          <w:szCs w:val="22"/>
          <w:lang w:val="es-ES_tradnl"/>
        </w:rPr>
        <w:t xml:space="preserve"> limitar</w:t>
      </w:r>
      <w:r w:rsidR="00BF0B32" w:rsidRPr="004F2364">
        <w:rPr>
          <w:rFonts w:ascii="Arial" w:eastAsia="Calibri" w:hAnsi="Arial" w:cs="Arial"/>
          <w:color w:val="000000" w:themeColor="text1"/>
          <w:sz w:val="22"/>
          <w:szCs w:val="22"/>
          <w:lang w:val="es-ES_tradnl"/>
        </w:rPr>
        <w:t xml:space="preserve"> la convocatoria a las </w:t>
      </w:r>
      <w:proofErr w:type="spellStart"/>
      <w:r w:rsidR="00BF0B32" w:rsidRPr="004F2364">
        <w:rPr>
          <w:rFonts w:ascii="Arial" w:eastAsia="Calibri" w:hAnsi="Arial" w:cs="Arial"/>
          <w:color w:val="000000" w:themeColor="text1"/>
          <w:sz w:val="22"/>
          <w:szCs w:val="22"/>
          <w:lang w:val="es-ES_tradnl"/>
        </w:rPr>
        <w:t>mipymes</w:t>
      </w:r>
      <w:proofErr w:type="spellEnd"/>
      <w:r w:rsidR="00BF0B32" w:rsidRPr="004F2364">
        <w:rPr>
          <w:rFonts w:ascii="Arial" w:eastAsia="Calibri" w:hAnsi="Arial" w:cs="Arial"/>
          <w:color w:val="000000" w:themeColor="text1"/>
          <w:sz w:val="22"/>
          <w:szCs w:val="22"/>
          <w:lang w:val="es-ES_tradnl"/>
        </w:rPr>
        <w:t xml:space="preserve"> nacionales</w:t>
      </w:r>
      <w:r w:rsidR="0075022F" w:rsidRPr="004F2364">
        <w:rPr>
          <w:rFonts w:ascii="Arial" w:eastAsia="Calibri" w:hAnsi="Arial" w:cs="Arial"/>
          <w:color w:val="000000" w:themeColor="text1"/>
          <w:sz w:val="22"/>
          <w:szCs w:val="22"/>
          <w:lang w:val="es-ES_tradnl"/>
        </w:rPr>
        <w:t xml:space="preserve"> si se trataba de procesos de selección de licitación pública, selección abreviada y concursos de méritos</w:t>
      </w:r>
      <w:r w:rsidR="00503534" w:rsidRPr="004F2364">
        <w:rPr>
          <w:rFonts w:ascii="Arial" w:eastAsia="Calibri" w:hAnsi="Arial" w:cs="Arial"/>
          <w:color w:val="000000" w:themeColor="text1"/>
          <w:sz w:val="22"/>
          <w:szCs w:val="22"/>
          <w:lang w:val="es-ES_tradnl"/>
        </w:rPr>
        <w:t>. Por su parte, tal restricción no se encuentra en el artículo 34 de la Ley 2069 de 2020.</w:t>
      </w:r>
    </w:p>
    <w:p w14:paraId="63F6170C" w14:textId="58D5D25C" w:rsidR="00503534" w:rsidRPr="004F2364" w:rsidRDefault="00503534" w:rsidP="00772AAF">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Adicionalmente, el numeral 1 del artículo 2.2.1.2.4.2.2. del Decreto 1082 de 2015</w:t>
      </w:r>
      <w:r w:rsidR="00B12FBB" w:rsidRPr="004F2364">
        <w:rPr>
          <w:rFonts w:ascii="Arial" w:eastAsia="Calibri" w:hAnsi="Arial" w:cs="Arial"/>
          <w:color w:val="000000" w:themeColor="text1"/>
          <w:sz w:val="22"/>
          <w:szCs w:val="22"/>
          <w:lang w:val="es-ES_tradnl"/>
        </w:rPr>
        <w:t xml:space="preserve"> exigía que el valor del proceso de contratación</w:t>
      </w:r>
      <w:r w:rsidR="009838C1" w:rsidRPr="004F2364">
        <w:rPr>
          <w:rFonts w:ascii="Arial" w:eastAsia="Calibri" w:hAnsi="Arial" w:cs="Arial"/>
          <w:color w:val="000000" w:themeColor="text1"/>
          <w:sz w:val="22"/>
          <w:szCs w:val="22"/>
          <w:lang w:val="es-ES_tradnl"/>
        </w:rPr>
        <w:t xml:space="preserve"> en el que pretendiera limitarse la convocatoria a </w:t>
      </w:r>
      <w:proofErr w:type="spellStart"/>
      <w:r w:rsidR="009838C1" w:rsidRPr="004F2364">
        <w:rPr>
          <w:rFonts w:ascii="Arial" w:eastAsia="Calibri" w:hAnsi="Arial" w:cs="Arial"/>
          <w:color w:val="000000" w:themeColor="text1"/>
          <w:sz w:val="22"/>
          <w:szCs w:val="22"/>
          <w:lang w:val="es-ES_tradnl"/>
        </w:rPr>
        <w:t>mipymes</w:t>
      </w:r>
      <w:proofErr w:type="spellEnd"/>
      <w:r w:rsidR="009838C1" w:rsidRPr="004F2364">
        <w:rPr>
          <w:rFonts w:ascii="Arial" w:eastAsia="Calibri" w:hAnsi="Arial" w:cs="Arial"/>
          <w:color w:val="000000" w:themeColor="text1"/>
          <w:sz w:val="22"/>
          <w:szCs w:val="22"/>
          <w:lang w:val="es-ES_tradnl"/>
        </w:rPr>
        <w:t xml:space="preserve"> fuera «[…] menor a ciento veinticinco mil dólares de los Estados Unidos de América (US$125.000), liquidados con la tasa de cambio que para el efecto determina cada dos años el Ministerio de Comercio, Industria y Turismo». Este requisito tampoco se observa en</w:t>
      </w:r>
      <w:r w:rsidR="006A4249" w:rsidRPr="004F2364">
        <w:rPr>
          <w:rFonts w:ascii="Arial" w:eastAsia="Calibri" w:hAnsi="Arial" w:cs="Arial"/>
          <w:color w:val="000000" w:themeColor="text1"/>
          <w:sz w:val="22"/>
          <w:szCs w:val="22"/>
          <w:lang w:val="es-ES_tradnl"/>
        </w:rPr>
        <w:t xml:space="preserve"> el artículo 34 de la Ley 2069 de 2020.</w:t>
      </w:r>
    </w:p>
    <w:p w14:paraId="69F50883" w14:textId="77777777" w:rsidR="00430D44" w:rsidRPr="004F2364" w:rsidRDefault="00773131" w:rsidP="00772AAF">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A lo anterior debe agregarse que mientras la nueva disposición legal</w:t>
      </w:r>
      <w:r w:rsidR="00BB7B13" w:rsidRPr="004F2364">
        <w:rPr>
          <w:rFonts w:ascii="Arial" w:eastAsia="Calibri" w:hAnsi="Arial" w:cs="Arial"/>
          <w:color w:val="000000" w:themeColor="text1"/>
          <w:sz w:val="22"/>
          <w:szCs w:val="22"/>
          <w:lang w:val="es-ES_tradnl"/>
        </w:rPr>
        <w:t xml:space="preserve"> indica que la convocatoria limitada a </w:t>
      </w:r>
      <w:proofErr w:type="spellStart"/>
      <w:r w:rsidR="00BB7B13" w:rsidRPr="004F2364">
        <w:rPr>
          <w:rFonts w:ascii="Arial" w:eastAsia="Calibri" w:hAnsi="Arial" w:cs="Arial"/>
          <w:color w:val="000000" w:themeColor="text1"/>
          <w:sz w:val="22"/>
          <w:szCs w:val="22"/>
          <w:lang w:val="es-ES_tradnl"/>
        </w:rPr>
        <w:t>mipymes</w:t>
      </w:r>
      <w:proofErr w:type="spellEnd"/>
      <w:r w:rsidR="00BB7B13" w:rsidRPr="004F2364">
        <w:rPr>
          <w:rFonts w:ascii="Arial" w:eastAsia="Calibri" w:hAnsi="Arial" w:cs="Arial"/>
          <w:color w:val="000000" w:themeColor="text1"/>
          <w:sz w:val="22"/>
          <w:szCs w:val="22"/>
          <w:lang w:val="es-ES_tradnl"/>
        </w:rPr>
        <w:t xml:space="preserve"> </w:t>
      </w:r>
      <w:r w:rsidR="0034713F" w:rsidRPr="004F2364">
        <w:rPr>
          <w:rFonts w:ascii="Arial" w:eastAsia="Calibri" w:hAnsi="Arial" w:cs="Arial"/>
          <w:color w:val="000000" w:themeColor="text1"/>
          <w:sz w:val="22"/>
          <w:szCs w:val="22"/>
          <w:lang w:val="es-ES_tradnl"/>
        </w:rPr>
        <w:t xml:space="preserve">debe hacerse cuando por lo menos </w:t>
      </w:r>
      <w:r w:rsidR="0034713F" w:rsidRPr="004F2364">
        <w:rPr>
          <w:rFonts w:ascii="Arial" w:eastAsia="Calibri" w:hAnsi="Arial" w:cs="Arial"/>
          <w:i/>
          <w:iCs/>
          <w:color w:val="000000" w:themeColor="text1"/>
          <w:sz w:val="22"/>
          <w:szCs w:val="22"/>
          <w:lang w:val="es-ES_tradnl"/>
        </w:rPr>
        <w:t>dos (2)</w:t>
      </w:r>
      <w:r w:rsidR="0034713F" w:rsidRPr="004F2364">
        <w:rPr>
          <w:rFonts w:ascii="Arial" w:eastAsia="Calibri" w:hAnsi="Arial" w:cs="Arial"/>
          <w:color w:val="000000" w:themeColor="text1"/>
          <w:sz w:val="22"/>
          <w:szCs w:val="22"/>
          <w:lang w:val="es-ES_tradnl"/>
        </w:rPr>
        <w:t xml:space="preserve"> de estas hayan manifestado su interés antes de la resolución de apertura del proceso respectivo, el artículo</w:t>
      </w:r>
      <w:r w:rsidR="00636C0C" w:rsidRPr="004F2364">
        <w:rPr>
          <w:rFonts w:ascii="Arial" w:eastAsia="Calibri" w:hAnsi="Arial" w:cs="Arial"/>
          <w:color w:val="000000" w:themeColor="text1"/>
          <w:sz w:val="22"/>
          <w:szCs w:val="22"/>
          <w:lang w:val="es-ES_tradnl"/>
        </w:rPr>
        <w:t xml:space="preserve"> 2.2.1.2.4.2.2. del Decreto 1082 de 2015 condicionaba la limitación de la convocatoria a que la entidad estatal hubiera recibido</w:t>
      </w:r>
      <w:r w:rsidR="00401533" w:rsidRPr="004F2364">
        <w:rPr>
          <w:rFonts w:ascii="Arial" w:eastAsia="Calibri" w:hAnsi="Arial" w:cs="Arial"/>
          <w:color w:val="000000" w:themeColor="text1"/>
          <w:sz w:val="22"/>
          <w:szCs w:val="22"/>
          <w:lang w:val="es-ES_tradnl"/>
        </w:rPr>
        <w:t xml:space="preserve"> solicitudes de por lo menos </w:t>
      </w:r>
      <w:r w:rsidR="00401533" w:rsidRPr="004F2364">
        <w:rPr>
          <w:rFonts w:ascii="Arial" w:eastAsia="Calibri" w:hAnsi="Arial" w:cs="Arial"/>
          <w:i/>
          <w:iCs/>
          <w:color w:val="000000" w:themeColor="text1"/>
          <w:sz w:val="22"/>
          <w:szCs w:val="22"/>
          <w:lang w:val="es-ES_tradnl"/>
        </w:rPr>
        <w:t>tres (3)</w:t>
      </w:r>
      <w:r w:rsidR="00401533" w:rsidRPr="004F2364">
        <w:rPr>
          <w:rFonts w:ascii="Arial" w:eastAsia="Calibri" w:hAnsi="Arial" w:cs="Arial"/>
          <w:color w:val="000000" w:themeColor="text1"/>
          <w:sz w:val="22"/>
          <w:szCs w:val="22"/>
          <w:lang w:val="es-ES_tradnl"/>
        </w:rPr>
        <w:t xml:space="preserve"> </w:t>
      </w:r>
      <w:proofErr w:type="spellStart"/>
      <w:r w:rsidR="00401533" w:rsidRPr="004F2364">
        <w:rPr>
          <w:rFonts w:ascii="Arial" w:eastAsia="Calibri" w:hAnsi="Arial" w:cs="Arial"/>
          <w:color w:val="000000" w:themeColor="text1"/>
          <w:sz w:val="22"/>
          <w:szCs w:val="22"/>
          <w:lang w:val="es-ES_tradnl"/>
        </w:rPr>
        <w:t>mipymes</w:t>
      </w:r>
      <w:proofErr w:type="spellEnd"/>
      <w:r w:rsidR="00401533" w:rsidRPr="004F2364">
        <w:rPr>
          <w:rFonts w:ascii="Arial" w:eastAsia="Calibri" w:hAnsi="Arial" w:cs="Arial"/>
          <w:color w:val="000000" w:themeColor="text1"/>
          <w:sz w:val="22"/>
          <w:szCs w:val="22"/>
          <w:lang w:val="es-ES_tradnl"/>
        </w:rPr>
        <w:t>, a más tardar un día hábil antes de la apertura del proceso de selección.</w:t>
      </w:r>
    </w:p>
    <w:p w14:paraId="1E77B196" w14:textId="7DD3F464" w:rsidR="00C21F0C" w:rsidRPr="004F2364" w:rsidRDefault="00430D44" w:rsidP="00772AAF">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t xml:space="preserve">Las diferencias </w:t>
      </w:r>
      <w:r w:rsidR="001D2552" w:rsidRPr="004F2364">
        <w:rPr>
          <w:rFonts w:ascii="Arial" w:eastAsia="Calibri" w:hAnsi="Arial" w:cs="Arial"/>
          <w:color w:val="000000" w:themeColor="text1"/>
          <w:sz w:val="22"/>
          <w:szCs w:val="22"/>
          <w:lang w:val="es-ES_tradnl"/>
        </w:rPr>
        <w:t>evidenciadas son suficientes para mostrar que, además de la pérdida de fuerza ejecutoria del artículo 2.2.1.2.4.2.2. del Decreto 1082 de 2015</w:t>
      </w:r>
      <w:r w:rsidR="002E3931" w:rsidRPr="004F2364">
        <w:rPr>
          <w:rFonts w:ascii="Arial" w:eastAsia="Calibri" w:hAnsi="Arial" w:cs="Arial"/>
          <w:color w:val="000000" w:themeColor="text1"/>
          <w:sz w:val="22"/>
          <w:szCs w:val="22"/>
          <w:lang w:val="es-ES_tradnl"/>
        </w:rPr>
        <w:t xml:space="preserve">, </w:t>
      </w:r>
      <w:r w:rsidR="001D2552" w:rsidRPr="004F2364">
        <w:rPr>
          <w:rFonts w:ascii="Arial" w:eastAsia="Calibri" w:hAnsi="Arial" w:cs="Arial"/>
          <w:color w:val="000000" w:themeColor="text1"/>
          <w:sz w:val="22"/>
          <w:szCs w:val="22"/>
          <w:lang w:val="es-ES_tradnl"/>
        </w:rPr>
        <w:t xml:space="preserve">por </w:t>
      </w:r>
      <w:r w:rsidR="0039047D" w:rsidRPr="004F2364">
        <w:rPr>
          <w:rFonts w:ascii="Arial" w:eastAsia="Calibri" w:hAnsi="Arial" w:cs="Arial"/>
          <w:color w:val="000000" w:themeColor="text1"/>
          <w:sz w:val="22"/>
          <w:szCs w:val="22"/>
          <w:lang w:val="es-ES_tradnl"/>
        </w:rPr>
        <w:t xml:space="preserve">la </w:t>
      </w:r>
      <w:r w:rsidR="001D2552" w:rsidRPr="004F2364">
        <w:rPr>
          <w:rFonts w:ascii="Arial" w:eastAsia="Calibri" w:hAnsi="Arial" w:cs="Arial"/>
          <w:color w:val="000000" w:themeColor="text1"/>
          <w:sz w:val="22"/>
          <w:szCs w:val="22"/>
          <w:lang w:val="es-ES_tradnl"/>
        </w:rPr>
        <w:t>desaparición de</w:t>
      </w:r>
      <w:r w:rsidR="0039047D" w:rsidRPr="004F2364">
        <w:rPr>
          <w:rFonts w:ascii="Arial" w:eastAsia="Calibri" w:hAnsi="Arial" w:cs="Arial"/>
          <w:color w:val="000000" w:themeColor="text1"/>
          <w:sz w:val="22"/>
          <w:szCs w:val="22"/>
          <w:lang w:val="es-ES_tradnl"/>
        </w:rPr>
        <w:t xml:space="preserve"> su</w:t>
      </w:r>
      <w:r w:rsidR="001D2552" w:rsidRPr="004F2364">
        <w:rPr>
          <w:rFonts w:ascii="Arial" w:eastAsia="Calibri" w:hAnsi="Arial" w:cs="Arial"/>
          <w:color w:val="000000" w:themeColor="text1"/>
          <w:sz w:val="22"/>
          <w:szCs w:val="22"/>
          <w:lang w:val="es-ES_tradnl"/>
        </w:rPr>
        <w:t xml:space="preserve"> fundamento de derecho</w:t>
      </w:r>
      <w:r w:rsidR="0043741B" w:rsidRPr="004F2364">
        <w:rPr>
          <w:rFonts w:ascii="Arial" w:eastAsia="Calibri" w:hAnsi="Arial" w:cs="Arial"/>
          <w:color w:val="000000" w:themeColor="text1"/>
          <w:sz w:val="22"/>
          <w:szCs w:val="22"/>
          <w:lang w:val="es-ES_tradnl"/>
        </w:rPr>
        <w:t>,</w:t>
      </w:r>
      <w:r w:rsidR="00F06CA4" w:rsidRPr="004F2364">
        <w:rPr>
          <w:rFonts w:ascii="Arial" w:eastAsia="Calibri" w:hAnsi="Arial" w:cs="Arial"/>
          <w:color w:val="000000" w:themeColor="text1"/>
          <w:sz w:val="22"/>
          <w:szCs w:val="22"/>
          <w:lang w:val="es-ES_tradnl"/>
        </w:rPr>
        <w:t xml:space="preserve"> se advierte una manifiesta oposición entre dicho enunciado normativo y el nuevo contenido del artículo 12 de la Ley 1150 de 2007, modificado por el artículo </w:t>
      </w:r>
      <w:r w:rsidR="007A7775" w:rsidRPr="004F2364">
        <w:rPr>
          <w:rFonts w:ascii="Arial" w:eastAsia="Calibri" w:hAnsi="Arial" w:cs="Arial"/>
          <w:color w:val="000000" w:themeColor="text1"/>
          <w:sz w:val="22"/>
          <w:szCs w:val="22"/>
          <w:lang w:val="es-ES_tradnl"/>
        </w:rPr>
        <w:t>34 de la Ley 2069 de 2020. Ante esta contradicción, se debe aplicar la consecuencia jurídica</w:t>
      </w:r>
      <w:r w:rsidR="00AF7E8F" w:rsidRPr="004F2364">
        <w:rPr>
          <w:rFonts w:ascii="Arial" w:eastAsia="Calibri" w:hAnsi="Arial" w:cs="Arial"/>
          <w:color w:val="000000" w:themeColor="text1"/>
          <w:sz w:val="22"/>
          <w:szCs w:val="22"/>
          <w:lang w:val="es-ES_tradnl"/>
        </w:rPr>
        <w:t xml:space="preserve"> prevista en el artículo </w:t>
      </w:r>
      <w:r w:rsidR="00260523" w:rsidRPr="004F2364">
        <w:rPr>
          <w:rFonts w:ascii="Arial" w:eastAsia="Calibri" w:hAnsi="Arial" w:cs="Arial"/>
          <w:color w:val="000000" w:themeColor="text1"/>
          <w:sz w:val="22"/>
          <w:szCs w:val="22"/>
          <w:lang w:val="es-ES_tradnl"/>
        </w:rPr>
        <w:t>84 de la Ley 2069 de 2020, según la cual esta «deroga […]</w:t>
      </w:r>
      <w:r w:rsidR="00F32F80" w:rsidRPr="004F2364">
        <w:rPr>
          <w:rFonts w:ascii="Arial" w:eastAsia="Calibri" w:hAnsi="Arial" w:cs="Arial"/>
          <w:color w:val="000000" w:themeColor="text1"/>
          <w:sz w:val="22"/>
          <w:szCs w:val="22"/>
          <w:lang w:val="es-ES_tradnl"/>
        </w:rPr>
        <w:t xml:space="preserve"> todas las disposiciones que le sean contrarias». </w:t>
      </w:r>
      <w:r w:rsidR="006937EA" w:rsidRPr="004F2364">
        <w:rPr>
          <w:rFonts w:ascii="Arial" w:eastAsia="Calibri" w:hAnsi="Arial" w:cs="Arial"/>
          <w:color w:val="000000" w:themeColor="text1"/>
          <w:sz w:val="22"/>
          <w:szCs w:val="22"/>
          <w:lang w:val="es-ES_tradnl"/>
        </w:rPr>
        <w:t>Entonces, puede afirmarse que, además del decaimiento del artículo 2.2.1.2.4.2.2. del Decreto 1082 de 2015, debe entenderse derogado.</w:t>
      </w:r>
    </w:p>
    <w:p w14:paraId="1DF3F462" w14:textId="2FFFA137" w:rsidR="00773131" w:rsidRPr="00774337" w:rsidRDefault="00C21F0C" w:rsidP="00774337">
      <w:pPr>
        <w:spacing w:before="120" w:line="276" w:lineRule="auto"/>
        <w:ind w:firstLine="709"/>
        <w:jc w:val="both"/>
        <w:rPr>
          <w:rFonts w:ascii="Arial" w:eastAsia="Calibri" w:hAnsi="Arial" w:cs="Arial"/>
          <w:color w:val="000000" w:themeColor="text1"/>
          <w:sz w:val="22"/>
          <w:szCs w:val="22"/>
          <w:lang w:val="es-ES_tradnl"/>
        </w:rPr>
      </w:pPr>
      <w:r w:rsidRPr="004F2364">
        <w:rPr>
          <w:rFonts w:ascii="Arial" w:eastAsia="Calibri" w:hAnsi="Arial" w:cs="Arial"/>
          <w:color w:val="000000" w:themeColor="text1"/>
          <w:sz w:val="22"/>
          <w:szCs w:val="22"/>
          <w:lang w:val="es-ES_tradnl"/>
        </w:rPr>
        <w:lastRenderedPageBreak/>
        <w:t xml:space="preserve">Por último, no es válido aducir que </w:t>
      </w:r>
      <w:r w:rsidR="00CC45A5" w:rsidRPr="004F2364">
        <w:rPr>
          <w:rFonts w:ascii="Arial" w:eastAsia="Calibri" w:hAnsi="Arial" w:cs="Arial"/>
          <w:color w:val="000000" w:themeColor="text1"/>
          <w:sz w:val="22"/>
          <w:szCs w:val="22"/>
          <w:lang w:val="es-ES_tradnl"/>
        </w:rPr>
        <w:t>los apartados normativos del artículo</w:t>
      </w:r>
      <w:r w:rsidR="0042226E" w:rsidRPr="004F2364">
        <w:rPr>
          <w:rFonts w:ascii="Arial" w:eastAsia="Calibri" w:hAnsi="Arial" w:cs="Arial"/>
          <w:color w:val="000000" w:themeColor="text1"/>
          <w:sz w:val="22"/>
          <w:szCs w:val="22"/>
          <w:lang w:val="es-ES_tradnl"/>
        </w:rPr>
        <w:t xml:space="preserve"> 2.2.1.2.4.2.2. del Decreto 1082 de 2015 que</w:t>
      </w:r>
      <w:r w:rsidR="0003535C" w:rsidRPr="004F2364">
        <w:rPr>
          <w:rFonts w:ascii="Arial" w:eastAsia="Calibri" w:hAnsi="Arial" w:cs="Arial"/>
          <w:color w:val="000000" w:themeColor="text1"/>
          <w:sz w:val="22"/>
          <w:szCs w:val="22"/>
          <w:lang w:val="es-ES_tradnl"/>
        </w:rPr>
        <w:t>,</w:t>
      </w:r>
      <w:r w:rsidR="0042226E" w:rsidRPr="004F2364">
        <w:rPr>
          <w:rFonts w:ascii="Arial" w:eastAsia="Calibri" w:hAnsi="Arial" w:cs="Arial"/>
          <w:color w:val="000000" w:themeColor="text1"/>
          <w:sz w:val="22"/>
          <w:szCs w:val="22"/>
          <w:lang w:val="es-ES_tradnl"/>
        </w:rPr>
        <w:t xml:space="preserve"> en su texto</w:t>
      </w:r>
      <w:r w:rsidR="0003535C" w:rsidRPr="004F2364">
        <w:rPr>
          <w:rFonts w:ascii="Arial" w:eastAsia="Calibri" w:hAnsi="Arial" w:cs="Arial"/>
          <w:color w:val="000000" w:themeColor="text1"/>
          <w:sz w:val="22"/>
          <w:szCs w:val="22"/>
          <w:lang w:val="es-ES_tradnl"/>
        </w:rPr>
        <w:t>,</w:t>
      </w:r>
      <w:r w:rsidR="0042226E" w:rsidRPr="004F2364">
        <w:rPr>
          <w:rFonts w:ascii="Arial" w:eastAsia="Calibri" w:hAnsi="Arial" w:cs="Arial"/>
          <w:color w:val="000000" w:themeColor="text1"/>
          <w:sz w:val="22"/>
          <w:szCs w:val="22"/>
          <w:lang w:val="es-ES_tradnl"/>
        </w:rPr>
        <w:t xml:space="preserve"> no sean contrarios a la nueva regulación contenida en el artículo 34 de la Ley 2069 de 2020 pueden seguirse aplicando. </w:t>
      </w:r>
      <w:r w:rsidR="00011EA4" w:rsidRPr="004F2364">
        <w:rPr>
          <w:rFonts w:ascii="Arial" w:eastAsia="Calibri" w:hAnsi="Arial" w:cs="Arial"/>
          <w:color w:val="000000" w:themeColor="text1"/>
          <w:sz w:val="22"/>
          <w:szCs w:val="22"/>
          <w:lang w:val="es-ES_tradnl"/>
        </w:rPr>
        <w:t xml:space="preserve">Tal aseveración no </w:t>
      </w:r>
      <w:r w:rsidR="0003535C" w:rsidRPr="004F2364">
        <w:rPr>
          <w:rFonts w:ascii="Arial" w:eastAsia="Calibri" w:hAnsi="Arial" w:cs="Arial"/>
          <w:color w:val="000000" w:themeColor="text1"/>
          <w:sz w:val="22"/>
          <w:szCs w:val="22"/>
          <w:lang w:val="es-ES_tradnl"/>
        </w:rPr>
        <w:t>es</w:t>
      </w:r>
      <w:r w:rsidR="00011EA4" w:rsidRPr="004F2364">
        <w:rPr>
          <w:rFonts w:ascii="Arial" w:eastAsia="Calibri" w:hAnsi="Arial" w:cs="Arial"/>
          <w:color w:val="000000" w:themeColor="text1"/>
          <w:sz w:val="22"/>
          <w:szCs w:val="22"/>
          <w:lang w:val="es-ES_tradnl"/>
        </w:rPr>
        <w:t xml:space="preserve"> admisible, porque el artículo 34</w:t>
      </w:r>
      <w:r w:rsidR="00C94065" w:rsidRPr="004F2364">
        <w:rPr>
          <w:rFonts w:ascii="Arial" w:eastAsia="Calibri" w:hAnsi="Arial" w:cs="Arial"/>
          <w:color w:val="000000" w:themeColor="text1"/>
          <w:sz w:val="22"/>
          <w:szCs w:val="22"/>
          <w:lang w:val="es-ES_tradnl"/>
        </w:rPr>
        <w:t>,</w:t>
      </w:r>
      <w:r w:rsidR="005C721D" w:rsidRPr="004F2364">
        <w:rPr>
          <w:rFonts w:ascii="Arial" w:eastAsia="Calibri" w:hAnsi="Arial" w:cs="Arial"/>
          <w:color w:val="000000" w:themeColor="text1"/>
          <w:sz w:val="22"/>
          <w:szCs w:val="22"/>
          <w:lang w:val="es-ES_tradnl"/>
        </w:rPr>
        <w:t xml:space="preserve"> reiteradamente</w:t>
      </w:r>
      <w:r w:rsidR="00C94065" w:rsidRPr="004F2364">
        <w:rPr>
          <w:rFonts w:ascii="Arial" w:eastAsia="Calibri" w:hAnsi="Arial" w:cs="Arial"/>
          <w:color w:val="000000" w:themeColor="text1"/>
          <w:sz w:val="22"/>
          <w:szCs w:val="22"/>
          <w:lang w:val="es-ES_tradnl"/>
        </w:rPr>
        <w:t>,</w:t>
      </w:r>
      <w:r w:rsidR="005C721D" w:rsidRPr="004F2364">
        <w:rPr>
          <w:rFonts w:ascii="Arial" w:eastAsia="Calibri" w:hAnsi="Arial" w:cs="Arial"/>
          <w:color w:val="000000" w:themeColor="text1"/>
          <w:sz w:val="22"/>
          <w:szCs w:val="22"/>
          <w:lang w:val="es-ES_tradnl"/>
        </w:rPr>
        <w:t xml:space="preserve"> </w:t>
      </w:r>
      <w:r w:rsidR="00774337" w:rsidRPr="004F2364">
        <w:rPr>
          <w:rFonts w:ascii="Arial" w:eastAsia="Calibri" w:hAnsi="Arial" w:cs="Arial"/>
          <w:color w:val="000000" w:themeColor="text1"/>
          <w:sz w:val="22"/>
          <w:szCs w:val="22"/>
          <w:lang w:val="es-ES_tradnl"/>
        </w:rPr>
        <w:t xml:space="preserve">señala </w:t>
      </w:r>
      <w:r w:rsidR="0068420B" w:rsidRPr="004F2364">
        <w:rPr>
          <w:rFonts w:ascii="Arial" w:eastAsia="Calibri" w:hAnsi="Arial" w:cs="Arial"/>
          <w:color w:val="000000" w:themeColor="text1"/>
          <w:sz w:val="22"/>
          <w:szCs w:val="22"/>
          <w:lang w:val="es-ES_tradnl"/>
        </w:rPr>
        <w:t>que el gobierno nacional debe definir las condiciones para la aplicación de las reglas recientemente expedidas</w:t>
      </w:r>
      <w:r w:rsidR="00774337" w:rsidRPr="004F2364">
        <w:rPr>
          <w:rFonts w:ascii="Arial" w:eastAsia="Calibri" w:hAnsi="Arial" w:cs="Arial"/>
          <w:color w:val="000000" w:themeColor="text1"/>
          <w:sz w:val="22"/>
          <w:szCs w:val="22"/>
          <w:lang w:val="es-ES_tradnl"/>
        </w:rPr>
        <w:t>,</w:t>
      </w:r>
      <w:r w:rsidR="0068420B" w:rsidRPr="004F2364">
        <w:rPr>
          <w:rFonts w:ascii="Arial" w:eastAsia="Calibri" w:hAnsi="Arial" w:cs="Arial"/>
          <w:color w:val="000000" w:themeColor="text1"/>
          <w:sz w:val="22"/>
          <w:szCs w:val="22"/>
          <w:lang w:val="es-ES_tradnl"/>
        </w:rPr>
        <w:t xml:space="preserve"> que permitan </w:t>
      </w:r>
      <w:r w:rsidR="002212FB" w:rsidRPr="004F2364">
        <w:rPr>
          <w:rFonts w:ascii="Arial" w:eastAsia="Calibri" w:hAnsi="Arial" w:cs="Arial"/>
          <w:color w:val="000000" w:themeColor="text1"/>
          <w:sz w:val="22"/>
          <w:szCs w:val="22"/>
          <w:lang w:val="es-ES_tradnl"/>
        </w:rPr>
        <w:t xml:space="preserve">llevar a cabo las convocatorias limitadas a </w:t>
      </w:r>
      <w:proofErr w:type="spellStart"/>
      <w:r w:rsidR="002212FB" w:rsidRPr="004F2364">
        <w:rPr>
          <w:rFonts w:ascii="Arial" w:eastAsia="Calibri" w:hAnsi="Arial" w:cs="Arial"/>
          <w:color w:val="000000" w:themeColor="text1"/>
          <w:sz w:val="22"/>
          <w:szCs w:val="22"/>
          <w:lang w:val="es-ES_tradnl"/>
        </w:rPr>
        <w:t>mipymes</w:t>
      </w:r>
      <w:proofErr w:type="spellEnd"/>
      <w:r w:rsidR="002212FB" w:rsidRPr="004F2364">
        <w:rPr>
          <w:rFonts w:ascii="Arial" w:eastAsia="Calibri" w:hAnsi="Arial" w:cs="Arial"/>
          <w:color w:val="000000" w:themeColor="text1"/>
          <w:sz w:val="22"/>
          <w:szCs w:val="22"/>
          <w:lang w:val="es-ES_tradnl"/>
        </w:rPr>
        <w:t>, lo cual demuestra la voluntad legislativa de</w:t>
      </w:r>
      <w:r w:rsidR="00607860" w:rsidRPr="004F2364">
        <w:rPr>
          <w:rFonts w:ascii="Arial" w:eastAsia="Calibri" w:hAnsi="Arial" w:cs="Arial"/>
          <w:color w:val="000000" w:themeColor="text1"/>
          <w:sz w:val="22"/>
          <w:szCs w:val="22"/>
          <w:lang w:val="es-ES_tradnl"/>
        </w:rPr>
        <w:t xml:space="preserve"> </w:t>
      </w:r>
      <w:r w:rsidR="00774337" w:rsidRPr="004F2364">
        <w:rPr>
          <w:rFonts w:ascii="Arial" w:eastAsia="Calibri" w:hAnsi="Arial" w:cs="Arial"/>
          <w:color w:val="000000" w:themeColor="text1"/>
          <w:sz w:val="22"/>
          <w:szCs w:val="22"/>
          <w:lang w:val="es-ES_tradnl"/>
        </w:rPr>
        <w:t xml:space="preserve">establecer </w:t>
      </w:r>
      <w:r w:rsidR="00607860" w:rsidRPr="004F2364">
        <w:rPr>
          <w:rFonts w:ascii="Arial" w:eastAsia="Calibri" w:hAnsi="Arial" w:cs="Arial"/>
          <w:color w:val="000000" w:themeColor="text1"/>
          <w:sz w:val="22"/>
          <w:szCs w:val="22"/>
          <w:lang w:val="es-ES_tradnl"/>
        </w:rPr>
        <w:t>la necesidad de una nueva reglamentación de dicha materia.</w:t>
      </w:r>
      <w:r w:rsidR="00774337" w:rsidRPr="004F2364">
        <w:rPr>
          <w:rFonts w:ascii="Arial" w:eastAsia="Calibri" w:hAnsi="Arial" w:cs="Arial"/>
          <w:color w:val="000000" w:themeColor="text1"/>
          <w:sz w:val="22"/>
          <w:szCs w:val="22"/>
          <w:lang w:val="es-ES_tradnl"/>
        </w:rPr>
        <w:t xml:space="preserve"> En tal sentido, el gobierno nacional podría, mediante el decreto reglamentario que expida, definir nuevas condiciones </w:t>
      </w:r>
      <w:r w:rsidR="00402FAF" w:rsidRPr="004F2364">
        <w:rPr>
          <w:rFonts w:ascii="Arial" w:eastAsia="Calibri" w:hAnsi="Arial" w:cs="Arial"/>
          <w:color w:val="000000" w:themeColor="text1"/>
          <w:sz w:val="22"/>
          <w:szCs w:val="22"/>
          <w:lang w:val="es-ES_tradnl"/>
        </w:rPr>
        <w:t xml:space="preserve">y montos para </w:t>
      </w:r>
      <w:r w:rsidR="00962C93" w:rsidRPr="004F2364">
        <w:rPr>
          <w:rFonts w:ascii="Arial" w:eastAsia="Calibri" w:hAnsi="Arial" w:cs="Arial"/>
          <w:color w:val="000000" w:themeColor="text1"/>
          <w:sz w:val="22"/>
          <w:szCs w:val="22"/>
          <w:lang w:val="es-ES_tradnl"/>
        </w:rPr>
        <w:t>las</w:t>
      </w:r>
      <w:r w:rsidR="00402FAF" w:rsidRPr="004F2364">
        <w:rPr>
          <w:rFonts w:ascii="Arial" w:eastAsia="Calibri" w:hAnsi="Arial" w:cs="Arial"/>
          <w:color w:val="000000" w:themeColor="text1"/>
          <w:sz w:val="22"/>
          <w:szCs w:val="22"/>
          <w:lang w:val="es-ES_tradnl"/>
        </w:rPr>
        <w:t xml:space="preserve"> convocatorias</w:t>
      </w:r>
      <w:r w:rsidR="00962C93" w:rsidRPr="004F2364">
        <w:rPr>
          <w:rFonts w:ascii="Arial" w:eastAsia="Calibri" w:hAnsi="Arial" w:cs="Arial"/>
          <w:color w:val="000000" w:themeColor="text1"/>
          <w:sz w:val="22"/>
          <w:szCs w:val="22"/>
          <w:lang w:val="es-ES_tradnl"/>
        </w:rPr>
        <w:t xml:space="preserve"> limitadas a</w:t>
      </w:r>
      <w:r w:rsidR="007C21E1" w:rsidRPr="004F2364">
        <w:rPr>
          <w:rFonts w:ascii="Arial" w:eastAsia="Calibri" w:hAnsi="Arial" w:cs="Arial"/>
          <w:color w:val="000000" w:themeColor="text1"/>
          <w:sz w:val="22"/>
          <w:szCs w:val="22"/>
          <w:lang w:val="es-ES_tradnl"/>
        </w:rPr>
        <w:t xml:space="preserve"> </w:t>
      </w:r>
      <w:proofErr w:type="spellStart"/>
      <w:r w:rsidR="007C21E1" w:rsidRPr="004F2364">
        <w:rPr>
          <w:rFonts w:ascii="Arial" w:eastAsia="Calibri" w:hAnsi="Arial" w:cs="Arial"/>
          <w:color w:val="000000" w:themeColor="text1"/>
          <w:sz w:val="22"/>
          <w:szCs w:val="22"/>
          <w:lang w:val="es-ES_tradnl"/>
        </w:rPr>
        <w:t>mipymes</w:t>
      </w:r>
      <w:proofErr w:type="spellEnd"/>
      <w:r w:rsidR="00402FAF" w:rsidRPr="004F2364">
        <w:rPr>
          <w:rFonts w:ascii="Arial" w:eastAsia="Calibri" w:hAnsi="Arial" w:cs="Arial"/>
          <w:color w:val="000000" w:themeColor="text1"/>
          <w:sz w:val="22"/>
          <w:szCs w:val="22"/>
          <w:lang w:val="es-ES_tradnl"/>
        </w:rPr>
        <w:t xml:space="preserve">. Por ende, mientras ello no suceda, </w:t>
      </w:r>
      <w:r w:rsidR="00D50DB9" w:rsidRPr="004F2364">
        <w:rPr>
          <w:rFonts w:ascii="Arial" w:eastAsia="Calibri" w:hAnsi="Arial" w:cs="Arial"/>
          <w:color w:val="000000" w:themeColor="text1"/>
          <w:sz w:val="22"/>
          <w:szCs w:val="22"/>
          <w:lang w:val="es-ES_tradnl"/>
        </w:rPr>
        <w:t>las entidades estatales, los patrimonios autónomos constituidos por estas y los particulares que ejecuten recursos públicos, no pueden</w:t>
      </w:r>
      <w:r w:rsidR="00400E06" w:rsidRPr="004F2364">
        <w:rPr>
          <w:rFonts w:ascii="Arial" w:eastAsia="Calibri" w:hAnsi="Arial" w:cs="Arial"/>
          <w:color w:val="000000" w:themeColor="text1"/>
          <w:sz w:val="22"/>
          <w:szCs w:val="22"/>
          <w:lang w:val="es-ES_tradnl"/>
        </w:rPr>
        <w:t xml:space="preserve"> adoptar convocatorias limitadas a </w:t>
      </w:r>
      <w:proofErr w:type="spellStart"/>
      <w:r w:rsidR="00400E06" w:rsidRPr="004F2364">
        <w:rPr>
          <w:rFonts w:ascii="Arial" w:eastAsia="Calibri" w:hAnsi="Arial" w:cs="Arial"/>
          <w:color w:val="000000" w:themeColor="text1"/>
          <w:sz w:val="22"/>
          <w:szCs w:val="22"/>
          <w:lang w:val="es-ES_tradnl"/>
        </w:rPr>
        <w:t>mipymes</w:t>
      </w:r>
      <w:proofErr w:type="spellEnd"/>
      <w:r w:rsidR="00400E06" w:rsidRPr="004F2364">
        <w:rPr>
          <w:rFonts w:ascii="Arial" w:eastAsia="Calibri" w:hAnsi="Arial" w:cs="Arial"/>
          <w:color w:val="000000" w:themeColor="text1"/>
          <w:sz w:val="22"/>
          <w:szCs w:val="22"/>
          <w:lang w:val="es-ES_tradnl"/>
        </w:rPr>
        <w:t>, pues al tenor del artículo 34 de la Ley 2069 de 2020, la eficacia de esta norma quedó condicionada a la expedición del decreto reglamentario que fije las condiciones de su operatividad.</w:t>
      </w:r>
      <w:r w:rsidR="00400E06">
        <w:rPr>
          <w:rFonts w:ascii="Arial" w:eastAsia="Calibri" w:hAnsi="Arial" w:cs="Arial"/>
          <w:color w:val="000000" w:themeColor="text1"/>
          <w:sz w:val="22"/>
          <w:szCs w:val="22"/>
          <w:lang w:val="es-ES_tradnl"/>
        </w:rPr>
        <w:t xml:space="preserve">   </w:t>
      </w:r>
      <w:r w:rsidR="00D50DB9">
        <w:rPr>
          <w:rFonts w:ascii="Arial" w:eastAsia="Calibri" w:hAnsi="Arial" w:cs="Arial"/>
          <w:color w:val="000000" w:themeColor="text1"/>
          <w:sz w:val="22"/>
          <w:szCs w:val="22"/>
          <w:lang w:val="es-ES_tradnl"/>
        </w:rPr>
        <w:t xml:space="preserve"> </w:t>
      </w:r>
    </w:p>
    <w:p w14:paraId="093B22A4" w14:textId="77777777" w:rsidR="00C85528" w:rsidRPr="005419DA" w:rsidRDefault="00C85528" w:rsidP="00271230">
      <w:pPr>
        <w:spacing w:line="276" w:lineRule="auto"/>
        <w:jc w:val="both"/>
        <w:rPr>
          <w:rFonts w:ascii="Arial" w:eastAsia="Calibri" w:hAnsi="Arial" w:cs="Arial"/>
          <w:color w:val="000000" w:themeColor="text1"/>
          <w:sz w:val="22"/>
          <w:szCs w:val="22"/>
          <w:lang w:val="es-ES_tradnl"/>
        </w:rPr>
      </w:pPr>
    </w:p>
    <w:p w14:paraId="0F39B6EF" w14:textId="663189D1" w:rsidR="005244FC" w:rsidRPr="005419DA" w:rsidRDefault="005244FC" w:rsidP="005244FC">
      <w:pPr>
        <w:spacing w:line="276" w:lineRule="auto"/>
        <w:jc w:val="both"/>
        <w:rPr>
          <w:rFonts w:ascii="Arial" w:eastAsia="Calibri" w:hAnsi="Arial" w:cs="Arial"/>
          <w:b/>
          <w:bCs/>
          <w:color w:val="000000" w:themeColor="text1"/>
          <w:sz w:val="22"/>
          <w:szCs w:val="22"/>
          <w:lang w:val="es-ES_tradnl"/>
        </w:rPr>
      </w:pPr>
      <w:r w:rsidRPr="005419DA">
        <w:rPr>
          <w:rFonts w:ascii="Arial" w:eastAsia="Calibri" w:hAnsi="Arial" w:cs="Arial"/>
          <w:b/>
          <w:bCs/>
          <w:color w:val="000000" w:themeColor="text1"/>
          <w:sz w:val="22"/>
          <w:szCs w:val="22"/>
          <w:lang w:val="es-ES_tradnl"/>
        </w:rPr>
        <w:t>2.</w:t>
      </w:r>
      <w:r w:rsidR="003906FD">
        <w:rPr>
          <w:rFonts w:ascii="Arial" w:eastAsia="Calibri" w:hAnsi="Arial" w:cs="Arial"/>
          <w:b/>
          <w:bCs/>
          <w:color w:val="000000" w:themeColor="text1"/>
          <w:sz w:val="22"/>
          <w:szCs w:val="22"/>
          <w:lang w:val="es-ES_tradnl"/>
        </w:rPr>
        <w:t>3</w:t>
      </w:r>
      <w:r w:rsidRPr="005419DA">
        <w:rPr>
          <w:rFonts w:ascii="Arial" w:eastAsia="Calibri" w:hAnsi="Arial" w:cs="Arial"/>
          <w:b/>
          <w:bCs/>
          <w:color w:val="000000" w:themeColor="text1"/>
          <w:sz w:val="22"/>
          <w:szCs w:val="22"/>
          <w:lang w:val="es-ES_tradnl"/>
        </w:rPr>
        <w:t>. Factores de desempate en la contratación estatal: concepto y características</w:t>
      </w:r>
    </w:p>
    <w:p w14:paraId="342BA812" w14:textId="77777777" w:rsidR="005244FC" w:rsidRPr="005419DA" w:rsidRDefault="005244FC" w:rsidP="005244FC">
      <w:pPr>
        <w:spacing w:line="276" w:lineRule="auto"/>
        <w:jc w:val="both"/>
        <w:rPr>
          <w:rFonts w:ascii="Arial" w:eastAsia="Calibri" w:hAnsi="Arial" w:cs="Arial"/>
          <w:color w:val="000000" w:themeColor="text1"/>
          <w:sz w:val="22"/>
          <w:szCs w:val="22"/>
          <w:lang w:val="es-ES_tradnl"/>
        </w:rPr>
      </w:pPr>
    </w:p>
    <w:p w14:paraId="7EE28DCC" w14:textId="77777777" w:rsidR="00BC3DD4" w:rsidRPr="005419DA" w:rsidRDefault="00BC3DD4" w:rsidP="00BC3DD4">
      <w:pPr>
        <w:spacing w:line="276" w:lineRule="auto"/>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5466C7F0" w14:textId="77777777" w:rsidR="00BC3DD4" w:rsidRPr="005419DA" w:rsidRDefault="00BC3DD4" w:rsidP="00BC3DD4">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 </w:t>
      </w:r>
    </w:p>
    <w:p w14:paraId="061133B5" w14:textId="77777777" w:rsidR="00BC3DD4" w:rsidRPr="005419DA" w:rsidRDefault="00BC3DD4" w:rsidP="00BC3DD4">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lastRenderedPageBreak/>
        <w:t xml:space="preserve">Pero,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encuentra el artículo 35 de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xml:space="preserve"> de 2020. La </w:t>
      </w:r>
      <w:r>
        <w:rPr>
          <w:rFonts w:ascii="Arial" w:eastAsia="Calibri" w:hAnsi="Arial" w:cs="Arial"/>
          <w:color w:val="000000" w:themeColor="text1"/>
          <w:sz w:val="22"/>
          <w:szCs w:val="22"/>
          <w:lang w:val="es-ES_tradnl"/>
        </w:rPr>
        <w:t>jurisprudencia</w:t>
      </w:r>
      <w:r w:rsidRPr="005419DA">
        <w:rPr>
          <w:rFonts w:ascii="Arial" w:eastAsia="Calibri" w:hAnsi="Arial" w:cs="Arial"/>
          <w:color w:val="000000" w:themeColor="text1"/>
          <w:sz w:val="22"/>
          <w:szCs w:val="22"/>
          <w:lang w:val="es-ES_tradnl"/>
        </w:rPr>
        <w:t xml:space="preserve"> comparte la idea de que los criterios de desempate deben estar establecidos de antemano y constituyen un límite a la discrecionalidad administrativa en los procedimientos de selección</w:t>
      </w:r>
      <w:r w:rsidRPr="005419DA">
        <w:rPr>
          <w:rStyle w:val="Refdenotaalpie"/>
          <w:rFonts w:ascii="Arial" w:hAnsi="Arial" w:cs="Arial"/>
          <w:sz w:val="21"/>
          <w:szCs w:val="21"/>
          <w:lang w:val="es-ES_tradnl"/>
        </w:rPr>
        <w:footnoteReference w:id="9"/>
      </w:r>
      <w:r w:rsidRPr="005419DA">
        <w:rPr>
          <w:rFonts w:ascii="Arial" w:eastAsia="Calibri" w:hAnsi="Arial" w:cs="Arial"/>
          <w:color w:val="000000" w:themeColor="text1"/>
          <w:sz w:val="22"/>
          <w:szCs w:val="22"/>
          <w:lang w:val="es-ES_tradnl"/>
        </w:rPr>
        <w:t xml:space="preserve">. </w:t>
      </w:r>
    </w:p>
    <w:p w14:paraId="5CF96159" w14:textId="77777777" w:rsidR="00BC3DD4" w:rsidRPr="005419DA" w:rsidRDefault="00BC3DD4" w:rsidP="00BC3DD4">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w:t>
      </w:r>
      <w:r w:rsidRPr="005419DA">
        <w:rPr>
          <w:rStyle w:val="Refdenotaalpie"/>
          <w:rFonts w:ascii="Arial" w:eastAsia="Calibri" w:hAnsi="Arial" w:cs="Arial"/>
          <w:color w:val="000000" w:themeColor="text1"/>
          <w:sz w:val="22"/>
          <w:szCs w:val="22"/>
          <w:lang w:val="es-ES_tradnl"/>
        </w:rPr>
        <w:footnoteReference w:id="10"/>
      </w:r>
      <w:r w:rsidRPr="005419DA">
        <w:rPr>
          <w:rFonts w:ascii="Arial" w:eastAsia="Calibri" w:hAnsi="Arial" w:cs="Arial"/>
          <w:color w:val="000000" w:themeColor="text1"/>
          <w:sz w:val="22"/>
          <w:szCs w:val="22"/>
          <w:lang w:val="es-ES_tradnl"/>
        </w:rPr>
        <w:t>. Es más, según el Consejo de Estado, ir en contra de los factores de desempate establecidos expresamente genera la nulidad del contrato, conforme al artículo 44, inciso 1º de la Ley 80 de 1993</w:t>
      </w:r>
      <w:r w:rsidRPr="005419DA">
        <w:rPr>
          <w:rStyle w:val="Refdenotaalpie"/>
          <w:rFonts w:ascii="Arial" w:eastAsia="Calibri" w:hAnsi="Arial" w:cs="Arial"/>
          <w:color w:val="000000" w:themeColor="text1"/>
          <w:sz w:val="22"/>
          <w:szCs w:val="22"/>
          <w:lang w:val="es-ES_tradnl"/>
        </w:rPr>
        <w:footnoteReference w:id="11"/>
      </w:r>
      <w:r w:rsidRPr="005419DA">
        <w:rPr>
          <w:rFonts w:ascii="Arial" w:eastAsia="Calibri" w:hAnsi="Arial" w:cs="Arial"/>
          <w:color w:val="000000" w:themeColor="text1"/>
          <w:sz w:val="22"/>
          <w:szCs w:val="22"/>
          <w:lang w:val="es-ES_tradnl"/>
        </w:rPr>
        <w:t>.</w:t>
      </w:r>
    </w:p>
    <w:p w14:paraId="66186ED1" w14:textId="77777777" w:rsidR="00BC3DD4" w:rsidRPr="005419DA" w:rsidRDefault="00BC3DD4" w:rsidP="00BC3DD4">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Ahora bien, en cumplimiento de los principios de reciprocidad y de </w:t>
      </w:r>
      <w:r w:rsidRPr="005419DA">
        <w:rPr>
          <w:rFonts w:ascii="Arial" w:eastAsia="Calibri" w:hAnsi="Arial" w:cs="Arial"/>
          <w:i/>
          <w:iCs/>
          <w:color w:val="000000" w:themeColor="text1"/>
          <w:sz w:val="22"/>
          <w:szCs w:val="22"/>
          <w:lang w:val="es-ES_tradnl"/>
        </w:rPr>
        <w:t xml:space="preserve">pacta </w:t>
      </w:r>
      <w:proofErr w:type="spellStart"/>
      <w:r w:rsidRPr="005419DA">
        <w:rPr>
          <w:rFonts w:ascii="Arial" w:eastAsia="Calibri" w:hAnsi="Arial" w:cs="Arial"/>
          <w:i/>
          <w:iCs/>
          <w:color w:val="000000" w:themeColor="text1"/>
          <w:sz w:val="22"/>
          <w:szCs w:val="22"/>
          <w:lang w:val="es-ES_tradnl"/>
        </w:rPr>
        <w:t>sunt</w:t>
      </w:r>
      <w:proofErr w:type="spellEnd"/>
      <w:r w:rsidRPr="005419DA">
        <w:rPr>
          <w:rFonts w:ascii="Arial" w:eastAsia="Calibri" w:hAnsi="Arial" w:cs="Arial"/>
          <w:i/>
          <w:iCs/>
          <w:color w:val="000000" w:themeColor="text1"/>
          <w:sz w:val="22"/>
          <w:szCs w:val="22"/>
          <w:lang w:val="es-ES_tradnl"/>
        </w:rPr>
        <w:t xml:space="preserve"> </w:t>
      </w:r>
      <w:proofErr w:type="spellStart"/>
      <w:r w:rsidRPr="005419DA">
        <w:rPr>
          <w:rFonts w:ascii="Arial" w:eastAsia="Calibri" w:hAnsi="Arial" w:cs="Arial"/>
          <w:i/>
          <w:iCs/>
          <w:color w:val="000000" w:themeColor="text1"/>
          <w:sz w:val="22"/>
          <w:szCs w:val="22"/>
          <w:lang w:val="es-ES_tradnl"/>
        </w:rPr>
        <w:t>servanda</w:t>
      </w:r>
      <w:proofErr w:type="spellEnd"/>
      <w:r w:rsidRPr="005419DA">
        <w:rPr>
          <w:rFonts w:ascii="Arial" w:eastAsia="Calibri" w:hAnsi="Arial" w:cs="Arial"/>
          <w:color w:val="000000" w:themeColor="text1"/>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6B333DBB" w14:textId="77777777" w:rsidR="005244FC" w:rsidRPr="005419DA" w:rsidRDefault="005244FC" w:rsidP="005244FC">
      <w:pPr>
        <w:spacing w:line="276" w:lineRule="auto"/>
        <w:rPr>
          <w:rFonts w:ascii="Arial" w:eastAsia="Calibri" w:hAnsi="Arial" w:cs="Arial"/>
          <w:color w:val="000000" w:themeColor="text1"/>
          <w:sz w:val="22"/>
          <w:szCs w:val="22"/>
          <w:lang w:val="es-ES_tradnl"/>
        </w:rPr>
      </w:pPr>
    </w:p>
    <w:p w14:paraId="5A01BB7D" w14:textId="2A35E23A" w:rsidR="00FB658F" w:rsidRPr="005E4B72" w:rsidRDefault="00FB658F" w:rsidP="00FB658F">
      <w:pPr>
        <w:spacing w:line="276" w:lineRule="auto"/>
        <w:jc w:val="both"/>
        <w:rPr>
          <w:rFonts w:ascii="Arial" w:eastAsia="Calibri" w:hAnsi="Arial" w:cs="Arial"/>
          <w:b/>
          <w:bCs/>
          <w:color w:val="000000" w:themeColor="text1"/>
          <w:sz w:val="22"/>
          <w:szCs w:val="22"/>
          <w:lang w:val="es-ES_tradnl"/>
        </w:rPr>
      </w:pPr>
      <w:r w:rsidRPr="00E174A2">
        <w:rPr>
          <w:rFonts w:ascii="Arial" w:eastAsia="Calibri" w:hAnsi="Arial" w:cs="Arial"/>
          <w:b/>
          <w:bCs/>
          <w:color w:val="000000" w:themeColor="text1"/>
          <w:sz w:val="22"/>
          <w:szCs w:val="22"/>
          <w:lang w:val="es-ES_tradnl"/>
        </w:rPr>
        <w:t>2.</w:t>
      </w:r>
      <w:r w:rsidR="00450D80" w:rsidRPr="00E174A2">
        <w:rPr>
          <w:rFonts w:ascii="Arial" w:eastAsia="Calibri" w:hAnsi="Arial" w:cs="Arial"/>
          <w:b/>
          <w:bCs/>
          <w:color w:val="000000" w:themeColor="text1"/>
          <w:sz w:val="22"/>
          <w:szCs w:val="22"/>
          <w:lang w:val="es-ES_tradnl"/>
        </w:rPr>
        <w:t>4</w:t>
      </w:r>
      <w:r w:rsidRPr="00E174A2">
        <w:rPr>
          <w:rFonts w:ascii="Arial" w:eastAsia="Calibri" w:hAnsi="Arial" w:cs="Arial"/>
          <w:b/>
          <w:bCs/>
          <w:color w:val="000000" w:themeColor="text1"/>
          <w:sz w:val="22"/>
          <w:szCs w:val="22"/>
          <w:lang w:val="es-ES_tradnl"/>
        </w:rPr>
        <w:t xml:space="preserve">. </w:t>
      </w:r>
      <w:r w:rsidR="007D4770" w:rsidRPr="00E174A2">
        <w:rPr>
          <w:rFonts w:ascii="Arial" w:eastAsia="Calibri" w:hAnsi="Arial" w:cs="Arial"/>
          <w:b/>
          <w:bCs/>
          <w:color w:val="000000" w:themeColor="text1"/>
          <w:sz w:val="22"/>
          <w:szCs w:val="22"/>
          <w:lang w:val="es-ES_tradnl"/>
        </w:rPr>
        <w:t>Vigencia y a</w:t>
      </w:r>
      <w:r w:rsidR="00D43769" w:rsidRPr="00E174A2">
        <w:rPr>
          <w:rFonts w:ascii="Arial" w:eastAsia="Calibri" w:hAnsi="Arial" w:cs="Arial"/>
          <w:b/>
          <w:bCs/>
          <w:color w:val="000000" w:themeColor="text1"/>
          <w:sz w:val="22"/>
          <w:szCs w:val="22"/>
          <w:lang w:val="es-ES_tradnl"/>
        </w:rPr>
        <w:t>plicación obligatoria</w:t>
      </w:r>
      <w:r w:rsidRPr="00E174A2">
        <w:rPr>
          <w:rFonts w:ascii="Arial" w:eastAsia="Calibri" w:hAnsi="Arial" w:cs="Arial"/>
          <w:b/>
          <w:bCs/>
          <w:color w:val="000000" w:themeColor="text1"/>
          <w:sz w:val="22"/>
          <w:szCs w:val="22"/>
          <w:lang w:val="es-ES_tradnl"/>
        </w:rPr>
        <w:t xml:space="preserve"> </w:t>
      </w:r>
      <w:r w:rsidR="00D43769" w:rsidRPr="00E174A2">
        <w:rPr>
          <w:rFonts w:ascii="Arial" w:eastAsia="Calibri" w:hAnsi="Arial" w:cs="Arial"/>
          <w:b/>
          <w:bCs/>
          <w:color w:val="000000" w:themeColor="text1"/>
          <w:sz w:val="22"/>
          <w:szCs w:val="22"/>
          <w:lang w:val="es-ES_tradnl"/>
        </w:rPr>
        <w:t>d</w:t>
      </w:r>
      <w:r w:rsidRPr="00E174A2">
        <w:rPr>
          <w:rFonts w:ascii="Arial" w:eastAsia="Calibri" w:hAnsi="Arial" w:cs="Arial"/>
          <w:b/>
          <w:bCs/>
          <w:color w:val="000000" w:themeColor="text1"/>
          <w:sz w:val="22"/>
          <w:szCs w:val="22"/>
          <w:lang w:val="es-ES_tradnl"/>
        </w:rPr>
        <w:t>el artículo 35 de la Ley 2069 de 2020</w:t>
      </w:r>
    </w:p>
    <w:p w14:paraId="0F8298C8" w14:textId="77777777" w:rsidR="00FB658F" w:rsidRPr="005E4B72" w:rsidRDefault="00FB658F" w:rsidP="00FB658F">
      <w:pPr>
        <w:spacing w:line="276" w:lineRule="auto"/>
        <w:jc w:val="both"/>
        <w:rPr>
          <w:rFonts w:ascii="Arial" w:eastAsia="Calibri" w:hAnsi="Arial" w:cs="Arial"/>
          <w:color w:val="000000" w:themeColor="text1"/>
          <w:sz w:val="22"/>
          <w:szCs w:val="22"/>
          <w:lang w:val="es-ES_tradnl"/>
        </w:rPr>
      </w:pPr>
    </w:p>
    <w:p w14:paraId="202BF97D" w14:textId="41F4F54C" w:rsidR="00FB658F" w:rsidRPr="005E4B72" w:rsidRDefault="00FB658F" w:rsidP="00FB658F">
      <w:pPr>
        <w:spacing w:line="276" w:lineRule="auto"/>
        <w:jc w:val="both"/>
        <w:rPr>
          <w:rFonts w:ascii="Arial" w:eastAsia="Calibri" w:hAnsi="Arial" w:cs="Arial"/>
          <w:color w:val="000000" w:themeColor="text1"/>
          <w:sz w:val="22"/>
          <w:szCs w:val="22"/>
          <w:lang w:val="es-ES_tradnl"/>
        </w:rPr>
      </w:pPr>
      <w:r w:rsidRPr="005E4B72">
        <w:rPr>
          <w:rFonts w:ascii="Arial" w:eastAsia="Calibri" w:hAnsi="Arial" w:cs="Arial"/>
          <w:color w:val="000000" w:themeColor="text1"/>
          <w:sz w:val="22"/>
          <w:szCs w:val="22"/>
          <w:lang w:val="es-ES_tradnl"/>
        </w:rPr>
        <w:t xml:space="preserve">El artículo 35 de la Ley </w:t>
      </w:r>
      <w:r>
        <w:rPr>
          <w:rFonts w:ascii="Arial" w:eastAsia="Calibri" w:hAnsi="Arial" w:cs="Arial"/>
          <w:color w:val="000000" w:themeColor="text1"/>
          <w:sz w:val="22"/>
          <w:szCs w:val="22"/>
          <w:lang w:val="es-ES_tradnl"/>
        </w:rPr>
        <w:t>2069</w:t>
      </w:r>
      <w:r w:rsidRPr="005E4B72">
        <w:rPr>
          <w:rFonts w:ascii="Arial" w:eastAsia="Calibri" w:hAnsi="Arial" w:cs="Arial"/>
          <w:color w:val="000000" w:themeColor="text1"/>
          <w:sz w:val="22"/>
          <w:szCs w:val="22"/>
          <w:lang w:val="es-ES_tradnl"/>
        </w:rPr>
        <w:t xml:space="preserve"> de 2020 modifica la regulación de los factores de desempate en la contratación estatal. En consideración a que en la consulta se solicita que la Agencia Nacional de Contratación Pública – Colombia Compra Eficiente indique </w:t>
      </w:r>
      <w:r w:rsidR="004B6241">
        <w:rPr>
          <w:rFonts w:ascii="Arial" w:eastAsia="Calibri" w:hAnsi="Arial" w:cs="Arial"/>
          <w:color w:val="000000" w:themeColor="text1"/>
          <w:sz w:val="22"/>
          <w:szCs w:val="22"/>
          <w:lang w:val="es-ES_tradnl"/>
        </w:rPr>
        <w:t xml:space="preserve">si dicho artículo es </w:t>
      </w:r>
      <w:r w:rsidR="004B6241">
        <w:rPr>
          <w:rFonts w:ascii="Arial" w:eastAsia="Calibri" w:hAnsi="Arial" w:cs="Arial"/>
          <w:color w:val="000000" w:themeColor="text1"/>
          <w:sz w:val="22"/>
          <w:szCs w:val="22"/>
          <w:lang w:val="es-ES_tradnl"/>
        </w:rPr>
        <w:lastRenderedPageBreak/>
        <w:t>de obligatoria aplicación</w:t>
      </w:r>
      <w:r>
        <w:rPr>
          <w:rFonts w:ascii="Arial" w:eastAsia="Calibri" w:hAnsi="Arial" w:cs="Arial"/>
          <w:color w:val="000000" w:themeColor="text1"/>
          <w:sz w:val="22"/>
          <w:szCs w:val="22"/>
          <w:lang w:val="es-ES_tradnl"/>
        </w:rPr>
        <w:t>,</w:t>
      </w:r>
      <w:r w:rsidRPr="005E4B72">
        <w:rPr>
          <w:rFonts w:ascii="Arial" w:eastAsia="Calibri" w:hAnsi="Arial" w:cs="Arial"/>
          <w:color w:val="000000" w:themeColor="text1"/>
          <w:sz w:val="22"/>
          <w:szCs w:val="22"/>
          <w:lang w:val="es-ES_tradnl"/>
        </w:rPr>
        <w:t xml:space="preserve"> </w:t>
      </w:r>
      <w:r>
        <w:rPr>
          <w:rFonts w:ascii="Arial" w:eastAsia="Calibri" w:hAnsi="Arial" w:cs="Arial"/>
          <w:color w:val="000000" w:themeColor="text1"/>
          <w:sz w:val="22"/>
          <w:szCs w:val="22"/>
          <w:lang w:val="es-ES_tradnl"/>
        </w:rPr>
        <w:t xml:space="preserve">se aclarará cuál </w:t>
      </w:r>
      <w:r w:rsidRPr="005E4B72">
        <w:rPr>
          <w:rFonts w:ascii="Arial" w:eastAsia="Calibri" w:hAnsi="Arial" w:cs="Arial"/>
          <w:color w:val="000000" w:themeColor="text1"/>
          <w:sz w:val="22"/>
          <w:szCs w:val="22"/>
          <w:lang w:val="es-ES_tradnl"/>
        </w:rPr>
        <w:t xml:space="preserve">es la interpretación o el sentido que le otorga la </w:t>
      </w:r>
      <w:r>
        <w:rPr>
          <w:rFonts w:ascii="Arial" w:eastAsia="Calibri" w:hAnsi="Arial" w:cs="Arial"/>
          <w:color w:val="000000" w:themeColor="text1"/>
          <w:sz w:val="22"/>
          <w:szCs w:val="22"/>
          <w:lang w:val="es-ES_tradnl"/>
        </w:rPr>
        <w:t>Agencia</w:t>
      </w:r>
      <w:r w:rsidRPr="005E4B72">
        <w:rPr>
          <w:rFonts w:ascii="Arial" w:eastAsia="Calibri" w:hAnsi="Arial" w:cs="Arial"/>
          <w:color w:val="000000" w:themeColor="text1"/>
          <w:sz w:val="22"/>
          <w:szCs w:val="22"/>
          <w:lang w:val="es-ES_tradnl"/>
        </w:rPr>
        <w:t xml:space="preserve"> </w:t>
      </w:r>
      <w:r>
        <w:rPr>
          <w:rFonts w:ascii="Arial" w:eastAsia="Calibri" w:hAnsi="Arial" w:cs="Arial"/>
          <w:color w:val="000000" w:themeColor="text1"/>
          <w:sz w:val="22"/>
          <w:szCs w:val="22"/>
          <w:lang w:val="es-ES_tradnl"/>
        </w:rPr>
        <w:t xml:space="preserve">a este tema. Esto </w:t>
      </w:r>
      <w:r w:rsidRPr="005E4B72">
        <w:rPr>
          <w:rFonts w:ascii="Arial" w:eastAsia="Calibri" w:hAnsi="Arial" w:cs="Arial"/>
          <w:color w:val="000000" w:themeColor="text1"/>
          <w:sz w:val="22"/>
          <w:szCs w:val="22"/>
          <w:lang w:val="es-ES_tradnl"/>
        </w:rPr>
        <w:t xml:space="preserve">sin pasar por alto la novedad de dicho enunciado normativo –dada su reciente entrada en vigencia– y la ausencia de pronunciamientos jurisprudenciales o estudios doctrinarios sobre </w:t>
      </w:r>
      <w:r>
        <w:rPr>
          <w:rFonts w:ascii="Arial" w:eastAsia="Calibri" w:hAnsi="Arial" w:cs="Arial"/>
          <w:color w:val="000000" w:themeColor="text1"/>
          <w:sz w:val="22"/>
          <w:szCs w:val="22"/>
          <w:lang w:val="es-ES_tradnl"/>
        </w:rPr>
        <w:t>la materia</w:t>
      </w:r>
      <w:r w:rsidRPr="005E4B72">
        <w:rPr>
          <w:rFonts w:ascii="Arial" w:eastAsia="Calibri" w:hAnsi="Arial" w:cs="Arial"/>
          <w:color w:val="000000" w:themeColor="text1"/>
          <w:sz w:val="22"/>
          <w:szCs w:val="22"/>
          <w:lang w:val="es-ES_tradnl"/>
        </w:rPr>
        <w:t>.</w:t>
      </w:r>
    </w:p>
    <w:p w14:paraId="520EF92A" w14:textId="77777777" w:rsidR="00FB658F" w:rsidRDefault="00FB658F" w:rsidP="00FB658F">
      <w:pPr>
        <w:spacing w:before="120" w:line="276" w:lineRule="auto"/>
        <w:ind w:firstLine="709"/>
        <w:jc w:val="both"/>
        <w:rPr>
          <w:rFonts w:ascii="Arial" w:eastAsia="Calibri" w:hAnsi="Arial" w:cs="Arial"/>
          <w:color w:val="000000" w:themeColor="text1"/>
          <w:sz w:val="22"/>
          <w:szCs w:val="22"/>
          <w:lang w:val="es-ES_tradnl"/>
        </w:rPr>
      </w:pPr>
      <w:r w:rsidRPr="006E77DF">
        <w:rPr>
          <w:rFonts w:ascii="Arial" w:eastAsia="Calibri" w:hAnsi="Arial" w:cs="Arial"/>
          <w:color w:val="000000" w:themeColor="text1"/>
          <w:sz w:val="22"/>
          <w:szCs w:val="22"/>
          <w:lang w:val="es-ES_tradnl"/>
        </w:rPr>
        <w:t xml:space="preserve">Al respecto, </w:t>
      </w:r>
      <w:r w:rsidRPr="006E77DF">
        <w:rPr>
          <w:rFonts w:ascii="Arial" w:eastAsia="Calibri" w:hAnsi="Arial" w:cs="Arial"/>
          <w:sz w:val="22"/>
          <w:szCs w:val="22"/>
          <w:lang w:val="es-ES_tradnl"/>
        </w:rPr>
        <w:t>pese a que el parágrafo 3 dispone que el Gobierno Nacional podrá regular los supuestos en que concurran dos o más factores de desempate,</w:t>
      </w:r>
      <w:r w:rsidRPr="006E77DF">
        <w:rPr>
          <w:rFonts w:ascii="Arial" w:eastAsia="Calibri" w:hAnsi="Arial" w:cs="Arial"/>
          <w:color w:val="000000" w:themeColor="text1"/>
          <w:sz w:val="22"/>
          <w:szCs w:val="22"/>
          <w:lang w:val="es-ES_tradnl"/>
        </w:rPr>
        <w:t xml:space="preserve"> se considera que el artículo 35 de la Ley </w:t>
      </w:r>
      <w:r>
        <w:rPr>
          <w:rFonts w:ascii="Arial" w:eastAsia="Calibri" w:hAnsi="Arial" w:cs="Arial"/>
          <w:color w:val="000000" w:themeColor="text1"/>
          <w:sz w:val="22"/>
          <w:szCs w:val="22"/>
          <w:lang w:val="es-ES_tradnl"/>
        </w:rPr>
        <w:t>2069</w:t>
      </w:r>
      <w:r w:rsidRPr="006E77DF">
        <w:rPr>
          <w:rFonts w:ascii="Arial" w:eastAsia="Calibri" w:hAnsi="Arial" w:cs="Arial"/>
          <w:color w:val="000000" w:themeColor="text1"/>
          <w:sz w:val="22"/>
          <w:szCs w:val="22"/>
          <w:lang w:val="es-ES_tradnl"/>
        </w:rPr>
        <w:t xml:space="preserve"> de 2020 goza de aplicación directa desde la fecha de su promulgación, es decir, no requiere de una reglamentación previa como presupuesto para su eficacia. Esta precisión reviste importancia, porque algunos enunciados normativos de la Ley bajo análisis establecen un mandato de reglamentación, dirigido al gobierno nacional, como condición para aplicar lo dispuesto en dicha Ley.</w:t>
      </w:r>
      <w:r w:rsidRPr="005E4B72">
        <w:rPr>
          <w:rFonts w:ascii="Arial" w:eastAsia="Calibri" w:hAnsi="Arial" w:cs="Arial"/>
          <w:color w:val="000000" w:themeColor="text1"/>
          <w:sz w:val="22"/>
          <w:szCs w:val="22"/>
          <w:lang w:val="es-ES_tradnl"/>
        </w:rPr>
        <w:t xml:space="preserve"> </w:t>
      </w:r>
    </w:p>
    <w:p w14:paraId="2379A869" w14:textId="77777777" w:rsidR="00FB658F" w:rsidRDefault="00FB658F" w:rsidP="00FB658F">
      <w:pPr>
        <w:spacing w:before="120" w:line="276" w:lineRule="auto"/>
        <w:ind w:firstLine="709"/>
        <w:jc w:val="both"/>
        <w:rPr>
          <w:rFonts w:ascii="Arial" w:eastAsia="Calibri" w:hAnsi="Arial" w:cs="Arial"/>
          <w:color w:val="000000" w:themeColor="text1"/>
          <w:sz w:val="22"/>
          <w:szCs w:val="22"/>
          <w:lang w:val="es-ES_tradnl"/>
        </w:rPr>
      </w:pPr>
      <w:r w:rsidRPr="005E4B72">
        <w:rPr>
          <w:rFonts w:ascii="Arial" w:eastAsia="Calibri" w:hAnsi="Arial" w:cs="Arial"/>
          <w:color w:val="000000" w:themeColor="text1"/>
          <w:sz w:val="22"/>
          <w:szCs w:val="22"/>
          <w:lang w:val="es-ES_tradnl"/>
        </w:rPr>
        <w:t xml:space="preserve">Por ejemplo, en lo que a las compras públicas se refiere, el parágrafo primero del artículo 30, que alude a la participación de </w:t>
      </w:r>
      <w:proofErr w:type="spellStart"/>
      <w:r w:rsidRPr="005E4B72">
        <w:rPr>
          <w:rFonts w:ascii="Arial" w:eastAsia="Calibri" w:hAnsi="Arial" w:cs="Arial"/>
          <w:color w:val="000000" w:themeColor="text1"/>
          <w:sz w:val="22"/>
          <w:szCs w:val="22"/>
          <w:lang w:val="es-ES_tradnl"/>
        </w:rPr>
        <w:t>mipymes</w:t>
      </w:r>
      <w:proofErr w:type="spellEnd"/>
      <w:r>
        <w:rPr>
          <w:rFonts w:ascii="Arial" w:eastAsia="Calibri" w:hAnsi="Arial" w:cs="Arial"/>
          <w:color w:val="000000" w:themeColor="text1"/>
          <w:sz w:val="22"/>
          <w:szCs w:val="22"/>
          <w:lang w:val="es-ES_tradnl"/>
        </w:rPr>
        <w:t xml:space="preserve"> </w:t>
      </w:r>
      <w:r w:rsidRPr="005E4B72">
        <w:rPr>
          <w:rFonts w:ascii="Arial" w:eastAsia="Calibri" w:hAnsi="Arial" w:cs="Arial"/>
          <w:color w:val="000000" w:themeColor="text1"/>
          <w:sz w:val="22"/>
          <w:szCs w:val="22"/>
          <w:lang w:val="es-ES_tradnl"/>
        </w:rPr>
        <w:t xml:space="preserve">en procedimientos de mínima cuantía, establece que «Las particularidades del procedimiento aquí previsto, así como la posibilidad que tengan las entidades de realizar estas adquisiciones a </w:t>
      </w:r>
      <w:proofErr w:type="spellStart"/>
      <w:r>
        <w:rPr>
          <w:rFonts w:ascii="Arial" w:eastAsia="Calibri" w:hAnsi="Arial" w:cs="Arial"/>
          <w:color w:val="000000" w:themeColor="text1"/>
          <w:sz w:val="22"/>
          <w:szCs w:val="22"/>
          <w:lang w:val="es-ES_tradnl"/>
        </w:rPr>
        <w:t>m</w:t>
      </w:r>
      <w:r w:rsidRPr="005E4B72">
        <w:rPr>
          <w:rFonts w:ascii="Arial" w:eastAsia="Calibri" w:hAnsi="Arial" w:cs="Arial"/>
          <w:color w:val="000000" w:themeColor="text1"/>
          <w:sz w:val="22"/>
          <w:szCs w:val="22"/>
          <w:lang w:val="es-ES_tradnl"/>
        </w:rPr>
        <w:t>ipymes</w:t>
      </w:r>
      <w:proofErr w:type="spellEnd"/>
      <w:r w:rsidRPr="005E4B72">
        <w:rPr>
          <w:rFonts w:ascii="Arial" w:eastAsia="Calibri" w:hAnsi="Arial" w:cs="Arial"/>
          <w:color w:val="000000" w:themeColor="text1"/>
          <w:sz w:val="22"/>
          <w:szCs w:val="22"/>
          <w:lang w:val="es-ES_tradnl"/>
        </w:rPr>
        <w:t xml:space="preserve"> o establecimientos que correspondan a la definición de "gran almacén" señalada por la Superintendencia de Industria y Comercio, se determinarán en el reglamento que para el efecto expida el Gobierno Nacional». En un sentido similar, el parágrafo segundo del mismo artículo expresa que «La contratación a que se refiere el presente artículo se realizará exclusivamente con las reglas en él contempladas y en su reglamentación. […]». </w:t>
      </w:r>
    </w:p>
    <w:p w14:paraId="0D3E8A0E" w14:textId="77777777" w:rsidR="00FB658F" w:rsidRPr="005E4B72" w:rsidRDefault="00FB658F" w:rsidP="00FB658F">
      <w:pPr>
        <w:spacing w:before="120" w:line="276" w:lineRule="auto"/>
        <w:ind w:firstLine="709"/>
        <w:jc w:val="both"/>
        <w:rPr>
          <w:rFonts w:ascii="Arial" w:eastAsia="Calibri" w:hAnsi="Arial" w:cs="Arial"/>
          <w:color w:val="000000" w:themeColor="text1"/>
          <w:sz w:val="22"/>
          <w:szCs w:val="22"/>
          <w:lang w:val="es-ES_tradnl"/>
        </w:rPr>
      </w:pPr>
      <w:r w:rsidRPr="005E4B72">
        <w:rPr>
          <w:rFonts w:ascii="Arial" w:eastAsia="Calibri" w:hAnsi="Arial" w:cs="Arial"/>
          <w:color w:val="000000" w:themeColor="text1"/>
          <w:sz w:val="22"/>
          <w:szCs w:val="22"/>
          <w:lang w:val="es-ES_tradnl"/>
        </w:rPr>
        <w:t>Así mismo, el artículo 31, en el segundo inciso, determina que «El Gobierno Nacional reglamentará la definición de los criterios diferenciales, sobre reglas objetivas que podrán implementar las Entidades Estatales». Del mismo modo, el parágrafo primero del artículo 32 establece que «La definición de emprendimientos y empresas de mujeres se reglamentará por el gobierno nacional»</w:t>
      </w:r>
      <w:r>
        <w:rPr>
          <w:rFonts w:ascii="Arial" w:eastAsia="Calibri" w:hAnsi="Arial" w:cs="Arial"/>
          <w:color w:val="000000" w:themeColor="text1"/>
          <w:sz w:val="22"/>
          <w:szCs w:val="22"/>
          <w:lang w:val="es-ES_tradnl"/>
        </w:rPr>
        <w:t xml:space="preserve">. Por su parte, </w:t>
      </w:r>
      <w:r w:rsidRPr="005E4B72">
        <w:rPr>
          <w:rFonts w:ascii="Arial" w:eastAsia="Calibri" w:hAnsi="Arial" w:cs="Arial"/>
          <w:color w:val="000000" w:themeColor="text1"/>
          <w:sz w:val="22"/>
          <w:szCs w:val="22"/>
          <w:lang w:val="es-ES_tradnl"/>
        </w:rPr>
        <w:t xml:space="preserve">el inciso cuarto del artículo 12 de la Ley 1150 de 2007, modificado por el artículo 34 de la Ley </w:t>
      </w:r>
      <w:r>
        <w:rPr>
          <w:rFonts w:ascii="Arial" w:eastAsia="Calibri" w:hAnsi="Arial" w:cs="Arial"/>
          <w:color w:val="000000" w:themeColor="text1"/>
          <w:sz w:val="22"/>
          <w:szCs w:val="22"/>
          <w:lang w:val="es-ES_tradnl"/>
        </w:rPr>
        <w:t>2069</w:t>
      </w:r>
      <w:r w:rsidRPr="005E4B72">
        <w:rPr>
          <w:rFonts w:ascii="Arial" w:eastAsia="Calibri" w:hAnsi="Arial" w:cs="Arial"/>
          <w:color w:val="000000" w:themeColor="text1"/>
          <w:sz w:val="22"/>
          <w:szCs w:val="22"/>
          <w:lang w:val="es-ES_tradnl"/>
        </w:rPr>
        <w:t xml:space="preserve"> de 2020, indica que en los pliegos de condiciones las entidades estatales deben prever mecanismos que garanticen la provisión de bienes y servicios por parte de sujetos de especial protección constitucional «[…] en las condiciones que señale el reglamento».</w:t>
      </w:r>
    </w:p>
    <w:p w14:paraId="3343009F" w14:textId="77777777" w:rsidR="00FB658F" w:rsidRPr="004E133F" w:rsidRDefault="00FB658F" w:rsidP="00FB658F">
      <w:pPr>
        <w:spacing w:before="120" w:line="276" w:lineRule="auto"/>
        <w:ind w:firstLine="708"/>
        <w:jc w:val="both"/>
        <w:rPr>
          <w:rFonts w:ascii="Arial" w:eastAsia="Calibri" w:hAnsi="Arial" w:cs="Arial"/>
          <w:sz w:val="22"/>
          <w:szCs w:val="22"/>
          <w:lang w:val="es-ES_tradnl"/>
        </w:rPr>
      </w:pPr>
      <w:r w:rsidRPr="004E133F">
        <w:rPr>
          <w:rFonts w:ascii="Arial" w:eastAsia="Calibri" w:hAnsi="Arial" w:cs="Arial"/>
          <w:color w:val="000000" w:themeColor="text1"/>
          <w:sz w:val="22"/>
          <w:szCs w:val="22"/>
          <w:lang w:val="es-ES_tradnl"/>
        </w:rPr>
        <w:t xml:space="preserve">Lo mismo no sucede con el artículo 35. </w:t>
      </w:r>
      <w:r w:rsidRPr="004E133F">
        <w:rPr>
          <w:rFonts w:ascii="Arial" w:eastAsia="Calibri" w:hAnsi="Arial" w:cs="Arial"/>
          <w:sz w:val="22"/>
          <w:szCs w:val="22"/>
          <w:lang w:val="es-ES_tradnl"/>
        </w:rPr>
        <w:t xml:space="preserve">En efecto, </w:t>
      </w:r>
      <w:r w:rsidRPr="004E133F">
        <w:rPr>
          <w:rFonts w:ascii="Arial" w:hAnsi="Arial" w:cs="Arial"/>
          <w:color w:val="000000" w:themeColor="text1"/>
          <w:sz w:val="22"/>
          <w:szCs w:val="22"/>
          <w:lang w:val="es-ES_tradnl"/>
        </w:rPr>
        <w:t>si bien los factores de desempate regulados en el artículo 35 deben aplicarse «</w:t>
      </w:r>
      <w:r w:rsidRPr="004E133F">
        <w:rPr>
          <w:rFonts w:ascii="Arial" w:hAnsi="Arial" w:cs="Arial"/>
          <w:lang w:val="es-ES_tradnl"/>
        </w:rPr>
        <w:t xml:space="preserve">[…] </w:t>
      </w:r>
      <w:r w:rsidRPr="004E133F">
        <w:rPr>
          <w:rFonts w:ascii="Arial" w:hAnsi="Arial" w:cs="Arial"/>
          <w:color w:val="000000" w:themeColor="text1"/>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Pr="004E133F">
        <w:rPr>
          <w:rFonts w:ascii="Arial" w:eastAsia="Calibri" w:hAnsi="Arial" w:cs="Arial"/>
          <w:color w:val="000000" w:themeColor="text1"/>
          <w:sz w:val="22"/>
          <w:szCs w:val="22"/>
          <w:lang w:val="es-ES_tradnl"/>
        </w:rPr>
        <w:t xml:space="preserve"> </w:t>
      </w:r>
    </w:p>
    <w:p w14:paraId="2C7B9CD1" w14:textId="77777777" w:rsidR="00FB658F" w:rsidRPr="005E4B72" w:rsidRDefault="00FB658F" w:rsidP="00FB658F">
      <w:pPr>
        <w:spacing w:before="120" w:line="276" w:lineRule="auto"/>
        <w:ind w:firstLine="709"/>
        <w:jc w:val="both"/>
        <w:rPr>
          <w:rFonts w:ascii="Arial" w:eastAsia="Calibri" w:hAnsi="Arial" w:cs="Arial"/>
          <w:color w:val="000000" w:themeColor="text1"/>
          <w:sz w:val="22"/>
          <w:szCs w:val="22"/>
          <w:lang w:val="es-ES_tradnl"/>
        </w:rPr>
      </w:pPr>
      <w:r w:rsidRPr="004E133F">
        <w:rPr>
          <w:rFonts w:ascii="Arial" w:eastAsia="Calibri" w:hAnsi="Arial" w:cs="Arial"/>
          <w:color w:val="000000" w:themeColor="text1"/>
          <w:sz w:val="22"/>
          <w:szCs w:val="22"/>
          <w:lang w:val="es-ES_tradnl"/>
        </w:rPr>
        <w:lastRenderedPageBreak/>
        <w:t xml:space="preserve">Como se observa se trata de una competencia que, en concordancia con el artículo 189.11 superior, el gobierno nacional puede ejercer discrecionalmente para la ejecución de las leyes. Por tanto, sin perjuicio de que el Gobierno Nacional ejerza la potestad reglamentaria para regular los casos en que concurren dos o más de los factores de desempate, no es necesaria la existencia del reglamento como presupuesto necesario para aplicar el artículo 35 de la Ley </w:t>
      </w:r>
      <w:r>
        <w:rPr>
          <w:rFonts w:ascii="Arial" w:eastAsia="Calibri" w:hAnsi="Arial" w:cs="Arial"/>
          <w:color w:val="000000" w:themeColor="text1"/>
          <w:sz w:val="22"/>
          <w:szCs w:val="22"/>
          <w:lang w:val="es-ES_tradnl"/>
        </w:rPr>
        <w:t>2069</w:t>
      </w:r>
      <w:r w:rsidRPr="004E133F">
        <w:rPr>
          <w:rFonts w:ascii="Arial" w:eastAsia="Calibri" w:hAnsi="Arial" w:cs="Arial"/>
          <w:color w:val="000000" w:themeColor="text1"/>
          <w:sz w:val="22"/>
          <w:szCs w:val="22"/>
          <w:lang w:val="es-ES_tradnl"/>
        </w:rPr>
        <w:t xml:space="preserve"> de 2020. De este modo, se concluye que los factores de desempate del artículo citado son exigibles desde la fecha de su promulgación, es decir, deben tenerse en cuenta en los procesos de selección que se inicien después del 31 de diciembre de 2020.</w:t>
      </w:r>
    </w:p>
    <w:p w14:paraId="7E83BEFA" w14:textId="77777777" w:rsidR="0060009C" w:rsidRPr="005419DA" w:rsidRDefault="0060009C" w:rsidP="00510DE9">
      <w:pPr>
        <w:tabs>
          <w:tab w:val="left" w:pos="0"/>
        </w:tabs>
        <w:jc w:val="both"/>
        <w:rPr>
          <w:rFonts w:ascii="Arial" w:eastAsia="Calibri" w:hAnsi="Arial" w:cs="Arial"/>
          <w:b/>
          <w:color w:val="000000" w:themeColor="text1"/>
          <w:sz w:val="22"/>
          <w:lang w:val="es-ES_tradnl"/>
        </w:rPr>
      </w:pPr>
    </w:p>
    <w:p w14:paraId="37CA9805" w14:textId="122A5ECE" w:rsidR="00DD5B04" w:rsidRPr="005419DA" w:rsidRDefault="004177A6" w:rsidP="00510DE9">
      <w:pPr>
        <w:tabs>
          <w:tab w:val="left" w:pos="0"/>
        </w:tabs>
        <w:jc w:val="both"/>
        <w:rPr>
          <w:rFonts w:ascii="Arial" w:eastAsia="Calibri" w:hAnsi="Arial" w:cs="Arial"/>
          <w:b/>
          <w:color w:val="000000" w:themeColor="text1"/>
          <w:sz w:val="22"/>
          <w:lang w:val="es-ES_tradnl"/>
        </w:rPr>
      </w:pPr>
      <w:r w:rsidRPr="005419DA">
        <w:rPr>
          <w:rFonts w:ascii="Arial" w:eastAsia="Calibri" w:hAnsi="Arial" w:cs="Arial"/>
          <w:b/>
          <w:color w:val="000000" w:themeColor="text1"/>
          <w:sz w:val="22"/>
          <w:lang w:val="es-ES_tradnl"/>
        </w:rPr>
        <w:t>3</w:t>
      </w:r>
      <w:r w:rsidR="00B011A9" w:rsidRPr="005419DA">
        <w:rPr>
          <w:rFonts w:ascii="Arial" w:eastAsia="Calibri" w:hAnsi="Arial" w:cs="Arial"/>
          <w:b/>
          <w:color w:val="000000" w:themeColor="text1"/>
          <w:sz w:val="22"/>
          <w:lang w:val="es-ES_tradnl"/>
        </w:rPr>
        <w:t xml:space="preserve">. </w:t>
      </w:r>
      <w:r w:rsidR="00DD5B04" w:rsidRPr="005419DA">
        <w:rPr>
          <w:rFonts w:ascii="Arial" w:eastAsia="Calibri" w:hAnsi="Arial" w:cs="Arial"/>
          <w:b/>
          <w:color w:val="000000" w:themeColor="text1"/>
          <w:sz w:val="22"/>
          <w:lang w:val="es-ES_tradnl"/>
        </w:rPr>
        <w:t>Respuesta</w:t>
      </w:r>
      <w:r w:rsidR="002A7D84" w:rsidRPr="005419DA">
        <w:rPr>
          <w:rFonts w:ascii="Arial" w:eastAsia="Calibri" w:hAnsi="Arial" w:cs="Arial"/>
          <w:b/>
          <w:color w:val="000000" w:themeColor="text1"/>
          <w:sz w:val="22"/>
          <w:lang w:val="es-ES_tradnl"/>
        </w:rPr>
        <w:t>s</w:t>
      </w:r>
    </w:p>
    <w:p w14:paraId="12DCA9F3" w14:textId="77777777" w:rsidR="004B25D8" w:rsidRPr="003A4C7B" w:rsidRDefault="004B25D8" w:rsidP="001C2119">
      <w:pPr>
        <w:ind w:right="709"/>
        <w:jc w:val="both"/>
        <w:rPr>
          <w:rFonts w:ascii="Arial" w:hAnsi="Arial" w:cs="Arial"/>
          <w:color w:val="000000" w:themeColor="text1"/>
          <w:sz w:val="21"/>
          <w:szCs w:val="21"/>
          <w:lang w:val="es-ES_tradnl"/>
        </w:rPr>
      </w:pPr>
    </w:p>
    <w:p w14:paraId="5BB768B5" w14:textId="77777777" w:rsidR="00D70AF4" w:rsidRPr="006126A2" w:rsidRDefault="00D70AF4" w:rsidP="00D70AF4">
      <w:pPr>
        <w:ind w:left="709" w:right="709"/>
        <w:jc w:val="both"/>
        <w:rPr>
          <w:rFonts w:ascii="Arial" w:hAnsi="Arial" w:cs="Arial"/>
          <w:color w:val="000000" w:themeColor="text1"/>
          <w:sz w:val="21"/>
          <w:szCs w:val="21"/>
          <w:lang w:val="es-ES_tradnl"/>
        </w:rPr>
      </w:pPr>
      <w:r w:rsidRPr="005419DA">
        <w:rPr>
          <w:rFonts w:ascii="Arial" w:hAnsi="Arial" w:cs="Arial"/>
          <w:color w:val="000000" w:themeColor="text1"/>
          <w:sz w:val="21"/>
          <w:szCs w:val="21"/>
          <w:lang w:val="es-ES_tradnl"/>
        </w:rPr>
        <w:t>«</w:t>
      </w:r>
      <w:r w:rsidRPr="006126A2">
        <w:rPr>
          <w:rFonts w:ascii="Arial" w:hAnsi="Arial" w:cs="Arial"/>
          <w:color w:val="000000" w:themeColor="text1"/>
          <w:sz w:val="21"/>
          <w:szCs w:val="21"/>
          <w:lang w:val="es-ES_tradnl"/>
        </w:rPr>
        <w:t>1.</w:t>
      </w:r>
      <w:r>
        <w:rPr>
          <w:rFonts w:ascii="Arial" w:hAnsi="Arial" w:cs="Arial"/>
          <w:color w:val="000000" w:themeColor="text1"/>
          <w:sz w:val="21"/>
          <w:szCs w:val="21"/>
          <w:lang w:val="es-ES_tradnl"/>
        </w:rPr>
        <w:t xml:space="preserve"> </w:t>
      </w:r>
      <w:r w:rsidRPr="006126A2">
        <w:rPr>
          <w:rFonts w:ascii="Arial" w:hAnsi="Arial" w:cs="Arial"/>
          <w:color w:val="000000" w:themeColor="text1"/>
          <w:sz w:val="21"/>
          <w:szCs w:val="21"/>
          <w:lang w:val="es-ES_tradnl"/>
        </w:rPr>
        <w:t>La aplicación de la Ley 2040 de 2020 en su artículo 3°, es de obligatoria aplicabilidad en los procesos de contratación públicos?</w:t>
      </w:r>
    </w:p>
    <w:p w14:paraId="2638D573" w14:textId="77777777" w:rsidR="00D70AF4" w:rsidRDefault="00D70AF4" w:rsidP="00D70AF4">
      <w:pPr>
        <w:ind w:left="709" w:right="709"/>
        <w:jc w:val="both"/>
        <w:rPr>
          <w:rFonts w:ascii="Arial" w:hAnsi="Arial" w:cs="Arial"/>
          <w:color w:val="000000" w:themeColor="text1"/>
          <w:sz w:val="21"/>
          <w:szCs w:val="21"/>
          <w:lang w:val="es-ES_tradnl"/>
        </w:rPr>
      </w:pPr>
    </w:p>
    <w:p w14:paraId="6D61739E" w14:textId="38BA496F" w:rsidR="00D70AF4" w:rsidRPr="006126A2" w:rsidRDefault="00D70AF4" w:rsidP="00D70AF4">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6126A2">
        <w:rPr>
          <w:rFonts w:ascii="Arial" w:hAnsi="Arial" w:cs="Arial"/>
          <w:color w:val="000000" w:themeColor="text1"/>
          <w:sz w:val="21"/>
          <w:szCs w:val="21"/>
          <w:lang w:val="es-ES_tradnl"/>
        </w:rPr>
        <w:t>2. El parágrafo 4° del artículo 12 de la Ley 1150 de 2007 esta vigente a la fecha?</w:t>
      </w:r>
      <w:r w:rsidR="00B64058">
        <w:rPr>
          <w:rFonts w:ascii="Arial" w:hAnsi="Arial" w:cs="Arial"/>
          <w:color w:val="000000" w:themeColor="text1"/>
          <w:sz w:val="21"/>
          <w:szCs w:val="21"/>
          <w:lang w:val="es-ES_tradnl"/>
        </w:rPr>
        <w:t>»</w:t>
      </w:r>
      <w:r>
        <w:rPr>
          <w:rFonts w:ascii="Arial" w:hAnsi="Arial" w:cs="Arial"/>
          <w:color w:val="000000" w:themeColor="text1"/>
          <w:sz w:val="21"/>
          <w:szCs w:val="21"/>
          <w:lang w:val="es-ES_tradnl"/>
        </w:rPr>
        <w:t xml:space="preserve"> (sic)</w:t>
      </w:r>
    </w:p>
    <w:p w14:paraId="4E9D623E" w14:textId="72D39C00" w:rsidR="00D70AF4" w:rsidRDefault="00D70AF4" w:rsidP="00D70AF4">
      <w:pPr>
        <w:ind w:left="709" w:right="709"/>
        <w:jc w:val="both"/>
        <w:rPr>
          <w:rFonts w:ascii="Arial" w:hAnsi="Arial" w:cs="Arial"/>
          <w:color w:val="000000" w:themeColor="text1"/>
          <w:sz w:val="21"/>
          <w:szCs w:val="21"/>
          <w:lang w:val="es-ES_tradnl"/>
        </w:rPr>
      </w:pPr>
    </w:p>
    <w:p w14:paraId="23A632A3" w14:textId="3492D02E" w:rsidR="0013494E" w:rsidRPr="00E174A2" w:rsidRDefault="0013494E" w:rsidP="0013494E">
      <w:pPr>
        <w:spacing w:line="276" w:lineRule="auto"/>
        <w:jc w:val="both"/>
        <w:rPr>
          <w:rFonts w:ascii="Arial" w:eastAsia="Calibri" w:hAnsi="Arial" w:cs="Arial"/>
          <w:color w:val="000000" w:themeColor="text1"/>
          <w:sz w:val="22"/>
          <w:szCs w:val="22"/>
          <w:lang w:val="es-ES_tradnl"/>
        </w:rPr>
      </w:pPr>
      <w:r w:rsidRPr="00E174A2">
        <w:rPr>
          <w:rFonts w:ascii="Arial" w:eastAsia="Calibri" w:hAnsi="Arial" w:cs="Arial"/>
          <w:color w:val="000000" w:themeColor="text1"/>
          <w:sz w:val="22"/>
          <w:szCs w:val="22"/>
          <w:lang w:val="es-ES_tradnl"/>
        </w:rPr>
        <w:t>El artículo 3 de la Ley 2040 de 2020, que había agregado un cuarto parágrafo al artículo</w:t>
      </w:r>
      <w:r w:rsidR="00AF53C0" w:rsidRPr="00E174A2">
        <w:rPr>
          <w:rFonts w:ascii="Arial" w:eastAsia="Calibri" w:hAnsi="Arial" w:cs="Arial"/>
          <w:color w:val="000000" w:themeColor="text1"/>
          <w:sz w:val="22"/>
          <w:szCs w:val="22"/>
          <w:lang w:val="es-ES_tradnl"/>
        </w:rPr>
        <w:t xml:space="preserve"> 12 de la Ley 1150 de 2007</w:t>
      </w:r>
      <w:r w:rsidRPr="00E174A2">
        <w:rPr>
          <w:rFonts w:ascii="Arial" w:eastAsia="Calibri" w:hAnsi="Arial" w:cs="Arial"/>
          <w:color w:val="000000" w:themeColor="text1"/>
          <w:sz w:val="22"/>
          <w:szCs w:val="22"/>
          <w:lang w:val="es-ES_tradnl"/>
        </w:rPr>
        <w:t>, también se ve afectado por el efecto de la subrogación producida por el artículo 34 de la Ley 2069 de 2020, porque en este artículo no se dice que se mantiene vigente el referido parágrafo. Dicho de otra manera, si el artículo 3 de la Ley 2040 de 2020 había adicionado un parágrafo 4 al artículo 12 de la Ley 1150 de 2007 y posteriormente el artículo 34 de la Ley 2069 de 2020 modificó integralmente el referido artículo 12, sustituyéndolo por un texto nuevo, se concluye que el parágrafo 4 quedó derogado. Por lo tanto, no puede aplicarse en la actualidad y mucho menos puede entenderse como obligatorio en los procesos de selección, ya que no está vigente.</w:t>
      </w:r>
    </w:p>
    <w:p w14:paraId="39F1564E" w14:textId="1291958B" w:rsidR="0013494E" w:rsidRPr="00E174A2" w:rsidRDefault="0013494E" w:rsidP="0013494E">
      <w:pPr>
        <w:spacing w:before="120" w:line="276" w:lineRule="auto"/>
        <w:ind w:firstLine="709"/>
        <w:jc w:val="both"/>
        <w:rPr>
          <w:rFonts w:ascii="Arial" w:eastAsia="Calibri" w:hAnsi="Arial" w:cs="Arial"/>
          <w:color w:val="000000" w:themeColor="text1"/>
          <w:sz w:val="22"/>
          <w:szCs w:val="22"/>
          <w:lang w:val="es-ES_tradnl"/>
        </w:rPr>
      </w:pPr>
      <w:r w:rsidRPr="00E174A2">
        <w:rPr>
          <w:rFonts w:ascii="Arial" w:eastAsia="Calibri" w:hAnsi="Arial" w:cs="Arial"/>
          <w:color w:val="000000" w:themeColor="text1"/>
          <w:sz w:val="22"/>
          <w:szCs w:val="22"/>
          <w:lang w:val="es-ES_tradnl"/>
        </w:rPr>
        <w:t>Aunque el argumento anterior es suficiente, una razón adicional</w:t>
      </w:r>
      <w:r w:rsidR="00AF310E" w:rsidRPr="00E174A2">
        <w:rPr>
          <w:rFonts w:ascii="Arial" w:eastAsia="Calibri" w:hAnsi="Arial" w:cs="Arial"/>
          <w:color w:val="000000" w:themeColor="text1"/>
          <w:sz w:val="22"/>
          <w:szCs w:val="22"/>
          <w:lang w:val="es-ES_tradnl"/>
        </w:rPr>
        <w:t>,</w:t>
      </w:r>
      <w:r w:rsidRPr="00E174A2">
        <w:rPr>
          <w:rFonts w:ascii="Arial" w:eastAsia="Calibri" w:hAnsi="Arial" w:cs="Arial"/>
          <w:color w:val="000000" w:themeColor="text1"/>
          <w:sz w:val="22"/>
          <w:szCs w:val="22"/>
          <w:lang w:val="es-ES_tradnl"/>
        </w:rPr>
        <w:t xml:space="preserve"> para concluir que el artículo 34 de la Ley 2069 de 2020 dejó sin vigencia el parágrafo 4 del artículo 12 de la Ley 1150 de 2007 –y por lo tanto, el artículo 3 de la Ley 2040 de 2020–, es que el artículo 35 de la Ley 2069 de 2020 contiene una regulación nueva de los factores de desempate en la contratación estatal. Más aún, el numeral 4 del artículo 35 dispone que en los procesos de selección las entidades estatales deben «Preferir la propuesta presentada por el oferente que acredite la vinculación en mayor proporción de personas mayores que no sean beneficiarios de la pensión de vejez, familiar o de sobrevivencia y que hayan cumplido el requisito de edad de pensión establecido en la Ley». Esta norma se encuentra vigente, ya que el legislador no condicionó su aplicación a la expedición de</w:t>
      </w:r>
      <w:r w:rsidR="00480154" w:rsidRPr="00E174A2">
        <w:rPr>
          <w:rFonts w:ascii="Arial" w:eastAsia="Calibri" w:hAnsi="Arial" w:cs="Arial"/>
          <w:color w:val="000000" w:themeColor="text1"/>
          <w:sz w:val="22"/>
          <w:szCs w:val="22"/>
          <w:lang w:val="es-ES_tradnl"/>
        </w:rPr>
        <w:t xml:space="preserve"> un</w:t>
      </w:r>
      <w:r w:rsidRPr="00E174A2">
        <w:rPr>
          <w:rFonts w:ascii="Arial" w:eastAsia="Calibri" w:hAnsi="Arial" w:cs="Arial"/>
          <w:color w:val="000000" w:themeColor="text1"/>
          <w:sz w:val="22"/>
          <w:szCs w:val="22"/>
          <w:lang w:val="es-ES_tradnl"/>
        </w:rPr>
        <w:t xml:space="preserve"> decreto reglamentario por parte del gobierno nacional, aunque nada se opone a que</w:t>
      </w:r>
      <w:r w:rsidR="00480154" w:rsidRPr="00E174A2">
        <w:rPr>
          <w:rFonts w:ascii="Arial" w:eastAsia="Calibri" w:hAnsi="Arial" w:cs="Arial"/>
          <w:color w:val="000000" w:themeColor="text1"/>
          <w:sz w:val="22"/>
          <w:szCs w:val="22"/>
          <w:lang w:val="es-ES_tradnl"/>
        </w:rPr>
        <w:t>,</w:t>
      </w:r>
      <w:r w:rsidRPr="00E174A2">
        <w:rPr>
          <w:rFonts w:ascii="Arial" w:eastAsia="Calibri" w:hAnsi="Arial" w:cs="Arial"/>
          <w:color w:val="000000" w:themeColor="text1"/>
          <w:sz w:val="22"/>
          <w:szCs w:val="22"/>
          <w:lang w:val="es-ES_tradnl"/>
        </w:rPr>
        <w:t xml:space="preserve"> en ejercicio de la facultad discrecional con que cuenta para reglamentar las leyes –en virtud del artículo 189, numeral 11, de la Constitución–, establezca condiciones </w:t>
      </w:r>
      <w:r w:rsidR="00480154" w:rsidRPr="00E174A2">
        <w:rPr>
          <w:rFonts w:ascii="Arial" w:eastAsia="Calibri" w:hAnsi="Arial" w:cs="Arial"/>
          <w:color w:val="000000" w:themeColor="text1"/>
          <w:sz w:val="22"/>
          <w:szCs w:val="22"/>
          <w:lang w:val="es-ES_tradnl"/>
        </w:rPr>
        <w:t>para aplicar</w:t>
      </w:r>
      <w:r w:rsidRPr="00E174A2">
        <w:rPr>
          <w:rFonts w:ascii="Arial" w:eastAsia="Calibri" w:hAnsi="Arial" w:cs="Arial"/>
          <w:color w:val="000000" w:themeColor="text1"/>
          <w:sz w:val="22"/>
          <w:szCs w:val="22"/>
          <w:lang w:val="es-ES_tradnl"/>
        </w:rPr>
        <w:t xml:space="preserve"> dicho numeral.</w:t>
      </w:r>
    </w:p>
    <w:p w14:paraId="7A88C5ED" w14:textId="540FB854" w:rsidR="0013494E" w:rsidRPr="00E174A2" w:rsidRDefault="0013494E" w:rsidP="0013494E">
      <w:pPr>
        <w:spacing w:before="120" w:line="276" w:lineRule="auto"/>
        <w:ind w:firstLine="709"/>
        <w:jc w:val="both"/>
        <w:rPr>
          <w:rFonts w:ascii="Arial" w:eastAsia="Calibri" w:hAnsi="Arial" w:cs="Arial"/>
          <w:color w:val="000000" w:themeColor="text1"/>
          <w:sz w:val="22"/>
          <w:szCs w:val="22"/>
          <w:lang w:val="es-ES_tradnl"/>
        </w:rPr>
      </w:pPr>
      <w:r w:rsidRPr="00E174A2">
        <w:rPr>
          <w:rFonts w:ascii="Arial" w:eastAsia="Calibri" w:hAnsi="Arial" w:cs="Arial"/>
          <w:color w:val="000000" w:themeColor="text1"/>
          <w:sz w:val="22"/>
          <w:szCs w:val="22"/>
          <w:lang w:val="es-ES_tradnl"/>
        </w:rPr>
        <w:lastRenderedPageBreak/>
        <w:t xml:space="preserve">En conclusión, las entidades estatales, independientemente del régimen contractual que </w:t>
      </w:r>
      <w:r w:rsidR="00F60C07" w:rsidRPr="00E174A2">
        <w:rPr>
          <w:rFonts w:ascii="Arial" w:eastAsia="Calibri" w:hAnsi="Arial" w:cs="Arial"/>
          <w:color w:val="000000" w:themeColor="text1"/>
          <w:sz w:val="22"/>
          <w:szCs w:val="22"/>
          <w:lang w:val="es-ES_tradnl"/>
        </w:rPr>
        <w:t>las ri</w:t>
      </w:r>
      <w:r w:rsidR="00EE3599" w:rsidRPr="00E174A2">
        <w:rPr>
          <w:rFonts w:ascii="Arial" w:eastAsia="Calibri" w:hAnsi="Arial" w:cs="Arial"/>
          <w:color w:val="000000" w:themeColor="text1"/>
          <w:sz w:val="22"/>
          <w:szCs w:val="22"/>
          <w:lang w:val="es-ES_tradnl"/>
        </w:rPr>
        <w:t>ge</w:t>
      </w:r>
      <w:r w:rsidRPr="00E174A2">
        <w:rPr>
          <w:rFonts w:ascii="Arial" w:eastAsia="Calibri" w:hAnsi="Arial" w:cs="Arial"/>
          <w:color w:val="000000" w:themeColor="text1"/>
          <w:sz w:val="22"/>
          <w:szCs w:val="22"/>
          <w:lang w:val="es-ES_tradnl"/>
        </w:rPr>
        <w:t>, deben aplicar el factor de desempate basado en la vinculación de personas mayores. Sin embargo, el fundamento de esta obligación ya no es el artículo 3 de la Ley 2040 de 2020 –pues no está vigente–, sino el artículo 35, numeral 4, de la Ley 206</w:t>
      </w:r>
      <w:r w:rsidR="001B43B1" w:rsidRPr="00E174A2">
        <w:rPr>
          <w:rFonts w:ascii="Arial" w:eastAsia="Calibri" w:hAnsi="Arial" w:cs="Arial"/>
          <w:color w:val="000000" w:themeColor="text1"/>
          <w:sz w:val="22"/>
          <w:szCs w:val="22"/>
          <w:lang w:val="es-ES_tradnl"/>
        </w:rPr>
        <w:t>9</w:t>
      </w:r>
      <w:r w:rsidRPr="00E174A2">
        <w:rPr>
          <w:rFonts w:ascii="Arial" w:eastAsia="Calibri" w:hAnsi="Arial" w:cs="Arial"/>
          <w:color w:val="000000" w:themeColor="text1"/>
          <w:sz w:val="22"/>
          <w:szCs w:val="22"/>
          <w:lang w:val="es-ES_tradnl"/>
        </w:rPr>
        <w:t xml:space="preserve"> de 2020.    </w:t>
      </w:r>
    </w:p>
    <w:p w14:paraId="3B14AFB9" w14:textId="77777777" w:rsidR="0013494E" w:rsidRPr="00E174A2" w:rsidRDefault="0013494E" w:rsidP="00D70AF4">
      <w:pPr>
        <w:ind w:left="709" w:right="709"/>
        <w:jc w:val="both"/>
        <w:rPr>
          <w:rFonts w:ascii="Arial" w:hAnsi="Arial" w:cs="Arial"/>
          <w:color w:val="000000" w:themeColor="text1"/>
          <w:sz w:val="21"/>
          <w:szCs w:val="21"/>
          <w:lang w:val="es-ES_tradnl"/>
        </w:rPr>
      </w:pPr>
    </w:p>
    <w:p w14:paraId="06CEC975" w14:textId="5E0BDD6C" w:rsidR="00D70AF4" w:rsidRPr="00E174A2" w:rsidRDefault="00B64058" w:rsidP="00D70AF4">
      <w:pPr>
        <w:ind w:left="709" w:right="709"/>
        <w:jc w:val="both"/>
        <w:rPr>
          <w:rFonts w:ascii="Arial" w:hAnsi="Arial" w:cs="Arial"/>
          <w:color w:val="000000" w:themeColor="text1"/>
          <w:sz w:val="21"/>
          <w:szCs w:val="21"/>
          <w:lang w:val="es-ES_tradnl"/>
        </w:rPr>
      </w:pPr>
      <w:r w:rsidRPr="00E174A2">
        <w:rPr>
          <w:rFonts w:ascii="Arial" w:hAnsi="Arial" w:cs="Arial"/>
          <w:color w:val="000000" w:themeColor="text1"/>
          <w:sz w:val="21"/>
          <w:szCs w:val="21"/>
          <w:lang w:val="es-ES_tradnl"/>
        </w:rPr>
        <w:t>«</w:t>
      </w:r>
      <w:r w:rsidR="00D70AF4" w:rsidRPr="00E174A2">
        <w:rPr>
          <w:rFonts w:ascii="Arial" w:hAnsi="Arial" w:cs="Arial"/>
          <w:color w:val="000000" w:themeColor="text1"/>
          <w:sz w:val="21"/>
          <w:szCs w:val="21"/>
          <w:lang w:val="es-ES_tradnl"/>
        </w:rPr>
        <w:t>3. La Ley 2069 de 2020 en su artículo 35, es de obligatoria aplicabilidad en los procesos de contratación realizados con cargo a recursos públicos?»</w:t>
      </w:r>
    </w:p>
    <w:p w14:paraId="16BAB6F0" w14:textId="77777777" w:rsidR="00D827E9" w:rsidRPr="00E174A2" w:rsidRDefault="00D827E9" w:rsidP="004B25D8">
      <w:pPr>
        <w:ind w:left="709" w:right="709"/>
        <w:jc w:val="both"/>
        <w:rPr>
          <w:rFonts w:ascii="Arial" w:hAnsi="Arial" w:cs="Arial"/>
          <w:color w:val="000000" w:themeColor="text1"/>
          <w:sz w:val="21"/>
          <w:szCs w:val="21"/>
          <w:lang w:val="es-ES_tradnl"/>
        </w:rPr>
      </w:pPr>
    </w:p>
    <w:p w14:paraId="36B7E4FE" w14:textId="0EA9CB21" w:rsidR="00352991" w:rsidRPr="00E174A2" w:rsidRDefault="00352991" w:rsidP="00352991">
      <w:pPr>
        <w:spacing w:line="276" w:lineRule="auto"/>
        <w:jc w:val="both"/>
        <w:rPr>
          <w:rFonts w:ascii="Arial" w:eastAsia="Calibri" w:hAnsi="Arial" w:cs="Arial"/>
          <w:color w:val="000000" w:themeColor="text1"/>
          <w:sz w:val="22"/>
          <w:szCs w:val="22"/>
          <w:lang w:val="es-ES_tradnl"/>
        </w:rPr>
      </w:pPr>
      <w:r w:rsidRPr="00E174A2">
        <w:rPr>
          <w:rFonts w:ascii="Arial" w:eastAsia="Calibri" w:hAnsi="Arial" w:cs="Arial"/>
          <w:color w:val="000000" w:themeColor="text1"/>
          <w:sz w:val="22"/>
          <w:szCs w:val="22"/>
          <w:lang w:val="es-ES_tradnl"/>
        </w:rPr>
        <w:t xml:space="preserve">Sin perjuicio de que el gobierno nacional ejerza la potestad reglamentaria para regular los casos en que concurren dos o más de los factores de desempate, se concluye que el artículo 35 de la Ley 2069 de 2020 se encuentra vigente y no requiere de una reglamentación previa para que sea exigible en los procedimientos de selección. En tal sentido, los factores de desempate contemplados en dicha norma rigen desde la fecha de su promulgación, es decir, deben tenerse en cuenta en los procesos de selección que se inicien después del 31 de diciembre de 2020. </w:t>
      </w:r>
    </w:p>
    <w:p w14:paraId="47D8AA7B" w14:textId="77777777" w:rsidR="00352991" w:rsidRPr="00E174A2" w:rsidRDefault="00352991" w:rsidP="00352991">
      <w:pPr>
        <w:spacing w:before="120" w:line="276" w:lineRule="auto"/>
        <w:ind w:firstLine="708"/>
        <w:jc w:val="both"/>
        <w:rPr>
          <w:rFonts w:ascii="Arial" w:eastAsia="Calibri" w:hAnsi="Arial" w:cs="Arial"/>
          <w:sz w:val="22"/>
          <w:szCs w:val="22"/>
          <w:lang w:val="es-ES_tradnl"/>
        </w:rPr>
      </w:pPr>
      <w:r w:rsidRPr="00E174A2">
        <w:rPr>
          <w:rFonts w:ascii="Arial" w:hAnsi="Arial" w:cs="Arial"/>
          <w:color w:val="000000" w:themeColor="text1"/>
          <w:sz w:val="22"/>
          <w:szCs w:val="22"/>
          <w:lang w:val="es-ES_tradnl"/>
        </w:rPr>
        <w:t>Al respecto, si bien los factores de desempate regulados en el artículo 35 deben aplicarse «</w:t>
      </w:r>
      <w:r w:rsidRPr="00E174A2">
        <w:rPr>
          <w:rFonts w:ascii="Arial" w:hAnsi="Arial" w:cs="Arial"/>
          <w:lang w:val="es-ES_tradnl"/>
        </w:rPr>
        <w:t xml:space="preserve">[…] </w:t>
      </w:r>
      <w:r w:rsidRPr="00E174A2">
        <w:rPr>
          <w:rFonts w:ascii="Arial" w:hAnsi="Arial" w:cs="Arial"/>
          <w:color w:val="000000" w:themeColor="text1"/>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p>
    <w:p w14:paraId="64E1CB54" w14:textId="77777777" w:rsidR="00DA36B3" w:rsidRPr="00E174A2" w:rsidRDefault="00DA36B3" w:rsidP="00352991">
      <w:pPr>
        <w:spacing w:before="120" w:line="276" w:lineRule="auto"/>
        <w:jc w:val="both"/>
        <w:rPr>
          <w:rFonts w:ascii="Arial" w:hAnsi="Arial" w:cs="Arial"/>
          <w:color w:val="000000" w:themeColor="text1"/>
          <w:sz w:val="22"/>
          <w:szCs w:val="22"/>
          <w:lang w:val="es-ES_tradnl"/>
        </w:rPr>
      </w:pPr>
    </w:p>
    <w:p w14:paraId="7B2C921D" w14:textId="49442F1C" w:rsidR="00DD5B04" w:rsidRPr="00E174A2" w:rsidRDefault="00DD5B04" w:rsidP="00DF76A2">
      <w:pPr>
        <w:spacing w:line="276" w:lineRule="auto"/>
        <w:jc w:val="both"/>
        <w:rPr>
          <w:rFonts w:ascii="Arial" w:hAnsi="Arial" w:cs="Arial"/>
          <w:color w:val="000000" w:themeColor="text1"/>
          <w:sz w:val="22"/>
          <w:lang w:val="es-ES_tradnl"/>
        </w:rPr>
      </w:pPr>
      <w:r w:rsidRPr="00E174A2">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E174A2"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E174A2"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E174A2">
        <w:rPr>
          <w:rFonts w:ascii="Arial" w:hAnsi="Arial" w:cs="Arial"/>
          <w:color w:val="000000" w:themeColor="text1"/>
          <w:sz w:val="22"/>
          <w:szCs w:val="22"/>
          <w:lang w:val="es-ES_tradnl"/>
        </w:rPr>
        <w:t>Atentamente,</w:t>
      </w:r>
    </w:p>
    <w:p w14:paraId="692FC307" w14:textId="210AA6B5" w:rsidR="00921304" w:rsidRPr="00E174A2"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7C18F0E7" w:rsidR="00921304" w:rsidRPr="00E174A2" w:rsidRDefault="00583F81"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63DEC580" wp14:editId="744BBBCE">
            <wp:extent cx="2514600" cy="1114425"/>
            <wp:effectExtent l="0" t="0" r="0" b="0"/>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5CBAE239" w14:textId="77777777" w:rsidR="00425C43" w:rsidRPr="00E174A2" w:rsidRDefault="00425C43" w:rsidP="00B37657">
      <w:pPr>
        <w:jc w:val="center"/>
        <w:rPr>
          <w:rFonts w:ascii="Arial" w:hAnsi="Arial" w:cs="Arial"/>
          <w:color w:val="000000" w:themeColor="text1"/>
          <w:sz w:val="18"/>
          <w:szCs w:val="20"/>
          <w:lang w:val="es-ES_tradnl" w:eastAsia="es-CO"/>
        </w:rPr>
      </w:pPr>
    </w:p>
    <w:p w14:paraId="49730030" w14:textId="217D35F3" w:rsidR="00DD5B04" w:rsidRPr="00E174A2"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E174A2" w14:paraId="0C7DC5F7" w14:textId="77777777" w:rsidTr="008F4163">
        <w:trPr>
          <w:trHeight w:val="315"/>
        </w:trPr>
        <w:tc>
          <w:tcPr>
            <w:tcW w:w="812" w:type="dxa"/>
            <w:vAlign w:val="center"/>
            <w:hideMark/>
          </w:tcPr>
          <w:p w14:paraId="5BDB1AC9" w14:textId="77777777" w:rsidR="00DD5B04" w:rsidRPr="00E174A2" w:rsidRDefault="00DD5B04" w:rsidP="00DF76A2">
            <w:pPr>
              <w:jc w:val="both"/>
              <w:rPr>
                <w:rFonts w:ascii="Arial" w:hAnsi="Arial" w:cs="Arial"/>
                <w:color w:val="000000" w:themeColor="text1"/>
                <w:sz w:val="16"/>
                <w:szCs w:val="16"/>
                <w:lang w:val="es-ES_tradnl" w:eastAsia="es-ES"/>
              </w:rPr>
            </w:pPr>
            <w:r w:rsidRPr="00E174A2">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E174A2" w:rsidRDefault="00DD5B04" w:rsidP="00DF76A2">
            <w:pPr>
              <w:jc w:val="both"/>
              <w:rPr>
                <w:rFonts w:ascii="Arial" w:hAnsi="Arial" w:cs="Arial"/>
                <w:color w:val="000000" w:themeColor="text1"/>
                <w:sz w:val="16"/>
                <w:szCs w:val="16"/>
                <w:lang w:val="es-ES_tradnl" w:eastAsia="es-ES"/>
              </w:rPr>
            </w:pPr>
            <w:r w:rsidRPr="00E174A2">
              <w:rPr>
                <w:rFonts w:ascii="Arial" w:hAnsi="Arial" w:cs="Arial"/>
                <w:color w:val="000000" w:themeColor="text1"/>
                <w:sz w:val="16"/>
                <w:szCs w:val="16"/>
                <w:lang w:val="es-ES_tradnl" w:eastAsia="es-ES"/>
              </w:rPr>
              <w:t>Cristian Andrés Díaz Díez</w:t>
            </w:r>
          </w:p>
          <w:p w14:paraId="240C71FD" w14:textId="31312C95" w:rsidR="00DD5B04" w:rsidRPr="00E174A2" w:rsidRDefault="00DD5B04" w:rsidP="00DF76A2">
            <w:pPr>
              <w:jc w:val="both"/>
              <w:rPr>
                <w:rFonts w:ascii="Arial" w:hAnsi="Arial" w:cs="Arial"/>
                <w:color w:val="000000" w:themeColor="text1"/>
                <w:sz w:val="16"/>
                <w:szCs w:val="16"/>
                <w:lang w:val="es-ES_tradnl" w:eastAsia="es-ES"/>
              </w:rPr>
            </w:pPr>
            <w:r w:rsidRPr="00E174A2">
              <w:rPr>
                <w:rFonts w:ascii="Arial" w:hAnsi="Arial" w:cs="Arial"/>
                <w:color w:val="000000" w:themeColor="text1"/>
                <w:sz w:val="16"/>
                <w:szCs w:val="16"/>
                <w:lang w:val="es-ES_tradnl" w:eastAsia="es-ES"/>
              </w:rPr>
              <w:t>Contratista</w:t>
            </w:r>
            <w:r w:rsidR="00FF0050" w:rsidRPr="00E174A2">
              <w:rPr>
                <w:rFonts w:ascii="Arial" w:hAnsi="Arial" w:cs="Arial"/>
                <w:color w:val="000000" w:themeColor="text1"/>
                <w:sz w:val="16"/>
                <w:szCs w:val="16"/>
                <w:lang w:val="es-ES_tradnl" w:eastAsia="es-ES"/>
              </w:rPr>
              <w:t xml:space="preserve"> de la </w:t>
            </w:r>
            <w:r w:rsidRPr="00E174A2">
              <w:rPr>
                <w:rFonts w:ascii="Arial" w:hAnsi="Arial" w:cs="Arial"/>
                <w:color w:val="000000" w:themeColor="text1"/>
                <w:sz w:val="16"/>
                <w:szCs w:val="16"/>
                <w:lang w:val="es-ES_tradnl" w:eastAsia="es-ES"/>
              </w:rPr>
              <w:t>Subdirección de Gestión Contractual</w:t>
            </w:r>
          </w:p>
        </w:tc>
      </w:tr>
      <w:tr w:rsidR="00DD5B04" w:rsidRPr="00E174A2" w14:paraId="2F8FD650" w14:textId="77777777" w:rsidTr="008F4163">
        <w:trPr>
          <w:trHeight w:val="330"/>
        </w:trPr>
        <w:tc>
          <w:tcPr>
            <w:tcW w:w="812" w:type="dxa"/>
            <w:vAlign w:val="center"/>
            <w:hideMark/>
          </w:tcPr>
          <w:p w14:paraId="50203A0B" w14:textId="77777777" w:rsidR="00DD5B04" w:rsidRPr="00E174A2" w:rsidRDefault="00DD5B04" w:rsidP="00DF76A2">
            <w:pPr>
              <w:jc w:val="both"/>
              <w:rPr>
                <w:rFonts w:ascii="Arial" w:hAnsi="Arial" w:cs="Arial"/>
                <w:color w:val="000000" w:themeColor="text1"/>
                <w:sz w:val="16"/>
                <w:szCs w:val="16"/>
                <w:lang w:val="es-ES_tradnl" w:eastAsia="es-ES"/>
              </w:rPr>
            </w:pPr>
            <w:r w:rsidRPr="00E174A2">
              <w:rPr>
                <w:rFonts w:ascii="Arial" w:hAnsi="Arial" w:cs="Arial"/>
                <w:color w:val="000000" w:themeColor="text1"/>
                <w:sz w:val="16"/>
                <w:szCs w:val="16"/>
                <w:lang w:val="es-ES_tradnl" w:eastAsia="es-ES"/>
              </w:rPr>
              <w:lastRenderedPageBreak/>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0C992CF" w14:textId="77777777" w:rsidR="005042E8" w:rsidRPr="00E174A2" w:rsidRDefault="005042E8" w:rsidP="00C05A61">
            <w:pPr>
              <w:jc w:val="both"/>
              <w:rPr>
                <w:rFonts w:ascii="Arial" w:hAnsi="Arial" w:cs="Arial"/>
                <w:color w:val="000000" w:themeColor="text1"/>
                <w:sz w:val="16"/>
                <w:szCs w:val="16"/>
                <w:lang w:val="es-ES_tradnl" w:eastAsia="es-ES"/>
              </w:rPr>
            </w:pPr>
            <w:r w:rsidRPr="00E174A2">
              <w:rPr>
                <w:rFonts w:ascii="Arial" w:hAnsi="Arial" w:cs="Arial"/>
                <w:color w:val="000000" w:themeColor="text1"/>
                <w:sz w:val="16"/>
                <w:szCs w:val="16"/>
                <w:lang w:val="es-ES_tradnl" w:eastAsia="es-ES"/>
              </w:rPr>
              <w:t xml:space="preserve">Jorge Augusto Tirado Navarro </w:t>
            </w:r>
          </w:p>
          <w:p w14:paraId="130B3228" w14:textId="52535CC9" w:rsidR="00DD5B04" w:rsidRPr="00E174A2" w:rsidRDefault="005042E8" w:rsidP="00C05A61">
            <w:pPr>
              <w:jc w:val="both"/>
              <w:rPr>
                <w:rFonts w:ascii="Arial" w:hAnsi="Arial" w:cs="Arial"/>
                <w:color w:val="000000" w:themeColor="text1"/>
                <w:sz w:val="16"/>
                <w:szCs w:val="16"/>
                <w:lang w:val="es-ES_tradnl" w:eastAsia="es-ES"/>
              </w:rPr>
            </w:pPr>
            <w:r w:rsidRPr="00E174A2">
              <w:rPr>
                <w:rFonts w:ascii="Arial" w:hAnsi="Arial" w:cs="Arial"/>
                <w:color w:val="000000" w:themeColor="text1"/>
                <w:sz w:val="16"/>
                <w:szCs w:val="16"/>
                <w:lang w:val="es-ES_tradnl" w:eastAsia="es-ES"/>
              </w:rPr>
              <w:t>Subdirector de Gestión Contractual ANCP – CCE</w:t>
            </w:r>
          </w:p>
        </w:tc>
      </w:tr>
      <w:tr w:rsidR="00DD5B04" w:rsidRPr="005419DA" w14:paraId="0FCBCA4A" w14:textId="77777777" w:rsidTr="008F4163">
        <w:trPr>
          <w:trHeight w:val="300"/>
        </w:trPr>
        <w:tc>
          <w:tcPr>
            <w:tcW w:w="812" w:type="dxa"/>
            <w:vAlign w:val="center"/>
            <w:hideMark/>
          </w:tcPr>
          <w:p w14:paraId="3C1D943A" w14:textId="77777777" w:rsidR="00DD5B04" w:rsidRPr="00E174A2" w:rsidRDefault="00DD5B04" w:rsidP="00DF76A2">
            <w:pPr>
              <w:jc w:val="both"/>
              <w:rPr>
                <w:rFonts w:ascii="Arial" w:hAnsi="Arial" w:cs="Arial"/>
                <w:color w:val="000000" w:themeColor="text1"/>
                <w:sz w:val="16"/>
                <w:szCs w:val="16"/>
                <w:lang w:val="es-ES_tradnl" w:eastAsia="es-ES"/>
              </w:rPr>
            </w:pPr>
            <w:r w:rsidRPr="00E174A2">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E174A2" w:rsidRDefault="00C05A61" w:rsidP="00DF76A2">
            <w:pPr>
              <w:jc w:val="both"/>
              <w:rPr>
                <w:rFonts w:ascii="Arial" w:hAnsi="Arial" w:cs="Arial"/>
                <w:color w:val="000000" w:themeColor="text1"/>
                <w:sz w:val="16"/>
                <w:szCs w:val="16"/>
                <w:lang w:val="es-ES_tradnl" w:eastAsia="es-ES"/>
              </w:rPr>
            </w:pPr>
            <w:r w:rsidRPr="00E174A2">
              <w:rPr>
                <w:rFonts w:ascii="Arial" w:hAnsi="Arial" w:cs="Arial"/>
                <w:color w:val="000000" w:themeColor="text1"/>
                <w:sz w:val="16"/>
                <w:szCs w:val="16"/>
                <w:lang w:val="es-ES_tradnl" w:eastAsia="es-ES"/>
              </w:rPr>
              <w:t xml:space="preserve">Jorge </w:t>
            </w:r>
            <w:r w:rsidR="00647A36" w:rsidRPr="00E174A2">
              <w:rPr>
                <w:rFonts w:ascii="Arial" w:hAnsi="Arial" w:cs="Arial"/>
                <w:color w:val="000000" w:themeColor="text1"/>
                <w:sz w:val="16"/>
                <w:szCs w:val="16"/>
                <w:lang w:val="es-ES_tradnl" w:eastAsia="es-ES"/>
              </w:rPr>
              <w:t xml:space="preserve">Augusto </w:t>
            </w:r>
            <w:r w:rsidRPr="00E174A2">
              <w:rPr>
                <w:rFonts w:ascii="Arial" w:hAnsi="Arial" w:cs="Arial"/>
                <w:color w:val="000000" w:themeColor="text1"/>
                <w:sz w:val="16"/>
                <w:szCs w:val="16"/>
                <w:lang w:val="es-ES_tradnl" w:eastAsia="es-ES"/>
              </w:rPr>
              <w:t>Tirado Navarro</w:t>
            </w:r>
          </w:p>
          <w:p w14:paraId="1ADC483B" w14:textId="2E3B66D0" w:rsidR="00DD5B04" w:rsidRPr="005419DA" w:rsidRDefault="00DD5B04" w:rsidP="00DF76A2">
            <w:pPr>
              <w:jc w:val="both"/>
              <w:rPr>
                <w:rFonts w:ascii="Arial" w:hAnsi="Arial" w:cs="Arial"/>
                <w:color w:val="000000" w:themeColor="text1"/>
                <w:sz w:val="16"/>
                <w:szCs w:val="16"/>
                <w:lang w:val="es-ES_tradnl" w:eastAsia="es-ES"/>
              </w:rPr>
            </w:pPr>
            <w:r w:rsidRPr="00E174A2">
              <w:rPr>
                <w:rFonts w:ascii="Arial" w:hAnsi="Arial" w:cs="Arial"/>
                <w:color w:val="000000" w:themeColor="text1"/>
                <w:sz w:val="16"/>
                <w:szCs w:val="16"/>
                <w:lang w:val="es-ES_tradnl" w:eastAsia="es-ES"/>
              </w:rPr>
              <w:t>Subdirector de Gestión Contractual</w:t>
            </w:r>
            <w:r w:rsidR="008201DE" w:rsidRPr="00E174A2">
              <w:rPr>
                <w:rFonts w:ascii="Arial" w:hAnsi="Arial" w:cs="Arial"/>
                <w:color w:val="000000" w:themeColor="text1"/>
                <w:sz w:val="16"/>
                <w:szCs w:val="16"/>
                <w:lang w:val="es-ES_tradnl" w:eastAsia="es-ES"/>
              </w:rPr>
              <w:t xml:space="preserve"> ANCP – CCE</w:t>
            </w:r>
          </w:p>
        </w:tc>
      </w:tr>
    </w:tbl>
    <w:p w14:paraId="35B56F46" w14:textId="77777777" w:rsidR="00746E08" w:rsidRPr="005419DA" w:rsidRDefault="00746E08" w:rsidP="00215B8E">
      <w:pPr>
        <w:jc w:val="both"/>
        <w:rPr>
          <w:rFonts w:ascii="Arial" w:hAnsi="Arial" w:cs="Arial"/>
          <w:lang w:val="es-ES_tradnl"/>
        </w:rPr>
      </w:pPr>
    </w:p>
    <w:sectPr w:rsidR="00746E08" w:rsidRPr="005419DA"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4DA15E" w14:textId="77777777" w:rsidR="000206D1" w:rsidRDefault="000206D1">
      <w:r>
        <w:separator/>
      </w:r>
    </w:p>
  </w:endnote>
  <w:endnote w:type="continuationSeparator" w:id="0">
    <w:p w14:paraId="2BDB70DC" w14:textId="77777777" w:rsidR="000206D1" w:rsidRDefault="000206D1">
      <w:r>
        <w:continuationSeparator/>
      </w:r>
    </w:p>
  </w:endnote>
  <w:endnote w:type="continuationNotice" w:id="1">
    <w:p w14:paraId="45604F16" w14:textId="77777777" w:rsidR="000206D1" w:rsidRDefault="000206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259FFB" w14:textId="77777777" w:rsidR="000206D1" w:rsidRDefault="000206D1">
      <w:r>
        <w:separator/>
      </w:r>
    </w:p>
  </w:footnote>
  <w:footnote w:type="continuationSeparator" w:id="0">
    <w:p w14:paraId="2B76695A" w14:textId="77777777" w:rsidR="000206D1" w:rsidRDefault="000206D1">
      <w:r>
        <w:continuationSeparator/>
      </w:r>
    </w:p>
  </w:footnote>
  <w:footnote w:type="continuationNotice" w:id="1">
    <w:p w14:paraId="3D6A3A29" w14:textId="77777777" w:rsidR="000206D1" w:rsidRDefault="000206D1"/>
  </w:footnote>
  <w:footnote w:id="2">
    <w:p w14:paraId="79F1759F" w14:textId="77777777" w:rsidR="00C47F18" w:rsidRPr="001F29DD" w:rsidRDefault="00C47F18" w:rsidP="001F29DD">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Artículos 2 al 29.</w:t>
      </w:r>
    </w:p>
    <w:p w14:paraId="3F3A4C1F" w14:textId="77777777" w:rsidR="00C47F18" w:rsidRPr="001F29DD" w:rsidRDefault="00C47F18" w:rsidP="001F29DD">
      <w:pPr>
        <w:pStyle w:val="Textonotapie"/>
        <w:ind w:firstLine="709"/>
        <w:jc w:val="both"/>
        <w:rPr>
          <w:rFonts w:ascii="Arial" w:hAnsi="Arial" w:cs="Arial"/>
          <w:sz w:val="19"/>
          <w:szCs w:val="19"/>
          <w:lang w:val="es-ES"/>
        </w:rPr>
      </w:pPr>
    </w:p>
  </w:footnote>
  <w:footnote w:id="3">
    <w:p w14:paraId="3A8728BD" w14:textId="77777777" w:rsidR="00C47F18" w:rsidRPr="001F29DD" w:rsidRDefault="00C47F18" w:rsidP="001F29DD">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Artículos 30 al 36.</w:t>
      </w:r>
    </w:p>
    <w:p w14:paraId="6E32AE94" w14:textId="77777777" w:rsidR="00C47F18" w:rsidRPr="001F29DD" w:rsidRDefault="00C47F18" w:rsidP="001F29DD">
      <w:pPr>
        <w:pStyle w:val="Textonotapie"/>
        <w:ind w:firstLine="709"/>
        <w:jc w:val="both"/>
        <w:rPr>
          <w:rFonts w:ascii="Arial" w:hAnsi="Arial" w:cs="Arial"/>
          <w:sz w:val="19"/>
          <w:szCs w:val="19"/>
          <w:lang w:val="es-ES"/>
        </w:rPr>
      </w:pPr>
    </w:p>
  </w:footnote>
  <w:footnote w:id="4">
    <w:p w14:paraId="29604E64" w14:textId="77777777" w:rsidR="00C47F18" w:rsidRPr="001F29DD" w:rsidRDefault="00C47F18" w:rsidP="001F29DD">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Artículos 37 al 45.</w:t>
      </w:r>
    </w:p>
    <w:p w14:paraId="6EAC1815" w14:textId="77777777" w:rsidR="00C47F18" w:rsidRPr="001F29DD" w:rsidRDefault="00C47F18" w:rsidP="001F29DD">
      <w:pPr>
        <w:pStyle w:val="Textonotapie"/>
        <w:ind w:firstLine="709"/>
        <w:jc w:val="both"/>
        <w:rPr>
          <w:rFonts w:ascii="Arial" w:hAnsi="Arial" w:cs="Arial"/>
          <w:sz w:val="19"/>
          <w:szCs w:val="19"/>
          <w:lang w:val="es-ES"/>
        </w:rPr>
      </w:pPr>
    </w:p>
  </w:footnote>
  <w:footnote w:id="5">
    <w:p w14:paraId="5B24E1F3" w14:textId="77777777" w:rsidR="00C47F18" w:rsidRPr="001F29DD" w:rsidRDefault="00C47F18" w:rsidP="001F29DD">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Artículos 46 al 73.</w:t>
      </w:r>
    </w:p>
    <w:p w14:paraId="30FD1F17" w14:textId="77777777" w:rsidR="00C47F18" w:rsidRPr="001F29DD" w:rsidRDefault="00C47F18" w:rsidP="001F29DD">
      <w:pPr>
        <w:pStyle w:val="Textonotapie"/>
        <w:ind w:firstLine="709"/>
        <w:jc w:val="both"/>
        <w:rPr>
          <w:rFonts w:ascii="Arial" w:hAnsi="Arial" w:cs="Arial"/>
          <w:sz w:val="19"/>
          <w:szCs w:val="19"/>
          <w:lang w:val="es-ES"/>
        </w:rPr>
      </w:pPr>
    </w:p>
  </w:footnote>
  <w:footnote w:id="6">
    <w:p w14:paraId="799E79D6" w14:textId="77777777" w:rsidR="00C47F18" w:rsidRPr="001F29DD" w:rsidRDefault="00C47F18" w:rsidP="001F29DD">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Artículos 74 al 83.</w:t>
      </w:r>
    </w:p>
    <w:p w14:paraId="4FB507B1" w14:textId="77777777" w:rsidR="00C47F18" w:rsidRPr="001F29DD" w:rsidRDefault="00C47F18" w:rsidP="001F29DD">
      <w:pPr>
        <w:pStyle w:val="Textonotapie"/>
        <w:ind w:firstLine="709"/>
        <w:jc w:val="both"/>
        <w:rPr>
          <w:rFonts w:ascii="Arial" w:hAnsi="Arial" w:cs="Arial"/>
          <w:sz w:val="19"/>
          <w:szCs w:val="19"/>
          <w:lang w:val="es-ES"/>
        </w:rPr>
      </w:pPr>
    </w:p>
  </w:footnote>
  <w:footnote w:id="7">
    <w:p w14:paraId="007B2DE8" w14:textId="11F1F723" w:rsidR="005F0B10" w:rsidRPr="001F29DD" w:rsidRDefault="00903C57" w:rsidP="001F29DD">
      <w:pPr>
        <w:ind w:firstLine="709"/>
        <w:jc w:val="both"/>
        <w:rPr>
          <w:rFonts w:ascii="Arial" w:hAnsi="Arial" w:cs="Arial"/>
          <w:sz w:val="19"/>
          <w:szCs w:val="19"/>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 xml:space="preserve">En efecto, el artículo </w:t>
      </w:r>
      <w:r w:rsidR="00231A18" w:rsidRPr="001F29DD">
        <w:rPr>
          <w:rFonts w:ascii="Arial" w:hAnsi="Arial" w:cs="Arial"/>
          <w:sz w:val="19"/>
          <w:szCs w:val="19"/>
          <w:lang w:val="es-ES"/>
        </w:rPr>
        <w:t xml:space="preserve">34 de la Ley 2069 de 2020 establece: </w:t>
      </w:r>
      <w:r w:rsidR="005F0B10" w:rsidRPr="001F29DD">
        <w:rPr>
          <w:rFonts w:ascii="Arial" w:hAnsi="Arial" w:cs="Arial"/>
          <w:sz w:val="19"/>
          <w:szCs w:val="19"/>
          <w:lang w:val="es-ES"/>
        </w:rPr>
        <w:t>«</w:t>
      </w:r>
      <w:r w:rsidR="005F0B10" w:rsidRPr="001F29DD">
        <w:rPr>
          <w:rFonts w:ascii="Arial" w:hAnsi="Arial" w:cs="Arial"/>
          <w:sz w:val="19"/>
          <w:szCs w:val="19"/>
        </w:rPr>
        <w:t xml:space="preserve">Modifíquese el artículo 12 de la Ley 1150 de 2007, el cual quedará así: </w:t>
      </w:r>
    </w:p>
    <w:p w14:paraId="5B3EECC1" w14:textId="7C5050AB" w:rsidR="00231A18" w:rsidRPr="001F29DD" w:rsidRDefault="005F0B10" w:rsidP="001F29DD">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rPr>
        <w:t>»</w:t>
      </w:r>
      <w:r w:rsidR="00231A18" w:rsidRPr="001F29DD">
        <w:rPr>
          <w:rFonts w:ascii="Arial" w:eastAsia="Calibri" w:hAnsi="Arial" w:cs="Arial"/>
          <w:color w:val="000000" w:themeColor="text1"/>
          <w:sz w:val="19"/>
          <w:szCs w:val="19"/>
          <w:lang w:val="es-ES_tradnl"/>
        </w:rPr>
        <w:t>"</w:t>
      </w:r>
      <w:r w:rsidRPr="001F29DD">
        <w:rPr>
          <w:rFonts w:ascii="Arial" w:eastAsia="Calibri" w:hAnsi="Arial" w:cs="Arial"/>
          <w:color w:val="000000" w:themeColor="text1"/>
          <w:sz w:val="19"/>
          <w:szCs w:val="19"/>
          <w:lang w:val="es-ES_tradnl"/>
        </w:rPr>
        <w:t>Artículo</w:t>
      </w:r>
      <w:r w:rsidR="00231A18" w:rsidRPr="001F29DD">
        <w:rPr>
          <w:rFonts w:ascii="Arial" w:eastAsia="Calibri" w:hAnsi="Arial" w:cs="Arial"/>
          <w:color w:val="000000" w:themeColor="text1"/>
          <w:sz w:val="19"/>
          <w:szCs w:val="19"/>
          <w:lang w:val="es-ES_tradnl"/>
        </w:rPr>
        <w:t xml:space="preserve">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w:t>
      </w:r>
      <w:proofErr w:type="spellStart"/>
      <w:r w:rsidR="00231A18" w:rsidRPr="001F29DD">
        <w:rPr>
          <w:rFonts w:ascii="Arial" w:eastAsia="Calibri" w:hAnsi="Arial" w:cs="Arial"/>
          <w:color w:val="000000" w:themeColor="text1"/>
          <w:sz w:val="19"/>
          <w:szCs w:val="19"/>
          <w:lang w:val="es-ES_tradnl"/>
        </w:rPr>
        <w:t>Mipyme</w:t>
      </w:r>
      <w:proofErr w:type="spellEnd"/>
      <w:r w:rsidR="00231A18" w:rsidRPr="001F29DD">
        <w:rPr>
          <w:rFonts w:ascii="Arial" w:eastAsia="Calibri" w:hAnsi="Arial" w:cs="Arial"/>
          <w:color w:val="000000" w:themeColor="text1"/>
          <w:sz w:val="19"/>
          <w:szCs w:val="19"/>
          <w:lang w:val="es-ES_tradnl"/>
        </w:rPr>
        <w:t xml:space="preserve">, convocatorias limitadas a estas en las que, previo a la Resolución de apertura del proceso respectivo, se haya manifestado el interés de por lo menos dos (2) </w:t>
      </w:r>
      <w:proofErr w:type="spellStart"/>
      <w:r w:rsidR="00231A18" w:rsidRPr="001F29DD">
        <w:rPr>
          <w:rFonts w:ascii="Arial" w:eastAsia="Calibri" w:hAnsi="Arial" w:cs="Arial"/>
          <w:color w:val="000000" w:themeColor="text1"/>
          <w:sz w:val="19"/>
          <w:szCs w:val="19"/>
          <w:lang w:val="es-ES_tradnl"/>
        </w:rPr>
        <w:t>Mipyme</w:t>
      </w:r>
      <w:proofErr w:type="spellEnd"/>
      <w:r w:rsidR="00231A18" w:rsidRPr="001F29DD">
        <w:rPr>
          <w:rFonts w:ascii="Arial" w:eastAsia="Calibri" w:hAnsi="Arial" w:cs="Arial"/>
          <w:color w:val="000000" w:themeColor="text1"/>
          <w:sz w:val="19"/>
          <w:szCs w:val="19"/>
          <w:lang w:val="es-ES_tradnl"/>
        </w:rPr>
        <w:t>.</w:t>
      </w:r>
    </w:p>
    <w:p w14:paraId="58FA426A" w14:textId="303369BB" w:rsidR="00231A18" w:rsidRPr="001F29DD" w:rsidRDefault="005F0B10" w:rsidP="001F29DD">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lang w:val="es-ES_tradnl"/>
        </w:rPr>
        <w:t>»</w:t>
      </w:r>
      <w:r w:rsidR="00231A18" w:rsidRPr="001F29DD">
        <w:rPr>
          <w:rFonts w:ascii="Arial" w:eastAsia="Calibri" w:hAnsi="Arial" w:cs="Arial"/>
          <w:color w:val="000000" w:themeColor="text1"/>
          <w:sz w:val="19"/>
          <w:szCs w:val="19"/>
          <w:lang w:val="es-ES_tradnl"/>
        </w:rPr>
        <w:t xml:space="preserve">Asimismo, el reglamento podrá establecer condiciones preferenciales a favor de la oferta de bienes y servicios producidos por las </w:t>
      </w:r>
      <w:proofErr w:type="spellStart"/>
      <w:r w:rsidR="00231A18" w:rsidRPr="001F29DD">
        <w:rPr>
          <w:rFonts w:ascii="Arial" w:eastAsia="Calibri" w:hAnsi="Arial" w:cs="Arial"/>
          <w:color w:val="000000" w:themeColor="text1"/>
          <w:sz w:val="19"/>
          <w:szCs w:val="19"/>
          <w:lang w:val="es-ES_tradnl"/>
        </w:rPr>
        <w:t>Mipyme</w:t>
      </w:r>
      <w:proofErr w:type="spellEnd"/>
      <w:r w:rsidR="00231A18" w:rsidRPr="001F29DD">
        <w:rPr>
          <w:rFonts w:ascii="Arial" w:eastAsia="Calibri" w:hAnsi="Arial" w:cs="Arial"/>
          <w:color w:val="000000" w:themeColor="text1"/>
          <w:sz w:val="19"/>
          <w:szCs w:val="19"/>
          <w:lang w:val="es-ES_tradnl"/>
        </w:rPr>
        <w:t xml:space="preserve"> respetando los montos y las condiciones contenidas en los compromisos internacionales vigentes, cuando sean aplicables.</w:t>
      </w:r>
    </w:p>
    <w:p w14:paraId="18EBE081" w14:textId="1BBDB92E" w:rsidR="00231A18" w:rsidRPr="001F29DD" w:rsidRDefault="005F0B10" w:rsidP="001F29DD">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lang w:val="es-ES_tradnl"/>
        </w:rPr>
        <w:t>»</w:t>
      </w:r>
      <w:r w:rsidR="00231A18" w:rsidRPr="001F29DD">
        <w:rPr>
          <w:rFonts w:ascii="Arial" w:eastAsia="Calibri" w:hAnsi="Arial" w:cs="Arial"/>
          <w:color w:val="000000" w:themeColor="text1"/>
          <w:sz w:val="19"/>
          <w:szCs w:val="19"/>
          <w:lang w:val="es-ES_tradnl"/>
        </w:rPr>
        <w:t>En todo caso, se deberá garantizar la satisfacción de las condiciones técnicas y económicas requeridas en el Proceso de Contratación.</w:t>
      </w:r>
    </w:p>
    <w:p w14:paraId="0B8E2E25" w14:textId="120EFCBF" w:rsidR="00231A18" w:rsidRPr="001F29DD" w:rsidRDefault="005F0B10" w:rsidP="001F29DD">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lang w:val="es-ES_tradnl"/>
        </w:rPr>
        <w:t>»</w:t>
      </w:r>
      <w:r w:rsidR="00231A18" w:rsidRPr="001F29DD">
        <w:rPr>
          <w:rFonts w:ascii="Arial" w:eastAsia="Calibri" w:hAnsi="Arial" w:cs="Arial"/>
          <w:color w:val="000000" w:themeColor="text1"/>
          <w:sz w:val="19"/>
          <w:szCs w:val="19"/>
          <w:lang w:val="es-ES_tradnl"/>
        </w:rPr>
        <w:t>De igual forma,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p>
    <w:p w14:paraId="02ADEC45" w14:textId="314C7AA9" w:rsidR="00231A18" w:rsidRPr="001F29DD" w:rsidRDefault="005F0B10" w:rsidP="001F29DD">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lang w:val="es-ES_tradnl"/>
        </w:rPr>
        <w:t>»Parágrafo Primero</w:t>
      </w:r>
      <w:r w:rsidR="00231A18" w:rsidRPr="001F29DD">
        <w:rPr>
          <w:rFonts w:ascii="Arial" w:eastAsia="Calibri" w:hAnsi="Arial" w:cs="Arial"/>
          <w:color w:val="000000" w:themeColor="text1"/>
          <w:sz w:val="19"/>
          <w:szCs w:val="19"/>
          <w:lang w:val="es-ES_tradnl"/>
        </w:rPr>
        <w:t xml:space="preserve">. En los Procesos de Contratación que se desarrollen con base en el primer inciso, las entidades podrán realizar las convocatorias limitadas que beneficien a las </w:t>
      </w:r>
      <w:proofErr w:type="spellStart"/>
      <w:r w:rsidR="00231A18" w:rsidRPr="001F29DD">
        <w:rPr>
          <w:rFonts w:ascii="Arial" w:eastAsia="Calibri" w:hAnsi="Arial" w:cs="Arial"/>
          <w:color w:val="000000" w:themeColor="text1"/>
          <w:sz w:val="19"/>
          <w:szCs w:val="19"/>
          <w:lang w:val="es-ES_tradnl"/>
        </w:rPr>
        <w:t>Mipyme</w:t>
      </w:r>
      <w:proofErr w:type="spellEnd"/>
      <w:r w:rsidR="00231A18" w:rsidRPr="001F29DD">
        <w:rPr>
          <w:rFonts w:ascii="Arial" w:eastAsia="Calibri" w:hAnsi="Arial" w:cs="Arial"/>
          <w:color w:val="000000" w:themeColor="text1"/>
          <w:sz w:val="19"/>
          <w:szCs w:val="19"/>
          <w:lang w:val="es-ES_tradnl"/>
        </w:rPr>
        <w:t xml:space="preserve"> del ámbito municipal o departamental correspondiente al de la ejecución del contrato.</w:t>
      </w:r>
    </w:p>
    <w:p w14:paraId="75C07D68" w14:textId="4D11C44A" w:rsidR="00231A18" w:rsidRPr="001F29DD" w:rsidRDefault="005F0B10" w:rsidP="001F29DD">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lang w:val="es-ES_tradnl"/>
        </w:rPr>
        <w:t>»Parágrafo Segundo</w:t>
      </w:r>
      <w:r w:rsidR="00231A18" w:rsidRPr="001F29DD">
        <w:rPr>
          <w:rFonts w:ascii="Arial" w:eastAsia="Calibri" w:hAnsi="Arial" w:cs="Arial"/>
          <w:color w:val="000000" w:themeColor="text1"/>
          <w:sz w:val="19"/>
          <w:szCs w:val="19"/>
          <w:lang w:val="es-ES_tradnl"/>
        </w:rPr>
        <w:t xml:space="preserve">. Sin perjuicio de lo dispuesto en los artículos 5 y 6 de la Ley 1150 de 2007, para que las </w:t>
      </w:r>
      <w:proofErr w:type="spellStart"/>
      <w:r w:rsidR="00231A18" w:rsidRPr="001F29DD">
        <w:rPr>
          <w:rFonts w:ascii="Arial" w:eastAsia="Calibri" w:hAnsi="Arial" w:cs="Arial"/>
          <w:color w:val="000000" w:themeColor="text1"/>
          <w:sz w:val="19"/>
          <w:szCs w:val="19"/>
          <w:lang w:val="es-ES_tradnl"/>
        </w:rPr>
        <w:t>Mipymes</w:t>
      </w:r>
      <w:proofErr w:type="spellEnd"/>
      <w:r w:rsidR="00231A18" w:rsidRPr="001F29DD">
        <w:rPr>
          <w:rFonts w:ascii="Arial" w:eastAsia="Calibri" w:hAnsi="Arial" w:cs="Arial"/>
          <w:color w:val="000000" w:themeColor="text1"/>
          <w:sz w:val="19"/>
          <w:szCs w:val="19"/>
          <w:lang w:val="es-ES_tradnl"/>
        </w:rPr>
        <w:t xml:space="preserve">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7497F2C4" w14:textId="3858EBC9" w:rsidR="00231A18" w:rsidRPr="001F29DD" w:rsidRDefault="005F0B10" w:rsidP="001F29DD">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lang w:val="es-ES_tradnl"/>
        </w:rPr>
        <w:t>»Parágrafo Tercero</w:t>
      </w:r>
      <w:r w:rsidR="00231A18" w:rsidRPr="001F29DD">
        <w:rPr>
          <w:rFonts w:ascii="Arial" w:eastAsia="Calibri" w:hAnsi="Arial" w:cs="Arial"/>
          <w:color w:val="000000" w:themeColor="text1"/>
          <w:sz w:val="19"/>
          <w:szCs w:val="19"/>
          <w:lang w:val="es-ES_tradnl"/>
        </w:rPr>
        <w:t>. En la ejecución de los contratos a que se refiere el presente artículo, las entidades y los contratistas, deberán observar lo dispuesto en los artículos 90 a 95 de la Ley 418 de 1997 y las normas que la modifiquen, adicionen o subroguen."</w:t>
      </w:r>
      <w:r w:rsidRPr="001F29DD">
        <w:rPr>
          <w:rFonts w:ascii="Arial" w:eastAsia="Calibri" w:hAnsi="Arial" w:cs="Arial"/>
          <w:color w:val="000000" w:themeColor="text1"/>
          <w:sz w:val="19"/>
          <w:szCs w:val="19"/>
          <w:lang w:val="es-ES_tradnl"/>
        </w:rPr>
        <w:t>»</w:t>
      </w:r>
      <w:r w:rsidR="00231A18" w:rsidRPr="001F29DD">
        <w:rPr>
          <w:rFonts w:ascii="Arial" w:eastAsia="Calibri" w:hAnsi="Arial" w:cs="Arial"/>
          <w:color w:val="000000" w:themeColor="text1"/>
          <w:sz w:val="19"/>
          <w:szCs w:val="19"/>
          <w:lang w:val="es-ES_tradnl"/>
        </w:rPr>
        <w:t xml:space="preserve">  </w:t>
      </w:r>
    </w:p>
    <w:p w14:paraId="415AFBE5" w14:textId="0449504E" w:rsidR="00903C57" w:rsidRPr="001F29DD" w:rsidRDefault="00903C57" w:rsidP="001F29DD">
      <w:pPr>
        <w:pStyle w:val="Textonotapie"/>
        <w:ind w:firstLine="709"/>
        <w:jc w:val="both"/>
        <w:rPr>
          <w:rFonts w:ascii="Arial" w:hAnsi="Arial" w:cs="Arial"/>
          <w:sz w:val="19"/>
          <w:szCs w:val="19"/>
          <w:lang w:val="es-ES_tradnl"/>
        </w:rPr>
      </w:pPr>
    </w:p>
  </w:footnote>
  <w:footnote w:id="8">
    <w:p w14:paraId="078CB9B4" w14:textId="3A296902" w:rsidR="001F29DD" w:rsidRPr="001F29DD" w:rsidRDefault="00D83044" w:rsidP="001F29DD">
      <w:pPr>
        <w:ind w:firstLine="709"/>
        <w:jc w:val="both"/>
        <w:rPr>
          <w:rFonts w:ascii="Arial" w:eastAsiaTheme="minorHAnsi" w:hAnsi="Arial" w:cs="Arial"/>
          <w:sz w:val="19"/>
          <w:szCs w:val="19"/>
          <w:lang w:val="es-ES" w:eastAsia="en-U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Corte Constitucional. Sentencia</w:t>
      </w:r>
      <w:r w:rsidR="001F29DD" w:rsidRPr="001F29DD">
        <w:rPr>
          <w:rFonts w:ascii="Arial" w:hAnsi="Arial" w:cs="Arial"/>
          <w:sz w:val="19"/>
          <w:szCs w:val="19"/>
          <w:lang w:val="es-ES"/>
        </w:rPr>
        <w:t xml:space="preserve"> C-502 de 2012. Magistrada Ponente: </w:t>
      </w:r>
      <w:r w:rsidR="001F29DD" w:rsidRPr="001F29DD">
        <w:rPr>
          <w:rFonts w:ascii="Arial" w:eastAsiaTheme="minorHAnsi" w:hAnsi="Arial" w:cs="Arial"/>
          <w:sz w:val="19"/>
          <w:szCs w:val="19"/>
          <w:lang w:val="es-ES" w:eastAsia="en-US"/>
        </w:rPr>
        <w:t>Adriana Mar</w:t>
      </w:r>
      <w:r w:rsidR="007323A1">
        <w:rPr>
          <w:rFonts w:ascii="Arial" w:eastAsiaTheme="minorHAnsi" w:hAnsi="Arial" w:cs="Arial"/>
          <w:sz w:val="19"/>
          <w:szCs w:val="19"/>
          <w:lang w:val="es-ES" w:eastAsia="en-US"/>
        </w:rPr>
        <w:t>í</w:t>
      </w:r>
      <w:r w:rsidR="001F29DD" w:rsidRPr="001F29DD">
        <w:rPr>
          <w:rFonts w:ascii="Arial" w:eastAsiaTheme="minorHAnsi" w:hAnsi="Arial" w:cs="Arial"/>
          <w:sz w:val="19"/>
          <w:szCs w:val="19"/>
          <w:lang w:val="es-ES" w:eastAsia="en-US"/>
        </w:rPr>
        <w:t>a Guillén Arango</w:t>
      </w:r>
      <w:r w:rsidR="001F29DD">
        <w:rPr>
          <w:rFonts w:ascii="Arial" w:eastAsiaTheme="minorHAnsi" w:hAnsi="Arial" w:cs="Arial"/>
          <w:sz w:val="19"/>
          <w:szCs w:val="19"/>
          <w:lang w:val="es-ES" w:eastAsia="en-US"/>
        </w:rPr>
        <w:t>.</w:t>
      </w:r>
    </w:p>
    <w:p w14:paraId="1910D83F" w14:textId="3CBCEA2F" w:rsidR="00D83044" w:rsidRPr="001F29DD" w:rsidRDefault="00D83044" w:rsidP="001F29DD">
      <w:pPr>
        <w:pStyle w:val="Textonotapie"/>
        <w:ind w:firstLine="709"/>
        <w:jc w:val="both"/>
        <w:rPr>
          <w:rFonts w:ascii="Arial" w:hAnsi="Arial" w:cs="Arial"/>
          <w:sz w:val="19"/>
          <w:szCs w:val="19"/>
          <w:lang w:val="es-ES"/>
        </w:rPr>
      </w:pPr>
      <w:r w:rsidRPr="001F29DD">
        <w:rPr>
          <w:rFonts w:ascii="Arial" w:hAnsi="Arial" w:cs="Arial"/>
          <w:sz w:val="19"/>
          <w:szCs w:val="19"/>
          <w:lang w:val="es-ES"/>
        </w:rPr>
        <w:t xml:space="preserve"> </w:t>
      </w:r>
    </w:p>
  </w:footnote>
  <w:footnote w:id="9">
    <w:p w14:paraId="52603FCF" w14:textId="77777777" w:rsidR="00BC3DD4" w:rsidRPr="001F29DD" w:rsidRDefault="00BC3DD4" w:rsidP="001F29DD">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Consejo de Estado. Sección Tercera. Sentencia del 29 de octubre de 2.015. Consejera Ponente: Stella Conto Díaz Del Castillo. Expediente: 31.918.</w:t>
      </w:r>
    </w:p>
    <w:p w14:paraId="517CDA04" w14:textId="77777777" w:rsidR="00BC3DD4" w:rsidRPr="001F29DD" w:rsidRDefault="00BC3DD4" w:rsidP="001F29DD">
      <w:pPr>
        <w:pStyle w:val="Textonotapie"/>
        <w:ind w:firstLine="709"/>
        <w:jc w:val="both"/>
        <w:rPr>
          <w:rFonts w:ascii="Arial" w:hAnsi="Arial" w:cs="Arial"/>
          <w:sz w:val="19"/>
          <w:szCs w:val="19"/>
          <w:lang w:val="es-ES"/>
        </w:rPr>
      </w:pPr>
    </w:p>
  </w:footnote>
  <w:footnote w:id="10">
    <w:p w14:paraId="3DC4A1EC" w14:textId="77777777" w:rsidR="00BC3DD4" w:rsidRPr="001F29DD" w:rsidRDefault="00BC3DD4" w:rsidP="001F29DD">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Corte Constitucional. Sentencia T-684A del 14 de septiembre de 2011. Magistrado Ponente: Mauricio González Cuervo.</w:t>
      </w:r>
    </w:p>
    <w:p w14:paraId="3B84A5BD" w14:textId="77777777" w:rsidR="00BC3DD4" w:rsidRPr="001F29DD" w:rsidRDefault="00BC3DD4" w:rsidP="001F29DD">
      <w:pPr>
        <w:pStyle w:val="Textonotapie"/>
        <w:ind w:firstLine="709"/>
        <w:jc w:val="both"/>
        <w:rPr>
          <w:rFonts w:ascii="Arial" w:hAnsi="Arial" w:cs="Arial"/>
          <w:sz w:val="19"/>
          <w:szCs w:val="19"/>
          <w:lang w:val="es-ES"/>
        </w:rPr>
      </w:pPr>
    </w:p>
  </w:footnote>
  <w:footnote w:id="11">
    <w:p w14:paraId="6AD716AE" w14:textId="77777777" w:rsidR="00BC3DD4" w:rsidRPr="001F29DD" w:rsidRDefault="00BC3DD4" w:rsidP="001F29DD">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 xml:space="preserve">Consejo de Estado. Sección Tercera. Sentencia del 6 de diciembre de 2.013. Consejera Ponente: Stella Conto Díaz Del Castillo. Expediente: 27.506. En efecto, el artículo 44, inciso 1º,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588DF4F0" w14:textId="77777777" w:rsidR="00BC3DD4" w:rsidRPr="001F29DD" w:rsidRDefault="00BC3DD4" w:rsidP="001F29DD">
      <w:pPr>
        <w:pStyle w:val="Textonotapie"/>
        <w:ind w:firstLine="709"/>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3"/>
  <w:proofState w:spelling="clean"/>
  <w:attachedTemplate r:id="rId1"/>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C5C"/>
    <w:rsid w:val="00003D39"/>
    <w:rsid w:val="000040D7"/>
    <w:rsid w:val="00004556"/>
    <w:rsid w:val="000051AF"/>
    <w:rsid w:val="000059D3"/>
    <w:rsid w:val="00005B6D"/>
    <w:rsid w:val="0000600A"/>
    <w:rsid w:val="00006081"/>
    <w:rsid w:val="00007750"/>
    <w:rsid w:val="000077FD"/>
    <w:rsid w:val="00007E37"/>
    <w:rsid w:val="00010C40"/>
    <w:rsid w:val="000112B4"/>
    <w:rsid w:val="00011DCC"/>
    <w:rsid w:val="00011EA4"/>
    <w:rsid w:val="00012532"/>
    <w:rsid w:val="00012B9E"/>
    <w:rsid w:val="00012F37"/>
    <w:rsid w:val="00012FBA"/>
    <w:rsid w:val="00013C6B"/>
    <w:rsid w:val="0001406B"/>
    <w:rsid w:val="000140E5"/>
    <w:rsid w:val="000143F8"/>
    <w:rsid w:val="00014624"/>
    <w:rsid w:val="00015126"/>
    <w:rsid w:val="00015B44"/>
    <w:rsid w:val="00016081"/>
    <w:rsid w:val="000165AC"/>
    <w:rsid w:val="00016651"/>
    <w:rsid w:val="000171A2"/>
    <w:rsid w:val="00017B65"/>
    <w:rsid w:val="00020158"/>
    <w:rsid w:val="000206D1"/>
    <w:rsid w:val="000207E0"/>
    <w:rsid w:val="000209E2"/>
    <w:rsid w:val="00020F8F"/>
    <w:rsid w:val="00021A95"/>
    <w:rsid w:val="00021C8A"/>
    <w:rsid w:val="0002256F"/>
    <w:rsid w:val="00023DAE"/>
    <w:rsid w:val="00024896"/>
    <w:rsid w:val="000255FA"/>
    <w:rsid w:val="00025D0A"/>
    <w:rsid w:val="000263F0"/>
    <w:rsid w:val="00026407"/>
    <w:rsid w:val="00026608"/>
    <w:rsid w:val="00027787"/>
    <w:rsid w:val="000278D2"/>
    <w:rsid w:val="00030DFB"/>
    <w:rsid w:val="00031364"/>
    <w:rsid w:val="000315E1"/>
    <w:rsid w:val="00031B7A"/>
    <w:rsid w:val="0003236E"/>
    <w:rsid w:val="000323C6"/>
    <w:rsid w:val="00032689"/>
    <w:rsid w:val="00032B89"/>
    <w:rsid w:val="0003339A"/>
    <w:rsid w:val="000341F2"/>
    <w:rsid w:val="00035046"/>
    <w:rsid w:val="000351F2"/>
    <w:rsid w:val="0003535C"/>
    <w:rsid w:val="00035768"/>
    <w:rsid w:val="00036D03"/>
    <w:rsid w:val="00036E03"/>
    <w:rsid w:val="000406DB"/>
    <w:rsid w:val="0004094D"/>
    <w:rsid w:val="00041029"/>
    <w:rsid w:val="00041357"/>
    <w:rsid w:val="0004149B"/>
    <w:rsid w:val="00041FC6"/>
    <w:rsid w:val="00042961"/>
    <w:rsid w:val="00042C25"/>
    <w:rsid w:val="00042D03"/>
    <w:rsid w:val="00043086"/>
    <w:rsid w:val="000430A0"/>
    <w:rsid w:val="00043652"/>
    <w:rsid w:val="00043D3B"/>
    <w:rsid w:val="0004418C"/>
    <w:rsid w:val="00044204"/>
    <w:rsid w:val="0004477A"/>
    <w:rsid w:val="000449D4"/>
    <w:rsid w:val="000453F7"/>
    <w:rsid w:val="0004600D"/>
    <w:rsid w:val="000463B5"/>
    <w:rsid w:val="00046717"/>
    <w:rsid w:val="00046A63"/>
    <w:rsid w:val="00046C09"/>
    <w:rsid w:val="0004716A"/>
    <w:rsid w:val="00047385"/>
    <w:rsid w:val="000473E8"/>
    <w:rsid w:val="000504DE"/>
    <w:rsid w:val="00051074"/>
    <w:rsid w:val="000526F0"/>
    <w:rsid w:val="0005273D"/>
    <w:rsid w:val="00052B79"/>
    <w:rsid w:val="00052E4B"/>
    <w:rsid w:val="00052EA0"/>
    <w:rsid w:val="000536A7"/>
    <w:rsid w:val="000536E3"/>
    <w:rsid w:val="00053896"/>
    <w:rsid w:val="000538D3"/>
    <w:rsid w:val="00053A00"/>
    <w:rsid w:val="0005474D"/>
    <w:rsid w:val="00055CB9"/>
    <w:rsid w:val="00056F66"/>
    <w:rsid w:val="0005702F"/>
    <w:rsid w:val="000578FF"/>
    <w:rsid w:val="00061010"/>
    <w:rsid w:val="00061D06"/>
    <w:rsid w:val="00062CDD"/>
    <w:rsid w:val="00062DB3"/>
    <w:rsid w:val="00063472"/>
    <w:rsid w:val="000640AF"/>
    <w:rsid w:val="00064940"/>
    <w:rsid w:val="00064CAE"/>
    <w:rsid w:val="00064DB7"/>
    <w:rsid w:val="00064FA7"/>
    <w:rsid w:val="00065195"/>
    <w:rsid w:val="0006536C"/>
    <w:rsid w:val="0006626E"/>
    <w:rsid w:val="00066A7F"/>
    <w:rsid w:val="00070AF1"/>
    <w:rsid w:val="000714DE"/>
    <w:rsid w:val="0007254F"/>
    <w:rsid w:val="0007357C"/>
    <w:rsid w:val="00073C30"/>
    <w:rsid w:val="00074305"/>
    <w:rsid w:val="000744D0"/>
    <w:rsid w:val="00074B2A"/>
    <w:rsid w:val="00074EEE"/>
    <w:rsid w:val="000753D5"/>
    <w:rsid w:val="00075B3E"/>
    <w:rsid w:val="00076456"/>
    <w:rsid w:val="0007779B"/>
    <w:rsid w:val="000777E7"/>
    <w:rsid w:val="0007790A"/>
    <w:rsid w:val="000779F2"/>
    <w:rsid w:val="0008017B"/>
    <w:rsid w:val="00080ACD"/>
    <w:rsid w:val="000811ED"/>
    <w:rsid w:val="00081D62"/>
    <w:rsid w:val="0008285F"/>
    <w:rsid w:val="00082B74"/>
    <w:rsid w:val="00083099"/>
    <w:rsid w:val="00083EDC"/>
    <w:rsid w:val="00084B97"/>
    <w:rsid w:val="00084F87"/>
    <w:rsid w:val="00085033"/>
    <w:rsid w:val="0008510E"/>
    <w:rsid w:val="000856DE"/>
    <w:rsid w:val="00085F17"/>
    <w:rsid w:val="00085FB0"/>
    <w:rsid w:val="00085FB3"/>
    <w:rsid w:val="0008686B"/>
    <w:rsid w:val="00086B2A"/>
    <w:rsid w:val="00086ED2"/>
    <w:rsid w:val="00087A64"/>
    <w:rsid w:val="0009082C"/>
    <w:rsid w:val="00090C39"/>
    <w:rsid w:val="000914D6"/>
    <w:rsid w:val="00091569"/>
    <w:rsid w:val="00092CDB"/>
    <w:rsid w:val="00092DCA"/>
    <w:rsid w:val="00093851"/>
    <w:rsid w:val="000942EB"/>
    <w:rsid w:val="00095B70"/>
    <w:rsid w:val="0009617E"/>
    <w:rsid w:val="0009628D"/>
    <w:rsid w:val="0009670F"/>
    <w:rsid w:val="000970E4"/>
    <w:rsid w:val="000979CF"/>
    <w:rsid w:val="000A03C8"/>
    <w:rsid w:val="000A05F2"/>
    <w:rsid w:val="000A06C4"/>
    <w:rsid w:val="000A0861"/>
    <w:rsid w:val="000A0EC4"/>
    <w:rsid w:val="000A0ED1"/>
    <w:rsid w:val="000A12DB"/>
    <w:rsid w:val="000A17C8"/>
    <w:rsid w:val="000A1B74"/>
    <w:rsid w:val="000A20D7"/>
    <w:rsid w:val="000A2128"/>
    <w:rsid w:val="000A362F"/>
    <w:rsid w:val="000A3B49"/>
    <w:rsid w:val="000A46FE"/>
    <w:rsid w:val="000A47E6"/>
    <w:rsid w:val="000A52C0"/>
    <w:rsid w:val="000A5AAF"/>
    <w:rsid w:val="000A5ACE"/>
    <w:rsid w:val="000A5F97"/>
    <w:rsid w:val="000A648E"/>
    <w:rsid w:val="000A7268"/>
    <w:rsid w:val="000A73BB"/>
    <w:rsid w:val="000A73E8"/>
    <w:rsid w:val="000A7EF4"/>
    <w:rsid w:val="000B0A15"/>
    <w:rsid w:val="000B103F"/>
    <w:rsid w:val="000B1437"/>
    <w:rsid w:val="000B1470"/>
    <w:rsid w:val="000B244D"/>
    <w:rsid w:val="000B2A1A"/>
    <w:rsid w:val="000B2B86"/>
    <w:rsid w:val="000B3051"/>
    <w:rsid w:val="000B419B"/>
    <w:rsid w:val="000B5781"/>
    <w:rsid w:val="000B5CB1"/>
    <w:rsid w:val="000B75F4"/>
    <w:rsid w:val="000B7D5B"/>
    <w:rsid w:val="000C0185"/>
    <w:rsid w:val="000C084E"/>
    <w:rsid w:val="000C0F81"/>
    <w:rsid w:val="000C128D"/>
    <w:rsid w:val="000C17A3"/>
    <w:rsid w:val="000C1D4B"/>
    <w:rsid w:val="000C2DC4"/>
    <w:rsid w:val="000C3260"/>
    <w:rsid w:val="000C3B77"/>
    <w:rsid w:val="000C3F6D"/>
    <w:rsid w:val="000C47E0"/>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3FD"/>
    <w:rsid w:val="000D1CEB"/>
    <w:rsid w:val="000D2563"/>
    <w:rsid w:val="000D25BF"/>
    <w:rsid w:val="000D2FE4"/>
    <w:rsid w:val="000D3FDC"/>
    <w:rsid w:val="000D490B"/>
    <w:rsid w:val="000D4E38"/>
    <w:rsid w:val="000D50DB"/>
    <w:rsid w:val="000D6288"/>
    <w:rsid w:val="000D6B87"/>
    <w:rsid w:val="000D6C10"/>
    <w:rsid w:val="000D728B"/>
    <w:rsid w:val="000D7541"/>
    <w:rsid w:val="000D75E1"/>
    <w:rsid w:val="000E05E2"/>
    <w:rsid w:val="000E22CF"/>
    <w:rsid w:val="000E2977"/>
    <w:rsid w:val="000E2CC0"/>
    <w:rsid w:val="000E30AC"/>
    <w:rsid w:val="000E3B46"/>
    <w:rsid w:val="000E3E11"/>
    <w:rsid w:val="000E4596"/>
    <w:rsid w:val="000E4B94"/>
    <w:rsid w:val="000E4D50"/>
    <w:rsid w:val="000E5768"/>
    <w:rsid w:val="000E5843"/>
    <w:rsid w:val="000E6139"/>
    <w:rsid w:val="000E63B7"/>
    <w:rsid w:val="000E653C"/>
    <w:rsid w:val="000E6BE1"/>
    <w:rsid w:val="000E7E0B"/>
    <w:rsid w:val="000F0136"/>
    <w:rsid w:val="000F078A"/>
    <w:rsid w:val="000F122D"/>
    <w:rsid w:val="000F1450"/>
    <w:rsid w:val="000F14E8"/>
    <w:rsid w:val="000F1BBD"/>
    <w:rsid w:val="000F290F"/>
    <w:rsid w:val="000F4403"/>
    <w:rsid w:val="000F480B"/>
    <w:rsid w:val="000F4A7F"/>
    <w:rsid w:val="000F4E17"/>
    <w:rsid w:val="000F55A8"/>
    <w:rsid w:val="000F5615"/>
    <w:rsid w:val="000F6578"/>
    <w:rsid w:val="000F6F92"/>
    <w:rsid w:val="000F7E8F"/>
    <w:rsid w:val="000F7FBB"/>
    <w:rsid w:val="001000FB"/>
    <w:rsid w:val="00100A9E"/>
    <w:rsid w:val="00100F6A"/>
    <w:rsid w:val="00102605"/>
    <w:rsid w:val="00102686"/>
    <w:rsid w:val="00102745"/>
    <w:rsid w:val="00103795"/>
    <w:rsid w:val="00103915"/>
    <w:rsid w:val="001039AA"/>
    <w:rsid w:val="00103EA0"/>
    <w:rsid w:val="00104149"/>
    <w:rsid w:val="00104F1C"/>
    <w:rsid w:val="001051E5"/>
    <w:rsid w:val="00105A74"/>
    <w:rsid w:val="00105ACB"/>
    <w:rsid w:val="00105AEF"/>
    <w:rsid w:val="00106259"/>
    <w:rsid w:val="001068EB"/>
    <w:rsid w:val="001078CE"/>
    <w:rsid w:val="00110F61"/>
    <w:rsid w:val="001111BD"/>
    <w:rsid w:val="0011165A"/>
    <w:rsid w:val="00111B2B"/>
    <w:rsid w:val="00112774"/>
    <w:rsid w:val="00112B2E"/>
    <w:rsid w:val="00113003"/>
    <w:rsid w:val="00113062"/>
    <w:rsid w:val="0011318E"/>
    <w:rsid w:val="0011359A"/>
    <w:rsid w:val="00113705"/>
    <w:rsid w:val="00113975"/>
    <w:rsid w:val="00113CFC"/>
    <w:rsid w:val="00113FEA"/>
    <w:rsid w:val="00114A22"/>
    <w:rsid w:val="00114E9D"/>
    <w:rsid w:val="0011507B"/>
    <w:rsid w:val="001156A7"/>
    <w:rsid w:val="00115C37"/>
    <w:rsid w:val="00116328"/>
    <w:rsid w:val="001163CF"/>
    <w:rsid w:val="00116EC5"/>
    <w:rsid w:val="001174C9"/>
    <w:rsid w:val="001177FE"/>
    <w:rsid w:val="00117E69"/>
    <w:rsid w:val="00121103"/>
    <w:rsid w:val="00121B78"/>
    <w:rsid w:val="00121BAB"/>
    <w:rsid w:val="00121E3C"/>
    <w:rsid w:val="00122B23"/>
    <w:rsid w:val="00122B7E"/>
    <w:rsid w:val="00123E27"/>
    <w:rsid w:val="00123FB5"/>
    <w:rsid w:val="0012400F"/>
    <w:rsid w:val="001249DC"/>
    <w:rsid w:val="0012572D"/>
    <w:rsid w:val="00125BED"/>
    <w:rsid w:val="00125C59"/>
    <w:rsid w:val="00125D4F"/>
    <w:rsid w:val="00127004"/>
    <w:rsid w:val="0012770B"/>
    <w:rsid w:val="00127AF2"/>
    <w:rsid w:val="00127EDC"/>
    <w:rsid w:val="00127F42"/>
    <w:rsid w:val="00127F6D"/>
    <w:rsid w:val="00130053"/>
    <w:rsid w:val="00130355"/>
    <w:rsid w:val="00130365"/>
    <w:rsid w:val="001304E5"/>
    <w:rsid w:val="00131B5A"/>
    <w:rsid w:val="001329BC"/>
    <w:rsid w:val="00132C30"/>
    <w:rsid w:val="00132EFD"/>
    <w:rsid w:val="00133AED"/>
    <w:rsid w:val="0013494E"/>
    <w:rsid w:val="00134BCD"/>
    <w:rsid w:val="00134E09"/>
    <w:rsid w:val="001350AB"/>
    <w:rsid w:val="00135DB9"/>
    <w:rsid w:val="00135E5D"/>
    <w:rsid w:val="0013695C"/>
    <w:rsid w:val="00136BF7"/>
    <w:rsid w:val="00136C78"/>
    <w:rsid w:val="00137440"/>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71AB"/>
    <w:rsid w:val="00147F35"/>
    <w:rsid w:val="00150005"/>
    <w:rsid w:val="00151AEB"/>
    <w:rsid w:val="00151B99"/>
    <w:rsid w:val="00151E79"/>
    <w:rsid w:val="001521B2"/>
    <w:rsid w:val="00152EDD"/>
    <w:rsid w:val="00153491"/>
    <w:rsid w:val="0015361C"/>
    <w:rsid w:val="0015372F"/>
    <w:rsid w:val="00153BFB"/>
    <w:rsid w:val="0015407E"/>
    <w:rsid w:val="0015448E"/>
    <w:rsid w:val="00154A6F"/>
    <w:rsid w:val="00154B68"/>
    <w:rsid w:val="00155BED"/>
    <w:rsid w:val="00155D08"/>
    <w:rsid w:val="0015623B"/>
    <w:rsid w:val="00156BE5"/>
    <w:rsid w:val="00157232"/>
    <w:rsid w:val="00160401"/>
    <w:rsid w:val="00160C01"/>
    <w:rsid w:val="00160D4E"/>
    <w:rsid w:val="00161DDA"/>
    <w:rsid w:val="00161E62"/>
    <w:rsid w:val="00161F1C"/>
    <w:rsid w:val="0016200B"/>
    <w:rsid w:val="0016204B"/>
    <w:rsid w:val="00163190"/>
    <w:rsid w:val="00163D7A"/>
    <w:rsid w:val="00164281"/>
    <w:rsid w:val="00165703"/>
    <w:rsid w:val="00165E5C"/>
    <w:rsid w:val="00166204"/>
    <w:rsid w:val="00166797"/>
    <w:rsid w:val="0016685F"/>
    <w:rsid w:val="0016712F"/>
    <w:rsid w:val="00167503"/>
    <w:rsid w:val="001676A9"/>
    <w:rsid w:val="00167A15"/>
    <w:rsid w:val="00167A50"/>
    <w:rsid w:val="00167D1A"/>
    <w:rsid w:val="00167DF5"/>
    <w:rsid w:val="00170001"/>
    <w:rsid w:val="00172198"/>
    <w:rsid w:val="00172612"/>
    <w:rsid w:val="00172817"/>
    <w:rsid w:val="001734E3"/>
    <w:rsid w:val="001742BF"/>
    <w:rsid w:val="001742E1"/>
    <w:rsid w:val="00175E49"/>
    <w:rsid w:val="0017649F"/>
    <w:rsid w:val="0017655B"/>
    <w:rsid w:val="00177EAA"/>
    <w:rsid w:val="001805C1"/>
    <w:rsid w:val="001805C2"/>
    <w:rsid w:val="00180A2E"/>
    <w:rsid w:val="00180F75"/>
    <w:rsid w:val="001813AF"/>
    <w:rsid w:val="0018258E"/>
    <w:rsid w:val="001826C9"/>
    <w:rsid w:val="001829CD"/>
    <w:rsid w:val="00182F01"/>
    <w:rsid w:val="00184219"/>
    <w:rsid w:val="00184F27"/>
    <w:rsid w:val="0018519B"/>
    <w:rsid w:val="001858C9"/>
    <w:rsid w:val="00185966"/>
    <w:rsid w:val="00185A2D"/>
    <w:rsid w:val="00185AFE"/>
    <w:rsid w:val="00185E78"/>
    <w:rsid w:val="001868D9"/>
    <w:rsid w:val="00187177"/>
    <w:rsid w:val="00187ABD"/>
    <w:rsid w:val="001904E3"/>
    <w:rsid w:val="0019087A"/>
    <w:rsid w:val="00191C5A"/>
    <w:rsid w:val="00191CEB"/>
    <w:rsid w:val="00191E63"/>
    <w:rsid w:val="00192D68"/>
    <w:rsid w:val="0019388B"/>
    <w:rsid w:val="00193ADE"/>
    <w:rsid w:val="00193B9A"/>
    <w:rsid w:val="001940ED"/>
    <w:rsid w:val="001946AE"/>
    <w:rsid w:val="001946D5"/>
    <w:rsid w:val="00194E8C"/>
    <w:rsid w:val="001962EC"/>
    <w:rsid w:val="001963DD"/>
    <w:rsid w:val="001965DB"/>
    <w:rsid w:val="00196D01"/>
    <w:rsid w:val="00196DC9"/>
    <w:rsid w:val="00196E95"/>
    <w:rsid w:val="00197758"/>
    <w:rsid w:val="001A0236"/>
    <w:rsid w:val="001A0915"/>
    <w:rsid w:val="001A0AF8"/>
    <w:rsid w:val="001A0E1B"/>
    <w:rsid w:val="001A1490"/>
    <w:rsid w:val="001A18D5"/>
    <w:rsid w:val="001A1A38"/>
    <w:rsid w:val="001A1BE0"/>
    <w:rsid w:val="001A1D4A"/>
    <w:rsid w:val="001A282A"/>
    <w:rsid w:val="001A3011"/>
    <w:rsid w:val="001A3078"/>
    <w:rsid w:val="001A4314"/>
    <w:rsid w:val="001A4A9B"/>
    <w:rsid w:val="001A4B32"/>
    <w:rsid w:val="001A4DAF"/>
    <w:rsid w:val="001A54CD"/>
    <w:rsid w:val="001A611F"/>
    <w:rsid w:val="001A66DF"/>
    <w:rsid w:val="001A67D0"/>
    <w:rsid w:val="001A6863"/>
    <w:rsid w:val="001A7591"/>
    <w:rsid w:val="001A75B1"/>
    <w:rsid w:val="001A7B06"/>
    <w:rsid w:val="001B0366"/>
    <w:rsid w:val="001B0444"/>
    <w:rsid w:val="001B096B"/>
    <w:rsid w:val="001B0F9F"/>
    <w:rsid w:val="001B123C"/>
    <w:rsid w:val="001B1A0D"/>
    <w:rsid w:val="001B1BF1"/>
    <w:rsid w:val="001B21AC"/>
    <w:rsid w:val="001B2456"/>
    <w:rsid w:val="001B3B25"/>
    <w:rsid w:val="001B43B1"/>
    <w:rsid w:val="001B449C"/>
    <w:rsid w:val="001B4AA2"/>
    <w:rsid w:val="001B4ADE"/>
    <w:rsid w:val="001B5530"/>
    <w:rsid w:val="001B5EF8"/>
    <w:rsid w:val="001B71E8"/>
    <w:rsid w:val="001C033E"/>
    <w:rsid w:val="001C07C6"/>
    <w:rsid w:val="001C120D"/>
    <w:rsid w:val="001C16DA"/>
    <w:rsid w:val="001C19CD"/>
    <w:rsid w:val="001C2119"/>
    <w:rsid w:val="001C22D5"/>
    <w:rsid w:val="001C2515"/>
    <w:rsid w:val="001C26FB"/>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2552"/>
    <w:rsid w:val="001D2EEE"/>
    <w:rsid w:val="001D30F3"/>
    <w:rsid w:val="001D31A0"/>
    <w:rsid w:val="001D338E"/>
    <w:rsid w:val="001D4562"/>
    <w:rsid w:val="001D56E9"/>
    <w:rsid w:val="001D6944"/>
    <w:rsid w:val="001D6CD2"/>
    <w:rsid w:val="001D796A"/>
    <w:rsid w:val="001D7A84"/>
    <w:rsid w:val="001D7C79"/>
    <w:rsid w:val="001E003B"/>
    <w:rsid w:val="001E1CC4"/>
    <w:rsid w:val="001E1D38"/>
    <w:rsid w:val="001E28A0"/>
    <w:rsid w:val="001E3FFE"/>
    <w:rsid w:val="001E4258"/>
    <w:rsid w:val="001E5140"/>
    <w:rsid w:val="001E5D6A"/>
    <w:rsid w:val="001E6A94"/>
    <w:rsid w:val="001E70FB"/>
    <w:rsid w:val="001E780A"/>
    <w:rsid w:val="001F0325"/>
    <w:rsid w:val="001F0806"/>
    <w:rsid w:val="001F0D15"/>
    <w:rsid w:val="001F0FA0"/>
    <w:rsid w:val="001F1349"/>
    <w:rsid w:val="001F1863"/>
    <w:rsid w:val="001F2356"/>
    <w:rsid w:val="001F2462"/>
    <w:rsid w:val="001F29DD"/>
    <w:rsid w:val="001F2A68"/>
    <w:rsid w:val="001F2C47"/>
    <w:rsid w:val="001F4773"/>
    <w:rsid w:val="001F5008"/>
    <w:rsid w:val="001F56AA"/>
    <w:rsid w:val="001F57EB"/>
    <w:rsid w:val="001F58AA"/>
    <w:rsid w:val="001F5A4E"/>
    <w:rsid w:val="001F5EF6"/>
    <w:rsid w:val="001F657F"/>
    <w:rsid w:val="001F6FB6"/>
    <w:rsid w:val="001F72BB"/>
    <w:rsid w:val="001F7978"/>
    <w:rsid w:val="001F7A0E"/>
    <w:rsid w:val="001F7A4B"/>
    <w:rsid w:val="0020022E"/>
    <w:rsid w:val="0020054E"/>
    <w:rsid w:val="00201508"/>
    <w:rsid w:val="00201AC4"/>
    <w:rsid w:val="00201F1E"/>
    <w:rsid w:val="00202761"/>
    <w:rsid w:val="0020299B"/>
    <w:rsid w:val="00202B2A"/>
    <w:rsid w:val="00202E44"/>
    <w:rsid w:val="002037AA"/>
    <w:rsid w:val="00203FE3"/>
    <w:rsid w:val="002042D8"/>
    <w:rsid w:val="00204515"/>
    <w:rsid w:val="00204BF5"/>
    <w:rsid w:val="00204E6B"/>
    <w:rsid w:val="002053EF"/>
    <w:rsid w:val="002058D4"/>
    <w:rsid w:val="0020632A"/>
    <w:rsid w:val="0020697F"/>
    <w:rsid w:val="00206F4D"/>
    <w:rsid w:val="0020726E"/>
    <w:rsid w:val="00207389"/>
    <w:rsid w:val="002110EB"/>
    <w:rsid w:val="00211338"/>
    <w:rsid w:val="00211388"/>
    <w:rsid w:val="0021148C"/>
    <w:rsid w:val="00211694"/>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DB8"/>
    <w:rsid w:val="002202CE"/>
    <w:rsid w:val="0022032A"/>
    <w:rsid w:val="002212FB"/>
    <w:rsid w:val="0022194E"/>
    <w:rsid w:val="002220B1"/>
    <w:rsid w:val="002221CE"/>
    <w:rsid w:val="00222BE8"/>
    <w:rsid w:val="00222DF6"/>
    <w:rsid w:val="00223102"/>
    <w:rsid w:val="002232CB"/>
    <w:rsid w:val="00224022"/>
    <w:rsid w:val="00226055"/>
    <w:rsid w:val="0022609C"/>
    <w:rsid w:val="0022613F"/>
    <w:rsid w:val="0022614F"/>
    <w:rsid w:val="00226236"/>
    <w:rsid w:val="002266AF"/>
    <w:rsid w:val="002270C9"/>
    <w:rsid w:val="00227A8B"/>
    <w:rsid w:val="0023146B"/>
    <w:rsid w:val="002315A0"/>
    <w:rsid w:val="00231748"/>
    <w:rsid w:val="00231A18"/>
    <w:rsid w:val="00231DCC"/>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1B82"/>
    <w:rsid w:val="00242D5F"/>
    <w:rsid w:val="00242D62"/>
    <w:rsid w:val="002430D0"/>
    <w:rsid w:val="002431D7"/>
    <w:rsid w:val="00244058"/>
    <w:rsid w:val="00244FC3"/>
    <w:rsid w:val="00245718"/>
    <w:rsid w:val="002457E9"/>
    <w:rsid w:val="00245E07"/>
    <w:rsid w:val="0024665E"/>
    <w:rsid w:val="00247712"/>
    <w:rsid w:val="00250A9E"/>
    <w:rsid w:val="00250EC6"/>
    <w:rsid w:val="002515C7"/>
    <w:rsid w:val="00251866"/>
    <w:rsid w:val="00251A9F"/>
    <w:rsid w:val="00252492"/>
    <w:rsid w:val="00252B35"/>
    <w:rsid w:val="00253070"/>
    <w:rsid w:val="0025316D"/>
    <w:rsid w:val="00253A02"/>
    <w:rsid w:val="00253B81"/>
    <w:rsid w:val="00254AE9"/>
    <w:rsid w:val="002554DE"/>
    <w:rsid w:val="00255575"/>
    <w:rsid w:val="00255AD7"/>
    <w:rsid w:val="00255E11"/>
    <w:rsid w:val="002564B7"/>
    <w:rsid w:val="00256835"/>
    <w:rsid w:val="002569F0"/>
    <w:rsid w:val="00256C01"/>
    <w:rsid w:val="00256E1A"/>
    <w:rsid w:val="00256ECF"/>
    <w:rsid w:val="00257730"/>
    <w:rsid w:val="00257999"/>
    <w:rsid w:val="002604AA"/>
    <w:rsid w:val="00260523"/>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61F1"/>
    <w:rsid w:val="00266316"/>
    <w:rsid w:val="00266DB6"/>
    <w:rsid w:val="002711A4"/>
    <w:rsid w:val="00271230"/>
    <w:rsid w:val="00271F13"/>
    <w:rsid w:val="00272945"/>
    <w:rsid w:val="00272E89"/>
    <w:rsid w:val="002742D0"/>
    <w:rsid w:val="00274774"/>
    <w:rsid w:val="0027482E"/>
    <w:rsid w:val="002748F1"/>
    <w:rsid w:val="00274DB5"/>
    <w:rsid w:val="00275BB1"/>
    <w:rsid w:val="0027683D"/>
    <w:rsid w:val="00276EF7"/>
    <w:rsid w:val="0027770B"/>
    <w:rsid w:val="00277933"/>
    <w:rsid w:val="00277F8D"/>
    <w:rsid w:val="00277FA7"/>
    <w:rsid w:val="00280046"/>
    <w:rsid w:val="002809B4"/>
    <w:rsid w:val="00280B4F"/>
    <w:rsid w:val="00280F3D"/>
    <w:rsid w:val="0028106A"/>
    <w:rsid w:val="00281EB4"/>
    <w:rsid w:val="00282E03"/>
    <w:rsid w:val="0028308E"/>
    <w:rsid w:val="002834E9"/>
    <w:rsid w:val="002837BA"/>
    <w:rsid w:val="00283A52"/>
    <w:rsid w:val="00283C5E"/>
    <w:rsid w:val="00283E26"/>
    <w:rsid w:val="0028428F"/>
    <w:rsid w:val="00284CFC"/>
    <w:rsid w:val="00285832"/>
    <w:rsid w:val="00285969"/>
    <w:rsid w:val="0028599C"/>
    <w:rsid w:val="0028663B"/>
    <w:rsid w:val="00286CEC"/>
    <w:rsid w:val="002870F9"/>
    <w:rsid w:val="002871A9"/>
    <w:rsid w:val="00287505"/>
    <w:rsid w:val="00287BDB"/>
    <w:rsid w:val="00290781"/>
    <w:rsid w:val="00291491"/>
    <w:rsid w:val="00291784"/>
    <w:rsid w:val="002920DF"/>
    <w:rsid w:val="002928A3"/>
    <w:rsid w:val="002929BB"/>
    <w:rsid w:val="00294368"/>
    <w:rsid w:val="00294B78"/>
    <w:rsid w:val="00295416"/>
    <w:rsid w:val="00295949"/>
    <w:rsid w:val="00295D7C"/>
    <w:rsid w:val="0029624A"/>
    <w:rsid w:val="00296922"/>
    <w:rsid w:val="00297098"/>
    <w:rsid w:val="00297457"/>
    <w:rsid w:val="002A05D4"/>
    <w:rsid w:val="002A06DB"/>
    <w:rsid w:val="002A09FF"/>
    <w:rsid w:val="002A0E60"/>
    <w:rsid w:val="002A1A58"/>
    <w:rsid w:val="002A1B02"/>
    <w:rsid w:val="002A1C53"/>
    <w:rsid w:val="002A1F84"/>
    <w:rsid w:val="002A244B"/>
    <w:rsid w:val="002A28FC"/>
    <w:rsid w:val="002A2B44"/>
    <w:rsid w:val="002A2EA5"/>
    <w:rsid w:val="002A301E"/>
    <w:rsid w:val="002A3555"/>
    <w:rsid w:val="002A3D94"/>
    <w:rsid w:val="002A3F66"/>
    <w:rsid w:val="002A4736"/>
    <w:rsid w:val="002A4B1C"/>
    <w:rsid w:val="002A55FE"/>
    <w:rsid w:val="002A625C"/>
    <w:rsid w:val="002A6AFB"/>
    <w:rsid w:val="002A733D"/>
    <w:rsid w:val="002A774A"/>
    <w:rsid w:val="002A7840"/>
    <w:rsid w:val="002A78F3"/>
    <w:rsid w:val="002A7D84"/>
    <w:rsid w:val="002A7E5C"/>
    <w:rsid w:val="002A7F6D"/>
    <w:rsid w:val="002B0D83"/>
    <w:rsid w:val="002B1342"/>
    <w:rsid w:val="002B1F83"/>
    <w:rsid w:val="002B27C8"/>
    <w:rsid w:val="002B2A7F"/>
    <w:rsid w:val="002B330B"/>
    <w:rsid w:val="002B39BE"/>
    <w:rsid w:val="002B438C"/>
    <w:rsid w:val="002B48DB"/>
    <w:rsid w:val="002B4B34"/>
    <w:rsid w:val="002B541A"/>
    <w:rsid w:val="002B5EAB"/>
    <w:rsid w:val="002B5F2E"/>
    <w:rsid w:val="002B6407"/>
    <w:rsid w:val="002B6416"/>
    <w:rsid w:val="002B6459"/>
    <w:rsid w:val="002B6F22"/>
    <w:rsid w:val="002B7014"/>
    <w:rsid w:val="002B73B0"/>
    <w:rsid w:val="002C0589"/>
    <w:rsid w:val="002C24B4"/>
    <w:rsid w:val="002C2B3A"/>
    <w:rsid w:val="002C2B87"/>
    <w:rsid w:val="002C3CF4"/>
    <w:rsid w:val="002C441A"/>
    <w:rsid w:val="002C4A2B"/>
    <w:rsid w:val="002C4A73"/>
    <w:rsid w:val="002C4B84"/>
    <w:rsid w:val="002C4C0C"/>
    <w:rsid w:val="002C5016"/>
    <w:rsid w:val="002C5C2F"/>
    <w:rsid w:val="002C5D0F"/>
    <w:rsid w:val="002C60B9"/>
    <w:rsid w:val="002C6F77"/>
    <w:rsid w:val="002C704D"/>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58"/>
    <w:rsid w:val="002D65BC"/>
    <w:rsid w:val="002E055C"/>
    <w:rsid w:val="002E1050"/>
    <w:rsid w:val="002E107E"/>
    <w:rsid w:val="002E18E5"/>
    <w:rsid w:val="002E1953"/>
    <w:rsid w:val="002E2C3F"/>
    <w:rsid w:val="002E2CB5"/>
    <w:rsid w:val="002E2D7D"/>
    <w:rsid w:val="002E32D0"/>
    <w:rsid w:val="002E3931"/>
    <w:rsid w:val="002E3D76"/>
    <w:rsid w:val="002E40A1"/>
    <w:rsid w:val="002E48EC"/>
    <w:rsid w:val="002E4B44"/>
    <w:rsid w:val="002E4ECB"/>
    <w:rsid w:val="002E4F23"/>
    <w:rsid w:val="002E635A"/>
    <w:rsid w:val="002E6D68"/>
    <w:rsid w:val="002E7847"/>
    <w:rsid w:val="002F0073"/>
    <w:rsid w:val="002F1B27"/>
    <w:rsid w:val="002F1C67"/>
    <w:rsid w:val="002F240B"/>
    <w:rsid w:val="002F24DA"/>
    <w:rsid w:val="002F2F50"/>
    <w:rsid w:val="002F33EC"/>
    <w:rsid w:val="002F34E3"/>
    <w:rsid w:val="002F3601"/>
    <w:rsid w:val="002F40E2"/>
    <w:rsid w:val="002F45F6"/>
    <w:rsid w:val="002F5A6F"/>
    <w:rsid w:val="002F692F"/>
    <w:rsid w:val="002F7031"/>
    <w:rsid w:val="002F7961"/>
    <w:rsid w:val="002F7B66"/>
    <w:rsid w:val="00300CB4"/>
    <w:rsid w:val="00300E24"/>
    <w:rsid w:val="0030257B"/>
    <w:rsid w:val="003033BA"/>
    <w:rsid w:val="00303C19"/>
    <w:rsid w:val="003043A3"/>
    <w:rsid w:val="0030462D"/>
    <w:rsid w:val="00304BD4"/>
    <w:rsid w:val="00304F54"/>
    <w:rsid w:val="0030500A"/>
    <w:rsid w:val="003052EB"/>
    <w:rsid w:val="00305FCB"/>
    <w:rsid w:val="003063C3"/>
    <w:rsid w:val="003069DC"/>
    <w:rsid w:val="00306A13"/>
    <w:rsid w:val="00306B44"/>
    <w:rsid w:val="00307C44"/>
    <w:rsid w:val="0031040A"/>
    <w:rsid w:val="0031088E"/>
    <w:rsid w:val="00310D01"/>
    <w:rsid w:val="00311376"/>
    <w:rsid w:val="00311A1F"/>
    <w:rsid w:val="00311B47"/>
    <w:rsid w:val="00311D52"/>
    <w:rsid w:val="00312190"/>
    <w:rsid w:val="003125E0"/>
    <w:rsid w:val="0031271D"/>
    <w:rsid w:val="003132BB"/>
    <w:rsid w:val="00313337"/>
    <w:rsid w:val="00313447"/>
    <w:rsid w:val="00313748"/>
    <w:rsid w:val="00313EA3"/>
    <w:rsid w:val="003151FE"/>
    <w:rsid w:val="00315365"/>
    <w:rsid w:val="00315457"/>
    <w:rsid w:val="003161A4"/>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3881"/>
    <w:rsid w:val="00324885"/>
    <w:rsid w:val="003251A8"/>
    <w:rsid w:val="003254B1"/>
    <w:rsid w:val="00325AD9"/>
    <w:rsid w:val="00325D79"/>
    <w:rsid w:val="00325D98"/>
    <w:rsid w:val="0032682A"/>
    <w:rsid w:val="00327A5C"/>
    <w:rsid w:val="003305BD"/>
    <w:rsid w:val="0033092C"/>
    <w:rsid w:val="0033122A"/>
    <w:rsid w:val="003315AC"/>
    <w:rsid w:val="00331846"/>
    <w:rsid w:val="00331932"/>
    <w:rsid w:val="00331F74"/>
    <w:rsid w:val="00332382"/>
    <w:rsid w:val="00332453"/>
    <w:rsid w:val="0033251B"/>
    <w:rsid w:val="00333A88"/>
    <w:rsid w:val="003351FF"/>
    <w:rsid w:val="00335B15"/>
    <w:rsid w:val="00335B21"/>
    <w:rsid w:val="00335D3F"/>
    <w:rsid w:val="00336104"/>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5965"/>
    <w:rsid w:val="0034680A"/>
    <w:rsid w:val="00346C62"/>
    <w:rsid w:val="0034713F"/>
    <w:rsid w:val="00347202"/>
    <w:rsid w:val="0034778E"/>
    <w:rsid w:val="00347A5A"/>
    <w:rsid w:val="003501E2"/>
    <w:rsid w:val="003514B8"/>
    <w:rsid w:val="00351E10"/>
    <w:rsid w:val="00352991"/>
    <w:rsid w:val="003533F4"/>
    <w:rsid w:val="003536F6"/>
    <w:rsid w:val="00353DD5"/>
    <w:rsid w:val="00353F36"/>
    <w:rsid w:val="00355131"/>
    <w:rsid w:val="00355F74"/>
    <w:rsid w:val="003560DB"/>
    <w:rsid w:val="003564DB"/>
    <w:rsid w:val="00356F87"/>
    <w:rsid w:val="00357E83"/>
    <w:rsid w:val="00360CF3"/>
    <w:rsid w:val="00361A59"/>
    <w:rsid w:val="00363348"/>
    <w:rsid w:val="00363857"/>
    <w:rsid w:val="00363D59"/>
    <w:rsid w:val="00363F08"/>
    <w:rsid w:val="003640F7"/>
    <w:rsid w:val="0036594A"/>
    <w:rsid w:val="00365AE5"/>
    <w:rsid w:val="00365D3A"/>
    <w:rsid w:val="003664FF"/>
    <w:rsid w:val="00366BD2"/>
    <w:rsid w:val="003670B8"/>
    <w:rsid w:val="003704A3"/>
    <w:rsid w:val="003706F2"/>
    <w:rsid w:val="003709E8"/>
    <w:rsid w:val="0037124F"/>
    <w:rsid w:val="00373827"/>
    <w:rsid w:val="0037401C"/>
    <w:rsid w:val="0037507B"/>
    <w:rsid w:val="00375C7C"/>
    <w:rsid w:val="00377027"/>
    <w:rsid w:val="00377135"/>
    <w:rsid w:val="00380272"/>
    <w:rsid w:val="003805DB"/>
    <w:rsid w:val="0038152A"/>
    <w:rsid w:val="0038245D"/>
    <w:rsid w:val="00382BAD"/>
    <w:rsid w:val="003835FD"/>
    <w:rsid w:val="00383DE4"/>
    <w:rsid w:val="00383EDF"/>
    <w:rsid w:val="00384494"/>
    <w:rsid w:val="00384C5E"/>
    <w:rsid w:val="00384DF1"/>
    <w:rsid w:val="00384FF3"/>
    <w:rsid w:val="00386456"/>
    <w:rsid w:val="003865A9"/>
    <w:rsid w:val="00387C6C"/>
    <w:rsid w:val="0039047D"/>
    <w:rsid w:val="003906FD"/>
    <w:rsid w:val="0039092B"/>
    <w:rsid w:val="00390BD9"/>
    <w:rsid w:val="00390F32"/>
    <w:rsid w:val="0039135E"/>
    <w:rsid w:val="00391867"/>
    <w:rsid w:val="0039285D"/>
    <w:rsid w:val="0039319C"/>
    <w:rsid w:val="00393577"/>
    <w:rsid w:val="00393CAE"/>
    <w:rsid w:val="003945F4"/>
    <w:rsid w:val="00394EB5"/>
    <w:rsid w:val="003953B4"/>
    <w:rsid w:val="00395558"/>
    <w:rsid w:val="0039615F"/>
    <w:rsid w:val="003966A0"/>
    <w:rsid w:val="00396A29"/>
    <w:rsid w:val="00397FF0"/>
    <w:rsid w:val="003A058E"/>
    <w:rsid w:val="003A0878"/>
    <w:rsid w:val="003A1561"/>
    <w:rsid w:val="003A1D25"/>
    <w:rsid w:val="003A22A2"/>
    <w:rsid w:val="003A2447"/>
    <w:rsid w:val="003A2AA1"/>
    <w:rsid w:val="003A31A5"/>
    <w:rsid w:val="003A329A"/>
    <w:rsid w:val="003A3603"/>
    <w:rsid w:val="003A3851"/>
    <w:rsid w:val="003A39DD"/>
    <w:rsid w:val="003A40DB"/>
    <w:rsid w:val="003A4199"/>
    <w:rsid w:val="003A41C5"/>
    <w:rsid w:val="003A4A8E"/>
    <w:rsid w:val="003A4C7B"/>
    <w:rsid w:val="003A563C"/>
    <w:rsid w:val="003A581E"/>
    <w:rsid w:val="003A5E7E"/>
    <w:rsid w:val="003A6160"/>
    <w:rsid w:val="003A65A5"/>
    <w:rsid w:val="003A65AC"/>
    <w:rsid w:val="003A72F5"/>
    <w:rsid w:val="003A78E5"/>
    <w:rsid w:val="003B0341"/>
    <w:rsid w:val="003B1961"/>
    <w:rsid w:val="003B1E57"/>
    <w:rsid w:val="003B2EF3"/>
    <w:rsid w:val="003B534F"/>
    <w:rsid w:val="003B5391"/>
    <w:rsid w:val="003B5642"/>
    <w:rsid w:val="003B58CE"/>
    <w:rsid w:val="003B65D7"/>
    <w:rsid w:val="003B65E0"/>
    <w:rsid w:val="003B6BD4"/>
    <w:rsid w:val="003B6F4D"/>
    <w:rsid w:val="003B6FE7"/>
    <w:rsid w:val="003C0491"/>
    <w:rsid w:val="003C0C0F"/>
    <w:rsid w:val="003C0D1F"/>
    <w:rsid w:val="003C116A"/>
    <w:rsid w:val="003C1AF4"/>
    <w:rsid w:val="003C1CB8"/>
    <w:rsid w:val="003C22DA"/>
    <w:rsid w:val="003C2550"/>
    <w:rsid w:val="003C287F"/>
    <w:rsid w:val="003C3339"/>
    <w:rsid w:val="003C375A"/>
    <w:rsid w:val="003C4317"/>
    <w:rsid w:val="003C4D9F"/>
    <w:rsid w:val="003C5247"/>
    <w:rsid w:val="003C5B02"/>
    <w:rsid w:val="003C5E8A"/>
    <w:rsid w:val="003C622C"/>
    <w:rsid w:val="003C6505"/>
    <w:rsid w:val="003C73C7"/>
    <w:rsid w:val="003C7CFB"/>
    <w:rsid w:val="003D02F3"/>
    <w:rsid w:val="003D050B"/>
    <w:rsid w:val="003D0B98"/>
    <w:rsid w:val="003D0C3C"/>
    <w:rsid w:val="003D0DE5"/>
    <w:rsid w:val="003D1351"/>
    <w:rsid w:val="003D21C1"/>
    <w:rsid w:val="003D3B15"/>
    <w:rsid w:val="003D3B2E"/>
    <w:rsid w:val="003D3F28"/>
    <w:rsid w:val="003D4101"/>
    <w:rsid w:val="003D484D"/>
    <w:rsid w:val="003D49CB"/>
    <w:rsid w:val="003D4F41"/>
    <w:rsid w:val="003D5F10"/>
    <w:rsid w:val="003D65E0"/>
    <w:rsid w:val="003D6B8F"/>
    <w:rsid w:val="003D7566"/>
    <w:rsid w:val="003E0224"/>
    <w:rsid w:val="003E09BB"/>
    <w:rsid w:val="003E13D2"/>
    <w:rsid w:val="003E159D"/>
    <w:rsid w:val="003E20EA"/>
    <w:rsid w:val="003E210C"/>
    <w:rsid w:val="003E2F55"/>
    <w:rsid w:val="003E324A"/>
    <w:rsid w:val="003E34DB"/>
    <w:rsid w:val="003E3833"/>
    <w:rsid w:val="003E3AF9"/>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2A2"/>
    <w:rsid w:val="003F060E"/>
    <w:rsid w:val="003F0F7F"/>
    <w:rsid w:val="003F115C"/>
    <w:rsid w:val="003F153A"/>
    <w:rsid w:val="003F300D"/>
    <w:rsid w:val="003F391F"/>
    <w:rsid w:val="003F4599"/>
    <w:rsid w:val="003F45E1"/>
    <w:rsid w:val="003F4F6C"/>
    <w:rsid w:val="003F559E"/>
    <w:rsid w:val="003F6181"/>
    <w:rsid w:val="003F6BFC"/>
    <w:rsid w:val="003F7343"/>
    <w:rsid w:val="00400002"/>
    <w:rsid w:val="00400054"/>
    <w:rsid w:val="00400A1B"/>
    <w:rsid w:val="00400E06"/>
    <w:rsid w:val="00401533"/>
    <w:rsid w:val="004016A3"/>
    <w:rsid w:val="00401B31"/>
    <w:rsid w:val="0040202B"/>
    <w:rsid w:val="0040219D"/>
    <w:rsid w:val="00402DE1"/>
    <w:rsid w:val="00402EEB"/>
    <w:rsid w:val="00402FAF"/>
    <w:rsid w:val="004037C2"/>
    <w:rsid w:val="00404041"/>
    <w:rsid w:val="004040D4"/>
    <w:rsid w:val="00404B43"/>
    <w:rsid w:val="00404C61"/>
    <w:rsid w:val="00405487"/>
    <w:rsid w:val="00405B8A"/>
    <w:rsid w:val="0040602B"/>
    <w:rsid w:val="0040606C"/>
    <w:rsid w:val="004060DC"/>
    <w:rsid w:val="00406DF5"/>
    <w:rsid w:val="00406F35"/>
    <w:rsid w:val="004077D0"/>
    <w:rsid w:val="00407A7A"/>
    <w:rsid w:val="00407ABC"/>
    <w:rsid w:val="00407F1E"/>
    <w:rsid w:val="004102DD"/>
    <w:rsid w:val="00410A88"/>
    <w:rsid w:val="00410CC8"/>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60A2"/>
    <w:rsid w:val="0041674B"/>
    <w:rsid w:val="004170D7"/>
    <w:rsid w:val="004177A6"/>
    <w:rsid w:val="00417C23"/>
    <w:rsid w:val="00417EFD"/>
    <w:rsid w:val="004200EE"/>
    <w:rsid w:val="00420786"/>
    <w:rsid w:val="004207F3"/>
    <w:rsid w:val="004209D2"/>
    <w:rsid w:val="00420BBA"/>
    <w:rsid w:val="00420D6E"/>
    <w:rsid w:val="00420F50"/>
    <w:rsid w:val="0042158C"/>
    <w:rsid w:val="00421617"/>
    <w:rsid w:val="004217A7"/>
    <w:rsid w:val="00421BD2"/>
    <w:rsid w:val="00421E00"/>
    <w:rsid w:val="00421FCB"/>
    <w:rsid w:val="0042226E"/>
    <w:rsid w:val="00422DCA"/>
    <w:rsid w:val="00423D04"/>
    <w:rsid w:val="00423F9F"/>
    <w:rsid w:val="00425B2E"/>
    <w:rsid w:val="00425C43"/>
    <w:rsid w:val="004263A9"/>
    <w:rsid w:val="004273FA"/>
    <w:rsid w:val="004275A7"/>
    <w:rsid w:val="004278D8"/>
    <w:rsid w:val="00430186"/>
    <w:rsid w:val="00430D44"/>
    <w:rsid w:val="00430F17"/>
    <w:rsid w:val="00431CC7"/>
    <w:rsid w:val="0043260C"/>
    <w:rsid w:val="0043269A"/>
    <w:rsid w:val="00432E92"/>
    <w:rsid w:val="004333C2"/>
    <w:rsid w:val="00434787"/>
    <w:rsid w:val="00434C13"/>
    <w:rsid w:val="00434D8B"/>
    <w:rsid w:val="00435294"/>
    <w:rsid w:val="0043557F"/>
    <w:rsid w:val="00435703"/>
    <w:rsid w:val="00435BD5"/>
    <w:rsid w:val="00436323"/>
    <w:rsid w:val="0043683F"/>
    <w:rsid w:val="00436F40"/>
    <w:rsid w:val="004370FA"/>
    <w:rsid w:val="0043741B"/>
    <w:rsid w:val="00440096"/>
    <w:rsid w:val="004403DD"/>
    <w:rsid w:val="00440CF3"/>
    <w:rsid w:val="00440DB0"/>
    <w:rsid w:val="00440DDC"/>
    <w:rsid w:val="00440E76"/>
    <w:rsid w:val="00440FAD"/>
    <w:rsid w:val="00441291"/>
    <w:rsid w:val="00441E04"/>
    <w:rsid w:val="004420AB"/>
    <w:rsid w:val="004422D6"/>
    <w:rsid w:val="004427AC"/>
    <w:rsid w:val="00442C7D"/>
    <w:rsid w:val="00442D13"/>
    <w:rsid w:val="00442D4D"/>
    <w:rsid w:val="0044361F"/>
    <w:rsid w:val="0044374D"/>
    <w:rsid w:val="00443B55"/>
    <w:rsid w:val="00443D27"/>
    <w:rsid w:val="0044500B"/>
    <w:rsid w:val="004451C5"/>
    <w:rsid w:val="00446037"/>
    <w:rsid w:val="00446270"/>
    <w:rsid w:val="0044642F"/>
    <w:rsid w:val="00446709"/>
    <w:rsid w:val="00446922"/>
    <w:rsid w:val="0044772C"/>
    <w:rsid w:val="00450846"/>
    <w:rsid w:val="00450D80"/>
    <w:rsid w:val="00451A52"/>
    <w:rsid w:val="0045271D"/>
    <w:rsid w:val="00452755"/>
    <w:rsid w:val="00452803"/>
    <w:rsid w:val="004529C6"/>
    <w:rsid w:val="004529FD"/>
    <w:rsid w:val="00452A7C"/>
    <w:rsid w:val="00452EAD"/>
    <w:rsid w:val="004533D1"/>
    <w:rsid w:val="004534D1"/>
    <w:rsid w:val="004540B8"/>
    <w:rsid w:val="00454548"/>
    <w:rsid w:val="00454717"/>
    <w:rsid w:val="00454DF8"/>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320A"/>
    <w:rsid w:val="00463347"/>
    <w:rsid w:val="004636CC"/>
    <w:rsid w:val="004638E2"/>
    <w:rsid w:val="00464030"/>
    <w:rsid w:val="004647F8"/>
    <w:rsid w:val="004647FB"/>
    <w:rsid w:val="00465347"/>
    <w:rsid w:val="00465677"/>
    <w:rsid w:val="00466616"/>
    <w:rsid w:val="00466A0C"/>
    <w:rsid w:val="00466A53"/>
    <w:rsid w:val="00470A6A"/>
    <w:rsid w:val="00470D73"/>
    <w:rsid w:val="00470D92"/>
    <w:rsid w:val="00471857"/>
    <w:rsid w:val="00471DF7"/>
    <w:rsid w:val="004727B1"/>
    <w:rsid w:val="004734CF"/>
    <w:rsid w:val="00473F33"/>
    <w:rsid w:val="0047480D"/>
    <w:rsid w:val="0047586C"/>
    <w:rsid w:val="00475C5A"/>
    <w:rsid w:val="00475C9C"/>
    <w:rsid w:val="0047676B"/>
    <w:rsid w:val="004774C3"/>
    <w:rsid w:val="004774FB"/>
    <w:rsid w:val="0047773C"/>
    <w:rsid w:val="00477C5F"/>
    <w:rsid w:val="00480050"/>
    <w:rsid w:val="0048011C"/>
    <w:rsid w:val="00480154"/>
    <w:rsid w:val="004808DE"/>
    <w:rsid w:val="00480F9A"/>
    <w:rsid w:val="00481912"/>
    <w:rsid w:val="00481AC4"/>
    <w:rsid w:val="00481DC1"/>
    <w:rsid w:val="00482507"/>
    <w:rsid w:val="0048268A"/>
    <w:rsid w:val="00482A64"/>
    <w:rsid w:val="004835CA"/>
    <w:rsid w:val="004836F8"/>
    <w:rsid w:val="004836FE"/>
    <w:rsid w:val="00484A39"/>
    <w:rsid w:val="00484F0F"/>
    <w:rsid w:val="00484F40"/>
    <w:rsid w:val="0048540C"/>
    <w:rsid w:val="004861B4"/>
    <w:rsid w:val="00486226"/>
    <w:rsid w:val="004862CD"/>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844"/>
    <w:rsid w:val="00492C1F"/>
    <w:rsid w:val="00492E4C"/>
    <w:rsid w:val="00493664"/>
    <w:rsid w:val="004938FD"/>
    <w:rsid w:val="00493E04"/>
    <w:rsid w:val="004940E3"/>
    <w:rsid w:val="004941CD"/>
    <w:rsid w:val="0049530F"/>
    <w:rsid w:val="00496664"/>
    <w:rsid w:val="00496786"/>
    <w:rsid w:val="0049695B"/>
    <w:rsid w:val="00496AC4"/>
    <w:rsid w:val="00496D8F"/>
    <w:rsid w:val="00497463"/>
    <w:rsid w:val="004A054C"/>
    <w:rsid w:val="004A08D1"/>
    <w:rsid w:val="004A16C1"/>
    <w:rsid w:val="004A1CE2"/>
    <w:rsid w:val="004A34D2"/>
    <w:rsid w:val="004A4301"/>
    <w:rsid w:val="004A4D93"/>
    <w:rsid w:val="004A546E"/>
    <w:rsid w:val="004A58EE"/>
    <w:rsid w:val="004A59B7"/>
    <w:rsid w:val="004A6051"/>
    <w:rsid w:val="004A623B"/>
    <w:rsid w:val="004A6A04"/>
    <w:rsid w:val="004A6A52"/>
    <w:rsid w:val="004B0A44"/>
    <w:rsid w:val="004B0F0B"/>
    <w:rsid w:val="004B205A"/>
    <w:rsid w:val="004B2197"/>
    <w:rsid w:val="004B25D8"/>
    <w:rsid w:val="004B298A"/>
    <w:rsid w:val="004B2BB8"/>
    <w:rsid w:val="004B50CB"/>
    <w:rsid w:val="004B578D"/>
    <w:rsid w:val="004B5BE7"/>
    <w:rsid w:val="004B5E2D"/>
    <w:rsid w:val="004B6241"/>
    <w:rsid w:val="004B6C07"/>
    <w:rsid w:val="004B74D3"/>
    <w:rsid w:val="004B755E"/>
    <w:rsid w:val="004B788E"/>
    <w:rsid w:val="004B7E5D"/>
    <w:rsid w:val="004C1198"/>
    <w:rsid w:val="004C22F7"/>
    <w:rsid w:val="004C2B27"/>
    <w:rsid w:val="004C3929"/>
    <w:rsid w:val="004C4160"/>
    <w:rsid w:val="004C5212"/>
    <w:rsid w:val="004C5EF0"/>
    <w:rsid w:val="004C64C9"/>
    <w:rsid w:val="004C7226"/>
    <w:rsid w:val="004C74C9"/>
    <w:rsid w:val="004C7915"/>
    <w:rsid w:val="004C7D70"/>
    <w:rsid w:val="004C7F93"/>
    <w:rsid w:val="004D02F9"/>
    <w:rsid w:val="004D03FE"/>
    <w:rsid w:val="004D0446"/>
    <w:rsid w:val="004D06A3"/>
    <w:rsid w:val="004D0F95"/>
    <w:rsid w:val="004D106A"/>
    <w:rsid w:val="004D1C7E"/>
    <w:rsid w:val="004D245A"/>
    <w:rsid w:val="004D31EE"/>
    <w:rsid w:val="004D36AF"/>
    <w:rsid w:val="004D3BD1"/>
    <w:rsid w:val="004D4BA1"/>
    <w:rsid w:val="004D584D"/>
    <w:rsid w:val="004D5A7E"/>
    <w:rsid w:val="004D6120"/>
    <w:rsid w:val="004D6826"/>
    <w:rsid w:val="004D7497"/>
    <w:rsid w:val="004E023F"/>
    <w:rsid w:val="004E0546"/>
    <w:rsid w:val="004E0556"/>
    <w:rsid w:val="004E0742"/>
    <w:rsid w:val="004E0C64"/>
    <w:rsid w:val="004E0F6B"/>
    <w:rsid w:val="004E1545"/>
    <w:rsid w:val="004E1F1C"/>
    <w:rsid w:val="004E2A35"/>
    <w:rsid w:val="004E2CCF"/>
    <w:rsid w:val="004E3B71"/>
    <w:rsid w:val="004E40CE"/>
    <w:rsid w:val="004E5736"/>
    <w:rsid w:val="004E5A3C"/>
    <w:rsid w:val="004E5B36"/>
    <w:rsid w:val="004E5D5D"/>
    <w:rsid w:val="004E6045"/>
    <w:rsid w:val="004E6F43"/>
    <w:rsid w:val="004E71B7"/>
    <w:rsid w:val="004E7200"/>
    <w:rsid w:val="004E787E"/>
    <w:rsid w:val="004E7AA1"/>
    <w:rsid w:val="004F0805"/>
    <w:rsid w:val="004F0960"/>
    <w:rsid w:val="004F0A5C"/>
    <w:rsid w:val="004F1596"/>
    <w:rsid w:val="004F163F"/>
    <w:rsid w:val="004F18A0"/>
    <w:rsid w:val="004F1A08"/>
    <w:rsid w:val="004F2364"/>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62F"/>
    <w:rsid w:val="00500E74"/>
    <w:rsid w:val="0050160F"/>
    <w:rsid w:val="0050284E"/>
    <w:rsid w:val="0050306F"/>
    <w:rsid w:val="00503534"/>
    <w:rsid w:val="00503A17"/>
    <w:rsid w:val="005042E8"/>
    <w:rsid w:val="00505892"/>
    <w:rsid w:val="00505DCB"/>
    <w:rsid w:val="0050674C"/>
    <w:rsid w:val="00507066"/>
    <w:rsid w:val="005075CA"/>
    <w:rsid w:val="00507B06"/>
    <w:rsid w:val="00507BF1"/>
    <w:rsid w:val="0051074C"/>
    <w:rsid w:val="00510DE9"/>
    <w:rsid w:val="005111E2"/>
    <w:rsid w:val="00511231"/>
    <w:rsid w:val="00511741"/>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02F"/>
    <w:rsid w:val="00520235"/>
    <w:rsid w:val="00520899"/>
    <w:rsid w:val="00520922"/>
    <w:rsid w:val="005209FC"/>
    <w:rsid w:val="00520C09"/>
    <w:rsid w:val="00520EC1"/>
    <w:rsid w:val="00521A30"/>
    <w:rsid w:val="00521D7C"/>
    <w:rsid w:val="00521EA7"/>
    <w:rsid w:val="005224E5"/>
    <w:rsid w:val="0052311A"/>
    <w:rsid w:val="00523903"/>
    <w:rsid w:val="005239B6"/>
    <w:rsid w:val="00523C45"/>
    <w:rsid w:val="00523F41"/>
    <w:rsid w:val="00524165"/>
    <w:rsid w:val="005244FC"/>
    <w:rsid w:val="005246E7"/>
    <w:rsid w:val="00524B08"/>
    <w:rsid w:val="00524C38"/>
    <w:rsid w:val="00524FD2"/>
    <w:rsid w:val="00525621"/>
    <w:rsid w:val="00525822"/>
    <w:rsid w:val="00526431"/>
    <w:rsid w:val="00527532"/>
    <w:rsid w:val="00527DEB"/>
    <w:rsid w:val="00527E57"/>
    <w:rsid w:val="00527F2C"/>
    <w:rsid w:val="00530405"/>
    <w:rsid w:val="00530458"/>
    <w:rsid w:val="00530522"/>
    <w:rsid w:val="005305E5"/>
    <w:rsid w:val="0053086F"/>
    <w:rsid w:val="00530CBA"/>
    <w:rsid w:val="00530F38"/>
    <w:rsid w:val="00531F26"/>
    <w:rsid w:val="00532501"/>
    <w:rsid w:val="0053277C"/>
    <w:rsid w:val="005327C0"/>
    <w:rsid w:val="00533101"/>
    <w:rsid w:val="00533CA9"/>
    <w:rsid w:val="005346AD"/>
    <w:rsid w:val="00534EFB"/>
    <w:rsid w:val="00534F60"/>
    <w:rsid w:val="005357F1"/>
    <w:rsid w:val="00535C73"/>
    <w:rsid w:val="00535D15"/>
    <w:rsid w:val="00536053"/>
    <w:rsid w:val="005363C6"/>
    <w:rsid w:val="005369E6"/>
    <w:rsid w:val="005371AC"/>
    <w:rsid w:val="00537672"/>
    <w:rsid w:val="005376B5"/>
    <w:rsid w:val="0053772F"/>
    <w:rsid w:val="00537A70"/>
    <w:rsid w:val="00537B64"/>
    <w:rsid w:val="00537B77"/>
    <w:rsid w:val="005407B0"/>
    <w:rsid w:val="00540C4C"/>
    <w:rsid w:val="00541469"/>
    <w:rsid w:val="00541571"/>
    <w:rsid w:val="005419DA"/>
    <w:rsid w:val="00541B1F"/>
    <w:rsid w:val="0054275A"/>
    <w:rsid w:val="005428B8"/>
    <w:rsid w:val="005428BE"/>
    <w:rsid w:val="00542BD7"/>
    <w:rsid w:val="00543084"/>
    <w:rsid w:val="00543584"/>
    <w:rsid w:val="005436F6"/>
    <w:rsid w:val="00543A9E"/>
    <w:rsid w:val="0054413A"/>
    <w:rsid w:val="00544288"/>
    <w:rsid w:val="005446BB"/>
    <w:rsid w:val="00544DA5"/>
    <w:rsid w:val="00544F43"/>
    <w:rsid w:val="00545997"/>
    <w:rsid w:val="00545E30"/>
    <w:rsid w:val="00545EA3"/>
    <w:rsid w:val="005463C7"/>
    <w:rsid w:val="00546C9B"/>
    <w:rsid w:val="00547378"/>
    <w:rsid w:val="00547778"/>
    <w:rsid w:val="00547BF6"/>
    <w:rsid w:val="00547FB3"/>
    <w:rsid w:val="00551098"/>
    <w:rsid w:val="00551598"/>
    <w:rsid w:val="0055162B"/>
    <w:rsid w:val="00551A56"/>
    <w:rsid w:val="00551BFF"/>
    <w:rsid w:val="00551D68"/>
    <w:rsid w:val="00551DFF"/>
    <w:rsid w:val="005525C9"/>
    <w:rsid w:val="00552B3E"/>
    <w:rsid w:val="00553A23"/>
    <w:rsid w:val="00554578"/>
    <w:rsid w:val="00554D57"/>
    <w:rsid w:val="005551AA"/>
    <w:rsid w:val="00555BCE"/>
    <w:rsid w:val="005564CA"/>
    <w:rsid w:val="005568BD"/>
    <w:rsid w:val="005568EA"/>
    <w:rsid w:val="00557140"/>
    <w:rsid w:val="0055715A"/>
    <w:rsid w:val="0055729E"/>
    <w:rsid w:val="00557984"/>
    <w:rsid w:val="00557A3F"/>
    <w:rsid w:val="00560BC1"/>
    <w:rsid w:val="00560C87"/>
    <w:rsid w:val="00560F51"/>
    <w:rsid w:val="00561249"/>
    <w:rsid w:val="0056182B"/>
    <w:rsid w:val="00561A88"/>
    <w:rsid w:val="00561AF3"/>
    <w:rsid w:val="00561E0B"/>
    <w:rsid w:val="00562141"/>
    <w:rsid w:val="00562AC8"/>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55F"/>
    <w:rsid w:val="00573BA3"/>
    <w:rsid w:val="00574708"/>
    <w:rsid w:val="00574D81"/>
    <w:rsid w:val="005756AA"/>
    <w:rsid w:val="0057696F"/>
    <w:rsid w:val="00576C8A"/>
    <w:rsid w:val="005774FE"/>
    <w:rsid w:val="0058040C"/>
    <w:rsid w:val="00580D6D"/>
    <w:rsid w:val="00580FD8"/>
    <w:rsid w:val="005813DE"/>
    <w:rsid w:val="00581796"/>
    <w:rsid w:val="0058195C"/>
    <w:rsid w:val="00581B45"/>
    <w:rsid w:val="00582480"/>
    <w:rsid w:val="00582805"/>
    <w:rsid w:val="0058290E"/>
    <w:rsid w:val="00582CAB"/>
    <w:rsid w:val="00582FA6"/>
    <w:rsid w:val="005836D5"/>
    <w:rsid w:val="0058375E"/>
    <w:rsid w:val="0058394B"/>
    <w:rsid w:val="00583F81"/>
    <w:rsid w:val="00584233"/>
    <w:rsid w:val="005842D0"/>
    <w:rsid w:val="005845FB"/>
    <w:rsid w:val="005855AE"/>
    <w:rsid w:val="00585829"/>
    <w:rsid w:val="00585CA8"/>
    <w:rsid w:val="00586412"/>
    <w:rsid w:val="005864B9"/>
    <w:rsid w:val="00586564"/>
    <w:rsid w:val="005866C4"/>
    <w:rsid w:val="00590F1A"/>
    <w:rsid w:val="00591207"/>
    <w:rsid w:val="00591C03"/>
    <w:rsid w:val="00591E2A"/>
    <w:rsid w:val="005923C4"/>
    <w:rsid w:val="0059397D"/>
    <w:rsid w:val="00593EA2"/>
    <w:rsid w:val="00593F75"/>
    <w:rsid w:val="005940A0"/>
    <w:rsid w:val="0059429A"/>
    <w:rsid w:val="00594CBE"/>
    <w:rsid w:val="00595561"/>
    <w:rsid w:val="00596AF7"/>
    <w:rsid w:val="00596CCE"/>
    <w:rsid w:val="00597516"/>
    <w:rsid w:val="005A1976"/>
    <w:rsid w:val="005A1F51"/>
    <w:rsid w:val="005A2120"/>
    <w:rsid w:val="005A2501"/>
    <w:rsid w:val="005A2C80"/>
    <w:rsid w:val="005A3066"/>
    <w:rsid w:val="005A3B35"/>
    <w:rsid w:val="005A3C4B"/>
    <w:rsid w:val="005A3E5A"/>
    <w:rsid w:val="005A43F3"/>
    <w:rsid w:val="005A496F"/>
    <w:rsid w:val="005A4A56"/>
    <w:rsid w:val="005A5608"/>
    <w:rsid w:val="005A5A3D"/>
    <w:rsid w:val="005A6035"/>
    <w:rsid w:val="005A6B75"/>
    <w:rsid w:val="005A6E00"/>
    <w:rsid w:val="005A718A"/>
    <w:rsid w:val="005A72DD"/>
    <w:rsid w:val="005A7885"/>
    <w:rsid w:val="005B12B2"/>
    <w:rsid w:val="005B143B"/>
    <w:rsid w:val="005B19BD"/>
    <w:rsid w:val="005B1E45"/>
    <w:rsid w:val="005B21C4"/>
    <w:rsid w:val="005B2A28"/>
    <w:rsid w:val="005B35AB"/>
    <w:rsid w:val="005B3621"/>
    <w:rsid w:val="005B3EBE"/>
    <w:rsid w:val="005B4948"/>
    <w:rsid w:val="005B501D"/>
    <w:rsid w:val="005B54CC"/>
    <w:rsid w:val="005B71BB"/>
    <w:rsid w:val="005B741C"/>
    <w:rsid w:val="005B74AD"/>
    <w:rsid w:val="005B7E96"/>
    <w:rsid w:val="005C0429"/>
    <w:rsid w:val="005C06A5"/>
    <w:rsid w:val="005C084F"/>
    <w:rsid w:val="005C0EE9"/>
    <w:rsid w:val="005C169F"/>
    <w:rsid w:val="005C16A8"/>
    <w:rsid w:val="005C1716"/>
    <w:rsid w:val="005C1954"/>
    <w:rsid w:val="005C1C0B"/>
    <w:rsid w:val="005C2011"/>
    <w:rsid w:val="005C3EA3"/>
    <w:rsid w:val="005C44DE"/>
    <w:rsid w:val="005C5011"/>
    <w:rsid w:val="005C5241"/>
    <w:rsid w:val="005C529E"/>
    <w:rsid w:val="005C57BA"/>
    <w:rsid w:val="005C5C52"/>
    <w:rsid w:val="005C5D3D"/>
    <w:rsid w:val="005C5F05"/>
    <w:rsid w:val="005C6186"/>
    <w:rsid w:val="005C6397"/>
    <w:rsid w:val="005C6CF7"/>
    <w:rsid w:val="005C6D19"/>
    <w:rsid w:val="005C721D"/>
    <w:rsid w:val="005C7E45"/>
    <w:rsid w:val="005C7F3E"/>
    <w:rsid w:val="005D06D3"/>
    <w:rsid w:val="005D0C3B"/>
    <w:rsid w:val="005D103E"/>
    <w:rsid w:val="005D1051"/>
    <w:rsid w:val="005D1606"/>
    <w:rsid w:val="005D1D10"/>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651"/>
    <w:rsid w:val="005D691D"/>
    <w:rsid w:val="005D6A72"/>
    <w:rsid w:val="005D6F38"/>
    <w:rsid w:val="005D791B"/>
    <w:rsid w:val="005D7CF2"/>
    <w:rsid w:val="005D7F92"/>
    <w:rsid w:val="005E062C"/>
    <w:rsid w:val="005E0D7B"/>
    <w:rsid w:val="005E1595"/>
    <w:rsid w:val="005E1F1D"/>
    <w:rsid w:val="005E273D"/>
    <w:rsid w:val="005E3278"/>
    <w:rsid w:val="005E363B"/>
    <w:rsid w:val="005E3736"/>
    <w:rsid w:val="005E4B72"/>
    <w:rsid w:val="005E52C9"/>
    <w:rsid w:val="005E665F"/>
    <w:rsid w:val="005E781C"/>
    <w:rsid w:val="005F0B10"/>
    <w:rsid w:val="005F2D8B"/>
    <w:rsid w:val="005F305B"/>
    <w:rsid w:val="005F3361"/>
    <w:rsid w:val="005F361A"/>
    <w:rsid w:val="005F3B47"/>
    <w:rsid w:val="005F4481"/>
    <w:rsid w:val="005F47AC"/>
    <w:rsid w:val="005F49AF"/>
    <w:rsid w:val="005F4A58"/>
    <w:rsid w:val="005F54DF"/>
    <w:rsid w:val="005F5888"/>
    <w:rsid w:val="005F5984"/>
    <w:rsid w:val="005F5EAB"/>
    <w:rsid w:val="005F6CE2"/>
    <w:rsid w:val="005F6EC8"/>
    <w:rsid w:val="005F6F24"/>
    <w:rsid w:val="005F72E9"/>
    <w:rsid w:val="005F780B"/>
    <w:rsid w:val="005F7DE2"/>
    <w:rsid w:val="0060009C"/>
    <w:rsid w:val="00600473"/>
    <w:rsid w:val="0060139A"/>
    <w:rsid w:val="006013C9"/>
    <w:rsid w:val="00602931"/>
    <w:rsid w:val="00602B45"/>
    <w:rsid w:val="00603499"/>
    <w:rsid w:val="006035F5"/>
    <w:rsid w:val="00603CC2"/>
    <w:rsid w:val="006047D1"/>
    <w:rsid w:val="006048A4"/>
    <w:rsid w:val="00604A55"/>
    <w:rsid w:val="00604D4E"/>
    <w:rsid w:val="00604E3E"/>
    <w:rsid w:val="00605AC3"/>
    <w:rsid w:val="00606908"/>
    <w:rsid w:val="00607860"/>
    <w:rsid w:val="00607996"/>
    <w:rsid w:val="00607A37"/>
    <w:rsid w:val="00607E9F"/>
    <w:rsid w:val="0061085E"/>
    <w:rsid w:val="006112A7"/>
    <w:rsid w:val="00611398"/>
    <w:rsid w:val="006113B4"/>
    <w:rsid w:val="0061186D"/>
    <w:rsid w:val="0061221C"/>
    <w:rsid w:val="00612322"/>
    <w:rsid w:val="006123C0"/>
    <w:rsid w:val="006126A2"/>
    <w:rsid w:val="006129AB"/>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20719"/>
    <w:rsid w:val="006212C9"/>
    <w:rsid w:val="0062131B"/>
    <w:rsid w:val="00621D0C"/>
    <w:rsid w:val="00622229"/>
    <w:rsid w:val="00622470"/>
    <w:rsid w:val="0062267E"/>
    <w:rsid w:val="00622725"/>
    <w:rsid w:val="00622785"/>
    <w:rsid w:val="0062293F"/>
    <w:rsid w:val="00622B63"/>
    <w:rsid w:val="006231AA"/>
    <w:rsid w:val="00623482"/>
    <w:rsid w:val="00623AC2"/>
    <w:rsid w:val="00623EBC"/>
    <w:rsid w:val="0062475D"/>
    <w:rsid w:val="00625642"/>
    <w:rsid w:val="00625DF2"/>
    <w:rsid w:val="006266D7"/>
    <w:rsid w:val="00626D42"/>
    <w:rsid w:val="00626EE3"/>
    <w:rsid w:val="006274AD"/>
    <w:rsid w:val="00627519"/>
    <w:rsid w:val="00627532"/>
    <w:rsid w:val="006302AA"/>
    <w:rsid w:val="006310C3"/>
    <w:rsid w:val="0063161E"/>
    <w:rsid w:val="00631BB5"/>
    <w:rsid w:val="00631DD0"/>
    <w:rsid w:val="0063247E"/>
    <w:rsid w:val="00632CE0"/>
    <w:rsid w:val="00633DBF"/>
    <w:rsid w:val="00634122"/>
    <w:rsid w:val="0063444B"/>
    <w:rsid w:val="00634BEF"/>
    <w:rsid w:val="00635E32"/>
    <w:rsid w:val="006360FC"/>
    <w:rsid w:val="006361C9"/>
    <w:rsid w:val="00636405"/>
    <w:rsid w:val="006365DE"/>
    <w:rsid w:val="00636BE4"/>
    <w:rsid w:val="00636C0C"/>
    <w:rsid w:val="00636F88"/>
    <w:rsid w:val="0063732C"/>
    <w:rsid w:val="00637802"/>
    <w:rsid w:val="00637836"/>
    <w:rsid w:val="00637C26"/>
    <w:rsid w:val="00637F44"/>
    <w:rsid w:val="00641078"/>
    <w:rsid w:val="00641242"/>
    <w:rsid w:val="00641761"/>
    <w:rsid w:val="00641899"/>
    <w:rsid w:val="00642126"/>
    <w:rsid w:val="00642A32"/>
    <w:rsid w:val="00642B8E"/>
    <w:rsid w:val="00642F7C"/>
    <w:rsid w:val="006433D5"/>
    <w:rsid w:val="00643412"/>
    <w:rsid w:val="00643CF5"/>
    <w:rsid w:val="00645844"/>
    <w:rsid w:val="00645CEB"/>
    <w:rsid w:val="00645E63"/>
    <w:rsid w:val="00646B20"/>
    <w:rsid w:val="00646D0F"/>
    <w:rsid w:val="00647A36"/>
    <w:rsid w:val="00647DCC"/>
    <w:rsid w:val="00647E8E"/>
    <w:rsid w:val="00647EFA"/>
    <w:rsid w:val="00647F14"/>
    <w:rsid w:val="00650027"/>
    <w:rsid w:val="00650E89"/>
    <w:rsid w:val="006516E6"/>
    <w:rsid w:val="00651B9C"/>
    <w:rsid w:val="00651C47"/>
    <w:rsid w:val="00652E70"/>
    <w:rsid w:val="0065339A"/>
    <w:rsid w:val="00653469"/>
    <w:rsid w:val="00654315"/>
    <w:rsid w:val="0065443A"/>
    <w:rsid w:val="00654A38"/>
    <w:rsid w:val="00655301"/>
    <w:rsid w:val="00655371"/>
    <w:rsid w:val="00655507"/>
    <w:rsid w:val="006564A5"/>
    <w:rsid w:val="00656C4B"/>
    <w:rsid w:val="006572A7"/>
    <w:rsid w:val="006573EA"/>
    <w:rsid w:val="006577C9"/>
    <w:rsid w:val="00657B67"/>
    <w:rsid w:val="006606A4"/>
    <w:rsid w:val="00661029"/>
    <w:rsid w:val="006610C3"/>
    <w:rsid w:val="0066135A"/>
    <w:rsid w:val="00661A38"/>
    <w:rsid w:val="0066272D"/>
    <w:rsid w:val="00662E58"/>
    <w:rsid w:val="00662F39"/>
    <w:rsid w:val="0066352A"/>
    <w:rsid w:val="006635A0"/>
    <w:rsid w:val="00663D26"/>
    <w:rsid w:val="00664351"/>
    <w:rsid w:val="00665968"/>
    <w:rsid w:val="00665BF7"/>
    <w:rsid w:val="00665E65"/>
    <w:rsid w:val="006660F0"/>
    <w:rsid w:val="00666178"/>
    <w:rsid w:val="0066639E"/>
    <w:rsid w:val="00666473"/>
    <w:rsid w:val="00666B49"/>
    <w:rsid w:val="00666C72"/>
    <w:rsid w:val="00666E6C"/>
    <w:rsid w:val="0066707F"/>
    <w:rsid w:val="00667ED8"/>
    <w:rsid w:val="0067064C"/>
    <w:rsid w:val="00670B20"/>
    <w:rsid w:val="00670E12"/>
    <w:rsid w:val="00670F27"/>
    <w:rsid w:val="00672E80"/>
    <w:rsid w:val="0067333F"/>
    <w:rsid w:val="006739E4"/>
    <w:rsid w:val="00673ECF"/>
    <w:rsid w:val="0067426B"/>
    <w:rsid w:val="00674A1B"/>
    <w:rsid w:val="00674D08"/>
    <w:rsid w:val="00674F1C"/>
    <w:rsid w:val="006754F8"/>
    <w:rsid w:val="00676127"/>
    <w:rsid w:val="00676AED"/>
    <w:rsid w:val="00677212"/>
    <w:rsid w:val="00677F26"/>
    <w:rsid w:val="006800EE"/>
    <w:rsid w:val="006802A7"/>
    <w:rsid w:val="00680A86"/>
    <w:rsid w:val="00680FBE"/>
    <w:rsid w:val="006811C9"/>
    <w:rsid w:val="006812CE"/>
    <w:rsid w:val="006826C1"/>
    <w:rsid w:val="00682C89"/>
    <w:rsid w:val="006832B8"/>
    <w:rsid w:val="00683329"/>
    <w:rsid w:val="006837B2"/>
    <w:rsid w:val="00683800"/>
    <w:rsid w:val="0068420B"/>
    <w:rsid w:val="00684462"/>
    <w:rsid w:val="00684C0D"/>
    <w:rsid w:val="00684C8A"/>
    <w:rsid w:val="00684CF5"/>
    <w:rsid w:val="0068553E"/>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FA"/>
    <w:rsid w:val="00693772"/>
    <w:rsid w:val="006937EA"/>
    <w:rsid w:val="00693984"/>
    <w:rsid w:val="00693B77"/>
    <w:rsid w:val="00694156"/>
    <w:rsid w:val="00694160"/>
    <w:rsid w:val="00694E8B"/>
    <w:rsid w:val="006959A5"/>
    <w:rsid w:val="00695C0C"/>
    <w:rsid w:val="00696736"/>
    <w:rsid w:val="00696A05"/>
    <w:rsid w:val="00697665"/>
    <w:rsid w:val="00697C9A"/>
    <w:rsid w:val="00697E68"/>
    <w:rsid w:val="00697FC1"/>
    <w:rsid w:val="006A0274"/>
    <w:rsid w:val="006A27BC"/>
    <w:rsid w:val="006A2A43"/>
    <w:rsid w:val="006A2BF1"/>
    <w:rsid w:val="006A2F9A"/>
    <w:rsid w:val="006A34E4"/>
    <w:rsid w:val="006A35AC"/>
    <w:rsid w:val="006A3A5A"/>
    <w:rsid w:val="006A4249"/>
    <w:rsid w:val="006A44CF"/>
    <w:rsid w:val="006A457D"/>
    <w:rsid w:val="006A4B5A"/>
    <w:rsid w:val="006A4C06"/>
    <w:rsid w:val="006A55EE"/>
    <w:rsid w:val="006A575B"/>
    <w:rsid w:val="006A59DE"/>
    <w:rsid w:val="006A64C6"/>
    <w:rsid w:val="006A6655"/>
    <w:rsid w:val="006A6BF9"/>
    <w:rsid w:val="006A6D7B"/>
    <w:rsid w:val="006A7AB8"/>
    <w:rsid w:val="006A7CB5"/>
    <w:rsid w:val="006A7FD0"/>
    <w:rsid w:val="006B025C"/>
    <w:rsid w:val="006B04DB"/>
    <w:rsid w:val="006B08ED"/>
    <w:rsid w:val="006B2170"/>
    <w:rsid w:val="006B2534"/>
    <w:rsid w:val="006B2CB2"/>
    <w:rsid w:val="006B347D"/>
    <w:rsid w:val="006B3E19"/>
    <w:rsid w:val="006B4488"/>
    <w:rsid w:val="006B4D5D"/>
    <w:rsid w:val="006B50C4"/>
    <w:rsid w:val="006B53AE"/>
    <w:rsid w:val="006B58B4"/>
    <w:rsid w:val="006B67AC"/>
    <w:rsid w:val="006B786A"/>
    <w:rsid w:val="006B7E4E"/>
    <w:rsid w:val="006C003A"/>
    <w:rsid w:val="006C107C"/>
    <w:rsid w:val="006C189C"/>
    <w:rsid w:val="006C2454"/>
    <w:rsid w:val="006C2551"/>
    <w:rsid w:val="006C27B9"/>
    <w:rsid w:val="006C2CC0"/>
    <w:rsid w:val="006C37CA"/>
    <w:rsid w:val="006C39AE"/>
    <w:rsid w:val="006C40D2"/>
    <w:rsid w:val="006C4B85"/>
    <w:rsid w:val="006C4BBD"/>
    <w:rsid w:val="006C551E"/>
    <w:rsid w:val="006C5B15"/>
    <w:rsid w:val="006C5D32"/>
    <w:rsid w:val="006C5DCB"/>
    <w:rsid w:val="006C6475"/>
    <w:rsid w:val="006C70C4"/>
    <w:rsid w:val="006C741F"/>
    <w:rsid w:val="006D04DA"/>
    <w:rsid w:val="006D10F6"/>
    <w:rsid w:val="006D1544"/>
    <w:rsid w:val="006D1688"/>
    <w:rsid w:val="006D19DE"/>
    <w:rsid w:val="006D1BE1"/>
    <w:rsid w:val="006D1DD3"/>
    <w:rsid w:val="006D1FF3"/>
    <w:rsid w:val="006D2C65"/>
    <w:rsid w:val="006D32C6"/>
    <w:rsid w:val="006D360E"/>
    <w:rsid w:val="006D3697"/>
    <w:rsid w:val="006D39D2"/>
    <w:rsid w:val="006D3A94"/>
    <w:rsid w:val="006D3F2A"/>
    <w:rsid w:val="006D405E"/>
    <w:rsid w:val="006D4370"/>
    <w:rsid w:val="006D46A3"/>
    <w:rsid w:val="006D5DCB"/>
    <w:rsid w:val="006D62E0"/>
    <w:rsid w:val="006D62EA"/>
    <w:rsid w:val="006D658F"/>
    <w:rsid w:val="006D66B2"/>
    <w:rsid w:val="006D6A12"/>
    <w:rsid w:val="006D712D"/>
    <w:rsid w:val="006D7687"/>
    <w:rsid w:val="006D7D1F"/>
    <w:rsid w:val="006D7D8A"/>
    <w:rsid w:val="006E046C"/>
    <w:rsid w:val="006E0572"/>
    <w:rsid w:val="006E05D8"/>
    <w:rsid w:val="006E08EE"/>
    <w:rsid w:val="006E0B2B"/>
    <w:rsid w:val="006E0F32"/>
    <w:rsid w:val="006E155A"/>
    <w:rsid w:val="006E1E86"/>
    <w:rsid w:val="006E2C34"/>
    <w:rsid w:val="006E359B"/>
    <w:rsid w:val="006E39D1"/>
    <w:rsid w:val="006E3B05"/>
    <w:rsid w:val="006E437F"/>
    <w:rsid w:val="006E4D5B"/>
    <w:rsid w:val="006E602F"/>
    <w:rsid w:val="006E6720"/>
    <w:rsid w:val="006E7275"/>
    <w:rsid w:val="006E77B8"/>
    <w:rsid w:val="006E7AAF"/>
    <w:rsid w:val="006F0F74"/>
    <w:rsid w:val="006F13BA"/>
    <w:rsid w:val="006F15CC"/>
    <w:rsid w:val="006F15F6"/>
    <w:rsid w:val="006F36EA"/>
    <w:rsid w:val="006F4147"/>
    <w:rsid w:val="006F4315"/>
    <w:rsid w:val="006F47A7"/>
    <w:rsid w:val="006F4CB0"/>
    <w:rsid w:val="006F4F78"/>
    <w:rsid w:val="006F50C2"/>
    <w:rsid w:val="006F5389"/>
    <w:rsid w:val="006F547E"/>
    <w:rsid w:val="006F5CCF"/>
    <w:rsid w:val="006F6F04"/>
    <w:rsid w:val="006F71F5"/>
    <w:rsid w:val="006F72A8"/>
    <w:rsid w:val="006F79BB"/>
    <w:rsid w:val="007000A6"/>
    <w:rsid w:val="0070045E"/>
    <w:rsid w:val="00700610"/>
    <w:rsid w:val="0070138A"/>
    <w:rsid w:val="0070157E"/>
    <w:rsid w:val="007030D4"/>
    <w:rsid w:val="00703279"/>
    <w:rsid w:val="007034D9"/>
    <w:rsid w:val="00703B61"/>
    <w:rsid w:val="00703E11"/>
    <w:rsid w:val="00704102"/>
    <w:rsid w:val="0070437C"/>
    <w:rsid w:val="0070461C"/>
    <w:rsid w:val="00704F37"/>
    <w:rsid w:val="00705631"/>
    <w:rsid w:val="00705818"/>
    <w:rsid w:val="00705F62"/>
    <w:rsid w:val="00706813"/>
    <w:rsid w:val="0070773F"/>
    <w:rsid w:val="00707A2E"/>
    <w:rsid w:val="00707ED3"/>
    <w:rsid w:val="007101B7"/>
    <w:rsid w:val="00710668"/>
    <w:rsid w:val="00711019"/>
    <w:rsid w:val="007110F4"/>
    <w:rsid w:val="007112B1"/>
    <w:rsid w:val="0071130F"/>
    <w:rsid w:val="00712507"/>
    <w:rsid w:val="00712714"/>
    <w:rsid w:val="007129AB"/>
    <w:rsid w:val="00712B63"/>
    <w:rsid w:val="00712E5F"/>
    <w:rsid w:val="00713526"/>
    <w:rsid w:val="00713FC5"/>
    <w:rsid w:val="00714BB9"/>
    <w:rsid w:val="00714DCA"/>
    <w:rsid w:val="007150F3"/>
    <w:rsid w:val="00715BBF"/>
    <w:rsid w:val="00715C29"/>
    <w:rsid w:val="00715CBD"/>
    <w:rsid w:val="00715EAA"/>
    <w:rsid w:val="00716119"/>
    <w:rsid w:val="00716630"/>
    <w:rsid w:val="00716BB0"/>
    <w:rsid w:val="00716CAD"/>
    <w:rsid w:val="00716CD3"/>
    <w:rsid w:val="00716F18"/>
    <w:rsid w:val="00717363"/>
    <w:rsid w:val="00717786"/>
    <w:rsid w:val="00717ACB"/>
    <w:rsid w:val="00717F8F"/>
    <w:rsid w:val="0072138B"/>
    <w:rsid w:val="00721BFF"/>
    <w:rsid w:val="007232EE"/>
    <w:rsid w:val="00723475"/>
    <w:rsid w:val="007236C4"/>
    <w:rsid w:val="00724635"/>
    <w:rsid w:val="00724F21"/>
    <w:rsid w:val="00725134"/>
    <w:rsid w:val="0072554B"/>
    <w:rsid w:val="0072571F"/>
    <w:rsid w:val="00725AFD"/>
    <w:rsid w:val="00726603"/>
    <w:rsid w:val="007266AC"/>
    <w:rsid w:val="00727B1D"/>
    <w:rsid w:val="00727DDC"/>
    <w:rsid w:val="00730CD6"/>
    <w:rsid w:val="00730F74"/>
    <w:rsid w:val="0073114B"/>
    <w:rsid w:val="00732151"/>
    <w:rsid w:val="007323A1"/>
    <w:rsid w:val="00732EBC"/>
    <w:rsid w:val="00734952"/>
    <w:rsid w:val="00734987"/>
    <w:rsid w:val="00734990"/>
    <w:rsid w:val="00734FF5"/>
    <w:rsid w:val="00735B78"/>
    <w:rsid w:val="00735CA5"/>
    <w:rsid w:val="00735DA7"/>
    <w:rsid w:val="00736700"/>
    <w:rsid w:val="007368B4"/>
    <w:rsid w:val="007378E0"/>
    <w:rsid w:val="0074040E"/>
    <w:rsid w:val="00740529"/>
    <w:rsid w:val="00740876"/>
    <w:rsid w:val="00741358"/>
    <w:rsid w:val="00741626"/>
    <w:rsid w:val="00741B0C"/>
    <w:rsid w:val="00742332"/>
    <w:rsid w:val="00742886"/>
    <w:rsid w:val="00742A3A"/>
    <w:rsid w:val="00742DD2"/>
    <w:rsid w:val="007437C6"/>
    <w:rsid w:val="007441A2"/>
    <w:rsid w:val="00744273"/>
    <w:rsid w:val="00744E80"/>
    <w:rsid w:val="00745035"/>
    <w:rsid w:val="0074531C"/>
    <w:rsid w:val="00745547"/>
    <w:rsid w:val="007459D0"/>
    <w:rsid w:val="0074623A"/>
    <w:rsid w:val="00746420"/>
    <w:rsid w:val="00746A60"/>
    <w:rsid w:val="00746E04"/>
    <w:rsid w:val="00746E08"/>
    <w:rsid w:val="00746E3D"/>
    <w:rsid w:val="007473B9"/>
    <w:rsid w:val="00747C96"/>
    <w:rsid w:val="00750075"/>
    <w:rsid w:val="0075022F"/>
    <w:rsid w:val="007502EC"/>
    <w:rsid w:val="00750382"/>
    <w:rsid w:val="0075094E"/>
    <w:rsid w:val="00750FA8"/>
    <w:rsid w:val="00750FB5"/>
    <w:rsid w:val="007520F0"/>
    <w:rsid w:val="0075226F"/>
    <w:rsid w:val="007522E8"/>
    <w:rsid w:val="007529DB"/>
    <w:rsid w:val="007534AD"/>
    <w:rsid w:val="00753BAC"/>
    <w:rsid w:val="00753E86"/>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2E6C"/>
    <w:rsid w:val="00762F54"/>
    <w:rsid w:val="007634AD"/>
    <w:rsid w:val="0076445F"/>
    <w:rsid w:val="007648AE"/>
    <w:rsid w:val="00764EC5"/>
    <w:rsid w:val="007651EF"/>
    <w:rsid w:val="00766D49"/>
    <w:rsid w:val="00766ECC"/>
    <w:rsid w:val="007672F3"/>
    <w:rsid w:val="007677B5"/>
    <w:rsid w:val="007678B1"/>
    <w:rsid w:val="007708A8"/>
    <w:rsid w:val="00772100"/>
    <w:rsid w:val="00772275"/>
    <w:rsid w:val="00772AAF"/>
    <w:rsid w:val="00772C9A"/>
    <w:rsid w:val="00772E2A"/>
    <w:rsid w:val="00773131"/>
    <w:rsid w:val="007734E4"/>
    <w:rsid w:val="0077380D"/>
    <w:rsid w:val="00773BC8"/>
    <w:rsid w:val="00774337"/>
    <w:rsid w:val="00774549"/>
    <w:rsid w:val="0077466F"/>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049"/>
    <w:rsid w:val="0078122E"/>
    <w:rsid w:val="00781939"/>
    <w:rsid w:val="00781D29"/>
    <w:rsid w:val="007825EF"/>
    <w:rsid w:val="0078286B"/>
    <w:rsid w:val="00782D2C"/>
    <w:rsid w:val="00782D6D"/>
    <w:rsid w:val="00782FC2"/>
    <w:rsid w:val="0078347A"/>
    <w:rsid w:val="0078410A"/>
    <w:rsid w:val="00784938"/>
    <w:rsid w:val="00784FC4"/>
    <w:rsid w:val="00785BBB"/>
    <w:rsid w:val="00785FB2"/>
    <w:rsid w:val="00786937"/>
    <w:rsid w:val="00786FAD"/>
    <w:rsid w:val="00787B1B"/>
    <w:rsid w:val="00787CCC"/>
    <w:rsid w:val="00787D90"/>
    <w:rsid w:val="00787F5E"/>
    <w:rsid w:val="00790164"/>
    <w:rsid w:val="0079041B"/>
    <w:rsid w:val="007905C6"/>
    <w:rsid w:val="00790A24"/>
    <w:rsid w:val="00790A37"/>
    <w:rsid w:val="00790A60"/>
    <w:rsid w:val="0079131A"/>
    <w:rsid w:val="0079146D"/>
    <w:rsid w:val="00791C32"/>
    <w:rsid w:val="00791FF0"/>
    <w:rsid w:val="007923D0"/>
    <w:rsid w:val="007930D3"/>
    <w:rsid w:val="007936E2"/>
    <w:rsid w:val="0079381F"/>
    <w:rsid w:val="00793A57"/>
    <w:rsid w:val="00793B2E"/>
    <w:rsid w:val="00793D65"/>
    <w:rsid w:val="007948F5"/>
    <w:rsid w:val="00795647"/>
    <w:rsid w:val="007963F6"/>
    <w:rsid w:val="00796DC8"/>
    <w:rsid w:val="00796E80"/>
    <w:rsid w:val="0079744F"/>
    <w:rsid w:val="0079776F"/>
    <w:rsid w:val="007979AD"/>
    <w:rsid w:val="00797A9C"/>
    <w:rsid w:val="007A0502"/>
    <w:rsid w:val="007A0EAB"/>
    <w:rsid w:val="007A2341"/>
    <w:rsid w:val="007A2754"/>
    <w:rsid w:val="007A38A1"/>
    <w:rsid w:val="007A3BBE"/>
    <w:rsid w:val="007A4766"/>
    <w:rsid w:val="007A5947"/>
    <w:rsid w:val="007A717B"/>
    <w:rsid w:val="007A7714"/>
    <w:rsid w:val="007A7775"/>
    <w:rsid w:val="007B0302"/>
    <w:rsid w:val="007B0313"/>
    <w:rsid w:val="007B0854"/>
    <w:rsid w:val="007B0E48"/>
    <w:rsid w:val="007B1D1B"/>
    <w:rsid w:val="007B21AA"/>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C097D"/>
    <w:rsid w:val="007C0AF2"/>
    <w:rsid w:val="007C1672"/>
    <w:rsid w:val="007C17AE"/>
    <w:rsid w:val="007C21E1"/>
    <w:rsid w:val="007C24EE"/>
    <w:rsid w:val="007C312A"/>
    <w:rsid w:val="007C3538"/>
    <w:rsid w:val="007C3570"/>
    <w:rsid w:val="007C3907"/>
    <w:rsid w:val="007C3F3B"/>
    <w:rsid w:val="007C4097"/>
    <w:rsid w:val="007C4241"/>
    <w:rsid w:val="007C425E"/>
    <w:rsid w:val="007C55FF"/>
    <w:rsid w:val="007C6339"/>
    <w:rsid w:val="007C753F"/>
    <w:rsid w:val="007C7C43"/>
    <w:rsid w:val="007C7E15"/>
    <w:rsid w:val="007C7F0D"/>
    <w:rsid w:val="007D06E3"/>
    <w:rsid w:val="007D09E4"/>
    <w:rsid w:val="007D1134"/>
    <w:rsid w:val="007D231B"/>
    <w:rsid w:val="007D23F7"/>
    <w:rsid w:val="007D2566"/>
    <w:rsid w:val="007D2C18"/>
    <w:rsid w:val="007D2D74"/>
    <w:rsid w:val="007D3693"/>
    <w:rsid w:val="007D39CB"/>
    <w:rsid w:val="007D3C6D"/>
    <w:rsid w:val="007D4770"/>
    <w:rsid w:val="007D481A"/>
    <w:rsid w:val="007D4B96"/>
    <w:rsid w:val="007D4ED0"/>
    <w:rsid w:val="007D5648"/>
    <w:rsid w:val="007D58C5"/>
    <w:rsid w:val="007D5DE8"/>
    <w:rsid w:val="007D7CFC"/>
    <w:rsid w:val="007D7F8F"/>
    <w:rsid w:val="007E0812"/>
    <w:rsid w:val="007E0825"/>
    <w:rsid w:val="007E18DF"/>
    <w:rsid w:val="007E214A"/>
    <w:rsid w:val="007E238D"/>
    <w:rsid w:val="007E2C36"/>
    <w:rsid w:val="007E350D"/>
    <w:rsid w:val="007E3ACA"/>
    <w:rsid w:val="007E3F4A"/>
    <w:rsid w:val="007E564D"/>
    <w:rsid w:val="007E5C4A"/>
    <w:rsid w:val="007E64D4"/>
    <w:rsid w:val="007E66E9"/>
    <w:rsid w:val="007E69F2"/>
    <w:rsid w:val="007E7432"/>
    <w:rsid w:val="007E74BF"/>
    <w:rsid w:val="007E7657"/>
    <w:rsid w:val="007E7B55"/>
    <w:rsid w:val="007E7D2E"/>
    <w:rsid w:val="007E7E80"/>
    <w:rsid w:val="007F14D3"/>
    <w:rsid w:val="007F1814"/>
    <w:rsid w:val="007F1D9D"/>
    <w:rsid w:val="007F1E28"/>
    <w:rsid w:val="007F1F63"/>
    <w:rsid w:val="007F22A0"/>
    <w:rsid w:val="007F2902"/>
    <w:rsid w:val="007F2903"/>
    <w:rsid w:val="007F2F90"/>
    <w:rsid w:val="007F3320"/>
    <w:rsid w:val="007F3AC1"/>
    <w:rsid w:val="007F4976"/>
    <w:rsid w:val="007F4B40"/>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A2A"/>
    <w:rsid w:val="00802041"/>
    <w:rsid w:val="008022C9"/>
    <w:rsid w:val="00802605"/>
    <w:rsid w:val="00802F9E"/>
    <w:rsid w:val="00803566"/>
    <w:rsid w:val="00803700"/>
    <w:rsid w:val="00803D9D"/>
    <w:rsid w:val="008059C6"/>
    <w:rsid w:val="00805AD7"/>
    <w:rsid w:val="00805BD6"/>
    <w:rsid w:val="00805DE3"/>
    <w:rsid w:val="00807C35"/>
    <w:rsid w:val="00807F35"/>
    <w:rsid w:val="00807F69"/>
    <w:rsid w:val="008100F7"/>
    <w:rsid w:val="00810206"/>
    <w:rsid w:val="0081022B"/>
    <w:rsid w:val="00810A15"/>
    <w:rsid w:val="00811898"/>
    <w:rsid w:val="00811CDC"/>
    <w:rsid w:val="008124D8"/>
    <w:rsid w:val="00813A7B"/>
    <w:rsid w:val="00813F04"/>
    <w:rsid w:val="0081513E"/>
    <w:rsid w:val="00815DA5"/>
    <w:rsid w:val="00816221"/>
    <w:rsid w:val="0081749A"/>
    <w:rsid w:val="008174F3"/>
    <w:rsid w:val="0081766B"/>
    <w:rsid w:val="008201DE"/>
    <w:rsid w:val="008205AC"/>
    <w:rsid w:val="00820705"/>
    <w:rsid w:val="00820CBF"/>
    <w:rsid w:val="00820FA8"/>
    <w:rsid w:val="008212FD"/>
    <w:rsid w:val="00821489"/>
    <w:rsid w:val="0082168D"/>
    <w:rsid w:val="008217B7"/>
    <w:rsid w:val="00821E42"/>
    <w:rsid w:val="0082239B"/>
    <w:rsid w:val="0082292E"/>
    <w:rsid w:val="00822D06"/>
    <w:rsid w:val="00822EC4"/>
    <w:rsid w:val="0082348D"/>
    <w:rsid w:val="008236BE"/>
    <w:rsid w:val="008241CE"/>
    <w:rsid w:val="0082520B"/>
    <w:rsid w:val="00825240"/>
    <w:rsid w:val="00825B43"/>
    <w:rsid w:val="00826F71"/>
    <w:rsid w:val="00827CC0"/>
    <w:rsid w:val="008306AB"/>
    <w:rsid w:val="00831026"/>
    <w:rsid w:val="0083119B"/>
    <w:rsid w:val="00831BAE"/>
    <w:rsid w:val="00832216"/>
    <w:rsid w:val="00832513"/>
    <w:rsid w:val="00832CD0"/>
    <w:rsid w:val="00833430"/>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92D"/>
    <w:rsid w:val="008509A5"/>
    <w:rsid w:val="00850C79"/>
    <w:rsid w:val="00850D82"/>
    <w:rsid w:val="00850F79"/>
    <w:rsid w:val="0085100B"/>
    <w:rsid w:val="008510A1"/>
    <w:rsid w:val="0085304C"/>
    <w:rsid w:val="008536BB"/>
    <w:rsid w:val="00853A3C"/>
    <w:rsid w:val="008548CA"/>
    <w:rsid w:val="008563B0"/>
    <w:rsid w:val="00856C06"/>
    <w:rsid w:val="00857638"/>
    <w:rsid w:val="0085790B"/>
    <w:rsid w:val="008579B9"/>
    <w:rsid w:val="00857C95"/>
    <w:rsid w:val="00857E78"/>
    <w:rsid w:val="00860AEF"/>
    <w:rsid w:val="00860B18"/>
    <w:rsid w:val="00860D5E"/>
    <w:rsid w:val="0086122C"/>
    <w:rsid w:val="00861310"/>
    <w:rsid w:val="00861C4D"/>
    <w:rsid w:val="00861F53"/>
    <w:rsid w:val="0086289E"/>
    <w:rsid w:val="008629CB"/>
    <w:rsid w:val="0086394E"/>
    <w:rsid w:val="00863F8A"/>
    <w:rsid w:val="00863FE3"/>
    <w:rsid w:val="008640C4"/>
    <w:rsid w:val="00864241"/>
    <w:rsid w:val="008645AA"/>
    <w:rsid w:val="0086468A"/>
    <w:rsid w:val="008650BE"/>
    <w:rsid w:val="00865EAF"/>
    <w:rsid w:val="0086633B"/>
    <w:rsid w:val="00866495"/>
    <w:rsid w:val="0086673C"/>
    <w:rsid w:val="00866881"/>
    <w:rsid w:val="00866931"/>
    <w:rsid w:val="008673AE"/>
    <w:rsid w:val="00867512"/>
    <w:rsid w:val="008678A3"/>
    <w:rsid w:val="00867C13"/>
    <w:rsid w:val="00867C1D"/>
    <w:rsid w:val="0087033C"/>
    <w:rsid w:val="008715ED"/>
    <w:rsid w:val="008717D8"/>
    <w:rsid w:val="00871E3C"/>
    <w:rsid w:val="00872484"/>
    <w:rsid w:val="00872F97"/>
    <w:rsid w:val="00874607"/>
    <w:rsid w:val="008747E9"/>
    <w:rsid w:val="00874915"/>
    <w:rsid w:val="00874B89"/>
    <w:rsid w:val="00875403"/>
    <w:rsid w:val="00875434"/>
    <w:rsid w:val="00875C1F"/>
    <w:rsid w:val="00876215"/>
    <w:rsid w:val="0087646C"/>
    <w:rsid w:val="00876815"/>
    <w:rsid w:val="00877932"/>
    <w:rsid w:val="008808C7"/>
    <w:rsid w:val="0088106B"/>
    <w:rsid w:val="0088107D"/>
    <w:rsid w:val="0088187A"/>
    <w:rsid w:val="00881E64"/>
    <w:rsid w:val="00882E39"/>
    <w:rsid w:val="00883559"/>
    <w:rsid w:val="008850EB"/>
    <w:rsid w:val="00885228"/>
    <w:rsid w:val="008857E3"/>
    <w:rsid w:val="00886DF2"/>
    <w:rsid w:val="00886FB9"/>
    <w:rsid w:val="00887057"/>
    <w:rsid w:val="00887080"/>
    <w:rsid w:val="00887C79"/>
    <w:rsid w:val="008908DC"/>
    <w:rsid w:val="0089107B"/>
    <w:rsid w:val="008913CC"/>
    <w:rsid w:val="008914AE"/>
    <w:rsid w:val="008919CF"/>
    <w:rsid w:val="00891F84"/>
    <w:rsid w:val="00891FC3"/>
    <w:rsid w:val="008928EC"/>
    <w:rsid w:val="00892A15"/>
    <w:rsid w:val="00892E5D"/>
    <w:rsid w:val="008935CF"/>
    <w:rsid w:val="0089436B"/>
    <w:rsid w:val="00894436"/>
    <w:rsid w:val="00894BB1"/>
    <w:rsid w:val="008951D0"/>
    <w:rsid w:val="00895442"/>
    <w:rsid w:val="0089582D"/>
    <w:rsid w:val="008959C6"/>
    <w:rsid w:val="0089606D"/>
    <w:rsid w:val="00896129"/>
    <w:rsid w:val="00896316"/>
    <w:rsid w:val="0089774F"/>
    <w:rsid w:val="00897875"/>
    <w:rsid w:val="00897B8F"/>
    <w:rsid w:val="008A00D9"/>
    <w:rsid w:val="008A07D5"/>
    <w:rsid w:val="008A1C96"/>
    <w:rsid w:val="008A1FB7"/>
    <w:rsid w:val="008A229A"/>
    <w:rsid w:val="008A2A23"/>
    <w:rsid w:val="008A2AF5"/>
    <w:rsid w:val="008A2B5A"/>
    <w:rsid w:val="008A3F9D"/>
    <w:rsid w:val="008A41F8"/>
    <w:rsid w:val="008A5474"/>
    <w:rsid w:val="008A5C9A"/>
    <w:rsid w:val="008A6005"/>
    <w:rsid w:val="008A614F"/>
    <w:rsid w:val="008A6A55"/>
    <w:rsid w:val="008A6DF0"/>
    <w:rsid w:val="008A6F6E"/>
    <w:rsid w:val="008A7888"/>
    <w:rsid w:val="008A796E"/>
    <w:rsid w:val="008A7AEB"/>
    <w:rsid w:val="008B0862"/>
    <w:rsid w:val="008B088C"/>
    <w:rsid w:val="008B1BF5"/>
    <w:rsid w:val="008B263F"/>
    <w:rsid w:val="008B3045"/>
    <w:rsid w:val="008B47A6"/>
    <w:rsid w:val="008B5C7C"/>
    <w:rsid w:val="008B63FE"/>
    <w:rsid w:val="008B672C"/>
    <w:rsid w:val="008B7108"/>
    <w:rsid w:val="008C065F"/>
    <w:rsid w:val="008C0743"/>
    <w:rsid w:val="008C0B4C"/>
    <w:rsid w:val="008C11F0"/>
    <w:rsid w:val="008C1918"/>
    <w:rsid w:val="008C1DBA"/>
    <w:rsid w:val="008C24E7"/>
    <w:rsid w:val="008C2500"/>
    <w:rsid w:val="008C2CAC"/>
    <w:rsid w:val="008C2F63"/>
    <w:rsid w:val="008C3C57"/>
    <w:rsid w:val="008C3E2A"/>
    <w:rsid w:val="008C45BD"/>
    <w:rsid w:val="008C4B19"/>
    <w:rsid w:val="008C5983"/>
    <w:rsid w:val="008C62D4"/>
    <w:rsid w:val="008C6B89"/>
    <w:rsid w:val="008C6B97"/>
    <w:rsid w:val="008C7EF7"/>
    <w:rsid w:val="008C7F13"/>
    <w:rsid w:val="008D094D"/>
    <w:rsid w:val="008D0ECE"/>
    <w:rsid w:val="008D18AA"/>
    <w:rsid w:val="008D1A2A"/>
    <w:rsid w:val="008D1ADE"/>
    <w:rsid w:val="008D3199"/>
    <w:rsid w:val="008D35D9"/>
    <w:rsid w:val="008D3B36"/>
    <w:rsid w:val="008D3B85"/>
    <w:rsid w:val="008D42D2"/>
    <w:rsid w:val="008D4596"/>
    <w:rsid w:val="008D462D"/>
    <w:rsid w:val="008D5BB1"/>
    <w:rsid w:val="008D6084"/>
    <w:rsid w:val="008D64AC"/>
    <w:rsid w:val="008D656F"/>
    <w:rsid w:val="008D66CA"/>
    <w:rsid w:val="008D69B1"/>
    <w:rsid w:val="008D7338"/>
    <w:rsid w:val="008D785E"/>
    <w:rsid w:val="008D7D66"/>
    <w:rsid w:val="008E0012"/>
    <w:rsid w:val="008E0DF7"/>
    <w:rsid w:val="008E0FAD"/>
    <w:rsid w:val="008E11E4"/>
    <w:rsid w:val="008E1252"/>
    <w:rsid w:val="008E1347"/>
    <w:rsid w:val="008E16E0"/>
    <w:rsid w:val="008E1924"/>
    <w:rsid w:val="008E1C15"/>
    <w:rsid w:val="008E1C9A"/>
    <w:rsid w:val="008E28BD"/>
    <w:rsid w:val="008E2BE6"/>
    <w:rsid w:val="008E30C4"/>
    <w:rsid w:val="008E38B4"/>
    <w:rsid w:val="008E3BA4"/>
    <w:rsid w:val="008E3F17"/>
    <w:rsid w:val="008E44AB"/>
    <w:rsid w:val="008E4CAE"/>
    <w:rsid w:val="008E5179"/>
    <w:rsid w:val="008E57FE"/>
    <w:rsid w:val="008E6598"/>
    <w:rsid w:val="008E710F"/>
    <w:rsid w:val="008E7214"/>
    <w:rsid w:val="008E7471"/>
    <w:rsid w:val="008E7497"/>
    <w:rsid w:val="008E7884"/>
    <w:rsid w:val="008E7D6E"/>
    <w:rsid w:val="008F1056"/>
    <w:rsid w:val="008F2E8D"/>
    <w:rsid w:val="008F361D"/>
    <w:rsid w:val="008F387B"/>
    <w:rsid w:val="008F3DD9"/>
    <w:rsid w:val="008F40DC"/>
    <w:rsid w:val="008F4163"/>
    <w:rsid w:val="008F4814"/>
    <w:rsid w:val="008F4B18"/>
    <w:rsid w:val="008F4DA6"/>
    <w:rsid w:val="008F538E"/>
    <w:rsid w:val="008F5A20"/>
    <w:rsid w:val="008F5ABA"/>
    <w:rsid w:val="008F6157"/>
    <w:rsid w:val="008F71AB"/>
    <w:rsid w:val="008F7905"/>
    <w:rsid w:val="008F7989"/>
    <w:rsid w:val="00900912"/>
    <w:rsid w:val="00901F1D"/>
    <w:rsid w:val="009028E8"/>
    <w:rsid w:val="00902E5C"/>
    <w:rsid w:val="0090363E"/>
    <w:rsid w:val="00903788"/>
    <w:rsid w:val="00903C57"/>
    <w:rsid w:val="009046E5"/>
    <w:rsid w:val="009047C5"/>
    <w:rsid w:val="00910683"/>
    <w:rsid w:val="00910E00"/>
    <w:rsid w:val="00910E04"/>
    <w:rsid w:val="009116CE"/>
    <w:rsid w:val="00911714"/>
    <w:rsid w:val="00911D04"/>
    <w:rsid w:val="00911EFF"/>
    <w:rsid w:val="0091310F"/>
    <w:rsid w:val="009136D4"/>
    <w:rsid w:val="00914B9A"/>
    <w:rsid w:val="00914C3F"/>
    <w:rsid w:val="00914F33"/>
    <w:rsid w:val="00915EFE"/>
    <w:rsid w:val="00915FCE"/>
    <w:rsid w:val="00916907"/>
    <w:rsid w:val="00916AFE"/>
    <w:rsid w:val="00916FC8"/>
    <w:rsid w:val="009170D3"/>
    <w:rsid w:val="0091759C"/>
    <w:rsid w:val="00917CBE"/>
    <w:rsid w:val="00920026"/>
    <w:rsid w:val="009202E7"/>
    <w:rsid w:val="009203E2"/>
    <w:rsid w:val="00920BF5"/>
    <w:rsid w:val="00920F61"/>
    <w:rsid w:val="00921304"/>
    <w:rsid w:val="00921395"/>
    <w:rsid w:val="00921805"/>
    <w:rsid w:val="00921E63"/>
    <w:rsid w:val="009220F6"/>
    <w:rsid w:val="00923396"/>
    <w:rsid w:val="00923F56"/>
    <w:rsid w:val="009242A6"/>
    <w:rsid w:val="00924770"/>
    <w:rsid w:val="00925346"/>
    <w:rsid w:val="00925743"/>
    <w:rsid w:val="0092579F"/>
    <w:rsid w:val="00927E8D"/>
    <w:rsid w:val="00927F23"/>
    <w:rsid w:val="009307CD"/>
    <w:rsid w:val="00931364"/>
    <w:rsid w:val="00931365"/>
    <w:rsid w:val="00931451"/>
    <w:rsid w:val="009314FA"/>
    <w:rsid w:val="0093194F"/>
    <w:rsid w:val="00931BF3"/>
    <w:rsid w:val="00931C55"/>
    <w:rsid w:val="0093228F"/>
    <w:rsid w:val="00933333"/>
    <w:rsid w:val="0093349A"/>
    <w:rsid w:val="0093360C"/>
    <w:rsid w:val="009338BA"/>
    <w:rsid w:val="00933FCB"/>
    <w:rsid w:val="009346C8"/>
    <w:rsid w:val="00934CEC"/>
    <w:rsid w:val="00934E69"/>
    <w:rsid w:val="0093576F"/>
    <w:rsid w:val="00935E70"/>
    <w:rsid w:val="0093609A"/>
    <w:rsid w:val="00937401"/>
    <w:rsid w:val="009376FB"/>
    <w:rsid w:val="00937D6B"/>
    <w:rsid w:val="00940207"/>
    <w:rsid w:val="00940477"/>
    <w:rsid w:val="00940876"/>
    <w:rsid w:val="00940A53"/>
    <w:rsid w:val="00940F3C"/>
    <w:rsid w:val="009410E0"/>
    <w:rsid w:val="00941FA9"/>
    <w:rsid w:val="009439B6"/>
    <w:rsid w:val="009444B4"/>
    <w:rsid w:val="00944644"/>
    <w:rsid w:val="00946A24"/>
    <w:rsid w:val="009470D4"/>
    <w:rsid w:val="00947337"/>
    <w:rsid w:val="009477BD"/>
    <w:rsid w:val="00947E6E"/>
    <w:rsid w:val="009512FA"/>
    <w:rsid w:val="009516A9"/>
    <w:rsid w:val="00951E57"/>
    <w:rsid w:val="00952350"/>
    <w:rsid w:val="00952505"/>
    <w:rsid w:val="00953018"/>
    <w:rsid w:val="009533E2"/>
    <w:rsid w:val="00953554"/>
    <w:rsid w:val="0095385A"/>
    <w:rsid w:val="00954F3A"/>
    <w:rsid w:val="00955541"/>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2C93"/>
    <w:rsid w:val="00963550"/>
    <w:rsid w:val="00964138"/>
    <w:rsid w:val="0096439C"/>
    <w:rsid w:val="009648D6"/>
    <w:rsid w:val="00964B3F"/>
    <w:rsid w:val="00964C98"/>
    <w:rsid w:val="00965D36"/>
    <w:rsid w:val="00971441"/>
    <w:rsid w:val="00971555"/>
    <w:rsid w:val="009715D4"/>
    <w:rsid w:val="009715E1"/>
    <w:rsid w:val="0097179A"/>
    <w:rsid w:val="00971B0A"/>
    <w:rsid w:val="009731F4"/>
    <w:rsid w:val="009732A4"/>
    <w:rsid w:val="00973AB3"/>
    <w:rsid w:val="00973C05"/>
    <w:rsid w:val="0097494E"/>
    <w:rsid w:val="00974999"/>
    <w:rsid w:val="00974B58"/>
    <w:rsid w:val="00974CBD"/>
    <w:rsid w:val="00975445"/>
    <w:rsid w:val="009761ED"/>
    <w:rsid w:val="00977F52"/>
    <w:rsid w:val="0098022F"/>
    <w:rsid w:val="009810DE"/>
    <w:rsid w:val="00981B91"/>
    <w:rsid w:val="009822D7"/>
    <w:rsid w:val="009827E6"/>
    <w:rsid w:val="00982F84"/>
    <w:rsid w:val="009831C3"/>
    <w:rsid w:val="009838C1"/>
    <w:rsid w:val="0098427D"/>
    <w:rsid w:val="00984567"/>
    <w:rsid w:val="00985102"/>
    <w:rsid w:val="009854BC"/>
    <w:rsid w:val="00985A66"/>
    <w:rsid w:val="0098606C"/>
    <w:rsid w:val="009865D5"/>
    <w:rsid w:val="009866A4"/>
    <w:rsid w:val="00986CD7"/>
    <w:rsid w:val="009876F2"/>
    <w:rsid w:val="00987C77"/>
    <w:rsid w:val="00987FED"/>
    <w:rsid w:val="00990345"/>
    <w:rsid w:val="00990701"/>
    <w:rsid w:val="0099119C"/>
    <w:rsid w:val="0099137A"/>
    <w:rsid w:val="0099211C"/>
    <w:rsid w:val="00992E5F"/>
    <w:rsid w:val="00993013"/>
    <w:rsid w:val="009930AB"/>
    <w:rsid w:val="00993125"/>
    <w:rsid w:val="00993B78"/>
    <w:rsid w:val="00994F3F"/>
    <w:rsid w:val="00995119"/>
    <w:rsid w:val="0099531F"/>
    <w:rsid w:val="009953AD"/>
    <w:rsid w:val="009957D7"/>
    <w:rsid w:val="0099583D"/>
    <w:rsid w:val="00996020"/>
    <w:rsid w:val="0099629E"/>
    <w:rsid w:val="00996992"/>
    <w:rsid w:val="00996E1E"/>
    <w:rsid w:val="00997148"/>
    <w:rsid w:val="00997392"/>
    <w:rsid w:val="0099747C"/>
    <w:rsid w:val="0099771C"/>
    <w:rsid w:val="009A01E4"/>
    <w:rsid w:val="009A0917"/>
    <w:rsid w:val="009A0A33"/>
    <w:rsid w:val="009A10B2"/>
    <w:rsid w:val="009A1351"/>
    <w:rsid w:val="009A1C66"/>
    <w:rsid w:val="009A2041"/>
    <w:rsid w:val="009A2435"/>
    <w:rsid w:val="009A2B60"/>
    <w:rsid w:val="009A35DC"/>
    <w:rsid w:val="009A38AB"/>
    <w:rsid w:val="009A39EE"/>
    <w:rsid w:val="009A3A33"/>
    <w:rsid w:val="009A3D47"/>
    <w:rsid w:val="009A4D63"/>
    <w:rsid w:val="009A5356"/>
    <w:rsid w:val="009A5468"/>
    <w:rsid w:val="009A55D8"/>
    <w:rsid w:val="009A5D99"/>
    <w:rsid w:val="009A608C"/>
    <w:rsid w:val="009A6FDF"/>
    <w:rsid w:val="009A715F"/>
    <w:rsid w:val="009A76D6"/>
    <w:rsid w:val="009B03F1"/>
    <w:rsid w:val="009B0D05"/>
    <w:rsid w:val="009B177F"/>
    <w:rsid w:val="009B2374"/>
    <w:rsid w:val="009B28D6"/>
    <w:rsid w:val="009B2E29"/>
    <w:rsid w:val="009B3163"/>
    <w:rsid w:val="009B422F"/>
    <w:rsid w:val="009B46BC"/>
    <w:rsid w:val="009B4D1A"/>
    <w:rsid w:val="009B519D"/>
    <w:rsid w:val="009B558B"/>
    <w:rsid w:val="009B663F"/>
    <w:rsid w:val="009B6842"/>
    <w:rsid w:val="009B6AE5"/>
    <w:rsid w:val="009B6D21"/>
    <w:rsid w:val="009B78ED"/>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3B4"/>
    <w:rsid w:val="009D05DA"/>
    <w:rsid w:val="009D11F6"/>
    <w:rsid w:val="009D1A14"/>
    <w:rsid w:val="009D1DD5"/>
    <w:rsid w:val="009D1E2A"/>
    <w:rsid w:val="009D1FA0"/>
    <w:rsid w:val="009D2BDF"/>
    <w:rsid w:val="009D3736"/>
    <w:rsid w:val="009D4529"/>
    <w:rsid w:val="009D460F"/>
    <w:rsid w:val="009D604F"/>
    <w:rsid w:val="009D61BB"/>
    <w:rsid w:val="009D6410"/>
    <w:rsid w:val="009D68BB"/>
    <w:rsid w:val="009D6909"/>
    <w:rsid w:val="009D700F"/>
    <w:rsid w:val="009D70C2"/>
    <w:rsid w:val="009D7244"/>
    <w:rsid w:val="009D7ADB"/>
    <w:rsid w:val="009D7B33"/>
    <w:rsid w:val="009D7E32"/>
    <w:rsid w:val="009E0490"/>
    <w:rsid w:val="009E06C3"/>
    <w:rsid w:val="009E0703"/>
    <w:rsid w:val="009E1035"/>
    <w:rsid w:val="009E13D2"/>
    <w:rsid w:val="009E16DA"/>
    <w:rsid w:val="009E1CD4"/>
    <w:rsid w:val="009E2391"/>
    <w:rsid w:val="009E2A11"/>
    <w:rsid w:val="009E476A"/>
    <w:rsid w:val="009E4A16"/>
    <w:rsid w:val="009E4E05"/>
    <w:rsid w:val="009E56FF"/>
    <w:rsid w:val="009E5CB1"/>
    <w:rsid w:val="009E5E56"/>
    <w:rsid w:val="009E61EA"/>
    <w:rsid w:val="009E6990"/>
    <w:rsid w:val="009E6FEE"/>
    <w:rsid w:val="009E7068"/>
    <w:rsid w:val="009F00B9"/>
    <w:rsid w:val="009F060F"/>
    <w:rsid w:val="009F0781"/>
    <w:rsid w:val="009F0850"/>
    <w:rsid w:val="009F15A8"/>
    <w:rsid w:val="009F1950"/>
    <w:rsid w:val="009F1BDF"/>
    <w:rsid w:val="009F1EAE"/>
    <w:rsid w:val="009F210A"/>
    <w:rsid w:val="009F2732"/>
    <w:rsid w:val="009F2848"/>
    <w:rsid w:val="009F369D"/>
    <w:rsid w:val="009F36FE"/>
    <w:rsid w:val="009F4990"/>
    <w:rsid w:val="009F4F25"/>
    <w:rsid w:val="009F59C2"/>
    <w:rsid w:val="009F7263"/>
    <w:rsid w:val="009F76EA"/>
    <w:rsid w:val="009F78EB"/>
    <w:rsid w:val="009F7DB2"/>
    <w:rsid w:val="009F7F32"/>
    <w:rsid w:val="009F7FEB"/>
    <w:rsid w:val="00A003D5"/>
    <w:rsid w:val="00A0056C"/>
    <w:rsid w:val="00A00F5E"/>
    <w:rsid w:val="00A0120D"/>
    <w:rsid w:val="00A01852"/>
    <w:rsid w:val="00A0188B"/>
    <w:rsid w:val="00A019E9"/>
    <w:rsid w:val="00A01C35"/>
    <w:rsid w:val="00A01E73"/>
    <w:rsid w:val="00A023E7"/>
    <w:rsid w:val="00A02B88"/>
    <w:rsid w:val="00A03160"/>
    <w:rsid w:val="00A036AC"/>
    <w:rsid w:val="00A03C54"/>
    <w:rsid w:val="00A03DE5"/>
    <w:rsid w:val="00A041BC"/>
    <w:rsid w:val="00A0447F"/>
    <w:rsid w:val="00A04532"/>
    <w:rsid w:val="00A046D2"/>
    <w:rsid w:val="00A04A54"/>
    <w:rsid w:val="00A058B8"/>
    <w:rsid w:val="00A05B4B"/>
    <w:rsid w:val="00A066C3"/>
    <w:rsid w:val="00A06754"/>
    <w:rsid w:val="00A069E0"/>
    <w:rsid w:val="00A06E4A"/>
    <w:rsid w:val="00A06EB6"/>
    <w:rsid w:val="00A070E9"/>
    <w:rsid w:val="00A078FB"/>
    <w:rsid w:val="00A10209"/>
    <w:rsid w:val="00A1036D"/>
    <w:rsid w:val="00A1069F"/>
    <w:rsid w:val="00A10ACA"/>
    <w:rsid w:val="00A10D08"/>
    <w:rsid w:val="00A11720"/>
    <w:rsid w:val="00A11E78"/>
    <w:rsid w:val="00A12355"/>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97"/>
    <w:rsid w:val="00A210D4"/>
    <w:rsid w:val="00A213DD"/>
    <w:rsid w:val="00A21454"/>
    <w:rsid w:val="00A216CE"/>
    <w:rsid w:val="00A22025"/>
    <w:rsid w:val="00A22498"/>
    <w:rsid w:val="00A22571"/>
    <w:rsid w:val="00A2298D"/>
    <w:rsid w:val="00A235E1"/>
    <w:rsid w:val="00A24560"/>
    <w:rsid w:val="00A25B0F"/>
    <w:rsid w:val="00A25BBB"/>
    <w:rsid w:val="00A27FB6"/>
    <w:rsid w:val="00A30121"/>
    <w:rsid w:val="00A30368"/>
    <w:rsid w:val="00A3043A"/>
    <w:rsid w:val="00A30E02"/>
    <w:rsid w:val="00A30F6A"/>
    <w:rsid w:val="00A31060"/>
    <w:rsid w:val="00A31C3E"/>
    <w:rsid w:val="00A34538"/>
    <w:rsid w:val="00A34677"/>
    <w:rsid w:val="00A3540F"/>
    <w:rsid w:val="00A35630"/>
    <w:rsid w:val="00A35914"/>
    <w:rsid w:val="00A36189"/>
    <w:rsid w:val="00A3677A"/>
    <w:rsid w:val="00A36BCF"/>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574"/>
    <w:rsid w:val="00A46A5F"/>
    <w:rsid w:val="00A47701"/>
    <w:rsid w:val="00A47849"/>
    <w:rsid w:val="00A500B1"/>
    <w:rsid w:val="00A51D65"/>
    <w:rsid w:val="00A52A53"/>
    <w:rsid w:val="00A52EE5"/>
    <w:rsid w:val="00A53037"/>
    <w:rsid w:val="00A532B9"/>
    <w:rsid w:val="00A5351D"/>
    <w:rsid w:val="00A53E79"/>
    <w:rsid w:val="00A5402C"/>
    <w:rsid w:val="00A54031"/>
    <w:rsid w:val="00A5426D"/>
    <w:rsid w:val="00A54A55"/>
    <w:rsid w:val="00A54FC2"/>
    <w:rsid w:val="00A55122"/>
    <w:rsid w:val="00A55806"/>
    <w:rsid w:val="00A55CEA"/>
    <w:rsid w:val="00A560A9"/>
    <w:rsid w:val="00A56DE7"/>
    <w:rsid w:val="00A57EB2"/>
    <w:rsid w:val="00A6009E"/>
    <w:rsid w:val="00A60265"/>
    <w:rsid w:val="00A60540"/>
    <w:rsid w:val="00A60B1F"/>
    <w:rsid w:val="00A611B1"/>
    <w:rsid w:val="00A6144B"/>
    <w:rsid w:val="00A61C60"/>
    <w:rsid w:val="00A62589"/>
    <w:rsid w:val="00A62AD0"/>
    <w:rsid w:val="00A62C3A"/>
    <w:rsid w:val="00A6319C"/>
    <w:rsid w:val="00A63812"/>
    <w:rsid w:val="00A63DF7"/>
    <w:rsid w:val="00A6454D"/>
    <w:rsid w:val="00A64767"/>
    <w:rsid w:val="00A64F2F"/>
    <w:rsid w:val="00A6611E"/>
    <w:rsid w:val="00A6662C"/>
    <w:rsid w:val="00A668BA"/>
    <w:rsid w:val="00A66FA7"/>
    <w:rsid w:val="00A67170"/>
    <w:rsid w:val="00A67E16"/>
    <w:rsid w:val="00A67EB1"/>
    <w:rsid w:val="00A67F1C"/>
    <w:rsid w:val="00A703CC"/>
    <w:rsid w:val="00A70C5C"/>
    <w:rsid w:val="00A710A2"/>
    <w:rsid w:val="00A71EA7"/>
    <w:rsid w:val="00A730AD"/>
    <w:rsid w:val="00A73855"/>
    <w:rsid w:val="00A73D64"/>
    <w:rsid w:val="00A74216"/>
    <w:rsid w:val="00A74360"/>
    <w:rsid w:val="00A744B4"/>
    <w:rsid w:val="00A751E3"/>
    <w:rsid w:val="00A7536B"/>
    <w:rsid w:val="00A753B9"/>
    <w:rsid w:val="00A7549A"/>
    <w:rsid w:val="00A75504"/>
    <w:rsid w:val="00A75FD7"/>
    <w:rsid w:val="00A77168"/>
    <w:rsid w:val="00A7723B"/>
    <w:rsid w:val="00A773C3"/>
    <w:rsid w:val="00A7793C"/>
    <w:rsid w:val="00A77D21"/>
    <w:rsid w:val="00A80085"/>
    <w:rsid w:val="00A8043B"/>
    <w:rsid w:val="00A80DA0"/>
    <w:rsid w:val="00A81323"/>
    <w:rsid w:val="00A820CB"/>
    <w:rsid w:val="00A82342"/>
    <w:rsid w:val="00A8236F"/>
    <w:rsid w:val="00A82D06"/>
    <w:rsid w:val="00A83BEF"/>
    <w:rsid w:val="00A84443"/>
    <w:rsid w:val="00A8487F"/>
    <w:rsid w:val="00A84935"/>
    <w:rsid w:val="00A849A3"/>
    <w:rsid w:val="00A84A0E"/>
    <w:rsid w:val="00A8575D"/>
    <w:rsid w:val="00A85D83"/>
    <w:rsid w:val="00A861F4"/>
    <w:rsid w:val="00A86E0B"/>
    <w:rsid w:val="00A90F12"/>
    <w:rsid w:val="00A91DAA"/>
    <w:rsid w:val="00A93101"/>
    <w:rsid w:val="00A93239"/>
    <w:rsid w:val="00A9413E"/>
    <w:rsid w:val="00A94293"/>
    <w:rsid w:val="00A9496E"/>
    <w:rsid w:val="00A949F0"/>
    <w:rsid w:val="00A94BDE"/>
    <w:rsid w:val="00A94FCA"/>
    <w:rsid w:val="00A95E4C"/>
    <w:rsid w:val="00A96C60"/>
    <w:rsid w:val="00A9740B"/>
    <w:rsid w:val="00A9766C"/>
    <w:rsid w:val="00A977F8"/>
    <w:rsid w:val="00A979DB"/>
    <w:rsid w:val="00A97A40"/>
    <w:rsid w:val="00A97C93"/>
    <w:rsid w:val="00AA06C6"/>
    <w:rsid w:val="00AA08E7"/>
    <w:rsid w:val="00AA0A06"/>
    <w:rsid w:val="00AA1351"/>
    <w:rsid w:val="00AA184C"/>
    <w:rsid w:val="00AA1AF4"/>
    <w:rsid w:val="00AA1C84"/>
    <w:rsid w:val="00AA31C5"/>
    <w:rsid w:val="00AA3D7B"/>
    <w:rsid w:val="00AA42A0"/>
    <w:rsid w:val="00AA442B"/>
    <w:rsid w:val="00AA46A4"/>
    <w:rsid w:val="00AA47FA"/>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1508"/>
    <w:rsid w:val="00AC2A0B"/>
    <w:rsid w:val="00AC2BEE"/>
    <w:rsid w:val="00AC2E53"/>
    <w:rsid w:val="00AC484F"/>
    <w:rsid w:val="00AC4AD2"/>
    <w:rsid w:val="00AC4B20"/>
    <w:rsid w:val="00AC5395"/>
    <w:rsid w:val="00AC55C7"/>
    <w:rsid w:val="00AC56F2"/>
    <w:rsid w:val="00AC5D9D"/>
    <w:rsid w:val="00AC71C3"/>
    <w:rsid w:val="00AD0861"/>
    <w:rsid w:val="00AD09F7"/>
    <w:rsid w:val="00AD1EFA"/>
    <w:rsid w:val="00AD2072"/>
    <w:rsid w:val="00AD2DBD"/>
    <w:rsid w:val="00AD2FBF"/>
    <w:rsid w:val="00AD30DB"/>
    <w:rsid w:val="00AD33A1"/>
    <w:rsid w:val="00AD340E"/>
    <w:rsid w:val="00AD455D"/>
    <w:rsid w:val="00AD463C"/>
    <w:rsid w:val="00AD4F60"/>
    <w:rsid w:val="00AD5044"/>
    <w:rsid w:val="00AD5114"/>
    <w:rsid w:val="00AD5740"/>
    <w:rsid w:val="00AD6236"/>
    <w:rsid w:val="00AD69D5"/>
    <w:rsid w:val="00AD7619"/>
    <w:rsid w:val="00AD7770"/>
    <w:rsid w:val="00AE1713"/>
    <w:rsid w:val="00AE1772"/>
    <w:rsid w:val="00AE1990"/>
    <w:rsid w:val="00AE25E8"/>
    <w:rsid w:val="00AE2AD4"/>
    <w:rsid w:val="00AE2CA7"/>
    <w:rsid w:val="00AE2F1D"/>
    <w:rsid w:val="00AE4C81"/>
    <w:rsid w:val="00AE586F"/>
    <w:rsid w:val="00AE62FE"/>
    <w:rsid w:val="00AE6547"/>
    <w:rsid w:val="00AE6582"/>
    <w:rsid w:val="00AE6DC5"/>
    <w:rsid w:val="00AE7686"/>
    <w:rsid w:val="00AE799A"/>
    <w:rsid w:val="00AF0E81"/>
    <w:rsid w:val="00AF117A"/>
    <w:rsid w:val="00AF134E"/>
    <w:rsid w:val="00AF16CA"/>
    <w:rsid w:val="00AF186E"/>
    <w:rsid w:val="00AF19DF"/>
    <w:rsid w:val="00AF1D41"/>
    <w:rsid w:val="00AF26CF"/>
    <w:rsid w:val="00AF310E"/>
    <w:rsid w:val="00AF3124"/>
    <w:rsid w:val="00AF344D"/>
    <w:rsid w:val="00AF39B3"/>
    <w:rsid w:val="00AF3C1F"/>
    <w:rsid w:val="00AF3FED"/>
    <w:rsid w:val="00AF4402"/>
    <w:rsid w:val="00AF4639"/>
    <w:rsid w:val="00AF4E92"/>
    <w:rsid w:val="00AF53C0"/>
    <w:rsid w:val="00AF554B"/>
    <w:rsid w:val="00AF5C9B"/>
    <w:rsid w:val="00AF5D53"/>
    <w:rsid w:val="00AF5E2D"/>
    <w:rsid w:val="00AF644B"/>
    <w:rsid w:val="00AF69EB"/>
    <w:rsid w:val="00AF6CA6"/>
    <w:rsid w:val="00AF6DEC"/>
    <w:rsid w:val="00AF6EB6"/>
    <w:rsid w:val="00AF7796"/>
    <w:rsid w:val="00AF7E8F"/>
    <w:rsid w:val="00B011A9"/>
    <w:rsid w:val="00B01BAF"/>
    <w:rsid w:val="00B024ED"/>
    <w:rsid w:val="00B026B8"/>
    <w:rsid w:val="00B02EB3"/>
    <w:rsid w:val="00B02F7C"/>
    <w:rsid w:val="00B02FCB"/>
    <w:rsid w:val="00B033F8"/>
    <w:rsid w:val="00B0343B"/>
    <w:rsid w:val="00B03C1E"/>
    <w:rsid w:val="00B04400"/>
    <w:rsid w:val="00B04835"/>
    <w:rsid w:val="00B05A55"/>
    <w:rsid w:val="00B05DE1"/>
    <w:rsid w:val="00B06595"/>
    <w:rsid w:val="00B06862"/>
    <w:rsid w:val="00B10109"/>
    <w:rsid w:val="00B1085E"/>
    <w:rsid w:val="00B10FD1"/>
    <w:rsid w:val="00B112D5"/>
    <w:rsid w:val="00B11378"/>
    <w:rsid w:val="00B1219D"/>
    <w:rsid w:val="00B12735"/>
    <w:rsid w:val="00B12F44"/>
    <w:rsid w:val="00B12FBB"/>
    <w:rsid w:val="00B13C48"/>
    <w:rsid w:val="00B13E35"/>
    <w:rsid w:val="00B13EC0"/>
    <w:rsid w:val="00B14102"/>
    <w:rsid w:val="00B14D32"/>
    <w:rsid w:val="00B1507C"/>
    <w:rsid w:val="00B1557C"/>
    <w:rsid w:val="00B15599"/>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FF"/>
    <w:rsid w:val="00B21271"/>
    <w:rsid w:val="00B213DB"/>
    <w:rsid w:val="00B22E22"/>
    <w:rsid w:val="00B22F5F"/>
    <w:rsid w:val="00B23353"/>
    <w:rsid w:val="00B237E6"/>
    <w:rsid w:val="00B23813"/>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46C"/>
    <w:rsid w:val="00B335E4"/>
    <w:rsid w:val="00B33C23"/>
    <w:rsid w:val="00B345B4"/>
    <w:rsid w:val="00B348B1"/>
    <w:rsid w:val="00B34A28"/>
    <w:rsid w:val="00B35046"/>
    <w:rsid w:val="00B357F4"/>
    <w:rsid w:val="00B35B6A"/>
    <w:rsid w:val="00B36D2B"/>
    <w:rsid w:val="00B37657"/>
    <w:rsid w:val="00B37AFD"/>
    <w:rsid w:val="00B37B07"/>
    <w:rsid w:val="00B4046F"/>
    <w:rsid w:val="00B406B3"/>
    <w:rsid w:val="00B40A36"/>
    <w:rsid w:val="00B41BCA"/>
    <w:rsid w:val="00B41D39"/>
    <w:rsid w:val="00B422C0"/>
    <w:rsid w:val="00B426CA"/>
    <w:rsid w:val="00B426E1"/>
    <w:rsid w:val="00B43718"/>
    <w:rsid w:val="00B4387A"/>
    <w:rsid w:val="00B44746"/>
    <w:rsid w:val="00B44854"/>
    <w:rsid w:val="00B44BA5"/>
    <w:rsid w:val="00B458D0"/>
    <w:rsid w:val="00B4792C"/>
    <w:rsid w:val="00B50CAE"/>
    <w:rsid w:val="00B512AD"/>
    <w:rsid w:val="00B51776"/>
    <w:rsid w:val="00B5196C"/>
    <w:rsid w:val="00B525CB"/>
    <w:rsid w:val="00B52697"/>
    <w:rsid w:val="00B53D1A"/>
    <w:rsid w:val="00B54215"/>
    <w:rsid w:val="00B54D8F"/>
    <w:rsid w:val="00B55857"/>
    <w:rsid w:val="00B55C69"/>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058"/>
    <w:rsid w:val="00B64246"/>
    <w:rsid w:val="00B64EDB"/>
    <w:rsid w:val="00B65938"/>
    <w:rsid w:val="00B65C8A"/>
    <w:rsid w:val="00B65CE2"/>
    <w:rsid w:val="00B660AD"/>
    <w:rsid w:val="00B66109"/>
    <w:rsid w:val="00B66349"/>
    <w:rsid w:val="00B669B3"/>
    <w:rsid w:val="00B67FBF"/>
    <w:rsid w:val="00B70832"/>
    <w:rsid w:val="00B71376"/>
    <w:rsid w:val="00B716D7"/>
    <w:rsid w:val="00B72110"/>
    <w:rsid w:val="00B72B91"/>
    <w:rsid w:val="00B73019"/>
    <w:rsid w:val="00B7315F"/>
    <w:rsid w:val="00B7323A"/>
    <w:rsid w:val="00B7353B"/>
    <w:rsid w:val="00B737FB"/>
    <w:rsid w:val="00B73E5D"/>
    <w:rsid w:val="00B73EF3"/>
    <w:rsid w:val="00B7423D"/>
    <w:rsid w:val="00B74A8F"/>
    <w:rsid w:val="00B74D05"/>
    <w:rsid w:val="00B74EF8"/>
    <w:rsid w:val="00B75893"/>
    <w:rsid w:val="00B771F4"/>
    <w:rsid w:val="00B7762A"/>
    <w:rsid w:val="00B777FA"/>
    <w:rsid w:val="00B77850"/>
    <w:rsid w:val="00B7796B"/>
    <w:rsid w:val="00B80C72"/>
    <w:rsid w:val="00B8101E"/>
    <w:rsid w:val="00B81964"/>
    <w:rsid w:val="00B81E6F"/>
    <w:rsid w:val="00B82123"/>
    <w:rsid w:val="00B8225B"/>
    <w:rsid w:val="00B82BB5"/>
    <w:rsid w:val="00B83182"/>
    <w:rsid w:val="00B839F0"/>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73"/>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97A73"/>
    <w:rsid w:val="00BA0C54"/>
    <w:rsid w:val="00BA1382"/>
    <w:rsid w:val="00BA15E3"/>
    <w:rsid w:val="00BA1A8C"/>
    <w:rsid w:val="00BA1D07"/>
    <w:rsid w:val="00BA20B6"/>
    <w:rsid w:val="00BA20D8"/>
    <w:rsid w:val="00BA22FC"/>
    <w:rsid w:val="00BA2C2A"/>
    <w:rsid w:val="00BA2F30"/>
    <w:rsid w:val="00BA3982"/>
    <w:rsid w:val="00BA405F"/>
    <w:rsid w:val="00BA4771"/>
    <w:rsid w:val="00BA482B"/>
    <w:rsid w:val="00BA5027"/>
    <w:rsid w:val="00BA55E0"/>
    <w:rsid w:val="00BA665B"/>
    <w:rsid w:val="00BA6FE8"/>
    <w:rsid w:val="00BA732D"/>
    <w:rsid w:val="00BA7370"/>
    <w:rsid w:val="00BA778B"/>
    <w:rsid w:val="00BB0888"/>
    <w:rsid w:val="00BB0DF1"/>
    <w:rsid w:val="00BB0E49"/>
    <w:rsid w:val="00BB0E9B"/>
    <w:rsid w:val="00BB0F91"/>
    <w:rsid w:val="00BB2841"/>
    <w:rsid w:val="00BB300F"/>
    <w:rsid w:val="00BB32C9"/>
    <w:rsid w:val="00BB35C5"/>
    <w:rsid w:val="00BB3A8F"/>
    <w:rsid w:val="00BB4048"/>
    <w:rsid w:val="00BB4C8E"/>
    <w:rsid w:val="00BB5324"/>
    <w:rsid w:val="00BB57ED"/>
    <w:rsid w:val="00BB5A2D"/>
    <w:rsid w:val="00BB606C"/>
    <w:rsid w:val="00BB65C3"/>
    <w:rsid w:val="00BB662E"/>
    <w:rsid w:val="00BB67A9"/>
    <w:rsid w:val="00BB6C01"/>
    <w:rsid w:val="00BB7942"/>
    <w:rsid w:val="00BB7B13"/>
    <w:rsid w:val="00BB7CD1"/>
    <w:rsid w:val="00BC058B"/>
    <w:rsid w:val="00BC0F33"/>
    <w:rsid w:val="00BC14A7"/>
    <w:rsid w:val="00BC17CC"/>
    <w:rsid w:val="00BC209F"/>
    <w:rsid w:val="00BC24AD"/>
    <w:rsid w:val="00BC2898"/>
    <w:rsid w:val="00BC2928"/>
    <w:rsid w:val="00BC29BD"/>
    <w:rsid w:val="00BC2BB1"/>
    <w:rsid w:val="00BC30B3"/>
    <w:rsid w:val="00BC34A3"/>
    <w:rsid w:val="00BC37D3"/>
    <w:rsid w:val="00BC3DD4"/>
    <w:rsid w:val="00BC3FF9"/>
    <w:rsid w:val="00BC4834"/>
    <w:rsid w:val="00BC4A97"/>
    <w:rsid w:val="00BC5A25"/>
    <w:rsid w:val="00BC5FDD"/>
    <w:rsid w:val="00BC68B4"/>
    <w:rsid w:val="00BC7277"/>
    <w:rsid w:val="00BD0140"/>
    <w:rsid w:val="00BD02CC"/>
    <w:rsid w:val="00BD088E"/>
    <w:rsid w:val="00BD0F18"/>
    <w:rsid w:val="00BD182E"/>
    <w:rsid w:val="00BD2063"/>
    <w:rsid w:val="00BD2950"/>
    <w:rsid w:val="00BD337A"/>
    <w:rsid w:val="00BD33D9"/>
    <w:rsid w:val="00BD38C5"/>
    <w:rsid w:val="00BD3A6D"/>
    <w:rsid w:val="00BD3AF1"/>
    <w:rsid w:val="00BD3DEA"/>
    <w:rsid w:val="00BD3E97"/>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3442"/>
    <w:rsid w:val="00BE37CD"/>
    <w:rsid w:val="00BE47B2"/>
    <w:rsid w:val="00BE4881"/>
    <w:rsid w:val="00BE48C7"/>
    <w:rsid w:val="00BE4F66"/>
    <w:rsid w:val="00BE4FBF"/>
    <w:rsid w:val="00BE5238"/>
    <w:rsid w:val="00BE5742"/>
    <w:rsid w:val="00BE6074"/>
    <w:rsid w:val="00BE6D73"/>
    <w:rsid w:val="00BE7257"/>
    <w:rsid w:val="00BF020D"/>
    <w:rsid w:val="00BF0532"/>
    <w:rsid w:val="00BF0609"/>
    <w:rsid w:val="00BF0B32"/>
    <w:rsid w:val="00BF0EE8"/>
    <w:rsid w:val="00BF10ED"/>
    <w:rsid w:val="00BF1DD2"/>
    <w:rsid w:val="00BF23A3"/>
    <w:rsid w:val="00BF2A7E"/>
    <w:rsid w:val="00BF3331"/>
    <w:rsid w:val="00BF3A45"/>
    <w:rsid w:val="00BF436F"/>
    <w:rsid w:val="00BF5C05"/>
    <w:rsid w:val="00BF6A12"/>
    <w:rsid w:val="00BF6FC6"/>
    <w:rsid w:val="00BF775D"/>
    <w:rsid w:val="00BF7C52"/>
    <w:rsid w:val="00BF7F99"/>
    <w:rsid w:val="00C00713"/>
    <w:rsid w:val="00C009A0"/>
    <w:rsid w:val="00C01F74"/>
    <w:rsid w:val="00C020C1"/>
    <w:rsid w:val="00C02558"/>
    <w:rsid w:val="00C025FE"/>
    <w:rsid w:val="00C0285F"/>
    <w:rsid w:val="00C028F5"/>
    <w:rsid w:val="00C02F35"/>
    <w:rsid w:val="00C03305"/>
    <w:rsid w:val="00C03515"/>
    <w:rsid w:val="00C03738"/>
    <w:rsid w:val="00C037A6"/>
    <w:rsid w:val="00C04221"/>
    <w:rsid w:val="00C043F5"/>
    <w:rsid w:val="00C044E3"/>
    <w:rsid w:val="00C04607"/>
    <w:rsid w:val="00C04BDB"/>
    <w:rsid w:val="00C04F1B"/>
    <w:rsid w:val="00C052C6"/>
    <w:rsid w:val="00C05A61"/>
    <w:rsid w:val="00C05F6C"/>
    <w:rsid w:val="00C05FBA"/>
    <w:rsid w:val="00C05FEE"/>
    <w:rsid w:val="00C066B4"/>
    <w:rsid w:val="00C06CCF"/>
    <w:rsid w:val="00C0794D"/>
    <w:rsid w:val="00C10E78"/>
    <w:rsid w:val="00C1159D"/>
    <w:rsid w:val="00C1233E"/>
    <w:rsid w:val="00C1276C"/>
    <w:rsid w:val="00C12FB3"/>
    <w:rsid w:val="00C138BC"/>
    <w:rsid w:val="00C13D85"/>
    <w:rsid w:val="00C14575"/>
    <w:rsid w:val="00C14639"/>
    <w:rsid w:val="00C14E82"/>
    <w:rsid w:val="00C14FF6"/>
    <w:rsid w:val="00C15A85"/>
    <w:rsid w:val="00C1637C"/>
    <w:rsid w:val="00C1641B"/>
    <w:rsid w:val="00C165FC"/>
    <w:rsid w:val="00C167F7"/>
    <w:rsid w:val="00C16DCE"/>
    <w:rsid w:val="00C176D5"/>
    <w:rsid w:val="00C17D24"/>
    <w:rsid w:val="00C2082C"/>
    <w:rsid w:val="00C20EB0"/>
    <w:rsid w:val="00C21004"/>
    <w:rsid w:val="00C21005"/>
    <w:rsid w:val="00C2186B"/>
    <w:rsid w:val="00C218DF"/>
    <w:rsid w:val="00C21F0C"/>
    <w:rsid w:val="00C220B6"/>
    <w:rsid w:val="00C22D7C"/>
    <w:rsid w:val="00C22DDE"/>
    <w:rsid w:val="00C2338B"/>
    <w:rsid w:val="00C233CE"/>
    <w:rsid w:val="00C237DD"/>
    <w:rsid w:val="00C238F4"/>
    <w:rsid w:val="00C2393A"/>
    <w:rsid w:val="00C23A99"/>
    <w:rsid w:val="00C23AB5"/>
    <w:rsid w:val="00C245EE"/>
    <w:rsid w:val="00C24AE1"/>
    <w:rsid w:val="00C24B8D"/>
    <w:rsid w:val="00C24BD7"/>
    <w:rsid w:val="00C24F7A"/>
    <w:rsid w:val="00C25813"/>
    <w:rsid w:val="00C25D53"/>
    <w:rsid w:val="00C26C71"/>
    <w:rsid w:val="00C27143"/>
    <w:rsid w:val="00C27490"/>
    <w:rsid w:val="00C27D37"/>
    <w:rsid w:val="00C308E3"/>
    <w:rsid w:val="00C309E8"/>
    <w:rsid w:val="00C30C6E"/>
    <w:rsid w:val="00C32017"/>
    <w:rsid w:val="00C32571"/>
    <w:rsid w:val="00C325CD"/>
    <w:rsid w:val="00C3322E"/>
    <w:rsid w:val="00C337F5"/>
    <w:rsid w:val="00C3383E"/>
    <w:rsid w:val="00C33B90"/>
    <w:rsid w:val="00C34161"/>
    <w:rsid w:val="00C34B5F"/>
    <w:rsid w:val="00C358D4"/>
    <w:rsid w:val="00C365C6"/>
    <w:rsid w:val="00C366F4"/>
    <w:rsid w:val="00C36785"/>
    <w:rsid w:val="00C3711C"/>
    <w:rsid w:val="00C37256"/>
    <w:rsid w:val="00C37A7B"/>
    <w:rsid w:val="00C37DC1"/>
    <w:rsid w:val="00C37FFE"/>
    <w:rsid w:val="00C40B50"/>
    <w:rsid w:val="00C4175E"/>
    <w:rsid w:val="00C419E3"/>
    <w:rsid w:val="00C419F4"/>
    <w:rsid w:val="00C41E6A"/>
    <w:rsid w:val="00C42247"/>
    <w:rsid w:val="00C428E7"/>
    <w:rsid w:val="00C438A2"/>
    <w:rsid w:val="00C439BE"/>
    <w:rsid w:val="00C43E53"/>
    <w:rsid w:val="00C451B2"/>
    <w:rsid w:val="00C4539B"/>
    <w:rsid w:val="00C45466"/>
    <w:rsid w:val="00C455C1"/>
    <w:rsid w:val="00C4581D"/>
    <w:rsid w:val="00C47472"/>
    <w:rsid w:val="00C47F18"/>
    <w:rsid w:val="00C500F0"/>
    <w:rsid w:val="00C504A7"/>
    <w:rsid w:val="00C506C9"/>
    <w:rsid w:val="00C50A16"/>
    <w:rsid w:val="00C51C9A"/>
    <w:rsid w:val="00C52C68"/>
    <w:rsid w:val="00C52D98"/>
    <w:rsid w:val="00C52DA1"/>
    <w:rsid w:val="00C537BA"/>
    <w:rsid w:val="00C53D24"/>
    <w:rsid w:val="00C54640"/>
    <w:rsid w:val="00C547A6"/>
    <w:rsid w:val="00C54A3A"/>
    <w:rsid w:val="00C55C32"/>
    <w:rsid w:val="00C56A67"/>
    <w:rsid w:val="00C56CC2"/>
    <w:rsid w:val="00C56D8D"/>
    <w:rsid w:val="00C57498"/>
    <w:rsid w:val="00C5763C"/>
    <w:rsid w:val="00C5780C"/>
    <w:rsid w:val="00C5796B"/>
    <w:rsid w:val="00C57C64"/>
    <w:rsid w:val="00C6031F"/>
    <w:rsid w:val="00C612C4"/>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908"/>
    <w:rsid w:val="00C71E2A"/>
    <w:rsid w:val="00C733BA"/>
    <w:rsid w:val="00C742F6"/>
    <w:rsid w:val="00C760DC"/>
    <w:rsid w:val="00C77777"/>
    <w:rsid w:val="00C8082B"/>
    <w:rsid w:val="00C80C6B"/>
    <w:rsid w:val="00C81A88"/>
    <w:rsid w:val="00C81D46"/>
    <w:rsid w:val="00C82298"/>
    <w:rsid w:val="00C82DC7"/>
    <w:rsid w:val="00C8331F"/>
    <w:rsid w:val="00C833B4"/>
    <w:rsid w:val="00C84284"/>
    <w:rsid w:val="00C84E33"/>
    <w:rsid w:val="00C85528"/>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029"/>
    <w:rsid w:val="00C94065"/>
    <w:rsid w:val="00C946CC"/>
    <w:rsid w:val="00C959BD"/>
    <w:rsid w:val="00C95DFE"/>
    <w:rsid w:val="00C95F44"/>
    <w:rsid w:val="00C96331"/>
    <w:rsid w:val="00C96D1B"/>
    <w:rsid w:val="00C97106"/>
    <w:rsid w:val="00C978D4"/>
    <w:rsid w:val="00CA0031"/>
    <w:rsid w:val="00CA0413"/>
    <w:rsid w:val="00CA043A"/>
    <w:rsid w:val="00CA0E51"/>
    <w:rsid w:val="00CA1691"/>
    <w:rsid w:val="00CA41E7"/>
    <w:rsid w:val="00CA4A99"/>
    <w:rsid w:val="00CA4CCC"/>
    <w:rsid w:val="00CA5520"/>
    <w:rsid w:val="00CA5812"/>
    <w:rsid w:val="00CA5984"/>
    <w:rsid w:val="00CA5BD4"/>
    <w:rsid w:val="00CA5C14"/>
    <w:rsid w:val="00CA7019"/>
    <w:rsid w:val="00CA76FC"/>
    <w:rsid w:val="00CA7E7B"/>
    <w:rsid w:val="00CB0236"/>
    <w:rsid w:val="00CB0CB1"/>
    <w:rsid w:val="00CB137C"/>
    <w:rsid w:val="00CB1881"/>
    <w:rsid w:val="00CB1969"/>
    <w:rsid w:val="00CB19E3"/>
    <w:rsid w:val="00CB2C3A"/>
    <w:rsid w:val="00CB2D38"/>
    <w:rsid w:val="00CB2F5E"/>
    <w:rsid w:val="00CB4137"/>
    <w:rsid w:val="00CB50D0"/>
    <w:rsid w:val="00CB52D0"/>
    <w:rsid w:val="00CB5578"/>
    <w:rsid w:val="00CB5671"/>
    <w:rsid w:val="00CB591C"/>
    <w:rsid w:val="00CB5943"/>
    <w:rsid w:val="00CB61B3"/>
    <w:rsid w:val="00CB6801"/>
    <w:rsid w:val="00CB6F83"/>
    <w:rsid w:val="00CB72AE"/>
    <w:rsid w:val="00CC00CD"/>
    <w:rsid w:val="00CC0579"/>
    <w:rsid w:val="00CC0AF3"/>
    <w:rsid w:val="00CC0BC6"/>
    <w:rsid w:val="00CC0E68"/>
    <w:rsid w:val="00CC1780"/>
    <w:rsid w:val="00CC194E"/>
    <w:rsid w:val="00CC21AC"/>
    <w:rsid w:val="00CC232E"/>
    <w:rsid w:val="00CC2514"/>
    <w:rsid w:val="00CC2D34"/>
    <w:rsid w:val="00CC2F69"/>
    <w:rsid w:val="00CC315F"/>
    <w:rsid w:val="00CC3D38"/>
    <w:rsid w:val="00CC3F2F"/>
    <w:rsid w:val="00CC40C3"/>
    <w:rsid w:val="00CC45A5"/>
    <w:rsid w:val="00CC4CB4"/>
    <w:rsid w:val="00CC4E5D"/>
    <w:rsid w:val="00CC4EF4"/>
    <w:rsid w:val="00CC50AE"/>
    <w:rsid w:val="00CC5FFE"/>
    <w:rsid w:val="00CC61B7"/>
    <w:rsid w:val="00CC61CA"/>
    <w:rsid w:val="00CC69EC"/>
    <w:rsid w:val="00CC71D3"/>
    <w:rsid w:val="00CC743D"/>
    <w:rsid w:val="00CD02ED"/>
    <w:rsid w:val="00CD050A"/>
    <w:rsid w:val="00CD1017"/>
    <w:rsid w:val="00CD205D"/>
    <w:rsid w:val="00CD2A22"/>
    <w:rsid w:val="00CD2B50"/>
    <w:rsid w:val="00CD3172"/>
    <w:rsid w:val="00CD4506"/>
    <w:rsid w:val="00CD520B"/>
    <w:rsid w:val="00CD592E"/>
    <w:rsid w:val="00CD5982"/>
    <w:rsid w:val="00CD5A1A"/>
    <w:rsid w:val="00CD7EFA"/>
    <w:rsid w:val="00CE020E"/>
    <w:rsid w:val="00CE0566"/>
    <w:rsid w:val="00CE1CD4"/>
    <w:rsid w:val="00CE2761"/>
    <w:rsid w:val="00CE28FC"/>
    <w:rsid w:val="00CE314E"/>
    <w:rsid w:val="00CE3A85"/>
    <w:rsid w:val="00CE3D5C"/>
    <w:rsid w:val="00CE3E09"/>
    <w:rsid w:val="00CE3E14"/>
    <w:rsid w:val="00CE44C7"/>
    <w:rsid w:val="00CE53CC"/>
    <w:rsid w:val="00CE5F60"/>
    <w:rsid w:val="00CE65A7"/>
    <w:rsid w:val="00CE68FE"/>
    <w:rsid w:val="00CE69CC"/>
    <w:rsid w:val="00CE6EC4"/>
    <w:rsid w:val="00CE7F26"/>
    <w:rsid w:val="00CF1226"/>
    <w:rsid w:val="00CF1ABB"/>
    <w:rsid w:val="00CF1E1D"/>
    <w:rsid w:val="00CF24FE"/>
    <w:rsid w:val="00CF287F"/>
    <w:rsid w:val="00CF35D0"/>
    <w:rsid w:val="00CF3B57"/>
    <w:rsid w:val="00CF3DD5"/>
    <w:rsid w:val="00CF43E7"/>
    <w:rsid w:val="00CF4AF7"/>
    <w:rsid w:val="00CF4D20"/>
    <w:rsid w:val="00CF73F8"/>
    <w:rsid w:val="00CF7928"/>
    <w:rsid w:val="00CF7CA2"/>
    <w:rsid w:val="00D00911"/>
    <w:rsid w:val="00D00A8E"/>
    <w:rsid w:val="00D00DE0"/>
    <w:rsid w:val="00D00F79"/>
    <w:rsid w:val="00D012BF"/>
    <w:rsid w:val="00D01760"/>
    <w:rsid w:val="00D01838"/>
    <w:rsid w:val="00D0368E"/>
    <w:rsid w:val="00D03AC3"/>
    <w:rsid w:val="00D03D2D"/>
    <w:rsid w:val="00D03E7B"/>
    <w:rsid w:val="00D0401A"/>
    <w:rsid w:val="00D047E0"/>
    <w:rsid w:val="00D04B9F"/>
    <w:rsid w:val="00D04D43"/>
    <w:rsid w:val="00D04FFB"/>
    <w:rsid w:val="00D055FE"/>
    <w:rsid w:val="00D058E9"/>
    <w:rsid w:val="00D0612A"/>
    <w:rsid w:val="00D1060D"/>
    <w:rsid w:val="00D10D14"/>
    <w:rsid w:val="00D10E7C"/>
    <w:rsid w:val="00D11182"/>
    <w:rsid w:val="00D1137B"/>
    <w:rsid w:val="00D11508"/>
    <w:rsid w:val="00D11687"/>
    <w:rsid w:val="00D11807"/>
    <w:rsid w:val="00D11DB3"/>
    <w:rsid w:val="00D12D82"/>
    <w:rsid w:val="00D12F77"/>
    <w:rsid w:val="00D1306E"/>
    <w:rsid w:val="00D130B7"/>
    <w:rsid w:val="00D134CD"/>
    <w:rsid w:val="00D1401E"/>
    <w:rsid w:val="00D14B5F"/>
    <w:rsid w:val="00D14E13"/>
    <w:rsid w:val="00D14F23"/>
    <w:rsid w:val="00D160F6"/>
    <w:rsid w:val="00D165EE"/>
    <w:rsid w:val="00D16740"/>
    <w:rsid w:val="00D16A8B"/>
    <w:rsid w:val="00D16CFA"/>
    <w:rsid w:val="00D16E39"/>
    <w:rsid w:val="00D171DE"/>
    <w:rsid w:val="00D172A4"/>
    <w:rsid w:val="00D175B2"/>
    <w:rsid w:val="00D17951"/>
    <w:rsid w:val="00D17AD8"/>
    <w:rsid w:val="00D2104A"/>
    <w:rsid w:val="00D21A58"/>
    <w:rsid w:val="00D21BB5"/>
    <w:rsid w:val="00D21FFC"/>
    <w:rsid w:val="00D223B6"/>
    <w:rsid w:val="00D223E8"/>
    <w:rsid w:val="00D224E1"/>
    <w:rsid w:val="00D22B0F"/>
    <w:rsid w:val="00D22BDD"/>
    <w:rsid w:val="00D22DC8"/>
    <w:rsid w:val="00D2477B"/>
    <w:rsid w:val="00D2522A"/>
    <w:rsid w:val="00D2531C"/>
    <w:rsid w:val="00D25428"/>
    <w:rsid w:val="00D2553E"/>
    <w:rsid w:val="00D2587F"/>
    <w:rsid w:val="00D26DE7"/>
    <w:rsid w:val="00D2742F"/>
    <w:rsid w:val="00D2754F"/>
    <w:rsid w:val="00D277C5"/>
    <w:rsid w:val="00D279D9"/>
    <w:rsid w:val="00D312DC"/>
    <w:rsid w:val="00D31B84"/>
    <w:rsid w:val="00D31C6A"/>
    <w:rsid w:val="00D31EDF"/>
    <w:rsid w:val="00D31FF9"/>
    <w:rsid w:val="00D32149"/>
    <w:rsid w:val="00D32256"/>
    <w:rsid w:val="00D32A27"/>
    <w:rsid w:val="00D32ABC"/>
    <w:rsid w:val="00D33FA4"/>
    <w:rsid w:val="00D34B25"/>
    <w:rsid w:val="00D34C7F"/>
    <w:rsid w:val="00D34F4E"/>
    <w:rsid w:val="00D357F3"/>
    <w:rsid w:val="00D35C0E"/>
    <w:rsid w:val="00D36FBF"/>
    <w:rsid w:val="00D373A8"/>
    <w:rsid w:val="00D379A5"/>
    <w:rsid w:val="00D37BB3"/>
    <w:rsid w:val="00D401BE"/>
    <w:rsid w:val="00D4043A"/>
    <w:rsid w:val="00D40DB0"/>
    <w:rsid w:val="00D41093"/>
    <w:rsid w:val="00D41858"/>
    <w:rsid w:val="00D41EEB"/>
    <w:rsid w:val="00D422DB"/>
    <w:rsid w:val="00D42AC2"/>
    <w:rsid w:val="00D43769"/>
    <w:rsid w:val="00D4498E"/>
    <w:rsid w:val="00D4515F"/>
    <w:rsid w:val="00D451E8"/>
    <w:rsid w:val="00D466C9"/>
    <w:rsid w:val="00D47275"/>
    <w:rsid w:val="00D500ED"/>
    <w:rsid w:val="00D50DB9"/>
    <w:rsid w:val="00D517F6"/>
    <w:rsid w:val="00D51AB7"/>
    <w:rsid w:val="00D51E15"/>
    <w:rsid w:val="00D52B7E"/>
    <w:rsid w:val="00D52E2F"/>
    <w:rsid w:val="00D52F59"/>
    <w:rsid w:val="00D53445"/>
    <w:rsid w:val="00D53E3E"/>
    <w:rsid w:val="00D54620"/>
    <w:rsid w:val="00D55904"/>
    <w:rsid w:val="00D55DFF"/>
    <w:rsid w:val="00D5614E"/>
    <w:rsid w:val="00D5616F"/>
    <w:rsid w:val="00D57940"/>
    <w:rsid w:val="00D60327"/>
    <w:rsid w:val="00D61384"/>
    <w:rsid w:val="00D61526"/>
    <w:rsid w:val="00D61C39"/>
    <w:rsid w:val="00D61F81"/>
    <w:rsid w:val="00D620A6"/>
    <w:rsid w:val="00D623C0"/>
    <w:rsid w:val="00D62BE6"/>
    <w:rsid w:val="00D63359"/>
    <w:rsid w:val="00D63766"/>
    <w:rsid w:val="00D63912"/>
    <w:rsid w:val="00D63923"/>
    <w:rsid w:val="00D6451B"/>
    <w:rsid w:val="00D64B57"/>
    <w:rsid w:val="00D651A1"/>
    <w:rsid w:val="00D65DEA"/>
    <w:rsid w:val="00D6650F"/>
    <w:rsid w:val="00D66579"/>
    <w:rsid w:val="00D66CF2"/>
    <w:rsid w:val="00D676D3"/>
    <w:rsid w:val="00D67B06"/>
    <w:rsid w:val="00D67BC7"/>
    <w:rsid w:val="00D67C3B"/>
    <w:rsid w:val="00D701F1"/>
    <w:rsid w:val="00D705D3"/>
    <w:rsid w:val="00D70AF4"/>
    <w:rsid w:val="00D70E00"/>
    <w:rsid w:val="00D70F7C"/>
    <w:rsid w:val="00D715AC"/>
    <w:rsid w:val="00D71851"/>
    <w:rsid w:val="00D718CF"/>
    <w:rsid w:val="00D71B68"/>
    <w:rsid w:val="00D728F5"/>
    <w:rsid w:val="00D72E9D"/>
    <w:rsid w:val="00D73249"/>
    <w:rsid w:val="00D73419"/>
    <w:rsid w:val="00D73881"/>
    <w:rsid w:val="00D73CA9"/>
    <w:rsid w:val="00D751B7"/>
    <w:rsid w:val="00D7524B"/>
    <w:rsid w:val="00D75396"/>
    <w:rsid w:val="00D755C6"/>
    <w:rsid w:val="00D759C0"/>
    <w:rsid w:val="00D75E99"/>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7E9"/>
    <w:rsid w:val="00D82A7D"/>
    <w:rsid w:val="00D82B57"/>
    <w:rsid w:val="00D82CE5"/>
    <w:rsid w:val="00D83044"/>
    <w:rsid w:val="00D831E3"/>
    <w:rsid w:val="00D8342C"/>
    <w:rsid w:val="00D83D08"/>
    <w:rsid w:val="00D84983"/>
    <w:rsid w:val="00D84C00"/>
    <w:rsid w:val="00D85494"/>
    <w:rsid w:val="00D8582C"/>
    <w:rsid w:val="00D85D61"/>
    <w:rsid w:val="00D8616D"/>
    <w:rsid w:val="00D8711B"/>
    <w:rsid w:val="00D87384"/>
    <w:rsid w:val="00D9015D"/>
    <w:rsid w:val="00D90683"/>
    <w:rsid w:val="00D90B2A"/>
    <w:rsid w:val="00D91483"/>
    <w:rsid w:val="00D915C8"/>
    <w:rsid w:val="00D9310B"/>
    <w:rsid w:val="00D931F3"/>
    <w:rsid w:val="00D93726"/>
    <w:rsid w:val="00D93F3E"/>
    <w:rsid w:val="00D9405B"/>
    <w:rsid w:val="00D94942"/>
    <w:rsid w:val="00D95145"/>
    <w:rsid w:val="00D96594"/>
    <w:rsid w:val="00D967CB"/>
    <w:rsid w:val="00D968D4"/>
    <w:rsid w:val="00D96E12"/>
    <w:rsid w:val="00D96EE0"/>
    <w:rsid w:val="00D97BD1"/>
    <w:rsid w:val="00D97EF0"/>
    <w:rsid w:val="00DA00C3"/>
    <w:rsid w:val="00DA01E9"/>
    <w:rsid w:val="00DA06B8"/>
    <w:rsid w:val="00DA14A9"/>
    <w:rsid w:val="00DA286D"/>
    <w:rsid w:val="00DA2969"/>
    <w:rsid w:val="00DA29B7"/>
    <w:rsid w:val="00DA2E5F"/>
    <w:rsid w:val="00DA337C"/>
    <w:rsid w:val="00DA36B3"/>
    <w:rsid w:val="00DA422F"/>
    <w:rsid w:val="00DA4842"/>
    <w:rsid w:val="00DA4C97"/>
    <w:rsid w:val="00DA5989"/>
    <w:rsid w:val="00DA5AB1"/>
    <w:rsid w:val="00DA5F9D"/>
    <w:rsid w:val="00DA6719"/>
    <w:rsid w:val="00DA69B2"/>
    <w:rsid w:val="00DA7462"/>
    <w:rsid w:val="00DA7AD0"/>
    <w:rsid w:val="00DB02D7"/>
    <w:rsid w:val="00DB03CC"/>
    <w:rsid w:val="00DB03F3"/>
    <w:rsid w:val="00DB12D4"/>
    <w:rsid w:val="00DB14F0"/>
    <w:rsid w:val="00DB1745"/>
    <w:rsid w:val="00DB19BB"/>
    <w:rsid w:val="00DB1A00"/>
    <w:rsid w:val="00DB1AFF"/>
    <w:rsid w:val="00DB219A"/>
    <w:rsid w:val="00DB244C"/>
    <w:rsid w:val="00DB3024"/>
    <w:rsid w:val="00DB3165"/>
    <w:rsid w:val="00DB387B"/>
    <w:rsid w:val="00DB4292"/>
    <w:rsid w:val="00DB4DF0"/>
    <w:rsid w:val="00DB5023"/>
    <w:rsid w:val="00DB6E46"/>
    <w:rsid w:val="00DB7117"/>
    <w:rsid w:val="00DB7760"/>
    <w:rsid w:val="00DB7DD4"/>
    <w:rsid w:val="00DC00B4"/>
    <w:rsid w:val="00DC0954"/>
    <w:rsid w:val="00DC0DF8"/>
    <w:rsid w:val="00DC15BA"/>
    <w:rsid w:val="00DC18CD"/>
    <w:rsid w:val="00DC1A68"/>
    <w:rsid w:val="00DC30B8"/>
    <w:rsid w:val="00DC478F"/>
    <w:rsid w:val="00DC50AA"/>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5808"/>
    <w:rsid w:val="00DD5946"/>
    <w:rsid w:val="00DD5B04"/>
    <w:rsid w:val="00DD5DAE"/>
    <w:rsid w:val="00DD5EC6"/>
    <w:rsid w:val="00DD605F"/>
    <w:rsid w:val="00DD6A79"/>
    <w:rsid w:val="00DD72A0"/>
    <w:rsid w:val="00DD735D"/>
    <w:rsid w:val="00DD7F7D"/>
    <w:rsid w:val="00DD7FBE"/>
    <w:rsid w:val="00DE0159"/>
    <w:rsid w:val="00DE064A"/>
    <w:rsid w:val="00DE082D"/>
    <w:rsid w:val="00DE1410"/>
    <w:rsid w:val="00DE20C6"/>
    <w:rsid w:val="00DE3119"/>
    <w:rsid w:val="00DE3C24"/>
    <w:rsid w:val="00DE3D2C"/>
    <w:rsid w:val="00DE3FF0"/>
    <w:rsid w:val="00DE4105"/>
    <w:rsid w:val="00DE4BEA"/>
    <w:rsid w:val="00DE4E67"/>
    <w:rsid w:val="00DE5189"/>
    <w:rsid w:val="00DE7108"/>
    <w:rsid w:val="00DE78D1"/>
    <w:rsid w:val="00DE78FF"/>
    <w:rsid w:val="00DE7C6E"/>
    <w:rsid w:val="00DF0263"/>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B25"/>
    <w:rsid w:val="00E00B7A"/>
    <w:rsid w:val="00E01677"/>
    <w:rsid w:val="00E02186"/>
    <w:rsid w:val="00E025C2"/>
    <w:rsid w:val="00E026BB"/>
    <w:rsid w:val="00E027C5"/>
    <w:rsid w:val="00E03124"/>
    <w:rsid w:val="00E031C3"/>
    <w:rsid w:val="00E03951"/>
    <w:rsid w:val="00E03DB8"/>
    <w:rsid w:val="00E03F17"/>
    <w:rsid w:val="00E0420C"/>
    <w:rsid w:val="00E04EDD"/>
    <w:rsid w:val="00E05E70"/>
    <w:rsid w:val="00E064BC"/>
    <w:rsid w:val="00E070C1"/>
    <w:rsid w:val="00E07225"/>
    <w:rsid w:val="00E076B4"/>
    <w:rsid w:val="00E07B55"/>
    <w:rsid w:val="00E10579"/>
    <w:rsid w:val="00E1070C"/>
    <w:rsid w:val="00E109DD"/>
    <w:rsid w:val="00E11229"/>
    <w:rsid w:val="00E114CA"/>
    <w:rsid w:val="00E11A6F"/>
    <w:rsid w:val="00E127D1"/>
    <w:rsid w:val="00E13867"/>
    <w:rsid w:val="00E1397F"/>
    <w:rsid w:val="00E13AB8"/>
    <w:rsid w:val="00E1482E"/>
    <w:rsid w:val="00E16382"/>
    <w:rsid w:val="00E1699C"/>
    <w:rsid w:val="00E16E75"/>
    <w:rsid w:val="00E1746D"/>
    <w:rsid w:val="00E174A2"/>
    <w:rsid w:val="00E2012A"/>
    <w:rsid w:val="00E205A2"/>
    <w:rsid w:val="00E2064A"/>
    <w:rsid w:val="00E20BA4"/>
    <w:rsid w:val="00E210D0"/>
    <w:rsid w:val="00E21887"/>
    <w:rsid w:val="00E21CC0"/>
    <w:rsid w:val="00E23137"/>
    <w:rsid w:val="00E23980"/>
    <w:rsid w:val="00E23AB0"/>
    <w:rsid w:val="00E241E9"/>
    <w:rsid w:val="00E257C3"/>
    <w:rsid w:val="00E25CB3"/>
    <w:rsid w:val="00E25DA4"/>
    <w:rsid w:val="00E26237"/>
    <w:rsid w:val="00E26CB8"/>
    <w:rsid w:val="00E26D16"/>
    <w:rsid w:val="00E26FCF"/>
    <w:rsid w:val="00E27165"/>
    <w:rsid w:val="00E275D9"/>
    <w:rsid w:val="00E3044A"/>
    <w:rsid w:val="00E30E49"/>
    <w:rsid w:val="00E31A4A"/>
    <w:rsid w:val="00E3212A"/>
    <w:rsid w:val="00E32A7A"/>
    <w:rsid w:val="00E3344A"/>
    <w:rsid w:val="00E33B29"/>
    <w:rsid w:val="00E33B62"/>
    <w:rsid w:val="00E3403D"/>
    <w:rsid w:val="00E344BD"/>
    <w:rsid w:val="00E34548"/>
    <w:rsid w:val="00E34E6C"/>
    <w:rsid w:val="00E353E2"/>
    <w:rsid w:val="00E36345"/>
    <w:rsid w:val="00E36C86"/>
    <w:rsid w:val="00E36CEB"/>
    <w:rsid w:val="00E37A28"/>
    <w:rsid w:val="00E400C7"/>
    <w:rsid w:val="00E40430"/>
    <w:rsid w:val="00E40690"/>
    <w:rsid w:val="00E40AEB"/>
    <w:rsid w:val="00E40E82"/>
    <w:rsid w:val="00E40FB8"/>
    <w:rsid w:val="00E41141"/>
    <w:rsid w:val="00E4143A"/>
    <w:rsid w:val="00E420B7"/>
    <w:rsid w:val="00E424C8"/>
    <w:rsid w:val="00E4251D"/>
    <w:rsid w:val="00E427EF"/>
    <w:rsid w:val="00E43D00"/>
    <w:rsid w:val="00E443B4"/>
    <w:rsid w:val="00E445E4"/>
    <w:rsid w:val="00E457CB"/>
    <w:rsid w:val="00E45D47"/>
    <w:rsid w:val="00E45DE4"/>
    <w:rsid w:val="00E45E63"/>
    <w:rsid w:val="00E4759C"/>
    <w:rsid w:val="00E50A7B"/>
    <w:rsid w:val="00E50B0B"/>
    <w:rsid w:val="00E50C57"/>
    <w:rsid w:val="00E510FE"/>
    <w:rsid w:val="00E514BA"/>
    <w:rsid w:val="00E51513"/>
    <w:rsid w:val="00E51E25"/>
    <w:rsid w:val="00E5205B"/>
    <w:rsid w:val="00E521AE"/>
    <w:rsid w:val="00E529A3"/>
    <w:rsid w:val="00E533EE"/>
    <w:rsid w:val="00E53A21"/>
    <w:rsid w:val="00E53BCA"/>
    <w:rsid w:val="00E53DE2"/>
    <w:rsid w:val="00E53F02"/>
    <w:rsid w:val="00E5428D"/>
    <w:rsid w:val="00E54534"/>
    <w:rsid w:val="00E548C3"/>
    <w:rsid w:val="00E54F27"/>
    <w:rsid w:val="00E55FF1"/>
    <w:rsid w:val="00E56090"/>
    <w:rsid w:val="00E56408"/>
    <w:rsid w:val="00E565B9"/>
    <w:rsid w:val="00E56E7B"/>
    <w:rsid w:val="00E5733B"/>
    <w:rsid w:val="00E5756C"/>
    <w:rsid w:val="00E5768D"/>
    <w:rsid w:val="00E57811"/>
    <w:rsid w:val="00E57FB0"/>
    <w:rsid w:val="00E601BE"/>
    <w:rsid w:val="00E60A44"/>
    <w:rsid w:val="00E60B5F"/>
    <w:rsid w:val="00E613AE"/>
    <w:rsid w:val="00E61429"/>
    <w:rsid w:val="00E61ABB"/>
    <w:rsid w:val="00E61FD7"/>
    <w:rsid w:val="00E623E6"/>
    <w:rsid w:val="00E62BBF"/>
    <w:rsid w:val="00E62C76"/>
    <w:rsid w:val="00E630A2"/>
    <w:rsid w:val="00E630C0"/>
    <w:rsid w:val="00E63107"/>
    <w:rsid w:val="00E6312C"/>
    <w:rsid w:val="00E634E6"/>
    <w:rsid w:val="00E63DCE"/>
    <w:rsid w:val="00E642EF"/>
    <w:rsid w:val="00E645CF"/>
    <w:rsid w:val="00E64700"/>
    <w:rsid w:val="00E65074"/>
    <w:rsid w:val="00E65857"/>
    <w:rsid w:val="00E65E70"/>
    <w:rsid w:val="00E66087"/>
    <w:rsid w:val="00E66D79"/>
    <w:rsid w:val="00E66FF9"/>
    <w:rsid w:val="00E6706F"/>
    <w:rsid w:val="00E673A2"/>
    <w:rsid w:val="00E67856"/>
    <w:rsid w:val="00E679C8"/>
    <w:rsid w:val="00E70314"/>
    <w:rsid w:val="00E724E7"/>
    <w:rsid w:val="00E72B41"/>
    <w:rsid w:val="00E7347B"/>
    <w:rsid w:val="00E73792"/>
    <w:rsid w:val="00E73D03"/>
    <w:rsid w:val="00E7471C"/>
    <w:rsid w:val="00E7498A"/>
    <w:rsid w:val="00E7514E"/>
    <w:rsid w:val="00E76537"/>
    <w:rsid w:val="00E77784"/>
    <w:rsid w:val="00E77AF5"/>
    <w:rsid w:val="00E8035B"/>
    <w:rsid w:val="00E820F4"/>
    <w:rsid w:val="00E82263"/>
    <w:rsid w:val="00E823F9"/>
    <w:rsid w:val="00E82C1F"/>
    <w:rsid w:val="00E83671"/>
    <w:rsid w:val="00E83D1E"/>
    <w:rsid w:val="00E840EE"/>
    <w:rsid w:val="00E84203"/>
    <w:rsid w:val="00E84314"/>
    <w:rsid w:val="00E849CA"/>
    <w:rsid w:val="00E84A71"/>
    <w:rsid w:val="00E853F3"/>
    <w:rsid w:val="00E8556F"/>
    <w:rsid w:val="00E86556"/>
    <w:rsid w:val="00E86D35"/>
    <w:rsid w:val="00E86DC2"/>
    <w:rsid w:val="00E86E32"/>
    <w:rsid w:val="00E86F2E"/>
    <w:rsid w:val="00E8732E"/>
    <w:rsid w:val="00E879C7"/>
    <w:rsid w:val="00E90067"/>
    <w:rsid w:val="00E9011F"/>
    <w:rsid w:val="00E906EB"/>
    <w:rsid w:val="00E90CE2"/>
    <w:rsid w:val="00E9170E"/>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455"/>
    <w:rsid w:val="00EA0BCE"/>
    <w:rsid w:val="00EA10E4"/>
    <w:rsid w:val="00EA17BC"/>
    <w:rsid w:val="00EA2744"/>
    <w:rsid w:val="00EA37B9"/>
    <w:rsid w:val="00EA39F7"/>
    <w:rsid w:val="00EA3DC2"/>
    <w:rsid w:val="00EA434E"/>
    <w:rsid w:val="00EA4757"/>
    <w:rsid w:val="00EA560B"/>
    <w:rsid w:val="00EA5669"/>
    <w:rsid w:val="00EA5CC6"/>
    <w:rsid w:val="00EA63EF"/>
    <w:rsid w:val="00EA7CBF"/>
    <w:rsid w:val="00EB0A89"/>
    <w:rsid w:val="00EB0BD8"/>
    <w:rsid w:val="00EB1573"/>
    <w:rsid w:val="00EB1910"/>
    <w:rsid w:val="00EB2564"/>
    <w:rsid w:val="00EB2D83"/>
    <w:rsid w:val="00EB2E97"/>
    <w:rsid w:val="00EB3416"/>
    <w:rsid w:val="00EB4AE1"/>
    <w:rsid w:val="00EB52F4"/>
    <w:rsid w:val="00EB5694"/>
    <w:rsid w:val="00EB5779"/>
    <w:rsid w:val="00EB5D2F"/>
    <w:rsid w:val="00EB67F1"/>
    <w:rsid w:val="00EB6ADA"/>
    <w:rsid w:val="00EB7132"/>
    <w:rsid w:val="00EB72CD"/>
    <w:rsid w:val="00EB749A"/>
    <w:rsid w:val="00EB76B6"/>
    <w:rsid w:val="00EB7D8A"/>
    <w:rsid w:val="00EC0487"/>
    <w:rsid w:val="00EC04F7"/>
    <w:rsid w:val="00EC05E2"/>
    <w:rsid w:val="00EC0E84"/>
    <w:rsid w:val="00EC16E2"/>
    <w:rsid w:val="00EC1CE7"/>
    <w:rsid w:val="00EC1DAE"/>
    <w:rsid w:val="00EC224E"/>
    <w:rsid w:val="00EC26F1"/>
    <w:rsid w:val="00EC2769"/>
    <w:rsid w:val="00EC33A8"/>
    <w:rsid w:val="00EC3ABE"/>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1F03"/>
    <w:rsid w:val="00ED2352"/>
    <w:rsid w:val="00ED249D"/>
    <w:rsid w:val="00ED2D27"/>
    <w:rsid w:val="00ED3347"/>
    <w:rsid w:val="00ED3441"/>
    <w:rsid w:val="00ED3860"/>
    <w:rsid w:val="00ED3954"/>
    <w:rsid w:val="00ED39AC"/>
    <w:rsid w:val="00ED43A2"/>
    <w:rsid w:val="00ED4967"/>
    <w:rsid w:val="00ED5140"/>
    <w:rsid w:val="00ED538C"/>
    <w:rsid w:val="00ED572F"/>
    <w:rsid w:val="00ED5771"/>
    <w:rsid w:val="00ED587F"/>
    <w:rsid w:val="00ED5964"/>
    <w:rsid w:val="00ED623F"/>
    <w:rsid w:val="00ED63A5"/>
    <w:rsid w:val="00ED69BA"/>
    <w:rsid w:val="00ED6D1A"/>
    <w:rsid w:val="00ED72E9"/>
    <w:rsid w:val="00ED732E"/>
    <w:rsid w:val="00ED74B3"/>
    <w:rsid w:val="00ED77F0"/>
    <w:rsid w:val="00ED7FBC"/>
    <w:rsid w:val="00EE0253"/>
    <w:rsid w:val="00EE0297"/>
    <w:rsid w:val="00EE1258"/>
    <w:rsid w:val="00EE13DA"/>
    <w:rsid w:val="00EE1668"/>
    <w:rsid w:val="00EE1EDB"/>
    <w:rsid w:val="00EE24E2"/>
    <w:rsid w:val="00EE2A20"/>
    <w:rsid w:val="00EE3599"/>
    <w:rsid w:val="00EE366D"/>
    <w:rsid w:val="00EE40A4"/>
    <w:rsid w:val="00EE41AA"/>
    <w:rsid w:val="00EE5454"/>
    <w:rsid w:val="00EE59B5"/>
    <w:rsid w:val="00EE5FB7"/>
    <w:rsid w:val="00EE6783"/>
    <w:rsid w:val="00EE678B"/>
    <w:rsid w:val="00EE7B54"/>
    <w:rsid w:val="00EE7C47"/>
    <w:rsid w:val="00EE7C88"/>
    <w:rsid w:val="00EE7C8B"/>
    <w:rsid w:val="00EF0209"/>
    <w:rsid w:val="00EF0EA4"/>
    <w:rsid w:val="00EF19A5"/>
    <w:rsid w:val="00EF1E97"/>
    <w:rsid w:val="00EF2436"/>
    <w:rsid w:val="00EF2547"/>
    <w:rsid w:val="00EF26F4"/>
    <w:rsid w:val="00EF28D8"/>
    <w:rsid w:val="00EF2B2B"/>
    <w:rsid w:val="00EF2E1C"/>
    <w:rsid w:val="00EF2FD6"/>
    <w:rsid w:val="00EF326A"/>
    <w:rsid w:val="00EF397D"/>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3C3D"/>
    <w:rsid w:val="00F0435D"/>
    <w:rsid w:val="00F04580"/>
    <w:rsid w:val="00F04986"/>
    <w:rsid w:val="00F04ECA"/>
    <w:rsid w:val="00F04F8B"/>
    <w:rsid w:val="00F06CA4"/>
    <w:rsid w:val="00F06E19"/>
    <w:rsid w:val="00F06F84"/>
    <w:rsid w:val="00F07441"/>
    <w:rsid w:val="00F0749E"/>
    <w:rsid w:val="00F076E7"/>
    <w:rsid w:val="00F07A86"/>
    <w:rsid w:val="00F07AA1"/>
    <w:rsid w:val="00F105AE"/>
    <w:rsid w:val="00F10618"/>
    <w:rsid w:val="00F10E7D"/>
    <w:rsid w:val="00F1108B"/>
    <w:rsid w:val="00F114FA"/>
    <w:rsid w:val="00F11768"/>
    <w:rsid w:val="00F11951"/>
    <w:rsid w:val="00F12262"/>
    <w:rsid w:val="00F12564"/>
    <w:rsid w:val="00F128D9"/>
    <w:rsid w:val="00F12AF8"/>
    <w:rsid w:val="00F12C52"/>
    <w:rsid w:val="00F13381"/>
    <w:rsid w:val="00F13828"/>
    <w:rsid w:val="00F13E62"/>
    <w:rsid w:val="00F13F51"/>
    <w:rsid w:val="00F148B7"/>
    <w:rsid w:val="00F14EA9"/>
    <w:rsid w:val="00F15505"/>
    <w:rsid w:val="00F15BFF"/>
    <w:rsid w:val="00F1634B"/>
    <w:rsid w:val="00F16E4F"/>
    <w:rsid w:val="00F171B2"/>
    <w:rsid w:val="00F17244"/>
    <w:rsid w:val="00F20931"/>
    <w:rsid w:val="00F20ECE"/>
    <w:rsid w:val="00F213A0"/>
    <w:rsid w:val="00F21D54"/>
    <w:rsid w:val="00F21EF4"/>
    <w:rsid w:val="00F221A2"/>
    <w:rsid w:val="00F23113"/>
    <w:rsid w:val="00F23255"/>
    <w:rsid w:val="00F23393"/>
    <w:rsid w:val="00F23759"/>
    <w:rsid w:val="00F24644"/>
    <w:rsid w:val="00F24BB1"/>
    <w:rsid w:val="00F25947"/>
    <w:rsid w:val="00F262D6"/>
    <w:rsid w:val="00F26F33"/>
    <w:rsid w:val="00F273D5"/>
    <w:rsid w:val="00F2748A"/>
    <w:rsid w:val="00F2786C"/>
    <w:rsid w:val="00F300A8"/>
    <w:rsid w:val="00F302C6"/>
    <w:rsid w:val="00F30400"/>
    <w:rsid w:val="00F3079E"/>
    <w:rsid w:val="00F31289"/>
    <w:rsid w:val="00F3232D"/>
    <w:rsid w:val="00F32356"/>
    <w:rsid w:val="00F32F80"/>
    <w:rsid w:val="00F3399B"/>
    <w:rsid w:val="00F33F4B"/>
    <w:rsid w:val="00F346ED"/>
    <w:rsid w:val="00F34945"/>
    <w:rsid w:val="00F34E1E"/>
    <w:rsid w:val="00F3570C"/>
    <w:rsid w:val="00F363A4"/>
    <w:rsid w:val="00F36765"/>
    <w:rsid w:val="00F368FF"/>
    <w:rsid w:val="00F37068"/>
    <w:rsid w:val="00F37E5F"/>
    <w:rsid w:val="00F37F3F"/>
    <w:rsid w:val="00F40190"/>
    <w:rsid w:val="00F40992"/>
    <w:rsid w:val="00F40F72"/>
    <w:rsid w:val="00F41596"/>
    <w:rsid w:val="00F41D8B"/>
    <w:rsid w:val="00F42121"/>
    <w:rsid w:val="00F424B3"/>
    <w:rsid w:val="00F428B1"/>
    <w:rsid w:val="00F428B4"/>
    <w:rsid w:val="00F4345D"/>
    <w:rsid w:val="00F4387B"/>
    <w:rsid w:val="00F45921"/>
    <w:rsid w:val="00F45AA5"/>
    <w:rsid w:val="00F45B91"/>
    <w:rsid w:val="00F46639"/>
    <w:rsid w:val="00F47026"/>
    <w:rsid w:val="00F476FD"/>
    <w:rsid w:val="00F47EEA"/>
    <w:rsid w:val="00F50183"/>
    <w:rsid w:val="00F50D92"/>
    <w:rsid w:val="00F51765"/>
    <w:rsid w:val="00F51A51"/>
    <w:rsid w:val="00F51BC6"/>
    <w:rsid w:val="00F51CB4"/>
    <w:rsid w:val="00F52200"/>
    <w:rsid w:val="00F52324"/>
    <w:rsid w:val="00F52950"/>
    <w:rsid w:val="00F52C9D"/>
    <w:rsid w:val="00F533F1"/>
    <w:rsid w:val="00F53F4F"/>
    <w:rsid w:val="00F55185"/>
    <w:rsid w:val="00F55679"/>
    <w:rsid w:val="00F561E3"/>
    <w:rsid w:val="00F565E6"/>
    <w:rsid w:val="00F56AFA"/>
    <w:rsid w:val="00F575E2"/>
    <w:rsid w:val="00F579FF"/>
    <w:rsid w:val="00F600E0"/>
    <w:rsid w:val="00F605EC"/>
    <w:rsid w:val="00F60C07"/>
    <w:rsid w:val="00F60F60"/>
    <w:rsid w:val="00F612CE"/>
    <w:rsid w:val="00F6133C"/>
    <w:rsid w:val="00F61405"/>
    <w:rsid w:val="00F617A3"/>
    <w:rsid w:val="00F62227"/>
    <w:rsid w:val="00F624A7"/>
    <w:rsid w:val="00F62AB6"/>
    <w:rsid w:val="00F65A3C"/>
    <w:rsid w:val="00F66009"/>
    <w:rsid w:val="00F66282"/>
    <w:rsid w:val="00F6639E"/>
    <w:rsid w:val="00F670E9"/>
    <w:rsid w:val="00F6749F"/>
    <w:rsid w:val="00F67AF1"/>
    <w:rsid w:val="00F67D8B"/>
    <w:rsid w:val="00F700CD"/>
    <w:rsid w:val="00F701C5"/>
    <w:rsid w:val="00F70961"/>
    <w:rsid w:val="00F70A8F"/>
    <w:rsid w:val="00F71397"/>
    <w:rsid w:val="00F72389"/>
    <w:rsid w:val="00F72516"/>
    <w:rsid w:val="00F72FB4"/>
    <w:rsid w:val="00F732CF"/>
    <w:rsid w:val="00F735E5"/>
    <w:rsid w:val="00F73B82"/>
    <w:rsid w:val="00F73E80"/>
    <w:rsid w:val="00F7469C"/>
    <w:rsid w:val="00F7492E"/>
    <w:rsid w:val="00F74945"/>
    <w:rsid w:val="00F749A3"/>
    <w:rsid w:val="00F74AE8"/>
    <w:rsid w:val="00F76768"/>
    <w:rsid w:val="00F76C11"/>
    <w:rsid w:val="00F77021"/>
    <w:rsid w:val="00F770AB"/>
    <w:rsid w:val="00F77E61"/>
    <w:rsid w:val="00F80221"/>
    <w:rsid w:val="00F802B0"/>
    <w:rsid w:val="00F80A0A"/>
    <w:rsid w:val="00F80C81"/>
    <w:rsid w:val="00F815AC"/>
    <w:rsid w:val="00F82E28"/>
    <w:rsid w:val="00F83B33"/>
    <w:rsid w:val="00F83CAE"/>
    <w:rsid w:val="00F840BF"/>
    <w:rsid w:val="00F8427A"/>
    <w:rsid w:val="00F843DF"/>
    <w:rsid w:val="00F84646"/>
    <w:rsid w:val="00F84899"/>
    <w:rsid w:val="00F85585"/>
    <w:rsid w:val="00F8563E"/>
    <w:rsid w:val="00F859F0"/>
    <w:rsid w:val="00F85CC1"/>
    <w:rsid w:val="00F86B5D"/>
    <w:rsid w:val="00F87634"/>
    <w:rsid w:val="00F87C13"/>
    <w:rsid w:val="00F87C5A"/>
    <w:rsid w:val="00F87E29"/>
    <w:rsid w:val="00F87F18"/>
    <w:rsid w:val="00F87F37"/>
    <w:rsid w:val="00F87F68"/>
    <w:rsid w:val="00F90C4D"/>
    <w:rsid w:val="00F9165C"/>
    <w:rsid w:val="00F9167D"/>
    <w:rsid w:val="00F91CB2"/>
    <w:rsid w:val="00F927E8"/>
    <w:rsid w:val="00F9289C"/>
    <w:rsid w:val="00F92FC1"/>
    <w:rsid w:val="00F932D1"/>
    <w:rsid w:val="00F93DBC"/>
    <w:rsid w:val="00F93E41"/>
    <w:rsid w:val="00F94644"/>
    <w:rsid w:val="00F952E4"/>
    <w:rsid w:val="00F9537B"/>
    <w:rsid w:val="00F96079"/>
    <w:rsid w:val="00F963FC"/>
    <w:rsid w:val="00F97CF1"/>
    <w:rsid w:val="00FA015F"/>
    <w:rsid w:val="00FA0FAC"/>
    <w:rsid w:val="00FA10F7"/>
    <w:rsid w:val="00FA1817"/>
    <w:rsid w:val="00FA1DA2"/>
    <w:rsid w:val="00FA313F"/>
    <w:rsid w:val="00FA3414"/>
    <w:rsid w:val="00FA347A"/>
    <w:rsid w:val="00FA3CDE"/>
    <w:rsid w:val="00FA49B7"/>
    <w:rsid w:val="00FA5043"/>
    <w:rsid w:val="00FA60C1"/>
    <w:rsid w:val="00FA63DD"/>
    <w:rsid w:val="00FA65A3"/>
    <w:rsid w:val="00FA66F9"/>
    <w:rsid w:val="00FA6BCA"/>
    <w:rsid w:val="00FA6F8B"/>
    <w:rsid w:val="00FA727C"/>
    <w:rsid w:val="00FA7A30"/>
    <w:rsid w:val="00FB033F"/>
    <w:rsid w:val="00FB0880"/>
    <w:rsid w:val="00FB12E3"/>
    <w:rsid w:val="00FB1570"/>
    <w:rsid w:val="00FB193B"/>
    <w:rsid w:val="00FB1FBC"/>
    <w:rsid w:val="00FB27B7"/>
    <w:rsid w:val="00FB35E3"/>
    <w:rsid w:val="00FB4743"/>
    <w:rsid w:val="00FB4C98"/>
    <w:rsid w:val="00FB4CE3"/>
    <w:rsid w:val="00FB583C"/>
    <w:rsid w:val="00FB630E"/>
    <w:rsid w:val="00FB658F"/>
    <w:rsid w:val="00FB6738"/>
    <w:rsid w:val="00FB691B"/>
    <w:rsid w:val="00FB6BE6"/>
    <w:rsid w:val="00FB731C"/>
    <w:rsid w:val="00FB7628"/>
    <w:rsid w:val="00FC0363"/>
    <w:rsid w:val="00FC05A0"/>
    <w:rsid w:val="00FC0811"/>
    <w:rsid w:val="00FC09B3"/>
    <w:rsid w:val="00FC1196"/>
    <w:rsid w:val="00FC15EB"/>
    <w:rsid w:val="00FC162C"/>
    <w:rsid w:val="00FC18DC"/>
    <w:rsid w:val="00FC2477"/>
    <w:rsid w:val="00FC2AC4"/>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6A9"/>
    <w:rsid w:val="00FC79AB"/>
    <w:rsid w:val="00FC7BE7"/>
    <w:rsid w:val="00FC7DAC"/>
    <w:rsid w:val="00FD005D"/>
    <w:rsid w:val="00FD0216"/>
    <w:rsid w:val="00FD04AE"/>
    <w:rsid w:val="00FD0DFA"/>
    <w:rsid w:val="00FD1890"/>
    <w:rsid w:val="00FD1994"/>
    <w:rsid w:val="00FD3508"/>
    <w:rsid w:val="00FD393C"/>
    <w:rsid w:val="00FD3AFF"/>
    <w:rsid w:val="00FD43BB"/>
    <w:rsid w:val="00FD4AF3"/>
    <w:rsid w:val="00FD5443"/>
    <w:rsid w:val="00FD6675"/>
    <w:rsid w:val="00FD6DC5"/>
    <w:rsid w:val="00FD72B1"/>
    <w:rsid w:val="00FD798D"/>
    <w:rsid w:val="00FE141E"/>
    <w:rsid w:val="00FE144E"/>
    <w:rsid w:val="00FE1768"/>
    <w:rsid w:val="00FE1DD5"/>
    <w:rsid w:val="00FE1E8C"/>
    <w:rsid w:val="00FE24F4"/>
    <w:rsid w:val="00FE2560"/>
    <w:rsid w:val="00FE35D0"/>
    <w:rsid w:val="00FE42ED"/>
    <w:rsid w:val="00FE4E06"/>
    <w:rsid w:val="00FE55A7"/>
    <w:rsid w:val="00FE5C5A"/>
    <w:rsid w:val="00FE601E"/>
    <w:rsid w:val="00FE6432"/>
    <w:rsid w:val="00FE72A0"/>
    <w:rsid w:val="00FF0050"/>
    <w:rsid w:val="00FF045F"/>
    <w:rsid w:val="00FF0816"/>
    <w:rsid w:val="00FF13D4"/>
    <w:rsid w:val="00FF2053"/>
    <w:rsid w:val="00FF3B37"/>
    <w:rsid w:val="00FF3CC7"/>
    <w:rsid w:val="00FF3D6F"/>
    <w:rsid w:val="00FF441A"/>
    <w:rsid w:val="00FF44D7"/>
    <w:rsid w:val="00FF4BD8"/>
    <w:rsid w:val="00FF4D11"/>
    <w:rsid w:val="00FF5214"/>
    <w:rsid w:val="00FF596E"/>
    <w:rsid w:val="00FF5B59"/>
    <w:rsid w:val="00FF5BFD"/>
    <w:rsid w:val="00FF6095"/>
    <w:rsid w:val="00FF62FE"/>
    <w:rsid w:val="00FF6553"/>
    <w:rsid w:val="00FF70BD"/>
    <w:rsid w:val="00FF712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826938">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0173570">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15430727">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6786160">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27872112">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62677824">
      <w:bodyDiv w:val="1"/>
      <w:marLeft w:val="0"/>
      <w:marRight w:val="0"/>
      <w:marTop w:val="0"/>
      <w:marBottom w:val="0"/>
      <w:divBdr>
        <w:top w:val="none" w:sz="0" w:space="0" w:color="auto"/>
        <w:left w:val="none" w:sz="0" w:space="0" w:color="auto"/>
        <w:bottom w:val="none" w:sz="0" w:space="0" w:color="auto"/>
        <w:right w:val="none" w:sz="0" w:space="0" w:color="auto"/>
      </w:divBdr>
      <w:divsChild>
        <w:div w:id="1762094626">
          <w:marLeft w:val="0"/>
          <w:marRight w:val="0"/>
          <w:marTop w:val="0"/>
          <w:marBottom w:val="0"/>
          <w:divBdr>
            <w:top w:val="none" w:sz="0" w:space="0" w:color="auto"/>
            <w:left w:val="none" w:sz="0" w:space="0" w:color="auto"/>
            <w:bottom w:val="none" w:sz="0" w:space="0" w:color="auto"/>
            <w:right w:val="none" w:sz="0" w:space="0" w:color="auto"/>
          </w:divBdr>
          <w:divsChild>
            <w:div w:id="548228321">
              <w:marLeft w:val="0"/>
              <w:marRight w:val="0"/>
              <w:marTop w:val="0"/>
              <w:marBottom w:val="0"/>
              <w:divBdr>
                <w:top w:val="none" w:sz="0" w:space="0" w:color="auto"/>
                <w:left w:val="none" w:sz="0" w:space="0" w:color="auto"/>
                <w:bottom w:val="none" w:sz="0" w:space="0" w:color="auto"/>
                <w:right w:val="none" w:sz="0" w:space="0" w:color="auto"/>
              </w:divBdr>
              <w:divsChild>
                <w:div w:id="69010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709385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89074">
      <w:bodyDiv w:val="1"/>
      <w:marLeft w:val="0"/>
      <w:marRight w:val="0"/>
      <w:marTop w:val="0"/>
      <w:marBottom w:val="0"/>
      <w:divBdr>
        <w:top w:val="none" w:sz="0" w:space="0" w:color="auto"/>
        <w:left w:val="none" w:sz="0" w:space="0" w:color="auto"/>
        <w:bottom w:val="none" w:sz="0" w:space="0" w:color="auto"/>
        <w:right w:val="none" w:sz="0" w:space="0" w:color="auto"/>
      </w:divBdr>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6396095">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334555">
      <w:bodyDiv w:val="1"/>
      <w:marLeft w:val="0"/>
      <w:marRight w:val="0"/>
      <w:marTop w:val="0"/>
      <w:marBottom w:val="0"/>
      <w:divBdr>
        <w:top w:val="none" w:sz="0" w:space="0" w:color="auto"/>
        <w:left w:val="none" w:sz="0" w:space="0" w:color="auto"/>
        <w:bottom w:val="none" w:sz="0" w:space="0" w:color="auto"/>
        <w:right w:val="none" w:sz="0" w:space="0" w:color="auto"/>
      </w:divBdr>
    </w:div>
    <w:div w:id="1374042188">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376343">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2304599">
      <w:bodyDiv w:val="1"/>
      <w:marLeft w:val="0"/>
      <w:marRight w:val="0"/>
      <w:marTop w:val="0"/>
      <w:marBottom w:val="0"/>
      <w:divBdr>
        <w:top w:val="none" w:sz="0" w:space="0" w:color="auto"/>
        <w:left w:val="none" w:sz="0" w:space="0" w:color="auto"/>
        <w:bottom w:val="none" w:sz="0" w:space="0" w:color="auto"/>
        <w:right w:val="none" w:sz="0" w:space="0" w:color="auto"/>
      </w:divBdr>
      <w:divsChild>
        <w:div w:id="1075276306">
          <w:marLeft w:val="0"/>
          <w:marRight w:val="0"/>
          <w:marTop w:val="0"/>
          <w:marBottom w:val="0"/>
          <w:divBdr>
            <w:top w:val="none" w:sz="0" w:space="0" w:color="auto"/>
            <w:left w:val="none" w:sz="0" w:space="0" w:color="auto"/>
            <w:bottom w:val="none" w:sz="0" w:space="0" w:color="auto"/>
            <w:right w:val="none" w:sz="0" w:space="0" w:color="auto"/>
          </w:divBdr>
        </w:div>
      </w:divsChild>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349650">
      <w:bodyDiv w:val="1"/>
      <w:marLeft w:val="0"/>
      <w:marRight w:val="0"/>
      <w:marTop w:val="0"/>
      <w:marBottom w:val="0"/>
      <w:divBdr>
        <w:top w:val="none" w:sz="0" w:space="0" w:color="auto"/>
        <w:left w:val="none" w:sz="0" w:space="0" w:color="auto"/>
        <w:bottom w:val="none" w:sz="0" w:space="0" w:color="auto"/>
        <w:right w:val="none" w:sz="0" w:space="0" w:color="auto"/>
      </w:divBdr>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733721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96</TotalTime>
  <Pages>18</Pages>
  <Words>6742</Words>
  <Characters>37082</Characters>
  <Application>Microsoft Office Word</Application>
  <DocSecurity>0</DocSecurity>
  <Lines>309</Lines>
  <Paragraphs>87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21</cp:revision>
  <cp:lastPrinted>2020-01-30T15:05:00Z</cp:lastPrinted>
  <dcterms:created xsi:type="dcterms:W3CDTF">2021-02-18T20:28:00Z</dcterms:created>
  <dcterms:modified xsi:type="dcterms:W3CDTF">2021-02-24T00:17:00Z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