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5FD6" w14:textId="77777777" w:rsidR="00B62479" w:rsidRPr="00B62479" w:rsidRDefault="00B62479" w:rsidP="00B62479">
      <w:pPr>
        <w:spacing w:after="0" w:line="240" w:lineRule="auto"/>
        <w:rPr>
          <w:rFonts w:ascii="Verdana" w:eastAsia="Geomanist Light" w:hAnsi="Verdana" w:cs="Arial"/>
          <w:color w:val="000000" w:themeColor="text1"/>
        </w:rPr>
      </w:pPr>
      <w:r w:rsidRPr="00B62479">
        <w:rPr>
          <w:rFonts w:ascii="Verdana" w:eastAsia="Geomanist Light" w:hAnsi="Verdana" w:cs="Arial"/>
          <w:b/>
          <w:bCs/>
          <w:color w:val="000000" w:themeColor="text1"/>
        </w:rPr>
        <w:t>MIPYMES – Definición</w:t>
      </w:r>
    </w:p>
    <w:p w14:paraId="6FB27AA4" w14:textId="77777777" w:rsidR="00B62479" w:rsidRPr="00B62479" w:rsidRDefault="00B62479" w:rsidP="00B62479">
      <w:pPr>
        <w:spacing w:after="0" w:line="240" w:lineRule="auto"/>
        <w:rPr>
          <w:rFonts w:ascii="Verdana" w:eastAsia="Geomanist Light" w:hAnsi="Verdana" w:cs="Arial"/>
          <w:color w:val="000000" w:themeColor="text1"/>
        </w:rPr>
      </w:pPr>
      <w:r w:rsidRPr="00B62479">
        <w:rPr>
          <w:rFonts w:ascii="Verdana" w:eastAsia="Geomanist Light" w:hAnsi="Verdana" w:cs="Arial"/>
          <w:color w:val="000000" w:themeColor="text1"/>
        </w:rPr>
        <w:t> </w:t>
      </w:r>
    </w:p>
    <w:p w14:paraId="2D17E6FB" w14:textId="77777777" w:rsidR="00B62479" w:rsidRDefault="00B62479" w:rsidP="00B62479">
      <w:pPr>
        <w:spacing w:after="0" w:line="240" w:lineRule="auto"/>
        <w:jc w:val="both"/>
        <w:rPr>
          <w:rFonts w:ascii="Verdana" w:eastAsia="Geomanist Light" w:hAnsi="Verdana" w:cs="Arial"/>
          <w:color w:val="000000" w:themeColor="text1"/>
          <w:sz w:val="20"/>
          <w:szCs w:val="20"/>
        </w:rPr>
      </w:pPr>
      <w:r w:rsidRPr="00B62479">
        <w:rPr>
          <w:rFonts w:ascii="Verdana" w:eastAsia="Geomanist Light" w:hAnsi="Verdana" w:cs="Arial"/>
          <w:color w:val="000000" w:themeColor="text1"/>
          <w:sz w:val="20"/>
          <w:szCs w:val="20"/>
        </w:rPr>
        <w:t>[…] el artículo 2 de la Ley 590 de 2000, modificado por el artículo 43 de la Ley 1450 de 2011, define la </w:t>
      </w:r>
      <w:r w:rsidRPr="00B62479">
        <w:rPr>
          <w:rFonts w:ascii="Verdana" w:eastAsia="Geomanist Light" w:hAnsi="Verdana" w:cs="Arial"/>
          <w:i/>
          <w:iCs/>
          <w:color w:val="000000" w:themeColor="text1"/>
          <w:sz w:val="20"/>
          <w:szCs w:val="20"/>
        </w:rPr>
        <w:t>empresa</w:t>
      </w:r>
      <w:r w:rsidRPr="00B62479">
        <w:rPr>
          <w:rFonts w:ascii="Verdana" w:eastAsia="Geomanist Light" w:hAnsi="Verdana" w:cs="Arial"/>
          <w:color w:val="000000" w:themeColor="text1"/>
          <w:sz w:val="20"/>
          <w:szCs w:val="20"/>
        </w:rPr>
        <w:t> como toda unidad de explotación económica que realiza una persona natural o jurídica en actividades agropecuarias, industriales, comerciales o de servicios. Además, establece que estas se clasifican en micro, pequeña, mediana y gran empresa, de acuerdo con los criterios del número de trabajadores totales, el valor de ventas brutales anuales y el valor de activos totales.</w:t>
      </w:r>
    </w:p>
    <w:p w14:paraId="4D160AFC" w14:textId="77777777" w:rsidR="005C70D1" w:rsidRDefault="005C70D1" w:rsidP="00B62479">
      <w:pPr>
        <w:spacing w:after="0" w:line="240" w:lineRule="auto"/>
        <w:jc w:val="both"/>
        <w:rPr>
          <w:rFonts w:ascii="Verdana" w:eastAsia="Geomanist Light" w:hAnsi="Verdana" w:cs="Arial"/>
          <w:color w:val="000000" w:themeColor="text1"/>
          <w:sz w:val="20"/>
          <w:szCs w:val="20"/>
        </w:rPr>
      </w:pPr>
    </w:p>
    <w:p w14:paraId="2E721C07"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ESAL – Naturaleza – Sin ánimo de lucro</w:t>
      </w:r>
    </w:p>
    <w:p w14:paraId="6AAA111B"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195F2D7A"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xml:space="preserv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5C70D1">
        <w:rPr>
          <w:rFonts w:ascii="Verdana" w:eastAsia="Geomanist Light" w:hAnsi="Verdana" w:cs="Arial"/>
          <w:color w:val="000000" w:themeColor="text1"/>
          <w:sz w:val="20"/>
          <w:szCs w:val="20"/>
        </w:rPr>
        <w:t>mipymes</w:t>
      </w:r>
      <w:proofErr w:type="spellEnd"/>
      <w:r w:rsidRPr="005C70D1">
        <w:rPr>
          <w:rFonts w:ascii="Verdana" w:eastAsia="Geomanist Light" w:hAnsi="Verdana" w:cs="Arial"/>
          <w:color w:val="000000" w:themeColor="text1"/>
          <w:sz w:val="20"/>
          <w:szCs w:val="20"/>
        </w:rPr>
        <w:t>. Lo anterior teniendo en cuenta que </w:t>
      </w:r>
      <w:r w:rsidRPr="005C70D1">
        <w:rPr>
          <w:rFonts w:ascii="Verdana" w:eastAsia="Geomanist Light" w:hAnsi="Verdana" w:cs="Arial"/>
          <w:i/>
          <w:iCs/>
          <w:color w:val="000000" w:themeColor="text1"/>
          <w:sz w:val="20"/>
          <w:szCs w:val="20"/>
        </w:rPr>
        <w:t>no responden al concepto de empresa que involucra dicha categoría con ánimo de lucro, por lo que no resulta jurídicamente válido aplicar a las ESAL las normas dirigidas a las Mipymes</w:t>
      </w:r>
      <w:r w:rsidRPr="005C70D1">
        <w:rPr>
          <w:rFonts w:ascii="Verdana" w:eastAsia="Geomanist Light" w:hAnsi="Verdana" w:cs="Arial"/>
          <w:color w:val="000000" w:themeColor="text1"/>
          <w:sz w:val="20"/>
          <w:szCs w:val="20"/>
        </w:rPr>
        <w:t>”.</w:t>
      </w:r>
    </w:p>
    <w:p w14:paraId="73604DAD"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5090D411"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ESAL – Mipymes – Reparto de utilidades – Distinción</w:t>
      </w:r>
    </w:p>
    <w:p w14:paraId="5F247182"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14236032"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Mipymes en el sistema de compras públicas, ni podrán participar en los procesos de contratación limitados a Mipymes. Lo anterior, teniendo en cuenta que no responden al concepto de empresa por no ejercer una actividad con ánimo de lucro, por lo que no resulta jurídicamente válido aplicar a las ESAL las normas dirigidas a las Mipymes.</w:t>
      </w:r>
    </w:p>
    <w:p w14:paraId="2C2E1B15"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7FD1C1F4"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b/>
          <w:bCs/>
          <w:color w:val="000000" w:themeColor="text1"/>
          <w:sz w:val="20"/>
          <w:szCs w:val="20"/>
        </w:rPr>
        <w:t>DECRETO 1860 DE 2021 – Criterios diferenciales – Mipymes</w:t>
      </w:r>
    </w:p>
    <w:p w14:paraId="2D0A98DD"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0A972D6E"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xml:space="preserve">[…] sostenido de forma reiterada la tesis consistente en que las ESAL no pueden acceder a los beneficios a favor de las Mipymes ni participar en los procesos contractuales limitados a estas, considerando que “en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5C70D1">
        <w:rPr>
          <w:rFonts w:ascii="Verdana" w:eastAsia="Geomanist Light" w:hAnsi="Verdana" w:cs="Arial"/>
          <w:color w:val="000000" w:themeColor="text1"/>
          <w:sz w:val="20"/>
          <w:szCs w:val="20"/>
        </w:rPr>
        <w:t>mipymes</w:t>
      </w:r>
      <w:proofErr w:type="spellEnd"/>
      <w:r w:rsidRPr="005C70D1">
        <w:rPr>
          <w:rFonts w:ascii="Verdana" w:eastAsia="Geomanist Light" w:hAnsi="Verdana" w:cs="Arial"/>
          <w:color w:val="000000" w:themeColor="text1"/>
          <w:sz w:val="20"/>
          <w:szCs w:val="20"/>
        </w:rPr>
        <w:t xml:space="preserve">. Lo anterior </w:t>
      </w:r>
      <w:r w:rsidRPr="005C70D1">
        <w:rPr>
          <w:rFonts w:ascii="Verdana" w:eastAsia="Geomanist Light" w:hAnsi="Verdana" w:cs="Arial"/>
          <w:color w:val="000000" w:themeColor="text1"/>
          <w:sz w:val="20"/>
          <w:szCs w:val="20"/>
        </w:rPr>
        <w:lastRenderedPageBreak/>
        <w:t>teniendo en cuenta que </w:t>
      </w:r>
      <w:r w:rsidRPr="005C70D1">
        <w:rPr>
          <w:rFonts w:ascii="Verdana" w:eastAsia="Geomanist Light" w:hAnsi="Verdana" w:cs="Arial"/>
          <w:i/>
          <w:iCs/>
          <w:color w:val="000000" w:themeColor="text1"/>
          <w:sz w:val="20"/>
          <w:szCs w:val="20"/>
        </w:rPr>
        <w:t>no responden al concepto de empresa que involucra dicha categoría con ánimo de lucro, por lo que no resulta jurídicamente válido aplicar a las ESAL las normas dirigidas a las Mipymes</w:t>
      </w:r>
      <w:r w:rsidRPr="005C70D1">
        <w:rPr>
          <w:rFonts w:ascii="Verdana" w:eastAsia="Geomanist Light" w:hAnsi="Verdana" w:cs="Arial"/>
          <w:color w:val="000000" w:themeColor="text1"/>
          <w:sz w:val="20"/>
          <w:szCs w:val="20"/>
        </w:rPr>
        <w:t>”.</w:t>
      </w:r>
    </w:p>
    <w:p w14:paraId="64B691F3"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4B0A11EF" w14:textId="23F518F3" w:rsidR="005C70D1" w:rsidRPr="005C70D1" w:rsidRDefault="005C70D1" w:rsidP="001B3E25">
      <w:pPr>
        <w:contextualSpacing/>
        <w:jc w:val="both"/>
        <w:rPr>
          <w:rFonts w:ascii="Verdana" w:hAnsi="Verdana"/>
          <w:b/>
          <w:bCs/>
        </w:rPr>
      </w:pPr>
      <w:r w:rsidRPr="005C70D1">
        <w:rPr>
          <w:rFonts w:ascii="Verdana" w:eastAsia="Geomanist Light" w:hAnsi="Verdana" w:cs="Arial"/>
          <w:b/>
          <w:bCs/>
          <w:color w:val="000000" w:themeColor="text1"/>
        </w:rPr>
        <w:t xml:space="preserve">ENTIDADES DE ECONOMÍA SOLIDARIA – </w:t>
      </w:r>
      <w:r w:rsidR="001B3E25" w:rsidRPr="001B3E25">
        <w:rPr>
          <w:rFonts w:ascii="Verdana" w:hAnsi="Verdana"/>
          <w:b/>
          <w:bCs/>
        </w:rPr>
        <w:t>Asimilación a Mipymes – Cooperativas</w:t>
      </w:r>
      <w:r w:rsidR="001B3E25" w:rsidRPr="001B3E25">
        <w:rPr>
          <w:rFonts w:ascii="Verdana" w:hAnsi="Verdana"/>
          <w:b/>
          <w:bCs/>
          <w:spacing w:val="-10"/>
        </w:rPr>
        <w:t xml:space="preserve"> </w:t>
      </w:r>
      <w:r w:rsidR="001B3E25" w:rsidRPr="001B3E25">
        <w:rPr>
          <w:rFonts w:ascii="Verdana" w:hAnsi="Verdana"/>
          <w:b/>
          <w:bCs/>
        </w:rPr>
        <w:t>–</w:t>
      </w:r>
      <w:r w:rsidR="001B3E25" w:rsidRPr="001B3E25">
        <w:rPr>
          <w:rFonts w:ascii="Verdana" w:hAnsi="Verdana"/>
          <w:b/>
          <w:bCs/>
          <w:spacing w:val="-11"/>
        </w:rPr>
        <w:t xml:space="preserve"> </w:t>
      </w:r>
      <w:r w:rsidR="001B3E25" w:rsidRPr="001B3E25">
        <w:rPr>
          <w:rFonts w:ascii="Verdana" w:hAnsi="Verdana"/>
          <w:b/>
          <w:bCs/>
        </w:rPr>
        <w:t>Asociaciones</w:t>
      </w:r>
      <w:r w:rsidR="001B3E25" w:rsidRPr="001B3E25">
        <w:rPr>
          <w:rFonts w:ascii="Verdana" w:hAnsi="Verdana"/>
          <w:b/>
          <w:bCs/>
          <w:spacing w:val="-8"/>
        </w:rPr>
        <w:t xml:space="preserve"> </w:t>
      </w:r>
      <w:r w:rsidR="001B3E25" w:rsidRPr="001B3E25">
        <w:rPr>
          <w:rFonts w:ascii="Verdana" w:hAnsi="Verdana"/>
          <w:b/>
          <w:bCs/>
        </w:rPr>
        <w:t>mutualistas</w:t>
      </w:r>
      <w:r w:rsidR="001B3E25" w:rsidRPr="001B3E25">
        <w:rPr>
          <w:rFonts w:ascii="Verdana" w:hAnsi="Verdana"/>
          <w:b/>
          <w:bCs/>
          <w:spacing w:val="-10"/>
        </w:rPr>
        <w:t xml:space="preserve"> </w:t>
      </w:r>
      <w:r w:rsidR="001B3E25" w:rsidRPr="001B3E25">
        <w:rPr>
          <w:rFonts w:ascii="Verdana" w:hAnsi="Verdana"/>
          <w:b/>
          <w:bCs/>
        </w:rPr>
        <w:t>–</w:t>
      </w:r>
      <w:r w:rsidR="001B3E25" w:rsidRPr="001B3E25">
        <w:rPr>
          <w:rFonts w:ascii="Verdana" w:hAnsi="Verdana"/>
          <w:b/>
          <w:bCs/>
          <w:spacing w:val="-11"/>
        </w:rPr>
        <w:t xml:space="preserve"> </w:t>
      </w:r>
      <w:r w:rsidR="001B3E25" w:rsidRPr="001B3E25">
        <w:rPr>
          <w:rFonts w:ascii="Verdana" w:hAnsi="Verdana"/>
          <w:b/>
          <w:bCs/>
        </w:rPr>
        <w:t>Demás</w:t>
      </w:r>
      <w:r w:rsidR="001B3E25" w:rsidRPr="001B3E25">
        <w:rPr>
          <w:rFonts w:ascii="Verdana" w:hAnsi="Verdana"/>
          <w:b/>
          <w:bCs/>
          <w:spacing w:val="-11"/>
        </w:rPr>
        <w:t xml:space="preserve"> </w:t>
      </w:r>
      <w:r w:rsidR="001B3E25" w:rsidRPr="001B3E25">
        <w:rPr>
          <w:rFonts w:ascii="Verdana" w:hAnsi="Verdana"/>
          <w:b/>
          <w:bCs/>
        </w:rPr>
        <w:t>entidades</w:t>
      </w:r>
      <w:r w:rsidR="001B3E25" w:rsidRPr="001B3E25">
        <w:rPr>
          <w:rFonts w:ascii="Verdana" w:hAnsi="Verdana"/>
          <w:b/>
          <w:bCs/>
          <w:spacing w:val="-9"/>
        </w:rPr>
        <w:t xml:space="preserve"> </w:t>
      </w:r>
      <w:r w:rsidR="001B3E25" w:rsidRPr="001B3E25">
        <w:rPr>
          <w:rFonts w:ascii="Verdana" w:hAnsi="Verdana"/>
          <w:b/>
          <w:bCs/>
        </w:rPr>
        <w:t>de</w:t>
      </w:r>
      <w:r w:rsidR="001B3E25" w:rsidRPr="001B3E25">
        <w:rPr>
          <w:rFonts w:ascii="Verdana" w:hAnsi="Verdana"/>
          <w:b/>
          <w:bCs/>
          <w:spacing w:val="-58"/>
        </w:rPr>
        <w:t xml:space="preserve"> </w:t>
      </w:r>
      <w:r w:rsidR="001B3E25" w:rsidRPr="001B3E25">
        <w:rPr>
          <w:rFonts w:ascii="Verdana" w:hAnsi="Verdana"/>
          <w:b/>
          <w:bCs/>
        </w:rPr>
        <w:t>economía solidaria – Ley 2069 – Criterios diferenciales</w:t>
      </w:r>
    </w:p>
    <w:p w14:paraId="5C5EE4ED"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3F812F8A"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Ahora bien, el artículo 23 de la Ley 2069 de 2020, para efectos de la aplicación de su contenido, asimila las cooperativas y las </w:t>
      </w:r>
      <w:r w:rsidRPr="005C70D1">
        <w:rPr>
          <w:rFonts w:ascii="Verdana" w:eastAsia="Geomanist Light" w:hAnsi="Verdana" w:cs="Arial"/>
          <w:i/>
          <w:iCs/>
          <w:color w:val="000000" w:themeColor="text1"/>
          <w:sz w:val="20"/>
          <w:szCs w:val="20"/>
        </w:rPr>
        <w:t>demás entidades de economía solidaria</w:t>
      </w:r>
      <w:r w:rsidRPr="005C70D1">
        <w:rPr>
          <w:rFonts w:ascii="Verdana" w:eastAsia="Geomanist Light" w:hAnsi="Verdana" w:cs="Arial"/>
          <w:color w:val="000000" w:themeColor="text1"/>
          <w:sz w:val="20"/>
          <w:szCs w:val="20"/>
        </w:rPr>
        <w:t> a empresas –dentro de las cuales se encuentran las asociaciones mutualistas–, disponiendo, además, que estas deberán ser clasificadas como Mipymes, de conformidad con el artículo 2 de la Ley 590 de 2000 y el Decreto 957 de 2019, los cuales desarrollan la clasificación en las categorías micro, pequeña y mediana en función del tamaño empresarial. El principal efecto de esta norma es que, a las cooperativas, las asociaciones mutualistas y a las demás entidades de economía solidaria –al ser consideradas como Mipyme– les son aplicables las disposiciones alusivas a estas contenidas en la Ley 2069 de 2020.</w:t>
      </w:r>
    </w:p>
    <w:p w14:paraId="5A0999FF" w14:textId="77777777"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 </w:t>
      </w:r>
    </w:p>
    <w:p w14:paraId="3D65B5D0" w14:textId="19F76250" w:rsidR="005C70D1" w:rsidRPr="005C70D1" w:rsidRDefault="005C70D1" w:rsidP="005C70D1">
      <w:pPr>
        <w:spacing w:after="0" w:line="240" w:lineRule="auto"/>
        <w:jc w:val="both"/>
        <w:rPr>
          <w:rFonts w:ascii="Verdana" w:eastAsia="Geomanist Light" w:hAnsi="Verdana" w:cs="Arial"/>
          <w:color w:val="000000" w:themeColor="text1"/>
          <w:sz w:val="20"/>
          <w:szCs w:val="20"/>
        </w:rPr>
      </w:pPr>
      <w:r w:rsidRPr="005C70D1">
        <w:rPr>
          <w:rFonts w:ascii="Verdana" w:eastAsia="Geomanist Light" w:hAnsi="Verdana" w:cs="Arial"/>
          <w:color w:val="000000" w:themeColor="text1"/>
          <w:sz w:val="20"/>
          <w:szCs w:val="20"/>
        </w:rPr>
        <w:t>En ese sentido,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ser beneficiarias de los criterios diferenciales incorporados en el artículo 32 de la Ley 2069 de 2020 y regulados en el Decreto 1860 de 2021</w:t>
      </w:r>
      <w:r w:rsidR="00086CB3">
        <w:rPr>
          <w:rFonts w:ascii="Verdana" w:eastAsia="Geomanist Light" w:hAnsi="Verdana" w:cs="Arial"/>
          <w:color w:val="000000" w:themeColor="text1"/>
          <w:sz w:val="20"/>
          <w:szCs w:val="20"/>
        </w:rPr>
        <w:t>.</w:t>
      </w:r>
    </w:p>
    <w:p w14:paraId="421AA386" w14:textId="77777777" w:rsidR="005C70D1" w:rsidRPr="00B62479" w:rsidRDefault="005C70D1" w:rsidP="00B62479">
      <w:pPr>
        <w:spacing w:after="0" w:line="240" w:lineRule="auto"/>
        <w:jc w:val="both"/>
        <w:rPr>
          <w:rFonts w:ascii="Verdana" w:eastAsia="Geomanist Light" w:hAnsi="Verdana" w:cs="Arial"/>
          <w:color w:val="000000" w:themeColor="text1"/>
          <w:sz w:val="20"/>
          <w:szCs w:val="20"/>
        </w:rPr>
      </w:pPr>
    </w:p>
    <w:p w14:paraId="76718FEF" w14:textId="77777777" w:rsidR="00996E56" w:rsidRPr="00B62479" w:rsidRDefault="00996E56" w:rsidP="009A3015">
      <w:pPr>
        <w:spacing w:after="0" w:line="240" w:lineRule="auto"/>
        <w:rPr>
          <w:rFonts w:ascii="Verdana" w:eastAsia="Geomanist Light" w:hAnsi="Verdana" w:cs="Arial"/>
          <w:color w:val="000000" w:themeColor="text1"/>
        </w:rPr>
      </w:pPr>
    </w:p>
    <w:p w14:paraId="41A31141" w14:textId="77777777" w:rsidR="00996E56" w:rsidRDefault="00996E56" w:rsidP="009A3015">
      <w:pPr>
        <w:spacing w:after="0" w:line="240" w:lineRule="auto"/>
        <w:rPr>
          <w:rFonts w:ascii="Verdana" w:eastAsia="Geomanist Light" w:hAnsi="Verdana" w:cs="Arial"/>
          <w:color w:val="000000" w:themeColor="text1"/>
          <w:lang w:val="es-MX"/>
        </w:rPr>
      </w:pPr>
    </w:p>
    <w:p w14:paraId="6A1E531E" w14:textId="77777777" w:rsidR="00996E56" w:rsidRDefault="00996E56" w:rsidP="009A3015">
      <w:pPr>
        <w:spacing w:after="0" w:line="240" w:lineRule="auto"/>
        <w:rPr>
          <w:rFonts w:ascii="Verdana" w:eastAsia="Geomanist Light" w:hAnsi="Verdana" w:cs="Arial"/>
          <w:color w:val="000000" w:themeColor="text1"/>
          <w:lang w:val="es-MX"/>
        </w:rPr>
      </w:pPr>
    </w:p>
    <w:p w14:paraId="2A36D24F" w14:textId="77777777" w:rsidR="00996E56" w:rsidRDefault="00996E56" w:rsidP="009A3015">
      <w:pPr>
        <w:spacing w:after="0" w:line="240" w:lineRule="auto"/>
        <w:rPr>
          <w:rFonts w:ascii="Verdana" w:eastAsia="Geomanist Light" w:hAnsi="Verdana" w:cs="Arial"/>
          <w:color w:val="000000" w:themeColor="text1"/>
          <w:lang w:val="es-MX"/>
        </w:rPr>
      </w:pPr>
    </w:p>
    <w:p w14:paraId="68FDD56C" w14:textId="77777777" w:rsidR="00996E56" w:rsidRDefault="00996E56" w:rsidP="009A3015">
      <w:pPr>
        <w:spacing w:after="0" w:line="240" w:lineRule="auto"/>
        <w:rPr>
          <w:rFonts w:ascii="Verdana" w:eastAsia="Geomanist Light" w:hAnsi="Verdana" w:cs="Arial"/>
          <w:color w:val="000000" w:themeColor="text1"/>
          <w:lang w:val="es-MX"/>
        </w:rPr>
      </w:pPr>
    </w:p>
    <w:p w14:paraId="0A392A9F" w14:textId="77777777" w:rsidR="00996E56" w:rsidRDefault="00996E56" w:rsidP="009A3015">
      <w:pPr>
        <w:spacing w:after="0" w:line="240" w:lineRule="auto"/>
        <w:rPr>
          <w:rFonts w:ascii="Verdana" w:eastAsia="Geomanist Light" w:hAnsi="Verdana" w:cs="Arial"/>
          <w:color w:val="000000" w:themeColor="text1"/>
          <w:lang w:val="es-MX"/>
        </w:rPr>
      </w:pPr>
    </w:p>
    <w:p w14:paraId="7573ED61" w14:textId="77777777" w:rsidR="00996E56" w:rsidRDefault="00996E56" w:rsidP="009A3015">
      <w:pPr>
        <w:spacing w:after="0" w:line="240" w:lineRule="auto"/>
        <w:rPr>
          <w:rFonts w:ascii="Verdana" w:eastAsia="Geomanist Light" w:hAnsi="Verdana" w:cs="Arial"/>
          <w:color w:val="000000" w:themeColor="text1"/>
          <w:lang w:val="es-MX"/>
        </w:rPr>
      </w:pPr>
    </w:p>
    <w:p w14:paraId="2A6466F5" w14:textId="77777777" w:rsidR="00996E56" w:rsidRDefault="00996E56" w:rsidP="009A3015">
      <w:pPr>
        <w:spacing w:after="0" w:line="240" w:lineRule="auto"/>
        <w:rPr>
          <w:rFonts w:ascii="Verdana" w:eastAsia="Geomanist Light" w:hAnsi="Verdana" w:cs="Arial"/>
          <w:color w:val="000000" w:themeColor="text1"/>
          <w:lang w:val="es-MX"/>
        </w:rPr>
      </w:pPr>
    </w:p>
    <w:p w14:paraId="557D8682" w14:textId="77777777" w:rsidR="00996E56" w:rsidRDefault="00996E56" w:rsidP="009A3015">
      <w:pPr>
        <w:spacing w:after="0" w:line="240" w:lineRule="auto"/>
        <w:rPr>
          <w:rFonts w:ascii="Verdana" w:eastAsia="Geomanist Light" w:hAnsi="Verdana" w:cs="Arial"/>
          <w:color w:val="000000" w:themeColor="text1"/>
          <w:lang w:val="es-MX"/>
        </w:rPr>
      </w:pPr>
    </w:p>
    <w:p w14:paraId="08D9E9FD" w14:textId="77777777" w:rsidR="00996E56" w:rsidRDefault="00996E56" w:rsidP="009A3015">
      <w:pPr>
        <w:spacing w:after="0" w:line="240" w:lineRule="auto"/>
        <w:rPr>
          <w:rFonts w:ascii="Verdana" w:eastAsia="Geomanist Light" w:hAnsi="Verdana" w:cs="Arial"/>
          <w:color w:val="000000" w:themeColor="text1"/>
          <w:lang w:val="es-MX"/>
        </w:rPr>
      </w:pPr>
    </w:p>
    <w:p w14:paraId="45B4D4EE" w14:textId="77777777" w:rsidR="00086CB3" w:rsidRDefault="00086CB3" w:rsidP="009A3015">
      <w:pPr>
        <w:spacing w:after="0" w:line="240" w:lineRule="auto"/>
        <w:rPr>
          <w:rFonts w:ascii="Verdana" w:eastAsia="Geomanist Light" w:hAnsi="Verdana" w:cs="Arial"/>
          <w:color w:val="000000" w:themeColor="text1"/>
          <w:lang w:val="es-MX"/>
        </w:rPr>
      </w:pPr>
    </w:p>
    <w:p w14:paraId="2AB5E3F7" w14:textId="77777777" w:rsidR="00996E56" w:rsidRDefault="00996E56" w:rsidP="009A3015">
      <w:pPr>
        <w:spacing w:after="0" w:line="240" w:lineRule="auto"/>
        <w:rPr>
          <w:rFonts w:ascii="Verdana" w:eastAsia="Geomanist Light" w:hAnsi="Verdana" w:cs="Arial"/>
          <w:color w:val="000000" w:themeColor="text1"/>
          <w:lang w:val="es-MX"/>
        </w:rPr>
      </w:pPr>
    </w:p>
    <w:p w14:paraId="11013BE3" w14:textId="77777777" w:rsidR="00996E56" w:rsidRDefault="00996E56" w:rsidP="009A3015">
      <w:pPr>
        <w:spacing w:after="0" w:line="240" w:lineRule="auto"/>
        <w:rPr>
          <w:rFonts w:ascii="Verdana" w:eastAsia="Geomanist Light" w:hAnsi="Verdana" w:cs="Arial"/>
          <w:color w:val="000000" w:themeColor="text1"/>
          <w:lang w:val="es-MX"/>
        </w:rPr>
      </w:pPr>
    </w:p>
    <w:p w14:paraId="337D6A58" w14:textId="77777777" w:rsidR="00996E56" w:rsidRDefault="00996E56" w:rsidP="009A3015">
      <w:pPr>
        <w:spacing w:after="0" w:line="240" w:lineRule="auto"/>
        <w:rPr>
          <w:rFonts w:ascii="Verdana" w:eastAsia="Geomanist Light" w:hAnsi="Verdana" w:cs="Arial"/>
          <w:color w:val="000000" w:themeColor="text1"/>
          <w:lang w:val="es-MX"/>
        </w:rPr>
      </w:pPr>
    </w:p>
    <w:p w14:paraId="25919570" w14:textId="77777777" w:rsidR="00B53948" w:rsidRDefault="00B53948" w:rsidP="009A3015">
      <w:pPr>
        <w:spacing w:after="0" w:line="240" w:lineRule="auto"/>
        <w:rPr>
          <w:rFonts w:ascii="Verdana" w:eastAsia="Geomanist Light" w:hAnsi="Verdana" w:cs="Arial"/>
          <w:color w:val="000000" w:themeColor="text1"/>
          <w:lang w:val="es-MX"/>
        </w:rPr>
      </w:pPr>
    </w:p>
    <w:p w14:paraId="7FDB483D" w14:textId="77777777" w:rsidR="00B53948" w:rsidRDefault="00B53948" w:rsidP="009A3015">
      <w:pPr>
        <w:spacing w:after="0" w:line="240" w:lineRule="auto"/>
        <w:rPr>
          <w:rFonts w:ascii="Verdana" w:eastAsia="Geomanist Light" w:hAnsi="Verdana" w:cs="Arial"/>
          <w:color w:val="000000" w:themeColor="text1"/>
          <w:lang w:val="es-MX"/>
        </w:rPr>
      </w:pPr>
    </w:p>
    <w:p w14:paraId="4AD498D5" w14:textId="77777777" w:rsidR="00A648A7" w:rsidRDefault="00A648A7" w:rsidP="006A7411">
      <w:pPr>
        <w:spacing w:after="0" w:line="240" w:lineRule="auto"/>
        <w:rPr>
          <w:rFonts w:ascii="Verdana" w:eastAsia="Geomanist Light" w:hAnsi="Verdana" w:cs="Arial"/>
          <w:color w:val="000000" w:themeColor="text1"/>
          <w:lang w:val="es-MX"/>
        </w:rPr>
      </w:pPr>
    </w:p>
    <w:p w14:paraId="7D6854C0" w14:textId="79263BE4" w:rsidR="006A7411" w:rsidRPr="00231A90" w:rsidRDefault="006A7411" w:rsidP="006A7411">
      <w:pPr>
        <w:spacing w:after="0" w:line="240" w:lineRule="auto"/>
        <w:rPr>
          <w:rFonts w:ascii="Verdana" w:eastAsia="Geomanist Light" w:hAnsi="Verdana" w:cs="Arial"/>
          <w:color w:val="000000" w:themeColor="text1"/>
          <w:lang w:val="es-MX"/>
        </w:rPr>
      </w:pPr>
      <w:r w:rsidRPr="00231A90">
        <w:rPr>
          <w:rFonts w:ascii="Verdana" w:eastAsia="Geomanist Light" w:hAnsi="Verdana" w:cs="Arial"/>
          <w:color w:val="000000" w:themeColor="text1"/>
          <w:lang w:val="es-MX"/>
        </w:rPr>
        <w:lastRenderedPageBreak/>
        <w:t>Bogotá D.C., [Día] de [</w:t>
      </w:r>
      <w:proofErr w:type="spellStart"/>
      <w:r w:rsidRPr="00231A90">
        <w:rPr>
          <w:rFonts w:ascii="Verdana" w:eastAsia="Geomanist Light" w:hAnsi="Verdana" w:cs="Arial"/>
          <w:color w:val="000000" w:themeColor="text1"/>
          <w:lang w:val="es-MX"/>
        </w:rPr>
        <w:t>Mes.NombreCapitalizado</w:t>
      </w:r>
      <w:proofErr w:type="spellEnd"/>
      <w:r w:rsidRPr="00231A90">
        <w:rPr>
          <w:rFonts w:ascii="Verdana" w:eastAsia="Geomanist Light" w:hAnsi="Verdana" w:cs="Arial"/>
          <w:color w:val="000000" w:themeColor="text1"/>
          <w:lang w:val="es-MX"/>
        </w:rPr>
        <w:t>] de [Año]</w:t>
      </w:r>
    </w:p>
    <w:p w14:paraId="268850EC" w14:textId="77777777" w:rsidR="006A7411" w:rsidRDefault="006A7411" w:rsidP="006A7411">
      <w:pPr>
        <w:spacing w:after="0" w:line="240" w:lineRule="auto"/>
        <w:jc w:val="both"/>
        <w:rPr>
          <w:rFonts w:ascii="Verdana" w:eastAsia="Calibri" w:hAnsi="Verdana" w:cs="Arial"/>
          <w:color w:val="000000" w:themeColor="text1"/>
          <w:lang w:val="es-ES" w:eastAsia="es-ES"/>
        </w:rPr>
      </w:pPr>
    </w:p>
    <w:p w14:paraId="6F525F75" w14:textId="3FD86191" w:rsidR="00466497" w:rsidRDefault="00860937" w:rsidP="00860937">
      <w:pPr>
        <w:spacing w:after="0" w:line="240" w:lineRule="auto"/>
        <w:jc w:val="right"/>
        <w:rPr>
          <w:rFonts w:ascii="Verdana" w:eastAsia="Calibri" w:hAnsi="Verdana" w:cs="Arial"/>
          <w:color w:val="000000" w:themeColor="text1"/>
          <w:lang w:val="es-ES" w:eastAsia="es-ES"/>
        </w:rPr>
      </w:pPr>
      <w:r w:rsidRPr="00860937">
        <w:rPr>
          <w:rFonts w:ascii="Verdana" w:eastAsia="Calibri" w:hAnsi="Verdana" w:cs="Arial"/>
          <w:color w:val="000000" w:themeColor="text1"/>
          <w:lang w:val="es-ES" w:eastAsia="es-ES"/>
        </w:rPr>
        <w:drawing>
          <wp:inline distT="0" distB="0" distL="0" distR="0" wp14:anchorId="6B23BD5B" wp14:editId="32629708">
            <wp:extent cx="3600450" cy="1023753"/>
            <wp:effectExtent l="0" t="0" r="0" b="5080"/>
            <wp:docPr id="1170685438"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85438" name="Imagen 1" descr="Interfaz de usuario gráfica, Texto, Aplicación&#10;&#10;El contenido generado por IA puede ser incorrecto."/>
                    <pic:cNvPicPr/>
                  </pic:nvPicPr>
                  <pic:blipFill>
                    <a:blip r:embed="rId11"/>
                    <a:stretch>
                      <a:fillRect/>
                    </a:stretch>
                  </pic:blipFill>
                  <pic:spPr>
                    <a:xfrm>
                      <a:off x="0" y="0"/>
                      <a:ext cx="3609757" cy="1026399"/>
                    </a:xfrm>
                    <a:prstGeom prst="rect">
                      <a:avLst/>
                    </a:prstGeom>
                  </pic:spPr>
                </pic:pic>
              </a:graphicData>
            </a:graphic>
          </wp:inline>
        </w:drawing>
      </w:r>
    </w:p>
    <w:p w14:paraId="56953B49" w14:textId="77777777" w:rsidR="006A7411" w:rsidRDefault="006A7411" w:rsidP="006A7411">
      <w:pPr>
        <w:spacing w:after="0" w:line="240" w:lineRule="auto"/>
        <w:jc w:val="both"/>
        <w:rPr>
          <w:rFonts w:ascii="Verdana" w:eastAsia="Calibri" w:hAnsi="Verdana" w:cs="Arial"/>
          <w:color w:val="000000" w:themeColor="text1"/>
          <w:lang w:val="es-ES" w:eastAsia="es-ES"/>
        </w:rPr>
      </w:pPr>
    </w:p>
    <w:p w14:paraId="36103949" w14:textId="77777777" w:rsidR="006A7411" w:rsidRPr="00231A90" w:rsidRDefault="006A7411" w:rsidP="006A7411">
      <w:pPr>
        <w:spacing w:after="0" w:line="240"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 Ciudadano(a)</w:t>
      </w:r>
    </w:p>
    <w:p w14:paraId="2772703A" w14:textId="77777777" w:rsidR="006A7411" w:rsidRPr="00231A90" w:rsidRDefault="006A7411" w:rsidP="006A7411">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Anónimo</w:t>
      </w:r>
    </w:p>
    <w:p w14:paraId="6C481837" w14:textId="77777777" w:rsidR="006A7411" w:rsidRPr="00AF1A17" w:rsidRDefault="006A7411" w:rsidP="006A7411">
      <w:pPr>
        <w:spacing w:after="0" w:line="240" w:lineRule="auto"/>
        <w:rPr>
          <w:rFonts w:ascii="Verdana" w:eastAsia="Calibri" w:hAnsi="Verdana" w:cs="Arial"/>
          <w:color w:val="000000" w:themeColor="text1"/>
          <w:lang w:val="es-ES" w:eastAsia="es-ES"/>
        </w:rPr>
      </w:pPr>
      <w:hyperlink r:id="rId12" w:history="1">
        <w:r w:rsidRPr="00AF1A17">
          <w:rPr>
            <w:rStyle w:val="Hipervnculo"/>
            <w:rFonts w:ascii="Verdana" w:eastAsia="Calibri" w:hAnsi="Verdana" w:cs="Arial"/>
            <w:lang w:val="es-ES" w:eastAsia="es-ES"/>
          </w:rPr>
          <w:t>animo17072024@gmail.co</w:t>
        </w:r>
        <w:r w:rsidRPr="00AF1A17">
          <w:rPr>
            <w:rStyle w:val="Hipervnculo"/>
            <w:rFonts w:ascii="Verdana" w:hAnsi="Verdana"/>
          </w:rPr>
          <w:t>m</w:t>
        </w:r>
      </w:hyperlink>
      <w:r w:rsidRPr="00AF1A17">
        <w:rPr>
          <w:rFonts w:ascii="Verdana" w:hAnsi="Verdana"/>
        </w:rPr>
        <w:t xml:space="preserve">  </w:t>
      </w:r>
    </w:p>
    <w:p w14:paraId="24D5EA32" w14:textId="77777777" w:rsidR="006A7411" w:rsidRPr="00231A90" w:rsidRDefault="006A7411" w:rsidP="006A7411">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Bogotá, D.C.</w:t>
      </w:r>
    </w:p>
    <w:p w14:paraId="3D864F83" w14:textId="77777777" w:rsidR="006A7411" w:rsidRPr="00231A90" w:rsidRDefault="006A7411" w:rsidP="006A7411">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7411" w:rsidRPr="00231A90" w14:paraId="6D34E93B" w14:textId="77777777" w:rsidTr="00DC099B">
        <w:trPr>
          <w:trHeight w:val="360"/>
        </w:trPr>
        <w:tc>
          <w:tcPr>
            <w:tcW w:w="2689" w:type="dxa"/>
          </w:tcPr>
          <w:p w14:paraId="64A53C24" w14:textId="77777777" w:rsidR="006A7411" w:rsidRPr="00231A90" w:rsidRDefault="006A7411" w:rsidP="00DC099B">
            <w:pPr>
              <w:jc w:val="both"/>
              <w:rPr>
                <w:rFonts w:ascii="Verdana" w:eastAsia="Calibri" w:hAnsi="Verdana" w:cs="Arial"/>
                <w:b/>
                <w:bCs/>
                <w:color w:val="000000" w:themeColor="text1"/>
                <w:lang w:val="es-ES_tradnl" w:eastAsia="es-ES_tradnl"/>
              </w:rPr>
            </w:pPr>
          </w:p>
        </w:tc>
        <w:tc>
          <w:tcPr>
            <w:tcW w:w="6100" w:type="dxa"/>
          </w:tcPr>
          <w:p w14:paraId="32010BF8" w14:textId="77777777" w:rsidR="006A7411" w:rsidRPr="00231A90" w:rsidRDefault="006A7411" w:rsidP="00DC099B">
            <w:pPr>
              <w:jc w:val="both"/>
              <w:rPr>
                <w:rFonts w:ascii="Verdana" w:eastAsia="Calibri" w:hAnsi="Verdana" w:cs="Arial"/>
                <w:b/>
                <w:bCs/>
                <w:color w:val="000000" w:themeColor="text1"/>
                <w:lang w:val="es-ES" w:eastAsia="es-ES"/>
              </w:rPr>
            </w:pPr>
            <w:r w:rsidRPr="00231A90">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081</w:t>
            </w:r>
            <w:r w:rsidRPr="00231A90">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6A7411" w:rsidRPr="00231A90" w14:paraId="16416C98" w14:textId="77777777" w:rsidTr="00DC099B">
        <w:trPr>
          <w:trHeight w:val="2122"/>
        </w:trPr>
        <w:tc>
          <w:tcPr>
            <w:tcW w:w="2689" w:type="dxa"/>
          </w:tcPr>
          <w:p w14:paraId="21E468DB" w14:textId="77777777" w:rsidR="006A7411" w:rsidRPr="00AE0B32" w:rsidRDefault="006A7411" w:rsidP="00DC099B">
            <w:pPr>
              <w:jc w:val="both"/>
              <w:rPr>
                <w:rFonts w:ascii="Verdana" w:eastAsia="Calibri" w:hAnsi="Verdana" w:cs="Arial"/>
                <w:color w:val="000000" w:themeColor="text1"/>
                <w:lang w:val="es-ES_tradnl" w:eastAsia="es-ES_tradnl"/>
              </w:rPr>
            </w:pPr>
            <w:r w:rsidRPr="00AE0B32">
              <w:rPr>
                <w:rFonts w:ascii="Verdana" w:eastAsia="Calibri" w:hAnsi="Verdana" w:cs="Arial"/>
                <w:b/>
                <w:color w:val="000000" w:themeColor="text1"/>
                <w:lang w:val="es-ES_tradnl" w:eastAsia="es-ES_tradnl"/>
              </w:rPr>
              <w:t>Temas:</w:t>
            </w:r>
            <w:r w:rsidRPr="00AE0B32">
              <w:rPr>
                <w:rFonts w:ascii="Verdana" w:eastAsia="Calibri" w:hAnsi="Verdana" w:cs="Arial"/>
                <w:color w:val="000000" w:themeColor="text1"/>
                <w:lang w:val="es-ES_tradnl" w:eastAsia="es-ES_tradnl"/>
              </w:rPr>
              <w:t xml:space="preserve">                   </w:t>
            </w:r>
          </w:p>
        </w:tc>
        <w:tc>
          <w:tcPr>
            <w:tcW w:w="6100" w:type="dxa"/>
          </w:tcPr>
          <w:p w14:paraId="52976D1A" w14:textId="77777777" w:rsidR="006A7411" w:rsidRPr="00AE0B32" w:rsidRDefault="006A7411" w:rsidP="00DC099B">
            <w:pPr>
              <w:contextualSpacing/>
              <w:jc w:val="both"/>
              <w:rPr>
                <w:rFonts w:ascii="Verdana" w:eastAsia="Calibri" w:hAnsi="Verdana" w:cs="Arial"/>
                <w:color w:val="000000" w:themeColor="text1"/>
                <w:lang w:eastAsia="es-ES"/>
              </w:rPr>
            </w:pPr>
            <w:r w:rsidRPr="00AE0B32">
              <w:rPr>
                <w:rFonts w:ascii="Verdana" w:hAnsi="Verdana"/>
              </w:rPr>
              <w:t>MIPYMES</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Definición</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ESAL</w:t>
            </w:r>
            <w:r w:rsidRPr="00AE0B32">
              <w:rPr>
                <w:rFonts w:ascii="Verdana" w:hAnsi="Verdana"/>
                <w:spacing w:val="-13"/>
              </w:rPr>
              <w:t xml:space="preserve"> </w:t>
            </w:r>
            <w:r w:rsidRPr="00AE0B32">
              <w:rPr>
                <w:rFonts w:ascii="Verdana" w:hAnsi="Verdana"/>
              </w:rPr>
              <w:t>–</w:t>
            </w:r>
            <w:r w:rsidRPr="00AE0B32">
              <w:rPr>
                <w:rFonts w:ascii="Verdana" w:hAnsi="Verdana"/>
                <w:spacing w:val="-12"/>
              </w:rPr>
              <w:t xml:space="preserve"> </w:t>
            </w:r>
            <w:r w:rsidRPr="00AE0B32">
              <w:rPr>
                <w:rFonts w:ascii="Verdana" w:hAnsi="Verdana"/>
              </w:rPr>
              <w:t>Naturaleza</w:t>
            </w:r>
            <w:r w:rsidRPr="00AE0B32">
              <w:rPr>
                <w:rFonts w:ascii="Verdana" w:hAnsi="Verdana"/>
                <w:spacing w:val="-13"/>
              </w:rPr>
              <w:t xml:space="preserve"> </w:t>
            </w:r>
            <w:r w:rsidRPr="00AE0B32">
              <w:rPr>
                <w:rFonts w:ascii="Verdana" w:hAnsi="Verdana"/>
              </w:rPr>
              <w:t>–</w:t>
            </w:r>
            <w:r w:rsidRPr="00AE0B32">
              <w:rPr>
                <w:rFonts w:ascii="Verdana" w:hAnsi="Verdana"/>
                <w:spacing w:val="-13"/>
              </w:rPr>
              <w:t xml:space="preserve"> </w:t>
            </w:r>
            <w:r w:rsidRPr="00AE0B32">
              <w:rPr>
                <w:rFonts w:ascii="Verdana" w:hAnsi="Verdana"/>
              </w:rPr>
              <w:t>Sin</w:t>
            </w:r>
            <w:r w:rsidRPr="00AE0B32">
              <w:rPr>
                <w:rFonts w:ascii="Verdana" w:hAnsi="Verdana"/>
                <w:spacing w:val="-13"/>
              </w:rPr>
              <w:t xml:space="preserve"> </w:t>
            </w:r>
            <w:r w:rsidRPr="00AE0B32">
              <w:rPr>
                <w:rFonts w:ascii="Verdana" w:hAnsi="Verdana"/>
              </w:rPr>
              <w:t>ánimo</w:t>
            </w:r>
            <w:r w:rsidRPr="00AE0B32">
              <w:rPr>
                <w:rFonts w:ascii="Verdana" w:hAnsi="Verdana"/>
                <w:spacing w:val="-13"/>
              </w:rPr>
              <w:t xml:space="preserve"> </w:t>
            </w:r>
            <w:r w:rsidRPr="00AE0B32">
              <w:rPr>
                <w:rFonts w:ascii="Verdana" w:hAnsi="Verdana"/>
              </w:rPr>
              <w:t>de</w:t>
            </w:r>
            <w:r w:rsidRPr="00AE0B32">
              <w:rPr>
                <w:rFonts w:ascii="Verdana" w:hAnsi="Verdana"/>
                <w:spacing w:val="-13"/>
              </w:rPr>
              <w:t xml:space="preserve"> </w:t>
            </w:r>
            <w:r w:rsidRPr="00AE0B32">
              <w:rPr>
                <w:rFonts w:ascii="Verdana" w:hAnsi="Verdana"/>
              </w:rPr>
              <w:t>lucro / ESAL –</w:t>
            </w:r>
            <w:r w:rsidRPr="00AE0B32">
              <w:rPr>
                <w:rFonts w:ascii="Verdana" w:hAnsi="Verdana"/>
                <w:spacing w:val="37"/>
              </w:rPr>
              <w:t xml:space="preserve"> </w:t>
            </w:r>
            <w:proofErr w:type="spellStart"/>
            <w:r w:rsidRPr="00AE0B32">
              <w:rPr>
                <w:rFonts w:ascii="Verdana" w:hAnsi="Verdana"/>
              </w:rPr>
              <w:t>Mipymes</w:t>
            </w:r>
            <w:proofErr w:type="spellEnd"/>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Reparto</w:t>
            </w:r>
            <w:r w:rsidRPr="00AE0B32">
              <w:rPr>
                <w:rFonts w:ascii="Verdana" w:hAnsi="Verdana"/>
                <w:spacing w:val="37"/>
              </w:rPr>
              <w:t xml:space="preserve"> </w:t>
            </w:r>
            <w:r w:rsidRPr="00AE0B32">
              <w:rPr>
                <w:rFonts w:ascii="Verdana" w:hAnsi="Verdana"/>
              </w:rPr>
              <w:t>de</w:t>
            </w:r>
            <w:r w:rsidRPr="00AE0B32">
              <w:rPr>
                <w:rFonts w:ascii="Verdana" w:hAnsi="Verdana"/>
                <w:spacing w:val="37"/>
              </w:rPr>
              <w:t xml:space="preserve"> </w:t>
            </w:r>
            <w:r w:rsidRPr="00AE0B32">
              <w:rPr>
                <w:rFonts w:ascii="Verdana" w:hAnsi="Verdana"/>
              </w:rPr>
              <w:t>utilidades</w:t>
            </w:r>
            <w:r w:rsidRPr="00AE0B32">
              <w:rPr>
                <w:rFonts w:ascii="Verdana" w:hAnsi="Verdana"/>
                <w:spacing w:val="37"/>
              </w:rPr>
              <w:t xml:space="preserve"> </w:t>
            </w:r>
            <w:r w:rsidRPr="00AE0B32">
              <w:rPr>
                <w:rFonts w:ascii="Verdana" w:hAnsi="Verdana"/>
              </w:rPr>
              <w:t>–</w:t>
            </w:r>
            <w:r w:rsidRPr="00AE0B32">
              <w:rPr>
                <w:rFonts w:ascii="Verdana" w:hAnsi="Verdana"/>
                <w:spacing w:val="37"/>
              </w:rPr>
              <w:t xml:space="preserve"> </w:t>
            </w:r>
            <w:r w:rsidRPr="00AE0B32">
              <w:rPr>
                <w:rFonts w:ascii="Verdana" w:hAnsi="Verdana"/>
              </w:rPr>
              <w:t>Distinción</w:t>
            </w:r>
            <w:r w:rsidRPr="00AE0B32">
              <w:rPr>
                <w:rFonts w:ascii="Verdana" w:hAnsi="Verdana"/>
                <w:spacing w:val="37"/>
              </w:rPr>
              <w:t xml:space="preserve"> </w:t>
            </w:r>
            <w:r w:rsidRPr="00AE0B32">
              <w:rPr>
                <w:rFonts w:ascii="Verdana" w:hAnsi="Verdana"/>
              </w:rPr>
              <w:t>/</w:t>
            </w:r>
            <w:r w:rsidRPr="00AE0B32">
              <w:rPr>
                <w:rFonts w:ascii="Verdana" w:hAnsi="Verdana"/>
                <w:spacing w:val="-59"/>
              </w:rPr>
              <w:t xml:space="preserve">   </w:t>
            </w:r>
            <w:r w:rsidRPr="00AE0B32">
              <w:rPr>
                <w:rFonts w:ascii="Verdana" w:hAnsi="Verdana"/>
              </w:rPr>
              <w:t xml:space="preserve">DECRETO 1860 DE 2021 – Criterios diferenciales – </w:t>
            </w:r>
            <w:proofErr w:type="spellStart"/>
            <w:r w:rsidRPr="00AE0B32">
              <w:rPr>
                <w:rFonts w:ascii="Verdana" w:hAnsi="Verdana"/>
              </w:rPr>
              <w:t>Mipymes</w:t>
            </w:r>
            <w:proofErr w:type="spellEnd"/>
            <w:r w:rsidRPr="00AE0B32">
              <w:rPr>
                <w:rFonts w:ascii="Verdana" w:hAnsi="Verdana"/>
              </w:rPr>
              <w:t xml:space="preserve"> /</w:t>
            </w:r>
            <w:r w:rsidRPr="00AE0B32">
              <w:rPr>
                <w:rFonts w:ascii="Verdana" w:hAnsi="Verdana"/>
                <w:spacing w:val="1"/>
              </w:rPr>
              <w:t xml:space="preserve"> </w:t>
            </w:r>
            <w:r w:rsidRPr="00AE0B32">
              <w:rPr>
                <w:rFonts w:ascii="Verdana" w:hAnsi="Verdana"/>
              </w:rPr>
              <w:t>ENTIDADES</w:t>
            </w:r>
            <w:r w:rsidRPr="00AE0B32">
              <w:rPr>
                <w:rFonts w:ascii="Verdana" w:hAnsi="Verdana"/>
                <w:spacing w:val="14"/>
              </w:rPr>
              <w:t xml:space="preserve"> </w:t>
            </w:r>
            <w:r w:rsidRPr="00AE0B32">
              <w:rPr>
                <w:rFonts w:ascii="Verdana" w:hAnsi="Verdana"/>
              </w:rPr>
              <w:t>DE ECONOMÍA SOLIDARIA</w:t>
            </w:r>
            <w:r w:rsidRPr="00AE0B32">
              <w:rPr>
                <w:rFonts w:ascii="Verdana" w:hAnsi="Verdana"/>
              </w:rPr>
              <w:tab/>
              <w:t>–</w:t>
            </w:r>
            <w:r w:rsidRPr="00AE0B32">
              <w:rPr>
                <w:rFonts w:ascii="Verdana" w:hAnsi="Verdana"/>
              </w:rPr>
              <w:tab/>
              <w:t xml:space="preserve">Asimilación a </w:t>
            </w:r>
            <w:proofErr w:type="spellStart"/>
            <w:r w:rsidRPr="00AE0B32">
              <w:rPr>
                <w:rFonts w:ascii="Verdana" w:hAnsi="Verdana"/>
              </w:rPr>
              <w:t>Mipymes</w:t>
            </w:r>
            <w:proofErr w:type="spellEnd"/>
            <w:r w:rsidRPr="00AE0B32">
              <w:rPr>
                <w:rFonts w:ascii="Verdana" w:hAnsi="Verdana"/>
              </w:rPr>
              <w:t xml:space="preserve"> – Cooperativas</w:t>
            </w:r>
            <w:r w:rsidRPr="00AE0B32">
              <w:rPr>
                <w:rFonts w:ascii="Verdana" w:hAnsi="Verdana"/>
                <w:spacing w:val="-10"/>
              </w:rPr>
              <w:t xml:space="preserve"> </w:t>
            </w:r>
            <w:r w:rsidRPr="00AE0B32">
              <w:rPr>
                <w:rFonts w:ascii="Verdana" w:hAnsi="Verdana"/>
              </w:rPr>
              <w:t>–</w:t>
            </w:r>
            <w:r w:rsidRPr="00AE0B32">
              <w:rPr>
                <w:rFonts w:ascii="Verdana" w:hAnsi="Verdana"/>
                <w:spacing w:val="-11"/>
              </w:rPr>
              <w:t xml:space="preserve"> </w:t>
            </w:r>
            <w:r w:rsidRPr="00AE0B32">
              <w:rPr>
                <w:rFonts w:ascii="Verdana" w:hAnsi="Verdana"/>
              </w:rPr>
              <w:t>Asociaciones</w:t>
            </w:r>
            <w:r w:rsidRPr="00AE0B32">
              <w:rPr>
                <w:rFonts w:ascii="Verdana" w:hAnsi="Verdana"/>
                <w:spacing w:val="-8"/>
              </w:rPr>
              <w:t xml:space="preserve"> </w:t>
            </w:r>
            <w:r w:rsidRPr="00AE0B32">
              <w:rPr>
                <w:rFonts w:ascii="Verdana" w:hAnsi="Verdana"/>
              </w:rPr>
              <w:t>mutualistas</w:t>
            </w:r>
            <w:r w:rsidRPr="00AE0B32">
              <w:rPr>
                <w:rFonts w:ascii="Verdana" w:hAnsi="Verdana"/>
                <w:spacing w:val="-10"/>
              </w:rPr>
              <w:t xml:space="preserve"> </w:t>
            </w:r>
            <w:r w:rsidRPr="00AE0B32">
              <w:rPr>
                <w:rFonts w:ascii="Verdana" w:hAnsi="Verdana"/>
              </w:rPr>
              <w:t>–</w:t>
            </w:r>
            <w:r w:rsidRPr="00AE0B32">
              <w:rPr>
                <w:rFonts w:ascii="Verdana" w:hAnsi="Verdana"/>
                <w:spacing w:val="-11"/>
              </w:rPr>
              <w:t xml:space="preserve"> </w:t>
            </w:r>
            <w:r w:rsidRPr="00AE0B32">
              <w:rPr>
                <w:rFonts w:ascii="Verdana" w:hAnsi="Verdana"/>
              </w:rPr>
              <w:t>Demás</w:t>
            </w:r>
            <w:r w:rsidRPr="00AE0B32">
              <w:rPr>
                <w:rFonts w:ascii="Verdana" w:hAnsi="Verdana"/>
                <w:spacing w:val="-11"/>
              </w:rPr>
              <w:t xml:space="preserve"> </w:t>
            </w:r>
            <w:r w:rsidRPr="00AE0B32">
              <w:rPr>
                <w:rFonts w:ascii="Verdana" w:hAnsi="Verdana"/>
              </w:rPr>
              <w:t>entidades</w:t>
            </w:r>
            <w:r w:rsidRPr="00AE0B32">
              <w:rPr>
                <w:rFonts w:ascii="Verdana" w:hAnsi="Verdana"/>
                <w:spacing w:val="-9"/>
              </w:rPr>
              <w:t xml:space="preserve"> </w:t>
            </w:r>
            <w:r w:rsidRPr="00AE0B32">
              <w:rPr>
                <w:rFonts w:ascii="Verdana" w:hAnsi="Verdana"/>
              </w:rPr>
              <w:t>de</w:t>
            </w:r>
            <w:r w:rsidRPr="00AE0B32">
              <w:rPr>
                <w:rFonts w:ascii="Verdana" w:hAnsi="Verdana"/>
                <w:spacing w:val="-58"/>
              </w:rPr>
              <w:t xml:space="preserve"> </w:t>
            </w:r>
            <w:r w:rsidRPr="00AE0B32">
              <w:rPr>
                <w:rFonts w:ascii="Verdana" w:hAnsi="Verdana"/>
              </w:rPr>
              <w:t>economía solidaria – Ley 2069 – Criterios diferenciales</w:t>
            </w:r>
          </w:p>
        </w:tc>
      </w:tr>
      <w:tr w:rsidR="006A7411" w:rsidRPr="00231A90" w14:paraId="0060E3FB" w14:textId="77777777" w:rsidTr="00DC099B">
        <w:tc>
          <w:tcPr>
            <w:tcW w:w="2689" w:type="dxa"/>
          </w:tcPr>
          <w:p w14:paraId="66EFB724" w14:textId="77777777" w:rsidR="006A7411" w:rsidRPr="00231A90" w:rsidRDefault="006A7411" w:rsidP="00DC099B">
            <w:pPr>
              <w:jc w:val="both"/>
              <w:rPr>
                <w:rFonts w:ascii="Verdana" w:eastAsia="Calibri" w:hAnsi="Verdana" w:cs="Arial"/>
                <w:b/>
                <w:color w:val="000000" w:themeColor="text1"/>
                <w:lang w:val="es-ES_tradnl" w:eastAsia="es-ES_tradnl"/>
              </w:rPr>
            </w:pPr>
            <w:r w:rsidRPr="00231A90">
              <w:rPr>
                <w:rFonts w:ascii="Verdana" w:eastAsia="Calibri" w:hAnsi="Verdana" w:cs="Arial"/>
                <w:b/>
                <w:color w:val="000000" w:themeColor="text1"/>
                <w:lang w:val="es-ES_tradnl" w:eastAsia="es-ES_tradnl"/>
              </w:rPr>
              <w:t>Radicación:</w:t>
            </w:r>
            <w:r w:rsidRPr="00231A90">
              <w:rPr>
                <w:rFonts w:ascii="Verdana" w:eastAsia="Calibri" w:hAnsi="Verdana" w:cs="Arial"/>
                <w:color w:val="000000" w:themeColor="text1"/>
                <w:lang w:val="es-ES_tradnl" w:eastAsia="es-ES_tradnl"/>
              </w:rPr>
              <w:t xml:space="preserve">               </w:t>
            </w:r>
          </w:p>
        </w:tc>
        <w:tc>
          <w:tcPr>
            <w:tcW w:w="6100" w:type="dxa"/>
          </w:tcPr>
          <w:p w14:paraId="1551DB90" w14:textId="77777777" w:rsidR="006A7411" w:rsidRPr="00231A90" w:rsidRDefault="006A7411" w:rsidP="00DC099B">
            <w:pPr>
              <w:jc w:val="both"/>
              <w:rPr>
                <w:rFonts w:ascii="Verdana" w:eastAsia="Calibri" w:hAnsi="Verdana" w:cs="Arial"/>
                <w:color w:val="000000" w:themeColor="text1"/>
                <w:lang w:val="es-ES_tradnl" w:eastAsia="es-ES_tradnl"/>
              </w:rPr>
            </w:pPr>
            <w:r w:rsidRPr="00231A90">
              <w:rPr>
                <w:rFonts w:ascii="Verdana" w:eastAsia="Calibri" w:hAnsi="Verdana" w:cs="Arial"/>
                <w:color w:val="000000" w:themeColor="text1"/>
                <w:lang w:val="es-ES_tradnl" w:eastAsia="es-ES_tradnl"/>
              </w:rPr>
              <w:t xml:space="preserve">Respuesta a consulta con radicado No. </w:t>
            </w:r>
            <w:r w:rsidRPr="00CE6137">
              <w:rPr>
                <w:rFonts w:ascii="Verdana" w:eastAsia="Calibri" w:hAnsi="Verdana" w:cs="Arial"/>
                <w:color w:val="000000" w:themeColor="text1"/>
                <w:lang w:eastAsia="es-ES_tradnl"/>
              </w:rPr>
              <w:t>P20250127000664</w:t>
            </w:r>
          </w:p>
        </w:tc>
      </w:tr>
    </w:tbl>
    <w:p w14:paraId="2016BE4C" w14:textId="77777777" w:rsidR="006A7411" w:rsidRPr="00231A90" w:rsidRDefault="006A7411" w:rsidP="006A7411">
      <w:pPr>
        <w:spacing w:after="0" w:line="240" w:lineRule="auto"/>
        <w:jc w:val="both"/>
        <w:rPr>
          <w:rFonts w:ascii="Verdana" w:eastAsia="Calibri" w:hAnsi="Verdana" w:cs="Arial"/>
          <w:color w:val="000000" w:themeColor="text1"/>
          <w:lang w:val="es-ES_tradnl" w:eastAsia="es-ES_tradnl"/>
        </w:rPr>
      </w:pPr>
    </w:p>
    <w:p w14:paraId="238F203C" w14:textId="77777777" w:rsidR="006A7411" w:rsidRPr="00231A90" w:rsidRDefault="006A7411" w:rsidP="006A7411">
      <w:pPr>
        <w:spacing w:after="0" w:line="240" w:lineRule="auto"/>
        <w:jc w:val="both"/>
        <w:rPr>
          <w:rFonts w:ascii="Verdana" w:eastAsia="Calibri" w:hAnsi="Verdana" w:cs="Arial"/>
          <w:color w:val="000000" w:themeColor="text1"/>
          <w:lang w:val="es-ES_tradnl" w:eastAsia="es-ES_tradnl"/>
        </w:rPr>
      </w:pPr>
    </w:p>
    <w:p w14:paraId="44D46F9E" w14:textId="77777777" w:rsidR="006A7411" w:rsidRPr="00231A90" w:rsidRDefault="006A7411" w:rsidP="006A7411">
      <w:pPr>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Estimado</w:t>
      </w:r>
      <w:r>
        <w:rPr>
          <w:rFonts w:ascii="Verdana" w:eastAsia="Calibri" w:hAnsi="Verdana" w:cs="Arial"/>
          <w:color w:val="000000" w:themeColor="text1"/>
          <w:lang w:val="es-ES" w:eastAsia="es-ES"/>
        </w:rPr>
        <w:t>(a)</w:t>
      </w:r>
      <w:r w:rsidRPr="00231A90">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ciudadano(a)</w:t>
      </w:r>
      <w:r w:rsidRPr="00231A90">
        <w:rPr>
          <w:rFonts w:ascii="Verdana" w:eastAsia="Calibri" w:hAnsi="Verdana" w:cs="Arial"/>
          <w:color w:val="000000" w:themeColor="text1"/>
          <w:lang w:val="es-ES" w:eastAsia="es-ES"/>
        </w:rPr>
        <w:t xml:space="preserve">: </w:t>
      </w:r>
    </w:p>
    <w:p w14:paraId="24CAE7BA" w14:textId="77777777" w:rsidR="006A7411" w:rsidRPr="00231A90" w:rsidRDefault="006A7411" w:rsidP="006A7411">
      <w:pPr>
        <w:tabs>
          <w:tab w:val="left" w:pos="3768"/>
        </w:tabs>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ab/>
      </w:r>
    </w:p>
    <w:p w14:paraId="1728908E" w14:textId="77777777" w:rsidR="006A7411" w:rsidRPr="00231A90" w:rsidRDefault="006A7411" w:rsidP="006A7411">
      <w:pPr>
        <w:spacing w:after="0" w:line="276" w:lineRule="auto"/>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En ejercicio de la competencia otorgada por los artículos 3, numeral 5º, y 11, numeral 8º, del Decreto Ley 4170 de 2011,</w:t>
      </w:r>
      <w:r w:rsidRPr="00231A90">
        <w:rPr>
          <w:rFonts w:ascii="Verdana" w:eastAsia="Arial MT" w:hAnsi="Verdana" w:cs="Arial MT"/>
          <w:color w:val="000000" w:themeColor="text1"/>
          <w:lang w:val="es-ES" w:eastAsia="es-ES"/>
        </w:rPr>
        <w:t xml:space="preserve"> </w:t>
      </w:r>
      <w:r w:rsidRPr="00231A90">
        <w:rPr>
          <w:rFonts w:ascii="Verdana" w:hAnsi="Verdana" w:cs="Arial"/>
          <w:color w:val="000000" w:themeColor="text1"/>
        </w:rPr>
        <w:t xml:space="preserve">así como lo establecido en el artículo 4 de la Resolución 1707 de 2018 expedida por esta Entidad, </w:t>
      </w:r>
      <w:r w:rsidRPr="00231A90">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27</w:t>
      </w:r>
      <w:r w:rsidRPr="00231A90">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enero</w:t>
      </w:r>
      <w:r w:rsidRPr="00231A90">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231A90">
        <w:rPr>
          <w:rFonts w:ascii="Verdana" w:eastAsia="Calibri" w:hAnsi="Verdana" w:cs="Arial"/>
          <w:color w:val="000000" w:themeColor="text1"/>
          <w:lang w:val="es-ES" w:eastAsia="es-ES"/>
        </w:rPr>
        <w:t xml:space="preserve">, en la cual manifiesta lo siguiente: </w:t>
      </w:r>
    </w:p>
    <w:p w14:paraId="0A3E6417" w14:textId="77777777" w:rsidR="006A7411" w:rsidRPr="00231A90" w:rsidRDefault="006A7411" w:rsidP="006A7411">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16928B4B"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bookmarkStart w:id="1" w:name="_Hlk188021349"/>
      <w:r w:rsidRPr="006667CE">
        <w:rPr>
          <w:rFonts w:ascii="Verdana" w:eastAsia="Century Gothic" w:hAnsi="Verdana" w:cs="Century Gothic"/>
          <w:color w:val="000000" w:themeColor="text1"/>
          <w:sz w:val="20"/>
          <w:szCs w:val="20"/>
          <w:lang w:val="es-ES"/>
        </w:rPr>
        <w:t>“</w:t>
      </w:r>
      <w:bookmarkEnd w:id="0"/>
      <w:r w:rsidRPr="007A146D">
        <w:rPr>
          <w:rFonts w:ascii="Verdana" w:eastAsia="Century Gothic" w:hAnsi="Verdana" w:cs="Century Gothic"/>
          <w:i/>
          <w:iCs/>
          <w:color w:val="000000" w:themeColor="text1"/>
          <w:sz w:val="20"/>
          <w:szCs w:val="20"/>
        </w:rPr>
        <w:t xml:space="preserve">1. ¿Pueden las ESALES, por su naturaleza jurídica, ser consideradas </w:t>
      </w:r>
    </w:p>
    <w:p w14:paraId="0EF673EC"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MIPYMES en procesos de contratación estatal de acuerdo con los </w:t>
      </w:r>
    </w:p>
    <w:p w14:paraId="1FC9D6A4"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criterios establecidos en el artículo 2?2.1.13.2.1 del Decreto 1074 de </w:t>
      </w:r>
    </w:p>
    <w:p w14:paraId="1D3C0402"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2015 y en la Resolución 2225 de 2019 del DANE donde establecen los </w:t>
      </w:r>
    </w:p>
    <w:p w14:paraId="22727D92"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lastRenderedPageBreak/>
        <w:t xml:space="preserve">tamaños empresariales? </w:t>
      </w:r>
    </w:p>
    <w:p w14:paraId="1D481066"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2. En caso de que no puedan ser consideradas MIPYMES, ¿cuál sería la </w:t>
      </w:r>
    </w:p>
    <w:p w14:paraId="70A9E208"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razón para esta exclusión?</w:t>
      </w:r>
    </w:p>
    <w:p w14:paraId="405149F6"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3. ¿Cuáles son los tipos específicos de procesos de contratación estatal </w:t>
      </w:r>
    </w:p>
    <w:p w14:paraId="098F425B"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en los que las ESALES tienen restricciones para participar?</w:t>
      </w:r>
    </w:p>
    <w:p w14:paraId="57F14452"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4. ¿Cuáles son las limitaciones legales actualmente en Colombia que </w:t>
      </w:r>
    </w:p>
    <w:p w14:paraId="5DD6DE85"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fundamentan esta exclusión? </w:t>
      </w:r>
    </w:p>
    <w:p w14:paraId="17238144"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5. Indiquen los tipos de procesos de contratación estatal en los que las </w:t>
      </w:r>
    </w:p>
    <w:p w14:paraId="4822C53A"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ESALES no pueden participar, señalando las razones legales que </w:t>
      </w:r>
    </w:p>
    <w:p w14:paraId="78F50C65"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justifican estas limitaciones.</w:t>
      </w:r>
    </w:p>
    <w:p w14:paraId="6BE98616"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6. ¿Existen proyectos en curso destinados a promover una mayor </w:t>
      </w:r>
    </w:p>
    <w:p w14:paraId="78C9DC85"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inclusión de las ESALES en los escenarios de contratación pública?</w:t>
      </w:r>
    </w:p>
    <w:p w14:paraId="731DD51F" w14:textId="77777777" w:rsidR="006A7411" w:rsidRPr="007A146D"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 xml:space="preserve">7. Indicar actualmente que regula a las ESALES en el ámbito de la </w:t>
      </w:r>
    </w:p>
    <w:p w14:paraId="5A85FB60" w14:textId="77777777" w:rsidR="006A7411" w:rsidRPr="00231A90" w:rsidRDefault="006A7411" w:rsidP="006A7411">
      <w:pPr>
        <w:spacing w:after="0" w:line="240" w:lineRule="auto"/>
        <w:ind w:left="709" w:right="709"/>
        <w:jc w:val="both"/>
        <w:rPr>
          <w:rFonts w:ascii="Verdana" w:eastAsia="Century Gothic" w:hAnsi="Verdana" w:cs="Century Gothic"/>
          <w:i/>
          <w:iCs/>
          <w:color w:val="000000" w:themeColor="text1"/>
          <w:sz w:val="20"/>
          <w:szCs w:val="20"/>
        </w:rPr>
      </w:pPr>
      <w:r w:rsidRPr="007A146D">
        <w:rPr>
          <w:rFonts w:ascii="Verdana" w:eastAsia="Century Gothic" w:hAnsi="Verdana" w:cs="Century Gothic"/>
          <w:i/>
          <w:iCs/>
          <w:color w:val="000000" w:themeColor="text1"/>
          <w:sz w:val="20"/>
          <w:szCs w:val="20"/>
        </w:rPr>
        <w:t>contratación estatal</w:t>
      </w:r>
      <w:r w:rsidRPr="006667CE">
        <w:rPr>
          <w:rFonts w:ascii="Verdana" w:eastAsia="Century Gothic" w:hAnsi="Verdana" w:cs="Century Gothic"/>
          <w:i/>
          <w:iCs/>
          <w:color w:val="000000" w:themeColor="text1"/>
          <w:sz w:val="20"/>
          <w:szCs w:val="20"/>
        </w:rPr>
        <w:t>”</w:t>
      </w:r>
    </w:p>
    <w:bookmarkEnd w:id="1"/>
    <w:p w14:paraId="6109681E" w14:textId="77777777" w:rsidR="006A7411" w:rsidRPr="00231A90" w:rsidRDefault="006A7411" w:rsidP="006A7411">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40EC235C" w14:textId="77777777" w:rsidR="006A7411" w:rsidRPr="00231A90" w:rsidRDefault="006A7411" w:rsidP="006A7411">
      <w:pPr>
        <w:spacing w:after="120" w:line="276" w:lineRule="auto"/>
        <w:ind w:firstLine="709"/>
        <w:jc w:val="both"/>
        <w:rPr>
          <w:rFonts w:ascii="Verdana" w:eastAsia="Calibri" w:hAnsi="Verdana" w:cs="Arial"/>
          <w:color w:val="000000" w:themeColor="text1"/>
          <w:szCs w:val="24"/>
          <w:lang w:val="es-ES_tradnl" w:eastAsia="es-ES_tradnl"/>
        </w:rPr>
      </w:pPr>
      <w:r w:rsidRPr="00231A90">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31A90">
        <w:rPr>
          <w:rFonts w:ascii="Verdana" w:eastAsia="Calibri" w:hAnsi="Verdana" w:cs="Arial"/>
          <w:color w:val="000000" w:themeColor="text1"/>
          <w:szCs w:val="24"/>
          <w:lang w:val="es-ES_tradnl" w:eastAsia="es-ES_tradnl"/>
        </w:rPr>
        <w:tab/>
      </w:r>
    </w:p>
    <w:p w14:paraId="3E155FCE" w14:textId="77777777" w:rsidR="006A7411" w:rsidRPr="00231A90" w:rsidRDefault="006A7411" w:rsidP="006A7411">
      <w:pPr>
        <w:spacing w:after="0" w:line="276" w:lineRule="auto"/>
        <w:ind w:firstLine="709"/>
        <w:jc w:val="both"/>
        <w:rPr>
          <w:rFonts w:ascii="Verdana" w:eastAsia="Calibri" w:hAnsi="Verdana" w:cs="Arial"/>
          <w:color w:val="000000" w:themeColor="text1"/>
          <w:lang w:val="es-ES" w:eastAsia="es-ES"/>
        </w:rPr>
      </w:pPr>
      <w:r w:rsidRPr="00231A90">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5094471" w14:textId="77777777" w:rsidR="006A7411" w:rsidRPr="00231A90" w:rsidRDefault="006A7411" w:rsidP="006A7411">
      <w:pPr>
        <w:spacing w:after="0" w:line="276" w:lineRule="auto"/>
        <w:ind w:firstLine="709"/>
        <w:jc w:val="both"/>
        <w:rPr>
          <w:rFonts w:ascii="Verdana" w:eastAsia="Calibri" w:hAnsi="Verdana" w:cs="Arial"/>
          <w:color w:val="000000" w:themeColor="text1"/>
          <w:lang w:val="es-ES" w:eastAsia="es-ES"/>
        </w:rPr>
      </w:pPr>
    </w:p>
    <w:p w14:paraId="5F937E63" w14:textId="77777777" w:rsidR="006A7411" w:rsidRPr="00231A90" w:rsidRDefault="006A7411" w:rsidP="006A7411">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Problema planteado:</w:t>
      </w:r>
    </w:p>
    <w:p w14:paraId="386485EA" w14:textId="77777777" w:rsidR="006A7411" w:rsidRPr="00231A90" w:rsidRDefault="006A7411" w:rsidP="006A7411">
      <w:pPr>
        <w:tabs>
          <w:tab w:val="left" w:pos="426"/>
        </w:tabs>
        <w:spacing w:after="0" w:line="276" w:lineRule="auto"/>
        <w:jc w:val="both"/>
        <w:rPr>
          <w:rFonts w:ascii="Verdana" w:eastAsia="Century Gothic" w:hAnsi="Verdana" w:cs="Century Gothic"/>
          <w:color w:val="000000" w:themeColor="text1"/>
          <w:lang w:val="es-ES"/>
        </w:rPr>
      </w:pPr>
    </w:p>
    <w:p w14:paraId="037235B5" w14:textId="77777777" w:rsidR="006A7411" w:rsidRPr="004F101F" w:rsidRDefault="006A7411" w:rsidP="006A7411">
      <w:pPr>
        <w:spacing w:after="0" w:line="276" w:lineRule="auto"/>
        <w:jc w:val="both"/>
        <w:rPr>
          <w:rFonts w:ascii="Verdana" w:hAnsi="Verdana"/>
          <w:b/>
          <w:bCs/>
        </w:rPr>
      </w:pPr>
      <w:r w:rsidRPr="00231A90">
        <w:rPr>
          <w:rFonts w:ascii="Verdana" w:eastAsia="Century Gothic" w:hAnsi="Verdana" w:cs="Century Gothic"/>
          <w:color w:val="000000" w:themeColor="text1"/>
        </w:rPr>
        <w:t xml:space="preserve">De acuerdo con el contenido de su solicitud, esta Agencia resolverá el siguiente problema jurídico: </w:t>
      </w:r>
      <w:r w:rsidRPr="004F101F">
        <w:rPr>
          <w:rFonts w:ascii="Verdana" w:eastAsia="Century Gothic" w:hAnsi="Verdana" w:cs="Century Gothic"/>
          <w:color w:val="000000" w:themeColor="text1"/>
        </w:rPr>
        <w:t xml:space="preserve">¿Es procedente que una entidad </w:t>
      </w:r>
      <w:r>
        <w:rPr>
          <w:rFonts w:ascii="Verdana" w:eastAsia="Century Gothic" w:hAnsi="Verdana" w:cs="Century Gothic"/>
          <w:color w:val="000000" w:themeColor="text1"/>
        </w:rPr>
        <w:t>permita la participación de</w:t>
      </w:r>
      <w:r w:rsidRPr="004F101F">
        <w:rPr>
          <w:rFonts w:ascii="Verdana" w:eastAsia="Century Gothic" w:hAnsi="Verdana" w:cs="Century Gothic"/>
          <w:color w:val="000000" w:themeColor="text1"/>
        </w:rPr>
        <w:t xml:space="preserve"> </w:t>
      </w:r>
      <w:r w:rsidRPr="004F101F">
        <w:rPr>
          <w:rFonts w:ascii="Verdana" w:eastAsia="Century Gothic" w:hAnsi="Verdana" w:cs="Century Gothic"/>
          <w:color w:val="000000" w:themeColor="text1"/>
        </w:rPr>
        <w:lastRenderedPageBreak/>
        <w:t xml:space="preserve">una ESAL que ha acreditado su condición de </w:t>
      </w:r>
      <w:proofErr w:type="spellStart"/>
      <w:r w:rsidRPr="004F101F">
        <w:rPr>
          <w:rFonts w:ascii="Verdana" w:eastAsia="Century Gothic" w:hAnsi="Verdana" w:cs="Century Gothic"/>
          <w:color w:val="000000" w:themeColor="text1"/>
        </w:rPr>
        <w:t>Mipyme</w:t>
      </w:r>
      <w:proofErr w:type="spellEnd"/>
      <w:r w:rsidRPr="004F101F">
        <w:rPr>
          <w:rFonts w:ascii="Verdana" w:eastAsia="Century Gothic" w:hAnsi="Verdana" w:cs="Century Gothic"/>
          <w:color w:val="000000" w:themeColor="text1"/>
        </w:rPr>
        <w:t xml:space="preserve"> o, en virtud de su naturaleza jurídica sin ánimo de lucro, debe excluirse </w:t>
      </w:r>
      <w:r>
        <w:rPr>
          <w:rFonts w:ascii="Verdana" w:eastAsia="Century Gothic" w:hAnsi="Verdana" w:cs="Century Gothic"/>
          <w:color w:val="000000" w:themeColor="text1"/>
        </w:rPr>
        <w:t>de</w:t>
      </w:r>
      <w:r w:rsidRPr="004F101F">
        <w:rPr>
          <w:rFonts w:ascii="Verdana" w:eastAsia="Century Gothic" w:hAnsi="Verdana" w:cs="Century Gothic"/>
          <w:color w:val="000000" w:themeColor="text1"/>
        </w:rPr>
        <w:t xml:space="preserve"> los procesos de contratación pública conforme a la normativa vigente?</w:t>
      </w:r>
    </w:p>
    <w:p w14:paraId="4F83101C" w14:textId="77777777" w:rsidR="006A7411" w:rsidRPr="00231A90" w:rsidRDefault="006A7411" w:rsidP="006A7411">
      <w:pPr>
        <w:spacing w:after="0" w:line="276" w:lineRule="auto"/>
        <w:jc w:val="both"/>
        <w:rPr>
          <w:rFonts w:ascii="Verdana" w:eastAsia="Calibri" w:hAnsi="Verdana" w:cs="Arial"/>
          <w:color w:val="000000" w:themeColor="text1"/>
          <w:lang w:val="es-ES"/>
        </w:rPr>
      </w:pPr>
    </w:p>
    <w:p w14:paraId="720DD437" w14:textId="77777777" w:rsidR="006A7411" w:rsidRPr="00231A90" w:rsidRDefault="006A7411" w:rsidP="006A7411">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Respuesta:</w:t>
      </w:r>
    </w:p>
    <w:p w14:paraId="17933E37" w14:textId="77777777" w:rsidR="006A7411" w:rsidRPr="00231A90" w:rsidRDefault="006A7411" w:rsidP="006A741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7411" w:rsidRPr="00231A90" w14:paraId="0BDA49EC" w14:textId="77777777" w:rsidTr="00DC099B">
        <w:tc>
          <w:tcPr>
            <w:tcW w:w="8828" w:type="dxa"/>
            <w:shd w:val="clear" w:color="auto" w:fill="auto"/>
          </w:tcPr>
          <w:p w14:paraId="06C67DC1" w14:textId="77777777" w:rsidR="006A7411" w:rsidRPr="004D54F4" w:rsidRDefault="006A7411" w:rsidP="00DC099B">
            <w:pPr>
              <w:spacing w:after="160" w:line="259" w:lineRule="auto"/>
              <w:jc w:val="both"/>
              <w:rPr>
                <w:rFonts w:ascii="Verdana" w:hAnsi="Verdana"/>
              </w:rPr>
            </w:pPr>
            <w:bookmarkStart w:id="2" w:name="_Hlk188022505"/>
            <w:r w:rsidRPr="004D54F4">
              <w:rPr>
                <w:rFonts w:ascii="Verdana" w:hAnsi="Verdana"/>
                <w:lang w:val="es-ES"/>
              </w:rPr>
              <w:t>En</w:t>
            </w:r>
            <w:r w:rsidRPr="00C076C2">
              <w:rPr>
                <w:rFonts w:ascii="Verdana" w:hAnsi="Verdana"/>
              </w:rPr>
              <w:t xml:space="preserve"> principio</w:t>
            </w:r>
            <w:r w:rsidRPr="004D54F4">
              <w:rPr>
                <w:rFonts w:ascii="Verdana" w:hAnsi="Verdana"/>
              </w:rPr>
              <w:t xml:space="preserve">, </w:t>
            </w:r>
            <w:r>
              <w:rPr>
                <w:rFonts w:ascii="Verdana" w:hAnsi="Verdana"/>
              </w:rPr>
              <w:t>e</w:t>
            </w:r>
            <w:r w:rsidRPr="00B020FB">
              <w:rPr>
                <w:rFonts w:ascii="Verdana" w:hAnsi="Verdana"/>
              </w:rPr>
              <w:t>s importante señalar que esta Agencia ha mantenido de manera reiterada la postura de que las Entidades Sin Ánimo de Lucro (ESAL) no pueden acceder a los beneficios establecidos para las Micro, Pequeñas y Medianas Empresas (</w:t>
            </w:r>
            <w:proofErr w:type="spellStart"/>
            <w:r w:rsidRPr="00B020FB">
              <w:rPr>
                <w:rFonts w:ascii="Verdana" w:hAnsi="Verdana"/>
              </w:rPr>
              <w:t>Mipymes</w:t>
            </w:r>
            <w:proofErr w:type="spellEnd"/>
            <w:r w:rsidRPr="00B020FB">
              <w:rPr>
                <w:rFonts w:ascii="Verdana" w:hAnsi="Verdana"/>
              </w:rPr>
              <w:t>), ni participar en los procesos contractuales restringidos a estas últimas</w:t>
            </w:r>
            <w:r>
              <w:rPr>
                <w:rFonts w:ascii="Verdana" w:hAnsi="Verdana"/>
              </w:rPr>
              <w:t xml:space="preserve">, lo cual significa que pueden contratar con el Estado y participar en todos los procesos de contratación salvo en los procesos limitados a </w:t>
            </w:r>
            <w:proofErr w:type="spellStart"/>
            <w:r>
              <w:rPr>
                <w:rFonts w:ascii="Verdana" w:hAnsi="Verdana"/>
              </w:rPr>
              <w:t>Mipyme</w:t>
            </w:r>
            <w:proofErr w:type="spellEnd"/>
            <w:r w:rsidRPr="00B020FB">
              <w:rPr>
                <w:rFonts w:ascii="Verdana" w:hAnsi="Verdana"/>
              </w:rPr>
              <w:t xml:space="preserve">. De acuerdo con el artículo 43 de la Ley 1450 de 2011, que modificó el artículo 2 de la Ley 590 de 2000, se establece que solo podrán ser consideradas </w:t>
            </w:r>
            <w:proofErr w:type="spellStart"/>
            <w:r w:rsidRPr="00B020FB">
              <w:rPr>
                <w:rFonts w:ascii="Verdana" w:hAnsi="Verdana"/>
              </w:rPr>
              <w:t>Mipymes</w:t>
            </w:r>
            <w:proofErr w:type="spellEnd"/>
            <w:r w:rsidRPr="00B020FB">
              <w:rPr>
                <w:rFonts w:ascii="Verdana" w:hAnsi="Verdana"/>
              </w:rPr>
              <w:t xml:space="preserve"> aquellas entidades que, como unidades de explotación económica, busquen el reparto de utilidades entre sus miembros. En contraste, las ESAL no persiguen la distribución de utilidades entre sus miembros, ya que su objeto social está orientado a realizar actividades de interés general, sin esperar un beneficio económico directo o reparto de ganancias. Por lo tanto, las ESAL no cumplen con los requisitos para participar en los procesos de contratación limitados a las </w:t>
            </w:r>
            <w:proofErr w:type="spellStart"/>
            <w:r w:rsidRPr="00B020FB">
              <w:rPr>
                <w:rFonts w:ascii="Verdana" w:hAnsi="Verdana"/>
              </w:rPr>
              <w:t>Mipymes</w:t>
            </w:r>
            <w:proofErr w:type="spellEnd"/>
            <w:r w:rsidRPr="00B020FB">
              <w:rPr>
                <w:rFonts w:ascii="Verdana" w:hAnsi="Verdana"/>
              </w:rPr>
              <w:t>.</w:t>
            </w:r>
          </w:p>
          <w:p w14:paraId="07D30A51" w14:textId="77777777" w:rsidR="006A7411" w:rsidRPr="00B020FB" w:rsidRDefault="006A7411" w:rsidP="00DC099B">
            <w:pPr>
              <w:spacing w:after="160" w:line="259" w:lineRule="auto"/>
              <w:ind w:firstLine="709"/>
              <w:jc w:val="both"/>
              <w:rPr>
                <w:rFonts w:ascii="Verdana" w:hAnsi="Verdana"/>
              </w:rPr>
            </w:pPr>
            <w:r w:rsidRPr="004D54F4">
              <w:rPr>
                <w:rFonts w:ascii="Verdana" w:hAnsi="Verdana"/>
              </w:rPr>
              <w:t xml:space="preserve">Sin embargo, </w:t>
            </w:r>
            <w:r w:rsidRPr="00B020FB">
              <w:rPr>
                <w:rFonts w:ascii="Verdana" w:hAnsi="Verdana"/>
              </w:rPr>
              <w:t xml:space="preserve">el artículo 23 de la Ley 2069 de 2020 y los artículos 4 de la Ley 79 de 1988 y 6 de la Ley 454 de 1998, las cooperativas y las entidades de economía solidaria son consideradas empresas. Este tratamiento permite que sean clasificadas como </w:t>
            </w:r>
            <w:proofErr w:type="spellStart"/>
            <w:r w:rsidRPr="00B020FB">
              <w:rPr>
                <w:rFonts w:ascii="Verdana" w:hAnsi="Verdana"/>
              </w:rPr>
              <w:t>Mipyme</w:t>
            </w:r>
            <w:r w:rsidRPr="004D54F4">
              <w:rPr>
                <w:rFonts w:ascii="Verdana" w:hAnsi="Verdana"/>
              </w:rPr>
              <w:t>s</w:t>
            </w:r>
            <w:proofErr w:type="spellEnd"/>
            <w:r w:rsidRPr="00B020FB">
              <w:rPr>
                <w:rFonts w:ascii="Verdana" w:hAnsi="Verdana"/>
              </w:rPr>
              <w:t xml:space="preserve">, según lo dispuesto en el artículo 2 de la Ley 590 de 2000 y el Decreto 957 de 2019. A pesar de su naturaleza jurídica como entidades sin ánimo de lucro, estas entidades gozan de un ámbito de explotación económica permitido por la ley, lo que les permite participar en los mercados de compra pública y aprovechar los beneficios diferenciados para </w:t>
            </w:r>
            <w:r w:rsidRPr="004D54F4">
              <w:rPr>
                <w:rFonts w:ascii="Verdana" w:hAnsi="Verdana"/>
              </w:rPr>
              <w:t>MiPymes</w:t>
            </w:r>
            <w:r w:rsidRPr="00B020FB">
              <w:rPr>
                <w:rFonts w:ascii="Verdana" w:hAnsi="Verdana"/>
              </w:rPr>
              <w:t>, como el puntaje adicional en los procesos de contratación pública.</w:t>
            </w:r>
          </w:p>
          <w:p w14:paraId="463F778E" w14:textId="77777777" w:rsidR="006A7411" w:rsidRPr="00AE0B32" w:rsidRDefault="006A7411" w:rsidP="00DC099B">
            <w:pPr>
              <w:spacing w:after="160" w:line="259" w:lineRule="auto"/>
              <w:ind w:firstLine="709"/>
              <w:jc w:val="both"/>
              <w:rPr>
                <w:rFonts w:ascii="Verdana" w:hAnsi="Verdana"/>
              </w:rPr>
            </w:pPr>
            <w:r w:rsidRPr="004D54F4">
              <w:rPr>
                <w:rFonts w:ascii="Verdana" w:hAnsi="Verdana"/>
              </w:rPr>
              <w:t xml:space="preserve">En ese sentido, </w:t>
            </w:r>
            <w:r w:rsidRPr="00E82C97">
              <w:rPr>
                <w:rFonts w:ascii="Verdana" w:hAnsi="Verdana"/>
              </w:rPr>
              <w:t xml:space="preserve">el artículo 23 de la Ley 2069 de 2020 permite que las cooperativas, asociaciones mutuales y otras entidades de economía solidaria, clasificadas como </w:t>
            </w:r>
            <w:proofErr w:type="spellStart"/>
            <w:r w:rsidRPr="00E82C97">
              <w:rPr>
                <w:rFonts w:ascii="Verdana" w:hAnsi="Verdana"/>
              </w:rPr>
              <w:t>Mipymes</w:t>
            </w:r>
            <w:proofErr w:type="spellEnd"/>
            <w:r w:rsidRPr="00E82C97">
              <w:rPr>
                <w:rFonts w:ascii="Verdana" w:hAnsi="Verdana"/>
              </w:rPr>
              <w:t xml:space="preserve"> según la Ley 454 de 1998, puedan beneficiarse de criterios diferenciados, como los puntajes adicionales establecidos en el artículo 32 de la misma ley y regulados en el Decreto 1860 de 2021.</w:t>
            </w:r>
            <w:bookmarkEnd w:id="2"/>
            <w:r>
              <w:rPr>
                <w:rFonts w:ascii="Verdana" w:hAnsi="Verdana"/>
              </w:rPr>
              <w:t xml:space="preserve"> Finalmente, sobre su pregunta de si existen proyectos en curso para </w:t>
            </w:r>
            <w:r w:rsidRPr="006A5739">
              <w:rPr>
                <w:rFonts w:ascii="Verdana" w:hAnsi="Verdana"/>
              </w:rPr>
              <w:t xml:space="preserve">promover </w:t>
            </w:r>
            <w:r w:rsidRPr="006A5739">
              <w:rPr>
                <w:rFonts w:ascii="Verdana" w:hAnsi="Verdana"/>
              </w:rPr>
              <w:lastRenderedPageBreak/>
              <w:t>una mayor inclusión de las ESALES en los escenarios de contratación pública</w:t>
            </w:r>
            <w:r>
              <w:rPr>
                <w:rFonts w:ascii="Verdana" w:hAnsi="Verdana"/>
              </w:rPr>
              <w:t>, le informamos que actualmente esta Agencia no tiene conocimiento de proyectos con ese propósito.</w:t>
            </w:r>
          </w:p>
        </w:tc>
      </w:tr>
    </w:tbl>
    <w:p w14:paraId="50529336" w14:textId="77777777" w:rsidR="006A7411" w:rsidRPr="00231A90" w:rsidRDefault="006A7411" w:rsidP="006A741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AE66C77" w14:textId="77777777" w:rsidR="006A7411" w:rsidRPr="00231A90" w:rsidRDefault="006A7411" w:rsidP="006A7411">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Razones de la respuesta:</w:t>
      </w:r>
    </w:p>
    <w:p w14:paraId="44DBCFA5" w14:textId="77777777" w:rsidR="006A7411" w:rsidRPr="00231A90" w:rsidRDefault="006A7411" w:rsidP="006A7411">
      <w:pPr>
        <w:spacing w:after="0" w:line="276" w:lineRule="auto"/>
        <w:jc w:val="both"/>
        <w:rPr>
          <w:rFonts w:ascii="Verdana" w:eastAsia="Calibri" w:hAnsi="Verdana" w:cs="Arial"/>
          <w:color w:val="000000" w:themeColor="text1"/>
          <w:lang w:val="es-ES"/>
        </w:rPr>
      </w:pPr>
    </w:p>
    <w:p w14:paraId="3FB9D28B" w14:textId="77777777" w:rsidR="006A7411" w:rsidRPr="00231A90" w:rsidRDefault="006A7411" w:rsidP="006A7411">
      <w:pPr>
        <w:spacing w:after="0" w:line="276" w:lineRule="auto"/>
        <w:jc w:val="both"/>
        <w:rPr>
          <w:rFonts w:ascii="Verdana" w:eastAsia="Calibri" w:hAnsi="Verdana" w:cs="Arial"/>
          <w:color w:val="000000" w:themeColor="text1"/>
          <w:lang w:val="es-ES"/>
        </w:rPr>
      </w:pPr>
      <w:r w:rsidRPr="00231A90">
        <w:rPr>
          <w:rFonts w:ascii="Verdana" w:eastAsia="Calibri" w:hAnsi="Verdana" w:cs="Arial"/>
          <w:color w:val="000000" w:themeColor="text1"/>
          <w:lang w:val="es-ES"/>
        </w:rPr>
        <w:t xml:space="preserve">Lo anterior se sustenta en las siguientes consideraciones: </w:t>
      </w:r>
    </w:p>
    <w:p w14:paraId="56CF0406" w14:textId="77777777" w:rsidR="006A7411" w:rsidRPr="00231A90" w:rsidRDefault="006A7411" w:rsidP="006A7411">
      <w:pPr>
        <w:spacing w:after="0" w:line="276" w:lineRule="auto"/>
        <w:jc w:val="both"/>
        <w:rPr>
          <w:rFonts w:ascii="Verdana" w:eastAsia="Calibri" w:hAnsi="Verdana" w:cs="Arial"/>
          <w:color w:val="000000" w:themeColor="text1"/>
          <w:lang w:val="es-ES"/>
        </w:rPr>
      </w:pPr>
    </w:p>
    <w:p w14:paraId="5EDA38BD" w14:textId="77777777" w:rsidR="006A7411" w:rsidRPr="00AE0B32" w:rsidRDefault="006A7411" w:rsidP="006A7411">
      <w:pPr>
        <w:widowControl w:val="0"/>
        <w:autoSpaceDE w:val="0"/>
        <w:autoSpaceDN w:val="0"/>
        <w:spacing w:after="120" w:line="276" w:lineRule="auto"/>
        <w:jc w:val="both"/>
        <w:rPr>
          <w:rFonts w:ascii="Verdana" w:eastAsia="Calibri" w:hAnsi="Verdana" w:cs="Arial"/>
          <w:lang w:val="es-ES"/>
        </w:rPr>
      </w:pPr>
      <w:bookmarkStart w:id="3" w:name="_Hlk188021605"/>
      <w:r>
        <w:rPr>
          <w:rFonts w:ascii="Verdana" w:eastAsia="Calibri" w:hAnsi="Verdana" w:cs="Arial"/>
          <w:lang w:val="es-ES"/>
        </w:rPr>
        <w:t>Respecto</w:t>
      </w:r>
      <w:r w:rsidRPr="00AE0B32">
        <w:rPr>
          <w:rFonts w:ascii="Verdana" w:eastAsia="Calibri" w:hAnsi="Verdana" w:cs="Arial"/>
          <w:lang w:val="es-ES"/>
        </w:rPr>
        <w:t xml:space="preserve"> del objeto de su consulta debe advertirse que, l</w:t>
      </w:r>
      <w:r w:rsidRPr="00AE0B32">
        <w:rPr>
          <w:rFonts w:ascii="Verdana" w:eastAsia="Arial" w:hAnsi="Verdana" w:cs="Arial"/>
          <w:szCs w:val="24"/>
          <w:lang w:val="es-ES" w:eastAsia="es-CO"/>
        </w:rPr>
        <w:t>a Ley 2069 d</w:t>
      </w:r>
      <w:r w:rsidRPr="00AE0B32">
        <w:rPr>
          <w:rFonts w:ascii="Verdana" w:eastAsia="Arial" w:hAnsi="Verdana" w:cs="Arial"/>
          <w:szCs w:val="24"/>
          <w:lang w:eastAsia="es-CO"/>
        </w:rPr>
        <w:t>el 31 de diciembre de 2020,</w:t>
      </w:r>
      <w:r w:rsidRPr="00AE0B32">
        <w:rPr>
          <w:rFonts w:ascii="Verdana" w:eastAsia="Arial" w:hAnsi="Verdana" w:cs="Arial"/>
          <w:szCs w:val="24"/>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AE0B32">
        <w:rPr>
          <w:rFonts w:ascii="Verdana" w:eastAsia="Arial" w:hAnsi="Verdana" w:cs="Arial"/>
          <w:bCs/>
          <w:szCs w:val="24"/>
          <w:lang w:val="es-ES" w:eastAsia="es-CO"/>
        </w:rPr>
        <w:t xml:space="preserve">l “Capítulo III – Compras públicas” de la Ley 2069 de 2020 </w:t>
      </w:r>
      <w:r w:rsidRPr="00AE0B32">
        <w:rPr>
          <w:rFonts w:ascii="Verdana" w:eastAsia="Times New Roman" w:hAnsi="Verdana" w:cs="Arial"/>
          <w:szCs w:val="24"/>
          <w:lang w:eastAsia="es-MX"/>
        </w:rPr>
        <w:t>contiene normas que modifican</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algunos</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aspectos</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de</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la</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contratación</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estatal</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para</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promover</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el</w:t>
      </w:r>
      <w:r w:rsidRPr="00AE0B32">
        <w:rPr>
          <w:rFonts w:ascii="Verdana" w:eastAsia="Times New Roman" w:hAnsi="Verdana" w:cs="Arial"/>
          <w:spacing w:val="1"/>
          <w:szCs w:val="24"/>
          <w:lang w:eastAsia="es-MX"/>
        </w:rPr>
        <w:t xml:space="preserve"> </w:t>
      </w:r>
      <w:r w:rsidRPr="00AE0B32">
        <w:rPr>
          <w:rFonts w:ascii="Verdana" w:eastAsia="Times New Roman" w:hAnsi="Verdana" w:cs="Arial"/>
          <w:szCs w:val="24"/>
          <w:lang w:eastAsia="es-MX"/>
        </w:rPr>
        <w:t xml:space="preserve">emprendimiento. </w:t>
      </w:r>
      <w:r w:rsidRPr="00AE0B32">
        <w:rPr>
          <w:rFonts w:ascii="Verdana" w:eastAsia="Arial" w:hAnsi="Verdana" w:cs="Arial"/>
          <w:bCs/>
          <w:szCs w:val="24"/>
          <w:lang w:eastAsia="es-CO"/>
        </w:rPr>
        <w:t xml:space="preserve"> </w:t>
      </w:r>
    </w:p>
    <w:p w14:paraId="74BF8D56" w14:textId="77777777" w:rsidR="006A7411" w:rsidRPr="00AE0B32" w:rsidRDefault="006A7411" w:rsidP="006A7411">
      <w:pPr>
        <w:spacing w:after="120" w:line="276" w:lineRule="auto"/>
        <w:ind w:firstLine="708"/>
        <w:jc w:val="both"/>
        <w:rPr>
          <w:rFonts w:ascii="Verdana" w:eastAsia="Arial" w:hAnsi="Verdana" w:cs="Arial"/>
          <w:szCs w:val="24"/>
          <w:lang w:eastAsia="es-CO"/>
        </w:rPr>
      </w:pPr>
      <w:r w:rsidRPr="00AE0B32">
        <w:rPr>
          <w:rFonts w:ascii="Verdana" w:eastAsia="Arial" w:hAnsi="Verdana" w:cs="Arial"/>
          <w:szCs w:val="24"/>
          <w:lang w:val="es-ES" w:eastAsia="es-CO"/>
        </w:rPr>
        <w:t xml:space="preserve">Concretamente, el artículo 31 </w:t>
      </w:r>
      <w:r w:rsidRPr="00AE0B32">
        <w:rPr>
          <w:rFonts w:ascii="Verdana" w:eastAsia="Arial" w:hAnsi="Verdana" w:cs="Arial"/>
          <w:i/>
          <w:iCs/>
          <w:szCs w:val="24"/>
          <w:lang w:val="es-ES" w:eastAsia="es-CO"/>
        </w:rPr>
        <w:t>ibidem</w:t>
      </w:r>
      <w:r w:rsidRPr="00AE0B32">
        <w:rPr>
          <w:rFonts w:ascii="Verdana" w:eastAsia="Arial" w:hAnsi="Verdana" w:cs="Arial"/>
          <w:szCs w:val="24"/>
          <w:lang w:eastAsia="es-CO"/>
        </w:rPr>
        <w:t xml:space="preserve"> </w:t>
      </w:r>
      <w:r w:rsidRPr="00AE0B32">
        <w:rPr>
          <w:rFonts w:ascii="Verdana" w:eastAsia="Arial" w:hAnsi="Verdana" w:cs="Arial"/>
          <w:bCs/>
          <w:szCs w:val="24"/>
          <w:lang w:eastAsia="es-CO"/>
        </w:rPr>
        <w:t xml:space="preserve">introduce criterios diferenciales para el acceso de las </w:t>
      </w:r>
      <w:proofErr w:type="spellStart"/>
      <w:r w:rsidRPr="00AE0B32">
        <w:rPr>
          <w:rFonts w:ascii="Verdana" w:eastAsia="Arial" w:hAnsi="Verdana" w:cs="Arial"/>
          <w:bCs/>
          <w:szCs w:val="24"/>
          <w:lang w:eastAsia="es-CO"/>
        </w:rPr>
        <w:t>Mipyme</w:t>
      </w:r>
      <w:proofErr w:type="spellEnd"/>
      <w:r w:rsidRPr="00AE0B32">
        <w:rPr>
          <w:rFonts w:ascii="Verdana" w:eastAsia="Arial" w:hAnsi="Verdana" w:cs="Arial"/>
          <w:bCs/>
          <w:szCs w:val="24"/>
          <w:lang w:eastAsia="es-CO"/>
        </w:rPr>
        <w:t xml:space="preserve"> al sistema de compras y contratación pública. Para estos efectos, el inciso primero dispone que “Las Entidades Estatales de acuerdo con el análisis de sector </w:t>
      </w:r>
      <w:bookmarkStart w:id="4" w:name="_Hlk63767562"/>
      <w:r w:rsidRPr="00AE0B32">
        <w:rPr>
          <w:rFonts w:ascii="Verdana" w:eastAsia="Arial" w:hAnsi="Verdana" w:cs="Arial"/>
          <w:bCs/>
          <w:szCs w:val="24"/>
          <w:lang w:eastAsia="es-CO"/>
        </w:rPr>
        <w:t>podrán incluir, en los Documentos del Proceso, requisitos diferenciales y puntajes adicionales</w:t>
      </w:r>
      <w:bookmarkEnd w:id="4"/>
      <w:r w:rsidRPr="00AE0B32">
        <w:rPr>
          <w:rFonts w:ascii="Verdana" w:eastAsia="Arial" w:hAnsi="Verdana" w:cs="Arial"/>
          <w:bCs/>
          <w:szCs w:val="24"/>
          <w:lang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Así mismo, esta norma </w:t>
      </w:r>
      <w:r w:rsidRPr="00AE0B32">
        <w:rPr>
          <w:rFonts w:ascii="Verdana" w:eastAsia="Arial" w:hAnsi="Verdana" w:cs="Arial"/>
          <w:szCs w:val="24"/>
          <w:lang w:eastAsia="es-CO"/>
        </w:rPr>
        <w:t>dispuso que el Gobierno Nacional reglamentaría la definición de los criterios diferenciales</w:t>
      </w:r>
      <w:r w:rsidRPr="00AE0B32">
        <w:rPr>
          <w:rFonts w:ascii="Verdana" w:eastAsia="Arial" w:hAnsi="Verdana" w:cs="Arial"/>
          <w:szCs w:val="24"/>
          <w:lang w:val="es-ES" w:eastAsia="es-CO"/>
        </w:rPr>
        <w:t xml:space="preserve"> para promover y facilitar el acceso de las </w:t>
      </w:r>
      <w:proofErr w:type="spellStart"/>
      <w:r w:rsidRPr="00AE0B32">
        <w:rPr>
          <w:rFonts w:ascii="Verdana" w:eastAsia="Arial" w:hAnsi="Verdana" w:cs="Arial"/>
          <w:szCs w:val="24"/>
          <w:lang w:val="es-ES" w:eastAsia="es-CO"/>
        </w:rPr>
        <w:t>Mipyme</w:t>
      </w:r>
      <w:proofErr w:type="spellEnd"/>
      <w:r w:rsidRPr="00AE0B32">
        <w:rPr>
          <w:rFonts w:ascii="Verdana" w:eastAsia="Arial" w:hAnsi="Verdana" w:cs="Arial"/>
          <w:szCs w:val="24"/>
          <w:lang w:val="es-ES" w:eastAsia="es-CO"/>
        </w:rPr>
        <w:t xml:space="preserve"> al mercado de compras públicas</w:t>
      </w:r>
      <w:r w:rsidRPr="00AE0B32">
        <w:rPr>
          <w:rFonts w:ascii="Verdana" w:eastAsia="Arial" w:hAnsi="Verdana" w:cs="Arial"/>
          <w:szCs w:val="24"/>
          <w:lang w:eastAsia="es-CO"/>
        </w:rPr>
        <w:t xml:space="preserve">, estableciendo reglas objetivas para su implementación, las cuales priorizarían la contratación de producción nacional, sin perjuicio de los compromisos comerciales adquiridos con otros Estados. </w:t>
      </w:r>
    </w:p>
    <w:p w14:paraId="739E24E9" w14:textId="77777777" w:rsidR="006A7411" w:rsidRPr="00AE0B32" w:rsidRDefault="006A7411" w:rsidP="006A7411">
      <w:pPr>
        <w:spacing w:after="120" w:line="276" w:lineRule="auto"/>
        <w:jc w:val="both"/>
        <w:rPr>
          <w:rFonts w:ascii="Verdana" w:eastAsia="Arial" w:hAnsi="Verdana" w:cs="Arial"/>
          <w:szCs w:val="24"/>
          <w:lang w:eastAsia="es-CO"/>
        </w:rPr>
      </w:pPr>
      <w:r w:rsidRPr="00AE0B32">
        <w:rPr>
          <w:rFonts w:ascii="Verdana" w:eastAsia="Arial" w:hAnsi="Verdana" w:cs="Arial"/>
          <w:szCs w:val="24"/>
          <w:lang w:val="es-ES" w:eastAsia="es-CO"/>
        </w:rPr>
        <w:tab/>
        <w:t>Con fundamento en lo anterior, el Gobierno Nacional expidió el Decreto 1860 de 2021 que</w:t>
      </w:r>
      <w:r w:rsidRPr="00AE0B32">
        <w:rPr>
          <w:rFonts w:ascii="Verdana" w:eastAsia="Arial" w:hAnsi="Verdana"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AE0B32">
        <w:rPr>
          <w:rFonts w:ascii="Verdana" w:eastAsia="Times New Roman" w:hAnsi="Verdana" w:cs="Arial"/>
          <w:szCs w:val="24"/>
          <w:lang w:eastAsia="es-MX"/>
        </w:rPr>
        <w:t xml:space="preserve">además de </w:t>
      </w:r>
      <w:r w:rsidRPr="00AE0B32">
        <w:rPr>
          <w:rFonts w:ascii="Verdana" w:eastAsia="Times New Roman" w:hAnsi="Verdana" w:cs="Arial"/>
          <w:szCs w:val="24"/>
          <w:lang w:eastAsia="es-MX"/>
        </w:rPr>
        <w:lastRenderedPageBreak/>
        <w:t>incluir algunas disposiciones adicionales para la reglamentación efectiva de la citada Ley</w:t>
      </w:r>
      <w:r w:rsidRPr="00AE0B32">
        <w:rPr>
          <w:rFonts w:ascii="Verdana" w:eastAsia="Times New Roman" w:hAnsi="Verdana" w:cs="Arial"/>
          <w:szCs w:val="24"/>
          <w:vertAlign w:val="superscript"/>
          <w:lang w:eastAsia="es-MX"/>
        </w:rPr>
        <w:footnoteReference w:id="2"/>
      </w:r>
      <w:r w:rsidRPr="00AE0B32">
        <w:rPr>
          <w:rFonts w:ascii="Verdana" w:eastAsia="Times New Roman" w:hAnsi="Verdana" w:cs="Arial"/>
          <w:szCs w:val="24"/>
          <w:lang w:eastAsia="es-MX"/>
        </w:rPr>
        <w:t>.</w:t>
      </w:r>
      <w:r w:rsidRPr="00AE0B32">
        <w:rPr>
          <w:rFonts w:ascii="Verdana" w:eastAsia="Arial" w:hAnsi="Verdana" w:cs="Arial"/>
          <w:szCs w:val="24"/>
          <w:lang w:eastAsia="es-CO"/>
        </w:rPr>
        <w:t xml:space="preserve"> </w:t>
      </w:r>
    </w:p>
    <w:p w14:paraId="14FAE47A" w14:textId="77777777" w:rsidR="006A7411" w:rsidRPr="00AE0B32" w:rsidRDefault="006A7411" w:rsidP="006A7411">
      <w:pPr>
        <w:spacing w:after="120" w:line="276" w:lineRule="auto"/>
        <w:ind w:firstLine="708"/>
        <w:jc w:val="both"/>
        <w:rPr>
          <w:rFonts w:ascii="Verdana" w:eastAsia="Arial" w:hAnsi="Verdana" w:cs="Arial"/>
          <w:lang w:eastAsia="es-MX"/>
        </w:rPr>
      </w:pPr>
      <w:r w:rsidRPr="00AE0B32">
        <w:rPr>
          <w:rFonts w:ascii="Verdana" w:eastAsia="Arial" w:hAnsi="Verdana" w:cs="Arial"/>
          <w:szCs w:val="24"/>
          <w:lang w:val="es-ES" w:eastAsia="es-CO"/>
        </w:rPr>
        <w:t>De esta manera, el artículo 3 del Decreto 1860 de 2021</w:t>
      </w:r>
      <w:bookmarkStart w:id="5" w:name="_Hlk110840316"/>
      <w:r w:rsidRPr="00AE0B32">
        <w:rPr>
          <w:rFonts w:ascii="Verdana" w:eastAsia="Times New Roman" w:hAnsi="Verdana" w:cs="Arial"/>
          <w:lang w:eastAsia="es-MX"/>
        </w:rPr>
        <w:t xml:space="preserve">, que adicionó </w:t>
      </w:r>
      <w:r w:rsidRPr="00AE0B32">
        <w:rPr>
          <w:rFonts w:ascii="Verdana" w:eastAsia="Times New Roman" w:hAnsi="Verdana" w:cs="Arial"/>
          <w:bCs/>
          <w:lang w:eastAsia="es-MX"/>
        </w:rPr>
        <w:t xml:space="preserve">el artículo 2.2.1.2.4.2.18 al </w:t>
      </w:r>
      <w:r w:rsidRPr="00AE0B32">
        <w:rPr>
          <w:rFonts w:ascii="Verdana" w:eastAsia="Times New Roman" w:hAnsi="Verdana" w:cs="Arial"/>
          <w:lang w:eastAsia="es-MX"/>
        </w:rPr>
        <w:t xml:space="preserve">Decreto 1082 de 2015 reglamentó los criterios diferenciales para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domiciliadas en Colombia. </w:t>
      </w:r>
    </w:p>
    <w:p w14:paraId="781BCA19" w14:textId="77777777" w:rsidR="006A7411" w:rsidRPr="00AE0B32" w:rsidRDefault="006A7411" w:rsidP="006A7411">
      <w:pPr>
        <w:spacing w:after="120" w:line="276" w:lineRule="auto"/>
        <w:jc w:val="both"/>
        <w:rPr>
          <w:rFonts w:ascii="Verdana" w:eastAsia="Times New Roman" w:hAnsi="Verdana" w:cs="Arial"/>
          <w:lang w:eastAsia="es-MX"/>
        </w:rPr>
      </w:pPr>
      <w:r w:rsidRPr="00AE0B32">
        <w:rPr>
          <w:rFonts w:ascii="Verdana" w:eastAsia="Arial" w:hAnsi="Verdana" w:cs="Arial"/>
          <w:lang w:eastAsia="es-MX"/>
        </w:rPr>
        <w:tab/>
      </w:r>
      <w:r w:rsidRPr="00AE0B32">
        <w:rPr>
          <w:rFonts w:ascii="Verdana" w:eastAsia="Times New Roman" w:hAnsi="Verdana" w:cs="Arial"/>
          <w:lang w:eastAsia="es-MX"/>
        </w:rPr>
        <w:t xml:space="preserve">Estos criterios en favor de las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buscan reducir las asimetrías entre estas y las grandes empresas para vincularse como proveedoras del mercado de compras públicas y, en consecuencia, promover y facilitar la participación en los procedimientos de selección competitivos de las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w:t>
      </w:r>
      <w:proofErr w:type="spellStart"/>
      <w:r w:rsidRPr="00AE0B32">
        <w:rPr>
          <w:rFonts w:ascii="Verdana" w:eastAsia="Times New Roman" w:hAnsi="Verdana" w:cs="Arial"/>
          <w:lang w:eastAsia="es-MX"/>
        </w:rPr>
        <w:t>ii</w:t>
      </w:r>
      <w:proofErr w:type="spellEnd"/>
      <w:r w:rsidRPr="00AE0B32">
        <w:rPr>
          <w:rFonts w:ascii="Verdana" w:eastAsia="Times New Roman" w:hAnsi="Verdana" w:cs="Arial"/>
          <w:lang w:eastAsia="es-MX"/>
        </w:rPr>
        <w:t xml:space="preserve">) número de contratos para la acreditación de la experiencia, </w:t>
      </w:r>
      <w:proofErr w:type="spellStart"/>
      <w:r w:rsidRPr="00AE0B32">
        <w:rPr>
          <w:rFonts w:ascii="Verdana" w:eastAsia="Times New Roman" w:hAnsi="Verdana" w:cs="Arial"/>
          <w:lang w:eastAsia="es-MX"/>
        </w:rPr>
        <w:t>iii</w:t>
      </w:r>
      <w:proofErr w:type="spellEnd"/>
      <w:r w:rsidRPr="00AE0B32">
        <w:rPr>
          <w:rFonts w:ascii="Verdana" w:eastAsia="Times New Roman" w:hAnsi="Verdana" w:cs="Arial"/>
          <w:lang w:eastAsia="es-MX"/>
        </w:rPr>
        <w:t xml:space="preserve">) índices de capacidad financiera, </w:t>
      </w:r>
      <w:proofErr w:type="spellStart"/>
      <w:r w:rsidRPr="00AE0B32">
        <w:rPr>
          <w:rFonts w:ascii="Verdana" w:eastAsia="Times New Roman" w:hAnsi="Verdana" w:cs="Arial"/>
          <w:lang w:eastAsia="es-MX"/>
        </w:rPr>
        <w:t>iv</w:t>
      </w:r>
      <w:proofErr w:type="spellEnd"/>
      <w:r w:rsidRPr="00AE0B32">
        <w:rPr>
          <w:rFonts w:ascii="Verdana" w:eastAsia="Times New Roman" w:hAnsi="Verdana" w:cs="Arial"/>
          <w:lang w:eastAsia="es-MX"/>
        </w:rPr>
        <w:t xml:space="preserve">) índices de capacidad organizacional y v) valor de la garantía de seriedad de la oferta. </w:t>
      </w:r>
    </w:p>
    <w:p w14:paraId="5D25209C" w14:textId="77777777" w:rsidR="006A7411" w:rsidRPr="00AE0B32" w:rsidRDefault="006A7411" w:rsidP="006A7411">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Lo anterior significa que para determinar los criterios diferenciales para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w:t>
      </w:r>
      <w:r w:rsidRPr="00AE0B32">
        <w:rPr>
          <w:rFonts w:ascii="Verdana" w:eastAsia="Times New Roman" w:hAnsi="Verdana" w:cs="Arial"/>
          <w:lang w:eastAsia="es-MX"/>
        </w:rPr>
        <w:lastRenderedPageBreak/>
        <w:t xml:space="preserve">demás proponentes que concurran al procedimiento de selección que no sean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w:t>
      </w:r>
    </w:p>
    <w:bookmarkEnd w:id="5"/>
    <w:p w14:paraId="7460E081" w14:textId="77777777" w:rsidR="006A7411" w:rsidRPr="00AE0B32" w:rsidRDefault="006A7411" w:rsidP="006A7411">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Igualmente, el decreto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43919AEA" w14:textId="77777777" w:rsidR="006A7411" w:rsidRPr="00AE0B32" w:rsidRDefault="006A7411" w:rsidP="006A7411">
      <w:pPr>
        <w:spacing w:after="120" w:line="276" w:lineRule="auto"/>
        <w:ind w:firstLine="708"/>
        <w:jc w:val="both"/>
        <w:rPr>
          <w:rFonts w:ascii="Verdana" w:eastAsia="Times New Roman" w:hAnsi="Verdana" w:cs="Arial"/>
          <w:lang w:eastAsia="es-MX"/>
        </w:rPr>
      </w:pPr>
      <w:r w:rsidRPr="00AE0B32">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y tiene una participación igual o superior al diez por ciento (10%) en el consorcio o en la unión temporal. Así mismo, de conformidad con el parágrafo 3 del artículo </w:t>
      </w:r>
      <w:r w:rsidRPr="00AE0B32">
        <w:rPr>
          <w:rFonts w:ascii="Verdana" w:eastAsia="Times New Roman" w:hAnsi="Verdana" w:cs="Arial"/>
          <w:bCs/>
          <w:lang w:eastAsia="es-MX"/>
        </w:rPr>
        <w:t xml:space="preserve">2.2.1.2.4.2.18 del </w:t>
      </w:r>
      <w:r w:rsidRPr="00AE0B32">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convocatorias a </w:t>
      </w:r>
      <w:proofErr w:type="spellStart"/>
      <w:r w:rsidRPr="00AE0B32">
        <w:rPr>
          <w:rFonts w:ascii="Verdana" w:eastAsia="Times New Roman" w:hAnsi="Verdana" w:cs="Arial"/>
          <w:lang w:eastAsia="es-MX"/>
        </w:rPr>
        <w:t>Mipyme</w:t>
      </w:r>
      <w:proofErr w:type="spellEnd"/>
      <w:r w:rsidRPr="00AE0B32">
        <w:rPr>
          <w:rFonts w:ascii="Verdana" w:eastAsia="Times New Roman" w:hAnsi="Verdana" w:cs="Arial"/>
          <w:lang w:eastAsia="es-MX"/>
        </w:rPr>
        <w:t xml:space="preserve"> en los términos de los artículos 2.2.1.2.4.2.2 y 2.2.1.2.4.2.3 de este Decreto. </w:t>
      </w:r>
    </w:p>
    <w:p w14:paraId="43F0EC22" w14:textId="77777777" w:rsidR="006A7411" w:rsidRPr="00AE0B32" w:rsidRDefault="006A7411" w:rsidP="006A7411">
      <w:pPr>
        <w:spacing w:after="120" w:line="276" w:lineRule="auto"/>
        <w:ind w:firstLine="708"/>
        <w:jc w:val="both"/>
        <w:rPr>
          <w:rFonts w:ascii="Verdana" w:eastAsia="Arial" w:hAnsi="Verdana" w:cs="Arial"/>
          <w:lang w:val="es-ES_tradnl"/>
        </w:rPr>
      </w:pPr>
      <w:r w:rsidRPr="00AE0B32">
        <w:rPr>
          <w:rFonts w:ascii="Verdana" w:hAnsi="Verdana" w:cs="Arial"/>
          <w:lang w:val="es-ES_tradnl"/>
        </w:rPr>
        <w:t xml:space="preserve">Ahora bien, teniendo en cuenta que el objeto de sus preguntas gira en torno a determinar si las ESAL pueden beneficiarse de dichos criterios diferenciales, resulta indispensable señalar que, el artículo 2 de la Ley 590 de 2000, modificado por el artículo 43 de la Ley 1450 de 2011, define la </w:t>
      </w:r>
      <w:r w:rsidRPr="00AE0B32">
        <w:rPr>
          <w:rFonts w:ascii="Verdana" w:hAnsi="Verdana" w:cs="Arial"/>
          <w:i/>
          <w:iCs/>
          <w:lang w:val="es-ES_tradnl"/>
        </w:rPr>
        <w:t>empresa</w:t>
      </w:r>
      <w:r w:rsidRPr="00AE0B32">
        <w:rPr>
          <w:rFonts w:ascii="Verdana" w:hAnsi="Verdana" w:cs="Arial"/>
          <w:lang w:val="es-ES_tradnl"/>
        </w:rPr>
        <w:t xml:space="preserve"> como toda unidad de explotación económica que realiza una persona natural o jurídica en actividades agropecuarias, industriales, comerciales o de servicios</w:t>
      </w:r>
      <w:r w:rsidRPr="00AE0B32">
        <w:rPr>
          <w:rFonts w:ascii="Verdana" w:hAnsi="Verdana" w:cs="Arial"/>
          <w:vertAlign w:val="superscript"/>
          <w:lang w:val="es-ES_tradnl"/>
        </w:rPr>
        <w:footnoteReference w:id="3"/>
      </w:r>
      <w:r w:rsidRPr="00AE0B32">
        <w:rPr>
          <w:rFonts w:ascii="Verdana" w:hAnsi="Verdana" w:cs="Arial"/>
          <w:lang w:val="es-ES_tradnl"/>
        </w:rPr>
        <w:t xml:space="preserve">. </w:t>
      </w:r>
      <w:r w:rsidRPr="00AE0B32">
        <w:rPr>
          <w:rFonts w:ascii="Verdana" w:hAnsi="Verdana" w:cs="Arial"/>
          <w:lang w:val="es-ES_tradnl"/>
        </w:rPr>
        <w:lastRenderedPageBreak/>
        <w:t>Además, establece que estas se clasifican en micro, pequeña, mediana y gran empresa, de acuerdo con los criterios del número de trabajadores totales, el valor de ventas brutales anuales y el valor de activos totales.</w:t>
      </w:r>
      <w:r w:rsidRPr="00AE0B32">
        <w:rPr>
          <w:rFonts w:ascii="Verdana" w:eastAsia="Arial" w:hAnsi="Verdana" w:cs="Arial"/>
          <w:lang w:val="es-ES_tradnl"/>
        </w:rPr>
        <w:t xml:space="preserve"> Ahora bien, el artículo 2.2.1.13.2.2. del Decreto 1074 de 2015, adicionado por el Decreto 957 de 2019, establece que: </w:t>
      </w:r>
    </w:p>
    <w:p w14:paraId="0C9FA820" w14:textId="77777777" w:rsidR="006A7411" w:rsidRPr="00AE0B32" w:rsidRDefault="006A7411" w:rsidP="006A7411">
      <w:pPr>
        <w:spacing w:after="120" w:line="276" w:lineRule="auto"/>
        <w:ind w:firstLine="709"/>
        <w:jc w:val="both"/>
        <w:rPr>
          <w:rFonts w:ascii="Verdana" w:eastAsia="Arial" w:hAnsi="Verdana" w:cs="Arial"/>
          <w:lang w:val="es-ES_tradnl"/>
        </w:rPr>
      </w:pPr>
      <w:r w:rsidRPr="00AE0B32">
        <w:rPr>
          <w:rFonts w:ascii="Verdana" w:eastAsia="Arial" w:hAnsi="Verdana" w:cs="Arial"/>
          <w:lang w:val="es-ES_tradnl"/>
        </w:rPr>
        <w:t xml:space="preserve">i) La </w:t>
      </w:r>
      <w:r w:rsidRPr="00AE0B32">
        <w:rPr>
          <w:rFonts w:ascii="Verdana" w:eastAsia="Arial" w:hAnsi="Verdana" w:cs="Arial"/>
          <w:i/>
          <w:iCs/>
          <w:lang w:val="es-ES_tradnl"/>
        </w:rPr>
        <w:t>mediana empresa</w:t>
      </w:r>
      <w:r w:rsidRPr="00AE0B32">
        <w:rPr>
          <w:rFonts w:ascii="Verdana" w:eastAsia="Arial" w:hAnsi="Verdana" w:cs="Arial"/>
          <w:lang w:val="es-ES_tradnl"/>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640189F2" w14:textId="77777777" w:rsidR="006A7411" w:rsidRPr="00AE0B32" w:rsidRDefault="006A7411" w:rsidP="006A7411">
      <w:pPr>
        <w:spacing w:after="120" w:line="276" w:lineRule="auto"/>
        <w:ind w:firstLine="709"/>
        <w:jc w:val="both"/>
        <w:rPr>
          <w:rFonts w:ascii="Verdana" w:eastAsia="Arial" w:hAnsi="Verdana" w:cs="Arial"/>
          <w:lang w:val="es-ES_tradnl"/>
        </w:rPr>
      </w:pPr>
      <w:proofErr w:type="spellStart"/>
      <w:r w:rsidRPr="00AE0B32">
        <w:rPr>
          <w:rFonts w:ascii="Verdana" w:eastAsia="Arial" w:hAnsi="Verdana" w:cs="Arial"/>
          <w:lang w:val="es-ES_tradnl"/>
        </w:rPr>
        <w:t>ii</w:t>
      </w:r>
      <w:proofErr w:type="spellEnd"/>
      <w:r w:rsidRPr="00AE0B32">
        <w:rPr>
          <w:rFonts w:ascii="Verdana" w:eastAsia="Arial" w:hAnsi="Verdana" w:cs="Arial"/>
          <w:lang w:val="es-ES_tradnl"/>
        </w:rPr>
        <w:t xml:space="preserve">) La </w:t>
      </w:r>
      <w:r w:rsidRPr="00AE0B32">
        <w:rPr>
          <w:rFonts w:ascii="Verdana" w:eastAsia="Arial" w:hAnsi="Verdana" w:cs="Arial"/>
          <w:i/>
          <w:iCs/>
          <w:lang w:val="es-ES_tradnl"/>
        </w:rPr>
        <w:t>pequeña empresa</w:t>
      </w:r>
      <w:r w:rsidRPr="00AE0B32">
        <w:rPr>
          <w:rFonts w:ascii="Verdana" w:eastAsia="Arial" w:hAnsi="Verdana" w:cs="Arial"/>
          <w:lang w:val="es-ES_tradnl"/>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w:t>
      </w:r>
      <w:r w:rsidRPr="00AE0B32">
        <w:rPr>
          <w:rFonts w:ascii="Verdana" w:eastAsia="Arial" w:hAnsi="Verdana" w:cs="Arial"/>
          <w:lang w:val="es-ES_tradnl"/>
        </w:rPr>
        <w:lastRenderedPageBreak/>
        <w:t>setecientos sesenta y nueve Unidades de Valor Tributario (44.769 UVT) e inferiores o iguales a cuatrocientos treinta y un mil ciento noventa y seis Unidades de Valor Tributario (431.196 UVT)”.</w:t>
      </w:r>
    </w:p>
    <w:p w14:paraId="2A15FD34" w14:textId="77777777" w:rsidR="006A7411" w:rsidRPr="00AE0B32" w:rsidRDefault="006A7411" w:rsidP="006A7411">
      <w:pPr>
        <w:spacing w:after="120" w:line="276" w:lineRule="auto"/>
        <w:ind w:firstLine="709"/>
        <w:jc w:val="both"/>
        <w:rPr>
          <w:rFonts w:ascii="Verdana" w:eastAsia="Arial" w:hAnsi="Verdana" w:cs="Arial"/>
          <w:lang w:val="es-ES_tradnl"/>
        </w:rPr>
      </w:pPr>
      <w:proofErr w:type="spellStart"/>
      <w:r w:rsidRPr="00AE0B32">
        <w:rPr>
          <w:rFonts w:ascii="Verdana" w:eastAsia="Arial" w:hAnsi="Verdana" w:cs="Arial"/>
          <w:lang w:val="es-ES_tradnl"/>
        </w:rPr>
        <w:t>iii</w:t>
      </w:r>
      <w:proofErr w:type="spellEnd"/>
      <w:r w:rsidRPr="00AE0B32">
        <w:rPr>
          <w:rFonts w:ascii="Verdana" w:eastAsia="Arial" w:hAnsi="Verdana" w:cs="Arial"/>
          <w:lang w:val="es-ES_tradnl"/>
        </w:rPr>
        <w:t xml:space="preserve">) La </w:t>
      </w:r>
      <w:r w:rsidRPr="00AE0B32">
        <w:rPr>
          <w:rFonts w:ascii="Verdana" w:eastAsia="Arial" w:hAnsi="Verdana" w:cs="Arial"/>
          <w:i/>
          <w:iCs/>
          <w:lang w:val="es-ES_tradnl"/>
        </w:rPr>
        <w:t>microempresa</w:t>
      </w:r>
      <w:r w:rsidRPr="00AE0B32">
        <w:rPr>
          <w:rFonts w:ascii="Verdana" w:eastAsia="Arial"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00AE0B32">
        <w:rPr>
          <w:rFonts w:ascii="Verdana" w:hAnsi="Verdana" w:cs="Arial"/>
          <w:vertAlign w:val="superscript"/>
          <w:lang w:val="es-ES_tradnl"/>
        </w:rPr>
        <w:footnoteReference w:id="4"/>
      </w:r>
      <w:r w:rsidRPr="00AE0B32">
        <w:rPr>
          <w:rFonts w:ascii="Verdana" w:eastAsia="Arial" w:hAnsi="Verdana" w:cs="Arial"/>
          <w:lang w:val="es-ES_tradnl"/>
        </w:rPr>
        <w:t>.</w:t>
      </w:r>
    </w:p>
    <w:p w14:paraId="289F8A23" w14:textId="77777777" w:rsidR="006A7411" w:rsidRPr="00AE0B32" w:rsidRDefault="006A7411" w:rsidP="006A7411">
      <w:pPr>
        <w:spacing w:after="120" w:line="276" w:lineRule="auto"/>
        <w:ind w:firstLine="709"/>
        <w:jc w:val="both"/>
        <w:rPr>
          <w:rFonts w:ascii="Verdana" w:hAnsi="Verdana" w:cs="Arial"/>
        </w:rPr>
      </w:pPr>
      <w:r w:rsidRPr="00AE0B32">
        <w:rPr>
          <w:rFonts w:ascii="Verdana" w:hAnsi="Verdana" w:cs="Arial"/>
          <w:lang w:val="es-ES_tradnl"/>
        </w:rPr>
        <w:t xml:space="preserve">Conforme a lo anterior, es importante precisar que esta Agencia ha sostenido de forma reiterada la tesis consistente en que las ESAL no pueden acceder a los beneficios a favor de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ni participar en los procesos contractuales limitados a estas, considerando que “</w:t>
      </w:r>
      <w:r w:rsidRPr="00AE0B32">
        <w:rPr>
          <w:rFonts w:ascii="Verdana" w:hAnsi="Verdana" w:cs="Arial"/>
        </w:rPr>
        <w:t xml:space="preserve">en virtud del artículo 43 de la Ley 1450 de 2011, que modificó el artículo 2 de la Ley 590 de 2000, […] puede decirse que solo podrán ser </w:t>
      </w:r>
      <w:proofErr w:type="spellStart"/>
      <w:r w:rsidRPr="00AE0B32">
        <w:rPr>
          <w:rFonts w:ascii="Verdana" w:hAnsi="Verdana" w:cs="Arial"/>
        </w:rPr>
        <w:t>Mipymes</w:t>
      </w:r>
      <w:proofErr w:type="spellEnd"/>
      <w:r w:rsidRPr="00AE0B32">
        <w:rPr>
          <w:rFonts w:ascii="Verdana" w:hAnsi="Verdana" w:cs="Arial"/>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AE0B32">
        <w:rPr>
          <w:rFonts w:ascii="Verdana" w:hAnsi="Verdana" w:cs="Arial"/>
        </w:rPr>
        <w:t>Mipymes</w:t>
      </w:r>
      <w:proofErr w:type="spellEnd"/>
      <w:r w:rsidRPr="00AE0B32">
        <w:rPr>
          <w:rFonts w:ascii="Verdana" w:hAnsi="Verdana" w:cs="Arial"/>
        </w:rPr>
        <w:t xml:space="preserve">. Lo anterior teniendo en cuenta que </w:t>
      </w:r>
      <w:r w:rsidRPr="00AE0B32">
        <w:rPr>
          <w:rFonts w:ascii="Verdana" w:hAnsi="Verdana" w:cs="Arial"/>
          <w:i/>
          <w:iCs/>
        </w:rPr>
        <w:t xml:space="preserve">no responden al concepto de empresa que involucra dicha categoría con ánimo de lucro, por lo que no resulta jurídicamente válido aplicar a las ESAL las normas dirigidas a las </w:t>
      </w:r>
      <w:proofErr w:type="spellStart"/>
      <w:r w:rsidRPr="00AE0B32">
        <w:rPr>
          <w:rFonts w:ascii="Verdana" w:hAnsi="Verdana" w:cs="Arial"/>
          <w:i/>
          <w:iCs/>
        </w:rPr>
        <w:t>Mipymes</w:t>
      </w:r>
      <w:proofErr w:type="spellEnd"/>
      <w:r w:rsidRPr="00AE0B32">
        <w:rPr>
          <w:rFonts w:ascii="Verdana" w:hAnsi="Verdana" w:cs="Arial"/>
        </w:rPr>
        <w:t>”</w:t>
      </w:r>
      <w:r w:rsidRPr="00AE0B32">
        <w:rPr>
          <w:rFonts w:ascii="Verdana" w:hAnsi="Verdana" w:cs="Arial"/>
          <w:vertAlign w:val="superscript"/>
        </w:rPr>
        <w:footnoteReference w:id="5"/>
      </w:r>
      <w:r w:rsidRPr="00AE0B32">
        <w:rPr>
          <w:rFonts w:ascii="Verdana" w:hAnsi="Verdana" w:cs="Arial"/>
        </w:rPr>
        <w:t xml:space="preserve">. </w:t>
      </w:r>
    </w:p>
    <w:p w14:paraId="0B8316D1" w14:textId="77777777" w:rsidR="006A7411" w:rsidRPr="00AE0B32" w:rsidRDefault="006A7411" w:rsidP="006A7411">
      <w:pPr>
        <w:spacing w:after="120" w:line="276" w:lineRule="auto"/>
        <w:ind w:firstLine="709"/>
        <w:jc w:val="both"/>
        <w:rPr>
          <w:rFonts w:ascii="Verdana" w:hAnsi="Verdana" w:cs="Arial"/>
          <w:lang w:val="es-ES_tradnl"/>
        </w:rPr>
      </w:pPr>
      <w:r w:rsidRPr="00AE0B32">
        <w:rPr>
          <w:rFonts w:ascii="Verdana" w:hAnsi="Verdana" w:cs="Arial"/>
          <w:lang w:val="es-ES_tradnl"/>
        </w:rPr>
        <w:t xml:space="preserve">Retomando la postura indicada, debe aclararse que en virtud del artículo 43 de la Ley 1450 de 2011, que modificó el artículo 2 de la Ley 590 de 2000, y a la luz de las consideraciones contenidas en los párrafos precedentes, puede decirse que solo podrán ser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las empresas, entendidas estas como las unidades de explotación económica que buscan el reparto de utilidades entre los miembros de la empresa, sin perjuicio de las precisiones que se realizarán más </w:t>
      </w:r>
      <w:r w:rsidRPr="00AE0B32">
        <w:rPr>
          <w:rFonts w:ascii="Verdana" w:hAnsi="Verdana" w:cs="Arial"/>
          <w:lang w:val="es-ES_tradnl"/>
        </w:rPr>
        <w:lastRenderedPageBreak/>
        <w:t xml:space="preserve">adelante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en el sistema de compras públicas, ni podrán participar en los procesos de contratación limitados a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Lo anterior, teniendo en cuenta que no responden al concepto de empresa por no ejercer una actividad con ánimo de lucro, por lo que no resulta jurídicamente válido aplicar a las ESAL las normas dirigidas a las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w:t>
      </w:r>
    </w:p>
    <w:p w14:paraId="3F0F08F2" w14:textId="77777777" w:rsidR="006A7411" w:rsidRPr="00AE0B32" w:rsidRDefault="006A7411" w:rsidP="006A7411">
      <w:pPr>
        <w:spacing w:after="120" w:line="276" w:lineRule="auto"/>
        <w:ind w:firstLine="708"/>
        <w:jc w:val="both"/>
        <w:rPr>
          <w:rFonts w:ascii="Verdana" w:hAnsi="Verdana" w:cs="Arial"/>
          <w:lang w:val="es-ES_tradnl"/>
        </w:rPr>
      </w:pPr>
      <w:r w:rsidRPr="00AE0B32">
        <w:rPr>
          <w:rFonts w:ascii="Verdana" w:hAnsi="Verdana" w:cs="Arial"/>
          <w:lang w:val="es-ES_tradnl"/>
        </w:rPr>
        <w:t xml:space="preserve">Lo anterior no quiere decir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EGCAP, salvo aquellos procesos contractuales limitados a </w:t>
      </w:r>
      <w:proofErr w:type="spellStart"/>
      <w:r w:rsidRPr="00AE0B32">
        <w:rPr>
          <w:rFonts w:ascii="Verdana" w:hAnsi="Verdana" w:cs="Arial"/>
          <w:lang w:val="es-ES_tradnl"/>
        </w:rPr>
        <w:t>Mipymes</w:t>
      </w:r>
      <w:proofErr w:type="spellEnd"/>
      <w:r w:rsidRPr="00AE0B32">
        <w:rPr>
          <w:rFonts w:ascii="Verdana" w:hAnsi="Verdana" w:cs="Arial"/>
          <w:lang w:val="es-ES_tradnl"/>
        </w:rPr>
        <w:t xml:space="preserve">, con excepción de lo que se explicará a continuación en relación con las cooperativas y demás entidades de economía solidaria. </w:t>
      </w:r>
    </w:p>
    <w:p w14:paraId="3ED70E85" w14:textId="77777777" w:rsidR="006A7411" w:rsidRPr="00AE0B32" w:rsidRDefault="006A7411" w:rsidP="006A7411">
      <w:pPr>
        <w:spacing w:after="0"/>
        <w:ind w:firstLine="709"/>
        <w:jc w:val="both"/>
        <w:rPr>
          <w:rFonts w:ascii="Verdana" w:eastAsia="Calibri" w:hAnsi="Verdana" w:cs="Arial"/>
          <w:color w:val="000000" w:themeColor="text1"/>
          <w:lang w:val="es-ES_tradnl"/>
        </w:rPr>
      </w:pPr>
      <w:r w:rsidRPr="00AE0B32">
        <w:rPr>
          <w:rFonts w:ascii="Verdana" w:hAnsi="Verdana" w:cs="Arial"/>
          <w:color w:val="000000" w:themeColor="text1"/>
          <w:lang w:val="es-ES_tradnl"/>
        </w:rPr>
        <w:t>La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De esta manera, e</w:t>
      </w:r>
      <w:r w:rsidRPr="00AE0B32">
        <w:rPr>
          <w:rFonts w:ascii="Verdana" w:eastAsia="Calibri" w:hAnsi="Verdana" w:cs="Arial"/>
          <w:color w:val="000000" w:themeColor="text1"/>
          <w:lang w:val="es-ES_tradnl"/>
        </w:rPr>
        <w:t>l artículo 2 de la Ley 2143 de 2021 actualmente establece la definición y naturaleza de las asociaciones mutualistas, estableciendo que:</w:t>
      </w:r>
    </w:p>
    <w:p w14:paraId="5B54DFA7" w14:textId="77777777" w:rsidR="006A7411" w:rsidRPr="00AE0B32" w:rsidRDefault="006A7411" w:rsidP="006A7411">
      <w:pPr>
        <w:spacing w:after="0" w:line="276" w:lineRule="auto"/>
        <w:ind w:left="709" w:right="760"/>
        <w:jc w:val="both"/>
        <w:rPr>
          <w:rFonts w:ascii="Verdana" w:hAnsi="Verdana" w:cs="Arial"/>
          <w:color w:val="000000" w:themeColor="text1"/>
          <w:lang w:val="es-ES_tradnl"/>
        </w:rPr>
      </w:pPr>
    </w:p>
    <w:p w14:paraId="6214F39D" w14:textId="77777777" w:rsidR="006A7411" w:rsidRPr="00AE0B32" w:rsidRDefault="006A7411" w:rsidP="006A7411">
      <w:pPr>
        <w:spacing w:after="0" w:line="240" w:lineRule="auto"/>
        <w:ind w:left="709" w:right="709"/>
        <w:jc w:val="both"/>
        <w:rPr>
          <w:rFonts w:ascii="Verdana" w:hAnsi="Verdana" w:cs="Arial"/>
          <w:color w:val="000000" w:themeColor="text1"/>
          <w:sz w:val="20"/>
          <w:szCs w:val="20"/>
          <w:lang w:val="es-ES_tradnl"/>
        </w:rPr>
      </w:pPr>
      <w:r w:rsidRPr="00AE0B32">
        <w:rPr>
          <w:rFonts w:ascii="Verdana" w:hAnsi="Verdana" w:cs="Arial"/>
          <w:i/>
          <w:iCs/>
          <w:color w:val="000000" w:themeColor="text1"/>
          <w:sz w:val="20"/>
          <w:szCs w:val="20"/>
          <w:lang w:val="es-ES_tradnl"/>
        </w:rPr>
        <w:t>“Las asociaciones mutualistas son empresas de economía solidaria, de derecho privado, cuya naturaleza es sin ánimo de lucro</w:t>
      </w:r>
      <w:r w:rsidRPr="00AE0B32">
        <w:rPr>
          <w:rFonts w:ascii="Verdana" w:hAnsi="Verdana" w:cs="Arial"/>
          <w:color w:val="000000" w:themeColor="text1"/>
          <w:sz w:val="20"/>
          <w:szCs w:val="20"/>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58D2C818" w14:textId="77777777" w:rsidR="006A7411" w:rsidRPr="00AE0B32" w:rsidRDefault="006A7411" w:rsidP="006A7411">
      <w:pPr>
        <w:spacing w:after="0" w:line="240" w:lineRule="auto"/>
        <w:ind w:left="709" w:right="709"/>
        <w:jc w:val="both"/>
        <w:rPr>
          <w:rFonts w:ascii="Verdana" w:hAnsi="Verdana" w:cs="Arial"/>
          <w:color w:val="000000" w:themeColor="text1"/>
          <w:sz w:val="20"/>
          <w:szCs w:val="20"/>
          <w:lang w:val="es-ES_tradnl"/>
        </w:rPr>
      </w:pPr>
    </w:p>
    <w:p w14:paraId="29531670" w14:textId="77777777" w:rsidR="006A7411" w:rsidRPr="00AE0B32" w:rsidRDefault="006A7411" w:rsidP="006A7411">
      <w:pPr>
        <w:spacing w:after="0" w:line="240" w:lineRule="auto"/>
        <w:ind w:left="709" w:right="709"/>
        <w:jc w:val="both"/>
        <w:rPr>
          <w:rFonts w:ascii="Verdana" w:eastAsia="Calibri" w:hAnsi="Verdana" w:cs="Arial"/>
          <w:color w:val="000000" w:themeColor="text1"/>
          <w:sz w:val="20"/>
          <w:szCs w:val="20"/>
          <w:lang w:val="es-ES_tradnl"/>
        </w:rPr>
      </w:pPr>
      <w:r w:rsidRPr="00AE0B32">
        <w:rPr>
          <w:rFonts w:ascii="Verdana" w:hAnsi="Verdana" w:cs="Arial"/>
          <w:color w:val="000000" w:themeColor="text1"/>
          <w:sz w:val="20"/>
          <w:szCs w:val="20"/>
          <w:lang w:val="es-ES_tradnl"/>
        </w:rPr>
        <w:lastRenderedPageBreak/>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AE0B32">
        <w:rPr>
          <w:rFonts w:ascii="Verdana" w:eastAsia="Calibri" w:hAnsi="Verdana" w:cs="Arial"/>
          <w:color w:val="000000" w:themeColor="text1"/>
          <w:sz w:val="20"/>
          <w:szCs w:val="20"/>
          <w:lang w:val="es-ES_tradnl"/>
        </w:rPr>
        <w:t>.</w:t>
      </w:r>
    </w:p>
    <w:p w14:paraId="739098BB" w14:textId="77777777" w:rsidR="006A7411" w:rsidRPr="00AE0B32" w:rsidRDefault="006A7411" w:rsidP="006A7411">
      <w:pPr>
        <w:spacing w:after="0" w:line="276" w:lineRule="auto"/>
        <w:ind w:left="709" w:right="709"/>
        <w:jc w:val="both"/>
        <w:rPr>
          <w:rFonts w:ascii="Verdana" w:eastAsia="Calibri" w:hAnsi="Verdana" w:cs="Arial"/>
          <w:color w:val="000000" w:themeColor="text1"/>
          <w:lang w:val="es-ES_tradnl"/>
        </w:rPr>
      </w:pPr>
    </w:p>
    <w:p w14:paraId="0D403A2B" w14:textId="77777777" w:rsidR="006A7411" w:rsidRPr="00AE0B32" w:rsidRDefault="006A7411" w:rsidP="006A7411">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Además de lo anterior, la Ley 2143 de 2021, “por la cual se dota a las asociaciones mutualistas de identidad, autonomía y vinculación a la economía del país como empresas solidarias y se establecen otras disposiciones”, se encarga de regular el régimen de las asociaciones mutualistas, siendo importante destacar que estas son concebidas como empresas de economía solidaria.</w:t>
      </w:r>
    </w:p>
    <w:p w14:paraId="74043D63" w14:textId="77777777" w:rsidR="006A7411" w:rsidRPr="00AE0B32" w:rsidRDefault="006A7411" w:rsidP="006A7411">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AE0B32">
        <w:rPr>
          <w:rFonts w:ascii="Verdana" w:hAnsi="Verdana" w:cs="Arial"/>
          <w:color w:val="000000" w:themeColor="text1"/>
          <w:vertAlign w:val="superscript"/>
          <w:lang w:val="es-ES_tradnl"/>
        </w:rPr>
        <w:footnoteReference w:id="6"/>
      </w:r>
      <w:r w:rsidRPr="00AE0B32">
        <w:rPr>
          <w:rFonts w:ascii="Verdana" w:eastAsia="Calibri" w:hAnsi="Verdana" w:cs="Arial"/>
          <w:color w:val="000000" w:themeColor="text1"/>
          <w:lang w:val="es-ES_tradnl"/>
        </w:rPr>
        <w:t xml:space="preserve"> establece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número mínimo de socios fundadores, reduciéndolo a tres (3), disponiendo, además, algunas medidas dirigidas a regular la concentración de la participación en las cooperativas con menos de diez (10) socios</w:t>
      </w:r>
      <w:r w:rsidRPr="00AE0B32">
        <w:rPr>
          <w:rFonts w:ascii="Verdana" w:hAnsi="Verdana" w:cs="Arial"/>
          <w:color w:val="000000" w:themeColor="text1"/>
          <w:vertAlign w:val="superscript"/>
          <w:lang w:val="es-ES_tradnl"/>
        </w:rPr>
        <w:footnoteReference w:id="7"/>
      </w:r>
      <w:r w:rsidRPr="00AE0B32">
        <w:rPr>
          <w:rFonts w:ascii="Verdana" w:eastAsia="Calibri" w:hAnsi="Verdana" w:cs="Arial"/>
          <w:color w:val="000000" w:themeColor="text1"/>
          <w:lang w:val="es-ES_tradnl"/>
        </w:rPr>
        <w:t>.</w:t>
      </w:r>
    </w:p>
    <w:p w14:paraId="61B400E4" w14:textId="77777777" w:rsidR="006A7411" w:rsidRPr="00AE0B32" w:rsidRDefault="006A7411" w:rsidP="006A7411">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lastRenderedPageBreak/>
        <w:tab/>
        <w:t xml:space="preserve"> Es necesario destacar que tanto las asociaciones mutualistas como las cooperativas tienen la calidad de empresas de economía solidaria de conformidad con el artículo 6 de la Ley 454 de 1998</w:t>
      </w:r>
      <w:r w:rsidRPr="00AE0B32">
        <w:rPr>
          <w:rFonts w:ascii="Verdana" w:hAnsi="Verdana" w:cs="Arial"/>
          <w:color w:val="000000" w:themeColor="text1"/>
          <w:vertAlign w:val="superscript"/>
          <w:lang w:val="es-ES_tradnl"/>
        </w:rPr>
        <w:footnoteReference w:id="8"/>
      </w:r>
      <w:r w:rsidRPr="00AE0B32">
        <w:rPr>
          <w:rFonts w:ascii="Verdana" w:eastAsia="Calibri" w:hAnsi="Verdana" w:cs="Arial"/>
          <w:color w:val="000000" w:themeColor="text1"/>
          <w:lang w:val="es-ES_tradnl"/>
        </w:rPr>
        <w:t xml:space="preserve">, lo que además es confirmado por la Ley 2143 de 2021 respecto de las asociaciones mutualistas. De esta manera, el artículo 2 de la Ley 454 de 1998 define la economía solidaria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51930378" w14:textId="77777777" w:rsidR="006A7411" w:rsidRPr="00AE0B32" w:rsidRDefault="006A7411" w:rsidP="006A7411">
      <w:pPr>
        <w:spacing w:after="120" w:line="276" w:lineRule="auto"/>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ab/>
        <w:t xml:space="preserve">Ahora bien, el artículo 23 de la Ley 2069 de 2020, para efectos de la aplicación de su contenido, asimila las cooperativas y las </w:t>
      </w:r>
      <w:r w:rsidRPr="00AE0B32">
        <w:rPr>
          <w:rFonts w:ascii="Verdana" w:eastAsia="Calibri" w:hAnsi="Verdana" w:cs="Arial"/>
          <w:i/>
          <w:iCs/>
          <w:color w:val="000000" w:themeColor="text1"/>
          <w:lang w:val="es-ES_tradnl"/>
        </w:rPr>
        <w:t>demás entidades de economía solidaria</w:t>
      </w:r>
      <w:r w:rsidRPr="00AE0B32">
        <w:rPr>
          <w:rFonts w:ascii="Verdana" w:eastAsia="Calibri" w:hAnsi="Verdana" w:cs="Arial"/>
          <w:color w:val="000000" w:themeColor="text1"/>
          <w:lang w:val="es-ES_tradnl"/>
        </w:rPr>
        <w:t xml:space="preserve"> a empresas –dentro de las cuales se encuentran las asociaciones mutualistas–, disponiendo, además, que estas deberán ser clasificadas como </w:t>
      </w:r>
      <w:proofErr w:type="spellStart"/>
      <w:r w:rsidRPr="00AE0B32">
        <w:rPr>
          <w:rFonts w:ascii="Verdana" w:eastAsia="Calibri" w:hAnsi="Verdana" w:cs="Arial"/>
          <w:color w:val="000000" w:themeColor="text1"/>
          <w:lang w:val="es-ES_tradnl"/>
        </w:rPr>
        <w:t>Mipymes</w:t>
      </w:r>
      <w:proofErr w:type="spellEnd"/>
      <w:r w:rsidRPr="00AE0B32">
        <w:rPr>
          <w:rFonts w:ascii="Verdana" w:eastAsia="Calibri" w:hAnsi="Verdana" w:cs="Arial"/>
          <w:color w:val="000000" w:themeColor="text1"/>
          <w:lang w:val="es-ES_tradnl"/>
        </w:rPr>
        <w:t>, de conformidad con el artículo 2 de la Ley 590 de 2000 y el Decreto 957 de 2019, los cuales desarrollan la clasificación en las categorías micro, pequeña y mediana en función del tamaño empresarial</w:t>
      </w:r>
      <w:r w:rsidRPr="00AE0B32">
        <w:rPr>
          <w:rFonts w:ascii="Verdana" w:hAnsi="Verdana" w:cs="Arial"/>
          <w:color w:val="000000" w:themeColor="text1"/>
          <w:vertAlign w:val="superscript"/>
          <w:lang w:val="es-ES_tradnl"/>
        </w:rPr>
        <w:footnoteReference w:id="9"/>
      </w:r>
      <w:r w:rsidRPr="00AE0B32">
        <w:rPr>
          <w:rFonts w:ascii="Verdana" w:eastAsia="Calibri" w:hAnsi="Verdana" w:cs="Arial"/>
          <w:color w:val="000000" w:themeColor="text1"/>
          <w:lang w:val="es-ES_tradnl"/>
        </w:rPr>
        <w:t xml:space="preserve">. El principal efecto de esta norma es que, a las cooperativas, las asociaciones </w:t>
      </w:r>
      <w:r w:rsidRPr="00AE0B32">
        <w:rPr>
          <w:rFonts w:ascii="Verdana" w:eastAsia="Calibri" w:hAnsi="Verdana" w:cs="Arial"/>
          <w:color w:val="000000" w:themeColor="text1"/>
          <w:lang w:val="es-ES_tradnl"/>
        </w:rPr>
        <w:lastRenderedPageBreak/>
        <w:t xml:space="preserve">mutualistas y a las demás entidades de economía solidaria –al ser consideradas como </w:t>
      </w:r>
      <w:proofErr w:type="spellStart"/>
      <w:r w:rsidRPr="00AE0B32">
        <w:rPr>
          <w:rFonts w:ascii="Verdana" w:eastAsia="Calibri" w:hAnsi="Verdana" w:cs="Arial"/>
          <w:color w:val="000000" w:themeColor="text1"/>
          <w:lang w:val="es-ES_tradnl"/>
        </w:rPr>
        <w:t>Mipyme</w:t>
      </w:r>
      <w:proofErr w:type="spellEnd"/>
      <w:r w:rsidRPr="00AE0B32">
        <w:rPr>
          <w:rFonts w:ascii="Verdana" w:eastAsia="Calibri" w:hAnsi="Verdana" w:cs="Arial"/>
          <w:color w:val="000000" w:themeColor="text1"/>
          <w:lang w:val="es-ES_tradnl"/>
        </w:rPr>
        <w:t>– les son aplicables las disposiciones alusivas a estas contenidas en la Ley 2069 de 2020.</w:t>
      </w:r>
    </w:p>
    <w:p w14:paraId="0FF8E7DE" w14:textId="77777777" w:rsidR="006A7411" w:rsidRPr="00AE0B32" w:rsidRDefault="006A7411" w:rsidP="006A7411">
      <w:pPr>
        <w:spacing w:after="120" w:line="276" w:lineRule="auto"/>
        <w:ind w:firstLine="708"/>
        <w:jc w:val="both"/>
        <w:rPr>
          <w:rFonts w:ascii="Verdana" w:eastAsia="Calibri" w:hAnsi="Verdana" w:cs="Arial"/>
          <w:color w:val="000000" w:themeColor="text1"/>
          <w:lang w:val="es-ES_tradnl"/>
        </w:rPr>
      </w:pPr>
      <w:r w:rsidRPr="00AE0B32">
        <w:rPr>
          <w:rFonts w:ascii="Verdana" w:eastAsia="Calibri" w:hAnsi="Verdana" w:cs="Arial"/>
          <w:color w:val="000000" w:themeColor="text1"/>
          <w:lang w:val="es-ES_tradnl"/>
        </w:rPr>
        <w:t xml:space="preserve">Es necesario mencionar que la asimilación dispuesta por el artículo 23 </w:t>
      </w:r>
      <w:r w:rsidRPr="00AE0B32">
        <w:rPr>
          <w:rFonts w:ascii="Verdana" w:eastAsia="Calibri" w:hAnsi="Verdana" w:cs="Arial"/>
          <w:i/>
          <w:iCs/>
          <w:color w:val="000000" w:themeColor="text1"/>
          <w:lang w:val="es-ES_tradnl"/>
        </w:rPr>
        <w:t xml:space="preserve">ibidem </w:t>
      </w:r>
      <w:r w:rsidRPr="00AE0B32">
        <w:rPr>
          <w:rFonts w:ascii="Verdana" w:eastAsia="Calibri" w:hAnsi="Verdana" w:cs="Arial"/>
          <w:color w:val="000000" w:themeColor="text1"/>
          <w:lang w:val="es-ES_tradnl"/>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w:t>
      </w:r>
      <w:proofErr w:type="spellStart"/>
      <w:r w:rsidRPr="00AE0B32">
        <w:rPr>
          <w:rFonts w:ascii="Verdana" w:eastAsia="Calibri" w:hAnsi="Verdana" w:cs="Arial"/>
          <w:color w:val="000000" w:themeColor="text1"/>
          <w:lang w:val="es-ES_tradnl"/>
        </w:rPr>
        <w:t>Mipyme</w:t>
      </w:r>
      <w:proofErr w:type="spellEnd"/>
      <w:r w:rsidRPr="00AE0B32">
        <w:rPr>
          <w:rFonts w:ascii="Verdana" w:eastAsia="Calibri" w:hAnsi="Verdana" w:cs="Arial"/>
          <w:color w:val="000000" w:themeColor="text1"/>
          <w:lang w:val="es-ES_tradnl"/>
        </w:rPr>
        <w:t xml:space="preserve"> es una acción tendiente a vincularlas como proveedoras del mercado de compra pública dentro del ámbito de explotación económica que la ley les ha concedido a estas entidades del sector solidario, el cual ha sido ampliado por la Ley 2069 de 2020. </w:t>
      </w:r>
    </w:p>
    <w:p w14:paraId="5AE3D7E2" w14:textId="77777777" w:rsidR="006A7411" w:rsidRPr="00AE0B32" w:rsidRDefault="006A7411" w:rsidP="006A7411">
      <w:pPr>
        <w:spacing w:after="120" w:line="276" w:lineRule="auto"/>
        <w:jc w:val="both"/>
        <w:rPr>
          <w:rFonts w:ascii="Verdana" w:hAnsi="Verdana" w:cs="Arial"/>
          <w:color w:val="000000" w:themeColor="text1"/>
          <w:lang w:val="es-ES_tradnl"/>
        </w:rPr>
      </w:pPr>
      <w:r w:rsidRPr="00AE0B32">
        <w:rPr>
          <w:rFonts w:ascii="Verdana" w:eastAsia="Calibri" w:hAnsi="Verdana" w:cs="Arial"/>
          <w:color w:val="000000" w:themeColor="text1"/>
          <w:lang w:val="es-ES_tradnl"/>
        </w:rPr>
        <w:tab/>
        <w:t>A pesar de que las cooperativas, las asociaciones mutuales y, en general, las empresas de economía solidaria tienen, por disposición de la ley, la naturaleza de ESAL, se distinguen de la generalidad de las entidades sin ánimo de lucro</w:t>
      </w:r>
      <w:r w:rsidRPr="00AE0B32">
        <w:rPr>
          <w:rFonts w:ascii="Verdana" w:hAnsi="Verdana" w:cs="Arial"/>
          <w:color w:val="000000" w:themeColor="text1"/>
          <w:lang w:val="es-ES_tradnl"/>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71DDE7B1" w14:textId="77777777" w:rsidR="006A7411" w:rsidRPr="003C6720" w:rsidRDefault="006A7411" w:rsidP="006A7411">
      <w:pPr>
        <w:spacing w:after="120" w:line="276" w:lineRule="auto"/>
        <w:ind w:firstLine="708"/>
        <w:jc w:val="both"/>
        <w:rPr>
          <w:rFonts w:ascii="Verdana" w:hAnsi="Verdana" w:cs="Arial"/>
          <w:color w:val="000000" w:themeColor="text1"/>
          <w:lang w:val="es-ES_tradnl"/>
        </w:rPr>
      </w:pPr>
      <w:r w:rsidRPr="003C6720">
        <w:rPr>
          <w:rFonts w:ascii="Verdana" w:hAnsi="Verdana" w:cs="Arial"/>
          <w:color w:val="000000" w:themeColor="text1"/>
          <w:lang w:val="es-ES_tradnl"/>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desarrollar obras de servicio a la comunidad en general, para lo cual deben estar constituidas como empresas.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690E7566" w14:textId="77777777" w:rsidR="006A7411" w:rsidRPr="003C6720" w:rsidRDefault="006A7411" w:rsidP="006A7411">
      <w:pPr>
        <w:spacing w:after="120" w:line="276" w:lineRule="auto"/>
        <w:ind w:firstLine="708"/>
        <w:jc w:val="both"/>
        <w:rPr>
          <w:rFonts w:ascii="Verdana" w:eastAsia="Times New Roman" w:hAnsi="Verdana" w:cs="Arial"/>
          <w:color w:val="000000" w:themeColor="text1"/>
          <w:lang w:eastAsia="es-MX"/>
        </w:rPr>
      </w:pPr>
      <w:r>
        <w:rPr>
          <w:rFonts w:ascii="Verdana" w:eastAsia="Calibri" w:hAnsi="Verdana" w:cs="Arial"/>
          <w:color w:val="000000" w:themeColor="text1"/>
          <w:lang w:val="es-ES_tradnl"/>
        </w:rPr>
        <w:t>Finalmente</w:t>
      </w:r>
      <w:r w:rsidRPr="003C6720">
        <w:rPr>
          <w:rFonts w:ascii="Verdana" w:eastAsia="Calibri" w:hAnsi="Verdana" w:cs="Arial"/>
          <w:color w:val="000000" w:themeColor="text1"/>
          <w:lang w:val="es-ES_tradnl"/>
        </w:rPr>
        <w:t>, la entrada en vigor del artículo 23 de la Ley 2069 de 2020 avala la posibilidad de que cooperativas, asociaciones mutuales y demás entes considerados de economía solidaria, según el artículo 6 de la Ley 454 de 1998 –</w:t>
      </w:r>
      <w:r w:rsidRPr="003C6720">
        <w:rPr>
          <w:rFonts w:ascii="Verdana" w:eastAsia="Calibri" w:hAnsi="Verdana" w:cs="Arial"/>
          <w:color w:val="000000" w:themeColor="text1"/>
          <w:lang w:val="es-ES_tradnl"/>
        </w:rPr>
        <w:lastRenderedPageBreak/>
        <w:t xml:space="preserve">al que alude el propio artículo 23 de la Ley de Emprendimiento–, que sean clasificados como </w:t>
      </w:r>
      <w:proofErr w:type="spellStart"/>
      <w:r w:rsidRPr="003C6720">
        <w:rPr>
          <w:rFonts w:ascii="Verdana" w:eastAsia="Calibri" w:hAnsi="Verdana" w:cs="Arial"/>
          <w:color w:val="000000" w:themeColor="text1"/>
          <w:lang w:val="es-ES_tradnl"/>
        </w:rPr>
        <w:t>Mipymes</w:t>
      </w:r>
      <w:proofErr w:type="spellEnd"/>
      <w:r w:rsidRPr="003C6720">
        <w:rPr>
          <w:rFonts w:ascii="Verdana" w:eastAsia="Calibri" w:hAnsi="Verdana" w:cs="Arial"/>
          <w:color w:val="000000" w:themeColor="text1"/>
          <w:lang w:val="es-ES_tradnl"/>
        </w:rPr>
        <w:t>, puedan ser beneficiarias de los criterios diferenciales incorporados en el artículo 32 de la Ley 2069 de 2020 y regulados en el Decreto 1860 de 2021</w:t>
      </w:r>
      <w:r>
        <w:rPr>
          <w:rFonts w:ascii="Verdana" w:eastAsia="Calibri" w:hAnsi="Verdana" w:cs="Arial"/>
          <w:color w:val="000000" w:themeColor="text1"/>
          <w:lang w:val="es-ES_tradnl"/>
        </w:rPr>
        <w:t>.</w:t>
      </w:r>
      <w:r w:rsidRPr="003C6720">
        <w:rPr>
          <w:rFonts w:ascii="Verdana" w:eastAsia="Calibri" w:hAnsi="Verdana" w:cs="Arial"/>
          <w:color w:val="000000" w:themeColor="text1"/>
          <w:lang w:val="es-ES_tradnl"/>
        </w:rPr>
        <w:t xml:space="preserve"> </w:t>
      </w:r>
    </w:p>
    <w:bookmarkEnd w:id="3"/>
    <w:p w14:paraId="6ABAACE2"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rPr>
      </w:pPr>
    </w:p>
    <w:p w14:paraId="16874A59" w14:textId="77777777" w:rsidR="006A7411" w:rsidRPr="00231A90" w:rsidRDefault="006A7411" w:rsidP="006A7411">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Referencias normativas, jurisprudenciales y otras fuentes:</w:t>
      </w:r>
    </w:p>
    <w:p w14:paraId="5F3BEF8D"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7411" w:rsidRPr="00231A90" w14:paraId="572FAC21" w14:textId="77777777" w:rsidTr="00DC099B">
        <w:trPr>
          <w:trHeight w:val="870"/>
        </w:trPr>
        <w:tc>
          <w:tcPr>
            <w:tcW w:w="8647" w:type="dxa"/>
          </w:tcPr>
          <w:p w14:paraId="1961EF68" w14:textId="77777777" w:rsidR="006A7411"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Ley 79 de 19</w:t>
            </w:r>
            <w:r>
              <w:rPr>
                <w:rFonts w:ascii="Verdana" w:hAnsi="Verdana" w:cs="Arial"/>
              </w:rPr>
              <w:t>8</w:t>
            </w:r>
            <w:r w:rsidRPr="00A37605">
              <w:rPr>
                <w:rFonts w:ascii="Verdana" w:hAnsi="Verdana" w:cs="Arial"/>
              </w:rPr>
              <w:t>8, artículo 4</w:t>
            </w:r>
            <w:r>
              <w:rPr>
                <w:rFonts w:ascii="Verdana" w:hAnsi="Verdana" w:cs="Arial"/>
              </w:rPr>
              <w:t>.</w:t>
            </w:r>
          </w:p>
          <w:p w14:paraId="5D2A33EF" w14:textId="77777777" w:rsidR="006A7411" w:rsidRDefault="006A7411" w:rsidP="006A7411">
            <w:pPr>
              <w:widowControl w:val="0"/>
              <w:numPr>
                <w:ilvl w:val="0"/>
                <w:numId w:val="8"/>
              </w:numPr>
              <w:autoSpaceDE w:val="0"/>
              <w:autoSpaceDN w:val="0"/>
              <w:spacing w:line="276" w:lineRule="auto"/>
              <w:jc w:val="both"/>
              <w:rPr>
                <w:rFonts w:ascii="Verdana" w:hAnsi="Verdana" w:cs="Arial"/>
              </w:rPr>
            </w:pPr>
            <w:r>
              <w:rPr>
                <w:rFonts w:ascii="Verdana" w:hAnsi="Verdana" w:cs="Arial"/>
              </w:rPr>
              <w:t>Ley 454 de 1998, artículos 2 y 6.</w:t>
            </w:r>
          </w:p>
          <w:p w14:paraId="371738C8" w14:textId="77777777" w:rsidR="006A7411"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Ley 590 de 2000, artículo 2.</w:t>
            </w:r>
          </w:p>
          <w:p w14:paraId="10EA2C26" w14:textId="77777777" w:rsidR="006A7411" w:rsidRPr="00A37605"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Ley 1150 de 2007, artículo 12.</w:t>
            </w:r>
          </w:p>
          <w:p w14:paraId="02AC58F8" w14:textId="77777777" w:rsidR="006A7411" w:rsidRPr="00A37605"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Ley 1450 de 2011, artículo 43.</w:t>
            </w:r>
          </w:p>
          <w:p w14:paraId="28DDC72F" w14:textId="77777777" w:rsidR="006A7411" w:rsidRPr="00A37605"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Ley 2069 de 2020, artículo 34, artículo 23, artículo 22.</w:t>
            </w:r>
          </w:p>
          <w:p w14:paraId="5F2F2C8B" w14:textId="77777777" w:rsidR="006A7411" w:rsidRPr="00A37605"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Ley 2143 de 2021</w:t>
            </w:r>
            <w:r>
              <w:rPr>
                <w:rFonts w:ascii="Verdana" w:hAnsi="Verdana" w:cs="Arial"/>
              </w:rPr>
              <w:t>, artículo 1.</w:t>
            </w:r>
          </w:p>
          <w:p w14:paraId="2FCCB281" w14:textId="77777777" w:rsidR="006A7411"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Decreto 1074 de 2015, artículo 2.2.1.13.2.2.</w:t>
            </w:r>
          </w:p>
          <w:p w14:paraId="5AE8C8D1" w14:textId="77777777" w:rsidR="006A7411" w:rsidRPr="00A37605"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Decreto 1082 de 2015, artículo</w:t>
            </w:r>
            <w:r>
              <w:rPr>
                <w:rFonts w:ascii="Verdana" w:hAnsi="Verdana" w:cs="Arial"/>
              </w:rPr>
              <w:t>s</w:t>
            </w:r>
            <w:r w:rsidRPr="00A37605">
              <w:rPr>
                <w:rFonts w:ascii="Verdana" w:hAnsi="Verdana" w:cs="Arial"/>
              </w:rPr>
              <w:t xml:space="preserve"> 2.2.1.2.4.2.2, 2.2.1.2.4.2.3 </w:t>
            </w:r>
            <w:r>
              <w:rPr>
                <w:rFonts w:ascii="Verdana" w:hAnsi="Verdana" w:cs="Arial"/>
              </w:rPr>
              <w:t xml:space="preserve">y </w:t>
            </w:r>
            <w:r w:rsidRPr="007E2DF6">
              <w:rPr>
                <w:rFonts w:ascii="Verdana" w:eastAsia="Calibri" w:hAnsi="Verdana" w:cs="Arial"/>
                <w:color w:val="000000" w:themeColor="text1"/>
                <w:lang w:val="es-ES_tradnl"/>
              </w:rPr>
              <w:t>2.2.1.2.4.2.18</w:t>
            </w:r>
          </w:p>
          <w:p w14:paraId="2F6CDE7B" w14:textId="77777777" w:rsidR="006A7411" w:rsidRDefault="006A7411" w:rsidP="006A7411">
            <w:pPr>
              <w:widowControl w:val="0"/>
              <w:numPr>
                <w:ilvl w:val="0"/>
                <w:numId w:val="8"/>
              </w:numPr>
              <w:autoSpaceDE w:val="0"/>
              <w:autoSpaceDN w:val="0"/>
              <w:spacing w:line="276" w:lineRule="auto"/>
              <w:jc w:val="both"/>
              <w:rPr>
                <w:rFonts w:ascii="Verdana" w:hAnsi="Verdana" w:cs="Arial"/>
              </w:rPr>
            </w:pPr>
            <w:r w:rsidRPr="00A37605">
              <w:rPr>
                <w:rFonts w:ascii="Verdana" w:hAnsi="Verdana" w:cs="Arial"/>
              </w:rPr>
              <w:t>Decreto 957 de 2019.</w:t>
            </w:r>
          </w:p>
          <w:p w14:paraId="7E9FE561" w14:textId="77777777" w:rsidR="006A7411" w:rsidRPr="00231A90" w:rsidRDefault="006A7411" w:rsidP="006A7411">
            <w:pPr>
              <w:pStyle w:val="Prrafodelista"/>
              <w:widowControl w:val="0"/>
              <w:numPr>
                <w:ilvl w:val="0"/>
                <w:numId w:val="8"/>
              </w:numPr>
              <w:autoSpaceDE w:val="0"/>
              <w:autoSpaceDN w:val="0"/>
              <w:spacing w:line="276" w:lineRule="auto"/>
              <w:jc w:val="both"/>
              <w:rPr>
                <w:rFonts w:ascii="Verdana" w:hAnsi="Verdana" w:cs="Arial"/>
                <w:color w:val="000000" w:themeColor="text1"/>
              </w:rPr>
            </w:pPr>
            <w:r w:rsidRPr="00EA7B31">
              <w:rPr>
                <w:rFonts w:ascii="Verdana" w:hAnsi="Verdana" w:cs="Arial"/>
              </w:rPr>
              <w:t>Decreto 1860 de 2021, artículo 3.</w:t>
            </w:r>
            <w:r>
              <w:rPr>
                <w:rFonts w:ascii="Verdana" w:hAnsi="Verdana" w:cs="Arial"/>
              </w:rPr>
              <w:t xml:space="preserve"> </w:t>
            </w:r>
          </w:p>
        </w:tc>
      </w:tr>
    </w:tbl>
    <w:p w14:paraId="5AEB4B6C"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rPr>
      </w:pPr>
    </w:p>
    <w:p w14:paraId="0FB95B7C" w14:textId="77777777" w:rsidR="006A7411" w:rsidRPr="00231A90" w:rsidRDefault="006A7411" w:rsidP="006A7411">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231A90">
        <w:rPr>
          <w:rFonts w:ascii="Verdana" w:eastAsia="Century Gothic" w:hAnsi="Verdana" w:cs="Century Gothic"/>
          <w:b/>
          <w:bCs/>
          <w:color w:val="000000" w:themeColor="text1"/>
          <w:lang w:val="es-ES"/>
        </w:rPr>
        <w:t>Doctrina de la Agencia Nacional de Contratación Pública:</w:t>
      </w:r>
    </w:p>
    <w:p w14:paraId="54F75114"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rPr>
      </w:pPr>
    </w:p>
    <w:p w14:paraId="06F8A07E" w14:textId="72C3E466" w:rsidR="006A7411" w:rsidRDefault="006A7411" w:rsidP="006A7411">
      <w:pPr>
        <w:jc w:val="both"/>
        <w:rPr>
          <w:rFonts w:ascii="Verdana" w:hAnsi="Verdana" w:cs="Arial"/>
          <w:color w:val="000000" w:themeColor="text1"/>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sidRPr="00A37605">
        <w:rPr>
          <w:rFonts w:ascii="Verdana" w:eastAsia="Calibri" w:hAnsi="Verdana" w:cs="Arial"/>
          <w:shd w:val="clear" w:color="auto" w:fill="FFFFFF"/>
        </w:rPr>
        <w:t>en diferentes conceptos sobre la participación de las entidades sin ánimo de lucro –desde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w:t>
      </w:r>
      <w:r>
        <w:rPr>
          <w:rFonts w:ascii="Verdana" w:eastAsia="Calibri" w:hAnsi="Verdana" w:cs="Arial"/>
          <w:shd w:val="clear" w:color="auto" w:fill="FFFFFF"/>
        </w:rPr>
        <w:t>,</w:t>
      </w:r>
      <w:r w:rsidRPr="00A37605">
        <w:rPr>
          <w:rFonts w:ascii="Verdana" w:eastAsia="Calibri" w:hAnsi="Verdana" w:cs="Arial"/>
          <w:shd w:val="clear" w:color="auto" w:fill="FFFFFF"/>
        </w:rPr>
        <w:t xml:space="preserve"> C-094 de junio de 2024</w:t>
      </w:r>
      <w:r>
        <w:rPr>
          <w:rFonts w:ascii="Verdana" w:eastAsia="Calibri" w:hAnsi="Verdana" w:cs="Arial"/>
          <w:shd w:val="clear" w:color="auto" w:fill="FFFFFF"/>
        </w:rPr>
        <w:t>, C-206 de agosto de 2024 y C-1034 del 3 de febrero de 2025</w:t>
      </w:r>
      <w:r w:rsidRPr="0038350D">
        <w:rPr>
          <w:rFonts w:ascii="Verdana" w:eastAsia="Calibri" w:hAnsi="Verdana" w:cs="Arial"/>
          <w:shd w:val="clear" w:color="auto" w:fill="FFFFFF"/>
          <w:lang w:val="es-ES"/>
        </w:rPr>
        <w:t>, entre otros</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w:t>
      </w:r>
      <w:r w:rsidRPr="005A267A">
        <w:rPr>
          <w:rFonts w:ascii="Verdana" w:hAnsi="Verdana" w:cs="Arial"/>
          <w:shd w:val="clear" w:color="auto" w:fill="FFFFFF"/>
        </w:rPr>
        <w:lastRenderedPageBreak/>
        <w:t>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3"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p>
    <w:p w14:paraId="0C31535E" w14:textId="163F8E9C" w:rsidR="006A7411" w:rsidRDefault="006A7411" w:rsidP="006A7411">
      <w:pPr>
        <w:jc w:val="both"/>
        <w:rPr>
          <w:rFonts w:ascii="Verdana" w:hAnsi="Verdana" w:cs="Arial"/>
          <w:color w:val="000000" w:themeColor="text1"/>
          <w:shd w:val="clear" w:color="auto" w:fill="FFFFFF"/>
        </w:rPr>
      </w:pPr>
      <w:r w:rsidRPr="009A6907">
        <w:rPr>
          <w:rFonts w:ascii="Verdana" w:hAnsi="Verdana" w:cs="Arial"/>
          <w:color w:val="000000" w:themeColor="text1"/>
          <w:shd w:val="clear" w:color="auto" w:fill="FFFFFF"/>
        </w:rPr>
        <w:t>Te informamos que ya se encuentra disponible la </w:t>
      </w:r>
      <w:r w:rsidRPr="009A6907">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9A6907">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9A6907">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56BCE70C" w14:textId="011E1DC0" w:rsidR="006A7411" w:rsidRDefault="006A7411" w:rsidP="006A7411">
      <w:pPr>
        <w:jc w:val="both"/>
        <w:rPr>
          <w:rFonts w:ascii="Verdana" w:hAnsi="Verdana" w:cs="Arial"/>
          <w:color w:val="000000" w:themeColor="text1"/>
          <w:shd w:val="clear" w:color="auto" w:fill="FFFFFF"/>
        </w:rPr>
      </w:pPr>
      <w:r w:rsidRPr="009A6907">
        <w:rPr>
          <w:rFonts w:ascii="Verdana" w:hAnsi="Verdana" w:cs="Arial"/>
          <w:color w:val="000000" w:themeColor="text1"/>
          <w:shd w:val="clear" w:color="auto" w:fill="FFFFFF"/>
        </w:rPr>
        <w:t>De otra parte, te informamos que, con el objetivo de garantizar un conocimiento adecuado de las </w:t>
      </w:r>
      <w:r w:rsidRPr="009A6907">
        <w:rPr>
          <w:rFonts w:ascii="Verdana" w:hAnsi="Verdana" w:cs="Arial"/>
          <w:b/>
          <w:bCs/>
          <w:color w:val="000000" w:themeColor="text1"/>
          <w:shd w:val="clear" w:color="auto" w:fill="FFFFFF"/>
        </w:rPr>
        <w:t>modificaciones y/o actualizaciones realizadas a los Documentos Tipo</w:t>
      </w:r>
      <w:r w:rsidRPr="009A6907">
        <w:rPr>
          <w:rFonts w:ascii="Verdana" w:hAnsi="Verdana" w:cs="Arial"/>
          <w:color w:val="000000" w:themeColor="text1"/>
          <w:shd w:val="clear" w:color="auto" w:fill="FFFFFF"/>
        </w:rPr>
        <w:t>, hemos programado una serie de </w:t>
      </w:r>
      <w:r w:rsidRPr="009A6907">
        <w:rPr>
          <w:rFonts w:ascii="Verdana" w:hAnsi="Verdana" w:cs="Arial"/>
          <w:b/>
          <w:bCs/>
          <w:color w:val="000000" w:themeColor="text1"/>
          <w:shd w:val="clear" w:color="auto" w:fill="FFFFFF"/>
        </w:rPr>
        <w:t>capacitaciones </w:t>
      </w:r>
      <w:r w:rsidRPr="009A6907">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9A6907">
          <w:rPr>
            <w:rStyle w:val="Hipervnculo"/>
            <w:rFonts w:ascii="Verdana" w:hAnsi="Verdana" w:cs="Arial"/>
            <w:shd w:val="clear" w:color="auto" w:fill="FFFFFF"/>
          </w:rPr>
          <w:t>Calendario | Colombia Compra Eficiente | Agencia Nacional de Contratación Pública</w:t>
        </w:r>
      </w:hyperlink>
    </w:p>
    <w:p w14:paraId="27F89E03" w14:textId="77777777" w:rsidR="006A7411" w:rsidRPr="009A6907" w:rsidRDefault="006A7411" w:rsidP="006A7411">
      <w:pPr>
        <w:jc w:val="both"/>
        <w:rPr>
          <w:rFonts w:ascii="Verdana" w:hAnsi="Verdana" w:cs="Arial"/>
          <w:color w:val="000000" w:themeColor="text1"/>
          <w:shd w:val="clear" w:color="auto" w:fill="FFFFFF"/>
        </w:rPr>
      </w:pPr>
      <w:r w:rsidRPr="009A6907">
        <w:rPr>
          <w:rFonts w:ascii="Verdana" w:hAnsi="Verdana" w:cs="Arial"/>
          <w:color w:val="000000" w:themeColor="text1"/>
          <w:shd w:val="clear" w:color="auto" w:fill="FFFFFF"/>
        </w:rPr>
        <w:t>También, te contamos que ya publicamos </w:t>
      </w:r>
      <w:r w:rsidRPr="009A6907">
        <w:rPr>
          <w:rFonts w:ascii="Verdana" w:hAnsi="Verdana" w:cs="Arial"/>
          <w:b/>
          <w:bCs/>
          <w:color w:val="000000" w:themeColor="text1"/>
          <w:shd w:val="clear" w:color="auto" w:fill="FFFFFF"/>
        </w:rPr>
        <w:t>la nueva Guía de Contratación Pública Sostenible y Socialmente Responsable</w:t>
      </w:r>
      <w:r w:rsidRPr="009A6907">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9A6907">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07D2AD17" w14:textId="77777777" w:rsidR="006A7411" w:rsidRDefault="006A7411" w:rsidP="006A7411">
      <w:pPr>
        <w:spacing w:after="0" w:line="240" w:lineRule="auto"/>
        <w:jc w:val="both"/>
        <w:rPr>
          <w:rFonts w:ascii="Verdana" w:hAnsi="Verdana"/>
          <w:color w:val="000000" w:themeColor="text1"/>
        </w:rPr>
      </w:pPr>
    </w:p>
    <w:p w14:paraId="3846F039" w14:textId="77777777" w:rsidR="006A7411" w:rsidRPr="00231A90" w:rsidRDefault="006A7411" w:rsidP="006A7411">
      <w:pPr>
        <w:spacing w:after="0" w:line="240" w:lineRule="auto"/>
        <w:jc w:val="both"/>
        <w:rPr>
          <w:rFonts w:ascii="Verdana" w:hAnsi="Verdana"/>
          <w:color w:val="000000" w:themeColor="text1"/>
        </w:rPr>
      </w:pPr>
      <w:r>
        <w:rPr>
          <w:rFonts w:ascii="Verdana" w:hAnsi="Verdana"/>
          <w:color w:val="000000" w:themeColor="text1"/>
        </w:rPr>
        <w:t>L</w:t>
      </w:r>
      <w:r w:rsidRPr="00231A90">
        <w:rPr>
          <w:rFonts w:ascii="Verdana" w:hAnsi="Verdana"/>
          <w:color w:val="000000" w:themeColor="text1"/>
        </w:rPr>
        <w:t xml:space="preserve">o invitamos a seguirnos en las redes sociales en las cuales se difunde información institucional: </w:t>
      </w:r>
    </w:p>
    <w:p w14:paraId="147A7C46" w14:textId="77777777" w:rsidR="006A7411" w:rsidRPr="00231A90" w:rsidRDefault="006A7411" w:rsidP="006A7411">
      <w:pPr>
        <w:spacing w:after="0" w:line="240" w:lineRule="auto"/>
        <w:jc w:val="both"/>
        <w:rPr>
          <w:rFonts w:ascii="Verdana" w:hAnsi="Verdana"/>
          <w:color w:val="000000" w:themeColor="text1"/>
        </w:rPr>
      </w:pPr>
    </w:p>
    <w:p w14:paraId="39FE3A6F" w14:textId="77777777" w:rsidR="006A7411" w:rsidRPr="00231A90" w:rsidRDefault="006A7411" w:rsidP="006A7411">
      <w:pPr>
        <w:spacing w:after="0" w:line="240" w:lineRule="auto"/>
        <w:jc w:val="both"/>
        <w:rPr>
          <w:rFonts w:ascii="Verdana" w:hAnsi="Verdana"/>
          <w:color w:val="000000" w:themeColor="text1"/>
        </w:rPr>
      </w:pPr>
      <w:r w:rsidRPr="00231A90">
        <w:rPr>
          <w:rFonts w:ascii="Verdana" w:hAnsi="Verdana"/>
          <w:color w:val="000000" w:themeColor="text1"/>
        </w:rPr>
        <w:t xml:space="preserve">Twitter: </w:t>
      </w:r>
      <w:r w:rsidRPr="00231A90">
        <w:rPr>
          <w:rStyle w:val="Hipervnculo"/>
          <w:rFonts w:ascii="Verdana" w:hAnsi="Verdana"/>
          <w:color w:val="000000" w:themeColor="text1"/>
        </w:rPr>
        <w:t>@colombiacompra</w:t>
      </w:r>
      <w:r w:rsidRPr="00231A90">
        <w:rPr>
          <w:rFonts w:ascii="Verdana" w:hAnsi="Verdana"/>
          <w:color w:val="000000" w:themeColor="text1"/>
        </w:rPr>
        <w:t xml:space="preserve"> </w:t>
      </w:r>
    </w:p>
    <w:p w14:paraId="69148638" w14:textId="77777777" w:rsidR="006A7411" w:rsidRPr="00231A90" w:rsidRDefault="006A7411" w:rsidP="006A7411">
      <w:pPr>
        <w:spacing w:after="0" w:line="240" w:lineRule="auto"/>
        <w:jc w:val="both"/>
        <w:rPr>
          <w:rFonts w:ascii="Verdana" w:hAnsi="Verdana"/>
          <w:color w:val="000000" w:themeColor="text1"/>
        </w:rPr>
      </w:pPr>
      <w:r w:rsidRPr="00231A90">
        <w:rPr>
          <w:rFonts w:ascii="Verdana" w:hAnsi="Verdana"/>
          <w:color w:val="000000" w:themeColor="text1"/>
        </w:rPr>
        <w:t xml:space="preserve">Facebook: </w:t>
      </w:r>
      <w:proofErr w:type="spellStart"/>
      <w:r w:rsidRPr="00231A90">
        <w:rPr>
          <w:rStyle w:val="Hipervnculo"/>
          <w:rFonts w:ascii="Verdana" w:hAnsi="Verdana"/>
          <w:color w:val="000000" w:themeColor="text1"/>
        </w:rPr>
        <w:t>ColombiaCompraEficiente</w:t>
      </w:r>
      <w:proofErr w:type="spellEnd"/>
    </w:p>
    <w:p w14:paraId="536E00A3" w14:textId="77777777" w:rsidR="006A7411" w:rsidRPr="00231A90" w:rsidRDefault="006A7411" w:rsidP="006A7411">
      <w:pPr>
        <w:spacing w:after="0" w:line="240" w:lineRule="auto"/>
        <w:jc w:val="both"/>
        <w:rPr>
          <w:rFonts w:ascii="Verdana" w:hAnsi="Verdana"/>
          <w:color w:val="000000" w:themeColor="text1"/>
        </w:rPr>
      </w:pPr>
      <w:r w:rsidRPr="00231A90">
        <w:rPr>
          <w:rFonts w:ascii="Verdana" w:hAnsi="Verdana"/>
          <w:color w:val="000000" w:themeColor="text1"/>
        </w:rPr>
        <w:t xml:space="preserve">LinkedIn: </w:t>
      </w:r>
      <w:r w:rsidRPr="00231A90">
        <w:rPr>
          <w:rStyle w:val="Hipervnculo"/>
          <w:rFonts w:ascii="Verdana" w:hAnsi="Verdana"/>
          <w:color w:val="000000" w:themeColor="text1"/>
        </w:rPr>
        <w:t>Agencia Nacional de Contratación Pública - Colombia Compra Eficiente</w:t>
      </w:r>
      <w:r w:rsidRPr="00231A90">
        <w:rPr>
          <w:rFonts w:ascii="Verdana" w:hAnsi="Verdana"/>
          <w:color w:val="000000" w:themeColor="text1"/>
        </w:rPr>
        <w:t xml:space="preserve"> Instagram: </w:t>
      </w:r>
      <w:r w:rsidRPr="00231A90">
        <w:rPr>
          <w:rStyle w:val="Hipervnculo"/>
          <w:rFonts w:ascii="Verdana" w:hAnsi="Verdana"/>
          <w:color w:val="000000" w:themeColor="text1"/>
        </w:rPr>
        <w:t>@colombiacompraeficiente_cce</w:t>
      </w:r>
    </w:p>
    <w:p w14:paraId="3E1B5571"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rPr>
      </w:pPr>
    </w:p>
    <w:p w14:paraId="39A99CEE"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lang w:val="es-ES_tradnl"/>
        </w:rPr>
      </w:pPr>
      <w:r w:rsidRPr="00231A90">
        <w:rPr>
          <w:rFonts w:ascii="Verdana" w:hAnsi="Verdana" w:cs="Arial"/>
          <w:color w:val="000000" w:themeColor="text1"/>
        </w:rPr>
        <w:t xml:space="preserve">Este concepto tiene el alcance previsto en el artículo 28 del Código de Procedimiento Administrativo y de lo Contencioso Administrativo </w:t>
      </w:r>
      <w:r w:rsidRPr="00231A90">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3AF617E0" w14:textId="77777777" w:rsidR="006A7411" w:rsidRPr="00231A90" w:rsidRDefault="006A7411" w:rsidP="006A7411">
      <w:pPr>
        <w:widowControl w:val="0"/>
        <w:autoSpaceDE w:val="0"/>
        <w:autoSpaceDN w:val="0"/>
        <w:spacing w:after="0" w:line="276" w:lineRule="auto"/>
        <w:jc w:val="both"/>
        <w:rPr>
          <w:rFonts w:ascii="Verdana" w:hAnsi="Verdana" w:cs="Arial"/>
          <w:color w:val="000000" w:themeColor="text1"/>
        </w:rPr>
      </w:pPr>
    </w:p>
    <w:p w14:paraId="0DFEB5CF" w14:textId="77777777" w:rsidR="006A7411" w:rsidRPr="00231A90" w:rsidRDefault="006A7411" w:rsidP="006A7411">
      <w:pPr>
        <w:spacing w:after="0" w:line="240" w:lineRule="auto"/>
        <w:rPr>
          <w:rFonts w:ascii="Verdana" w:hAnsi="Verdana" w:cs="Arial"/>
          <w:color w:val="000000" w:themeColor="text1"/>
          <w:lang w:eastAsia="es-CO"/>
        </w:rPr>
      </w:pPr>
      <w:r w:rsidRPr="00231A90">
        <w:rPr>
          <w:rFonts w:ascii="Verdana" w:eastAsia="Times New Roman" w:hAnsi="Verdana" w:cs="Arial"/>
          <w:color w:val="000000" w:themeColor="text1"/>
          <w:lang w:eastAsia="es-CO"/>
        </w:rPr>
        <w:t>Atentamente,</w:t>
      </w:r>
      <w:r w:rsidRPr="00231A90">
        <w:rPr>
          <w:rFonts w:ascii="Verdana" w:hAnsi="Verdana" w:cs="Arial"/>
          <w:color w:val="000000" w:themeColor="text1"/>
          <w:lang w:eastAsia="es-CO"/>
        </w:rPr>
        <w:t xml:space="preserve"> </w:t>
      </w:r>
    </w:p>
    <w:p w14:paraId="7F9179F9" w14:textId="1C19810B" w:rsidR="006A7411" w:rsidRPr="00231A90" w:rsidRDefault="00860937" w:rsidP="006A7411">
      <w:pPr>
        <w:spacing w:line="276" w:lineRule="auto"/>
        <w:jc w:val="center"/>
        <w:rPr>
          <w:rFonts w:ascii="Verdana" w:hAnsi="Verdana" w:cs="Arial"/>
          <w:color w:val="000000" w:themeColor="text1"/>
          <w:lang w:val="es-ES_tradnl" w:eastAsia="es-CO"/>
        </w:rPr>
      </w:pPr>
      <w:r w:rsidRPr="004D5C25">
        <w:rPr>
          <w:rFonts w:ascii="Century Gothic" w:hAnsi="Century Gothic"/>
          <w:noProof/>
        </w:rPr>
        <w:drawing>
          <wp:inline distT="0" distB="0" distL="0" distR="0" wp14:anchorId="19783FFE" wp14:editId="353BA13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7411" w:rsidRPr="00115E3D" w14:paraId="093D7132" w14:textId="77777777" w:rsidTr="00DC099B">
        <w:trPr>
          <w:trHeight w:val="315"/>
        </w:trPr>
        <w:tc>
          <w:tcPr>
            <w:tcW w:w="893" w:type="dxa"/>
            <w:vAlign w:val="center"/>
            <w:hideMark/>
          </w:tcPr>
          <w:p w14:paraId="0B013301" w14:textId="77777777" w:rsidR="006A7411" w:rsidRPr="00115E3D" w:rsidRDefault="006A7411" w:rsidP="00DC099B">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0E766B" w14:textId="77777777" w:rsidR="006A7411" w:rsidRPr="00115E3D" w:rsidRDefault="006A7411" w:rsidP="00DC099B">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Sergio Enrique Caballero Lesmes </w:t>
            </w:r>
          </w:p>
          <w:p w14:paraId="6DE1C487" w14:textId="77777777" w:rsidR="006A7411" w:rsidRPr="00115E3D" w:rsidRDefault="006A7411" w:rsidP="00DC099B">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T2-01</w:t>
            </w:r>
            <w:r w:rsidRPr="00115E3D">
              <w:rPr>
                <w:rStyle w:val="normaltextrun"/>
                <w:rFonts w:ascii="Verdana" w:eastAsia="Arial" w:hAnsi="Verdana" w:cs="Arial"/>
                <w:color w:val="000000" w:themeColor="text1"/>
                <w:sz w:val="16"/>
                <w:szCs w:val="16"/>
              </w:rPr>
              <w:t xml:space="preserve"> de la Subdirección de Gestión Contractual</w:t>
            </w:r>
          </w:p>
        </w:tc>
      </w:tr>
      <w:tr w:rsidR="006A7411" w:rsidRPr="00115E3D" w14:paraId="0240A9EF" w14:textId="77777777" w:rsidTr="00DC099B">
        <w:trPr>
          <w:trHeight w:val="330"/>
        </w:trPr>
        <w:tc>
          <w:tcPr>
            <w:tcW w:w="893" w:type="dxa"/>
            <w:vAlign w:val="center"/>
            <w:hideMark/>
          </w:tcPr>
          <w:p w14:paraId="152C5246" w14:textId="77777777" w:rsidR="006A7411" w:rsidRPr="00115E3D" w:rsidRDefault="006A7411" w:rsidP="00DC099B">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5D095D" w14:textId="77777777" w:rsidR="006A7411" w:rsidRPr="00580396" w:rsidRDefault="006A7411" w:rsidP="00DC099B">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6C3D2EFE" w14:textId="77777777" w:rsidR="006A7411" w:rsidRPr="00115E3D" w:rsidRDefault="006A7411" w:rsidP="00DC099B">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eastAsiaTheme="majorEastAsia" w:hAnsi="Verdana" w:cs="Arial"/>
                <w:color w:val="000000" w:themeColor="text1"/>
                <w:sz w:val="16"/>
                <w:szCs w:val="16"/>
              </w:rPr>
              <w:t> </w:t>
            </w:r>
          </w:p>
        </w:tc>
      </w:tr>
      <w:tr w:rsidR="006A7411" w:rsidRPr="00115E3D" w14:paraId="2FFBA367" w14:textId="77777777" w:rsidTr="00DC099B">
        <w:trPr>
          <w:trHeight w:val="300"/>
        </w:trPr>
        <w:tc>
          <w:tcPr>
            <w:tcW w:w="893" w:type="dxa"/>
            <w:vAlign w:val="center"/>
          </w:tcPr>
          <w:p w14:paraId="05C3D96B" w14:textId="77777777" w:rsidR="006A7411" w:rsidRPr="00115E3D" w:rsidRDefault="006A7411" w:rsidP="00DC099B">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789C10" w14:textId="77777777" w:rsidR="006A7411" w:rsidRPr="00115E3D" w:rsidRDefault="006A7411" w:rsidP="00DC099B">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3F07F981" w14:textId="77777777" w:rsidR="006A7411" w:rsidRPr="00115E3D" w:rsidRDefault="006A7411" w:rsidP="00DC099B">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63B88294" w14:textId="77777777" w:rsidR="006A7411" w:rsidRPr="00231A90" w:rsidRDefault="006A7411" w:rsidP="006A7411">
      <w:pPr>
        <w:spacing w:after="0" w:line="240" w:lineRule="auto"/>
        <w:rPr>
          <w:rFonts w:ascii="Verdana" w:eastAsia="Times New Roman" w:hAnsi="Verdana" w:cs="Arial"/>
          <w:color w:val="000000" w:themeColor="text1"/>
          <w:sz w:val="24"/>
          <w:szCs w:val="24"/>
          <w:lang w:eastAsia="es-ES"/>
        </w:rPr>
      </w:pPr>
    </w:p>
    <w:p w14:paraId="387651A4" w14:textId="77777777" w:rsidR="006A7411" w:rsidRPr="00231A90" w:rsidRDefault="006A7411" w:rsidP="006A7411">
      <w:pPr>
        <w:rPr>
          <w:color w:val="000000" w:themeColor="text1"/>
        </w:rPr>
      </w:pPr>
    </w:p>
    <w:p w14:paraId="2E26CD4E" w14:textId="77777777" w:rsidR="006A7411" w:rsidRPr="009A3015" w:rsidRDefault="006A7411" w:rsidP="006A7411"/>
    <w:p w14:paraId="219F032D" w14:textId="77777777" w:rsidR="006A7411" w:rsidRPr="00F04FEA" w:rsidRDefault="006A7411" w:rsidP="006A7411"/>
    <w:p w14:paraId="0083C991" w14:textId="5C765C2F" w:rsidR="5D8505AD" w:rsidRPr="009A3015" w:rsidRDefault="5D8505AD" w:rsidP="006A7411">
      <w:pPr>
        <w:spacing w:after="0" w:line="240" w:lineRule="auto"/>
      </w:pPr>
    </w:p>
    <w:sectPr w:rsidR="5D8505AD" w:rsidRPr="009A3015"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3B0F8" w14:textId="77777777" w:rsidR="00A847B4" w:rsidRDefault="00A847B4" w:rsidP="00B30448">
      <w:pPr>
        <w:spacing w:after="0" w:line="240" w:lineRule="auto"/>
      </w:pPr>
      <w:r>
        <w:separator/>
      </w:r>
    </w:p>
  </w:endnote>
  <w:endnote w:type="continuationSeparator" w:id="0">
    <w:p w14:paraId="51D4D4DC" w14:textId="77777777" w:rsidR="00A847B4" w:rsidRDefault="00A847B4" w:rsidP="00B30448">
      <w:pPr>
        <w:spacing w:after="0" w:line="240" w:lineRule="auto"/>
      </w:pPr>
      <w:r>
        <w:continuationSeparator/>
      </w:r>
    </w:p>
  </w:endnote>
  <w:endnote w:type="continuationNotice" w:id="1">
    <w:p w14:paraId="55FD39CB" w14:textId="77777777" w:rsidR="00A847B4" w:rsidRDefault="00A847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0"/>
    <w:family w:val="auto"/>
    <w:pitch w:val="variable"/>
    <w:sig w:usb0="E0002AFF" w:usb1="C0007843"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3107C" w14:textId="77777777" w:rsidR="00A847B4" w:rsidRDefault="00A847B4" w:rsidP="00B30448">
      <w:pPr>
        <w:spacing w:after="0" w:line="240" w:lineRule="auto"/>
      </w:pPr>
      <w:r>
        <w:separator/>
      </w:r>
    </w:p>
  </w:footnote>
  <w:footnote w:type="continuationSeparator" w:id="0">
    <w:p w14:paraId="55447A15" w14:textId="77777777" w:rsidR="00A847B4" w:rsidRDefault="00A847B4" w:rsidP="00B30448">
      <w:pPr>
        <w:spacing w:after="0" w:line="240" w:lineRule="auto"/>
      </w:pPr>
      <w:r>
        <w:continuationSeparator/>
      </w:r>
    </w:p>
  </w:footnote>
  <w:footnote w:type="continuationNotice" w:id="1">
    <w:p w14:paraId="592ABCE8" w14:textId="77777777" w:rsidR="00A847B4" w:rsidRDefault="00A847B4">
      <w:pPr>
        <w:spacing w:after="0" w:line="240" w:lineRule="auto"/>
      </w:pPr>
    </w:p>
  </w:footnote>
  <w:footnote w:id="2">
    <w:p w14:paraId="72DA738D" w14:textId="77777777" w:rsidR="006A7411" w:rsidRPr="008E5D78" w:rsidRDefault="006A7411" w:rsidP="006A7411">
      <w:pPr>
        <w:pStyle w:val="Textonotapie"/>
        <w:ind w:firstLine="709"/>
        <w:contextualSpacing/>
        <w:jc w:val="both"/>
        <w:rPr>
          <w:rFonts w:ascii="Verdana" w:hAnsi="Verdana" w:cs="Arial"/>
          <w:sz w:val="12"/>
          <w:szCs w:val="12"/>
        </w:rPr>
      </w:pPr>
      <w:r w:rsidRPr="008E5D78">
        <w:rPr>
          <w:rStyle w:val="Refdenotaalpie"/>
          <w:rFonts w:ascii="Verdana" w:hAnsi="Verdana" w:cs="Arial"/>
          <w:sz w:val="12"/>
          <w:szCs w:val="12"/>
        </w:rPr>
        <w:footnoteRef/>
      </w:r>
      <w:r w:rsidRPr="008E5D78">
        <w:rPr>
          <w:rFonts w:ascii="Verdana" w:hAnsi="Verdana" w:cs="Arial"/>
          <w:sz w:val="12"/>
          <w:szCs w:val="12"/>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1" w:history="1">
        <w:r w:rsidRPr="008E5D78">
          <w:rPr>
            <w:rFonts w:ascii="Verdana" w:hAnsi="Verdana" w:cs="Arial"/>
            <w:sz w:val="12"/>
            <w:szCs w:val="12"/>
          </w:rPr>
          <w:t>https://www.colombiacompra.gov.co/content/08-modificacion-los-documentos-tipo-para-los-procesos-de-obra-publica-de-infraestructura-de</w:t>
        </w:r>
      </w:hyperlink>
      <w:r w:rsidRPr="008E5D78">
        <w:rPr>
          <w:rFonts w:ascii="Verdana" w:hAnsi="Verdana" w:cs="Arial"/>
          <w:sz w:val="12"/>
          <w:szCs w:val="12"/>
        </w:rPr>
        <w:t xml:space="preserve"> </w:t>
      </w:r>
    </w:p>
    <w:p w14:paraId="418FE14F" w14:textId="77777777" w:rsidR="006A7411" w:rsidRPr="008E5D78" w:rsidRDefault="006A7411" w:rsidP="006A7411">
      <w:pPr>
        <w:pStyle w:val="Textonotapie"/>
        <w:ind w:firstLine="709"/>
        <w:contextualSpacing/>
        <w:jc w:val="both"/>
        <w:rPr>
          <w:rFonts w:ascii="Verdana" w:hAnsi="Verdana" w:cs="Arial"/>
          <w:sz w:val="12"/>
          <w:szCs w:val="12"/>
        </w:rPr>
      </w:pPr>
    </w:p>
  </w:footnote>
  <w:footnote w:id="3">
    <w:p w14:paraId="47C35B8E"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Style w:val="Refdenotaalpie"/>
          <w:rFonts w:ascii="Verdana" w:hAnsi="Verdana" w:cs="Arial"/>
          <w:sz w:val="12"/>
          <w:szCs w:val="12"/>
        </w:rPr>
        <w:footnoteRef/>
      </w:r>
      <w:r w:rsidRPr="008E5D78">
        <w:rPr>
          <w:rFonts w:ascii="Verdana" w:hAnsi="Verdana" w:cs="Arial"/>
          <w:sz w:val="12"/>
          <w:szCs w:val="12"/>
        </w:rPr>
        <w:t xml:space="preserve"> Ley 1450 de 2011. “Artículo 43. Definiciones de tamaño empresarial. El artículo 2° de la Ley 590 de 2000, quedará así: </w:t>
      </w:r>
    </w:p>
    <w:p w14:paraId="2C9C37D8"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00172A78"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1. Número de trabajadores totales. </w:t>
      </w:r>
    </w:p>
    <w:p w14:paraId="13C4FEA2" w14:textId="77777777" w:rsidR="006A7411" w:rsidRPr="008E5D78" w:rsidRDefault="006A7411" w:rsidP="006A7411">
      <w:pPr>
        <w:pStyle w:val="Textonotapie"/>
        <w:contextualSpacing/>
        <w:jc w:val="both"/>
        <w:rPr>
          <w:rFonts w:ascii="Verdana" w:hAnsi="Verdana" w:cs="Arial"/>
          <w:sz w:val="12"/>
          <w:szCs w:val="12"/>
        </w:rPr>
      </w:pPr>
      <w:r w:rsidRPr="008E5D78">
        <w:rPr>
          <w:rFonts w:ascii="Verdana" w:hAnsi="Verdana" w:cs="Arial"/>
          <w:sz w:val="12"/>
          <w:szCs w:val="12"/>
        </w:rPr>
        <w:t xml:space="preserve"> </w:t>
      </w:r>
      <w:r w:rsidRPr="008E5D78">
        <w:rPr>
          <w:rFonts w:ascii="Verdana" w:hAnsi="Verdana" w:cs="Arial"/>
          <w:sz w:val="12"/>
          <w:szCs w:val="12"/>
        </w:rPr>
        <w:tab/>
        <w:t xml:space="preserve">2. Valor de ventas brutas anuales. </w:t>
      </w:r>
    </w:p>
    <w:p w14:paraId="076959CF"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3. Valor activos totales. </w:t>
      </w:r>
    </w:p>
    <w:p w14:paraId="6FA709DF"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Para efectos de los beneficios otorgados por el Gobierno nacional a las micro, pequeñas y medianas empresas el criterio determinante será el valor de ventas brutas anuales. </w:t>
      </w:r>
    </w:p>
    <w:p w14:paraId="76329614"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Parágrafo 1°. El Gobierno Nacional reglamentará los rangos que aplicarán para los tres criterios e incluirá especificidades sectoriales en los casos que considere necesario. </w:t>
      </w:r>
    </w:p>
    <w:p w14:paraId="0DB484D0"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Parágrafo 2°. Las definiciones contenidas en el artículo 2° de la Ley 590 de 2000 continuarán vigentes hasta tanto entren a regir las normas reglamentarias que profiera el Gobierno Nacional en desarrollo de lo previsto en el presente artículo"”.</w:t>
      </w:r>
    </w:p>
    <w:p w14:paraId="6157E9AA" w14:textId="77777777" w:rsidR="006A7411" w:rsidRPr="008E5D78" w:rsidRDefault="006A7411" w:rsidP="006A7411">
      <w:pPr>
        <w:pStyle w:val="Textonotapie"/>
        <w:ind w:firstLine="708"/>
        <w:contextualSpacing/>
        <w:jc w:val="both"/>
        <w:rPr>
          <w:rFonts w:ascii="Verdana" w:hAnsi="Verdana" w:cs="Arial"/>
          <w:sz w:val="12"/>
          <w:szCs w:val="12"/>
          <w:lang w:val="es-CO"/>
        </w:rPr>
      </w:pPr>
    </w:p>
  </w:footnote>
  <w:footnote w:id="4">
    <w:p w14:paraId="04AC1141" w14:textId="77777777" w:rsidR="006A7411" w:rsidRPr="008E5D78" w:rsidRDefault="006A7411" w:rsidP="006A7411">
      <w:pPr>
        <w:spacing w:after="0" w:line="240" w:lineRule="auto"/>
        <w:ind w:firstLine="708"/>
        <w:contextualSpacing/>
        <w:jc w:val="both"/>
        <w:rPr>
          <w:rFonts w:ascii="Verdana" w:eastAsia="Arial" w:hAnsi="Verdana" w:cs="Arial"/>
          <w:color w:val="000000"/>
          <w:sz w:val="12"/>
          <w:szCs w:val="12"/>
        </w:rPr>
      </w:pPr>
      <w:r w:rsidRPr="008E5D78">
        <w:rPr>
          <w:rStyle w:val="Refdenotaalpie"/>
          <w:rFonts w:ascii="Verdana" w:hAnsi="Verdana" w:cs="Arial"/>
          <w:sz w:val="12"/>
          <w:szCs w:val="12"/>
        </w:rPr>
        <w:footnoteRef/>
      </w:r>
      <w:r w:rsidRPr="008E5D78">
        <w:rPr>
          <w:rFonts w:ascii="Verdana" w:eastAsia="Arial" w:hAnsi="Verdana" w:cs="Arial"/>
          <w:color w:val="000000"/>
          <w:sz w:val="12"/>
          <w:szCs w:val="12"/>
        </w:rPr>
        <w:t xml:space="preserve"> Artículo 2.2.1.13.2.2. del Decreto 1074 de 2015, adicionado por el Decreto 957 de 2019.</w:t>
      </w:r>
    </w:p>
    <w:p w14:paraId="581E8CB4" w14:textId="77777777" w:rsidR="006A7411" w:rsidRPr="008E5D78" w:rsidRDefault="006A7411" w:rsidP="006A7411">
      <w:pPr>
        <w:spacing w:after="0" w:line="240" w:lineRule="auto"/>
        <w:ind w:firstLine="708"/>
        <w:contextualSpacing/>
        <w:jc w:val="both"/>
        <w:rPr>
          <w:rFonts w:ascii="Verdana" w:eastAsia="Arial" w:hAnsi="Verdana" w:cs="Arial"/>
          <w:color w:val="000000"/>
          <w:sz w:val="12"/>
          <w:szCs w:val="12"/>
        </w:rPr>
      </w:pPr>
    </w:p>
  </w:footnote>
  <w:footnote w:id="5">
    <w:p w14:paraId="2708C808"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Style w:val="Refdenotaalpie"/>
          <w:rFonts w:ascii="Verdana" w:hAnsi="Verdana" w:cs="Arial"/>
          <w:sz w:val="12"/>
          <w:szCs w:val="12"/>
        </w:rPr>
        <w:footnoteRef/>
      </w:r>
      <w:r w:rsidRPr="008E5D78">
        <w:rPr>
          <w:rFonts w:ascii="Verdana" w:hAnsi="Verdana" w:cs="Arial"/>
          <w:sz w:val="12"/>
          <w:szCs w:val="12"/>
        </w:rPr>
        <w:t xml:space="preserve"> Cfr. Concepto </w:t>
      </w:r>
    </w:p>
    <w:p w14:paraId="16EEB14D" w14:textId="77777777" w:rsidR="006A7411" w:rsidRPr="008E5D78" w:rsidRDefault="006A7411" w:rsidP="006A7411">
      <w:pPr>
        <w:pStyle w:val="Textonotapie"/>
        <w:ind w:firstLine="708"/>
        <w:contextualSpacing/>
        <w:jc w:val="both"/>
        <w:rPr>
          <w:rFonts w:ascii="Verdana" w:hAnsi="Verdana" w:cs="Arial"/>
          <w:sz w:val="12"/>
          <w:szCs w:val="12"/>
          <w:lang w:val="es-CO"/>
        </w:rPr>
      </w:pPr>
    </w:p>
  </w:footnote>
  <w:footnote w:id="6">
    <w:p w14:paraId="5E149B02" w14:textId="77777777" w:rsidR="006A7411" w:rsidRPr="008E5D78" w:rsidRDefault="006A7411" w:rsidP="006A7411">
      <w:pPr>
        <w:pStyle w:val="NormalWeb"/>
        <w:spacing w:after="0" w:line="240" w:lineRule="auto"/>
        <w:ind w:firstLine="708"/>
        <w:contextualSpacing/>
        <w:jc w:val="both"/>
        <w:rPr>
          <w:rFonts w:ascii="Verdana" w:hAnsi="Verdana" w:cs="Arial"/>
          <w:color w:val="000000"/>
          <w:sz w:val="12"/>
          <w:szCs w:val="12"/>
        </w:rPr>
      </w:pPr>
      <w:r w:rsidRPr="008E5D78">
        <w:rPr>
          <w:rStyle w:val="Refdenotaalpie"/>
          <w:rFonts w:ascii="Verdana" w:hAnsi="Verdana" w:cs="Arial"/>
          <w:sz w:val="12"/>
          <w:szCs w:val="12"/>
        </w:rPr>
        <w:footnoteRef/>
      </w:r>
      <w:r w:rsidRPr="008E5D78">
        <w:rPr>
          <w:rFonts w:ascii="Verdana" w:hAnsi="Verdana" w:cs="Arial"/>
          <w:sz w:val="12"/>
          <w:szCs w:val="12"/>
        </w:rPr>
        <w:t xml:space="preserve"> “</w:t>
      </w:r>
      <w:r w:rsidRPr="008E5D78">
        <w:rPr>
          <w:rFonts w:ascii="Verdana" w:hAnsi="Verdana" w:cs="Arial"/>
          <w:color w:val="000000"/>
          <w:sz w:val="12"/>
          <w:szCs w:val="12"/>
        </w:rPr>
        <w:t>Artículo 14. La constitución de toda cooperativa se hará en asamblea de constitución, en la cual serán aprobados los estatutos y nombrados en prioridad los órganos de administración y vigilancia. </w:t>
      </w:r>
    </w:p>
    <w:p w14:paraId="578B72DE" w14:textId="77777777" w:rsidR="006A7411" w:rsidRPr="008E5D78" w:rsidRDefault="006A7411" w:rsidP="006A7411">
      <w:pPr>
        <w:spacing w:after="0" w:line="240" w:lineRule="auto"/>
        <w:contextualSpacing/>
        <w:jc w:val="both"/>
        <w:rPr>
          <w:rFonts w:ascii="Verdana" w:hAnsi="Verdana" w:cs="Arial"/>
          <w:color w:val="000000"/>
          <w:sz w:val="12"/>
          <w:szCs w:val="12"/>
          <w:lang w:eastAsia="es-CO"/>
        </w:rPr>
      </w:pPr>
      <w:r w:rsidRPr="008E5D78">
        <w:rPr>
          <w:rFonts w:ascii="Verdana" w:hAnsi="Verdana" w:cs="Arial"/>
          <w:color w:val="000000"/>
          <w:sz w:val="12"/>
          <w:szCs w:val="12"/>
          <w:lang w:eastAsia="es-CO"/>
        </w:rPr>
        <w:t xml:space="preserve"> </w:t>
      </w:r>
      <w:r w:rsidRPr="008E5D78">
        <w:rPr>
          <w:rFonts w:ascii="Verdana" w:hAnsi="Verdana" w:cs="Arial"/>
          <w:color w:val="000000"/>
          <w:sz w:val="12"/>
          <w:szCs w:val="12"/>
          <w:lang w:eastAsia="es-CO"/>
        </w:rPr>
        <w:tab/>
        <w:t>El Consejo de Administración allí designado nombrará el representante legal de la entidad, quien será responsable de tramitar el reconocimiento de la personería jurídica. </w:t>
      </w:r>
    </w:p>
    <w:p w14:paraId="1BC29202" w14:textId="77777777" w:rsidR="006A7411" w:rsidRPr="008E5D78" w:rsidRDefault="006A7411" w:rsidP="006A7411">
      <w:pPr>
        <w:spacing w:after="0" w:line="240" w:lineRule="auto"/>
        <w:contextualSpacing/>
        <w:jc w:val="both"/>
        <w:rPr>
          <w:rFonts w:ascii="Verdana" w:hAnsi="Verdana" w:cs="Arial"/>
          <w:color w:val="000000"/>
          <w:sz w:val="12"/>
          <w:szCs w:val="12"/>
          <w:lang w:eastAsia="es-CO"/>
        </w:rPr>
      </w:pPr>
      <w:r w:rsidRPr="008E5D78">
        <w:rPr>
          <w:rFonts w:ascii="Verdana" w:hAnsi="Verdana" w:cs="Arial"/>
          <w:color w:val="000000"/>
          <w:sz w:val="12"/>
          <w:szCs w:val="12"/>
          <w:lang w:eastAsia="es-CO"/>
        </w:rPr>
        <w:t xml:space="preserve"> </w:t>
      </w:r>
      <w:r w:rsidRPr="008E5D78">
        <w:rPr>
          <w:rFonts w:ascii="Verdana" w:hAnsi="Verdana" w:cs="Arial"/>
          <w:color w:val="000000"/>
          <w:sz w:val="12"/>
          <w:szCs w:val="12"/>
          <w:lang w:eastAsia="es-CO"/>
        </w:rPr>
        <w:tab/>
        <w:t>El acta de la asamblea de constitución será firmado por los asociados fundadores, anotando su documento de identificación legal y el valor de los aportes iniciales. </w:t>
      </w:r>
    </w:p>
    <w:p w14:paraId="126804A9" w14:textId="77777777" w:rsidR="006A7411" w:rsidRPr="008E5D78" w:rsidRDefault="006A7411" w:rsidP="006A7411">
      <w:pPr>
        <w:spacing w:after="0" w:line="240" w:lineRule="auto"/>
        <w:contextualSpacing/>
        <w:jc w:val="both"/>
        <w:rPr>
          <w:rFonts w:ascii="Verdana" w:hAnsi="Verdana" w:cs="Arial"/>
          <w:color w:val="000000"/>
          <w:sz w:val="12"/>
          <w:szCs w:val="12"/>
          <w:lang w:eastAsia="es-CO"/>
        </w:rPr>
      </w:pPr>
      <w:r w:rsidRPr="008E5D78">
        <w:rPr>
          <w:rFonts w:ascii="Verdana" w:hAnsi="Verdana" w:cs="Arial"/>
          <w:color w:val="000000"/>
          <w:sz w:val="12"/>
          <w:szCs w:val="12"/>
          <w:lang w:eastAsia="es-CO"/>
        </w:rPr>
        <w:t xml:space="preserve"> </w:t>
      </w:r>
      <w:r w:rsidRPr="008E5D78">
        <w:rPr>
          <w:rFonts w:ascii="Verdana" w:hAnsi="Verdana" w:cs="Arial"/>
          <w:color w:val="000000"/>
          <w:sz w:val="12"/>
          <w:szCs w:val="12"/>
          <w:lang w:eastAsia="es-CO"/>
        </w:rPr>
        <w:tab/>
        <w:t>El número mínimo de fundadores será de veinte, salvo las excepciones consagradas en normas especiales”.</w:t>
      </w:r>
    </w:p>
    <w:p w14:paraId="3B878822" w14:textId="77777777" w:rsidR="006A7411" w:rsidRPr="008E5D78" w:rsidRDefault="006A7411" w:rsidP="006A7411">
      <w:pPr>
        <w:spacing w:after="0" w:line="240" w:lineRule="auto"/>
        <w:contextualSpacing/>
        <w:jc w:val="both"/>
        <w:rPr>
          <w:rFonts w:ascii="Verdana" w:hAnsi="Verdana" w:cs="Arial"/>
          <w:sz w:val="12"/>
          <w:szCs w:val="12"/>
        </w:rPr>
      </w:pPr>
    </w:p>
  </w:footnote>
  <w:footnote w:id="7">
    <w:p w14:paraId="597E57CB"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Style w:val="Refdenotaalpie"/>
          <w:rFonts w:ascii="Verdana" w:hAnsi="Verdana" w:cs="Arial"/>
          <w:sz w:val="12"/>
          <w:szCs w:val="12"/>
        </w:rPr>
        <w:footnoteRef/>
      </w:r>
      <w:r w:rsidRPr="008E5D78">
        <w:rPr>
          <w:rFonts w:ascii="Verdana" w:hAnsi="Verdana" w:cs="Arial"/>
          <w:sz w:val="12"/>
          <w:szCs w:val="12"/>
        </w:rPr>
        <w:t xml:space="preserve"> “Artículo 22. Constitución de cooperativas. Modifíquese el inciso 4° del artículo 14 de la ley 79 de 1988, el cual quedará así: </w:t>
      </w:r>
    </w:p>
    <w:p w14:paraId="5EFADF9C"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“El número mínimo de fundadores será de tres, salvo las excepciones consagradas en normas especiales. </w:t>
      </w:r>
    </w:p>
    <w:p w14:paraId="59614DD8"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Para su inscripción en el registro público solo se requerirá la solicitud firmada por el representante legal, acompañada del acta de constitución y copia de los estatutos. </w:t>
      </w:r>
    </w:p>
    <w:p w14:paraId="04F44013"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En las cooperativas que tengan 10 o menos asociados, ninguna persona natural podrá tener más del 33% de los aportes sociales y ninguna persona jurídica más del cuarenta y nueve por ciento (49%) de los mismos. </w:t>
      </w:r>
    </w:p>
    <w:p w14:paraId="294ABBE5"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3317135D" w14:textId="77777777" w:rsidR="006A7411" w:rsidRPr="008E5D78" w:rsidRDefault="006A7411" w:rsidP="006A7411">
      <w:pPr>
        <w:pStyle w:val="Textonotapie"/>
        <w:ind w:firstLine="708"/>
        <w:contextualSpacing/>
        <w:jc w:val="both"/>
        <w:rPr>
          <w:rFonts w:ascii="Verdana" w:hAnsi="Verdana" w:cs="Arial"/>
          <w:sz w:val="12"/>
          <w:szCs w:val="12"/>
          <w:lang w:val="es-CO"/>
        </w:rPr>
      </w:pPr>
      <w:r w:rsidRPr="008E5D78">
        <w:rPr>
          <w:rFonts w:ascii="Verdana" w:hAnsi="Verdana" w:cs="Arial"/>
          <w:sz w:val="12"/>
          <w:szCs w:val="12"/>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8">
    <w:p w14:paraId="174EA217" w14:textId="77777777" w:rsidR="006A7411" w:rsidRPr="008E5D78" w:rsidRDefault="006A7411" w:rsidP="006A7411">
      <w:pPr>
        <w:pStyle w:val="Textonotapie"/>
        <w:ind w:firstLine="708"/>
        <w:contextualSpacing/>
        <w:jc w:val="both"/>
        <w:rPr>
          <w:rFonts w:ascii="Verdana" w:hAnsi="Verdana" w:cs="Arial"/>
          <w:sz w:val="12"/>
          <w:szCs w:val="12"/>
        </w:rPr>
      </w:pPr>
    </w:p>
    <w:p w14:paraId="3EAD14E3"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Style w:val="Refdenotaalpie"/>
          <w:rFonts w:ascii="Verdana" w:hAnsi="Verdana" w:cs="Arial"/>
          <w:sz w:val="12"/>
          <w:szCs w:val="12"/>
        </w:rPr>
        <w:footnoteRef/>
      </w:r>
      <w:r w:rsidRPr="008E5D78">
        <w:rPr>
          <w:rFonts w:ascii="Verdana" w:hAnsi="Verdana" w:cs="Arial"/>
          <w:sz w:val="12"/>
          <w:szCs w:val="12"/>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11071BB7"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1. Estar organizada como empresa que contemple en su objeto social, el ejercicio de una actividad socioeconómica, tendiente a satisfacer necesidades de sus asociados y el desarrollo de obras de servicio comunitario.</w:t>
      </w:r>
    </w:p>
    <w:p w14:paraId="58BEE763"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2. Tener establecido un vínculo asociativo, fundado en los principios y fines contemplados en la presente ley.</w:t>
      </w:r>
    </w:p>
    <w:p w14:paraId="2EBFABBD"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3. Tener incluido en sus estatutos o reglas básicas de funcionamiento la ausencia de ánimo de lucro, movida por la solidaridad, el servicio social o comunitario.</w:t>
      </w:r>
    </w:p>
    <w:p w14:paraId="0A2C4549"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4. Garantizar la igualdad de derechos y obligaciones de sus miembros sin consideración a sus aportes.</w:t>
      </w:r>
    </w:p>
    <w:p w14:paraId="5F6AA9E7"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5. Establecer en sus estatutos un monto mínimo de aportes sociales no reducibles, debidamente pagados, durante su existencia.</w:t>
      </w:r>
    </w:p>
    <w:p w14:paraId="1A04FF74"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6. Integrarse social y económicamente, sin perjuicio de sus vínculos con otras entidades sin ánimo de lucro que tengan por fin promover el desarrollo integral del ser humano.</w:t>
      </w:r>
    </w:p>
    <w:p w14:paraId="4CC8B445"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Parágrafo 1o. En todo caso, las organizaciones de la economía solidaria deberán cumplir con los siguientes principios económicos:</w:t>
      </w:r>
    </w:p>
    <w:p w14:paraId="4AB89E92"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1. Establecer la irrepartibilidad de las reservas sociales y, en caso de liquidación, la del remanente patrimonial.</w:t>
      </w:r>
    </w:p>
    <w:p w14:paraId="27A82946"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79441AEC" w14:textId="77777777" w:rsidR="006A7411" w:rsidRPr="008E5D78" w:rsidRDefault="006A7411" w:rsidP="006A7411">
      <w:pPr>
        <w:pStyle w:val="Textonotapie"/>
        <w:ind w:firstLine="708"/>
        <w:contextualSpacing/>
        <w:jc w:val="both"/>
        <w:rPr>
          <w:rFonts w:ascii="Verdana" w:hAnsi="Verdana" w:cs="Arial"/>
          <w:sz w:val="12"/>
          <w:szCs w:val="12"/>
        </w:rPr>
      </w:pPr>
      <w:r w:rsidRPr="008E5D78">
        <w:rPr>
          <w:rFonts w:ascii="Verdana" w:hAnsi="Verdana" w:cs="Arial"/>
          <w:sz w:val="12"/>
          <w:szCs w:val="12"/>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44C9CE4A" w14:textId="77777777" w:rsidR="006A7411" w:rsidRPr="008E5D78" w:rsidRDefault="006A7411" w:rsidP="006A7411">
      <w:pPr>
        <w:pStyle w:val="Textonotapie"/>
        <w:contextualSpacing/>
        <w:jc w:val="both"/>
        <w:rPr>
          <w:rFonts w:ascii="Verdana" w:hAnsi="Verdana" w:cs="Arial"/>
          <w:sz w:val="12"/>
          <w:szCs w:val="12"/>
          <w:lang w:val="es-CO"/>
        </w:rPr>
      </w:pPr>
    </w:p>
  </w:footnote>
  <w:footnote w:id="9">
    <w:p w14:paraId="0CFBBEC8" w14:textId="77777777" w:rsidR="006A7411" w:rsidRPr="008E5D78" w:rsidRDefault="006A7411" w:rsidP="006A7411">
      <w:pPr>
        <w:pStyle w:val="Textonotapie"/>
        <w:ind w:firstLine="708"/>
        <w:contextualSpacing/>
        <w:jc w:val="both"/>
        <w:rPr>
          <w:rFonts w:ascii="Verdana" w:hAnsi="Verdana" w:cs="Arial"/>
          <w:sz w:val="12"/>
          <w:szCs w:val="12"/>
          <w:lang w:val="es-CO"/>
        </w:rPr>
      </w:pPr>
      <w:r w:rsidRPr="008E5D78">
        <w:rPr>
          <w:rStyle w:val="Refdenotaalpie"/>
          <w:rFonts w:ascii="Verdana" w:hAnsi="Verdana" w:cs="Arial"/>
          <w:sz w:val="12"/>
          <w:szCs w:val="12"/>
        </w:rPr>
        <w:footnoteRef/>
      </w:r>
      <w:r w:rsidRPr="008E5D78">
        <w:rPr>
          <w:rFonts w:ascii="Verdana" w:hAnsi="Verdana" w:cs="Arial"/>
          <w:sz w:val="12"/>
          <w:szCs w:val="12"/>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 w:numId="9" w16cid:durableId="14406385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609EF"/>
    <w:rsid w:val="000716AB"/>
    <w:rsid w:val="00082E4C"/>
    <w:rsid w:val="000849D5"/>
    <w:rsid w:val="0008528F"/>
    <w:rsid w:val="00086CB3"/>
    <w:rsid w:val="000A3E4F"/>
    <w:rsid w:val="000A6E0C"/>
    <w:rsid w:val="000A7A56"/>
    <w:rsid w:val="000B1FF7"/>
    <w:rsid w:val="000B2513"/>
    <w:rsid w:val="000B2BCC"/>
    <w:rsid w:val="000B4024"/>
    <w:rsid w:val="000C3C51"/>
    <w:rsid w:val="000C7262"/>
    <w:rsid w:val="000D2A7F"/>
    <w:rsid w:val="000D4FCE"/>
    <w:rsid w:val="0011037E"/>
    <w:rsid w:val="00124D1C"/>
    <w:rsid w:val="001363C7"/>
    <w:rsid w:val="00141AC5"/>
    <w:rsid w:val="00146B11"/>
    <w:rsid w:val="00147A04"/>
    <w:rsid w:val="0015476D"/>
    <w:rsid w:val="00160819"/>
    <w:rsid w:val="00160991"/>
    <w:rsid w:val="00161E13"/>
    <w:rsid w:val="00164AE0"/>
    <w:rsid w:val="00165E83"/>
    <w:rsid w:val="00166CD7"/>
    <w:rsid w:val="0017120C"/>
    <w:rsid w:val="00172F3A"/>
    <w:rsid w:val="0019532A"/>
    <w:rsid w:val="0019670E"/>
    <w:rsid w:val="00197205"/>
    <w:rsid w:val="001A5DD4"/>
    <w:rsid w:val="001A6638"/>
    <w:rsid w:val="001A67E9"/>
    <w:rsid w:val="001B143B"/>
    <w:rsid w:val="001B21CA"/>
    <w:rsid w:val="001B3E25"/>
    <w:rsid w:val="001C04FC"/>
    <w:rsid w:val="001C25A3"/>
    <w:rsid w:val="001C5D03"/>
    <w:rsid w:val="001C7771"/>
    <w:rsid w:val="001D62FF"/>
    <w:rsid w:val="001F3F48"/>
    <w:rsid w:val="002000AA"/>
    <w:rsid w:val="00204109"/>
    <w:rsid w:val="00211E6E"/>
    <w:rsid w:val="00212A46"/>
    <w:rsid w:val="0021401D"/>
    <w:rsid w:val="002146B8"/>
    <w:rsid w:val="00215516"/>
    <w:rsid w:val="00231A90"/>
    <w:rsid w:val="002527C2"/>
    <w:rsid w:val="00255DCE"/>
    <w:rsid w:val="002610B9"/>
    <w:rsid w:val="00266DD8"/>
    <w:rsid w:val="00270443"/>
    <w:rsid w:val="00270EE2"/>
    <w:rsid w:val="00272972"/>
    <w:rsid w:val="00286491"/>
    <w:rsid w:val="002A0F8D"/>
    <w:rsid w:val="002A53F7"/>
    <w:rsid w:val="002B6E44"/>
    <w:rsid w:val="002E1DB5"/>
    <w:rsid w:val="002E3384"/>
    <w:rsid w:val="002F6CCB"/>
    <w:rsid w:val="0030461E"/>
    <w:rsid w:val="0032756A"/>
    <w:rsid w:val="00334EF8"/>
    <w:rsid w:val="00336408"/>
    <w:rsid w:val="00340DFB"/>
    <w:rsid w:val="0034404F"/>
    <w:rsid w:val="00355BA7"/>
    <w:rsid w:val="00356980"/>
    <w:rsid w:val="00367462"/>
    <w:rsid w:val="00371ECA"/>
    <w:rsid w:val="00372748"/>
    <w:rsid w:val="0037332A"/>
    <w:rsid w:val="00373C8F"/>
    <w:rsid w:val="0038151A"/>
    <w:rsid w:val="0039082A"/>
    <w:rsid w:val="00390C21"/>
    <w:rsid w:val="003A37BD"/>
    <w:rsid w:val="003B6D94"/>
    <w:rsid w:val="003C4C96"/>
    <w:rsid w:val="003C55E0"/>
    <w:rsid w:val="003C6720"/>
    <w:rsid w:val="003F519B"/>
    <w:rsid w:val="0040544F"/>
    <w:rsid w:val="00406A19"/>
    <w:rsid w:val="004120D8"/>
    <w:rsid w:val="0041222D"/>
    <w:rsid w:val="0041483E"/>
    <w:rsid w:val="00415369"/>
    <w:rsid w:val="00424F51"/>
    <w:rsid w:val="00430492"/>
    <w:rsid w:val="0044608F"/>
    <w:rsid w:val="00450BE7"/>
    <w:rsid w:val="004600B7"/>
    <w:rsid w:val="0046649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4D54F4"/>
    <w:rsid w:val="004E52CF"/>
    <w:rsid w:val="004F101F"/>
    <w:rsid w:val="00500DFA"/>
    <w:rsid w:val="005019AA"/>
    <w:rsid w:val="005021BB"/>
    <w:rsid w:val="005139E7"/>
    <w:rsid w:val="005147DA"/>
    <w:rsid w:val="00515574"/>
    <w:rsid w:val="00515FB5"/>
    <w:rsid w:val="0052365C"/>
    <w:rsid w:val="005271EB"/>
    <w:rsid w:val="005426DB"/>
    <w:rsid w:val="0054667A"/>
    <w:rsid w:val="0055082B"/>
    <w:rsid w:val="00552503"/>
    <w:rsid w:val="00552B57"/>
    <w:rsid w:val="00553BCB"/>
    <w:rsid w:val="00556A2B"/>
    <w:rsid w:val="00557DA1"/>
    <w:rsid w:val="00561124"/>
    <w:rsid w:val="0056322C"/>
    <w:rsid w:val="005777EA"/>
    <w:rsid w:val="0058743A"/>
    <w:rsid w:val="005A4DB0"/>
    <w:rsid w:val="005A7B8E"/>
    <w:rsid w:val="005B012B"/>
    <w:rsid w:val="005B0C87"/>
    <w:rsid w:val="005C70D1"/>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667CE"/>
    <w:rsid w:val="00670AEF"/>
    <w:rsid w:val="00675678"/>
    <w:rsid w:val="00677012"/>
    <w:rsid w:val="006825B4"/>
    <w:rsid w:val="00682AF2"/>
    <w:rsid w:val="006864DF"/>
    <w:rsid w:val="006A3C8A"/>
    <w:rsid w:val="006A5739"/>
    <w:rsid w:val="006A7411"/>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682F"/>
    <w:rsid w:val="00797131"/>
    <w:rsid w:val="007A146D"/>
    <w:rsid w:val="007A3C1D"/>
    <w:rsid w:val="007B285D"/>
    <w:rsid w:val="007C6BC6"/>
    <w:rsid w:val="00807D79"/>
    <w:rsid w:val="00813634"/>
    <w:rsid w:val="00815CBA"/>
    <w:rsid w:val="00820590"/>
    <w:rsid w:val="00822821"/>
    <w:rsid w:val="00824DD7"/>
    <w:rsid w:val="00831C29"/>
    <w:rsid w:val="00840119"/>
    <w:rsid w:val="008431EF"/>
    <w:rsid w:val="008468E0"/>
    <w:rsid w:val="00860937"/>
    <w:rsid w:val="00871B59"/>
    <w:rsid w:val="00877D03"/>
    <w:rsid w:val="00877E96"/>
    <w:rsid w:val="008806CA"/>
    <w:rsid w:val="008815E5"/>
    <w:rsid w:val="00887B37"/>
    <w:rsid w:val="008909B9"/>
    <w:rsid w:val="00891DFC"/>
    <w:rsid w:val="008956CA"/>
    <w:rsid w:val="008B12B4"/>
    <w:rsid w:val="008B7914"/>
    <w:rsid w:val="008C452B"/>
    <w:rsid w:val="008C5D2A"/>
    <w:rsid w:val="008C7AF4"/>
    <w:rsid w:val="008D529F"/>
    <w:rsid w:val="008F5CC8"/>
    <w:rsid w:val="009061B8"/>
    <w:rsid w:val="0091008B"/>
    <w:rsid w:val="00911EA2"/>
    <w:rsid w:val="00916C7D"/>
    <w:rsid w:val="0092541D"/>
    <w:rsid w:val="0092575D"/>
    <w:rsid w:val="009341DA"/>
    <w:rsid w:val="00937EF2"/>
    <w:rsid w:val="009430F9"/>
    <w:rsid w:val="009442E8"/>
    <w:rsid w:val="00946BD0"/>
    <w:rsid w:val="0095426C"/>
    <w:rsid w:val="00970087"/>
    <w:rsid w:val="00971074"/>
    <w:rsid w:val="0097440B"/>
    <w:rsid w:val="009848D6"/>
    <w:rsid w:val="0098795F"/>
    <w:rsid w:val="00995D86"/>
    <w:rsid w:val="00996E56"/>
    <w:rsid w:val="009A3015"/>
    <w:rsid w:val="009A5453"/>
    <w:rsid w:val="009A6907"/>
    <w:rsid w:val="009B4D94"/>
    <w:rsid w:val="009C2871"/>
    <w:rsid w:val="009D3C33"/>
    <w:rsid w:val="009D7F3A"/>
    <w:rsid w:val="009E4885"/>
    <w:rsid w:val="00A07DB6"/>
    <w:rsid w:val="00A10A73"/>
    <w:rsid w:val="00A170B3"/>
    <w:rsid w:val="00A21849"/>
    <w:rsid w:val="00A223D5"/>
    <w:rsid w:val="00A37D1C"/>
    <w:rsid w:val="00A45386"/>
    <w:rsid w:val="00A5453E"/>
    <w:rsid w:val="00A56F6C"/>
    <w:rsid w:val="00A648A7"/>
    <w:rsid w:val="00A70557"/>
    <w:rsid w:val="00A76C8C"/>
    <w:rsid w:val="00A847B4"/>
    <w:rsid w:val="00A85F30"/>
    <w:rsid w:val="00A9099E"/>
    <w:rsid w:val="00A91FB7"/>
    <w:rsid w:val="00A9298F"/>
    <w:rsid w:val="00A97348"/>
    <w:rsid w:val="00AA0351"/>
    <w:rsid w:val="00AA2C07"/>
    <w:rsid w:val="00AA5F4A"/>
    <w:rsid w:val="00AB1984"/>
    <w:rsid w:val="00AB4BE5"/>
    <w:rsid w:val="00AB52B1"/>
    <w:rsid w:val="00AC4CB3"/>
    <w:rsid w:val="00AC780D"/>
    <w:rsid w:val="00AD036B"/>
    <w:rsid w:val="00AD1996"/>
    <w:rsid w:val="00AD4099"/>
    <w:rsid w:val="00AD4901"/>
    <w:rsid w:val="00AE0B32"/>
    <w:rsid w:val="00AE259C"/>
    <w:rsid w:val="00B02FE0"/>
    <w:rsid w:val="00B057B6"/>
    <w:rsid w:val="00B30448"/>
    <w:rsid w:val="00B34786"/>
    <w:rsid w:val="00B400EC"/>
    <w:rsid w:val="00B40162"/>
    <w:rsid w:val="00B41ACE"/>
    <w:rsid w:val="00B50156"/>
    <w:rsid w:val="00B518AD"/>
    <w:rsid w:val="00B53948"/>
    <w:rsid w:val="00B60A96"/>
    <w:rsid w:val="00B62479"/>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076C2"/>
    <w:rsid w:val="00C20ACF"/>
    <w:rsid w:val="00C22307"/>
    <w:rsid w:val="00C23469"/>
    <w:rsid w:val="00C30C62"/>
    <w:rsid w:val="00C371DF"/>
    <w:rsid w:val="00C42055"/>
    <w:rsid w:val="00C44B4C"/>
    <w:rsid w:val="00C46734"/>
    <w:rsid w:val="00C47A86"/>
    <w:rsid w:val="00C53220"/>
    <w:rsid w:val="00C966DB"/>
    <w:rsid w:val="00C96CA4"/>
    <w:rsid w:val="00CA3347"/>
    <w:rsid w:val="00CA583F"/>
    <w:rsid w:val="00CC299A"/>
    <w:rsid w:val="00CC6105"/>
    <w:rsid w:val="00CD03E3"/>
    <w:rsid w:val="00CE6137"/>
    <w:rsid w:val="00CE6BDA"/>
    <w:rsid w:val="00D01FE6"/>
    <w:rsid w:val="00D03DBE"/>
    <w:rsid w:val="00D072C0"/>
    <w:rsid w:val="00D34C82"/>
    <w:rsid w:val="00D3757A"/>
    <w:rsid w:val="00D504A9"/>
    <w:rsid w:val="00D5206D"/>
    <w:rsid w:val="00D7177D"/>
    <w:rsid w:val="00D81311"/>
    <w:rsid w:val="00D972AB"/>
    <w:rsid w:val="00DB201E"/>
    <w:rsid w:val="00DC0E68"/>
    <w:rsid w:val="00DC68B8"/>
    <w:rsid w:val="00DD25ED"/>
    <w:rsid w:val="00DE0807"/>
    <w:rsid w:val="00DE0D6E"/>
    <w:rsid w:val="00DF65ED"/>
    <w:rsid w:val="00E1610C"/>
    <w:rsid w:val="00E16D73"/>
    <w:rsid w:val="00E23E9E"/>
    <w:rsid w:val="00E25722"/>
    <w:rsid w:val="00E27F0A"/>
    <w:rsid w:val="00E4231E"/>
    <w:rsid w:val="00E4302C"/>
    <w:rsid w:val="00E44AC7"/>
    <w:rsid w:val="00E45F4B"/>
    <w:rsid w:val="00E60A16"/>
    <w:rsid w:val="00E82B6E"/>
    <w:rsid w:val="00E82C97"/>
    <w:rsid w:val="00E94258"/>
    <w:rsid w:val="00E96C18"/>
    <w:rsid w:val="00EA2E61"/>
    <w:rsid w:val="00EA7D7F"/>
    <w:rsid w:val="00EB02F4"/>
    <w:rsid w:val="00EB2FA2"/>
    <w:rsid w:val="00EB6053"/>
    <w:rsid w:val="00EB769A"/>
    <w:rsid w:val="00EC3A35"/>
    <w:rsid w:val="00EC72E2"/>
    <w:rsid w:val="00EE17F2"/>
    <w:rsid w:val="00EE3138"/>
    <w:rsid w:val="00EF2AC7"/>
    <w:rsid w:val="00EF400A"/>
    <w:rsid w:val="00EF6BE4"/>
    <w:rsid w:val="00EF6E5D"/>
    <w:rsid w:val="00F07764"/>
    <w:rsid w:val="00F12517"/>
    <w:rsid w:val="00F131DD"/>
    <w:rsid w:val="00F16BA1"/>
    <w:rsid w:val="00F24435"/>
    <w:rsid w:val="00F30513"/>
    <w:rsid w:val="00F30C0F"/>
    <w:rsid w:val="00F314E8"/>
    <w:rsid w:val="00F323A2"/>
    <w:rsid w:val="00F331BE"/>
    <w:rsid w:val="00F33B57"/>
    <w:rsid w:val="00F33D5C"/>
    <w:rsid w:val="00F34E90"/>
    <w:rsid w:val="00F356D6"/>
    <w:rsid w:val="00F46A42"/>
    <w:rsid w:val="00F53BE2"/>
    <w:rsid w:val="00F55684"/>
    <w:rsid w:val="00F64D5A"/>
    <w:rsid w:val="00F709CD"/>
    <w:rsid w:val="00F80461"/>
    <w:rsid w:val="00F906F4"/>
    <w:rsid w:val="00FA0716"/>
    <w:rsid w:val="00FB4629"/>
    <w:rsid w:val="00FB6FB1"/>
    <w:rsid w:val="00FB7063"/>
    <w:rsid w:val="00FC7056"/>
    <w:rsid w:val="00FE1A00"/>
    <w:rsid w:val="00FF050E"/>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E25"/>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6667C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367267171">
      <w:bodyDiv w:val="1"/>
      <w:marLeft w:val="0"/>
      <w:marRight w:val="0"/>
      <w:marTop w:val="0"/>
      <w:marBottom w:val="0"/>
      <w:divBdr>
        <w:top w:val="none" w:sz="0" w:space="0" w:color="auto"/>
        <w:left w:val="none" w:sz="0" w:space="0" w:color="auto"/>
        <w:bottom w:val="none" w:sz="0" w:space="0" w:color="auto"/>
        <w:right w:val="none" w:sz="0" w:space="0" w:color="auto"/>
      </w:divBdr>
    </w:div>
    <w:div w:id="48903023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571043795">
      <w:bodyDiv w:val="1"/>
      <w:marLeft w:val="0"/>
      <w:marRight w:val="0"/>
      <w:marTop w:val="0"/>
      <w:marBottom w:val="0"/>
      <w:divBdr>
        <w:top w:val="none" w:sz="0" w:space="0" w:color="auto"/>
        <w:left w:val="none" w:sz="0" w:space="0" w:color="auto"/>
        <w:bottom w:val="none" w:sz="0" w:space="0" w:color="auto"/>
        <w:right w:val="none" w:sz="0" w:space="0" w:color="auto"/>
      </w:divBdr>
      <w:divsChild>
        <w:div w:id="1155024585">
          <w:marLeft w:val="0"/>
          <w:marRight w:val="0"/>
          <w:marTop w:val="0"/>
          <w:marBottom w:val="160"/>
          <w:divBdr>
            <w:top w:val="none" w:sz="0" w:space="0" w:color="auto"/>
            <w:left w:val="none" w:sz="0" w:space="0" w:color="auto"/>
            <w:bottom w:val="none" w:sz="0" w:space="0" w:color="auto"/>
            <w:right w:val="none" w:sz="0" w:space="0" w:color="auto"/>
          </w:divBdr>
        </w:div>
        <w:div w:id="605306573">
          <w:marLeft w:val="0"/>
          <w:marRight w:val="0"/>
          <w:marTop w:val="0"/>
          <w:marBottom w:val="160"/>
          <w:divBdr>
            <w:top w:val="none" w:sz="0" w:space="0" w:color="auto"/>
            <w:left w:val="none" w:sz="0" w:space="0" w:color="auto"/>
            <w:bottom w:val="none" w:sz="0" w:space="0" w:color="auto"/>
            <w:right w:val="none" w:sz="0" w:space="0" w:color="auto"/>
          </w:divBdr>
        </w:div>
        <w:div w:id="1719668561">
          <w:marLeft w:val="0"/>
          <w:marRight w:val="0"/>
          <w:marTop w:val="0"/>
          <w:marBottom w:val="160"/>
          <w:divBdr>
            <w:top w:val="none" w:sz="0" w:space="0" w:color="auto"/>
            <w:left w:val="none" w:sz="0" w:space="0" w:color="auto"/>
            <w:bottom w:val="none" w:sz="0" w:space="0" w:color="auto"/>
            <w:right w:val="none" w:sz="0" w:space="0" w:color="auto"/>
          </w:divBdr>
        </w:div>
      </w:divsChild>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1183708">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2014869910">
      <w:bodyDiv w:val="1"/>
      <w:marLeft w:val="0"/>
      <w:marRight w:val="0"/>
      <w:marTop w:val="0"/>
      <w:marBottom w:val="0"/>
      <w:divBdr>
        <w:top w:val="none" w:sz="0" w:space="0" w:color="auto"/>
        <w:left w:val="none" w:sz="0" w:space="0" w:color="auto"/>
        <w:bottom w:val="none" w:sz="0" w:space="0" w:color="auto"/>
        <w:right w:val="none" w:sz="0" w:space="0" w:color="auto"/>
      </w:divBdr>
    </w:div>
    <w:div w:id="2144611938">
      <w:bodyDiv w:val="1"/>
      <w:marLeft w:val="0"/>
      <w:marRight w:val="0"/>
      <w:marTop w:val="0"/>
      <w:marBottom w:val="0"/>
      <w:divBdr>
        <w:top w:val="none" w:sz="0" w:space="0" w:color="auto"/>
        <w:left w:val="none" w:sz="0" w:space="0" w:color="auto"/>
        <w:bottom w:val="none" w:sz="0" w:space="0" w:color="auto"/>
        <w:right w:val="none" w:sz="0" w:space="0" w:color="auto"/>
      </w:divBdr>
      <w:divsChild>
        <w:div w:id="1601141946">
          <w:marLeft w:val="0"/>
          <w:marRight w:val="0"/>
          <w:marTop w:val="0"/>
          <w:marBottom w:val="160"/>
          <w:divBdr>
            <w:top w:val="none" w:sz="0" w:space="0" w:color="auto"/>
            <w:left w:val="none" w:sz="0" w:space="0" w:color="auto"/>
            <w:bottom w:val="none" w:sz="0" w:space="0" w:color="auto"/>
            <w:right w:val="none" w:sz="0" w:space="0" w:color="auto"/>
          </w:divBdr>
        </w:div>
        <w:div w:id="651982204">
          <w:marLeft w:val="0"/>
          <w:marRight w:val="0"/>
          <w:marTop w:val="0"/>
          <w:marBottom w:val="160"/>
          <w:divBdr>
            <w:top w:val="none" w:sz="0" w:space="0" w:color="auto"/>
            <w:left w:val="none" w:sz="0" w:space="0" w:color="auto"/>
            <w:bottom w:val="none" w:sz="0" w:space="0" w:color="auto"/>
            <w:right w:val="none" w:sz="0" w:space="0" w:color="auto"/>
          </w:divBdr>
        </w:div>
        <w:div w:id="1258901473">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nimo17072024@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08-modificacion-los-documentos-tipo-para-los-procesos-de-obra-publica-de-infraestructura-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5712</Words>
  <Characters>31421</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Enrique Caballero Lesmes</cp:lastModifiedBy>
  <cp:revision>6</cp:revision>
  <dcterms:created xsi:type="dcterms:W3CDTF">2025-02-19T14:30:00Z</dcterms:created>
  <dcterms:modified xsi:type="dcterms:W3CDTF">2025-02-26T16:37:00Z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