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F02E6" w14:textId="77777777" w:rsidR="00DD4531" w:rsidRPr="00682C93" w:rsidRDefault="00DD4531" w:rsidP="00DD4531">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67CEF823" w14:textId="77777777" w:rsidR="00DD4531" w:rsidRDefault="00DD4531" w:rsidP="00DD4531">
      <w:pPr>
        <w:spacing w:after="0" w:line="240" w:lineRule="auto"/>
        <w:jc w:val="both"/>
        <w:rPr>
          <w:rFonts w:ascii="Verdana" w:hAnsi="Verdana" w:cs="Arial"/>
          <w:b/>
          <w:lang w:val="es-MX" w:eastAsia="es-ES_tradnl"/>
        </w:rPr>
      </w:pPr>
    </w:p>
    <w:p w14:paraId="0A12349B" w14:textId="77777777" w:rsidR="00DD4531" w:rsidRDefault="00DD4531" w:rsidP="00DD4531">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778C245" w14:textId="77777777" w:rsidR="00DD4531" w:rsidRPr="00682C93" w:rsidRDefault="00DD4531" w:rsidP="00DD4531">
      <w:pPr>
        <w:spacing w:after="0" w:line="240" w:lineRule="auto"/>
        <w:jc w:val="both"/>
        <w:rPr>
          <w:rFonts w:ascii="Verdana" w:hAnsi="Verdana" w:cs="Arial"/>
          <w:b/>
          <w:sz w:val="20"/>
          <w:lang w:val="es-MX" w:eastAsia="es-ES_tradnl"/>
        </w:rPr>
      </w:pPr>
    </w:p>
    <w:p w14:paraId="6EC1D876" w14:textId="77777777" w:rsidR="00DD4531" w:rsidRPr="00682C93" w:rsidRDefault="00DD4531" w:rsidP="00DD4531">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1D9A0966" w14:textId="77777777" w:rsidR="00DD4531" w:rsidRDefault="00DD4531" w:rsidP="00DD4531">
      <w:pPr>
        <w:spacing w:after="0" w:line="240" w:lineRule="auto"/>
        <w:jc w:val="both"/>
        <w:rPr>
          <w:rFonts w:ascii="Verdana" w:hAnsi="Verdana" w:cs="Arial"/>
          <w:b/>
          <w:lang w:val="es-MX" w:eastAsia="es-ES_tradnl"/>
        </w:rPr>
      </w:pPr>
    </w:p>
    <w:p w14:paraId="39676280" w14:textId="77777777" w:rsidR="00DD4531" w:rsidRPr="00E41F23" w:rsidRDefault="00DD4531" w:rsidP="00DD4531">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E3A972D" w14:textId="77777777" w:rsidR="00DD4531" w:rsidRPr="00E41F23" w:rsidRDefault="00DD4531" w:rsidP="00DD4531">
      <w:pPr>
        <w:spacing w:after="0" w:line="240" w:lineRule="auto"/>
        <w:jc w:val="both"/>
        <w:rPr>
          <w:rFonts w:ascii="Verdana" w:eastAsia="Calibri" w:hAnsi="Verdana" w:cs="Arial"/>
          <w:sz w:val="20"/>
        </w:rPr>
      </w:pPr>
    </w:p>
    <w:p w14:paraId="38C6688C" w14:textId="77777777" w:rsidR="00DD4531" w:rsidRDefault="00DD4531" w:rsidP="00DD4531">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2EA59C7A" w14:textId="77777777" w:rsidR="00DD4531" w:rsidRPr="00E41F23" w:rsidRDefault="00DD4531" w:rsidP="00DD4531">
      <w:pPr>
        <w:widowControl w:val="0"/>
        <w:autoSpaceDE w:val="0"/>
        <w:autoSpaceDN w:val="0"/>
        <w:spacing w:after="0" w:line="240" w:lineRule="auto"/>
        <w:ind w:right="113"/>
        <w:jc w:val="both"/>
        <w:rPr>
          <w:rFonts w:ascii="Verdana" w:eastAsia="Arial" w:hAnsi="Verdana" w:cs="Arial"/>
          <w:sz w:val="20"/>
          <w:lang w:val="es-ES" w:eastAsia="es-ES" w:bidi="es-ES"/>
        </w:rPr>
      </w:pPr>
    </w:p>
    <w:p w14:paraId="2270B117" w14:textId="77777777" w:rsidR="00DD4531" w:rsidRPr="00E41F23" w:rsidRDefault="00DD4531" w:rsidP="00DD4531">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E41F23">
        <w:rPr>
          <w:rFonts w:ascii="Verdana" w:eastAsia="Times New Roman" w:hAnsi="Verdana" w:cs="Arial"/>
          <w:bCs/>
          <w:i/>
          <w:sz w:val="20"/>
          <w:lang w:val="es-ES" w:eastAsia="es-CO"/>
        </w:rPr>
        <w:t>ibídem</w:t>
      </w:r>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8467EBE" w14:textId="77777777" w:rsidR="00DD4531" w:rsidRPr="003F2A9C" w:rsidRDefault="00DD4531" w:rsidP="00DD4531">
      <w:pPr>
        <w:spacing w:after="0" w:line="240" w:lineRule="auto"/>
        <w:jc w:val="both"/>
        <w:rPr>
          <w:rFonts w:ascii="Verdana" w:hAnsi="Verdana" w:cs="Arial"/>
          <w:b/>
          <w:sz w:val="20"/>
          <w:lang w:val="es-MX" w:eastAsia="es-ES_tradnl"/>
        </w:rPr>
      </w:pPr>
    </w:p>
    <w:p w14:paraId="2379327D" w14:textId="77777777" w:rsidR="00DD4531" w:rsidRPr="00682C93" w:rsidRDefault="00DD4531" w:rsidP="00DD4531">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7B92BBB9" w14:textId="77777777" w:rsidR="00DD4531" w:rsidRDefault="00DD4531" w:rsidP="00DD4531">
      <w:pPr>
        <w:spacing w:after="0" w:line="240" w:lineRule="auto"/>
        <w:jc w:val="both"/>
        <w:rPr>
          <w:rFonts w:ascii="Verdana" w:hAnsi="Verdana" w:cs="Arial"/>
          <w:b/>
          <w:lang w:val="es-MX" w:eastAsia="es-ES_tradnl"/>
        </w:rPr>
      </w:pPr>
    </w:p>
    <w:p w14:paraId="4738B200" w14:textId="77777777" w:rsidR="00DD4531" w:rsidRPr="00E41F23" w:rsidRDefault="00DD4531" w:rsidP="00DD4531">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65118556" w14:textId="77777777" w:rsidR="00DD4531" w:rsidRPr="00E41F23" w:rsidRDefault="00DD4531" w:rsidP="00DD4531">
      <w:pPr>
        <w:spacing w:after="0" w:line="240" w:lineRule="auto"/>
        <w:jc w:val="both"/>
        <w:rPr>
          <w:rFonts w:ascii="Verdana" w:hAnsi="Verdana" w:cs="Arial"/>
          <w:b/>
          <w:lang w:eastAsia="es-ES_tradnl"/>
        </w:rPr>
      </w:pPr>
    </w:p>
    <w:p w14:paraId="6C351E30" w14:textId="77777777" w:rsidR="00DD4531" w:rsidRPr="00682C93" w:rsidRDefault="00DD4531" w:rsidP="00DD4531">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4CD4117F" w14:textId="77777777" w:rsidR="00DD4531" w:rsidRPr="00E41F23" w:rsidRDefault="00DD4531" w:rsidP="00DD4531">
      <w:pPr>
        <w:spacing w:after="0" w:line="240" w:lineRule="auto"/>
        <w:jc w:val="both"/>
        <w:rPr>
          <w:rFonts w:ascii="Verdana" w:hAnsi="Verdana" w:cs="Arial"/>
          <w:b/>
          <w:sz w:val="20"/>
          <w:lang w:val="es-MX" w:eastAsia="es-ES_tradnl"/>
        </w:rPr>
      </w:pPr>
    </w:p>
    <w:p w14:paraId="7EB00AED" w14:textId="77777777" w:rsidR="00DD4531" w:rsidRPr="00E41F23" w:rsidRDefault="00DD4531" w:rsidP="00DD4531">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2A0257A" w14:textId="77777777" w:rsidR="00DD4531" w:rsidRPr="00682C93" w:rsidRDefault="00DD4531" w:rsidP="00DD4531">
      <w:pPr>
        <w:spacing w:after="0" w:line="240" w:lineRule="auto"/>
        <w:jc w:val="both"/>
        <w:rPr>
          <w:rFonts w:ascii="Verdana" w:hAnsi="Verdana" w:cs="Arial"/>
          <w:b/>
          <w:lang w:val="es-MX" w:eastAsia="es-ES_tradnl"/>
        </w:rPr>
      </w:pPr>
    </w:p>
    <w:p w14:paraId="14CA8B12" w14:textId="77777777" w:rsidR="00DD4531" w:rsidRPr="00682C93" w:rsidRDefault="00DD4531" w:rsidP="00DD4531">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3945EB89" w14:textId="77777777" w:rsidR="00DD4531" w:rsidRDefault="00DD4531" w:rsidP="00DD4531">
      <w:pPr>
        <w:spacing w:after="0" w:line="240" w:lineRule="auto"/>
        <w:rPr>
          <w:rFonts w:ascii="Verdana" w:hAnsi="Verdana" w:cs="Arial"/>
          <w:lang w:val="es-MX" w:eastAsia="es-ES_tradnl"/>
        </w:rPr>
      </w:pPr>
    </w:p>
    <w:p w14:paraId="4A69B0E0" w14:textId="77777777" w:rsidR="00DD4531" w:rsidRDefault="00DD4531" w:rsidP="00DD4531">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022E1A52" w14:textId="77777777" w:rsidR="00DD4531" w:rsidRDefault="00DD4531" w:rsidP="00AD47A0">
      <w:pPr>
        <w:spacing w:after="0"/>
        <w:rPr>
          <w:rFonts w:ascii="Verdana" w:hAnsi="Verdana"/>
        </w:rPr>
      </w:pPr>
    </w:p>
    <w:p w14:paraId="42BD931F" w14:textId="572322CE" w:rsidR="00DD4531" w:rsidRDefault="00DD4531" w:rsidP="00DD4531">
      <w:pPr>
        <w:spacing w:after="0"/>
        <w:jc w:val="both"/>
        <w:rPr>
          <w:rFonts w:ascii="Verdana" w:hAnsi="Verdana" w:cs="Arial"/>
          <w:b/>
          <w:lang w:val="es-MX" w:eastAsia="es-ES_tradnl"/>
        </w:rPr>
      </w:pPr>
      <w:r w:rsidRPr="00DD4531">
        <w:rPr>
          <w:rFonts w:ascii="Verdana" w:hAnsi="Verdana" w:cs="Arial"/>
          <w:b/>
          <w:lang w:val="es-MX" w:eastAsia="es-ES_tradnl"/>
        </w:rPr>
        <w:t>LEY DE GARANTÍAS – Contratación Directa – Peritos</w:t>
      </w:r>
      <w:r w:rsidRPr="00DD4531">
        <w:rPr>
          <w:rFonts w:ascii="Verdana" w:hAnsi="Verdana" w:cs="Arial"/>
          <w:b/>
          <w:lang w:val="es-MX" w:eastAsia="es-ES_tradnl"/>
        </w:rPr>
        <w:t xml:space="preserve"> – Artículo 222 – Posibilidad </w:t>
      </w:r>
    </w:p>
    <w:p w14:paraId="79FB2867" w14:textId="56399603" w:rsidR="00DD4531" w:rsidRDefault="00DD4531" w:rsidP="00DD4531">
      <w:pPr>
        <w:spacing w:after="0"/>
        <w:jc w:val="both"/>
        <w:rPr>
          <w:rFonts w:ascii="Verdana" w:hAnsi="Verdana" w:cs="Arial"/>
          <w:b/>
          <w:lang w:val="es-MX" w:eastAsia="es-ES_tradnl"/>
        </w:rPr>
      </w:pPr>
    </w:p>
    <w:p w14:paraId="7A3CD783" w14:textId="60F5B96C" w:rsidR="00DD4531" w:rsidRPr="00524F5F" w:rsidRDefault="00DD4531" w:rsidP="00DD4531">
      <w:pPr>
        <w:spacing w:after="0" w:line="240" w:lineRule="auto"/>
        <w:jc w:val="both"/>
        <w:rPr>
          <w:rFonts w:ascii="Verdana" w:hAnsi="Verdana" w:cs="Arial"/>
          <w:sz w:val="20"/>
          <w:lang w:val="es-MX" w:eastAsia="es-ES_tradnl"/>
        </w:rPr>
      </w:pPr>
      <w:r w:rsidRPr="00524F5F">
        <w:rPr>
          <w:rFonts w:ascii="Verdana" w:hAnsi="Verdana" w:cs="Arial"/>
          <w:sz w:val="20"/>
          <w:lang w:val="es-ES_tradnl" w:eastAsia="es-ES_tradnl"/>
        </w:rPr>
        <w:t xml:space="preserve">Por expresa disposición legal, la contratación directa de peritos y asesores técnicos para la finalidad prevista en la nueva causal del literal k) del numeral 4° del artículo 2 de la Ley 1150 de 2007 comporta una </w:t>
      </w:r>
      <w:r w:rsidRPr="00524F5F">
        <w:rPr>
          <w:rFonts w:ascii="Verdana" w:hAnsi="Verdana" w:cs="Arial"/>
          <w:i/>
          <w:iCs/>
          <w:sz w:val="20"/>
          <w:lang w:val="es-ES_tradnl" w:eastAsia="es-ES_tradnl"/>
        </w:rPr>
        <w:t>excepción</w:t>
      </w:r>
      <w:r w:rsidRPr="00524F5F">
        <w:rPr>
          <w:rFonts w:ascii="Verdana" w:hAnsi="Verdana" w:cs="Arial"/>
          <w:sz w:val="20"/>
          <w:lang w:val="es-ES_tradnl" w:eastAsia="es-ES_tradnl"/>
        </w:rPr>
        <w:t xml:space="preserve"> a la restricción de la contratación directa de las entidades estatales prevista en la Ley de Garantías Electorales –Ley 996 de 2005– por lo que una entidad estatal que requiera aportar o contradecir un dictamen pericial, dentro de un proceso judicial, podrá contratar directamente al perito o asesor técnico que requiera, aun en vigencia la prohibición establecida en  el artículo 33 de la Ley 996 de 2005, esto es, durante los cuatro meses anteriores a las elecciones presidenciales y hasta la fecha al cual el presidente sea elegido. Esta excepción especial se establece claramente en el numeral 1 del artículo 222 de la Ley 1437 de 2011, de acuerdo con la modificación realizada por el artículo 58 de la Ley 2080 de 2021. En tal sentido, se encuentra que la contratación realizada por entidades públicas para la selección de peritos expertos o asesores técnicos para presentar o contradecir el dictamen pericial en procesos judiciales, sería una excepción adicional a las dispuestas en el inciso segundo del artículo 33 de la Ley 1996 de 2005 – Ley de Garantías Electorales-.</w:t>
      </w:r>
    </w:p>
    <w:p w14:paraId="7661CCD8" w14:textId="77777777" w:rsidR="00DD4531" w:rsidRPr="00DD4531" w:rsidRDefault="00DD4531" w:rsidP="00DD4531">
      <w:pPr>
        <w:spacing w:after="0"/>
        <w:jc w:val="both"/>
        <w:rPr>
          <w:rFonts w:ascii="Verdana" w:hAnsi="Verdana" w:cs="Arial"/>
          <w:b/>
          <w:lang w:val="es-MX" w:eastAsia="es-ES_tradnl"/>
        </w:rPr>
      </w:pPr>
    </w:p>
    <w:p w14:paraId="31C424C0" w14:textId="367D0CD3" w:rsidR="00DD4531" w:rsidRPr="00DD4531" w:rsidRDefault="00DD4531" w:rsidP="00DD4531">
      <w:pPr>
        <w:spacing w:after="0"/>
        <w:jc w:val="both"/>
        <w:rPr>
          <w:rFonts w:ascii="Verdana" w:hAnsi="Verdana"/>
          <w:b/>
        </w:rPr>
      </w:pPr>
      <w:r w:rsidRPr="00DD4531">
        <w:rPr>
          <w:rFonts w:ascii="Verdana" w:hAnsi="Verdana" w:cs="Arial"/>
          <w:b/>
          <w:lang w:val="es-MX" w:eastAsia="es-ES_tradnl"/>
        </w:rPr>
        <w:t>LEY DE GARANTÍAS ELECTORALES – Excepción – Decisiones Judiciales</w:t>
      </w:r>
    </w:p>
    <w:p w14:paraId="3CA29D5C" w14:textId="77777777" w:rsidR="00DD4531" w:rsidRDefault="00DD4531" w:rsidP="00AD47A0">
      <w:pPr>
        <w:spacing w:after="0"/>
        <w:rPr>
          <w:rFonts w:ascii="Verdana" w:hAnsi="Verdana"/>
        </w:rPr>
      </w:pPr>
    </w:p>
    <w:p w14:paraId="1E8D5FB3" w14:textId="1A975F12" w:rsidR="00524F5F" w:rsidRDefault="00524F5F" w:rsidP="00524F5F">
      <w:pPr>
        <w:spacing w:after="0" w:line="240" w:lineRule="auto"/>
        <w:jc w:val="both"/>
        <w:rPr>
          <w:rFonts w:ascii="Verdana" w:hAnsi="Verdana"/>
          <w:sz w:val="20"/>
          <w:lang w:bidi="es-ES"/>
        </w:rPr>
      </w:pPr>
      <w:r w:rsidRPr="00524F5F">
        <w:rPr>
          <w:rFonts w:ascii="Verdana" w:hAnsi="Verdana"/>
          <w:sz w:val="20"/>
          <w:lang w:val="es-ES_tradnl"/>
        </w:rPr>
        <w:t>Con respecto al evento o supuesto de que la contratación se enmarca en una providencia judicial</w:t>
      </w:r>
      <w:r w:rsidRPr="00524F5F">
        <w:rPr>
          <w:rFonts w:ascii="Verdana" w:hAnsi="Verdana"/>
          <w:sz w:val="20"/>
          <w:lang w:bidi="es-ES"/>
        </w:rPr>
        <w:t>, debe tenerse en cuenta que las decisiones judiciales tienen fuerza vinculante y deben cumplirse en virtud del principio de supremacía constitucional y del derecho fundamental de acceso a la administración de justicia. La contratación de un perito ordenada por un juez 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3C26EA37" w14:textId="77777777" w:rsidR="00524F5F" w:rsidRPr="00524F5F" w:rsidRDefault="00524F5F" w:rsidP="00524F5F">
      <w:pPr>
        <w:spacing w:after="0" w:line="240" w:lineRule="auto"/>
        <w:jc w:val="both"/>
        <w:rPr>
          <w:rFonts w:ascii="Verdana" w:hAnsi="Verdana"/>
          <w:sz w:val="20"/>
          <w:lang w:bidi="es-ES"/>
        </w:rPr>
      </w:pPr>
    </w:p>
    <w:p w14:paraId="17B3FD24" w14:textId="42754A97" w:rsidR="00DD4531" w:rsidRPr="00524F5F" w:rsidRDefault="00524F5F" w:rsidP="00524F5F">
      <w:pPr>
        <w:spacing w:after="0" w:line="240" w:lineRule="auto"/>
        <w:jc w:val="both"/>
        <w:rPr>
          <w:rFonts w:ascii="Verdana" w:hAnsi="Verdana"/>
          <w:sz w:val="20"/>
          <w:lang w:bidi="es-ES"/>
        </w:rPr>
      </w:pPr>
      <w:r w:rsidRPr="00524F5F">
        <w:rPr>
          <w:rFonts w:ascii="Verdana" w:hAnsi="Verdana"/>
          <w:sz w:val="20"/>
          <w:lang w:bidi="es-ES"/>
        </w:rPr>
        <w:t>En este asunto, es importante resaltar que la Sala de Consulta y Servicio Civil del Consejo de Estado mediante Concepto 1863 del 15 de noviembre de 2007 se ha pronunciado en el sentido de que 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p>
    <w:p w14:paraId="28BB5D25" w14:textId="77777777" w:rsidR="00524F5F" w:rsidRDefault="00524F5F" w:rsidP="00524F5F">
      <w:pPr>
        <w:spacing w:after="0"/>
        <w:rPr>
          <w:rFonts w:ascii="Verdana" w:hAnsi="Verdana"/>
        </w:rPr>
      </w:pPr>
    </w:p>
    <w:p w14:paraId="465501B7" w14:textId="280C3D21" w:rsidR="00AD47A0" w:rsidRPr="009B39AC" w:rsidRDefault="00524F5F" w:rsidP="00AD47A0">
      <w:pPr>
        <w:spacing w:after="0"/>
        <w:rPr>
          <w:rFonts w:ascii="Verdana" w:hAnsi="Verdana"/>
        </w:rPr>
      </w:pPr>
      <w:r w:rsidRPr="00524F5F">
        <w:rPr>
          <w:rFonts w:ascii="Verdana" w:hAnsi="Verdana"/>
          <w:noProof/>
          <w:lang w:val="en-US"/>
        </w:rPr>
        <w:lastRenderedPageBreak/>
        <w:drawing>
          <wp:anchor distT="0" distB="0" distL="114300" distR="114300" simplePos="0" relativeHeight="251658240" behindDoc="0" locked="0" layoutInCell="1" allowOverlap="1" wp14:anchorId="2AC66C47" wp14:editId="39EF2D60">
            <wp:simplePos x="0" y="0"/>
            <wp:positionH relativeFrom="margin">
              <wp:posOffset>2839720</wp:posOffset>
            </wp:positionH>
            <wp:positionV relativeFrom="paragraph">
              <wp:posOffset>140335</wp:posOffset>
            </wp:positionV>
            <wp:extent cx="2879090" cy="9144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909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47A0" w:rsidRPr="0024624F">
        <w:rPr>
          <w:rFonts w:ascii="Verdana" w:hAnsi="Verdana"/>
        </w:rPr>
        <w:t>Bogotá D.C.,</w:t>
      </w:r>
      <w:r w:rsidR="00DD4531">
        <w:rPr>
          <w:rFonts w:ascii="Verdana" w:hAnsi="Verdana"/>
        </w:rPr>
        <w:t xml:space="preserve"> 30 de enero de 2026</w:t>
      </w:r>
      <w:r w:rsidR="00AD47A0" w:rsidRPr="000E2B93">
        <w:rPr>
          <w:rFonts w:ascii="Verdana" w:hAnsi="Verdana"/>
        </w:rPr>
        <w:tab/>
      </w:r>
      <w:r w:rsidR="00AD47A0" w:rsidRPr="000E2B93">
        <w:rPr>
          <w:rFonts w:ascii="Verdana" w:hAnsi="Verdana"/>
        </w:rPr>
        <w:br/>
      </w:r>
    </w:p>
    <w:p w14:paraId="462FB4ED" w14:textId="77777777" w:rsidR="00AD47A0" w:rsidRPr="00593A5F" w:rsidRDefault="00AD47A0" w:rsidP="00AD47A0">
      <w:pPr>
        <w:spacing w:after="0" w:line="240" w:lineRule="auto"/>
        <w:jc w:val="both"/>
        <w:rPr>
          <w:rFonts w:ascii="Verdana" w:eastAsia="Calibri" w:hAnsi="Verdana" w:cs="Arial"/>
          <w:color w:val="000000"/>
          <w:lang w:val="es-ES"/>
        </w:rPr>
      </w:pPr>
    </w:p>
    <w:p w14:paraId="2F3CD412" w14:textId="77777777" w:rsidR="00AD47A0" w:rsidRPr="00643C60" w:rsidRDefault="00AD47A0" w:rsidP="00AD47A0">
      <w:pPr>
        <w:spacing w:after="0" w:line="240" w:lineRule="auto"/>
        <w:jc w:val="both"/>
        <w:rPr>
          <w:rFonts w:ascii="Verdana" w:eastAsia="Calibri" w:hAnsi="Verdana" w:cs="Arial"/>
          <w:lang w:val="es-ES" w:eastAsia="es-ES"/>
        </w:rPr>
      </w:pPr>
      <w:r w:rsidRPr="00643C60">
        <w:rPr>
          <w:rFonts w:ascii="Verdana" w:eastAsia="Calibri" w:hAnsi="Verdana" w:cs="Arial"/>
          <w:lang w:val="es-ES" w:eastAsia="es-ES"/>
        </w:rPr>
        <w:t>Señor</w:t>
      </w:r>
    </w:p>
    <w:p w14:paraId="4BA08690" w14:textId="77777777" w:rsidR="00AD47A0" w:rsidRPr="00643C60" w:rsidRDefault="00AD47A0" w:rsidP="00AD47A0">
      <w:pPr>
        <w:spacing w:after="0" w:line="240" w:lineRule="auto"/>
        <w:rPr>
          <w:rFonts w:ascii="Verdana" w:eastAsia="Calibri" w:hAnsi="Verdana" w:cs="Arial"/>
          <w:b/>
          <w:lang w:val="es-ES" w:eastAsia="es-ES"/>
        </w:rPr>
      </w:pPr>
      <w:r w:rsidRPr="00643C60">
        <w:rPr>
          <w:rFonts w:ascii="Verdana" w:eastAsia="Calibri" w:hAnsi="Verdana" w:cs="Arial"/>
          <w:b/>
          <w:lang w:val="es-ES" w:eastAsia="es-ES"/>
        </w:rPr>
        <w:t>Johan Sebastián Herrera Galindo</w:t>
      </w:r>
    </w:p>
    <w:p w14:paraId="68571BDA" w14:textId="77777777" w:rsidR="00AD47A0" w:rsidRPr="00643C60" w:rsidRDefault="004F1B18" w:rsidP="00AD47A0">
      <w:pPr>
        <w:spacing w:after="0" w:line="240" w:lineRule="auto"/>
        <w:rPr>
          <w:rFonts w:ascii="Verdana" w:eastAsia="Calibri" w:hAnsi="Verdana" w:cs="Arial"/>
          <w:bCs/>
          <w:color w:val="000000"/>
          <w:lang w:val="es-ES_tradnl" w:eastAsia="es-ES_tradnl"/>
        </w:rPr>
      </w:pPr>
      <w:hyperlink r:id="rId12" w:history="1">
        <w:r w:rsidR="00AD47A0" w:rsidRPr="00643C60">
          <w:rPr>
            <w:rStyle w:val="Hipervnculo"/>
            <w:rFonts w:ascii="Verdana" w:eastAsia="Calibri" w:hAnsi="Verdana" w:cs="Arial"/>
            <w:bCs/>
            <w:lang w:val="es-ES_tradnl" w:eastAsia="es-ES_tradnl"/>
          </w:rPr>
          <w:t>johansh07@hotmail.com</w:t>
        </w:r>
      </w:hyperlink>
      <w:r w:rsidR="00AD47A0" w:rsidRPr="00643C60">
        <w:rPr>
          <w:rFonts w:ascii="Verdana" w:eastAsia="Calibri" w:hAnsi="Verdana" w:cs="Arial"/>
          <w:bCs/>
          <w:color w:val="000000"/>
          <w:lang w:val="es-ES_tradnl" w:eastAsia="es-ES_tradnl"/>
        </w:rPr>
        <w:t xml:space="preserve"> </w:t>
      </w:r>
    </w:p>
    <w:p w14:paraId="70D4565B" w14:textId="77777777" w:rsidR="00AD47A0" w:rsidRPr="00643C60" w:rsidRDefault="00AD47A0" w:rsidP="00AD47A0">
      <w:pPr>
        <w:spacing w:after="0" w:line="240" w:lineRule="auto"/>
        <w:rPr>
          <w:rFonts w:ascii="Verdana" w:eastAsia="Calibri" w:hAnsi="Verdana" w:cs="Arial"/>
          <w:bCs/>
          <w:color w:val="000000"/>
          <w:lang w:val="es-ES_tradnl" w:eastAsia="es-ES_tradnl"/>
        </w:rPr>
      </w:pPr>
      <w:r w:rsidRPr="00643C60">
        <w:rPr>
          <w:rFonts w:ascii="Verdana" w:eastAsia="Calibri" w:hAnsi="Verdana" w:cs="Arial"/>
          <w:bCs/>
          <w:color w:val="000000"/>
          <w:lang w:val="es-ES_tradnl" w:eastAsia="es-ES_tradnl"/>
        </w:rPr>
        <w:t>Bogotá D.C.</w:t>
      </w:r>
    </w:p>
    <w:p w14:paraId="1D01CAEF" w14:textId="77777777" w:rsidR="00AD47A0" w:rsidRDefault="00AD47A0" w:rsidP="00AD47A0">
      <w:pPr>
        <w:spacing w:after="0" w:line="240" w:lineRule="auto"/>
        <w:rPr>
          <w:rFonts w:ascii="Verdana" w:eastAsia="Calibri" w:hAnsi="Verdana" w:cs="Times New Roman"/>
        </w:rPr>
      </w:pPr>
    </w:p>
    <w:p w14:paraId="68D2FFA0" w14:textId="77777777" w:rsidR="00AD47A0" w:rsidRPr="00A12CB6" w:rsidRDefault="00AD47A0" w:rsidP="00AD47A0">
      <w:pPr>
        <w:spacing w:after="0" w:line="240" w:lineRule="auto"/>
        <w:rPr>
          <w:rFonts w:ascii="Verdana" w:eastAsia="Calibri" w:hAnsi="Verdana" w:cs="Times New Roman"/>
        </w:rPr>
      </w:pPr>
      <w:bookmarkStart w:id="1" w:name="_GoBack"/>
      <w:bookmarkEnd w:id="1"/>
    </w:p>
    <w:p w14:paraId="01A57DF0" w14:textId="77777777" w:rsidR="00AD47A0" w:rsidRPr="00A12CB6" w:rsidRDefault="00AD47A0" w:rsidP="00AD47A0">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C- 081 de 2026</w:t>
      </w:r>
    </w:p>
    <w:p w14:paraId="44DD0760" w14:textId="77777777" w:rsidR="00AD47A0" w:rsidRPr="00A12CB6" w:rsidRDefault="00AD47A0" w:rsidP="00AD47A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D47A0" w:rsidRPr="00A12CB6" w14:paraId="2F0BD310" w14:textId="77777777" w:rsidTr="00B7019D">
        <w:trPr>
          <w:trHeight w:val="2263"/>
        </w:trPr>
        <w:tc>
          <w:tcPr>
            <w:tcW w:w="2685" w:type="dxa"/>
            <w:hideMark/>
          </w:tcPr>
          <w:p w14:paraId="6E70C7A3" w14:textId="77777777" w:rsidR="00AD47A0" w:rsidRPr="00A12CB6" w:rsidRDefault="00AD47A0" w:rsidP="00B7019D">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77A7B4BE" w14:textId="77777777" w:rsidR="00AD47A0" w:rsidRPr="00817856" w:rsidRDefault="00AD47A0" w:rsidP="00B7019D">
            <w:pPr>
              <w:spacing w:line="276" w:lineRule="auto"/>
              <w:jc w:val="both"/>
              <w:rPr>
                <w:rFonts w:ascii="Verdana" w:hAnsi="Verdana" w:cs="Arial"/>
                <w:lang w:val="es-ES"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585ABC">
              <w:rPr>
                <w:rFonts w:ascii="Verdana" w:hAnsi="Verdana" w:cs="Arial"/>
                <w:lang w:val="es-MX" w:eastAsia="es-ES_tradnl"/>
              </w:rPr>
              <w:t>LEY DE GARANTÍAS – Contratación Directa – Peritos – Artículo 222 – Posibilidad / LEY DE GARANTÍAS ELECTORALES – Excepción – Decisiones Judiciales</w:t>
            </w:r>
          </w:p>
        </w:tc>
        <w:tc>
          <w:tcPr>
            <w:tcW w:w="6237" w:type="dxa"/>
          </w:tcPr>
          <w:p w14:paraId="77CDD907" w14:textId="77777777" w:rsidR="00AD47A0" w:rsidRPr="00A12CB6" w:rsidRDefault="00AD47A0" w:rsidP="00B7019D">
            <w:pPr>
              <w:spacing w:line="256" w:lineRule="auto"/>
              <w:rPr>
                <w:rFonts w:ascii="Verdana" w:hAnsi="Verdana"/>
              </w:rPr>
            </w:pPr>
          </w:p>
        </w:tc>
      </w:tr>
    </w:tbl>
    <w:p w14:paraId="73ACC77B" w14:textId="77777777" w:rsidR="00AD47A0" w:rsidRPr="009305DC" w:rsidRDefault="00AD47A0" w:rsidP="00AD47A0">
      <w:pPr>
        <w:spacing w:after="0" w:line="240" w:lineRule="auto"/>
        <w:rPr>
          <w:rFonts w:ascii="Verdana" w:eastAsia="Calibri" w:hAnsi="Verdana" w:cs="Arial"/>
          <w:b/>
          <w:bCs/>
          <w:color w:val="000000"/>
          <w:lang w:eastAsia="es-ES_tradnl"/>
        </w:rPr>
      </w:pPr>
    </w:p>
    <w:p w14:paraId="466D9C24" w14:textId="77777777" w:rsidR="00AD47A0" w:rsidRPr="00593A5F" w:rsidRDefault="00AD47A0" w:rsidP="00AD47A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D47A0" w:rsidRPr="008E6AD9" w14:paraId="08D8A878" w14:textId="77777777" w:rsidTr="00B7019D">
        <w:tc>
          <w:tcPr>
            <w:tcW w:w="2689" w:type="dxa"/>
          </w:tcPr>
          <w:p w14:paraId="760BDEA0" w14:textId="77777777" w:rsidR="00AD47A0" w:rsidRPr="008E6AD9" w:rsidRDefault="00AD47A0" w:rsidP="00B7019D">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068A041" w14:textId="77777777" w:rsidR="00AD47A0" w:rsidRPr="00AD67E7" w:rsidRDefault="00AD47A0" w:rsidP="00B7019D">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6A107F">
              <w:rPr>
                <w:rFonts w:ascii="Verdana" w:eastAsia="Calibri" w:hAnsi="Verdana" w:cs="Arial"/>
                <w:lang w:eastAsia="es-ES_tradnl"/>
              </w:rPr>
              <w:t>1_2026_01_21_000646</w:t>
            </w:r>
          </w:p>
        </w:tc>
      </w:tr>
    </w:tbl>
    <w:p w14:paraId="7AC3C8AD" w14:textId="77777777" w:rsidR="00AD47A0" w:rsidRPr="00593A5F" w:rsidRDefault="00AD47A0" w:rsidP="00AD47A0">
      <w:pPr>
        <w:spacing w:after="0" w:line="240" w:lineRule="auto"/>
        <w:jc w:val="both"/>
        <w:rPr>
          <w:rFonts w:ascii="Verdana" w:eastAsia="Calibri" w:hAnsi="Verdana" w:cs="Arial"/>
          <w:color w:val="000000"/>
          <w:lang w:val="es-ES_tradnl" w:eastAsia="es-ES_tradnl"/>
        </w:rPr>
      </w:pPr>
    </w:p>
    <w:p w14:paraId="43F680D2" w14:textId="77777777" w:rsidR="00AD47A0" w:rsidRPr="00593A5F" w:rsidRDefault="00AD47A0" w:rsidP="00AD47A0">
      <w:pPr>
        <w:spacing w:after="0" w:line="240" w:lineRule="auto"/>
        <w:jc w:val="both"/>
        <w:rPr>
          <w:rFonts w:ascii="Verdana" w:eastAsia="Calibri" w:hAnsi="Verdana" w:cs="Arial"/>
          <w:color w:val="000000"/>
          <w:lang w:val="es-ES_tradnl" w:eastAsia="es-ES_tradnl"/>
        </w:rPr>
      </w:pPr>
    </w:p>
    <w:p w14:paraId="62B8C863" w14:textId="77777777" w:rsidR="00AD47A0" w:rsidRPr="008E6AD9" w:rsidRDefault="00AD47A0" w:rsidP="00AD47A0">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Señor Herrera</w:t>
      </w:r>
      <w:r w:rsidRPr="008E6AD9">
        <w:rPr>
          <w:rFonts w:ascii="Verdana" w:eastAsia="Calibri" w:hAnsi="Verdana" w:cs="Arial"/>
          <w:lang w:val="es-ES" w:eastAsia="es-ES"/>
        </w:rPr>
        <w:t xml:space="preserve">: </w:t>
      </w:r>
    </w:p>
    <w:p w14:paraId="65EC5E78" w14:textId="77777777" w:rsidR="00AD47A0" w:rsidRDefault="00AD47A0" w:rsidP="00AD47A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7F12000" w14:textId="77777777" w:rsidR="00AD47A0" w:rsidRPr="00102203" w:rsidRDefault="00AD47A0" w:rsidP="00AD47A0">
      <w:pPr>
        <w:spacing w:after="0" w:line="276" w:lineRule="auto"/>
        <w:jc w:val="both"/>
        <w:rPr>
          <w:rFonts w:ascii="Verdana" w:eastAsia="Calibri" w:hAnsi="Verdana" w:cs="Arial"/>
          <w:bCs/>
          <w:color w:val="000000" w:themeColor="text1"/>
          <w:lang w:val="es-ES" w:eastAsia="es-ES" w:bidi="es-ES"/>
        </w:rPr>
      </w:pPr>
      <w:r w:rsidRPr="00102203">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102203">
        <w:rPr>
          <w:rFonts w:ascii="Verdana" w:eastAsia="Calibri" w:hAnsi="Verdana" w:cs="Arial"/>
          <w:bCs/>
          <w:color w:val="000000" w:themeColor="text1"/>
          <w:lang w:eastAsia="es-ES"/>
        </w:rPr>
        <w:t xml:space="preserve">así como lo establecido por la Resolución 469 de 2025 expedida por esta Entidad, </w:t>
      </w:r>
      <w:r w:rsidRPr="00102203">
        <w:rPr>
          <w:rFonts w:ascii="Verdana" w:eastAsia="Calibri" w:hAnsi="Verdana" w:cs="Arial"/>
          <w:bCs/>
          <w:color w:val="000000" w:themeColor="text1"/>
          <w:lang w:val="es-ES" w:eastAsia="es-ES" w:bidi="es-ES"/>
        </w:rPr>
        <w:t>la Agencia Nacional de Contratación Pública – Colombia Compra Eficiente– responde l</w:t>
      </w:r>
      <w:r>
        <w:rPr>
          <w:rFonts w:ascii="Verdana" w:eastAsia="Calibri" w:hAnsi="Verdana" w:cs="Arial"/>
          <w:bCs/>
          <w:color w:val="000000" w:themeColor="text1"/>
          <w:lang w:val="es-ES" w:eastAsia="es-ES" w:bidi="es-ES"/>
        </w:rPr>
        <w:t>a solicitud de consulta remitida el 21 de enero de 2026</w:t>
      </w:r>
      <w:r w:rsidRPr="00102203">
        <w:rPr>
          <w:rFonts w:ascii="Verdana" w:eastAsia="Calibri" w:hAnsi="Verdana" w:cs="Arial"/>
          <w:bCs/>
          <w:color w:val="000000" w:themeColor="text1"/>
          <w:lang w:val="es-ES" w:eastAsia="es-ES" w:bidi="es-ES"/>
        </w:rPr>
        <w:t xml:space="preserve">, en la cual manifiesta: </w:t>
      </w:r>
    </w:p>
    <w:p w14:paraId="386563E3" w14:textId="77777777" w:rsidR="00AD47A0" w:rsidRPr="00272A7B" w:rsidRDefault="00AD47A0" w:rsidP="00AD47A0">
      <w:pPr>
        <w:pStyle w:val="Prrafodelista"/>
        <w:tabs>
          <w:tab w:val="left" w:pos="142"/>
          <w:tab w:val="left" w:pos="284"/>
        </w:tabs>
        <w:spacing w:after="0" w:line="240" w:lineRule="auto"/>
        <w:ind w:left="0"/>
        <w:jc w:val="both"/>
        <w:rPr>
          <w:rFonts w:ascii="Verdana" w:eastAsia="Century Gothic" w:hAnsi="Verdana" w:cs="Century Gothic"/>
          <w:b/>
          <w:bCs/>
        </w:rPr>
      </w:pPr>
    </w:p>
    <w:p w14:paraId="24B5C4AC" w14:textId="77777777" w:rsidR="00AD47A0" w:rsidRPr="00643C60" w:rsidRDefault="00AD47A0" w:rsidP="00AD47A0">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lang w:val="es-ES"/>
        </w:rPr>
        <w:t>“</w:t>
      </w:r>
      <w:r w:rsidRPr="00643C60">
        <w:rPr>
          <w:rFonts w:ascii="Verdana" w:eastAsia="Century Gothic" w:hAnsi="Verdana" w:cs="Century Gothic"/>
          <w:sz w:val="20"/>
          <w:szCs w:val="20"/>
        </w:rPr>
        <w:t>¿La contratación directa de peritos ordenada judicialmente se encuentra amparada por alguna excepción de la Ley 996 de 2005, aun cuando esta no la enuncie de</w:t>
      </w:r>
      <w:r>
        <w:rPr>
          <w:rFonts w:ascii="Verdana" w:eastAsia="Century Gothic" w:hAnsi="Verdana" w:cs="Century Gothic"/>
          <w:sz w:val="20"/>
          <w:szCs w:val="20"/>
        </w:rPr>
        <w:t xml:space="preserve"> </w:t>
      </w:r>
      <w:r w:rsidRPr="00643C60">
        <w:rPr>
          <w:rFonts w:ascii="Verdana" w:eastAsia="Century Gothic" w:hAnsi="Verdana" w:cs="Century Gothic"/>
          <w:sz w:val="20"/>
          <w:szCs w:val="20"/>
        </w:rPr>
        <w:t>manera explícita?</w:t>
      </w:r>
    </w:p>
    <w:p w14:paraId="6C46BFB7" w14:textId="77777777" w:rsidR="00AD47A0" w:rsidRPr="00643C60" w:rsidRDefault="00AD47A0" w:rsidP="00AD47A0">
      <w:pPr>
        <w:spacing w:after="0" w:line="240" w:lineRule="auto"/>
        <w:ind w:left="709" w:right="709"/>
        <w:jc w:val="both"/>
        <w:rPr>
          <w:rFonts w:ascii="Verdana" w:eastAsia="Century Gothic" w:hAnsi="Verdana" w:cs="Century Gothic"/>
          <w:sz w:val="20"/>
          <w:szCs w:val="20"/>
        </w:rPr>
      </w:pPr>
      <w:r w:rsidRPr="00643C60">
        <w:rPr>
          <w:rFonts w:ascii="Verdana" w:eastAsia="Century Gothic" w:hAnsi="Verdana" w:cs="Century Gothic"/>
          <w:sz w:val="20"/>
          <w:szCs w:val="20"/>
        </w:rPr>
        <w:lastRenderedPageBreak/>
        <w:t>¿Debe entenderse que la necesidad de acatar órdenes judiciales constituye una</w:t>
      </w:r>
      <w:r>
        <w:rPr>
          <w:rFonts w:ascii="Verdana" w:eastAsia="Century Gothic" w:hAnsi="Verdana" w:cs="Century Gothic"/>
          <w:sz w:val="20"/>
          <w:szCs w:val="20"/>
        </w:rPr>
        <w:t xml:space="preserve"> </w:t>
      </w:r>
      <w:r w:rsidRPr="00643C60">
        <w:rPr>
          <w:rFonts w:ascii="Verdana" w:eastAsia="Century Gothic" w:hAnsi="Verdana" w:cs="Century Gothic"/>
          <w:sz w:val="20"/>
          <w:szCs w:val="20"/>
        </w:rPr>
        <w:t>excepción implícita a las restricciones de contratación durante el periodo de</w:t>
      </w:r>
      <w:r>
        <w:rPr>
          <w:rFonts w:ascii="Verdana" w:eastAsia="Century Gothic" w:hAnsi="Verdana" w:cs="Century Gothic"/>
          <w:sz w:val="20"/>
          <w:szCs w:val="20"/>
        </w:rPr>
        <w:t xml:space="preserve"> </w:t>
      </w:r>
      <w:r w:rsidRPr="00643C60">
        <w:rPr>
          <w:rFonts w:ascii="Verdana" w:eastAsia="Century Gothic" w:hAnsi="Verdana" w:cs="Century Gothic"/>
          <w:sz w:val="20"/>
          <w:szCs w:val="20"/>
        </w:rPr>
        <w:t>garantías?</w:t>
      </w:r>
    </w:p>
    <w:p w14:paraId="7135C963" w14:textId="77777777" w:rsidR="00AD47A0" w:rsidRPr="00643C60" w:rsidRDefault="00AD47A0" w:rsidP="00AD47A0">
      <w:pPr>
        <w:spacing w:after="0" w:line="240" w:lineRule="auto"/>
        <w:ind w:left="709" w:right="709"/>
        <w:jc w:val="both"/>
        <w:rPr>
          <w:rFonts w:ascii="Verdana" w:eastAsia="Century Gothic" w:hAnsi="Verdana" w:cs="Century Gothic"/>
          <w:sz w:val="20"/>
          <w:szCs w:val="20"/>
        </w:rPr>
      </w:pPr>
      <w:r w:rsidRPr="00643C60">
        <w:rPr>
          <w:rFonts w:ascii="Verdana" w:eastAsia="Century Gothic" w:hAnsi="Verdana" w:cs="Century Gothic"/>
          <w:sz w:val="20"/>
          <w:szCs w:val="20"/>
        </w:rPr>
        <w:t>¿Existe criterio orientador o concepto previo emitido por esa Agencia sobre este</w:t>
      </w:r>
      <w:r>
        <w:rPr>
          <w:rFonts w:ascii="Verdana" w:eastAsia="Century Gothic" w:hAnsi="Verdana" w:cs="Century Gothic"/>
          <w:sz w:val="20"/>
          <w:szCs w:val="20"/>
        </w:rPr>
        <w:t xml:space="preserve"> </w:t>
      </w:r>
      <w:r w:rsidRPr="00643C60">
        <w:rPr>
          <w:rFonts w:ascii="Verdana" w:eastAsia="Century Gothic" w:hAnsi="Verdana" w:cs="Century Gothic"/>
          <w:sz w:val="20"/>
          <w:szCs w:val="20"/>
        </w:rPr>
        <w:t>escenario específico?</w:t>
      </w:r>
    </w:p>
    <w:p w14:paraId="377BC92F" w14:textId="77777777" w:rsidR="00AD47A0" w:rsidRPr="002E60E4" w:rsidRDefault="00AD47A0" w:rsidP="00AD47A0">
      <w:pPr>
        <w:spacing w:after="0" w:line="240" w:lineRule="auto"/>
        <w:ind w:left="709" w:right="709"/>
        <w:jc w:val="both"/>
        <w:rPr>
          <w:rFonts w:ascii="Verdana" w:eastAsia="Century Gothic" w:hAnsi="Verdana" w:cs="Century Gothic"/>
          <w:sz w:val="20"/>
          <w:szCs w:val="20"/>
        </w:rPr>
      </w:pPr>
      <w:r w:rsidRPr="00643C60">
        <w:rPr>
          <w:rFonts w:ascii="Verdana" w:eastAsia="Century Gothic" w:hAnsi="Verdana" w:cs="Century Gothic"/>
          <w:sz w:val="20"/>
          <w:szCs w:val="20"/>
        </w:rPr>
        <w:t>¿Cuál sería el procedimiento contractual adecuado que debe adelantar la entidad</w:t>
      </w:r>
      <w:r>
        <w:rPr>
          <w:rFonts w:ascii="Verdana" w:eastAsia="Century Gothic" w:hAnsi="Verdana" w:cs="Century Gothic"/>
          <w:sz w:val="20"/>
          <w:szCs w:val="20"/>
        </w:rPr>
        <w:t xml:space="preserve"> </w:t>
      </w:r>
      <w:r w:rsidRPr="00643C60">
        <w:rPr>
          <w:rFonts w:ascii="Verdana" w:eastAsia="Century Gothic" w:hAnsi="Verdana" w:cs="Century Gothic"/>
          <w:sz w:val="20"/>
          <w:szCs w:val="20"/>
        </w:rPr>
        <w:t>para cumplir con la orden judicial durante la vigencia de la Ley de Garantías?</w:t>
      </w:r>
      <w:r>
        <w:rPr>
          <w:rFonts w:ascii="Verdana" w:eastAsia="Century Gothic" w:hAnsi="Verdana" w:cs="Century Gothic"/>
          <w:sz w:val="20"/>
          <w:szCs w:val="20"/>
        </w:rPr>
        <w:t>”</w:t>
      </w:r>
    </w:p>
    <w:p w14:paraId="22E1F168" w14:textId="77777777" w:rsidR="00AD47A0" w:rsidRPr="008E6AD9" w:rsidRDefault="00AD47A0" w:rsidP="00AD47A0">
      <w:pPr>
        <w:pStyle w:val="Prrafodelista"/>
        <w:tabs>
          <w:tab w:val="left" w:pos="142"/>
          <w:tab w:val="left" w:pos="284"/>
        </w:tabs>
        <w:spacing w:after="0" w:line="276" w:lineRule="auto"/>
        <w:ind w:left="0"/>
        <w:jc w:val="both"/>
        <w:rPr>
          <w:rFonts w:ascii="Verdana" w:eastAsia="Century Gothic" w:hAnsi="Verdana" w:cs="Century Gothic"/>
          <w:b/>
          <w:bCs/>
        </w:rPr>
      </w:pPr>
    </w:p>
    <w:p w14:paraId="50F6FABF" w14:textId="77777777" w:rsidR="00AD47A0" w:rsidRPr="00A652FF" w:rsidRDefault="00AD47A0" w:rsidP="00AD47A0">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DFE54AB" w14:textId="77777777" w:rsidR="00AD47A0" w:rsidRPr="00423BE7" w:rsidRDefault="00AD47A0" w:rsidP="00AD47A0">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el problema jurídico de su consulta. </w:t>
      </w:r>
    </w:p>
    <w:p w14:paraId="1102F173" w14:textId="77777777" w:rsidR="00AD47A0" w:rsidRPr="00593A5F" w:rsidRDefault="00AD47A0" w:rsidP="00AD47A0">
      <w:pPr>
        <w:spacing w:after="0" w:line="276" w:lineRule="auto"/>
        <w:ind w:firstLine="709"/>
        <w:jc w:val="both"/>
        <w:rPr>
          <w:rFonts w:ascii="Verdana" w:eastAsia="Calibri" w:hAnsi="Verdana" w:cs="Arial"/>
          <w:color w:val="000000"/>
          <w:lang w:val="es-ES" w:eastAsia="es-ES"/>
        </w:rPr>
      </w:pPr>
    </w:p>
    <w:p w14:paraId="38F58DA3" w14:textId="77777777" w:rsidR="00AD47A0" w:rsidRPr="00593A5F" w:rsidRDefault="00AD47A0" w:rsidP="00AD47A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F477D48" w14:textId="77777777" w:rsidR="00AD47A0" w:rsidRPr="00593A5F" w:rsidRDefault="00AD47A0" w:rsidP="00AD47A0">
      <w:pPr>
        <w:tabs>
          <w:tab w:val="left" w:pos="426"/>
        </w:tabs>
        <w:spacing w:after="0" w:line="276" w:lineRule="auto"/>
        <w:jc w:val="both"/>
        <w:rPr>
          <w:rFonts w:ascii="Verdana" w:eastAsia="Century Gothic" w:hAnsi="Verdana" w:cs="Century Gothic"/>
          <w:lang w:val="es-ES"/>
        </w:rPr>
      </w:pPr>
    </w:p>
    <w:p w14:paraId="349E0F8B" w14:textId="77777777" w:rsidR="00AD47A0" w:rsidRDefault="00AD47A0" w:rsidP="00AD47A0">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w:t>
      </w:r>
      <w:r>
        <w:rPr>
          <w:rFonts w:ascii="Verdana" w:eastAsia="Century Gothic" w:hAnsi="Verdana" w:cs="Century Gothic"/>
        </w:rPr>
        <w:t>con el contenido de sus solicitudes</w:t>
      </w:r>
      <w:r w:rsidRPr="00906BE9">
        <w:rPr>
          <w:rFonts w:ascii="Verdana" w:eastAsia="Century Gothic" w:hAnsi="Verdana" w:cs="Century Gothic"/>
        </w:rPr>
        <w:t xml:space="preserve">, esta Agencia resolverá </w:t>
      </w:r>
      <w:r>
        <w:rPr>
          <w:rFonts w:ascii="Verdana" w:eastAsia="Century Gothic" w:hAnsi="Verdana" w:cs="Century Gothic"/>
        </w:rPr>
        <w:t>el siguiente problema jurídico</w:t>
      </w:r>
      <w:r w:rsidRPr="00906BE9">
        <w:rPr>
          <w:rFonts w:ascii="Verdana" w:eastAsia="Century Gothic" w:hAnsi="Verdana" w:cs="Century Gothic"/>
        </w:rPr>
        <w:t>:</w:t>
      </w:r>
      <w:r>
        <w:rPr>
          <w:rFonts w:ascii="Verdana" w:eastAsia="Century Gothic" w:hAnsi="Verdana" w:cs="Century Gothic"/>
        </w:rPr>
        <w:t xml:space="preserve"> </w:t>
      </w:r>
      <w:r w:rsidRPr="00643C60">
        <w:rPr>
          <w:rFonts w:ascii="Verdana" w:eastAsia="Century Gothic" w:hAnsi="Verdana" w:cs="Century Gothic"/>
        </w:rPr>
        <w:t>¿Puede una entidad estatal, durante la vigencia de las restricciones de contratación p</w:t>
      </w:r>
      <w:r>
        <w:rPr>
          <w:rFonts w:ascii="Verdana" w:eastAsia="Century Gothic" w:hAnsi="Verdana" w:cs="Century Gothic"/>
        </w:rPr>
        <w:t>revistas en la Ley 996 de 2005 -Ley de Garantías Electorales-</w:t>
      </w:r>
      <w:r w:rsidRPr="00643C60">
        <w:rPr>
          <w:rFonts w:ascii="Verdana" w:eastAsia="Century Gothic" w:hAnsi="Verdana" w:cs="Century Gothic"/>
        </w:rPr>
        <w:t>, adelantar la contratación directa de p</w:t>
      </w:r>
      <w:r>
        <w:rPr>
          <w:rFonts w:ascii="Verdana" w:eastAsia="Century Gothic" w:hAnsi="Verdana" w:cs="Century Gothic"/>
        </w:rPr>
        <w:t xml:space="preserve">eritos ordenada por un juez, </w:t>
      </w:r>
      <w:r w:rsidRPr="00643C60">
        <w:rPr>
          <w:rFonts w:ascii="Verdana" w:eastAsia="Century Gothic" w:hAnsi="Verdana" w:cs="Century Gothic"/>
        </w:rPr>
        <w:t>aun</w:t>
      </w:r>
      <w:r>
        <w:rPr>
          <w:rFonts w:ascii="Verdana" w:eastAsia="Century Gothic" w:hAnsi="Verdana" w:cs="Century Gothic"/>
        </w:rPr>
        <w:t xml:space="preserve"> cuando dicha excepción no está contemplada</w:t>
      </w:r>
      <w:r w:rsidRPr="00643C60">
        <w:rPr>
          <w:rFonts w:ascii="Verdana" w:eastAsia="Century Gothic" w:hAnsi="Verdana" w:cs="Century Gothic"/>
        </w:rPr>
        <w:t>?</w:t>
      </w:r>
    </w:p>
    <w:p w14:paraId="2EC71FEA" w14:textId="77777777" w:rsidR="00AD47A0" w:rsidRPr="004B140F" w:rsidRDefault="00AD47A0" w:rsidP="00AD47A0">
      <w:pPr>
        <w:spacing w:after="0" w:line="276" w:lineRule="auto"/>
        <w:jc w:val="both"/>
        <w:rPr>
          <w:rFonts w:ascii="Verdana" w:eastAsia="Calibri" w:hAnsi="Verdana" w:cs="Arial"/>
          <w:color w:val="7030A0"/>
        </w:rPr>
      </w:pPr>
    </w:p>
    <w:p w14:paraId="2820145F" w14:textId="77777777" w:rsidR="00AD47A0" w:rsidRPr="00593A5F" w:rsidRDefault="00AD47A0" w:rsidP="00AD47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1BA5B79" w14:textId="77777777" w:rsidR="00AD47A0" w:rsidRPr="00593A5F" w:rsidRDefault="00AD47A0" w:rsidP="00AD47A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47A0" w:rsidRPr="00593A5F" w14:paraId="05B1EE21" w14:textId="77777777" w:rsidTr="00B7019D">
        <w:trPr>
          <w:jc w:val="center"/>
        </w:trPr>
        <w:tc>
          <w:tcPr>
            <w:tcW w:w="8828" w:type="dxa"/>
          </w:tcPr>
          <w:p w14:paraId="15541E6E" w14:textId="77777777" w:rsidR="00AD47A0" w:rsidRDefault="00AD47A0" w:rsidP="00B7019D">
            <w:pPr>
              <w:spacing w:after="120" w:line="276" w:lineRule="auto"/>
              <w:jc w:val="both"/>
              <w:rPr>
                <w:rFonts w:ascii="Verdana" w:hAnsi="Verdana" w:cs="Arial"/>
                <w:color w:val="000000" w:themeColor="text1"/>
                <w:lang w:val="es-ES_tradnl"/>
              </w:rPr>
            </w:pPr>
            <w:bookmarkStart w:id="2" w:name="_Hlk171694685"/>
            <w:r w:rsidRPr="004F1C0A">
              <w:rPr>
                <w:rFonts w:ascii="Verdana" w:eastAsia="Calibri" w:hAnsi="Verdana" w:cs="Arial"/>
                <w:lang w:val="es-MX"/>
              </w:rPr>
              <w:lastRenderedPageBreak/>
              <w:t xml:space="preserve">De acuerdo con el problema jurídico, objeto de consulta, </w:t>
            </w:r>
            <w:r>
              <w:rPr>
                <w:rFonts w:ascii="Verdana" w:eastAsia="Calibri" w:hAnsi="Verdana" w:cs="Arial"/>
                <w:lang w:val="es-MX"/>
              </w:rPr>
              <w:t xml:space="preserve">se detalla que </w:t>
            </w:r>
            <w:r w:rsidRPr="009803D1">
              <w:rPr>
                <w:rFonts w:ascii="Verdana" w:hAnsi="Verdana" w:cs="Arial"/>
                <w:color w:val="000000" w:themeColor="text1"/>
                <w:lang w:val="es-ES_tradnl"/>
              </w:rPr>
              <w:t xml:space="preserve">la contratación directa de peritos y asesores técnicos para la finalidad prevista en la nueva causal del literal k) del numeral 4° del artículo 2 de la Ley 1150 de 2007 comporta una </w:t>
            </w:r>
            <w:r w:rsidRPr="009803D1">
              <w:rPr>
                <w:rFonts w:ascii="Verdana" w:hAnsi="Verdana" w:cs="Arial"/>
                <w:i/>
                <w:iCs/>
                <w:color w:val="000000" w:themeColor="text1"/>
                <w:lang w:val="es-ES_tradnl"/>
              </w:rPr>
              <w:t>excepción</w:t>
            </w:r>
            <w:r w:rsidRPr="009803D1">
              <w:rPr>
                <w:rFonts w:ascii="Verdana" w:hAnsi="Verdana" w:cs="Arial"/>
                <w:color w:val="000000" w:themeColor="text1"/>
                <w:lang w:val="es-ES_tradnl"/>
              </w:rPr>
              <w:t xml:space="preserve"> a la restricción de la contratación directa de las entidades estatales prevista en la Ley de Garantías Electorales –Ley 996 de 2005– por lo que una entidad estatal que requiera aportar o contradecir un dictamen pericial, dentro de un proceso judicial, podrá contratar directamente al perito o asesor técnico que requiera, aun en vigencia la prohibición establecida en  el artículo 33 de la Ley 996 de 2005, esto es, durante los cuatro meses anteriores a las elecciones presidenci</w:t>
            </w:r>
            <w:r>
              <w:rPr>
                <w:rFonts w:ascii="Verdana" w:hAnsi="Verdana" w:cs="Arial"/>
                <w:color w:val="000000" w:themeColor="text1"/>
                <w:lang w:val="es-ES_tradnl"/>
              </w:rPr>
              <w:t>ales y hasta la fecha</w:t>
            </w:r>
            <w:r w:rsidRPr="009803D1">
              <w:rPr>
                <w:rFonts w:ascii="Verdana" w:hAnsi="Verdana" w:cs="Arial"/>
                <w:color w:val="000000" w:themeColor="text1"/>
                <w:lang w:val="es-ES_tradnl"/>
              </w:rPr>
              <w:t xml:space="preserve"> al cual el presidente sea elegido. Esta excepción especial se establece claramente en el numeral 1 del artículo 222 de la Ley 1437 de 2011, de acuerdo con la modificación realizada por el artículo 58 de la Ley 2080 de 2021.</w:t>
            </w:r>
            <w:r>
              <w:rPr>
                <w:rFonts w:ascii="Verdana" w:hAnsi="Verdana" w:cs="Arial"/>
                <w:color w:val="000000" w:themeColor="text1"/>
                <w:lang w:val="es-ES_tradnl"/>
              </w:rPr>
              <w:t xml:space="preserve"> </w:t>
            </w:r>
          </w:p>
          <w:p w14:paraId="572023F9" w14:textId="77777777" w:rsidR="00AD47A0" w:rsidRPr="006177F8" w:rsidRDefault="00AD47A0" w:rsidP="00B7019D">
            <w:pPr>
              <w:spacing w:after="120" w:line="276" w:lineRule="auto"/>
              <w:ind w:firstLine="708"/>
              <w:jc w:val="both"/>
              <w:rPr>
                <w:rFonts w:ascii="Verdana" w:eastAsia="Arial" w:hAnsi="Verdana" w:cs="Arial"/>
                <w:lang w:val="es-ES" w:eastAsia="es-ES" w:bidi="es-ES"/>
              </w:rPr>
            </w:pPr>
            <w:r w:rsidRPr="006177F8">
              <w:rPr>
                <w:rFonts w:ascii="Verdana" w:hAnsi="Verdana" w:cs="Arial"/>
                <w:lang w:val="es-ES_tradnl"/>
              </w:rPr>
              <w:t>Con respecto al evento o supuesto de que la contratación se enmarca en una providencia judicial</w:t>
            </w:r>
            <w:r w:rsidRPr="006177F8">
              <w:rPr>
                <w:rFonts w:ascii="Verdana" w:eastAsia="Arial" w:hAnsi="Verdana" w:cs="Arial"/>
                <w:lang w:val="es-ES" w:eastAsia="es-ES" w:bidi="es-ES"/>
              </w:rPr>
              <w:t>, debe tenerse en cuenta que las decisiones judiciales tienen fuerza vinculante y deben cumplirse en virtud del principio de supremacía constitucional y del derecho fundamental de acceso a la administración de justicia. La contratación de un perito ordenada por un juez 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0710E246" w14:textId="77777777" w:rsidR="00AD47A0" w:rsidRPr="006177F8" w:rsidRDefault="00AD47A0" w:rsidP="00B7019D">
            <w:pPr>
              <w:spacing w:after="120" w:line="276" w:lineRule="auto"/>
              <w:ind w:firstLine="709"/>
              <w:jc w:val="both"/>
              <w:rPr>
                <w:rFonts w:ascii="Verdana" w:eastAsia="Arial" w:hAnsi="Verdana" w:cs="Arial"/>
                <w:lang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Concepto 1863 del 15 de noviembre de 2007 </w:t>
            </w:r>
            <w:r w:rsidRPr="006177F8">
              <w:rPr>
                <w:rFonts w:ascii="Verdana" w:eastAsia="Arial" w:hAnsi="Verdana" w:cs="Arial"/>
                <w:lang w:val="es-ES" w:eastAsia="es-ES" w:bidi="es-ES"/>
              </w:rPr>
              <w:t xml:space="preserve">se ha pronunciado en el sentido de que 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2DC5509A" w14:textId="77777777" w:rsidR="00AD47A0" w:rsidRPr="00585ABC" w:rsidRDefault="00AD47A0" w:rsidP="00B7019D">
            <w:pPr>
              <w:spacing w:after="120" w:line="276" w:lineRule="auto"/>
              <w:ind w:firstLine="708"/>
              <w:jc w:val="both"/>
              <w:rPr>
                <w:rFonts w:ascii="Verdana" w:hAnsi="Verdana" w:cs="Arial"/>
                <w:lang w:val="es-ES"/>
              </w:rPr>
            </w:pPr>
            <w:r w:rsidRPr="006177F8">
              <w:rPr>
                <w:rFonts w:ascii="Verdana" w:hAnsi="Verdana" w:cs="Arial"/>
                <w:lang w:val="es-ES"/>
              </w:rPr>
              <w:t xml:space="preserve">De este modo, </w:t>
            </w:r>
            <w:r>
              <w:rPr>
                <w:rFonts w:ascii="Verdana" w:hAnsi="Verdana" w:cs="Arial"/>
                <w:lang w:val="es-ES"/>
              </w:rPr>
              <w:t>e</w:t>
            </w:r>
            <w:r w:rsidRPr="006177F8">
              <w:rPr>
                <w:rFonts w:ascii="Verdana" w:hAnsi="Verdana" w:cs="Arial"/>
                <w:lang w:val="es-ES"/>
              </w:rPr>
              <w:t xml:space="preserve">l 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w:t>
            </w:r>
            <w:r w:rsidRPr="006177F8">
              <w:rPr>
                <w:rFonts w:ascii="Verdana" w:hAnsi="Verdana" w:cs="Arial"/>
                <w:lang w:val="es-ES"/>
              </w:rPr>
              <w:lastRenderedPageBreak/>
              <w:t xml:space="preserve">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tc>
      </w:tr>
    </w:tbl>
    <w:p w14:paraId="160914B9" w14:textId="77777777" w:rsidR="00AD47A0" w:rsidRPr="00593A5F" w:rsidRDefault="00AD47A0" w:rsidP="00AD47A0">
      <w:pPr>
        <w:tabs>
          <w:tab w:val="left" w:pos="142"/>
          <w:tab w:val="left" w:pos="284"/>
        </w:tabs>
        <w:spacing w:after="0" w:line="276" w:lineRule="auto"/>
        <w:jc w:val="both"/>
        <w:rPr>
          <w:rFonts w:ascii="Verdana" w:eastAsia="Century Gothic" w:hAnsi="Verdana" w:cs="Century Gothic"/>
          <w:b/>
          <w:bCs/>
          <w:lang w:val="es-ES"/>
        </w:rPr>
      </w:pPr>
    </w:p>
    <w:bookmarkEnd w:id="2"/>
    <w:p w14:paraId="756CC18A" w14:textId="77777777" w:rsidR="00AD47A0" w:rsidRPr="00593A5F" w:rsidRDefault="00AD47A0" w:rsidP="00AD47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849BE25" w14:textId="77777777" w:rsidR="00AD47A0" w:rsidRPr="00593A5F" w:rsidRDefault="00AD47A0" w:rsidP="00AD47A0">
      <w:pPr>
        <w:spacing w:after="0" w:line="276" w:lineRule="auto"/>
        <w:jc w:val="both"/>
        <w:rPr>
          <w:rFonts w:ascii="Verdana" w:eastAsia="Calibri" w:hAnsi="Verdana" w:cs="Arial"/>
          <w:color w:val="7030A0"/>
          <w:lang w:val="es-ES"/>
        </w:rPr>
      </w:pPr>
    </w:p>
    <w:p w14:paraId="70108ABF" w14:textId="77777777" w:rsidR="00AD47A0" w:rsidRDefault="00AD47A0" w:rsidP="00AD47A0">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5A7C483" w14:textId="77777777" w:rsidR="00AD47A0" w:rsidRDefault="00AD47A0" w:rsidP="00AD47A0">
      <w:pPr>
        <w:spacing w:after="0" w:line="276" w:lineRule="auto"/>
        <w:jc w:val="both"/>
        <w:rPr>
          <w:rFonts w:ascii="Verdana" w:eastAsia="Calibri" w:hAnsi="Verdana" w:cs="Arial"/>
          <w:lang w:val="es-ES"/>
        </w:rPr>
      </w:pPr>
    </w:p>
    <w:p w14:paraId="502AAAA2" w14:textId="77777777" w:rsidR="00AD47A0" w:rsidRPr="002D6B43" w:rsidRDefault="00AD47A0" w:rsidP="00AD47A0">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0FE0E8EA" w14:textId="77777777" w:rsidR="00AD47A0" w:rsidRPr="006B14B5" w:rsidRDefault="00AD47A0" w:rsidP="00AD47A0">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3"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3"/>
      <w:r w:rsidRPr="00E2397D">
        <w:rPr>
          <w:rFonts w:ascii="Verdana" w:eastAsia="Times New Roman" w:hAnsi="Verdana" w:cs="Arial"/>
          <w:lang w:val="es-MX" w:eastAsia="es-CO"/>
        </w:rPr>
        <w:t xml:space="preserve">En armonía </w:t>
      </w:r>
      <w:r w:rsidRPr="00E2397D">
        <w:rPr>
          <w:rFonts w:ascii="Verdana" w:eastAsia="Times New Roman" w:hAnsi="Verdana" w:cs="Arial"/>
          <w:lang w:val="es-MX" w:eastAsia="es-CO"/>
        </w:rPr>
        <w:lastRenderedPageBreak/>
        <w:t>con lo anterior, la Corte Constitucional ha abordado la definición de la Ley de Garantías Electorales. De esta manera, explica que tiene como propósito:</w:t>
      </w:r>
    </w:p>
    <w:p w14:paraId="4254073D" w14:textId="77777777" w:rsidR="00AD47A0" w:rsidRPr="00E2397D" w:rsidRDefault="00AD47A0" w:rsidP="00AD47A0">
      <w:pPr>
        <w:spacing w:after="0" w:line="276" w:lineRule="auto"/>
        <w:ind w:right="709"/>
        <w:contextualSpacing/>
        <w:jc w:val="both"/>
        <w:rPr>
          <w:rFonts w:ascii="Verdana" w:eastAsia="Times New Roman" w:hAnsi="Verdana" w:cs="Arial"/>
          <w:lang w:val="es-ES" w:eastAsia="es-CO"/>
        </w:rPr>
      </w:pPr>
    </w:p>
    <w:p w14:paraId="2CA68BC6" w14:textId="77777777" w:rsidR="00AD47A0" w:rsidRPr="00E2397D" w:rsidRDefault="00AD47A0" w:rsidP="00AD47A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C4CF1E4" w14:textId="77777777" w:rsidR="00AD47A0" w:rsidRDefault="00AD47A0" w:rsidP="00AD47A0">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7EE86BD3" w14:textId="77777777" w:rsidR="00AD47A0" w:rsidRPr="000B35C5" w:rsidRDefault="00AD47A0" w:rsidP="00AD47A0">
      <w:pPr>
        <w:spacing w:after="0" w:line="240" w:lineRule="auto"/>
        <w:ind w:left="709" w:right="709"/>
        <w:contextualSpacing/>
        <w:jc w:val="both"/>
        <w:rPr>
          <w:rFonts w:ascii="Verdana" w:eastAsia="Times New Roman" w:hAnsi="Verdana" w:cs="Arial"/>
          <w:sz w:val="12"/>
          <w:szCs w:val="12"/>
          <w:lang w:val="es-MX" w:eastAsia="es-CO"/>
        </w:rPr>
      </w:pPr>
    </w:p>
    <w:p w14:paraId="357D801A" w14:textId="77777777" w:rsidR="00AD47A0" w:rsidRPr="00E2397D" w:rsidRDefault="00AD47A0" w:rsidP="00AD47A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2AA8486D" w14:textId="77777777" w:rsidR="00AD47A0" w:rsidRPr="00E2397D" w:rsidRDefault="00AD47A0" w:rsidP="00AD47A0">
      <w:pPr>
        <w:spacing w:after="0" w:line="276" w:lineRule="auto"/>
        <w:ind w:firstLine="709"/>
        <w:jc w:val="both"/>
        <w:rPr>
          <w:rFonts w:ascii="Verdana" w:eastAsia="Times New Roman" w:hAnsi="Verdana" w:cs="Arial"/>
          <w:lang w:val="es-MX" w:eastAsia="es-CO"/>
        </w:rPr>
      </w:pPr>
      <w:bookmarkStart w:id="4" w:name="_Hlk78818186"/>
    </w:p>
    <w:p w14:paraId="14EF556B" w14:textId="77777777" w:rsidR="00AD47A0" w:rsidRPr="00E2397D" w:rsidRDefault="00AD47A0" w:rsidP="00AD47A0">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4"/>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CAC98DA" w14:textId="77777777" w:rsidR="00AD47A0" w:rsidRPr="00886C02" w:rsidRDefault="00AD47A0" w:rsidP="00AD47A0">
      <w:pPr>
        <w:spacing w:after="0" w:line="276" w:lineRule="auto"/>
        <w:ind w:firstLine="709"/>
        <w:jc w:val="both"/>
        <w:rPr>
          <w:rFonts w:ascii="Verdana" w:eastAsia="Times New Roman" w:hAnsi="Verdana" w:cs="Arial"/>
          <w:lang w:val="es-MX" w:eastAsia="es-CO"/>
        </w:rPr>
      </w:pPr>
    </w:p>
    <w:p w14:paraId="4470B8C3" w14:textId="77777777" w:rsidR="00AD47A0" w:rsidRPr="00E2397D" w:rsidRDefault="00AD47A0" w:rsidP="00AD47A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36CFB50" w14:textId="77777777" w:rsidR="00AD47A0" w:rsidRPr="000B35C5" w:rsidRDefault="00AD47A0" w:rsidP="00AD47A0">
      <w:pPr>
        <w:spacing w:after="0" w:line="240" w:lineRule="auto"/>
        <w:ind w:right="709"/>
        <w:contextualSpacing/>
        <w:jc w:val="both"/>
        <w:rPr>
          <w:rFonts w:ascii="Verdana" w:eastAsia="Times New Roman" w:hAnsi="Verdana" w:cs="Arial"/>
          <w:sz w:val="12"/>
          <w:szCs w:val="12"/>
          <w:lang w:val="es-MX" w:eastAsia="es-CO"/>
        </w:rPr>
      </w:pPr>
    </w:p>
    <w:p w14:paraId="76F20A2B" w14:textId="77777777" w:rsidR="00AD47A0" w:rsidRPr="00E2397D" w:rsidRDefault="00AD47A0" w:rsidP="00AD47A0">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3E7D1938" w14:textId="77777777" w:rsidR="00AD47A0" w:rsidRPr="00E2397D" w:rsidRDefault="00AD47A0" w:rsidP="00AD47A0">
      <w:pPr>
        <w:spacing w:after="0" w:line="276" w:lineRule="auto"/>
        <w:jc w:val="both"/>
        <w:rPr>
          <w:rFonts w:ascii="Verdana" w:eastAsia="Calibri" w:hAnsi="Verdana" w:cs="Arial"/>
          <w:bCs/>
          <w:lang w:val="es-ES_tradnl"/>
        </w:rPr>
      </w:pPr>
    </w:p>
    <w:p w14:paraId="603D4E16" w14:textId="77777777" w:rsidR="00AD47A0" w:rsidRDefault="00AD47A0" w:rsidP="00AD47A0">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5" w:name="_Hlk77236098"/>
      <w:bookmarkStart w:id="6"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AE98C8B" w14:textId="77777777" w:rsidR="00AD47A0" w:rsidRPr="00E2397D" w:rsidRDefault="00AD47A0" w:rsidP="00AD47A0">
      <w:pPr>
        <w:spacing w:after="0" w:line="276" w:lineRule="auto"/>
        <w:ind w:firstLine="709"/>
        <w:jc w:val="both"/>
        <w:rPr>
          <w:rFonts w:ascii="Verdana" w:eastAsia="Arial" w:hAnsi="Verdana" w:cs="Arial"/>
          <w:lang w:val="es-ES" w:eastAsia="es-ES" w:bidi="es-ES"/>
        </w:rPr>
      </w:pPr>
    </w:p>
    <w:p w14:paraId="5CC16F36" w14:textId="77777777" w:rsidR="00AD47A0" w:rsidRPr="00E2397D" w:rsidRDefault="00AD47A0" w:rsidP="00AD47A0">
      <w:pPr>
        <w:spacing w:after="120" w:line="276" w:lineRule="auto"/>
        <w:jc w:val="both"/>
        <w:rPr>
          <w:rFonts w:ascii="Verdana" w:eastAsia="Arial" w:hAnsi="Verdana" w:cs="Arial"/>
          <w:lang w:val="es-ES" w:eastAsia="es-ES" w:bidi="es-ES"/>
        </w:rPr>
      </w:pPr>
      <w:r w:rsidRPr="00E2397D">
        <w:rPr>
          <w:rFonts w:ascii="Verdana" w:eastAsia="Arial" w:hAnsi="Verdana" w:cs="Arial"/>
          <w:lang w:val="es-ES" w:eastAsia="es-ES" w:bidi="es-ES"/>
        </w:rPr>
        <w:t>ii.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5"/>
    </w:p>
    <w:p w14:paraId="03D445BC" w14:textId="77777777" w:rsidR="00AD47A0" w:rsidRPr="00E2397D" w:rsidRDefault="00AD47A0" w:rsidP="00AD47A0">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E2397D">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0183EBFB" w14:textId="77777777" w:rsidR="00AD47A0" w:rsidRDefault="00AD47A0" w:rsidP="00AD47A0">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6"/>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3D00B5E1" w14:textId="77777777" w:rsidR="00AD47A0" w:rsidRDefault="00AD47A0" w:rsidP="00AD47A0">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5F4E4D55" w14:textId="77777777" w:rsidR="00AD47A0" w:rsidRDefault="00AD47A0" w:rsidP="00AD47A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xml:space="preserve">. Por un lado, “Los contratos </w:t>
      </w:r>
      <w:r w:rsidRPr="00447D82">
        <w:rPr>
          <w:rFonts w:ascii="Verdana" w:eastAsia="Times New Roman" w:hAnsi="Verdana" w:cs="Arial"/>
          <w:bCs/>
          <w:lang w:val="es-ES" w:eastAsia="es-CO"/>
        </w:rPr>
        <w:lastRenderedPageBreak/>
        <w:t>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9F99DF4" w14:textId="77777777" w:rsidR="00AD47A0" w:rsidRDefault="00AD47A0" w:rsidP="00AD47A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582D7EF1" w14:textId="77777777" w:rsidR="00AD47A0" w:rsidRPr="00894384" w:rsidRDefault="00AD47A0" w:rsidP="00AD47A0">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646BD391" w14:textId="77777777" w:rsidR="00AD47A0" w:rsidRPr="00E2397D" w:rsidRDefault="00AD47A0" w:rsidP="00AD47A0">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17A050B9" w14:textId="77777777" w:rsidR="00AD47A0" w:rsidRPr="00E2397D" w:rsidRDefault="00AD47A0" w:rsidP="00AD47A0">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7C458406" w14:textId="77777777" w:rsidR="00AD47A0" w:rsidRPr="00E2397D" w:rsidRDefault="00AD47A0" w:rsidP="00AD47A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9" w:name="_Hlk76109421"/>
      <w:r w:rsidRPr="00E2397D">
        <w:rPr>
          <w:rFonts w:ascii="Verdana" w:eastAsia="Arial" w:hAnsi="Verdana" w:cs="Arial"/>
          <w:sz w:val="20"/>
          <w:szCs w:val="20"/>
          <w:lang w:eastAsia="es-ES" w:bidi="es-ES"/>
        </w:rPr>
        <w:t>se integran parcialmente</w:t>
      </w:r>
      <w:bookmarkEnd w:id="9"/>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w:t>
      </w:r>
      <w:r w:rsidRPr="00E2397D">
        <w:rPr>
          <w:rFonts w:ascii="Verdana" w:eastAsia="Arial" w:hAnsi="Verdana" w:cs="Arial"/>
          <w:sz w:val="20"/>
          <w:szCs w:val="20"/>
          <w:lang w:eastAsia="es-ES" w:bidi="es-ES"/>
        </w:rPr>
        <w:lastRenderedPageBreak/>
        <w:t>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11E6CA93" w14:textId="77777777" w:rsidR="00AD47A0" w:rsidRPr="00E2397D" w:rsidRDefault="00AD47A0" w:rsidP="00AD47A0">
      <w:pPr>
        <w:widowControl w:val="0"/>
        <w:autoSpaceDE w:val="0"/>
        <w:autoSpaceDN w:val="0"/>
        <w:spacing w:after="0" w:line="276" w:lineRule="auto"/>
        <w:contextualSpacing/>
        <w:rPr>
          <w:rFonts w:ascii="Verdana" w:eastAsia="Arial" w:hAnsi="Verdana" w:cs="Arial"/>
          <w:lang w:val="es-ES" w:eastAsia="es-ES" w:bidi="es-ES"/>
        </w:rPr>
      </w:pPr>
    </w:p>
    <w:p w14:paraId="5DF62E8F" w14:textId="77777777" w:rsidR="00AD47A0" w:rsidRPr="00E2397D" w:rsidRDefault="00AD47A0" w:rsidP="00AD47A0">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10" w:name="_Hlk77236420"/>
      <w:bookmarkStart w:id="11" w:name="_Hlk78818435"/>
      <w:bookmarkStart w:id="12"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0"/>
    </w:p>
    <w:bookmarkEnd w:id="11"/>
    <w:p w14:paraId="486516E4" w14:textId="77777777" w:rsidR="00AD47A0" w:rsidRPr="00E2397D" w:rsidRDefault="00AD47A0" w:rsidP="00AD47A0">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2"/>
    <w:p w14:paraId="692BF4BA" w14:textId="77777777" w:rsidR="00AD47A0" w:rsidRDefault="00AD47A0" w:rsidP="00AD47A0">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w:t>
      </w:r>
      <w:r w:rsidRPr="00E2397D">
        <w:rPr>
          <w:rFonts w:ascii="Verdana" w:eastAsia="Arial" w:hAnsi="Verdana" w:cs="Arial"/>
          <w:lang w:val="es-ES" w:eastAsia="es-ES" w:bidi="es-ES"/>
        </w:rPr>
        <w:lastRenderedPageBreak/>
        <w:t xml:space="preserve">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65883D9" w14:textId="77777777" w:rsidR="00AD47A0" w:rsidRPr="00E2397D" w:rsidRDefault="00AD47A0" w:rsidP="00AD47A0">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3" w:name="_Hlk78820161"/>
    </w:p>
    <w:p w14:paraId="1CC6F47A" w14:textId="77777777" w:rsidR="00AD47A0" w:rsidRPr="0057193B" w:rsidRDefault="00AD47A0" w:rsidP="00AD47A0">
      <w:pPr>
        <w:spacing w:line="276" w:lineRule="auto"/>
        <w:jc w:val="both"/>
        <w:rPr>
          <w:rFonts w:ascii="Verdana" w:eastAsia="Times New Roman" w:hAnsi="Verdana" w:cs="Arial"/>
          <w:bCs/>
          <w:lang w:val="es-MX" w:eastAsia="es-CO"/>
        </w:rPr>
      </w:pPr>
      <w:r>
        <w:rPr>
          <w:rFonts w:ascii="Verdana" w:eastAsia="Arial" w:hAnsi="Verdana" w:cs="Arial"/>
          <w:lang w:val="es-ES" w:eastAsia="es-ES" w:bidi="es-ES"/>
        </w:rPr>
        <w:t>iii.</w:t>
      </w:r>
      <w:r w:rsidRPr="0057193B">
        <w:rPr>
          <w:rFonts w:ascii="Verdana" w:eastAsia="Arial" w:hAnsi="Verdana" w:cs="Arial"/>
          <w:lang w:val="es-ES" w:eastAsia="es-ES" w:bidi="es-ES"/>
        </w:rPr>
        <w:t xml:space="preserve"> </w:t>
      </w:r>
      <w:bookmarkEnd w:id="13"/>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179D9B3A" w14:textId="77777777" w:rsidR="00AD47A0" w:rsidRPr="00817856" w:rsidRDefault="00AD47A0" w:rsidP="00AD47A0">
      <w:pPr>
        <w:spacing w:after="0" w:line="240" w:lineRule="auto"/>
        <w:ind w:left="708" w:right="709"/>
        <w:jc w:val="both"/>
        <w:rPr>
          <w:rFonts w:ascii="Verdana" w:eastAsia="Calibri" w:hAnsi="Verdana" w:cs="Arial"/>
          <w:sz w:val="20"/>
          <w:szCs w:val="20"/>
          <w:lang w:val="es-MX"/>
        </w:rPr>
      </w:pPr>
    </w:p>
    <w:p w14:paraId="1458CEAC" w14:textId="77777777" w:rsidR="00AD47A0" w:rsidRDefault="00AD47A0" w:rsidP="00AD47A0">
      <w:pPr>
        <w:spacing w:after="0" w:line="240" w:lineRule="auto"/>
        <w:ind w:left="709" w:right="709"/>
        <w:jc w:val="both"/>
        <w:rPr>
          <w:rFonts w:ascii="Verdana" w:eastAsia="Calibri" w:hAnsi="Verdana" w:cs="Arial"/>
          <w:sz w:val="20"/>
          <w:szCs w:val="20"/>
          <w:lang w:val="es-MX"/>
        </w:rPr>
      </w:pPr>
      <w:r w:rsidRPr="00817856">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17856">
        <w:rPr>
          <w:rFonts w:ascii="Verdana" w:eastAsia="Times New Roman" w:hAnsi="Verdana" w:cs="Arial"/>
          <w:sz w:val="20"/>
          <w:szCs w:val="20"/>
          <w:vertAlign w:val="superscript"/>
          <w:lang w:eastAsia="es-CO"/>
        </w:rPr>
        <w:footnoteReference w:id="12"/>
      </w:r>
      <w:r w:rsidRPr="00817856">
        <w:rPr>
          <w:rFonts w:ascii="Verdana" w:eastAsia="Calibri" w:hAnsi="Verdana" w:cs="Arial"/>
          <w:sz w:val="20"/>
          <w:szCs w:val="20"/>
          <w:lang w:val="es-MX"/>
        </w:rPr>
        <w:t>.</w:t>
      </w:r>
    </w:p>
    <w:p w14:paraId="2DFD64B7" w14:textId="77777777" w:rsidR="00AD47A0" w:rsidRPr="00817856" w:rsidRDefault="00AD47A0" w:rsidP="00AD47A0">
      <w:pPr>
        <w:spacing w:after="0" w:line="240" w:lineRule="auto"/>
        <w:ind w:left="709" w:right="709"/>
        <w:jc w:val="both"/>
        <w:rPr>
          <w:rFonts w:ascii="Verdana" w:eastAsia="Calibri" w:hAnsi="Verdana" w:cs="Arial"/>
          <w:sz w:val="20"/>
          <w:szCs w:val="20"/>
          <w:lang w:val="es-MX"/>
        </w:rPr>
      </w:pPr>
    </w:p>
    <w:p w14:paraId="6D0D9E37" w14:textId="77777777" w:rsidR="00AD47A0" w:rsidRPr="00817856" w:rsidRDefault="00AD47A0" w:rsidP="00AD47A0">
      <w:pPr>
        <w:spacing w:after="0" w:line="240" w:lineRule="auto"/>
        <w:ind w:left="708" w:right="709"/>
        <w:jc w:val="both"/>
        <w:rPr>
          <w:rFonts w:ascii="Verdana" w:eastAsia="Calibri" w:hAnsi="Verdana" w:cs="Arial"/>
          <w:sz w:val="20"/>
          <w:szCs w:val="20"/>
          <w:lang w:val="es-MX"/>
        </w:rPr>
      </w:pPr>
      <w:r w:rsidRPr="00817856">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817856">
        <w:rPr>
          <w:rFonts w:ascii="Verdana" w:eastAsia="Times New Roman" w:hAnsi="Verdana" w:cs="Arial"/>
          <w:sz w:val="20"/>
          <w:szCs w:val="20"/>
          <w:vertAlign w:val="superscript"/>
          <w:lang w:val="es-MX"/>
        </w:rPr>
        <w:footnoteReference w:id="13"/>
      </w:r>
      <w:r w:rsidRPr="00817856">
        <w:rPr>
          <w:rFonts w:ascii="Verdana" w:eastAsia="Times New Roman" w:hAnsi="Verdana" w:cs="Arial"/>
          <w:sz w:val="20"/>
          <w:szCs w:val="20"/>
          <w:vertAlign w:val="superscript"/>
          <w:lang w:val="es-MX"/>
        </w:rPr>
        <w:t>.</w:t>
      </w:r>
      <w:r w:rsidRPr="00817856">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17856">
        <w:rPr>
          <w:rFonts w:ascii="Verdana" w:eastAsia="Times New Roman" w:hAnsi="Verdana" w:cs="Arial"/>
          <w:sz w:val="20"/>
          <w:szCs w:val="20"/>
          <w:vertAlign w:val="superscript"/>
          <w:lang w:eastAsia="es-CO"/>
        </w:rPr>
        <w:footnoteReference w:id="14"/>
      </w:r>
      <w:r w:rsidRPr="00817856">
        <w:rPr>
          <w:rFonts w:ascii="Verdana" w:eastAsia="Calibri" w:hAnsi="Verdana" w:cs="Arial"/>
          <w:sz w:val="20"/>
          <w:szCs w:val="20"/>
          <w:lang w:val="es-MX"/>
        </w:rPr>
        <w:t xml:space="preserve"> .</w:t>
      </w:r>
    </w:p>
    <w:p w14:paraId="3E7B86BD" w14:textId="77777777" w:rsidR="00AD47A0" w:rsidRPr="0057193B" w:rsidRDefault="00AD47A0" w:rsidP="00AD47A0">
      <w:pPr>
        <w:shd w:val="clear" w:color="auto" w:fill="FFFFFF"/>
        <w:spacing w:after="0" w:line="276" w:lineRule="auto"/>
        <w:ind w:firstLine="709"/>
        <w:jc w:val="both"/>
        <w:rPr>
          <w:rFonts w:ascii="Verdana" w:eastAsia="Times New Roman" w:hAnsi="Verdana" w:cs="Arial"/>
          <w:lang w:eastAsia="x-none"/>
        </w:rPr>
      </w:pPr>
    </w:p>
    <w:p w14:paraId="23ECC3B9" w14:textId="77777777" w:rsidR="00AD47A0" w:rsidRPr="0057193B" w:rsidRDefault="00AD47A0" w:rsidP="00AD47A0">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lastRenderedPageBreak/>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4D1D597D" w14:textId="77777777" w:rsidR="00AD47A0" w:rsidRPr="0057193B" w:rsidRDefault="00AD47A0" w:rsidP="00AD47A0">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precisando el Consejo de Estad</w:t>
      </w:r>
      <w:r>
        <w:rPr>
          <w:rFonts w:ascii="Verdana" w:eastAsia="Times New Roman" w:hAnsi="Verdana" w:cs="Arial"/>
          <w:lang w:eastAsia="x-none"/>
        </w:rPr>
        <w:t>o –en el concepto citado– que, “</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79FEDC9C" w14:textId="77777777" w:rsidR="00AD47A0" w:rsidRPr="005154AE" w:rsidRDefault="00AD47A0" w:rsidP="00AD47A0">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w:t>
      </w:r>
      <w:r>
        <w:rPr>
          <w:rFonts w:ascii="Verdana" w:eastAsia="Times New Roman" w:hAnsi="Verdana" w:cs="Arial"/>
          <w:lang w:eastAsia="x-none"/>
        </w:rPr>
        <w:t>ue dicho sistema no constituye “contratación directa”</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7"/>
      </w:r>
      <w:r w:rsidRPr="0057193B">
        <w:rPr>
          <w:rFonts w:ascii="Verdana" w:eastAsia="Times New Roman" w:hAnsi="Verdana" w:cs="Arial"/>
          <w:lang w:eastAsia="x-none"/>
        </w:rPr>
        <w:t xml:space="preserve">. </w:t>
      </w:r>
    </w:p>
    <w:p w14:paraId="41624276" w14:textId="77777777" w:rsidR="00AD47A0" w:rsidRPr="0057193B" w:rsidRDefault="00AD47A0" w:rsidP="00AD47A0">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lastRenderedPageBreak/>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w:t>
      </w:r>
      <w:r>
        <w:rPr>
          <w:rFonts w:ascii="Verdana" w:eastAsia="Times New Roman" w:hAnsi="Verdana" w:cs="Arial"/>
          <w:bCs/>
          <w:lang w:val="es-MX" w:eastAsia="es-CO"/>
        </w:rPr>
        <w:t xml:space="preserve"> mayor precisión el término de “contratación directa”</w:t>
      </w:r>
      <w:r w:rsidRPr="0057193B">
        <w:rPr>
          <w:rFonts w:ascii="Verdana" w:eastAsia="Times New Roman" w:hAnsi="Verdana" w:cs="Arial"/>
          <w:bCs/>
          <w:lang w:val="es-MX" w:eastAsia="es-CO"/>
        </w:rPr>
        <w:t>.</w:t>
      </w:r>
    </w:p>
    <w:p w14:paraId="719C7105" w14:textId="77777777" w:rsidR="00AD47A0" w:rsidRPr="0057193B" w:rsidRDefault="00AD47A0" w:rsidP="00AD47A0">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19A8C9F3" w14:textId="77777777" w:rsidR="00AD47A0" w:rsidRPr="0057193B" w:rsidRDefault="00AD47A0" w:rsidP="00AD47A0">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B582FF0" w14:textId="77777777" w:rsidR="00AD47A0" w:rsidRPr="0057193B" w:rsidRDefault="00AD47A0" w:rsidP="00AD47A0">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w:t>
      </w:r>
      <w:r w:rsidRPr="0057193B">
        <w:rPr>
          <w:rFonts w:ascii="Verdana" w:eastAsia="Times New Roman" w:hAnsi="Verdana" w:cs="Arial"/>
          <w:bCs/>
          <w:lang w:val="es-MX" w:eastAsia="es-CO"/>
        </w:rPr>
        <w:lastRenderedPageBreak/>
        <w:t>ente del Estado, examinar en cada caso la naturaleza de las actividades que adelanta y determinar si las mismas se enmarcan en alguna de las mencionadas excepciones, de manera que se le permita realizar la contratación que necesite en forma directa.</w:t>
      </w:r>
    </w:p>
    <w:p w14:paraId="01340107" w14:textId="77777777" w:rsidR="00AD47A0" w:rsidRPr="0057193B" w:rsidRDefault="00AD47A0" w:rsidP="00AD47A0">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19"/>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3182051" w14:textId="77777777" w:rsidR="00AD47A0" w:rsidRPr="0057193B" w:rsidRDefault="00AD47A0" w:rsidP="00AD47A0">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0F9C94CD" w14:textId="77777777" w:rsidR="00AD47A0" w:rsidRPr="0057193B" w:rsidRDefault="00AD47A0" w:rsidP="00AD47A0">
      <w:pPr>
        <w:spacing w:after="0" w:line="276" w:lineRule="auto"/>
        <w:jc w:val="both"/>
        <w:rPr>
          <w:rFonts w:ascii="Verdana" w:eastAsia="Times New Roman" w:hAnsi="Verdana" w:cs="Arial"/>
          <w:bCs/>
          <w:lang w:val="es-MX" w:eastAsia="x-none"/>
        </w:rPr>
      </w:pPr>
    </w:p>
    <w:p w14:paraId="05054575" w14:textId="77777777" w:rsidR="00AD47A0" w:rsidRPr="0057193B" w:rsidRDefault="00AD47A0" w:rsidP="00AD47A0">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w:t>
      </w:r>
      <w:r w:rsidRPr="0057193B">
        <w:rPr>
          <w:rFonts w:ascii="Verdana" w:eastAsia="Times New Roman" w:hAnsi="Verdana" w:cs="Arial"/>
          <w:bCs/>
          <w:sz w:val="21"/>
          <w:szCs w:val="21"/>
          <w:lang w:val="es-MX" w:eastAsia="x-none"/>
        </w:rPr>
        <w:lastRenderedPageBreak/>
        <w:t>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0"/>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364649D5" w14:textId="77777777" w:rsidR="00AD47A0" w:rsidRPr="0057193B" w:rsidRDefault="00AD47A0" w:rsidP="00AD47A0">
      <w:pPr>
        <w:spacing w:after="0" w:line="276" w:lineRule="auto"/>
        <w:ind w:firstLine="708"/>
        <w:jc w:val="both"/>
        <w:rPr>
          <w:rFonts w:ascii="Verdana" w:eastAsia="Times New Roman" w:hAnsi="Verdana" w:cs="Arial"/>
          <w:bCs/>
          <w:lang w:val="es-MX" w:eastAsia="es-CO"/>
        </w:rPr>
      </w:pPr>
    </w:p>
    <w:p w14:paraId="418B504A" w14:textId="77777777" w:rsidR="00AD47A0" w:rsidRPr="0057193B" w:rsidRDefault="00AD47A0" w:rsidP="00AD47A0">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1"/>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1893ED8B" w14:textId="77777777" w:rsidR="00AD47A0" w:rsidRPr="0057193B" w:rsidRDefault="00AD47A0" w:rsidP="00AD47A0">
      <w:pPr>
        <w:spacing w:after="0" w:line="276" w:lineRule="auto"/>
        <w:jc w:val="both"/>
        <w:rPr>
          <w:rFonts w:ascii="Verdana" w:eastAsia="Calibri" w:hAnsi="Verdana" w:cs="Arial"/>
          <w:lang w:val="es-MX"/>
        </w:rPr>
      </w:pPr>
    </w:p>
    <w:p w14:paraId="7E0CABFC" w14:textId="77777777" w:rsidR="00AD47A0" w:rsidRPr="001924B7" w:rsidRDefault="00AD47A0" w:rsidP="00AD47A0">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472ECF1E" w14:textId="77777777" w:rsidR="00AD47A0" w:rsidRPr="001924B7" w:rsidRDefault="00AD47A0" w:rsidP="00AD47A0">
      <w:pPr>
        <w:spacing w:after="0" w:line="240" w:lineRule="auto"/>
        <w:ind w:left="708" w:right="709"/>
        <w:jc w:val="both"/>
        <w:rPr>
          <w:rFonts w:ascii="Verdana" w:eastAsia="Calibri" w:hAnsi="Verdana" w:cs="Arial"/>
          <w:sz w:val="20"/>
          <w:szCs w:val="20"/>
          <w:lang w:val="es-MX"/>
        </w:rPr>
      </w:pPr>
    </w:p>
    <w:p w14:paraId="69CC9361" w14:textId="77777777" w:rsidR="00AD47A0" w:rsidRPr="001924B7" w:rsidRDefault="00AD47A0" w:rsidP="00AD47A0">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lastRenderedPageBreak/>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2"/>
      </w:r>
      <w:r w:rsidRPr="001924B7">
        <w:rPr>
          <w:rFonts w:ascii="Verdana" w:eastAsia="Times New Roman" w:hAnsi="Verdana" w:cs="Arial"/>
          <w:bCs/>
          <w:sz w:val="20"/>
          <w:szCs w:val="20"/>
          <w:lang w:val="es-MX" w:eastAsia="x-none"/>
        </w:rPr>
        <w:t>.</w:t>
      </w:r>
    </w:p>
    <w:p w14:paraId="683ED623" w14:textId="77777777" w:rsidR="00AD47A0" w:rsidRPr="0057193B" w:rsidRDefault="00AD47A0" w:rsidP="00AD47A0">
      <w:pPr>
        <w:spacing w:after="0" w:line="276" w:lineRule="auto"/>
        <w:jc w:val="both"/>
        <w:rPr>
          <w:rFonts w:ascii="Verdana" w:eastAsia="Calibri" w:hAnsi="Verdana" w:cs="Arial"/>
          <w:lang w:val="es-MX"/>
        </w:rPr>
      </w:pPr>
    </w:p>
    <w:p w14:paraId="4DA9FE1E" w14:textId="77777777" w:rsidR="00AD47A0" w:rsidRPr="0057193B" w:rsidRDefault="00AD47A0" w:rsidP="00AD47A0">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3"/>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0D8692FA" w14:textId="77777777" w:rsidR="00AD47A0" w:rsidRDefault="00AD47A0" w:rsidP="00AD47A0">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w:t>
      </w:r>
      <w:r w:rsidRPr="0057193B">
        <w:rPr>
          <w:rFonts w:ascii="Verdana" w:eastAsia="Times New Roman" w:hAnsi="Verdana" w:cs="Arial"/>
          <w:bCs/>
          <w:lang w:val="es-MX" w:eastAsia="x-none"/>
        </w:rPr>
        <w:lastRenderedPageBreak/>
        <w:t>tanto en la contratación regulada por la Ley 80 de 1993 como en la regida por normas especiales.</w:t>
      </w:r>
    </w:p>
    <w:p w14:paraId="7EC13EA2" w14:textId="77777777" w:rsidR="00AD47A0" w:rsidRPr="00186DE9" w:rsidRDefault="00AD47A0" w:rsidP="00AD47A0">
      <w:pPr>
        <w:spacing w:after="120" w:line="276" w:lineRule="auto"/>
        <w:ind w:firstLine="709"/>
        <w:jc w:val="both"/>
        <w:rPr>
          <w:rFonts w:ascii="Verdana" w:eastAsia="Times New Roman" w:hAnsi="Verdana" w:cs="Arial"/>
          <w:bCs/>
          <w:lang w:val="es-MX" w:eastAsia="x-none" w:bidi="es-ES"/>
        </w:rPr>
      </w:pPr>
      <w:r w:rsidRPr="00186DE9">
        <w:rPr>
          <w:rFonts w:ascii="Verdana" w:eastAsia="Times New Roman" w:hAnsi="Verdana" w:cs="Arial"/>
          <w:bCs/>
          <w:lang w:val="es-MX" w:eastAsia="x-none"/>
        </w:rPr>
        <w:t xml:space="preserve">En este sentido, todos los entes del Estado, independiente del régimen jurídico aplicable, están sujetos a la restricción del artículo 33 de la Ley 996 de 2005, es decir, no podrán adelantar sistema que implique contratación directa respecto de </w:t>
      </w:r>
      <w:r w:rsidRPr="00186DE9">
        <w:rPr>
          <w:rFonts w:ascii="Verdana" w:eastAsia="Times New Roman" w:hAnsi="Verdana" w:cs="Arial"/>
          <w:bCs/>
          <w:lang w:val="es-MX" w:eastAsia="x-none" w:bidi="es-ES"/>
        </w:rPr>
        <w:t xml:space="preserve">las elecciones presidenciales, dentro de los cuatro (4) meses anteriores a la celebración de los comicios, salvo las excepciones dispuestas en esta. </w:t>
      </w:r>
      <w:r w:rsidRPr="00186DE9">
        <w:rPr>
          <w:rFonts w:ascii="Verdana" w:eastAsia="Times New Roman" w:hAnsi="Verdana" w:cs="Arial"/>
          <w:bCs/>
          <w:lang w:val="es-MX" w:eastAsia="x-none"/>
        </w:rPr>
        <w:t>En efecto, los entes del Estado independiente de su régimen especial no podrán celebrar contratos de forma directa desde el 31 de enero de 2026, teniendo en cuenta que la Resolución 02580 del 5 de marzo de 2025 de la Registraduría Nacional del Estado Civil dispuso que las elecciones presidenciales se celebrarán el 31 de mayo de 2026.</w:t>
      </w:r>
    </w:p>
    <w:p w14:paraId="568CC76F" w14:textId="77777777" w:rsidR="00AD47A0" w:rsidRPr="00A63F17" w:rsidRDefault="00AD47A0" w:rsidP="00AD47A0">
      <w:pPr>
        <w:spacing w:after="120" w:line="276" w:lineRule="auto"/>
        <w:ind w:firstLine="709"/>
        <w:jc w:val="both"/>
        <w:rPr>
          <w:rFonts w:ascii="Verdana" w:eastAsia="Times New Roman" w:hAnsi="Verdana" w:cs="Arial"/>
          <w:bCs/>
          <w:lang w:val="es-MX" w:eastAsia="x-none"/>
        </w:rPr>
      </w:pPr>
      <w:r w:rsidRPr="00355EA0">
        <w:rPr>
          <w:rFonts w:ascii="Verdana" w:eastAsia="Times New Roman" w:hAnsi="Verdana" w:cs="Arial"/>
          <w:bCs/>
          <w:lang w:val="es-MX" w:eastAsia="x-none" w:bidi="es-ES"/>
        </w:rPr>
        <w:t>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Times New Roman" w:hAnsi="Verdana" w:cs="Arial"/>
          <w:bCs/>
          <w:lang w:val="es-MX" w:eastAsia="x-none" w:bidi="es-ES"/>
        </w:rPr>
        <w:t>, que, de acuerdo con lo expuesto, se celebraría el 21 de junio de 2026.</w:t>
      </w:r>
    </w:p>
    <w:p w14:paraId="71CBCD74" w14:textId="77777777" w:rsidR="00AD47A0" w:rsidRPr="003B7D6C" w:rsidRDefault="00AD47A0" w:rsidP="00AD47A0">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295DD11" w14:textId="77777777" w:rsidR="00AD47A0" w:rsidRPr="004C2E9A" w:rsidRDefault="00AD47A0" w:rsidP="00AD47A0">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entrada en vigor de las prohibiciones anotadas, así como la cesión de los mismos, pueden tener lugar en el período de aplicación de la Ley </w:t>
      </w:r>
      <w:r w:rsidRPr="0057193B">
        <w:rPr>
          <w:rFonts w:ascii="Verdana" w:eastAsia="Times New Roman" w:hAnsi="Verdana" w:cs="Arial"/>
          <w:bCs/>
          <w:lang w:val="es-MX" w:eastAsia="es-CO"/>
        </w:rPr>
        <w:lastRenderedPageBreak/>
        <w:t>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4"/>
      </w:r>
      <w:r w:rsidRPr="0057193B">
        <w:rPr>
          <w:rFonts w:ascii="Verdana" w:eastAsia="Times New Roman" w:hAnsi="Verdana" w:cs="Arial"/>
          <w:bCs/>
          <w:lang w:val="es-MX" w:eastAsia="es-CO"/>
        </w:rPr>
        <w:t>. Además, también es posible que contratos celebrados previamente se continúen ejecutando con normalidad.</w:t>
      </w:r>
    </w:p>
    <w:p w14:paraId="3A4EADD1" w14:textId="77777777" w:rsidR="00AD47A0" w:rsidRDefault="00AD47A0" w:rsidP="00AD47A0">
      <w:pPr>
        <w:spacing w:after="120" w:line="276" w:lineRule="auto"/>
        <w:jc w:val="both"/>
        <w:rPr>
          <w:rFonts w:ascii="Verdana" w:eastAsia="Arial" w:hAnsi="Verdana" w:cs="Arial"/>
          <w:lang w:val="es-ES" w:eastAsia="es-ES" w:bidi="es-ES"/>
        </w:rPr>
      </w:pPr>
    </w:p>
    <w:p w14:paraId="776F0031" w14:textId="77777777" w:rsidR="00AD47A0" w:rsidRDefault="00AD47A0" w:rsidP="00AD47A0">
      <w:pPr>
        <w:spacing w:after="120" w:line="276" w:lineRule="auto"/>
        <w:jc w:val="both"/>
        <w:rPr>
          <w:rFonts w:ascii="Verdana" w:eastAsia="Arial" w:hAnsi="Verdana" w:cs="Arial"/>
          <w:lang w:val="es-ES" w:eastAsia="es-ES" w:bidi="es-ES"/>
        </w:rPr>
      </w:pPr>
      <w:r w:rsidRPr="004B2A86">
        <w:rPr>
          <w:rFonts w:ascii="Verdana" w:eastAsia="Arial" w:hAnsi="Verdana" w:cs="Arial"/>
          <w:lang w:val="es-ES" w:eastAsia="es-ES" w:bidi="es-ES"/>
        </w:rPr>
        <w:t xml:space="preserve">iv. </w:t>
      </w:r>
      <w:r>
        <w:rPr>
          <w:rFonts w:ascii="Verdana" w:eastAsia="Arial" w:hAnsi="Verdana" w:cs="Arial"/>
          <w:lang w:val="es-ES" w:eastAsia="es-ES" w:bidi="es-ES"/>
        </w:rPr>
        <w:t>Como se expresó en consideraciones previas, l</w:t>
      </w:r>
      <w:r w:rsidRPr="00727161">
        <w:rPr>
          <w:rFonts w:ascii="Verdana" w:eastAsia="Arial" w:hAnsi="Verdana" w:cs="Arial"/>
          <w:lang w:val="es-ES" w:eastAsia="es-ES" w:bidi="es-ES"/>
        </w:rPr>
        <w:t>a Ley de Garantías Electorales, en su artículo 33, establece que la prohibición de contratar durante el período preelectoral aplica únicamente a la contratación directa, entendida como cualquier procedimiento sin convocatoria pública ni participación plural de oferentes. En consecuencia, salvo las excepciones previstas en la misma norma, las entidades estatales no pueden celebrar contratos de forma directa en ese lapso; sin embargo, sí pueden continuar con las demás modalidades de selección contempladas en la Ley 1150 de 2007, como la licitación pública, el concurso de méritos, la selección abreviada y la mínima cuantía, dado que estas garantizan procesos abiertos y competitivos.</w:t>
      </w:r>
    </w:p>
    <w:p w14:paraId="78674CC3" w14:textId="77777777" w:rsidR="00AD47A0" w:rsidRPr="00753727" w:rsidRDefault="00AD47A0" w:rsidP="00AD47A0">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ab/>
        <w:t xml:space="preserve">Teniendo en cuenta lo expuesto, es pertinente señalar que se encuentra la causal de contratación directa contenida en el </w:t>
      </w:r>
      <w:r w:rsidRPr="009803D1">
        <w:rPr>
          <w:rFonts w:ascii="Verdana" w:hAnsi="Verdana" w:cs="Arial"/>
          <w:color w:val="000000" w:themeColor="text1"/>
          <w:lang w:val="es-ES_tradnl"/>
        </w:rPr>
        <w:t xml:space="preserve">artículo 82 de la </w:t>
      </w:r>
      <w:r>
        <w:rPr>
          <w:rFonts w:ascii="Verdana" w:hAnsi="Verdana" w:cs="Arial"/>
          <w:color w:val="000000" w:themeColor="text1"/>
          <w:lang w:val="es-ES_tradnl"/>
        </w:rPr>
        <w:t>Ley 2080 de 2021 que se adicionó con respecto a</w:t>
      </w:r>
      <w:r w:rsidRPr="009803D1">
        <w:rPr>
          <w:rFonts w:ascii="Verdana" w:hAnsi="Verdana" w:cs="Arial"/>
          <w:color w:val="000000" w:themeColor="text1"/>
          <w:lang w:val="es-ES_tradnl"/>
        </w:rPr>
        <w:t xml:space="preserve"> las previstas en numeral 4°, del artículo 2 de la Ley 1150 de 2007. En tal sentido, el artículo 82 de la Ley 2080 de 2021 estableció:</w:t>
      </w:r>
    </w:p>
    <w:p w14:paraId="2DF8C383" w14:textId="77777777" w:rsidR="00AD47A0" w:rsidRPr="00CD734E" w:rsidRDefault="00AD47A0" w:rsidP="00AD47A0">
      <w:pPr>
        <w:spacing w:after="0" w:line="240" w:lineRule="auto"/>
        <w:ind w:firstLine="708"/>
        <w:jc w:val="both"/>
        <w:rPr>
          <w:rFonts w:ascii="Verdana" w:hAnsi="Verdana" w:cs="Arial"/>
          <w:color w:val="000000" w:themeColor="text1"/>
          <w:sz w:val="20"/>
          <w:lang w:val="es-ES_tradnl"/>
        </w:rPr>
      </w:pPr>
    </w:p>
    <w:p w14:paraId="3B713701" w14:textId="77777777" w:rsidR="00AD47A0" w:rsidRPr="00CD734E" w:rsidRDefault="00AD47A0" w:rsidP="00AD47A0">
      <w:pPr>
        <w:spacing w:after="0" w:line="240" w:lineRule="auto"/>
        <w:ind w:left="709" w:right="709"/>
        <w:jc w:val="both"/>
        <w:rPr>
          <w:rFonts w:ascii="Verdana" w:eastAsia="Calibri" w:hAnsi="Verdana" w:cs="Arial"/>
          <w:color w:val="000000" w:themeColor="text1"/>
          <w:sz w:val="20"/>
          <w:lang w:val="es-ES_tradnl"/>
        </w:rPr>
      </w:pPr>
      <w:r w:rsidRPr="00CD734E">
        <w:rPr>
          <w:rFonts w:ascii="Verdana" w:eastAsia="Calibri" w:hAnsi="Verdana" w:cs="Arial"/>
          <w:color w:val="000000" w:themeColor="text1"/>
          <w:sz w:val="20"/>
          <w:lang w:val="es-ES_tradnl"/>
        </w:rPr>
        <w:t>Artículo 82. Adiciónese un literal k) al numeral cuarto del artículo 2o de la Ley 1150 de 2007, así:</w:t>
      </w:r>
    </w:p>
    <w:p w14:paraId="015806F8" w14:textId="77777777" w:rsidR="00AD47A0" w:rsidRPr="00CD734E" w:rsidRDefault="00AD47A0" w:rsidP="00AD47A0">
      <w:pPr>
        <w:spacing w:after="0" w:line="240" w:lineRule="auto"/>
        <w:ind w:left="709" w:right="709"/>
        <w:jc w:val="both"/>
        <w:rPr>
          <w:rFonts w:ascii="Verdana" w:eastAsia="Calibri" w:hAnsi="Verdana" w:cs="Arial"/>
          <w:color w:val="000000" w:themeColor="text1"/>
          <w:sz w:val="20"/>
          <w:lang w:val="es-ES_tradnl"/>
        </w:rPr>
      </w:pPr>
    </w:p>
    <w:p w14:paraId="29101743" w14:textId="77777777" w:rsidR="00AD47A0" w:rsidRPr="00CD734E" w:rsidRDefault="00AD47A0" w:rsidP="00AD47A0">
      <w:pPr>
        <w:spacing w:after="0" w:line="240" w:lineRule="auto"/>
        <w:ind w:left="709" w:right="709"/>
        <w:jc w:val="both"/>
        <w:rPr>
          <w:rFonts w:ascii="Verdana" w:eastAsia="Calibri" w:hAnsi="Verdana" w:cs="Arial"/>
          <w:color w:val="000000" w:themeColor="text1"/>
          <w:sz w:val="20"/>
          <w:szCs w:val="20"/>
          <w:lang w:val="es-ES"/>
        </w:rPr>
      </w:pPr>
      <w:r w:rsidRPr="003920F0">
        <w:rPr>
          <w:rFonts w:ascii="Verdana" w:eastAsia="Calibri" w:hAnsi="Verdana" w:cs="Arial"/>
          <w:color w:val="000000" w:themeColor="text1"/>
          <w:sz w:val="20"/>
          <w:szCs w:val="20"/>
          <w:lang w:val="es-ES"/>
        </w:rPr>
        <w:t>4. Contratación directa. La modalidad de selección de contratación directa, solamente procederá en los siguientes casos:</w:t>
      </w:r>
    </w:p>
    <w:p w14:paraId="69591D89" w14:textId="77777777" w:rsidR="00AD47A0" w:rsidRPr="00CD734E" w:rsidRDefault="00AD47A0" w:rsidP="00AD47A0">
      <w:pPr>
        <w:spacing w:after="0" w:line="240" w:lineRule="auto"/>
        <w:ind w:left="709" w:right="709"/>
        <w:jc w:val="both"/>
        <w:rPr>
          <w:rFonts w:ascii="Verdana" w:eastAsia="Calibri" w:hAnsi="Verdana" w:cs="Arial"/>
          <w:color w:val="000000" w:themeColor="text1"/>
          <w:sz w:val="20"/>
          <w:lang w:val="es-ES_tradnl"/>
        </w:rPr>
      </w:pPr>
    </w:p>
    <w:p w14:paraId="1ACEFEF4" w14:textId="77777777" w:rsidR="00AD47A0" w:rsidRPr="00CD734E" w:rsidRDefault="00AD47A0" w:rsidP="00AD47A0">
      <w:pPr>
        <w:spacing w:after="0" w:line="240" w:lineRule="auto"/>
        <w:ind w:left="709" w:right="709"/>
        <w:jc w:val="both"/>
        <w:rPr>
          <w:rFonts w:ascii="Verdana" w:eastAsia="Calibri" w:hAnsi="Verdana" w:cs="Arial"/>
          <w:color w:val="000000" w:themeColor="text1"/>
          <w:sz w:val="20"/>
          <w:lang w:val="es-ES_tradnl"/>
        </w:rPr>
      </w:pPr>
      <w:r w:rsidRPr="00CD734E">
        <w:rPr>
          <w:rFonts w:ascii="Verdana" w:eastAsia="Calibri" w:hAnsi="Verdana" w:cs="Arial"/>
          <w:color w:val="000000" w:themeColor="text1"/>
          <w:sz w:val="20"/>
          <w:lang w:val="es-ES_tradnl"/>
        </w:rPr>
        <w:t>k) La selección de peritos expertos o asesores técnicos para presentar o contradecir el dictamen pericial en procesos judiciales.</w:t>
      </w:r>
    </w:p>
    <w:p w14:paraId="1217A146" w14:textId="77777777" w:rsidR="00AD47A0" w:rsidRPr="009803D1" w:rsidRDefault="00AD47A0" w:rsidP="00AD47A0">
      <w:pPr>
        <w:spacing w:after="0" w:line="276" w:lineRule="auto"/>
        <w:ind w:firstLine="708"/>
        <w:jc w:val="both"/>
        <w:rPr>
          <w:rFonts w:ascii="Verdana" w:hAnsi="Verdana" w:cs="Arial"/>
          <w:color w:val="000000" w:themeColor="text1"/>
          <w:lang w:val="es-ES_tradnl"/>
        </w:rPr>
      </w:pPr>
    </w:p>
    <w:p w14:paraId="2F92AA9C" w14:textId="77777777" w:rsidR="00AD47A0" w:rsidRPr="009803D1" w:rsidRDefault="00AD47A0" w:rsidP="00AD47A0">
      <w:pPr>
        <w:spacing w:after="120" w:line="276" w:lineRule="auto"/>
        <w:ind w:firstLine="709"/>
        <w:jc w:val="both"/>
        <w:rPr>
          <w:rFonts w:ascii="Verdana" w:hAnsi="Verdana" w:cs="Arial"/>
          <w:color w:val="000000" w:themeColor="text1"/>
          <w:lang w:val="es-ES"/>
        </w:rPr>
      </w:pPr>
      <w:r w:rsidRPr="003920F0">
        <w:rPr>
          <w:rFonts w:ascii="Verdana" w:hAnsi="Verdana" w:cs="Arial"/>
          <w:color w:val="000000" w:themeColor="text1"/>
          <w:lang w:val="es-ES"/>
        </w:rPr>
        <w:t xml:space="preserve">Como puede apreciarse, el artículo 82 de la Ley 2080 de 2021 insertó un literal al numeral 4° del artículo 2 de Ley 1150 de 2007 que enlista las causales que permiten a las entidades estatales seleccionar objetivamente al futuro contratista mediante el procedimiento excepcional de la contratación directa, lo que a su vez, autoriza la contratación estatal, para los eventos contemplados en </w:t>
      </w:r>
      <w:r w:rsidRPr="003920F0">
        <w:rPr>
          <w:rFonts w:ascii="Verdana" w:hAnsi="Verdana" w:cs="Arial"/>
          <w:color w:val="000000" w:themeColor="text1"/>
          <w:lang w:val="es-ES"/>
        </w:rPr>
        <w:lastRenderedPageBreak/>
        <w:t xml:space="preserve">dichas causales, sin que medie convocatoria pública ni la obtención previa de varias ofertas. Ahora bien, la causal adicionada circunscribe el objeto del contrato para el cual fue autorizada, toda vez que señala que dicha causal podrá utilizarse cuando las entidades estatales tengan la necesidad de acudir a peritos expertos o asesores técnicos con la finalidad de presentar o contradecir un peritaje, que es una prueba técnica destinada a acreditar o comprobar hechos alegados por las partes o terceros en un proceso judicial. </w:t>
      </w:r>
    </w:p>
    <w:p w14:paraId="28A7F4A5" w14:textId="77777777" w:rsidR="00AD47A0" w:rsidRPr="009803D1" w:rsidRDefault="00AD47A0" w:rsidP="00AD47A0">
      <w:pPr>
        <w:spacing w:after="120" w:line="276" w:lineRule="auto"/>
        <w:ind w:firstLine="709"/>
        <w:jc w:val="both"/>
        <w:rPr>
          <w:rFonts w:ascii="Verdana" w:hAnsi="Verdana" w:cs="Arial"/>
          <w:color w:val="000000" w:themeColor="text1"/>
          <w:lang w:val="es-ES_tradnl"/>
        </w:rPr>
      </w:pPr>
      <w:r w:rsidRPr="009803D1">
        <w:rPr>
          <w:rFonts w:ascii="Verdana" w:hAnsi="Verdana" w:cs="Arial"/>
          <w:color w:val="000000" w:themeColor="text1"/>
          <w:lang w:val="es-ES_tradnl"/>
        </w:rPr>
        <w:t xml:space="preserve">Es así como la causal de contratación directa creada en el citado artículo 82 es consecuencia de la reforma de las normas procesales que gobiernan el decreto y la práctica de la prueba pericial en el proceso contencioso administrativo previsto en la Ley 1437 de 2011 –CPACA–, reforma realizada en artículos precedentes de la misma ley. </w:t>
      </w:r>
    </w:p>
    <w:p w14:paraId="4E612CD7" w14:textId="77777777" w:rsidR="00AD47A0" w:rsidRPr="009803D1" w:rsidRDefault="00AD47A0" w:rsidP="00AD47A0">
      <w:pPr>
        <w:spacing w:after="0" w:line="276" w:lineRule="auto"/>
        <w:ind w:firstLine="708"/>
        <w:jc w:val="both"/>
        <w:rPr>
          <w:rFonts w:ascii="Verdana" w:hAnsi="Verdana" w:cs="Arial"/>
          <w:color w:val="000000" w:themeColor="text1"/>
          <w:lang w:val="es-ES"/>
        </w:rPr>
      </w:pPr>
      <w:r w:rsidRPr="003920F0">
        <w:rPr>
          <w:rFonts w:ascii="Verdana" w:hAnsi="Verdana" w:cs="Arial"/>
          <w:color w:val="000000" w:themeColor="text1"/>
          <w:lang w:val="es-ES"/>
        </w:rPr>
        <w:t xml:space="preserve">En efecto, nótese, por ejemplo, que la Ley 2080 de 2021, al regular en los artículos 54 a 58 la prueba pericial en los procesos judiciales de la jurisdicción de lo Contencioso Administrativo, dispuso que la prueba pericial puede ser aportada por las partes o puede ser decretada por el juez en el proceso, dentro de las oportunidades procesales correspondientes y, respecto de entidades públicas cuando son parte en el proceso judicial, para lo cual dispuso de las siguientes reglas especiales: </w:t>
      </w:r>
    </w:p>
    <w:p w14:paraId="01021837" w14:textId="77777777" w:rsidR="00AD47A0" w:rsidRPr="009803D1" w:rsidRDefault="00AD47A0" w:rsidP="00AD47A0">
      <w:pPr>
        <w:spacing w:after="0" w:line="276" w:lineRule="auto"/>
        <w:ind w:firstLine="708"/>
        <w:jc w:val="both"/>
        <w:rPr>
          <w:rFonts w:ascii="Verdana" w:hAnsi="Verdana" w:cs="Arial"/>
          <w:color w:val="000000" w:themeColor="text1"/>
          <w:lang w:val="es-ES_tradnl"/>
        </w:rPr>
      </w:pPr>
    </w:p>
    <w:p w14:paraId="48679CDE" w14:textId="77777777" w:rsidR="00AD47A0" w:rsidRPr="00AB120C" w:rsidRDefault="00AD47A0" w:rsidP="00AD47A0">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Artículo 58. Modifíquese el artículo 222 de la Ley 1437 de 2011, el cual quedará así:</w:t>
      </w:r>
    </w:p>
    <w:p w14:paraId="49F9D4E7" w14:textId="77777777" w:rsidR="00AD47A0" w:rsidRPr="00AB120C" w:rsidRDefault="00AD47A0" w:rsidP="00AD47A0">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Artículo 222. Reglas especiales para las entidades públicas.</w:t>
      </w:r>
    </w:p>
    <w:p w14:paraId="10698893" w14:textId="77777777" w:rsidR="00AD47A0" w:rsidRPr="00AB120C" w:rsidRDefault="00AD47A0" w:rsidP="00AD47A0">
      <w:pPr>
        <w:spacing w:after="0" w:line="240" w:lineRule="auto"/>
        <w:ind w:left="709" w:right="709"/>
        <w:jc w:val="both"/>
        <w:rPr>
          <w:rFonts w:ascii="Verdana" w:eastAsia="Calibri" w:hAnsi="Verdana" w:cs="Arial"/>
          <w:i/>
          <w:color w:val="000000" w:themeColor="text1"/>
          <w:sz w:val="20"/>
          <w:szCs w:val="20"/>
          <w:lang w:val="es-ES_tradnl"/>
        </w:rPr>
      </w:pPr>
      <w:r w:rsidRPr="00AB120C">
        <w:rPr>
          <w:rFonts w:ascii="Verdana" w:eastAsia="Calibri" w:hAnsi="Verdana" w:cs="Arial"/>
          <w:color w:val="000000" w:themeColor="text1"/>
          <w:sz w:val="20"/>
          <w:szCs w:val="20"/>
          <w:lang w:val="es-ES_tradnl"/>
        </w:rPr>
        <w:t xml:space="preserve">1. Para aportar el dictamen pericial o contradecirlo en los casos previstos en la ley, se faculta a las entidades públicas para que mediante contratación directa seleccionen los expertos que atenderán la prueba pericial requerida en un proceso judicial. </w:t>
      </w:r>
      <w:r w:rsidRPr="00AB120C">
        <w:rPr>
          <w:rFonts w:ascii="Verdana" w:eastAsia="Calibri" w:hAnsi="Verdana" w:cs="Arial"/>
          <w:i/>
          <w:color w:val="000000" w:themeColor="text1"/>
          <w:sz w:val="20"/>
          <w:szCs w:val="20"/>
          <w:lang w:val="es-ES_tradnl"/>
        </w:rPr>
        <w:t>Esta pericia también podrá ser contratada durante las restricciones establecidas en la Ley 996 de 2005.</w:t>
      </w:r>
    </w:p>
    <w:p w14:paraId="3BA91D09" w14:textId="77777777" w:rsidR="00AD47A0" w:rsidRPr="00AB120C" w:rsidRDefault="00AD47A0" w:rsidP="00AD47A0">
      <w:pPr>
        <w:spacing w:after="0" w:line="240" w:lineRule="auto"/>
        <w:ind w:left="709" w:right="709"/>
        <w:jc w:val="both"/>
        <w:rPr>
          <w:rFonts w:ascii="Verdana" w:eastAsia="Calibri" w:hAnsi="Verdana" w:cs="Arial"/>
          <w:i/>
          <w:color w:val="000000" w:themeColor="text1"/>
          <w:sz w:val="20"/>
          <w:szCs w:val="20"/>
          <w:lang w:val="es-ES_tradnl"/>
        </w:rPr>
      </w:pPr>
      <w:r w:rsidRPr="00AB120C">
        <w:rPr>
          <w:rFonts w:ascii="Verdana" w:eastAsia="Calibri" w:hAnsi="Verdana" w:cs="Arial"/>
          <w:i/>
          <w:color w:val="000000" w:themeColor="text1"/>
          <w:sz w:val="20"/>
          <w:szCs w:val="20"/>
          <w:lang w:val="es-ES_tradnl"/>
        </w:rPr>
        <w:t>Con el mismo fin se podrán contratar asesorías técnicas.</w:t>
      </w:r>
    </w:p>
    <w:p w14:paraId="61CBAD7F" w14:textId="77777777" w:rsidR="00AD47A0" w:rsidRPr="00AB120C" w:rsidRDefault="00AD47A0" w:rsidP="00AD47A0">
      <w:pPr>
        <w:spacing w:after="0" w:line="240" w:lineRule="auto"/>
        <w:ind w:left="709" w:right="709"/>
        <w:jc w:val="both"/>
        <w:rPr>
          <w:rFonts w:ascii="Verdana" w:eastAsia="Calibri" w:hAnsi="Verdana" w:cs="Arial"/>
          <w:color w:val="000000" w:themeColor="text1"/>
          <w:sz w:val="20"/>
          <w:szCs w:val="20"/>
          <w:lang w:val="es-ES_tradnl"/>
        </w:rPr>
      </w:pPr>
      <w:r w:rsidRPr="00AB120C">
        <w:rPr>
          <w:rFonts w:ascii="Verdana" w:eastAsia="Calibri" w:hAnsi="Verdana" w:cs="Arial"/>
          <w:color w:val="000000" w:themeColor="text1"/>
          <w:sz w:val="20"/>
          <w:szCs w:val="20"/>
          <w:lang w:val="es-ES_tradnl"/>
        </w:rPr>
        <w:t>2. Cuando la experticia sea rendida por una entidad pública el juez deberá ordenar honorarios a favor de esta.</w:t>
      </w:r>
      <w:r>
        <w:rPr>
          <w:rFonts w:ascii="Verdana" w:eastAsia="Calibri" w:hAnsi="Verdana" w:cs="Arial"/>
          <w:color w:val="000000" w:themeColor="text1"/>
          <w:sz w:val="20"/>
          <w:szCs w:val="20"/>
          <w:lang w:val="es-ES_tradnl"/>
        </w:rPr>
        <w:t xml:space="preserve"> (énfasis fuera de texto). </w:t>
      </w:r>
    </w:p>
    <w:p w14:paraId="5DCBC910" w14:textId="77777777" w:rsidR="00AD47A0" w:rsidRPr="009803D1" w:rsidRDefault="00AD47A0" w:rsidP="00AD47A0">
      <w:pPr>
        <w:spacing w:after="0" w:line="276" w:lineRule="auto"/>
        <w:ind w:firstLine="708"/>
        <w:jc w:val="both"/>
        <w:rPr>
          <w:rFonts w:ascii="Verdana" w:hAnsi="Verdana" w:cs="Arial"/>
          <w:color w:val="000000" w:themeColor="text1"/>
          <w:lang w:val="es-ES_tradnl"/>
        </w:rPr>
      </w:pPr>
    </w:p>
    <w:p w14:paraId="6DED422D" w14:textId="77777777" w:rsidR="00AD47A0" w:rsidRPr="009803D1" w:rsidRDefault="00AD47A0" w:rsidP="00AD47A0">
      <w:pPr>
        <w:spacing w:after="120" w:line="276" w:lineRule="auto"/>
        <w:ind w:firstLine="708"/>
        <w:jc w:val="both"/>
        <w:rPr>
          <w:rFonts w:ascii="Verdana" w:hAnsi="Verdana" w:cs="Arial"/>
          <w:color w:val="000000" w:themeColor="text1"/>
          <w:lang w:val="es-ES_tradnl"/>
        </w:rPr>
      </w:pPr>
      <w:r w:rsidRPr="009803D1">
        <w:rPr>
          <w:rFonts w:ascii="Verdana" w:hAnsi="Verdana" w:cs="Arial"/>
          <w:color w:val="000000" w:themeColor="text1"/>
          <w:lang w:val="es-ES_tradnl"/>
        </w:rPr>
        <w:t>Véase entonces que la causal de contratación directa añadida al listado de la Ley 1150 de 2007 opera bajo ciertos supuestos de hecho previstos en las referidas normas procesales citadas, que condicionan su utilización y dan cuenta de l</w:t>
      </w:r>
      <w:r>
        <w:rPr>
          <w:rFonts w:ascii="Verdana" w:hAnsi="Verdana" w:cs="Arial"/>
          <w:color w:val="000000" w:themeColor="text1"/>
          <w:lang w:val="es-ES_tradnl"/>
        </w:rPr>
        <w:t>as siguientes características: a</w:t>
      </w:r>
      <w:r w:rsidRPr="009803D1">
        <w:rPr>
          <w:rFonts w:ascii="Verdana" w:hAnsi="Verdana" w:cs="Arial"/>
          <w:color w:val="000000" w:themeColor="text1"/>
          <w:lang w:val="es-ES_tradnl"/>
        </w:rPr>
        <w:t xml:space="preserve">) es una causal de contratación que solo puede ser utilizada por la entidad estatal en el marco de un </w:t>
      </w:r>
      <w:r w:rsidRPr="009803D1">
        <w:rPr>
          <w:rFonts w:ascii="Verdana" w:hAnsi="Verdana" w:cs="Arial"/>
          <w:i/>
          <w:iCs/>
          <w:color w:val="000000" w:themeColor="text1"/>
          <w:lang w:val="es-ES_tradnl"/>
        </w:rPr>
        <w:t>proceso judicial</w:t>
      </w:r>
      <w:r w:rsidRPr="009803D1">
        <w:rPr>
          <w:rFonts w:ascii="Verdana" w:hAnsi="Verdana" w:cs="Arial"/>
          <w:color w:val="000000" w:themeColor="text1"/>
          <w:lang w:val="es-ES_tradnl"/>
        </w:rPr>
        <w:t xml:space="preserve">, o cuando sea la entidad la que vaya a promover el inicio del proceso, pues la necesidad </w:t>
      </w:r>
      <w:r w:rsidRPr="009803D1">
        <w:rPr>
          <w:rFonts w:ascii="Verdana" w:hAnsi="Verdana" w:cs="Arial"/>
          <w:color w:val="000000" w:themeColor="text1"/>
          <w:lang w:val="es-ES_tradnl"/>
        </w:rPr>
        <w:lastRenderedPageBreak/>
        <w:t xml:space="preserve">que justifica la contratación de un perito o un asesor técnico es la de hacer valer una prueba técnica, como lo es el dictamen pericial, para acreditar o soportar los hechos que servirán a la defensa de los intereses de la entidad estatal involucrados en una controversia judicial. En este sentido, el contrato se celebraría con la finalidad de </w:t>
      </w:r>
      <w:r w:rsidRPr="009803D1">
        <w:rPr>
          <w:rFonts w:ascii="Verdana" w:eastAsia="Calibri" w:hAnsi="Verdana" w:cs="Arial"/>
          <w:color w:val="000000" w:themeColor="text1"/>
          <w:lang w:val="es-ES_tradnl"/>
        </w:rPr>
        <w:t>presentar o contradecir el dictamen pericial en un proceso judicial.</w:t>
      </w:r>
      <w:r w:rsidRPr="009803D1">
        <w:rPr>
          <w:rFonts w:ascii="Verdana" w:hAnsi="Verdana" w:cs="Arial"/>
          <w:color w:val="000000" w:themeColor="text1"/>
          <w:lang w:val="es-ES_tradnl"/>
        </w:rPr>
        <w:t xml:space="preserve"> </w:t>
      </w:r>
    </w:p>
    <w:p w14:paraId="4210B09C" w14:textId="77777777" w:rsidR="00AD47A0" w:rsidRPr="009803D1" w:rsidRDefault="00AD47A0" w:rsidP="00AD47A0">
      <w:pPr>
        <w:spacing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 xml:space="preserve">b) </w:t>
      </w:r>
      <w:r w:rsidRPr="009803D1">
        <w:rPr>
          <w:rFonts w:ascii="Verdana" w:hAnsi="Verdana" w:cs="Arial"/>
          <w:color w:val="000000" w:themeColor="text1"/>
          <w:lang w:val="es-ES_tradnl"/>
        </w:rPr>
        <w:t xml:space="preserve">La contratación recaerá sobre los servicios de un experto, llámese perito o asesor técnico, persona que debe ser contratada con especial eficiencia y celeridad, de ahí que el legislador haya autorizado acudir a la contratación directa, toda vez que, éste deberá cumplir con el objeto del contrato, que se traduce en la realización de un peritaje o de una asesoría técnica, de manera idónea según su experiencia y experticia, dentro de las oportunidades probatorias correspondientes y respetando los términos procesales con los que cuentan las entidades estatales en el proceso judicial para ejercer válidamente los actos procesales del caso para </w:t>
      </w:r>
      <w:r w:rsidRPr="009803D1">
        <w:rPr>
          <w:rFonts w:ascii="Verdana" w:hAnsi="Verdana" w:cs="Arial"/>
          <w:i/>
          <w:iCs/>
          <w:color w:val="000000" w:themeColor="text1"/>
          <w:lang w:val="es-ES_tradnl"/>
        </w:rPr>
        <w:t>aportar</w:t>
      </w:r>
      <w:r w:rsidRPr="009803D1">
        <w:rPr>
          <w:rFonts w:ascii="Verdana" w:hAnsi="Verdana" w:cs="Arial"/>
          <w:color w:val="000000" w:themeColor="text1"/>
          <w:lang w:val="es-ES_tradnl"/>
        </w:rPr>
        <w:t xml:space="preserve"> o </w:t>
      </w:r>
      <w:r w:rsidRPr="009803D1">
        <w:rPr>
          <w:rFonts w:ascii="Verdana" w:hAnsi="Verdana" w:cs="Arial"/>
          <w:i/>
          <w:iCs/>
          <w:color w:val="000000" w:themeColor="text1"/>
          <w:lang w:val="es-ES_tradnl"/>
        </w:rPr>
        <w:t>contradecir</w:t>
      </w:r>
      <w:r w:rsidRPr="009803D1">
        <w:rPr>
          <w:rFonts w:ascii="Verdana" w:hAnsi="Verdana" w:cs="Arial"/>
          <w:color w:val="000000" w:themeColor="text1"/>
          <w:lang w:val="es-ES_tradnl"/>
        </w:rPr>
        <w:t xml:space="preserve"> pruebas, como lo son, por ejemplo, la presentación o la contestación de la demanda. </w:t>
      </w:r>
    </w:p>
    <w:p w14:paraId="155418AE" w14:textId="77777777" w:rsidR="00AD47A0" w:rsidRDefault="00AD47A0" w:rsidP="00AD47A0">
      <w:pPr>
        <w:spacing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 xml:space="preserve">c) </w:t>
      </w:r>
      <w:r w:rsidRPr="009803D1">
        <w:rPr>
          <w:rFonts w:ascii="Verdana" w:hAnsi="Verdana" w:cs="Arial"/>
          <w:color w:val="000000" w:themeColor="text1"/>
          <w:lang w:val="es-ES_tradnl"/>
        </w:rPr>
        <w:t xml:space="preserve">Por expresa disposición legal, la contratación directa de peritos y asesores técnicos para la finalidad prevista en la nueva causal del literal k) del numeral 4° del artículo 2 de la Ley 1150 de 2007 comporta una </w:t>
      </w:r>
      <w:r w:rsidRPr="009803D1">
        <w:rPr>
          <w:rFonts w:ascii="Verdana" w:hAnsi="Verdana" w:cs="Arial"/>
          <w:i/>
          <w:iCs/>
          <w:color w:val="000000" w:themeColor="text1"/>
          <w:lang w:val="es-ES_tradnl"/>
        </w:rPr>
        <w:t>excepción</w:t>
      </w:r>
      <w:r w:rsidRPr="009803D1">
        <w:rPr>
          <w:rFonts w:ascii="Verdana" w:hAnsi="Verdana" w:cs="Arial"/>
          <w:color w:val="000000" w:themeColor="text1"/>
          <w:lang w:val="es-ES_tradnl"/>
        </w:rPr>
        <w:t xml:space="preserve"> a la restricción de la contratación directa de las entidades estatales prevista en la Ley de Garantías Electorales –Ley 996 de 2005– por lo que una entidad estatal que requiera aportar o contradecir un dictamen pericial, dentro de un proceso judicial, podrá contratar directamente al perito o asesor técnico que requiera, aun en vigencia la prohibición establecida en  el artículo 33 de la Ley 996 de 2005, esto es, durante los cuatro meses anteriores a las elecciones presidenci</w:t>
      </w:r>
      <w:r>
        <w:rPr>
          <w:rFonts w:ascii="Verdana" w:hAnsi="Verdana" w:cs="Arial"/>
          <w:color w:val="000000" w:themeColor="text1"/>
          <w:lang w:val="es-ES_tradnl"/>
        </w:rPr>
        <w:t>ales y hasta la fecha</w:t>
      </w:r>
      <w:r w:rsidRPr="009803D1">
        <w:rPr>
          <w:rFonts w:ascii="Verdana" w:hAnsi="Verdana" w:cs="Arial"/>
          <w:color w:val="000000" w:themeColor="text1"/>
          <w:lang w:val="es-ES_tradnl"/>
        </w:rPr>
        <w:t xml:space="preserve"> al cual el presidente sea elegido. Esta excepción especial se establece claramente en el numeral 1 del artículo 222 de la Ley 1437 de 2011, de acuerdo con la modificación realizada por el artículo 58 de la Ley 2080 de 2021.</w:t>
      </w:r>
      <w:r>
        <w:rPr>
          <w:rFonts w:ascii="Verdana" w:hAnsi="Verdana" w:cs="Arial"/>
          <w:color w:val="000000" w:themeColor="text1"/>
          <w:lang w:val="es-ES_tradnl"/>
        </w:rPr>
        <w:t xml:space="preserve"> En tal sentido, se encuentra que la contratación realizada por entidades públicas para la </w:t>
      </w:r>
      <w:r w:rsidRPr="00AB120C">
        <w:rPr>
          <w:rFonts w:ascii="Verdana" w:hAnsi="Verdana" w:cs="Arial"/>
          <w:color w:val="000000" w:themeColor="text1"/>
          <w:lang w:val="es-ES_tradnl"/>
        </w:rPr>
        <w:t>selección de peritos expertos o asesores técnicos para presentar o contradecir el dictamen pericial en procesos judiciales</w:t>
      </w:r>
      <w:r>
        <w:rPr>
          <w:rFonts w:ascii="Verdana" w:hAnsi="Verdana" w:cs="Arial"/>
          <w:color w:val="000000" w:themeColor="text1"/>
          <w:lang w:val="es-ES_tradnl"/>
        </w:rPr>
        <w:t xml:space="preserve">, sería una excepción adicional a las dispuestas en el inciso segundo del artículo 33 de la Ley 1996 de 2005 – Ley de Garantías Electorales-. </w:t>
      </w:r>
    </w:p>
    <w:p w14:paraId="5643940A" w14:textId="77777777" w:rsidR="00AD47A0" w:rsidRPr="006177F8" w:rsidRDefault="00AD47A0" w:rsidP="00AD47A0">
      <w:pPr>
        <w:spacing w:after="120" w:line="276" w:lineRule="auto"/>
        <w:ind w:firstLine="708"/>
        <w:jc w:val="both"/>
        <w:rPr>
          <w:rFonts w:ascii="Verdana" w:eastAsia="Arial" w:hAnsi="Verdana" w:cs="Arial"/>
          <w:lang w:val="es-ES" w:eastAsia="es-ES" w:bidi="es-ES"/>
        </w:rPr>
      </w:pPr>
      <w:r w:rsidRPr="006177F8">
        <w:rPr>
          <w:rFonts w:ascii="Verdana" w:hAnsi="Verdana" w:cs="Arial"/>
          <w:lang w:val="es-ES_tradnl"/>
        </w:rPr>
        <w:t>Con respecto al evento o supuesto de que la contratación se enmarca en una providencia judicial</w:t>
      </w:r>
      <w:r w:rsidRPr="006177F8">
        <w:rPr>
          <w:rFonts w:ascii="Verdana" w:eastAsia="Arial" w:hAnsi="Verdana" w:cs="Arial"/>
          <w:lang w:val="es-ES" w:eastAsia="es-ES" w:bidi="es-ES"/>
        </w:rPr>
        <w:t xml:space="preserve">, debe tenerse en cuenta que las decisiones judiciales </w:t>
      </w:r>
      <w:r w:rsidRPr="006177F8">
        <w:rPr>
          <w:rFonts w:ascii="Verdana" w:eastAsia="Arial" w:hAnsi="Verdana" w:cs="Arial"/>
          <w:lang w:val="es-ES" w:eastAsia="es-ES" w:bidi="es-ES"/>
        </w:rPr>
        <w:lastRenderedPageBreak/>
        <w:t>tienen fuerza vinculante y deben cumplirse en virtud del principio de supremacía constitucional y del derecho fundamental de acceso a la administración de justicia. La contratación de un perito ordenada por un juez 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799332C0" w14:textId="77777777" w:rsidR="00AD47A0" w:rsidRPr="006177F8" w:rsidRDefault="00AD47A0" w:rsidP="00AD47A0">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 xml:space="preserve">Concepto 1863 del 15 de noviembre de 2007 </w:t>
      </w:r>
      <w:r w:rsidRPr="006177F8">
        <w:rPr>
          <w:rFonts w:ascii="Verdana" w:eastAsia="Arial" w:hAnsi="Verdana" w:cs="Arial"/>
          <w:lang w:val="es-ES" w:eastAsia="es-ES" w:bidi="es-ES"/>
        </w:rPr>
        <w:t xml:space="preserve">se ha pronunciado en el sentido de que </w:t>
      </w:r>
      <w:bookmarkStart w:id="14"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4"/>
      <w:r w:rsidRPr="006177F8">
        <w:rPr>
          <w:rFonts w:ascii="Verdana" w:eastAsia="Arial" w:hAnsi="Verdana" w:cs="Arial"/>
          <w:vertAlign w:val="superscript"/>
          <w:lang w:val="es-ES" w:eastAsia="es-ES" w:bidi="es-ES"/>
        </w:rPr>
        <w:footnoteReference w:id="25"/>
      </w:r>
      <w:r w:rsidRPr="006177F8">
        <w:rPr>
          <w:rFonts w:ascii="Verdana" w:eastAsia="Arial" w:hAnsi="Verdana" w:cs="Arial"/>
          <w:lang w:val="es-ES" w:eastAsia="es-ES" w:bidi="es-ES"/>
        </w:rPr>
        <w:t>. Al respecto, dicho Concepto expresa:</w:t>
      </w:r>
    </w:p>
    <w:p w14:paraId="1F0ED7E7" w14:textId="77777777" w:rsidR="00AD47A0" w:rsidRPr="006177F8" w:rsidRDefault="00AD47A0" w:rsidP="00AD47A0">
      <w:pPr>
        <w:spacing w:after="0" w:line="276" w:lineRule="auto"/>
        <w:ind w:firstLine="709"/>
        <w:jc w:val="both"/>
        <w:rPr>
          <w:rFonts w:ascii="Verdana" w:eastAsia="Arial" w:hAnsi="Verdana" w:cs="Arial"/>
          <w:lang w:val="es-ES" w:eastAsia="es-ES" w:bidi="es-ES"/>
        </w:rPr>
      </w:pPr>
    </w:p>
    <w:p w14:paraId="177D7EFB" w14:textId="77777777" w:rsidR="00AD47A0" w:rsidRPr="006177F8" w:rsidRDefault="00AD47A0" w:rsidP="00AD47A0">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447D104A" w14:textId="77777777" w:rsidR="00AD47A0" w:rsidRPr="006177F8" w:rsidRDefault="00AD47A0" w:rsidP="00AD47A0">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0CE6CE10" w14:textId="77777777" w:rsidR="00AD47A0" w:rsidRPr="006177F8" w:rsidRDefault="00AD47A0" w:rsidP="00AD47A0">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 xml:space="preserve">de intereses proselitistas, pues los funcionarios investidos de jurisdicción, al impartir justicia sólo están sometidos al imperio de la Constitución y de la ley (artículo 230 C.P.) , de manera que sus fallos no son fruto de las presiones propias de épocas </w:t>
      </w:r>
      <w:r w:rsidRPr="006177F8">
        <w:rPr>
          <w:rFonts w:ascii="Verdana" w:eastAsia="Arial" w:hAnsi="Verdana" w:cs="Arial"/>
          <w:sz w:val="20"/>
          <w:lang w:eastAsia="es-ES" w:bidi="es-ES"/>
        </w:rPr>
        <w:lastRenderedPageBreak/>
        <w:t>de campaña electoral, ni comprometen o amenazan la transparencia de la actividad administrativa tutelada en la ley de </w:t>
      </w:r>
      <w:hyperlink r:id="rId13"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p>
    <w:p w14:paraId="0D7BF3DD" w14:textId="77777777" w:rsidR="00AD47A0" w:rsidRPr="006177F8" w:rsidRDefault="00AD47A0" w:rsidP="00AD47A0">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4"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5"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6"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 xml:space="preserve"> (énfasis dentro del texto). </w:t>
      </w:r>
    </w:p>
    <w:p w14:paraId="674713AA" w14:textId="77777777" w:rsidR="00AD47A0" w:rsidRPr="006177F8" w:rsidRDefault="00AD47A0" w:rsidP="00AD47A0">
      <w:pPr>
        <w:spacing w:after="120" w:line="240" w:lineRule="auto"/>
        <w:ind w:firstLine="709"/>
        <w:jc w:val="both"/>
        <w:rPr>
          <w:rFonts w:ascii="Verdana" w:eastAsia="Arial" w:hAnsi="Verdana" w:cs="Arial"/>
          <w:lang w:eastAsia="es-ES" w:bidi="es-ES"/>
        </w:rPr>
      </w:pPr>
    </w:p>
    <w:p w14:paraId="2CCA4B4F" w14:textId="77777777" w:rsidR="00AD47A0" w:rsidRPr="006177F8" w:rsidRDefault="00AD47A0" w:rsidP="00AD47A0">
      <w:pPr>
        <w:spacing w:after="120" w:line="276" w:lineRule="auto"/>
        <w:ind w:firstLine="708"/>
        <w:jc w:val="both"/>
        <w:rPr>
          <w:rFonts w:ascii="Verdana" w:hAnsi="Verdana" w:cs="Arial"/>
          <w:lang w:val="es-ES"/>
        </w:rPr>
      </w:pPr>
      <w:r w:rsidRPr="006177F8">
        <w:rPr>
          <w:rFonts w:ascii="Verdana" w:hAnsi="Verdana" w:cs="Arial"/>
          <w:lang w:val="es-ES"/>
        </w:rPr>
        <w:t xml:space="preserve">De este modo, </w:t>
      </w:r>
      <w:r>
        <w:rPr>
          <w:rFonts w:ascii="Verdana" w:hAnsi="Verdana" w:cs="Arial"/>
          <w:lang w:val="es-ES"/>
        </w:rPr>
        <w:t>e</w:t>
      </w:r>
      <w:r w:rsidRPr="006177F8">
        <w:rPr>
          <w:rFonts w:ascii="Verdana" w:hAnsi="Verdana" w:cs="Arial"/>
          <w:lang w:val="es-ES"/>
        </w:rPr>
        <w:t xml:space="preserve">l 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67B7D469" w14:textId="77777777" w:rsidR="00AD47A0" w:rsidRDefault="00AD47A0" w:rsidP="00AD47A0">
      <w:pPr>
        <w:spacing w:after="120" w:line="276" w:lineRule="auto"/>
        <w:jc w:val="both"/>
        <w:rPr>
          <w:rFonts w:ascii="Verdana" w:eastAsia="Arial" w:hAnsi="Verdana" w:cs="Arial"/>
          <w:lang w:val="es-ES" w:eastAsia="es-ES" w:bidi="es-ES"/>
        </w:rPr>
      </w:pPr>
    </w:p>
    <w:p w14:paraId="125CC1A0" w14:textId="77777777" w:rsidR="00AD47A0" w:rsidRPr="005154AE" w:rsidRDefault="00AD47A0" w:rsidP="00AD47A0">
      <w:pPr>
        <w:spacing w:after="120" w:line="276" w:lineRule="auto"/>
        <w:jc w:val="both"/>
        <w:rPr>
          <w:rFonts w:ascii="Verdana" w:eastAsia="Arial" w:hAnsi="Verdana" w:cs="Arial"/>
          <w:bCs/>
          <w:color w:val="000000" w:themeColor="text1"/>
        </w:rPr>
      </w:pPr>
      <w:r>
        <w:rPr>
          <w:rFonts w:ascii="Verdana" w:eastAsia="Arial" w:hAnsi="Verdana" w:cs="Arial"/>
          <w:lang w:val="es-ES" w:eastAsia="es-ES" w:bidi="es-ES"/>
        </w:rPr>
        <w:t xml:space="preserve">v. </w:t>
      </w:r>
      <w:r w:rsidRPr="00F4158D">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w:t>
      </w:r>
      <w:r>
        <w:rPr>
          <w:rFonts w:ascii="Verdana" w:eastAsia="Calibri" w:hAnsi="Verdana" w:cs="Arial"/>
          <w:bCs/>
          <w:color w:val="000000" w:themeColor="text1"/>
        </w:rPr>
        <w:t xml:space="preserve">las entidades públicas debe realizarse </w:t>
      </w:r>
      <w:r w:rsidRPr="00F4158D">
        <w:rPr>
          <w:rFonts w:ascii="Verdana" w:eastAsia="Calibri" w:hAnsi="Verdana" w:cs="Arial"/>
          <w:bCs/>
          <w:color w:val="000000" w:themeColor="text1"/>
        </w:rPr>
        <w:t>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B7CC5CF" w14:textId="77777777" w:rsidR="00AD47A0" w:rsidRPr="00F4158D" w:rsidRDefault="00AD47A0" w:rsidP="00AD47A0">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w:t>
      </w:r>
      <w:r w:rsidRPr="00F4158D">
        <w:rPr>
          <w:rFonts w:ascii="Verdana" w:eastAsia="Calibri" w:hAnsi="Verdana" w:cs="Arial"/>
          <w:bCs/>
          <w:color w:val="000000" w:themeColor="text1"/>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CBD4FE5" w14:textId="77777777" w:rsidR="00AD47A0" w:rsidRPr="00F4158D" w:rsidRDefault="00AD47A0" w:rsidP="00AD47A0">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15AED8CA" w14:textId="77777777" w:rsidR="00AD47A0" w:rsidRPr="00593A5F" w:rsidRDefault="00AD47A0" w:rsidP="00AD47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FBF73A1" w14:textId="77777777" w:rsidR="00AD47A0" w:rsidRPr="00593A5F" w:rsidRDefault="00AD47A0" w:rsidP="00AD47A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D47A0" w:rsidRPr="002407CE" w14:paraId="1DAB3555" w14:textId="77777777" w:rsidTr="00B7019D">
        <w:trPr>
          <w:trHeight w:val="311"/>
          <w:jc w:val="center"/>
        </w:trPr>
        <w:tc>
          <w:tcPr>
            <w:tcW w:w="8647" w:type="dxa"/>
          </w:tcPr>
          <w:p w14:paraId="1EC3D4D0" w14:textId="77777777" w:rsidR="00AD47A0"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artículos 69, 127, 190, 197 y 286.</w:t>
            </w:r>
          </w:p>
          <w:p w14:paraId="59C7E3A3" w14:textId="77777777" w:rsidR="00AD47A0"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6474C745" w14:textId="77777777" w:rsidR="00AD47A0"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6F0D80D9" w14:textId="77777777" w:rsidR="00AD47A0"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w:t>
            </w:r>
          </w:p>
          <w:p w14:paraId="7414FC6A" w14:textId="77777777" w:rsidR="00AD47A0"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1437 de 2011, artículo 222. </w:t>
            </w:r>
          </w:p>
          <w:p w14:paraId="64246AD0" w14:textId="77777777" w:rsidR="00AD47A0"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2080 de 2021, artículo 58. </w:t>
            </w:r>
          </w:p>
          <w:p w14:paraId="64229496" w14:textId="77777777" w:rsidR="00AD47A0" w:rsidRPr="00585673" w:rsidRDefault="00AD47A0" w:rsidP="00B7019D">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31 y 1501.</w:t>
            </w:r>
            <w:r w:rsidRPr="00585673">
              <w:rPr>
                <w:rFonts w:ascii="Verdana" w:eastAsia="Calibri" w:hAnsi="Verdana" w:cs="Arial"/>
                <w:bCs/>
                <w:color w:val="FF0000"/>
              </w:rPr>
              <w:t xml:space="preserve"> </w:t>
            </w:r>
          </w:p>
        </w:tc>
      </w:tr>
    </w:tbl>
    <w:p w14:paraId="4C29B480" w14:textId="77777777" w:rsidR="00AD47A0" w:rsidRPr="002407CE" w:rsidRDefault="00AD47A0" w:rsidP="00AD47A0">
      <w:pPr>
        <w:widowControl w:val="0"/>
        <w:autoSpaceDE w:val="0"/>
        <w:autoSpaceDN w:val="0"/>
        <w:spacing w:after="0" w:line="276" w:lineRule="auto"/>
        <w:jc w:val="both"/>
        <w:rPr>
          <w:rFonts w:ascii="Verdana" w:hAnsi="Verdana" w:cs="Arial"/>
        </w:rPr>
      </w:pPr>
    </w:p>
    <w:p w14:paraId="76FE7C4C" w14:textId="77777777" w:rsidR="00AD47A0" w:rsidRPr="00593A5F" w:rsidRDefault="00AD47A0" w:rsidP="00AD47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BF35BBC" w14:textId="77777777" w:rsidR="00AD47A0" w:rsidRPr="00593A5F" w:rsidRDefault="00AD47A0" w:rsidP="00AD47A0">
      <w:pPr>
        <w:widowControl w:val="0"/>
        <w:autoSpaceDE w:val="0"/>
        <w:autoSpaceDN w:val="0"/>
        <w:spacing w:after="0" w:line="276" w:lineRule="auto"/>
        <w:jc w:val="both"/>
        <w:rPr>
          <w:rFonts w:ascii="Verdana" w:hAnsi="Verdana" w:cs="Arial"/>
        </w:rPr>
      </w:pPr>
    </w:p>
    <w:p w14:paraId="6212F2F8" w14:textId="77777777" w:rsidR="00AD47A0" w:rsidRPr="007D6CC8" w:rsidRDefault="00AD47A0" w:rsidP="00AD47A0">
      <w:pPr>
        <w:widowControl w:val="0"/>
        <w:autoSpaceDE w:val="0"/>
        <w:autoSpaceDN w:val="0"/>
        <w:spacing w:after="0" w:line="276" w:lineRule="auto"/>
        <w:jc w:val="both"/>
        <w:rPr>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w:t>
      </w:r>
      <w:r w:rsidRPr="00177E85">
        <w:rPr>
          <w:rFonts w:ascii="Verdana" w:hAnsi="Verdana" w:cs="Arial"/>
          <w:shd w:val="clear" w:color="auto" w:fill="FFFFFF"/>
        </w:rPr>
        <w:lastRenderedPageBreak/>
        <w:t xml:space="preserve">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C-1343 del 20 de octubre de 2025, C-1350 del 1˚ de octubre de 2025, C-1401 del 22 de octubre de 2025, C-1512 del 27 de octubre de 2025, C-1488 del 30 de octubre de 2025, C-1596 del 6 de noviembre de 2025, C-1509 del 19 de noviembre de 2025, C-1773 del 5 de diciembre de 2025, C-1646 del 17 de diciembre de 2025, C-1703 del 29 de diciembre de 2025, C-068 del 27 de enero de 2026</w:t>
      </w:r>
      <w:r>
        <w:rPr>
          <w:rFonts w:ascii="Verdana" w:hAnsi="Verdana"/>
        </w:rPr>
        <w:t>.</w:t>
      </w:r>
      <w:r>
        <w:rPr>
          <w:rFonts w:ascii="Verdana" w:hAnsi="Verdana" w:cs="Arial"/>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BFFEC5D" w14:textId="77777777" w:rsidR="00AD47A0" w:rsidRPr="00185EE9" w:rsidRDefault="004F1B18" w:rsidP="00AD47A0">
      <w:pPr>
        <w:spacing w:after="0" w:line="256" w:lineRule="auto"/>
        <w:jc w:val="both"/>
        <w:rPr>
          <w:rFonts w:ascii="Verdana" w:eastAsia="Calibri" w:hAnsi="Verdana" w:cs="Times New Roman"/>
        </w:rPr>
      </w:pPr>
      <w:hyperlink r:id="rId17" w:history="1">
        <w:r w:rsidR="00AD47A0" w:rsidRPr="00F14AAD">
          <w:rPr>
            <w:rStyle w:val="Hipervnculo"/>
            <w:rFonts w:ascii="Verdana" w:eastAsia="Calibri" w:hAnsi="Verdana" w:cs="Times New Roman"/>
            <w:lang w:val="es-ES"/>
          </w:rPr>
          <w:t>https://relatoria.colombiacompra.gov.co/busqueda/conceptos</w:t>
        </w:r>
      </w:hyperlink>
      <w:r w:rsidR="00AD47A0" w:rsidRPr="00185EE9">
        <w:rPr>
          <w:rFonts w:ascii="Verdana" w:eastAsia="Calibri" w:hAnsi="Verdana" w:cs="Times New Roman"/>
        </w:rPr>
        <w:t xml:space="preserve">. </w:t>
      </w:r>
    </w:p>
    <w:p w14:paraId="741B5E36" w14:textId="77777777" w:rsidR="00AD47A0" w:rsidRPr="00096788" w:rsidRDefault="00AD47A0" w:rsidP="00AD47A0">
      <w:pPr>
        <w:widowControl w:val="0"/>
        <w:autoSpaceDE w:val="0"/>
        <w:autoSpaceDN w:val="0"/>
        <w:spacing w:after="0" w:line="276" w:lineRule="auto"/>
        <w:jc w:val="both"/>
        <w:rPr>
          <w:rFonts w:ascii="Verdana" w:hAnsi="Verdana" w:cs="Arial"/>
          <w:color w:val="000000" w:themeColor="text1"/>
          <w:shd w:val="clear" w:color="auto" w:fill="FFFFFF"/>
        </w:rPr>
      </w:pPr>
    </w:p>
    <w:p w14:paraId="58FA20D2" w14:textId="77777777" w:rsidR="00AD47A0" w:rsidRDefault="00AD47A0" w:rsidP="00AD47A0">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8"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0ECA0503" w14:textId="77777777" w:rsidR="00AD47A0" w:rsidRDefault="00AD47A0" w:rsidP="00AD47A0">
      <w:pPr>
        <w:shd w:val="clear" w:color="auto" w:fill="FFFFFF"/>
        <w:spacing w:after="0" w:line="276" w:lineRule="auto"/>
        <w:jc w:val="both"/>
        <w:rPr>
          <w:rFonts w:ascii="Verdana" w:hAnsi="Verdana"/>
          <w:color w:val="000000"/>
          <w:u w:val="single"/>
        </w:rPr>
      </w:pPr>
    </w:p>
    <w:p w14:paraId="772F0D11" w14:textId="77777777" w:rsidR="00AD47A0" w:rsidRPr="00116940" w:rsidRDefault="00AD47A0" w:rsidP="00AD47A0">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315423B" w14:textId="77777777" w:rsidR="00AD47A0" w:rsidRPr="00116940" w:rsidRDefault="00AD47A0" w:rsidP="00AD47A0">
      <w:pPr>
        <w:spacing w:after="0"/>
        <w:jc w:val="both"/>
        <w:rPr>
          <w:rFonts w:ascii="Verdana" w:hAnsi="Verdana"/>
        </w:rPr>
      </w:pPr>
    </w:p>
    <w:p w14:paraId="419AB16B" w14:textId="77777777" w:rsidR="00AD47A0" w:rsidRPr="00116940" w:rsidRDefault="00AD47A0" w:rsidP="00AD47A0">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695237F" w14:textId="77777777" w:rsidR="00AD47A0" w:rsidRPr="00116940" w:rsidRDefault="00AD47A0" w:rsidP="00AD47A0">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27F9FE0" w14:textId="77777777" w:rsidR="00AD47A0" w:rsidRPr="00116940" w:rsidRDefault="00AD47A0" w:rsidP="00AD47A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lastRenderedPageBreak/>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7524F497" w14:textId="77777777" w:rsidR="00AD47A0" w:rsidRPr="00116940" w:rsidRDefault="00AD47A0" w:rsidP="00AD47A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25C8491C" w14:textId="77777777" w:rsidR="00AD47A0" w:rsidRPr="00116940" w:rsidRDefault="00AD47A0" w:rsidP="00AD47A0">
      <w:pPr>
        <w:spacing w:after="0" w:line="240" w:lineRule="auto"/>
        <w:ind w:left="720"/>
        <w:jc w:val="both"/>
        <w:rPr>
          <w:rFonts w:ascii="Verdana" w:hAnsi="Verdana"/>
        </w:rPr>
      </w:pPr>
    </w:p>
    <w:p w14:paraId="0FA97225" w14:textId="77777777" w:rsidR="00AD47A0" w:rsidRPr="00116940" w:rsidRDefault="00AD47A0" w:rsidP="00AD47A0">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728CA70B" w14:textId="77777777" w:rsidR="00AD47A0" w:rsidRPr="00116940" w:rsidRDefault="00AD47A0" w:rsidP="00AD47A0">
      <w:pPr>
        <w:spacing w:after="0" w:line="240" w:lineRule="auto"/>
        <w:rPr>
          <w:rFonts w:ascii="Verdana" w:hAnsi="Verdana"/>
        </w:rPr>
      </w:pPr>
    </w:p>
    <w:p w14:paraId="18F13447" w14:textId="77777777" w:rsidR="00AD47A0" w:rsidRPr="00116940" w:rsidRDefault="00AD47A0" w:rsidP="00AD47A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86F5531" w14:textId="77777777" w:rsidR="00AD47A0" w:rsidRPr="00116940" w:rsidRDefault="00AD47A0" w:rsidP="00AD47A0">
      <w:pPr>
        <w:spacing w:after="0" w:line="240" w:lineRule="auto"/>
        <w:jc w:val="both"/>
        <w:rPr>
          <w:rFonts w:ascii="Verdana" w:hAnsi="Verdana"/>
        </w:rPr>
      </w:pPr>
    </w:p>
    <w:p w14:paraId="62242AFD" w14:textId="77777777" w:rsidR="00AD47A0" w:rsidRPr="00116940" w:rsidRDefault="00AD47A0" w:rsidP="00AD47A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0922539" w14:textId="77777777" w:rsidR="00AD47A0" w:rsidRPr="00116940" w:rsidRDefault="00AD47A0" w:rsidP="00AD47A0">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21AAB21B" w14:textId="77777777" w:rsidR="00AD47A0" w:rsidRPr="00116940" w:rsidRDefault="00AD47A0" w:rsidP="00AD47A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C7F8AB4" w14:textId="77777777" w:rsidR="00AD47A0" w:rsidRPr="00116940" w:rsidRDefault="00AD47A0" w:rsidP="00AD47A0">
      <w:pPr>
        <w:spacing w:after="0" w:line="240" w:lineRule="auto"/>
        <w:jc w:val="both"/>
        <w:rPr>
          <w:rFonts w:ascii="Verdana" w:hAnsi="Verdana"/>
        </w:rPr>
      </w:pPr>
    </w:p>
    <w:p w14:paraId="33F8ED83" w14:textId="77777777" w:rsidR="00AD47A0" w:rsidRPr="009037F6" w:rsidRDefault="00AD47A0" w:rsidP="00AD47A0">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FBC976C" w14:textId="77777777" w:rsidR="00AD47A0" w:rsidRPr="00492C4A" w:rsidRDefault="00AD47A0" w:rsidP="00AD47A0">
      <w:pPr>
        <w:spacing w:after="0" w:line="256" w:lineRule="auto"/>
        <w:jc w:val="both"/>
        <w:rPr>
          <w:rFonts w:ascii="Verdana" w:eastAsia="Calibri" w:hAnsi="Verdana" w:cs="Times New Roman"/>
          <w:lang w:val="es-ES_tradnl"/>
        </w:rPr>
      </w:pPr>
    </w:p>
    <w:p w14:paraId="310A0C76" w14:textId="77777777" w:rsidR="00AD47A0" w:rsidRDefault="00AD47A0" w:rsidP="00AD47A0">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698CD904" w14:textId="77777777" w:rsidR="00AD47A0" w:rsidRDefault="00AD47A0" w:rsidP="00AD47A0">
      <w:pPr>
        <w:spacing w:after="0" w:line="256" w:lineRule="auto"/>
        <w:jc w:val="both"/>
        <w:rPr>
          <w:rFonts w:ascii="Verdana" w:eastAsia="Calibri" w:hAnsi="Verdana" w:cs="Times New Roman"/>
        </w:rPr>
      </w:pPr>
    </w:p>
    <w:p w14:paraId="5B6E5999" w14:textId="7AAD88AF" w:rsidR="00AD47A0" w:rsidRPr="00286830" w:rsidRDefault="00DD4531" w:rsidP="00AD47A0">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E618AFF" wp14:editId="147F6389">
            <wp:extent cx="3279140" cy="1250731"/>
            <wp:effectExtent l="0" t="0" r="0" b="698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314926" cy="1264381"/>
                    </a:xfrm>
                    <a:prstGeom prst="rect">
                      <a:avLst/>
                    </a:prstGeom>
                  </pic:spPr>
                </pic:pic>
              </a:graphicData>
            </a:graphic>
          </wp:inline>
        </w:drawing>
      </w:r>
      <w:r w:rsidR="00AD47A0" w:rsidRPr="00FD1DDC">
        <w:rPr>
          <w:rFonts w:ascii="Verdana" w:hAnsi="Verdana"/>
          <w:sz w:val="16"/>
          <w:szCs w:val="16"/>
        </w:rPr>
        <w:t xml:space="preserve"> </w:t>
      </w:r>
    </w:p>
    <w:p w14:paraId="3370390B" w14:textId="77777777" w:rsidR="00AD47A0" w:rsidRPr="00286830" w:rsidRDefault="00AD47A0" w:rsidP="00AD47A0">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D47A0" w:rsidRPr="00286830" w14:paraId="01CF35B3" w14:textId="77777777" w:rsidTr="00B7019D">
        <w:trPr>
          <w:trHeight w:val="409"/>
        </w:trPr>
        <w:tc>
          <w:tcPr>
            <w:tcW w:w="817" w:type="dxa"/>
            <w:tcBorders>
              <w:top w:val="nil"/>
              <w:left w:val="nil"/>
              <w:bottom w:val="nil"/>
              <w:right w:val="nil"/>
            </w:tcBorders>
            <w:vAlign w:val="center"/>
            <w:hideMark/>
          </w:tcPr>
          <w:p w14:paraId="73493B80"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B7C9BE7"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5675D73D"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AD47A0" w:rsidRPr="00286830" w14:paraId="7B8B0A4E" w14:textId="77777777" w:rsidTr="00B7019D">
        <w:trPr>
          <w:trHeight w:val="409"/>
        </w:trPr>
        <w:tc>
          <w:tcPr>
            <w:tcW w:w="817" w:type="dxa"/>
            <w:tcBorders>
              <w:top w:val="nil"/>
              <w:left w:val="nil"/>
              <w:bottom w:val="nil"/>
              <w:right w:val="nil"/>
            </w:tcBorders>
            <w:vAlign w:val="center"/>
            <w:hideMark/>
          </w:tcPr>
          <w:p w14:paraId="054BD525"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93C9A00"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 xml:space="preserve">Alejandro </w:t>
            </w:r>
            <w:r>
              <w:rPr>
                <w:rFonts w:ascii="Verdana" w:eastAsia="Calibri" w:hAnsi="Verdana" w:cs="Times New Roman"/>
                <w:sz w:val="16"/>
                <w:szCs w:val="16"/>
              </w:rPr>
              <w:t xml:space="preserve">R. </w:t>
            </w:r>
            <w:r w:rsidRPr="00286830">
              <w:rPr>
                <w:rFonts w:ascii="Verdana" w:eastAsia="Calibri" w:hAnsi="Verdana" w:cs="Times New Roman"/>
                <w:sz w:val="16"/>
                <w:szCs w:val="16"/>
              </w:rPr>
              <w:t>Sarmiento Cantillo</w:t>
            </w:r>
          </w:p>
          <w:p w14:paraId="34ECCD41"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AD47A0" w:rsidRPr="00286830" w14:paraId="79766D24" w14:textId="77777777" w:rsidTr="00B7019D">
        <w:trPr>
          <w:trHeight w:val="389"/>
        </w:trPr>
        <w:tc>
          <w:tcPr>
            <w:tcW w:w="817" w:type="dxa"/>
            <w:tcBorders>
              <w:top w:val="nil"/>
              <w:left w:val="nil"/>
              <w:bottom w:val="nil"/>
              <w:right w:val="nil"/>
            </w:tcBorders>
            <w:vAlign w:val="center"/>
            <w:hideMark/>
          </w:tcPr>
          <w:p w14:paraId="20174E6B"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92830EB"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Carolina Quintero Gacharná</w:t>
            </w:r>
          </w:p>
          <w:p w14:paraId="55E97D3D" w14:textId="77777777" w:rsidR="00AD47A0" w:rsidRPr="00286830" w:rsidRDefault="00AD47A0" w:rsidP="00B7019D">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bookmarkEnd w:id="0"/>
    </w:tbl>
    <w:p w14:paraId="4F45F211" w14:textId="77777777" w:rsidR="00AD47A0" w:rsidRPr="0024624F" w:rsidRDefault="00AD47A0" w:rsidP="00AD47A0">
      <w:pPr>
        <w:spacing w:after="0"/>
        <w:rPr>
          <w:rFonts w:ascii="Verdana" w:hAnsi="Verdana"/>
        </w:rPr>
      </w:pPr>
    </w:p>
    <w:p w14:paraId="41FD1E17" w14:textId="75D28F62" w:rsidR="004674CF" w:rsidRPr="00AD47A0" w:rsidRDefault="004674CF" w:rsidP="00AD47A0"/>
    <w:sectPr w:rsidR="004674CF" w:rsidRPr="00AD47A0"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676FE" w14:textId="77777777" w:rsidR="004F1B18" w:rsidRDefault="004F1B18" w:rsidP="004A1847">
      <w:pPr>
        <w:spacing w:after="0" w:line="240" w:lineRule="auto"/>
      </w:pPr>
      <w:r>
        <w:separator/>
      </w:r>
    </w:p>
  </w:endnote>
  <w:endnote w:type="continuationSeparator" w:id="0">
    <w:p w14:paraId="35B4117D" w14:textId="77777777" w:rsidR="004F1B18" w:rsidRDefault="004F1B18" w:rsidP="004A1847">
      <w:pPr>
        <w:spacing w:after="0" w:line="240" w:lineRule="auto"/>
      </w:pPr>
      <w:r>
        <w:continuationSeparator/>
      </w:r>
    </w:p>
  </w:endnote>
  <w:endnote w:type="continuationNotice" w:id="1">
    <w:p w14:paraId="6E850F77" w14:textId="77777777" w:rsidR="004F1B18" w:rsidRDefault="004F1B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594CE9" w:rsidRDefault="00594CE9">
    <w:pPr>
      <w:pStyle w:val="Piedepgina"/>
    </w:pPr>
  </w:p>
  <w:p w14:paraId="594D6D9F" w14:textId="1A552853" w:rsidR="00594CE9" w:rsidRPr="00174B77" w:rsidRDefault="00594CE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24F5F" w:rsidRPr="00524F5F">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94CE9" w:rsidRDefault="00594CE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94CE9" w:rsidRPr="00E41027" w:rsidRDefault="00594CE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594CE9" w:rsidRDefault="00594CE9"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5079C9" w14:textId="77777777" w:rsidR="004F1B18" w:rsidRDefault="004F1B18" w:rsidP="004A1847">
      <w:pPr>
        <w:spacing w:after="0" w:line="240" w:lineRule="auto"/>
      </w:pPr>
      <w:r>
        <w:separator/>
      </w:r>
    </w:p>
  </w:footnote>
  <w:footnote w:type="continuationSeparator" w:id="0">
    <w:p w14:paraId="53DCCAA1" w14:textId="77777777" w:rsidR="004F1B18" w:rsidRDefault="004F1B18" w:rsidP="004A1847">
      <w:pPr>
        <w:spacing w:after="0" w:line="240" w:lineRule="auto"/>
      </w:pPr>
      <w:r>
        <w:continuationSeparator/>
      </w:r>
    </w:p>
  </w:footnote>
  <w:footnote w:type="continuationNotice" w:id="1">
    <w:p w14:paraId="031E1FD5" w14:textId="77777777" w:rsidR="004F1B18" w:rsidRDefault="004F1B18">
      <w:pPr>
        <w:spacing w:after="0" w:line="240" w:lineRule="auto"/>
      </w:pPr>
    </w:p>
  </w:footnote>
  <w:footnote w:id="2">
    <w:p w14:paraId="6CF461F4" w14:textId="77777777" w:rsidR="00AD47A0" w:rsidRPr="00DD4531" w:rsidRDefault="00AD47A0" w:rsidP="00AD47A0">
      <w:pPr>
        <w:pStyle w:val="Textonotapie"/>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65EBE54" w14:textId="77777777" w:rsidR="00AD47A0" w:rsidRPr="00DD4531" w:rsidRDefault="00AD47A0" w:rsidP="00AD47A0">
      <w:pPr>
        <w:pStyle w:val="Textonotapie"/>
        <w:ind w:firstLine="709"/>
        <w:jc w:val="both"/>
        <w:rPr>
          <w:rFonts w:ascii="Verdana" w:hAnsi="Verdana" w:cs="Arial"/>
          <w:sz w:val="16"/>
          <w:szCs w:val="16"/>
        </w:rPr>
      </w:pPr>
      <w:r w:rsidRPr="00DD453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2BB8A3EA" w14:textId="77777777" w:rsidR="00AD47A0" w:rsidRPr="00DD4531" w:rsidRDefault="00AD47A0" w:rsidP="00AD47A0">
      <w:pPr>
        <w:pStyle w:val="Textonotapie"/>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Gaceta del Congreso de la República No. 71 del 2005.</w:t>
      </w:r>
    </w:p>
  </w:footnote>
  <w:footnote w:id="4">
    <w:p w14:paraId="6575042C" w14:textId="77777777" w:rsidR="00AD47A0" w:rsidRPr="00DD4531" w:rsidRDefault="00AD47A0" w:rsidP="00AD47A0">
      <w:pPr>
        <w:pStyle w:val="Textonotapie"/>
        <w:ind w:firstLine="709"/>
        <w:jc w:val="both"/>
        <w:rPr>
          <w:rFonts w:ascii="Verdana" w:hAnsi="Verdana" w:cs="Arial"/>
          <w:sz w:val="16"/>
          <w:szCs w:val="16"/>
          <w:lang w:val="pt-BR"/>
        </w:rPr>
      </w:pPr>
      <w:r w:rsidRPr="00DD4531">
        <w:rPr>
          <w:rStyle w:val="Refdenotaalpie"/>
          <w:rFonts w:ascii="Verdana" w:hAnsi="Verdana" w:cs="Arial"/>
          <w:sz w:val="16"/>
          <w:szCs w:val="16"/>
        </w:rPr>
        <w:footnoteRef/>
      </w:r>
      <w:r w:rsidRPr="00DD4531">
        <w:rPr>
          <w:rFonts w:ascii="Verdana" w:hAnsi="Verdana" w:cs="Arial"/>
          <w:sz w:val="16"/>
          <w:szCs w:val="16"/>
          <w:lang w:val="pt-BR"/>
        </w:rPr>
        <w:t xml:space="preserve"> Corte Constitucional, Sentencia C- 1153 de 2005, M.P. Marco Gerardo Monroy Cabra.</w:t>
      </w:r>
    </w:p>
  </w:footnote>
  <w:footnote w:id="5">
    <w:p w14:paraId="552E06B7" w14:textId="77777777" w:rsidR="00AD47A0" w:rsidRPr="00DD4531" w:rsidRDefault="00AD47A0" w:rsidP="00AD47A0">
      <w:pPr>
        <w:pStyle w:val="Textonotapie"/>
        <w:ind w:firstLine="709"/>
        <w:jc w:val="both"/>
        <w:rPr>
          <w:rFonts w:ascii="Verdana" w:hAnsi="Verdana" w:cs="Arial"/>
          <w:sz w:val="16"/>
          <w:szCs w:val="16"/>
          <w:lang w:val="pt-BR"/>
        </w:rPr>
      </w:pPr>
      <w:r w:rsidRPr="00DD4531">
        <w:rPr>
          <w:rStyle w:val="Refdenotaalpie"/>
          <w:rFonts w:ascii="Verdana" w:hAnsi="Verdana" w:cs="Arial"/>
          <w:sz w:val="16"/>
          <w:szCs w:val="16"/>
        </w:rPr>
        <w:footnoteRef/>
      </w:r>
      <w:r w:rsidRPr="00DD4531">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1C4888C" w14:textId="77777777" w:rsidR="00AD47A0" w:rsidRPr="00DD4531" w:rsidRDefault="00AD47A0" w:rsidP="00AD47A0">
      <w:pPr>
        <w:pStyle w:val="Textonotapie"/>
        <w:ind w:firstLine="709"/>
        <w:jc w:val="both"/>
        <w:rPr>
          <w:rFonts w:ascii="Verdana" w:hAnsi="Verdana" w:cs="Arial"/>
          <w:sz w:val="16"/>
          <w:szCs w:val="16"/>
          <w:lang w:val="es-CO"/>
        </w:rPr>
      </w:pPr>
      <w:r w:rsidRPr="00DD4531">
        <w:rPr>
          <w:rStyle w:val="Refdenotaalpie"/>
          <w:rFonts w:ascii="Verdana" w:hAnsi="Verdana" w:cs="Arial"/>
          <w:sz w:val="16"/>
          <w:szCs w:val="16"/>
        </w:rPr>
        <w:footnoteRef/>
      </w:r>
      <w:r w:rsidRPr="00DD4531">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BB75C8B" w14:textId="77777777" w:rsidR="00AD47A0" w:rsidRPr="00DD4531" w:rsidRDefault="00AD47A0" w:rsidP="00AD47A0">
      <w:pPr>
        <w:pStyle w:val="Textonotapie"/>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de fecha 24 de julio de 2013, radicado 2166, C. P. Álvaro Namén Vargas.  </w:t>
      </w:r>
    </w:p>
  </w:footnote>
  <w:footnote w:id="8">
    <w:p w14:paraId="546619BC" w14:textId="77777777" w:rsidR="00AD47A0" w:rsidRPr="00DD4531" w:rsidRDefault="00AD47A0" w:rsidP="00AD47A0">
      <w:pPr>
        <w:spacing w:after="0" w:line="240" w:lineRule="auto"/>
        <w:ind w:firstLine="709"/>
        <w:jc w:val="both"/>
        <w:rPr>
          <w:rFonts w:ascii="Verdana" w:eastAsia="Times New Roman"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w:t>
      </w:r>
      <w:bookmarkStart w:id="7" w:name="33"/>
      <w:r w:rsidRPr="00DD4531">
        <w:rPr>
          <w:rFonts w:ascii="Verdana" w:eastAsia="Calibri" w:hAnsi="Verdana" w:cs="Arial"/>
          <w:color w:val="000000"/>
          <w:sz w:val="16"/>
          <w:szCs w:val="16"/>
        </w:rPr>
        <w:t>“</w:t>
      </w:r>
      <w:r w:rsidRPr="00DD4531">
        <w:rPr>
          <w:rFonts w:ascii="Verdana" w:eastAsia="Times New Roman" w:hAnsi="Verdana" w:cs="Arial"/>
          <w:sz w:val="16"/>
          <w:szCs w:val="16"/>
        </w:rPr>
        <w:t>Artículo 33. Restricciones a la contratación pública.</w:t>
      </w:r>
      <w:bookmarkEnd w:id="7"/>
      <w:r w:rsidRPr="00DD4531">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BF627F2" w14:textId="77777777" w:rsidR="00AD47A0" w:rsidRPr="00DD4531" w:rsidRDefault="00AD47A0" w:rsidP="00AD47A0">
      <w:pPr>
        <w:spacing w:after="0" w:line="240" w:lineRule="auto"/>
        <w:ind w:firstLine="709"/>
        <w:jc w:val="both"/>
        <w:rPr>
          <w:rFonts w:ascii="Verdana" w:eastAsia="Times New Roman" w:hAnsi="Verdana" w:cs="Arial"/>
          <w:sz w:val="16"/>
          <w:szCs w:val="16"/>
        </w:rPr>
      </w:pPr>
      <w:r w:rsidRPr="00DD453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D4531">
        <w:rPr>
          <w:rFonts w:ascii="Verdana" w:eastAsia="Calibri" w:hAnsi="Verdana" w:cs="Arial"/>
          <w:color w:val="000000"/>
          <w:sz w:val="16"/>
          <w:szCs w:val="16"/>
        </w:rPr>
        <w:t>”</w:t>
      </w:r>
      <w:r w:rsidRPr="00DD4531">
        <w:rPr>
          <w:rFonts w:ascii="Verdana" w:eastAsia="Times New Roman" w:hAnsi="Verdana" w:cs="Arial"/>
          <w:sz w:val="16"/>
          <w:szCs w:val="16"/>
        </w:rPr>
        <w:t>.</w:t>
      </w:r>
    </w:p>
  </w:footnote>
  <w:footnote w:id="9">
    <w:p w14:paraId="5D676945" w14:textId="77777777" w:rsidR="00AD47A0" w:rsidRPr="00DD4531" w:rsidRDefault="00AD47A0" w:rsidP="00AD47A0">
      <w:pPr>
        <w:pStyle w:val="NormalWeb"/>
        <w:spacing w:before="0" w:beforeAutospacing="0" w:after="0" w:afterAutospacing="0"/>
        <w:ind w:firstLine="709"/>
        <w:jc w:val="both"/>
        <w:rPr>
          <w:rFonts w:ascii="Verdana" w:hAnsi="Verdana" w:cs="Arial"/>
          <w:sz w:val="16"/>
          <w:szCs w:val="16"/>
          <w:lang w:val="es-MX"/>
        </w:rPr>
      </w:pPr>
      <w:r w:rsidRPr="00DD4531">
        <w:rPr>
          <w:rStyle w:val="Refdenotaalpie"/>
          <w:rFonts w:ascii="Verdana" w:hAnsi="Verdana" w:cs="Arial"/>
          <w:sz w:val="16"/>
          <w:szCs w:val="16"/>
        </w:rPr>
        <w:footnoteRef/>
      </w:r>
      <w:r w:rsidRPr="00DD4531">
        <w:rPr>
          <w:rFonts w:ascii="Verdana" w:hAnsi="Verdana" w:cs="Arial"/>
          <w:sz w:val="16"/>
          <w:szCs w:val="16"/>
        </w:rPr>
        <w:t xml:space="preserve"> </w:t>
      </w:r>
      <w:bookmarkStart w:id="8" w:name="38"/>
      <w:r w:rsidRPr="00DD4531">
        <w:rPr>
          <w:rFonts w:ascii="Verdana" w:eastAsia="Calibri" w:hAnsi="Verdana" w:cs="Arial"/>
          <w:color w:val="000000"/>
          <w:sz w:val="16"/>
          <w:szCs w:val="16"/>
        </w:rPr>
        <w:t>“</w:t>
      </w:r>
      <w:r w:rsidRPr="00DD4531">
        <w:rPr>
          <w:rFonts w:ascii="Verdana" w:hAnsi="Verdana" w:cs="Arial"/>
          <w:sz w:val="16"/>
          <w:szCs w:val="16"/>
          <w:lang w:val="es-MX"/>
        </w:rPr>
        <w:t>Artículo 38. Prohibiciones para los servidores públicos. A los empleados del Estado les está prohibido:</w:t>
      </w:r>
      <w:bookmarkEnd w:id="8"/>
      <w:r w:rsidRPr="00DD4531">
        <w:rPr>
          <w:rFonts w:ascii="Verdana" w:hAnsi="Verdana" w:cs="Arial"/>
          <w:sz w:val="16"/>
          <w:szCs w:val="16"/>
          <w:lang w:val="es-MX"/>
        </w:rPr>
        <w:t xml:space="preserve"> […]</w:t>
      </w:r>
    </w:p>
    <w:p w14:paraId="633E6DBB" w14:textId="77777777" w:rsidR="00AD47A0" w:rsidRPr="00DD4531" w:rsidRDefault="00AD47A0" w:rsidP="00AD47A0">
      <w:pPr>
        <w:pStyle w:val="NormalWeb"/>
        <w:spacing w:before="0" w:beforeAutospacing="0" w:after="0" w:afterAutospacing="0"/>
        <w:ind w:firstLine="709"/>
        <w:jc w:val="both"/>
        <w:rPr>
          <w:rFonts w:ascii="Verdana" w:hAnsi="Verdana" w:cs="Arial"/>
          <w:sz w:val="16"/>
          <w:szCs w:val="16"/>
          <w:lang w:val="es-MX"/>
        </w:rPr>
      </w:pPr>
      <w:r w:rsidRPr="00DD4531">
        <w:rPr>
          <w:rStyle w:val="baj"/>
          <w:rFonts w:ascii="Verdana" w:hAnsi="Verdana" w:cs="Arial"/>
          <w:sz w:val="16"/>
          <w:szCs w:val="16"/>
          <w:lang w:val="es-MX"/>
        </w:rPr>
        <w:t>Parágrafo.</w:t>
      </w:r>
      <w:r w:rsidRPr="00DD453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D4531">
        <w:rPr>
          <w:rFonts w:ascii="Verdana" w:eastAsia="Calibri" w:hAnsi="Verdana" w:cs="Arial"/>
          <w:color w:val="000000"/>
          <w:sz w:val="16"/>
          <w:szCs w:val="16"/>
        </w:rPr>
        <w:t>”</w:t>
      </w:r>
      <w:r w:rsidRPr="00DD4531">
        <w:rPr>
          <w:rFonts w:ascii="Verdana" w:hAnsi="Verdana" w:cs="Arial"/>
          <w:sz w:val="16"/>
          <w:szCs w:val="16"/>
          <w:lang w:val="es-MX"/>
        </w:rPr>
        <w:t>.</w:t>
      </w:r>
    </w:p>
  </w:footnote>
  <w:footnote w:id="10">
    <w:p w14:paraId="6D048DD3" w14:textId="77777777" w:rsidR="00AD47A0" w:rsidRPr="00DD4531" w:rsidRDefault="00AD47A0" w:rsidP="00AD47A0">
      <w:pPr>
        <w:pStyle w:val="Textonotapie"/>
        <w:ind w:firstLine="708"/>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Colombia Compra Eficiente. Circular Externa Única. Numeral 16.5. </w:t>
      </w:r>
    </w:p>
  </w:footnote>
  <w:footnote w:id="11">
    <w:p w14:paraId="62C1D142" w14:textId="77777777" w:rsidR="00AD47A0" w:rsidRPr="00DD4531" w:rsidRDefault="00AD47A0" w:rsidP="00AD47A0">
      <w:pPr>
        <w:spacing w:after="0" w:line="240" w:lineRule="auto"/>
        <w:ind w:left="100" w:right="244" w:firstLine="608"/>
        <w:jc w:val="both"/>
        <w:rPr>
          <w:rFonts w:ascii="Verdana" w:hAnsi="Verdana" w:cs="Arial"/>
          <w:sz w:val="16"/>
          <w:szCs w:val="16"/>
          <w:lang w:val="es-ES"/>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4085C9B0" w14:textId="77777777" w:rsidR="00AD47A0" w:rsidRPr="00DD4531" w:rsidRDefault="00AD47A0" w:rsidP="00AD47A0">
      <w:pPr>
        <w:pStyle w:val="Textonotapie"/>
        <w:ind w:right="51"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w:t>
      </w:r>
      <w:r w:rsidRPr="00DD4531">
        <w:rPr>
          <w:rFonts w:ascii="Verdana" w:hAnsi="Verdana" w:cs="Arial"/>
          <w:sz w:val="16"/>
          <w:szCs w:val="16"/>
          <w:lang w:val="es-ES"/>
        </w:rPr>
        <w:t xml:space="preserve">[25] </w:t>
      </w:r>
      <w:r w:rsidRPr="00DD4531">
        <w:rPr>
          <w:rFonts w:ascii="Verdana" w:hAnsi="Verdana" w:cs="Arial"/>
          <w:sz w:val="16"/>
          <w:szCs w:val="16"/>
        </w:rPr>
        <w:t>Cfr. Consejo de Estado. Sección Tercera. Sentencia de 3 de diciembre de 2007. Radicados: 24.715, 25.206, 25.409, 24.524, 27.834, 25.410, 26.105, 28.244, 31.447 -acumulados-“.</w:t>
      </w:r>
    </w:p>
  </w:footnote>
  <w:footnote w:id="13">
    <w:p w14:paraId="67973050" w14:textId="77777777" w:rsidR="00AD47A0" w:rsidRPr="00DD4531" w:rsidRDefault="00AD47A0" w:rsidP="00AD47A0">
      <w:pPr>
        <w:pStyle w:val="Textonotapie"/>
        <w:ind w:right="51"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w:t>
      </w:r>
      <w:r w:rsidRPr="00DD4531">
        <w:rPr>
          <w:rFonts w:ascii="Verdana" w:hAnsi="Verdana" w:cs="Arial"/>
          <w:sz w:val="16"/>
          <w:szCs w:val="16"/>
          <w:lang w:val="es-ES"/>
        </w:rPr>
        <w:t xml:space="preserve">[26] </w:t>
      </w:r>
      <w:r w:rsidRPr="00DD4531">
        <w:rPr>
          <w:rFonts w:ascii="Verdana" w:hAnsi="Verdana" w:cs="Arial"/>
          <w:sz w:val="16"/>
          <w:szCs w:val="16"/>
        </w:rPr>
        <w:t>Al respecto ver el concepto 1712 de 2 de febrero de 2006. Consejo de Estado Sala de Consulta y Servicio Civil”.</w:t>
      </w:r>
    </w:p>
  </w:footnote>
  <w:footnote w:id="14">
    <w:p w14:paraId="2E2562ED" w14:textId="77777777" w:rsidR="00AD47A0" w:rsidRPr="00DD4531" w:rsidRDefault="00AD47A0" w:rsidP="00AD47A0">
      <w:pPr>
        <w:pStyle w:val="Textonotapie"/>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6B50ED38" w14:textId="77777777" w:rsidR="00AD47A0" w:rsidRPr="00DD4531" w:rsidRDefault="00AD47A0" w:rsidP="00AD47A0">
      <w:pPr>
        <w:pStyle w:val="Textonotapie"/>
        <w:ind w:firstLine="709"/>
        <w:jc w:val="both"/>
        <w:rPr>
          <w:rFonts w:ascii="Verdana" w:hAnsi="Verdana" w:cs="Arial"/>
          <w:sz w:val="16"/>
          <w:szCs w:val="16"/>
          <w:lang w:val="es-ES"/>
        </w:rPr>
      </w:pPr>
      <w:r w:rsidRPr="00DD4531">
        <w:rPr>
          <w:rStyle w:val="Refdenotaalpie"/>
          <w:rFonts w:ascii="Verdana" w:hAnsi="Verdana" w:cs="Arial"/>
          <w:sz w:val="16"/>
          <w:szCs w:val="16"/>
        </w:rPr>
        <w:footnoteRef/>
      </w:r>
      <w:r w:rsidRPr="00DD4531">
        <w:rPr>
          <w:rFonts w:ascii="Verdana" w:hAnsi="Verdana" w:cs="Arial"/>
          <w:sz w:val="16"/>
          <w:szCs w:val="16"/>
        </w:rPr>
        <w:t xml:space="preserve"> </w:t>
      </w:r>
      <w:r w:rsidRPr="00DD4531">
        <w:rPr>
          <w:rFonts w:ascii="Verdana" w:hAnsi="Verdana" w:cs="Arial"/>
          <w:sz w:val="16"/>
          <w:szCs w:val="16"/>
          <w:lang w:val="es-ES"/>
        </w:rPr>
        <w:t xml:space="preserve">Artículo 2. </w:t>
      </w:r>
    </w:p>
  </w:footnote>
  <w:footnote w:id="16">
    <w:p w14:paraId="1AA9765B" w14:textId="77777777" w:rsidR="00AD47A0" w:rsidRPr="00DD4531" w:rsidRDefault="00AD47A0" w:rsidP="00AD47A0">
      <w:pPr>
        <w:pStyle w:val="Textonotapie"/>
        <w:ind w:firstLine="709"/>
        <w:jc w:val="both"/>
        <w:rPr>
          <w:rFonts w:ascii="Verdana" w:hAnsi="Verdana" w:cs="Arial"/>
          <w:sz w:val="16"/>
          <w:szCs w:val="16"/>
          <w:lang w:val="es-ES"/>
        </w:rPr>
      </w:pPr>
      <w:r w:rsidRPr="00DD4531">
        <w:rPr>
          <w:rStyle w:val="Refdenotaalpie"/>
          <w:rFonts w:ascii="Verdana" w:hAnsi="Verdana" w:cs="Arial"/>
          <w:sz w:val="16"/>
          <w:szCs w:val="16"/>
        </w:rPr>
        <w:footnoteRef/>
      </w:r>
      <w:r w:rsidRPr="00DD4531">
        <w:rPr>
          <w:rFonts w:ascii="Verdana" w:hAnsi="Verdana" w:cs="Arial"/>
          <w:sz w:val="16"/>
          <w:szCs w:val="16"/>
        </w:rPr>
        <w:t xml:space="preserve"> </w:t>
      </w:r>
      <w:r w:rsidRPr="00DD4531">
        <w:rPr>
          <w:rFonts w:ascii="Verdana" w:hAnsi="Verdana" w:cs="Arial"/>
          <w:i/>
          <w:sz w:val="16"/>
          <w:szCs w:val="16"/>
          <w:lang w:val="es-ES"/>
        </w:rPr>
        <w:t>Ídem</w:t>
      </w:r>
      <w:r w:rsidRPr="00DD4531">
        <w:rPr>
          <w:rFonts w:ascii="Verdana" w:hAnsi="Verdana" w:cs="Arial"/>
          <w:sz w:val="16"/>
          <w:szCs w:val="16"/>
          <w:lang w:val="es-ES"/>
        </w:rPr>
        <w:t>.</w:t>
      </w:r>
    </w:p>
  </w:footnote>
  <w:footnote w:id="17">
    <w:p w14:paraId="722E4205" w14:textId="77777777" w:rsidR="00AD47A0" w:rsidRPr="00DD4531" w:rsidRDefault="00AD47A0" w:rsidP="00AD47A0">
      <w:pPr>
        <w:shd w:val="clear" w:color="auto" w:fill="FFFFFF"/>
        <w:spacing w:after="0" w:line="240" w:lineRule="auto"/>
        <w:ind w:firstLine="709"/>
        <w:jc w:val="both"/>
        <w:rPr>
          <w:rFonts w:ascii="Verdana" w:hAnsi="Verdana" w:cs="Arial"/>
          <w:sz w:val="16"/>
          <w:szCs w:val="16"/>
          <w:lang w:val="es-ES"/>
        </w:rPr>
      </w:pPr>
      <w:r w:rsidRPr="00DD4531">
        <w:rPr>
          <w:rStyle w:val="Refdenotaalpie"/>
          <w:rFonts w:ascii="Verdana" w:hAnsi="Verdana" w:cs="Arial"/>
          <w:sz w:val="16"/>
          <w:szCs w:val="16"/>
        </w:rPr>
        <w:footnoteRef/>
      </w:r>
      <w:r w:rsidRPr="00DD4531">
        <w:rPr>
          <w:rStyle w:val="Refdenotaalpie"/>
          <w:rFonts w:ascii="Verdana" w:hAnsi="Verdana" w:cs="Arial"/>
          <w:sz w:val="16"/>
          <w:szCs w:val="16"/>
        </w:rPr>
        <w:t xml:space="preserve"> </w:t>
      </w:r>
      <w:r w:rsidRPr="00DD4531">
        <w:rPr>
          <w:rFonts w:ascii="Verdana" w:hAnsi="Verdana" w:cs="Arial"/>
          <w:sz w:val="16"/>
          <w:szCs w:val="16"/>
          <w:lang w:val="es-ES"/>
        </w:rPr>
        <w:t>Consejo de Estado. Sala de Consulta y Servicio Civil, Concepto de 8 de mayo de 2018. C.P. Álvaro Namén Vargas. Rad. 2382.</w:t>
      </w:r>
    </w:p>
  </w:footnote>
  <w:footnote w:id="18">
    <w:p w14:paraId="73A7A629" w14:textId="77777777" w:rsidR="00AD47A0" w:rsidRPr="00DD4531" w:rsidRDefault="00AD47A0" w:rsidP="00AD47A0">
      <w:pPr>
        <w:pStyle w:val="Textonotapie"/>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Concepto del 08 de mayo de 2018.</w:t>
      </w:r>
      <w:r w:rsidRPr="00DD4531">
        <w:rPr>
          <w:rFonts w:ascii="Verdana" w:hAnsi="Verdana" w:cs="Arial"/>
          <w:sz w:val="16"/>
          <w:szCs w:val="16"/>
          <w:lang w:val="es-CO"/>
        </w:rPr>
        <w:t xml:space="preserve"> C.P. Álvaro Namén Vargas.</w:t>
      </w:r>
      <w:r w:rsidRPr="00DD4531">
        <w:rPr>
          <w:rFonts w:ascii="Verdana" w:hAnsi="Verdana" w:cs="Arial"/>
          <w:sz w:val="16"/>
          <w:szCs w:val="16"/>
        </w:rPr>
        <w:t xml:space="preserve"> Exp. 2.382.</w:t>
      </w:r>
    </w:p>
  </w:footnote>
  <w:footnote w:id="19">
    <w:p w14:paraId="019E65EA" w14:textId="77777777" w:rsidR="00AD47A0" w:rsidRPr="00DD4531" w:rsidRDefault="00AD47A0" w:rsidP="00AD47A0">
      <w:pPr>
        <w:pStyle w:val="Textonotapie"/>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34B86E97" w14:textId="77777777" w:rsidR="00AD47A0" w:rsidRPr="00DD4531" w:rsidRDefault="00AD47A0" w:rsidP="00AD47A0">
      <w:pPr>
        <w:spacing w:after="0" w:line="240" w:lineRule="auto"/>
        <w:ind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Concepto de 20 de febrero de 2006. C.P. Enrique José Arboleda Perdomo. Rad. 1727.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2277739F" w14:textId="77777777" w:rsidR="00AD47A0" w:rsidRPr="00DD4531" w:rsidRDefault="00AD47A0" w:rsidP="00AD47A0">
      <w:pPr>
        <w:pStyle w:val="Textonotapie"/>
        <w:ind w:right="51" w:firstLine="709"/>
        <w:jc w:val="both"/>
        <w:rPr>
          <w:rFonts w:ascii="Verdana" w:eastAsia="Times New Roman" w:hAnsi="Verdana" w:cs="Arial"/>
          <w:bCs/>
          <w:sz w:val="16"/>
          <w:szCs w:val="16"/>
          <w:lang w:eastAsia="x-none"/>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Concepto de 6 de abril de 2006.C.P. Enrique José Arboleda Perdomo. </w:t>
      </w:r>
      <w:r w:rsidRPr="00DD4531">
        <w:rPr>
          <w:rFonts w:ascii="Verdana" w:hAnsi="Verdana" w:cs="Arial"/>
          <w:sz w:val="16"/>
          <w:szCs w:val="16"/>
          <w:lang w:val="es-CO"/>
        </w:rPr>
        <w:t>Rad. 1738</w:t>
      </w:r>
      <w:r w:rsidRPr="00DD4531">
        <w:rPr>
          <w:rFonts w:ascii="Verdana" w:eastAsia="Times New Roman" w:hAnsi="Verdana" w:cs="Arial"/>
          <w:bCs/>
          <w:sz w:val="16"/>
          <w:szCs w:val="16"/>
          <w:lang w:eastAsia="x-none"/>
        </w:rPr>
        <w:t xml:space="preserve"> “</w:t>
      </w:r>
      <w:r w:rsidRPr="00DD4531">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DD4531">
        <w:rPr>
          <w:rFonts w:ascii="Verdana" w:eastAsia="Times New Roman" w:hAnsi="Verdana" w:cs="Arial"/>
          <w:bCs/>
          <w:sz w:val="16"/>
          <w:szCs w:val="16"/>
          <w:lang w:eastAsia="x-none"/>
        </w:rPr>
        <w:t>”.</w:t>
      </w:r>
    </w:p>
  </w:footnote>
  <w:footnote w:id="22">
    <w:p w14:paraId="5B9B54CB" w14:textId="77777777" w:rsidR="00AD47A0" w:rsidRPr="00DD4531" w:rsidRDefault="00AD47A0" w:rsidP="00AD47A0">
      <w:pPr>
        <w:spacing w:after="0" w:line="240" w:lineRule="auto"/>
        <w:ind w:firstLine="708"/>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Concepto de 6 de abril de 2006. C.P. Enrique José Arboleda Perdomo. Rad. 1738. </w:t>
      </w:r>
    </w:p>
  </w:footnote>
  <w:footnote w:id="23">
    <w:p w14:paraId="7110D083" w14:textId="77777777" w:rsidR="00AD47A0" w:rsidRPr="00DD4531" w:rsidRDefault="00AD47A0" w:rsidP="00AD47A0">
      <w:pPr>
        <w:pStyle w:val="Textonotapie"/>
        <w:ind w:right="51" w:firstLine="709"/>
        <w:jc w:val="both"/>
        <w:rPr>
          <w:rFonts w:ascii="Verdana" w:hAnsi="Verdana"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Consejo de Estado. Sala de Consulta y Servicio Civil, ídem.</w:t>
      </w:r>
    </w:p>
  </w:footnote>
  <w:footnote w:id="24">
    <w:p w14:paraId="2D1C352A" w14:textId="77777777" w:rsidR="00AD47A0" w:rsidRPr="00DD4531" w:rsidRDefault="00AD47A0" w:rsidP="00AD47A0">
      <w:pPr>
        <w:pStyle w:val="Textonotapie"/>
        <w:ind w:firstLine="708"/>
        <w:jc w:val="both"/>
        <w:rPr>
          <w:rFonts w:ascii="Arial" w:hAnsi="Arial" w:cs="Arial"/>
          <w:sz w:val="16"/>
          <w:szCs w:val="16"/>
        </w:rPr>
      </w:pPr>
      <w:r w:rsidRPr="00DD4531">
        <w:rPr>
          <w:rStyle w:val="Refdenotaalpie"/>
          <w:rFonts w:ascii="Verdana" w:hAnsi="Verdana" w:cs="Arial"/>
          <w:sz w:val="16"/>
          <w:szCs w:val="16"/>
        </w:rPr>
        <w:footnoteRef/>
      </w:r>
      <w:r w:rsidRPr="00DD4531">
        <w:rPr>
          <w:rFonts w:ascii="Verdana" w:hAnsi="Verdana" w:cs="Arial"/>
          <w:sz w:val="16"/>
          <w:szCs w:val="16"/>
        </w:rPr>
        <w:t xml:space="preserve"> Colombia Compra Eficiente. Circular Externa Única. Numeral 15.5.</w:t>
      </w:r>
    </w:p>
  </w:footnote>
  <w:footnote w:id="25">
    <w:p w14:paraId="2E30649A" w14:textId="77777777" w:rsidR="00AD47A0" w:rsidRPr="008F5E8D" w:rsidRDefault="00AD47A0" w:rsidP="00AD47A0">
      <w:pPr>
        <w:pStyle w:val="Textonotapie"/>
        <w:ind w:firstLine="709"/>
        <w:contextualSpacing/>
        <w:jc w:val="both"/>
        <w:rPr>
          <w:rFonts w:ascii="Verdana" w:hAnsi="Verdana" w:cs="Arial"/>
          <w:sz w:val="14"/>
          <w:szCs w:val="14"/>
        </w:rPr>
      </w:pPr>
      <w:r w:rsidRPr="00DD4531">
        <w:rPr>
          <w:rStyle w:val="Refdenotaalpie"/>
          <w:rFonts w:ascii="Verdana" w:hAnsi="Verdana" w:cs="Arial"/>
          <w:sz w:val="16"/>
          <w:szCs w:val="16"/>
        </w:rPr>
        <w:footnoteRef/>
      </w:r>
      <w:r w:rsidRPr="00DD4531">
        <w:rPr>
          <w:rFonts w:ascii="Verdana" w:hAnsi="Verdana" w:cs="Arial"/>
          <w:sz w:val="16"/>
          <w:szCs w:val="16"/>
        </w:rPr>
        <w:t xml:space="preserve"> </w:t>
      </w:r>
      <w:bookmarkStart w:id="15" w:name="_Hlk192533196"/>
      <w:r w:rsidRPr="00DD4531">
        <w:rPr>
          <w:rFonts w:ascii="Verdana" w:hAnsi="Verdana" w:cs="Arial"/>
          <w:sz w:val="16"/>
          <w:szCs w:val="16"/>
        </w:rPr>
        <w:t>Consejo de Estado. Sala de Consulta y Servicio Civil. Concepto del 15 de noviembre de 2007. ExP. 1863. C.P.: Luis Fernando Álvarez Jaramillo.</w:t>
      </w:r>
      <w:bookmarkEnd w:id="15"/>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594CE9" w:rsidRDefault="00594CE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94CE9" w:rsidRDefault="00594CE9">
    <w:pPr>
      <w:pStyle w:val="Encabezado"/>
    </w:pPr>
  </w:p>
  <w:p w14:paraId="5E18350A" w14:textId="705F7B76" w:rsidR="00594CE9" w:rsidRPr="004A305D" w:rsidRDefault="00594CE9" w:rsidP="00B01B1A">
    <w:pPr>
      <w:spacing w:after="0" w:line="120" w:lineRule="auto"/>
      <w:rPr>
        <w:rFonts w:ascii="Century Gothic" w:eastAsia="Geo" w:hAnsi="Century Gothic" w:cs="Geo"/>
        <w:sz w:val="16"/>
        <w:szCs w:val="16"/>
        <w:lang w:eastAsia="es-CO"/>
      </w:rPr>
    </w:pPr>
  </w:p>
  <w:p w14:paraId="211B7F5D" w14:textId="77777777" w:rsidR="00594CE9" w:rsidRDefault="00594CE9" w:rsidP="00844AE9">
    <w:pPr>
      <w:spacing w:after="0" w:line="240" w:lineRule="auto"/>
      <w:rPr>
        <w:rFonts w:ascii="Verdana" w:hAnsi="Verdana"/>
        <w:sz w:val="24"/>
        <w:szCs w:val="24"/>
      </w:rPr>
    </w:pPr>
  </w:p>
  <w:p w14:paraId="5A0054B1" w14:textId="77777777" w:rsidR="00594CE9" w:rsidRPr="00C925AC" w:rsidRDefault="00594CE9" w:rsidP="00844AE9">
    <w:pPr>
      <w:spacing w:after="0" w:line="240" w:lineRule="auto"/>
      <w:rPr>
        <w:rFonts w:ascii="Verdana" w:hAnsi="Verdana"/>
        <w:sz w:val="24"/>
        <w:szCs w:val="24"/>
      </w:rPr>
    </w:pPr>
  </w:p>
  <w:p w14:paraId="1FD1C243" w14:textId="37C5500A" w:rsidR="00594CE9" w:rsidRPr="00C925AC" w:rsidRDefault="00594CE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3" type="#_x0000_t75" style="width:11.6pt;height:11.6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6"/>
  </w:num>
  <w:num w:numId="8">
    <w:abstractNumId w:val="14"/>
  </w:num>
  <w:num w:numId="9">
    <w:abstractNumId w:val="8"/>
  </w:num>
  <w:num w:numId="10">
    <w:abstractNumId w:val="13"/>
  </w:num>
  <w:num w:numId="11">
    <w:abstractNumId w:val="9"/>
  </w:num>
  <w:num w:numId="12">
    <w:abstractNumId w:val="1"/>
  </w:num>
  <w:num w:numId="13">
    <w:abstractNumId w:val="4"/>
  </w:num>
  <w:num w:numId="14">
    <w:abstractNumId w:val="16"/>
  </w:num>
  <w:num w:numId="15">
    <w:abstractNumId w:val="12"/>
  </w:num>
  <w:num w:numId="16">
    <w:abstractNumId w:val="0"/>
  </w:num>
  <w:num w:numId="17">
    <w:abstractNumId w:val="10"/>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452B"/>
    <w:rsid w:val="0001041D"/>
    <w:rsid w:val="00016F78"/>
    <w:rsid w:val="00046945"/>
    <w:rsid w:val="00061B2A"/>
    <w:rsid w:val="00081367"/>
    <w:rsid w:val="00082362"/>
    <w:rsid w:val="000825A6"/>
    <w:rsid w:val="00095DAE"/>
    <w:rsid w:val="000A683E"/>
    <w:rsid w:val="000B19B9"/>
    <w:rsid w:val="000D0334"/>
    <w:rsid w:val="000D5040"/>
    <w:rsid w:val="000D5DA7"/>
    <w:rsid w:val="000F4BC5"/>
    <w:rsid w:val="000F6486"/>
    <w:rsid w:val="00102203"/>
    <w:rsid w:val="00116940"/>
    <w:rsid w:val="00125105"/>
    <w:rsid w:val="00127233"/>
    <w:rsid w:val="0012746B"/>
    <w:rsid w:val="00127474"/>
    <w:rsid w:val="0015699B"/>
    <w:rsid w:val="00183F88"/>
    <w:rsid w:val="00186DE9"/>
    <w:rsid w:val="001967FD"/>
    <w:rsid w:val="001A33BF"/>
    <w:rsid w:val="001E194B"/>
    <w:rsid w:val="001E4177"/>
    <w:rsid w:val="001E5EA0"/>
    <w:rsid w:val="001E63FB"/>
    <w:rsid w:val="001F0B24"/>
    <w:rsid w:val="001F7DC6"/>
    <w:rsid w:val="0020079E"/>
    <w:rsid w:val="0022400B"/>
    <w:rsid w:val="002421BB"/>
    <w:rsid w:val="0024692A"/>
    <w:rsid w:val="0025796E"/>
    <w:rsid w:val="00261121"/>
    <w:rsid w:val="002707A2"/>
    <w:rsid w:val="00272A28"/>
    <w:rsid w:val="002826F0"/>
    <w:rsid w:val="002845F4"/>
    <w:rsid w:val="002857D9"/>
    <w:rsid w:val="00293441"/>
    <w:rsid w:val="002951A0"/>
    <w:rsid w:val="002962BC"/>
    <w:rsid w:val="002A093D"/>
    <w:rsid w:val="002A0DD0"/>
    <w:rsid w:val="002A49AC"/>
    <w:rsid w:val="002A64FD"/>
    <w:rsid w:val="002A760C"/>
    <w:rsid w:val="002C5725"/>
    <w:rsid w:val="002C7A84"/>
    <w:rsid w:val="002E2BF8"/>
    <w:rsid w:val="002E4FD9"/>
    <w:rsid w:val="002E60E4"/>
    <w:rsid w:val="002F3CDF"/>
    <w:rsid w:val="0030657A"/>
    <w:rsid w:val="00322A85"/>
    <w:rsid w:val="00324168"/>
    <w:rsid w:val="00330834"/>
    <w:rsid w:val="003318AB"/>
    <w:rsid w:val="003448F4"/>
    <w:rsid w:val="00355EA0"/>
    <w:rsid w:val="003604F5"/>
    <w:rsid w:val="00374F5E"/>
    <w:rsid w:val="00377E3E"/>
    <w:rsid w:val="00383C3F"/>
    <w:rsid w:val="003A779E"/>
    <w:rsid w:val="003C5B9E"/>
    <w:rsid w:val="003C64B8"/>
    <w:rsid w:val="003D0F4D"/>
    <w:rsid w:val="003D1CF9"/>
    <w:rsid w:val="003D5B0D"/>
    <w:rsid w:val="003E0499"/>
    <w:rsid w:val="003E4F80"/>
    <w:rsid w:val="003E6439"/>
    <w:rsid w:val="003E6646"/>
    <w:rsid w:val="003F3941"/>
    <w:rsid w:val="00406575"/>
    <w:rsid w:val="00414C74"/>
    <w:rsid w:val="00417B5B"/>
    <w:rsid w:val="0042722E"/>
    <w:rsid w:val="00437377"/>
    <w:rsid w:val="0044528D"/>
    <w:rsid w:val="00447D22"/>
    <w:rsid w:val="00466302"/>
    <w:rsid w:val="00466E39"/>
    <w:rsid w:val="004674CF"/>
    <w:rsid w:val="00473BEB"/>
    <w:rsid w:val="00494C69"/>
    <w:rsid w:val="004A1847"/>
    <w:rsid w:val="004A305D"/>
    <w:rsid w:val="004B2A86"/>
    <w:rsid w:val="004B7D74"/>
    <w:rsid w:val="004D3A8D"/>
    <w:rsid w:val="004D420F"/>
    <w:rsid w:val="004F1B18"/>
    <w:rsid w:val="004F1C0A"/>
    <w:rsid w:val="004F21C4"/>
    <w:rsid w:val="004F685F"/>
    <w:rsid w:val="005154AE"/>
    <w:rsid w:val="00524F5F"/>
    <w:rsid w:val="0053199F"/>
    <w:rsid w:val="005321EF"/>
    <w:rsid w:val="005461C4"/>
    <w:rsid w:val="005566E8"/>
    <w:rsid w:val="00574867"/>
    <w:rsid w:val="00580BC6"/>
    <w:rsid w:val="00585673"/>
    <w:rsid w:val="00585ABC"/>
    <w:rsid w:val="00591460"/>
    <w:rsid w:val="00594CE9"/>
    <w:rsid w:val="00597A19"/>
    <w:rsid w:val="005A65E0"/>
    <w:rsid w:val="005B0452"/>
    <w:rsid w:val="005C3777"/>
    <w:rsid w:val="005C5CDC"/>
    <w:rsid w:val="005C6BC8"/>
    <w:rsid w:val="005D476C"/>
    <w:rsid w:val="005E6B20"/>
    <w:rsid w:val="005F181C"/>
    <w:rsid w:val="00614323"/>
    <w:rsid w:val="006177F8"/>
    <w:rsid w:val="006200BF"/>
    <w:rsid w:val="006219F8"/>
    <w:rsid w:val="006229C7"/>
    <w:rsid w:val="006302F7"/>
    <w:rsid w:val="0064286B"/>
    <w:rsid w:val="00643C60"/>
    <w:rsid w:val="00646B9F"/>
    <w:rsid w:val="00656F96"/>
    <w:rsid w:val="00662D62"/>
    <w:rsid w:val="00665485"/>
    <w:rsid w:val="00665D70"/>
    <w:rsid w:val="00686C01"/>
    <w:rsid w:val="006900D9"/>
    <w:rsid w:val="006957C6"/>
    <w:rsid w:val="006A107F"/>
    <w:rsid w:val="006C04F1"/>
    <w:rsid w:val="006D76F7"/>
    <w:rsid w:val="006E2BF4"/>
    <w:rsid w:val="00706C16"/>
    <w:rsid w:val="00721364"/>
    <w:rsid w:val="00727161"/>
    <w:rsid w:val="007317FA"/>
    <w:rsid w:val="007340C3"/>
    <w:rsid w:val="00737DF0"/>
    <w:rsid w:val="0075235A"/>
    <w:rsid w:val="00752490"/>
    <w:rsid w:val="00753727"/>
    <w:rsid w:val="00756841"/>
    <w:rsid w:val="007649AB"/>
    <w:rsid w:val="00771D0C"/>
    <w:rsid w:val="007744FB"/>
    <w:rsid w:val="007829E1"/>
    <w:rsid w:val="007833AC"/>
    <w:rsid w:val="0078433B"/>
    <w:rsid w:val="007A153F"/>
    <w:rsid w:val="007B268C"/>
    <w:rsid w:val="007B7171"/>
    <w:rsid w:val="007C0C0F"/>
    <w:rsid w:val="007C3DC2"/>
    <w:rsid w:val="007D3968"/>
    <w:rsid w:val="007E5497"/>
    <w:rsid w:val="00806F5F"/>
    <w:rsid w:val="00815B83"/>
    <w:rsid w:val="00817856"/>
    <w:rsid w:val="00820169"/>
    <w:rsid w:val="00820278"/>
    <w:rsid w:val="00824114"/>
    <w:rsid w:val="008258C9"/>
    <w:rsid w:val="00826EE8"/>
    <w:rsid w:val="00844AE9"/>
    <w:rsid w:val="00867F95"/>
    <w:rsid w:val="008835B4"/>
    <w:rsid w:val="008843B6"/>
    <w:rsid w:val="00891928"/>
    <w:rsid w:val="008934CB"/>
    <w:rsid w:val="00895356"/>
    <w:rsid w:val="008A446D"/>
    <w:rsid w:val="008B104D"/>
    <w:rsid w:val="008B25F1"/>
    <w:rsid w:val="008C571F"/>
    <w:rsid w:val="008C5A84"/>
    <w:rsid w:val="008D180B"/>
    <w:rsid w:val="008D4E1E"/>
    <w:rsid w:val="008E72AF"/>
    <w:rsid w:val="008F0EA7"/>
    <w:rsid w:val="008F327E"/>
    <w:rsid w:val="00923EEF"/>
    <w:rsid w:val="009305DC"/>
    <w:rsid w:val="00932F0E"/>
    <w:rsid w:val="009419F9"/>
    <w:rsid w:val="0095685E"/>
    <w:rsid w:val="00961B09"/>
    <w:rsid w:val="00965334"/>
    <w:rsid w:val="0097093E"/>
    <w:rsid w:val="009803D1"/>
    <w:rsid w:val="00990BF1"/>
    <w:rsid w:val="009A027F"/>
    <w:rsid w:val="009A0DFA"/>
    <w:rsid w:val="009A1234"/>
    <w:rsid w:val="009A1C6F"/>
    <w:rsid w:val="009B2D26"/>
    <w:rsid w:val="009B7652"/>
    <w:rsid w:val="009C71FA"/>
    <w:rsid w:val="009C72E7"/>
    <w:rsid w:val="009C7F7E"/>
    <w:rsid w:val="009D3058"/>
    <w:rsid w:val="009E6333"/>
    <w:rsid w:val="009F3A13"/>
    <w:rsid w:val="00A07EBF"/>
    <w:rsid w:val="00A1025E"/>
    <w:rsid w:val="00A122D3"/>
    <w:rsid w:val="00A14468"/>
    <w:rsid w:val="00A17F13"/>
    <w:rsid w:val="00A20739"/>
    <w:rsid w:val="00A218FA"/>
    <w:rsid w:val="00A23AF9"/>
    <w:rsid w:val="00A33C78"/>
    <w:rsid w:val="00A63F17"/>
    <w:rsid w:val="00A75D38"/>
    <w:rsid w:val="00A83161"/>
    <w:rsid w:val="00A86E5C"/>
    <w:rsid w:val="00AB0ADB"/>
    <w:rsid w:val="00AB120C"/>
    <w:rsid w:val="00AD47A0"/>
    <w:rsid w:val="00AD67E7"/>
    <w:rsid w:val="00B00C0E"/>
    <w:rsid w:val="00B01B1A"/>
    <w:rsid w:val="00B0381D"/>
    <w:rsid w:val="00B13882"/>
    <w:rsid w:val="00B14F11"/>
    <w:rsid w:val="00B14F36"/>
    <w:rsid w:val="00B44A47"/>
    <w:rsid w:val="00B72CD3"/>
    <w:rsid w:val="00B72FFF"/>
    <w:rsid w:val="00B7443D"/>
    <w:rsid w:val="00B944AA"/>
    <w:rsid w:val="00B95ED8"/>
    <w:rsid w:val="00BA15D8"/>
    <w:rsid w:val="00BA7A2E"/>
    <w:rsid w:val="00BC3D36"/>
    <w:rsid w:val="00BD54A6"/>
    <w:rsid w:val="00BD7F72"/>
    <w:rsid w:val="00BE0FC4"/>
    <w:rsid w:val="00BF58CD"/>
    <w:rsid w:val="00BF6651"/>
    <w:rsid w:val="00BF7425"/>
    <w:rsid w:val="00C04FB3"/>
    <w:rsid w:val="00C11D8B"/>
    <w:rsid w:val="00C15139"/>
    <w:rsid w:val="00C330EB"/>
    <w:rsid w:val="00C50D69"/>
    <w:rsid w:val="00C5365C"/>
    <w:rsid w:val="00C67C8B"/>
    <w:rsid w:val="00C729D3"/>
    <w:rsid w:val="00C754BE"/>
    <w:rsid w:val="00C76B1C"/>
    <w:rsid w:val="00C925AC"/>
    <w:rsid w:val="00C946BF"/>
    <w:rsid w:val="00C958D1"/>
    <w:rsid w:val="00CA0E68"/>
    <w:rsid w:val="00CB6357"/>
    <w:rsid w:val="00CC1B26"/>
    <w:rsid w:val="00CD6067"/>
    <w:rsid w:val="00CD734E"/>
    <w:rsid w:val="00CE4589"/>
    <w:rsid w:val="00CE72C3"/>
    <w:rsid w:val="00CF4861"/>
    <w:rsid w:val="00D13C5D"/>
    <w:rsid w:val="00D14E75"/>
    <w:rsid w:val="00D31EC6"/>
    <w:rsid w:val="00D335B3"/>
    <w:rsid w:val="00D350D3"/>
    <w:rsid w:val="00D361FD"/>
    <w:rsid w:val="00D417C8"/>
    <w:rsid w:val="00D423A2"/>
    <w:rsid w:val="00D439FC"/>
    <w:rsid w:val="00D44E26"/>
    <w:rsid w:val="00D520D8"/>
    <w:rsid w:val="00D53F94"/>
    <w:rsid w:val="00D63AC2"/>
    <w:rsid w:val="00D7383B"/>
    <w:rsid w:val="00D7788A"/>
    <w:rsid w:val="00DA231B"/>
    <w:rsid w:val="00DC39FC"/>
    <w:rsid w:val="00DD0992"/>
    <w:rsid w:val="00DD4531"/>
    <w:rsid w:val="00DF3F1B"/>
    <w:rsid w:val="00DF5254"/>
    <w:rsid w:val="00E02524"/>
    <w:rsid w:val="00E16408"/>
    <w:rsid w:val="00E20894"/>
    <w:rsid w:val="00E22A1A"/>
    <w:rsid w:val="00E245AB"/>
    <w:rsid w:val="00E2764C"/>
    <w:rsid w:val="00E27F2E"/>
    <w:rsid w:val="00E35083"/>
    <w:rsid w:val="00E5016B"/>
    <w:rsid w:val="00E50AFE"/>
    <w:rsid w:val="00E54809"/>
    <w:rsid w:val="00E56EE8"/>
    <w:rsid w:val="00E60AD8"/>
    <w:rsid w:val="00E75C92"/>
    <w:rsid w:val="00E760D9"/>
    <w:rsid w:val="00E771DC"/>
    <w:rsid w:val="00E8252C"/>
    <w:rsid w:val="00E83EFE"/>
    <w:rsid w:val="00E8772A"/>
    <w:rsid w:val="00E90AC3"/>
    <w:rsid w:val="00E90F6B"/>
    <w:rsid w:val="00E92C27"/>
    <w:rsid w:val="00EA0E3D"/>
    <w:rsid w:val="00EA4B5D"/>
    <w:rsid w:val="00EC38A7"/>
    <w:rsid w:val="00EE1AA8"/>
    <w:rsid w:val="00F04FFA"/>
    <w:rsid w:val="00F163B0"/>
    <w:rsid w:val="00F16BC8"/>
    <w:rsid w:val="00F23FEA"/>
    <w:rsid w:val="00F31A4A"/>
    <w:rsid w:val="00F31EDC"/>
    <w:rsid w:val="00F462B3"/>
    <w:rsid w:val="00F5664F"/>
    <w:rsid w:val="00F624DD"/>
    <w:rsid w:val="00F666C4"/>
    <w:rsid w:val="00F7339B"/>
    <w:rsid w:val="00F76AFC"/>
    <w:rsid w:val="00FA3E17"/>
    <w:rsid w:val="00FA47C0"/>
    <w:rsid w:val="00FB2271"/>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7A0"/>
  </w:style>
  <w:style w:type="paragraph" w:styleId="Ttulo2">
    <w:name w:val="heading 2"/>
    <w:basedOn w:val="Normal"/>
    <w:next w:val="Normal"/>
    <w:link w:val="Ttulo2Car"/>
    <w:uiPriority w:val="9"/>
    <w:unhideWhenUsed/>
    <w:qFormat/>
    <w:rsid w:val="004B2A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CE72C3"/>
    <w:rPr>
      <w:color w:val="605E5C"/>
      <w:shd w:val="clear" w:color="auto" w:fill="E1DFDD"/>
    </w:rPr>
  </w:style>
  <w:style w:type="character" w:customStyle="1" w:styleId="Ttulo2Car">
    <w:name w:val="Título 2 Car"/>
    <w:basedOn w:val="Fuentedeprrafopredeter"/>
    <w:link w:val="Ttulo2"/>
    <w:uiPriority w:val="9"/>
    <w:rsid w:val="004B2A8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523224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9819334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hyperlink" Target="mailto:johansh07@hotmail.com" TargetMode="External"/><Relationship Id="rId17" Type="http://schemas.openxmlformats.org/officeDocument/2006/relationships/hyperlink" Target="https://relatoria.colombiacompra.gov.co/busqueda/concepto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uncionpublica.gov.co/eva/gestornormativo/norma.php?i=18232"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uncionpublica.gov.co/eva/gestornormativo/norma.php?i=18232"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4B109-927A-434B-A584-2666919A6748}"/>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F779D3B-2F91-4628-BB07-20F703F0899A}">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27</Pages>
  <Words>9491</Words>
  <Characters>54099</Characters>
  <Application>Microsoft Office Word</Application>
  <DocSecurity>0</DocSecurity>
  <Lines>450</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2026-01-30T15:47:00Z</dcterms:created>
  <dcterms:modified xsi:type="dcterms:W3CDTF">2026-01-30T17:30:00Z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