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5A4FC9"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5A4FC9">
        <w:rPr>
          <w:rFonts w:ascii="Arial" w:hAnsi="Arial" w:cs="Arial"/>
          <w:b/>
          <w:color w:val="000000" w:themeColor="text1"/>
          <w:sz w:val="16"/>
          <w:szCs w:val="16"/>
          <w:lang w:eastAsia="es-ES"/>
        </w:rPr>
        <w:tab/>
      </w:r>
      <w:r w:rsidR="0034177C" w:rsidRPr="005A4FC9">
        <w:rPr>
          <w:rFonts w:ascii="Arial" w:hAnsi="Arial" w:cs="Arial"/>
          <w:b/>
          <w:color w:val="000000" w:themeColor="text1"/>
          <w:sz w:val="16"/>
          <w:szCs w:val="16"/>
          <w:lang w:eastAsia="es-ES"/>
        </w:rPr>
        <w:t>CCE-DES-FM-17</w:t>
      </w:r>
    </w:p>
    <w:p w14:paraId="33FF83A2" w14:textId="77777777" w:rsidR="0034177C" w:rsidRPr="000714E7" w:rsidRDefault="0034177C" w:rsidP="007F6B46">
      <w:pPr>
        <w:spacing w:line="276" w:lineRule="auto"/>
        <w:jc w:val="both"/>
        <w:rPr>
          <w:rFonts w:ascii="Arial" w:eastAsia="Calibri" w:hAnsi="Arial" w:cs="Arial"/>
          <w:b/>
          <w:color w:val="000000" w:themeColor="text1"/>
          <w:sz w:val="16"/>
          <w:szCs w:val="16"/>
        </w:rPr>
      </w:pPr>
    </w:p>
    <w:bookmarkEnd w:id="0"/>
    <w:bookmarkEnd w:id="1"/>
    <w:p w14:paraId="5BCD1020" w14:textId="16B6BAFB" w:rsidR="00F1108B" w:rsidRPr="005A4FC9" w:rsidRDefault="00F1108B" w:rsidP="00AB7312">
      <w:pPr>
        <w:jc w:val="both"/>
        <w:rPr>
          <w:rFonts w:ascii="Arial" w:eastAsia="Calibri" w:hAnsi="Arial" w:cs="Arial"/>
          <w:color w:val="000000" w:themeColor="text1"/>
          <w:sz w:val="22"/>
          <w:lang w:val="es-ES_tradnl"/>
        </w:rPr>
      </w:pPr>
      <w:r w:rsidRPr="005A4FC9">
        <w:rPr>
          <w:rFonts w:ascii="Arial" w:eastAsia="Calibri" w:hAnsi="Arial" w:cs="Arial"/>
          <w:b/>
          <w:color w:val="000000" w:themeColor="text1"/>
          <w:sz w:val="22"/>
          <w:lang w:val="es-ES_tradnl"/>
        </w:rPr>
        <w:t xml:space="preserve">PRINCIPIO DE SELECCIÓN OBJETIVA </w:t>
      </w:r>
      <w:r w:rsidR="00AB7312" w:rsidRPr="006C15D5">
        <w:rPr>
          <w:rFonts w:ascii="Arial" w:eastAsia="Calibri" w:hAnsi="Arial" w:cs="Arial"/>
          <w:b/>
          <w:color w:val="000000" w:themeColor="text1"/>
          <w:sz w:val="22"/>
        </w:rPr>
        <w:t>–</w:t>
      </w:r>
      <w:r w:rsidRPr="005A4FC9">
        <w:rPr>
          <w:rFonts w:ascii="Arial" w:eastAsia="Calibri" w:hAnsi="Arial" w:cs="Arial"/>
          <w:b/>
          <w:color w:val="000000" w:themeColor="text1"/>
          <w:sz w:val="22"/>
          <w:lang w:val="es-ES_tradnl"/>
        </w:rPr>
        <w:t xml:space="preserve"> Fundamento constitucional y legal </w:t>
      </w:r>
      <w:r w:rsidR="00AB7312" w:rsidRPr="006C15D5">
        <w:rPr>
          <w:rFonts w:ascii="Arial" w:eastAsia="Calibri" w:hAnsi="Arial" w:cs="Arial"/>
          <w:b/>
          <w:color w:val="000000" w:themeColor="text1"/>
          <w:sz w:val="22"/>
        </w:rPr>
        <w:t>–</w:t>
      </w:r>
      <w:r w:rsidRPr="005A4FC9">
        <w:rPr>
          <w:rFonts w:ascii="Arial" w:eastAsia="Calibri" w:hAnsi="Arial" w:cs="Arial"/>
          <w:b/>
          <w:color w:val="000000" w:themeColor="text1"/>
          <w:sz w:val="22"/>
          <w:lang w:val="es-ES_tradnl"/>
        </w:rPr>
        <w:t xml:space="preserve"> Alcance</w:t>
      </w:r>
    </w:p>
    <w:p w14:paraId="64F08AF7" w14:textId="77777777" w:rsidR="00F1108B" w:rsidRPr="00386C83" w:rsidRDefault="00F1108B" w:rsidP="00AB7312">
      <w:pPr>
        <w:jc w:val="both"/>
        <w:rPr>
          <w:rFonts w:ascii="Arial" w:eastAsia="Calibri" w:hAnsi="Arial" w:cs="Arial"/>
          <w:color w:val="000000" w:themeColor="text1"/>
          <w:sz w:val="20"/>
          <w:szCs w:val="20"/>
          <w:lang w:val="es-ES_tradnl"/>
        </w:rPr>
      </w:pPr>
    </w:p>
    <w:p w14:paraId="7B1022C8" w14:textId="77777777" w:rsidR="00F1108B" w:rsidRPr="005A4FC9" w:rsidRDefault="00F1108B" w:rsidP="00AB7312">
      <w:pPr>
        <w:jc w:val="both"/>
        <w:rPr>
          <w:rFonts w:ascii="Arial" w:eastAsia="Calibri" w:hAnsi="Arial" w:cs="Arial"/>
          <w:color w:val="000000" w:themeColor="text1"/>
          <w:sz w:val="20"/>
          <w:lang w:val="es-ES_tradnl"/>
        </w:rPr>
      </w:pPr>
      <w:r w:rsidRPr="005A4FC9">
        <w:rPr>
          <w:rFonts w:ascii="Arial" w:eastAsia="Calibri" w:hAnsi="Arial" w:cs="Arial"/>
          <w:color w:val="000000" w:themeColor="text1"/>
          <w:sz w:val="20"/>
          <w:lang w:val="es-ES_tradnl"/>
        </w:rPr>
        <w:t xml:space="preserve">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w:t>
      </w:r>
      <w:proofErr w:type="spellStart"/>
      <w:r w:rsidRPr="005A4FC9">
        <w:rPr>
          <w:rFonts w:ascii="Arial" w:eastAsia="Calibri" w:hAnsi="Arial" w:cs="Arial"/>
          <w:color w:val="000000" w:themeColor="text1"/>
          <w:sz w:val="20"/>
          <w:lang w:val="es-ES_tradnl"/>
        </w:rPr>
        <w:t>subsanabilidad</w:t>
      </w:r>
      <w:proofErr w:type="spellEnd"/>
      <w:r w:rsidRPr="005A4FC9">
        <w:rPr>
          <w:rFonts w:ascii="Arial" w:eastAsia="Calibri" w:hAnsi="Arial" w:cs="Arial"/>
          <w:color w:val="000000" w:themeColor="text1"/>
          <w:sz w:val="20"/>
          <w:lang w:val="es-ES_tradnl"/>
        </w:rPr>
        <w:t xml:space="preserve"> de las ofertas fortalece la garantía del principio de selección objetiva, porque permite que se le otorgue prevalencia, como criterio de selección, a la favorabilidad del ofrecimiento, por sus ventajas objetivas para la entidad estatal, sobre los errores formales que se adviertan en los requisitos habilitantes.</w:t>
      </w:r>
      <w:r w:rsidRPr="005A4FC9">
        <w:rPr>
          <w:rFonts w:ascii="Arial" w:eastAsia="Calibri" w:hAnsi="Arial" w:cs="Arial"/>
          <w:color w:val="000000" w:themeColor="text1"/>
          <w:sz w:val="20"/>
          <w:lang w:val="es-ES_tradnl"/>
        </w:rPr>
        <w:tab/>
      </w:r>
    </w:p>
    <w:p w14:paraId="351358EE" w14:textId="77777777" w:rsidR="00F1108B" w:rsidRPr="00386C83" w:rsidRDefault="00F1108B" w:rsidP="00AB7312">
      <w:pPr>
        <w:jc w:val="both"/>
        <w:rPr>
          <w:rFonts w:ascii="Arial" w:eastAsia="Calibri" w:hAnsi="Arial" w:cs="Arial"/>
          <w:color w:val="000000" w:themeColor="text1"/>
          <w:sz w:val="20"/>
          <w:szCs w:val="20"/>
          <w:lang w:val="es-ES_tradnl"/>
        </w:rPr>
      </w:pPr>
    </w:p>
    <w:p w14:paraId="2A937FDE" w14:textId="280C830C" w:rsidR="00127AF2" w:rsidRPr="005A4FC9" w:rsidRDefault="00127AF2" w:rsidP="2D4716F5">
      <w:pPr>
        <w:jc w:val="both"/>
        <w:rPr>
          <w:rFonts w:ascii="Arial" w:eastAsia="Calibri" w:hAnsi="Arial" w:cs="Arial"/>
          <w:b/>
          <w:bCs/>
          <w:color w:val="000000" w:themeColor="text1"/>
          <w:sz w:val="22"/>
          <w:lang w:val="es-ES"/>
        </w:rPr>
      </w:pPr>
      <w:r w:rsidRPr="2D4716F5">
        <w:rPr>
          <w:rFonts w:ascii="Arial" w:eastAsia="Calibri" w:hAnsi="Arial" w:cs="Arial"/>
          <w:b/>
          <w:bCs/>
          <w:color w:val="000000" w:themeColor="text1"/>
          <w:sz w:val="22"/>
          <w:lang w:val="es-ES"/>
        </w:rPr>
        <w:t xml:space="preserve">SUBSANABILIDAD </w:t>
      </w:r>
      <w:r w:rsidR="00AB7312" w:rsidRPr="2D4716F5">
        <w:rPr>
          <w:rFonts w:ascii="Arial" w:eastAsia="Calibri" w:hAnsi="Arial" w:cs="Arial"/>
          <w:b/>
          <w:bCs/>
          <w:color w:val="000000" w:themeColor="text1"/>
          <w:sz w:val="22"/>
        </w:rPr>
        <w:t>–</w:t>
      </w:r>
      <w:r w:rsidRPr="2D4716F5">
        <w:rPr>
          <w:rFonts w:ascii="Arial" w:eastAsia="Calibri" w:hAnsi="Arial" w:cs="Arial"/>
          <w:b/>
          <w:bCs/>
          <w:color w:val="000000" w:themeColor="text1"/>
          <w:sz w:val="22"/>
          <w:lang w:val="es-ES"/>
        </w:rPr>
        <w:t xml:space="preserve"> Aplicación </w:t>
      </w:r>
      <w:r w:rsidR="00AB7312" w:rsidRPr="2D4716F5">
        <w:rPr>
          <w:rFonts w:ascii="Arial" w:eastAsia="Calibri" w:hAnsi="Arial" w:cs="Arial"/>
          <w:b/>
          <w:bCs/>
          <w:color w:val="000000" w:themeColor="text1"/>
          <w:sz w:val="22"/>
        </w:rPr>
        <w:t>–</w:t>
      </w:r>
      <w:r w:rsidRPr="2D4716F5">
        <w:rPr>
          <w:rFonts w:ascii="Arial" w:eastAsia="Calibri" w:hAnsi="Arial" w:cs="Arial"/>
          <w:b/>
          <w:bCs/>
          <w:color w:val="000000" w:themeColor="text1"/>
          <w:sz w:val="22"/>
          <w:lang w:val="es-ES"/>
        </w:rPr>
        <w:t xml:space="preserve"> Improcedencia </w:t>
      </w:r>
      <w:r w:rsidR="00AB7312" w:rsidRPr="2D4716F5">
        <w:rPr>
          <w:rFonts w:ascii="Arial" w:eastAsia="Calibri" w:hAnsi="Arial" w:cs="Arial"/>
          <w:b/>
          <w:bCs/>
          <w:color w:val="000000" w:themeColor="text1"/>
          <w:sz w:val="22"/>
        </w:rPr>
        <w:t xml:space="preserve">– </w:t>
      </w:r>
      <w:r w:rsidRPr="2D4716F5">
        <w:rPr>
          <w:rFonts w:ascii="Arial" w:eastAsia="Calibri" w:hAnsi="Arial" w:cs="Arial"/>
          <w:b/>
          <w:bCs/>
          <w:color w:val="000000" w:themeColor="text1"/>
          <w:sz w:val="22"/>
          <w:lang w:val="es-ES"/>
        </w:rPr>
        <w:t xml:space="preserve">Circunstancias posteriores </w:t>
      </w:r>
      <w:r w:rsidR="5B3FC107" w:rsidRPr="2D4716F5">
        <w:rPr>
          <w:rFonts w:ascii="Arial" w:eastAsia="Calibri" w:hAnsi="Arial" w:cs="Arial"/>
          <w:b/>
          <w:bCs/>
          <w:color w:val="000000" w:themeColor="text1"/>
          <w:sz w:val="22"/>
        </w:rPr>
        <w:t>–</w:t>
      </w:r>
      <w:r w:rsidRPr="2D4716F5">
        <w:rPr>
          <w:rFonts w:ascii="Arial" w:eastAsia="Calibri" w:hAnsi="Arial" w:cs="Arial"/>
          <w:b/>
          <w:bCs/>
          <w:color w:val="000000" w:themeColor="text1"/>
          <w:sz w:val="22"/>
          <w:lang w:val="es-ES"/>
        </w:rPr>
        <w:t xml:space="preserve"> </w:t>
      </w:r>
      <w:r w:rsidR="1DA5D72B" w:rsidRPr="2D4716F5">
        <w:rPr>
          <w:rFonts w:ascii="Arial" w:eastAsia="Calibri" w:hAnsi="Arial" w:cs="Arial"/>
          <w:b/>
          <w:bCs/>
          <w:color w:val="000000" w:themeColor="text1"/>
          <w:sz w:val="22"/>
          <w:lang w:val="es-ES"/>
        </w:rPr>
        <w:t>C</w:t>
      </w:r>
      <w:r w:rsidRPr="2D4716F5">
        <w:rPr>
          <w:rFonts w:ascii="Arial" w:eastAsia="Calibri" w:hAnsi="Arial" w:cs="Arial"/>
          <w:b/>
          <w:bCs/>
          <w:color w:val="000000" w:themeColor="text1"/>
          <w:sz w:val="22"/>
          <w:lang w:val="es-ES"/>
        </w:rPr>
        <w:t>ierre</w:t>
      </w:r>
      <w:r w:rsidR="79C06AE6" w:rsidRPr="2D4716F5">
        <w:rPr>
          <w:rFonts w:ascii="Arial" w:eastAsia="Calibri" w:hAnsi="Arial" w:cs="Arial"/>
          <w:b/>
          <w:bCs/>
          <w:color w:val="000000" w:themeColor="text1"/>
          <w:sz w:val="22"/>
          <w:lang w:val="es-ES"/>
        </w:rPr>
        <w:t xml:space="preserve"> del proceso </w:t>
      </w:r>
    </w:p>
    <w:p w14:paraId="779D26A9" w14:textId="77777777" w:rsidR="00127AF2" w:rsidRPr="00386C83" w:rsidRDefault="00127AF2" w:rsidP="00AB7312">
      <w:pPr>
        <w:jc w:val="both"/>
        <w:rPr>
          <w:rFonts w:ascii="Arial" w:eastAsia="Calibri" w:hAnsi="Arial" w:cs="Arial"/>
          <w:color w:val="000000" w:themeColor="text1"/>
          <w:sz w:val="20"/>
          <w:szCs w:val="20"/>
          <w:lang w:val="es-ES_tradnl"/>
        </w:rPr>
      </w:pPr>
    </w:p>
    <w:p w14:paraId="62E11861" w14:textId="77777777" w:rsidR="00127AF2" w:rsidRPr="005A4FC9" w:rsidRDefault="00127AF2" w:rsidP="2D4716F5">
      <w:pPr>
        <w:jc w:val="both"/>
        <w:rPr>
          <w:rFonts w:ascii="Arial" w:eastAsia="Calibri" w:hAnsi="Arial" w:cs="Arial"/>
          <w:color w:val="000000" w:themeColor="text1"/>
          <w:sz w:val="20"/>
          <w:szCs w:val="20"/>
          <w:lang w:val="es-ES"/>
        </w:rPr>
      </w:pPr>
      <w:r w:rsidRPr="2D4716F5">
        <w:rPr>
          <w:rFonts w:ascii="Arial" w:eastAsia="Calibri" w:hAnsi="Arial" w:cs="Arial"/>
          <w:color w:val="000000" w:themeColor="text1"/>
          <w:sz w:val="20"/>
          <w:szCs w:val="20"/>
          <w:lang w:val="es-ES"/>
        </w:rPr>
        <w:t xml:space="preserve">La regla de la </w:t>
      </w:r>
      <w:proofErr w:type="spellStart"/>
      <w:r w:rsidRPr="2D4716F5">
        <w:rPr>
          <w:rFonts w:ascii="Arial" w:eastAsia="Calibri" w:hAnsi="Arial" w:cs="Arial"/>
          <w:color w:val="000000" w:themeColor="text1"/>
          <w:sz w:val="20"/>
          <w:szCs w:val="20"/>
          <w:lang w:val="es-ES"/>
        </w:rPr>
        <w:t>subsanabilidad</w:t>
      </w:r>
      <w:proofErr w:type="spellEnd"/>
      <w:r w:rsidRPr="2D4716F5">
        <w:rPr>
          <w:rFonts w:ascii="Arial" w:eastAsia="Calibri" w:hAnsi="Arial" w:cs="Arial"/>
          <w:color w:val="000000" w:themeColor="text1"/>
          <w:sz w:val="20"/>
          <w:szCs w:val="20"/>
          <w:lang w:val="es-ES"/>
        </w:rPr>
        <w:t xml:space="preserve">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Pr="2D4716F5">
        <w:rPr>
          <w:rFonts w:ascii="Arial" w:eastAsia="Calibri" w:hAnsi="Arial" w:cs="Arial"/>
          <w:color w:val="000000" w:themeColor="text1"/>
          <w:sz w:val="20"/>
          <w:szCs w:val="20"/>
          <w:lang w:val="es-ES"/>
        </w:rPr>
        <w:t>subsanabilidad</w:t>
      </w:r>
      <w:proofErr w:type="spellEnd"/>
      <w:r w:rsidRPr="2D4716F5">
        <w:rPr>
          <w:rFonts w:ascii="Arial" w:eastAsia="Calibri" w:hAnsi="Arial" w:cs="Arial"/>
          <w:color w:val="000000" w:themeColor="text1"/>
          <w:sz w:val="20"/>
          <w:szCs w:val="20"/>
          <w:lang w:val="es-ES"/>
        </w:rPr>
        <w:t xml:space="preserve"> de las ofertas debe interpretarse como una regla general en relación con la falta de entrega o con los defectos de los requisitos habilitantes.</w:t>
      </w:r>
    </w:p>
    <w:p w14:paraId="0482993B" w14:textId="512645D3" w:rsidR="2D4716F5" w:rsidRDefault="2D4716F5" w:rsidP="2D4716F5">
      <w:pPr>
        <w:jc w:val="both"/>
        <w:rPr>
          <w:rFonts w:ascii="Arial" w:eastAsia="Calibri" w:hAnsi="Arial" w:cs="Arial"/>
          <w:color w:val="000000" w:themeColor="text1"/>
          <w:sz w:val="20"/>
          <w:szCs w:val="20"/>
          <w:lang w:val="es-ES"/>
        </w:rPr>
      </w:pPr>
    </w:p>
    <w:p w14:paraId="3F736518" w14:textId="5DAE8E26" w:rsidR="64936C34" w:rsidRDefault="64936C34" w:rsidP="2D4716F5">
      <w:pPr>
        <w:jc w:val="both"/>
        <w:rPr>
          <w:rFonts w:ascii="Arial" w:eastAsia="Calibri" w:hAnsi="Arial" w:cs="Arial"/>
          <w:b/>
          <w:bCs/>
          <w:color w:val="000000" w:themeColor="text1"/>
          <w:sz w:val="22"/>
          <w:lang w:val="es-ES"/>
        </w:rPr>
      </w:pPr>
      <w:r w:rsidRPr="2D4716F5">
        <w:rPr>
          <w:rFonts w:ascii="Arial" w:eastAsia="Calibri" w:hAnsi="Arial" w:cs="Arial"/>
          <w:b/>
          <w:bCs/>
          <w:color w:val="000000" w:themeColor="text1"/>
          <w:sz w:val="22"/>
          <w:lang w:val="es-ES"/>
        </w:rPr>
        <w:lastRenderedPageBreak/>
        <w:t xml:space="preserve">CERTIFICADO DE EXPERIENCIA </w:t>
      </w:r>
      <w:r w:rsidRPr="2D4716F5">
        <w:rPr>
          <w:rFonts w:ascii="Arial" w:eastAsia="Calibri" w:hAnsi="Arial" w:cs="Arial"/>
          <w:b/>
          <w:bCs/>
          <w:color w:val="000000" w:themeColor="text1"/>
          <w:sz w:val="22"/>
        </w:rPr>
        <w:t xml:space="preserve">– Requisito habilitante – Modalidad </w:t>
      </w:r>
      <w:r w:rsidR="76714A8D" w:rsidRPr="2D4716F5">
        <w:rPr>
          <w:rFonts w:ascii="Arial" w:eastAsia="Calibri" w:hAnsi="Arial" w:cs="Arial"/>
          <w:b/>
          <w:bCs/>
          <w:color w:val="000000" w:themeColor="text1"/>
          <w:sz w:val="22"/>
        </w:rPr>
        <w:t xml:space="preserve">de selección – Procedimiento de mínima cuantía – </w:t>
      </w:r>
      <w:proofErr w:type="spellStart"/>
      <w:r w:rsidR="76714A8D" w:rsidRPr="2D4716F5">
        <w:rPr>
          <w:rFonts w:ascii="Arial" w:eastAsia="Calibri" w:hAnsi="Arial" w:cs="Arial"/>
          <w:b/>
          <w:bCs/>
          <w:color w:val="000000" w:themeColor="text1"/>
          <w:sz w:val="22"/>
        </w:rPr>
        <w:t>Subsanabilidad</w:t>
      </w:r>
      <w:proofErr w:type="spellEnd"/>
      <w:r w:rsidR="76714A8D" w:rsidRPr="2D4716F5">
        <w:rPr>
          <w:rFonts w:ascii="Arial" w:eastAsia="Calibri" w:hAnsi="Arial" w:cs="Arial"/>
          <w:b/>
          <w:bCs/>
          <w:color w:val="000000" w:themeColor="text1"/>
          <w:sz w:val="22"/>
        </w:rPr>
        <w:t xml:space="preserve"> – Procedencia </w:t>
      </w:r>
    </w:p>
    <w:p w14:paraId="1A377D06" w14:textId="2BC2D026" w:rsidR="2D4716F5" w:rsidRDefault="2D4716F5" w:rsidP="2D4716F5">
      <w:pPr>
        <w:jc w:val="both"/>
        <w:rPr>
          <w:rFonts w:ascii="Arial" w:eastAsia="Calibri" w:hAnsi="Arial" w:cs="Arial"/>
          <w:color w:val="000000" w:themeColor="text1"/>
          <w:sz w:val="20"/>
          <w:szCs w:val="20"/>
          <w:lang w:val="es-ES"/>
        </w:rPr>
      </w:pPr>
    </w:p>
    <w:p w14:paraId="193325AB" w14:textId="55937125" w:rsidR="64936C34" w:rsidRDefault="64936C34" w:rsidP="2D4716F5">
      <w:pPr>
        <w:jc w:val="both"/>
        <w:rPr>
          <w:rFonts w:ascii="Arial" w:eastAsia="Calibri" w:hAnsi="Arial" w:cs="Arial"/>
          <w:color w:val="000000" w:themeColor="text1"/>
          <w:sz w:val="20"/>
          <w:szCs w:val="20"/>
        </w:rPr>
      </w:pPr>
      <w:r w:rsidRPr="2D4716F5">
        <w:rPr>
          <w:rFonts w:ascii="Arial" w:eastAsia="Calibri" w:hAnsi="Arial" w:cs="Arial"/>
          <w:color w:val="000000" w:themeColor="text1"/>
          <w:sz w:val="20"/>
          <w:szCs w:val="20"/>
        </w:rPr>
        <w:t>La certificación de experiencia un requisito habilitante, es decir, que no otorga puntaje dentro del procedimiento de mínima cuantía, si el proponente no la aporta antes del vencimiento del término para presentar las ofertas, la entidad estatal debe permitir la subsanación de este defecto, otorgándole al oferente la oportunidad de allegarla. Ahora bien, de conformidad con lo establecido en el parágrafo 1º del artículo 5 de la Ley 1150 de 2007, modificado por el artículo 5 de la Ley 1882 de 2018, el proponente no podrá subsanar este requisito, mediante la presentación de una certificación que contenga experiencia adquirida con posterioridad al cierre del procedimiento de selección. Esto quiere decir que si la certificación presentada para subsanar el requisito habilitante acredita experiencia alcanzada antes del cierre, debe admitirse como requisito subsanado.</w:t>
      </w:r>
    </w:p>
    <w:p w14:paraId="1EC31A53" w14:textId="4C91E4ED" w:rsidR="00F1108B" w:rsidRDefault="00F1108B" w:rsidP="00F1108B">
      <w:pPr>
        <w:jc w:val="both"/>
        <w:rPr>
          <w:rFonts w:ascii="Arial" w:eastAsia="Calibri" w:hAnsi="Arial" w:cs="Arial"/>
          <w:color w:val="000000" w:themeColor="text1"/>
          <w:sz w:val="20"/>
          <w:lang w:val="es-ES_tradnl"/>
        </w:rPr>
      </w:pPr>
    </w:p>
    <w:p w14:paraId="14082906" w14:textId="77777777" w:rsidR="000714E7" w:rsidRPr="005A4FC9" w:rsidRDefault="000714E7" w:rsidP="00F1108B">
      <w:pPr>
        <w:jc w:val="both"/>
        <w:rPr>
          <w:rFonts w:ascii="Arial" w:eastAsia="Calibri" w:hAnsi="Arial" w:cs="Arial"/>
          <w:color w:val="000000" w:themeColor="text1"/>
          <w:sz w:val="20"/>
          <w:lang w:val="es-ES_tradnl"/>
        </w:rPr>
      </w:pPr>
    </w:p>
    <w:p w14:paraId="52D9112B" w14:textId="77777777" w:rsidR="00FA7276" w:rsidRDefault="00FA7276" w:rsidP="00FA7276">
      <w:pPr>
        <w:pStyle w:val="Default"/>
        <w:rPr>
          <w:sz w:val="22"/>
          <w:szCs w:val="22"/>
        </w:rPr>
      </w:pPr>
      <w:r>
        <w:rPr>
          <w:sz w:val="22"/>
          <w:szCs w:val="22"/>
        </w:rPr>
        <w:t xml:space="preserve">Bogotá D.C., </w:t>
      </w:r>
      <w:r>
        <w:rPr>
          <w:b/>
          <w:bCs/>
          <w:sz w:val="22"/>
          <w:szCs w:val="22"/>
        </w:rPr>
        <w:t xml:space="preserve">25/02/2020 Hora 11:48:12s </w:t>
      </w:r>
    </w:p>
    <w:p w14:paraId="44FC3668" w14:textId="66BCAB55" w:rsidR="00F1108B" w:rsidRPr="00BE2EDB" w:rsidRDefault="00FA7276" w:rsidP="00FA7276">
      <w:pPr>
        <w:jc w:val="right"/>
        <w:rPr>
          <w:rFonts w:ascii="Arial" w:hAnsi="Arial" w:cs="Arial"/>
          <w:b/>
          <w:bCs/>
          <w:sz w:val="22"/>
        </w:rPr>
      </w:pPr>
      <w:proofErr w:type="spellStart"/>
      <w:r w:rsidRPr="00BE2EDB">
        <w:rPr>
          <w:rFonts w:ascii="Arial" w:hAnsi="Arial" w:cs="Arial"/>
          <w:b/>
          <w:bCs/>
          <w:sz w:val="22"/>
        </w:rPr>
        <w:t>N°</w:t>
      </w:r>
      <w:proofErr w:type="spellEnd"/>
      <w:r w:rsidRPr="00BE2EDB">
        <w:rPr>
          <w:rFonts w:ascii="Arial" w:hAnsi="Arial" w:cs="Arial"/>
          <w:b/>
          <w:bCs/>
          <w:sz w:val="22"/>
        </w:rPr>
        <w:t xml:space="preserve"> Radicado: 2202013000001254</w:t>
      </w:r>
    </w:p>
    <w:p w14:paraId="6F05D9AE" w14:textId="17910BC9" w:rsidR="00FA7276" w:rsidRDefault="00FA7276" w:rsidP="00FA7276">
      <w:pPr>
        <w:jc w:val="right"/>
        <w:rPr>
          <w:b/>
          <w:bCs/>
          <w:sz w:val="22"/>
        </w:rPr>
      </w:pPr>
    </w:p>
    <w:p w14:paraId="327DC9EE" w14:textId="70DEE699" w:rsidR="00004C26" w:rsidRDefault="00004C26" w:rsidP="00FA7276">
      <w:pPr>
        <w:jc w:val="right"/>
        <w:rPr>
          <w:b/>
          <w:bCs/>
          <w:sz w:val="22"/>
        </w:rPr>
      </w:pPr>
    </w:p>
    <w:p w14:paraId="1AC01C9C" w14:textId="77777777" w:rsidR="00F1108B" w:rsidRPr="005A4FC9" w:rsidRDefault="00F1108B" w:rsidP="00F1108B">
      <w:pPr>
        <w:rPr>
          <w:rFonts w:ascii="Arial" w:eastAsia="Calibri" w:hAnsi="Arial" w:cs="Arial"/>
          <w:color w:val="000000" w:themeColor="text1"/>
          <w:sz w:val="22"/>
          <w:szCs w:val="20"/>
        </w:rPr>
      </w:pPr>
      <w:r w:rsidRPr="005A4FC9">
        <w:rPr>
          <w:rFonts w:ascii="Arial" w:eastAsia="Calibri" w:hAnsi="Arial" w:cs="Arial"/>
          <w:color w:val="000000" w:themeColor="text1"/>
          <w:sz w:val="22"/>
          <w:szCs w:val="20"/>
        </w:rPr>
        <w:t>Señor</w:t>
      </w:r>
    </w:p>
    <w:p w14:paraId="57164491" w14:textId="77777777" w:rsidR="00F1108B" w:rsidRPr="005A4FC9" w:rsidRDefault="00F1108B" w:rsidP="00F1108B">
      <w:pPr>
        <w:rPr>
          <w:rFonts w:ascii="Arial" w:eastAsia="Calibri" w:hAnsi="Arial" w:cs="Arial"/>
          <w:b/>
          <w:color w:val="000000" w:themeColor="text1"/>
          <w:sz w:val="22"/>
          <w:szCs w:val="20"/>
        </w:rPr>
      </w:pPr>
      <w:r w:rsidRPr="005A4FC9">
        <w:rPr>
          <w:rFonts w:ascii="Arial" w:eastAsia="Calibri" w:hAnsi="Arial" w:cs="Arial"/>
          <w:b/>
          <w:color w:val="000000" w:themeColor="text1"/>
          <w:sz w:val="22"/>
          <w:szCs w:val="20"/>
        </w:rPr>
        <w:t xml:space="preserve">Camilo Andrés </w:t>
      </w:r>
      <w:proofErr w:type="spellStart"/>
      <w:r w:rsidRPr="005A4FC9">
        <w:rPr>
          <w:rFonts w:ascii="Arial" w:eastAsia="Calibri" w:hAnsi="Arial" w:cs="Arial"/>
          <w:b/>
          <w:color w:val="000000" w:themeColor="text1"/>
          <w:sz w:val="22"/>
          <w:szCs w:val="20"/>
        </w:rPr>
        <w:t>Verbel</w:t>
      </w:r>
      <w:proofErr w:type="spellEnd"/>
      <w:r w:rsidRPr="005A4FC9">
        <w:rPr>
          <w:rFonts w:ascii="Arial" w:eastAsia="Calibri" w:hAnsi="Arial" w:cs="Arial"/>
          <w:b/>
          <w:color w:val="000000" w:themeColor="text1"/>
          <w:sz w:val="22"/>
          <w:szCs w:val="20"/>
        </w:rPr>
        <w:t xml:space="preserve"> González </w:t>
      </w:r>
    </w:p>
    <w:p w14:paraId="0C515BDA" w14:textId="75011F91" w:rsidR="00F1108B" w:rsidRDefault="00F1108B" w:rsidP="00F1108B">
      <w:pPr>
        <w:rPr>
          <w:rFonts w:ascii="Arial" w:eastAsia="Calibri" w:hAnsi="Arial" w:cs="Arial"/>
          <w:color w:val="000000" w:themeColor="text1"/>
          <w:sz w:val="22"/>
          <w:szCs w:val="20"/>
        </w:rPr>
      </w:pPr>
      <w:r w:rsidRPr="005A4FC9">
        <w:rPr>
          <w:rFonts w:ascii="Arial" w:eastAsia="Calibri" w:hAnsi="Arial" w:cs="Arial"/>
          <w:color w:val="000000" w:themeColor="text1"/>
          <w:sz w:val="22"/>
          <w:szCs w:val="20"/>
        </w:rPr>
        <w:t>Ciudad</w:t>
      </w:r>
    </w:p>
    <w:p w14:paraId="4724FEDA" w14:textId="1EB873DF" w:rsidR="00004C26" w:rsidRDefault="00004C26" w:rsidP="00F1108B">
      <w:pPr>
        <w:rPr>
          <w:rFonts w:ascii="Arial" w:eastAsia="Calibri" w:hAnsi="Arial" w:cs="Arial"/>
          <w:color w:val="000000" w:themeColor="text1"/>
          <w:sz w:val="22"/>
          <w:szCs w:val="20"/>
        </w:rPr>
      </w:pPr>
    </w:p>
    <w:p w14:paraId="254205A2" w14:textId="77777777" w:rsidR="00004C26" w:rsidRDefault="00004C26" w:rsidP="00F1108B">
      <w:pPr>
        <w:rPr>
          <w:rFonts w:ascii="Arial" w:eastAsia="Calibri" w:hAnsi="Arial" w:cs="Arial"/>
          <w:color w:val="000000" w:themeColor="text1"/>
          <w:sz w:val="22"/>
          <w:szCs w:val="20"/>
        </w:rPr>
      </w:pPr>
    </w:p>
    <w:p w14:paraId="6AC1601C" w14:textId="77777777" w:rsidR="00004C26" w:rsidRPr="005A4FC9" w:rsidRDefault="00004C26" w:rsidP="00F1108B">
      <w:pPr>
        <w:rPr>
          <w:rFonts w:ascii="Arial" w:eastAsia="Calibri" w:hAnsi="Arial" w:cs="Arial"/>
          <w:color w:val="000000" w:themeColor="text1"/>
          <w:sz w:val="22"/>
          <w:szCs w:val="20"/>
        </w:rPr>
      </w:pPr>
    </w:p>
    <w:p w14:paraId="283D6043" w14:textId="2E18249F" w:rsidR="00F1108B" w:rsidRDefault="00F1108B" w:rsidP="00F1108B">
      <w:pPr>
        <w:jc w:val="center"/>
        <w:rPr>
          <w:rFonts w:ascii="Arial" w:eastAsia="Calibri" w:hAnsi="Arial" w:cs="Arial"/>
          <w:b/>
          <w:color w:val="000000" w:themeColor="text1"/>
          <w:sz w:val="22"/>
        </w:rPr>
      </w:pPr>
      <w:r w:rsidRPr="005A4FC9">
        <w:rPr>
          <w:rFonts w:ascii="Arial" w:eastAsia="Calibri" w:hAnsi="Arial" w:cs="Arial"/>
          <w:b/>
          <w:color w:val="000000" w:themeColor="text1"/>
          <w:sz w:val="22"/>
        </w:rPr>
        <w:t>Concepto C ─ 0</w:t>
      </w:r>
      <w:r w:rsidR="001C3E5C" w:rsidRPr="005A4FC9">
        <w:rPr>
          <w:rFonts w:ascii="Arial" w:eastAsia="Calibri" w:hAnsi="Arial" w:cs="Arial"/>
          <w:b/>
          <w:color w:val="000000" w:themeColor="text1"/>
          <w:sz w:val="22"/>
        </w:rPr>
        <w:t>82</w:t>
      </w:r>
      <w:r w:rsidRPr="005A4FC9">
        <w:rPr>
          <w:rFonts w:ascii="Arial" w:eastAsia="Calibri" w:hAnsi="Arial" w:cs="Arial"/>
          <w:b/>
          <w:color w:val="000000" w:themeColor="text1"/>
          <w:sz w:val="22"/>
        </w:rPr>
        <w:t xml:space="preserve"> de 2020</w:t>
      </w:r>
    </w:p>
    <w:p w14:paraId="6F41C69E" w14:textId="77777777" w:rsidR="00765738" w:rsidRPr="005A4FC9" w:rsidRDefault="00765738" w:rsidP="00F1108B">
      <w:pPr>
        <w:jc w:val="center"/>
        <w:rPr>
          <w:rFonts w:ascii="Arial" w:eastAsia="Calibri" w:hAnsi="Arial" w:cs="Arial"/>
          <w:b/>
          <w:color w:val="000000" w:themeColor="text1"/>
          <w:sz w:val="22"/>
        </w:rPr>
      </w:pPr>
    </w:p>
    <w:p w14:paraId="55A2A84E" w14:textId="77777777" w:rsidR="00F1108B" w:rsidRPr="005A4FC9" w:rsidRDefault="00F1108B" w:rsidP="00F1108B">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A4FC9" w:rsidRPr="005A4FC9" w14:paraId="522C04FC" w14:textId="77777777" w:rsidTr="006C228E">
        <w:tc>
          <w:tcPr>
            <w:tcW w:w="2689" w:type="dxa"/>
            <w:hideMark/>
          </w:tcPr>
          <w:p w14:paraId="5C1F9A7E" w14:textId="77777777" w:rsidR="00F1108B" w:rsidRPr="005A4FC9" w:rsidRDefault="00F1108B" w:rsidP="006C228E">
            <w:pPr>
              <w:rPr>
                <w:rFonts w:ascii="Arial" w:eastAsia="Calibri" w:hAnsi="Arial" w:cs="Arial"/>
                <w:color w:val="000000" w:themeColor="text1"/>
                <w:sz w:val="22"/>
              </w:rPr>
            </w:pPr>
            <w:r w:rsidRPr="005A4FC9">
              <w:rPr>
                <w:rFonts w:ascii="Arial" w:eastAsia="Calibri" w:hAnsi="Arial" w:cs="Arial"/>
                <w:b/>
                <w:color w:val="000000" w:themeColor="text1"/>
                <w:sz w:val="22"/>
              </w:rPr>
              <w:t>Temas:</w:t>
            </w:r>
            <w:r w:rsidRPr="005A4FC9">
              <w:rPr>
                <w:rFonts w:ascii="Arial" w:eastAsia="Calibri" w:hAnsi="Arial" w:cs="Arial"/>
                <w:color w:val="000000" w:themeColor="text1"/>
                <w:sz w:val="22"/>
              </w:rPr>
              <w:t xml:space="preserve">           </w:t>
            </w:r>
          </w:p>
          <w:p w14:paraId="4376ABAA" w14:textId="77777777" w:rsidR="00F1108B" w:rsidRPr="005A4FC9" w:rsidRDefault="00F1108B" w:rsidP="006C228E">
            <w:pPr>
              <w:rPr>
                <w:rFonts w:ascii="Arial" w:eastAsia="Calibri" w:hAnsi="Arial" w:cs="Arial"/>
                <w:color w:val="000000" w:themeColor="text1"/>
                <w:sz w:val="22"/>
              </w:rPr>
            </w:pPr>
            <w:r w:rsidRPr="005A4FC9">
              <w:rPr>
                <w:rFonts w:ascii="Arial" w:eastAsia="Calibri" w:hAnsi="Arial" w:cs="Arial"/>
                <w:color w:val="000000" w:themeColor="text1"/>
                <w:sz w:val="22"/>
              </w:rPr>
              <w:t xml:space="preserve">                           </w:t>
            </w:r>
          </w:p>
        </w:tc>
        <w:tc>
          <w:tcPr>
            <w:tcW w:w="6237" w:type="dxa"/>
            <w:hideMark/>
          </w:tcPr>
          <w:p w14:paraId="3AA47512" w14:textId="77777777" w:rsidR="00F1108B" w:rsidRPr="005A4FC9" w:rsidRDefault="00F1108B" w:rsidP="006C228E">
            <w:pPr>
              <w:jc w:val="both"/>
              <w:rPr>
                <w:rFonts w:ascii="Arial" w:eastAsia="Calibri" w:hAnsi="Arial" w:cs="Arial"/>
                <w:color w:val="000000" w:themeColor="text1"/>
                <w:sz w:val="22"/>
              </w:rPr>
            </w:pPr>
            <w:r w:rsidRPr="005A4FC9">
              <w:rPr>
                <w:rFonts w:ascii="Arial" w:eastAsia="Calibri" w:hAnsi="Arial" w:cs="Arial"/>
                <w:color w:val="000000" w:themeColor="text1"/>
                <w:sz w:val="22"/>
                <w:lang w:val="es-ES_tradnl"/>
              </w:rPr>
              <w:t xml:space="preserve">PRINCIPIO DE SELECCIÓN OBJETIVA ― Fundamento constitucional y legal ― Alcance / SUBSANABILIDAD EN LOS PROCEDIMIENTOS DE SELECCIÓN ― Aplicación de la regla de </w:t>
            </w:r>
            <w:proofErr w:type="spellStart"/>
            <w:r w:rsidRPr="005A4FC9">
              <w:rPr>
                <w:rFonts w:ascii="Arial" w:eastAsia="Calibri" w:hAnsi="Arial" w:cs="Arial"/>
                <w:color w:val="000000" w:themeColor="text1"/>
                <w:sz w:val="22"/>
                <w:lang w:val="es-ES_tradnl"/>
              </w:rPr>
              <w:t>subsanabilidad</w:t>
            </w:r>
            <w:proofErr w:type="spellEnd"/>
            <w:r w:rsidRPr="005A4FC9">
              <w:rPr>
                <w:rFonts w:ascii="Arial" w:eastAsia="Calibri" w:hAnsi="Arial" w:cs="Arial"/>
                <w:color w:val="000000" w:themeColor="text1"/>
                <w:sz w:val="22"/>
                <w:lang w:val="es-ES_tradnl"/>
              </w:rPr>
              <w:t xml:space="preserve"> frente a los requisitos habilitantes en los procedimientos de selección ― Improcedencia de la </w:t>
            </w:r>
            <w:proofErr w:type="spellStart"/>
            <w:r w:rsidRPr="005A4FC9">
              <w:rPr>
                <w:rFonts w:ascii="Arial" w:eastAsia="Calibri" w:hAnsi="Arial" w:cs="Arial"/>
                <w:color w:val="000000" w:themeColor="text1"/>
                <w:sz w:val="22"/>
                <w:lang w:val="es-ES_tradnl"/>
              </w:rPr>
              <w:t>subsanabilidad</w:t>
            </w:r>
            <w:proofErr w:type="spellEnd"/>
            <w:r w:rsidRPr="005A4FC9">
              <w:rPr>
                <w:rFonts w:ascii="Arial" w:eastAsia="Calibri" w:hAnsi="Arial" w:cs="Arial"/>
                <w:color w:val="000000" w:themeColor="text1"/>
                <w:sz w:val="22"/>
                <w:lang w:val="es-ES_tradnl"/>
              </w:rPr>
              <w:t xml:space="preserve"> frente a hechos ocurridos con posterioridad al cierre</w:t>
            </w:r>
          </w:p>
        </w:tc>
      </w:tr>
      <w:tr w:rsidR="00F1108B" w:rsidRPr="005A4FC9" w14:paraId="7D0D2FDB" w14:textId="77777777" w:rsidTr="006C228E">
        <w:tc>
          <w:tcPr>
            <w:tcW w:w="2689" w:type="dxa"/>
          </w:tcPr>
          <w:p w14:paraId="7DC82264" w14:textId="77777777" w:rsidR="00F1108B" w:rsidRPr="005A4FC9" w:rsidRDefault="00F1108B" w:rsidP="006C228E">
            <w:pPr>
              <w:rPr>
                <w:rFonts w:ascii="Arial" w:eastAsia="Calibri" w:hAnsi="Arial" w:cs="Arial"/>
                <w:b/>
                <w:color w:val="000000" w:themeColor="text1"/>
                <w:sz w:val="22"/>
              </w:rPr>
            </w:pPr>
            <w:r w:rsidRPr="005A4FC9">
              <w:rPr>
                <w:rFonts w:ascii="Arial" w:eastAsia="Calibri" w:hAnsi="Arial" w:cs="Arial"/>
                <w:b/>
                <w:color w:val="000000" w:themeColor="text1"/>
                <w:sz w:val="22"/>
              </w:rPr>
              <w:t>Radicación:</w:t>
            </w:r>
            <w:r w:rsidRPr="005A4FC9">
              <w:rPr>
                <w:rFonts w:ascii="Arial" w:eastAsia="Calibri" w:hAnsi="Arial" w:cs="Arial"/>
                <w:color w:val="000000" w:themeColor="text1"/>
                <w:sz w:val="22"/>
              </w:rPr>
              <w:t xml:space="preserve">                              </w:t>
            </w:r>
          </w:p>
        </w:tc>
        <w:tc>
          <w:tcPr>
            <w:tcW w:w="6237" w:type="dxa"/>
          </w:tcPr>
          <w:p w14:paraId="01DC5749" w14:textId="77777777" w:rsidR="00F1108B" w:rsidRPr="005A4FC9" w:rsidRDefault="00F1108B" w:rsidP="006C228E">
            <w:pPr>
              <w:jc w:val="both"/>
              <w:rPr>
                <w:rFonts w:ascii="Arial" w:eastAsia="Calibri" w:hAnsi="Arial" w:cs="Arial"/>
                <w:color w:val="000000" w:themeColor="text1"/>
                <w:sz w:val="22"/>
              </w:rPr>
            </w:pPr>
            <w:r w:rsidRPr="005A4FC9">
              <w:rPr>
                <w:rFonts w:ascii="Arial" w:eastAsia="Calibri" w:hAnsi="Arial" w:cs="Arial"/>
                <w:color w:val="000000" w:themeColor="text1"/>
                <w:sz w:val="22"/>
              </w:rPr>
              <w:t>Respuesta a consulta # 44202012000000563</w:t>
            </w:r>
          </w:p>
        </w:tc>
      </w:tr>
    </w:tbl>
    <w:p w14:paraId="7DF1E86E" w14:textId="6E868782" w:rsidR="00F1108B" w:rsidRDefault="00F1108B" w:rsidP="00F1108B">
      <w:pPr>
        <w:jc w:val="both"/>
        <w:rPr>
          <w:rFonts w:ascii="Arial" w:eastAsia="Calibri" w:hAnsi="Arial" w:cs="Arial"/>
          <w:color w:val="000000" w:themeColor="text1"/>
          <w:sz w:val="22"/>
        </w:rPr>
      </w:pPr>
    </w:p>
    <w:p w14:paraId="446ECF41" w14:textId="77777777" w:rsidR="00F1108B" w:rsidRPr="005A4FC9" w:rsidRDefault="00F1108B" w:rsidP="00F1108B">
      <w:pPr>
        <w:jc w:val="both"/>
        <w:rPr>
          <w:rFonts w:ascii="Arial" w:eastAsia="Calibri" w:hAnsi="Arial" w:cs="Arial"/>
          <w:color w:val="000000" w:themeColor="text1"/>
          <w:sz w:val="22"/>
        </w:rPr>
      </w:pPr>
    </w:p>
    <w:p w14:paraId="6A11BDDD" w14:textId="77777777" w:rsidR="00F1108B" w:rsidRPr="005A4FC9" w:rsidRDefault="00F1108B" w:rsidP="00F1108B">
      <w:pPr>
        <w:rPr>
          <w:rFonts w:ascii="Arial" w:eastAsia="Calibri" w:hAnsi="Arial" w:cs="Arial"/>
          <w:color w:val="000000" w:themeColor="text1"/>
          <w:sz w:val="22"/>
        </w:rPr>
      </w:pPr>
      <w:r w:rsidRPr="005A4FC9">
        <w:rPr>
          <w:rFonts w:ascii="Arial" w:eastAsia="Calibri" w:hAnsi="Arial" w:cs="Arial"/>
          <w:color w:val="000000" w:themeColor="text1"/>
          <w:sz w:val="22"/>
        </w:rPr>
        <w:t xml:space="preserve">Estimado señor </w:t>
      </w:r>
      <w:proofErr w:type="spellStart"/>
      <w:r w:rsidRPr="005A4FC9">
        <w:rPr>
          <w:rFonts w:ascii="Arial" w:eastAsia="Calibri" w:hAnsi="Arial" w:cs="Arial"/>
          <w:color w:val="000000" w:themeColor="text1"/>
          <w:sz w:val="22"/>
        </w:rPr>
        <w:t>Verbel</w:t>
      </w:r>
      <w:proofErr w:type="spellEnd"/>
      <w:r w:rsidRPr="005A4FC9">
        <w:rPr>
          <w:rFonts w:ascii="Arial" w:eastAsia="Calibri" w:hAnsi="Arial" w:cs="Arial"/>
          <w:color w:val="000000" w:themeColor="text1"/>
          <w:sz w:val="22"/>
        </w:rPr>
        <w:t xml:space="preserve"> González,</w:t>
      </w:r>
    </w:p>
    <w:p w14:paraId="5A299BD5" w14:textId="77777777" w:rsidR="00765738" w:rsidRPr="005A4FC9" w:rsidRDefault="00765738" w:rsidP="00F1108B">
      <w:pPr>
        <w:rPr>
          <w:rFonts w:ascii="Arial" w:eastAsia="Calibri" w:hAnsi="Arial" w:cs="Arial"/>
          <w:color w:val="000000" w:themeColor="text1"/>
          <w:sz w:val="22"/>
        </w:rPr>
      </w:pPr>
    </w:p>
    <w:p w14:paraId="329AA852" w14:textId="77777777" w:rsidR="00F1108B" w:rsidRPr="005A4FC9" w:rsidRDefault="00F1108B" w:rsidP="00F1108B">
      <w:pPr>
        <w:spacing w:line="276" w:lineRule="auto"/>
        <w:ind w:right="49"/>
        <w:jc w:val="both"/>
        <w:rPr>
          <w:rFonts w:ascii="Arial" w:eastAsia="Calibri" w:hAnsi="Arial" w:cs="Arial"/>
          <w:color w:val="000000" w:themeColor="text1"/>
          <w:sz w:val="22"/>
        </w:rPr>
      </w:pPr>
      <w:r w:rsidRPr="005A4FC9">
        <w:rPr>
          <w:rFonts w:ascii="Arial" w:eastAsia="Calibri" w:hAnsi="Arial" w:cs="Arial"/>
          <w:color w:val="000000" w:themeColor="text1"/>
          <w:sz w:val="22"/>
        </w:rPr>
        <w:t xml:space="preserve">La Agencia Nacional de Contratación Pública ―Colombia Compra Eficiente― responde su consulta del 27 de enero de 2020, en ejercicio de la competencia otorgada por el numeral 8 del artículo 11 y el numeral 5 del artículo 3 del Decreto Ley 4170 de 2011. </w:t>
      </w:r>
    </w:p>
    <w:p w14:paraId="72382DCC" w14:textId="77777777" w:rsidR="00F1108B" w:rsidRPr="005A4FC9" w:rsidRDefault="00F1108B" w:rsidP="00F1108B">
      <w:pPr>
        <w:pStyle w:val="Prrafodelista"/>
        <w:tabs>
          <w:tab w:val="left" w:pos="284"/>
        </w:tabs>
        <w:spacing w:line="276" w:lineRule="auto"/>
        <w:ind w:left="0"/>
        <w:jc w:val="both"/>
        <w:rPr>
          <w:rFonts w:ascii="Arial" w:eastAsia="Calibri" w:hAnsi="Arial" w:cs="Arial"/>
          <w:color w:val="000000" w:themeColor="text1"/>
          <w:sz w:val="22"/>
        </w:rPr>
      </w:pPr>
    </w:p>
    <w:p w14:paraId="7041ED68" w14:textId="77777777" w:rsidR="00F1108B" w:rsidRPr="005A4FC9"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r w:rsidRPr="005A4FC9">
        <w:rPr>
          <w:rFonts w:ascii="Arial" w:eastAsia="Calibri" w:hAnsi="Arial" w:cs="Arial"/>
          <w:b/>
          <w:color w:val="000000" w:themeColor="text1"/>
          <w:sz w:val="22"/>
        </w:rPr>
        <w:t>1.</w:t>
      </w:r>
      <w:r w:rsidRPr="005A4FC9">
        <w:rPr>
          <w:rFonts w:ascii="Arial" w:eastAsia="Calibri" w:hAnsi="Arial" w:cs="Arial"/>
          <w:color w:val="000000" w:themeColor="text1"/>
          <w:sz w:val="22"/>
        </w:rPr>
        <w:t xml:space="preserve"> </w:t>
      </w:r>
      <w:r w:rsidRPr="005A4FC9">
        <w:rPr>
          <w:rFonts w:ascii="Arial" w:eastAsia="Calibri" w:hAnsi="Arial" w:cs="Arial"/>
          <w:b/>
          <w:color w:val="000000" w:themeColor="text1"/>
          <w:sz w:val="22"/>
        </w:rPr>
        <w:t xml:space="preserve">Problemas planteados </w:t>
      </w:r>
    </w:p>
    <w:p w14:paraId="2C3DAA31" w14:textId="77777777" w:rsidR="00F1108B" w:rsidRPr="005A4FC9" w:rsidRDefault="00F1108B" w:rsidP="00F1108B">
      <w:pPr>
        <w:tabs>
          <w:tab w:val="left" w:pos="426"/>
        </w:tabs>
        <w:spacing w:line="276" w:lineRule="auto"/>
        <w:jc w:val="both"/>
        <w:rPr>
          <w:rFonts w:ascii="Arial" w:eastAsia="Calibri" w:hAnsi="Arial" w:cs="Arial"/>
          <w:b/>
          <w:color w:val="000000" w:themeColor="text1"/>
          <w:sz w:val="22"/>
        </w:rPr>
      </w:pPr>
    </w:p>
    <w:p w14:paraId="54B6D392" w14:textId="455AB8F9" w:rsidR="00F1108B" w:rsidRPr="005A4FC9" w:rsidRDefault="00F1108B" w:rsidP="00F1108B">
      <w:pPr>
        <w:tabs>
          <w:tab w:val="left" w:pos="426"/>
        </w:tabs>
        <w:spacing w:line="276" w:lineRule="auto"/>
        <w:jc w:val="both"/>
        <w:rPr>
          <w:rFonts w:ascii="Arial" w:eastAsia="Calibri" w:hAnsi="Arial" w:cs="Arial"/>
          <w:color w:val="000000" w:themeColor="text1"/>
          <w:sz w:val="22"/>
        </w:rPr>
      </w:pPr>
      <w:r w:rsidRPr="005A4FC9">
        <w:rPr>
          <w:rFonts w:ascii="Arial" w:eastAsia="Calibri" w:hAnsi="Arial" w:cs="Arial"/>
          <w:color w:val="000000" w:themeColor="text1"/>
          <w:sz w:val="22"/>
        </w:rPr>
        <w:lastRenderedPageBreak/>
        <w:t>Usted realiza las siguientes preguntas: i) si</w:t>
      </w:r>
      <w:r w:rsidR="00EC1CE7" w:rsidRPr="005A4FC9">
        <w:rPr>
          <w:rFonts w:ascii="Arial" w:eastAsia="Calibri" w:hAnsi="Arial" w:cs="Arial"/>
          <w:color w:val="000000" w:themeColor="text1"/>
          <w:sz w:val="22"/>
        </w:rPr>
        <w:t xml:space="preserve"> </w:t>
      </w:r>
      <w:r w:rsidRPr="005A4FC9">
        <w:rPr>
          <w:rFonts w:ascii="Arial" w:eastAsia="Calibri" w:hAnsi="Arial" w:cs="Arial"/>
          <w:color w:val="000000" w:themeColor="text1"/>
          <w:sz w:val="22"/>
        </w:rPr>
        <w:t xml:space="preserve">dentro de un procedimiento de mínima cuantía la entidad estatal solicitó la presentación de una certificación de experiencia como requisito habilitante de carácter técnico y un proponente no la aporta al momento de </w:t>
      </w:r>
      <w:r w:rsidR="00CE0566" w:rsidRPr="005A4FC9">
        <w:rPr>
          <w:rFonts w:ascii="Arial" w:eastAsia="Calibri" w:hAnsi="Arial" w:cs="Arial"/>
          <w:color w:val="000000" w:themeColor="text1"/>
          <w:sz w:val="22"/>
        </w:rPr>
        <w:t>presentar</w:t>
      </w:r>
      <w:r w:rsidRPr="005A4FC9">
        <w:rPr>
          <w:rFonts w:ascii="Arial" w:eastAsia="Calibri" w:hAnsi="Arial" w:cs="Arial"/>
          <w:color w:val="000000" w:themeColor="text1"/>
          <w:sz w:val="22"/>
        </w:rPr>
        <w:t xml:space="preserve"> </w:t>
      </w:r>
      <w:r w:rsidR="00CE0566" w:rsidRPr="005A4FC9">
        <w:rPr>
          <w:rFonts w:ascii="Arial" w:eastAsia="Calibri" w:hAnsi="Arial" w:cs="Arial"/>
          <w:color w:val="000000" w:themeColor="text1"/>
          <w:sz w:val="22"/>
        </w:rPr>
        <w:t>la</w:t>
      </w:r>
      <w:r w:rsidRPr="005A4FC9">
        <w:rPr>
          <w:rFonts w:ascii="Arial" w:eastAsia="Calibri" w:hAnsi="Arial" w:cs="Arial"/>
          <w:color w:val="000000" w:themeColor="text1"/>
          <w:sz w:val="22"/>
        </w:rPr>
        <w:t xml:space="preserve"> propuesta, ¿la entidad debe permitir que lo subsane o debe rechazar la propuesta? </w:t>
      </w:r>
      <w:proofErr w:type="spellStart"/>
      <w:r w:rsidRPr="005A4FC9">
        <w:rPr>
          <w:rFonts w:ascii="Arial" w:eastAsia="Calibri" w:hAnsi="Arial" w:cs="Arial"/>
          <w:color w:val="000000" w:themeColor="text1"/>
          <w:sz w:val="22"/>
        </w:rPr>
        <w:t>ii</w:t>
      </w:r>
      <w:proofErr w:type="spellEnd"/>
      <w:r w:rsidRPr="005A4FC9">
        <w:rPr>
          <w:rFonts w:ascii="Arial" w:eastAsia="Calibri" w:hAnsi="Arial" w:cs="Arial"/>
          <w:color w:val="000000" w:themeColor="text1"/>
          <w:sz w:val="22"/>
        </w:rPr>
        <w:t>) ¿Una propuesta podría presentarse solo con la oferta económica, teniendo en cuenta que los requisitos habilitantes son subsanables, o algunos de dichos requisitos habilitantes de carácter técnico deben aportarse necesariamente con la oferta, para garantizar el principio de selección objetiva?</w:t>
      </w:r>
    </w:p>
    <w:p w14:paraId="37FADDB4" w14:textId="77777777" w:rsidR="00765738" w:rsidRPr="005A4FC9" w:rsidRDefault="00765738" w:rsidP="00F1108B">
      <w:pPr>
        <w:tabs>
          <w:tab w:val="left" w:pos="426"/>
        </w:tabs>
        <w:spacing w:line="276" w:lineRule="auto"/>
        <w:jc w:val="both"/>
        <w:rPr>
          <w:rFonts w:ascii="Arial" w:eastAsia="Calibri" w:hAnsi="Arial" w:cs="Arial"/>
          <w:color w:val="000000" w:themeColor="text1"/>
          <w:sz w:val="22"/>
        </w:rPr>
      </w:pPr>
    </w:p>
    <w:p w14:paraId="08FCE370" w14:textId="77777777" w:rsidR="00F1108B" w:rsidRPr="005A4FC9" w:rsidRDefault="00F1108B" w:rsidP="00F1108B">
      <w:pPr>
        <w:tabs>
          <w:tab w:val="left" w:pos="426"/>
        </w:tabs>
        <w:spacing w:line="276" w:lineRule="auto"/>
        <w:jc w:val="both"/>
        <w:rPr>
          <w:rFonts w:ascii="Arial" w:eastAsia="Calibri" w:hAnsi="Arial" w:cs="Arial"/>
          <w:b/>
          <w:color w:val="000000" w:themeColor="text1"/>
          <w:sz w:val="22"/>
        </w:rPr>
      </w:pPr>
      <w:r w:rsidRPr="005A4FC9">
        <w:rPr>
          <w:rFonts w:ascii="Arial" w:eastAsia="Calibri" w:hAnsi="Arial" w:cs="Arial"/>
          <w:b/>
          <w:color w:val="000000" w:themeColor="text1"/>
          <w:sz w:val="22"/>
        </w:rPr>
        <w:t>2.</w:t>
      </w:r>
      <w:r w:rsidRPr="005A4FC9">
        <w:rPr>
          <w:rFonts w:ascii="Arial" w:eastAsia="Calibri" w:hAnsi="Arial" w:cs="Arial"/>
          <w:color w:val="000000" w:themeColor="text1"/>
          <w:sz w:val="22"/>
        </w:rPr>
        <w:t xml:space="preserve"> </w:t>
      </w:r>
      <w:r w:rsidRPr="005A4FC9">
        <w:rPr>
          <w:rFonts w:ascii="Arial" w:eastAsia="Calibri" w:hAnsi="Arial" w:cs="Arial"/>
          <w:b/>
          <w:color w:val="000000" w:themeColor="text1"/>
          <w:sz w:val="22"/>
        </w:rPr>
        <w:t>Consideraciones</w:t>
      </w:r>
    </w:p>
    <w:p w14:paraId="68AE0704" w14:textId="77777777" w:rsidR="00F1108B" w:rsidRPr="005A4FC9"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p>
    <w:p w14:paraId="775021A8" w14:textId="77777777" w:rsidR="00F1108B" w:rsidRPr="005A4FC9" w:rsidRDefault="00F1108B" w:rsidP="00F1108B">
      <w:pPr>
        <w:spacing w:line="276" w:lineRule="auto"/>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Para desarrollar los problemas planteados, en primer lugar, se explicará el fundamento constitucional y legal del principio de selección objetiva en la contratación estatal, con la finalidad de sustentar la idea de que dicho principio opera como fundamento del régimen de </w:t>
      </w:r>
      <w:proofErr w:type="spellStart"/>
      <w:r w:rsidRPr="005A4FC9">
        <w:rPr>
          <w:rFonts w:ascii="Arial" w:eastAsia="Calibri" w:hAnsi="Arial" w:cs="Arial"/>
          <w:color w:val="000000" w:themeColor="text1"/>
          <w:sz w:val="22"/>
          <w:lang w:val="es-ES_tradnl"/>
        </w:rPr>
        <w:t>subsanabilidad</w:t>
      </w:r>
      <w:proofErr w:type="spellEnd"/>
      <w:r w:rsidRPr="005A4FC9">
        <w:rPr>
          <w:rFonts w:ascii="Arial" w:eastAsia="Calibri" w:hAnsi="Arial" w:cs="Arial"/>
          <w:color w:val="000000" w:themeColor="text1"/>
          <w:sz w:val="22"/>
          <w:lang w:val="es-ES_tradnl"/>
        </w:rPr>
        <w:t xml:space="preserve">. En segundo lugar, se reiterará el concepto unificado de esta Agencia en relación con el alcance de la regla de la </w:t>
      </w:r>
      <w:proofErr w:type="spellStart"/>
      <w:r w:rsidRPr="005A4FC9">
        <w:rPr>
          <w:rFonts w:ascii="Arial" w:eastAsia="Calibri" w:hAnsi="Arial" w:cs="Arial"/>
          <w:color w:val="000000" w:themeColor="text1"/>
          <w:sz w:val="22"/>
          <w:lang w:val="es-ES_tradnl"/>
        </w:rPr>
        <w:t>subsanabilidad</w:t>
      </w:r>
      <w:proofErr w:type="spellEnd"/>
      <w:r w:rsidRPr="005A4FC9">
        <w:rPr>
          <w:rFonts w:ascii="Arial" w:eastAsia="Calibri" w:hAnsi="Arial" w:cs="Arial"/>
          <w:color w:val="000000" w:themeColor="text1"/>
          <w:sz w:val="22"/>
          <w:lang w:val="es-ES_tradnl"/>
        </w:rPr>
        <w:t xml:space="preserve"> de las ofertas en los procedimientos de selección.</w:t>
      </w:r>
    </w:p>
    <w:p w14:paraId="582817E0" w14:textId="77777777" w:rsidR="00F1108B" w:rsidRPr="005A4FC9" w:rsidRDefault="00F1108B" w:rsidP="00F1108B">
      <w:pPr>
        <w:spacing w:line="276" w:lineRule="auto"/>
        <w:jc w:val="both"/>
        <w:rPr>
          <w:rFonts w:ascii="Arial" w:eastAsia="Calibri" w:hAnsi="Arial" w:cs="Arial"/>
          <w:color w:val="000000" w:themeColor="text1"/>
          <w:sz w:val="22"/>
          <w:lang w:val="es-ES_tradnl"/>
        </w:rPr>
      </w:pPr>
    </w:p>
    <w:p w14:paraId="039281DA" w14:textId="77777777" w:rsidR="0081766B" w:rsidRPr="005A4FC9" w:rsidRDefault="0081766B" w:rsidP="0081766B">
      <w:pPr>
        <w:spacing w:line="276" w:lineRule="auto"/>
        <w:jc w:val="both"/>
        <w:rPr>
          <w:rFonts w:ascii="Arial" w:eastAsia="Calibri" w:hAnsi="Arial" w:cs="Arial"/>
          <w:b/>
          <w:bCs/>
          <w:color w:val="000000" w:themeColor="text1"/>
          <w:sz w:val="22"/>
          <w:lang w:val="es-ES_tradnl"/>
        </w:rPr>
      </w:pPr>
      <w:r w:rsidRPr="005A4FC9">
        <w:rPr>
          <w:rFonts w:ascii="Arial" w:eastAsia="Calibri" w:hAnsi="Arial" w:cs="Arial"/>
          <w:b/>
          <w:bCs/>
          <w:color w:val="000000" w:themeColor="text1"/>
          <w:sz w:val="22"/>
          <w:lang w:val="es-ES_tradnl"/>
        </w:rPr>
        <w:t>2.1. Principio de selección objetiva en la contratación estatal</w:t>
      </w:r>
    </w:p>
    <w:p w14:paraId="268C42B7" w14:textId="77777777" w:rsidR="0081766B" w:rsidRPr="005A4FC9" w:rsidRDefault="0081766B" w:rsidP="0081766B">
      <w:pPr>
        <w:spacing w:line="276" w:lineRule="auto"/>
        <w:jc w:val="both"/>
        <w:rPr>
          <w:rFonts w:ascii="Arial" w:eastAsia="Calibri" w:hAnsi="Arial" w:cs="Arial"/>
          <w:color w:val="000000" w:themeColor="text1"/>
          <w:sz w:val="22"/>
          <w:lang w:val="es-ES_tradnl"/>
        </w:rPr>
      </w:pPr>
    </w:p>
    <w:p w14:paraId="6DE83AFF" w14:textId="77777777" w:rsidR="0081766B" w:rsidRPr="005A4FC9" w:rsidRDefault="0081766B" w:rsidP="0081766B">
      <w:pPr>
        <w:spacing w:line="276" w:lineRule="auto"/>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Uno de los principios transversales de los procedimientos de selección es el de </w:t>
      </w:r>
      <w:r w:rsidRPr="005A4FC9">
        <w:rPr>
          <w:rFonts w:ascii="Arial" w:eastAsia="Calibri" w:hAnsi="Arial" w:cs="Arial"/>
          <w:i/>
          <w:iCs/>
          <w:color w:val="000000" w:themeColor="text1"/>
          <w:sz w:val="22"/>
          <w:lang w:val="es-ES_tradnl"/>
        </w:rPr>
        <w:t>selección objetiva</w:t>
      </w:r>
      <w:r w:rsidRPr="005A4FC9">
        <w:rPr>
          <w:rFonts w:ascii="Arial" w:eastAsia="Calibri" w:hAnsi="Arial" w:cs="Arial"/>
          <w:color w:val="000000" w:themeColor="text1"/>
          <w:sz w:val="22"/>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012C44A6" w14:textId="77777777" w:rsidR="0081766B" w:rsidRPr="005A4FC9" w:rsidRDefault="0081766B" w:rsidP="0081766B">
      <w:pPr>
        <w:spacing w:before="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Si bien dentro de la historia de la contratación pública en Colombia, se vislumbran antecedentes normativos que consagraban dicho principio</w:t>
      </w:r>
      <w:r w:rsidRPr="005A4FC9">
        <w:rPr>
          <w:rStyle w:val="Refdenotaalpie"/>
          <w:rFonts w:ascii="Arial" w:eastAsia="Calibri" w:hAnsi="Arial" w:cs="Arial"/>
          <w:color w:val="000000" w:themeColor="text1"/>
          <w:sz w:val="22"/>
          <w:lang w:val="es-ES_tradnl"/>
        </w:rPr>
        <w:footnoteReference w:id="1"/>
      </w:r>
      <w:r w:rsidRPr="005A4FC9">
        <w:rPr>
          <w:rFonts w:ascii="Arial" w:eastAsia="Calibri" w:hAnsi="Arial" w:cs="Arial"/>
          <w:color w:val="000000" w:themeColor="text1"/>
          <w:sz w:val="22"/>
          <w:lang w:val="es-ES_tradnl"/>
        </w:rPr>
        <w:t xml:space="preserve">, en la actualidad la disposición </w:t>
      </w:r>
      <w:r w:rsidRPr="005A4FC9">
        <w:rPr>
          <w:rFonts w:ascii="Arial" w:eastAsia="Calibri" w:hAnsi="Arial" w:cs="Arial"/>
          <w:color w:val="000000" w:themeColor="text1"/>
          <w:sz w:val="22"/>
          <w:lang w:val="es-ES_tradnl"/>
        </w:rPr>
        <w:lastRenderedPageBreak/>
        <w:t>legal que lo prevé de manera más clara y contundente es el artículo 5 de la Ley 1150 de 2007, modificado por el artículo 88 de la Ley 1474 de 2011 y por el artículo 5 de la Ley 1882 de 2018; enunciado normativo en el que se lee:</w:t>
      </w:r>
    </w:p>
    <w:p w14:paraId="1A523919" w14:textId="77777777" w:rsidR="0081766B" w:rsidRPr="005A4FC9" w:rsidRDefault="0081766B" w:rsidP="0081766B">
      <w:pPr>
        <w:spacing w:line="276" w:lineRule="auto"/>
        <w:jc w:val="both"/>
        <w:rPr>
          <w:rFonts w:ascii="Arial" w:eastAsia="Calibri" w:hAnsi="Arial" w:cs="Arial"/>
          <w:color w:val="000000" w:themeColor="text1"/>
          <w:sz w:val="22"/>
          <w:lang w:val="es-ES_tradnl"/>
        </w:rPr>
      </w:pPr>
    </w:p>
    <w:p w14:paraId="5F652EAD"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7BC89D6"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2700B6F4"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1776ACE"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3D495B92"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424AB7BF"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4777EDB5"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En los procesos de selección en los que se tenga en cuenta los factores técnicos y económicos, la oferta más ventajosa será la que resulte de aplicar alguna de las siguientes alternativas:</w:t>
      </w:r>
    </w:p>
    <w:p w14:paraId="5EE711FE"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61AA23EC"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a) La ponderación de los elementos de calidad y precio soportados en puntajes o fórmulas señaladas en el pliego de condiciones; o</w:t>
      </w:r>
    </w:p>
    <w:p w14:paraId="57310F17"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101CD6F3"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b) La ponderación de los elementos de calidad y precio que representen la mejor relación de costo-beneficio para la entidad.</w:t>
      </w:r>
    </w:p>
    <w:p w14:paraId="3D6EE9D7"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630DB478"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 xml:space="preserve">3. Sin perjuicio de lo previsto en el numeral 1 del presente artículo, en los pliegos de condiciones para las contrataciones cuyo objeto sea la adquisición o suministro de bienes y servicios de características técnicas uniformes y común </w:t>
      </w:r>
      <w:r w:rsidRPr="005A4FC9">
        <w:rPr>
          <w:rFonts w:ascii="Arial" w:eastAsia="Calibri" w:hAnsi="Arial" w:cs="Arial"/>
          <w:color w:val="000000" w:themeColor="text1"/>
          <w:sz w:val="21"/>
          <w:szCs w:val="21"/>
          <w:lang w:val="es-ES_tradnl"/>
        </w:rPr>
        <w:lastRenderedPageBreak/>
        <w:t>utilización, las entidades estatales incluirán como único factor de evaluación el menor precio ofrecido.</w:t>
      </w:r>
    </w:p>
    <w:p w14:paraId="1FD157DB"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3D24347E"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30FE87A3"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2FA64518"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En ningún caso se podrá incluir el precio, como factor de escogencia para la selección de consultores.</w:t>
      </w:r>
    </w:p>
    <w:p w14:paraId="18B56B22"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02DBC0C9"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437F92CC"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102F634C"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Durante el término otorgado para subsanar las ofertas, los proponentes no podrán acreditar circunstancias ocurridas con posterioridad al cierre del proceso.</w:t>
      </w:r>
    </w:p>
    <w:p w14:paraId="05011429"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156F0931"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PARÁGRAFO 2o. Las certificaciones de sistemas de gestión de calidad no serán objeto de calificación, ni podrán establecerse como documento habilitante para participar en licitaciones o concursos.</w:t>
      </w:r>
    </w:p>
    <w:p w14:paraId="5FC05B4A"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717B1274"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PARÁGRAFO 3o. &lt;Parágrafo adicionado por el artículo 5 de la Ley 1882 de 2018. El nuevo texto es el siguiente:&gt; La no entrega de la garantía de seriedad junto con la propuesta no será subsanable y será causal de rechazo de la misma.</w:t>
      </w:r>
    </w:p>
    <w:p w14:paraId="197FCD8D"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56FD52CB"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r w:rsidRPr="005A4FC9">
        <w:rPr>
          <w:rFonts w:ascii="Arial" w:eastAsia="Calibri" w:hAnsi="Arial" w:cs="Arial"/>
          <w:color w:val="000000" w:themeColor="text1"/>
          <w:sz w:val="21"/>
          <w:szCs w:val="21"/>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4F5E14E8" w14:textId="77777777" w:rsidR="0081766B" w:rsidRPr="005A4FC9" w:rsidRDefault="0081766B" w:rsidP="0081766B">
      <w:pPr>
        <w:ind w:left="709" w:right="709"/>
        <w:jc w:val="both"/>
        <w:rPr>
          <w:rFonts w:ascii="Arial" w:eastAsia="Calibri" w:hAnsi="Arial" w:cs="Arial"/>
          <w:color w:val="000000" w:themeColor="text1"/>
          <w:sz w:val="21"/>
          <w:szCs w:val="21"/>
          <w:lang w:val="es-ES_tradnl"/>
        </w:rPr>
      </w:pPr>
    </w:p>
    <w:p w14:paraId="6754D5FB" w14:textId="77777777" w:rsidR="0081766B" w:rsidRPr="005A4FC9" w:rsidRDefault="0081766B" w:rsidP="0081766B">
      <w:pPr>
        <w:ind w:left="709" w:right="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1"/>
          <w:szCs w:val="21"/>
          <w:lang w:val="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5A4FC9">
        <w:rPr>
          <w:rFonts w:ascii="Arial" w:eastAsia="Calibri" w:hAnsi="Arial" w:cs="Arial"/>
          <w:color w:val="000000" w:themeColor="text1"/>
          <w:sz w:val="22"/>
          <w:lang w:val="es-ES_tradnl"/>
        </w:rPr>
        <w:t xml:space="preserve"> </w:t>
      </w:r>
    </w:p>
    <w:p w14:paraId="3CA1E5E3" w14:textId="77777777" w:rsidR="0081766B" w:rsidRPr="005A4FC9" w:rsidRDefault="0081766B" w:rsidP="0081766B">
      <w:pPr>
        <w:spacing w:line="276" w:lineRule="auto"/>
        <w:jc w:val="both"/>
        <w:rPr>
          <w:rFonts w:ascii="Arial" w:eastAsia="Calibri" w:hAnsi="Arial" w:cs="Arial"/>
          <w:color w:val="000000" w:themeColor="text1"/>
          <w:sz w:val="22"/>
          <w:lang w:val="es-ES_tradnl"/>
        </w:rPr>
      </w:pPr>
    </w:p>
    <w:p w14:paraId="29FCF7EE" w14:textId="77777777" w:rsidR="0081766B" w:rsidRPr="005A4FC9" w:rsidRDefault="0081766B" w:rsidP="0081766B">
      <w:pPr>
        <w:spacing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lastRenderedPageBreak/>
        <w:t xml:space="preserve">Así mismo, la Ley 80 de 1993 se refiere a la </w:t>
      </w:r>
      <w:r w:rsidRPr="005A4FC9">
        <w:rPr>
          <w:rFonts w:ascii="Arial" w:eastAsia="Calibri" w:hAnsi="Arial" w:cs="Arial"/>
          <w:i/>
          <w:iCs/>
          <w:color w:val="000000" w:themeColor="text1"/>
          <w:sz w:val="22"/>
          <w:lang w:val="es-ES_tradnl"/>
        </w:rPr>
        <w:t>selección objetiva</w:t>
      </w:r>
      <w:r w:rsidRPr="005A4FC9">
        <w:rPr>
          <w:rFonts w:ascii="Arial" w:eastAsia="Calibri" w:hAnsi="Arial" w:cs="Arial"/>
          <w:color w:val="000000" w:themeColor="text1"/>
          <w:sz w:val="22"/>
          <w:lang w:val="es-ES_tradnl"/>
        </w:rPr>
        <w:t xml:space="preserve"> en varios apartados, como: i) el primer inciso del artículo 21, que obliga a las entidades estatales a tener en cuenta la selección objetiva, al garantizar la participación de los oferentes de bienes y servicios de origen nacional, </w:t>
      </w:r>
      <w:proofErr w:type="spellStart"/>
      <w:r w:rsidRPr="005A4FC9">
        <w:rPr>
          <w:rFonts w:ascii="Arial" w:eastAsia="Calibri" w:hAnsi="Arial" w:cs="Arial"/>
          <w:color w:val="000000" w:themeColor="text1"/>
          <w:sz w:val="22"/>
          <w:lang w:val="es-ES_tradnl"/>
        </w:rPr>
        <w:t>ii</w:t>
      </w:r>
      <w:proofErr w:type="spellEnd"/>
      <w:r w:rsidRPr="005A4FC9">
        <w:rPr>
          <w:rFonts w:ascii="Arial" w:eastAsia="Calibri" w:hAnsi="Arial" w:cs="Arial"/>
          <w:color w:val="000000" w:themeColor="text1"/>
          <w:sz w:val="22"/>
          <w:lang w:val="es-ES_tradnl"/>
        </w:rPr>
        <w:t xml:space="preserve">) el artículo 24, numeral 5º, literal a), que manda que en los pliegos de condiciones se indiquen «[…] los requisitos objetivos necesarios para participar en el correspondiente proceso de selección», </w:t>
      </w:r>
      <w:proofErr w:type="spellStart"/>
      <w:r w:rsidRPr="005A4FC9">
        <w:rPr>
          <w:rFonts w:ascii="Arial" w:eastAsia="Calibri" w:hAnsi="Arial" w:cs="Arial"/>
          <w:color w:val="000000" w:themeColor="text1"/>
          <w:sz w:val="22"/>
          <w:lang w:val="es-ES_tradnl"/>
        </w:rPr>
        <w:t>iii</w:t>
      </w:r>
      <w:proofErr w:type="spellEnd"/>
      <w:r w:rsidRPr="005A4FC9">
        <w:rPr>
          <w:rFonts w:ascii="Arial" w:eastAsia="Calibri" w:hAnsi="Arial" w:cs="Arial"/>
          <w:color w:val="000000" w:themeColor="text1"/>
          <w:sz w:val="22"/>
          <w:lang w:val="es-ES_tradnl"/>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Pr="005A4FC9">
        <w:rPr>
          <w:rFonts w:ascii="Arial" w:eastAsia="Calibri" w:hAnsi="Arial" w:cs="Arial"/>
          <w:color w:val="000000" w:themeColor="text1"/>
          <w:sz w:val="22"/>
          <w:lang w:val="es-ES_tradnl"/>
        </w:rPr>
        <w:t>iv</w:t>
      </w:r>
      <w:proofErr w:type="spellEnd"/>
      <w:r w:rsidRPr="005A4FC9">
        <w:rPr>
          <w:rFonts w:ascii="Arial" w:eastAsia="Calibri" w:hAnsi="Arial" w:cs="Arial"/>
          <w:color w:val="000000" w:themeColor="text1"/>
          <w:sz w:val="22"/>
          <w:lang w:val="es-ES_tradnl"/>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Pr="005A4FC9">
        <w:rPr>
          <w:rFonts w:ascii="Arial" w:eastAsia="Calibri" w:hAnsi="Arial" w:cs="Arial"/>
          <w:color w:val="000000" w:themeColor="text1"/>
          <w:sz w:val="22"/>
          <w:lang w:val="es-ES_tradnl"/>
        </w:rPr>
        <w:t>vii</w:t>
      </w:r>
      <w:proofErr w:type="spellEnd"/>
      <w:r w:rsidRPr="005A4FC9">
        <w:rPr>
          <w:rFonts w:ascii="Arial" w:eastAsia="Calibri" w:hAnsi="Arial" w:cs="Arial"/>
          <w:color w:val="000000" w:themeColor="text1"/>
          <w:sz w:val="22"/>
          <w:lang w:val="es-ES_tradnl"/>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5A4FC9">
        <w:rPr>
          <w:rFonts w:ascii="Arial" w:eastAsia="Calibri" w:hAnsi="Arial" w:cs="Arial"/>
          <w:color w:val="000000" w:themeColor="text1"/>
          <w:sz w:val="22"/>
          <w:lang w:val="es-ES_tradnl"/>
        </w:rPr>
        <w:t>viii</w:t>
      </w:r>
      <w:proofErr w:type="spellEnd"/>
      <w:r w:rsidRPr="005A4FC9">
        <w:rPr>
          <w:rFonts w:ascii="Arial" w:eastAsia="Calibri" w:hAnsi="Arial" w:cs="Arial"/>
          <w:color w:val="000000" w:themeColor="text1"/>
          <w:sz w:val="22"/>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Pr="005A4FC9">
        <w:rPr>
          <w:rFonts w:ascii="Arial" w:eastAsia="Calibri" w:hAnsi="Arial" w:cs="Arial"/>
          <w:color w:val="000000" w:themeColor="text1"/>
          <w:sz w:val="22"/>
          <w:lang w:val="es-ES_tradnl"/>
        </w:rPr>
        <w:t>ix</w:t>
      </w:r>
      <w:proofErr w:type="spellEnd"/>
      <w:r w:rsidRPr="005A4FC9">
        <w:rPr>
          <w:rFonts w:ascii="Arial" w:eastAsia="Calibri" w:hAnsi="Arial" w:cs="Arial"/>
          <w:color w:val="000000" w:themeColor="text1"/>
          <w:sz w:val="22"/>
          <w:lang w:val="es-ES_tradnl"/>
        </w:rPr>
        <w:t xml:space="preserve">) el segundo inciso del artículo 76, que ordena cumplir también con dicho principio a las entidades que tengan por objeto la exploración, explotación y comercialización de recursos naturales renovables y no renovables. </w:t>
      </w:r>
    </w:p>
    <w:p w14:paraId="68C01D5B" w14:textId="77777777" w:rsidR="0081766B" w:rsidRPr="005A4FC9" w:rsidRDefault="0081766B" w:rsidP="0081766B">
      <w:pPr>
        <w:spacing w:before="120" w:after="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w:t>
      </w:r>
      <w:proofErr w:type="spellStart"/>
      <w:r w:rsidRPr="005A4FC9">
        <w:rPr>
          <w:rFonts w:ascii="Arial" w:eastAsia="Calibri" w:hAnsi="Arial" w:cs="Arial"/>
          <w:color w:val="000000" w:themeColor="text1"/>
          <w:sz w:val="22"/>
          <w:lang w:val="es-ES_tradnl"/>
        </w:rPr>
        <w:t>ii</w:t>
      </w:r>
      <w:proofErr w:type="spellEnd"/>
      <w:r w:rsidRPr="005A4FC9">
        <w:rPr>
          <w:rFonts w:ascii="Arial" w:eastAsia="Calibri" w:hAnsi="Arial" w:cs="Arial"/>
          <w:color w:val="000000" w:themeColor="text1"/>
          <w:sz w:val="22"/>
          <w:lang w:val="es-ES_tradnl"/>
        </w:rPr>
        <w:t xml:space="preserve">)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 o </w:t>
      </w:r>
      <w:proofErr w:type="spellStart"/>
      <w:r w:rsidRPr="005A4FC9">
        <w:rPr>
          <w:rFonts w:ascii="Arial" w:eastAsia="Calibri" w:hAnsi="Arial" w:cs="Arial"/>
          <w:color w:val="000000" w:themeColor="text1"/>
          <w:sz w:val="22"/>
          <w:lang w:val="es-ES_tradnl"/>
        </w:rPr>
        <w:t>iii</w:t>
      </w:r>
      <w:proofErr w:type="spellEnd"/>
      <w:r w:rsidRPr="005A4FC9">
        <w:rPr>
          <w:rFonts w:ascii="Arial" w:eastAsia="Calibri" w:hAnsi="Arial" w:cs="Arial"/>
          <w:color w:val="000000" w:themeColor="text1"/>
          <w:sz w:val="22"/>
          <w:lang w:val="es-ES_tradnl"/>
        </w:rPr>
        <w:t xml:space="preserve">) el numeral 7º del artículo 2.2.1.2.6.1.3., que consagra, como obligación de la Agencia de </w:t>
      </w:r>
      <w:r w:rsidRPr="005A4FC9">
        <w:rPr>
          <w:rFonts w:ascii="Arial" w:eastAsia="Calibri" w:hAnsi="Arial" w:cs="Arial"/>
          <w:color w:val="000000" w:themeColor="text1"/>
          <w:sz w:val="22"/>
          <w:lang w:val="es-ES_tradnl"/>
        </w:rPr>
        <w:lastRenderedPageBreak/>
        <w:t>Contratación Pública – Colombia Compra Eficiente, fijar en los documentos tipo «[…] alternativas para la ponderación de los elementos de calidad con el fin de que la entidad estatal contratante seleccione la opción adecuada para evaluar las condiciones técnicas de manera objetiva de acuerdo con el objeto de la contratación».</w:t>
      </w:r>
    </w:p>
    <w:p w14:paraId="2D33193B" w14:textId="77777777" w:rsidR="0081766B" w:rsidRPr="005A4FC9" w:rsidRDefault="0081766B" w:rsidP="0081766B">
      <w:pPr>
        <w:spacing w:before="120" w:after="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5A4FC9">
        <w:rPr>
          <w:rStyle w:val="Refdenotaalpie"/>
          <w:rFonts w:ascii="Arial" w:eastAsia="Calibri" w:hAnsi="Arial" w:cs="Arial"/>
          <w:color w:val="000000" w:themeColor="text1"/>
          <w:sz w:val="22"/>
          <w:lang w:val="es-ES_tradnl"/>
        </w:rPr>
        <w:footnoteReference w:id="2"/>
      </w:r>
      <w:r w:rsidRPr="005A4FC9">
        <w:rPr>
          <w:rFonts w:ascii="Arial" w:eastAsia="Calibri" w:hAnsi="Arial" w:cs="Arial"/>
          <w:color w:val="000000" w:themeColor="text1"/>
          <w:sz w:val="22"/>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5A4FC9">
        <w:rPr>
          <w:rStyle w:val="Refdenotaalpie"/>
          <w:rFonts w:ascii="Arial" w:eastAsia="Calibri" w:hAnsi="Arial" w:cs="Arial"/>
          <w:color w:val="000000" w:themeColor="text1"/>
          <w:sz w:val="22"/>
          <w:lang w:val="es-ES_tradnl"/>
        </w:rPr>
        <w:footnoteReference w:id="3"/>
      </w:r>
      <w:r w:rsidRPr="005A4FC9">
        <w:rPr>
          <w:rFonts w:ascii="Arial" w:eastAsia="Calibri" w:hAnsi="Arial" w:cs="Arial"/>
          <w:color w:val="000000" w:themeColor="text1"/>
          <w:sz w:val="22"/>
          <w:lang w:val="es-ES_tradnl"/>
        </w:rPr>
        <w:t>.</w:t>
      </w:r>
    </w:p>
    <w:p w14:paraId="1C5BB8DD" w14:textId="77777777" w:rsidR="0081766B" w:rsidRPr="005A4FC9" w:rsidRDefault="0081766B" w:rsidP="0081766B">
      <w:pPr>
        <w:spacing w:before="120" w:after="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05CFB441" w14:textId="77777777" w:rsidR="0081766B" w:rsidRPr="005A4FC9" w:rsidRDefault="0081766B" w:rsidP="0081766B">
      <w:pPr>
        <w:spacing w:line="276" w:lineRule="auto"/>
        <w:ind w:firstLine="709"/>
        <w:jc w:val="both"/>
        <w:rPr>
          <w:rFonts w:ascii="Arial" w:eastAsia="Calibri" w:hAnsi="Arial" w:cs="Arial"/>
          <w:color w:val="000000" w:themeColor="text1"/>
          <w:sz w:val="22"/>
          <w:lang w:val="es-CO"/>
        </w:rPr>
      </w:pPr>
      <w:r w:rsidRPr="005A4FC9">
        <w:rPr>
          <w:rFonts w:ascii="Arial" w:eastAsia="Calibri" w:hAnsi="Arial" w:cs="Arial"/>
          <w:color w:val="000000" w:themeColor="text1"/>
          <w:sz w:val="22"/>
          <w:lang w:val="es-ES_tradnl"/>
        </w:rPr>
        <w:lastRenderedPageBreak/>
        <w:t>Esta regla se explica a continuación.</w:t>
      </w:r>
    </w:p>
    <w:p w14:paraId="6C3C6091" w14:textId="77777777" w:rsidR="00F1108B" w:rsidRPr="005A4FC9" w:rsidRDefault="00F1108B" w:rsidP="00F1108B">
      <w:pPr>
        <w:spacing w:line="276" w:lineRule="auto"/>
        <w:jc w:val="both"/>
        <w:rPr>
          <w:rFonts w:ascii="Arial" w:eastAsia="Calibri" w:hAnsi="Arial" w:cs="Arial"/>
          <w:color w:val="000000" w:themeColor="text1"/>
          <w:sz w:val="22"/>
          <w:lang w:val="es-CO"/>
        </w:rPr>
      </w:pPr>
    </w:p>
    <w:p w14:paraId="635192B6" w14:textId="77777777" w:rsidR="00F1108B" w:rsidRPr="005A4FC9" w:rsidRDefault="00F1108B" w:rsidP="00F1108B">
      <w:pPr>
        <w:spacing w:line="276" w:lineRule="auto"/>
        <w:jc w:val="both"/>
        <w:rPr>
          <w:rFonts w:ascii="Arial" w:eastAsia="Calibri" w:hAnsi="Arial" w:cs="Arial"/>
          <w:b/>
          <w:bCs/>
          <w:color w:val="000000" w:themeColor="text1"/>
          <w:sz w:val="22"/>
          <w:lang w:val="es-ES_tradnl"/>
        </w:rPr>
      </w:pPr>
      <w:r w:rsidRPr="005A4FC9">
        <w:rPr>
          <w:rFonts w:ascii="Arial" w:eastAsia="Calibri" w:hAnsi="Arial" w:cs="Arial"/>
          <w:b/>
          <w:bCs/>
          <w:color w:val="000000" w:themeColor="text1"/>
          <w:sz w:val="22"/>
          <w:lang w:val="es-ES_tradnl"/>
        </w:rPr>
        <w:t xml:space="preserve">2.2. Alcance de la regla de la </w:t>
      </w:r>
      <w:proofErr w:type="spellStart"/>
      <w:r w:rsidRPr="005A4FC9">
        <w:rPr>
          <w:rFonts w:ascii="Arial" w:eastAsia="Calibri" w:hAnsi="Arial" w:cs="Arial"/>
          <w:b/>
          <w:bCs/>
          <w:color w:val="000000" w:themeColor="text1"/>
          <w:sz w:val="22"/>
          <w:lang w:val="es-ES_tradnl"/>
        </w:rPr>
        <w:t>subsanabilidad</w:t>
      </w:r>
      <w:proofErr w:type="spellEnd"/>
      <w:r w:rsidRPr="005A4FC9">
        <w:rPr>
          <w:rFonts w:ascii="Arial" w:eastAsia="Calibri" w:hAnsi="Arial" w:cs="Arial"/>
          <w:b/>
          <w:bCs/>
          <w:color w:val="000000" w:themeColor="text1"/>
          <w:sz w:val="22"/>
          <w:lang w:val="es-ES_tradnl"/>
        </w:rPr>
        <w:t xml:space="preserve"> de las ofertas en los procedimientos de selección. Reiteración del concepto unificado de la Agencia Nacional de Contratación Pública –Colombia Compra Eficiente</w:t>
      </w:r>
    </w:p>
    <w:p w14:paraId="4B7629A8" w14:textId="77777777" w:rsidR="00F1108B" w:rsidRPr="005A4FC9" w:rsidRDefault="00F1108B" w:rsidP="00F1108B">
      <w:pPr>
        <w:spacing w:line="276" w:lineRule="auto"/>
        <w:jc w:val="both"/>
        <w:rPr>
          <w:rFonts w:ascii="Arial" w:eastAsia="Calibri" w:hAnsi="Arial" w:cs="Arial"/>
          <w:color w:val="000000" w:themeColor="text1"/>
          <w:sz w:val="22"/>
          <w:lang w:val="es-ES_tradnl"/>
        </w:rPr>
      </w:pPr>
    </w:p>
    <w:p w14:paraId="0F28EE32" w14:textId="241D7674" w:rsidR="00F1108B" w:rsidRPr="005A4FC9" w:rsidRDefault="00F1108B" w:rsidP="00F1108B">
      <w:pPr>
        <w:spacing w:line="276" w:lineRule="auto"/>
        <w:jc w:val="both"/>
        <w:rPr>
          <w:rFonts w:ascii="Arial" w:hAnsi="Arial" w:cs="Arial"/>
          <w:color w:val="000000" w:themeColor="text1"/>
          <w:sz w:val="22"/>
          <w:lang w:val="es-ES_tradnl"/>
        </w:rPr>
      </w:pPr>
      <w:r w:rsidRPr="005A4FC9">
        <w:rPr>
          <w:rFonts w:ascii="Arial" w:hAnsi="Arial" w:cs="Arial"/>
          <w:color w:val="000000" w:themeColor="text1"/>
          <w:sz w:val="22"/>
          <w:lang w:val="es-ES_tradnl"/>
        </w:rPr>
        <w:t>En reciente oportunidad</w:t>
      </w:r>
      <w:r w:rsidR="007F22A0" w:rsidRPr="005A4FC9">
        <w:rPr>
          <w:rFonts w:ascii="Arial" w:hAnsi="Arial" w:cs="Arial"/>
          <w:color w:val="000000" w:themeColor="text1"/>
          <w:sz w:val="22"/>
          <w:lang w:val="es-ES_tradnl"/>
        </w:rPr>
        <w:t xml:space="preserve"> </w:t>
      </w:r>
      <w:r w:rsidRPr="005A4FC9">
        <w:rPr>
          <w:rFonts w:ascii="Arial" w:hAnsi="Arial" w:cs="Arial"/>
          <w:color w:val="000000" w:themeColor="text1"/>
          <w:sz w:val="22"/>
          <w:lang w:val="es-ES_tradnl"/>
        </w:rPr>
        <w:t>esta Subdirección expidió el Concepto CU─</w:t>
      </w:r>
      <w:r w:rsidR="00670B20" w:rsidRPr="005A4FC9">
        <w:rPr>
          <w:rFonts w:ascii="Arial" w:hAnsi="Arial" w:cs="Arial"/>
          <w:color w:val="000000" w:themeColor="text1"/>
          <w:sz w:val="22"/>
          <w:lang w:val="es-ES_tradnl"/>
        </w:rPr>
        <w:t>060</w:t>
      </w:r>
      <w:r w:rsidRPr="005A4FC9">
        <w:rPr>
          <w:rFonts w:ascii="Arial" w:hAnsi="Arial" w:cs="Arial"/>
          <w:color w:val="000000" w:themeColor="text1"/>
          <w:sz w:val="22"/>
          <w:lang w:val="es-ES_tradnl"/>
        </w:rPr>
        <w:t xml:space="preserve"> de 2020</w:t>
      </w:r>
      <w:r w:rsidR="007F22A0" w:rsidRPr="005A4FC9">
        <w:rPr>
          <w:rFonts w:ascii="Arial" w:hAnsi="Arial" w:cs="Arial"/>
          <w:color w:val="000000" w:themeColor="text1"/>
          <w:sz w:val="22"/>
          <w:lang w:val="es-ES_tradnl"/>
        </w:rPr>
        <w:t xml:space="preserve"> </w:t>
      </w:r>
      <w:r w:rsidRPr="005A4FC9">
        <w:rPr>
          <w:rFonts w:ascii="Arial" w:hAnsi="Arial" w:cs="Arial"/>
          <w:color w:val="000000" w:themeColor="text1"/>
          <w:sz w:val="22"/>
          <w:lang w:val="es-ES_tradnl"/>
        </w:rPr>
        <w:t xml:space="preserve">en respuesta a las consultas con radicado </w:t>
      </w:r>
      <w:r w:rsidRPr="005A4FC9">
        <w:rPr>
          <w:rFonts w:ascii="Arial" w:eastAsia="Calibri" w:hAnsi="Arial" w:cs="Arial"/>
          <w:color w:val="000000" w:themeColor="text1"/>
          <w:sz w:val="22"/>
          <w:lang w:val="es-ES_tradnl"/>
        </w:rPr>
        <w:t xml:space="preserve">4202012000000282 y 4202012000000283, </w:t>
      </w:r>
      <w:r w:rsidRPr="005A4FC9">
        <w:rPr>
          <w:rFonts w:ascii="Arial" w:hAnsi="Arial" w:cs="Arial"/>
          <w:color w:val="000000" w:themeColor="text1"/>
          <w:sz w:val="22"/>
          <w:lang w:val="es-ES_tradnl"/>
        </w:rPr>
        <w:t xml:space="preserve">en el que unificó su criterio sobre el alcance de la regla de la </w:t>
      </w:r>
      <w:proofErr w:type="spellStart"/>
      <w:r w:rsidRPr="005A4FC9">
        <w:rPr>
          <w:rFonts w:ascii="Arial" w:hAnsi="Arial" w:cs="Arial"/>
          <w:color w:val="000000" w:themeColor="text1"/>
          <w:sz w:val="22"/>
          <w:lang w:val="es-ES_tradnl"/>
        </w:rPr>
        <w:t>subsanabilidad</w:t>
      </w:r>
      <w:proofErr w:type="spellEnd"/>
      <w:r w:rsidRPr="005A4FC9">
        <w:rPr>
          <w:rFonts w:ascii="Arial" w:hAnsi="Arial" w:cs="Arial"/>
          <w:color w:val="000000" w:themeColor="text1"/>
          <w:sz w:val="22"/>
          <w:lang w:val="es-ES_tradnl"/>
        </w:rPr>
        <w:t>, contenida actualmente en el artículo 5 de la Ley 1150 de 2007. Al respecto, la postura</w:t>
      </w:r>
      <w:r w:rsidR="004C22F7" w:rsidRPr="005A4FC9">
        <w:rPr>
          <w:rFonts w:ascii="Arial" w:hAnsi="Arial" w:cs="Arial"/>
          <w:color w:val="000000" w:themeColor="text1"/>
          <w:sz w:val="22"/>
          <w:lang w:val="es-ES_tradnl"/>
        </w:rPr>
        <w:t xml:space="preserve"> </w:t>
      </w:r>
      <w:r w:rsidRPr="005A4FC9">
        <w:rPr>
          <w:rFonts w:ascii="Arial" w:hAnsi="Arial" w:cs="Arial"/>
          <w:color w:val="000000" w:themeColor="text1"/>
          <w:sz w:val="22"/>
          <w:lang w:val="es-ES_tradnl"/>
        </w:rPr>
        <w:t>que se reitera en el presente concepto</w:t>
      </w:r>
      <w:r w:rsidR="00C419E3" w:rsidRPr="005A4FC9">
        <w:rPr>
          <w:rFonts w:ascii="Arial" w:hAnsi="Arial" w:cs="Arial"/>
          <w:color w:val="000000" w:themeColor="text1"/>
          <w:sz w:val="22"/>
          <w:lang w:val="es-ES_tradnl"/>
        </w:rPr>
        <w:t xml:space="preserve"> </w:t>
      </w:r>
      <w:r w:rsidRPr="005A4FC9">
        <w:rPr>
          <w:rFonts w:ascii="Arial" w:hAnsi="Arial" w:cs="Arial"/>
          <w:color w:val="000000" w:themeColor="text1"/>
          <w:sz w:val="22"/>
          <w:lang w:val="es-ES_tradnl"/>
        </w:rPr>
        <w:t xml:space="preserve">es la siguiente: por regla general, i) la falta de entrega o </w:t>
      </w:r>
      <w:proofErr w:type="spellStart"/>
      <w:r w:rsidRPr="005A4FC9">
        <w:rPr>
          <w:rFonts w:ascii="Arial" w:hAnsi="Arial" w:cs="Arial"/>
          <w:color w:val="000000" w:themeColor="text1"/>
          <w:sz w:val="22"/>
          <w:lang w:val="es-ES_tradnl"/>
        </w:rPr>
        <w:t>ii</w:t>
      </w:r>
      <w:proofErr w:type="spellEnd"/>
      <w:r w:rsidRPr="005A4FC9">
        <w:rPr>
          <w:rFonts w:ascii="Arial" w:hAnsi="Arial" w:cs="Arial"/>
          <w:color w:val="000000" w:themeColor="text1"/>
          <w:sz w:val="22"/>
          <w:lang w:val="es-ES_tradnl"/>
        </w:rPr>
        <w:t xml:space="preserve">) los defectos, de los requisitos habilitantes, son subsanables. La excepción se encuentra en los casos, previstos en la ley, que limitan la </w:t>
      </w:r>
      <w:proofErr w:type="spellStart"/>
      <w:r w:rsidRPr="005A4FC9">
        <w:rPr>
          <w:rFonts w:ascii="Arial" w:hAnsi="Arial" w:cs="Arial"/>
          <w:color w:val="000000" w:themeColor="text1"/>
          <w:sz w:val="22"/>
          <w:lang w:val="es-ES_tradnl"/>
        </w:rPr>
        <w:t>subsanabilidad</w:t>
      </w:r>
      <w:proofErr w:type="spellEnd"/>
      <w:r w:rsidRPr="005A4FC9">
        <w:rPr>
          <w:rFonts w:ascii="Arial" w:hAnsi="Arial" w:cs="Arial"/>
          <w:color w:val="000000" w:themeColor="text1"/>
          <w:sz w:val="22"/>
          <w:lang w:val="es-ES_tradnl"/>
        </w:rPr>
        <w:t xml:space="preserve">, es decir, en la prohibición de permitir la entrega de la garantía de seriedad de la oferta </w:t>
      </w:r>
      <w:r w:rsidR="00937401" w:rsidRPr="005A4FC9">
        <w:rPr>
          <w:rFonts w:ascii="Arial" w:hAnsi="Arial" w:cs="Arial"/>
          <w:color w:val="000000" w:themeColor="text1"/>
          <w:sz w:val="22"/>
          <w:lang w:val="es-ES_tradnl"/>
        </w:rPr>
        <w:t>no</w:t>
      </w:r>
      <w:r w:rsidRPr="005A4FC9">
        <w:rPr>
          <w:rFonts w:ascii="Arial" w:hAnsi="Arial" w:cs="Arial"/>
          <w:color w:val="000000" w:themeColor="text1"/>
          <w:sz w:val="22"/>
          <w:lang w:val="es-ES_tradnl"/>
        </w:rPr>
        <w:t xml:space="preserve"> aportada con la propuesta y de valer la acreditación de circunstancias ocurridas con posterioridad al cierre del proceso. </w:t>
      </w:r>
    </w:p>
    <w:p w14:paraId="08592FF2"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En efecto, la Agencia Nacional de Contratación Pública – Colombia Compra Eficiente, en el concepto con radicado No. 4201913000006471 del 28 de octubre de 2019, analizó el régimen jurídico de la </w:t>
      </w:r>
      <w:proofErr w:type="spellStart"/>
      <w:r w:rsidRPr="005A4FC9">
        <w:rPr>
          <w:rFonts w:ascii="Arial" w:hAnsi="Arial" w:cs="Arial"/>
          <w:color w:val="000000" w:themeColor="text1"/>
          <w:sz w:val="22"/>
          <w:lang w:val="es-ES_tradnl"/>
        </w:rPr>
        <w:t>subsanabilidad</w:t>
      </w:r>
      <w:proofErr w:type="spellEnd"/>
      <w:r w:rsidRPr="005A4FC9">
        <w:rPr>
          <w:rFonts w:ascii="Arial" w:hAnsi="Arial" w:cs="Arial"/>
          <w:color w:val="000000" w:themeColor="text1"/>
          <w:sz w:val="22"/>
          <w:lang w:val="es-ES_tradnl"/>
        </w:rPr>
        <w:t xml:space="preserve">. De igual forma, en los conceptos con radicados No. 4201912000006711 del 12 de noviembre de 2019 y 4201912000006496 del 15 de noviembre de 2019 reiteró el desarrollo normativo y jurisprudencial para subsanar los errores de los documentos presentados en la oferta. La tesis propuesta en estos conceptos es la que se expone a continuación: </w:t>
      </w:r>
    </w:p>
    <w:p w14:paraId="609104D8"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3673B992"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En un </w:t>
      </w:r>
      <w:r w:rsidRPr="005A4FC9">
        <w:rPr>
          <w:rFonts w:ascii="Arial" w:hAnsi="Arial" w:cs="Arial"/>
          <w:i/>
          <w:color w:val="000000" w:themeColor="text1"/>
          <w:sz w:val="22"/>
          <w:lang w:val="es-ES_tradnl"/>
        </w:rPr>
        <w:t>primer momento</w:t>
      </w:r>
      <w:r w:rsidRPr="005A4FC9">
        <w:rPr>
          <w:rFonts w:ascii="Arial" w:hAnsi="Arial" w:cs="Arial"/>
          <w:color w:val="000000" w:themeColor="text1"/>
          <w:sz w:val="22"/>
          <w:lang w:val="es-ES_tradnl"/>
        </w:rPr>
        <w:t xml:space="preserve">, antes de la entrada en vigencia de la Constitución Política de 1991, el régimen jurídico de la </w:t>
      </w:r>
      <w:proofErr w:type="spellStart"/>
      <w:r w:rsidRPr="005A4FC9">
        <w:rPr>
          <w:rFonts w:ascii="Arial" w:hAnsi="Arial" w:cs="Arial"/>
          <w:color w:val="000000" w:themeColor="text1"/>
          <w:sz w:val="22"/>
          <w:lang w:val="es-ES_tradnl"/>
        </w:rPr>
        <w:t>subsanabilidad</w:t>
      </w:r>
      <w:proofErr w:type="spellEnd"/>
      <w:r w:rsidRPr="005A4FC9">
        <w:rPr>
          <w:rFonts w:ascii="Arial" w:hAnsi="Arial" w:cs="Arial"/>
          <w:color w:val="000000" w:themeColor="text1"/>
          <w:sz w:val="22"/>
          <w:lang w:val="es-ES_tradnl"/>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10A2ED7C"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En un </w:t>
      </w:r>
      <w:r w:rsidRPr="005A4FC9">
        <w:rPr>
          <w:rFonts w:ascii="Arial" w:hAnsi="Arial" w:cs="Arial"/>
          <w:i/>
          <w:color w:val="000000" w:themeColor="text1"/>
          <w:sz w:val="22"/>
          <w:lang w:val="es-ES_tradnl"/>
        </w:rPr>
        <w:t>segundo momento</w:t>
      </w:r>
      <w:r w:rsidRPr="005A4FC9">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w:t>
      </w:r>
    </w:p>
    <w:p w14:paraId="557D608C" w14:textId="77777777" w:rsidR="00A20264" w:rsidRPr="005A4FC9" w:rsidRDefault="00A20264" w:rsidP="00A20264">
      <w:pPr>
        <w:spacing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lastRenderedPageBreak/>
        <w:t xml:space="preserve">En este nuevo escenario constitucional, el numeral 15 del artículo 25 de la Ley 80 de 1993 dispuso lo siguiente: </w:t>
      </w:r>
    </w:p>
    <w:p w14:paraId="45EDC508" w14:textId="77777777" w:rsidR="00A20264" w:rsidRPr="005A4FC9" w:rsidRDefault="00A20264" w:rsidP="00A20264">
      <w:pPr>
        <w:spacing w:line="276" w:lineRule="auto"/>
        <w:jc w:val="both"/>
        <w:rPr>
          <w:rFonts w:ascii="Arial" w:hAnsi="Arial" w:cs="Arial"/>
          <w:color w:val="000000" w:themeColor="text1"/>
          <w:sz w:val="22"/>
          <w:lang w:val="es-ES_tradnl"/>
        </w:rPr>
      </w:pPr>
    </w:p>
    <w:p w14:paraId="4DACAC81" w14:textId="77777777" w:rsidR="00A20264" w:rsidRPr="005A4FC9" w:rsidRDefault="00A20264" w:rsidP="00A20264">
      <w:pPr>
        <w:ind w:left="709" w:right="709"/>
        <w:jc w:val="both"/>
        <w:rPr>
          <w:rFonts w:ascii="Arial" w:hAnsi="Arial" w:cs="Arial"/>
          <w:color w:val="000000" w:themeColor="text1"/>
          <w:sz w:val="21"/>
          <w:szCs w:val="21"/>
          <w:lang w:val="es-ES_tradnl"/>
        </w:rPr>
      </w:pPr>
      <w:r w:rsidRPr="005A4FC9">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7462C094" w14:textId="77777777" w:rsidR="00A20264" w:rsidRPr="005A4FC9" w:rsidRDefault="00A20264" w:rsidP="00A20264">
      <w:pPr>
        <w:ind w:left="709" w:right="709"/>
        <w:jc w:val="both"/>
        <w:rPr>
          <w:rFonts w:ascii="Arial" w:hAnsi="Arial" w:cs="Arial"/>
          <w:color w:val="000000" w:themeColor="text1"/>
          <w:sz w:val="21"/>
          <w:szCs w:val="21"/>
          <w:lang w:val="es-ES_tradnl"/>
        </w:rPr>
      </w:pPr>
      <w:r w:rsidRPr="005A4FC9">
        <w:rPr>
          <w:rFonts w:ascii="Arial" w:hAnsi="Arial" w:cs="Arial"/>
          <w:color w:val="000000" w:themeColor="text1"/>
          <w:sz w:val="21"/>
          <w:szCs w:val="21"/>
          <w:lang w:val="es-ES_tradnl"/>
        </w:rPr>
        <w:t xml:space="preserve"> </w:t>
      </w:r>
    </w:p>
    <w:p w14:paraId="0B82E74E" w14:textId="77777777" w:rsidR="00A20264" w:rsidRPr="005A4FC9" w:rsidRDefault="00A20264" w:rsidP="00A20264">
      <w:pPr>
        <w:ind w:left="709" w:right="709"/>
        <w:jc w:val="both"/>
        <w:rPr>
          <w:rFonts w:ascii="Arial" w:hAnsi="Arial" w:cs="Arial"/>
          <w:color w:val="000000" w:themeColor="text1"/>
          <w:sz w:val="21"/>
          <w:szCs w:val="21"/>
          <w:lang w:val="es-ES_tradnl"/>
        </w:rPr>
      </w:pPr>
      <w:r w:rsidRPr="005A4FC9">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37F0406D" w14:textId="77777777" w:rsidR="00A20264" w:rsidRPr="005A4FC9" w:rsidRDefault="00A20264" w:rsidP="00A20264">
      <w:pPr>
        <w:spacing w:line="276" w:lineRule="auto"/>
        <w:jc w:val="both"/>
        <w:rPr>
          <w:rFonts w:ascii="Arial" w:hAnsi="Arial" w:cs="Arial"/>
          <w:b/>
          <w:color w:val="000000" w:themeColor="text1"/>
          <w:sz w:val="22"/>
          <w:lang w:val="es-ES_tradnl"/>
        </w:rPr>
      </w:pPr>
    </w:p>
    <w:p w14:paraId="16E46C11" w14:textId="77777777" w:rsidR="00A20264" w:rsidRPr="005A4FC9" w:rsidRDefault="00A20264" w:rsidP="00A20264">
      <w:pPr>
        <w:spacing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Bajo el amparo de esta norma, el régimen jurídico de </w:t>
      </w:r>
      <w:proofErr w:type="spellStart"/>
      <w:r w:rsidRPr="005A4FC9">
        <w:rPr>
          <w:rFonts w:ascii="Arial" w:hAnsi="Arial" w:cs="Arial"/>
          <w:color w:val="000000" w:themeColor="text1"/>
          <w:sz w:val="22"/>
          <w:lang w:val="es-ES_tradnl"/>
        </w:rPr>
        <w:t>subsanabilidad</w:t>
      </w:r>
      <w:proofErr w:type="spellEnd"/>
      <w:r w:rsidRPr="005A4FC9">
        <w:rPr>
          <w:rFonts w:ascii="Arial" w:hAnsi="Arial" w:cs="Arial"/>
          <w:color w:val="000000" w:themeColor="text1"/>
          <w:sz w:val="22"/>
          <w:lang w:val="es-ES_tradnl"/>
        </w:rPr>
        <w:t xml:space="preserve"> de las ofertas sufre un cambio fundamental, pues ya no era posible rechazar las ofertas por falta de requisitos o documentos que no fueran “</w:t>
      </w:r>
      <w:r w:rsidRPr="005A4FC9">
        <w:rPr>
          <w:rFonts w:ascii="Arial" w:hAnsi="Arial" w:cs="Arial"/>
          <w:i/>
          <w:color w:val="000000" w:themeColor="text1"/>
          <w:sz w:val="22"/>
          <w:lang w:val="es-ES_tradnl"/>
        </w:rPr>
        <w:t>necesarios para la comparación de propuestas</w:t>
      </w:r>
      <w:r w:rsidRPr="005A4FC9">
        <w:rPr>
          <w:rFonts w:ascii="Arial" w:hAnsi="Arial" w:cs="Arial"/>
          <w:color w:val="000000" w:themeColor="text1"/>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412932E"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Esta norma debía leerse en conjunto con otras de la Ley 80 de 1993, particularmente con el artículo 30.7</w:t>
      </w:r>
      <w:r w:rsidRPr="005A4FC9">
        <w:rPr>
          <w:rStyle w:val="Refdenotaalpie"/>
          <w:rFonts w:ascii="Arial" w:hAnsi="Arial" w:cs="Arial"/>
          <w:color w:val="000000" w:themeColor="text1"/>
          <w:sz w:val="22"/>
          <w:lang w:val="es-ES_tradnl"/>
        </w:rPr>
        <w:footnoteReference w:id="4"/>
      </w:r>
      <w:r w:rsidRPr="005A4FC9">
        <w:rPr>
          <w:rFonts w:ascii="Arial" w:hAnsi="Arial" w:cs="Arial"/>
          <w:color w:val="000000" w:themeColor="text1"/>
          <w:sz w:val="22"/>
          <w:lang w:val="es-ES_tradnl"/>
        </w:rPr>
        <w:t>, que ordena a la entidad señalar un plazo razonable para evaluar las propuestas y pedir a los proponentes, de ser necesario, que aclaren o expliquen aspectos que ofrezcan dudas y resulten indispensables para hacer la evaluación; y con el artículo 30.8</w:t>
      </w:r>
      <w:r w:rsidRPr="005A4FC9">
        <w:rPr>
          <w:rStyle w:val="Refdenotaalpie"/>
          <w:rFonts w:ascii="Arial" w:hAnsi="Arial" w:cs="Arial"/>
          <w:color w:val="000000" w:themeColor="text1"/>
          <w:sz w:val="22"/>
          <w:lang w:val="es-ES_tradnl"/>
        </w:rPr>
        <w:footnoteReference w:id="5"/>
      </w:r>
      <w:r w:rsidRPr="005A4FC9">
        <w:rPr>
          <w:rFonts w:ascii="Arial" w:hAnsi="Arial" w:cs="Arial"/>
          <w:color w:val="000000" w:themeColor="text1"/>
          <w:sz w:val="22"/>
          <w:lang w:val="es-ES_tradnl"/>
        </w:rPr>
        <w:t xml:space="preserve">, que consagró el término de 5 días hábiles para que los oferentes presenten observaciones al informe de evaluación de las propuestas, sin que sea posible completar, adicionar, modificar o mejorar la oferta.  </w:t>
      </w:r>
    </w:p>
    <w:p w14:paraId="67A51EBB"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4498CFAA" w14:textId="77777777" w:rsidR="00A20264" w:rsidRPr="005A4FC9" w:rsidRDefault="00A20264" w:rsidP="00A20264">
      <w:pPr>
        <w:spacing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lastRenderedPageBreak/>
        <w:t xml:space="preserve">En un </w:t>
      </w:r>
      <w:r w:rsidRPr="005A4FC9">
        <w:rPr>
          <w:rFonts w:ascii="Arial" w:hAnsi="Arial" w:cs="Arial"/>
          <w:i/>
          <w:color w:val="000000" w:themeColor="text1"/>
          <w:sz w:val="22"/>
          <w:lang w:val="es-ES_tradnl"/>
        </w:rPr>
        <w:t>tercer momento</w:t>
      </w:r>
      <w:r w:rsidRPr="005A4FC9">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14:paraId="35637D88" w14:textId="77777777" w:rsidR="00A20264" w:rsidRPr="005A4FC9" w:rsidRDefault="00A20264" w:rsidP="00A20264">
      <w:pPr>
        <w:spacing w:line="276" w:lineRule="auto"/>
        <w:jc w:val="both"/>
        <w:rPr>
          <w:rFonts w:ascii="Arial" w:hAnsi="Arial" w:cs="Arial"/>
          <w:color w:val="000000" w:themeColor="text1"/>
          <w:sz w:val="22"/>
          <w:lang w:val="es-ES_tradnl"/>
        </w:rPr>
      </w:pPr>
    </w:p>
    <w:p w14:paraId="44D39CE7" w14:textId="77777777" w:rsidR="00A20264" w:rsidRPr="005A4FC9" w:rsidRDefault="00A20264" w:rsidP="00A20264">
      <w:pPr>
        <w:ind w:left="709" w:right="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Parágrafo 1°. La ausencia de requisitos o la falta de documentos referentes a la futura </w:t>
      </w:r>
      <w:r w:rsidRPr="005A4FC9">
        <w:rPr>
          <w:rFonts w:ascii="Arial" w:hAnsi="Arial" w:cs="Arial"/>
          <w:color w:val="000000" w:themeColor="text1"/>
          <w:sz w:val="21"/>
          <w:szCs w:val="21"/>
          <w:lang w:val="es-ES_tradnl"/>
        </w:rPr>
        <w:t>contratación</w:t>
      </w:r>
      <w:r w:rsidRPr="005A4FC9">
        <w:rPr>
          <w:rFonts w:ascii="Arial" w:hAnsi="Arial" w:cs="Arial"/>
          <w:color w:val="000000" w:themeColor="text1"/>
          <w:sz w:val="22"/>
          <w:lang w:val="es-ES_tradnl"/>
        </w:rPr>
        <w:t xml:space="preserve"> o al proponente, no necesarios para la comparación de las propuestas no servirán de título suficiente para el rechazo de los ofrecimientos hechos. En consecuencia</w:t>
      </w:r>
      <w:r w:rsidRPr="005A4FC9">
        <w:rPr>
          <w:rFonts w:ascii="Arial" w:hAnsi="Arial" w:cs="Arial"/>
          <w:b/>
          <w:color w:val="000000" w:themeColor="text1"/>
          <w:sz w:val="22"/>
          <w:lang w:val="es-ES_tradnl"/>
        </w:rPr>
        <w:t xml:space="preserve">, </w:t>
      </w:r>
      <w:r w:rsidRPr="005A4FC9">
        <w:rPr>
          <w:rFonts w:ascii="Arial" w:hAnsi="Arial" w:cs="Arial"/>
          <w:color w:val="000000" w:themeColor="text1"/>
          <w:sz w:val="22"/>
          <w:lang w:val="es-ES_tradnl"/>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0537233D" w14:textId="77777777" w:rsidR="00A20264" w:rsidRPr="005A4FC9" w:rsidRDefault="00A20264" w:rsidP="00A20264">
      <w:pPr>
        <w:spacing w:line="276" w:lineRule="auto"/>
        <w:jc w:val="both"/>
        <w:rPr>
          <w:rFonts w:ascii="Arial" w:hAnsi="Arial" w:cs="Arial"/>
          <w:b/>
          <w:color w:val="000000" w:themeColor="text1"/>
          <w:sz w:val="22"/>
          <w:lang w:val="es-ES_tradnl"/>
        </w:rPr>
      </w:pPr>
    </w:p>
    <w:p w14:paraId="2F4F7C0E" w14:textId="77777777" w:rsidR="00A20264" w:rsidRPr="005A4FC9" w:rsidRDefault="00A20264" w:rsidP="00A20264">
      <w:pPr>
        <w:spacing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1756F4F6"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14:paraId="7E004CF7"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Si al verificar la Administración encuentra que lo omitido por el proponente es un aspecto que otorga puntaje, no es posible subsanarlo; pero, si no otorga puntaje la Administración debe requerir al proponente para que lo subsane.  </w:t>
      </w:r>
    </w:p>
    <w:p w14:paraId="6C95AA7F" w14:textId="77777777" w:rsidR="00A20264" w:rsidRPr="005A4FC9" w:rsidRDefault="00A20264" w:rsidP="00A20264">
      <w:pPr>
        <w:spacing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El artículo 5 de la Ley 1150 de 2007, además de consagrar un criterio más claro, y, de paso, reducir la discrecionalidad de la Administración, fijó un ámbito temporal para la subsanación de las ofertas: “</w:t>
      </w:r>
      <w:r w:rsidRPr="005A4FC9">
        <w:rPr>
          <w:rFonts w:ascii="Arial" w:hAnsi="Arial" w:cs="Arial"/>
          <w:i/>
          <w:color w:val="000000" w:themeColor="text1"/>
          <w:sz w:val="22"/>
          <w:lang w:val="es-ES_tradnl"/>
        </w:rPr>
        <w:t>en cualquier momento, hasta la adjudicación</w:t>
      </w:r>
      <w:r w:rsidRPr="005A4FC9">
        <w:rPr>
          <w:rFonts w:ascii="Arial" w:hAnsi="Arial" w:cs="Arial"/>
          <w:color w:val="000000" w:themeColor="text1"/>
          <w:sz w:val="22"/>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44BAB343" w14:textId="77777777" w:rsidR="00A20264" w:rsidRPr="005A4FC9" w:rsidRDefault="00A20264" w:rsidP="00A20264">
      <w:pPr>
        <w:spacing w:line="276" w:lineRule="auto"/>
        <w:jc w:val="both"/>
        <w:rPr>
          <w:rFonts w:ascii="Arial" w:hAnsi="Arial" w:cs="Arial"/>
          <w:color w:val="000000" w:themeColor="text1"/>
          <w:sz w:val="22"/>
          <w:lang w:val="es-ES_tradnl"/>
        </w:rPr>
      </w:pPr>
    </w:p>
    <w:p w14:paraId="497BE52F" w14:textId="77777777" w:rsidR="00A20264" w:rsidRPr="005A4FC9" w:rsidRDefault="00A20264" w:rsidP="00A20264">
      <w:pPr>
        <w:ind w:left="709" w:right="709"/>
        <w:jc w:val="both"/>
        <w:rPr>
          <w:rFonts w:ascii="Arial" w:hAnsi="Arial" w:cs="Arial"/>
          <w:color w:val="000000" w:themeColor="text1"/>
          <w:sz w:val="21"/>
          <w:szCs w:val="21"/>
          <w:lang w:val="es-ES_tradnl"/>
        </w:rPr>
      </w:pPr>
      <w:r w:rsidRPr="005A4FC9">
        <w:rPr>
          <w:rFonts w:ascii="Arial" w:hAnsi="Arial" w:cs="Arial"/>
          <w:color w:val="000000" w:themeColor="text1"/>
          <w:sz w:val="21"/>
          <w:szCs w:val="21"/>
          <w:lang w:val="es-ES_tradnl"/>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w:t>
      </w:r>
      <w:r w:rsidRPr="005A4FC9">
        <w:rPr>
          <w:rFonts w:ascii="Arial" w:hAnsi="Arial" w:cs="Arial"/>
          <w:color w:val="000000" w:themeColor="text1"/>
          <w:sz w:val="21"/>
          <w:szCs w:val="21"/>
          <w:lang w:val="es-ES_tradnl"/>
        </w:rPr>
        <w:lastRenderedPageBreak/>
        <w:t>presentadas las ofertas, con la condición de que cuando le pidan la acreditación la satisfaga suficientemente</w:t>
      </w:r>
      <w:r w:rsidRPr="005A4FC9">
        <w:rPr>
          <w:rStyle w:val="Refdenotaalpie"/>
          <w:rFonts w:ascii="Arial" w:hAnsi="Arial" w:cs="Arial"/>
          <w:color w:val="000000" w:themeColor="text1"/>
          <w:sz w:val="21"/>
          <w:szCs w:val="21"/>
          <w:lang w:val="es-ES_tradnl"/>
        </w:rPr>
        <w:footnoteReference w:id="6"/>
      </w:r>
      <w:r w:rsidRPr="005A4FC9">
        <w:rPr>
          <w:rFonts w:ascii="Arial" w:hAnsi="Arial" w:cs="Arial"/>
          <w:color w:val="000000" w:themeColor="text1"/>
          <w:sz w:val="21"/>
          <w:szCs w:val="21"/>
          <w:lang w:val="es-ES_tradnl"/>
        </w:rPr>
        <w:t>.</w:t>
      </w:r>
    </w:p>
    <w:p w14:paraId="31141FBB" w14:textId="77777777" w:rsidR="00A20264" w:rsidRPr="005A4FC9" w:rsidRDefault="00A20264" w:rsidP="00A20264">
      <w:pPr>
        <w:spacing w:line="276" w:lineRule="auto"/>
        <w:jc w:val="both"/>
        <w:rPr>
          <w:rFonts w:ascii="Arial" w:hAnsi="Arial" w:cs="Arial"/>
          <w:b/>
          <w:color w:val="000000" w:themeColor="text1"/>
          <w:sz w:val="22"/>
          <w:lang w:val="es-ES_tradnl"/>
        </w:rPr>
      </w:pPr>
    </w:p>
    <w:p w14:paraId="6C1212BC" w14:textId="77777777" w:rsidR="00A20264" w:rsidRPr="005A4FC9" w:rsidRDefault="00A20264" w:rsidP="00A20264">
      <w:pPr>
        <w:pStyle w:val="Textoindependiente"/>
        <w:tabs>
          <w:tab w:val="left" w:pos="284"/>
        </w:tabs>
        <w:spacing w:after="0"/>
        <w:ind w:firstLine="709"/>
        <w:jc w:val="both"/>
        <w:rPr>
          <w:rFonts w:ascii="Arial" w:eastAsiaTheme="minorHAnsi" w:hAnsi="Arial" w:cs="Arial"/>
          <w:color w:val="000000" w:themeColor="text1"/>
          <w:lang w:val="es-ES_tradnl" w:eastAsia="en-US"/>
        </w:rPr>
      </w:pPr>
      <w:r w:rsidRPr="005A4FC9">
        <w:rPr>
          <w:rFonts w:ascii="Arial" w:eastAsiaTheme="minorHAnsi" w:hAnsi="Arial" w:cs="Arial"/>
          <w:color w:val="000000" w:themeColor="text1"/>
          <w:lang w:val="es-ES_tradnl" w:eastAsia="en-US"/>
        </w:rPr>
        <w:t xml:space="preserve">Esa interpretación fue compartida por la </w:t>
      </w:r>
      <w:r w:rsidRPr="005A4FC9">
        <w:rPr>
          <w:rFonts w:ascii="Arial" w:hAnsi="Arial" w:cs="Arial"/>
          <w:color w:val="000000" w:themeColor="text1"/>
          <w:lang w:val="es-ES_tradnl"/>
        </w:rPr>
        <w:t>Agencia Nacional de Contratación Pública – Colombia Compra Eficiente</w:t>
      </w:r>
      <w:r w:rsidRPr="005A4FC9">
        <w:rPr>
          <w:rFonts w:ascii="Arial" w:eastAsiaTheme="minorHAnsi" w:hAnsi="Arial" w:cs="Arial"/>
          <w:color w:val="000000" w:themeColor="text1"/>
          <w:lang w:val="es-ES_tradnl" w:eastAsia="en-U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0C65B348" w14:textId="77777777" w:rsidR="00A20264" w:rsidRPr="005A4FC9" w:rsidRDefault="00A20264" w:rsidP="00A20264">
      <w:pPr>
        <w:pStyle w:val="Textoindependiente"/>
        <w:tabs>
          <w:tab w:val="left" w:pos="284"/>
        </w:tabs>
        <w:spacing w:before="120" w:after="0"/>
        <w:ind w:firstLine="709"/>
        <w:jc w:val="both"/>
        <w:rPr>
          <w:rFonts w:ascii="Arial" w:eastAsiaTheme="minorHAnsi" w:hAnsi="Arial" w:cs="Arial"/>
          <w:color w:val="000000" w:themeColor="text1"/>
          <w:lang w:val="es-ES_tradnl" w:eastAsia="en-US"/>
        </w:rPr>
      </w:pPr>
      <w:r w:rsidRPr="005A4FC9">
        <w:rPr>
          <w:rFonts w:ascii="Arial" w:hAnsi="Arial" w:cs="Arial"/>
          <w:color w:val="000000" w:themeColor="text1"/>
          <w:lang w:val="es-ES_tradnl"/>
        </w:rPr>
        <w:t xml:space="preserve">En un </w:t>
      </w:r>
      <w:r w:rsidRPr="005A4FC9">
        <w:rPr>
          <w:rFonts w:ascii="Arial" w:hAnsi="Arial" w:cs="Arial"/>
          <w:i/>
          <w:color w:val="000000" w:themeColor="text1"/>
          <w:lang w:val="es-ES_tradnl"/>
        </w:rPr>
        <w:t>cuarto momento</w:t>
      </w:r>
      <w:r w:rsidRPr="005A4FC9">
        <w:rPr>
          <w:rFonts w:ascii="Arial" w:hAnsi="Arial" w:cs="Arial"/>
          <w:color w:val="000000" w:themeColor="text1"/>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349B83BC" w14:textId="77777777" w:rsidR="00A20264" w:rsidRPr="005A4FC9" w:rsidRDefault="00A20264" w:rsidP="00A20264">
      <w:pPr>
        <w:spacing w:line="276" w:lineRule="auto"/>
        <w:jc w:val="both"/>
        <w:rPr>
          <w:rFonts w:ascii="Arial" w:hAnsi="Arial" w:cs="Arial"/>
          <w:color w:val="000000" w:themeColor="text1"/>
          <w:sz w:val="22"/>
          <w:lang w:val="es-ES_tradnl"/>
        </w:rPr>
      </w:pPr>
    </w:p>
    <w:p w14:paraId="4D198E13" w14:textId="77777777" w:rsidR="00A20264" w:rsidRPr="005A4FC9" w:rsidRDefault="00A20264" w:rsidP="00A20264">
      <w:pPr>
        <w:ind w:left="709" w:right="709"/>
        <w:jc w:val="both"/>
        <w:rPr>
          <w:rFonts w:ascii="Arial" w:hAnsi="Arial" w:cs="Arial"/>
          <w:color w:val="000000" w:themeColor="text1"/>
          <w:sz w:val="21"/>
          <w:szCs w:val="21"/>
          <w:lang w:val="es-ES_tradnl"/>
        </w:rPr>
      </w:pPr>
      <w:r w:rsidRPr="005A4FC9">
        <w:rPr>
          <w:rFonts w:ascii="Arial" w:hAnsi="Arial" w:cs="Arial"/>
          <w:color w:val="000000" w:themeColor="text1"/>
          <w:sz w:val="21"/>
          <w:szCs w:val="21"/>
          <w:lang w:val="es-ES_tradnl"/>
        </w:rPr>
        <w:t xml:space="preserve">Artículo 5°. De la selección objetiva. </w:t>
      </w:r>
    </w:p>
    <w:p w14:paraId="686C5361" w14:textId="77777777" w:rsidR="00A20264" w:rsidRPr="005A4FC9" w:rsidRDefault="00A20264" w:rsidP="00A20264">
      <w:pPr>
        <w:ind w:left="709" w:right="709"/>
        <w:jc w:val="both"/>
        <w:rPr>
          <w:rFonts w:ascii="Arial" w:hAnsi="Arial" w:cs="Arial"/>
          <w:color w:val="000000" w:themeColor="text1"/>
          <w:sz w:val="21"/>
          <w:szCs w:val="21"/>
          <w:lang w:val="es-ES_tradnl"/>
        </w:rPr>
      </w:pPr>
      <w:r w:rsidRPr="005A4FC9">
        <w:rPr>
          <w:rFonts w:ascii="Arial" w:hAnsi="Arial" w:cs="Arial"/>
          <w:color w:val="000000" w:themeColor="text1"/>
          <w:sz w:val="21"/>
          <w:szCs w:val="21"/>
          <w:lang w:val="es-ES_tradnl"/>
        </w:rPr>
        <w:t xml:space="preserve">(... ) </w:t>
      </w:r>
    </w:p>
    <w:p w14:paraId="1EC7A055" w14:textId="77777777" w:rsidR="00A20264" w:rsidRPr="005A4FC9" w:rsidRDefault="00A20264" w:rsidP="00A20264">
      <w:pPr>
        <w:ind w:left="709" w:right="709"/>
        <w:jc w:val="both"/>
        <w:rPr>
          <w:rFonts w:ascii="Arial" w:hAnsi="Arial" w:cs="Arial"/>
          <w:color w:val="000000" w:themeColor="text1"/>
          <w:sz w:val="21"/>
          <w:szCs w:val="21"/>
          <w:lang w:val="es-ES_tradnl"/>
        </w:rPr>
      </w:pPr>
    </w:p>
    <w:p w14:paraId="6B5EAC86" w14:textId="77777777" w:rsidR="00A20264" w:rsidRPr="005A4FC9" w:rsidRDefault="00A20264" w:rsidP="00A20264">
      <w:pPr>
        <w:ind w:left="709" w:right="709"/>
        <w:jc w:val="both"/>
        <w:rPr>
          <w:rFonts w:ascii="Arial" w:hAnsi="Arial" w:cs="Arial"/>
          <w:color w:val="000000" w:themeColor="text1"/>
          <w:sz w:val="21"/>
          <w:szCs w:val="21"/>
          <w:lang w:val="es-ES_tradnl"/>
        </w:rPr>
      </w:pPr>
      <w:r w:rsidRPr="005A4FC9">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2A0D941B" w14:textId="77777777" w:rsidR="00A20264" w:rsidRPr="005A4FC9" w:rsidRDefault="00A20264" w:rsidP="00A20264">
      <w:pPr>
        <w:spacing w:line="276" w:lineRule="auto"/>
        <w:jc w:val="both"/>
        <w:rPr>
          <w:rFonts w:ascii="Arial" w:hAnsi="Arial" w:cs="Arial"/>
          <w:b/>
          <w:color w:val="000000" w:themeColor="text1"/>
          <w:sz w:val="22"/>
          <w:lang w:val="es-ES_tradnl"/>
        </w:rPr>
      </w:pPr>
    </w:p>
    <w:p w14:paraId="65F79A5C" w14:textId="77777777" w:rsidR="00A20264" w:rsidRPr="005A4FC9" w:rsidRDefault="00A20264" w:rsidP="00A20264">
      <w:pPr>
        <w:spacing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Esta norma: i) mantiene el criterio de la Ley 80 de 1993, relativo a que todo lo que no sea necesario para la comparación de propuestas no es título suficiente para su rechazo; </w:t>
      </w:r>
      <w:proofErr w:type="spellStart"/>
      <w:r w:rsidRPr="005A4FC9">
        <w:rPr>
          <w:rFonts w:ascii="Arial" w:hAnsi="Arial" w:cs="Arial"/>
          <w:color w:val="000000" w:themeColor="text1"/>
          <w:sz w:val="22"/>
          <w:lang w:val="es-ES_tradnl"/>
        </w:rPr>
        <w:t>ii</w:t>
      </w:r>
      <w:proofErr w:type="spellEnd"/>
      <w:r w:rsidRPr="005A4FC9">
        <w:rPr>
          <w:rFonts w:ascii="Arial" w:hAnsi="Arial" w:cs="Arial"/>
          <w:color w:val="000000" w:themeColor="text1"/>
          <w:sz w:val="22"/>
          <w:lang w:val="es-ES_tradnl"/>
        </w:rPr>
        <w:t xml:space="preserve">) mantiene el criterio aclaratorio de la Ley 1150 de 2007, según el cual todo lo que no afecte la asignación de puntaje puede subsanarse e </w:t>
      </w:r>
      <w:proofErr w:type="spellStart"/>
      <w:r w:rsidRPr="005A4FC9">
        <w:rPr>
          <w:rFonts w:ascii="Arial" w:hAnsi="Arial" w:cs="Arial"/>
          <w:color w:val="000000" w:themeColor="text1"/>
          <w:sz w:val="22"/>
          <w:lang w:val="es-ES_tradnl"/>
        </w:rPr>
        <w:t>iii</w:t>
      </w:r>
      <w:proofErr w:type="spellEnd"/>
      <w:r w:rsidRPr="005A4FC9">
        <w:rPr>
          <w:rFonts w:ascii="Arial" w:hAnsi="Arial" w:cs="Arial"/>
          <w:color w:val="000000" w:themeColor="text1"/>
          <w:sz w:val="22"/>
          <w:lang w:val="es-ES_tradnl"/>
        </w:rPr>
        <w:t xml:space="preserve">) introduce modificaciones en relación con cuatro aspectos que se analizarán a continuación. </w:t>
      </w:r>
    </w:p>
    <w:p w14:paraId="66E9B15B"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w:t>
      </w:r>
      <w:r w:rsidRPr="005A4FC9">
        <w:rPr>
          <w:rFonts w:ascii="Arial" w:hAnsi="Arial" w:cs="Arial"/>
          <w:color w:val="000000" w:themeColor="text1"/>
          <w:sz w:val="22"/>
          <w:lang w:val="es-ES_tradnl"/>
        </w:rPr>
        <w:lastRenderedPageBreak/>
        <w:t xml:space="preserve">selección. La excepción es que el anterior límite no aplica para los procesos de mínima cuantía y para el proceso </w:t>
      </w:r>
      <w:r w:rsidRPr="005A4FC9">
        <w:rPr>
          <w:rFonts w:ascii="Arial" w:eastAsia="Calibri" w:hAnsi="Arial" w:cs="Arial"/>
          <w:color w:val="000000" w:themeColor="text1"/>
          <w:sz w:val="22"/>
          <w:lang w:val="es-ES_tradnl"/>
        </w:rPr>
        <w:t>de selección a través del sistema de subasta</w:t>
      </w:r>
      <w:r w:rsidRPr="005A4FC9">
        <w:rPr>
          <w:rStyle w:val="Refdenotaalpie"/>
          <w:rFonts w:ascii="Arial" w:eastAsia="Calibri" w:hAnsi="Arial" w:cs="Arial"/>
          <w:color w:val="000000" w:themeColor="text1"/>
          <w:sz w:val="22"/>
          <w:lang w:val="es-ES_tradnl"/>
        </w:rPr>
        <w:footnoteReference w:id="7"/>
      </w:r>
      <w:r w:rsidRPr="005A4FC9">
        <w:rPr>
          <w:rFonts w:ascii="Arial" w:eastAsia="Calibri" w:hAnsi="Arial" w:cs="Arial"/>
          <w:color w:val="000000" w:themeColor="text1"/>
          <w:sz w:val="22"/>
          <w:lang w:val="es-ES_tradnl"/>
        </w:rPr>
        <w:t xml:space="preserve">; en el último los documentos o requisitos subsanables pueden y deben solicitarse hasta el momento previo a su realización.  </w:t>
      </w:r>
    </w:p>
    <w:p w14:paraId="2E45EC84"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eastAsia="Calibri" w:hAnsi="Arial" w:cs="Arial"/>
          <w:color w:val="000000" w:themeColor="text1"/>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4B8F527A"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eastAsia="Calibri" w:hAnsi="Arial" w:cs="Arial"/>
          <w:color w:val="000000" w:themeColor="text1"/>
          <w:sz w:val="22"/>
          <w:lang w:val="es-ES_tradnl"/>
        </w:rPr>
        <w:t>En efecto, la redacción de la norma permite que la Administración solicite a los oferentes subsanar y que estos lo hagan hasta antes del término del traslado del informe de evaluación: “</w:t>
      </w:r>
      <w:r w:rsidRPr="005A4FC9">
        <w:rPr>
          <w:rFonts w:ascii="Arial" w:hAnsi="Arial" w:cs="Arial"/>
          <w:i/>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5A4FC9">
        <w:rPr>
          <w:rFonts w:ascii="Arial" w:hAnsi="Arial" w:cs="Arial"/>
          <w:color w:val="000000" w:themeColor="text1"/>
          <w:sz w:val="22"/>
          <w:lang w:val="es-ES_tradnl"/>
        </w:rPr>
        <w:t xml:space="preserve">”. </w:t>
      </w:r>
    </w:p>
    <w:p w14:paraId="545BF9F2"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5A4FC9">
        <w:rPr>
          <w:rFonts w:ascii="Arial" w:hAnsi="Arial" w:cs="Arial"/>
          <w:color w:val="000000" w:themeColor="text1"/>
          <w:sz w:val="22"/>
          <w:lang w:val="es-ES_tradnl"/>
        </w:rPr>
        <w:t>subsanabilidad</w:t>
      </w:r>
      <w:proofErr w:type="spellEnd"/>
      <w:r w:rsidRPr="005A4FC9">
        <w:rPr>
          <w:rFonts w:ascii="Arial" w:hAnsi="Arial" w:cs="Arial"/>
          <w:color w:val="000000" w:themeColor="text1"/>
          <w:sz w:val="22"/>
          <w:lang w:val="es-ES_tradnl"/>
        </w:rPr>
        <w:t xml:space="preserve"> de las ofertas. </w:t>
      </w:r>
      <w:r w:rsidRPr="005A4FC9">
        <w:rPr>
          <w:rFonts w:ascii="Arial" w:hAnsi="Arial" w:cs="Arial"/>
          <w:i/>
          <w:iCs/>
          <w:color w:val="000000" w:themeColor="text1"/>
          <w:sz w:val="22"/>
          <w:lang w:val="es-ES_tradnl"/>
        </w:rPr>
        <w:t>Primera</w:t>
      </w:r>
      <w:r w:rsidRPr="005A4FC9">
        <w:rPr>
          <w:rFonts w:ascii="Arial" w:hAnsi="Arial" w:cs="Arial"/>
          <w:color w:val="000000" w:themeColor="text1"/>
          <w:sz w:val="22"/>
          <w:lang w:val="es-ES_tradn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5A4FC9">
        <w:rPr>
          <w:rFonts w:ascii="Arial" w:hAnsi="Arial" w:cs="Arial"/>
          <w:i/>
          <w:iCs/>
          <w:color w:val="000000" w:themeColor="text1"/>
          <w:sz w:val="22"/>
          <w:lang w:val="es-ES_tradnl"/>
        </w:rPr>
        <w:t>segunda</w:t>
      </w:r>
      <w:r w:rsidRPr="005A4FC9">
        <w:rPr>
          <w:rFonts w:ascii="Arial" w:hAnsi="Arial" w:cs="Arial"/>
          <w:color w:val="000000" w:themeColor="text1"/>
          <w:sz w:val="22"/>
          <w:lang w:val="es-ES_tradnl"/>
        </w:rPr>
        <w:t xml:space="preserve">, que el término del traslado del informe de evaluación es el límite para la subsanación de ofertas, pero no el único momento para hacerlo. </w:t>
      </w:r>
    </w:p>
    <w:p w14:paraId="67909AC5"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318E59F3"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3D1D85B6"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En criterio de esta Subdirección, la segunda interpretación es la que más se ajusta a la norma, pero, además, es la más conveniente para el desarrollo del proceso de </w:t>
      </w:r>
      <w:r w:rsidRPr="005A4FC9">
        <w:rPr>
          <w:rFonts w:ascii="Arial" w:hAnsi="Arial" w:cs="Arial"/>
          <w:color w:val="000000" w:themeColor="text1"/>
          <w:sz w:val="22"/>
          <w:lang w:val="es-ES_tradnl"/>
        </w:rPr>
        <w:lastRenderedPageBreak/>
        <w:t xml:space="preserve">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309F6711"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6E41C9BF" w14:textId="77777777" w:rsidR="00A20264" w:rsidRPr="005A4FC9" w:rsidRDefault="00A20264" w:rsidP="00A20264">
      <w:pPr>
        <w:spacing w:before="120" w:after="120" w:line="276" w:lineRule="auto"/>
        <w:ind w:firstLine="709"/>
        <w:jc w:val="both"/>
        <w:rPr>
          <w:rFonts w:ascii="Arial" w:hAnsi="Arial" w:cs="Arial"/>
          <w:color w:val="000000" w:themeColor="text1"/>
          <w:sz w:val="22"/>
          <w:lang w:val="es-ES_tradnl"/>
        </w:rPr>
      </w:pPr>
      <w:r w:rsidRPr="005A4FC9">
        <w:rPr>
          <w:rFonts w:ascii="Arial" w:eastAsia="Calibri" w:hAnsi="Arial"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Pr="005A4FC9">
        <w:rPr>
          <w:rFonts w:ascii="Arial" w:eastAsia="Calibri" w:hAnsi="Arial" w:cs="Arial"/>
          <w:i/>
          <w:iCs/>
          <w:color w:val="000000" w:themeColor="text1"/>
          <w:sz w:val="22"/>
          <w:lang w:val="es-ES_tradnl"/>
        </w:rPr>
        <w:t>«</w:t>
      </w:r>
      <w:r w:rsidRPr="005A4FC9">
        <w:rPr>
          <w:rFonts w:ascii="Arial" w:hAnsi="Arial" w:cs="Arial"/>
          <w:i/>
          <w:iCs/>
          <w:color w:val="000000" w:themeColor="text1"/>
          <w:sz w:val="22"/>
          <w:lang w:val="es-ES_tradnl"/>
        </w:rPr>
        <w:t>los proponentes no podrán acreditar circunstancias ocurridas con posterioridad al cierre del proceso»</w:t>
      </w:r>
      <w:r w:rsidRPr="005A4FC9">
        <w:rPr>
          <w:rFonts w:ascii="Arial" w:hAnsi="Arial" w:cs="Arial"/>
          <w:b/>
          <w:i/>
          <w:iCs/>
          <w:color w:val="000000" w:themeColor="text1"/>
          <w:sz w:val="22"/>
          <w:lang w:val="es-ES_tradnl"/>
        </w:rPr>
        <w:t>.</w:t>
      </w:r>
      <w:r w:rsidRPr="005A4FC9">
        <w:rPr>
          <w:rFonts w:ascii="Arial" w:hAnsi="Arial" w:cs="Arial"/>
          <w:b/>
          <w:color w:val="000000" w:themeColor="text1"/>
          <w:sz w:val="22"/>
          <w:lang w:val="es-ES_tradnl"/>
        </w:rPr>
        <w:t xml:space="preserve"> </w:t>
      </w:r>
      <w:r w:rsidRPr="005A4FC9">
        <w:rPr>
          <w:rFonts w:ascii="Arial" w:hAnsi="Arial" w:cs="Arial"/>
          <w:color w:val="000000" w:themeColor="text1"/>
          <w:sz w:val="22"/>
          <w:lang w:val="es-ES_tradnl"/>
        </w:rPr>
        <w:t xml:space="preserve">Lo anterior ofrece dos aspectos que merecen clarificación: </w:t>
      </w:r>
      <w:r w:rsidRPr="005A4FC9">
        <w:rPr>
          <w:rFonts w:ascii="Arial" w:hAnsi="Arial" w:cs="Arial"/>
          <w:i/>
          <w:iCs/>
          <w:color w:val="000000" w:themeColor="text1"/>
          <w:sz w:val="22"/>
          <w:lang w:val="es-ES_tradnl"/>
        </w:rPr>
        <w:t>primero</w:t>
      </w:r>
      <w:r w:rsidRPr="005A4FC9">
        <w:rPr>
          <w:rFonts w:ascii="Arial" w:hAnsi="Arial" w:cs="Arial"/>
          <w:color w:val="000000" w:themeColor="text1"/>
          <w:sz w:val="22"/>
          <w:lang w:val="es-ES_tradnl"/>
        </w:rPr>
        <w:t xml:space="preserve">, qué debe entenderse por circunstancias ocurridas con posterioridad; y </w:t>
      </w:r>
      <w:r w:rsidRPr="005A4FC9">
        <w:rPr>
          <w:rFonts w:ascii="Arial" w:hAnsi="Arial" w:cs="Arial"/>
          <w:i/>
          <w:iCs/>
          <w:color w:val="000000" w:themeColor="text1"/>
          <w:sz w:val="22"/>
          <w:lang w:val="es-ES_tradnl"/>
        </w:rPr>
        <w:t>segundo</w:t>
      </w:r>
      <w:r w:rsidRPr="005A4FC9">
        <w:rPr>
          <w:rFonts w:ascii="Arial" w:hAnsi="Arial" w:cs="Arial"/>
          <w:color w:val="000000" w:themeColor="text1"/>
          <w:sz w:val="22"/>
          <w:lang w:val="es-ES_tradnl"/>
        </w:rPr>
        <w:t xml:space="preserve">, qué es el cierre del proceso. </w:t>
      </w:r>
    </w:p>
    <w:p w14:paraId="6CE584AB" w14:textId="77777777" w:rsidR="00A20264" w:rsidRPr="005A4FC9" w:rsidRDefault="00A20264" w:rsidP="00A20264">
      <w:pPr>
        <w:spacing w:line="276" w:lineRule="auto"/>
        <w:ind w:firstLine="709"/>
        <w:jc w:val="both"/>
        <w:rPr>
          <w:rFonts w:ascii="Arial" w:hAnsi="Arial" w:cs="Arial"/>
          <w:color w:val="000000" w:themeColor="text1"/>
          <w:sz w:val="22"/>
          <w:lang w:val="es-ES_tradnl"/>
        </w:rPr>
      </w:pPr>
      <w:r w:rsidRPr="005A4FC9">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5A4FC9">
        <w:rPr>
          <w:rStyle w:val="Refdenotaalpie"/>
          <w:rFonts w:ascii="Arial" w:hAnsi="Arial" w:cs="Arial"/>
          <w:color w:val="000000" w:themeColor="text1"/>
          <w:sz w:val="22"/>
          <w:lang w:val="es-ES_tradnl"/>
        </w:rPr>
        <w:footnoteReference w:id="8"/>
      </w:r>
      <w:r w:rsidRPr="005A4FC9">
        <w:rPr>
          <w:rFonts w:ascii="Arial" w:hAnsi="Arial" w:cs="Arial"/>
          <w:color w:val="000000" w:themeColor="text1"/>
          <w:sz w:val="22"/>
          <w:lang w:val="es-ES_tradnl"/>
        </w:rPr>
        <w:t xml:space="preserve">, que había determinado que en ningún </w:t>
      </w:r>
      <w:r w:rsidRPr="005A4FC9">
        <w:rPr>
          <w:rFonts w:ascii="Arial" w:hAnsi="Arial" w:cs="Arial"/>
          <w:color w:val="000000" w:themeColor="text1"/>
          <w:sz w:val="22"/>
          <w:lang w:val="es-ES_tradnl"/>
        </w:rPr>
        <w:lastRenderedPageBreak/>
        <w:t xml:space="preserve">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3C1F7DB2" w14:textId="77777777" w:rsidR="00A20264" w:rsidRPr="005A4FC9" w:rsidRDefault="00A20264" w:rsidP="00A20264">
      <w:pPr>
        <w:ind w:left="709" w:right="709"/>
        <w:jc w:val="both"/>
        <w:rPr>
          <w:rFonts w:ascii="Arial" w:hAnsi="Arial" w:cs="Arial"/>
          <w:color w:val="000000" w:themeColor="text1"/>
          <w:sz w:val="21"/>
          <w:szCs w:val="21"/>
          <w:lang w:val="es-ES_tradnl"/>
        </w:rPr>
      </w:pPr>
    </w:p>
    <w:p w14:paraId="1F25ECF5" w14:textId="77777777" w:rsidR="00A20264" w:rsidRPr="005A4FC9" w:rsidRDefault="00A20264" w:rsidP="00A20264">
      <w:pPr>
        <w:ind w:left="709" w:right="709"/>
        <w:jc w:val="both"/>
        <w:rPr>
          <w:rFonts w:ascii="Arial" w:hAnsi="Arial" w:cs="Arial"/>
          <w:color w:val="000000" w:themeColor="text1"/>
          <w:sz w:val="21"/>
          <w:szCs w:val="21"/>
          <w:lang w:val="es-ES_tradnl"/>
        </w:rPr>
      </w:pPr>
      <w:r w:rsidRPr="005A4FC9">
        <w:rPr>
          <w:rFonts w:ascii="Arial" w:hAnsi="Arial" w:cs="Arial"/>
          <w:color w:val="000000" w:themeColor="text1"/>
          <w:sz w:val="21"/>
          <w:szCs w:val="21"/>
          <w:lang w:val="es-ES_tradnl"/>
        </w:rPr>
        <w:t xml:space="preserve">Sin embargo, debe tenerse en cuenta que la última norma en cita -Decreto 2474 de 2008, aparte subrayado-, establece un límite a la </w:t>
      </w:r>
      <w:proofErr w:type="spellStart"/>
      <w:r w:rsidRPr="005A4FC9">
        <w:rPr>
          <w:rFonts w:ascii="Arial" w:hAnsi="Arial" w:cs="Arial"/>
          <w:color w:val="000000" w:themeColor="text1"/>
          <w:sz w:val="21"/>
          <w:szCs w:val="21"/>
          <w:lang w:val="es-ES_tradnl"/>
        </w:rPr>
        <w:t>subsanabilidad</w:t>
      </w:r>
      <w:proofErr w:type="spellEnd"/>
      <w:r w:rsidRPr="005A4FC9">
        <w:rPr>
          <w:rFonts w:ascii="Arial" w:hAnsi="Arial" w:cs="Arial"/>
          <w:color w:val="000000" w:themeColor="text1"/>
          <w:sz w:val="21"/>
          <w:szCs w:val="21"/>
          <w:lang w:val="es-ES_tradnl"/>
        </w:rPr>
        <w:t>, puesto que en cualquier caso debe referirse o recaer sobre circunstancias ocurridas antes del cierre del respectivo proceso, esto es, del vencimiento del plazo para presentar ofertas.</w:t>
      </w:r>
    </w:p>
    <w:p w14:paraId="0D003DF0" w14:textId="77777777" w:rsidR="00A20264" w:rsidRPr="005A4FC9" w:rsidRDefault="00A20264" w:rsidP="00A20264">
      <w:pPr>
        <w:ind w:left="709" w:right="709"/>
        <w:jc w:val="both"/>
        <w:rPr>
          <w:rFonts w:ascii="Arial" w:hAnsi="Arial" w:cs="Arial"/>
          <w:color w:val="000000" w:themeColor="text1"/>
          <w:sz w:val="21"/>
          <w:szCs w:val="21"/>
          <w:lang w:val="es-ES_tradnl"/>
        </w:rPr>
      </w:pPr>
      <w:r w:rsidRPr="005A4FC9">
        <w:rPr>
          <w:rFonts w:ascii="Arial" w:hAnsi="Arial" w:cs="Arial"/>
          <w:color w:val="000000" w:themeColor="text1"/>
          <w:sz w:val="21"/>
          <w:szCs w:val="21"/>
          <w:lang w:val="es-ES_tradnl"/>
        </w:rPr>
        <w:t> </w:t>
      </w:r>
    </w:p>
    <w:p w14:paraId="5D54C5E0" w14:textId="77777777" w:rsidR="00A20264" w:rsidRPr="005A4FC9" w:rsidRDefault="00A20264" w:rsidP="00A20264">
      <w:pPr>
        <w:ind w:left="709" w:right="709"/>
        <w:jc w:val="both"/>
        <w:rPr>
          <w:rFonts w:ascii="Arial" w:hAnsi="Arial" w:cs="Arial"/>
          <w:color w:val="000000" w:themeColor="text1"/>
          <w:sz w:val="21"/>
          <w:szCs w:val="21"/>
          <w:lang w:val="es-ES_tradnl"/>
        </w:rPr>
      </w:pPr>
      <w:r w:rsidRPr="005A4FC9">
        <w:rPr>
          <w:rFonts w:ascii="Arial" w:hAnsi="Arial" w:cs="Arial"/>
          <w:color w:val="000000" w:themeColor="text1"/>
          <w:sz w:val="21"/>
          <w:szCs w:val="21"/>
          <w:lang w:val="es-ES_tradnl"/>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5A4FC9">
        <w:rPr>
          <w:rStyle w:val="Refdenotaalpie"/>
          <w:rFonts w:ascii="Arial" w:hAnsi="Arial" w:cs="Arial"/>
          <w:color w:val="000000" w:themeColor="text1"/>
          <w:sz w:val="21"/>
          <w:szCs w:val="21"/>
          <w:lang w:val="es-ES_tradnl"/>
        </w:rPr>
        <w:footnoteReference w:id="9"/>
      </w:r>
      <w:r w:rsidRPr="005A4FC9">
        <w:rPr>
          <w:rFonts w:ascii="Arial" w:hAnsi="Arial" w:cs="Arial"/>
          <w:color w:val="000000" w:themeColor="text1"/>
          <w:sz w:val="21"/>
          <w:szCs w:val="21"/>
          <w:lang w:val="es-ES_tradnl"/>
        </w:rPr>
        <w:t>.</w:t>
      </w:r>
    </w:p>
    <w:p w14:paraId="18380A3A" w14:textId="77777777" w:rsidR="00A20264" w:rsidRPr="005A4FC9" w:rsidRDefault="00A20264" w:rsidP="00A20264">
      <w:pPr>
        <w:spacing w:line="276" w:lineRule="auto"/>
        <w:jc w:val="both"/>
        <w:rPr>
          <w:rFonts w:ascii="Arial" w:hAnsi="Arial" w:cs="Arial"/>
          <w:color w:val="000000" w:themeColor="text1"/>
          <w:sz w:val="22"/>
          <w:lang w:val="es-ES_tradnl"/>
        </w:rPr>
      </w:pPr>
    </w:p>
    <w:p w14:paraId="38ED2378" w14:textId="77777777" w:rsidR="00A20264" w:rsidRPr="005A4FC9" w:rsidRDefault="00A20264" w:rsidP="00A20264">
      <w:pPr>
        <w:spacing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C76889C"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5A4FC9">
        <w:rPr>
          <w:rFonts w:ascii="Arial" w:eastAsia="Calibri" w:hAnsi="Arial" w:cs="Arial"/>
          <w:color w:val="000000" w:themeColor="text1"/>
          <w:sz w:val="22"/>
          <w:lang w:val="es-ES_tradnl"/>
        </w:rPr>
        <w:t>subsanabilidad</w:t>
      </w:r>
      <w:proofErr w:type="spellEnd"/>
      <w:r w:rsidRPr="005A4FC9">
        <w:rPr>
          <w:rFonts w:ascii="Arial" w:eastAsia="Calibri" w:hAnsi="Arial" w:cs="Arial"/>
          <w:color w:val="000000" w:themeColor="text1"/>
          <w:sz w:val="22"/>
          <w:lang w:val="es-ES_tradnl"/>
        </w:rPr>
        <w:t xml:space="preserve"> de las ofertas, una cosa es el requisito habilitante o el elemento de la propuesta y otra su prueba. Lo que prohíbe la </w:t>
      </w:r>
      <w:r w:rsidRPr="005A4FC9">
        <w:rPr>
          <w:rFonts w:ascii="Arial" w:eastAsia="Calibri" w:hAnsi="Arial" w:cs="Arial"/>
          <w:color w:val="000000" w:themeColor="text1"/>
          <w:sz w:val="22"/>
          <w:lang w:val="es-ES_tradnl"/>
        </w:rPr>
        <w:lastRenderedPageBreak/>
        <w:t xml:space="preserve">norma es que se subsanen requisitos que no estaban cumplidos al momento de presentar la oferta, o en palabras de la ley, que se acrediten hechos que ocurrieron después del cierre del proceso. </w:t>
      </w:r>
    </w:p>
    <w:p w14:paraId="6A63B697"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Por ejemplo: </w:t>
      </w:r>
    </w:p>
    <w:p w14:paraId="0E60AAAE"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
    <w:p w14:paraId="2D80974D"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ES_tradnl"/>
        </w:rPr>
      </w:pPr>
      <w:proofErr w:type="spellStart"/>
      <w:r w:rsidRPr="005A4FC9">
        <w:rPr>
          <w:rFonts w:ascii="Arial" w:eastAsia="Calibri" w:hAnsi="Arial" w:cs="Arial"/>
          <w:color w:val="000000" w:themeColor="text1"/>
          <w:sz w:val="22"/>
          <w:lang w:val="es-ES_tradnl"/>
        </w:rPr>
        <w:t>ii</w:t>
      </w:r>
      <w:proofErr w:type="spellEnd"/>
      <w:r w:rsidRPr="005A4FC9">
        <w:rPr>
          <w:rFonts w:ascii="Arial" w:eastAsia="Calibri" w:hAnsi="Arial" w:cs="Arial"/>
          <w:color w:val="000000" w:themeColor="text1"/>
          <w:sz w:val="22"/>
          <w:lang w:val="es-ES_tradnl"/>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5A4FC9">
        <w:rPr>
          <w:rStyle w:val="Refdenotaalpie"/>
          <w:rFonts w:ascii="Arial" w:eastAsia="Calibri" w:hAnsi="Arial" w:cs="Arial"/>
          <w:color w:val="000000" w:themeColor="text1"/>
          <w:sz w:val="22"/>
          <w:lang w:val="es-ES_tradnl"/>
        </w:rPr>
        <w:footnoteReference w:id="10"/>
      </w:r>
      <w:r w:rsidRPr="005A4FC9">
        <w:rPr>
          <w:rFonts w:ascii="Arial" w:eastAsia="Calibri" w:hAnsi="Arial" w:cs="Arial"/>
          <w:color w:val="000000" w:themeColor="text1"/>
          <w:sz w:val="22"/>
          <w:lang w:val="es-ES_tradnl"/>
        </w:rPr>
        <w:t xml:space="preserve">; </w:t>
      </w:r>
    </w:p>
    <w:p w14:paraId="39392064"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ES_tradnl"/>
        </w:rPr>
      </w:pPr>
      <w:proofErr w:type="spellStart"/>
      <w:r w:rsidRPr="005A4FC9">
        <w:rPr>
          <w:rFonts w:ascii="Arial" w:eastAsia="Calibri" w:hAnsi="Arial" w:cs="Arial"/>
          <w:color w:val="000000" w:themeColor="text1"/>
          <w:sz w:val="22"/>
          <w:lang w:val="es-ES_tradnl"/>
        </w:rPr>
        <w:t>iii</w:t>
      </w:r>
      <w:proofErr w:type="spellEnd"/>
      <w:r w:rsidRPr="005A4FC9">
        <w:rPr>
          <w:rFonts w:ascii="Arial" w:eastAsia="Calibri" w:hAnsi="Arial" w:cs="Arial"/>
          <w:color w:val="000000" w:themeColor="text1"/>
          <w:sz w:val="22"/>
          <w:lang w:val="es-ES_tradnl"/>
        </w:rPr>
        <w:t>) si un oferente no anexó el certificado de existencia y representación legal, el documento aportado con posterioridad debe dar cuenta de que la sociedad existe desde antes del cierre del proceso</w:t>
      </w:r>
      <w:r w:rsidRPr="005A4FC9">
        <w:rPr>
          <w:rStyle w:val="Refdenotaalpie"/>
          <w:rFonts w:ascii="Arial" w:eastAsia="Calibri" w:hAnsi="Arial" w:cs="Arial"/>
          <w:color w:val="000000" w:themeColor="text1"/>
          <w:sz w:val="22"/>
          <w:lang w:val="es-ES_tradnl"/>
        </w:rPr>
        <w:footnoteReference w:id="11"/>
      </w:r>
      <w:r w:rsidRPr="005A4FC9">
        <w:rPr>
          <w:rFonts w:ascii="Arial" w:eastAsia="Calibri" w:hAnsi="Arial" w:cs="Arial"/>
          <w:color w:val="000000" w:themeColor="text1"/>
          <w:sz w:val="22"/>
          <w:lang w:val="es-ES_tradnl"/>
        </w:rPr>
        <w:t xml:space="preserve">; </w:t>
      </w:r>
    </w:p>
    <w:p w14:paraId="5F9C77BD"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ES_tradnl"/>
        </w:rPr>
      </w:pPr>
      <w:proofErr w:type="spellStart"/>
      <w:r w:rsidRPr="005A4FC9">
        <w:rPr>
          <w:rFonts w:ascii="Arial" w:eastAsia="Calibri" w:hAnsi="Arial" w:cs="Arial"/>
          <w:color w:val="000000" w:themeColor="text1"/>
          <w:sz w:val="22"/>
          <w:lang w:val="es-ES_tradnl"/>
        </w:rPr>
        <w:t>iv</w:t>
      </w:r>
      <w:proofErr w:type="spellEnd"/>
      <w:r w:rsidRPr="005A4FC9">
        <w:rPr>
          <w:rFonts w:ascii="Arial" w:eastAsia="Calibri" w:hAnsi="Arial" w:cs="Arial"/>
          <w:color w:val="000000" w:themeColor="text1"/>
          <w:sz w:val="22"/>
          <w:lang w:val="es-ES_tradnl"/>
        </w:rPr>
        <w:t xml:space="preserve">) si un oferente olvidó adjuntar un certificado que demuestra un título universitario, el documento, aunque tenga fecha posterior al cierre del proceso, debe acreditar que el título académico se obtuvo con anterioridad al cierre del proceso; </w:t>
      </w:r>
    </w:p>
    <w:p w14:paraId="10AA7E95"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14:paraId="77C6C356"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vi) si el oferente olvidó firmar la propuesta o presentar una copia de ella, puede subsanar sin que se entienda que acreditó una circunstancia ocurrida con posterioridad al cierre del proceso. </w:t>
      </w:r>
    </w:p>
    <w:p w14:paraId="1F40B6B3"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10ADBFA1"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lastRenderedPageBreak/>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5A4FC9">
        <w:rPr>
          <w:rFonts w:ascii="Arial" w:eastAsia="Calibri" w:hAnsi="Arial" w:cs="Arial"/>
          <w:color w:val="000000" w:themeColor="text1"/>
          <w:sz w:val="22"/>
          <w:vertAlign w:val="superscript"/>
          <w:lang w:val="es-ES_tradnl"/>
        </w:rPr>
        <w:footnoteReference w:id="12"/>
      </w:r>
      <w:r w:rsidRPr="005A4FC9">
        <w:rPr>
          <w:rFonts w:ascii="Arial" w:eastAsia="Calibri" w:hAnsi="Arial" w:cs="Arial"/>
          <w:color w:val="000000" w:themeColor="text1"/>
          <w:sz w:val="22"/>
          <w:lang w:val="es-ES_tradnl"/>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749D4BB7"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rPr>
      </w:pPr>
      <w:r w:rsidRPr="005A4FC9">
        <w:rPr>
          <w:rFonts w:ascii="Arial" w:eastAsia="Calibri" w:hAnsi="Arial" w:cs="Arial"/>
          <w:color w:val="000000" w:themeColor="text1"/>
          <w:sz w:val="22"/>
          <w:lang w:val="es-ES_tradnl"/>
        </w:rPr>
        <w:t xml:space="preserve">Esta tesis fue reiterada por la Agencia Nacional de Contratación Pública – Colombia Compra Eficiente en el concepto con radicado </w:t>
      </w:r>
      <w:r w:rsidRPr="005A4FC9">
        <w:rPr>
          <w:rFonts w:ascii="Arial" w:eastAsia="Calibri" w:hAnsi="Arial" w:cs="Arial"/>
          <w:color w:val="000000" w:themeColor="text1"/>
          <w:sz w:val="22"/>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w:t>
      </w:r>
      <w:proofErr w:type="spellStart"/>
      <w:r w:rsidRPr="005A4FC9">
        <w:rPr>
          <w:rFonts w:ascii="Arial" w:eastAsia="Calibri" w:hAnsi="Arial" w:cs="Arial"/>
          <w:color w:val="000000" w:themeColor="text1"/>
          <w:sz w:val="22"/>
        </w:rPr>
        <w:t>subsanabilidad</w:t>
      </w:r>
      <w:proofErr w:type="spellEnd"/>
      <w:r w:rsidRPr="005A4FC9">
        <w:rPr>
          <w:rFonts w:ascii="Arial" w:eastAsia="Calibri" w:hAnsi="Arial" w:cs="Arial"/>
          <w:color w:val="000000" w:themeColor="text1"/>
          <w:sz w:val="22"/>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516EAF94"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CO"/>
        </w:rPr>
      </w:pPr>
      <w:r w:rsidRPr="005A4FC9">
        <w:rPr>
          <w:rFonts w:ascii="Arial" w:eastAsia="Calibri" w:hAnsi="Arial" w:cs="Arial"/>
          <w:color w:val="000000" w:themeColor="text1"/>
          <w:sz w:val="22"/>
        </w:rPr>
        <w:t xml:space="preserve">Una reiteración de la postura de esta Subdirección, según la cual la </w:t>
      </w:r>
      <w:proofErr w:type="spellStart"/>
      <w:r w:rsidRPr="005A4FC9">
        <w:rPr>
          <w:rFonts w:ascii="Arial" w:eastAsia="Calibri" w:hAnsi="Arial" w:cs="Arial"/>
          <w:color w:val="000000" w:themeColor="text1"/>
          <w:sz w:val="22"/>
        </w:rPr>
        <w:t>subsanabilidad</w:t>
      </w:r>
      <w:proofErr w:type="spellEnd"/>
      <w:r w:rsidRPr="005A4FC9">
        <w:rPr>
          <w:rFonts w:ascii="Arial" w:eastAsia="Calibri" w:hAnsi="Arial" w:cs="Arial"/>
          <w:color w:val="000000" w:themeColor="text1"/>
          <w:sz w:val="22"/>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w:t>
      </w:r>
      <w:r w:rsidRPr="005A4FC9">
        <w:rPr>
          <w:rFonts w:ascii="Arial" w:eastAsia="Calibri" w:hAnsi="Arial" w:cs="Arial"/>
          <w:color w:val="000000" w:themeColor="text1"/>
          <w:sz w:val="22"/>
        </w:rPr>
        <w:lastRenderedPageBreak/>
        <w:t xml:space="preserve">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1E52A399" w14:textId="77777777" w:rsidR="00A20264" w:rsidRPr="005A4FC9" w:rsidRDefault="00A20264" w:rsidP="00A20264">
      <w:pPr>
        <w:spacing w:before="120" w:after="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5A4FC9">
        <w:rPr>
          <w:rFonts w:ascii="Arial" w:eastAsia="Calibri" w:hAnsi="Arial" w:cs="Arial"/>
          <w:iCs/>
          <w:color w:val="000000" w:themeColor="text1"/>
          <w:sz w:val="22"/>
          <w:lang w:val="es-ES_tradnl"/>
        </w:rPr>
        <w:t>documento o información</w:t>
      </w:r>
      <w:r w:rsidRPr="005A4FC9">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0C4E1B05" w14:textId="77777777" w:rsidR="00125BED" w:rsidRPr="005A4FC9" w:rsidRDefault="00125BED" w:rsidP="00125BED">
      <w:pPr>
        <w:spacing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E</w:t>
      </w:r>
      <w:r w:rsidR="00A20264" w:rsidRPr="005A4FC9">
        <w:rPr>
          <w:rFonts w:ascii="Arial" w:eastAsia="Calibri" w:hAnsi="Arial" w:cs="Arial"/>
          <w:color w:val="000000" w:themeColor="text1"/>
          <w:sz w:val="22"/>
          <w:lang w:val="es-ES_tradnl"/>
        </w:rPr>
        <w:t>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24B3B1F9" w14:textId="36AC265E" w:rsidR="00125BED" w:rsidRPr="005A4FC9" w:rsidRDefault="00125BED" w:rsidP="003C1AF4">
      <w:pPr>
        <w:spacing w:before="120" w:after="120" w:line="276" w:lineRule="auto"/>
        <w:ind w:firstLine="709"/>
        <w:jc w:val="both"/>
        <w:rPr>
          <w:rFonts w:ascii="Arial" w:eastAsia="Calibri" w:hAnsi="Arial" w:cs="Arial"/>
          <w:color w:val="000000" w:themeColor="text1"/>
          <w:sz w:val="22"/>
        </w:rPr>
      </w:pPr>
      <w:r w:rsidRPr="005A4FC9">
        <w:rPr>
          <w:rFonts w:ascii="Arial" w:eastAsia="Calibri" w:hAnsi="Arial" w:cs="Arial"/>
          <w:color w:val="000000" w:themeColor="text1"/>
          <w:sz w:val="22"/>
        </w:rPr>
        <w:t>Ahora bien, teniendo en cuenta que el parágrafo 1 del artículo 5º de la Ley 1150 de 2007,</w:t>
      </w:r>
      <w:r w:rsidR="00160401" w:rsidRPr="005A4FC9">
        <w:rPr>
          <w:rFonts w:ascii="Arial" w:eastAsia="Calibri" w:hAnsi="Arial" w:cs="Arial"/>
          <w:color w:val="000000" w:themeColor="text1"/>
          <w:sz w:val="22"/>
        </w:rPr>
        <w:t xml:space="preserve"> </w:t>
      </w:r>
      <w:r w:rsidRPr="005A4FC9">
        <w:rPr>
          <w:rFonts w:ascii="Arial" w:eastAsia="Calibri" w:hAnsi="Arial" w:cs="Arial"/>
          <w:color w:val="000000" w:themeColor="text1"/>
          <w:sz w:val="22"/>
        </w:rPr>
        <w:t>modificado por el artículo 5 de la Ley 1882 de 2018</w:t>
      </w:r>
      <w:r w:rsidR="00E565B9" w:rsidRPr="005A4FC9">
        <w:rPr>
          <w:rFonts w:ascii="Arial" w:eastAsia="Calibri" w:hAnsi="Arial" w:cs="Arial"/>
          <w:color w:val="000000" w:themeColor="text1"/>
          <w:sz w:val="22"/>
        </w:rPr>
        <w:t>,</w:t>
      </w:r>
      <w:r w:rsidRPr="005A4FC9">
        <w:rPr>
          <w:rFonts w:ascii="Arial" w:eastAsia="Calibri" w:hAnsi="Arial" w:cs="Arial"/>
          <w:color w:val="000000" w:themeColor="text1"/>
          <w:sz w:val="22"/>
        </w:rPr>
        <w:t xml:space="preserve"> dispone que </w:t>
      </w:r>
      <w:r w:rsidR="009E61EA" w:rsidRPr="005A4FC9">
        <w:rPr>
          <w:rFonts w:ascii="Arial" w:eastAsia="Calibri" w:hAnsi="Arial" w:cs="Arial"/>
          <w:color w:val="000000" w:themeColor="text1"/>
          <w:sz w:val="22"/>
        </w:rPr>
        <w:t xml:space="preserve">los requisitos a subsanar </w:t>
      </w:r>
      <w:r w:rsidRPr="005A4FC9">
        <w:rPr>
          <w:rFonts w:ascii="Arial" w:eastAsia="Calibri" w:hAnsi="Arial" w:cs="Arial"/>
          <w:color w:val="000000" w:themeColor="text1"/>
          <w:sz w:val="22"/>
        </w:rPr>
        <w:t>«deberán ser solicitados por las entidades estatales y deberán ser entregados por los proponentes hasta el término de traslado del informe de evaluación que corresponda a cada modalidad de selección, salvo lo dispuesto para el proceso de Mínima cuantía […]»</w:t>
      </w:r>
      <w:r w:rsidR="00E565B9" w:rsidRPr="005A4FC9">
        <w:rPr>
          <w:rFonts w:ascii="Arial" w:eastAsia="Calibri" w:hAnsi="Arial" w:cs="Arial"/>
          <w:color w:val="000000" w:themeColor="text1"/>
          <w:sz w:val="22"/>
        </w:rPr>
        <w:t>,</w:t>
      </w:r>
      <w:r w:rsidRPr="005A4FC9">
        <w:rPr>
          <w:rFonts w:ascii="Arial" w:eastAsia="Calibri" w:hAnsi="Arial" w:cs="Arial"/>
          <w:color w:val="000000" w:themeColor="text1"/>
          <w:sz w:val="22"/>
        </w:rPr>
        <w:t xml:space="preserve"> y</w:t>
      </w:r>
      <w:r w:rsidR="009E61EA" w:rsidRPr="005A4FC9">
        <w:rPr>
          <w:rFonts w:ascii="Arial" w:eastAsia="Calibri" w:hAnsi="Arial" w:cs="Arial"/>
          <w:color w:val="000000" w:themeColor="text1"/>
          <w:sz w:val="22"/>
        </w:rPr>
        <w:t xml:space="preserve"> que no se observa una disposición legal que expresamente disponga un</w:t>
      </w:r>
      <w:r w:rsidR="00E565B9" w:rsidRPr="005A4FC9">
        <w:rPr>
          <w:rFonts w:ascii="Arial" w:eastAsia="Calibri" w:hAnsi="Arial" w:cs="Arial"/>
          <w:color w:val="000000" w:themeColor="text1"/>
          <w:sz w:val="22"/>
        </w:rPr>
        <w:t xml:space="preserve"> término para aportar tales documentos en esta modalidad de selección, </w:t>
      </w:r>
      <w:r w:rsidR="00FB27B7" w:rsidRPr="005A4FC9">
        <w:rPr>
          <w:rFonts w:ascii="Arial" w:eastAsia="Calibri" w:hAnsi="Arial" w:cs="Arial"/>
          <w:color w:val="000000" w:themeColor="text1"/>
          <w:sz w:val="22"/>
        </w:rPr>
        <w:t xml:space="preserve">surgen tres posibles interpretaciones: </w:t>
      </w:r>
      <w:r w:rsidR="00FB27B7" w:rsidRPr="005A4FC9">
        <w:rPr>
          <w:rFonts w:ascii="Arial" w:eastAsia="Calibri" w:hAnsi="Arial" w:cs="Arial"/>
          <w:i/>
          <w:iCs/>
          <w:color w:val="000000" w:themeColor="text1"/>
          <w:sz w:val="22"/>
        </w:rPr>
        <w:t>i)</w:t>
      </w:r>
      <w:r w:rsidR="00FB27B7" w:rsidRPr="005A4FC9">
        <w:rPr>
          <w:rFonts w:ascii="Arial" w:eastAsia="Calibri" w:hAnsi="Arial" w:cs="Arial"/>
          <w:color w:val="000000" w:themeColor="text1"/>
          <w:sz w:val="22"/>
        </w:rPr>
        <w:t xml:space="preserve"> que en la mínima cuantía no se permite la </w:t>
      </w:r>
      <w:proofErr w:type="spellStart"/>
      <w:r w:rsidR="00FB27B7" w:rsidRPr="005A4FC9">
        <w:rPr>
          <w:rFonts w:ascii="Arial" w:eastAsia="Calibri" w:hAnsi="Arial" w:cs="Arial"/>
          <w:color w:val="000000" w:themeColor="text1"/>
          <w:sz w:val="22"/>
        </w:rPr>
        <w:t>subsanabilidad</w:t>
      </w:r>
      <w:proofErr w:type="spellEnd"/>
      <w:r w:rsidR="00FB27B7" w:rsidRPr="005A4FC9">
        <w:rPr>
          <w:rFonts w:ascii="Arial" w:eastAsia="Calibri" w:hAnsi="Arial" w:cs="Arial"/>
          <w:color w:val="000000" w:themeColor="text1"/>
          <w:sz w:val="22"/>
        </w:rPr>
        <w:t xml:space="preserve"> –interpretación que no es acorde con el principio de la prevalencia de lo sustancial </w:t>
      </w:r>
      <w:r w:rsidR="00E56090" w:rsidRPr="005A4FC9">
        <w:rPr>
          <w:rFonts w:ascii="Arial" w:eastAsia="Calibri" w:hAnsi="Arial" w:cs="Arial"/>
          <w:color w:val="000000" w:themeColor="text1"/>
          <w:sz w:val="22"/>
        </w:rPr>
        <w:t>sobre</w:t>
      </w:r>
      <w:r w:rsidR="00FB27B7" w:rsidRPr="005A4FC9">
        <w:rPr>
          <w:rFonts w:ascii="Arial" w:eastAsia="Calibri" w:hAnsi="Arial" w:cs="Arial"/>
          <w:color w:val="000000" w:themeColor="text1"/>
          <w:sz w:val="22"/>
        </w:rPr>
        <w:t xml:space="preserve"> lo formal–, </w:t>
      </w:r>
      <w:proofErr w:type="spellStart"/>
      <w:r w:rsidR="00FB27B7" w:rsidRPr="005A4FC9">
        <w:rPr>
          <w:rFonts w:ascii="Arial" w:eastAsia="Calibri" w:hAnsi="Arial" w:cs="Arial"/>
          <w:i/>
          <w:iCs/>
          <w:color w:val="000000" w:themeColor="text1"/>
          <w:sz w:val="22"/>
        </w:rPr>
        <w:t>ii</w:t>
      </w:r>
      <w:proofErr w:type="spellEnd"/>
      <w:r w:rsidR="00FB27B7" w:rsidRPr="005A4FC9">
        <w:rPr>
          <w:rFonts w:ascii="Arial" w:eastAsia="Calibri" w:hAnsi="Arial" w:cs="Arial"/>
          <w:i/>
          <w:iCs/>
          <w:color w:val="000000" w:themeColor="text1"/>
          <w:sz w:val="22"/>
        </w:rPr>
        <w:t>)</w:t>
      </w:r>
      <w:r w:rsidR="00FB27B7" w:rsidRPr="005A4FC9">
        <w:rPr>
          <w:rFonts w:ascii="Arial" w:eastAsia="Calibri" w:hAnsi="Arial" w:cs="Arial"/>
          <w:color w:val="000000" w:themeColor="text1"/>
          <w:sz w:val="22"/>
        </w:rPr>
        <w:t xml:space="preserve"> que </w:t>
      </w:r>
      <w:r w:rsidR="00ED587F" w:rsidRPr="005A4FC9">
        <w:rPr>
          <w:rFonts w:ascii="Arial" w:eastAsia="Calibri" w:hAnsi="Arial" w:cs="Arial"/>
          <w:color w:val="000000" w:themeColor="text1"/>
          <w:sz w:val="22"/>
        </w:rPr>
        <w:t>el término para presentar los requisitos subsanados es el mismo de publicación del informe de evaluación, es decir</w:t>
      </w:r>
      <w:r w:rsidR="005A5A3D" w:rsidRPr="005A4FC9">
        <w:rPr>
          <w:rFonts w:ascii="Arial" w:eastAsia="Calibri" w:hAnsi="Arial" w:cs="Arial"/>
          <w:color w:val="000000" w:themeColor="text1"/>
          <w:sz w:val="22"/>
        </w:rPr>
        <w:t>,</w:t>
      </w:r>
      <w:r w:rsidR="00ED587F" w:rsidRPr="005A4FC9">
        <w:rPr>
          <w:rFonts w:ascii="Arial" w:eastAsia="Calibri" w:hAnsi="Arial" w:cs="Arial"/>
          <w:color w:val="000000" w:themeColor="text1"/>
          <w:sz w:val="22"/>
        </w:rPr>
        <w:t xml:space="preserve"> un (1) día hábil, </w:t>
      </w:r>
      <w:proofErr w:type="spellStart"/>
      <w:r w:rsidR="00ED587F" w:rsidRPr="005A4FC9">
        <w:rPr>
          <w:rFonts w:ascii="Arial" w:eastAsia="Calibri" w:hAnsi="Arial" w:cs="Arial"/>
          <w:i/>
          <w:iCs/>
          <w:color w:val="000000" w:themeColor="text1"/>
          <w:sz w:val="22"/>
        </w:rPr>
        <w:t>iii</w:t>
      </w:r>
      <w:proofErr w:type="spellEnd"/>
      <w:r w:rsidR="00ED587F" w:rsidRPr="005A4FC9">
        <w:rPr>
          <w:rFonts w:ascii="Arial" w:eastAsia="Calibri" w:hAnsi="Arial" w:cs="Arial"/>
          <w:i/>
          <w:iCs/>
          <w:color w:val="000000" w:themeColor="text1"/>
          <w:sz w:val="22"/>
        </w:rPr>
        <w:t>)</w:t>
      </w:r>
      <w:r w:rsidR="00ED587F" w:rsidRPr="005A4FC9">
        <w:rPr>
          <w:rFonts w:ascii="Arial" w:eastAsia="Calibri" w:hAnsi="Arial" w:cs="Arial"/>
          <w:color w:val="000000" w:themeColor="text1"/>
          <w:sz w:val="22"/>
        </w:rPr>
        <w:t xml:space="preserve"> que existe un vacío y que este puede llenarse discrecionalmente por la entidad estatal</w:t>
      </w:r>
      <w:r w:rsidR="003C1AF4" w:rsidRPr="005A4FC9">
        <w:rPr>
          <w:rFonts w:ascii="Arial" w:eastAsia="Calibri" w:hAnsi="Arial" w:cs="Arial"/>
          <w:color w:val="000000" w:themeColor="text1"/>
          <w:sz w:val="22"/>
        </w:rPr>
        <w:t>, disponiendo de un término</w:t>
      </w:r>
      <w:r w:rsidR="005A5A3D" w:rsidRPr="005A4FC9">
        <w:rPr>
          <w:rFonts w:ascii="Arial" w:eastAsia="Calibri" w:hAnsi="Arial" w:cs="Arial"/>
          <w:color w:val="000000" w:themeColor="text1"/>
          <w:sz w:val="22"/>
        </w:rPr>
        <w:t xml:space="preserve"> razonable </w:t>
      </w:r>
      <w:r w:rsidR="003C1AF4" w:rsidRPr="005A4FC9">
        <w:rPr>
          <w:rFonts w:ascii="Arial" w:eastAsia="Calibri" w:hAnsi="Arial" w:cs="Arial"/>
          <w:color w:val="000000" w:themeColor="text1"/>
          <w:sz w:val="22"/>
        </w:rPr>
        <w:t xml:space="preserve">de </w:t>
      </w:r>
      <w:proofErr w:type="spellStart"/>
      <w:r w:rsidR="003C1AF4" w:rsidRPr="005A4FC9">
        <w:rPr>
          <w:rFonts w:ascii="Arial" w:eastAsia="Calibri" w:hAnsi="Arial" w:cs="Arial"/>
          <w:color w:val="000000" w:themeColor="text1"/>
          <w:sz w:val="22"/>
        </w:rPr>
        <w:t>subsanabilidad</w:t>
      </w:r>
      <w:proofErr w:type="spellEnd"/>
      <w:r w:rsidR="003C1AF4" w:rsidRPr="005A4FC9">
        <w:rPr>
          <w:rFonts w:ascii="Arial" w:eastAsia="Calibri" w:hAnsi="Arial" w:cs="Arial"/>
          <w:color w:val="000000" w:themeColor="text1"/>
          <w:sz w:val="22"/>
        </w:rPr>
        <w:t xml:space="preserve">. </w:t>
      </w:r>
      <w:r w:rsidR="00FB27B7" w:rsidRPr="005A4FC9">
        <w:rPr>
          <w:rFonts w:ascii="Arial" w:eastAsia="Calibri" w:hAnsi="Arial" w:cs="Arial"/>
          <w:color w:val="000000" w:themeColor="text1"/>
          <w:sz w:val="22"/>
        </w:rPr>
        <w:t>E</w:t>
      </w:r>
      <w:r w:rsidR="00E565B9" w:rsidRPr="005A4FC9">
        <w:rPr>
          <w:rFonts w:ascii="Arial" w:eastAsia="Calibri" w:hAnsi="Arial" w:cs="Arial"/>
          <w:color w:val="000000" w:themeColor="text1"/>
          <w:sz w:val="22"/>
        </w:rPr>
        <w:t>sta Subdirección acoge</w:t>
      </w:r>
      <w:r w:rsidR="003C1AF4" w:rsidRPr="005A4FC9">
        <w:rPr>
          <w:rFonts w:ascii="Arial" w:eastAsia="Calibri" w:hAnsi="Arial" w:cs="Arial"/>
          <w:color w:val="000000" w:themeColor="text1"/>
          <w:sz w:val="22"/>
        </w:rPr>
        <w:t xml:space="preserve"> la tercera opción y, por tanto,</w:t>
      </w:r>
      <w:r w:rsidR="00A0188B" w:rsidRPr="005A4FC9">
        <w:rPr>
          <w:rFonts w:ascii="Arial" w:eastAsia="Calibri" w:hAnsi="Arial" w:cs="Arial"/>
          <w:color w:val="000000" w:themeColor="text1"/>
          <w:sz w:val="22"/>
        </w:rPr>
        <w:t xml:space="preserve"> lo establecido en el numeral 6.1. de la Circular Externa Única</w:t>
      </w:r>
      <w:r w:rsidR="00FE5C5A" w:rsidRPr="005A4FC9">
        <w:rPr>
          <w:rFonts w:ascii="Arial" w:eastAsia="Calibri" w:hAnsi="Arial" w:cs="Arial"/>
          <w:color w:val="000000" w:themeColor="text1"/>
          <w:sz w:val="22"/>
        </w:rPr>
        <w:t xml:space="preserve"> de </w:t>
      </w:r>
      <w:r w:rsidR="00080ACD" w:rsidRPr="005A4FC9">
        <w:rPr>
          <w:rFonts w:ascii="Arial" w:eastAsia="Calibri" w:hAnsi="Arial" w:cs="Arial"/>
          <w:color w:val="000000" w:themeColor="text1"/>
          <w:sz w:val="22"/>
        </w:rPr>
        <w:t>la Agencia Nacional de Contratación Pública – Colombia Compra Eficiente</w:t>
      </w:r>
      <w:r w:rsidR="00455354" w:rsidRPr="005A4FC9">
        <w:rPr>
          <w:rFonts w:ascii="Arial" w:eastAsia="Calibri" w:hAnsi="Arial" w:cs="Arial"/>
          <w:color w:val="000000" w:themeColor="text1"/>
          <w:sz w:val="22"/>
        </w:rPr>
        <w:t>, que expresa:</w:t>
      </w:r>
      <w:r w:rsidR="00FE5C5A" w:rsidRPr="005A4FC9">
        <w:rPr>
          <w:rFonts w:ascii="Arial" w:eastAsia="Calibri" w:hAnsi="Arial" w:cs="Arial"/>
          <w:color w:val="000000" w:themeColor="text1"/>
          <w:sz w:val="22"/>
        </w:rPr>
        <w:t xml:space="preserve"> </w:t>
      </w:r>
      <w:r w:rsidR="00455354" w:rsidRPr="005A4FC9">
        <w:rPr>
          <w:rFonts w:ascii="Arial" w:eastAsia="Calibri" w:hAnsi="Arial" w:cs="Arial"/>
          <w:color w:val="000000" w:themeColor="text1"/>
          <w:sz w:val="22"/>
        </w:rPr>
        <w:t xml:space="preserve">«Por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w:t>
      </w:r>
      <w:r w:rsidR="00455354" w:rsidRPr="005A4FC9">
        <w:rPr>
          <w:rFonts w:ascii="Arial" w:eastAsia="Calibri" w:hAnsi="Arial" w:cs="Arial"/>
          <w:color w:val="000000" w:themeColor="text1"/>
          <w:sz w:val="22"/>
        </w:rPr>
        <w:lastRenderedPageBreak/>
        <w:t>proponentes podrán hacerlo hasta antes de la aceptación de la oferta»</w:t>
      </w:r>
      <w:r w:rsidR="00455354" w:rsidRPr="005A4FC9">
        <w:rPr>
          <w:rStyle w:val="Refdenotaalpie"/>
          <w:rFonts w:ascii="Arial" w:eastAsia="Calibri" w:hAnsi="Arial" w:cs="Arial"/>
          <w:color w:val="000000" w:themeColor="text1"/>
          <w:sz w:val="22"/>
        </w:rPr>
        <w:footnoteReference w:id="13"/>
      </w:r>
      <w:r w:rsidR="00455354" w:rsidRPr="005A4FC9">
        <w:rPr>
          <w:rFonts w:ascii="Arial" w:eastAsia="Calibri" w:hAnsi="Arial" w:cs="Arial"/>
          <w:color w:val="000000" w:themeColor="text1"/>
          <w:sz w:val="22"/>
        </w:rPr>
        <w:t>.</w:t>
      </w:r>
      <w:r w:rsidR="00125C59" w:rsidRPr="005A4FC9">
        <w:rPr>
          <w:rFonts w:ascii="Arial" w:eastAsia="Calibri" w:hAnsi="Arial" w:cs="Arial"/>
          <w:color w:val="000000" w:themeColor="text1"/>
          <w:sz w:val="22"/>
        </w:rPr>
        <w:t xml:space="preserve"> Así lo indicó </w:t>
      </w:r>
      <w:r w:rsidR="00125C59" w:rsidRPr="00004C26">
        <w:rPr>
          <w:rFonts w:ascii="Arial" w:eastAsia="Calibri" w:hAnsi="Arial" w:cs="Arial"/>
          <w:color w:val="000000" w:themeColor="text1"/>
          <w:sz w:val="22"/>
        </w:rPr>
        <w:t>también</w:t>
      </w:r>
      <w:r w:rsidR="00125C59" w:rsidRPr="005A4FC9">
        <w:rPr>
          <w:rFonts w:ascii="Arial" w:eastAsia="Calibri" w:hAnsi="Arial" w:cs="Arial"/>
          <w:color w:val="000000" w:themeColor="text1"/>
          <w:sz w:val="22"/>
        </w:rPr>
        <w:t xml:space="preserve"> esta </w:t>
      </w:r>
      <w:r w:rsidR="00C93D8C" w:rsidRPr="005A4FC9">
        <w:rPr>
          <w:rFonts w:ascii="Arial" w:eastAsia="Calibri" w:hAnsi="Arial" w:cs="Arial"/>
          <w:color w:val="000000" w:themeColor="text1"/>
          <w:sz w:val="22"/>
        </w:rPr>
        <w:t>Subdirección</w:t>
      </w:r>
      <w:r w:rsidR="00125C59" w:rsidRPr="005A4FC9">
        <w:rPr>
          <w:rFonts w:ascii="Arial" w:eastAsia="Calibri" w:hAnsi="Arial" w:cs="Arial"/>
          <w:color w:val="000000" w:themeColor="text1"/>
          <w:sz w:val="22"/>
        </w:rPr>
        <w:t xml:space="preserve"> en concepto con radicado No. </w:t>
      </w:r>
      <w:r w:rsidR="00125C59" w:rsidRPr="005A4FC9">
        <w:rPr>
          <w:rFonts w:ascii="Arial" w:hAnsi="Arial" w:cs="Arial"/>
          <w:color w:val="000000" w:themeColor="text1"/>
          <w:sz w:val="22"/>
        </w:rPr>
        <w:t>4201912000004758.</w:t>
      </w:r>
    </w:p>
    <w:p w14:paraId="5025A54E" w14:textId="3918D618" w:rsidR="00F1108B" w:rsidRPr="005A4FC9" w:rsidRDefault="00F1108B" w:rsidP="00397FF0">
      <w:pPr>
        <w:spacing w:before="120" w:line="276" w:lineRule="auto"/>
        <w:ind w:firstLine="709"/>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Con fundamento en las anteriores consideraciones, se contestarán las preguntas formuladas en la consulta.</w:t>
      </w:r>
    </w:p>
    <w:p w14:paraId="4F43922D" w14:textId="77777777" w:rsidR="00F1108B" w:rsidRPr="005A4FC9"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p>
    <w:p w14:paraId="6E4BB750" w14:textId="77777777" w:rsidR="00F1108B" w:rsidRPr="005A4FC9" w:rsidRDefault="00F1108B" w:rsidP="00F1108B">
      <w:pPr>
        <w:pStyle w:val="Prrafodelista"/>
        <w:tabs>
          <w:tab w:val="left" w:pos="284"/>
        </w:tabs>
        <w:spacing w:line="276" w:lineRule="auto"/>
        <w:ind w:left="0"/>
        <w:jc w:val="both"/>
        <w:rPr>
          <w:rFonts w:ascii="Arial" w:eastAsia="Calibri" w:hAnsi="Arial" w:cs="Arial"/>
          <w:color w:val="000000" w:themeColor="text1"/>
          <w:sz w:val="22"/>
        </w:rPr>
      </w:pPr>
      <w:r w:rsidRPr="005A4FC9">
        <w:rPr>
          <w:rFonts w:ascii="Arial" w:eastAsia="Calibri" w:hAnsi="Arial" w:cs="Arial"/>
          <w:b/>
          <w:color w:val="000000" w:themeColor="text1"/>
          <w:sz w:val="22"/>
        </w:rPr>
        <w:t>3. Respuestas</w:t>
      </w:r>
    </w:p>
    <w:p w14:paraId="69C478A3" w14:textId="77777777" w:rsidR="00F1108B" w:rsidRPr="005A4FC9" w:rsidRDefault="00F1108B" w:rsidP="00F1108B">
      <w:pPr>
        <w:tabs>
          <w:tab w:val="left" w:pos="426"/>
        </w:tabs>
        <w:spacing w:line="276" w:lineRule="auto"/>
        <w:jc w:val="both"/>
        <w:rPr>
          <w:rFonts w:ascii="Arial" w:eastAsia="Calibri" w:hAnsi="Arial" w:cs="Arial"/>
          <w:color w:val="000000" w:themeColor="text1"/>
          <w:sz w:val="22"/>
        </w:rPr>
      </w:pPr>
    </w:p>
    <w:p w14:paraId="3154F9BB" w14:textId="77777777" w:rsidR="00F1108B" w:rsidRPr="005A4FC9" w:rsidRDefault="00F1108B" w:rsidP="00397FF0">
      <w:pPr>
        <w:tabs>
          <w:tab w:val="left" w:pos="426"/>
        </w:tabs>
        <w:spacing w:line="276" w:lineRule="auto"/>
        <w:ind w:left="709" w:right="709"/>
        <w:jc w:val="both"/>
        <w:rPr>
          <w:rFonts w:ascii="Arial" w:eastAsia="Calibri" w:hAnsi="Arial" w:cs="Arial"/>
          <w:color w:val="000000" w:themeColor="text1"/>
          <w:sz w:val="22"/>
        </w:rPr>
      </w:pPr>
      <w:r w:rsidRPr="005A4FC9">
        <w:rPr>
          <w:rFonts w:ascii="Arial" w:eastAsia="Calibri" w:hAnsi="Arial" w:cs="Arial"/>
          <w:color w:val="000000" w:themeColor="text1"/>
          <w:sz w:val="22"/>
        </w:rPr>
        <w:t xml:space="preserve">i) Si, dentro de un procedimiento de mínima cuantía, la entidad estatal solicitó la presentación de una certificación de experiencia como requisito habilitante de carácter técnico y un proponente no la aporta al momento de allegar su propuesta, ¿la entidad debe permitir que lo subsane o debe rechazar la propuesta? </w:t>
      </w:r>
    </w:p>
    <w:p w14:paraId="04755E6E" w14:textId="77777777" w:rsidR="00397FF0" w:rsidRPr="005A4FC9" w:rsidRDefault="00397FF0" w:rsidP="00397FF0">
      <w:pPr>
        <w:tabs>
          <w:tab w:val="left" w:pos="426"/>
        </w:tabs>
        <w:spacing w:line="276" w:lineRule="auto"/>
        <w:jc w:val="both"/>
        <w:rPr>
          <w:rFonts w:ascii="Arial" w:eastAsia="Calibri" w:hAnsi="Arial" w:cs="Arial"/>
          <w:color w:val="000000" w:themeColor="text1"/>
          <w:sz w:val="22"/>
        </w:rPr>
      </w:pPr>
    </w:p>
    <w:p w14:paraId="230DFF79" w14:textId="77777777" w:rsidR="000D0ED2" w:rsidRPr="005A4FC9" w:rsidRDefault="00F1108B" w:rsidP="00397FF0">
      <w:pPr>
        <w:tabs>
          <w:tab w:val="left" w:pos="426"/>
        </w:tabs>
        <w:spacing w:line="276" w:lineRule="auto"/>
        <w:jc w:val="both"/>
        <w:rPr>
          <w:rFonts w:ascii="Arial" w:eastAsia="Calibri" w:hAnsi="Arial" w:cs="Arial"/>
          <w:color w:val="000000" w:themeColor="text1"/>
          <w:sz w:val="22"/>
        </w:rPr>
      </w:pPr>
      <w:r w:rsidRPr="005A4FC9">
        <w:rPr>
          <w:rFonts w:ascii="Arial" w:eastAsia="Calibri" w:hAnsi="Arial" w:cs="Arial"/>
          <w:color w:val="000000" w:themeColor="text1"/>
          <w:sz w:val="22"/>
        </w:rPr>
        <w:t>Al ser la certificación de experiencia un requisito habilitante, es decir, que no otorga puntaje dentro del procedimiento de mínima cuantía, si el proponente no la aporta antes del vencimiento del término para presentar las ofertas, la entidad estatal debe permitir la subsanación de este defecto, otorgándole al oferente la oportunidad de allegarla. Ahora bien, de conformidad con lo establecido en el parágrafo 1º del artículo 5 de la Ley 1150 de 2007, modificado por el artículo 5 de la Ley 1882 de 2018, el proponente no podrá subsanar este requisito, mediante la presentación de una certificación que contenga experiencia adquirida con posterioridad al cierre del procedimiento de selección. Esto quiere decir que si la certificación presentada para subsanar el requisito habilitante acredita experiencia alcanzada antes del cierre, debe admitirse como requisito subsanado.</w:t>
      </w:r>
    </w:p>
    <w:p w14:paraId="00ABD5F2" w14:textId="097D6B3A" w:rsidR="000D0ED2" w:rsidRPr="005A4FC9" w:rsidRDefault="000D0ED2" w:rsidP="000D0ED2">
      <w:pPr>
        <w:tabs>
          <w:tab w:val="left" w:pos="426"/>
        </w:tabs>
        <w:spacing w:before="120" w:line="276" w:lineRule="auto"/>
        <w:ind w:firstLine="425"/>
        <w:jc w:val="both"/>
        <w:rPr>
          <w:rFonts w:ascii="Arial" w:eastAsia="Calibri" w:hAnsi="Arial" w:cs="Arial"/>
          <w:color w:val="000000" w:themeColor="text1"/>
          <w:sz w:val="22"/>
          <w:lang w:val="es-CO"/>
        </w:rPr>
      </w:pPr>
      <w:r w:rsidRPr="005A4FC9">
        <w:rPr>
          <w:rFonts w:ascii="Arial" w:eastAsia="Calibri" w:hAnsi="Arial" w:cs="Arial"/>
          <w:color w:val="000000" w:themeColor="text1"/>
          <w:sz w:val="22"/>
        </w:rPr>
        <w:t xml:space="preserve">Ahora bien, en cuanto al término de </w:t>
      </w:r>
      <w:proofErr w:type="spellStart"/>
      <w:r w:rsidRPr="005A4FC9">
        <w:rPr>
          <w:rFonts w:ascii="Arial" w:eastAsia="Calibri" w:hAnsi="Arial" w:cs="Arial"/>
          <w:color w:val="000000" w:themeColor="text1"/>
          <w:sz w:val="22"/>
        </w:rPr>
        <w:t>subsanabilidad</w:t>
      </w:r>
      <w:proofErr w:type="spellEnd"/>
      <w:r w:rsidRPr="005A4FC9">
        <w:rPr>
          <w:rFonts w:ascii="Arial" w:eastAsia="Calibri" w:hAnsi="Arial" w:cs="Arial"/>
          <w:color w:val="000000" w:themeColor="text1"/>
          <w:sz w:val="22"/>
        </w:rPr>
        <w:t xml:space="preserve">, </w:t>
      </w:r>
      <w:r w:rsidR="00336729" w:rsidRPr="005A4FC9">
        <w:rPr>
          <w:rFonts w:ascii="Arial" w:eastAsia="Calibri" w:hAnsi="Arial" w:cs="Arial"/>
          <w:color w:val="000000" w:themeColor="text1"/>
          <w:sz w:val="22"/>
        </w:rPr>
        <w:t>según el numeral 6.1. de la Circular Externa Única, se debe permitir que los proponentes aporten los requisitos subsanados en el plazo indicado en la invitación o, en su defecto, antes de la aceptación de la oferta.</w:t>
      </w:r>
    </w:p>
    <w:p w14:paraId="1058B138" w14:textId="77777777" w:rsidR="00397FF0" w:rsidRPr="005A4FC9" w:rsidRDefault="00397FF0" w:rsidP="00397FF0">
      <w:pPr>
        <w:tabs>
          <w:tab w:val="left" w:pos="426"/>
        </w:tabs>
        <w:spacing w:line="276" w:lineRule="auto"/>
        <w:jc w:val="both"/>
        <w:rPr>
          <w:rFonts w:ascii="Arial" w:eastAsia="Calibri" w:hAnsi="Arial" w:cs="Arial"/>
          <w:color w:val="000000" w:themeColor="text1"/>
          <w:sz w:val="22"/>
        </w:rPr>
      </w:pPr>
    </w:p>
    <w:p w14:paraId="458245F1" w14:textId="77777777" w:rsidR="00F1108B" w:rsidRPr="005A4FC9" w:rsidRDefault="00F1108B" w:rsidP="0016200B">
      <w:pPr>
        <w:tabs>
          <w:tab w:val="left" w:pos="426"/>
        </w:tabs>
        <w:spacing w:line="276" w:lineRule="auto"/>
        <w:ind w:left="709" w:right="709"/>
        <w:jc w:val="both"/>
        <w:rPr>
          <w:rFonts w:ascii="Arial" w:eastAsia="Calibri" w:hAnsi="Arial" w:cs="Arial"/>
          <w:color w:val="000000" w:themeColor="text1"/>
          <w:sz w:val="22"/>
        </w:rPr>
      </w:pPr>
      <w:proofErr w:type="spellStart"/>
      <w:r w:rsidRPr="005A4FC9">
        <w:rPr>
          <w:rFonts w:ascii="Arial" w:eastAsia="Calibri" w:hAnsi="Arial" w:cs="Arial"/>
          <w:color w:val="000000" w:themeColor="text1"/>
          <w:sz w:val="22"/>
        </w:rPr>
        <w:t>ii</w:t>
      </w:r>
      <w:proofErr w:type="spellEnd"/>
      <w:r w:rsidRPr="005A4FC9">
        <w:rPr>
          <w:rFonts w:ascii="Arial" w:eastAsia="Calibri" w:hAnsi="Arial" w:cs="Arial"/>
          <w:color w:val="000000" w:themeColor="text1"/>
          <w:sz w:val="22"/>
        </w:rPr>
        <w:t>) ¿Una propuesta podría presentarse solo con la oferta económica, teniendo en cuenta que los requisitos habilitantes son subsanables, o algunos de dichos requisitos habilitantes de carácter técnico deben aportarse necesariamente con la oferta, para garantizar el principio de selección objetiva?</w:t>
      </w:r>
    </w:p>
    <w:p w14:paraId="0F4F4B3F" w14:textId="77777777" w:rsidR="00397FF0" w:rsidRPr="005A4FC9" w:rsidRDefault="00397FF0" w:rsidP="00397FF0">
      <w:pPr>
        <w:spacing w:line="276" w:lineRule="auto"/>
        <w:jc w:val="both"/>
        <w:rPr>
          <w:rFonts w:ascii="Arial" w:eastAsia="Calibri" w:hAnsi="Arial" w:cs="Arial"/>
          <w:color w:val="000000" w:themeColor="text1"/>
          <w:sz w:val="22"/>
          <w:lang w:val="es-ES_tradnl"/>
        </w:rPr>
      </w:pPr>
    </w:p>
    <w:p w14:paraId="31C20F0F" w14:textId="5954987C" w:rsidR="00F1108B" w:rsidRPr="005A4FC9" w:rsidRDefault="00F1108B" w:rsidP="00397FF0">
      <w:pPr>
        <w:spacing w:line="276" w:lineRule="auto"/>
        <w:jc w:val="both"/>
        <w:rPr>
          <w:rFonts w:ascii="Arial" w:eastAsia="Calibri" w:hAnsi="Arial" w:cs="Arial"/>
          <w:color w:val="000000" w:themeColor="text1"/>
          <w:sz w:val="22"/>
          <w:lang w:val="es-ES_tradnl"/>
        </w:rPr>
      </w:pPr>
      <w:r w:rsidRPr="005A4FC9">
        <w:rPr>
          <w:rFonts w:ascii="Arial" w:eastAsia="Calibri" w:hAnsi="Arial" w:cs="Arial"/>
          <w:color w:val="000000" w:themeColor="text1"/>
          <w:sz w:val="22"/>
          <w:lang w:val="es-ES_tradnl"/>
        </w:rPr>
        <w:t xml:space="preserve">La respuesta a esta pregunta depende del tipo de documento habilitante no aportado, pues no siempre la falta de presentación de un documento que no otorga puntaje es subsanable. Según se indicó, el parágrafo 3º del artículo 5º de la Ley 1150 de 2007, agregado por el </w:t>
      </w:r>
      <w:r w:rsidRPr="005A4FC9">
        <w:rPr>
          <w:rFonts w:ascii="Arial" w:eastAsia="Calibri" w:hAnsi="Arial" w:cs="Arial"/>
          <w:color w:val="000000" w:themeColor="text1"/>
          <w:sz w:val="22"/>
          <w:lang w:val="es-ES_tradnl"/>
        </w:rPr>
        <w:lastRenderedPageBreak/>
        <w:t>artículo 5 de la Ley 1882 de 2018, prohíbe subsanar la garantía de seriedad de la oferta no</w:t>
      </w:r>
      <w:r w:rsidR="00DD5EC6" w:rsidRPr="005A4FC9">
        <w:rPr>
          <w:rFonts w:ascii="Arial" w:eastAsia="Calibri" w:hAnsi="Arial" w:cs="Arial"/>
          <w:color w:val="000000" w:themeColor="text1"/>
          <w:sz w:val="22"/>
          <w:lang w:val="es-ES_tradnl"/>
        </w:rPr>
        <w:t xml:space="preserve"> </w:t>
      </w:r>
      <w:r w:rsidRPr="005A4FC9">
        <w:rPr>
          <w:rFonts w:ascii="Arial" w:eastAsia="Calibri" w:hAnsi="Arial" w:cs="Arial"/>
          <w:color w:val="000000" w:themeColor="text1"/>
          <w:sz w:val="22"/>
          <w:lang w:val="es-ES_tradnl"/>
        </w:rPr>
        <w:t>entregada junto con la propuesta. Por lo tanto, este documento faltante no puede ser aportado por el proponente en el término otorgado por la entidad. En consecuencia, la respuesta a su pregunta puede sintetizarse así: por regla general, si el oferente no presenta con su oferta los requisitos habilitantes, la entidad debe permitirle que los subsane, con excepción de la garantía de seriedad de la oferta; pero la entidad estatal deberá verificar adicionalmente que</w:t>
      </w:r>
      <w:r w:rsidR="00780F32" w:rsidRPr="005A4FC9">
        <w:rPr>
          <w:rFonts w:ascii="Arial" w:eastAsia="Calibri" w:hAnsi="Arial" w:cs="Arial"/>
          <w:color w:val="000000" w:themeColor="text1"/>
          <w:sz w:val="22"/>
          <w:lang w:val="es-ES_tradnl"/>
        </w:rPr>
        <w:t xml:space="preserve"> </w:t>
      </w:r>
      <w:r w:rsidRPr="005A4FC9">
        <w:rPr>
          <w:rFonts w:ascii="Arial" w:eastAsia="Calibri" w:hAnsi="Arial" w:cs="Arial"/>
          <w:color w:val="000000" w:themeColor="text1"/>
          <w:sz w:val="22"/>
          <w:lang w:val="es-ES_tradnl"/>
        </w:rPr>
        <w:t xml:space="preserve">con la información aportada en la etapa de </w:t>
      </w:r>
      <w:proofErr w:type="spellStart"/>
      <w:r w:rsidRPr="005A4FC9">
        <w:rPr>
          <w:rFonts w:ascii="Arial" w:eastAsia="Calibri" w:hAnsi="Arial" w:cs="Arial"/>
          <w:color w:val="000000" w:themeColor="text1"/>
          <w:sz w:val="22"/>
          <w:lang w:val="es-ES_tradnl"/>
        </w:rPr>
        <w:t>subsanabilidad</w:t>
      </w:r>
      <w:proofErr w:type="spellEnd"/>
      <w:r w:rsidRPr="005A4FC9">
        <w:rPr>
          <w:rFonts w:ascii="Arial" w:eastAsia="Calibri" w:hAnsi="Arial" w:cs="Arial"/>
          <w:color w:val="000000" w:themeColor="text1"/>
          <w:sz w:val="22"/>
          <w:lang w:val="es-ES_tradnl"/>
        </w:rPr>
        <w:t xml:space="preserve">, el oferente no acredite circunstancias ocurridas con posterioridad al cierre del proceso. </w:t>
      </w:r>
    </w:p>
    <w:p w14:paraId="7CC88A7D" w14:textId="77777777" w:rsidR="00F1108B" w:rsidRPr="005A4FC9" w:rsidRDefault="00F1108B" w:rsidP="00397FF0">
      <w:pPr>
        <w:spacing w:before="120" w:line="276" w:lineRule="auto"/>
        <w:ind w:firstLine="709"/>
        <w:jc w:val="both"/>
        <w:rPr>
          <w:rFonts w:ascii="Arial" w:eastAsia="Calibri" w:hAnsi="Arial" w:cs="Arial"/>
          <w:color w:val="000000" w:themeColor="text1"/>
          <w:sz w:val="22"/>
        </w:rPr>
      </w:pPr>
      <w:r w:rsidRPr="005A4FC9">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5A4FC9" w:rsidRDefault="00A37FB6" w:rsidP="00D01760">
      <w:pPr>
        <w:spacing w:line="276" w:lineRule="auto"/>
        <w:jc w:val="both"/>
        <w:rPr>
          <w:rFonts w:ascii="Arial" w:eastAsia="Calibri" w:hAnsi="Arial" w:cs="Arial"/>
          <w:color w:val="000000" w:themeColor="text1"/>
          <w:sz w:val="22"/>
        </w:rPr>
      </w:pPr>
    </w:p>
    <w:p w14:paraId="0F8C901F" w14:textId="77777777" w:rsidR="00A37FB6" w:rsidRPr="005A4FC9" w:rsidRDefault="00A37FB6" w:rsidP="00D01760">
      <w:pPr>
        <w:jc w:val="both"/>
        <w:rPr>
          <w:rFonts w:ascii="Arial" w:eastAsia="Calibri" w:hAnsi="Arial" w:cs="Arial"/>
          <w:color w:val="000000" w:themeColor="text1"/>
          <w:sz w:val="22"/>
        </w:rPr>
      </w:pPr>
      <w:r w:rsidRPr="005A4FC9">
        <w:rPr>
          <w:noProof/>
          <w:color w:val="000000" w:themeColor="text1"/>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FD8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5A4FC9" w:rsidRDefault="00A37FB6" w:rsidP="00D01760">
      <w:pPr>
        <w:rPr>
          <w:rFonts w:ascii="Arial" w:eastAsia="Times New Roman" w:hAnsi="Arial" w:cs="Arial"/>
          <w:color w:val="000000" w:themeColor="text1"/>
          <w:sz w:val="22"/>
          <w:lang w:eastAsia="es-CO"/>
        </w:rPr>
      </w:pPr>
      <w:r w:rsidRPr="005A4FC9">
        <w:rPr>
          <w:rFonts w:ascii="Arial" w:eastAsia="Times New Roman" w:hAnsi="Arial" w:cs="Arial"/>
          <w:color w:val="000000" w:themeColor="text1"/>
          <w:sz w:val="22"/>
          <w:lang w:eastAsia="es-CO"/>
        </w:rPr>
        <w:t>Atentamente,</w:t>
      </w:r>
    </w:p>
    <w:p w14:paraId="57DD1EBD" w14:textId="7F524674" w:rsidR="00746E08" w:rsidRDefault="005B0C7E" w:rsidP="00746E08">
      <w:pPr>
        <w:jc w:val="center"/>
        <w:rPr>
          <w:rFonts w:ascii="Arial" w:eastAsia="Times New Roman" w:hAnsi="Arial" w:cs="Arial"/>
          <w:color w:val="000000" w:themeColor="text1"/>
          <w:sz w:val="18"/>
          <w:szCs w:val="20"/>
          <w:lang w:eastAsia="es-CO"/>
        </w:rPr>
      </w:pPr>
      <w:r>
        <w:rPr>
          <w:noProof/>
        </w:rPr>
        <w:drawing>
          <wp:inline distT="0" distB="0" distL="0" distR="0" wp14:anchorId="0B2B9831" wp14:editId="2C061396">
            <wp:extent cx="2773045" cy="988695"/>
            <wp:effectExtent l="0" t="0" r="0" b="0"/>
            <wp:docPr id="760465941"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265D18B" w14:textId="77777777" w:rsidR="005B0C7E" w:rsidRPr="005A4FC9" w:rsidRDefault="005B0C7E"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A4FC9" w:rsidRPr="005A4FC9" w14:paraId="469202AF" w14:textId="77777777" w:rsidTr="003432C8">
        <w:trPr>
          <w:trHeight w:val="315"/>
        </w:trPr>
        <w:tc>
          <w:tcPr>
            <w:tcW w:w="812" w:type="dxa"/>
            <w:vAlign w:val="center"/>
            <w:hideMark/>
          </w:tcPr>
          <w:p w14:paraId="3F62A0B3" w14:textId="77777777" w:rsidR="00746E08" w:rsidRPr="005A4FC9" w:rsidRDefault="00746E08">
            <w:pPr>
              <w:rPr>
                <w:rFonts w:ascii="Arial" w:eastAsia="Times New Roman" w:hAnsi="Arial" w:cs="Arial"/>
                <w:color w:val="000000" w:themeColor="text1"/>
                <w:sz w:val="16"/>
                <w:szCs w:val="16"/>
                <w:lang w:eastAsia="es-ES"/>
              </w:rPr>
            </w:pPr>
            <w:r w:rsidRPr="005A4FC9">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C325E7" w14:textId="0A1FD31F" w:rsidR="00746E08" w:rsidRPr="005A4FC9" w:rsidRDefault="003432C8">
            <w:pPr>
              <w:rPr>
                <w:rFonts w:ascii="Arial" w:eastAsia="Times New Roman" w:hAnsi="Arial" w:cs="Arial"/>
                <w:color w:val="000000" w:themeColor="text1"/>
                <w:sz w:val="16"/>
                <w:szCs w:val="16"/>
                <w:lang w:eastAsia="es-ES"/>
              </w:rPr>
            </w:pPr>
            <w:r w:rsidRPr="005A4FC9">
              <w:rPr>
                <w:rFonts w:ascii="Arial" w:eastAsia="Times New Roman" w:hAnsi="Arial" w:cs="Arial"/>
                <w:color w:val="000000" w:themeColor="text1"/>
                <w:sz w:val="16"/>
                <w:szCs w:val="16"/>
                <w:lang w:eastAsia="es-ES"/>
              </w:rPr>
              <w:t>Cristian Andrés Díaz Díez</w:t>
            </w:r>
          </w:p>
        </w:tc>
      </w:tr>
      <w:tr w:rsidR="005A4FC9" w:rsidRPr="005A4FC9" w14:paraId="10BC78E8" w14:textId="77777777" w:rsidTr="003432C8">
        <w:trPr>
          <w:trHeight w:val="330"/>
        </w:trPr>
        <w:tc>
          <w:tcPr>
            <w:tcW w:w="812" w:type="dxa"/>
            <w:vAlign w:val="center"/>
            <w:hideMark/>
          </w:tcPr>
          <w:p w14:paraId="6A7DBF66" w14:textId="77777777" w:rsidR="00746E08" w:rsidRPr="005A4FC9" w:rsidRDefault="00746E08">
            <w:pPr>
              <w:rPr>
                <w:rFonts w:ascii="Arial" w:eastAsia="Times New Roman" w:hAnsi="Arial" w:cs="Arial"/>
                <w:color w:val="000000" w:themeColor="text1"/>
                <w:sz w:val="16"/>
                <w:szCs w:val="16"/>
                <w:lang w:eastAsia="es-ES"/>
              </w:rPr>
            </w:pPr>
            <w:r w:rsidRPr="005A4FC9">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5A4FC9" w:rsidRDefault="00746E08" w:rsidP="00746E08">
            <w:pPr>
              <w:rPr>
                <w:rFonts w:ascii="Arial" w:eastAsia="Times New Roman" w:hAnsi="Arial" w:cs="Arial"/>
                <w:color w:val="000000" w:themeColor="text1"/>
                <w:sz w:val="16"/>
                <w:szCs w:val="16"/>
                <w:lang w:eastAsia="es-ES"/>
              </w:rPr>
            </w:pPr>
            <w:r w:rsidRPr="005A4FC9">
              <w:rPr>
                <w:rFonts w:ascii="Arial" w:eastAsia="Times New Roman" w:hAnsi="Arial" w:cs="Arial"/>
                <w:color w:val="000000" w:themeColor="text1"/>
                <w:sz w:val="16"/>
                <w:szCs w:val="16"/>
                <w:lang w:eastAsia="es-ES"/>
              </w:rPr>
              <w:t>Fabián Gonzalo Marín Cortés</w:t>
            </w:r>
          </w:p>
          <w:p w14:paraId="19E8BD8D" w14:textId="69868F8E" w:rsidR="00746E08" w:rsidRPr="005A4FC9" w:rsidRDefault="00746E08">
            <w:pPr>
              <w:rPr>
                <w:rFonts w:ascii="Arial" w:eastAsia="Times New Roman" w:hAnsi="Arial" w:cs="Arial"/>
                <w:color w:val="000000" w:themeColor="text1"/>
                <w:sz w:val="16"/>
                <w:szCs w:val="16"/>
                <w:lang w:eastAsia="es-ES"/>
              </w:rPr>
            </w:pPr>
            <w:r w:rsidRPr="005A4FC9">
              <w:rPr>
                <w:rFonts w:ascii="Arial" w:eastAsia="Times New Roman" w:hAnsi="Arial" w:cs="Arial"/>
                <w:color w:val="000000" w:themeColor="text1"/>
                <w:sz w:val="16"/>
                <w:szCs w:val="16"/>
                <w:lang w:eastAsia="es-ES"/>
              </w:rPr>
              <w:t>Subdirector de Gestión Contractual</w:t>
            </w:r>
          </w:p>
        </w:tc>
      </w:tr>
      <w:tr w:rsidR="00746E08" w:rsidRPr="005A4FC9" w14:paraId="50741B38" w14:textId="77777777" w:rsidTr="003432C8">
        <w:trPr>
          <w:trHeight w:val="300"/>
        </w:trPr>
        <w:tc>
          <w:tcPr>
            <w:tcW w:w="812" w:type="dxa"/>
            <w:vAlign w:val="center"/>
            <w:hideMark/>
          </w:tcPr>
          <w:p w14:paraId="297715FA" w14:textId="77777777" w:rsidR="00746E08" w:rsidRPr="005A4FC9" w:rsidRDefault="00746E08">
            <w:pPr>
              <w:rPr>
                <w:rFonts w:ascii="Arial" w:eastAsia="Times New Roman" w:hAnsi="Arial" w:cs="Arial"/>
                <w:color w:val="000000" w:themeColor="text1"/>
                <w:sz w:val="16"/>
                <w:szCs w:val="16"/>
                <w:lang w:eastAsia="es-ES"/>
              </w:rPr>
            </w:pPr>
            <w:r w:rsidRPr="005A4FC9">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5A4FC9" w:rsidRDefault="00746E08" w:rsidP="00746E08">
            <w:pPr>
              <w:rPr>
                <w:rFonts w:ascii="Arial" w:eastAsia="Times New Roman" w:hAnsi="Arial" w:cs="Arial"/>
                <w:color w:val="000000" w:themeColor="text1"/>
                <w:sz w:val="16"/>
                <w:szCs w:val="16"/>
                <w:lang w:eastAsia="es-ES"/>
              </w:rPr>
            </w:pPr>
            <w:r w:rsidRPr="005A4FC9">
              <w:rPr>
                <w:rFonts w:ascii="Arial" w:eastAsia="Times New Roman" w:hAnsi="Arial" w:cs="Arial"/>
                <w:color w:val="000000" w:themeColor="text1"/>
                <w:sz w:val="16"/>
                <w:szCs w:val="16"/>
                <w:lang w:eastAsia="es-ES"/>
              </w:rPr>
              <w:t>Fabián Gonzalo Marín Cortés</w:t>
            </w:r>
          </w:p>
          <w:p w14:paraId="17847B1F" w14:textId="71EB0D70" w:rsidR="00746E08" w:rsidRPr="005A4FC9" w:rsidRDefault="00746E08">
            <w:pPr>
              <w:rPr>
                <w:rFonts w:ascii="Arial" w:eastAsia="Times New Roman" w:hAnsi="Arial" w:cs="Arial"/>
                <w:color w:val="000000" w:themeColor="text1"/>
                <w:sz w:val="16"/>
                <w:szCs w:val="16"/>
                <w:lang w:eastAsia="es-ES"/>
              </w:rPr>
            </w:pPr>
            <w:r w:rsidRPr="005A4FC9">
              <w:rPr>
                <w:rFonts w:ascii="Arial" w:eastAsia="Times New Roman" w:hAnsi="Arial" w:cs="Arial"/>
                <w:color w:val="000000" w:themeColor="text1"/>
                <w:sz w:val="16"/>
                <w:szCs w:val="16"/>
                <w:lang w:eastAsia="es-ES"/>
              </w:rPr>
              <w:t>Subdirector de Gestión Contractual</w:t>
            </w:r>
          </w:p>
        </w:tc>
      </w:tr>
    </w:tbl>
    <w:p w14:paraId="35B56F46" w14:textId="77777777" w:rsidR="00746E08" w:rsidRPr="005A4FC9" w:rsidRDefault="00746E08" w:rsidP="00746E08">
      <w:pPr>
        <w:rPr>
          <w:rFonts w:ascii="Arial" w:eastAsia="Times New Roman" w:hAnsi="Arial" w:cs="Arial"/>
          <w:color w:val="000000" w:themeColor="text1"/>
          <w:sz w:val="16"/>
          <w:szCs w:val="16"/>
          <w:lang w:eastAsia="es-ES"/>
        </w:rPr>
      </w:pPr>
    </w:p>
    <w:sectPr w:rsidR="00746E08" w:rsidRPr="005A4FC9"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BE8529" w14:textId="77777777" w:rsidR="004407C8" w:rsidRDefault="004407C8">
      <w:r>
        <w:separator/>
      </w:r>
    </w:p>
  </w:endnote>
  <w:endnote w:type="continuationSeparator" w:id="0">
    <w:p w14:paraId="12264102" w14:textId="77777777" w:rsidR="004407C8" w:rsidRDefault="00440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Pr="00004C26" w:rsidRDefault="008217B7" w:rsidP="00322937">
    <w:pPr>
      <w:pStyle w:val="Sinespaciado"/>
      <w:jc w:val="right"/>
      <w:rPr>
        <w:rFonts w:ascii="Arial" w:hAnsi="Arial" w:cs="Arial"/>
        <w:sz w:val="22"/>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2D4716F5" w:rsidP="00322937">
    <w:pPr>
      <w:pStyle w:val="Piedepgina"/>
      <w:jc w:val="center"/>
      <w:rPr>
        <w:lang w:val="es-ES"/>
      </w:rPr>
    </w:pPr>
    <w:r>
      <w:rPr>
        <w:noProof/>
      </w:rPr>
      <w:drawing>
        <wp:inline distT="0" distB="0" distL="0" distR="0" wp14:anchorId="608B196D" wp14:editId="3F64EFB8">
          <wp:extent cx="3700130" cy="519139"/>
          <wp:effectExtent l="0" t="0" r="0" b="0"/>
          <wp:docPr id="4887689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2C16FB" w14:textId="77777777" w:rsidR="004407C8" w:rsidRDefault="004407C8">
      <w:r>
        <w:separator/>
      </w:r>
    </w:p>
  </w:footnote>
  <w:footnote w:type="continuationSeparator" w:id="0">
    <w:p w14:paraId="0B2AACE7" w14:textId="77777777" w:rsidR="004407C8" w:rsidRDefault="004407C8">
      <w:r>
        <w:continuationSeparator/>
      </w:r>
    </w:p>
  </w:footnote>
  <w:footnote w:id="1">
    <w:p w14:paraId="0C42DD69" w14:textId="77777777" w:rsidR="0081766B" w:rsidRPr="005A4FC9" w:rsidRDefault="0081766B" w:rsidP="0081766B">
      <w:pPr>
        <w:pStyle w:val="Textonotapie"/>
        <w:ind w:firstLine="709"/>
        <w:jc w:val="both"/>
        <w:rPr>
          <w:rFonts w:ascii="Arial" w:hAnsi="Arial" w:cs="Arial"/>
          <w:color w:val="000000" w:themeColor="text1"/>
          <w:sz w:val="19"/>
          <w:szCs w:val="19"/>
          <w:lang w:val="es-ES"/>
        </w:rPr>
      </w:pPr>
      <w:r w:rsidRPr="005A4FC9">
        <w:rPr>
          <w:rStyle w:val="Refdenotaalpie"/>
          <w:rFonts w:ascii="Arial" w:hAnsi="Arial" w:cs="Arial"/>
          <w:color w:val="000000" w:themeColor="text1"/>
          <w:sz w:val="19"/>
          <w:szCs w:val="19"/>
        </w:rPr>
        <w:footnoteRef/>
      </w:r>
      <w:r w:rsidRPr="005A4FC9">
        <w:rPr>
          <w:rFonts w:ascii="Arial" w:hAnsi="Arial" w:cs="Arial"/>
          <w:color w:val="000000" w:themeColor="text1"/>
          <w:sz w:val="19"/>
          <w:szCs w:val="19"/>
        </w:rPr>
        <w:t xml:space="preserve"> </w:t>
      </w:r>
      <w:r w:rsidRPr="005A4FC9">
        <w:rPr>
          <w:rFonts w:ascii="Arial" w:hAnsi="Arial" w:cs="Arial"/>
          <w:color w:val="000000" w:themeColor="text1"/>
          <w:sz w:val="19"/>
          <w:szCs w:val="19"/>
          <w:lang w:val="es-ES"/>
        </w:rPr>
        <w:t>Al respecto, conviene recordar el artículo 29 de la Ley 80 de 1993, derogado por el artículo 32 de la Ley 1150 de 2007, que establecía: «La selección de contratistas será objetiva.</w:t>
      </w:r>
    </w:p>
    <w:p w14:paraId="7C34B6AB" w14:textId="77777777" w:rsidR="0081766B" w:rsidRPr="005A4FC9" w:rsidRDefault="0081766B" w:rsidP="0081766B">
      <w:pPr>
        <w:pStyle w:val="Textonotapie"/>
        <w:ind w:firstLine="709"/>
        <w:jc w:val="both"/>
        <w:rPr>
          <w:rFonts w:ascii="Arial" w:hAnsi="Arial" w:cs="Arial"/>
          <w:color w:val="000000" w:themeColor="text1"/>
          <w:sz w:val="19"/>
          <w:szCs w:val="19"/>
          <w:lang w:val="es-ES"/>
        </w:rPr>
      </w:pPr>
      <w:r w:rsidRPr="005A4FC9">
        <w:rPr>
          <w:rFonts w:ascii="Arial" w:hAnsi="Arial" w:cs="Arial"/>
          <w:color w:val="000000" w:themeColor="text1"/>
          <w:sz w:val="19"/>
          <w:szCs w:val="19"/>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0D50C0CD" w14:textId="77777777" w:rsidR="0081766B" w:rsidRPr="005A4FC9" w:rsidRDefault="0081766B" w:rsidP="0081766B">
      <w:pPr>
        <w:pStyle w:val="Textonotapie"/>
        <w:ind w:firstLine="709"/>
        <w:jc w:val="both"/>
        <w:rPr>
          <w:rFonts w:ascii="Arial" w:hAnsi="Arial" w:cs="Arial"/>
          <w:color w:val="000000" w:themeColor="text1"/>
          <w:sz w:val="19"/>
          <w:szCs w:val="19"/>
          <w:lang w:val="es-ES"/>
        </w:rPr>
      </w:pPr>
      <w:r w:rsidRPr="005A4FC9">
        <w:rPr>
          <w:rFonts w:ascii="Arial" w:hAnsi="Arial" w:cs="Arial"/>
          <w:color w:val="000000" w:themeColor="text1"/>
          <w:sz w:val="19"/>
          <w:szCs w:val="19"/>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6E01238E" w14:textId="77777777" w:rsidR="0081766B" w:rsidRPr="005A4FC9" w:rsidRDefault="0081766B" w:rsidP="0081766B">
      <w:pPr>
        <w:pStyle w:val="Textonotapie"/>
        <w:ind w:firstLine="709"/>
        <w:jc w:val="both"/>
        <w:rPr>
          <w:rFonts w:ascii="Arial" w:hAnsi="Arial" w:cs="Arial"/>
          <w:color w:val="000000" w:themeColor="text1"/>
          <w:sz w:val="19"/>
          <w:szCs w:val="19"/>
          <w:lang w:val="es-ES"/>
        </w:rPr>
      </w:pPr>
      <w:r w:rsidRPr="005A4FC9">
        <w:rPr>
          <w:rFonts w:ascii="Arial" w:hAnsi="Arial" w:cs="Arial"/>
          <w:color w:val="000000" w:themeColor="text1"/>
          <w:sz w:val="19"/>
          <w:szCs w:val="19"/>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3CBDE96F" w14:textId="77777777" w:rsidR="0081766B" w:rsidRPr="005A4FC9" w:rsidRDefault="0081766B" w:rsidP="0081766B">
      <w:pPr>
        <w:pStyle w:val="Textonotapie"/>
        <w:ind w:firstLine="709"/>
        <w:jc w:val="both"/>
        <w:rPr>
          <w:rFonts w:ascii="Arial" w:hAnsi="Arial" w:cs="Arial"/>
          <w:color w:val="000000" w:themeColor="text1"/>
          <w:sz w:val="19"/>
          <w:szCs w:val="19"/>
          <w:lang w:val="es-ES"/>
        </w:rPr>
      </w:pPr>
      <w:r w:rsidRPr="005A4FC9">
        <w:rPr>
          <w:rFonts w:ascii="Arial" w:hAnsi="Arial" w:cs="Arial"/>
          <w:color w:val="000000" w:themeColor="text1"/>
          <w:sz w:val="19"/>
          <w:szCs w:val="19"/>
          <w:lang w:val="es-ES"/>
        </w:rPr>
        <w:t>»En caso de comparación de propuestas nacionales y extranjeras, se incluirán los costos necesarios para la entrega del producto terminado en el lugar de su utilización».</w:t>
      </w:r>
    </w:p>
  </w:footnote>
  <w:footnote w:id="2">
    <w:p w14:paraId="5CB12210" w14:textId="77777777" w:rsidR="0081766B" w:rsidRPr="005A4FC9" w:rsidRDefault="0081766B" w:rsidP="0081766B">
      <w:pPr>
        <w:pStyle w:val="Textonotapie"/>
        <w:ind w:firstLine="709"/>
        <w:jc w:val="both"/>
        <w:rPr>
          <w:rFonts w:ascii="Arial" w:hAnsi="Arial" w:cs="Arial"/>
          <w:color w:val="000000" w:themeColor="text1"/>
          <w:sz w:val="19"/>
          <w:szCs w:val="19"/>
          <w:lang w:val="es-ES"/>
        </w:rPr>
      </w:pPr>
      <w:r w:rsidRPr="005A4FC9">
        <w:rPr>
          <w:rStyle w:val="Refdenotaalpie"/>
          <w:rFonts w:ascii="Arial" w:hAnsi="Arial" w:cs="Arial"/>
          <w:color w:val="000000" w:themeColor="text1"/>
          <w:sz w:val="19"/>
          <w:szCs w:val="19"/>
        </w:rPr>
        <w:footnoteRef/>
      </w:r>
      <w:r w:rsidRPr="005A4FC9">
        <w:rPr>
          <w:rFonts w:ascii="Arial" w:hAnsi="Arial" w:cs="Arial"/>
          <w:color w:val="000000" w:themeColor="text1"/>
          <w:sz w:val="19"/>
          <w:szCs w:val="19"/>
        </w:rPr>
        <w:t xml:space="preserve"> Consejo de Estado. Sección Tercera. Subsección A. Sentencia del 25 de octubre de 2019. </w:t>
      </w:r>
      <w:proofErr w:type="spellStart"/>
      <w:r w:rsidRPr="005A4FC9">
        <w:rPr>
          <w:rFonts w:ascii="Arial" w:hAnsi="Arial" w:cs="Arial"/>
          <w:color w:val="000000" w:themeColor="text1"/>
          <w:sz w:val="19"/>
          <w:szCs w:val="19"/>
        </w:rPr>
        <w:t>Exp</w:t>
      </w:r>
      <w:proofErr w:type="spellEnd"/>
      <w:r w:rsidRPr="005A4FC9">
        <w:rPr>
          <w:rFonts w:ascii="Arial" w:hAnsi="Arial" w:cs="Arial"/>
          <w:color w:val="000000" w:themeColor="text1"/>
          <w:sz w:val="19"/>
          <w:szCs w:val="19"/>
        </w:rPr>
        <w:t>. 39.945. Consejera Ponente: María Adriana Marín.</w:t>
      </w:r>
    </w:p>
  </w:footnote>
  <w:footnote w:id="3">
    <w:p w14:paraId="12749861" w14:textId="77777777" w:rsidR="0081766B" w:rsidRPr="005A4FC9" w:rsidRDefault="0081766B" w:rsidP="0081766B">
      <w:pPr>
        <w:pStyle w:val="Textonotapie"/>
        <w:ind w:firstLine="709"/>
        <w:jc w:val="both"/>
        <w:rPr>
          <w:rFonts w:ascii="Arial" w:hAnsi="Arial" w:cs="Arial"/>
          <w:color w:val="000000" w:themeColor="text1"/>
          <w:sz w:val="19"/>
          <w:szCs w:val="19"/>
          <w:lang w:val="es-ES"/>
        </w:rPr>
      </w:pPr>
      <w:r w:rsidRPr="005A4FC9">
        <w:rPr>
          <w:rStyle w:val="Refdenotaalpie"/>
          <w:rFonts w:ascii="Arial" w:hAnsi="Arial" w:cs="Arial"/>
          <w:color w:val="000000" w:themeColor="text1"/>
          <w:sz w:val="19"/>
          <w:szCs w:val="19"/>
        </w:rPr>
        <w:footnoteRef/>
      </w:r>
      <w:r w:rsidRPr="005A4FC9">
        <w:rPr>
          <w:rStyle w:val="Refdenotaalpie"/>
          <w:rFonts w:ascii="Arial" w:hAnsi="Arial" w:cs="Arial"/>
          <w:color w:val="000000" w:themeColor="text1"/>
          <w:sz w:val="19"/>
          <w:szCs w:val="19"/>
        </w:rPr>
        <w:t xml:space="preserve"> </w:t>
      </w:r>
      <w:r w:rsidRPr="005A4FC9">
        <w:rPr>
          <w:rFonts w:ascii="Arial" w:hAnsi="Arial" w:cs="Arial"/>
          <w:color w:val="000000" w:themeColor="text1"/>
          <w:sz w:val="19"/>
          <w:szCs w:val="19"/>
        </w:rPr>
        <w:t xml:space="preserve">Consejo de Estado. Sección Tercera. Subsección A. Sentencia del 5 de julio de 2018. </w:t>
      </w:r>
      <w:proofErr w:type="spellStart"/>
      <w:r w:rsidRPr="005A4FC9">
        <w:rPr>
          <w:rFonts w:ascii="Arial" w:hAnsi="Arial" w:cs="Arial"/>
          <w:color w:val="000000" w:themeColor="text1"/>
          <w:sz w:val="19"/>
          <w:szCs w:val="19"/>
        </w:rPr>
        <w:t>Exp</w:t>
      </w:r>
      <w:proofErr w:type="spellEnd"/>
      <w:r w:rsidRPr="005A4FC9">
        <w:rPr>
          <w:rFonts w:ascii="Arial" w:hAnsi="Arial" w:cs="Arial"/>
          <w:color w:val="000000" w:themeColor="text1"/>
          <w:sz w:val="19"/>
          <w:szCs w:val="19"/>
        </w:rPr>
        <w:t>. 37.834. Consejero Ponente: Carlos Alberto Zambrano Barrera.</w:t>
      </w:r>
    </w:p>
  </w:footnote>
  <w:footnote w:id="4">
    <w:p w14:paraId="327B0274" w14:textId="77777777" w:rsidR="00A20264" w:rsidRPr="005A4FC9" w:rsidRDefault="00A20264" w:rsidP="00A20264">
      <w:pPr>
        <w:pStyle w:val="Textonotapie"/>
        <w:ind w:firstLine="709"/>
        <w:jc w:val="both"/>
        <w:rPr>
          <w:rFonts w:ascii="Arial" w:hAnsi="Arial" w:cs="Arial"/>
          <w:color w:val="000000" w:themeColor="text1"/>
          <w:sz w:val="19"/>
          <w:szCs w:val="19"/>
        </w:rPr>
      </w:pPr>
      <w:r w:rsidRPr="005A4FC9">
        <w:rPr>
          <w:rStyle w:val="Refdenotaalpie"/>
          <w:rFonts w:ascii="Arial" w:hAnsi="Arial" w:cs="Arial"/>
          <w:color w:val="000000" w:themeColor="text1"/>
          <w:sz w:val="19"/>
          <w:szCs w:val="19"/>
        </w:rPr>
        <w:footnoteRef/>
      </w:r>
      <w:r w:rsidRPr="005A4FC9">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3419F0F6" w14:textId="77777777" w:rsidR="00A20264" w:rsidRPr="005A4FC9" w:rsidRDefault="00A20264" w:rsidP="00A20264">
      <w:pPr>
        <w:pStyle w:val="Textonotapie"/>
        <w:ind w:firstLine="709"/>
        <w:jc w:val="both"/>
        <w:rPr>
          <w:rFonts w:ascii="Arial" w:hAnsi="Arial" w:cs="Arial"/>
          <w:b/>
          <w:color w:val="000000" w:themeColor="text1"/>
          <w:sz w:val="19"/>
          <w:szCs w:val="19"/>
        </w:rPr>
      </w:pPr>
    </w:p>
  </w:footnote>
  <w:footnote w:id="5">
    <w:p w14:paraId="623DD885" w14:textId="77777777" w:rsidR="00A20264" w:rsidRPr="005A4FC9" w:rsidRDefault="00A20264" w:rsidP="00A20264">
      <w:pPr>
        <w:pStyle w:val="Textonotapie"/>
        <w:ind w:firstLine="709"/>
        <w:jc w:val="both"/>
        <w:rPr>
          <w:rFonts w:ascii="Arial" w:hAnsi="Arial" w:cs="Arial"/>
          <w:color w:val="000000" w:themeColor="text1"/>
          <w:sz w:val="19"/>
          <w:szCs w:val="19"/>
        </w:rPr>
      </w:pPr>
      <w:r w:rsidRPr="005A4FC9">
        <w:rPr>
          <w:rStyle w:val="Refdenotaalpie"/>
          <w:rFonts w:ascii="Arial" w:hAnsi="Arial" w:cs="Arial"/>
          <w:color w:val="000000" w:themeColor="text1"/>
          <w:sz w:val="19"/>
          <w:szCs w:val="19"/>
        </w:rPr>
        <w:footnoteRef/>
      </w:r>
      <w:r w:rsidRPr="005A4FC9">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79A84745" w14:textId="77777777" w:rsidR="00A20264" w:rsidRPr="005A4FC9" w:rsidRDefault="00A20264" w:rsidP="00A20264">
      <w:pPr>
        <w:pStyle w:val="Textonotapie"/>
        <w:ind w:firstLine="709"/>
        <w:jc w:val="both"/>
        <w:rPr>
          <w:rFonts w:ascii="Arial" w:hAnsi="Arial" w:cs="Arial"/>
          <w:color w:val="000000" w:themeColor="text1"/>
          <w:sz w:val="19"/>
          <w:szCs w:val="19"/>
        </w:rPr>
      </w:pPr>
      <w:r w:rsidRPr="005A4FC9">
        <w:rPr>
          <w:rStyle w:val="Refdenotaalpie"/>
          <w:rFonts w:ascii="Arial" w:hAnsi="Arial" w:cs="Arial"/>
          <w:color w:val="000000" w:themeColor="text1"/>
          <w:sz w:val="19"/>
          <w:szCs w:val="19"/>
        </w:rPr>
        <w:footnoteRef/>
      </w:r>
      <w:r w:rsidRPr="005A4FC9">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 w:id="7">
    <w:p w14:paraId="47C323EB" w14:textId="77777777" w:rsidR="00A20264" w:rsidRPr="005A4FC9" w:rsidRDefault="00A20264" w:rsidP="00A20264">
      <w:pPr>
        <w:pStyle w:val="Textonotapie"/>
        <w:ind w:firstLine="709"/>
        <w:jc w:val="both"/>
        <w:rPr>
          <w:rFonts w:ascii="Arial" w:hAnsi="Arial" w:cs="Arial"/>
          <w:color w:val="000000" w:themeColor="text1"/>
          <w:sz w:val="19"/>
          <w:szCs w:val="19"/>
          <w:lang w:val="es-CO"/>
        </w:rPr>
      </w:pPr>
      <w:r w:rsidRPr="005A4FC9">
        <w:rPr>
          <w:rStyle w:val="Refdenotaalpie"/>
          <w:rFonts w:ascii="Arial" w:hAnsi="Arial" w:cs="Arial"/>
          <w:color w:val="000000" w:themeColor="text1"/>
          <w:sz w:val="19"/>
          <w:szCs w:val="19"/>
        </w:rPr>
        <w:footnoteRef/>
      </w:r>
      <w:r w:rsidRPr="005A4FC9">
        <w:rPr>
          <w:rStyle w:val="Refdenotaalpie"/>
          <w:rFonts w:ascii="Arial" w:hAnsi="Arial" w:cs="Arial"/>
          <w:color w:val="000000" w:themeColor="text1"/>
          <w:sz w:val="19"/>
          <w:szCs w:val="19"/>
        </w:rPr>
        <w:t xml:space="preserve"> </w:t>
      </w:r>
      <w:r w:rsidRPr="005A4FC9">
        <w:rPr>
          <w:rFonts w:ascii="Arial" w:hAnsi="Arial" w:cs="Arial"/>
          <w:color w:val="000000" w:themeColor="text1"/>
          <w:sz w:val="19"/>
          <w:szCs w:val="19"/>
          <w:lang w:val="es-CO"/>
        </w:rPr>
        <w:t>Ley 1150 de 2007, artículo 5, parágrafo 4°: «</w:t>
      </w:r>
      <w:r w:rsidRPr="005A4FC9">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8">
    <w:p w14:paraId="2445BFF8" w14:textId="77777777" w:rsidR="00A20264" w:rsidRPr="005A4FC9" w:rsidRDefault="00A20264" w:rsidP="00A20264">
      <w:pPr>
        <w:ind w:firstLine="709"/>
        <w:jc w:val="both"/>
        <w:rPr>
          <w:rFonts w:ascii="Arial" w:hAnsi="Arial" w:cs="Arial"/>
          <w:color w:val="000000" w:themeColor="text1"/>
          <w:sz w:val="19"/>
          <w:szCs w:val="19"/>
        </w:rPr>
      </w:pPr>
      <w:r w:rsidRPr="005A4FC9">
        <w:rPr>
          <w:rStyle w:val="Refdenotaalpie"/>
          <w:rFonts w:ascii="Arial" w:hAnsi="Arial" w:cs="Arial"/>
          <w:color w:val="000000" w:themeColor="text1"/>
          <w:sz w:val="19"/>
          <w:szCs w:val="19"/>
        </w:rPr>
        <w:footnoteRef/>
      </w:r>
      <w:r w:rsidRPr="005A4FC9">
        <w:rPr>
          <w:rFonts w:ascii="Arial" w:hAnsi="Arial" w:cs="Arial"/>
          <w:color w:val="000000" w:themeColor="text1"/>
          <w:sz w:val="19"/>
          <w:szCs w:val="19"/>
        </w:rPr>
        <w:t xml:space="preserve"> Decreto 2474 de 2008 (DEROGADO): «art. 10. Reglas de </w:t>
      </w:r>
      <w:proofErr w:type="spellStart"/>
      <w:r w:rsidRPr="005A4FC9">
        <w:rPr>
          <w:rFonts w:ascii="Arial" w:hAnsi="Arial" w:cs="Arial"/>
          <w:color w:val="000000" w:themeColor="text1"/>
          <w:sz w:val="19"/>
          <w:szCs w:val="19"/>
        </w:rPr>
        <w:t>subsanabilidad</w:t>
      </w:r>
      <w:proofErr w:type="spellEnd"/>
      <w:r w:rsidRPr="005A4FC9">
        <w:rPr>
          <w:rFonts w:ascii="Arial" w:hAnsi="Arial" w:cs="Arial"/>
          <w:color w:val="000000" w:themeColor="text1"/>
          <w:sz w:val="19"/>
          <w:szCs w:val="19"/>
        </w:rPr>
        <w:t>.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5A4FC9">
          <w:rPr>
            <w:rFonts w:ascii="Arial" w:hAnsi="Arial" w:cs="Arial"/>
            <w:color w:val="000000" w:themeColor="text1"/>
            <w:sz w:val="19"/>
            <w:szCs w:val="19"/>
          </w:rPr>
          <w:t>Ley 1150 de 2007</w:t>
        </w:r>
      </w:hyperlink>
      <w:r w:rsidRPr="005A4FC9">
        <w:rPr>
          <w:rFonts w:ascii="Arial" w:hAnsi="Arial" w:cs="Arial"/>
          <w:color w:val="000000" w:themeColor="text1"/>
          <w:sz w:val="19"/>
          <w:szCs w:val="19"/>
        </w:rPr>
        <w:t> y en el presente decreto.</w:t>
      </w:r>
    </w:p>
    <w:p w14:paraId="22E25F84" w14:textId="77777777" w:rsidR="00A20264" w:rsidRPr="005A4FC9" w:rsidRDefault="00A20264" w:rsidP="00A20264">
      <w:pPr>
        <w:ind w:firstLine="709"/>
        <w:jc w:val="both"/>
        <w:rPr>
          <w:rFonts w:ascii="Arial" w:hAnsi="Arial" w:cs="Arial"/>
          <w:color w:val="000000" w:themeColor="text1"/>
          <w:sz w:val="19"/>
          <w:szCs w:val="19"/>
        </w:rPr>
      </w:pPr>
      <w:r w:rsidRPr="005A4FC9">
        <w:rPr>
          <w:rFonts w:ascii="Arial" w:hAnsi="Arial" w:cs="Arial"/>
          <w:color w:val="000000" w:themeColor="text1"/>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61771D4C" w14:textId="77777777" w:rsidR="00A20264" w:rsidRPr="005A4FC9" w:rsidRDefault="00A20264" w:rsidP="00A20264">
      <w:pPr>
        <w:ind w:firstLine="709"/>
        <w:jc w:val="both"/>
        <w:rPr>
          <w:rFonts w:ascii="Arial" w:hAnsi="Arial" w:cs="Arial"/>
          <w:color w:val="000000" w:themeColor="text1"/>
          <w:sz w:val="19"/>
          <w:szCs w:val="19"/>
        </w:rPr>
      </w:pPr>
      <w:r w:rsidRPr="005A4FC9">
        <w:rPr>
          <w:rFonts w:ascii="Arial" w:hAnsi="Arial" w:cs="Arial"/>
          <w:color w:val="000000" w:themeColor="text1"/>
          <w:sz w:val="19"/>
          <w:szCs w:val="19"/>
        </w:rPr>
        <w:t>»Será rechazada la oferta del proponente que dentro del término previsto en el pliego o en la solicitud, no responda al requerimiento que le haga la entidad para subsanarla.</w:t>
      </w:r>
    </w:p>
    <w:p w14:paraId="31ABDE5A" w14:textId="77777777" w:rsidR="00A20264" w:rsidRPr="005A4FC9" w:rsidRDefault="00A20264" w:rsidP="00A20264">
      <w:pPr>
        <w:ind w:firstLine="709"/>
        <w:jc w:val="both"/>
        <w:rPr>
          <w:rFonts w:ascii="Arial" w:hAnsi="Arial" w:cs="Arial"/>
          <w:color w:val="000000" w:themeColor="text1"/>
          <w:sz w:val="19"/>
          <w:szCs w:val="19"/>
        </w:rPr>
      </w:pPr>
      <w:r w:rsidRPr="005A4FC9">
        <w:rPr>
          <w:rFonts w:ascii="Arial" w:hAnsi="Arial" w:cs="Arial"/>
          <w:color w:val="000000" w:themeColor="text1"/>
          <w:sz w:val="19"/>
          <w:szCs w:val="19"/>
        </w:rPr>
        <w:t>»Cuando se utilice el mecanismo de subasta esta posibilidad deberá ejercerse hasta el momento previo a su realización, de conformidad con el artículo 22 del presente decreto.</w:t>
      </w:r>
    </w:p>
    <w:p w14:paraId="297DF232" w14:textId="77777777" w:rsidR="00A20264" w:rsidRPr="005A4FC9" w:rsidRDefault="00A20264" w:rsidP="00A20264">
      <w:pPr>
        <w:ind w:firstLine="709"/>
        <w:jc w:val="both"/>
        <w:rPr>
          <w:rFonts w:ascii="Arial" w:hAnsi="Arial" w:cs="Arial"/>
          <w:color w:val="000000" w:themeColor="text1"/>
          <w:sz w:val="19"/>
          <w:szCs w:val="19"/>
        </w:rPr>
      </w:pPr>
      <w:r w:rsidRPr="005A4FC9">
        <w:rPr>
          <w:rFonts w:ascii="Arial" w:hAnsi="Arial" w:cs="Arial"/>
          <w:color w:val="000000" w:themeColor="text1"/>
          <w:sz w:val="19"/>
          <w:szCs w:val="19"/>
        </w:rPr>
        <w:t xml:space="preserve">»En ningún caso la entidad podrá señalar taxativamente los requisitos o documentos subsanables o no subsanables en el pliego de condiciones, </w:t>
      </w:r>
      <w:r w:rsidRPr="005A4FC9">
        <w:rPr>
          <w:rFonts w:ascii="Arial" w:hAnsi="Arial" w:cs="Arial"/>
          <w:bCs/>
          <w:i/>
          <w:iCs/>
          <w:color w:val="000000" w:themeColor="text1"/>
          <w:sz w:val="19"/>
          <w:szCs w:val="19"/>
        </w:rPr>
        <w:t>ni permitir que se subsane la falta de capacidad para presentar la oferta, ni que se acrediten circunstancias ocurridas con posterioridad al cierre del proceso</w:t>
      </w:r>
      <w:r w:rsidRPr="005A4FC9">
        <w:rPr>
          <w:rFonts w:ascii="Arial" w:hAnsi="Arial" w:cs="Arial"/>
          <w:color w:val="000000" w:themeColor="text1"/>
          <w:sz w:val="19"/>
          <w:szCs w:val="19"/>
        </w:rPr>
        <w:t xml:space="preserve">». (Cursivas fuera de texto). </w:t>
      </w:r>
    </w:p>
    <w:p w14:paraId="5FC13749" w14:textId="77777777" w:rsidR="00A20264" w:rsidRPr="005A4FC9" w:rsidRDefault="00A20264" w:rsidP="00A20264">
      <w:pPr>
        <w:pStyle w:val="Textonotapie"/>
        <w:ind w:firstLine="709"/>
        <w:jc w:val="both"/>
        <w:rPr>
          <w:rFonts w:ascii="Arial" w:hAnsi="Arial" w:cs="Arial"/>
          <w:color w:val="000000" w:themeColor="text1"/>
          <w:sz w:val="19"/>
          <w:szCs w:val="19"/>
        </w:rPr>
      </w:pPr>
    </w:p>
  </w:footnote>
  <w:footnote w:id="9">
    <w:p w14:paraId="1272E488" w14:textId="77777777" w:rsidR="00A20264" w:rsidRPr="005A4FC9" w:rsidRDefault="00A20264" w:rsidP="00A20264">
      <w:pPr>
        <w:pStyle w:val="Textonotapie"/>
        <w:ind w:firstLine="709"/>
        <w:jc w:val="both"/>
        <w:rPr>
          <w:rFonts w:ascii="Arial" w:hAnsi="Arial" w:cs="Arial"/>
          <w:color w:val="000000" w:themeColor="text1"/>
          <w:sz w:val="19"/>
          <w:szCs w:val="19"/>
          <w:lang w:val="es-CO"/>
        </w:rPr>
      </w:pPr>
      <w:r w:rsidRPr="005A4FC9">
        <w:rPr>
          <w:rStyle w:val="Refdenotaalpie"/>
          <w:rFonts w:ascii="Arial" w:hAnsi="Arial" w:cs="Arial"/>
          <w:color w:val="000000" w:themeColor="text1"/>
          <w:sz w:val="19"/>
          <w:szCs w:val="19"/>
        </w:rPr>
        <w:footnoteRef/>
      </w:r>
      <w:r w:rsidRPr="005A4FC9">
        <w:rPr>
          <w:rFonts w:ascii="Arial" w:hAnsi="Arial" w:cs="Arial"/>
          <w:color w:val="000000" w:themeColor="text1"/>
          <w:sz w:val="19"/>
          <w:szCs w:val="19"/>
        </w:rPr>
        <w:t xml:space="preserve"> </w:t>
      </w:r>
      <w:r w:rsidRPr="005A4FC9">
        <w:rPr>
          <w:rFonts w:ascii="Arial" w:hAnsi="Arial" w:cs="Arial"/>
          <w:color w:val="000000" w:themeColor="text1"/>
          <w:sz w:val="19"/>
          <w:szCs w:val="19"/>
          <w:lang w:val="es-CO"/>
        </w:rPr>
        <w:t>Consejo de Estado, Sala de Consulta y Servicio Civil, concepto del 6 de noviembre de 2008. C.P. William Zambrano Cetina. Rad. 2008-00079-00(1927).</w:t>
      </w:r>
    </w:p>
    <w:p w14:paraId="5CB5F64B" w14:textId="77777777" w:rsidR="00A20264" w:rsidRPr="005A4FC9" w:rsidRDefault="00A20264" w:rsidP="00A20264">
      <w:pPr>
        <w:pStyle w:val="Textonotapie"/>
        <w:ind w:firstLine="709"/>
        <w:jc w:val="both"/>
        <w:rPr>
          <w:rFonts w:ascii="Arial" w:hAnsi="Arial" w:cs="Arial"/>
          <w:color w:val="000000" w:themeColor="text1"/>
          <w:sz w:val="19"/>
          <w:szCs w:val="19"/>
        </w:rPr>
      </w:pPr>
      <w:r w:rsidRPr="005A4FC9">
        <w:rPr>
          <w:rFonts w:ascii="Arial" w:hAnsi="Arial" w:cs="Arial"/>
          <w:color w:val="000000" w:themeColor="text1"/>
          <w:sz w:val="19"/>
          <w:szCs w:val="19"/>
        </w:rPr>
        <w:t xml:space="preserve">  </w:t>
      </w:r>
    </w:p>
  </w:footnote>
  <w:footnote w:id="10">
    <w:p w14:paraId="4BB680A0" w14:textId="77777777" w:rsidR="00A20264" w:rsidRPr="005A4FC9" w:rsidRDefault="00A20264" w:rsidP="00A20264">
      <w:pPr>
        <w:pStyle w:val="Textonotapie"/>
        <w:ind w:firstLine="709"/>
        <w:jc w:val="both"/>
        <w:rPr>
          <w:rFonts w:ascii="Arial" w:hAnsi="Arial" w:cs="Arial"/>
          <w:color w:val="000000" w:themeColor="text1"/>
          <w:sz w:val="19"/>
          <w:szCs w:val="19"/>
        </w:rPr>
      </w:pPr>
      <w:r w:rsidRPr="005A4FC9">
        <w:rPr>
          <w:rStyle w:val="Refdenotaalpie"/>
          <w:rFonts w:ascii="Arial" w:hAnsi="Arial" w:cs="Arial"/>
          <w:color w:val="000000" w:themeColor="text1"/>
          <w:sz w:val="19"/>
          <w:szCs w:val="19"/>
        </w:rPr>
        <w:footnoteRef/>
      </w:r>
      <w:r w:rsidRPr="005A4FC9">
        <w:rPr>
          <w:rFonts w:ascii="Arial" w:hAnsi="Arial" w:cs="Arial"/>
          <w:color w:val="000000" w:themeColor="text1"/>
          <w:sz w:val="19"/>
          <w:szCs w:val="19"/>
        </w:rPr>
        <w:t xml:space="preserve"> </w:t>
      </w:r>
      <w:r w:rsidRPr="005A4FC9">
        <w:rPr>
          <w:rFonts w:ascii="Arial" w:hAnsi="Arial" w:cs="Arial"/>
          <w:color w:val="000000" w:themeColor="text1"/>
          <w:sz w:val="19"/>
          <w:szCs w:val="19"/>
          <w:lang w:val="es-CO"/>
        </w:rPr>
        <w:t>Ver Consejo de Estado, Sección Tercera, Subsección C. Sentencia del 26 de febrero de 2011. C.P. Jaime Orlando Santofimio. Rad. 36.408.</w:t>
      </w:r>
      <w:r w:rsidRPr="005A4FC9">
        <w:rPr>
          <w:rFonts w:ascii="Arial" w:hAnsi="Arial" w:cs="Arial"/>
          <w:color w:val="000000" w:themeColor="text1"/>
          <w:sz w:val="19"/>
          <w:szCs w:val="19"/>
        </w:rPr>
        <w:t xml:space="preserve">  </w:t>
      </w:r>
    </w:p>
    <w:p w14:paraId="33714AC0" w14:textId="77777777" w:rsidR="00A20264" w:rsidRPr="005A4FC9" w:rsidRDefault="00A20264" w:rsidP="00A20264">
      <w:pPr>
        <w:pStyle w:val="Textonotapie"/>
        <w:ind w:firstLine="709"/>
        <w:jc w:val="both"/>
        <w:rPr>
          <w:rFonts w:ascii="Arial" w:hAnsi="Arial" w:cs="Arial"/>
          <w:color w:val="000000" w:themeColor="text1"/>
          <w:sz w:val="19"/>
          <w:szCs w:val="19"/>
        </w:rPr>
      </w:pPr>
    </w:p>
  </w:footnote>
  <w:footnote w:id="11">
    <w:p w14:paraId="1C4D6C50" w14:textId="77777777" w:rsidR="00A20264" w:rsidRPr="005A4FC9" w:rsidRDefault="00A20264" w:rsidP="00A20264">
      <w:pPr>
        <w:pStyle w:val="Textonotapie"/>
        <w:ind w:firstLine="709"/>
        <w:jc w:val="both"/>
        <w:rPr>
          <w:rFonts w:ascii="Arial" w:hAnsi="Arial" w:cs="Arial"/>
          <w:color w:val="000000" w:themeColor="text1"/>
          <w:sz w:val="19"/>
          <w:szCs w:val="19"/>
        </w:rPr>
      </w:pPr>
      <w:r w:rsidRPr="005A4FC9">
        <w:rPr>
          <w:rStyle w:val="Refdenotaalpie"/>
          <w:rFonts w:ascii="Arial" w:hAnsi="Arial" w:cs="Arial"/>
          <w:color w:val="000000" w:themeColor="text1"/>
          <w:sz w:val="19"/>
          <w:szCs w:val="19"/>
        </w:rPr>
        <w:footnoteRef/>
      </w:r>
      <w:r w:rsidRPr="005A4FC9">
        <w:rPr>
          <w:rFonts w:ascii="Arial" w:hAnsi="Arial" w:cs="Arial"/>
          <w:color w:val="000000" w:themeColor="text1"/>
          <w:sz w:val="19"/>
          <w:szCs w:val="19"/>
        </w:rPr>
        <w:t xml:space="preserve"> </w:t>
      </w:r>
      <w:r w:rsidRPr="005A4FC9">
        <w:rPr>
          <w:rFonts w:ascii="Arial" w:hAnsi="Arial" w:cs="Arial"/>
          <w:color w:val="000000" w:themeColor="text1"/>
          <w:sz w:val="19"/>
          <w:szCs w:val="19"/>
          <w:lang w:val="es-CO"/>
        </w:rPr>
        <w:t>Ver Consejo de Estado, Sección Tercera, Subsección C. Sentencia del 26 de febrero de 2014. C.P. Enrique Gil Botero. Rad. 25.804.</w:t>
      </w:r>
      <w:r w:rsidRPr="005A4FC9">
        <w:rPr>
          <w:rFonts w:ascii="Arial" w:hAnsi="Arial" w:cs="Arial"/>
          <w:color w:val="000000" w:themeColor="text1"/>
          <w:sz w:val="19"/>
          <w:szCs w:val="19"/>
        </w:rPr>
        <w:t xml:space="preserve">  </w:t>
      </w:r>
    </w:p>
    <w:p w14:paraId="6140F441" w14:textId="77777777" w:rsidR="00A20264" w:rsidRPr="005A4FC9" w:rsidRDefault="00A20264" w:rsidP="00A20264">
      <w:pPr>
        <w:pStyle w:val="Textonotapie"/>
        <w:ind w:firstLine="709"/>
        <w:jc w:val="both"/>
        <w:rPr>
          <w:rFonts w:ascii="Arial" w:hAnsi="Arial" w:cs="Arial"/>
          <w:color w:val="000000" w:themeColor="text1"/>
          <w:sz w:val="19"/>
          <w:szCs w:val="19"/>
        </w:rPr>
      </w:pPr>
    </w:p>
  </w:footnote>
  <w:footnote w:id="12">
    <w:p w14:paraId="13E74E7D" w14:textId="77777777" w:rsidR="00A20264" w:rsidRPr="005A4FC9" w:rsidRDefault="00A20264" w:rsidP="00A20264">
      <w:pPr>
        <w:pStyle w:val="Textonotapie"/>
        <w:ind w:firstLine="709"/>
        <w:jc w:val="both"/>
        <w:rPr>
          <w:rFonts w:ascii="Arial" w:hAnsi="Arial" w:cs="Arial"/>
          <w:color w:val="000000" w:themeColor="text1"/>
          <w:sz w:val="19"/>
          <w:szCs w:val="19"/>
          <w:lang w:val="es-CO"/>
        </w:rPr>
      </w:pPr>
      <w:r w:rsidRPr="005A4FC9">
        <w:rPr>
          <w:rStyle w:val="Refdenotaalpie"/>
          <w:rFonts w:ascii="Arial" w:hAnsi="Arial" w:cs="Arial"/>
          <w:color w:val="000000" w:themeColor="text1"/>
          <w:sz w:val="19"/>
          <w:szCs w:val="19"/>
        </w:rPr>
        <w:footnoteRef/>
      </w:r>
      <w:r w:rsidRPr="005A4FC9">
        <w:rPr>
          <w:rFonts w:ascii="Arial" w:hAnsi="Arial" w:cs="Arial"/>
          <w:color w:val="000000" w:themeColor="text1"/>
          <w:sz w:val="19"/>
          <w:szCs w:val="19"/>
        </w:rPr>
        <w:t xml:space="preserve"> </w:t>
      </w:r>
      <w:r w:rsidRPr="005A4FC9">
        <w:rPr>
          <w:rFonts w:ascii="Arial" w:hAnsi="Arial" w:cs="Arial"/>
          <w:color w:val="000000" w:themeColor="text1"/>
          <w:sz w:val="19"/>
          <w:szCs w:val="19"/>
          <w:lang w:val="es-CO"/>
        </w:rPr>
        <w:t>Consejo de Estado, Sala de Consulta y Servicio Civil, concepto del 20 de mayo de 2010. C.P. Enrique José Arboleda Perdomo. Rad. 2010-00034-00(1992).</w:t>
      </w:r>
    </w:p>
    <w:p w14:paraId="2BBAC1F7" w14:textId="77777777" w:rsidR="00A20264" w:rsidRPr="005A4FC9" w:rsidRDefault="00A20264" w:rsidP="00A20264">
      <w:pPr>
        <w:pStyle w:val="Textonotapie"/>
        <w:ind w:firstLine="709"/>
        <w:jc w:val="both"/>
        <w:rPr>
          <w:rFonts w:ascii="Arial" w:hAnsi="Arial" w:cs="Arial"/>
          <w:color w:val="000000" w:themeColor="text1"/>
          <w:sz w:val="19"/>
          <w:szCs w:val="19"/>
        </w:rPr>
      </w:pPr>
    </w:p>
  </w:footnote>
  <w:footnote w:id="13">
    <w:p w14:paraId="61643B9A" w14:textId="171850F1" w:rsidR="00455354" w:rsidRPr="005A4FC9" w:rsidRDefault="00455354">
      <w:pPr>
        <w:pStyle w:val="Textonotapie"/>
        <w:rPr>
          <w:rFonts w:ascii="Arial" w:hAnsi="Arial" w:cs="Arial"/>
          <w:color w:val="000000" w:themeColor="text1"/>
          <w:sz w:val="19"/>
          <w:szCs w:val="19"/>
          <w:lang w:val="es-ES"/>
        </w:rPr>
      </w:pPr>
      <w:r w:rsidRPr="005A4FC9">
        <w:rPr>
          <w:rStyle w:val="Refdenotaalpie"/>
          <w:rFonts w:ascii="Arial" w:hAnsi="Arial" w:cs="Arial"/>
          <w:color w:val="000000" w:themeColor="text1"/>
          <w:sz w:val="19"/>
          <w:szCs w:val="19"/>
        </w:rPr>
        <w:footnoteRef/>
      </w:r>
      <w:r w:rsidRPr="005A4FC9">
        <w:rPr>
          <w:rFonts w:ascii="Arial" w:hAnsi="Arial" w:cs="Arial"/>
          <w:color w:val="000000" w:themeColor="text1"/>
          <w:sz w:val="19"/>
          <w:szCs w:val="19"/>
        </w:rPr>
        <w:t xml:space="preserve"> Agencia Nacional de Contratación Pública – </w:t>
      </w:r>
      <w:r w:rsidRPr="005A4FC9">
        <w:rPr>
          <w:rFonts w:ascii="Arial" w:hAnsi="Arial" w:cs="Arial"/>
          <w:color w:val="000000" w:themeColor="text1"/>
          <w:sz w:val="19"/>
          <w:szCs w:val="19"/>
          <w:lang w:val="es-ES"/>
        </w:rPr>
        <w:t>Colombia Compra Eficiente. Circular Externa Única</w:t>
      </w:r>
      <w:r w:rsidR="00160401" w:rsidRPr="005A4FC9">
        <w:rPr>
          <w:rFonts w:ascii="Arial" w:hAnsi="Arial" w:cs="Arial"/>
          <w:color w:val="000000" w:themeColor="text1"/>
          <w:sz w:val="19"/>
          <w:szCs w:val="19"/>
          <w:lang w:val="es-ES"/>
        </w:rPr>
        <w:t>. Actualizada el 16 de abril de 2019. En: https://www.colombiacompra.gov.co/sites/cce_public/files/cce_circulares/cce_circular_unica.pdf</w:t>
      </w:r>
      <w:r w:rsidRPr="005A4FC9">
        <w:rPr>
          <w:rFonts w:ascii="Arial" w:hAnsi="Arial" w:cs="Arial"/>
          <w:color w:val="000000" w:themeColor="text1"/>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4C26"/>
    <w:rsid w:val="000714E7"/>
    <w:rsid w:val="00080ACD"/>
    <w:rsid w:val="00084B97"/>
    <w:rsid w:val="000942EB"/>
    <w:rsid w:val="000B103F"/>
    <w:rsid w:val="000B419B"/>
    <w:rsid w:val="000D0ED2"/>
    <w:rsid w:val="000F14E8"/>
    <w:rsid w:val="00103915"/>
    <w:rsid w:val="00113705"/>
    <w:rsid w:val="00122B23"/>
    <w:rsid w:val="00125BED"/>
    <w:rsid w:val="00125C59"/>
    <w:rsid w:val="00127AF2"/>
    <w:rsid w:val="00137FFA"/>
    <w:rsid w:val="00153FA8"/>
    <w:rsid w:val="00160401"/>
    <w:rsid w:val="0016200B"/>
    <w:rsid w:val="001B0444"/>
    <w:rsid w:val="001C3E5C"/>
    <w:rsid w:val="001F2356"/>
    <w:rsid w:val="0020632A"/>
    <w:rsid w:val="002110EB"/>
    <w:rsid w:val="00211338"/>
    <w:rsid w:val="00234B84"/>
    <w:rsid w:val="002C4C0C"/>
    <w:rsid w:val="003033BA"/>
    <w:rsid w:val="00322937"/>
    <w:rsid w:val="00327A5C"/>
    <w:rsid w:val="00336729"/>
    <w:rsid w:val="0034177C"/>
    <w:rsid w:val="003432C8"/>
    <w:rsid w:val="0034680A"/>
    <w:rsid w:val="00353DD5"/>
    <w:rsid w:val="00386456"/>
    <w:rsid w:val="00386C83"/>
    <w:rsid w:val="00397FF0"/>
    <w:rsid w:val="003A0878"/>
    <w:rsid w:val="003A581E"/>
    <w:rsid w:val="003C1AF4"/>
    <w:rsid w:val="00423F9F"/>
    <w:rsid w:val="00434787"/>
    <w:rsid w:val="004407C8"/>
    <w:rsid w:val="004422D6"/>
    <w:rsid w:val="0045271D"/>
    <w:rsid w:val="00455354"/>
    <w:rsid w:val="0049241A"/>
    <w:rsid w:val="004A08D1"/>
    <w:rsid w:val="004A34D2"/>
    <w:rsid w:val="004C22F7"/>
    <w:rsid w:val="0051074C"/>
    <w:rsid w:val="00512C4F"/>
    <w:rsid w:val="00513AF2"/>
    <w:rsid w:val="0054413A"/>
    <w:rsid w:val="005564CA"/>
    <w:rsid w:val="0056182B"/>
    <w:rsid w:val="005756AA"/>
    <w:rsid w:val="005A4FC9"/>
    <w:rsid w:val="005A5A3D"/>
    <w:rsid w:val="005B0C7E"/>
    <w:rsid w:val="005D51FA"/>
    <w:rsid w:val="005D791B"/>
    <w:rsid w:val="00614817"/>
    <w:rsid w:val="00623AC2"/>
    <w:rsid w:val="00633DBF"/>
    <w:rsid w:val="00655371"/>
    <w:rsid w:val="00670B20"/>
    <w:rsid w:val="00697665"/>
    <w:rsid w:val="006A7CB5"/>
    <w:rsid w:val="006A7FD0"/>
    <w:rsid w:val="006D7687"/>
    <w:rsid w:val="006E0572"/>
    <w:rsid w:val="00705631"/>
    <w:rsid w:val="00715C29"/>
    <w:rsid w:val="00715EAA"/>
    <w:rsid w:val="00742DD2"/>
    <w:rsid w:val="00746E08"/>
    <w:rsid w:val="00747C96"/>
    <w:rsid w:val="0075094E"/>
    <w:rsid w:val="007522E8"/>
    <w:rsid w:val="0075647A"/>
    <w:rsid w:val="007634AD"/>
    <w:rsid w:val="00765738"/>
    <w:rsid w:val="00780F32"/>
    <w:rsid w:val="0078122E"/>
    <w:rsid w:val="0079381F"/>
    <w:rsid w:val="00795647"/>
    <w:rsid w:val="007B0854"/>
    <w:rsid w:val="007F22A0"/>
    <w:rsid w:val="007F6B46"/>
    <w:rsid w:val="007F72CB"/>
    <w:rsid w:val="0081766B"/>
    <w:rsid w:val="008217B7"/>
    <w:rsid w:val="0083119B"/>
    <w:rsid w:val="00836EAB"/>
    <w:rsid w:val="0085092D"/>
    <w:rsid w:val="00850F79"/>
    <w:rsid w:val="0089774F"/>
    <w:rsid w:val="008E1C15"/>
    <w:rsid w:val="008F538E"/>
    <w:rsid w:val="00902E5C"/>
    <w:rsid w:val="009047C5"/>
    <w:rsid w:val="00937401"/>
    <w:rsid w:val="0095385A"/>
    <w:rsid w:val="0098427D"/>
    <w:rsid w:val="009E61EA"/>
    <w:rsid w:val="009F59C2"/>
    <w:rsid w:val="00A0188B"/>
    <w:rsid w:val="00A127D2"/>
    <w:rsid w:val="00A20264"/>
    <w:rsid w:val="00A24560"/>
    <w:rsid w:val="00A34538"/>
    <w:rsid w:val="00A37FB6"/>
    <w:rsid w:val="00A53E79"/>
    <w:rsid w:val="00AA08E7"/>
    <w:rsid w:val="00AA442B"/>
    <w:rsid w:val="00AA669D"/>
    <w:rsid w:val="00AB7312"/>
    <w:rsid w:val="00B05A55"/>
    <w:rsid w:val="00B13EC0"/>
    <w:rsid w:val="00B22E22"/>
    <w:rsid w:val="00B525CB"/>
    <w:rsid w:val="00B63872"/>
    <w:rsid w:val="00B63CB2"/>
    <w:rsid w:val="00B64EDB"/>
    <w:rsid w:val="00B7315F"/>
    <w:rsid w:val="00B91B8E"/>
    <w:rsid w:val="00BA22FC"/>
    <w:rsid w:val="00BA4771"/>
    <w:rsid w:val="00BD78FE"/>
    <w:rsid w:val="00BE2EDB"/>
    <w:rsid w:val="00BF23A3"/>
    <w:rsid w:val="00C165FC"/>
    <w:rsid w:val="00C419E3"/>
    <w:rsid w:val="00C63E99"/>
    <w:rsid w:val="00C93D8C"/>
    <w:rsid w:val="00CC00CD"/>
    <w:rsid w:val="00CC315F"/>
    <w:rsid w:val="00CE0566"/>
    <w:rsid w:val="00D01760"/>
    <w:rsid w:val="00D10E7C"/>
    <w:rsid w:val="00D16E39"/>
    <w:rsid w:val="00D21BB5"/>
    <w:rsid w:val="00D223B6"/>
    <w:rsid w:val="00D57940"/>
    <w:rsid w:val="00D60327"/>
    <w:rsid w:val="00D72E9D"/>
    <w:rsid w:val="00D82CE5"/>
    <w:rsid w:val="00D8342C"/>
    <w:rsid w:val="00DA5AB1"/>
    <w:rsid w:val="00DC62E5"/>
    <w:rsid w:val="00DD5EC6"/>
    <w:rsid w:val="00DD735D"/>
    <w:rsid w:val="00DE3119"/>
    <w:rsid w:val="00DF236B"/>
    <w:rsid w:val="00E13AB8"/>
    <w:rsid w:val="00E25CB3"/>
    <w:rsid w:val="00E33B62"/>
    <w:rsid w:val="00E36CEB"/>
    <w:rsid w:val="00E4143A"/>
    <w:rsid w:val="00E56090"/>
    <w:rsid w:val="00E565B9"/>
    <w:rsid w:val="00EC1CE7"/>
    <w:rsid w:val="00ED587F"/>
    <w:rsid w:val="00EE59B5"/>
    <w:rsid w:val="00F1108B"/>
    <w:rsid w:val="00F84899"/>
    <w:rsid w:val="00F859F0"/>
    <w:rsid w:val="00FA63A4"/>
    <w:rsid w:val="00FA7276"/>
    <w:rsid w:val="00FB27B7"/>
    <w:rsid w:val="00FE141E"/>
    <w:rsid w:val="00FE42ED"/>
    <w:rsid w:val="00FE5C5A"/>
    <w:rsid w:val="0D245456"/>
    <w:rsid w:val="15CF1E84"/>
    <w:rsid w:val="1DA5D72B"/>
    <w:rsid w:val="24C91140"/>
    <w:rsid w:val="2D4716F5"/>
    <w:rsid w:val="48435B36"/>
    <w:rsid w:val="4BD5FF64"/>
    <w:rsid w:val="5B3FC107"/>
    <w:rsid w:val="64936C34"/>
    <w:rsid w:val="766B65C0"/>
    <w:rsid w:val="76714A8D"/>
    <w:rsid w:val="79C06AE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paragraph" w:customStyle="1" w:styleId="Default">
    <w:name w:val="Default"/>
    <w:rsid w:val="00FA727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2A607D-28E4-464A-A596-E177B9061EB6}">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183482C-9D94-4918-AE01-B76488BDB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19</Pages>
  <Words>7616</Words>
  <Characters>41891</Characters>
  <Application>Microsoft Office Word</Application>
  <DocSecurity>0</DocSecurity>
  <Lines>349</Lines>
  <Paragraphs>98</Paragraphs>
  <ScaleCrop>false</ScaleCrop>
  <Company/>
  <LinksUpToDate>false</LinksUpToDate>
  <CharactersWithSpaces>49409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13</cp:revision>
  <cp:lastPrinted>2020-01-30T15:05:00Z</cp:lastPrinted>
  <dcterms:created xsi:type="dcterms:W3CDTF">2020-02-26T18:00:00Z</dcterms:created>
  <dcterms:modified xsi:type="dcterms:W3CDTF">2020-08-03T17:54:00Z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