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8F855" w14:textId="2DFED38B" w:rsidR="008151F2" w:rsidRDefault="008151F2" w:rsidP="008151F2">
      <w:pPr>
        <w:jc w:val="right"/>
        <w:rPr>
          <w:rFonts w:ascii="Arial" w:hAnsi="Arial" w:cs="Arial"/>
          <w:b/>
          <w:color w:val="000000" w:themeColor="text1"/>
          <w:sz w:val="16"/>
          <w:szCs w:val="16"/>
          <w:lang w:eastAsia="es-ES"/>
        </w:rPr>
      </w:pPr>
      <w:bookmarkStart w:id="0" w:name="_Hlk28946138"/>
      <w:bookmarkStart w:id="1" w:name="_Hlk29548183"/>
      <w:r w:rsidRPr="004B6783">
        <w:rPr>
          <w:rFonts w:ascii="Arial" w:hAnsi="Arial" w:cs="Arial"/>
          <w:b/>
          <w:color w:val="000000" w:themeColor="text1"/>
          <w:sz w:val="16"/>
          <w:szCs w:val="16"/>
          <w:lang w:eastAsia="es-ES"/>
        </w:rPr>
        <w:tab/>
        <w:t>CCE-DES-FM-17</w:t>
      </w:r>
    </w:p>
    <w:p w14:paraId="2406453A" w14:textId="77777777" w:rsidR="00955C2B" w:rsidRPr="004B6783" w:rsidRDefault="00955C2B" w:rsidP="008151F2">
      <w:pPr>
        <w:jc w:val="right"/>
        <w:rPr>
          <w:rFonts w:ascii="Arial" w:hAnsi="Arial" w:cs="Arial"/>
          <w:b/>
          <w:color w:val="000000" w:themeColor="text1"/>
          <w:sz w:val="16"/>
          <w:szCs w:val="16"/>
          <w:lang w:eastAsia="es-ES"/>
        </w:rPr>
      </w:pPr>
    </w:p>
    <w:p w14:paraId="553B8ECC" w14:textId="445BF77B" w:rsidR="008151F2" w:rsidRPr="004B6783" w:rsidRDefault="008151F2" w:rsidP="4C85F6A5">
      <w:pPr>
        <w:jc w:val="both"/>
        <w:rPr>
          <w:rFonts w:ascii="Arial" w:eastAsia="Calibri" w:hAnsi="Arial" w:cs="Arial"/>
          <w:b/>
          <w:bCs/>
          <w:color w:val="000000" w:themeColor="text1"/>
          <w:sz w:val="22"/>
        </w:rPr>
      </w:pPr>
      <w:r w:rsidRPr="4C85F6A5">
        <w:rPr>
          <w:rFonts w:ascii="Arial" w:eastAsia="Calibri" w:hAnsi="Arial" w:cs="Arial"/>
          <w:b/>
          <w:bCs/>
          <w:color w:val="000000" w:themeColor="text1"/>
          <w:sz w:val="22"/>
        </w:rPr>
        <w:t>MIPYME</w:t>
      </w:r>
      <w:r w:rsidR="49096C2D" w:rsidRPr="4C85F6A5">
        <w:rPr>
          <w:rFonts w:ascii="Arial" w:eastAsia="Calibri" w:hAnsi="Arial" w:cs="Arial"/>
          <w:b/>
          <w:bCs/>
          <w:color w:val="000000" w:themeColor="text1"/>
          <w:sz w:val="22"/>
        </w:rPr>
        <w:t>S</w:t>
      </w:r>
      <w:r w:rsidRPr="4C85F6A5">
        <w:rPr>
          <w:rFonts w:ascii="Arial" w:eastAsia="Calibri" w:hAnsi="Arial" w:cs="Arial"/>
          <w:b/>
          <w:bCs/>
          <w:color w:val="000000" w:themeColor="text1"/>
          <w:sz w:val="22"/>
        </w:rPr>
        <w:t xml:space="preserve"> </w:t>
      </w:r>
      <w:r w:rsidR="008A2725" w:rsidRPr="4C85F6A5">
        <w:rPr>
          <w:rFonts w:ascii="Arial" w:eastAsia="Calibri" w:hAnsi="Arial" w:cs="Arial"/>
          <w:b/>
          <w:bCs/>
          <w:color w:val="000000" w:themeColor="text1"/>
          <w:sz w:val="22"/>
        </w:rPr>
        <w:t>–</w:t>
      </w:r>
      <w:r w:rsidRPr="4C85F6A5">
        <w:rPr>
          <w:rFonts w:ascii="Arial" w:eastAsia="Calibri" w:hAnsi="Arial" w:cs="Arial"/>
          <w:b/>
          <w:bCs/>
          <w:color w:val="000000" w:themeColor="text1"/>
          <w:sz w:val="22"/>
        </w:rPr>
        <w:t xml:space="preserve"> Noción </w:t>
      </w:r>
      <w:r w:rsidR="3105E669" w:rsidRPr="4C85F6A5">
        <w:rPr>
          <w:rFonts w:ascii="Arial" w:eastAsia="Calibri" w:hAnsi="Arial" w:cs="Arial"/>
          <w:b/>
          <w:bCs/>
          <w:color w:val="000000" w:themeColor="text1"/>
          <w:sz w:val="22"/>
        </w:rPr>
        <w:t>–</w:t>
      </w:r>
      <w:r w:rsidRPr="4C85F6A5">
        <w:rPr>
          <w:rFonts w:ascii="Arial" w:eastAsia="Calibri" w:hAnsi="Arial" w:cs="Arial"/>
          <w:b/>
          <w:bCs/>
          <w:color w:val="000000" w:themeColor="text1"/>
          <w:sz w:val="22"/>
        </w:rPr>
        <w:t xml:space="preserve"> </w:t>
      </w:r>
      <w:r w:rsidR="5A95C62F" w:rsidRPr="4C85F6A5">
        <w:rPr>
          <w:rFonts w:ascii="Arial" w:eastAsia="Calibri" w:hAnsi="Arial" w:cs="Arial"/>
          <w:b/>
          <w:bCs/>
          <w:color w:val="000000" w:themeColor="text1"/>
          <w:sz w:val="22"/>
        </w:rPr>
        <w:t>A</w:t>
      </w:r>
      <w:r w:rsidRPr="4C85F6A5">
        <w:rPr>
          <w:rFonts w:ascii="Arial" w:eastAsia="Calibri" w:hAnsi="Arial" w:cs="Arial"/>
          <w:b/>
          <w:bCs/>
          <w:color w:val="000000" w:themeColor="text1"/>
          <w:sz w:val="22"/>
        </w:rPr>
        <w:t>lcance</w:t>
      </w:r>
      <w:r w:rsidRPr="4C85F6A5">
        <w:rPr>
          <w:rFonts w:ascii="Arial" w:eastAsia="Calibri" w:hAnsi="Arial" w:cs="Arial"/>
          <w:color w:val="000000" w:themeColor="text1"/>
          <w:sz w:val="22"/>
        </w:rPr>
        <w:t xml:space="preserve"> </w:t>
      </w:r>
    </w:p>
    <w:p w14:paraId="68E21D1C" w14:textId="77777777" w:rsidR="008151F2" w:rsidRPr="004B6783" w:rsidRDefault="008151F2" w:rsidP="0095509B">
      <w:pPr>
        <w:jc w:val="both"/>
        <w:rPr>
          <w:rFonts w:ascii="Arial" w:eastAsia="Calibri" w:hAnsi="Arial" w:cs="Arial"/>
          <w:bCs/>
          <w:color w:val="000000" w:themeColor="text1"/>
          <w:sz w:val="20"/>
          <w:szCs w:val="20"/>
        </w:rPr>
      </w:pPr>
    </w:p>
    <w:p w14:paraId="426139E6" w14:textId="77777777" w:rsidR="00DF64E0" w:rsidRPr="004B6783" w:rsidRDefault="00DF64E0" w:rsidP="00DF64E0">
      <w:pPr>
        <w:spacing w:after="120"/>
        <w:jc w:val="both"/>
        <w:rPr>
          <w:rFonts w:ascii="Arial" w:eastAsia="Calibri" w:hAnsi="Arial" w:cs="Arial"/>
          <w:bCs/>
          <w:color w:val="000000" w:themeColor="text1"/>
          <w:sz w:val="20"/>
          <w:szCs w:val="20"/>
        </w:rPr>
      </w:pPr>
      <w:r w:rsidRPr="004B6783">
        <w:rPr>
          <w:rFonts w:ascii="Arial" w:eastAsia="Calibri" w:hAnsi="Arial" w:cs="Arial"/>
          <w:bCs/>
          <w:color w:val="000000" w:themeColor="text1"/>
          <w:sz w:val="20"/>
          <w:szCs w:val="20"/>
        </w:rPr>
        <w:t xml:space="preserve">[…] </w:t>
      </w:r>
      <w:r w:rsidR="008151F2" w:rsidRPr="004B6783">
        <w:rPr>
          <w:rFonts w:ascii="Arial" w:eastAsia="Calibri" w:hAnsi="Arial" w:cs="Arial"/>
          <w:bCs/>
          <w:color w:val="000000" w:themeColor="text1"/>
          <w:sz w:val="20"/>
          <w:szCs w:val="20"/>
        </w:rPr>
        <w:t>Pequeña y Mediana Empresa ─</w:t>
      </w:r>
      <w:proofErr w:type="spellStart"/>
      <w:r w:rsidR="008151F2" w:rsidRPr="004B6783">
        <w:rPr>
          <w:rFonts w:ascii="Arial" w:eastAsia="Calibri" w:hAnsi="Arial" w:cs="Arial"/>
          <w:bCs/>
          <w:color w:val="000000" w:themeColor="text1"/>
          <w:sz w:val="20"/>
          <w:szCs w:val="20"/>
        </w:rPr>
        <w:t>Mipyme</w:t>
      </w:r>
      <w:proofErr w:type="spellEnd"/>
      <w:r w:rsidR="008151F2" w:rsidRPr="004B6783">
        <w:rPr>
          <w:rFonts w:ascii="Arial" w:eastAsia="Calibri" w:hAnsi="Arial" w:cs="Arial"/>
          <w:bCs/>
          <w:color w:val="000000" w:themeColor="text1"/>
          <w:sz w:val="20"/>
          <w:szCs w:val="20"/>
        </w:rPr>
        <w:t xml:space="preserve">─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 </w:t>
      </w:r>
    </w:p>
    <w:p w14:paraId="45839A08" w14:textId="3B18D2F1" w:rsidR="008151F2" w:rsidRPr="004B6783" w:rsidRDefault="008151F2" w:rsidP="0095509B">
      <w:pPr>
        <w:jc w:val="both"/>
        <w:rPr>
          <w:rFonts w:ascii="Arial" w:eastAsia="Calibri" w:hAnsi="Arial" w:cs="Arial"/>
          <w:bCs/>
          <w:color w:val="000000" w:themeColor="text1"/>
          <w:sz w:val="20"/>
          <w:szCs w:val="20"/>
        </w:rPr>
      </w:pPr>
      <w:r w:rsidRPr="004B6783">
        <w:rPr>
          <w:rFonts w:ascii="Arial" w:eastAsia="Calibri" w:hAnsi="Arial" w:cs="Arial"/>
          <w:bCs/>
          <w:color w:val="000000" w:themeColor="text1"/>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64B8FD18" w14:textId="77777777" w:rsidR="008151F2" w:rsidRPr="004B6783" w:rsidRDefault="008151F2" w:rsidP="0095509B">
      <w:pPr>
        <w:jc w:val="both"/>
        <w:rPr>
          <w:rFonts w:ascii="Arial" w:eastAsia="Calibri" w:hAnsi="Arial" w:cs="Arial"/>
          <w:b/>
          <w:color w:val="000000" w:themeColor="text1"/>
          <w:sz w:val="20"/>
          <w:szCs w:val="20"/>
        </w:rPr>
      </w:pPr>
    </w:p>
    <w:p w14:paraId="27D279E8" w14:textId="1F9A90D0" w:rsidR="008151F2" w:rsidRPr="004B6783" w:rsidRDefault="008151F2" w:rsidP="0095509B">
      <w:pPr>
        <w:jc w:val="both"/>
        <w:rPr>
          <w:rFonts w:ascii="Arial" w:eastAsia="Calibri" w:hAnsi="Arial" w:cs="Arial"/>
          <w:b/>
          <w:color w:val="000000" w:themeColor="text1"/>
          <w:sz w:val="22"/>
        </w:rPr>
      </w:pPr>
      <w:r w:rsidRPr="004B6783">
        <w:rPr>
          <w:rFonts w:ascii="Arial" w:eastAsia="Calibri" w:hAnsi="Arial" w:cs="Arial"/>
          <w:b/>
          <w:color w:val="000000" w:themeColor="text1"/>
          <w:sz w:val="22"/>
        </w:rPr>
        <w:t xml:space="preserve">MIPYMES </w:t>
      </w:r>
      <w:r w:rsidR="008A2725" w:rsidRPr="004B6783">
        <w:rPr>
          <w:rFonts w:ascii="Arial" w:eastAsia="Calibri" w:hAnsi="Arial" w:cs="Arial"/>
          <w:b/>
          <w:color w:val="000000" w:themeColor="text1"/>
          <w:sz w:val="22"/>
        </w:rPr>
        <w:t>–</w:t>
      </w:r>
      <w:r w:rsidRPr="004B6783">
        <w:rPr>
          <w:rFonts w:ascii="Arial" w:eastAsia="Calibri" w:hAnsi="Arial" w:cs="Arial"/>
          <w:b/>
          <w:color w:val="000000" w:themeColor="text1"/>
          <w:sz w:val="22"/>
        </w:rPr>
        <w:t xml:space="preserve"> Incentivos contractuales</w:t>
      </w:r>
    </w:p>
    <w:p w14:paraId="509B7A3E" w14:textId="77777777" w:rsidR="008151F2" w:rsidRPr="004B6783" w:rsidRDefault="008151F2" w:rsidP="0095509B">
      <w:pPr>
        <w:jc w:val="both"/>
        <w:rPr>
          <w:rFonts w:ascii="Arial" w:eastAsia="Calibri" w:hAnsi="Arial" w:cs="Arial"/>
          <w:b/>
          <w:color w:val="000000" w:themeColor="text1"/>
          <w:sz w:val="20"/>
          <w:szCs w:val="20"/>
        </w:rPr>
      </w:pPr>
    </w:p>
    <w:p w14:paraId="77AD88DE" w14:textId="77777777" w:rsidR="008151F2" w:rsidRPr="004B6783" w:rsidRDefault="008151F2" w:rsidP="0095509B">
      <w:pPr>
        <w:jc w:val="both"/>
        <w:rPr>
          <w:rFonts w:ascii="Arial" w:hAnsi="Arial" w:cs="Arial"/>
          <w:color w:val="000000" w:themeColor="text1"/>
          <w:sz w:val="20"/>
          <w:szCs w:val="20"/>
          <w:lang w:val="es-ES"/>
        </w:rPr>
      </w:pPr>
      <w:r w:rsidRPr="004B6783">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4B6783">
        <w:rPr>
          <w:rFonts w:ascii="Arial" w:hAnsi="Arial" w:cs="Arial"/>
          <w:color w:val="000000" w:themeColor="text1"/>
          <w:sz w:val="20"/>
          <w:szCs w:val="20"/>
        </w:rPr>
        <w:t>modificado por el artículo 32 de la Ley 1450 de 2011─,</w:t>
      </w:r>
      <w:r w:rsidRPr="004B6783">
        <w:rPr>
          <w:rFonts w:ascii="Arial" w:hAnsi="Arial" w:cs="Arial"/>
          <w:color w:val="000000" w:themeColor="text1"/>
          <w:sz w:val="20"/>
          <w:szCs w:val="20"/>
          <w:lang w:val="es-ES"/>
        </w:rPr>
        <w:t xml:space="preserve"> adoptando medidas para incentivar la contratación pública, dentro de las que se pueden resaltar la «limitación territorial» a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y las «convocatorias limitadas a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contenidas, respectivamente, en los artículos 2.2.1.2.4.2.3.  y 2.2.1.2.4.2.2. del Decreto 1082 de 2015.</w:t>
      </w:r>
    </w:p>
    <w:p w14:paraId="57689F83" w14:textId="77777777" w:rsidR="008151F2" w:rsidRPr="004B6783" w:rsidRDefault="008151F2" w:rsidP="0095509B">
      <w:pPr>
        <w:jc w:val="both"/>
        <w:rPr>
          <w:rFonts w:ascii="Arial" w:hAnsi="Arial" w:cs="Arial"/>
          <w:color w:val="000000" w:themeColor="text1"/>
          <w:sz w:val="20"/>
          <w:szCs w:val="20"/>
          <w:lang w:val="es-ES"/>
        </w:rPr>
      </w:pPr>
    </w:p>
    <w:p w14:paraId="63BC4FF6" w14:textId="07BEB9EB" w:rsidR="008151F2" w:rsidRPr="004B6783" w:rsidRDefault="008151F2" w:rsidP="4C85F6A5">
      <w:pPr>
        <w:jc w:val="both"/>
        <w:rPr>
          <w:rFonts w:ascii="Arial" w:eastAsia="Calibri" w:hAnsi="Arial" w:cs="Arial"/>
          <w:b/>
          <w:bCs/>
          <w:color w:val="000000" w:themeColor="text1"/>
          <w:sz w:val="22"/>
        </w:rPr>
      </w:pPr>
      <w:r w:rsidRPr="4C85F6A5">
        <w:rPr>
          <w:rFonts w:ascii="Arial" w:eastAsia="Calibri" w:hAnsi="Arial" w:cs="Arial"/>
          <w:b/>
          <w:bCs/>
          <w:color w:val="000000" w:themeColor="text1"/>
          <w:sz w:val="22"/>
        </w:rPr>
        <w:t xml:space="preserve">MIPYMES NACIONALES </w:t>
      </w:r>
      <w:r w:rsidR="008A2725" w:rsidRPr="4C85F6A5">
        <w:rPr>
          <w:rFonts w:ascii="Arial" w:eastAsia="Calibri" w:hAnsi="Arial" w:cs="Arial"/>
          <w:b/>
          <w:bCs/>
          <w:color w:val="000000" w:themeColor="text1"/>
          <w:sz w:val="22"/>
        </w:rPr>
        <w:t>–</w:t>
      </w:r>
      <w:r w:rsidRPr="4C85F6A5">
        <w:rPr>
          <w:rFonts w:ascii="Arial" w:eastAsia="Calibri" w:hAnsi="Arial" w:cs="Arial"/>
          <w:b/>
          <w:bCs/>
          <w:color w:val="000000" w:themeColor="text1"/>
          <w:sz w:val="22"/>
        </w:rPr>
        <w:t xml:space="preserve"> Inexistencia de </w:t>
      </w:r>
      <w:proofErr w:type="spellStart"/>
      <w:r w:rsidRPr="4C85F6A5">
        <w:rPr>
          <w:rFonts w:ascii="Arial" w:eastAsia="Calibri" w:hAnsi="Arial" w:cs="Arial"/>
          <w:b/>
          <w:bCs/>
          <w:color w:val="000000" w:themeColor="text1"/>
          <w:sz w:val="22"/>
        </w:rPr>
        <w:t>Mipymes</w:t>
      </w:r>
      <w:proofErr w:type="spellEnd"/>
      <w:r w:rsidRPr="4C85F6A5">
        <w:rPr>
          <w:rFonts w:ascii="Arial" w:eastAsia="Calibri" w:hAnsi="Arial" w:cs="Arial"/>
          <w:b/>
          <w:bCs/>
          <w:color w:val="000000" w:themeColor="text1"/>
          <w:sz w:val="22"/>
        </w:rPr>
        <w:t xml:space="preserve"> </w:t>
      </w:r>
      <w:r w:rsidR="57F679D8" w:rsidRPr="4C85F6A5">
        <w:rPr>
          <w:rFonts w:ascii="Arial" w:eastAsia="Calibri" w:hAnsi="Arial" w:cs="Arial"/>
          <w:b/>
          <w:bCs/>
          <w:color w:val="000000" w:themeColor="text1"/>
          <w:sz w:val="22"/>
        </w:rPr>
        <w:t>– O</w:t>
      </w:r>
      <w:r w:rsidRPr="4C85F6A5">
        <w:rPr>
          <w:rFonts w:ascii="Arial" w:eastAsia="Calibri" w:hAnsi="Arial" w:cs="Arial"/>
          <w:b/>
          <w:bCs/>
          <w:color w:val="000000" w:themeColor="text1"/>
          <w:sz w:val="22"/>
        </w:rPr>
        <w:t>rden territorial</w:t>
      </w:r>
    </w:p>
    <w:p w14:paraId="4A54755F" w14:textId="77777777" w:rsidR="008151F2" w:rsidRPr="004B6783" w:rsidRDefault="008151F2" w:rsidP="0095509B">
      <w:pPr>
        <w:jc w:val="both"/>
        <w:rPr>
          <w:rFonts w:ascii="Arial" w:eastAsia="Calibri" w:hAnsi="Arial" w:cs="Arial"/>
          <w:b/>
          <w:color w:val="000000" w:themeColor="text1"/>
          <w:sz w:val="20"/>
          <w:szCs w:val="20"/>
        </w:rPr>
      </w:pPr>
    </w:p>
    <w:p w14:paraId="252791A8" w14:textId="7BF42510" w:rsidR="008151F2" w:rsidRPr="004B6783" w:rsidRDefault="008151F2" w:rsidP="00001B24">
      <w:pPr>
        <w:jc w:val="both"/>
        <w:rPr>
          <w:rFonts w:ascii="Arial" w:hAnsi="Arial" w:cs="Arial"/>
          <w:color w:val="000000" w:themeColor="text1"/>
          <w:sz w:val="20"/>
          <w:szCs w:val="20"/>
          <w:lang w:val="es-ES"/>
        </w:rPr>
      </w:pPr>
      <w:r w:rsidRPr="004B6783">
        <w:rPr>
          <w:rFonts w:ascii="Arial" w:hAnsi="Arial" w:cs="Arial"/>
          <w:color w:val="000000" w:themeColor="text1"/>
          <w:sz w:val="20"/>
          <w:szCs w:val="20"/>
          <w:lang w:val="es-ES"/>
        </w:rPr>
        <w:t xml:space="preserve">Los artículos 2.2.1.2.4.2.3. y 2.2.1.2.4.2.2. del Decreto 1082 de 2015 se refieren a las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nacionales genéricamente y, particularmente, a las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nacionales «domiciliadas en los departamentos o municipios en donde se va a ejecutar el contrato». En ambos casos se refiere a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nacionales, distinguiéndolas de las empresas extranjeras. Del artículo 2.2.1.2.4.2.3. del Decreto 1082 de 2015 no se deriva que existan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del orden nacional. Otra cosa es que las normas de contratación permitan que las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nacionales con domicilio en un municipio o departamento puedan beneficiarse en la ejecución de un contrato dentro de la entidad territorial en la que tienen su domicilio. De todos modos, las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domiciliadas en un municipio o departamento son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nacionales. En consecuencia, no es procedente distinguir entre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nacionales y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municipales o departamentales, habida cuenta que estas últimas no existen como categoría dentro del ordenamiento normativo.</w:t>
      </w:r>
    </w:p>
    <w:p w14:paraId="7A0BB331" w14:textId="77777777" w:rsidR="008151F2" w:rsidRPr="004B6783" w:rsidRDefault="008151F2" w:rsidP="0095509B">
      <w:pPr>
        <w:jc w:val="both"/>
        <w:rPr>
          <w:rFonts w:ascii="Arial" w:hAnsi="Arial" w:cs="Arial"/>
          <w:color w:val="000000" w:themeColor="text1"/>
          <w:sz w:val="20"/>
          <w:szCs w:val="20"/>
          <w:lang w:val="es-ES"/>
        </w:rPr>
      </w:pPr>
    </w:p>
    <w:p w14:paraId="2DE664D9" w14:textId="38FD738A" w:rsidR="008151F2" w:rsidRPr="004B6783" w:rsidRDefault="008151F2" w:rsidP="0095509B">
      <w:pPr>
        <w:jc w:val="both"/>
        <w:rPr>
          <w:rFonts w:ascii="Arial" w:eastAsia="Calibri" w:hAnsi="Arial" w:cs="Arial"/>
          <w:b/>
          <w:color w:val="000000" w:themeColor="text1"/>
          <w:sz w:val="22"/>
        </w:rPr>
      </w:pPr>
      <w:r w:rsidRPr="004B6783">
        <w:rPr>
          <w:rFonts w:ascii="Arial" w:eastAsia="Calibri" w:hAnsi="Arial" w:cs="Arial"/>
          <w:b/>
          <w:color w:val="000000" w:themeColor="text1"/>
          <w:sz w:val="22"/>
        </w:rPr>
        <w:t xml:space="preserve">CONVOCATORIAS LIMITADAS A MIPYMES NACIONALES </w:t>
      </w:r>
      <w:r w:rsidR="008A2725" w:rsidRPr="004B6783">
        <w:rPr>
          <w:rFonts w:ascii="Arial" w:eastAsia="Calibri" w:hAnsi="Arial" w:cs="Arial"/>
          <w:b/>
          <w:color w:val="000000" w:themeColor="text1"/>
          <w:sz w:val="22"/>
        </w:rPr>
        <w:t>–</w:t>
      </w:r>
      <w:r w:rsidRPr="004B6783">
        <w:rPr>
          <w:rFonts w:ascii="Arial" w:eastAsia="Calibri" w:hAnsi="Arial" w:cs="Arial"/>
          <w:b/>
          <w:color w:val="000000" w:themeColor="text1"/>
          <w:sz w:val="22"/>
        </w:rPr>
        <w:t xml:space="preserve"> Requisitos</w:t>
      </w:r>
    </w:p>
    <w:p w14:paraId="7AB7B105" w14:textId="77777777" w:rsidR="008151F2" w:rsidRPr="004B6783" w:rsidRDefault="008151F2" w:rsidP="0095509B">
      <w:pPr>
        <w:jc w:val="both"/>
        <w:rPr>
          <w:rFonts w:ascii="Arial" w:eastAsia="Calibri" w:hAnsi="Arial" w:cs="Arial"/>
          <w:b/>
          <w:color w:val="000000" w:themeColor="text1"/>
          <w:sz w:val="20"/>
          <w:szCs w:val="20"/>
        </w:rPr>
      </w:pPr>
    </w:p>
    <w:p w14:paraId="7169DDC2" w14:textId="0BAEC61F" w:rsidR="0023575C" w:rsidRPr="004B6783" w:rsidRDefault="008151F2" w:rsidP="005D5104">
      <w:pPr>
        <w:spacing w:after="120"/>
        <w:jc w:val="both"/>
        <w:rPr>
          <w:rFonts w:ascii="Arial" w:hAnsi="Arial" w:cs="Arial"/>
          <w:color w:val="000000" w:themeColor="text1"/>
          <w:sz w:val="20"/>
          <w:szCs w:val="20"/>
          <w:lang w:val="es-ES"/>
        </w:rPr>
      </w:pPr>
      <w:r w:rsidRPr="6FE7F2FD">
        <w:rPr>
          <w:rFonts w:ascii="Arial" w:hAnsi="Arial" w:cs="Arial"/>
          <w:color w:val="000000" w:themeColor="text1"/>
          <w:sz w:val="20"/>
          <w:szCs w:val="20"/>
          <w:lang w:val="es-ES"/>
        </w:rPr>
        <w:t xml:space="preserve">El artículo 2.2.1.2.4.2.2. del Decreto 1082 de 2015 establece los requisitos a acreditar en las «convocatorias limitadas a </w:t>
      </w:r>
      <w:proofErr w:type="spellStart"/>
      <w:r w:rsidRPr="6FE7F2FD">
        <w:rPr>
          <w:rFonts w:ascii="Arial" w:hAnsi="Arial" w:cs="Arial"/>
          <w:color w:val="000000" w:themeColor="text1"/>
          <w:sz w:val="20"/>
          <w:szCs w:val="20"/>
          <w:lang w:val="es-ES"/>
        </w:rPr>
        <w:t>Mipymes</w:t>
      </w:r>
      <w:proofErr w:type="spellEnd"/>
      <w:r w:rsidRPr="6FE7F2FD">
        <w:rPr>
          <w:rFonts w:ascii="Arial" w:hAnsi="Arial" w:cs="Arial"/>
          <w:color w:val="000000" w:themeColor="text1"/>
          <w:sz w:val="20"/>
          <w:szCs w:val="20"/>
          <w:lang w:val="es-ES"/>
        </w:rPr>
        <w:t>».</w:t>
      </w:r>
      <w:r w:rsidR="10671CB7" w:rsidRPr="6FE7F2FD">
        <w:rPr>
          <w:rFonts w:ascii="Arial" w:hAnsi="Arial" w:cs="Arial"/>
          <w:color w:val="000000" w:themeColor="text1"/>
          <w:sz w:val="20"/>
          <w:szCs w:val="20"/>
          <w:lang w:val="es-ES"/>
        </w:rPr>
        <w:t xml:space="preserve"> </w:t>
      </w:r>
      <w:r w:rsidRPr="6FE7F2FD">
        <w:rPr>
          <w:rFonts w:ascii="Arial" w:hAnsi="Arial" w:cs="Arial"/>
          <w:color w:val="000000" w:themeColor="text1"/>
          <w:sz w:val="20"/>
          <w:szCs w:val="20"/>
          <w:lang w:val="es-ES"/>
        </w:rPr>
        <w:t xml:space="preserve">El numeral primero limita cuantitativamente los procesos contractuales en los que se puede hacer la «convocatoria limitada a </w:t>
      </w:r>
      <w:proofErr w:type="spellStart"/>
      <w:r w:rsidRPr="6FE7F2FD">
        <w:rPr>
          <w:rFonts w:ascii="Arial" w:hAnsi="Arial" w:cs="Arial"/>
          <w:color w:val="000000" w:themeColor="text1"/>
          <w:sz w:val="20"/>
          <w:szCs w:val="20"/>
          <w:lang w:val="es-ES"/>
        </w:rPr>
        <w:t>Mipymes</w:t>
      </w:r>
      <w:proofErr w:type="spellEnd"/>
      <w:r w:rsidRPr="6FE7F2FD">
        <w:rPr>
          <w:rFonts w:ascii="Arial" w:hAnsi="Arial" w:cs="Arial"/>
          <w:color w:val="000000" w:themeColor="text1"/>
          <w:sz w:val="20"/>
          <w:szCs w:val="20"/>
          <w:lang w:val="es-ES"/>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14:paraId="740F0500" w14:textId="056D473A" w:rsidR="008151F2" w:rsidRPr="004B6783" w:rsidRDefault="008151F2" w:rsidP="0095509B">
      <w:pPr>
        <w:jc w:val="both"/>
        <w:rPr>
          <w:rFonts w:ascii="Arial" w:hAnsi="Arial" w:cs="Arial"/>
          <w:color w:val="000000" w:themeColor="text1"/>
          <w:sz w:val="20"/>
          <w:szCs w:val="20"/>
          <w:lang w:val="es-ES"/>
        </w:rPr>
      </w:pPr>
      <w:r w:rsidRPr="004B6783">
        <w:rPr>
          <w:rFonts w:ascii="Arial" w:hAnsi="Arial" w:cs="Arial"/>
          <w:color w:val="000000" w:themeColor="text1"/>
          <w:sz w:val="20"/>
          <w:szCs w:val="20"/>
          <w:lang w:val="es-ES"/>
        </w:rPr>
        <w:t xml:space="preserve">El numeral segundo establece dos exigencias: por un lado, que al menos tres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nacionales presenten la solicitud formal de limitar el proceso contractual a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nacionales y, por el otro, </w:t>
      </w:r>
      <w:r w:rsidRPr="004B6783">
        <w:rPr>
          <w:rFonts w:ascii="Arial" w:hAnsi="Arial" w:cs="Arial"/>
          <w:color w:val="000000" w:themeColor="text1"/>
          <w:sz w:val="20"/>
          <w:szCs w:val="20"/>
          <w:lang w:val="es-ES"/>
        </w:rPr>
        <w:lastRenderedPageBreak/>
        <w:t xml:space="preserve">que estas deben hacer dicha solicitud por lo menos un día antes de la apertura del proceso de contratación. En relación con tales exigencias, esta entidad ha precisado que «[s]i bien la normativa del sistema de compra publica no establece como requisito acreditar la relación entre el objeto de la </w:t>
      </w:r>
      <w:proofErr w:type="spellStart"/>
      <w:r w:rsidRPr="004B6783">
        <w:rPr>
          <w:rFonts w:ascii="Arial" w:hAnsi="Arial" w:cs="Arial"/>
          <w:color w:val="000000" w:themeColor="text1"/>
          <w:sz w:val="20"/>
          <w:szCs w:val="20"/>
          <w:lang w:val="es-ES"/>
        </w:rPr>
        <w:t>Mipyme</w:t>
      </w:r>
      <w:proofErr w:type="spellEnd"/>
      <w:r w:rsidRPr="004B6783">
        <w:rPr>
          <w:rFonts w:ascii="Arial" w:hAnsi="Arial" w:cs="Arial"/>
          <w:color w:val="000000" w:themeColor="text1"/>
          <w:sz w:val="20"/>
          <w:szCs w:val="20"/>
          <w:lang w:val="es-ES"/>
        </w:rPr>
        <w:t xml:space="preserve"> y el objeto contrato, es imperativo que la entidad estatal verifique que quienes solicitan la limitación del proceso a </w:t>
      </w:r>
      <w:proofErr w:type="spellStart"/>
      <w:r w:rsidRPr="004B6783">
        <w:rPr>
          <w:rFonts w:ascii="Arial" w:hAnsi="Arial" w:cs="Arial"/>
          <w:color w:val="000000" w:themeColor="text1"/>
          <w:sz w:val="20"/>
          <w:szCs w:val="20"/>
          <w:lang w:val="es-ES"/>
        </w:rPr>
        <w:t>Mipyme</w:t>
      </w:r>
      <w:proofErr w:type="spellEnd"/>
      <w:r w:rsidRPr="004B6783">
        <w:rPr>
          <w:rFonts w:ascii="Arial" w:hAnsi="Arial" w:cs="Arial"/>
          <w:color w:val="000000" w:themeColor="text1"/>
          <w:sz w:val="20"/>
          <w:szCs w:val="20"/>
          <w:lang w:val="es-ES"/>
        </w:rPr>
        <w:t xml:space="preserve"> tienen un objeto social similar al objeto del contrato y, de ser así, la entidad deberá limitar el proceso de contratación a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También ha dicho que la entidad estatal también debe aceptar las ofertas consorcios o uniones temporales formados exclusivamente por </w:t>
      </w:r>
      <w:proofErr w:type="spellStart"/>
      <w:r w:rsidRPr="004B6783">
        <w:rPr>
          <w:rFonts w:ascii="Arial" w:hAnsi="Arial" w:cs="Arial"/>
          <w:color w:val="000000" w:themeColor="text1"/>
          <w:sz w:val="20"/>
          <w:szCs w:val="20"/>
          <w:lang w:val="es-ES"/>
        </w:rPr>
        <w:t>Mipyme</w:t>
      </w:r>
      <w:proofErr w:type="spellEnd"/>
      <w:r w:rsidRPr="004B6783">
        <w:rPr>
          <w:rFonts w:ascii="Arial" w:hAnsi="Arial" w:cs="Arial"/>
          <w:color w:val="000000" w:themeColor="text1"/>
          <w:sz w:val="20"/>
          <w:szCs w:val="20"/>
          <w:lang w:val="es-ES"/>
        </w:rPr>
        <w:t xml:space="preserve"> y promesas de sociedad futura suscritas por </w:t>
      </w:r>
      <w:proofErr w:type="spellStart"/>
      <w:r w:rsidRPr="004B6783">
        <w:rPr>
          <w:rFonts w:ascii="Arial" w:hAnsi="Arial" w:cs="Arial"/>
          <w:color w:val="000000" w:themeColor="text1"/>
          <w:sz w:val="20"/>
          <w:szCs w:val="20"/>
          <w:lang w:val="es-ES"/>
        </w:rPr>
        <w:t>Mipyme</w:t>
      </w:r>
      <w:proofErr w:type="spellEnd"/>
      <w:r w:rsidRPr="004B6783">
        <w:rPr>
          <w:rFonts w:ascii="Arial" w:hAnsi="Arial" w:cs="Arial"/>
          <w:color w:val="000000" w:themeColor="text1"/>
          <w:sz w:val="20"/>
          <w:szCs w:val="20"/>
          <w:lang w:val="es-ES"/>
        </w:rPr>
        <w:t xml:space="preserve">. </w:t>
      </w:r>
    </w:p>
    <w:p w14:paraId="7F3FB853" w14:textId="77777777" w:rsidR="008151F2" w:rsidRPr="004B6783" w:rsidRDefault="008151F2" w:rsidP="0095509B">
      <w:pPr>
        <w:jc w:val="both"/>
        <w:rPr>
          <w:rFonts w:ascii="Arial" w:hAnsi="Arial" w:cs="Arial"/>
          <w:color w:val="000000" w:themeColor="text1"/>
          <w:sz w:val="20"/>
          <w:szCs w:val="20"/>
          <w:lang w:val="es-ES"/>
        </w:rPr>
      </w:pPr>
    </w:p>
    <w:p w14:paraId="4A8F3493" w14:textId="482B87D8" w:rsidR="008151F2" w:rsidRPr="004B6783" w:rsidRDefault="008151F2" w:rsidP="0095509B">
      <w:pPr>
        <w:jc w:val="both"/>
        <w:rPr>
          <w:rFonts w:ascii="Arial" w:eastAsia="Calibri" w:hAnsi="Arial" w:cs="Arial"/>
          <w:b/>
          <w:color w:val="000000" w:themeColor="text1"/>
          <w:sz w:val="22"/>
        </w:rPr>
      </w:pPr>
      <w:r w:rsidRPr="004B6783">
        <w:rPr>
          <w:rFonts w:ascii="Arial" w:eastAsia="Calibri" w:hAnsi="Arial" w:cs="Arial"/>
          <w:b/>
          <w:color w:val="000000" w:themeColor="text1"/>
          <w:sz w:val="22"/>
        </w:rPr>
        <w:t xml:space="preserve">CONVOCATORIAS LIMITADAS A MIPYMES NACIONALES </w:t>
      </w:r>
      <w:r w:rsidR="008A2725" w:rsidRPr="004B6783">
        <w:rPr>
          <w:rFonts w:ascii="Arial" w:eastAsia="Calibri" w:hAnsi="Arial" w:cs="Arial"/>
          <w:b/>
          <w:color w:val="000000" w:themeColor="text1"/>
          <w:sz w:val="22"/>
        </w:rPr>
        <w:t>–</w:t>
      </w:r>
      <w:r w:rsidRPr="004B6783">
        <w:rPr>
          <w:rFonts w:ascii="Arial" w:eastAsia="Calibri" w:hAnsi="Arial" w:cs="Arial"/>
          <w:b/>
          <w:color w:val="000000" w:themeColor="text1"/>
          <w:sz w:val="22"/>
        </w:rPr>
        <w:t xml:space="preserve"> Limitación territorial </w:t>
      </w:r>
      <w:r w:rsidR="008A2725" w:rsidRPr="004B6783">
        <w:rPr>
          <w:rFonts w:ascii="Arial" w:eastAsia="Calibri" w:hAnsi="Arial" w:cs="Arial"/>
          <w:b/>
          <w:color w:val="000000" w:themeColor="text1"/>
          <w:sz w:val="22"/>
        </w:rPr>
        <w:t>–</w:t>
      </w:r>
      <w:r w:rsidRPr="004B6783">
        <w:rPr>
          <w:rFonts w:ascii="Arial" w:eastAsia="Calibri" w:hAnsi="Arial" w:cs="Arial"/>
          <w:b/>
          <w:color w:val="000000" w:themeColor="text1"/>
          <w:sz w:val="22"/>
        </w:rPr>
        <w:t xml:space="preserve"> Requisitos</w:t>
      </w:r>
    </w:p>
    <w:p w14:paraId="72E0BEF2" w14:textId="77777777" w:rsidR="008151F2" w:rsidRPr="004B6783" w:rsidRDefault="008151F2" w:rsidP="0095509B">
      <w:pPr>
        <w:jc w:val="both"/>
        <w:rPr>
          <w:rFonts w:ascii="Arial" w:eastAsia="Calibri" w:hAnsi="Arial" w:cs="Arial"/>
          <w:b/>
          <w:color w:val="000000" w:themeColor="text1"/>
          <w:sz w:val="20"/>
          <w:szCs w:val="20"/>
        </w:rPr>
      </w:pPr>
    </w:p>
    <w:p w14:paraId="330A380F" w14:textId="77777777" w:rsidR="008151F2" w:rsidRPr="004B6783" w:rsidRDefault="008151F2" w:rsidP="0095509B">
      <w:pPr>
        <w:jc w:val="both"/>
        <w:rPr>
          <w:rFonts w:ascii="Arial" w:hAnsi="Arial" w:cs="Arial"/>
          <w:color w:val="000000" w:themeColor="text1"/>
          <w:sz w:val="20"/>
          <w:szCs w:val="20"/>
          <w:lang w:val="es-ES"/>
        </w:rPr>
      </w:pPr>
      <w:r w:rsidRPr="004B6783">
        <w:rPr>
          <w:rFonts w:ascii="Arial" w:hAnsi="Arial" w:cs="Arial"/>
          <w:color w:val="000000" w:themeColor="text1"/>
          <w:sz w:val="20"/>
          <w:szCs w:val="20"/>
          <w:lang w:val="es-ES"/>
        </w:rPr>
        <w:t xml:space="preserve">Esta entidad ha sostenido que es discrecional la decisión de limitar territorialmente una convocatoria de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4B6783">
        <w:rPr>
          <w:rFonts w:ascii="Arial" w:hAnsi="Arial" w:cs="Arial"/>
          <w:color w:val="000000" w:themeColor="text1"/>
          <w:sz w:val="20"/>
          <w:szCs w:val="20"/>
          <w:lang w:val="es-ES"/>
        </w:rPr>
        <w:t>Mipymes</w:t>
      </w:r>
      <w:proofErr w:type="spellEnd"/>
      <w:r w:rsidRPr="004B6783">
        <w:rPr>
          <w:rFonts w:ascii="Arial" w:hAnsi="Arial" w:cs="Arial"/>
          <w:color w:val="000000" w:themeColor="text1"/>
          <w:sz w:val="20"/>
          <w:szCs w:val="20"/>
          <w:lang w:val="es-ES"/>
        </w:rPr>
        <w:t xml:space="preserve"> beneficiadas deben tener su domicilio principal en el municipio o departamento donde se ejecutará el contrato para poder participar en una convocatoria limitada territorialmente.</w:t>
      </w:r>
    </w:p>
    <w:p w14:paraId="2A1571E4" w14:textId="77777777" w:rsidR="008151F2" w:rsidRPr="004B6783" w:rsidRDefault="008151F2" w:rsidP="0095509B">
      <w:pPr>
        <w:jc w:val="both"/>
        <w:rPr>
          <w:rFonts w:ascii="Arial" w:eastAsia="Calibri" w:hAnsi="Arial" w:cs="Arial"/>
          <w:b/>
          <w:color w:val="000000" w:themeColor="text1"/>
          <w:sz w:val="20"/>
          <w:szCs w:val="20"/>
        </w:rPr>
      </w:pPr>
    </w:p>
    <w:p w14:paraId="13BEF486" w14:textId="577C08FB" w:rsidR="008151F2" w:rsidRPr="004B6783" w:rsidRDefault="008151F2" w:rsidP="4C85F6A5">
      <w:pPr>
        <w:jc w:val="both"/>
        <w:rPr>
          <w:rFonts w:ascii="Arial" w:eastAsia="Calibri" w:hAnsi="Arial" w:cs="Arial"/>
          <w:b/>
          <w:bCs/>
          <w:color w:val="000000" w:themeColor="text1"/>
          <w:sz w:val="22"/>
        </w:rPr>
      </w:pPr>
      <w:r w:rsidRPr="4C85F6A5">
        <w:rPr>
          <w:rFonts w:ascii="Arial" w:eastAsia="Calibri" w:hAnsi="Arial" w:cs="Arial"/>
          <w:b/>
          <w:bCs/>
          <w:color w:val="000000" w:themeColor="text1"/>
          <w:sz w:val="22"/>
        </w:rPr>
        <w:t xml:space="preserve">CONVOCATORIAS LIMITADAS A MIPYMES NACIONALES </w:t>
      </w:r>
      <w:r w:rsidR="008A2725" w:rsidRPr="4C85F6A5">
        <w:rPr>
          <w:rFonts w:ascii="Arial" w:eastAsia="Calibri" w:hAnsi="Arial" w:cs="Arial"/>
          <w:b/>
          <w:bCs/>
          <w:color w:val="000000" w:themeColor="text1"/>
          <w:sz w:val="22"/>
        </w:rPr>
        <w:t>–</w:t>
      </w:r>
      <w:r w:rsidRPr="4C85F6A5">
        <w:rPr>
          <w:rFonts w:ascii="Arial" w:eastAsia="Calibri" w:hAnsi="Arial" w:cs="Arial"/>
          <w:b/>
          <w:bCs/>
          <w:color w:val="000000" w:themeColor="text1"/>
          <w:sz w:val="22"/>
        </w:rPr>
        <w:t xml:space="preserve"> Procedencia </w:t>
      </w:r>
      <w:r w:rsidR="56DC8266" w:rsidRPr="4C85F6A5">
        <w:rPr>
          <w:rFonts w:ascii="Arial" w:eastAsia="Calibri" w:hAnsi="Arial" w:cs="Arial"/>
          <w:b/>
          <w:bCs/>
          <w:color w:val="000000" w:themeColor="text1"/>
          <w:sz w:val="22"/>
        </w:rPr>
        <w:t>–</w:t>
      </w:r>
      <w:r w:rsidRPr="4C85F6A5">
        <w:rPr>
          <w:rFonts w:ascii="Arial" w:eastAsia="Calibri" w:hAnsi="Arial" w:cs="Arial"/>
          <w:b/>
          <w:bCs/>
          <w:color w:val="000000" w:themeColor="text1"/>
          <w:sz w:val="22"/>
        </w:rPr>
        <w:t xml:space="preserve"> «</w:t>
      </w:r>
      <w:r w:rsidR="21798465" w:rsidRPr="4C85F6A5">
        <w:rPr>
          <w:rFonts w:ascii="Arial" w:eastAsia="Calibri" w:hAnsi="Arial" w:cs="Arial"/>
          <w:b/>
          <w:bCs/>
          <w:color w:val="000000" w:themeColor="text1"/>
          <w:sz w:val="22"/>
        </w:rPr>
        <w:t>L</w:t>
      </w:r>
      <w:r w:rsidRPr="4C85F6A5">
        <w:rPr>
          <w:rFonts w:ascii="Arial" w:eastAsia="Calibri" w:hAnsi="Arial" w:cs="Arial"/>
          <w:b/>
          <w:bCs/>
          <w:color w:val="000000" w:themeColor="text1"/>
          <w:sz w:val="22"/>
        </w:rPr>
        <w:t>imitación territorial»</w:t>
      </w:r>
    </w:p>
    <w:p w14:paraId="1FB7711A" w14:textId="77777777" w:rsidR="008151F2" w:rsidRPr="004B6783" w:rsidRDefault="008151F2" w:rsidP="0095509B">
      <w:pPr>
        <w:jc w:val="both"/>
        <w:rPr>
          <w:rFonts w:ascii="Arial" w:eastAsia="Calibri" w:hAnsi="Arial" w:cs="Arial"/>
          <w:b/>
          <w:color w:val="000000" w:themeColor="text1"/>
          <w:sz w:val="20"/>
          <w:szCs w:val="20"/>
        </w:rPr>
      </w:pPr>
    </w:p>
    <w:p w14:paraId="5B7AC3AB" w14:textId="1C8ED821" w:rsidR="008151F2" w:rsidRPr="004B6783" w:rsidRDefault="00DC1E7B" w:rsidP="0095509B">
      <w:pPr>
        <w:jc w:val="both"/>
        <w:rPr>
          <w:rFonts w:ascii="Arial" w:hAnsi="Arial" w:cs="Arial"/>
          <w:color w:val="000000" w:themeColor="text1"/>
          <w:sz w:val="20"/>
          <w:szCs w:val="20"/>
          <w:lang w:val="es-ES"/>
        </w:rPr>
      </w:pPr>
      <w:r w:rsidRPr="4C85F6A5">
        <w:rPr>
          <w:rFonts w:ascii="Arial" w:hAnsi="Arial" w:cs="Arial"/>
          <w:color w:val="000000" w:themeColor="text1"/>
          <w:sz w:val="20"/>
          <w:szCs w:val="20"/>
          <w:lang w:val="es-ES"/>
        </w:rPr>
        <w:t xml:space="preserve">[…] </w:t>
      </w:r>
      <w:r w:rsidR="6DB0436F" w:rsidRPr="4C85F6A5">
        <w:rPr>
          <w:rFonts w:ascii="Arial" w:hAnsi="Arial" w:cs="Arial"/>
          <w:color w:val="000000" w:themeColor="text1"/>
          <w:sz w:val="20"/>
          <w:szCs w:val="20"/>
          <w:lang w:val="es-ES"/>
        </w:rPr>
        <w:t>L</w:t>
      </w:r>
      <w:r w:rsidR="008151F2" w:rsidRPr="4C85F6A5">
        <w:rPr>
          <w:rFonts w:ascii="Arial" w:hAnsi="Arial" w:cs="Arial"/>
          <w:color w:val="000000" w:themeColor="text1"/>
          <w:sz w:val="20"/>
          <w:szCs w:val="20"/>
          <w:lang w:val="es-ES"/>
        </w:rPr>
        <w:t xml:space="preserve">a limitación a </w:t>
      </w:r>
      <w:proofErr w:type="spellStart"/>
      <w:r w:rsidR="008151F2" w:rsidRPr="4C85F6A5">
        <w:rPr>
          <w:rFonts w:ascii="Arial" w:hAnsi="Arial" w:cs="Arial"/>
          <w:color w:val="000000" w:themeColor="text1"/>
          <w:sz w:val="20"/>
          <w:szCs w:val="20"/>
          <w:lang w:val="es-ES"/>
        </w:rPr>
        <w:t>Mipymes</w:t>
      </w:r>
      <w:proofErr w:type="spellEnd"/>
      <w:r w:rsidR="008151F2" w:rsidRPr="4C85F6A5">
        <w:rPr>
          <w:rFonts w:ascii="Arial" w:hAnsi="Arial" w:cs="Arial"/>
          <w:color w:val="000000" w:themeColor="text1"/>
          <w:sz w:val="20"/>
          <w:szCs w:val="20"/>
          <w:lang w:val="es-ES"/>
        </w:rPr>
        <w:t xml:space="preserve"> nacionales a la que se refiere el artículo 2.2.1.2.4.2.2. del Decreto 1082 de 2015, opera de pleno derecho, pero no «limitación territorial» referida en el artículo 2.2.1.2.4.2.3. ibidem, pues esta es facultativa de la entidad. Las únicas exigencias son que la convocatoria esté limitada «a </w:t>
      </w:r>
      <w:proofErr w:type="spellStart"/>
      <w:r w:rsidR="008151F2" w:rsidRPr="4C85F6A5">
        <w:rPr>
          <w:rFonts w:ascii="Arial" w:hAnsi="Arial" w:cs="Arial"/>
          <w:color w:val="000000" w:themeColor="text1"/>
          <w:sz w:val="20"/>
          <w:szCs w:val="20"/>
          <w:lang w:val="es-ES"/>
        </w:rPr>
        <w:t>Mipyme</w:t>
      </w:r>
      <w:proofErr w:type="spellEnd"/>
      <w:r w:rsidR="008151F2" w:rsidRPr="4C85F6A5">
        <w:rPr>
          <w:rFonts w:ascii="Arial" w:hAnsi="Arial" w:cs="Arial"/>
          <w:color w:val="000000" w:themeColor="text1"/>
          <w:sz w:val="20"/>
          <w:szCs w:val="20"/>
          <w:lang w:val="es-ES"/>
        </w:rPr>
        <w:t xml:space="preserve"> nacionales domiciliadas en los departamentos o municipios en donde se va a ejecutar el contrato» y que la entidad justifique su decisión en los «estudios del sector».</w:t>
      </w:r>
    </w:p>
    <w:p w14:paraId="0FB14D11" w14:textId="77777777" w:rsidR="008151F2" w:rsidRPr="004B6783" w:rsidRDefault="008151F2" w:rsidP="0095509B">
      <w:pPr>
        <w:jc w:val="both"/>
        <w:rPr>
          <w:rFonts w:ascii="Arial" w:eastAsia="Calibri" w:hAnsi="Arial" w:cs="Arial"/>
          <w:b/>
          <w:color w:val="000000" w:themeColor="text1"/>
          <w:sz w:val="20"/>
          <w:szCs w:val="20"/>
        </w:rPr>
      </w:pPr>
    </w:p>
    <w:p w14:paraId="1FE645C4" w14:textId="531F4004" w:rsidR="008151F2" w:rsidRPr="004B6783" w:rsidRDefault="008151F2" w:rsidP="0095509B">
      <w:pPr>
        <w:jc w:val="both"/>
        <w:rPr>
          <w:rFonts w:ascii="Arial" w:eastAsia="Calibri" w:hAnsi="Arial" w:cs="Arial"/>
          <w:b/>
          <w:color w:val="000000" w:themeColor="text1"/>
          <w:sz w:val="22"/>
        </w:rPr>
      </w:pPr>
      <w:r w:rsidRPr="004B6783">
        <w:rPr>
          <w:rFonts w:ascii="Arial" w:eastAsia="Calibri" w:hAnsi="Arial" w:cs="Arial"/>
          <w:b/>
          <w:color w:val="000000" w:themeColor="text1"/>
          <w:sz w:val="22"/>
        </w:rPr>
        <w:t xml:space="preserve">CONVOCATORIAS LIMITADAS A MIPYMES NACIONALES </w:t>
      </w:r>
      <w:r w:rsidR="008A2725" w:rsidRPr="004B6783">
        <w:rPr>
          <w:rFonts w:ascii="Arial" w:eastAsia="Calibri" w:hAnsi="Arial" w:cs="Arial"/>
          <w:b/>
          <w:color w:val="000000" w:themeColor="text1"/>
          <w:sz w:val="22"/>
        </w:rPr>
        <w:t>–</w:t>
      </w:r>
      <w:r w:rsidRPr="004B6783">
        <w:rPr>
          <w:rFonts w:ascii="Arial" w:eastAsia="Calibri" w:hAnsi="Arial" w:cs="Arial"/>
          <w:b/>
          <w:color w:val="000000" w:themeColor="text1"/>
          <w:sz w:val="22"/>
        </w:rPr>
        <w:t xml:space="preserve"> Limitación territorial </w:t>
      </w:r>
      <w:r w:rsidR="008A2725" w:rsidRPr="004B6783">
        <w:rPr>
          <w:rFonts w:ascii="Arial" w:eastAsia="Calibri" w:hAnsi="Arial" w:cs="Arial"/>
          <w:b/>
          <w:color w:val="000000" w:themeColor="text1"/>
          <w:sz w:val="22"/>
        </w:rPr>
        <w:t>–</w:t>
      </w:r>
      <w:r w:rsidRPr="004B6783">
        <w:rPr>
          <w:rFonts w:ascii="Arial" w:eastAsia="Calibri" w:hAnsi="Arial" w:cs="Arial"/>
          <w:b/>
          <w:color w:val="000000" w:themeColor="text1"/>
          <w:sz w:val="22"/>
        </w:rPr>
        <w:t xml:space="preserve"> Procedencia</w:t>
      </w:r>
    </w:p>
    <w:p w14:paraId="600F39B5" w14:textId="77777777" w:rsidR="008151F2" w:rsidRPr="004B6783" w:rsidRDefault="008151F2" w:rsidP="0095509B">
      <w:pPr>
        <w:jc w:val="both"/>
        <w:rPr>
          <w:rFonts w:ascii="Arial" w:eastAsia="Calibri" w:hAnsi="Arial" w:cs="Arial"/>
          <w:b/>
          <w:color w:val="000000" w:themeColor="text1"/>
          <w:sz w:val="20"/>
          <w:szCs w:val="20"/>
        </w:rPr>
      </w:pPr>
    </w:p>
    <w:p w14:paraId="4325B5DC" w14:textId="2B596357" w:rsidR="008151F2" w:rsidRPr="004B6783" w:rsidRDefault="00A26FEE" w:rsidP="6C68D464">
      <w:pPr>
        <w:jc w:val="both"/>
        <w:rPr>
          <w:rFonts w:ascii="Arial" w:eastAsia="Calibri" w:hAnsi="Arial" w:cs="Arial"/>
          <w:color w:val="000000" w:themeColor="text1"/>
          <w:sz w:val="20"/>
          <w:szCs w:val="20"/>
        </w:rPr>
      </w:pPr>
      <w:r w:rsidRPr="4C85F6A5">
        <w:rPr>
          <w:rFonts w:ascii="Arial" w:eastAsia="Calibri" w:hAnsi="Arial" w:cs="Arial"/>
          <w:color w:val="000000" w:themeColor="text1"/>
          <w:sz w:val="20"/>
          <w:szCs w:val="20"/>
        </w:rPr>
        <w:t xml:space="preserve">[…] </w:t>
      </w:r>
      <w:r w:rsidR="52A7CAAC" w:rsidRPr="4C85F6A5">
        <w:rPr>
          <w:rFonts w:ascii="Arial" w:eastAsia="Calibri" w:hAnsi="Arial" w:cs="Arial"/>
          <w:color w:val="000000" w:themeColor="text1"/>
          <w:sz w:val="20"/>
          <w:szCs w:val="20"/>
        </w:rPr>
        <w:t>U</w:t>
      </w:r>
      <w:r w:rsidR="008151F2" w:rsidRPr="4C85F6A5">
        <w:rPr>
          <w:rFonts w:ascii="Arial" w:eastAsia="Calibri" w:hAnsi="Arial" w:cs="Arial"/>
          <w:color w:val="000000" w:themeColor="text1"/>
          <w:sz w:val="20"/>
          <w:szCs w:val="20"/>
        </w:rPr>
        <w:t xml:space="preserve">na vez se verifican los requisitos de los numerales 1 y 2 del artículo 2.2.1.2.4.2.2. del Decreto 1082 de 2015, la entidad queda habilitada para decidir si limita o no la convocatoria «a </w:t>
      </w:r>
      <w:proofErr w:type="spellStart"/>
      <w:r w:rsidR="008151F2" w:rsidRPr="4C85F6A5">
        <w:rPr>
          <w:rFonts w:ascii="Arial" w:eastAsia="Calibri" w:hAnsi="Arial" w:cs="Arial"/>
          <w:color w:val="000000" w:themeColor="text1"/>
          <w:sz w:val="20"/>
          <w:szCs w:val="20"/>
        </w:rPr>
        <w:t>Mipyme</w:t>
      </w:r>
      <w:proofErr w:type="spellEnd"/>
      <w:r w:rsidR="008151F2" w:rsidRPr="4C85F6A5">
        <w:rPr>
          <w:rFonts w:ascii="Arial" w:eastAsia="Calibri" w:hAnsi="Arial" w:cs="Arial"/>
          <w:color w:val="000000" w:themeColor="text1"/>
          <w:sz w:val="20"/>
          <w:szCs w:val="20"/>
        </w:rPr>
        <w:t xml:space="preserve"> nacionales domiciliadas en los departamentos o municipios en donde se va a ejecutar el contrato», sin que sea relevante el domicilio de las </w:t>
      </w:r>
      <w:proofErr w:type="spellStart"/>
      <w:r w:rsidR="008151F2" w:rsidRPr="4C85F6A5">
        <w:rPr>
          <w:rFonts w:ascii="Arial" w:eastAsia="Calibri" w:hAnsi="Arial" w:cs="Arial"/>
          <w:color w:val="000000" w:themeColor="text1"/>
          <w:sz w:val="20"/>
          <w:szCs w:val="20"/>
        </w:rPr>
        <w:t>Mipymes</w:t>
      </w:r>
      <w:proofErr w:type="spellEnd"/>
      <w:r w:rsidR="008151F2" w:rsidRPr="4C85F6A5">
        <w:rPr>
          <w:rFonts w:ascii="Arial" w:eastAsia="Calibri" w:hAnsi="Arial" w:cs="Arial"/>
          <w:color w:val="000000" w:themeColor="text1"/>
          <w:sz w:val="20"/>
          <w:szCs w:val="20"/>
        </w:rPr>
        <w:t xml:space="preserve"> nacionales que solicitaron limitar la convocatoria.</w:t>
      </w:r>
    </w:p>
    <w:p w14:paraId="2947A457" w14:textId="3C78781F" w:rsidR="00907BE4" w:rsidRPr="002A3C0E" w:rsidRDefault="00907BE4" w:rsidP="00303514">
      <w:pPr>
        <w:pStyle w:val="Default"/>
        <w:rPr>
          <w:color w:val="000000" w:themeColor="text1"/>
          <w:sz w:val="20"/>
          <w:szCs w:val="20"/>
        </w:rPr>
      </w:pPr>
    </w:p>
    <w:p w14:paraId="0EDBB4ED" w14:textId="77777777" w:rsidR="00955C2B" w:rsidRDefault="00955C2B" w:rsidP="00303514">
      <w:pPr>
        <w:pStyle w:val="Default"/>
        <w:rPr>
          <w:color w:val="000000" w:themeColor="text1"/>
          <w:sz w:val="20"/>
          <w:szCs w:val="20"/>
        </w:rPr>
      </w:pPr>
    </w:p>
    <w:p w14:paraId="24F3E36F" w14:textId="29E34506" w:rsidR="00303514" w:rsidRPr="004B6783" w:rsidRDefault="00303514" w:rsidP="00303514">
      <w:pPr>
        <w:pStyle w:val="Default"/>
        <w:rPr>
          <w:color w:val="000000" w:themeColor="text1"/>
          <w:sz w:val="22"/>
          <w:szCs w:val="22"/>
        </w:rPr>
      </w:pPr>
      <w:r w:rsidRPr="004B6783">
        <w:rPr>
          <w:color w:val="000000" w:themeColor="text1"/>
          <w:sz w:val="22"/>
          <w:szCs w:val="22"/>
        </w:rPr>
        <w:t xml:space="preserve">Bogotá D.C., </w:t>
      </w:r>
      <w:r w:rsidRPr="004B6783">
        <w:rPr>
          <w:b/>
          <w:bCs/>
          <w:color w:val="000000" w:themeColor="text1"/>
          <w:sz w:val="22"/>
          <w:szCs w:val="22"/>
        </w:rPr>
        <w:t xml:space="preserve">11/03/2020 Hora 17:6:52s </w:t>
      </w:r>
    </w:p>
    <w:p w14:paraId="658591A5" w14:textId="51305F8C" w:rsidR="008151F2" w:rsidRDefault="00303514" w:rsidP="00303514">
      <w:pPr>
        <w:jc w:val="right"/>
        <w:rPr>
          <w:rFonts w:ascii="Arial" w:hAnsi="Arial" w:cs="Arial"/>
          <w:b/>
          <w:bCs/>
          <w:color w:val="000000" w:themeColor="text1"/>
          <w:sz w:val="22"/>
        </w:rPr>
      </w:pPr>
      <w:proofErr w:type="spellStart"/>
      <w:r w:rsidRPr="004B6783">
        <w:rPr>
          <w:rFonts w:ascii="Arial" w:hAnsi="Arial" w:cs="Arial"/>
          <w:b/>
          <w:bCs/>
          <w:color w:val="000000" w:themeColor="text1"/>
          <w:sz w:val="22"/>
        </w:rPr>
        <w:t>N°</w:t>
      </w:r>
      <w:proofErr w:type="spellEnd"/>
      <w:r w:rsidRPr="004B6783">
        <w:rPr>
          <w:rFonts w:ascii="Arial" w:hAnsi="Arial" w:cs="Arial"/>
          <w:b/>
          <w:bCs/>
          <w:color w:val="000000" w:themeColor="text1"/>
          <w:sz w:val="22"/>
        </w:rPr>
        <w:t xml:space="preserve"> Radicado: 2202013000001797</w:t>
      </w:r>
    </w:p>
    <w:p w14:paraId="47CE7179" w14:textId="55E41336" w:rsidR="00907BE4" w:rsidRDefault="00907BE4" w:rsidP="00303514">
      <w:pPr>
        <w:jc w:val="right"/>
        <w:rPr>
          <w:rFonts w:ascii="Arial" w:hAnsi="Arial" w:cs="Arial"/>
          <w:b/>
          <w:bCs/>
          <w:color w:val="000000" w:themeColor="text1"/>
          <w:sz w:val="22"/>
        </w:rPr>
      </w:pPr>
    </w:p>
    <w:p w14:paraId="11DBCD4A" w14:textId="77777777" w:rsidR="008151F2" w:rsidRPr="004B6783" w:rsidRDefault="008151F2" w:rsidP="008151F2">
      <w:pPr>
        <w:rPr>
          <w:rFonts w:ascii="Arial" w:eastAsia="Calibri" w:hAnsi="Arial" w:cs="Arial"/>
          <w:color w:val="000000" w:themeColor="text1"/>
          <w:sz w:val="22"/>
        </w:rPr>
      </w:pPr>
      <w:r w:rsidRPr="004B6783">
        <w:rPr>
          <w:rFonts w:ascii="Arial" w:eastAsia="Calibri" w:hAnsi="Arial" w:cs="Arial"/>
          <w:color w:val="000000" w:themeColor="text1"/>
          <w:sz w:val="22"/>
        </w:rPr>
        <w:t>Señor</w:t>
      </w:r>
    </w:p>
    <w:p w14:paraId="385F4E4D" w14:textId="77777777" w:rsidR="008151F2" w:rsidRPr="004B6783" w:rsidRDefault="008151F2" w:rsidP="008151F2">
      <w:pPr>
        <w:rPr>
          <w:rFonts w:ascii="Arial" w:eastAsia="Calibri" w:hAnsi="Arial" w:cs="Arial"/>
          <w:b/>
          <w:color w:val="000000" w:themeColor="text1"/>
          <w:sz w:val="22"/>
        </w:rPr>
      </w:pPr>
      <w:r w:rsidRPr="004B6783">
        <w:rPr>
          <w:rFonts w:ascii="Arial" w:eastAsia="Calibri" w:hAnsi="Arial" w:cs="Arial"/>
          <w:b/>
          <w:color w:val="000000" w:themeColor="text1"/>
          <w:sz w:val="22"/>
        </w:rPr>
        <w:t>INVERCOM SAS</w:t>
      </w:r>
    </w:p>
    <w:p w14:paraId="3B4B9F36" w14:textId="79DF0B77" w:rsidR="008151F2" w:rsidRPr="004B6783" w:rsidRDefault="008151F2" w:rsidP="008151F2">
      <w:pPr>
        <w:rPr>
          <w:rFonts w:ascii="Arial" w:eastAsia="Calibri" w:hAnsi="Arial" w:cs="Arial"/>
          <w:color w:val="000000" w:themeColor="text1"/>
          <w:sz w:val="22"/>
        </w:rPr>
      </w:pPr>
      <w:r w:rsidRPr="004B6783">
        <w:rPr>
          <w:rFonts w:ascii="Arial" w:eastAsia="Calibri" w:hAnsi="Arial" w:cs="Arial"/>
          <w:color w:val="000000" w:themeColor="text1"/>
          <w:sz w:val="22"/>
        </w:rPr>
        <w:t>Arauca, Arauca</w:t>
      </w:r>
    </w:p>
    <w:p w14:paraId="7CC7DDA5" w14:textId="77777777" w:rsidR="00BF2C21" w:rsidRPr="004B6783" w:rsidRDefault="00BF2C21" w:rsidP="008151F2">
      <w:pPr>
        <w:rPr>
          <w:rFonts w:ascii="Arial" w:eastAsia="Calibri" w:hAnsi="Arial" w:cs="Arial"/>
          <w:color w:val="000000" w:themeColor="text1"/>
          <w:sz w:val="22"/>
        </w:rPr>
      </w:pPr>
    </w:p>
    <w:p w14:paraId="7B6F24AD" w14:textId="73D082B5" w:rsidR="008151F2" w:rsidRDefault="008151F2" w:rsidP="008151F2">
      <w:pPr>
        <w:ind w:firstLine="2694"/>
        <w:rPr>
          <w:rFonts w:ascii="Arial" w:eastAsia="Calibri" w:hAnsi="Arial" w:cs="Arial"/>
          <w:b/>
          <w:color w:val="000000" w:themeColor="text1"/>
          <w:sz w:val="22"/>
        </w:rPr>
      </w:pPr>
      <w:r w:rsidRPr="004B6783">
        <w:rPr>
          <w:rFonts w:ascii="Arial" w:eastAsia="Calibri" w:hAnsi="Arial" w:cs="Arial"/>
          <w:b/>
          <w:color w:val="000000" w:themeColor="text1"/>
          <w:sz w:val="22"/>
        </w:rPr>
        <w:t>Concepto C ─ 083 de 2020</w:t>
      </w:r>
    </w:p>
    <w:p w14:paraId="7C3BEB64" w14:textId="77777777" w:rsidR="00BF2C21" w:rsidRPr="004B6783" w:rsidRDefault="00BF2C21" w:rsidP="008151F2">
      <w:pPr>
        <w:ind w:firstLine="2694"/>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B6783" w:rsidRPr="004B6783" w14:paraId="0C35DFE7" w14:textId="77777777" w:rsidTr="00D86521">
        <w:tc>
          <w:tcPr>
            <w:tcW w:w="2689" w:type="dxa"/>
            <w:hideMark/>
          </w:tcPr>
          <w:p w14:paraId="147CF2C9" w14:textId="77777777" w:rsidR="008151F2" w:rsidRPr="004B6783" w:rsidRDefault="008151F2" w:rsidP="00D86521">
            <w:pPr>
              <w:rPr>
                <w:rFonts w:ascii="Arial" w:eastAsia="Calibri" w:hAnsi="Arial" w:cs="Arial"/>
                <w:color w:val="000000" w:themeColor="text1"/>
                <w:sz w:val="22"/>
              </w:rPr>
            </w:pPr>
            <w:r w:rsidRPr="004B6783">
              <w:rPr>
                <w:rFonts w:ascii="Arial" w:eastAsia="Calibri" w:hAnsi="Arial" w:cs="Arial"/>
                <w:b/>
                <w:color w:val="000000" w:themeColor="text1"/>
                <w:sz w:val="22"/>
              </w:rPr>
              <w:t>Temas:</w:t>
            </w:r>
            <w:r w:rsidRPr="004B6783">
              <w:rPr>
                <w:rFonts w:ascii="Arial" w:eastAsia="Calibri" w:hAnsi="Arial" w:cs="Arial"/>
                <w:color w:val="000000" w:themeColor="text1"/>
                <w:sz w:val="22"/>
              </w:rPr>
              <w:t xml:space="preserve">           </w:t>
            </w:r>
          </w:p>
          <w:p w14:paraId="187AB6CE" w14:textId="77777777" w:rsidR="008151F2" w:rsidRPr="004B6783" w:rsidRDefault="008151F2" w:rsidP="00D86521">
            <w:pPr>
              <w:rPr>
                <w:rFonts w:ascii="Arial" w:eastAsia="Calibri" w:hAnsi="Arial" w:cs="Arial"/>
                <w:color w:val="000000" w:themeColor="text1"/>
                <w:sz w:val="22"/>
              </w:rPr>
            </w:pPr>
            <w:r w:rsidRPr="004B6783">
              <w:rPr>
                <w:rFonts w:ascii="Arial" w:eastAsia="Calibri" w:hAnsi="Arial" w:cs="Arial"/>
                <w:color w:val="000000" w:themeColor="text1"/>
                <w:sz w:val="22"/>
              </w:rPr>
              <w:t xml:space="preserve">                           </w:t>
            </w:r>
          </w:p>
        </w:tc>
        <w:tc>
          <w:tcPr>
            <w:tcW w:w="6237" w:type="dxa"/>
            <w:hideMark/>
          </w:tcPr>
          <w:p w14:paraId="36C3AFA3" w14:textId="1D28E962" w:rsidR="008151F2" w:rsidRPr="004B6783" w:rsidRDefault="008151F2" w:rsidP="00D86521">
            <w:pPr>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MIPYME ― Noción y alcance </w:t>
            </w:r>
            <w:r w:rsidR="0026214F" w:rsidRPr="004B6783">
              <w:rPr>
                <w:rFonts w:ascii="Arial" w:eastAsia="Calibri" w:hAnsi="Arial" w:cs="Arial"/>
                <w:color w:val="000000" w:themeColor="text1"/>
                <w:sz w:val="22"/>
              </w:rPr>
              <w:t>−</w:t>
            </w:r>
            <w:r w:rsidRPr="004B6783">
              <w:rPr>
                <w:rFonts w:ascii="Arial" w:eastAsia="Calibri" w:hAnsi="Arial" w:cs="Arial"/>
                <w:color w:val="000000" w:themeColor="text1"/>
                <w:sz w:val="22"/>
              </w:rPr>
              <w:t xml:space="preserve"> Incentivos contractuales – normativa</w:t>
            </w:r>
            <w:r w:rsidR="0026214F" w:rsidRPr="004B6783">
              <w:rPr>
                <w:rFonts w:ascii="Arial" w:eastAsia="Calibri" w:hAnsi="Arial" w:cs="Arial"/>
                <w:color w:val="000000" w:themeColor="text1"/>
                <w:sz w:val="22"/>
              </w:rPr>
              <w:t xml:space="preserve"> /</w:t>
            </w:r>
            <w:r w:rsidRPr="004B6783">
              <w:rPr>
                <w:rFonts w:ascii="Arial" w:eastAsia="Calibri" w:hAnsi="Arial" w:cs="Arial"/>
                <w:color w:val="000000" w:themeColor="text1"/>
                <w:sz w:val="22"/>
              </w:rPr>
              <w:t xml:space="preserve"> MIPYMES NACIONALES ― Inexistencia de </w:t>
            </w:r>
            <w:proofErr w:type="spellStart"/>
            <w:r w:rsidRPr="004B6783">
              <w:rPr>
                <w:rFonts w:ascii="Arial" w:eastAsia="Calibri" w:hAnsi="Arial" w:cs="Arial"/>
                <w:color w:val="000000" w:themeColor="text1"/>
                <w:sz w:val="22"/>
              </w:rPr>
              <w:lastRenderedPageBreak/>
              <w:t>Mipymes</w:t>
            </w:r>
            <w:proofErr w:type="spellEnd"/>
            <w:r w:rsidRPr="004B6783">
              <w:rPr>
                <w:rFonts w:ascii="Arial" w:eastAsia="Calibri" w:hAnsi="Arial" w:cs="Arial"/>
                <w:color w:val="000000" w:themeColor="text1"/>
                <w:sz w:val="22"/>
              </w:rPr>
              <w:t xml:space="preserve"> del orden territorial</w:t>
            </w:r>
            <w:r w:rsidR="002C62AB" w:rsidRPr="004B6783">
              <w:rPr>
                <w:rFonts w:ascii="Arial" w:eastAsia="Calibri" w:hAnsi="Arial" w:cs="Arial"/>
                <w:color w:val="000000" w:themeColor="text1"/>
                <w:sz w:val="22"/>
              </w:rPr>
              <w:t xml:space="preserve"> /</w:t>
            </w:r>
            <w:r w:rsidRPr="004B6783">
              <w:rPr>
                <w:rFonts w:ascii="Arial" w:eastAsia="Calibri" w:hAnsi="Arial" w:cs="Arial"/>
                <w:color w:val="000000" w:themeColor="text1"/>
                <w:sz w:val="22"/>
              </w:rPr>
              <w:t xml:space="preserve"> CONVOCATORIAS LIMITADAS A MIPYMES – Requisitos</w:t>
            </w:r>
            <w:r w:rsidR="002C62AB" w:rsidRPr="004B6783">
              <w:rPr>
                <w:rFonts w:ascii="Arial" w:eastAsia="Calibri" w:hAnsi="Arial" w:cs="Arial"/>
                <w:color w:val="000000" w:themeColor="text1"/>
                <w:sz w:val="22"/>
              </w:rPr>
              <w:t xml:space="preserve"> /</w:t>
            </w:r>
            <w:r w:rsidRPr="004B6783">
              <w:rPr>
                <w:rFonts w:ascii="Arial" w:eastAsia="Calibri" w:hAnsi="Arial" w:cs="Arial"/>
                <w:color w:val="000000" w:themeColor="text1"/>
                <w:sz w:val="22"/>
              </w:rPr>
              <w:t xml:space="preserve"> LIMITACIÓN TERRITORIAL </w:t>
            </w:r>
            <w:proofErr w:type="gramStart"/>
            <w:r w:rsidRPr="004B6783">
              <w:rPr>
                <w:rFonts w:ascii="Arial" w:eastAsia="Calibri" w:hAnsi="Arial" w:cs="Arial"/>
                <w:color w:val="000000" w:themeColor="text1"/>
                <w:sz w:val="22"/>
              </w:rPr>
              <w:t>─  Requisitos</w:t>
            </w:r>
            <w:proofErr w:type="gramEnd"/>
            <w:r w:rsidRPr="004B6783">
              <w:rPr>
                <w:rFonts w:ascii="Arial" w:eastAsia="Calibri" w:hAnsi="Arial" w:cs="Arial"/>
                <w:color w:val="000000" w:themeColor="text1"/>
                <w:sz w:val="22"/>
              </w:rPr>
              <w:t xml:space="preserve"> </w:t>
            </w:r>
            <w:r w:rsidR="00894CA6" w:rsidRPr="004B6783">
              <w:rPr>
                <w:rFonts w:ascii="Arial" w:eastAsia="Calibri" w:hAnsi="Arial" w:cs="Arial"/>
                <w:color w:val="000000" w:themeColor="text1"/>
                <w:sz w:val="22"/>
              </w:rPr>
              <w:t>−</w:t>
            </w:r>
            <w:r w:rsidRPr="004B6783">
              <w:rPr>
                <w:rFonts w:ascii="Arial" w:eastAsia="Calibri" w:hAnsi="Arial" w:cs="Arial"/>
                <w:color w:val="000000" w:themeColor="text1"/>
                <w:sz w:val="22"/>
              </w:rPr>
              <w:t xml:space="preserve"> Procedencia </w:t>
            </w:r>
            <w:r w:rsidR="00894CA6" w:rsidRPr="004B6783">
              <w:rPr>
                <w:rFonts w:ascii="Arial" w:eastAsia="Calibri" w:hAnsi="Arial" w:cs="Arial"/>
                <w:color w:val="000000" w:themeColor="text1"/>
                <w:sz w:val="22"/>
              </w:rPr>
              <w:t>−</w:t>
            </w:r>
            <w:r w:rsidRPr="004B6783">
              <w:rPr>
                <w:rFonts w:ascii="Arial" w:eastAsia="Calibri" w:hAnsi="Arial" w:cs="Arial"/>
                <w:color w:val="000000" w:themeColor="text1"/>
                <w:sz w:val="22"/>
              </w:rPr>
              <w:t xml:space="preserve"> No opera de pleno derecho.</w:t>
            </w:r>
          </w:p>
        </w:tc>
      </w:tr>
      <w:tr w:rsidR="008151F2" w:rsidRPr="004B6783" w14:paraId="085FDDB1" w14:textId="77777777" w:rsidTr="00D86521">
        <w:tc>
          <w:tcPr>
            <w:tcW w:w="2689" w:type="dxa"/>
          </w:tcPr>
          <w:p w14:paraId="09DB52AD" w14:textId="77777777" w:rsidR="008151F2" w:rsidRPr="004B6783" w:rsidRDefault="008151F2" w:rsidP="00D86521">
            <w:pPr>
              <w:rPr>
                <w:rFonts w:ascii="Arial" w:eastAsia="Calibri" w:hAnsi="Arial" w:cs="Arial"/>
                <w:b/>
                <w:color w:val="000000" w:themeColor="text1"/>
                <w:sz w:val="22"/>
              </w:rPr>
            </w:pPr>
            <w:r w:rsidRPr="004B6783">
              <w:rPr>
                <w:rFonts w:ascii="Arial" w:eastAsia="Calibri" w:hAnsi="Arial" w:cs="Arial"/>
                <w:b/>
                <w:color w:val="000000" w:themeColor="text1"/>
                <w:sz w:val="22"/>
              </w:rPr>
              <w:lastRenderedPageBreak/>
              <w:t>Radicación:</w:t>
            </w:r>
            <w:r w:rsidRPr="004B6783">
              <w:rPr>
                <w:rFonts w:ascii="Arial" w:eastAsia="Calibri" w:hAnsi="Arial" w:cs="Arial"/>
                <w:color w:val="000000" w:themeColor="text1"/>
                <w:sz w:val="22"/>
              </w:rPr>
              <w:t xml:space="preserve">                              </w:t>
            </w:r>
          </w:p>
        </w:tc>
        <w:tc>
          <w:tcPr>
            <w:tcW w:w="6237" w:type="dxa"/>
          </w:tcPr>
          <w:p w14:paraId="3DFF5B57" w14:textId="77777777" w:rsidR="008151F2" w:rsidRPr="004B6783" w:rsidRDefault="008151F2" w:rsidP="00D86521">
            <w:pPr>
              <w:jc w:val="both"/>
              <w:rPr>
                <w:rFonts w:ascii="Arial" w:eastAsia="Calibri" w:hAnsi="Arial" w:cs="Arial"/>
                <w:color w:val="000000" w:themeColor="text1"/>
                <w:sz w:val="22"/>
              </w:rPr>
            </w:pPr>
            <w:r w:rsidRPr="004B6783">
              <w:rPr>
                <w:rFonts w:ascii="Arial" w:eastAsia="Calibri" w:hAnsi="Arial" w:cs="Arial"/>
                <w:color w:val="000000" w:themeColor="text1"/>
                <w:sz w:val="22"/>
              </w:rPr>
              <w:t>Respuesta a consulta # 4202012000000629</w:t>
            </w:r>
          </w:p>
        </w:tc>
      </w:tr>
    </w:tbl>
    <w:p w14:paraId="568C4AD5" w14:textId="77777777" w:rsidR="00907BE4" w:rsidRDefault="00907BE4" w:rsidP="008151F2">
      <w:pPr>
        <w:rPr>
          <w:rFonts w:ascii="Arial" w:eastAsia="Calibri" w:hAnsi="Arial" w:cs="Arial"/>
          <w:color w:val="000000" w:themeColor="text1"/>
          <w:sz w:val="22"/>
        </w:rPr>
      </w:pPr>
    </w:p>
    <w:p w14:paraId="0FD93FAA" w14:textId="5F1FB9A6" w:rsidR="008151F2" w:rsidRDefault="008151F2" w:rsidP="009151BA">
      <w:pPr>
        <w:rPr>
          <w:rFonts w:ascii="Arial" w:eastAsia="Calibri" w:hAnsi="Arial" w:cs="Arial"/>
          <w:color w:val="000000" w:themeColor="text1"/>
          <w:sz w:val="22"/>
        </w:rPr>
      </w:pPr>
      <w:r w:rsidRPr="004B6783">
        <w:rPr>
          <w:rFonts w:ascii="Arial" w:eastAsia="Calibri" w:hAnsi="Arial" w:cs="Arial"/>
          <w:color w:val="000000" w:themeColor="text1"/>
          <w:sz w:val="22"/>
        </w:rPr>
        <w:t>Estimado(a) señor(a),</w:t>
      </w:r>
    </w:p>
    <w:p w14:paraId="1C6C128F" w14:textId="77777777" w:rsidR="008151F2" w:rsidRPr="004B6783" w:rsidRDefault="008151F2" w:rsidP="009151BA">
      <w:pPr>
        <w:rPr>
          <w:rFonts w:ascii="Arial" w:eastAsia="Calibri" w:hAnsi="Arial" w:cs="Arial"/>
          <w:color w:val="000000" w:themeColor="text1"/>
          <w:sz w:val="22"/>
        </w:rPr>
      </w:pPr>
    </w:p>
    <w:p w14:paraId="7910BB75" w14:textId="77777777" w:rsidR="008151F2" w:rsidRPr="004B6783" w:rsidRDefault="008151F2" w:rsidP="009151BA">
      <w:pPr>
        <w:spacing w:line="276" w:lineRule="auto"/>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La Agencia Nacional de Contratación Pública―Colombia Compra Eficiente responde su consulta del 29 de enero de 2020, en ejercicio de la competencia otorgada por los artículos 11, numeral 8º, y 3º, numeral 5º, del Decreto Ley 4170 de 2011. </w:t>
      </w:r>
    </w:p>
    <w:p w14:paraId="11F46A99" w14:textId="77777777" w:rsidR="008151F2" w:rsidRPr="004B6783" w:rsidRDefault="008151F2" w:rsidP="008151F2">
      <w:pPr>
        <w:spacing w:line="276" w:lineRule="auto"/>
        <w:jc w:val="both"/>
        <w:rPr>
          <w:rFonts w:ascii="Arial" w:eastAsia="Calibri" w:hAnsi="Arial" w:cs="Arial"/>
          <w:color w:val="000000" w:themeColor="text1"/>
          <w:sz w:val="22"/>
        </w:rPr>
      </w:pPr>
    </w:p>
    <w:p w14:paraId="68AA230E" w14:textId="77777777" w:rsidR="008151F2" w:rsidRPr="004B6783" w:rsidRDefault="008151F2" w:rsidP="008151F2">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4B6783">
        <w:rPr>
          <w:rFonts w:ascii="Arial" w:eastAsia="Calibri" w:hAnsi="Arial" w:cs="Arial"/>
          <w:b/>
          <w:color w:val="000000" w:themeColor="text1"/>
          <w:sz w:val="22"/>
        </w:rPr>
        <w:t xml:space="preserve">Problemas planteados </w:t>
      </w:r>
    </w:p>
    <w:p w14:paraId="620FC81F" w14:textId="77777777" w:rsidR="008151F2" w:rsidRPr="004B6783" w:rsidRDefault="008151F2" w:rsidP="008151F2">
      <w:pPr>
        <w:tabs>
          <w:tab w:val="left" w:pos="426"/>
        </w:tabs>
        <w:spacing w:line="276" w:lineRule="auto"/>
        <w:jc w:val="both"/>
        <w:rPr>
          <w:rFonts w:ascii="Arial" w:eastAsia="Calibri" w:hAnsi="Arial" w:cs="Arial"/>
          <w:b/>
          <w:color w:val="000000" w:themeColor="text1"/>
          <w:sz w:val="22"/>
        </w:rPr>
      </w:pPr>
    </w:p>
    <w:p w14:paraId="127D26A7" w14:textId="77777777" w:rsidR="008151F2" w:rsidRPr="004B6783" w:rsidRDefault="008151F2" w:rsidP="008151F2">
      <w:pPr>
        <w:tabs>
          <w:tab w:val="left" w:pos="426"/>
        </w:tabs>
        <w:spacing w:line="276" w:lineRule="auto"/>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Usted realiza las siguientes preguntas: i) «[¿] que (sic) entidades y/o instituciones </w:t>
      </w:r>
      <w:proofErr w:type="spellStart"/>
      <w:r w:rsidRPr="004B6783">
        <w:rPr>
          <w:rFonts w:ascii="Arial" w:eastAsia="Calibri" w:hAnsi="Arial" w:cs="Arial"/>
          <w:color w:val="000000" w:themeColor="text1"/>
          <w:sz w:val="22"/>
        </w:rPr>
        <w:t>publicas</w:t>
      </w:r>
      <w:proofErr w:type="spellEnd"/>
      <w:r w:rsidRPr="004B6783">
        <w:rPr>
          <w:rFonts w:ascii="Arial" w:eastAsia="Calibri" w:hAnsi="Arial" w:cs="Arial"/>
          <w:color w:val="000000" w:themeColor="text1"/>
          <w:sz w:val="22"/>
        </w:rPr>
        <w:t xml:space="preserve"> (sic) en Colombia están obligadas a convocar los procesos de contratación </w:t>
      </w:r>
      <w:proofErr w:type="spellStart"/>
      <w:r w:rsidRPr="004B6783">
        <w:rPr>
          <w:rFonts w:ascii="Arial" w:eastAsia="Calibri" w:hAnsi="Arial" w:cs="Arial"/>
          <w:color w:val="000000" w:themeColor="text1"/>
          <w:sz w:val="22"/>
        </w:rPr>
        <w:t>publica</w:t>
      </w:r>
      <w:proofErr w:type="spellEnd"/>
      <w:r w:rsidRPr="004B6783">
        <w:rPr>
          <w:rFonts w:ascii="Arial" w:eastAsia="Calibri" w:hAnsi="Arial" w:cs="Arial"/>
          <w:color w:val="000000" w:themeColor="text1"/>
          <w:sz w:val="22"/>
        </w:rPr>
        <w:t xml:space="preserve"> (sic) a limitar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cuando el presupuesto oficial del proceso no excede los 125.000 </w:t>
      </w:r>
      <w:proofErr w:type="spellStart"/>
      <w:r w:rsidRPr="004B6783">
        <w:rPr>
          <w:rFonts w:ascii="Arial" w:eastAsia="Calibri" w:hAnsi="Arial" w:cs="Arial"/>
          <w:color w:val="000000" w:themeColor="text1"/>
          <w:sz w:val="22"/>
        </w:rPr>
        <w:t>dolares</w:t>
      </w:r>
      <w:proofErr w:type="spellEnd"/>
      <w:r w:rsidRPr="004B6783">
        <w:rPr>
          <w:rFonts w:ascii="Arial" w:eastAsia="Calibri" w:hAnsi="Arial" w:cs="Arial"/>
          <w:color w:val="000000" w:themeColor="text1"/>
          <w:sz w:val="22"/>
        </w:rPr>
        <w:t xml:space="preserve"> (sic) y se encuentra en la modalidad respectiva?»; </w:t>
      </w:r>
      <w:proofErr w:type="spellStart"/>
      <w:r w:rsidRPr="004B6783">
        <w:rPr>
          <w:rFonts w:ascii="Arial" w:eastAsia="Calibri" w:hAnsi="Arial" w:cs="Arial"/>
          <w:color w:val="000000" w:themeColor="text1"/>
          <w:sz w:val="22"/>
        </w:rPr>
        <w:t>ii</w:t>
      </w:r>
      <w:proofErr w:type="spellEnd"/>
      <w:r w:rsidRPr="004B6783">
        <w:rPr>
          <w:rFonts w:ascii="Arial" w:eastAsia="Calibri" w:hAnsi="Arial" w:cs="Arial"/>
          <w:color w:val="000000" w:themeColor="text1"/>
          <w:sz w:val="22"/>
        </w:rPr>
        <w:t xml:space="preserve">) «el Ejercito (sic) Nacional y la Policía Nacional y sus distintas unidades ordenadoras de gastos en Colombia están obligados por ley a limitar sus procesos a incentivos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si su proceso no excede los 125.000 </w:t>
      </w:r>
      <w:proofErr w:type="spellStart"/>
      <w:r w:rsidRPr="004B6783">
        <w:rPr>
          <w:rFonts w:ascii="Arial" w:eastAsia="Calibri" w:hAnsi="Arial" w:cs="Arial"/>
          <w:color w:val="000000" w:themeColor="text1"/>
          <w:sz w:val="22"/>
        </w:rPr>
        <w:t>dolares</w:t>
      </w:r>
      <w:proofErr w:type="spellEnd"/>
      <w:r w:rsidRPr="004B6783">
        <w:rPr>
          <w:rFonts w:ascii="Arial" w:eastAsia="Calibri" w:hAnsi="Arial" w:cs="Arial"/>
          <w:color w:val="000000" w:themeColor="text1"/>
          <w:sz w:val="22"/>
        </w:rPr>
        <w:t xml:space="preserve"> (sic) y se encuentra en la modalidad respectiva?»; </w:t>
      </w:r>
      <w:proofErr w:type="spellStart"/>
      <w:r w:rsidRPr="004B6783">
        <w:rPr>
          <w:rFonts w:ascii="Arial" w:eastAsia="Calibri" w:hAnsi="Arial" w:cs="Arial"/>
          <w:color w:val="000000" w:themeColor="text1"/>
          <w:sz w:val="22"/>
        </w:rPr>
        <w:t>iii</w:t>
      </w:r>
      <w:proofErr w:type="spellEnd"/>
      <w:r w:rsidRPr="004B6783">
        <w:rPr>
          <w:rFonts w:ascii="Arial" w:eastAsia="Calibri" w:hAnsi="Arial" w:cs="Arial"/>
          <w:color w:val="000000" w:themeColor="text1"/>
          <w:sz w:val="22"/>
        </w:rPr>
        <w:t xml:space="preserve">) ¿«un manual de contratación interno, directiva interna, resolución interna de la institución y/o entidad </w:t>
      </w:r>
      <w:proofErr w:type="spellStart"/>
      <w:r w:rsidRPr="004B6783">
        <w:rPr>
          <w:rFonts w:ascii="Arial" w:eastAsia="Calibri" w:hAnsi="Arial" w:cs="Arial"/>
          <w:color w:val="000000" w:themeColor="text1"/>
          <w:sz w:val="22"/>
        </w:rPr>
        <w:t>publica</w:t>
      </w:r>
      <w:proofErr w:type="spellEnd"/>
      <w:r w:rsidRPr="004B6783">
        <w:rPr>
          <w:rFonts w:ascii="Arial" w:eastAsia="Calibri" w:hAnsi="Arial" w:cs="Arial"/>
          <w:color w:val="000000" w:themeColor="text1"/>
          <w:sz w:val="22"/>
        </w:rPr>
        <w:t xml:space="preserve"> (sic) en Colombia (Ejercito (sic) Nacional-Policía Nacional y sus unidades de ordenadoras de gasto), esta (sic) por encima de la ley de inventivo (sic)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negando la posibilidad de convocar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a limitar el proceso contractual?»; </w:t>
      </w:r>
      <w:proofErr w:type="spellStart"/>
      <w:r w:rsidRPr="004B6783">
        <w:rPr>
          <w:rFonts w:ascii="Arial" w:eastAsia="Calibri" w:hAnsi="Arial" w:cs="Arial"/>
          <w:color w:val="000000" w:themeColor="text1"/>
          <w:sz w:val="22"/>
        </w:rPr>
        <w:t>iv</w:t>
      </w:r>
      <w:proofErr w:type="spellEnd"/>
      <w:r w:rsidRPr="004B6783">
        <w:rPr>
          <w:rFonts w:ascii="Arial" w:eastAsia="Calibri" w:hAnsi="Arial" w:cs="Arial"/>
          <w:color w:val="000000" w:themeColor="text1"/>
          <w:sz w:val="22"/>
        </w:rPr>
        <w:t xml:space="preserve">) ¿«si una entidad </w:t>
      </w:r>
      <w:proofErr w:type="spellStart"/>
      <w:r w:rsidRPr="004B6783">
        <w:rPr>
          <w:rFonts w:ascii="Arial" w:eastAsia="Calibri" w:hAnsi="Arial" w:cs="Arial"/>
          <w:color w:val="000000" w:themeColor="text1"/>
          <w:sz w:val="22"/>
        </w:rPr>
        <w:t>publica</w:t>
      </w:r>
      <w:proofErr w:type="spellEnd"/>
      <w:r w:rsidRPr="004B6783">
        <w:rPr>
          <w:rFonts w:ascii="Arial" w:eastAsia="Calibri" w:hAnsi="Arial" w:cs="Arial"/>
          <w:color w:val="000000" w:themeColor="text1"/>
          <w:sz w:val="22"/>
        </w:rPr>
        <w:t xml:space="preserve"> (sic) que adelanta un proceso de adquisición de bienes o servicios, recibe mínimo 3 manifestaciones a limitar un proceso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territoriales domiciliadas en el lugar de ejecución del proyecto, la entidad puede negar esta limitación, aun cuando las manifestaciones cumple (sic) en todo lo requerido por la ley de incentivos para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para limitar los proceso?»; y v) ¿«las entidades están obligadas a limitar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w:t>
      </w:r>
    </w:p>
    <w:p w14:paraId="6640A2E4" w14:textId="77777777" w:rsidR="008151F2" w:rsidRPr="004B6783" w:rsidRDefault="008151F2" w:rsidP="008151F2">
      <w:pPr>
        <w:tabs>
          <w:tab w:val="left" w:pos="426"/>
        </w:tabs>
        <w:spacing w:line="276" w:lineRule="auto"/>
        <w:jc w:val="both"/>
        <w:rPr>
          <w:rFonts w:ascii="Arial" w:eastAsia="Calibri" w:hAnsi="Arial" w:cs="Arial"/>
          <w:color w:val="000000" w:themeColor="text1"/>
          <w:sz w:val="22"/>
        </w:rPr>
      </w:pPr>
    </w:p>
    <w:p w14:paraId="58B5F6F1" w14:textId="662B81B6" w:rsidR="008151F2" w:rsidRPr="004B6783" w:rsidRDefault="008151F2" w:rsidP="008151F2">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4B6783">
        <w:rPr>
          <w:rFonts w:ascii="Arial" w:eastAsia="Calibri" w:hAnsi="Arial" w:cs="Arial"/>
          <w:b/>
          <w:color w:val="000000" w:themeColor="text1"/>
          <w:sz w:val="22"/>
        </w:rPr>
        <w:t>Consideraciones</w:t>
      </w:r>
    </w:p>
    <w:p w14:paraId="57CF6DE4" w14:textId="77777777" w:rsidR="008151F2" w:rsidRPr="004B6783" w:rsidRDefault="008151F2" w:rsidP="008151F2">
      <w:pPr>
        <w:spacing w:line="276" w:lineRule="auto"/>
        <w:jc w:val="both"/>
        <w:rPr>
          <w:rFonts w:ascii="Arial" w:eastAsia="Calibri" w:hAnsi="Arial" w:cs="Arial"/>
          <w:color w:val="000000" w:themeColor="text1"/>
          <w:sz w:val="22"/>
        </w:rPr>
      </w:pPr>
    </w:p>
    <w:p w14:paraId="4BB7A4B6" w14:textId="04D5CD1F" w:rsidR="008151F2" w:rsidRPr="004B6783" w:rsidRDefault="008151F2" w:rsidP="008151F2">
      <w:pPr>
        <w:spacing w:line="276" w:lineRule="auto"/>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La Agencia Nacional de Contratación Pública―Colombia Compra Eficiente se ha pronunciado en diferentes conceptos sobre la posibilidad de limitar los procesos contractuales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en los conceptos del 5 y el 20 de agosto de 2019 ─Radicados Nos. 4201912000004241 y 4201913000005122─ y, recientemente en el concepto CU-021 </w:t>
      </w:r>
      <w:r w:rsidR="00A2796F" w:rsidRPr="004B6783">
        <w:rPr>
          <w:rFonts w:ascii="Arial" w:eastAsia="Calibri" w:hAnsi="Arial" w:cs="Arial"/>
          <w:color w:val="000000" w:themeColor="text1"/>
          <w:sz w:val="22"/>
        </w:rPr>
        <w:t xml:space="preserve">de 2020 </w:t>
      </w:r>
      <w:r w:rsidRPr="004B6783">
        <w:rPr>
          <w:rFonts w:ascii="Arial" w:eastAsia="Calibri" w:hAnsi="Arial" w:cs="Arial"/>
          <w:color w:val="000000" w:themeColor="text1"/>
          <w:sz w:val="22"/>
        </w:rPr>
        <w:t>y C-050 de 2019 ─Radicados Nos. 4201912000008616 y 4202012000000281─, por lo que en esta ocasión se reiteran dichas consideraciones.</w:t>
      </w:r>
    </w:p>
    <w:p w14:paraId="5F36AEA2"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lang w:val="es-ES"/>
        </w:rPr>
        <w:lastRenderedPageBreak/>
        <w:t xml:space="preserve">Según el artículo 2 de </w:t>
      </w:r>
      <w:r w:rsidRPr="004B6783">
        <w:rPr>
          <w:rFonts w:ascii="Arial" w:hAnsi="Arial" w:cs="Arial"/>
          <w:color w:val="000000" w:themeColor="text1"/>
          <w:sz w:val="22"/>
        </w:rPr>
        <w:t>La Ley 905 de 2004</w:t>
      </w:r>
      <w:r w:rsidRPr="004B6783">
        <w:rPr>
          <w:rStyle w:val="Refdenotaalpie"/>
          <w:rFonts w:ascii="Arial" w:hAnsi="Arial" w:cs="Arial"/>
          <w:color w:val="000000" w:themeColor="text1"/>
          <w:sz w:val="22"/>
        </w:rPr>
        <w:footnoteReference w:id="1"/>
      </w:r>
      <w:r w:rsidRPr="004B6783">
        <w:rPr>
          <w:rFonts w:ascii="Arial" w:hAnsi="Arial" w:cs="Arial"/>
          <w:color w:val="000000" w:themeColor="text1"/>
          <w:sz w:val="22"/>
        </w:rPr>
        <w:t>, que modificó la Ley 590 de 2000, la Micro, Pequeña y Mediana Empresa ─</w:t>
      </w:r>
      <w:proofErr w:type="spellStart"/>
      <w:r w:rsidRPr="004B6783">
        <w:rPr>
          <w:rFonts w:ascii="Arial" w:hAnsi="Arial" w:cs="Arial"/>
          <w:color w:val="000000" w:themeColor="text1"/>
          <w:sz w:val="22"/>
        </w:rPr>
        <w:t>Mipyme</w:t>
      </w:r>
      <w:proofErr w:type="spellEnd"/>
      <w:r w:rsidRPr="004B6783">
        <w:rPr>
          <w:rFonts w:ascii="Arial" w:hAnsi="Arial" w:cs="Arial"/>
          <w:color w:val="000000" w:themeColor="text1"/>
          <w:sz w:val="22"/>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4FD678DB"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4B6783">
        <w:rPr>
          <w:rFonts w:ascii="Arial" w:hAnsi="Arial" w:cs="Arial"/>
          <w:color w:val="000000" w:themeColor="text1"/>
          <w:sz w:val="22"/>
        </w:rPr>
        <w:t>ii</w:t>
      </w:r>
      <w:proofErr w:type="spellEnd"/>
      <w:r w:rsidRPr="004B6783">
        <w:rPr>
          <w:rFonts w:ascii="Arial" w:hAnsi="Arial" w:cs="Arial"/>
          <w:color w:val="000000" w:themeColor="text1"/>
          <w:sz w:val="22"/>
        </w:rPr>
        <w:t xml:space="preserve">) la pequeña empresa es aquella que tiene una planta de personal entre 11 y 50 trabajadores o activos totales por un valor entre 501 y 5000 salarios mínimos mensuales legales vigentes, y </w:t>
      </w:r>
      <w:proofErr w:type="spellStart"/>
      <w:r w:rsidRPr="004B6783">
        <w:rPr>
          <w:rFonts w:ascii="Arial" w:hAnsi="Arial" w:cs="Arial"/>
          <w:color w:val="000000" w:themeColor="text1"/>
          <w:sz w:val="22"/>
        </w:rPr>
        <w:t>iii</w:t>
      </w:r>
      <w:proofErr w:type="spellEnd"/>
      <w:r w:rsidRPr="004B6783">
        <w:rPr>
          <w:rFonts w:ascii="Arial" w:hAnsi="Arial" w:cs="Arial"/>
          <w:color w:val="000000" w:themeColor="text1"/>
          <w:sz w:val="22"/>
        </w:rPr>
        <w:t>) la microempresa es aquella que tiene una planta de personal de 10 trabajadores o menos o activos totales por un valor inferior a 500 salarios mínimos legales mensuales</w:t>
      </w:r>
      <w:r w:rsidRPr="004B6783">
        <w:rPr>
          <w:rFonts w:ascii="Arial" w:hAnsi="Arial" w:cs="Arial"/>
          <w:color w:val="000000" w:themeColor="text1"/>
          <w:sz w:val="22"/>
          <w:vertAlign w:val="superscript"/>
        </w:rPr>
        <w:footnoteReference w:id="2"/>
      </w:r>
      <w:r w:rsidRPr="004B6783">
        <w:rPr>
          <w:rFonts w:ascii="Arial" w:hAnsi="Arial" w:cs="Arial"/>
          <w:color w:val="000000" w:themeColor="text1"/>
          <w:sz w:val="22"/>
        </w:rPr>
        <w:t>.</w:t>
      </w:r>
    </w:p>
    <w:p w14:paraId="71E75AFF"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t xml:space="preserve">Por otro lado, el numeral 4º del artículo 12 de la Ley 590 de 2000 estableció que las entidades públicas deben preferir, en condiciones de igual precio, calidad y capacidad de suministros, a las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en las adquisiciones necesarias para su funcionamiento</w:t>
      </w:r>
      <w:r w:rsidRPr="004B6783">
        <w:rPr>
          <w:rStyle w:val="Refdenotaalpie"/>
          <w:rFonts w:ascii="Arial" w:hAnsi="Arial" w:cs="Arial"/>
          <w:color w:val="000000" w:themeColor="text1"/>
          <w:sz w:val="22"/>
        </w:rPr>
        <w:footnoteReference w:id="3"/>
      </w:r>
      <w:r w:rsidRPr="004B6783">
        <w:rPr>
          <w:rFonts w:ascii="Arial" w:hAnsi="Arial" w:cs="Arial"/>
          <w:color w:val="000000" w:themeColor="text1"/>
          <w:sz w:val="22"/>
        </w:rPr>
        <w:t>.</w:t>
      </w:r>
    </w:p>
    <w:p w14:paraId="539AE8FD"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78E91197"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lastRenderedPageBreak/>
        <w:t>Al respecto, el Consejo de Estado, Sala de lo Contencioso Administrativo, Sección Tercera, Subsección C, mediante sentencia con número de expediente 40.743, del 23 de mayo de 2012</w:t>
      </w:r>
      <w:r w:rsidRPr="004B6783">
        <w:rPr>
          <w:rStyle w:val="Refdenotaalpie"/>
          <w:rFonts w:ascii="Arial" w:hAnsi="Arial" w:cs="Arial"/>
          <w:color w:val="000000" w:themeColor="text1"/>
          <w:sz w:val="22"/>
        </w:rPr>
        <w:footnoteReference w:id="4"/>
      </w:r>
      <w:r w:rsidRPr="004B6783">
        <w:rPr>
          <w:rFonts w:ascii="Arial" w:hAnsi="Arial" w:cs="Arial"/>
          <w:color w:val="000000" w:themeColor="text1"/>
          <w:sz w:val="22"/>
        </w:rPr>
        <w:t xml:space="preserve">, con ponencia del Magistrado Enrique Gil Botero, destacó que las entidades públicas deben, por un lado, promocionar e incrementar, conforme con su presupuesto, la participación de las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2054CC56"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t xml:space="preserve">Junto con la promoción dispuesta en la Ley 590 de 2000 se encuentra el articulo 12 la Ley 1150 de 2007, modificado por el artículo 32 de la Ley 1450 de 2011, que estableció las convocatorias limitadas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en contratación pública, en los siguientes términos:</w:t>
      </w:r>
    </w:p>
    <w:p w14:paraId="702FCA18" w14:textId="77777777" w:rsidR="008151F2" w:rsidRPr="004B6783" w:rsidRDefault="008151F2" w:rsidP="008151F2">
      <w:pPr>
        <w:jc w:val="both"/>
        <w:rPr>
          <w:rFonts w:ascii="Arial" w:hAnsi="Arial" w:cs="Arial"/>
          <w:color w:val="000000" w:themeColor="text1"/>
          <w:sz w:val="22"/>
        </w:rPr>
      </w:pPr>
    </w:p>
    <w:p w14:paraId="7468E62A" w14:textId="77777777" w:rsidR="008151F2" w:rsidRPr="004B6783" w:rsidRDefault="008151F2" w:rsidP="008151F2">
      <w:pPr>
        <w:ind w:left="709" w:right="709"/>
        <w:jc w:val="both"/>
        <w:rPr>
          <w:rFonts w:ascii="Arial" w:hAnsi="Arial" w:cs="Arial"/>
          <w:color w:val="000000" w:themeColor="text1"/>
          <w:sz w:val="21"/>
          <w:szCs w:val="21"/>
        </w:rPr>
      </w:pPr>
      <w:r w:rsidRPr="004B6783">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4B6783">
        <w:rPr>
          <w:rFonts w:ascii="Arial" w:hAnsi="Arial" w:cs="Arial"/>
          <w:color w:val="000000" w:themeColor="text1"/>
          <w:sz w:val="21"/>
          <w:szCs w:val="21"/>
          <w:u w:val="single"/>
        </w:rPr>
        <w:t xml:space="preserve">las entidades estatales adopten en beneficio de las </w:t>
      </w:r>
      <w:proofErr w:type="spellStart"/>
      <w:r w:rsidRPr="004B6783">
        <w:rPr>
          <w:rFonts w:ascii="Arial" w:hAnsi="Arial" w:cs="Arial"/>
          <w:color w:val="000000" w:themeColor="text1"/>
          <w:sz w:val="21"/>
          <w:szCs w:val="21"/>
          <w:u w:val="single"/>
        </w:rPr>
        <w:t>Mipymes</w:t>
      </w:r>
      <w:proofErr w:type="spellEnd"/>
      <w:r w:rsidRPr="004B6783">
        <w:rPr>
          <w:rFonts w:ascii="Arial" w:hAnsi="Arial" w:cs="Arial"/>
          <w:color w:val="000000" w:themeColor="text1"/>
          <w:sz w:val="21"/>
          <w:szCs w:val="21"/>
          <w:u w:val="single"/>
        </w:rPr>
        <w:t xml:space="preserve">, convocatorias limitadas a estas en las que, previo a la Resolución de apertura del proceso respectivo, se haya manifestado el interés del número plural de </w:t>
      </w:r>
      <w:proofErr w:type="spellStart"/>
      <w:r w:rsidRPr="004B6783">
        <w:rPr>
          <w:rFonts w:ascii="Arial" w:hAnsi="Arial" w:cs="Arial"/>
          <w:color w:val="000000" w:themeColor="text1"/>
          <w:sz w:val="21"/>
          <w:szCs w:val="21"/>
          <w:u w:val="single"/>
        </w:rPr>
        <w:t>Mipymes</w:t>
      </w:r>
      <w:proofErr w:type="spellEnd"/>
      <w:r w:rsidRPr="004B6783">
        <w:rPr>
          <w:rFonts w:ascii="Arial" w:hAnsi="Arial" w:cs="Arial"/>
          <w:color w:val="000000" w:themeColor="text1"/>
          <w:sz w:val="21"/>
          <w:szCs w:val="21"/>
          <w:u w:val="single"/>
        </w:rPr>
        <w:t xml:space="preserve"> que haya sido determinado en el reglamento</w:t>
      </w:r>
      <w:r w:rsidRPr="004B6783">
        <w:rPr>
          <w:rFonts w:ascii="Arial" w:hAnsi="Arial" w:cs="Arial"/>
          <w:color w:val="000000" w:themeColor="text1"/>
          <w:sz w:val="21"/>
          <w:szCs w:val="21"/>
        </w:rPr>
        <w:t>.</w:t>
      </w:r>
    </w:p>
    <w:p w14:paraId="7752C560" w14:textId="77777777" w:rsidR="008151F2" w:rsidRPr="004B6783" w:rsidRDefault="008151F2" w:rsidP="008151F2">
      <w:pPr>
        <w:ind w:left="709" w:right="709"/>
        <w:jc w:val="both"/>
        <w:rPr>
          <w:rFonts w:ascii="Arial" w:hAnsi="Arial" w:cs="Arial"/>
          <w:color w:val="000000" w:themeColor="text1"/>
          <w:sz w:val="21"/>
          <w:szCs w:val="21"/>
        </w:rPr>
      </w:pPr>
    </w:p>
    <w:p w14:paraId="3D6AF846" w14:textId="77777777" w:rsidR="008151F2" w:rsidRPr="004B6783" w:rsidRDefault="008151F2" w:rsidP="008151F2">
      <w:pPr>
        <w:ind w:left="709" w:right="709"/>
        <w:jc w:val="both"/>
        <w:rPr>
          <w:rFonts w:ascii="Arial" w:hAnsi="Arial" w:cs="Arial"/>
          <w:color w:val="000000" w:themeColor="text1"/>
          <w:sz w:val="21"/>
          <w:szCs w:val="21"/>
        </w:rPr>
      </w:pPr>
      <w:r w:rsidRPr="004B6783">
        <w:rPr>
          <w:rFonts w:ascii="Arial" w:hAnsi="Arial" w:cs="Arial"/>
          <w:color w:val="000000" w:themeColor="text1"/>
          <w:sz w:val="21"/>
          <w:szCs w:val="21"/>
        </w:rPr>
        <w:t xml:space="preserve">Asimismo, el reglamento podrá establecer condiciones preferenciales en favor de la oferta de bienes y servicios producidos por las </w:t>
      </w:r>
      <w:proofErr w:type="spellStart"/>
      <w:r w:rsidRPr="004B6783">
        <w:rPr>
          <w:rFonts w:ascii="Arial" w:hAnsi="Arial" w:cs="Arial"/>
          <w:color w:val="000000" w:themeColor="text1"/>
          <w:sz w:val="21"/>
          <w:szCs w:val="21"/>
        </w:rPr>
        <w:t>Mipymes</w:t>
      </w:r>
      <w:proofErr w:type="spellEnd"/>
      <w:r w:rsidRPr="004B6783">
        <w:rPr>
          <w:rFonts w:ascii="Arial" w:hAnsi="Arial" w:cs="Arial"/>
          <w:color w:val="000000" w:themeColor="text1"/>
          <w:sz w:val="21"/>
          <w:szCs w:val="21"/>
        </w:rPr>
        <w:t>, respetando los montos y las condiciones contenidas en los compromisos internacionales vigentes.</w:t>
      </w:r>
    </w:p>
    <w:p w14:paraId="4BC36DC5" w14:textId="77777777" w:rsidR="008151F2" w:rsidRPr="004B6783" w:rsidRDefault="008151F2" w:rsidP="008151F2">
      <w:pPr>
        <w:ind w:left="709" w:right="709"/>
        <w:jc w:val="both"/>
        <w:rPr>
          <w:rFonts w:ascii="Arial" w:hAnsi="Arial" w:cs="Arial"/>
          <w:color w:val="000000" w:themeColor="text1"/>
          <w:sz w:val="21"/>
          <w:szCs w:val="21"/>
        </w:rPr>
      </w:pPr>
    </w:p>
    <w:p w14:paraId="2356FE54" w14:textId="77777777" w:rsidR="008151F2" w:rsidRPr="004B6783" w:rsidRDefault="008151F2" w:rsidP="008151F2">
      <w:pPr>
        <w:ind w:left="709" w:right="709"/>
        <w:jc w:val="both"/>
        <w:rPr>
          <w:rFonts w:ascii="Arial" w:hAnsi="Arial" w:cs="Arial"/>
          <w:color w:val="000000" w:themeColor="text1"/>
          <w:sz w:val="21"/>
          <w:szCs w:val="21"/>
        </w:rPr>
      </w:pPr>
      <w:r w:rsidRPr="004B6783">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5B67953C" w14:textId="77777777" w:rsidR="008151F2" w:rsidRPr="004B6783" w:rsidRDefault="008151F2" w:rsidP="008151F2">
      <w:pPr>
        <w:ind w:left="709" w:right="709"/>
        <w:jc w:val="both"/>
        <w:rPr>
          <w:rFonts w:ascii="Arial" w:hAnsi="Arial" w:cs="Arial"/>
          <w:color w:val="000000" w:themeColor="text1"/>
          <w:sz w:val="21"/>
          <w:szCs w:val="21"/>
        </w:rPr>
      </w:pPr>
    </w:p>
    <w:p w14:paraId="2FD50BE5" w14:textId="77777777" w:rsidR="008151F2" w:rsidRPr="004B6783" w:rsidRDefault="008151F2" w:rsidP="008151F2">
      <w:pPr>
        <w:ind w:left="709" w:right="709"/>
        <w:jc w:val="both"/>
        <w:rPr>
          <w:rFonts w:ascii="Arial" w:hAnsi="Arial" w:cs="Arial"/>
          <w:color w:val="000000" w:themeColor="text1"/>
          <w:sz w:val="21"/>
          <w:szCs w:val="21"/>
        </w:rPr>
      </w:pPr>
      <w:r w:rsidRPr="004B6783">
        <w:rPr>
          <w:rFonts w:ascii="Arial" w:hAnsi="Arial" w:cs="Arial"/>
          <w:color w:val="000000" w:themeColor="text1"/>
          <w:sz w:val="21"/>
          <w:szCs w:val="21"/>
        </w:rPr>
        <w:lastRenderedPageBreak/>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1B3615A7" w14:textId="77777777" w:rsidR="008151F2" w:rsidRPr="004B6783" w:rsidRDefault="008151F2" w:rsidP="008151F2">
      <w:pPr>
        <w:ind w:left="709" w:right="709"/>
        <w:jc w:val="both"/>
        <w:rPr>
          <w:rFonts w:ascii="Arial" w:hAnsi="Arial" w:cs="Arial"/>
          <w:color w:val="000000" w:themeColor="text1"/>
          <w:sz w:val="21"/>
          <w:szCs w:val="21"/>
        </w:rPr>
      </w:pPr>
    </w:p>
    <w:p w14:paraId="04E969C2" w14:textId="77777777" w:rsidR="008151F2" w:rsidRPr="004B6783" w:rsidRDefault="008151F2" w:rsidP="008151F2">
      <w:pPr>
        <w:ind w:left="709" w:right="709"/>
        <w:jc w:val="both"/>
        <w:rPr>
          <w:rFonts w:ascii="Arial" w:hAnsi="Arial" w:cs="Arial"/>
          <w:color w:val="000000" w:themeColor="text1"/>
          <w:sz w:val="21"/>
          <w:szCs w:val="21"/>
        </w:rPr>
      </w:pPr>
      <w:r w:rsidRPr="004B6783">
        <w:rPr>
          <w:rFonts w:ascii="Arial" w:hAnsi="Arial" w:cs="Arial"/>
          <w:color w:val="000000" w:themeColor="text1"/>
          <w:sz w:val="21"/>
          <w:szCs w:val="21"/>
        </w:rPr>
        <w:t xml:space="preserve">PARÁGRAFO 1o. En los procesos de selección que se desarrollen con base en el primer inciso, las entidades podrán realizar las convocatorias limitadas que beneficien a las </w:t>
      </w:r>
      <w:proofErr w:type="spellStart"/>
      <w:r w:rsidRPr="004B6783">
        <w:rPr>
          <w:rFonts w:ascii="Arial" w:hAnsi="Arial" w:cs="Arial"/>
          <w:color w:val="000000" w:themeColor="text1"/>
          <w:sz w:val="21"/>
          <w:szCs w:val="21"/>
        </w:rPr>
        <w:t>Mipymes</w:t>
      </w:r>
      <w:proofErr w:type="spellEnd"/>
      <w:r w:rsidRPr="004B6783">
        <w:rPr>
          <w:rFonts w:ascii="Arial" w:hAnsi="Arial" w:cs="Arial"/>
          <w:color w:val="000000" w:themeColor="text1"/>
          <w:sz w:val="21"/>
          <w:szCs w:val="21"/>
        </w:rPr>
        <w:t xml:space="preserve"> del ámbito municipal o departamental correspondiente al de la ejecución del contrato.</w:t>
      </w:r>
    </w:p>
    <w:p w14:paraId="098AF2E6" w14:textId="77777777" w:rsidR="008151F2" w:rsidRPr="004B6783" w:rsidRDefault="008151F2" w:rsidP="008151F2">
      <w:pPr>
        <w:ind w:left="709" w:right="709"/>
        <w:jc w:val="both"/>
        <w:rPr>
          <w:rFonts w:ascii="Arial" w:hAnsi="Arial" w:cs="Arial"/>
          <w:color w:val="000000" w:themeColor="text1"/>
          <w:sz w:val="21"/>
          <w:szCs w:val="21"/>
        </w:rPr>
      </w:pPr>
    </w:p>
    <w:p w14:paraId="3295169B" w14:textId="77777777" w:rsidR="008151F2" w:rsidRPr="004B6783" w:rsidRDefault="008151F2" w:rsidP="008151F2">
      <w:pPr>
        <w:ind w:left="709" w:right="709"/>
        <w:jc w:val="both"/>
        <w:rPr>
          <w:rFonts w:ascii="Arial" w:hAnsi="Arial" w:cs="Arial"/>
          <w:color w:val="000000" w:themeColor="text1"/>
          <w:sz w:val="21"/>
          <w:szCs w:val="21"/>
        </w:rPr>
      </w:pPr>
      <w:r w:rsidRPr="004B6783">
        <w:rPr>
          <w:rFonts w:ascii="Arial" w:hAnsi="Arial" w:cs="Arial"/>
          <w:color w:val="000000" w:themeColor="text1"/>
          <w:sz w:val="21"/>
          <w:szCs w:val="21"/>
        </w:rPr>
        <w:t xml:space="preserve">PARÁGRAFO 2o. Sin perjuicio de lo dispuesto en los artículos 5 y 6 de la Ley 1150 de 2007, para que las </w:t>
      </w:r>
      <w:proofErr w:type="spellStart"/>
      <w:r w:rsidRPr="004B6783">
        <w:rPr>
          <w:rFonts w:ascii="Arial" w:hAnsi="Arial" w:cs="Arial"/>
          <w:color w:val="000000" w:themeColor="text1"/>
          <w:sz w:val="21"/>
          <w:szCs w:val="21"/>
        </w:rPr>
        <w:t>Mipymes</w:t>
      </w:r>
      <w:proofErr w:type="spellEnd"/>
      <w:r w:rsidRPr="004B6783">
        <w:rPr>
          <w:rFonts w:ascii="Arial" w:hAnsi="Arial" w:cs="Arial"/>
          <w:color w:val="000000" w:themeColor="text1"/>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1C9102DD" w14:textId="77777777" w:rsidR="008151F2" w:rsidRPr="004B6783" w:rsidRDefault="008151F2" w:rsidP="008151F2">
      <w:pPr>
        <w:ind w:left="709" w:right="709"/>
        <w:jc w:val="both"/>
        <w:rPr>
          <w:rFonts w:ascii="Arial" w:hAnsi="Arial" w:cs="Arial"/>
          <w:color w:val="000000" w:themeColor="text1"/>
          <w:sz w:val="21"/>
          <w:szCs w:val="21"/>
        </w:rPr>
      </w:pPr>
    </w:p>
    <w:p w14:paraId="0227A7DD" w14:textId="1DBC5F8D" w:rsidR="008151F2" w:rsidRPr="004B6783" w:rsidRDefault="008151F2" w:rsidP="008151F2">
      <w:pPr>
        <w:ind w:left="709" w:right="709"/>
        <w:jc w:val="both"/>
        <w:rPr>
          <w:rFonts w:ascii="Arial" w:hAnsi="Arial" w:cs="Arial"/>
          <w:color w:val="000000" w:themeColor="text1"/>
          <w:sz w:val="21"/>
          <w:szCs w:val="21"/>
        </w:rPr>
      </w:pPr>
      <w:r w:rsidRPr="004B6783">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p>
    <w:p w14:paraId="465F7904" w14:textId="77777777" w:rsidR="008151F2" w:rsidRPr="004B6783" w:rsidRDefault="008151F2" w:rsidP="008151F2">
      <w:pPr>
        <w:jc w:val="both"/>
        <w:rPr>
          <w:rFonts w:ascii="Arial" w:hAnsi="Arial" w:cs="Arial"/>
          <w:color w:val="000000" w:themeColor="text1"/>
          <w:sz w:val="22"/>
        </w:rPr>
      </w:pPr>
    </w:p>
    <w:p w14:paraId="57B25CFB" w14:textId="77777777"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hAnsi="Arial" w:cs="Arial"/>
          <w:color w:val="000000" w:themeColor="text1"/>
          <w:sz w:val="22"/>
        </w:rPr>
        <w:t>L</w:t>
      </w:r>
      <w:r w:rsidRPr="004B6783">
        <w:rPr>
          <w:rFonts w:ascii="Arial" w:eastAsia="Calibri" w:hAnsi="Arial"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70A5E172"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y la </w:t>
      </w:r>
      <w:r w:rsidRPr="004B6783">
        <w:rPr>
          <w:rFonts w:ascii="Arial" w:hAnsi="Arial" w:cs="Arial"/>
          <w:color w:val="000000" w:themeColor="text1"/>
          <w:sz w:val="22"/>
          <w:lang w:val="es-CO"/>
        </w:rPr>
        <w:t xml:space="preserve">«limitación territorial» a </w:t>
      </w:r>
      <w:proofErr w:type="spellStart"/>
      <w:r w:rsidRPr="004B6783">
        <w:rPr>
          <w:rFonts w:ascii="Arial" w:hAnsi="Arial" w:cs="Arial"/>
          <w:color w:val="000000" w:themeColor="text1"/>
          <w:sz w:val="22"/>
          <w:lang w:val="es-CO"/>
        </w:rPr>
        <w:t>Mipymes</w:t>
      </w:r>
      <w:proofErr w:type="spellEnd"/>
      <w:r w:rsidRPr="004B6783">
        <w:rPr>
          <w:rFonts w:ascii="Arial" w:hAnsi="Arial" w:cs="Arial"/>
          <w:color w:val="000000" w:themeColor="text1"/>
          <w:sz w:val="22"/>
        </w:rPr>
        <w:t xml:space="preserve">, contenidas, respectivamente, en los artículos 2.2.1.2.4.2.2. y </w:t>
      </w:r>
      <w:r w:rsidRPr="004B6783">
        <w:rPr>
          <w:rFonts w:ascii="Arial" w:hAnsi="Arial" w:cs="Arial"/>
          <w:color w:val="000000" w:themeColor="text1"/>
          <w:sz w:val="22"/>
          <w:lang w:val="es-CO"/>
        </w:rPr>
        <w:t xml:space="preserve">2.2.1.2.4.2.3. </w:t>
      </w:r>
      <w:r w:rsidRPr="004B6783">
        <w:rPr>
          <w:rFonts w:ascii="Arial" w:hAnsi="Arial" w:cs="Arial"/>
          <w:color w:val="000000" w:themeColor="text1"/>
          <w:sz w:val="22"/>
        </w:rPr>
        <w:t>Este último dice lo siguiente:</w:t>
      </w:r>
    </w:p>
    <w:p w14:paraId="26C6D192" w14:textId="77777777" w:rsidR="008151F2" w:rsidRPr="004B6783" w:rsidRDefault="008151F2" w:rsidP="008151F2">
      <w:pPr>
        <w:ind w:firstLine="709"/>
        <w:jc w:val="both"/>
        <w:rPr>
          <w:rFonts w:ascii="Arial" w:hAnsi="Arial" w:cs="Arial"/>
          <w:color w:val="000000" w:themeColor="text1"/>
          <w:sz w:val="22"/>
        </w:rPr>
      </w:pPr>
    </w:p>
    <w:p w14:paraId="34628AF5" w14:textId="77777777" w:rsidR="008151F2" w:rsidRPr="004B6783" w:rsidRDefault="008151F2" w:rsidP="008151F2">
      <w:pPr>
        <w:ind w:left="709" w:right="760"/>
        <w:jc w:val="both"/>
        <w:rPr>
          <w:rFonts w:ascii="Arial" w:hAnsi="Arial" w:cs="Arial"/>
          <w:color w:val="000000" w:themeColor="text1"/>
          <w:sz w:val="21"/>
          <w:szCs w:val="21"/>
        </w:rPr>
      </w:pPr>
      <w:r w:rsidRPr="004B6783">
        <w:rPr>
          <w:rFonts w:ascii="Arial" w:hAnsi="Arial" w:cs="Arial"/>
          <w:color w:val="000000" w:themeColor="text1"/>
          <w:sz w:val="21"/>
          <w:szCs w:val="21"/>
          <w:lang w:val="es-CO"/>
        </w:rPr>
        <w:t xml:space="preserve">Las Entidades Estatales pueden realizar convocatorias limitadas a </w:t>
      </w:r>
      <w:proofErr w:type="spellStart"/>
      <w:r w:rsidRPr="004B6783">
        <w:rPr>
          <w:rFonts w:ascii="Arial" w:hAnsi="Arial" w:cs="Arial"/>
          <w:color w:val="000000" w:themeColor="text1"/>
          <w:sz w:val="21"/>
          <w:szCs w:val="21"/>
          <w:lang w:val="es-CO"/>
        </w:rPr>
        <w:t>Mipyme</w:t>
      </w:r>
      <w:proofErr w:type="spellEnd"/>
      <w:r w:rsidRPr="004B6783">
        <w:rPr>
          <w:rFonts w:ascii="Arial" w:hAnsi="Arial" w:cs="Arial"/>
          <w:color w:val="000000" w:themeColor="text1"/>
          <w:sz w:val="21"/>
          <w:szCs w:val="21"/>
          <w:lang w:val="es-CO"/>
        </w:rPr>
        <w:t xml:space="preserve"> nacionales domiciliadas en los departamentos o municipios en donde se va a ejecutar el contrato. La </w:t>
      </w:r>
      <w:proofErr w:type="spellStart"/>
      <w:r w:rsidRPr="004B6783">
        <w:rPr>
          <w:rFonts w:ascii="Arial" w:hAnsi="Arial" w:cs="Arial"/>
          <w:color w:val="000000" w:themeColor="text1"/>
          <w:sz w:val="21"/>
          <w:szCs w:val="21"/>
          <w:lang w:val="es-CO"/>
        </w:rPr>
        <w:t>Mipyme</w:t>
      </w:r>
      <w:proofErr w:type="spellEnd"/>
      <w:r w:rsidRPr="004B6783">
        <w:rPr>
          <w:rFonts w:ascii="Arial" w:hAnsi="Arial" w:cs="Arial"/>
          <w:color w:val="000000" w:themeColor="text1"/>
          <w:sz w:val="21"/>
          <w:szCs w:val="21"/>
          <w:lang w:val="es-CO"/>
        </w:rPr>
        <w:t xml:space="preserve"> debe acreditar su domicilio con el registro mercantil o el certificado de existencia y representación legal de la empresa.</w:t>
      </w:r>
    </w:p>
    <w:p w14:paraId="4379A654" w14:textId="77777777" w:rsidR="008151F2" w:rsidRPr="004B6783" w:rsidRDefault="008151F2" w:rsidP="008151F2">
      <w:pPr>
        <w:ind w:left="709" w:right="760"/>
        <w:jc w:val="both"/>
        <w:rPr>
          <w:rFonts w:ascii="Arial" w:hAnsi="Arial" w:cs="Arial"/>
          <w:color w:val="000000" w:themeColor="text1"/>
          <w:sz w:val="21"/>
          <w:szCs w:val="21"/>
        </w:rPr>
      </w:pPr>
    </w:p>
    <w:p w14:paraId="2CEECFBD" w14:textId="77777777" w:rsidR="008151F2" w:rsidRPr="004B6783" w:rsidRDefault="008151F2" w:rsidP="00C01B06">
      <w:pPr>
        <w:ind w:right="760"/>
        <w:jc w:val="both"/>
        <w:rPr>
          <w:rFonts w:ascii="Arial" w:hAnsi="Arial" w:cs="Arial"/>
          <w:color w:val="000000" w:themeColor="text1"/>
          <w:sz w:val="22"/>
        </w:rPr>
      </w:pPr>
      <w:r w:rsidRPr="004B6783">
        <w:rPr>
          <w:rFonts w:ascii="Arial" w:hAnsi="Arial" w:cs="Arial"/>
          <w:color w:val="000000" w:themeColor="text1"/>
          <w:sz w:val="22"/>
        </w:rPr>
        <w:t>El artículo 2.2.1.2.4.2.2., por su parte, es del siguiente tenor:</w:t>
      </w:r>
    </w:p>
    <w:p w14:paraId="60A45CBA" w14:textId="77777777" w:rsidR="008151F2" w:rsidRPr="004B6783" w:rsidRDefault="008151F2" w:rsidP="008151F2">
      <w:pPr>
        <w:ind w:left="709" w:right="760"/>
        <w:jc w:val="both"/>
        <w:rPr>
          <w:rFonts w:ascii="Arial" w:hAnsi="Arial" w:cs="Arial"/>
          <w:color w:val="000000" w:themeColor="text1"/>
          <w:sz w:val="21"/>
          <w:szCs w:val="21"/>
        </w:rPr>
      </w:pPr>
    </w:p>
    <w:p w14:paraId="1C8627F6" w14:textId="77777777" w:rsidR="008151F2" w:rsidRPr="004B6783" w:rsidRDefault="008151F2" w:rsidP="008151F2">
      <w:pPr>
        <w:ind w:left="709" w:right="760"/>
        <w:jc w:val="both"/>
        <w:rPr>
          <w:rFonts w:ascii="Arial" w:hAnsi="Arial" w:cs="Arial"/>
          <w:color w:val="000000" w:themeColor="text1"/>
          <w:sz w:val="21"/>
          <w:szCs w:val="21"/>
          <w:lang w:val="es-CO"/>
        </w:rPr>
      </w:pPr>
      <w:r w:rsidRPr="004B6783">
        <w:rPr>
          <w:rFonts w:ascii="Arial" w:hAnsi="Arial" w:cs="Arial"/>
          <w:color w:val="000000" w:themeColor="text1"/>
          <w:sz w:val="21"/>
          <w:szCs w:val="21"/>
          <w:lang w:val="es-CO"/>
        </w:rPr>
        <w:t xml:space="preserve">La Entidad Estatal debe limitar a las </w:t>
      </w:r>
      <w:proofErr w:type="spellStart"/>
      <w:r w:rsidRPr="004B6783">
        <w:rPr>
          <w:rFonts w:ascii="Arial" w:hAnsi="Arial" w:cs="Arial"/>
          <w:color w:val="000000" w:themeColor="text1"/>
          <w:sz w:val="21"/>
          <w:szCs w:val="21"/>
          <w:lang w:val="es-CO"/>
        </w:rPr>
        <w:t>Mipyme</w:t>
      </w:r>
      <w:proofErr w:type="spellEnd"/>
      <w:r w:rsidRPr="004B6783">
        <w:rPr>
          <w:rFonts w:ascii="Arial" w:hAnsi="Arial" w:cs="Arial"/>
          <w:color w:val="000000" w:themeColor="text1"/>
          <w:sz w:val="21"/>
          <w:szCs w:val="21"/>
          <w:lang w:val="es-CO"/>
        </w:rPr>
        <w:t xml:space="preserve"> nacionales con mínimo un (1) año de existencia la convocatoria del Proceso de Contratación en la modalidad de licitación pública, selección abreviada y concurso de méritos cuando:</w:t>
      </w:r>
    </w:p>
    <w:p w14:paraId="61B7BA6B" w14:textId="77777777" w:rsidR="008151F2" w:rsidRPr="004B6783" w:rsidRDefault="008151F2" w:rsidP="008151F2">
      <w:pPr>
        <w:ind w:left="709" w:right="760"/>
        <w:jc w:val="both"/>
        <w:rPr>
          <w:rFonts w:ascii="Arial" w:hAnsi="Arial" w:cs="Arial"/>
          <w:color w:val="000000" w:themeColor="text1"/>
          <w:sz w:val="21"/>
          <w:szCs w:val="21"/>
          <w:lang w:val="es-CO"/>
        </w:rPr>
      </w:pPr>
    </w:p>
    <w:p w14:paraId="60778199" w14:textId="10E0CD5D" w:rsidR="008151F2" w:rsidRPr="004B6783" w:rsidRDefault="001C0393" w:rsidP="001C0393">
      <w:pPr>
        <w:pStyle w:val="Prrafodelista"/>
        <w:ind w:left="709" w:right="760"/>
        <w:jc w:val="both"/>
        <w:rPr>
          <w:rFonts w:ascii="Arial" w:hAnsi="Arial" w:cs="Arial"/>
          <w:color w:val="000000" w:themeColor="text1"/>
          <w:sz w:val="21"/>
          <w:szCs w:val="21"/>
          <w:lang w:val="es-CO"/>
        </w:rPr>
      </w:pPr>
      <w:r w:rsidRPr="004B6783">
        <w:rPr>
          <w:rFonts w:ascii="Arial" w:hAnsi="Arial" w:cs="Arial"/>
          <w:color w:val="000000" w:themeColor="text1"/>
          <w:sz w:val="21"/>
          <w:szCs w:val="21"/>
          <w:lang w:val="es-CO"/>
        </w:rPr>
        <w:lastRenderedPageBreak/>
        <w:t xml:space="preserve">1. </w:t>
      </w:r>
      <w:r w:rsidR="008151F2" w:rsidRPr="004B6783">
        <w:rPr>
          <w:rFonts w:ascii="Arial" w:hAnsi="Arial" w:cs="Arial"/>
          <w:color w:val="000000" w:themeColor="text1"/>
          <w:sz w:val="21"/>
          <w:szCs w:val="21"/>
          <w:lang w:val="es-CO"/>
        </w:rPr>
        <w:t xml:space="preserve">El valor del Proceso de Contratación es menor a ciento veinticinco mil dólares de los Estados Unidos de América (US$125.000), liquidados con la tasa de cambio que para el efecto determina cada dos años el Ministerio de Comercio, Industria y Turismo; </w:t>
      </w:r>
    </w:p>
    <w:p w14:paraId="63B3A58B" w14:textId="77777777" w:rsidR="008151F2" w:rsidRPr="004B6783" w:rsidRDefault="008151F2" w:rsidP="008151F2">
      <w:pPr>
        <w:pStyle w:val="Prrafodelista"/>
        <w:ind w:left="709" w:right="760"/>
        <w:jc w:val="both"/>
        <w:rPr>
          <w:rFonts w:ascii="Arial" w:hAnsi="Arial" w:cs="Arial"/>
          <w:color w:val="000000" w:themeColor="text1"/>
          <w:sz w:val="21"/>
          <w:szCs w:val="21"/>
          <w:lang w:val="es-CO"/>
        </w:rPr>
      </w:pPr>
    </w:p>
    <w:p w14:paraId="7DE2B2F6" w14:textId="05063077" w:rsidR="008151F2" w:rsidRPr="004B6783" w:rsidRDefault="001C0393" w:rsidP="001C0393">
      <w:pPr>
        <w:pStyle w:val="Prrafodelista"/>
        <w:ind w:left="709" w:right="760"/>
        <w:jc w:val="both"/>
        <w:rPr>
          <w:rFonts w:ascii="Arial" w:hAnsi="Arial" w:cs="Arial"/>
          <w:color w:val="000000" w:themeColor="text1"/>
          <w:sz w:val="21"/>
          <w:szCs w:val="21"/>
          <w:lang w:val="es-CO"/>
        </w:rPr>
      </w:pPr>
      <w:r w:rsidRPr="004B6783">
        <w:rPr>
          <w:rFonts w:ascii="Arial" w:hAnsi="Arial" w:cs="Arial"/>
          <w:color w:val="000000" w:themeColor="text1"/>
          <w:sz w:val="21"/>
          <w:szCs w:val="21"/>
          <w:lang w:val="es-CO"/>
        </w:rPr>
        <w:t xml:space="preserve">2. </w:t>
      </w:r>
      <w:r w:rsidR="008151F2" w:rsidRPr="004B6783">
        <w:rPr>
          <w:rFonts w:ascii="Arial" w:hAnsi="Arial" w:cs="Arial"/>
          <w:color w:val="000000" w:themeColor="text1"/>
          <w:sz w:val="21"/>
          <w:szCs w:val="21"/>
          <w:lang w:val="es-CO"/>
        </w:rPr>
        <w:t xml:space="preserve">La Entidad Estatal ha recibido solicitudes de por lo menos tres (3) </w:t>
      </w:r>
      <w:proofErr w:type="spellStart"/>
      <w:r w:rsidR="008151F2" w:rsidRPr="004B6783">
        <w:rPr>
          <w:rFonts w:ascii="Arial" w:hAnsi="Arial" w:cs="Arial"/>
          <w:color w:val="000000" w:themeColor="text1"/>
          <w:sz w:val="21"/>
          <w:szCs w:val="21"/>
          <w:lang w:val="es-CO"/>
        </w:rPr>
        <w:t>Mipyme</w:t>
      </w:r>
      <w:proofErr w:type="spellEnd"/>
      <w:r w:rsidR="008151F2" w:rsidRPr="004B6783">
        <w:rPr>
          <w:rFonts w:ascii="Arial" w:hAnsi="Arial" w:cs="Arial"/>
          <w:color w:val="000000" w:themeColor="text1"/>
          <w:sz w:val="21"/>
          <w:szCs w:val="21"/>
          <w:lang w:val="es-CO"/>
        </w:rPr>
        <w:t xml:space="preserve"> nacionales para limitar la convocatoria a </w:t>
      </w:r>
      <w:proofErr w:type="spellStart"/>
      <w:r w:rsidR="008151F2" w:rsidRPr="004B6783">
        <w:rPr>
          <w:rFonts w:ascii="Arial" w:hAnsi="Arial" w:cs="Arial"/>
          <w:color w:val="000000" w:themeColor="text1"/>
          <w:sz w:val="21"/>
          <w:szCs w:val="21"/>
          <w:lang w:val="es-CO"/>
        </w:rPr>
        <w:t>Mipyme</w:t>
      </w:r>
      <w:proofErr w:type="spellEnd"/>
      <w:r w:rsidR="008151F2" w:rsidRPr="004B6783">
        <w:rPr>
          <w:rFonts w:ascii="Arial" w:hAnsi="Arial" w:cs="Arial"/>
          <w:color w:val="000000" w:themeColor="text1"/>
          <w:sz w:val="21"/>
          <w:szCs w:val="21"/>
          <w:lang w:val="es-CO"/>
        </w:rPr>
        <w:t xml:space="preserve"> nacionales. La Entidad Estatal debe recibir estas solicitudes por lo menos un (1) día hábil antes de la apertura del Proceso de Contratación.</w:t>
      </w:r>
    </w:p>
    <w:p w14:paraId="7CF89607" w14:textId="77777777" w:rsidR="008151F2" w:rsidRPr="004B6783" w:rsidRDefault="008151F2" w:rsidP="008151F2">
      <w:pPr>
        <w:jc w:val="both"/>
        <w:rPr>
          <w:rFonts w:ascii="Arial" w:hAnsi="Arial" w:cs="Arial"/>
          <w:color w:val="000000" w:themeColor="text1"/>
          <w:sz w:val="20"/>
          <w:szCs w:val="20"/>
          <w:lang w:val="es-CO"/>
        </w:rPr>
      </w:pPr>
    </w:p>
    <w:p w14:paraId="67A084C0"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t xml:space="preserve">Puede decirse, entonces, que el Decreto 1082 de 2015 regula la limitación de convocatorias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en dos normas distintas, las cuales, sin embargo, deben leerse conjunta y armónicamente. Por un lado, la que prevé los requisitos generales para que la entidad limite sus convocatorias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w:t>
      </w:r>
      <w:r w:rsidRPr="004B6783">
        <w:rPr>
          <w:rFonts w:ascii="Arial" w:hAnsi="Arial" w:cs="Arial"/>
          <w:i/>
          <w:iCs/>
          <w:color w:val="000000" w:themeColor="text1"/>
          <w:sz w:val="22"/>
        </w:rPr>
        <w:t>infra</w:t>
      </w:r>
      <w:r w:rsidRPr="004B6783">
        <w:rPr>
          <w:rFonts w:ascii="Arial" w:hAnsi="Arial" w:cs="Arial"/>
          <w:color w:val="000000" w:themeColor="text1"/>
          <w:sz w:val="22"/>
        </w:rPr>
        <w:t xml:space="preserve"> literal a» y, por el otro, la que establece la posibilidad de regular la convocatoria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domiciliadas en los departamentos o municipios en donde se va a ejecutar el contrato «</w:t>
      </w:r>
      <w:r w:rsidRPr="004B6783">
        <w:rPr>
          <w:rFonts w:ascii="Arial" w:hAnsi="Arial" w:cs="Arial"/>
          <w:i/>
          <w:iCs/>
          <w:color w:val="000000" w:themeColor="text1"/>
          <w:sz w:val="22"/>
        </w:rPr>
        <w:t xml:space="preserve">infra </w:t>
      </w:r>
      <w:r w:rsidRPr="004B6783">
        <w:rPr>
          <w:rFonts w:ascii="Arial" w:hAnsi="Arial" w:cs="Arial"/>
          <w:color w:val="000000" w:themeColor="text1"/>
          <w:sz w:val="22"/>
        </w:rPr>
        <w:t xml:space="preserve">literal b». </w:t>
      </w:r>
    </w:p>
    <w:p w14:paraId="14119D7C"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t xml:space="preserve">Es de resaltar que estas normas se refieren a las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genéricamente y, particularmente, a las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«domiciliadas en los departamentos o municipios en donde se va a ejecutar el contrato». En ambos casos se refiere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distinguiéndolas de las empresas extranjeras. Del artículo 2.2.1.2.4.2.3. del Decreto 1082 de 2015 no se deriva que existan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del orden nacional. Otra cosa es que las normas de contratación permitan que las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con domicilio en un municipio o departamento puedan beneficiarse en la ejecución de un contrato dentro de la entidad territorial en la que tienen su domicilio. De todos modos, las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domiciliadas en un municipio o departamento son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En consecuencia, no es procedente distinguir entre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y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municipales o departamentales, habida cuenta que estas últimas no existen como categoría dentro del ordenamiento normativo.</w:t>
      </w:r>
    </w:p>
    <w:p w14:paraId="46718F27" w14:textId="6E898EED" w:rsidR="00B76571" w:rsidRPr="004B6783" w:rsidRDefault="008151F2" w:rsidP="008464EA">
      <w:pPr>
        <w:spacing w:before="120" w:line="276" w:lineRule="auto"/>
        <w:ind w:firstLine="709"/>
        <w:jc w:val="both"/>
        <w:rPr>
          <w:rFonts w:ascii="Arial" w:hAnsi="Arial" w:cs="Arial"/>
          <w:color w:val="000000" w:themeColor="text1"/>
          <w:sz w:val="22"/>
        </w:rPr>
      </w:pPr>
      <w:r w:rsidRPr="004B6783">
        <w:rPr>
          <w:rFonts w:ascii="Arial" w:hAnsi="Arial" w:cs="Arial"/>
          <w:b/>
          <w:bCs/>
          <w:color w:val="000000" w:themeColor="text1"/>
          <w:sz w:val="22"/>
        </w:rPr>
        <w:t>a)</w:t>
      </w:r>
      <w:r w:rsidRPr="004B6783">
        <w:rPr>
          <w:rFonts w:ascii="Arial" w:hAnsi="Arial" w:cs="Arial"/>
          <w:color w:val="000000" w:themeColor="text1"/>
          <w:sz w:val="22"/>
        </w:rPr>
        <w:t xml:space="preserve"> El artículo 2.2.1.2.4.2.2. del Decreto 1082 de 2015 establece los requisitos que se deben acreditar en las «convocatorias limitadas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w:t>
      </w:r>
      <w:r w:rsidR="001B3CF9" w:rsidRPr="004B6783">
        <w:rPr>
          <w:rFonts w:ascii="Arial" w:hAnsi="Arial" w:cs="Arial"/>
          <w:color w:val="000000" w:themeColor="text1"/>
          <w:sz w:val="22"/>
        </w:rPr>
        <w:t>El primer</w:t>
      </w:r>
      <w:r w:rsidR="003A5F9E" w:rsidRPr="004B6783">
        <w:rPr>
          <w:rFonts w:ascii="Arial" w:hAnsi="Arial" w:cs="Arial"/>
          <w:color w:val="000000" w:themeColor="text1"/>
          <w:sz w:val="22"/>
        </w:rPr>
        <w:t xml:space="preserve"> elemento </w:t>
      </w:r>
      <w:r w:rsidR="00BB5940" w:rsidRPr="004B6783">
        <w:rPr>
          <w:rFonts w:ascii="Arial" w:hAnsi="Arial" w:cs="Arial"/>
          <w:color w:val="000000" w:themeColor="text1"/>
          <w:sz w:val="22"/>
        </w:rPr>
        <w:t>para su procedencia</w:t>
      </w:r>
      <w:r w:rsidR="00AA46C0" w:rsidRPr="004B6783">
        <w:rPr>
          <w:rFonts w:ascii="Arial" w:hAnsi="Arial" w:cs="Arial"/>
          <w:color w:val="000000" w:themeColor="text1"/>
          <w:sz w:val="22"/>
        </w:rPr>
        <w:t xml:space="preserve"> lo </w:t>
      </w:r>
      <w:r w:rsidR="002F6126" w:rsidRPr="004B6783">
        <w:rPr>
          <w:rFonts w:ascii="Arial" w:hAnsi="Arial" w:cs="Arial"/>
          <w:color w:val="000000" w:themeColor="text1"/>
          <w:sz w:val="22"/>
        </w:rPr>
        <w:t xml:space="preserve">impone </w:t>
      </w:r>
      <w:r w:rsidR="007E23D4" w:rsidRPr="004B6783">
        <w:rPr>
          <w:rFonts w:ascii="Arial" w:hAnsi="Arial" w:cs="Arial"/>
          <w:color w:val="000000" w:themeColor="text1"/>
          <w:sz w:val="22"/>
        </w:rPr>
        <w:t xml:space="preserve">el inciso primero </w:t>
      </w:r>
      <w:r w:rsidR="002F6126" w:rsidRPr="004B6783">
        <w:rPr>
          <w:rFonts w:ascii="Arial" w:hAnsi="Arial" w:cs="Arial"/>
          <w:color w:val="000000" w:themeColor="text1"/>
          <w:sz w:val="22"/>
        </w:rPr>
        <w:t>en cuanto a l</w:t>
      </w:r>
      <w:r w:rsidR="008464EA" w:rsidRPr="004B6783">
        <w:rPr>
          <w:rFonts w:ascii="Arial" w:hAnsi="Arial" w:cs="Arial"/>
          <w:color w:val="000000" w:themeColor="text1"/>
          <w:sz w:val="22"/>
        </w:rPr>
        <w:t>as modalidades de selección de contratistas</w:t>
      </w:r>
      <w:r w:rsidR="000757B2" w:rsidRPr="004B6783">
        <w:rPr>
          <w:rFonts w:ascii="Arial" w:hAnsi="Arial" w:cs="Arial"/>
          <w:color w:val="000000" w:themeColor="text1"/>
          <w:sz w:val="22"/>
        </w:rPr>
        <w:t xml:space="preserve"> en que aplica</w:t>
      </w:r>
      <w:r w:rsidR="008464EA" w:rsidRPr="004B6783">
        <w:rPr>
          <w:rFonts w:ascii="Arial" w:hAnsi="Arial" w:cs="Arial"/>
          <w:color w:val="000000" w:themeColor="text1"/>
          <w:sz w:val="22"/>
        </w:rPr>
        <w:t xml:space="preserve">, en el entendido que únicamente se puede limitar «la convocatoria del Proceso de Contratación en la modalidad de licitación pública, selección abreviada y concurso de méritos». Esto excluye la posibilidad de </w:t>
      </w:r>
      <w:r w:rsidR="0008261D" w:rsidRPr="004B6783">
        <w:rPr>
          <w:rFonts w:ascii="Arial" w:hAnsi="Arial" w:cs="Arial"/>
          <w:color w:val="000000" w:themeColor="text1"/>
          <w:sz w:val="22"/>
        </w:rPr>
        <w:t xml:space="preserve">pedir la limitación de las </w:t>
      </w:r>
      <w:r w:rsidR="008464EA" w:rsidRPr="004B6783">
        <w:rPr>
          <w:rFonts w:ascii="Arial" w:hAnsi="Arial" w:cs="Arial"/>
          <w:color w:val="000000" w:themeColor="text1"/>
          <w:sz w:val="22"/>
        </w:rPr>
        <w:t xml:space="preserve">convocatorias en los procesos de selección de </w:t>
      </w:r>
      <w:r w:rsidR="00C155E2" w:rsidRPr="004B6783">
        <w:rPr>
          <w:rFonts w:ascii="Arial" w:hAnsi="Arial" w:cs="Arial"/>
          <w:i/>
          <w:iCs/>
          <w:color w:val="000000" w:themeColor="text1"/>
          <w:sz w:val="22"/>
        </w:rPr>
        <w:t>mínima cuantía</w:t>
      </w:r>
      <w:r w:rsidR="00C155E2" w:rsidRPr="004B6783">
        <w:rPr>
          <w:rFonts w:ascii="Arial" w:hAnsi="Arial" w:cs="Arial"/>
          <w:color w:val="000000" w:themeColor="text1"/>
          <w:sz w:val="22"/>
        </w:rPr>
        <w:t xml:space="preserve"> </w:t>
      </w:r>
      <w:r w:rsidR="004A5C5F" w:rsidRPr="004B6783">
        <w:rPr>
          <w:rFonts w:ascii="Arial" w:hAnsi="Arial" w:cs="Arial"/>
          <w:color w:val="000000" w:themeColor="text1"/>
          <w:sz w:val="22"/>
        </w:rPr>
        <w:t xml:space="preserve">y </w:t>
      </w:r>
      <w:r w:rsidR="00E3785B" w:rsidRPr="004B6783">
        <w:rPr>
          <w:rFonts w:ascii="Arial" w:hAnsi="Arial" w:cs="Arial"/>
          <w:color w:val="000000" w:themeColor="text1"/>
          <w:sz w:val="22"/>
        </w:rPr>
        <w:t xml:space="preserve">también en </w:t>
      </w:r>
      <w:r w:rsidR="004A5C5F" w:rsidRPr="004B6783">
        <w:rPr>
          <w:rFonts w:ascii="Arial" w:hAnsi="Arial" w:cs="Arial"/>
          <w:color w:val="000000" w:themeColor="text1"/>
          <w:sz w:val="22"/>
        </w:rPr>
        <w:t xml:space="preserve">los de </w:t>
      </w:r>
      <w:r w:rsidR="004A5C5F" w:rsidRPr="004B6783">
        <w:rPr>
          <w:rFonts w:ascii="Arial" w:hAnsi="Arial" w:cs="Arial"/>
          <w:i/>
          <w:iCs/>
          <w:color w:val="000000" w:themeColor="text1"/>
          <w:sz w:val="22"/>
        </w:rPr>
        <w:t>contratación directa</w:t>
      </w:r>
      <w:r w:rsidR="0008261D" w:rsidRPr="004B6783">
        <w:rPr>
          <w:rFonts w:ascii="Arial" w:hAnsi="Arial" w:cs="Arial"/>
          <w:color w:val="000000" w:themeColor="text1"/>
          <w:sz w:val="22"/>
        </w:rPr>
        <w:t>.</w:t>
      </w:r>
      <w:r w:rsidR="008464EA" w:rsidRPr="004B6783">
        <w:rPr>
          <w:rFonts w:ascii="Arial" w:hAnsi="Arial" w:cs="Arial"/>
          <w:color w:val="000000" w:themeColor="text1"/>
          <w:sz w:val="22"/>
        </w:rPr>
        <w:t xml:space="preserve"> </w:t>
      </w:r>
    </w:p>
    <w:p w14:paraId="02D34876" w14:textId="47489464"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t xml:space="preserve">El numeral primero limita cuantitativamente los procesos contractuales en los que se puede hacer esa «convocatoria limitada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en la medida en que el valor del proceso de contratación tendrá que ser «menor a ciento veinticinco mil dólares de los </w:t>
      </w:r>
      <w:r w:rsidRPr="004B6783">
        <w:rPr>
          <w:rFonts w:ascii="Arial" w:hAnsi="Arial" w:cs="Arial"/>
          <w:color w:val="000000" w:themeColor="text1"/>
          <w:sz w:val="22"/>
        </w:rPr>
        <w:lastRenderedPageBreak/>
        <w:t>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4B6783">
        <w:rPr>
          <w:rStyle w:val="Refdenotaalpie"/>
          <w:rFonts w:ascii="Arial" w:hAnsi="Arial" w:cs="Arial"/>
          <w:color w:val="000000" w:themeColor="text1"/>
          <w:sz w:val="22"/>
        </w:rPr>
        <w:footnoteReference w:id="5"/>
      </w:r>
      <w:r w:rsidRPr="004B6783">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14:paraId="7E8F82FF" w14:textId="77777777" w:rsidR="008151F2" w:rsidRPr="004B6783" w:rsidRDefault="008151F2" w:rsidP="008151F2">
      <w:pPr>
        <w:spacing w:before="120" w:line="276" w:lineRule="auto"/>
        <w:ind w:firstLine="709"/>
        <w:jc w:val="both"/>
        <w:rPr>
          <w:rFonts w:ascii="Arial" w:hAnsi="Arial" w:cs="Arial"/>
          <w:color w:val="000000" w:themeColor="text1"/>
          <w:sz w:val="22"/>
        </w:rPr>
      </w:pPr>
      <w:r w:rsidRPr="004B6783">
        <w:rPr>
          <w:rFonts w:ascii="Arial" w:hAnsi="Arial" w:cs="Arial"/>
          <w:color w:val="000000" w:themeColor="text1"/>
          <w:sz w:val="22"/>
        </w:rPr>
        <w:t>Para establecer dicha tasa, el Ministerio toma en cuenta como parámetros, por un lado, el promedio de la TRM</w:t>
      </w:r>
      <w:r w:rsidRPr="004B6783">
        <w:rPr>
          <w:rStyle w:val="Refdenotaalpie"/>
          <w:rFonts w:ascii="Arial" w:hAnsi="Arial" w:cs="Arial"/>
          <w:color w:val="000000" w:themeColor="text1"/>
          <w:sz w:val="22"/>
        </w:rPr>
        <w:footnoteReference w:id="6"/>
      </w:r>
      <w:r w:rsidRPr="004B6783">
        <w:rPr>
          <w:rFonts w:ascii="Arial" w:hAnsi="Arial" w:cs="Arial"/>
          <w:color w:val="000000" w:themeColor="text1"/>
          <w:sz w:val="22"/>
        </w:rPr>
        <w:t xml:space="preserve"> de los dos años anteriores al periodo a calcular y, por el otro, los «veinticinco mil dólares de los Estados Unidos de América» a los que se refiere el </w:t>
      </w:r>
      <w:r w:rsidRPr="004B6783">
        <w:rPr>
          <w:rFonts w:ascii="Arial" w:hAnsi="Arial" w:cs="Arial"/>
          <w:color w:val="000000" w:themeColor="text1"/>
          <w:sz w:val="22"/>
          <w:lang w:val="es-CO"/>
        </w:rPr>
        <w:t xml:space="preserve">numeral 1º del artículo </w:t>
      </w:r>
      <w:r w:rsidRPr="004B6783">
        <w:rPr>
          <w:rFonts w:ascii="Arial" w:hAnsi="Arial" w:cs="Arial"/>
          <w:color w:val="000000" w:themeColor="text1"/>
          <w:sz w:val="22"/>
        </w:rPr>
        <w:t>2.2.1.2.4.2.2.</w:t>
      </w:r>
      <w:r w:rsidRPr="004B6783">
        <w:rPr>
          <w:rFonts w:ascii="Arial" w:hAnsi="Arial" w:cs="Arial"/>
          <w:color w:val="000000" w:themeColor="text1"/>
          <w:sz w:val="22"/>
          <w:lang w:val="es-CO"/>
        </w:rPr>
        <w:t xml:space="preserve"> del Decreto 1082 de 2015. Así lo ha hecho </w:t>
      </w:r>
      <w:r w:rsidRPr="004B6783">
        <w:rPr>
          <w:rFonts w:ascii="Arial" w:hAnsi="Arial" w:cs="Arial"/>
          <w:color w:val="000000" w:themeColor="text1"/>
          <w:sz w:val="22"/>
        </w:rPr>
        <w:t>para los periodos 2015</w:t>
      </w:r>
      <w:r w:rsidRPr="004B6783">
        <w:rPr>
          <w:rStyle w:val="Refdenotaalpie"/>
          <w:rFonts w:ascii="Arial" w:hAnsi="Arial" w:cs="Arial"/>
          <w:color w:val="000000" w:themeColor="text1"/>
          <w:sz w:val="22"/>
        </w:rPr>
        <w:footnoteReference w:id="7"/>
      </w:r>
      <w:r w:rsidRPr="004B6783">
        <w:rPr>
          <w:rFonts w:ascii="Arial" w:hAnsi="Arial" w:cs="Arial"/>
          <w:color w:val="000000" w:themeColor="text1"/>
          <w:sz w:val="22"/>
        </w:rPr>
        <w:t>-2017, 2018-2019 y 2020-2021 (vigente)</w:t>
      </w:r>
      <w:r w:rsidRPr="004B6783">
        <w:rPr>
          <w:rStyle w:val="Refdenotaalpie"/>
          <w:rFonts w:ascii="Arial" w:hAnsi="Arial" w:cs="Arial"/>
          <w:color w:val="000000" w:themeColor="text1"/>
          <w:sz w:val="22"/>
        </w:rPr>
        <w:footnoteReference w:id="8"/>
      </w:r>
      <w:r w:rsidRPr="004B6783">
        <w:rPr>
          <w:rFonts w:ascii="Arial" w:hAnsi="Arial" w:cs="Arial"/>
          <w:color w:val="000000" w:themeColor="text1"/>
          <w:sz w:val="22"/>
        </w:rPr>
        <w:t>. Esta entidad, por otro lado, en ejercicio de sus competencias legales y reglamentarias, está encargada de la publicación de la información en su portal Web: https://www.colombiacompra.gov.co/.</w:t>
      </w:r>
    </w:p>
    <w:p w14:paraId="62A17051" w14:textId="77777777" w:rsidR="008151F2" w:rsidRPr="004B6783" w:rsidRDefault="008151F2" w:rsidP="008151F2">
      <w:pPr>
        <w:spacing w:before="120" w:line="276" w:lineRule="auto"/>
        <w:ind w:firstLine="708"/>
        <w:jc w:val="both"/>
        <w:rPr>
          <w:rFonts w:ascii="Arial" w:hAnsi="Arial" w:cs="Arial"/>
          <w:color w:val="000000" w:themeColor="text1"/>
          <w:sz w:val="22"/>
        </w:rPr>
      </w:pPr>
      <w:r w:rsidRPr="004B6783">
        <w:rPr>
          <w:rFonts w:ascii="Arial" w:hAnsi="Arial" w:cs="Arial"/>
          <w:color w:val="000000" w:themeColor="text1"/>
          <w:sz w:val="22"/>
        </w:rPr>
        <w:t xml:space="preserve">El numeral segundo establece dos exigencias: por un lado, que al menos tres (3)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presenten a la entidad la solicitud formal de limitar el proceso contractual; y por el otro, que hagan la solicitud por lo menos un día antes de la apertura del proceso de contratación. En relación con tales exigencias, Colombia Compra Eficiente ha precisado que «[s]i bien la normativa del sistema de compra publica no establece como requisito acreditar la relación entre el objeto de la </w:t>
      </w:r>
      <w:proofErr w:type="spellStart"/>
      <w:r w:rsidRPr="004B6783">
        <w:rPr>
          <w:rFonts w:ascii="Arial" w:hAnsi="Arial" w:cs="Arial"/>
          <w:color w:val="000000" w:themeColor="text1"/>
          <w:sz w:val="22"/>
        </w:rPr>
        <w:t>Mipyme</w:t>
      </w:r>
      <w:proofErr w:type="spellEnd"/>
      <w:r w:rsidRPr="004B6783">
        <w:rPr>
          <w:rFonts w:ascii="Arial" w:hAnsi="Arial" w:cs="Arial"/>
          <w:color w:val="000000" w:themeColor="text1"/>
          <w:sz w:val="22"/>
        </w:rPr>
        <w:t xml:space="preserve"> y el objeto contrato, es imperativo que la entidad estatal verifique que quienes solicitan la limitación del proceso a </w:t>
      </w:r>
      <w:proofErr w:type="spellStart"/>
      <w:r w:rsidRPr="004B6783">
        <w:rPr>
          <w:rFonts w:ascii="Arial" w:hAnsi="Arial" w:cs="Arial"/>
          <w:color w:val="000000" w:themeColor="text1"/>
          <w:sz w:val="22"/>
        </w:rPr>
        <w:t>Mipyme</w:t>
      </w:r>
      <w:proofErr w:type="spellEnd"/>
      <w:r w:rsidRPr="004B6783">
        <w:rPr>
          <w:rFonts w:ascii="Arial" w:hAnsi="Arial" w:cs="Arial"/>
          <w:color w:val="000000" w:themeColor="text1"/>
          <w:sz w:val="22"/>
        </w:rPr>
        <w:t xml:space="preserve"> tienen un objeto social similar al objeto del contrato y, de ser así, la entidad deberá limitar el proceso de contratación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w:t>
      </w:r>
      <w:r w:rsidRPr="004B6783">
        <w:rPr>
          <w:rStyle w:val="Refdenotaalpie"/>
          <w:rFonts w:ascii="Arial" w:hAnsi="Arial" w:cs="Arial"/>
          <w:color w:val="000000" w:themeColor="text1"/>
          <w:sz w:val="22"/>
        </w:rPr>
        <w:footnoteReference w:id="9"/>
      </w:r>
      <w:r w:rsidRPr="004B6783">
        <w:rPr>
          <w:rFonts w:ascii="Arial" w:hAnsi="Arial" w:cs="Arial"/>
          <w:color w:val="000000" w:themeColor="text1"/>
          <w:sz w:val="22"/>
        </w:rPr>
        <w:t>.</w:t>
      </w:r>
      <w:r w:rsidRPr="004B6783">
        <w:rPr>
          <w:rFonts w:ascii="Arial" w:hAnsi="Arial" w:cs="Arial"/>
          <w:i/>
          <w:iCs/>
          <w:color w:val="000000" w:themeColor="text1"/>
          <w:sz w:val="22"/>
        </w:rPr>
        <w:t xml:space="preserve"> </w:t>
      </w:r>
      <w:r w:rsidRPr="004B6783">
        <w:rPr>
          <w:rFonts w:ascii="Arial" w:hAnsi="Arial" w:cs="Arial"/>
          <w:color w:val="000000" w:themeColor="text1"/>
          <w:sz w:val="22"/>
        </w:rPr>
        <w:t xml:space="preserve">También ha dicho que la entidad estatal debe aceptar las ofertas de consorcios o uniones temporales formados exclusivamente por </w:t>
      </w:r>
      <w:proofErr w:type="spellStart"/>
      <w:r w:rsidRPr="004B6783">
        <w:rPr>
          <w:rFonts w:ascii="Arial" w:hAnsi="Arial" w:cs="Arial"/>
          <w:color w:val="000000" w:themeColor="text1"/>
          <w:sz w:val="22"/>
        </w:rPr>
        <w:t>Mipyme</w:t>
      </w:r>
      <w:proofErr w:type="spellEnd"/>
      <w:r w:rsidRPr="004B6783">
        <w:rPr>
          <w:rFonts w:ascii="Arial" w:hAnsi="Arial" w:cs="Arial"/>
          <w:color w:val="000000" w:themeColor="text1"/>
          <w:sz w:val="22"/>
        </w:rPr>
        <w:t xml:space="preserve"> y promesas de sociedad futura suscritas por </w:t>
      </w:r>
      <w:proofErr w:type="spellStart"/>
      <w:r w:rsidRPr="004B6783">
        <w:rPr>
          <w:rFonts w:ascii="Arial" w:hAnsi="Arial" w:cs="Arial"/>
          <w:color w:val="000000" w:themeColor="text1"/>
          <w:sz w:val="22"/>
        </w:rPr>
        <w:t>Mipyme</w:t>
      </w:r>
      <w:proofErr w:type="spellEnd"/>
      <w:r w:rsidRPr="004B6783">
        <w:rPr>
          <w:rFonts w:ascii="Arial" w:hAnsi="Arial" w:cs="Arial"/>
          <w:color w:val="000000" w:themeColor="text1"/>
          <w:sz w:val="22"/>
        </w:rPr>
        <w:t>»</w:t>
      </w:r>
      <w:r w:rsidRPr="004B6783">
        <w:rPr>
          <w:rStyle w:val="Refdenotaalpie"/>
          <w:rFonts w:ascii="Arial" w:hAnsi="Arial" w:cs="Arial"/>
          <w:color w:val="000000" w:themeColor="text1"/>
          <w:sz w:val="22"/>
        </w:rPr>
        <w:footnoteReference w:id="10"/>
      </w:r>
      <w:r w:rsidRPr="004B6783">
        <w:rPr>
          <w:rFonts w:ascii="Arial" w:hAnsi="Arial" w:cs="Arial"/>
          <w:color w:val="000000" w:themeColor="text1"/>
          <w:sz w:val="22"/>
        </w:rPr>
        <w:t xml:space="preserve">. </w:t>
      </w:r>
    </w:p>
    <w:p w14:paraId="665EB1C2" w14:textId="77777777"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hAnsi="Arial" w:cs="Arial"/>
          <w:color w:val="000000" w:themeColor="text1"/>
          <w:sz w:val="22"/>
        </w:rPr>
        <w:t xml:space="preserve">De todos modos, las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que pretendan participar en el proceso de selección deben acreditar mínimo un año de existencia, para lo cual deben presentar el </w:t>
      </w:r>
      <w:r w:rsidRPr="004B6783">
        <w:rPr>
          <w:rFonts w:ascii="Arial" w:hAnsi="Arial" w:cs="Arial"/>
          <w:color w:val="000000" w:themeColor="text1"/>
          <w:sz w:val="22"/>
        </w:rPr>
        <w:lastRenderedPageBreak/>
        <w:t>certificado expedido por la cámara de comercio o por la autoridad que sea competente para dicha acreditación</w:t>
      </w:r>
      <w:r w:rsidRPr="004B6783">
        <w:rPr>
          <w:rFonts w:ascii="Arial" w:hAnsi="Arial" w:cs="Arial"/>
          <w:color w:val="000000" w:themeColor="text1"/>
          <w:sz w:val="22"/>
          <w:vertAlign w:val="superscript"/>
        </w:rPr>
        <w:footnoteReference w:id="11"/>
      </w:r>
      <w:r w:rsidRPr="004B6783">
        <w:rPr>
          <w:rFonts w:ascii="Arial" w:hAnsi="Arial" w:cs="Arial"/>
          <w:color w:val="000000" w:themeColor="text1"/>
          <w:sz w:val="22"/>
        </w:rPr>
        <w:t xml:space="preserve">. </w:t>
      </w:r>
    </w:p>
    <w:p w14:paraId="59D6539D" w14:textId="739AE7B8" w:rsidR="008151F2" w:rsidRPr="004B6783" w:rsidRDefault="008151F2" w:rsidP="008151F2">
      <w:pPr>
        <w:spacing w:before="120" w:line="276" w:lineRule="auto"/>
        <w:ind w:firstLine="708"/>
        <w:jc w:val="both"/>
        <w:rPr>
          <w:rFonts w:ascii="Arial" w:hAnsi="Arial" w:cs="Arial"/>
          <w:color w:val="000000" w:themeColor="text1"/>
          <w:sz w:val="22"/>
        </w:rPr>
      </w:pPr>
      <w:r w:rsidRPr="004B6783">
        <w:rPr>
          <w:rFonts w:ascii="Arial" w:hAnsi="Arial" w:cs="Arial"/>
          <w:b/>
          <w:bCs/>
          <w:color w:val="000000" w:themeColor="text1"/>
          <w:sz w:val="22"/>
        </w:rPr>
        <w:t>b)</w:t>
      </w:r>
      <w:r w:rsidRPr="004B6783">
        <w:rPr>
          <w:rFonts w:ascii="Arial" w:hAnsi="Arial" w:cs="Arial"/>
          <w:color w:val="000000" w:themeColor="text1"/>
          <w:sz w:val="22"/>
        </w:rPr>
        <w:t xml:space="preserve"> Cumplidos los dos requisitos del artículo 2.2.1.2.4.2.2. </w:t>
      </w:r>
      <w:r w:rsidRPr="004B6783">
        <w:rPr>
          <w:rFonts w:ascii="Arial" w:hAnsi="Arial" w:cs="Arial"/>
          <w:i/>
          <w:iCs/>
          <w:color w:val="000000" w:themeColor="text1"/>
          <w:sz w:val="22"/>
        </w:rPr>
        <w:t>ibidem</w:t>
      </w:r>
      <w:r w:rsidRPr="004B6783">
        <w:rPr>
          <w:rFonts w:ascii="Arial" w:hAnsi="Arial" w:cs="Arial"/>
          <w:color w:val="000000" w:themeColor="text1"/>
          <w:sz w:val="22"/>
        </w:rPr>
        <w:t xml:space="preserve">, la entidad puede ─no tiene que─ decidir si limita la convocatoria a las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domiciliadas en el municipio o departamento en el que se ejecutará el contrato</w:t>
      </w:r>
      <w:r w:rsidRPr="004B6783">
        <w:rPr>
          <w:rFonts w:ascii="Arial" w:hAnsi="Arial" w:cs="Arial"/>
          <w:color w:val="000000" w:themeColor="text1"/>
          <w:sz w:val="22"/>
          <w:vertAlign w:val="superscript"/>
        </w:rPr>
        <w:footnoteReference w:id="12"/>
      </w:r>
      <w:r w:rsidRPr="004B6783">
        <w:rPr>
          <w:rFonts w:ascii="Arial" w:hAnsi="Arial" w:cs="Arial"/>
          <w:color w:val="000000" w:themeColor="text1"/>
          <w:sz w:val="22"/>
        </w:rPr>
        <w:t xml:space="preserve">. Esto de acuerdo </w:t>
      </w:r>
      <w:proofErr w:type="gramStart"/>
      <w:r w:rsidRPr="004B6783">
        <w:rPr>
          <w:rFonts w:ascii="Arial" w:hAnsi="Arial" w:cs="Arial"/>
          <w:color w:val="000000" w:themeColor="text1"/>
          <w:sz w:val="22"/>
        </w:rPr>
        <w:t>con  lo</w:t>
      </w:r>
      <w:proofErr w:type="gramEnd"/>
      <w:r w:rsidRPr="004B6783">
        <w:rPr>
          <w:rFonts w:ascii="Arial" w:hAnsi="Arial" w:cs="Arial"/>
          <w:color w:val="000000" w:themeColor="text1"/>
          <w:sz w:val="22"/>
        </w:rPr>
        <w:t xml:space="preserve"> establecido en artículo 2.2.1.2.4.2.3. del Decreto 1082 de 2015, norma que se refiere a la facultad de la administración con el verbo infinitivo </w:t>
      </w:r>
      <w:r w:rsidR="00992B4A" w:rsidRPr="004B6783">
        <w:rPr>
          <w:rFonts w:ascii="Arial" w:hAnsi="Arial" w:cs="Arial"/>
          <w:color w:val="000000" w:themeColor="text1"/>
          <w:sz w:val="22"/>
        </w:rPr>
        <w:t>«</w:t>
      </w:r>
      <w:r w:rsidRPr="004B6783">
        <w:rPr>
          <w:rFonts w:ascii="Arial" w:hAnsi="Arial" w:cs="Arial"/>
          <w:color w:val="000000" w:themeColor="text1"/>
          <w:sz w:val="22"/>
        </w:rPr>
        <w:t>poder</w:t>
      </w:r>
      <w:r w:rsidR="00992B4A" w:rsidRPr="004B6783">
        <w:rPr>
          <w:rFonts w:ascii="Arial" w:hAnsi="Arial" w:cs="Arial"/>
          <w:color w:val="000000" w:themeColor="text1"/>
          <w:sz w:val="22"/>
        </w:rPr>
        <w:t>»</w:t>
      </w:r>
      <w:r w:rsidRPr="004B6783">
        <w:rPr>
          <w:rFonts w:ascii="Arial" w:hAnsi="Arial" w:cs="Arial"/>
          <w:color w:val="000000" w:themeColor="text1"/>
          <w:sz w:val="22"/>
        </w:rPr>
        <w:t xml:space="preserve">, no </w:t>
      </w:r>
      <w:r w:rsidR="00992B4A" w:rsidRPr="004B6783">
        <w:rPr>
          <w:rFonts w:ascii="Arial" w:hAnsi="Arial" w:cs="Arial"/>
          <w:color w:val="000000" w:themeColor="text1"/>
          <w:sz w:val="22"/>
        </w:rPr>
        <w:t>«</w:t>
      </w:r>
      <w:r w:rsidRPr="004B6783">
        <w:rPr>
          <w:rFonts w:ascii="Arial" w:hAnsi="Arial" w:cs="Arial"/>
          <w:color w:val="000000" w:themeColor="text1"/>
          <w:sz w:val="22"/>
        </w:rPr>
        <w:t>deber</w:t>
      </w:r>
      <w:r w:rsidR="00992B4A" w:rsidRPr="004B6783">
        <w:rPr>
          <w:rFonts w:ascii="Arial" w:hAnsi="Arial" w:cs="Arial"/>
          <w:color w:val="000000" w:themeColor="text1"/>
          <w:sz w:val="22"/>
        </w:rPr>
        <w:t>»</w:t>
      </w:r>
      <w:r w:rsidRPr="004B6783">
        <w:rPr>
          <w:rFonts w:ascii="Arial" w:hAnsi="Arial" w:cs="Arial"/>
          <w:color w:val="000000" w:themeColor="text1"/>
          <w:sz w:val="22"/>
        </w:rPr>
        <w:t xml:space="preserve">. </w:t>
      </w:r>
    </w:p>
    <w:p w14:paraId="0E529CB5" w14:textId="18D0E16F"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Colombia Compra Eficiente ha sostenido que es discrecional la decisión de limitar territorialmente una convocatoria de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y ha precisado que, de todos modos, la decisión debe estar justificada en los correspondientes «estudios de</w:t>
      </w:r>
      <w:r w:rsidR="005A00D2" w:rsidRPr="004B6783">
        <w:rPr>
          <w:rFonts w:ascii="Arial" w:eastAsia="Calibri" w:hAnsi="Arial" w:cs="Arial"/>
          <w:color w:val="000000" w:themeColor="text1"/>
          <w:sz w:val="22"/>
        </w:rPr>
        <w:t>l</w:t>
      </w:r>
      <w:r w:rsidRPr="004B6783">
        <w:rPr>
          <w:rFonts w:ascii="Arial" w:eastAsia="Calibri" w:hAnsi="Arial" w:cs="Arial"/>
          <w:color w:val="000000" w:themeColor="text1"/>
          <w:sz w:val="22"/>
        </w:rPr>
        <w:t xml:space="preserve"> sector». Así lo consideró en la consulta No. 216130003241, resuelta el 30 de junio de 2016. Igualmente, en la consulta resuelta en el radicado No. 2201813000008184, del 7 de septiembre de 2018, se dijo que, de acuerdo con el </w:t>
      </w:r>
      <w:r w:rsidRPr="004B6783">
        <w:rPr>
          <w:rFonts w:ascii="Arial" w:hAnsi="Arial" w:cs="Arial"/>
          <w:color w:val="000000" w:themeColor="text1"/>
          <w:sz w:val="22"/>
        </w:rPr>
        <w:t>artículo 2.2.1.2.4.2.3. del Decreto 1082 de 2015,</w:t>
      </w:r>
      <w:r w:rsidRPr="004B6783">
        <w:rPr>
          <w:rFonts w:ascii="Arial" w:eastAsia="Calibri" w:hAnsi="Arial" w:cs="Arial"/>
          <w:color w:val="000000" w:themeColor="text1"/>
          <w:sz w:val="22"/>
        </w:rPr>
        <w:t xml:space="preserve"> las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beneficiadas deben tener su domicilio principal en el municipio o departamento donde se ejecutará el contrato para poder participar en una convocatoria limitada territorialmente</w:t>
      </w:r>
      <w:r w:rsidRPr="004B6783">
        <w:rPr>
          <w:rStyle w:val="Refdenotaalpie"/>
          <w:rFonts w:ascii="Arial" w:hAnsi="Arial" w:cs="Arial"/>
          <w:color w:val="000000" w:themeColor="text1"/>
          <w:sz w:val="22"/>
        </w:rPr>
        <w:footnoteReference w:id="13"/>
      </w:r>
      <w:r w:rsidRPr="004B6783">
        <w:rPr>
          <w:rFonts w:ascii="Arial" w:hAnsi="Arial" w:cs="Arial"/>
          <w:color w:val="000000" w:themeColor="text1"/>
          <w:sz w:val="22"/>
        </w:rPr>
        <w:t>.</w:t>
      </w:r>
    </w:p>
    <w:p w14:paraId="12528A19" w14:textId="77777777"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Adicionalmente, en la consulta No. 215130008193, del 9 de noviembre de 2015, esta Subdirección sostuvo que «[p]ara limitar un Proceso de Contratación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4B6783">
        <w:rPr>
          <w:rFonts w:ascii="Arial" w:eastAsia="Calibri" w:hAnsi="Arial" w:cs="Arial"/>
          <w:i/>
          <w:iCs/>
          <w:color w:val="000000" w:themeColor="text1"/>
          <w:sz w:val="22"/>
        </w:rPr>
        <w:t>ibidem</w:t>
      </w:r>
      <w:r w:rsidRPr="004B6783">
        <w:rPr>
          <w:rFonts w:ascii="Arial" w:eastAsia="Calibri" w:hAnsi="Arial" w:cs="Arial"/>
          <w:color w:val="000000" w:themeColor="text1"/>
          <w:sz w:val="22"/>
        </w:rPr>
        <w:t xml:space="preserve">. Este último, «debe entenderse en el sentido que si las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que manifiestan su interés en limitar la convocatoria son por lo menos tres </w:t>
      </w:r>
      <w:proofErr w:type="spellStart"/>
      <w:r w:rsidRPr="004B6783">
        <w:rPr>
          <w:rFonts w:ascii="Arial" w:eastAsia="Calibri" w:hAnsi="Arial" w:cs="Arial"/>
          <w:color w:val="000000" w:themeColor="text1"/>
          <w:sz w:val="22"/>
        </w:rPr>
        <w:t>Mipyme</w:t>
      </w:r>
      <w:proofErr w:type="spellEnd"/>
      <w:r w:rsidRPr="004B6783">
        <w:rPr>
          <w:rFonts w:ascii="Arial" w:eastAsia="Calibri" w:hAnsi="Arial" w:cs="Arial"/>
          <w:color w:val="000000" w:themeColor="text1"/>
          <w:sz w:val="22"/>
        </w:rPr>
        <w:t xml:space="preserve"> domiciliadas en el departamento o municipio, la limitación será territorial y no nacional». Este entendimiento de la norma, sin embargo, da lugar a dos interpretaciones sobre las que se deben hacer unas precisiones.</w:t>
      </w:r>
    </w:p>
    <w:p w14:paraId="0388995B" w14:textId="6B89F38E"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i/>
          <w:iCs/>
          <w:color w:val="000000" w:themeColor="text1"/>
          <w:sz w:val="22"/>
        </w:rPr>
        <w:t>Por un lado</w:t>
      </w:r>
      <w:r w:rsidRPr="004B6783">
        <w:rPr>
          <w:rFonts w:ascii="Arial" w:eastAsia="Calibri" w:hAnsi="Arial" w:cs="Arial"/>
          <w:color w:val="000000" w:themeColor="text1"/>
          <w:sz w:val="22"/>
        </w:rPr>
        <w:t xml:space="preserve">, supone que la decisión de limitar territorialmente la convocatoria opera de pleno derecho cuando lo solicitan tres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nacionales domiciliadas en el municipio o en el departamento en el que se va a ejecutar el contrato. Sin embargo, se debe tener presente que lo que sucede de pleno derecho es la limitación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nacionales a la </w:t>
      </w:r>
      <w:r w:rsidRPr="004B6783">
        <w:rPr>
          <w:rFonts w:ascii="Arial" w:eastAsia="Calibri" w:hAnsi="Arial" w:cs="Arial"/>
          <w:color w:val="000000" w:themeColor="text1"/>
          <w:sz w:val="22"/>
        </w:rPr>
        <w:lastRenderedPageBreak/>
        <w:t>que se refiere el artículo 2.2.1.2.4.2.2. del Decreto 1082 de 2015, pero no</w:t>
      </w:r>
      <w:r w:rsidR="00A647A6" w:rsidRPr="004B6783">
        <w:rPr>
          <w:rFonts w:ascii="Arial" w:eastAsia="Calibri" w:hAnsi="Arial" w:cs="Arial"/>
          <w:color w:val="000000" w:themeColor="text1"/>
          <w:sz w:val="22"/>
        </w:rPr>
        <w:t xml:space="preserve"> la</w:t>
      </w:r>
      <w:r w:rsidRPr="004B6783">
        <w:rPr>
          <w:rFonts w:ascii="Arial" w:eastAsia="Calibri" w:hAnsi="Arial" w:cs="Arial"/>
          <w:color w:val="000000" w:themeColor="text1"/>
          <w:sz w:val="22"/>
        </w:rPr>
        <w:t xml:space="preserve"> «limitación territorial» referida en el artículo 2.2.1.2.4.2.3. </w:t>
      </w:r>
      <w:proofErr w:type="spellStart"/>
      <w:r w:rsidRPr="004B6783">
        <w:rPr>
          <w:rFonts w:ascii="Arial" w:eastAsia="Calibri" w:hAnsi="Arial" w:cs="Arial"/>
          <w:i/>
          <w:iCs/>
          <w:color w:val="000000" w:themeColor="text1"/>
          <w:sz w:val="22"/>
        </w:rPr>
        <w:t>ibídem</w:t>
      </w:r>
      <w:proofErr w:type="spellEnd"/>
      <w:r w:rsidRPr="004B6783">
        <w:rPr>
          <w:rFonts w:ascii="Arial" w:eastAsia="Calibri" w:hAnsi="Arial" w:cs="Arial"/>
          <w:color w:val="000000" w:themeColor="text1"/>
          <w:sz w:val="22"/>
        </w:rPr>
        <w:t xml:space="preserve">, pues esta, como ya se dijo, es facultativa para la entidad. Las únicas exigencias son que la convocatoria esté limitada a las </w:t>
      </w:r>
      <w:proofErr w:type="spellStart"/>
      <w:r w:rsidRPr="004B6783">
        <w:rPr>
          <w:rFonts w:ascii="Arial" w:eastAsia="Calibri" w:hAnsi="Arial" w:cs="Arial"/>
          <w:color w:val="000000" w:themeColor="text1"/>
          <w:sz w:val="22"/>
        </w:rPr>
        <w:t>Mipyme</w:t>
      </w:r>
      <w:proofErr w:type="spellEnd"/>
      <w:r w:rsidRPr="004B6783">
        <w:rPr>
          <w:rFonts w:ascii="Arial" w:eastAsia="Calibri" w:hAnsi="Arial" w:cs="Arial"/>
          <w:color w:val="000000" w:themeColor="text1"/>
          <w:sz w:val="22"/>
        </w:rPr>
        <w:t xml:space="preserve"> nacionales «domiciliadas en los departamentos o municipios en donde se va a ejecutar el contrato» y que la entidad justifique su decisión en los «estudios del sector». No es procedente, entonces, que sean las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las que soliciten la «limitación territorial» a la que se refiere el artículo 2.2.1.2.4.2.3. del Decreto 1082 de 2015.</w:t>
      </w:r>
    </w:p>
    <w:p w14:paraId="2A6FFB59" w14:textId="77777777"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que solicitan la «limitación territorial» no es relevante frente a dicha decisión, por dos razones. Primero, porque las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no están habilitadas para pedir la «limitación territorial», lo están para pedir la «convocatoria limitada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y, segundo, porque el único criterio </w:t>
      </w:r>
      <w:proofErr w:type="gramStart"/>
      <w:r w:rsidRPr="004B6783">
        <w:rPr>
          <w:rFonts w:ascii="Arial" w:eastAsia="Calibri" w:hAnsi="Arial" w:cs="Arial"/>
          <w:color w:val="000000" w:themeColor="text1"/>
          <w:sz w:val="22"/>
        </w:rPr>
        <w:t>a</w:t>
      </w:r>
      <w:proofErr w:type="gramEnd"/>
      <w:r w:rsidRPr="004B6783">
        <w:rPr>
          <w:rFonts w:ascii="Arial" w:eastAsia="Calibri" w:hAnsi="Arial" w:cs="Arial"/>
          <w:color w:val="000000" w:themeColor="text1"/>
          <w:sz w:val="22"/>
        </w:rPr>
        <w:t xml:space="preserve"> tener en cuenta, una vez se ha decidido justificadamente limitar territorialmente la convocatoria previamente limitada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es el lugar donde se va a ejecutar el contrato.</w:t>
      </w:r>
    </w:p>
    <w:p w14:paraId="250A3D28" w14:textId="77777777"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i/>
          <w:iCs/>
          <w:color w:val="000000" w:themeColor="text1"/>
          <w:sz w:val="22"/>
        </w:rPr>
        <w:t>Por otro lado</w:t>
      </w:r>
      <w:r w:rsidRPr="004B6783">
        <w:rPr>
          <w:rFonts w:ascii="Arial" w:eastAsia="Calibri" w:hAnsi="Arial" w:cs="Arial"/>
          <w:color w:val="000000" w:themeColor="text1"/>
          <w:sz w:val="22"/>
        </w:rPr>
        <w:t xml:space="preserve">, supone que la decisión de la entidad únicamente puede darse si la solicitud provino de tres o más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4B6783">
        <w:rPr>
          <w:rFonts w:ascii="Arial" w:eastAsia="Calibri" w:hAnsi="Arial" w:cs="Arial"/>
          <w:color w:val="000000" w:themeColor="text1"/>
          <w:sz w:val="22"/>
        </w:rPr>
        <w:t>Mipyme</w:t>
      </w:r>
      <w:proofErr w:type="spellEnd"/>
      <w:r w:rsidRPr="004B6783">
        <w:rPr>
          <w:rFonts w:ascii="Arial" w:eastAsia="Calibri" w:hAnsi="Arial" w:cs="Arial"/>
          <w:color w:val="000000" w:themeColor="text1"/>
          <w:sz w:val="22"/>
        </w:rPr>
        <w:t xml:space="preserve"> nacionales domiciliadas en los departamentos o municipios en donde se va a ejecutar el contrato», sin que sea relevante el domicilio de las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nacionales que solicitaron limitar la convocatoria.</w:t>
      </w:r>
    </w:p>
    <w:p w14:paraId="14D8E760" w14:textId="77777777"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Puede pasar, por ejemplo, que tres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nacionales, claro está, siempre que se cumplan los requisitos legales, pero se reservaría la posibilidad de limitar el proceso contractual a las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«a </w:t>
      </w:r>
      <w:proofErr w:type="spellStart"/>
      <w:r w:rsidRPr="004B6783">
        <w:rPr>
          <w:rFonts w:ascii="Arial" w:eastAsia="Calibri" w:hAnsi="Arial" w:cs="Arial"/>
          <w:color w:val="000000" w:themeColor="text1"/>
          <w:sz w:val="22"/>
        </w:rPr>
        <w:t>Mipyme</w:t>
      </w:r>
      <w:proofErr w:type="spellEnd"/>
      <w:r w:rsidRPr="004B6783">
        <w:rPr>
          <w:rFonts w:ascii="Arial" w:eastAsia="Calibri" w:hAnsi="Arial" w:cs="Arial"/>
          <w:color w:val="000000" w:themeColor="text1"/>
          <w:sz w:val="22"/>
        </w:rPr>
        <w:t xml:space="preserve"> nacionales domiciliadas en los departamentos o municipios en donde se va a ejecutar el contrato», esto es, para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6030F80F" w14:textId="77777777"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color w:val="000000" w:themeColor="text1"/>
          <w:sz w:val="22"/>
        </w:rPr>
        <w:lastRenderedPageBreak/>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14:paraId="51A93B67" w14:textId="77777777"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Sin perjuicio de lo anterior, no puede perderse de vista que la decisión de limitar «a </w:t>
      </w:r>
      <w:proofErr w:type="spellStart"/>
      <w:r w:rsidRPr="004B6783">
        <w:rPr>
          <w:rFonts w:ascii="Arial" w:eastAsia="Calibri" w:hAnsi="Arial" w:cs="Arial"/>
          <w:color w:val="000000" w:themeColor="text1"/>
          <w:sz w:val="22"/>
        </w:rPr>
        <w:t>Mipyme</w:t>
      </w:r>
      <w:proofErr w:type="spellEnd"/>
      <w:r w:rsidRPr="004B6783">
        <w:rPr>
          <w:rFonts w:ascii="Arial" w:eastAsia="Calibri" w:hAnsi="Arial" w:cs="Arial"/>
          <w:color w:val="000000" w:themeColor="text1"/>
          <w:sz w:val="22"/>
        </w:rPr>
        <w:t xml:space="preserve"> nacionales domiciliadas en los departamentos o municipios en donde se va a ejecutar el contrato», aunque es facultativa de la entidad, está supeditada a que se verifiquen los requisitos establecidos en los numerales 1 y 2 del artículo 2.2.1.2.4.2.2. </w:t>
      </w:r>
      <w:proofErr w:type="gramStart"/>
      <w:r w:rsidRPr="004B6783">
        <w:rPr>
          <w:rFonts w:ascii="Arial" w:eastAsia="Calibri" w:hAnsi="Arial" w:cs="Arial"/>
          <w:color w:val="000000" w:themeColor="text1"/>
          <w:sz w:val="22"/>
        </w:rPr>
        <w:t>del  Decreto</w:t>
      </w:r>
      <w:proofErr w:type="gramEnd"/>
      <w:r w:rsidRPr="004B6783">
        <w:rPr>
          <w:rFonts w:ascii="Arial" w:eastAsia="Calibri" w:hAnsi="Arial" w:cs="Arial"/>
          <w:color w:val="000000" w:themeColor="text1"/>
          <w:sz w:val="22"/>
        </w:rPr>
        <w:t xml:space="preserve"> 1082 de 2015. En ese sentido, si la entidad no recibió las solicitudes para limitar la convocatoria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no puede </w:t>
      </w:r>
      <w:r w:rsidRPr="004B6783">
        <w:rPr>
          <w:rFonts w:ascii="Arial" w:eastAsia="Calibri" w:hAnsi="Arial" w:cs="Arial"/>
          <w:i/>
          <w:iCs/>
          <w:color w:val="000000" w:themeColor="text1"/>
          <w:sz w:val="22"/>
        </w:rPr>
        <w:t xml:space="preserve">motu propio </w:t>
      </w:r>
      <w:r w:rsidRPr="004B6783">
        <w:rPr>
          <w:rFonts w:ascii="Arial" w:eastAsia="Calibri" w:hAnsi="Arial" w:cs="Arial"/>
          <w:color w:val="000000" w:themeColor="text1"/>
          <w:sz w:val="22"/>
        </w:rPr>
        <w:t xml:space="preserve">hacer la «limitación territorial» de que trata el artículo 2.2.1.2.4.2.3. del Decreto 1082 de 2015, ya que el ejercicio de esta facultad solo puede darse ante «limitación a </w:t>
      </w:r>
      <w:proofErr w:type="spellStart"/>
      <w:r w:rsidRPr="004B6783">
        <w:rPr>
          <w:rFonts w:ascii="Arial" w:eastAsia="Calibri" w:hAnsi="Arial" w:cs="Arial"/>
          <w:color w:val="000000" w:themeColor="text1"/>
          <w:sz w:val="22"/>
        </w:rPr>
        <w:t>Mipymes</w:t>
      </w:r>
      <w:proofErr w:type="spellEnd"/>
      <w:r w:rsidRPr="004B6783">
        <w:rPr>
          <w:rFonts w:ascii="Arial" w:eastAsia="Calibri" w:hAnsi="Arial" w:cs="Arial"/>
          <w:color w:val="000000" w:themeColor="text1"/>
          <w:sz w:val="22"/>
        </w:rPr>
        <w:t xml:space="preserve"> nacionales», lo cual supone la verificación de los supuestos legales establecidos en los mencionados numerales.</w:t>
      </w:r>
    </w:p>
    <w:p w14:paraId="6458C418" w14:textId="68F6A77B" w:rsidR="008151F2" w:rsidRPr="004B6783" w:rsidRDefault="008151F2"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color w:val="000000" w:themeColor="text1"/>
          <w:sz w:val="22"/>
        </w:rPr>
        <w:t>En suma, e</w:t>
      </w:r>
      <w:r w:rsidRPr="004B6783">
        <w:rPr>
          <w:rFonts w:ascii="Arial" w:hAnsi="Arial" w:cs="Arial"/>
          <w:color w:val="000000" w:themeColor="text1"/>
          <w:sz w:val="22"/>
        </w:rPr>
        <w:t xml:space="preserve">l Decreto 1082 de 2015 regula la limitación de convocatorias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en dos normas distintas que deben leerse conjunta y armónicamente. Por un lado, el artículo </w:t>
      </w:r>
      <w:r w:rsidRPr="004B6783">
        <w:rPr>
          <w:rFonts w:ascii="Arial" w:eastAsia="Calibri" w:hAnsi="Arial" w:cs="Arial"/>
          <w:color w:val="000000" w:themeColor="text1"/>
          <w:sz w:val="22"/>
        </w:rPr>
        <w:t xml:space="preserve">2.2.1.2.4.2.2. </w:t>
      </w:r>
      <w:r w:rsidRPr="004B6783">
        <w:rPr>
          <w:rFonts w:ascii="Arial" w:hAnsi="Arial" w:cs="Arial"/>
          <w:color w:val="000000" w:themeColor="text1"/>
          <w:sz w:val="22"/>
        </w:rPr>
        <w:t xml:space="preserve">prevé los requisitos generales para que la entidad limite sus convocatorias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Por el otro, el artículo </w:t>
      </w:r>
      <w:r w:rsidRPr="004B6783">
        <w:rPr>
          <w:rFonts w:ascii="Arial" w:eastAsia="Calibri" w:hAnsi="Arial" w:cs="Arial"/>
          <w:color w:val="000000" w:themeColor="text1"/>
          <w:sz w:val="22"/>
        </w:rPr>
        <w:t xml:space="preserve">2.2.1.2.4.2.3. </w:t>
      </w:r>
      <w:r w:rsidRPr="004B6783">
        <w:rPr>
          <w:rFonts w:ascii="Arial" w:hAnsi="Arial" w:cs="Arial"/>
          <w:color w:val="000000" w:themeColor="text1"/>
          <w:sz w:val="22"/>
        </w:rPr>
        <w:t xml:space="preserve">establece la posibilidad de limitar la convocatoria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nacionales domiciliadas en los departamentos o municipios en donde se va a ejecutar el contrato, por supuesto, siempre que la entidad así lo decida y s</w:t>
      </w:r>
      <w:r w:rsidR="009E1E8F" w:rsidRPr="004B6783">
        <w:rPr>
          <w:rFonts w:ascii="Arial" w:hAnsi="Arial" w:cs="Arial"/>
          <w:color w:val="000000" w:themeColor="text1"/>
          <w:sz w:val="22"/>
        </w:rPr>
        <w:t>o</w:t>
      </w:r>
      <w:r w:rsidRPr="004B6783">
        <w:rPr>
          <w:rFonts w:ascii="Arial" w:hAnsi="Arial" w:cs="Arial"/>
          <w:color w:val="000000" w:themeColor="text1"/>
          <w:sz w:val="22"/>
        </w:rPr>
        <w:t xml:space="preserve">lo si se cumplen las exigencias del artículo </w:t>
      </w:r>
      <w:r w:rsidRPr="004B6783">
        <w:rPr>
          <w:rFonts w:ascii="Arial" w:eastAsia="Calibri" w:hAnsi="Arial" w:cs="Arial"/>
          <w:color w:val="000000" w:themeColor="text1"/>
          <w:sz w:val="22"/>
        </w:rPr>
        <w:t>2.2.1.2.4.2.2.</w:t>
      </w:r>
    </w:p>
    <w:p w14:paraId="59840D39" w14:textId="668B1021" w:rsidR="009E1E8F" w:rsidRPr="004B6783" w:rsidRDefault="009E1E8F" w:rsidP="008151F2">
      <w:pPr>
        <w:spacing w:before="120" w:line="276" w:lineRule="auto"/>
        <w:ind w:firstLine="709"/>
        <w:jc w:val="both"/>
        <w:rPr>
          <w:rFonts w:ascii="Arial" w:eastAsia="Calibri" w:hAnsi="Arial" w:cs="Arial"/>
          <w:color w:val="000000" w:themeColor="text1"/>
          <w:sz w:val="22"/>
        </w:rPr>
      </w:pPr>
      <w:r w:rsidRPr="004B6783">
        <w:rPr>
          <w:rFonts w:ascii="Arial" w:eastAsia="Calibri" w:hAnsi="Arial" w:cs="Arial"/>
          <w:color w:val="000000" w:themeColor="text1"/>
          <w:sz w:val="22"/>
        </w:rPr>
        <w:t xml:space="preserve">Sin perjuicio de lo </w:t>
      </w:r>
      <w:r w:rsidR="00D771EF" w:rsidRPr="004B6783">
        <w:rPr>
          <w:rFonts w:ascii="Arial" w:eastAsia="Calibri" w:hAnsi="Arial" w:cs="Arial"/>
          <w:color w:val="000000" w:themeColor="text1"/>
          <w:sz w:val="22"/>
        </w:rPr>
        <w:t>anterior</w:t>
      </w:r>
      <w:r w:rsidRPr="004B6783">
        <w:rPr>
          <w:rFonts w:ascii="Arial" w:eastAsia="Calibri" w:hAnsi="Arial" w:cs="Arial"/>
          <w:color w:val="000000" w:themeColor="text1"/>
          <w:sz w:val="22"/>
        </w:rPr>
        <w:t xml:space="preserve">, </w:t>
      </w:r>
      <w:r w:rsidR="00794210" w:rsidRPr="004B6783">
        <w:rPr>
          <w:rFonts w:ascii="Arial" w:eastAsia="Calibri" w:hAnsi="Arial" w:cs="Arial"/>
          <w:color w:val="000000" w:themeColor="text1"/>
          <w:sz w:val="22"/>
        </w:rPr>
        <w:t>l</w:t>
      </w:r>
      <w:r w:rsidR="00374AE3" w:rsidRPr="004B6783">
        <w:rPr>
          <w:rFonts w:ascii="Arial" w:eastAsia="Calibri" w:hAnsi="Arial" w:cs="Arial"/>
          <w:color w:val="000000" w:themeColor="text1"/>
          <w:sz w:val="22"/>
        </w:rPr>
        <w:t>a</w:t>
      </w:r>
      <w:r w:rsidR="00794210" w:rsidRPr="004B6783">
        <w:rPr>
          <w:rFonts w:ascii="Arial" w:eastAsia="Calibri" w:hAnsi="Arial" w:cs="Arial"/>
          <w:color w:val="000000" w:themeColor="text1"/>
          <w:sz w:val="22"/>
        </w:rPr>
        <w:t xml:space="preserve"> Agencia Nacional de Contratación Pública </w:t>
      </w:r>
      <w:r w:rsidR="00374AE3" w:rsidRPr="004B6783">
        <w:rPr>
          <w:rFonts w:ascii="Arial" w:eastAsia="Calibri" w:hAnsi="Arial" w:cs="Arial"/>
          <w:color w:val="000000" w:themeColor="text1"/>
          <w:sz w:val="22"/>
        </w:rPr>
        <w:t xml:space="preserve">considera que lo recomendable </w:t>
      </w:r>
      <w:r w:rsidR="00D771EF" w:rsidRPr="004B6783">
        <w:rPr>
          <w:rFonts w:ascii="Arial" w:eastAsia="Calibri" w:hAnsi="Arial" w:cs="Arial"/>
          <w:color w:val="000000" w:themeColor="text1"/>
          <w:sz w:val="22"/>
        </w:rPr>
        <w:t xml:space="preserve">es </w:t>
      </w:r>
      <w:r w:rsidR="00374AE3" w:rsidRPr="004B6783">
        <w:rPr>
          <w:rFonts w:ascii="Arial" w:eastAsia="Calibri" w:hAnsi="Arial" w:cs="Arial"/>
          <w:color w:val="000000" w:themeColor="text1"/>
          <w:sz w:val="22"/>
        </w:rPr>
        <w:t>que la</w:t>
      </w:r>
      <w:r w:rsidR="00D771EF" w:rsidRPr="004B6783">
        <w:rPr>
          <w:rFonts w:ascii="Arial" w:eastAsia="Calibri" w:hAnsi="Arial" w:cs="Arial"/>
          <w:color w:val="000000" w:themeColor="text1"/>
          <w:sz w:val="22"/>
        </w:rPr>
        <w:t>s</w:t>
      </w:r>
      <w:r w:rsidR="00374AE3" w:rsidRPr="004B6783">
        <w:rPr>
          <w:rFonts w:ascii="Arial" w:eastAsia="Calibri" w:hAnsi="Arial" w:cs="Arial"/>
          <w:color w:val="000000" w:themeColor="text1"/>
          <w:sz w:val="22"/>
        </w:rPr>
        <w:t xml:space="preserve"> entidad</w:t>
      </w:r>
      <w:r w:rsidR="00D771EF" w:rsidRPr="004B6783">
        <w:rPr>
          <w:rFonts w:ascii="Arial" w:eastAsia="Calibri" w:hAnsi="Arial" w:cs="Arial"/>
          <w:color w:val="000000" w:themeColor="text1"/>
          <w:sz w:val="22"/>
        </w:rPr>
        <w:t>es</w:t>
      </w:r>
      <w:r w:rsidR="00374AE3" w:rsidRPr="004B6783">
        <w:rPr>
          <w:rFonts w:ascii="Arial" w:eastAsia="Calibri" w:hAnsi="Arial" w:cs="Arial"/>
          <w:color w:val="000000" w:themeColor="text1"/>
          <w:sz w:val="22"/>
        </w:rPr>
        <w:t xml:space="preserve"> </w:t>
      </w:r>
      <w:r w:rsidR="007D7866" w:rsidRPr="004B6783">
        <w:rPr>
          <w:rFonts w:ascii="Arial" w:eastAsia="Calibri" w:hAnsi="Arial" w:cs="Arial"/>
          <w:color w:val="000000" w:themeColor="text1"/>
          <w:sz w:val="22"/>
        </w:rPr>
        <w:t>establezca</w:t>
      </w:r>
      <w:r w:rsidR="00D771EF" w:rsidRPr="004B6783">
        <w:rPr>
          <w:rFonts w:ascii="Arial" w:eastAsia="Calibri" w:hAnsi="Arial" w:cs="Arial"/>
          <w:color w:val="000000" w:themeColor="text1"/>
          <w:sz w:val="22"/>
        </w:rPr>
        <w:t xml:space="preserve">n </w:t>
      </w:r>
      <w:r w:rsidR="00D771EF" w:rsidRPr="004B6783">
        <w:rPr>
          <w:rFonts w:ascii="Arial" w:eastAsia="Calibri" w:hAnsi="Arial" w:cs="Arial"/>
          <w:i/>
          <w:iCs/>
          <w:color w:val="000000" w:themeColor="text1"/>
          <w:sz w:val="22"/>
        </w:rPr>
        <w:t xml:space="preserve">ex ante </w:t>
      </w:r>
      <w:r w:rsidR="0088744F" w:rsidRPr="004B6783">
        <w:rPr>
          <w:rFonts w:ascii="Arial" w:eastAsia="Calibri" w:hAnsi="Arial" w:cs="Arial"/>
          <w:color w:val="000000" w:themeColor="text1"/>
          <w:sz w:val="22"/>
        </w:rPr>
        <w:t>las condiciones en las que, eventualmente, haría</w:t>
      </w:r>
      <w:r w:rsidR="005B0A6E" w:rsidRPr="004B6783">
        <w:rPr>
          <w:rFonts w:ascii="Arial" w:eastAsia="Calibri" w:hAnsi="Arial" w:cs="Arial"/>
          <w:color w:val="000000" w:themeColor="text1"/>
          <w:sz w:val="22"/>
        </w:rPr>
        <w:t>n</w:t>
      </w:r>
      <w:r w:rsidR="0088744F" w:rsidRPr="004B6783">
        <w:rPr>
          <w:rFonts w:ascii="Arial" w:eastAsia="Calibri" w:hAnsi="Arial" w:cs="Arial"/>
          <w:color w:val="000000" w:themeColor="text1"/>
          <w:sz w:val="22"/>
        </w:rPr>
        <w:t xml:space="preserve"> la </w:t>
      </w:r>
      <w:r w:rsidR="005B0A6E" w:rsidRPr="004B6783">
        <w:rPr>
          <w:rFonts w:ascii="Arial" w:eastAsia="Calibri" w:hAnsi="Arial" w:cs="Arial"/>
          <w:color w:val="000000" w:themeColor="text1"/>
          <w:sz w:val="22"/>
        </w:rPr>
        <w:t>«</w:t>
      </w:r>
      <w:r w:rsidR="0088744F" w:rsidRPr="004B6783">
        <w:rPr>
          <w:rFonts w:ascii="Arial" w:eastAsia="Calibri" w:hAnsi="Arial" w:cs="Arial"/>
          <w:color w:val="000000" w:themeColor="text1"/>
          <w:sz w:val="22"/>
        </w:rPr>
        <w:t>limitación territorial</w:t>
      </w:r>
      <w:r w:rsidR="005B0A6E" w:rsidRPr="004B6783">
        <w:rPr>
          <w:rFonts w:ascii="Arial" w:eastAsia="Calibri" w:hAnsi="Arial" w:cs="Arial"/>
          <w:color w:val="000000" w:themeColor="text1"/>
          <w:sz w:val="22"/>
        </w:rPr>
        <w:t>»</w:t>
      </w:r>
      <w:r w:rsidR="0088744F" w:rsidRPr="004B6783">
        <w:rPr>
          <w:rFonts w:ascii="Arial" w:eastAsia="Calibri" w:hAnsi="Arial" w:cs="Arial"/>
          <w:color w:val="000000" w:themeColor="text1"/>
          <w:sz w:val="22"/>
        </w:rPr>
        <w:t>. P</w:t>
      </w:r>
      <w:r w:rsidR="00D771EF" w:rsidRPr="004B6783">
        <w:rPr>
          <w:rFonts w:ascii="Arial" w:eastAsia="Calibri" w:hAnsi="Arial" w:cs="Arial"/>
          <w:color w:val="000000" w:themeColor="text1"/>
          <w:sz w:val="22"/>
        </w:rPr>
        <w:t xml:space="preserve">ara tales fines, </w:t>
      </w:r>
      <w:r w:rsidR="007D7866" w:rsidRPr="004B6783">
        <w:rPr>
          <w:rFonts w:ascii="Arial" w:eastAsia="Calibri" w:hAnsi="Arial" w:cs="Arial"/>
          <w:color w:val="000000" w:themeColor="text1"/>
          <w:sz w:val="22"/>
        </w:rPr>
        <w:t>en el proyecto de pliego</w:t>
      </w:r>
      <w:r w:rsidR="0020647F" w:rsidRPr="004B6783">
        <w:rPr>
          <w:rFonts w:ascii="Arial" w:eastAsia="Calibri" w:hAnsi="Arial" w:cs="Arial"/>
          <w:color w:val="000000" w:themeColor="text1"/>
          <w:sz w:val="22"/>
        </w:rPr>
        <w:t xml:space="preserve"> de condiciones</w:t>
      </w:r>
      <w:r w:rsidR="00A16570" w:rsidRPr="004B6783">
        <w:rPr>
          <w:rFonts w:ascii="Arial" w:eastAsia="Calibri" w:hAnsi="Arial" w:cs="Arial"/>
          <w:color w:val="000000" w:themeColor="text1"/>
          <w:sz w:val="22"/>
        </w:rPr>
        <w:t xml:space="preserve"> </w:t>
      </w:r>
      <w:r w:rsidR="003B603D" w:rsidRPr="004B6783">
        <w:rPr>
          <w:rFonts w:ascii="Arial" w:eastAsia="Calibri" w:hAnsi="Arial" w:cs="Arial"/>
          <w:color w:val="000000" w:themeColor="text1"/>
          <w:sz w:val="22"/>
        </w:rPr>
        <w:t xml:space="preserve">podrían </w:t>
      </w:r>
      <w:r w:rsidR="005B0A6E" w:rsidRPr="004B6783">
        <w:rPr>
          <w:rFonts w:ascii="Arial" w:eastAsia="Calibri" w:hAnsi="Arial" w:cs="Arial"/>
          <w:color w:val="000000" w:themeColor="text1"/>
          <w:sz w:val="22"/>
        </w:rPr>
        <w:t>establec</w:t>
      </w:r>
      <w:r w:rsidR="003B603D" w:rsidRPr="004B6783">
        <w:rPr>
          <w:rFonts w:ascii="Arial" w:eastAsia="Calibri" w:hAnsi="Arial" w:cs="Arial"/>
          <w:color w:val="000000" w:themeColor="text1"/>
          <w:sz w:val="22"/>
        </w:rPr>
        <w:t>er</w:t>
      </w:r>
      <w:r w:rsidR="005B0A6E" w:rsidRPr="004B6783">
        <w:rPr>
          <w:rFonts w:ascii="Arial" w:eastAsia="Calibri" w:hAnsi="Arial" w:cs="Arial"/>
          <w:color w:val="000000" w:themeColor="text1"/>
          <w:sz w:val="22"/>
        </w:rPr>
        <w:t xml:space="preserve"> </w:t>
      </w:r>
      <w:r w:rsidR="0088744F" w:rsidRPr="004B6783">
        <w:rPr>
          <w:rFonts w:ascii="Arial" w:eastAsia="Calibri" w:hAnsi="Arial" w:cs="Arial"/>
          <w:color w:val="000000" w:themeColor="text1"/>
          <w:sz w:val="22"/>
        </w:rPr>
        <w:t>clar</w:t>
      </w:r>
      <w:r w:rsidR="005B0A6E" w:rsidRPr="004B6783">
        <w:rPr>
          <w:rFonts w:ascii="Arial" w:eastAsia="Calibri" w:hAnsi="Arial" w:cs="Arial"/>
          <w:color w:val="000000" w:themeColor="text1"/>
          <w:sz w:val="22"/>
        </w:rPr>
        <w:t xml:space="preserve">amente </w:t>
      </w:r>
      <w:r w:rsidR="0088744F" w:rsidRPr="004B6783">
        <w:rPr>
          <w:rFonts w:ascii="Arial" w:eastAsia="Calibri" w:hAnsi="Arial" w:cs="Arial"/>
          <w:color w:val="000000" w:themeColor="text1"/>
          <w:sz w:val="22"/>
        </w:rPr>
        <w:t xml:space="preserve">los </w:t>
      </w:r>
      <w:r w:rsidR="00066AEC" w:rsidRPr="004B6783">
        <w:rPr>
          <w:rFonts w:ascii="Arial" w:eastAsia="Calibri" w:hAnsi="Arial" w:cs="Arial"/>
          <w:color w:val="000000" w:themeColor="text1"/>
          <w:sz w:val="22"/>
        </w:rPr>
        <w:t>términos de dicha limitación</w:t>
      </w:r>
      <w:r w:rsidR="00591C6C" w:rsidRPr="004B6783">
        <w:rPr>
          <w:rFonts w:ascii="Arial" w:eastAsia="Calibri" w:hAnsi="Arial" w:cs="Arial"/>
          <w:color w:val="000000" w:themeColor="text1"/>
          <w:sz w:val="22"/>
        </w:rPr>
        <w:t>, los supuestos que darían lugar a su aplicación y, sobre todo, la</w:t>
      </w:r>
      <w:r w:rsidR="00D314C2" w:rsidRPr="004B6783">
        <w:rPr>
          <w:rFonts w:ascii="Arial" w:eastAsia="Calibri" w:hAnsi="Arial" w:cs="Arial"/>
          <w:color w:val="000000" w:themeColor="text1"/>
          <w:sz w:val="22"/>
        </w:rPr>
        <w:t xml:space="preserve"> forma como procedería </w:t>
      </w:r>
      <w:r w:rsidR="00BD2D0B" w:rsidRPr="004B6783">
        <w:rPr>
          <w:rFonts w:ascii="Arial" w:eastAsia="Calibri" w:hAnsi="Arial" w:cs="Arial"/>
          <w:color w:val="000000" w:themeColor="text1"/>
          <w:sz w:val="22"/>
        </w:rPr>
        <w:t xml:space="preserve">la entidad </w:t>
      </w:r>
      <w:r w:rsidR="00AC7C56" w:rsidRPr="004B6783">
        <w:rPr>
          <w:rFonts w:ascii="Arial" w:eastAsia="Calibri" w:hAnsi="Arial" w:cs="Arial"/>
          <w:color w:val="000000" w:themeColor="text1"/>
          <w:sz w:val="22"/>
        </w:rPr>
        <w:t xml:space="preserve">si </w:t>
      </w:r>
      <w:r w:rsidR="00D314C2" w:rsidRPr="004B6783">
        <w:rPr>
          <w:rFonts w:ascii="Arial" w:eastAsia="Calibri" w:hAnsi="Arial" w:cs="Arial"/>
          <w:color w:val="000000" w:themeColor="text1"/>
          <w:sz w:val="22"/>
        </w:rPr>
        <w:t>opta por limitar territorialmente la convocatoria</w:t>
      </w:r>
      <w:r w:rsidR="00AC7C56" w:rsidRPr="004B6783">
        <w:rPr>
          <w:rFonts w:ascii="Arial" w:eastAsia="Calibri" w:hAnsi="Arial" w:cs="Arial"/>
          <w:color w:val="000000" w:themeColor="text1"/>
          <w:sz w:val="22"/>
        </w:rPr>
        <w:t xml:space="preserve"> previamente limitada a </w:t>
      </w:r>
      <w:proofErr w:type="spellStart"/>
      <w:r w:rsidR="00AC7C56" w:rsidRPr="004B6783">
        <w:rPr>
          <w:rFonts w:ascii="Arial" w:eastAsia="Calibri" w:hAnsi="Arial" w:cs="Arial"/>
          <w:color w:val="000000" w:themeColor="text1"/>
          <w:sz w:val="22"/>
        </w:rPr>
        <w:t>Mipymes</w:t>
      </w:r>
      <w:proofErr w:type="spellEnd"/>
      <w:r w:rsidR="00D314C2" w:rsidRPr="004B6783">
        <w:rPr>
          <w:rFonts w:ascii="Arial" w:eastAsia="Calibri" w:hAnsi="Arial" w:cs="Arial"/>
          <w:color w:val="000000" w:themeColor="text1"/>
          <w:sz w:val="22"/>
        </w:rPr>
        <w:t xml:space="preserve">, </w:t>
      </w:r>
      <w:proofErr w:type="gramStart"/>
      <w:r w:rsidR="00B0458C" w:rsidRPr="004B6783">
        <w:rPr>
          <w:rFonts w:ascii="Arial" w:eastAsia="Calibri" w:hAnsi="Arial" w:cs="Arial"/>
          <w:color w:val="000000" w:themeColor="text1"/>
          <w:sz w:val="22"/>
        </w:rPr>
        <w:t>como</w:t>
      </w:r>
      <w:proofErr w:type="gramEnd"/>
      <w:r w:rsidR="00B0458C" w:rsidRPr="004B6783">
        <w:rPr>
          <w:rFonts w:ascii="Arial" w:eastAsia="Calibri" w:hAnsi="Arial" w:cs="Arial"/>
          <w:color w:val="000000" w:themeColor="text1"/>
          <w:sz w:val="22"/>
        </w:rPr>
        <w:t xml:space="preserve"> por ejemplo</w:t>
      </w:r>
      <w:r w:rsidR="00D314C2" w:rsidRPr="004B6783">
        <w:rPr>
          <w:rFonts w:ascii="Arial" w:eastAsia="Calibri" w:hAnsi="Arial" w:cs="Arial"/>
          <w:color w:val="000000" w:themeColor="text1"/>
          <w:sz w:val="22"/>
        </w:rPr>
        <w:t xml:space="preserve">, </w:t>
      </w:r>
      <w:r w:rsidR="00E66DCA" w:rsidRPr="004B6783">
        <w:rPr>
          <w:rFonts w:ascii="Arial" w:eastAsia="Calibri" w:hAnsi="Arial" w:cs="Arial"/>
          <w:color w:val="000000" w:themeColor="text1"/>
          <w:sz w:val="22"/>
        </w:rPr>
        <w:t xml:space="preserve">en </w:t>
      </w:r>
      <w:r w:rsidR="0021589C" w:rsidRPr="004B6783">
        <w:rPr>
          <w:rFonts w:ascii="Arial" w:eastAsia="Calibri" w:hAnsi="Arial" w:cs="Arial"/>
          <w:color w:val="000000" w:themeColor="text1"/>
          <w:sz w:val="22"/>
        </w:rPr>
        <w:t xml:space="preserve">relación con </w:t>
      </w:r>
      <w:r w:rsidR="00E66DCA" w:rsidRPr="004B6783">
        <w:rPr>
          <w:rFonts w:ascii="Arial" w:eastAsia="Calibri" w:hAnsi="Arial" w:cs="Arial"/>
          <w:color w:val="000000" w:themeColor="text1"/>
          <w:sz w:val="22"/>
        </w:rPr>
        <w:t xml:space="preserve">cuál o cuáles municipios </w:t>
      </w:r>
      <w:r w:rsidR="0021589C" w:rsidRPr="004B6783">
        <w:rPr>
          <w:rFonts w:ascii="Arial" w:eastAsia="Calibri" w:hAnsi="Arial" w:cs="Arial"/>
          <w:color w:val="000000" w:themeColor="text1"/>
          <w:sz w:val="22"/>
        </w:rPr>
        <w:t>o</w:t>
      </w:r>
      <w:r w:rsidR="00E66DCA" w:rsidRPr="004B6783">
        <w:rPr>
          <w:rFonts w:ascii="Arial" w:eastAsia="Calibri" w:hAnsi="Arial" w:cs="Arial"/>
          <w:color w:val="000000" w:themeColor="text1"/>
          <w:sz w:val="22"/>
        </w:rPr>
        <w:t xml:space="preserve"> departamentos </w:t>
      </w:r>
      <w:r w:rsidR="0021589C" w:rsidRPr="004B6783">
        <w:rPr>
          <w:rFonts w:ascii="Arial" w:eastAsia="Calibri" w:hAnsi="Arial" w:cs="Arial"/>
          <w:color w:val="000000" w:themeColor="text1"/>
          <w:sz w:val="22"/>
        </w:rPr>
        <w:t>haría</w:t>
      </w:r>
      <w:r w:rsidR="000003B7" w:rsidRPr="004B6783">
        <w:rPr>
          <w:rFonts w:ascii="Arial" w:eastAsia="Calibri" w:hAnsi="Arial" w:cs="Arial"/>
          <w:color w:val="000000" w:themeColor="text1"/>
          <w:sz w:val="22"/>
        </w:rPr>
        <w:t>n</w:t>
      </w:r>
      <w:r w:rsidR="0021589C" w:rsidRPr="004B6783">
        <w:rPr>
          <w:rFonts w:ascii="Arial" w:eastAsia="Calibri" w:hAnsi="Arial" w:cs="Arial"/>
          <w:color w:val="000000" w:themeColor="text1"/>
          <w:sz w:val="22"/>
        </w:rPr>
        <w:t xml:space="preserve"> la </w:t>
      </w:r>
      <w:r w:rsidR="00C93870" w:rsidRPr="004B6783">
        <w:rPr>
          <w:rFonts w:ascii="Arial" w:eastAsia="Calibri" w:hAnsi="Arial" w:cs="Arial"/>
          <w:color w:val="000000" w:themeColor="text1"/>
          <w:sz w:val="22"/>
        </w:rPr>
        <w:t xml:space="preserve">limitación de que trata el artículo </w:t>
      </w:r>
      <w:r w:rsidR="00A437AE" w:rsidRPr="004B6783">
        <w:rPr>
          <w:rFonts w:ascii="Arial" w:eastAsia="Calibri" w:hAnsi="Arial" w:cs="Arial"/>
          <w:color w:val="000000" w:themeColor="text1"/>
          <w:sz w:val="22"/>
        </w:rPr>
        <w:t>2.2.1.2.4.2.3. del Decreto 1082 de 2015</w:t>
      </w:r>
      <w:r w:rsidR="0021589C" w:rsidRPr="004B6783">
        <w:rPr>
          <w:rFonts w:ascii="Arial" w:eastAsia="Calibri" w:hAnsi="Arial" w:cs="Arial"/>
          <w:color w:val="000000" w:themeColor="text1"/>
          <w:sz w:val="22"/>
        </w:rPr>
        <w:t>.</w:t>
      </w:r>
    </w:p>
    <w:p w14:paraId="3C67B937" w14:textId="77777777" w:rsidR="008151F2" w:rsidRPr="004B6783" w:rsidRDefault="008151F2" w:rsidP="008151F2">
      <w:pPr>
        <w:spacing w:line="276" w:lineRule="auto"/>
        <w:ind w:left="709" w:right="709"/>
        <w:jc w:val="both"/>
        <w:rPr>
          <w:rFonts w:ascii="Arial" w:hAnsi="Arial" w:cs="Arial"/>
          <w:color w:val="000000" w:themeColor="text1"/>
          <w:sz w:val="21"/>
          <w:szCs w:val="21"/>
          <w:lang w:val="es-CO"/>
        </w:rPr>
      </w:pPr>
    </w:p>
    <w:p w14:paraId="72394D6B" w14:textId="77777777" w:rsidR="008151F2" w:rsidRPr="004B6783" w:rsidRDefault="008151F2" w:rsidP="008151F2">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4B6783">
        <w:rPr>
          <w:rFonts w:ascii="Arial" w:hAnsi="Arial" w:cs="Arial"/>
          <w:b/>
          <w:bCs/>
          <w:color w:val="000000" w:themeColor="text1"/>
          <w:sz w:val="22"/>
          <w:lang w:val="es-CO"/>
        </w:rPr>
        <w:t xml:space="preserve">Respuesta </w:t>
      </w:r>
    </w:p>
    <w:p w14:paraId="1B5BE4EE" w14:textId="77777777" w:rsidR="008151F2" w:rsidRPr="004B6783" w:rsidRDefault="008151F2" w:rsidP="008151F2">
      <w:pPr>
        <w:spacing w:line="276" w:lineRule="auto"/>
        <w:jc w:val="both"/>
        <w:rPr>
          <w:rFonts w:ascii="Arial" w:hAnsi="Arial" w:cs="Arial"/>
          <w:color w:val="000000" w:themeColor="text1"/>
          <w:sz w:val="22"/>
          <w:lang w:val="es-CO"/>
        </w:rPr>
      </w:pPr>
    </w:p>
    <w:p w14:paraId="2F6A3708" w14:textId="77777777" w:rsidR="008151F2" w:rsidRPr="004B6783" w:rsidRDefault="008151F2" w:rsidP="008151F2">
      <w:pPr>
        <w:tabs>
          <w:tab w:val="left" w:pos="7513"/>
        </w:tabs>
        <w:spacing w:line="276" w:lineRule="auto"/>
        <w:ind w:left="709" w:right="709"/>
        <w:jc w:val="both"/>
        <w:rPr>
          <w:rFonts w:ascii="Arial" w:eastAsia="Calibri" w:hAnsi="Arial" w:cs="Arial"/>
          <w:color w:val="000000" w:themeColor="text1"/>
          <w:sz w:val="21"/>
          <w:szCs w:val="21"/>
        </w:rPr>
      </w:pPr>
      <w:r w:rsidRPr="004B6783">
        <w:rPr>
          <w:rFonts w:ascii="Arial" w:eastAsia="Calibri" w:hAnsi="Arial" w:cs="Arial"/>
          <w:color w:val="000000" w:themeColor="text1"/>
          <w:sz w:val="21"/>
          <w:szCs w:val="21"/>
        </w:rPr>
        <w:t xml:space="preserve">i) «[¿] que (sic) entidades y/o instituciones </w:t>
      </w:r>
      <w:proofErr w:type="spellStart"/>
      <w:r w:rsidRPr="004B6783">
        <w:rPr>
          <w:rFonts w:ascii="Arial" w:eastAsia="Calibri" w:hAnsi="Arial" w:cs="Arial"/>
          <w:color w:val="000000" w:themeColor="text1"/>
          <w:sz w:val="21"/>
          <w:szCs w:val="21"/>
        </w:rPr>
        <w:t>publicas</w:t>
      </w:r>
      <w:proofErr w:type="spellEnd"/>
      <w:r w:rsidRPr="004B6783">
        <w:rPr>
          <w:rFonts w:ascii="Arial" w:eastAsia="Calibri" w:hAnsi="Arial" w:cs="Arial"/>
          <w:color w:val="000000" w:themeColor="text1"/>
          <w:sz w:val="21"/>
          <w:szCs w:val="21"/>
        </w:rPr>
        <w:t xml:space="preserve"> (sic) en Colombia están obligadas a convocar los procesos de contratación </w:t>
      </w:r>
      <w:proofErr w:type="spellStart"/>
      <w:r w:rsidRPr="004B6783">
        <w:rPr>
          <w:rFonts w:ascii="Arial" w:eastAsia="Calibri" w:hAnsi="Arial" w:cs="Arial"/>
          <w:color w:val="000000" w:themeColor="text1"/>
          <w:sz w:val="21"/>
          <w:szCs w:val="21"/>
        </w:rPr>
        <w:t>publica</w:t>
      </w:r>
      <w:proofErr w:type="spellEnd"/>
      <w:r w:rsidRPr="004B6783">
        <w:rPr>
          <w:rFonts w:ascii="Arial" w:eastAsia="Calibri" w:hAnsi="Arial" w:cs="Arial"/>
          <w:color w:val="000000" w:themeColor="text1"/>
          <w:sz w:val="21"/>
          <w:szCs w:val="21"/>
        </w:rPr>
        <w:t xml:space="preserve"> (sic) a limitar a </w:t>
      </w:r>
      <w:proofErr w:type="spellStart"/>
      <w:r w:rsidRPr="004B6783">
        <w:rPr>
          <w:rFonts w:ascii="Arial" w:eastAsia="Calibri" w:hAnsi="Arial" w:cs="Arial"/>
          <w:color w:val="000000" w:themeColor="text1"/>
          <w:sz w:val="21"/>
          <w:szCs w:val="21"/>
        </w:rPr>
        <w:t>Mipymes</w:t>
      </w:r>
      <w:proofErr w:type="spellEnd"/>
      <w:r w:rsidRPr="004B6783">
        <w:rPr>
          <w:rFonts w:ascii="Arial" w:eastAsia="Calibri" w:hAnsi="Arial" w:cs="Arial"/>
          <w:color w:val="000000" w:themeColor="text1"/>
          <w:sz w:val="21"/>
          <w:szCs w:val="21"/>
        </w:rPr>
        <w:t xml:space="preserve"> cuando el presupuesto oficial del proceso no excede los 125.000 </w:t>
      </w:r>
      <w:proofErr w:type="spellStart"/>
      <w:r w:rsidRPr="004B6783">
        <w:rPr>
          <w:rFonts w:ascii="Arial" w:eastAsia="Calibri" w:hAnsi="Arial" w:cs="Arial"/>
          <w:color w:val="000000" w:themeColor="text1"/>
          <w:sz w:val="21"/>
          <w:szCs w:val="21"/>
        </w:rPr>
        <w:t>dolares</w:t>
      </w:r>
      <w:proofErr w:type="spellEnd"/>
      <w:r w:rsidRPr="004B6783">
        <w:rPr>
          <w:rFonts w:ascii="Arial" w:eastAsia="Calibri" w:hAnsi="Arial" w:cs="Arial"/>
          <w:color w:val="000000" w:themeColor="text1"/>
          <w:sz w:val="21"/>
          <w:szCs w:val="21"/>
        </w:rPr>
        <w:t xml:space="preserve"> (sic) y se encuentra en la modalidad respectiva?»;</w:t>
      </w:r>
    </w:p>
    <w:p w14:paraId="18CE0D11" w14:textId="77777777" w:rsidR="008151F2" w:rsidRPr="004B6783" w:rsidRDefault="008151F2" w:rsidP="008151F2">
      <w:pPr>
        <w:tabs>
          <w:tab w:val="left" w:pos="7513"/>
        </w:tabs>
        <w:spacing w:line="276" w:lineRule="auto"/>
        <w:ind w:right="709"/>
        <w:jc w:val="both"/>
        <w:rPr>
          <w:rFonts w:ascii="Arial" w:eastAsia="Calibri" w:hAnsi="Arial" w:cs="Arial"/>
          <w:color w:val="000000" w:themeColor="text1"/>
          <w:sz w:val="22"/>
        </w:rPr>
      </w:pPr>
    </w:p>
    <w:p w14:paraId="33D812E1" w14:textId="77777777" w:rsidR="008151F2" w:rsidRPr="004B6783" w:rsidRDefault="008151F2" w:rsidP="004078A6">
      <w:pPr>
        <w:spacing w:line="276" w:lineRule="auto"/>
        <w:jc w:val="both"/>
        <w:rPr>
          <w:rFonts w:ascii="Arial" w:hAnsi="Arial" w:cs="Arial"/>
          <w:color w:val="000000" w:themeColor="text1"/>
          <w:sz w:val="22"/>
          <w:lang w:val="es-CO"/>
        </w:rPr>
      </w:pPr>
      <w:r w:rsidRPr="004B6783">
        <w:rPr>
          <w:rFonts w:ascii="Arial" w:hAnsi="Arial" w:cs="Arial"/>
          <w:color w:val="000000" w:themeColor="text1"/>
          <w:sz w:val="22"/>
          <w:lang w:val="es-CO"/>
        </w:rPr>
        <w:t xml:space="preserve">Las entidades obligadas a llevar a cabo </w:t>
      </w:r>
      <w:r w:rsidRPr="004B6783">
        <w:rPr>
          <w:rFonts w:ascii="Arial" w:hAnsi="Arial" w:cs="Arial"/>
          <w:color w:val="000000" w:themeColor="text1"/>
          <w:sz w:val="22"/>
        </w:rPr>
        <w:t xml:space="preserve">«convocatorias limitadas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 xml:space="preserve">», reguladas en el artículo 2.2.1.2.4.2.2 del Decreto 1082 de 2015, </w:t>
      </w:r>
      <w:r w:rsidRPr="004B6783">
        <w:rPr>
          <w:rFonts w:ascii="Arial" w:hAnsi="Arial" w:cs="Arial"/>
          <w:color w:val="000000" w:themeColor="text1"/>
          <w:sz w:val="22"/>
          <w:lang w:val="es-CO"/>
        </w:rPr>
        <w:t>son las sometidas al régimen general de contratación estatal, esto es, a la Ley 80 de 1993, modificada por la Ley 1150 de 2007.</w:t>
      </w:r>
    </w:p>
    <w:p w14:paraId="03590314" w14:textId="77777777" w:rsidR="008151F2" w:rsidRPr="004B6783" w:rsidRDefault="008151F2" w:rsidP="008151F2">
      <w:pPr>
        <w:tabs>
          <w:tab w:val="left" w:pos="7513"/>
        </w:tabs>
        <w:spacing w:line="276" w:lineRule="auto"/>
        <w:ind w:right="709"/>
        <w:jc w:val="both"/>
        <w:rPr>
          <w:rFonts w:ascii="Arial" w:eastAsia="Calibri" w:hAnsi="Arial" w:cs="Arial"/>
          <w:color w:val="000000" w:themeColor="text1"/>
          <w:sz w:val="22"/>
        </w:rPr>
      </w:pPr>
    </w:p>
    <w:p w14:paraId="08D7D8BB" w14:textId="77777777" w:rsidR="008151F2" w:rsidRPr="004B6783" w:rsidRDefault="008151F2" w:rsidP="008151F2">
      <w:pPr>
        <w:tabs>
          <w:tab w:val="left" w:pos="7513"/>
        </w:tabs>
        <w:spacing w:line="276" w:lineRule="auto"/>
        <w:ind w:left="709" w:right="709"/>
        <w:jc w:val="both"/>
        <w:rPr>
          <w:rFonts w:ascii="Arial" w:eastAsia="Calibri" w:hAnsi="Arial" w:cs="Arial"/>
          <w:color w:val="000000" w:themeColor="text1"/>
          <w:sz w:val="21"/>
          <w:szCs w:val="21"/>
        </w:rPr>
      </w:pPr>
      <w:proofErr w:type="spellStart"/>
      <w:r w:rsidRPr="004B6783">
        <w:rPr>
          <w:rFonts w:ascii="Arial" w:eastAsia="Calibri" w:hAnsi="Arial" w:cs="Arial"/>
          <w:color w:val="000000" w:themeColor="text1"/>
          <w:sz w:val="21"/>
          <w:szCs w:val="21"/>
        </w:rPr>
        <w:t>ii</w:t>
      </w:r>
      <w:proofErr w:type="spellEnd"/>
      <w:r w:rsidRPr="004B6783">
        <w:rPr>
          <w:rFonts w:ascii="Arial" w:eastAsia="Calibri" w:hAnsi="Arial" w:cs="Arial"/>
          <w:color w:val="000000" w:themeColor="text1"/>
          <w:sz w:val="21"/>
          <w:szCs w:val="21"/>
        </w:rPr>
        <w:t xml:space="preserve">) «el Ejercito (sic) </w:t>
      </w:r>
      <w:proofErr w:type="gramStart"/>
      <w:r w:rsidRPr="004B6783">
        <w:rPr>
          <w:rFonts w:ascii="Arial" w:eastAsia="Calibri" w:hAnsi="Arial" w:cs="Arial"/>
          <w:color w:val="000000" w:themeColor="text1"/>
          <w:sz w:val="21"/>
          <w:szCs w:val="21"/>
        </w:rPr>
        <w:t xml:space="preserve">Nacional y la Policía Nacional y sus distintas unidades ordenadoras de gastos en Colombia están obligados por ley a limitar sus procesos a incentivos a </w:t>
      </w:r>
      <w:proofErr w:type="spellStart"/>
      <w:r w:rsidRPr="004B6783">
        <w:rPr>
          <w:rFonts w:ascii="Arial" w:eastAsia="Calibri" w:hAnsi="Arial" w:cs="Arial"/>
          <w:color w:val="000000" w:themeColor="text1"/>
          <w:sz w:val="21"/>
          <w:szCs w:val="21"/>
        </w:rPr>
        <w:t>Mipymes</w:t>
      </w:r>
      <w:proofErr w:type="spellEnd"/>
      <w:r w:rsidRPr="004B6783">
        <w:rPr>
          <w:rFonts w:ascii="Arial" w:eastAsia="Calibri" w:hAnsi="Arial" w:cs="Arial"/>
          <w:color w:val="000000" w:themeColor="text1"/>
          <w:sz w:val="21"/>
          <w:szCs w:val="21"/>
        </w:rPr>
        <w:t xml:space="preserve">, si su proceso no excede los 125.000 </w:t>
      </w:r>
      <w:proofErr w:type="spellStart"/>
      <w:r w:rsidRPr="004B6783">
        <w:rPr>
          <w:rFonts w:ascii="Arial" w:eastAsia="Calibri" w:hAnsi="Arial" w:cs="Arial"/>
          <w:color w:val="000000" w:themeColor="text1"/>
          <w:sz w:val="21"/>
          <w:szCs w:val="21"/>
        </w:rPr>
        <w:t>dolares</w:t>
      </w:r>
      <w:proofErr w:type="spellEnd"/>
      <w:r w:rsidRPr="004B6783">
        <w:rPr>
          <w:rFonts w:ascii="Arial" w:eastAsia="Calibri" w:hAnsi="Arial" w:cs="Arial"/>
          <w:color w:val="000000" w:themeColor="text1"/>
          <w:sz w:val="21"/>
          <w:szCs w:val="21"/>
        </w:rPr>
        <w:t xml:space="preserve"> (sic) y se encuentra en la modalidad respectiva?</w:t>
      </w:r>
      <w:proofErr w:type="gramEnd"/>
      <w:r w:rsidRPr="004B6783">
        <w:rPr>
          <w:rFonts w:ascii="Arial" w:eastAsia="Calibri" w:hAnsi="Arial" w:cs="Arial"/>
          <w:color w:val="000000" w:themeColor="text1"/>
          <w:sz w:val="21"/>
          <w:szCs w:val="21"/>
        </w:rPr>
        <w:t>»;</w:t>
      </w:r>
    </w:p>
    <w:p w14:paraId="5BA235D4" w14:textId="77777777" w:rsidR="008151F2" w:rsidRPr="004B6783" w:rsidRDefault="008151F2" w:rsidP="008151F2">
      <w:pPr>
        <w:tabs>
          <w:tab w:val="left" w:pos="7513"/>
        </w:tabs>
        <w:spacing w:line="276" w:lineRule="auto"/>
        <w:ind w:right="709"/>
        <w:jc w:val="both"/>
        <w:rPr>
          <w:rFonts w:ascii="Arial" w:eastAsia="Calibri" w:hAnsi="Arial" w:cs="Arial"/>
          <w:color w:val="000000" w:themeColor="text1"/>
          <w:sz w:val="21"/>
          <w:szCs w:val="21"/>
        </w:rPr>
      </w:pPr>
    </w:p>
    <w:p w14:paraId="2D166791" w14:textId="127410ED" w:rsidR="00DC5451" w:rsidRPr="004B6783" w:rsidRDefault="004911D1" w:rsidP="00D35B6F">
      <w:pPr>
        <w:spacing w:before="120" w:line="276" w:lineRule="auto"/>
        <w:jc w:val="both"/>
        <w:rPr>
          <w:rFonts w:ascii="Arial" w:hAnsi="Arial" w:cs="Arial"/>
          <w:color w:val="000000" w:themeColor="text1"/>
          <w:sz w:val="22"/>
        </w:rPr>
      </w:pPr>
      <w:r w:rsidRPr="004B6783">
        <w:rPr>
          <w:rFonts w:ascii="Arial" w:hAnsi="Arial" w:cs="Arial"/>
          <w:color w:val="000000" w:themeColor="text1"/>
          <w:sz w:val="22"/>
        </w:rPr>
        <w:t>L</w:t>
      </w:r>
      <w:r w:rsidR="008151F2" w:rsidRPr="004B6783">
        <w:rPr>
          <w:rFonts w:ascii="Arial" w:hAnsi="Arial" w:cs="Arial"/>
          <w:color w:val="000000" w:themeColor="text1"/>
          <w:sz w:val="22"/>
        </w:rPr>
        <w:t xml:space="preserve">a norma que regula las «convocatorias limitadas a </w:t>
      </w:r>
      <w:proofErr w:type="spellStart"/>
      <w:r w:rsidR="008151F2" w:rsidRPr="004B6783">
        <w:rPr>
          <w:rFonts w:ascii="Arial" w:hAnsi="Arial" w:cs="Arial"/>
          <w:color w:val="000000" w:themeColor="text1"/>
          <w:sz w:val="22"/>
        </w:rPr>
        <w:t>Mipymes</w:t>
      </w:r>
      <w:proofErr w:type="spellEnd"/>
      <w:r w:rsidR="008151F2" w:rsidRPr="004B6783">
        <w:rPr>
          <w:rFonts w:ascii="Arial" w:hAnsi="Arial" w:cs="Arial"/>
          <w:color w:val="000000" w:themeColor="text1"/>
          <w:sz w:val="22"/>
        </w:rPr>
        <w:t xml:space="preserve">», esto es, el artículo 2.2.1.2.4.2.2 del Decreto 1082 de 2015, </w:t>
      </w:r>
      <w:r w:rsidR="00E20EE1" w:rsidRPr="004B6783">
        <w:rPr>
          <w:rFonts w:ascii="Arial" w:hAnsi="Arial" w:cs="Arial"/>
          <w:color w:val="000000" w:themeColor="text1"/>
          <w:sz w:val="22"/>
        </w:rPr>
        <w:t xml:space="preserve">no </w:t>
      </w:r>
      <w:r w:rsidR="008151F2" w:rsidRPr="004B6783">
        <w:rPr>
          <w:rFonts w:ascii="Arial" w:hAnsi="Arial" w:cs="Arial"/>
          <w:color w:val="000000" w:themeColor="text1"/>
          <w:sz w:val="22"/>
        </w:rPr>
        <w:t>es aplicable a las entidades con regímenes especiales de contratación estatal</w:t>
      </w:r>
      <w:r w:rsidR="00A709DB" w:rsidRPr="004B6783">
        <w:rPr>
          <w:rFonts w:ascii="Arial" w:hAnsi="Arial" w:cs="Arial"/>
          <w:color w:val="000000" w:themeColor="text1"/>
          <w:sz w:val="22"/>
        </w:rPr>
        <w:t xml:space="preserve">. En ese sentido, </w:t>
      </w:r>
      <w:r w:rsidR="001824DC" w:rsidRPr="004B6783">
        <w:rPr>
          <w:rFonts w:ascii="Arial" w:hAnsi="Arial" w:cs="Arial"/>
          <w:color w:val="000000" w:themeColor="text1"/>
          <w:sz w:val="22"/>
        </w:rPr>
        <w:t xml:space="preserve">como el Ejército Nacional y la Policía Nacional no están </w:t>
      </w:r>
      <w:r w:rsidR="002B1A83" w:rsidRPr="004B6783">
        <w:rPr>
          <w:rFonts w:ascii="Arial" w:hAnsi="Arial" w:cs="Arial"/>
          <w:color w:val="000000" w:themeColor="text1"/>
          <w:sz w:val="22"/>
        </w:rPr>
        <w:t>excluíos</w:t>
      </w:r>
      <w:r w:rsidR="001824DC" w:rsidRPr="004B6783">
        <w:rPr>
          <w:rFonts w:ascii="Arial" w:hAnsi="Arial" w:cs="Arial"/>
          <w:color w:val="000000" w:themeColor="text1"/>
          <w:sz w:val="22"/>
        </w:rPr>
        <w:t xml:space="preserve"> </w:t>
      </w:r>
      <w:r w:rsidR="002B1A83" w:rsidRPr="004B6783">
        <w:rPr>
          <w:rFonts w:ascii="Arial" w:hAnsi="Arial" w:cs="Arial"/>
          <w:color w:val="000000" w:themeColor="text1"/>
          <w:sz w:val="22"/>
        </w:rPr>
        <w:t>del</w:t>
      </w:r>
      <w:r w:rsidR="00096724" w:rsidRPr="004B6783">
        <w:rPr>
          <w:rFonts w:ascii="Arial" w:hAnsi="Arial" w:cs="Arial"/>
          <w:color w:val="000000" w:themeColor="text1"/>
          <w:sz w:val="22"/>
        </w:rPr>
        <w:t xml:space="preserve"> Estatuto </w:t>
      </w:r>
      <w:r w:rsidR="002B1A83" w:rsidRPr="004B6783">
        <w:rPr>
          <w:rFonts w:ascii="Arial" w:hAnsi="Arial" w:cs="Arial"/>
          <w:color w:val="000000" w:themeColor="text1"/>
          <w:sz w:val="22"/>
        </w:rPr>
        <w:t>General de Contratación de la Administración Pública, estos</w:t>
      </w:r>
      <w:r w:rsidR="00E87022" w:rsidRPr="004B6783">
        <w:rPr>
          <w:rFonts w:ascii="Arial" w:hAnsi="Arial" w:cs="Arial"/>
          <w:color w:val="000000" w:themeColor="text1"/>
          <w:sz w:val="22"/>
        </w:rPr>
        <w:t xml:space="preserve"> sí </w:t>
      </w:r>
      <w:r w:rsidR="0016764F" w:rsidRPr="004B6783">
        <w:rPr>
          <w:rFonts w:ascii="Arial" w:hAnsi="Arial" w:cs="Arial"/>
          <w:color w:val="000000" w:themeColor="text1"/>
          <w:sz w:val="22"/>
        </w:rPr>
        <w:t xml:space="preserve">deben aplicar las normas relacionadas con </w:t>
      </w:r>
      <w:r w:rsidR="00843279" w:rsidRPr="004B6783">
        <w:rPr>
          <w:rFonts w:ascii="Arial" w:hAnsi="Arial" w:cs="Arial"/>
          <w:color w:val="000000" w:themeColor="text1"/>
          <w:sz w:val="22"/>
        </w:rPr>
        <w:t xml:space="preserve">las limitaciones a </w:t>
      </w:r>
      <w:proofErr w:type="spellStart"/>
      <w:r w:rsidR="00843279" w:rsidRPr="004B6783">
        <w:rPr>
          <w:rFonts w:ascii="Arial" w:hAnsi="Arial" w:cs="Arial"/>
          <w:color w:val="000000" w:themeColor="text1"/>
          <w:sz w:val="22"/>
        </w:rPr>
        <w:t>Mipymes</w:t>
      </w:r>
      <w:proofErr w:type="spellEnd"/>
      <w:r w:rsidR="00B44C26" w:rsidRPr="004B6783">
        <w:rPr>
          <w:rFonts w:ascii="Arial" w:hAnsi="Arial" w:cs="Arial"/>
          <w:color w:val="000000" w:themeColor="text1"/>
          <w:sz w:val="22"/>
        </w:rPr>
        <w:t>, en los términos desarrollados</w:t>
      </w:r>
      <w:r w:rsidR="0096620B" w:rsidRPr="004B6783">
        <w:rPr>
          <w:rFonts w:ascii="Arial" w:hAnsi="Arial" w:cs="Arial"/>
          <w:color w:val="000000" w:themeColor="text1"/>
          <w:sz w:val="22"/>
        </w:rPr>
        <w:t xml:space="preserve"> en las consideraciones, </w:t>
      </w:r>
      <w:r w:rsidR="002B1A83" w:rsidRPr="004B6783">
        <w:rPr>
          <w:rFonts w:ascii="Arial" w:hAnsi="Arial" w:cs="Arial"/>
          <w:color w:val="000000" w:themeColor="text1"/>
          <w:sz w:val="22"/>
        </w:rPr>
        <w:t xml:space="preserve">claro está, siempre que la modalidad de selección </w:t>
      </w:r>
      <w:r w:rsidR="00E87022" w:rsidRPr="004B6783">
        <w:rPr>
          <w:rFonts w:ascii="Arial" w:hAnsi="Arial" w:cs="Arial"/>
          <w:color w:val="000000" w:themeColor="text1"/>
          <w:sz w:val="22"/>
        </w:rPr>
        <w:t xml:space="preserve">del contratista </w:t>
      </w:r>
      <w:r w:rsidR="002B1A83" w:rsidRPr="004B6783">
        <w:rPr>
          <w:rFonts w:ascii="Arial" w:hAnsi="Arial" w:cs="Arial"/>
          <w:color w:val="000000" w:themeColor="text1"/>
          <w:sz w:val="22"/>
        </w:rPr>
        <w:t xml:space="preserve">sea </w:t>
      </w:r>
      <w:r w:rsidR="0068308E" w:rsidRPr="004B6783">
        <w:rPr>
          <w:rFonts w:ascii="Arial" w:hAnsi="Arial" w:cs="Arial"/>
          <w:i/>
          <w:iCs/>
          <w:color w:val="000000" w:themeColor="text1"/>
          <w:sz w:val="22"/>
        </w:rPr>
        <w:t>licitación pública</w:t>
      </w:r>
      <w:r w:rsidR="0068308E" w:rsidRPr="004B6783">
        <w:rPr>
          <w:rFonts w:ascii="Arial" w:hAnsi="Arial" w:cs="Arial"/>
          <w:color w:val="000000" w:themeColor="text1"/>
          <w:sz w:val="22"/>
        </w:rPr>
        <w:t xml:space="preserve">, </w:t>
      </w:r>
      <w:r w:rsidR="0068308E" w:rsidRPr="004B6783">
        <w:rPr>
          <w:rFonts w:ascii="Arial" w:hAnsi="Arial" w:cs="Arial"/>
          <w:i/>
          <w:iCs/>
          <w:color w:val="000000" w:themeColor="text1"/>
          <w:sz w:val="22"/>
        </w:rPr>
        <w:t>selección abreviada</w:t>
      </w:r>
      <w:r w:rsidR="0068308E" w:rsidRPr="004B6783">
        <w:rPr>
          <w:rFonts w:ascii="Arial" w:hAnsi="Arial" w:cs="Arial"/>
          <w:color w:val="000000" w:themeColor="text1"/>
          <w:sz w:val="22"/>
        </w:rPr>
        <w:t xml:space="preserve"> </w:t>
      </w:r>
      <w:r w:rsidR="000F0EED" w:rsidRPr="004B6783">
        <w:rPr>
          <w:rFonts w:ascii="Arial" w:hAnsi="Arial" w:cs="Arial"/>
          <w:color w:val="000000" w:themeColor="text1"/>
          <w:sz w:val="22"/>
        </w:rPr>
        <w:t>o</w:t>
      </w:r>
      <w:r w:rsidR="0068308E" w:rsidRPr="004B6783">
        <w:rPr>
          <w:rFonts w:ascii="Arial" w:hAnsi="Arial" w:cs="Arial"/>
          <w:color w:val="000000" w:themeColor="text1"/>
          <w:sz w:val="22"/>
        </w:rPr>
        <w:t xml:space="preserve"> </w:t>
      </w:r>
      <w:r w:rsidR="0068308E" w:rsidRPr="004B6783">
        <w:rPr>
          <w:rFonts w:ascii="Arial" w:hAnsi="Arial" w:cs="Arial"/>
          <w:i/>
          <w:iCs/>
          <w:color w:val="000000" w:themeColor="text1"/>
          <w:sz w:val="22"/>
        </w:rPr>
        <w:t>concurso de méritos</w:t>
      </w:r>
      <w:r w:rsidR="0068308E" w:rsidRPr="004B6783">
        <w:rPr>
          <w:rFonts w:ascii="Arial" w:hAnsi="Arial" w:cs="Arial"/>
          <w:color w:val="000000" w:themeColor="text1"/>
          <w:sz w:val="22"/>
        </w:rPr>
        <w:t xml:space="preserve">, pues </w:t>
      </w:r>
      <w:r w:rsidR="00D35B6F" w:rsidRPr="004B6783">
        <w:rPr>
          <w:rFonts w:ascii="Arial" w:hAnsi="Arial" w:cs="Arial"/>
          <w:color w:val="000000" w:themeColor="text1"/>
          <w:sz w:val="22"/>
        </w:rPr>
        <w:t>s</w:t>
      </w:r>
      <w:r w:rsidR="00E64E82" w:rsidRPr="004B6783">
        <w:rPr>
          <w:rFonts w:ascii="Arial" w:hAnsi="Arial" w:cs="Arial"/>
          <w:color w:val="000000" w:themeColor="text1"/>
          <w:sz w:val="22"/>
        </w:rPr>
        <w:t>o</w:t>
      </w:r>
      <w:r w:rsidR="00D35B6F" w:rsidRPr="004B6783">
        <w:rPr>
          <w:rFonts w:ascii="Arial" w:hAnsi="Arial" w:cs="Arial"/>
          <w:color w:val="000000" w:themeColor="text1"/>
          <w:sz w:val="22"/>
        </w:rPr>
        <w:t xml:space="preserve">lo en estas </w:t>
      </w:r>
      <w:r w:rsidR="00DC5451" w:rsidRPr="004B6783">
        <w:rPr>
          <w:rFonts w:ascii="Arial" w:hAnsi="Arial" w:cs="Arial"/>
          <w:color w:val="000000" w:themeColor="text1"/>
          <w:sz w:val="22"/>
        </w:rPr>
        <w:t xml:space="preserve">modalidades </w:t>
      </w:r>
      <w:r w:rsidR="00D35B6F" w:rsidRPr="004B6783">
        <w:rPr>
          <w:rFonts w:ascii="Arial" w:hAnsi="Arial" w:cs="Arial"/>
          <w:color w:val="000000" w:themeColor="text1"/>
          <w:sz w:val="22"/>
        </w:rPr>
        <w:t xml:space="preserve">se permite </w:t>
      </w:r>
      <w:r w:rsidR="00E87022" w:rsidRPr="004B6783">
        <w:rPr>
          <w:rFonts w:ascii="Arial" w:hAnsi="Arial" w:cs="Arial"/>
          <w:color w:val="000000" w:themeColor="text1"/>
          <w:sz w:val="22"/>
        </w:rPr>
        <w:t xml:space="preserve">tal </w:t>
      </w:r>
      <w:r w:rsidR="00D35B6F" w:rsidRPr="004B6783">
        <w:rPr>
          <w:rFonts w:ascii="Arial" w:hAnsi="Arial" w:cs="Arial"/>
          <w:color w:val="000000" w:themeColor="text1"/>
          <w:sz w:val="22"/>
        </w:rPr>
        <w:t xml:space="preserve">limitación, según </w:t>
      </w:r>
      <w:r w:rsidR="00DC5451" w:rsidRPr="004B6783">
        <w:rPr>
          <w:rFonts w:ascii="Arial" w:hAnsi="Arial" w:cs="Arial"/>
          <w:color w:val="000000" w:themeColor="text1"/>
          <w:sz w:val="22"/>
        </w:rPr>
        <w:t xml:space="preserve">lo establecido en </w:t>
      </w:r>
      <w:r w:rsidR="00D35B6F" w:rsidRPr="004B6783">
        <w:rPr>
          <w:rFonts w:ascii="Arial" w:hAnsi="Arial" w:cs="Arial"/>
          <w:color w:val="000000" w:themeColor="text1"/>
          <w:sz w:val="22"/>
        </w:rPr>
        <w:t>el inciso 1 del artículo 2.2.1.2.4.2.2. del Decreto 1082 de 2015</w:t>
      </w:r>
      <w:r w:rsidR="001824DC" w:rsidRPr="004B6783">
        <w:rPr>
          <w:rFonts w:ascii="Arial" w:hAnsi="Arial" w:cs="Arial"/>
          <w:color w:val="000000" w:themeColor="text1"/>
          <w:sz w:val="22"/>
        </w:rPr>
        <w:t xml:space="preserve">. </w:t>
      </w:r>
    </w:p>
    <w:p w14:paraId="78F7F32F" w14:textId="12B3B58C" w:rsidR="008151F2" w:rsidRPr="004B6783" w:rsidRDefault="00D35B6F" w:rsidP="00DC5451">
      <w:pPr>
        <w:spacing w:before="120" w:line="276" w:lineRule="auto"/>
        <w:ind w:firstLine="708"/>
        <w:jc w:val="both"/>
        <w:rPr>
          <w:rFonts w:ascii="Arial" w:hAnsi="Arial" w:cs="Arial"/>
          <w:color w:val="000000" w:themeColor="text1"/>
          <w:sz w:val="22"/>
        </w:rPr>
      </w:pPr>
      <w:r w:rsidRPr="004B6783">
        <w:rPr>
          <w:rFonts w:ascii="Arial" w:hAnsi="Arial" w:cs="Arial"/>
          <w:color w:val="000000" w:themeColor="text1"/>
          <w:sz w:val="22"/>
        </w:rPr>
        <w:t xml:space="preserve">En </w:t>
      </w:r>
      <w:r w:rsidR="00DC5451" w:rsidRPr="004B6783">
        <w:rPr>
          <w:rFonts w:ascii="Arial" w:hAnsi="Arial" w:cs="Arial"/>
          <w:color w:val="000000" w:themeColor="text1"/>
          <w:sz w:val="22"/>
        </w:rPr>
        <w:t>esa</w:t>
      </w:r>
      <w:r w:rsidR="008963AB" w:rsidRPr="004B6783">
        <w:rPr>
          <w:rFonts w:ascii="Arial" w:hAnsi="Arial" w:cs="Arial"/>
          <w:color w:val="000000" w:themeColor="text1"/>
          <w:sz w:val="22"/>
        </w:rPr>
        <w:t xml:space="preserve"> misma línea argumentativa</w:t>
      </w:r>
      <w:r w:rsidRPr="004B6783">
        <w:rPr>
          <w:rFonts w:ascii="Arial" w:hAnsi="Arial" w:cs="Arial"/>
          <w:color w:val="000000" w:themeColor="text1"/>
          <w:sz w:val="22"/>
        </w:rPr>
        <w:t xml:space="preserve">, </w:t>
      </w:r>
      <w:r w:rsidR="00E87022" w:rsidRPr="004B6783">
        <w:rPr>
          <w:rFonts w:ascii="Arial" w:hAnsi="Arial" w:cs="Arial"/>
          <w:color w:val="000000" w:themeColor="text1"/>
          <w:sz w:val="22"/>
        </w:rPr>
        <w:t xml:space="preserve">si </w:t>
      </w:r>
      <w:r w:rsidR="009025DE" w:rsidRPr="004B6783">
        <w:rPr>
          <w:rFonts w:ascii="Arial" w:hAnsi="Arial" w:cs="Arial"/>
          <w:color w:val="000000" w:themeColor="text1"/>
          <w:sz w:val="22"/>
        </w:rPr>
        <w:t xml:space="preserve">la modalidad de selección </w:t>
      </w:r>
      <w:r w:rsidR="00DC5451" w:rsidRPr="004B6783">
        <w:rPr>
          <w:rFonts w:ascii="Arial" w:hAnsi="Arial" w:cs="Arial"/>
          <w:color w:val="000000" w:themeColor="text1"/>
          <w:sz w:val="22"/>
        </w:rPr>
        <w:t xml:space="preserve">del contratista </w:t>
      </w:r>
      <w:r w:rsidR="009025DE" w:rsidRPr="004B6783">
        <w:rPr>
          <w:rFonts w:ascii="Arial" w:hAnsi="Arial" w:cs="Arial"/>
          <w:color w:val="000000" w:themeColor="text1"/>
          <w:sz w:val="22"/>
        </w:rPr>
        <w:t>e</w:t>
      </w:r>
      <w:r w:rsidR="001658B2" w:rsidRPr="004B6783">
        <w:rPr>
          <w:rFonts w:ascii="Arial" w:hAnsi="Arial" w:cs="Arial"/>
          <w:color w:val="000000" w:themeColor="text1"/>
          <w:sz w:val="22"/>
        </w:rPr>
        <w:t xml:space="preserve">s </w:t>
      </w:r>
      <w:r w:rsidR="001658B2" w:rsidRPr="004B6783">
        <w:rPr>
          <w:rFonts w:ascii="Arial" w:hAnsi="Arial" w:cs="Arial"/>
          <w:i/>
          <w:iCs/>
          <w:color w:val="000000" w:themeColor="text1"/>
          <w:sz w:val="22"/>
        </w:rPr>
        <w:t xml:space="preserve">contratación directa </w:t>
      </w:r>
      <w:r w:rsidR="001658B2" w:rsidRPr="004B6783">
        <w:rPr>
          <w:rFonts w:ascii="Arial" w:hAnsi="Arial" w:cs="Arial"/>
          <w:color w:val="000000" w:themeColor="text1"/>
          <w:sz w:val="22"/>
        </w:rPr>
        <w:t xml:space="preserve">o si el proceso lo adelanta alguna de las </w:t>
      </w:r>
      <w:r w:rsidR="00CA1270" w:rsidRPr="004B6783">
        <w:rPr>
          <w:rFonts w:ascii="Arial" w:hAnsi="Arial" w:cs="Arial"/>
          <w:color w:val="000000" w:themeColor="text1"/>
          <w:sz w:val="22"/>
        </w:rPr>
        <w:t>«entidades</w:t>
      </w:r>
      <w:r w:rsidR="001658B2" w:rsidRPr="004B6783">
        <w:rPr>
          <w:rFonts w:ascii="Arial" w:hAnsi="Arial" w:cs="Arial"/>
          <w:color w:val="000000" w:themeColor="text1"/>
          <w:sz w:val="22"/>
        </w:rPr>
        <w:t xml:space="preserve"> exceptuadas </w:t>
      </w:r>
      <w:r w:rsidR="00CA1270" w:rsidRPr="004B6783">
        <w:rPr>
          <w:rFonts w:ascii="Arial" w:hAnsi="Arial" w:cs="Arial"/>
          <w:color w:val="000000" w:themeColor="text1"/>
          <w:sz w:val="22"/>
        </w:rPr>
        <w:t xml:space="preserve">del sector defensa», </w:t>
      </w:r>
      <w:r w:rsidR="0068332C" w:rsidRPr="004B6783">
        <w:rPr>
          <w:rFonts w:ascii="Arial" w:hAnsi="Arial" w:cs="Arial"/>
          <w:color w:val="000000" w:themeColor="text1"/>
          <w:sz w:val="22"/>
        </w:rPr>
        <w:t xml:space="preserve">en los términos </w:t>
      </w:r>
      <w:r w:rsidR="00CA1270" w:rsidRPr="004B6783">
        <w:rPr>
          <w:rFonts w:ascii="Arial" w:hAnsi="Arial" w:cs="Arial"/>
          <w:color w:val="000000" w:themeColor="text1"/>
          <w:sz w:val="22"/>
        </w:rPr>
        <w:t xml:space="preserve">del artículo </w:t>
      </w:r>
      <w:r w:rsidR="004C1EA5" w:rsidRPr="004B6783">
        <w:rPr>
          <w:rFonts w:ascii="Arial" w:hAnsi="Arial" w:cs="Arial"/>
          <w:color w:val="000000" w:themeColor="text1"/>
          <w:sz w:val="22"/>
        </w:rPr>
        <w:t>16 de la Ley 1150 de 2007</w:t>
      </w:r>
      <w:r w:rsidR="000F5DC3" w:rsidRPr="004B6783">
        <w:rPr>
          <w:rStyle w:val="Refdenotaalpie"/>
          <w:rFonts w:ascii="Arial" w:hAnsi="Arial" w:cs="Arial"/>
          <w:color w:val="000000" w:themeColor="text1"/>
          <w:sz w:val="22"/>
        </w:rPr>
        <w:footnoteReference w:id="14"/>
      </w:r>
      <w:r w:rsidR="0068332C" w:rsidRPr="004B6783">
        <w:rPr>
          <w:rFonts w:ascii="Arial" w:hAnsi="Arial" w:cs="Arial"/>
          <w:color w:val="000000" w:themeColor="text1"/>
          <w:sz w:val="22"/>
        </w:rPr>
        <w:t xml:space="preserve">, </w:t>
      </w:r>
      <w:r w:rsidR="0050631F" w:rsidRPr="004B6783">
        <w:rPr>
          <w:rFonts w:ascii="Arial" w:hAnsi="Arial" w:cs="Arial"/>
          <w:color w:val="000000" w:themeColor="text1"/>
          <w:sz w:val="22"/>
        </w:rPr>
        <w:t>no será</w:t>
      </w:r>
      <w:r w:rsidR="001B3267" w:rsidRPr="004B6783">
        <w:rPr>
          <w:rFonts w:ascii="Arial" w:hAnsi="Arial" w:cs="Arial"/>
          <w:color w:val="000000" w:themeColor="text1"/>
          <w:sz w:val="22"/>
        </w:rPr>
        <w:t xml:space="preserve">n aplicables las normas relativas a </w:t>
      </w:r>
      <w:r w:rsidR="0050631F" w:rsidRPr="004B6783">
        <w:rPr>
          <w:rFonts w:ascii="Arial" w:hAnsi="Arial" w:cs="Arial"/>
          <w:color w:val="000000" w:themeColor="text1"/>
          <w:sz w:val="22"/>
        </w:rPr>
        <w:t>la</w:t>
      </w:r>
      <w:r w:rsidR="002C0D30" w:rsidRPr="004B6783">
        <w:rPr>
          <w:rFonts w:ascii="Arial" w:hAnsi="Arial" w:cs="Arial"/>
          <w:color w:val="000000" w:themeColor="text1"/>
          <w:sz w:val="22"/>
        </w:rPr>
        <w:t>s</w:t>
      </w:r>
      <w:r w:rsidR="0050631F" w:rsidRPr="004B6783">
        <w:rPr>
          <w:rFonts w:ascii="Arial" w:hAnsi="Arial" w:cs="Arial"/>
          <w:color w:val="000000" w:themeColor="text1"/>
          <w:sz w:val="22"/>
        </w:rPr>
        <w:t xml:space="preserve"> </w:t>
      </w:r>
      <w:r w:rsidR="002C0D30" w:rsidRPr="004B6783">
        <w:rPr>
          <w:rFonts w:ascii="Arial" w:hAnsi="Arial" w:cs="Arial"/>
          <w:color w:val="000000" w:themeColor="text1"/>
          <w:sz w:val="22"/>
        </w:rPr>
        <w:t xml:space="preserve">limitaciones de </w:t>
      </w:r>
      <w:r w:rsidR="0050631F" w:rsidRPr="004B6783">
        <w:rPr>
          <w:rFonts w:ascii="Arial" w:hAnsi="Arial" w:cs="Arial"/>
          <w:color w:val="000000" w:themeColor="text1"/>
          <w:sz w:val="22"/>
        </w:rPr>
        <w:t>convocatoria</w:t>
      </w:r>
      <w:r w:rsidR="008F29F5" w:rsidRPr="004B6783">
        <w:rPr>
          <w:rFonts w:ascii="Arial" w:hAnsi="Arial" w:cs="Arial"/>
          <w:color w:val="000000" w:themeColor="text1"/>
          <w:sz w:val="22"/>
        </w:rPr>
        <w:t>s</w:t>
      </w:r>
      <w:r w:rsidR="0050631F" w:rsidRPr="004B6783">
        <w:rPr>
          <w:rFonts w:ascii="Arial" w:hAnsi="Arial" w:cs="Arial"/>
          <w:color w:val="000000" w:themeColor="text1"/>
          <w:sz w:val="22"/>
        </w:rPr>
        <w:t xml:space="preserve"> a </w:t>
      </w:r>
      <w:proofErr w:type="spellStart"/>
      <w:r w:rsidR="0050631F" w:rsidRPr="004B6783">
        <w:rPr>
          <w:rFonts w:ascii="Arial" w:hAnsi="Arial" w:cs="Arial"/>
          <w:color w:val="000000" w:themeColor="text1"/>
          <w:sz w:val="22"/>
        </w:rPr>
        <w:t>Mipymes</w:t>
      </w:r>
      <w:proofErr w:type="spellEnd"/>
      <w:r w:rsidR="0050631F" w:rsidRPr="004B6783">
        <w:rPr>
          <w:rFonts w:ascii="Arial" w:hAnsi="Arial" w:cs="Arial"/>
          <w:color w:val="000000" w:themeColor="text1"/>
          <w:sz w:val="22"/>
        </w:rPr>
        <w:t xml:space="preserve">. Lo primero porque se trata de una modalidad de selección no prevista en el referido artículo </w:t>
      </w:r>
      <w:r w:rsidR="004C1EA5" w:rsidRPr="004B6783">
        <w:rPr>
          <w:rFonts w:ascii="Arial" w:hAnsi="Arial" w:cs="Arial"/>
          <w:color w:val="000000" w:themeColor="text1"/>
          <w:sz w:val="22"/>
        </w:rPr>
        <w:t>2.2.1.2.4.2.2.,</w:t>
      </w:r>
      <w:r w:rsidR="0050631F" w:rsidRPr="004B6783">
        <w:rPr>
          <w:rFonts w:ascii="Arial" w:hAnsi="Arial" w:cs="Arial"/>
          <w:color w:val="000000" w:themeColor="text1"/>
          <w:sz w:val="22"/>
        </w:rPr>
        <w:t xml:space="preserve"> y lo segundo</w:t>
      </w:r>
      <w:r w:rsidR="00DC5451" w:rsidRPr="004B6783">
        <w:rPr>
          <w:rFonts w:ascii="Arial" w:hAnsi="Arial" w:cs="Arial"/>
          <w:color w:val="000000" w:themeColor="text1"/>
          <w:sz w:val="22"/>
        </w:rPr>
        <w:t xml:space="preserve"> </w:t>
      </w:r>
      <w:r w:rsidR="0050631F" w:rsidRPr="004B6783">
        <w:rPr>
          <w:rFonts w:ascii="Arial" w:hAnsi="Arial" w:cs="Arial"/>
          <w:color w:val="000000" w:themeColor="text1"/>
          <w:sz w:val="22"/>
        </w:rPr>
        <w:t xml:space="preserve">porque </w:t>
      </w:r>
      <w:r w:rsidR="00334C1B" w:rsidRPr="004B6783">
        <w:rPr>
          <w:rFonts w:ascii="Arial" w:hAnsi="Arial" w:cs="Arial"/>
          <w:color w:val="000000" w:themeColor="text1"/>
          <w:sz w:val="22"/>
        </w:rPr>
        <w:t xml:space="preserve">las </w:t>
      </w:r>
      <w:r w:rsidR="00DC5451" w:rsidRPr="004B6783">
        <w:rPr>
          <w:rFonts w:ascii="Arial" w:hAnsi="Arial" w:cs="Arial"/>
          <w:color w:val="000000" w:themeColor="text1"/>
          <w:sz w:val="22"/>
        </w:rPr>
        <w:t>entidades</w:t>
      </w:r>
      <w:r w:rsidR="00334C1B" w:rsidRPr="004B6783">
        <w:rPr>
          <w:rFonts w:ascii="Arial" w:hAnsi="Arial" w:cs="Arial"/>
          <w:color w:val="000000" w:themeColor="text1"/>
          <w:sz w:val="22"/>
        </w:rPr>
        <w:t xml:space="preserve"> referidas en el mencionado artículo 16</w:t>
      </w:r>
      <w:r w:rsidR="00DC5451" w:rsidRPr="004B6783">
        <w:rPr>
          <w:rFonts w:ascii="Arial" w:hAnsi="Arial" w:cs="Arial"/>
          <w:color w:val="000000" w:themeColor="text1"/>
          <w:sz w:val="22"/>
        </w:rPr>
        <w:t xml:space="preserve"> </w:t>
      </w:r>
      <w:r w:rsidR="00334C1B" w:rsidRPr="004B6783">
        <w:rPr>
          <w:rFonts w:ascii="Arial" w:hAnsi="Arial" w:cs="Arial"/>
          <w:color w:val="000000" w:themeColor="text1"/>
          <w:sz w:val="22"/>
        </w:rPr>
        <w:t>tienen regímenes especiales de contratación estatal</w:t>
      </w:r>
      <w:r w:rsidR="00A17EDD" w:rsidRPr="004B6783">
        <w:rPr>
          <w:rFonts w:ascii="Arial" w:hAnsi="Arial" w:cs="Arial"/>
          <w:color w:val="000000" w:themeColor="text1"/>
          <w:sz w:val="22"/>
        </w:rPr>
        <w:t xml:space="preserve">, por lo que, salvo algunas normas específicas, </w:t>
      </w:r>
      <w:r w:rsidR="00A83E32" w:rsidRPr="004B6783">
        <w:rPr>
          <w:rFonts w:ascii="Arial" w:hAnsi="Arial" w:cs="Arial"/>
          <w:color w:val="000000" w:themeColor="text1"/>
          <w:sz w:val="22"/>
        </w:rPr>
        <w:t>no les aplica el Decreto 1082 de 2015.</w:t>
      </w:r>
    </w:p>
    <w:p w14:paraId="5B3944DD" w14:textId="77777777" w:rsidR="008151F2" w:rsidRPr="004B6783" w:rsidRDefault="008151F2" w:rsidP="008151F2">
      <w:pPr>
        <w:tabs>
          <w:tab w:val="left" w:pos="7513"/>
        </w:tabs>
        <w:spacing w:line="276" w:lineRule="auto"/>
        <w:ind w:left="709" w:right="709"/>
        <w:jc w:val="both"/>
        <w:rPr>
          <w:rFonts w:ascii="Arial" w:eastAsia="Calibri" w:hAnsi="Arial" w:cs="Arial"/>
          <w:color w:val="000000" w:themeColor="text1"/>
          <w:sz w:val="22"/>
        </w:rPr>
      </w:pPr>
    </w:p>
    <w:p w14:paraId="3F13B69D" w14:textId="77777777" w:rsidR="008151F2" w:rsidRPr="004B6783" w:rsidRDefault="008151F2" w:rsidP="008151F2">
      <w:pPr>
        <w:tabs>
          <w:tab w:val="left" w:pos="7513"/>
        </w:tabs>
        <w:spacing w:line="276" w:lineRule="auto"/>
        <w:ind w:left="709" w:right="709"/>
        <w:jc w:val="both"/>
        <w:rPr>
          <w:rFonts w:ascii="Arial" w:eastAsia="Calibri" w:hAnsi="Arial" w:cs="Arial"/>
          <w:color w:val="000000" w:themeColor="text1"/>
          <w:sz w:val="21"/>
          <w:szCs w:val="21"/>
        </w:rPr>
      </w:pPr>
      <w:proofErr w:type="spellStart"/>
      <w:r w:rsidRPr="004B6783">
        <w:rPr>
          <w:rFonts w:ascii="Arial" w:eastAsia="Calibri" w:hAnsi="Arial" w:cs="Arial"/>
          <w:color w:val="000000" w:themeColor="text1"/>
          <w:sz w:val="21"/>
          <w:szCs w:val="21"/>
        </w:rPr>
        <w:t>iii</w:t>
      </w:r>
      <w:proofErr w:type="spellEnd"/>
      <w:r w:rsidRPr="004B6783">
        <w:rPr>
          <w:rFonts w:ascii="Arial" w:eastAsia="Calibri" w:hAnsi="Arial" w:cs="Arial"/>
          <w:color w:val="000000" w:themeColor="text1"/>
          <w:sz w:val="21"/>
          <w:szCs w:val="21"/>
        </w:rPr>
        <w:t xml:space="preserve">) ¿«un manual de contratación interno, directiva interna, resolución interna de la institución y/o entidad </w:t>
      </w:r>
      <w:proofErr w:type="spellStart"/>
      <w:r w:rsidRPr="004B6783">
        <w:rPr>
          <w:rFonts w:ascii="Arial" w:eastAsia="Calibri" w:hAnsi="Arial" w:cs="Arial"/>
          <w:color w:val="000000" w:themeColor="text1"/>
          <w:sz w:val="21"/>
          <w:szCs w:val="21"/>
        </w:rPr>
        <w:t>publica</w:t>
      </w:r>
      <w:proofErr w:type="spellEnd"/>
      <w:r w:rsidRPr="004B6783">
        <w:rPr>
          <w:rFonts w:ascii="Arial" w:eastAsia="Calibri" w:hAnsi="Arial" w:cs="Arial"/>
          <w:color w:val="000000" w:themeColor="text1"/>
          <w:sz w:val="21"/>
          <w:szCs w:val="21"/>
        </w:rPr>
        <w:t xml:space="preserve"> (sic) en Colombia (Ejercito (sic) </w:t>
      </w:r>
      <w:proofErr w:type="gramStart"/>
      <w:r w:rsidRPr="004B6783">
        <w:rPr>
          <w:rFonts w:ascii="Arial" w:eastAsia="Calibri" w:hAnsi="Arial" w:cs="Arial"/>
          <w:color w:val="000000" w:themeColor="text1"/>
          <w:sz w:val="21"/>
          <w:szCs w:val="21"/>
        </w:rPr>
        <w:t xml:space="preserve">Nacional-Policía Nacional y sus unidades de ordenadoras de gasto), esta (sic) por encima de la ley de inventivo (sic) a </w:t>
      </w:r>
      <w:proofErr w:type="spellStart"/>
      <w:r w:rsidRPr="004B6783">
        <w:rPr>
          <w:rFonts w:ascii="Arial" w:eastAsia="Calibri" w:hAnsi="Arial" w:cs="Arial"/>
          <w:color w:val="000000" w:themeColor="text1"/>
          <w:sz w:val="21"/>
          <w:szCs w:val="21"/>
        </w:rPr>
        <w:t>Mipymes</w:t>
      </w:r>
      <w:proofErr w:type="spellEnd"/>
      <w:r w:rsidRPr="004B6783">
        <w:rPr>
          <w:rFonts w:ascii="Arial" w:eastAsia="Calibri" w:hAnsi="Arial" w:cs="Arial"/>
          <w:color w:val="000000" w:themeColor="text1"/>
          <w:sz w:val="21"/>
          <w:szCs w:val="21"/>
        </w:rPr>
        <w:t xml:space="preserve">, negando la posibilidad de convocar a </w:t>
      </w:r>
      <w:proofErr w:type="spellStart"/>
      <w:r w:rsidRPr="004B6783">
        <w:rPr>
          <w:rFonts w:ascii="Arial" w:eastAsia="Calibri" w:hAnsi="Arial" w:cs="Arial"/>
          <w:color w:val="000000" w:themeColor="text1"/>
          <w:sz w:val="21"/>
          <w:szCs w:val="21"/>
        </w:rPr>
        <w:t>Mipymes</w:t>
      </w:r>
      <w:proofErr w:type="spellEnd"/>
      <w:r w:rsidRPr="004B6783">
        <w:rPr>
          <w:rFonts w:ascii="Arial" w:eastAsia="Calibri" w:hAnsi="Arial" w:cs="Arial"/>
          <w:color w:val="000000" w:themeColor="text1"/>
          <w:sz w:val="21"/>
          <w:szCs w:val="21"/>
        </w:rPr>
        <w:t xml:space="preserve"> a limitar el proceso contractual?</w:t>
      </w:r>
      <w:proofErr w:type="gramEnd"/>
      <w:r w:rsidRPr="004B6783">
        <w:rPr>
          <w:rFonts w:ascii="Arial" w:eastAsia="Calibri" w:hAnsi="Arial" w:cs="Arial"/>
          <w:color w:val="000000" w:themeColor="text1"/>
          <w:sz w:val="21"/>
          <w:szCs w:val="21"/>
        </w:rPr>
        <w:t>»;</w:t>
      </w:r>
    </w:p>
    <w:p w14:paraId="72518730" w14:textId="77777777" w:rsidR="008151F2" w:rsidRPr="004B6783" w:rsidRDefault="008151F2" w:rsidP="008151F2">
      <w:pPr>
        <w:tabs>
          <w:tab w:val="left" w:pos="7513"/>
        </w:tabs>
        <w:spacing w:line="276" w:lineRule="auto"/>
        <w:ind w:right="709"/>
        <w:jc w:val="both"/>
        <w:rPr>
          <w:rFonts w:ascii="Arial" w:eastAsia="Calibri" w:hAnsi="Arial" w:cs="Arial"/>
          <w:color w:val="000000" w:themeColor="text1"/>
          <w:sz w:val="22"/>
        </w:rPr>
      </w:pPr>
    </w:p>
    <w:p w14:paraId="3CBC3AB1" w14:textId="3BCE8093" w:rsidR="008151F2" w:rsidRPr="004B6783" w:rsidRDefault="008151F2" w:rsidP="00BE6137">
      <w:pPr>
        <w:spacing w:before="120" w:line="276" w:lineRule="auto"/>
        <w:jc w:val="both"/>
        <w:rPr>
          <w:rFonts w:ascii="Arial" w:hAnsi="Arial" w:cs="Arial"/>
          <w:color w:val="000000" w:themeColor="text1"/>
          <w:sz w:val="22"/>
        </w:rPr>
      </w:pPr>
      <w:r w:rsidRPr="004B6783">
        <w:rPr>
          <w:rFonts w:ascii="Arial" w:hAnsi="Arial" w:cs="Arial"/>
          <w:color w:val="000000" w:themeColor="text1"/>
          <w:sz w:val="22"/>
        </w:rPr>
        <w:lastRenderedPageBreak/>
        <w:t>La contratación de las entidades estatales con régimen especial de contratación se rige por sus manuales internos</w:t>
      </w:r>
      <w:r w:rsidR="002E760C" w:rsidRPr="004B6783">
        <w:rPr>
          <w:rFonts w:ascii="Arial" w:hAnsi="Arial" w:cs="Arial"/>
          <w:color w:val="000000" w:themeColor="text1"/>
          <w:sz w:val="22"/>
        </w:rPr>
        <w:t xml:space="preserve"> de contratación</w:t>
      </w:r>
      <w:r w:rsidRPr="004B6783">
        <w:rPr>
          <w:rFonts w:ascii="Arial" w:hAnsi="Arial" w:cs="Arial"/>
          <w:color w:val="000000" w:themeColor="text1"/>
          <w:sz w:val="22"/>
        </w:rPr>
        <w:t xml:space="preserve">, pero eso no significa que, desde una perspectiva de validez normativa, esos manuales, las </w:t>
      </w:r>
      <w:proofErr w:type="gramStart"/>
      <w:r w:rsidRPr="004B6783">
        <w:rPr>
          <w:rFonts w:ascii="Arial" w:hAnsi="Arial" w:cs="Arial"/>
          <w:color w:val="000000" w:themeColor="text1"/>
          <w:sz w:val="22"/>
        </w:rPr>
        <w:t>directivas internas y las resoluciones</w:t>
      </w:r>
      <w:r w:rsidR="00AD1016" w:rsidRPr="004B6783">
        <w:rPr>
          <w:rFonts w:ascii="Arial" w:hAnsi="Arial" w:cs="Arial"/>
          <w:color w:val="000000" w:themeColor="text1"/>
          <w:sz w:val="22"/>
        </w:rPr>
        <w:t xml:space="preserve"> internas</w:t>
      </w:r>
      <w:proofErr w:type="gramEnd"/>
      <w:r w:rsidR="00AD1016" w:rsidRPr="004B6783">
        <w:rPr>
          <w:rFonts w:ascii="Arial" w:hAnsi="Arial" w:cs="Arial"/>
          <w:color w:val="000000" w:themeColor="text1"/>
          <w:sz w:val="22"/>
        </w:rPr>
        <w:t xml:space="preserve"> </w:t>
      </w:r>
      <w:r w:rsidRPr="004B6783">
        <w:rPr>
          <w:rFonts w:ascii="Arial" w:hAnsi="Arial" w:cs="Arial"/>
          <w:color w:val="000000" w:themeColor="text1"/>
          <w:sz w:val="22"/>
        </w:rPr>
        <w:t>«</w:t>
      </w:r>
      <w:proofErr w:type="spellStart"/>
      <w:r w:rsidRPr="004B6783">
        <w:rPr>
          <w:rFonts w:ascii="Arial" w:hAnsi="Arial" w:cs="Arial"/>
          <w:color w:val="000000" w:themeColor="text1"/>
          <w:sz w:val="22"/>
        </w:rPr>
        <w:t>est</w:t>
      </w:r>
      <w:proofErr w:type="spellEnd"/>
      <w:r w:rsidRPr="004B6783">
        <w:rPr>
          <w:rFonts w:ascii="Arial" w:hAnsi="Arial" w:cs="Arial"/>
          <w:color w:val="000000" w:themeColor="text1"/>
          <w:sz w:val="22"/>
        </w:rPr>
        <w:t>[</w:t>
      </w:r>
      <w:proofErr w:type="spellStart"/>
      <w:r w:rsidRPr="004B6783">
        <w:rPr>
          <w:rFonts w:ascii="Arial" w:hAnsi="Arial" w:cs="Arial"/>
          <w:color w:val="000000" w:themeColor="text1"/>
          <w:sz w:val="22"/>
        </w:rPr>
        <w:t>én</w:t>
      </w:r>
      <w:proofErr w:type="spellEnd"/>
      <w:r w:rsidRPr="004B6783">
        <w:rPr>
          <w:rFonts w:ascii="Arial" w:hAnsi="Arial" w:cs="Arial"/>
          <w:color w:val="000000" w:themeColor="text1"/>
          <w:sz w:val="22"/>
        </w:rPr>
        <w:t>] por encima de la ley».</w:t>
      </w:r>
      <w:r w:rsidR="005F0F5D" w:rsidRPr="004B6783">
        <w:rPr>
          <w:rFonts w:ascii="Arial" w:hAnsi="Arial" w:cs="Arial"/>
          <w:color w:val="000000" w:themeColor="text1"/>
          <w:sz w:val="22"/>
        </w:rPr>
        <w:t xml:space="preserve"> Además, se remite</w:t>
      </w:r>
      <w:r w:rsidR="00CF4B29" w:rsidRPr="004B6783">
        <w:rPr>
          <w:rFonts w:ascii="Arial" w:hAnsi="Arial" w:cs="Arial"/>
          <w:color w:val="000000" w:themeColor="text1"/>
          <w:sz w:val="22"/>
        </w:rPr>
        <w:t>, en lo pertinente, a la respuesta anterior.</w:t>
      </w:r>
      <w:r w:rsidRPr="004B6783">
        <w:rPr>
          <w:rFonts w:ascii="Arial" w:hAnsi="Arial" w:cs="Arial"/>
          <w:color w:val="000000" w:themeColor="text1"/>
          <w:sz w:val="22"/>
        </w:rPr>
        <w:t xml:space="preserve"> </w:t>
      </w:r>
    </w:p>
    <w:p w14:paraId="1C2474B1" w14:textId="77777777" w:rsidR="008151F2" w:rsidRPr="004B6783" w:rsidRDefault="008151F2" w:rsidP="008151F2">
      <w:pPr>
        <w:tabs>
          <w:tab w:val="left" w:pos="7513"/>
        </w:tabs>
        <w:spacing w:line="276" w:lineRule="auto"/>
        <w:ind w:left="709" w:right="709"/>
        <w:jc w:val="both"/>
        <w:rPr>
          <w:rFonts w:ascii="Arial" w:eastAsia="Calibri" w:hAnsi="Arial" w:cs="Arial"/>
          <w:color w:val="000000" w:themeColor="text1"/>
          <w:sz w:val="22"/>
        </w:rPr>
      </w:pPr>
    </w:p>
    <w:p w14:paraId="3D9D5C5A" w14:textId="77777777" w:rsidR="008151F2" w:rsidRPr="004B6783" w:rsidRDefault="008151F2" w:rsidP="008151F2">
      <w:pPr>
        <w:tabs>
          <w:tab w:val="left" w:pos="7513"/>
        </w:tabs>
        <w:spacing w:line="276" w:lineRule="auto"/>
        <w:ind w:left="709" w:right="709"/>
        <w:jc w:val="both"/>
        <w:rPr>
          <w:rFonts w:ascii="Arial" w:eastAsia="Calibri" w:hAnsi="Arial" w:cs="Arial"/>
          <w:color w:val="000000" w:themeColor="text1"/>
          <w:sz w:val="21"/>
          <w:szCs w:val="21"/>
        </w:rPr>
      </w:pPr>
      <w:proofErr w:type="spellStart"/>
      <w:r w:rsidRPr="004B6783">
        <w:rPr>
          <w:rFonts w:ascii="Arial" w:eastAsia="Calibri" w:hAnsi="Arial" w:cs="Arial"/>
          <w:color w:val="000000" w:themeColor="text1"/>
          <w:sz w:val="21"/>
          <w:szCs w:val="21"/>
        </w:rPr>
        <w:t>iv</w:t>
      </w:r>
      <w:proofErr w:type="spellEnd"/>
      <w:r w:rsidRPr="004B6783">
        <w:rPr>
          <w:rFonts w:ascii="Arial" w:eastAsia="Calibri" w:hAnsi="Arial" w:cs="Arial"/>
          <w:color w:val="000000" w:themeColor="text1"/>
          <w:sz w:val="21"/>
          <w:szCs w:val="21"/>
        </w:rPr>
        <w:t xml:space="preserve">) ¿«si una entidad </w:t>
      </w:r>
      <w:proofErr w:type="spellStart"/>
      <w:r w:rsidRPr="004B6783">
        <w:rPr>
          <w:rFonts w:ascii="Arial" w:eastAsia="Calibri" w:hAnsi="Arial" w:cs="Arial"/>
          <w:color w:val="000000" w:themeColor="text1"/>
          <w:sz w:val="21"/>
          <w:szCs w:val="21"/>
        </w:rPr>
        <w:t>publica</w:t>
      </w:r>
      <w:proofErr w:type="spellEnd"/>
      <w:r w:rsidRPr="004B6783">
        <w:rPr>
          <w:rFonts w:ascii="Arial" w:eastAsia="Calibri" w:hAnsi="Arial" w:cs="Arial"/>
          <w:color w:val="000000" w:themeColor="text1"/>
          <w:sz w:val="21"/>
          <w:szCs w:val="21"/>
        </w:rPr>
        <w:t xml:space="preserve"> (sic) que adelanta un proceso de adquisición de bienes o servicios, recibe mínimo 3 manifestaciones a limitar un proceso a </w:t>
      </w:r>
      <w:proofErr w:type="spellStart"/>
      <w:r w:rsidRPr="004B6783">
        <w:rPr>
          <w:rFonts w:ascii="Arial" w:eastAsia="Calibri" w:hAnsi="Arial" w:cs="Arial"/>
          <w:color w:val="000000" w:themeColor="text1"/>
          <w:sz w:val="21"/>
          <w:szCs w:val="21"/>
        </w:rPr>
        <w:t>Mipymes</w:t>
      </w:r>
      <w:proofErr w:type="spellEnd"/>
      <w:r w:rsidRPr="004B6783">
        <w:rPr>
          <w:rFonts w:ascii="Arial" w:eastAsia="Calibri" w:hAnsi="Arial" w:cs="Arial"/>
          <w:color w:val="000000" w:themeColor="text1"/>
          <w:sz w:val="21"/>
          <w:szCs w:val="21"/>
        </w:rPr>
        <w:t xml:space="preserve"> territoriales domiciliadas en el lugar de ejecución del proyecto, la entidad puede negar esta limitación, aun cuando </w:t>
      </w:r>
      <w:proofErr w:type="gramStart"/>
      <w:r w:rsidRPr="004B6783">
        <w:rPr>
          <w:rFonts w:ascii="Arial" w:eastAsia="Calibri" w:hAnsi="Arial" w:cs="Arial"/>
          <w:color w:val="000000" w:themeColor="text1"/>
          <w:sz w:val="21"/>
          <w:szCs w:val="21"/>
        </w:rPr>
        <w:t>las manifestaciones cumple</w:t>
      </w:r>
      <w:proofErr w:type="gramEnd"/>
      <w:r w:rsidRPr="004B6783">
        <w:rPr>
          <w:rFonts w:ascii="Arial" w:eastAsia="Calibri" w:hAnsi="Arial" w:cs="Arial"/>
          <w:color w:val="000000" w:themeColor="text1"/>
          <w:sz w:val="21"/>
          <w:szCs w:val="21"/>
        </w:rPr>
        <w:t xml:space="preserve"> (sic) en todo lo requerido por la ley de incentivos para </w:t>
      </w:r>
      <w:proofErr w:type="spellStart"/>
      <w:r w:rsidRPr="004B6783">
        <w:rPr>
          <w:rFonts w:ascii="Arial" w:eastAsia="Calibri" w:hAnsi="Arial" w:cs="Arial"/>
          <w:color w:val="000000" w:themeColor="text1"/>
          <w:sz w:val="21"/>
          <w:szCs w:val="21"/>
        </w:rPr>
        <w:t>Mipymes</w:t>
      </w:r>
      <w:proofErr w:type="spellEnd"/>
      <w:r w:rsidRPr="004B6783">
        <w:rPr>
          <w:rFonts w:ascii="Arial" w:eastAsia="Calibri" w:hAnsi="Arial" w:cs="Arial"/>
          <w:color w:val="000000" w:themeColor="text1"/>
          <w:sz w:val="21"/>
          <w:szCs w:val="21"/>
        </w:rPr>
        <w:t xml:space="preserve"> para limitar los proceso?»; y v) ¿«las entidades están obligadas a limitar a </w:t>
      </w:r>
      <w:proofErr w:type="spellStart"/>
      <w:r w:rsidRPr="004B6783">
        <w:rPr>
          <w:rFonts w:ascii="Arial" w:eastAsia="Calibri" w:hAnsi="Arial" w:cs="Arial"/>
          <w:color w:val="000000" w:themeColor="text1"/>
          <w:sz w:val="21"/>
          <w:szCs w:val="21"/>
        </w:rPr>
        <w:t>Mipymes</w:t>
      </w:r>
      <w:proofErr w:type="spellEnd"/>
      <w:r w:rsidRPr="004B6783">
        <w:rPr>
          <w:rFonts w:ascii="Arial" w:eastAsia="Calibri" w:hAnsi="Arial" w:cs="Arial"/>
          <w:color w:val="000000" w:themeColor="text1"/>
          <w:sz w:val="21"/>
          <w:szCs w:val="21"/>
        </w:rPr>
        <w:t>?».</w:t>
      </w:r>
    </w:p>
    <w:p w14:paraId="58ECCF6C" w14:textId="77777777" w:rsidR="008151F2" w:rsidRPr="004B6783" w:rsidRDefault="008151F2" w:rsidP="008151F2">
      <w:pPr>
        <w:tabs>
          <w:tab w:val="left" w:pos="7513"/>
        </w:tabs>
        <w:spacing w:line="276" w:lineRule="auto"/>
        <w:ind w:left="709" w:right="709"/>
        <w:jc w:val="both"/>
        <w:rPr>
          <w:rFonts w:ascii="Arial" w:eastAsia="Calibri" w:hAnsi="Arial" w:cs="Arial"/>
          <w:color w:val="000000" w:themeColor="text1"/>
          <w:sz w:val="21"/>
          <w:szCs w:val="21"/>
        </w:rPr>
      </w:pPr>
    </w:p>
    <w:p w14:paraId="5BDE94A2" w14:textId="1E658A47" w:rsidR="008151F2" w:rsidRPr="004B6783" w:rsidRDefault="008151F2" w:rsidP="001948E2">
      <w:pPr>
        <w:tabs>
          <w:tab w:val="left" w:pos="709"/>
        </w:tabs>
        <w:spacing w:line="276" w:lineRule="auto"/>
        <w:jc w:val="both"/>
        <w:rPr>
          <w:rFonts w:ascii="Arial" w:hAnsi="Arial" w:cs="Arial"/>
          <w:color w:val="000000" w:themeColor="text1"/>
          <w:sz w:val="22"/>
        </w:rPr>
      </w:pPr>
      <w:r w:rsidRPr="004B6783">
        <w:rPr>
          <w:rFonts w:ascii="Arial" w:eastAsia="Calibri" w:hAnsi="Arial" w:cs="Arial"/>
          <w:color w:val="000000" w:themeColor="text1"/>
          <w:sz w:val="22"/>
        </w:rPr>
        <w:t xml:space="preserve">Si la entidad que adelanta el proceso de selección está sometida al </w:t>
      </w:r>
      <w:r w:rsidR="006E096A" w:rsidRPr="004B6783">
        <w:rPr>
          <w:rFonts w:ascii="Arial" w:eastAsia="Calibri" w:hAnsi="Arial" w:cs="Arial"/>
          <w:color w:val="000000" w:themeColor="text1"/>
          <w:sz w:val="22"/>
        </w:rPr>
        <w:t>Estatuto Ge</w:t>
      </w:r>
      <w:r w:rsidRPr="004B6783">
        <w:rPr>
          <w:rFonts w:ascii="Arial" w:eastAsia="Calibri" w:hAnsi="Arial" w:cs="Arial"/>
          <w:color w:val="000000" w:themeColor="text1"/>
          <w:sz w:val="22"/>
        </w:rPr>
        <w:t xml:space="preserve">neral de </w:t>
      </w:r>
      <w:r w:rsidR="00200189" w:rsidRPr="004B6783">
        <w:rPr>
          <w:rFonts w:ascii="Arial" w:eastAsia="Calibri" w:hAnsi="Arial" w:cs="Arial"/>
          <w:color w:val="000000" w:themeColor="text1"/>
          <w:sz w:val="22"/>
        </w:rPr>
        <w:t>C</w:t>
      </w:r>
      <w:r w:rsidRPr="004B6783">
        <w:rPr>
          <w:rFonts w:ascii="Arial" w:eastAsia="Calibri" w:hAnsi="Arial" w:cs="Arial"/>
          <w:color w:val="000000" w:themeColor="text1"/>
          <w:sz w:val="22"/>
        </w:rPr>
        <w:t>ontratación</w:t>
      </w:r>
      <w:r w:rsidR="00200189" w:rsidRPr="004B6783">
        <w:rPr>
          <w:rFonts w:ascii="Arial" w:eastAsia="Calibri" w:hAnsi="Arial" w:cs="Arial"/>
          <w:color w:val="000000" w:themeColor="text1"/>
          <w:sz w:val="22"/>
        </w:rPr>
        <w:t xml:space="preserve"> de la Administración Pública</w:t>
      </w:r>
      <w:r w:rsidRPr="004B6783">
        <w:rPr>
          <w:rFonts w:ascii="Arial" w:eastAsia="Calibri" w:hAnsi="Arial" w:cs="Arial"/>
          <w:color w:val="000000" w:themeColor="text1"/>
          <w:sz w:val="22"/>
        </w:rPr>
        <w:t xml:space="preserve">, sí está obligada a llevar a cabo la </w:t>
      </w:r>
      <w:r w:rsidRPr="004B6783">
        <w:rPr>
          <w:rFonts w:ascii="Arial" w:hAnsi="Arial" w:cs="Arial"/>
          <w:color w:val="000000" w:themeColor="text1"/>
          <w:sz w:val="22"/>
        </w:rPr>
        <w:t xml:space="preserve">«convocatoria limitada a </w:t>
      </w:r>
      <w:proofErr w:type="spellStart"/>
      <w:r w:rsidRPr="004B6783">
        <w:rPr>
          <w:rFonts w:ascii="Arial" w:hAnsi="Arial" w:cs="Arial"/>
          <w:color w:val="000000" w:themeColor="text1"/>
          <w:sz w:val="22"/>
        </w:rPr>
        <w:t>Mipymes</w:t>
      </w:r>
      <w:proofErr w:type="spellEnd"/>
      <w:r w:rsidRPr="004B6783">
        <w:rPr>
          <w:rFonts w:ascii="Arial" w:hAnsi="Arial" w:cs="Arial"/>
          <w:color w:val="000000" w:themeColor="text1"/>
          <w:sz w:val="22"/>
        </w:rPr>
        <w:t>»</w:t>
      </w:r>
      <w:r w:rsidRPr="004B6783">
        <w:rPr>
          <w:rFonts w:ascii="Arial" w:eastAsia="Calibri" w:hAnsi="Arial" w:cs="Arial"/>
          <w:color w:val="000000" w:themeColor="text1"/>
          <w:sz w:val="22"/>
        </w:rPr>
        <w:t xml:space="preserve">, por mandato expreso del artículo </w:t>
      </w:r>
      <w:r w:rsidRPr="004B6783">
        <w:rPr>
          <w:rFonts w:ascii="Arial" w:hAnsi="Arial" w:cs="Arial"/>
          <w:color w:val="000000" w:themeColor="text1"/>
          <w:sz w:val="22"/>
        </w:rPr>
        <w:t>2.2.1.2.4.2.2 del Decreto 1082 de 2015, claro está, siempre que se cumplan las exigencias establecidas en dicha norma</w:t>
      </w:r>
      <w:r w:rsidR="00D40E29" w:rsidRPr="004B6783">
        <w:rPr>
          <w:rFonts w:ascii="Arial" w:hAnsi="Arial" w:cs="Arial"/>
          <w:color w:val="000000" w:themeColor="text1"/>
          <w:sz w:val="22"/>
        </w:rPr>
        <w:t xml:space="preserve">, teniendo en cuenta </w:t>
      </w:r>
      <w:r w:rsidR="00687971" w:rsidRPr="004B6783">
        <w:rPr>
          <w:rFonts w:ascii="Arial" w:hAnsi="Arial" w:cs="Arial"/>
          <w:color w:val="000000" w:themeColor="text1"/>
          <w:sz w:val="22"/>
        </w:rPr>
        <w:t xml:space="preserve">que la «limitación territorial» regulada en el artículo </w:t>
      </w:r>
      <w:r w:rsidR="00687971" w:rsidRPr="004B6783">
        <w:rPr>
          <w:rFonts w:ascii="Arial" w:eastAsia="Calibri" w:hAnsi="Arial" w:cs="Arial"/>
          <w:color w:val="000000" w:themeColor="text1"/>
          <w:sz w:val="22"/>
        </w:rPr>
        <w:t xml:space="preserve">2.2.1.2.4.2.3. </w:t>
      </w:r>
      <w:r w:rsidR="00687971" w:rsidRPr="004B6783">
        <w:rPr>
          <w:rFonts w:ascii="Arial" w:eastAsia="Calibri" w:hAnsi="Arial" w:cs="Arial"/>
          <w:i/>
          <w:iCs/>
          <w:color w:val="000000" w:themeColor="text1"/>
          <w:sz w:val="22"/>
        </w:rPr>
        <w:t xml:space="preserve">ibidem </w:t>
      </w:r>
      <w:r w:rsidR="00687971" w:rsidRPr="004B6783">
        <w:rPr>
          <w:rFonts w:ascii="Arial" w:hAnsi="Arial" w:cs="Arial"/>
          <w:color w:val="000000" w:themeColor="text1"/>
          <w:sz w:val="22"/>
        </w:rPr>
        <w:t>es facultativa para las entidades</w:t>
      </w:r>
      <w:r w:rsidR="004340D2" w:rsidRPr="004B6783">
        <w:rPr>
          <w:rFonts w:ascii="Arial" w:hAnsi="Arial" w:cs="Arial"/>
          <w:color w:val="000000" w:themeColor="text1"/>
          <w:sz w:val="22"/>
        </w:rPr>
        <w:t xml:space="preserve"> estatales</w:t>
      </w:r>
      <w:r w:rsidR="00687971" w:rsidRPr="004B6783">
        <w:rPr>
          <w:rFonts w:ascii="Arial" w:hAnsi="Arial" w:cs="Arial"/>
          <w:color w:val="000000" w:themeColor="text1"/>
          <w:sz w:val="22"/>
        </w:rPr>
        <w:t xml:space="preserve">. </w:t>
      </w:r>
      <w:r w:rsidR="00C34159" w:rsidRPr="004B6783">
        <w:rPr>
          <w:rFonts w:ascii="Arial" w:hAnsi="Arial" w:cs="Arial"/>
          <w:color w:val="000000" w:themeColor="text1"/>
          <w:sz w:val="22"/>
        </w:rPr>
        <w:t xml:space="preserve">Con todo, se debe precisar que </w:t>
      </w:r>
      <w:r w:rsidR="00E67F04" w:rsidRPr="004B6783">
        <w:rPr>
          <w:rFonts w:ascii="Arial" w:hAnsi="Arial" w:cs="Arial"/>
          <w:color w:val="000000" w:themeColor="text1"/>
          <w:sz w:val="22"/>
        </w:rPr>
        <w:t xml:space="preserve">estas limitaciones no aplican en los procedimientos </w:t>
      </w:r>
      <w:r w:rsidR="000C5FA5" w:rsidRPr="004B6783">
        <w:rPr>
          <w:rFonts w:ascii="Arial" w:hAnsi="Arial" w:cs="Arial"/>
          <w:color w:val="000000" w:themeColor="text1"/>
          <w:sz w:val="22"/>
        </w:rPr>
        <w:t>contractuales de las entidades exceptuadas de la aplicación de la Ley 80 de 1993</w:t>
      </w:r>
      <w:r w:rsidR="00814386" w:rsidRPr="004B6783">
        <w:rPr>
          <w:rFonts w:ascii="Arial" w:hAnsi="Arial" w:cs="Arial"/>
          <w:color w:val="000000" w:themeColor="text1"/>
          <w:sz w:val="22"/>
        </w:rPr>
        <w:t>, como son, entre otras, las entidades enlistadas en el artículo 16 de la Ley 1150 de 2007.</w:t>
      </w:r>
    </w:p>
    <w:p w14:paraId="22F65D89" w14:textId="77777777" w:rsidR="00907BE4" w:rsidRDefault="00907BE4" w:rsidP="003C3CDE">
      <w:pPr>
        <w:spacing w:line="276" w:lineRule="auto"/>
        <w:ind w:firstLine="708"/>
        <w:jc w:val="both"/>
        <w:rPr>
          <w:rFonts w:ascii="Arial" w:eastAsia="Calibri" w:hAnsi="Arial" w:cs="Arial"/>
          <w:color w:val="000000" w:themeColor="text1"/>
          <w:sz w:val="22"/>
        </w:rPr>
      </w:pPr>
    </w:p>
    <w:p w14:paraId="5D94F303" w14:textId="16645AA6" w:rsidR="008151F2" w:rsidRPr="004B6783" w:rsidRDefault="008151F2" w:rsidP="003C3CDE">
      <w:pPr>
        <w:spacing w:line="276" w:lineRule="auto"/>
        <w:ind w:firstLine="708"/>
        <w:jc w:val="both"/>
        <w:rPr>
          <w:rFonts w:ascii="Arial" w:eastAsia="Calibri" w:hAnsi="Arial" w:cs="Arial"/>
          <w:color w:val="000000" w:themeColor="text1"/>
          <w:sz w:val="22"/>
        </w:rPr>
      </w:pPr>
      <w:r w:rsidRPr="004B6783">
        <w:rPr>
          <w:rFonts w:ascii="Arial" w:eastAsia="Calibri" w:hAnsi="Arial" w:cs="Arial"/>
          <w:color w:val="000000" w:themeColor="text1"/>
          <w:sz w:val="22"/>
        </w:rPr>
        <w:t>Este concepto tiene el alcance previsto en el artículo 28 del Código de Procedimiento Administrativo y de lo Contencioso Administrativo.</w:t>
      </w:r>
    </w:p>
    <w:p w14:paraId="363B9DBF" w14:textId="77777777" w:rsidR="008151F2" w:rsidRPr="004B6783" w:rsidRDefault="008151F2" w:rsidP="008151F2">
      <w:pPr>
        <w:spacing w:line="276" w:lineRule="auto"/>
        <w:ind w:firstLine="708"/>
        <w:jc w:val="both"/>
        <w:rPr>
          <w:rFonts w:ascii="Arial" w:eastAsia="Calibri" w:hAnsi="Arial" w:cs="Arial"/>
          <w:color w:val="000000" w:themeColor="text1"/>
          <w:sz w:val="22"/>
        </w:rPr>
      </w:pPr>
    </w:p>
    <w:p w14:paraId="281F7231" w14:textId="77777777" w:rsidR="008151F2" w:rsidRPr="004B6783" w:rsidRDefault="008151F2" w:rsidP="008151F2">
      <w:pPr>
        <w:jc w:val="both"/>
        <w:rPr>
          <w:rFonts w:ascii="Arial" w:eastAsia="Times New Roman" w:hAnsi="Arial" w:cs="Arial"/>
          <w:color w:val="000000" w:themeColor="text1"/>
          <w:sz w:val="22"/>
          <w:lang w:eastAsia="es-CO"/>
        </w:rPr>
      </w:pPr>
      <w:r w:rsidRPr="004B6783">
        <w:rPr>
          <w:rFonts w:ascii="Arial" w:eastAsia="Times New Roman" w:hAnsi="Arial" w:cs="Arial"/>
          <w:color w:val="000000" w:themeColor="text1"/>
          <w:sz w:val="22"/>
          <w:lang w:eastAsia="es-CO"/>
        </w:rPr>
        <w:t>Atentamente,</w:t>
      </w:r>
    </w:p>
    <w:p w14:paraId="596C986B" w14:textId="77777777" w:rsidR="008151F2" w:rsidRPr="004B6783" w:rsidRDefault="008151F2" w:rsidP="008151F2">
      <w:pPr>
        <w:spacing w:line="276" w:lineRule="auto"/>
        <w:jc w:val="both"/>
        <w:rPr>
          <w:rFonts w:ascii="Arial" w:eastAsia="Calibri" w:hAnsi="Arial" w:cs="Arial"/>
          <w:b/>
          <w:color w:val="000000" w:themeColor="text1"/>
          <w:sz w:val="22"/>
        </w:rPr>
      </w:pPr>
    </w:p>
    <w:bookmarkEnd w:id="0"/>
    <w:bookmarkEnd w:id="1"/>
    <w:p w14:paraId="362019D0" w14:textId="76C20A99" w:rsidR="008151F2" w:rsidRDefault="009151BA" w:rsidP="008151F2">
      <w:pPr>
        <w:jc w:val="center"/>
        <w:rPr>
          <w:rFonts w:ascii="Arial" w:eastAsia="Times New Roman" w:hAnsi="Arial" w:cs="Arial"/>
          <w:color w:val="000000" w:themeColor="text1"/>
          <w:sz w:val="18"/>
          <w:szCs w:val="20"/>
          <w:lang w:eastAsia="es-CO"/>
        </w:rPr>
      </w:pPr>
      <w:r>
        <w:rPr>
          <w:noProof/>
        </w:rPr>
        <w:drawing>
          <wp:inline distT="0" distB="0" distL="0" distR="0" wp14:anchorId="3A66D53E" wp14:editId="30E2560D">
            <wp:extent cx="2773045" cy="988695"/>
            <wp:effectExtent l="0" t="0" r="0" b="0"/>
            <wp:docPr id="205437577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D1D8AEB" w14:textId="77777777" w:rsidR="009151BA" w:rsidRPr="004B6783" w:rsidRDefault="009151BA" w:rsidP="008151F2">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B6783" w:rsidRPr="004B6783" w14:paraId="2D7F3EDB" w14:textId="77777777" w:rsidTr="00E23942">
        <w:trPr>
          <w:trHeight w:val="315"/>
        </w:trPr>
        <w:tc>
          <w:tcPr>
            <w:tcW w:w="812" w:type="dxa"/>
            <w:vAlign w:val="center"/>
            <w:hideMark/>
          </w:tcPr>
          <w:p w14:paraId="088B0B58" w14:textId="77777777" w:rsidR="008151F2" w:rsidRPr="004B6783" w:rsidRDefault="008151F2" w:rsidP="00D86521">
            <w:pPr>
              <w:rPr>
                <w:rFonts w:ascii="Arial" w:eastAsia="Times New Roman" w:hAnsi="Arial" w:cs="Arial"/>
                <w:color w:val="000000" w:themeColor="text1"/>
                <w:sz w:val="16"/>
                <w:szCs w:val="16"/>
                <w:lang w:eastAsia="es-ES"/>
              </w:rPr>
            </w:pPr>
            <w:r w:rsidRPr="004B678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93EED15" w14:textId="22C3CF08" w:rsidR="008151F2" w:rsidRPr="004B6783" w:rsidRDefault="00E23942" w:rsidP="00D86521">
            <w:pPr>
              <w:rPr>
                <w:rFonts w:ascii="Arial" w:eastAsia="Times New Roman" w:hAnsi="Arial" w:cs="Arial"/>
                <w:color w:val="000000" w:themeColor="text1"/>
                <w:sz w:val="16"/>
                <w:szCs w:val="16"/>
                <w:lang w:eastAsia="es-ES"/>
              </w:rPr>
            </w:pPr>
            <w:r w:rsidRPr="004B6783">
              <w:rPr>
                <w:rFonts w:ascii="Arial" w:eastAsia="Times New Roman" w:hAnsi="Arial" w:cs="Arial"/>
                <w:color w:val="000000" w:themeColor="text1"/>
                <w:sz w:val="16"/>
                <w:szCs w:val="16"/>
                <w:lang w:eastAsia="es-ES"/>
              </w:rPr>
              <w:t>David Castellanos Carreño</w:t>
            </w:r>
          </w:p>
          <w:p w14:paraId="5E1A2EB8" w14:textId="6EB79862" w:rsidR="008151F2" w:rsidRPr="004B6783" w:rsidRDefault="00E23942" w:rsidP="00D86521">
            <w:pPr>
              <w:rPr>
                <w:rFonts w:ascii="Arial" w:eastAsia="Times New Roman" w:hAnsi="Arial" w:cs="Arial"/>
                <w:color w:val="000000" w:themeColor="text1"/>
                <w:sz w:val="16"/>
                <w:szCs w:val="16"/>
                <w:lang w:eastAsia="es-ES"/>
              </w:rPr>
            </w:pPr>
            <w:r w:rsidRPr="004B6783">
              <w:rPr>
                <w:rFonts w:ascii="Arial" w:eastAsia="Times New Roman" w:hAnsi="Arial" w:cs="Arial"/>
                <w:color w:val="000000" w:themeColor="text1"/>
                <w:sz w:val="16"/>
                <w:szCs w:val="16"/>
                <w:lang w:eastAsia="es-ES"/>
              </w:rPr>
              <w:t>Contratista</w:t>
            </w:r>
          </w:p>
        </w:tc>
      </w:tr>
      <w:tr w:rsidR="004B6783" w:rsidRPr="004B6783" w14:paraId="3DB05B50" w14:textId="77777777" w:rsidTr="00E23942">
        <w:trPr>
          <w:trHeight w:val="330"/>
        </w:trPr>
        <w:tc>
          <w:tcPr>
            <w:tcW w:w="812" w:type="dxa"/>
            <w:vAlign w:val="center"/>
            <w:hideMark/>
          </w:tcPr>
          <w:p w14:paraId="059B34A0" w14:textId="77777777" w:rsidR="008151F2" w:rsidRPr="004B6783" w:rsidRDefault="008151F2" w:rsidP="00D86521">
            <w:pPr>
              <w:rPr>
                <w:rFonts w:ascii="Arial" w:eastAsia="Times New Roman" w:hAnsi="Arial" w:cs="Arial"/>
                <w:color w:val="000000" w:themeColor="text1"/>
                <w:sz w:val="16"/>
                <w:szCs w:val="16"/>
                <w:lang w:eastAsia="es-ES"/>
              </w:rPr>
            </w:pPr>
            <w:r w:rsidRPr="004B678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3E822B" w14:textId="19E7CAF4" w:rsidR="008151F2" w:rsidRPr="004B6783" w:rsidRDefault="00E23942" w:rsidP="00D86521">
            <w:pPr>
              <w:rPr>
                <w:rFonts w:ascii="Arial" w:eastAsia="Times New Roman" w:hAnsi="Arial" w:cs="Arial"/>
                <w:color w:val="000000" w:themeColor="text1"/>
                <w:sz w:val="16"/>
                <w:szCs w:val="16"/>
                <w:lang w:eastAsia="es-ES"/>
              </w:rPr>
            </w:pPr>
            <w:r w:rsidRPr="004B6783">
              <w:rPr>
                <w:rFonts w:ascii="Arial" w:eastAsia="Times New Roman" w:hAnsi="Arial" w:cs="Arial"/>
                <w:color w:val="000000" w:themeColor="text1"/>
                <w:sz w:val="16"/>
                <w:szCs w:val="16"/>
                <w:lang w:eastAsia="es-ES"/>
              </w:rPr>
              <w:t>Sebastián Ramírez Grisales</w:t>
            </w:r>
          </w:p>
          <w:p w14:paraId="2F146D42" w14:textId="0BC79BAF" w:rsidR="008151F2" w:rsidRPr="004B6783" w:rsidRDefault="00E23942" w:rsidP="00D86521">
            <w:pPr>
              <w:rPr>
                <w:rFonts w:ascii="Arial" w:eastAsia="Times New Roman" w:hAnsi="Arial" w:cs="Arial"/>
                <w:color w:val="000000" w:themeColor="text1"/>
                <w:sz w:val="16"/>
                <w:szCs w:val="16"/>
                <w:lang w:eastAsia="es-ES"/>
              </w:rPr>
            </w:pPr>
            <w:r w:rsidRPr="004B6783">
              <w:rPr>
                <w:rFonts w:ascii="Arial" w:eastAsia="Times New Roman" w:hAnsi="Arial" w:cs="Arial"/>
                <w:color w:val="000000" w:themeColor="text1"/>
                <w:sz w:val="16"/>
                <w:szCs w:val="16"/>
                <w:lang w:eastAsia="es-ES"/>
              </w:rPr>
              <w:t>Contratista</w:t>
            </w:r>
          </w:p>
        </w:tc>
      </w:tr>
      <w:tr w:rsidR="008151F2" w:rsidRPr="004B6783" w14:paraId="588BC077" w14:textId="77777777" w:rsidTr="00E23942">
        <w:trPr>
          <w:trHeight w:val="300"/>
        </w:trPr>
        <w:tc>
          <w:tcPr>
            <w:tcW w:w="812" w:type="dxa"/>
            <w:vAlign w:val="center"/>
            <w:hideMark/>
          </w:tcPr>
          <w:p w14:paraId="31ABD9D7" w14:textId="77777777" w:rsidR="008151F2" w:rsidRPr="004B6783" w:rsidRDefault="008151F2" w:rsidP="00D86521">
            <w:pPr>
              <w:rPr>
                <w:rFonts w:ascii="Arial" w:eastAsia="Times New Roman" w:hAnsi="Arial" w:cs="Arial"/>
                <w:color w:val="000000" w:themeColor="text1"/>
                <w:sz w:val="16"/>
                <w:szCs w:val="16"/>
                <w:lang w:eastAsia="es-ES"/>
              </w:rPr>
            </w:pPr>
            <w:r w:rsidRPr="004B678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8D0D56A" w14:textId="77777777" w:rsidR="008151F2" w:rsidRPr="004B6783" w:rsidRDefault="008151F2" w:rsidP="00D86521">
            <w:pPr>
              <w:rPr>
                <w:rFonts w:ascii="Arial" w:eastAsia="Times New Roman" w:hAnsi="Arial" w:cs="Arial"/>
                <w:color w:val="000000" w:themeColor="text1"/>
                <w:sz w:val="16"/>
                <w:szCs w:val="16"/>
                <w:lang w:eastAsia="es-ES"/>
              </w:rPr>
            </w:pPr>
            <w:r w:rsidRPr="004B6783">
              <w:rPr>
                <w:rFonts w:ascii="Arial" w:eastAsia="Times New Roman" w:hAnsi="Arial" w:cs="Arial"/>
                <w:color w:val="000000" w:themeColor="text1"/>
                <w:sz w:val="16"/>
                <w:szCs w:val="16"/>
                <w:lang w:eastAsia="es-ES"/>
              </w:rPr>
              <w:t>Fabián Gonzalo Marín Cortés</w:t>
            </w:r>
          </w:p>
          <w:p w14:paraId="6E9801D8" w14:textId="77777777" w:rsidR="008151F2" w:rsidRPr="004B6783" w:rsidRDefault="008151F2" w:rsidP="00D86521">
            <w:pPr>
              <w:rPr>
                <w:rFonts w:ascii="Arial" w:eastAsia="Times New Roman" w:hAnsi="Arial" w:cs="Arial"/>
                <w:color w:val="000000" w:themeColor="text1"/>
                <w:sz w:val="16"/>
                <w:szCs w:val="16"/>
                <w:lang w:eastAsia="es-ES"/>
              </w:rPr>
            </w:pPr>
            <w:r w:rsidRPr="004B6783">
              <w:rPr>
                <w:rFonts w:ascii="Arial" w:eastAsia="Times New Roman" w:hAnsi="Arial" w:cs="Arial"/>
                <w:color w:val="000000" w:themeColor="text1"/>
                <w:sz w:val="16"/>
                <w:szCs w:val="16"/>
                <w:lang w:eastAsia="es-ES"/>
              </w:rPr>
              <w:t>Subdirector de Gestión Contractual</w:t>
            </w:r>
          </w:p>
        </w:tc>
      </w:tr>
    </w:tbl>
    <w:p w14:paraId="39ECE204" w14:textId="77777777" w:rsidR="008151F2" w:rsidRPr="004B6783" w:rsidRDefault="008151F2" w:rsidP="008151F2">
      <w:pPr>
        <w:rPr>
          <w:rFonts w:ascii="Arial" w:eastAsia="Times New Roman" w:hAnsi="Arial" w:cs="Arial"/>
          <w:color w:val="000000" w:themeColor="text1"/>
          <w:sz w:val="16"/>
          <w:szCs w:val="16"/>
          <w:lang w:eastAsia="es-ES"/>
        </w:rPr>
      </w:pPr>
    </w:p>
    <w:p w14:paraId="4FA7747E" w14:textId="77777777" w:rsidR="00E22773" w:rsidRPr="004B6783" w:rsidRDefault="00E22773">
      <w:pPr>
        <w:rPr>
          <w:rFonts w:ascii="Arial" w:hAnsi="Arial" w:cs="Arial"/>
          <w:color w:val="000000" w:themeColor="text1"/>
        </w:rPr>
      </w:pPr>
    </w:p>
    <w:sectPr w:rsidR="00E22773" w:rsidRPr="004B6783"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89A2E" w14:textId="77777777" w:rsidR="00B60CA7" w:rsidRDefault="00B60CA7" w:rsidP="008151F2">
      <w:r>
        <w:separator/>
      </w:r>
    </w:p>
  </w:endnote>
  <w:endnote w:type="continuationSeparator" w:id="0">
    <w:p w14:paraId="156A983C" w14:textId="77777777" w:rsidR="00B60CA7" w:rsidRDefault="00B60CA7" w:rsidP="0081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5461F" w14:textId="77777777" w:rsidR="00FE42ED" w:rsidRPr="008217B7" w:rsidRDefault="00E2394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B700BD1" w14:textId="77777777" w:rsidR="009047C5" w:rsidRDefault="4C85F6A5" w:rsidP="00322937">
    <w:pPr>
      <w:pStyle w:val="Piedepgina"/>
      <w:jc w:val="center"/>
      <w:rPr>
        <w:lang w:val="es-ES"/>
      </w:rPr>
    </w:pPr>
    <w:r>
      <w:rPr>
        <w:noProof/>
      </w:rPr>
      <w:drawing>
        <wp:inline distT="0" distB="0" distL="0" distR="0" wp14:anchorId="35DF9C13" wp14:editId="425622E6">
          <wp:extent cx="3700130" cy="519139"/>
          <wp:effectExtent l="0" t="0" r="0" b="0"/>
          <wp:docPr id="4006283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4825B2C" w14:textId="77777777" w:rsidR="00322937" w:rsidRDefault="00955C2B" w:rsidP="007B0854">
    <w:pPr>
      <w:pStyle w:val="Piedepgina"/>
      <w:jc w:val="center"/>
      <w:rPr>
        <w:lang w:val="es-ES"/>
      </w:rPr>
    </w:pPr>
  </w:p>
  <w:p w14:paraId="67F05F67" w14:textId="77777777" w:rsidR="004A34D2" w:rsidRPr="007B0854" w:rsidRDefault="00955C2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AF7EB7" w14:textId="77777777" w:rsidR="00B60CA7" w:rsidRDefault="00B60CA7" w:rsidP="008151F2">
      <w:r>
        <w:separator/>
      </w:r>
    </w:p>
  </w:footnote>
  <w:footnote w:type="continuationSeparator" w:id="0">
    <w:p w14:paraId="7736AB3F" w14:textId="77777777" w:rsidR="00B60CA7" w:rsidRDefault="00B60CA7" w:rsidP="008151F2">
      <w:r>
        <w:continuationSeparator/>
      </w:r>
    </w:p>
  </w:footnote>
  <w:footnote w:id="1">
    <w:p w14:paraId="646D47AB" w14:textId="77777777"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Pr="002A3C0E">
        <w:rPr>
          <w:rFonts w:ascii="Arial" w:hAnsi="Arial" w:cs="Arial"/>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3172BF59" w14:textId="20447760" w:rsidR="008151F2" w:rsidRPr="002A3C0E" w:rsidRDefault="008151F2" w:rsidP="007F39CA">
      <w:pPr>
        <w:pStyle w:val="Textonotapie"/>
        <w:ind w:firstLine="708"/>
        <w:jc w:val="both"/>
        <w:rPr>
          <w:rFonts w:ascii="Arial" w:hAnsi="Arial" w:cs="Arial"/>
          <w:sz w:val="19"/>
          <w:szCs w:val="19"/>
        </w:rPr>
      </w:pPr>
      <w:r w:rsidRPr="002A3C0E">
        <w:rPr>
          <w:rFonts w:ascii="Arial" w:hAnsi="Arial" w:cs="Arial"/>
          <w:sz w:val="19"/>
          <w:szCs w:val="19"/>
        </w:rPr>
        <w:t xml:space="preserve">»1. Mediana empresa: // a) Planta de personal entre cincuenta y uno (51) y doscientos (200) trabajadores, o // b) Activos totales por valor entre 100.000 a 610.000 UVT.  </w:t>
      </w:r>
    </w:p>
    <w:p w14:paraId="1A2379D9" w14:textId="77777777" w:rsidR="008151F2" w:rsidRPr="002A3C0E" w:rsidRDefault="008151F2" w:rsidP="007F39CA">
      <w:pPr>
        <w:pStyle w:val="Textonotapie"/>
        <w:ind w:firstLine="708"/>
        <w:jc w:val="both"/>
        <w:rPr>
          <w:rFonts w:ascii="Arial" w:hAnsi="Arial" w:cs="Arial"/>
          <w:sz w:val="19"/>
          <w:szCs w:val="19"/>
        </w:rPr>
      </w:pPr>
      <w:r w:rsidRPr="002A3C0E">
        <w:rPr>
          <w:rFonts w:ascii="Arial" w:hAnsi="Arial" w:cs="Arial"/>
          <w:sz w:val="19"/>
          <w:szCs w:val="19"/>
        </w:rPr>
        <w:t>» Pequeña empresa: // a) Planta de personal entre once (11) y cincuenta (50) trabajadores, o // b) Activos totales por valor entre quinientos uno (501) y menos de cinco mil (5.000) salarios mínimos mensuales legales vigentes o,</w:t>
      </w:r>
    </w:p>
    <w:p w14:paraId="5E063C5E" w14:textId="77777777" w:rsidR="008151F2" w:rsidRPr="002A3C0E" w:rsidRDefault="008151F2" w:rsidP="007F39CA">
      <w:pPr>
        <w:pStyle w:val="Textonotapie"/>
        <w:ind w:firstLine="708"/>
        <w:jc w:val="both"/>
        <w:rPr>
          <w:rFonts w:ascii="Arial" w:hAnsi="Arial" w:cs="Arial"/>
          <w:sz w:val="19"/>
          <w:szCs w:val="19"/>
        </w:rPr>
      </w:pPr>
      <w:r w:rsidRPr="002A3C0E">
        <w:rPr>
          <w:rFonts w:ascii="Arial" w:hAnsi="Arial" w:cs="Arial"/>
          <w:sz w:val="19"/>
          <w:szCs w:val="19"/>
        </w:rPr>
        <w:t>»3. Microempresa: // a) Planta de personal no superior a los diez (10) trabajadores o, // b) Activos totales excluida la vivienda por valor inferior a quinientos (500) salarios mínimos mensuales legales vigentes».</w:t>
      </w:r>
    </w:p>
  </w:footnote>
  <w:footnote w:id="2">
    <w:p w14:paraId="3046C761" w14:textId="77777777" w:rsidR="008151F2" w:rsidRPr="002A3C0E" w:rsidRDefault="008151F2" w:rsidP="007F39CA">
      <w:pPr>
        <w:pStyle w:val="Textonotapie"/>
        <w:jc w:val="both"/>
        <w:rPr>
          <w:rFonts w:ascii="Arial" w:hAnsi="Arial" w:cs="Arial"/>
          <w:sz w:val="19"/>
          <w:szCs w:val="19"/>
          <w:lang w:val="es-ES"/>
        </w:rPr>
      </w:pPr>
    </w:p>
  </w:footnote>
  <w:footnote w:id="3">
    <w:p w14:paraId="265B96ED" w14:textId="77777777"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Pr="002A3C0E">
        <w:rPr>
          <w:rFonts w:ascii="Arial" w:hAnsi="Arial" w:cs="Arial"/>
          <w:sz w:val="19"/>
          <w:szCs w:val="19"/>
        </w:rPr>
        <w:t xml:space="preserve"> «Artículo 12. Concurrencia de las </w:t>
      </w:r>
      <w:proofErr w:type="spellStart"/>
      <w:r w:rsidRPr="002A3C0E">
        <w:rPr>
          <w:rFonts w:ascii="Arial" w:hAnsi="Arial" w:cs="Arial"/>
          <w:sz w:val="19"/>
          <w:szCs w:val="19"/>
        </w:rPr>
        <w:t>Mipymes</w:t>
      </w:r>
      <w:proofErr w:type="spellEnd"/>
      <w:r w:rsidRPr="002A3C0E">
        <w:rPr>
          <w:rFonts w:ascii="Arial" w:hAnsi="Arial" w:cs="Arial"/>
          <w:sz w:val="19"/>
          <w:szCs w:val="19"/>
        </w:rPr>
        <w:t xml:space="preserve">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4D432E5D" w14:textId="77777777" w:rsidR="008151F2" w:rsidRPr="002A3C0E" w:rsidRDefault="008151F2" w:rsidP="007F39CA">
      <w:pPr>
        <w:pStyle w:val="Textonotapie"/>
        <w:jc w:val="both"/>
        <w:rPr>
          <w:rFonts w:ascii="Arial" w:hAnsi="Arial" w:cs="Arial"/>
          <w:sz w:val="19"/>
          <w:szCs w:val="19"/>
        </w:rPr>
      </w:pPr>
      <w:r w:rsidRPr="002A3C0E">
        <w:rPr>
          <w:rFonts w:ascii="Arial" w:hAnsi="Arial" w:cs="Arial"/>
          <w:sz w:val="19"/>
          <w:szCs w:val="19"/>
        </w:rPr>
        <w:tab/>
        <w:t>»4. Las entidades públicas del orden nacional, departamental y municipal preferirán en condiciones de igual precio, calidad y capacidad de suministros y servicio a las Mipymes nacionales».</w:t>
      </w:r>
    </w:p>
    <w:p w14:paraId="25567357" w14:textId="77777777" w:rsidR="008151F2" w:rsidRPr="002A3C0E" w:rsidRDefault="008151F2" w:rsidP="007F39CA">
      <w:pPr>
        <w:pStyle w:val="Textonotapie"/>
        <w:jc w:val="both"/>
        <w:rPr>
          <w:rFonts w:ascii="Arial" w:hAnsi="Arial" w:cs="Arial"/>
          <w:sz w:val="19"/>
          <w:szCs w:val="19"/>
          <w:lang w:val="es-CO"/>
        </w:rPr>
      </w:pPr>
    </w:p>
  </w:footnote>
  <w:footnote w:id="4">
    <w:p w14:paraId="00938403" w14:textId="77777777"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Pr="002A3C0E">
        <w:rPr>
          <w:rFonts w:ascii="Arial" w:hAnsi="Arial" w:cs="Arial"/>
          <w:sz w:val="19"/>
          <w:szCs w:val="19"/>
        </w:rPr>
        <w:t xml:space="preserve">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14:paraId="363C0B6E" w14:textId="77777777" w:rsidR="008151F2" w:rsidRPr="002A3C0E" w:rsidRDefault="008151F2" w:rsidP="007F39CA">
      <w:pPr>
        <w:pStyle w:val="Textonotapie"/>
        <w:ind w:firstLine="708"/>
        <w:jc w:val="both"/>
        <w:rPr>
          <w:rFonts w:ascii="Arial" w:hAnsi="Arial" w:cs="Arial"/>
          <w:sz w:val="19"/>
          <w:szCs w:val="19"/>
          <w:lang w:val="es-ES"/>
        </w:rPr>
      </w:pPr>
    </w:p>
  </w:footnote>
  <w:footnote w:id="5">
    <w:p w14:paraId="388F5879" w14:textId="4DB8ED54"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Pr="002A3C0E">
        <w:rPr>
          <w:rFonts w:ascii="Arial" w:hAnsi="Arial" w:cs="Arial"/>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6E41F345" w14:textId="77777777" w:rsidR="008151F2" w:rsidRPr="002A3C0E" w:rsidRDefault="008151F2" w:rsidP="007F39CA">
      <w:pPr>
        <w:pStyle w:val="Textonotapie"/>
        <w:ind w:firstLine="708"/>
        <w:jc w:val="both"/>
        <w:rPr>
          <w:rFonts w:ascii="Arial" w:hAnsi="Arial" w:cs="Arial"/>
          <w:sz w:val="19"/>
          <w:szCs w:val="19"/>
          <w:lang w:val="es-ES"/>
        </w:rPr>
      </w:pPr>
    </w:p>
  </w:footnote>
  <w:footnote w:id="6">
    <w:p w14:paraId="731E8BAF" w14:textId="77777777"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Pr="002A3C0E">
        <w:rPr>
          <w:rFonts w:ascii="Arial" w:hAnsi="Arial" w:cs="Arial"/>
          <w:sz w:val="19"/>
          <w:szCs w:val="19"/>
        </w:rPr>
        <w:t xml:space="preserve"> La TRM diaria se puede consultar en </w:t>
      </w:r>
      <w:hyperlink r:id="rId1" w:history="1">
        <w:r w:rsidRPr="002A3C0E">
          <w:rPr>
            <w:rStyle w:val="Hipervnculo"/>
            <w:rFonts w:ascii="Arial" w:hAnsi="Arial" w:cs="Arial"/>
            <w:color w:val="auto"/>
            <w:sz w:val="19"/>
            <w:szCs w:val="19"/>
          </w:rPr>
          <w:t>https://www.banrep.gov.co/es/estadisticas/trm</w:t>
        </w:r>
      </w:hyperlink>
      <w:r w:rsidRPr="002A3C0E">
        <w:rPr>
          <w:rFonts w:ascii="Arial" w:hAnsi="Arial" w:cs="Arial"/>
          <w:sz w:val="19"/>
          <w:szCs w:val="19"/>
        </w:rPr>
        <w:t>.</w:t>
      </w:r>
    </w:p>
    <w:p w14:paraId="75E1AEE2" w14:textId="77777777" w:rsidR="008151F2" w:rsidRPr="002A3C0E" w:rsidRDefault="008151F2" w:rsidP="007F39CA">
      <w:pPr>
        <w:pStyle w:val="Textonotapie"/>
        <w:ind w:firstLine="708"/>
        <w:jc w:val="both"/>
        <w:rPr>
          <w:rFonts w:ascii="Arial" w:hAnsi="Arial" w:cs="Arial"/>
          <w:sz w:val="19"/>
          <w:szCs w:val="19"/>
          <w:lang w:val="es-ES"/>
        </w:rPr>
      </w:pPr>
    </w:p>
  </w:footnote>
  <w:footnote w:id="7">
    <w:p w14:paraId="6DFF0D1C" w14:textId="77777777" w:rsidR="008151F2" w:rsidRPr="002A3C0E" w:rsidRDefault="008151F2" w:rsidP="007F39CA">
      <w:pPr>
        <w:pStyle w:val="Textonotapie"/>
        <w:ind w:firstLine="708"/>
        <w:jc w:val="both"/>
        <w:rPr>
          <w:rFonts w:ascii="Arial" w:hAnsi="Arial" w:cs="Arial"/>
          <w:sz w:val="19"/>
          <w:szCs w:val="19"/>
          <w:lang w:val="es-ES"/>
        </w:rPr>
      </w:pPr>
      <w:r w:rsidRPr="002A3C0E">
        <w:rPr>
          <w:rStyle w:val="Refdenotaalpie"/>
          <w:rFonts w:ascii="Arial" w:hAnsi="Arial" w:cs="Arial"/>
          <w:sz w:val="19"/>
          <w:szCs w:val="19"/>
        </w:rPr>
        <w:footnoteRef/>
      </w:r>
      <w:r w:rsidRPr="002A3C0E">
        <w:rPr>
          <w:rFonts w:ascii="Arial" w:hAnsi="Arial" w:cs="Arial"/>
          <w:sz w:val="19"/>
          <w:szCs w:val="19"/>
        </w:rPr>
        <w:t xml:space="preserve"> </w:t>
      </w:r>
      <w:r w:rsidRPr="002A3C0E">
        <w:rPr>
          <w:rFonts w:ascii="Arial" w:hAnsi="Arial" w:cs="Arial"/>
          <w:sz w:val="19"/>
          <w:szCs w:val="19"/>
          <w:lang w:val="es-ES"/>
        </w:rPr>
        <w:t>Fecha de expedición del Decreto 1082.</w:t>
      </w:r>
    </w:p>
    <w:p w14:paraId="6CA6D27F" w14:textId="77777777" w:rsidR="008151F2" w:rsidRPr="002A3C0E" w:rsidRDefault="008151F2" w:rsidP="007F39CA">
      <w:pPr>
        <w:pStyle w:val="Textonotapie"/>
        <w:jc w:val="both"/>
        <w:rPr>
          <w:rFonts w:ascii="Arial" w:hAnsi="Arial" w:cs="Arial"/>
          <w:sz w:val="19"/>
          <w:szCs w:val="19"/>
          <w:lang w:val="es-ES"/>
        </w:rPr>
      </w:pPr>
    </w:p>
  </w:footnote>
  <w:footnote w:id="8">
    <w:p w14:paraId="56E63E8F" w14:textId="0491101B"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Pr="002A3C0E">
        <w:rPr>
          <w:rFonts w:ascii="Arial" w:hAnsi="Arial" w:cs="Arial"/>
          <w:sz w:val="19"/>
          <w:szCs w:val="19"/>
        </w:rPr>
        <w:t xml:space="preserve"> </w:t>
      </w:r>
      <w:hyperlink r:id="rId2" w:history="1">
        <w:r w:rsidR="0087101D" w:rsidRPr="002A3C0E">
          <w:rPr>
            <w:rStyle w:val="Hipervnculo"/>
            <w:rFonts w:ascii="Arial" w:hAnsi="Arial" w:cs="Arial"/>
            <w:color w:val="auto"/>
            <w:sz w:val="19"/>
            <w:szCs w:val="19"/>
          </w:rPr>
          <w:t>https://www.colombiacompra.gov.co/sites/cce_public/files/cce_documentos/umbrales_2020_-_2021.pdf</w:t>
        </w:r>
      </w:hyperlink>
    </w:p>
    <w:p w14:paraId="19EC9C31" w14:textId="77777777" w:rsidR="0087101D" w:rsidRPr="002A3C0E" w:rsidRDefault="0087101D" w:rsidP="007F39CA">
      <w:pPr>
        <w:pStyle w:val="Textonotapie"/>
        <w:ind w:firstLine="708"/>
        <w:jc w:val="both"/>
        <w:rPr>
          <w:rFonts w:ascii="Arial" w:hAnsi="Arial" w:cs="Arial"/>
          <w:sz w:val="19"/>
          <w:szCs w:val="19"/>
          <w:lang w:val="es-ES"/>
        </w:rPr>
      </w:pPr>
    </w:p>
  </w:footnote>
  <w:footnote w:id="9">
    <w:p w14:paraId="59FAC77E" w14:textId="77777777"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Pr="002A3C0E">
        <w:rPr>
          <w:rFonts w:ascii="Arial" w:hAnsi="Arial" w:cs="Arial"/>
          <w:sz w:val="19"/>
          <w:szCs w:val="19"/>
        </w:rPr>
        <w:t xml:space="preserve"> Ibidem.</w:t>
      </w:r>
    </w:p>
    <w:p w14:paraId="04C41AEC" w14:textId="77777777" w:rsidR="008151F2" w:rsidRPr="002A3C0E" w:rsidRDefault="008151F2" w:rsidP="007F39CA">
      <w:pPr>
        <w:pStyle w:val="Textonotapie"/>
        <w:ind w:firstLine="708"/>
        <w:jc w:val="both"/>
        <w:rPr>
          <w:rFonts w:ascii="Arial" w:hAnsi="Arial" w:cs="Arial"/>
          <w:sz w:val="19"/>
          <w:szCs w:val="19"/>
          <w:lang w:val="es-ES"/>
        </w:rPr>
      </w:pPr>
    </w:p>
  </w:footnote>
  <w:footnote w:id="10">
    <w:p w14:paraId="094CBF84" w14:textId="196941CB" w:rsidR="008151F2" w:rsidRPr="002A3C0E" w:rsidRDefault="008151F2" w:rsidP="007F39CA">
      <w:pPr>
        <w:pStyle w:val="Textonotapie"/>
        <w:ind w:firstLine="708"/>
        <w:jc w:val="both"/>
        <w:rPr>
          <w:rFonts w:ascii="Arial" w:hAnsi="Arial" w:cs="Arial"/>
          <w:sz w:val="19"/>
          <w:szCs w:val="19"/>
          <w:lang w:val="es-ES"/>
        </w:rPr>
      </w:pPr>
      <w:r w:rsidRPr="002A3C0E">
        <w:rPr>
          <w:rStyle w:val="Refdenotaalpie"/>
          <w:rFonts w:ascii="Arial" w:hAnsi="Arial" w:cs="Arial"/>
          <w:sz w:val="19"/>
          <w:szCs w:val="19"/>
        </w:rPr>
        <w:footnoteRef/>
      </w:r>
      <w:r w:rsidRPr="002A3C0E">
        <w:rPr>
          <w:rFonts w:ascii="Arial" w:hAnsi="Arial" w:cs="Arial"/>
          <w:sz w:val="19"/>
          <w:szCs w:val="19"/>
        </w:rPr>
        <w:t xml:space="preserve"> Concepto emitido en el radicado 4201913000005674, dictado el 27 de septiembre de 2019.</w:t>
      </w:r>
    </w:p>
  </w:footnote>
  <w:footnote w:id="11">
    <w:p w14:paraId="605BEB9D" w14:textId="77777777" w:rsidR="008151F2" w:rsidRPr="002A3C0E" w:rsidRDefault="008151F2" w:rsidP="007F39CA">
      <w:pPr>
        <w:pStyle w:val="Textonotapie"/>
        <w:jc w:val="both"/>
        <w:rPr>
          <w:rFonts w:ascii="Arial" w:hAnsi="Arial" w:cs="Arial"/>
          <w:sz w:val="19"/>
          <w:szCs w:val="19"/>
        </w:rPr>
      </w:pPr>
    </w:p>
    <w:p w14:paraId="416ADCDF" w14:textId="77777777"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Pr="002A3C0E">
        <w:rPr>
          <w:rFonts w:ascii="Arial" w:hAnsi="Arial" w:cs="Arial"/>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2">
    <w:p w14:paraId="3BA83400" w14:textId="77777777" w:rsidR="008151F2" w:rsidRPr="002A3C0E" w:rsidRDefault="008151F2" w:rsidP="007F39CA">
      <w:pPr>
        <w:pStyle w:val="Textonotapie"/>
        <w:ind w:firstLine="708"/>
        <w:jc w:val="both"/>
        <w:rPr>
          <w:rFonts w:ascii="Arial" w:hAnsi="Arial" w:cs="Arial"/>
          <w:sz w:val="19"/>
          <w:szCs w:val="19"/>
        </w:rPr>
      </w:pPr>
    </w:p>
    <w:p w14:paraId="3EDFA770" w14:textId="1CD76F55"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009A2371" w:rsidRPr="002A3C0E">
        <w:rPr>
          <w:rFonts w:ascii="Arial" w:hAnsi="Arial" w:cs="Arial"/>
          <w:sz w:val="19"/>
          <w:szCs w:val="19"/>
        </w:rPr>
        <w:t xml:space="preserve"> </w:t>
      </w:r>
      <w:r w:rsidRPr="002A3C0E">
        <w:rPr>
          <w:rFonts w:ascii="Arial" w:hAnsi="Arial" w:cs="Arial"/>
          <w:sz w:val="19"/>
          <w:szCs w:val="19"/>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25102D26" w14:textId="77777777" w:rsidR="008B2007" w:rsidRPr="002A3C0E" w:rsidRDefault="008B2007" w:rsidP="007F39CA">
      <w:pPr>
        <w:pStyle w:val="Textonotapie"/>
        <w:ind w:firstLine="708"/>
        <w:jc w:val="both"/>
        <w:rPr>
          <w:rFonts w:ascii="Arial" w:hAnsi="Arial" w:cs="Arial"/>
          <w:sz w:val="19"/>
          <w:szCs w:val="19"/>
        </w:rPr>
      </w:pPr>
    </w:p>
  </w:footnote>
  <w:footnote w:id="13">
    <w:p w14:paraId="25273973" w14:textId="77777777" w:rsidR="008151F2" w:rsidRPr="002A3C0E" w:rsidRDefault="008151F2" w:rsidP="007F39CA">
      <w:pPr>
        <w:pStyle w:val="Textonotapie"/>
        <w:ind w:firstLine="708"/>
        <w:jc w:val="both"/>
        <w:rPr>
          <w:rFonts w:ascii="Arial" w:hAnsi="Arial" w:cs="Arial"/>
          <w:sz w:val="19"/>
          <w:szCs w:val="19"/>
        </w:rPr>
      </w:pPr>
      <w:r w:rsidRPr="002A3C0E">
        <w:rPr>
          <w:rStyle w:val="Refdenotaalpie"/>
          <w:rFonts w:ascii="Arial" w:hAnsi="Arial" w:cs="Arial"/>
          <w:sz w:val="19"/>
          <w:szCs w:val="19"/>
        </w:rPr>
        <w:footnoteRef/>
      </w:r>
      <w:r w:rsidRPr="002A3C0E">
        <w:rPr>
          <w:rFonts w:ascii="Arial" w:hAnsi="Arial" w:cs="Arial"/>
          <w:sz w:val="19"/>
          <w:szCs w:val="19"/>
        </w:rPr>
        <w:t xml:space="preserve"> Cfr. Concepto emitido en el radicado 4201913000005674, dictado el 27 de septiembre de 2019.</w:t>
      </w:r>
    </w:p>
    <w:p w14:paraId="6CD3A85F" w14:textId="77777777" w:rsidR="008151F2" w:rsidRPr="002A3C0E" w:rsidRDefault="008151F2" w:rsidP="007F39CA">
      <w:pPr>
        <w:pStyle w:val="Textonotapie"/>
        <w:ind w:firstLine="708"/>
        <w:jc w:val="both"/>
        <w:rPr>
          <w:rFonts w:ascii="Arial" w:hAnsi="Arial" w:cs="Arial"/>
          <w:sz w:val="19"/>
          <w:szCs w:val="19"/>
          <w:lang w:val="es-ES"/>
        </w:rPr>
      </w:pPr>
    </w:p>
  </w:footnote>
  <w:footnote w:id="14">
    <w:p w14:paraId="6B948CE1" w14:textId="1D52B388" w:rsidR="000F5DC3" w:rsidRPr="002A3C0E" w:rsidRDefault="000F5DC3" w:rsidP="007F39CA">
      <w:pPr>
        <w:pStyle w:val="Textonotapie"/>
        <w:ind w:firstLine="708"/>
        <w:jc w:val="both"/>
        <w:rPr>
          <w:rFonts w:ascii="Arial" w:hAnsi="Arial" w:cs="Arial"/>
          <w:sz w:val="19"/>
          <w:szCs w:val="19"/>
          <w:lang w:val="es-ES"/>
        </w:rPr>
      </w:pPr>
      <w:r w:rsidRPr="002A3C0E">
        <w:rPr>
          <w:rStyle w:val="Refdenotaalpie"/>
          <w:rFonts w:ascii="Arial" w:hAnsi="Arial" w:cs="Arial"/>
          <w:sz w:val="19"/>
          <w:szCs w:val="19"/>
        </w:rPr>
        <w:footnoteRef/>
      </w:r>
      <w:r w:rsidRPr="002A3C0E">
        <w:rPr>
          <w:rFonts w:ascii="Arial" w:hAnsi="Arial" w:cs="Arial"/>
          <w:sz w:val="19"/>
          <w:szCs w:val="19"/>
        </w:rPr>
        <w:t xml:space="preserve"> </w:t>
      </w:r>
      <w:r w:rsidR="00573BDD" w:rsidRPr="002A3C0E">
        <w:rPr>
          <w:rFonts w:ascii="Arial" w:hAnsi="Arial" w:cs="Arial"/>
          <w:sz w:val="19"/>
          <w:szCs w:val="19"/>
        </w:rPr>
        <w:t>«A</w:t>
      </w:r>
      <w:r w:rsidR="001948E2" w:rsidRPr="002A3C0E">
        <w:rPr>
          <w:rFonts w:ascii="Arial" w:hAnsi="Arial" w:cs="Arial"/>
          <w:sz w:val="19"/>
          <w:szCs w:val="19"/>
        </w:rPr>
        <w:t>rtículo</w:t>
      </w:r>
      <w:r w:rsidR="00573BDD" w:rsidRPr="002A3C0E">
        <w:rPr>
          <w:rFonts w:ascii="Arial" w:hAnsi="Arial" w:cs="Arial"/>
          <w:sz w:val="19"/>
          <w:szCs w:val="19"/>
        </w:rPr>
        <w:t xml:space="preserve"> 16. </w:t>
      </w:r>
      <w:r w:rsidR="001948E2" w:rsidRPr="002A3C0E">
        <w:rPr>
          <w:rFonts w:ascii="Arial" w:hAnsi="Arial" w:cs="Arial"/>
          <w:sz w:val="19"/>
          <w:szCs w:val="19"/>
        </w:rPr>
        <w:t xml:space="preserve">De las entidades exceptuadas en el </w:t>
      </w:r>
      <w:r w:rsidR="00CB36F4" w:rsidRPr="002A3C0E">
        <w:rPr>
          <w:rFonts w:ascii="Arial" w:hAnsi="Arial" w:cs="Arial"/>
          <w:sz w:val="19"/>
          <w:szCs w:val="19"/>
        </w:rPr>
        <w:t>S</w:t>
      </w:r>
      <w:r w:rsidR="001948E2" w:rsidRPr="002A3C0E">
        <w:rPr>
          <w:rFonts w:ascii="Arial" w:hAnsi="Arial" w:cs="Arial"/>
          <w:sz w:val="19"/>
          <w:szCs w:val="19"/>
        </w:rPr>
        <w:t xml:space="preserve">ector </w:t>
      </w:r>
      <w:r w:rsidR="00CB36F4" w:rsidRPr="002A3C0E">
        <w:rPr>
          <w:rFonts w:ascii="Arial" w:hAnsi="Arial" w:cs="Arial"/>
          <w:sz w:val="19"/>
          <w:szCs w:val="19"/>
        </w:rPr>
        <w:t>D</w:t>
      </w:r>
      <w:r w:rsidR="001948E2" w:rsidRPr="002A3C0E">
        <w:rPr>
          <w:rFonts w:ascii="Arial" w:hAnsi="Arial" w:cs="Arial"/>
          <w:sz w:val="19"/>
          <w:szCs w:val="19"/>
        </w:rPr>
        <w:t>efensa</w:t>
      </w:r>
      <w:r w:rsidR="00573BDD" w:rsidRPr="002A3C0E">
        <w:rPr>
          <w:rFonts w:ascii="Arial" w:hAnsi="Arial" w:cs="Arial"/>
          <w:sz w:val="19"/>
          <w:szCs w:val="19"/>
        </w:rPr>
        <w:t>. Los contratos que celebren Satena, Indumil, El Hotel Tequendama, la Corporación de Ciencia y Tecnología para el desarrollo de la industria naval, marítima y fluvial –Cotecmar– y la Corporación de la Industria Aeronáutica Colombiana –CIAC–, no estarán sujetos a las disposiciones del Estatuto General de Contratación de la Administración Pública y se regirán por las disposiciones legales y reglamentarias aplicables a su actividad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4115C" w14:textId="77777777" w:rsidR="007B0854" w:rsidRDefault="00E23942">
    <w:pPr>
      <w:pStyle w:val="Encabezado"/>
    </w:pPr>
    <w:r>
      <w:rPr>
        <w:noProof/>
        <w:lang w:val="es-CO" w:eastAsia="es-CO"/>
      </w:rPr>
      <w:drawing>
        <wp:anchor distT="0" distB="0" distL="114300" distR="114300" simplePos="0" relativeHeight="251659264" behindDoc="1" locked="0" layoutInCell="1" allowOverlap="1" wp14:anchorId="1579DD4A" wp14:editId="7F2B2962">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F9ECA9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1F2"/>
    <w:rsid w:val="000003B7"/>
    <w:rsid w:val="00001B24"/>
    <w:rsid w:val="00066AEC"/>
    <w:rsid w:val="000757B2"/>
    <w:rsid w:val="0008261D"/>
    <w:rsid w:val="00096724"/>
    <w:rsid w:val="000C5FA5"/>
    <w:rsid w:val="000E4F8B"/>
    <w:rsid w:val="000F0EED"/>
    <w:rsid w:val="000F5DC3"/>
    <w:rsid w:val="001658B2"/>
    <w:rsid w:val="0016764F"/>
    <w:rsid w:val="001728C9"/>
    <w:rsid w:val="001824DC"/>
    <w:rsid w:val="001948E2"/>
    <w:rsid w:val="001B3267"/>
    <w:rsid w:val="001B3CF9"/>
    <w:rsid w:val="001C0393"/>
    <w:rsid w:val="00200189"/>
    <w:rsid w:val="0020647F"/>
    <w:rsid w:val="0021589C"/>
    <w:rsid w:val="00230860"/>
    <w:rsid w:val="0023575C"/>
    <w:rsid w:val="0026214F"/>
    <w:rsid w:val="002A3C0E"/>
    <w:rsid w:val="002B1A83"/>
    <w:rsid w:val="002C0D30"/>
    <w:rsid w:val="002C62AB"/>
    <w:rsid w:val="002E760C"/>
    <w:rsid w:val="002F6126"/>
    <w:rsid w:val="00303514"/>
    <w:rsid w:val="00334C1B"/>
    <w:rsid w:val="003678C3"/>
    <w:rsid w:val="00374AE3"/>
    <w:rsid w:val="003777CA"/>
    <w:rsid w:val="00396F35"/>
    <w:rsid w:val="003A5F9E"/>
    <w:rsid w:val="003B603D"/>
    <w:rsid w:val="003C3CDE"/>
    <w:rsid w:val="004078A6"/>
    <w:rsid w:val="004340D2"/>
    <w:rsid w:val="0045408E"/>
    <w:rsid w:val="004911D1"/>
    <w:rsid w:val="004A5C5F"/>
    <w:rsid w:val="004B18B0"/>
    <w:rsid w:val="004B6783"/>
    <w:rsid w:val="004C1EA5"/>
    <w:rsid w:val="0050631F"/>
    <w:rsid w:val="00573BDD"/>
    <w:rsid w:val="00591C6C"/>
    <w:rsid w:val="005A00D2"/>
    <w:rsid w:val="005B0A6E"/>
    <w:rsid w:val="005D5104"/>
    <w:rsid w:val="005F0F5D"/>
    <w:rsid w:val="005F41E1"/>
    <w:rsid w:val="006444A8"/>
    <w:rsid w:val="0068308E"/>
    <w:rsid w:val="0068332C"/>
    <w:rsid w:val="00687971"/>
    <w:rsid w:val="00691B9C"/>
    <w:rsid w:val="0069363A"/>
    <w:rsid w:val="0069513C"/>
    <w:rsid w:val="006C09C9"/>
    <w:rsid w:val="006E096A"/>
    <w:rsid w:val="006F3926"/>
    <w:rsid w:val="00726D20"/>
    <w:rsid w:val="00794210"/>
    <w:rsid w:val="007D4D21"/>
    <w:rsid w:val="007D7866"/>
    <w:rsid w:val="007E23D4"/>
    <w:rsid w:val="007F39CA"/>
    <w:rsid w:val="008073DB"/>
    <w:rsid w:val="00813741"/>
    <w:rsid w:val="00814386"/>
    <w:rsid w:val="008151F2"/>
    <w:rsid w:val="00843279"/>
    <w:rsid w:val="008464EA"/>
    <w:rsid w:val="0087101D"/>
    <w:rsid w:val="008712FD"/>
    <w:rsid w:val="0088744F"/>
    <w:rsid w:val="00894CA6"/>
    <w:rsid w:val="008963AB"/>
    <w:rsid w:val="008A2725"/>
    <w:rsid w:val="008B2007"/>
    <w:rsid w:val="008E550B"/>
    <w:rsid w:val="008F29F5"/>
    <w:rsid w:val="009025DE"/>
    <w:rsid w:val="00907BE4"/>
    <w:rsid w:val="009151BA"/>
    <w:rsid w:val="0095509B"/>
    <w:rsid w:val="00955C2B"/>
    <w:rsid w:val="0096620B"/>
    <w:rsid w:val="00992B4A"/>
    <w:rsid w:val="009A2371"/>
    <w:rsid w:val="009A3C4C"/>
    <w:rsid w:val="009E1E8F"/>
    <w:rsid w:val="00A16570"/>
    <w:rsid w:val="00A17EDD"/>
    <w:rsid w:val="00A26FEE"/>
    <w:rsid w:val="00A2796F"/>
    <w:rsid w:val="00A437AE"/>
    <w:rsid w:val="00A647A6"/>
    <w:rsid w:val="00A709DB"/>
    <w:rsid w:val="00A83E32"/>
    <w:rsid w:val="00AA46C0"/>
    <w:rsid w:val="00AB3BD8"/>
    <w:rsid w:val="00AC6D5E"/>
    <w:rsid w:val="00AC7C56"/>
    <w:rsid w:val="00AD1016"/>
    <w:rsid w:val="00B0458C"/>
    <w:rsid w:val="00B44C26"/>
    <w:rsid w:val="00B60CA7"/>
    <w:rsid w:val="00B76571"/>
    <w:rsid w:val="00BB5940"/>
    <w:rsid w:val="00BD016E"/>
    <w:rsid w:val="00BD2D0B"/>
    <w:rsid w:val="00BD3F6F"/>
    <w:rsid w:val="00BE4CC3"/>
    <w:rsid w:val="00BE6137"/>
    <w:rsid w:val="00BF2C21"/>
    <w:rsid w:val="00C01B06"/>
    <w:rsid w:val="00C12B5E"/>
    <w:rsid w:val="00C155E2"/>
    <w:rsid w:val="00C34159"/>
    <w:rsid w:val="00C93870"/>
    <w:rsid w:val="00CA1270"/>
    <w:rsid w:val="00CB36F4"/>
    <w:rsid w:val="00CC0DC0"/>
    <w:rsid w:val="00CE2E31"/>
    <w:rsid w:val="00CF1DC5"/>
    <w:rsid w:val="00CF4B29"/>
    <w:rsid w:val="00D314C2"/>
    <w:rsid w:val="00D3244D"/>
    <w:rsid w:val="00D35B6F"/>
    <w:rsid w:val="00D40E29"/>
    <w:rsid w:val="00D46CD6"/>
    <w:rsid w:val="00D63945"/>
    <w:rsid w:val="00D771EF"/>
    <w:rsid w:val="00DC0AE5"/>
    <w:rsid w:val="00DC1E7B"/>
    <w:rsid w:val="00DC5451"/>
    <w:rsid w:val="00DF64E0"/>
    <w:rsid w:val="00E20EE1"/>
    <w:rsid w:val="00E22773"/>
    <w:rsid w:val="00E23942"/>
    <w:rsid w:val="00E3785B"/>
    <w:rsid w:val="00E64E82"/>
    <w:rsid w:val="00E66DCA"/>
    <w:rsid w:val="00E67F04"/>
    <w:rsid w:val="00E87022"/>
    <w:rsid w:val="00ED04A5"/>
    <w:rsid w:val="00ED41DD"/>
    <w:rsid w:val="00F05B0C"/>
    <w:rsid w:val="00F801B8"/>
    <w:rsid w:val="00FA6690"/>
    <w:rsid w:val="03F5B2AE"/>
    <w:rsid w:val="0D89279E"/>
    <w:rsid w:val="10671CB7"/>
    <w:rsid w:val="21798465"/>
    <w:rsid w:val="3105E669"/>
    <w:rsid w:val="4271B23D"/>
    <w:rsid w:val="49096C2D"/>
    <w:rsid w:val="4C85F6A5"/>
    <w:rsid w:val="52A7CAAC"/>
    <w:rsid w:val="54EA3C42"/>
    <w:rsid w:val="56DC8266"/>
    <w:rsid w:val="57F679D8"/>
    <w:rsid w:val="5A95C62F"/>
    <w:rsid w:val="63E598D0"/>
    <w:rsid w:val="6C68D464"/>
    <w:rsid w:val="6DB0436F"/>
    <w:rsid w:val="6FE7F2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897C8"/>
  <w15:chartTrackingRefBased/>
  <w15:docId w15:val="{E9348CA2-4621-4865-9CBD-6B5BB1FF8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1F2"/>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151F2"/>
    <w:pPr>
      <w:tabs>
        <w:tab w:val="center" w:pos="4419"/>
        <w:tab w:val="right" w:pos="8838"/>
      </w:tabs>
    </w:pPr>
  </w:style>
  <w:style w:type="character" w:customStyle="1" w:styleId="PiedepginaCar">
    <w:name w:val="Pie de página Car"/>
    <w:basedOn w:val="Fuentedeprrafopredeter"/>
    <w:link w:val="Piedepgina"/>
    <w:uiPriority w:val="99"/>
    <w:rsid w:val="008151F2"/>
    <w:rPr>
      <w:sz w:val="24"/>
      <w:lang w:val="es-MX"/>
    </w:rPr>
  </w:style>
  <w:style w:type="paragraph" w:styleId="Encabezado">
    <w:name w:val="header"/>
    <w:basedOn w:val="Normal"/>
    <w:link w:val="EncabezadoCar"/>
    <w:uiPriority w:val="99"/>
    <w:unhideWhenUsed/>
    <w:rsid w:val="008151F2"/>
    <w:pPr>
      <w:tabs>
        <w:tab w:val="center" w:pos="4252"/>
        <w:tab w:val="right" w:pos="8504"/>
      </w:tabs>
    </w:pPr>
  </w:style>
  <w:style w:type="character" w:customStyle="1" w:styleId="EncabezadoCar">
    <w:name w:val="Encabezado Car"/>
    <w:basedOn w:val="Fuentedeprrafopredeter"/>
    <w:link w:val="Encabezado"/>
    <w:uiPriority w:val="99"/>
    <w:rsid w:val="008151F2"/>
    <w:rPr>
      <w:sz w:val="24"/>
      <w:lang w:val="es-MX"/>
    </w:rPr>
  </w:style>
  <w:style w:type="table" w:styleId="Tablaconcuadrcula">
    <w:name w:val="Table Grid"/>
    <w:basedOn w:val="Tablanormal"/>
    <w:uiPriority w:val="39"/>
    <w:rsid w:val="00815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151F2"/>
    <w:pPr>
      <w:ind w:left="720"/>
      <w:contextualSpacing/>
    </w:pPr>
  </w:style>
  <w:style w:type="paragraph" w:styleId="Sinespaciado">
    <w:name w:val="No Spacing"/>
    <w:uiPriority w:val="1"/>
    <w:qFormat/>
    <w:rsid w:val="008151F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151F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151F2"/>
    <w:rPr>
      <w:sz w:val="20"/>
      <w:szCs w:val="20"/>
    </w:rPr>
  </w:style>
  <w:style w:type="character" w:customStyle="1" w:styleId="TextonotapieCar1">
    <w:name w:val="Texto nota pie Car1"/>
    <w:basedOn w:val="Fuentedeprrafopredeter"/>
    <w:uiPriority w:val="99"/>
    <w:semiHidden/>
    <w:rsid w:val="008151F2"/>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151F2"/>
    <w:rPr>
      <w:sz w:val="24"/>
      <w:lang w:val="es-MX"/>
    </w:rPr>
  </w:style>
  <w:style w:type="paragraph" w:customStyle="1" w:styleId="Capitulo1">
    <w:name w:val="Capitulo 1"/>
    <w:basedOn w:val="Normal"/>
    <w:qFormat/>
    <w:rsid w:val="008151F2"/>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151F2"/>
    <w:rPr>
      <w:vertAlign w:val="superscript"/>
    </w:rPr>
  </w:style>
  <w:style w:type="character" w:styleId="Hipervnculo">
    <w:name w:val="Hyperlink"/>
    <w:basedOn w:val="Fuentedeprrafopredeter"/>
    <w:uiPriority w:val="99"/>
    <w:unhideWhenUsed/>
    <w:rsid w:val="008151F2"/>
    <w:rPr>
      <w:color w:val="0563C1" w:themeColor="hyperlink"/>
      <w:u w:val="single"/>
    </w:rPr>
  </w:style>
  <w:style w:type="paragraph" w:styleId="Textodeglobo">
    <w:name w:val="Balloon Text"/>
    <w:basedOn w:val="Normal"/>
    <w:link w:val="TextodegloboCar"/>
    <w:uiPriority w:val="99"/>
    <w:semiHidden/>
    <w:unhideWhenUsed/>
    <w:rsid w:val="001728C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28C9"/>
    <w:rPr>
      <w:rFonts w:ascii="Segoe UI" w:hAnsi="Segoe UI" w:cs="Segoe UI"/>
      <w:sz w:val="18"/>
      <w:szCs w:val="18"/>
      <w:lang w:val="es-MX"/>
    </w:rPr>
  </w:style>
  <w:style w:type="character" w:styleId="Mencinsinresolver">
    <w:name w:val="Unresolved Mention"/>
    <w:basedOn w:val="Fuentedeprrafopredeter"/>
    <w:uiPriority w:val="99"/>
    <w:semiHidden/>
    <w:unhideWhenUsed/>
    <w:rsid w:val="0087101D"/>
    <w:rPr>
      <w:color w:val="605E5C"/>
      <w:shd w:val="clear" w:color="auto" w:fill="E1DFDD"/>
    </w:rPr>
  </w:style>
  <w:style w:type="paragraph" w:customStyle="1" w:styleId="Default">
    <w:name w:val="Default"/>
    <w:rsid w:val="0030351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481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D7FDC2-DABD-4A60-AC7E-6705E3240C9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64F0898D-980C-4AEC-9E58-F6C94FE4CA5C}">
  <ds:schemaRefs>
    <ds:schemaRef ds:uri="http://schemas.microsoft.com/sharepoint/v3/contenttype/forms"/>
  </ds:schemaRefs>
</ds:datastoreItem>
</file>

<file path=customXml/itemProps3.xml><?xml version="1.0" encoding="utf-8"?>
<ds:datastoreItem xmlns:ds="http://schemas.openxmlformats.org/officeDocument/2006/customXml" ds:itemID="{08CDDD65-941B-40B3-837A-34C27EA0E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5305</Words>
  <Characters>29178</Characters>
  <Application>Microsoft Office Word</Application>
  <DocSecurity>0</DocSecurity>
  <Lines>243</Lines>
  <Paragraphs>68</Paragraphs>
  <ScaleCrop>false</ScaleCrop>
  <Company/>
  <LinksUpToDate>false</LinksUpToDate>
  <CharactersWithSpaces>34415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23</cp:revision>
  <cp:lastPrinted>2020-03-11T19:40:00Z</cp:lastPrinted>
  <dcterms:created xsi:type="dcterms:W3CDTF">2020-03-11T19:40:00Z</dcterms:created>
  <dcterms:modified xsi:type="dcterms:W3CDTF">2020-08-03T17:59:00Z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