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A605F" w14:textId="77777777" w:rsidR="00B031B3" w:rsidRPr="00B031B3" w:rsidRDefault="00B031B3" w:rsidP="00B031B3">
      <w:pPr>
        <w:jc w:val="both"/>
        <w:rPr>
          <w:rFonts w:ascii="Arial" w:hAnsi="Arial" w:cs="Arial"/>
          <w:b/>
          <w:sz w:val="22"/>
          <w:szCs w:val="24"/>
          <w:lang w:val="es-ES_tradnl" w:eastAsia="es-ES_tradnl"/>
        </w:rPr>
      </w:pPr>
      <w:bookmarkStart w:id="0" w:name="_Hlk53114859"/>
      <w:bookmarkStart w:id="1" w:name="_Hlk28946138"/>
      <w:bookmarkStart w:id="2" w:name="_Hlk29548183"/>
      <w:bookmarkStart w:id="3" w:name="_Hlk29890381"/>
      <w:r w:rsidRPr="00B031B3">
        <w:rPr>
          <w:rFonts w:ascii="Arial" w:hAnsi="Arial" w:cs="Arial"/>
          <w:b/>
          <w:sz w:val="22"/>
          <w:szCs w:val="24"/>
          <w:lang w:val="es-ES_tradnl" w:eastAsia="es-ES_tradnl"/>
        </w:rPr>
        <w:t xml:space="preserve">DOCUMENTOS TIPO </w:t>
      </w:r>
      <w:r w:rsidRPr="00B031B3">
        <w:rPr>
          <w:rFonts w:ascii="Arial" w:hAnsi="Arial" w:cs="Arial"/>
          <w:b/>
          <w:color w:val="000000" w:themeColor="text1"/>
          <w:sz w:val="22"/>
          <w:szCs w:val="24"/>
          <w:lang w:val="es-ES_tradnl" w:eastAsia="es-ES_tradnl"/>
        </w:rPr>
        <w:t>–</w:t>
      </w:r>
      <w:r w:rsidRPr="00B031B3">
        <w:rPr>
          <w:rFonts w:ascii="Arial" w:hAnsi="Arial" w:cs="Arial"/>
          <w:b/>
          <w:sz w:val="22"/>
          <w:szCs w:val="24"/>
          <w:lang w:val="es-ES_tradnl" w:eastAsia="es-ES_tradnl"/>
        </w:rPr>
        <w:t xml:space="preserve"> Fundamento normativo </w:t>
      </w:r>
      <w:r w:rsidRPr="00B031B3">
        <w:rPr>
          <w:rFonts w:ascii="Arial" w:hAnsi="Arial" w:cs="Arial"/>
          <w:b/>
          <w:color w:val="000000" w:themeColor="text1"/>
          <w:sz w:val="22"/>
          <w:szCs w:val="24"/>
          <w:lang w:val="es-ES_tradnl" w:eastAsia="es-ES_tradnl"/>
        </w:rPr>
        <w:t xml:space="preserve">– </w:t>
      </w:r>
      <w:r w:rsidRPr="00B031B3">
        <w:rPr>
          <w:rFonts w:ascii="Arial" w:hAnsi="Arial" w:cs="Arial"/>
          <w:b/>
          <w:sz w:val="22"/>
          <w:szCs w:val="24"/>
          <w:lang w:val="es-ES_tradnl" w:eastAsia="es-ES_tradnl"/>
        </w:rPr>
        <w:t>Ley 2022 de 2020</w:t>
      </w:r>
    </w:p>
    <w:p w14:paraId="12A01AFE" w14:textId="77777777" w:rsidR="00B031B3" w:rsidRPr="00B031B3" w:rsidRDefault="00B031B3" w:rsidP="00B031B3">
      <w:pPr>
        <w:jc w:val="both"/>
        <w:rPr>
          <w:rFonts w:ascii="Arial" w:hAnsi="Arial" w:cs="Arial"/>
          <w:b/>
          <w:sz w:val="22"/>
          <w:szCs w:val="24"/>
          <w:lang w:val="es-ES_tradnl" w:eastAsia="es-ES_tradnl"/>
        </w:rPr>
      </w:pPr>
    </w:p>
    <w:p w14:paraId="23384D21" w14:textId="43B130EA" w:rsidR="00B031B3" w:rsidRPr="00B031B3" w:rsidRDefault="00B031B3" w:rsidP="00E36193">
      <w:pPr>
        <w:jc w:val="both"/>
        <w:rPr>
          <w:rFonts w:ascii="Arial" w:hAnsi="Arial" w:cs="Arial"/>
          <w:sz w:val="20"/>
          <w:szCs w:val="20"/>
          <w:lang w:val="es-ES_tradnl" w:eastAsia="es-ES_tradnl"/>
        </w:rPr>
      </w:pPr>
      <w:r w:rsidRPr="00B031B3">
        <w:rPr>
          <w:rFonts w:ascii="Arial" w:hAnsi="Arial" w:cs="Arial"/>
          <w:sz w:val="20"/>
          <w:szCs w:val="20"/>
          <w:lang w:val="es-ES_tradnl" w:eastAsia="es-ES_tradnl"/>
        </w:rPr>
        <w:t xml:space="preserve">[…], </w:t>
      </w:r>
      <w:r w:rsidR="00E36193" w:rsidRPr="00E36193">
        <w:rPr>
          <w:rFonts w:ascii="Arial" w:hAnsi="Arial" w:cs="Arial"/>
          <w:sz w:val="20"/>
          <w:szCs w:val="20"/>
          <w:lang w:val="es-ES_tradnl" w:eastAsia="es-ES_tradnl"/>
        </w:rPr>
        <w:t xml:space="preserve">debe tenerse en cuenta que la Ley 2022 de 2020 fue sancionada por el </w:t>
      </w:r>
      <w:proofErr w:type="gramStart"/>
      <w:r w:rsidR="00E36193" w:rsidRPr="00E36193">
        <w:rPr>
          <w:rFonts w:ascii="Arial" w:hAnsi="Arial" w:cs="Arial"/>
          <w:sz w:val="20"/>
          <w:szCs w:val="20"/>
          <w:lang w:val="es-ES_tradnl" w:eastAsia="es-ES_tradnl"/>
        </w:rPr>
        <w:t>Presidente</w:t>
      </w:r>
      <w:proofErr w:type="gramEnd"/>
      <w:r w:rsidR="00E36193" w:rsidRPr="00E36193">
        <w:rPr>
          <w:rFonts w:ascii="Arial" w:hAnsi="Arial" w:cs="Arial"/>
          <w:sz w:val="20"/>
          <w:szCs w:val="20"/>
          <w:lang w:val="es-ES_tradnl" w:eastAsia="es-ES_tradnl"/>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–versión 3–. </w:t>
      </w:r>
      <w:r w:rsidR="00E36193">
        <w:rPr>
          <w:rFonts w:ascii="Arial" w:hAnsi="Arial" w:cs="Arial"/>
          <w:sz w:val="20"/>
          <w:szCs w:val="20"/>
          <w:lang w:val="es-ES_tradnl" w:eastAsia="es-ES_tradnl"/>
        </w:rPr>
        <w:t xml:space="preserve"> </w:t>
      </w:r>
      <w:r w:rsidR="00E36193" w:rsidRPr="00E36193">
        <w:rPr>
          <w:rFonts w:ascii="Arial" w:hAnsi="Arial" w:cs="Arial"/>
          <w:sz w:val="20"/>
          <w:szCs w:val="20"/>
          <w:lang w:val="es-ES_tradnl" w:eastAsia="es-ES_tradnl"/>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–versión 2–. Adicionalmente, </w:t>
      </w:r>
      <w:proofErr w:type="gramStart"/>
      <w:r w:rsidR="00E36193" w:rsidRPr="00E36193">
        <w:rPr>
          <w:rFonts w:ascii="Arial" w:hAnsi="Arial" w:cs="Arial"/>
          <w:sz w:val="20"/>
          <w:szCs w:val="20"/>
          <w:lang w:val="es-ES_tradnl" w:eastAsia="es-ES_tradnl"/>
        </w:rPr>
        <w:t>entró en vigencia</w:t>
      </w:r>
      <w:proofErr w:type="gramEnd"/>
      <w:r w:rsidR="00E36193" w:rsidRPr="00E36193">
        <w:rPr>
          <w:rFonts w:ascii="Arial" w:hAnsi="Arial" w:cs="Arial"/>
          <w:sz w:val="20"/>
          <w:szCs w:val="20"/>
          <w:lang w:val="es-ES_tradnl" w:eastAsia="es-ES_tradnl"/>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1F3B013" w14:textId="77777777" w:rsidR="00B031B3" w:rsidRPr="00B031B3" w:rsidRDefault="00B031B3" w:rsidP="00B031B3">
      <w:pPr>
        <w:jc w:val="both"/>
        <w:rPr>
          <w:rFonts w:ascii="Arial" w:hAnsi="Arial" w:cs="Arial"/>
          <w:sz w:val="20"/>
          <w:szCs w:val="20"/>
          <w:lang w:val="es-ES_tradnl" w:eastAsia="es-ES_tradnl"/>
        </w:rPr>
      </w:pPr>
    </w:p>
    <w:p w14:paraId="3CB68E83" w14:textId="77777777" w:rsidR="00B031B3" w:rsidRPr="00B031B3" w:rsidRDefault="00B031B3" w:rsidP="00B031B3">
      <w:pPr>
        <w:jc w:val="both"/>
        <w:rPr>
          <w:rFonts w:ascii="Arial" w:hAnsi="Arial" w:cs="Arial"/>
          <w:b/>
          <w:sz w:val="22"/>
          <w:szCs w:val="24"/>
          <w:lang w:val="es-ES_tradnl" w:eastAsia="es-ES_tradnl"/>
        </w:rPr>
      </w:pPr>
      <w:r w:rsidRPr="00B031B3">
        <w:rPr>
          <w:rFonts w:ascii="Arial" w:hAnsi="Arial" w:cs="Arial"/>
          <w:b/>
          <w:sz w:val="22"/>
          <w:szCs w:val="24"/>
          <w:lang w:val="es-ES_tradnl" w:eastAsia="es-ES_tradnl"/>
        </w:rPr>
        <w:t xml:space="preserve">INALTERABILIDAD </w:t>
      </w:r>
      <w:r w:rsidRPr="00B031B3">
        <w:rPr>
          <w:rFonts w:ascii="Arial" w:hAnsi="Arial" w:cs="Arial"/>
          <w:b/>
          <w:color w:val="000000" w:themeColor="text1"/>
          <w:sz w:val="22"/>
          <w:szCs w:val="24"/>
          <w:lang w:val="es-ES_tradnl" w:eastAsia="es-ES_tradnl"/>
        </w:rPr>
        <w:t>–</w:t>
      </w:r>
      <w:r w:rsidRPr="00B031B3">
        <w:rPr>
          <w:rFonts w:ascii="Arial" w:hAnsi="Arial" w:cs="Arial"/>
          <w:b/>
          <w:sz w:val="22"/>
          <w:szCs w:val="24"/>
          <w:lang w:val="es-ES_tradnl" w:eastAsia="es-ES_tradnl"/>
        </w:rPr>
        <w:t xml:space="preserve"> Documentos tipo </w:t>
      </w:r>
      <w:r w:rsidRPr="00B031B3">
        <w:rPr>
          <w:rFonts w:ascii="Arial" w:hAnsi="Arial" w:cs="Arial"/>
          <w:b/>
          <w:color w:val="000000" w:themeColor="text1"/>
          <w:sz w:val="22"/>
          <w:szCs w:val="24"/>
          <w:lang w:val="es-ES_tradnl" w:eastAsia="es-ES_tradnl"/>
        </w:rPr>
        <w:t xml:space="preserve">– </w:t>
      </w:r>
      <w:r w:rsidRPr="00B031B3">
        <w:rPr>
          <w:rFonts w:ascii="Arial" w:hAnsi="Arial" w:cs="Arial"/>
          <w:b/>
          <w:sz w:val="22"/>
          <w:szCs w:val="24"/>
          <w:lang w:val="es-ES_tradnl" w:eastAsia="es-ES_tradnl"/>
        </w:rPr>
        <w:t xml:space="preserve">Regla vigente </w:t>
      </w:r>
      <w:r w:rsidRPr="00B031B3">
        <w:rPr>
          <w:rFonts w:ascii="Arial" w:hAnsi="Arial" w:cs="Arial"/>
          <w:b/>
          <w:color w:val="000000" w:themeColor="text1"/>
          <w:sz w:val="22"/>
          <w:szCs w:val="24"/>
          <w:lang w:val="es-ES_tradnl" w:eastAsia="es-ES_tradnl"/>
        </w:rPr>
        <w:t>– Alcance</w:t>
      </w:r>
    </w:p>
    <w:p w14:paraId="4286079D" w14:textId="77777777" w:rsidR="00B031B3" w:rsidRPr="00B031B3" w:rsidRDefault="00B031B3" w:rsidP="00B031B3">
      <w:pPr>
        <w:jc w:val="both"/>
        <w:rPr>
          <w:rFonts w:ascii="Arial" w:hAnsi="Arial" w:cs="Arial"/>
          <w:sz w:val="20"/>
          <w:szCs w:val="20"/>
          <w:lang w:val="es-ES_tradnl" w:eastAsia="es-ES_tradnl"/>
        </w:rPr>
      </w:pPr>
    </w:p>
    <w:p w14:paraId="6E4FFF8C" w14:textId="34960CDD" w:rsidR="00E36193" w:rsidRDefault="00E36193" w:rsidP="00E36193">
      <w:pPr>
        <w:pStyle w:val="Textoindependiente"/>
        <w:jc w:val="both"/>
        <w:rPr>
          <w:rFonts w:eastAsia="Calibri"/>
          <w:sz w:val="20"/>
          <w:szCs w:val="20"/>
          <w:lang w:val="es-ES_tradnl" w:eastAsia="es-ES_tradnl"/>
        </w:rPr>
      </w:pPr>
      <w:r w:rsidRPr="00E36193">
        <w:rPr>
          <w:rFonts w:eastAsia="Calibri"/>
          <w:sz w:val="20"/>
          <w:szCs w:val="20"/>
          <w:lang w:val="es-ES_tradnl" w:eastAsia="es-ES_tradnl"/>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76B2F18" w14:textId="77777777" w:rsidR="00E36193" w:rsidRPr="00E36193" w:rsidRDefault="00E36193" w:rsidP="00E36193">
      <w:pPr>
        <w:pStyle w:val="Textoindependiente"/>
        <w:jc w:val="both"/>
        <w:rPr>
          <w:rFonts w:eastAsia="Calibri"/>
          <w:sz w:val="20"/>
          <w:szCs w:val="20"/>
          <w:lang w:val="es-ES_tradnl" w:eastAsia="es-ES_tradnl"/>
        </w:rPr>
      </w:pPr>
    </w:p>
    <w:p w14:paraId="10EBAEBC" w14:textId="4E0751EC" w:rsidR="009E5CA8" w:rsidRDefault="00E36193" w:rsidP="00E36193">
      <w:pPr>
        <w:pStyle w:val="Textoindependiente"/>
        <w:jc w:val="both"/>
        <w:rPr>
          <w:rFonts w:eastAsia="Calibri"/>
          <w:sz w:val="20"/>
          <w:szCs w:val="20"/>
          <w:lang w:val="es-ES_tradnl" w:eastAsia="es-ES_tradnl"/>
        </w:rPr>
      </w:pPr>
      <w:r w:rsidRPr="00E36193">
        <w:rPr>
          <w:rFonts w:eastAsia="Calibri"/>
          <w:sz w:val="20"/>
          <w:szCs w:val="20"/>
          <w:lang w:val="es-ES_tradnl" w:eastAsia="es-ES_tradnl"/>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 En particular, frente al documento tipo indicado por el peticionario, toda vez que la versión 2 de los documentos tipo de licitación para obras de infraestructura de transporte se expidió en vigencia de la Ley 1882 de 2018, fue dicha ley, precisamente, unido al desarrollo del artículo 2.2.1.2.6.1.4. del Decreto 1082 de 2015, el fundamento de la regla de inalterabilidad.</w:t>
      </w:r>
    </w:p>
    <w:p w14:paraId="721FC774" w14:textId="77777777" w:rsidR="00E36193" w:rsidRDefault="00E36193" w:rsidP="00E36193">
      <w:pPr>
        <w:pStyle w:val="Textoindependiente"/>
        <w:jc w:val="both"/>
        <w:rPr>
          <w:b/>
          <w:bCs/>
          <w:lang w:val="es-ES_tradnl"/>
        </w:rPr>
      </w:pPr>
    </w:p>
    <w:p w14:paraId="6644E98B" w14:textId="77777777" w:rsidR="00B031B3" w:rsidRPr="00B031B3" w:rsidRDefault="00B031B3" w:rsidP="00B031B3">
      <w:pPr>
        <w:jc w:val="both"/>
        <w:rPr>
          <w:rFonts w:ascii="Arial" w:hAnsi="Arial" w:cs="Arial"/>
          <w:b/>
          <w:bCs/>
          <w:color w:val="000000"/>
          <w:sz w:val="22"/>
          <w:lang w:val="es-ES"/>
        </w:rPr>
      </w:pPr>
      <w:r w:rsidRPr="00B031B3">
        <w:rPr>
          <w:rFonts w:ascii="Arial" w:hAnsi="Arial" w:cs="Arial"/>
          <w:b/>
          <w:bCs/>
          <w:color w:val="000000"/>
          <w:sz w:val="22"/>
          <w:lang w:val="es-ES"/>
        </w:rPr>
        <w:lastRenderedPageBreak/>
        <w:t xml:space="preserve">SUBSANABILIDAD </w:t>
      </w:r>
      <w:r w:rsidRPr="00B031B3">
        <w:rPr>
          <w:rFonts w:ascii="Arial" w:hAnsi="Arial" w:cs="Arial"/>
          <w:b/>
          <w:bCs/>
          <w:color w:val="000000"/>
          <w:sz w:val="20"/>
          <w:szCs w:val="20"/>
        </w:rPr>
        <w:t xml:space="preserve">– </w:t>
      </w:r>
      <w:r w:rsidRPr="00B031B3">
        <w:rPr>
          <w:rFonts w:ascii="Arial" w:hAnsi="Arial" w:cs="Arial"/>
          <w:b/>
          <w:bCs/>
          <w:color w:val="000000"/>
          <w:sz w:val="22"/>
          <w:lang w:val="es-ES"/>
        </w:rPr>
        <w:t xml:space="preserve">Aplicación </w:t>
      </w:r>
      <w:r w:rsidRPr="00B031B3">
        <w:rPr>
          <w:rFonts w:ascii="Arial" w:hAnsi="Arial" w:cs="Arial"/>
          <w:b/>
          <w:bCs/>
          <w:color w:val="000000"/>
          <w:sz w:val="20"/>
          <w:szCs w:val="20"/>
        </w:rPr>
        <w:t>–</w:t>
      </w:r>
      <w:r w:rsidRPr="00B031B3">
        <w:rPr>
          <w:rFonts w:ascii="Arial" w:hAnsi="Arial" w:cs="Arial"/>
          <w:b/>
          <w:bCs/>
          <w:color w:val="000000"/>
          <w:sz w:val="22"/>
          <w:lang w:val="es-ES"/>
        </w:rPr>
        <w:t xml:space="preserve"> Improcedencia </w:t>
      </w:r>
      <w:r w:rsidRPr="00B031B3">
        <w:rPr>
          <w:rFonts w:ascii="Arial" w:hAnsi="Arial" w:cs="Arial"/>
          <w:b/>
          <w:bCs/>
          <w:color w:val="000000"/>
          <w:sz w:val="20"/>
          <w:szCs w:val="20"/>
        </w:rPr>
        <w:t>–</w:t>
      </w:r>
      <w:r w:rsidRPr="00B031B3">
        <w:rPr>
          <w:rFonts w:ascii="Arial" w:hAnsi="Arial" w:cs="Arial"/>
          <w:b/>
          <w:bCs/>
          <w:color w:val="000000"/>
          <w:sz w:val="22"/>
          <w:lang w:val="es-ES"/>
        </w:rPr>
        <w:t xml:space="preserve"> Circunstancias posteriores </w:t>
      </w:r>
      <w:r w:rsidRPr="00B031B3">
        <w:rPr>
          <w:rFonts w:ascii="Arial" w:hAnsi="Arial" w:cs="Arial"/>
          <w:b/>
          <w:bCs/>
          <w:color w:val="000000"/>
          <w:sz w:val="20"/>
          <w:szCs w:val="20"/>
        </w:rPr>
        <w:t>–</w:t>
      </w:r>
      <w:r w:rsidRPr="00B031B3">
        <w:rPr>
          <w:rFonts w:ascii="Arial" w:hAnsi="Arial" w:cs="Arial"/>
          <w:b/>
          <w:bCs/>
          <w:color w:val="000000"/>
          <w:sz w:val="22"/>
          <w:lang w:val="es-ES"/>
        </w:rPr>
        <w:t xml:space="preserve"> Cierre del proceso</w:t>
      </w:r>
    </w:p>
    <w:p w14:paraId="7CC06BE9" w14:textId="77777777" w:rsidR="00B031B3" w:rsidRPr="00B031B3" w:rsidRDefault="00B031B3" w:rsidP="00B031B3">
      <w:pPr>
        <w:jc w:val="both"/>
        <w:rPr>
          <w:rFonts w:ascii="Arial" w:hAnsi="Arial" w:cs="Arial"/>
          <w:color w:val="000000"/>
          <w:sz w:val="22"/>
          <w:lang w:val="es-ES_tradnl"/>
        </w:rPr>
      </w:pPr>
    </w:p>
    <w:p w14:paraId="7CF8B17E" w14:textId="77777777" w:rsidR="00B031B3" w:rsidRPr="00B031B3" w:rsidRDefault="00B031B3" w:rsidP="00B031B3">
      <w:pPr>
        <w:jc w:val="both"/>
        <w:rPr>
          <w:rFonts w:ascii="Arial" w:hAnsi="Arial" w:cs="Arial"/>
          <w:color w:val="000000"/>
          <w:sz w:val="20"/>
          <w:lang w:val="es-ES_tradnl"/>
        </w:rPr>
      </w:pPr>
      <w:r w:rsidRPr="00B031B3">
        <w:rPr>
          <w:rFonts w:ascii="Arial" w:hAnsi="Arial" w:cs="Arial"/>
          <w:color w:val="000000"/>
          <w:sz w:val="20"/>
          <w:lang w:val="es-ES_tradnl"/>
        </w:rPr>
        <w:t xml:space="preserve">La regla de la </w:t>
      </w:r>
      <w:proofErr w:type="spellStart"/>
      <w:r w:rsidRPr="00B031B3">
        <w:rPr>
          <w:rFonts w:ascii="Arial" w:hAnsi="Arial" w:cs="Arial"/>
          <w:color w:val="000000"/>
          <w:sz w:val="20"/>
          <w:lang w:val="es-ES_tradnl"/>
        </w:rPr>
        <w:t>subsanabilidad</w:t>
      </w:r>
      <w:proofErr w:type="spellEnd"/>
      <w:r w:rsidRPr="00B031B3">
        <w:rPr>
          <w:rFonts w:ascii="Arial" w:hAnsi="Arial" w:cs="Arial"/>
          <w:color w:val="000000"/>
          <w:sz w:val="20"/>
          <w:lang w:val="es-ES_tradnl"/>
        </w:rPr>
        <w:t xml:space="preserve">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00B031B3">
        <w:rPr>
          <w:rFonts w:ascii="Arial" w:hAnsi="Arial" w:cs="Arial"/>
          <w:color w:val="000000"/>
          <w:sz w:val="20"/>
          <w:lang w:val="es-ES_tradnl"/>
        </w:rPr>
        <w:t>subsanabilidad</w:t>
      </w:r>
      <w:proofErr w:type="spellEnd"/>
      <w:r w:rsidRPr="00B031B3">
        <w:rPr>
          <w:rFonts w:ascii="Arial" w:hAnsi="Arial" w:cs="Arial"/>
          <w:color w:val="000000"/>
          <w:sz w:val="20"/>
          <w:lang w:val="es-ES_tradnl"/>
        </w:rPr>
        <w:t xml:space="preserve"> de las ofertas debe interpretarse como una regla general en relación con la falta de entrega o con los defectos de los requisitos habilitantes.</w:t>
      </w:r>
    </w:p>
    <w:p w14:paraId="6BBE25AF" w14:textId="77777777" w:rsidR="00B031B3" w:rsidRPr="00B031B3" w:rsidRDefault="00B031B3" w:rsidP="00B031B3">
      <w:pPr>
        <w:jc w:val="both"/>
        <w:rPr>
          <w:rFonts w:ascii="Arial" w:hAnsi="Arial" w:cs="Arial"/>
          <w:color w:val="000000"/>
          <w:sz w:val="20"/>
          <w:lang w:val="es-ES_tradnl"/>
        </w:rPr>
      </w:pPr>
    </w:p>
    <w:p w14:paraId="78B88E9A" w14:textId="77777777" w:rsidR="00B031B3" w:rsidRPr="00B031B3" w:rsidRDefault="00B031B3" w:rsidP="00B031B3">
      <w:pPr>
        <w:jc w:val="both"/>
        <w:rPr>
          <w:rFonts w:ascii="Arial" w:hAnsi="Arial" w:cs="Arial"/>
          <w:color w:val="000000"/>
          <w:sz w:val="22"/>
          <w:lang w:val="es-ES_tradnl"/>
        </w:rPr>
      </w:pPr>
      <w:r w:rsidRPr="00B031B3">
        <w:rPr>
          <w:rFonts w:ascii="Arial" w:hAnsi="Arial" w:cs="Arial"/>
          <w:b/>
          <w:color w:val="000000"/>
          <w:sz w:val="22"/>
          <w:lang w:val="es-ES_tradnl"/>
        </w:rPr>
        <w:t xml:space="preserve">SUBSANABILIDAD </w:t>
      </w:r>
      <w:r w:rsidRPr="00B031B3">
        <w:rPr>
          <w:rFonts w:ascii="Arial" w:hAnsi="Arial" w:cs="Arial"/>
          <w:b/>
          <w:bCs/>
          <w:color w:val="000000"/>
          <w:sz w:val="20"/>
          <w:szCs w:val="20"/>
        </w:rPr>
        <w:t>–</w:t>
      </w:r>
      <w:r w:rsidRPr="00B031B3">
        <w:rPr>
          <w:rFonts w:ascii="Arial" w:hAnsi="Arial" w:cs="Arial"/>
          <w:b/>
          <w:color w:val="000000"/>
          <w:sz w:val="22"/>
          <w:lang w:val="es-ES_tradnl"/>
        </w:rPr>
        <w:t xml:space="preserve"> Oportunidad </w:t>
      </w:r>
      <w:r w:rsidRPr="00B031B3">
        <w:rPr>
          <w:rFonts w:ascii="Arial" w:hAnsi="Arial" w:cs="Arial"/>
          <w:b/>
          <w:bCs/>
          <w:color w:val="000000"/>
          <w:sz w:val="20"/>
          <w:szCs w:val="20"/>
        </w:rPr>
        <w:t>–</w:t>
      </w:r>
      <w:r w:rsidRPr="00B031B3">
        <w:rPr>
          <w:rFonts w:ascii="Arial" w:hAnsi="Arial" w:cs="Arial"/>
          <w:b/>
          <w:color w:val="000000"/>
          <w:sz w:val="22"/>
          <w:lang w:val="es-ES_tradnl"/>
        </w:rPr>
        <w:t xml:space="preserve"> Traslado </w:t>
      </w:r>
      <w:r w:rsidRPr="00B031B3">
        <w:rPr>
          <w:rFonts w:ascii="Arial" w:hAnsi="Arial" w:cs="Arial"/>
          <w:b/>
          <w:bCs/>
          <w:color w:val="000000"/>
          <w:sz w:val="20"/>
          <w:szCs w:val="20"/>
        </w:rPr>
        <w:t>–</w:t>
      </w:r>
      <w:r w:rsidRPr="00B031B3">
        <w:rPr>
          <w:rFonts w:ascii="Arial" w:hAnsi="Arial" w:cs="Arial"/>
          <w:b/>
          <w:color w:val="000000"/>
          <w:sz w:val="22"/>
          <w:lang w:val="es-ES_tradnl"/>
        </w:rPr>
        <w:t xml:space="preserve"> Informe de evaluación </w:t>
      </w:r>
    </w:p>
    <w:p w14:paraId="5B4396AA" w14:textId="77777777" w:rsidR="00B031B3" w:rsidRPr="00B031B3" w:rsidRDefault="00B031B3" w:rsidP="00B031B3">
      <w:pPr>
        <w:jc w:val="both"/>
        <w:rPr>
          <w:rFonts w:ascii="Arial" w:hAnsi="Arial" w:cs="Arial"/>
          <w:color w:val="000000"/>
          <w:sz w:val="20"/>
          <w:lang w:val="es-ES_tradnl"/>
        </w:rPr>
      </w:pPr>
    </w:p>
    <w:p w14:paraId="4AF7E72D" w14:textId="77777777" w:rsidR="00B031B3" w:rsidRPr="00B031B3" w:rsidRDefault="00B031B3" w:rsidP="00B031B3">
      <w:pPr>
        <w:spacing w:after="120"/>
        <w:jc w:val="both"/>
        <w:rPr>
          <w:rFonts w:ascii="Arial" w:hAnsi="Arial" w:cs="Arial"/>
          <w:color w:val="000000"/>
          <w:sz w:val="20"/>
          <w:lang w:val="es-ES_tradnl"/>
        </w:rPr>
      </w:pPr>
      <w:r w:rsidRPr="00B031B3">
        <w:rPr>
          <w:rFonts w:ascii="Arial" w:hAnsi="Arial" w:cs="Arial"/>
          <w:color w:val="000000"/>
          <w:sz w:val="20"/>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B031B3">
        <w:rPr>
          <w:rFonts w:ascii="Arial" w:hAnsi="Arial" w:cs="Arial"/>
          <w:color w:val="000000"/>
          <w:sz w:val="20"/>
          <w:lang w:val="es-ES_tradnl"/>
        </w:rPr>
        <w:t>subsanabilidad</w:t>
      </w:r>
      <w:proofErr w:type="spellEnd"/>
      <w:r w:rsidRPr="00B031B3">
        <w:rPr>
          <w:rFonts w:ascii="Arial" w:hAnsi="Arial" w:cs="Arial"/>
          <w:color w:val="000000"/>
          <w:sz w:val="20"/>
          <w:lang w:val="es-ES_tradnl"/>
        </w:rPr>
        <w:t xml:space="preserve">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w:t>
      </w:r>
    </w:p>
    <w:p w14:paraId="236C8703" w14:textId="77777777" w:rsidR="00B031B3" w:rsidRPr="00B031B3" w:rsidRDefault="00B031B3" w:rsidP="00B031B3">
      <w:pPr>
        <w:spacing w:after="120"/>
        <w:jc w:val="both"/>
        <w:rPr>
          <w:rFonts w:ascii="Arial" w:hAnsi="Arial" w:cs="Arial"/>
          <w:color w:val="000000"/>
          <w:sz w:val="20"/>
          <w:lang w:val="es-ES_tradnl"/>
        </w:rPr>
      </w:pPr>
      <w:r w:rsidRPr="00B031B3">
        <w:rPr>
          <w:rFonts w:ascii="Arial" w:hAnsi="Arial" w:cs="Arial"/>
          <w:color w:val="000000"/>
          <w:sz w:val="20"/>
          <w:lang w:val="es-ES_tradnl"/>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p>
    <w:p w14:paraId="15843384" w14:textId="77777777" w:rsidR="00B031B3" w:rsidRPr="00B031B3" w:rsidRDefault="00B031B3" w:rsidP="00B031B3">
      <w:pPr>
        <w:spacing w:after="120"/>
        <w:jc w:val="both"/>
        <w:rPr>
          <w:rFonts w:ascii="Arial" w:hAnsi="Arial" w:cs="Arial"/>
          <w:color w:val="000000"/>
          <w:sz w:val="20"/>
          <w:lang w:val="es-ES_tradnl"/>
        </w:rPr>
      </w:pPr>
      <w:r w:rsidRPr="00B031B3">
        <w:rPr>
          <w:rFonts w:ascii="Arial" w:hAnsi="Arial" w:cs="Arial"/>
          <w:color w:val="000000"/>
          <w:sz w:val="20"/>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0BB915FD" w14:textId="77777777" w:rsidR="00B031B3" w:rsidRPr="00B031B3" w:rsidRDefault="00B031B3" w:rsidP="00B031B3">
      <w:pPr>
        <w:jc w:val="both"/>
        <w:rPr>
          <w:rFonts w:ascii="Arial" w:hAnsi="Arial" w:cs="Arial"/>
          <w:color w:val="000000"/>
          <w:sz w:val="20"/>
          <w:lang w:val="es-ES_tradnl"/>
        </w:rPr>
      </w:pPr>
      <w:r w:rsidRPr="00B031B3">
        <w:rPr>
          <w:rFonts w:ascii="Arial" w:hAnsi="Arial" w:cs="Arial"/>
          <w:color w:val="000000"/>
          <w:sz w:val="20"/>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w:t>
      </w:r>
      <w:r w:rsidRPr="00B031B3">
        <w:rPr>
          <w:rFonts w:ascii="Arial" w:hAnsi="Arial" w:cs="Arial"/>
          <w:color w:val="000000"/>
          <w:sz w:val="20"/>
          <w:lang w:val="es-ES_tradnl"/>
        </w:rPr>
        <w:lastRenderedPageBreak/>
        <w:t>consolidadas en lo formal. Subsanar antes del informe de evaluación ofrece mayor seguridad y certeza al proceso de selección, a la Administración y a los oferentes</w:t>
      </w:r>
      <w:r w:rsidRPr="00B031B3">
        <w:rPr>
          <w:rFonts w:ascii="Arial" w:eastAsia="Arial" w:hAnsi="Arial" w:cs="Arial"/>
          <w:color w:val="000000"/>
          <w:sz w:val="20"/>
          <w:szCs w:val="20"/>
        </w:rPr>
        <w:t>.</w:t>
      </w:r>
    </w:p>
    <w:p w14:paraId="1A4B1081" w14:textId="54354F26" w:rsidR="00B031B3" w:rsidRDefault="00B031B3" w:rsidP="009E5CA8">
      <w:pPr>
        <w:pStyle w:val="Textoindependiente"/>
        <w:jc w:val="both"/>
        <w:rPr>
          <w:b/>
          <w:bCs/>
          <w:lang w:val="es-ES_tradnl"/>
        </w:rPr>
      </w:pPr>
    </w:p>
    <w:p w14:paraId="1C2A45B1" w14:textId="5912D657" w:rsidR="00B031B3" w:rsidRDefault="00B031B3" w:rsidP="009E5CA8">
      <w:pPr>
        <w:pStyle w:val="Textoindependiente"/>
        <w:jc w:val="both"/>
        <w:rPr>
          <w:b/>
          <w:bCs/>
          <w:lang w:val="es-ES_tradnl"/>
        </w:rPr>
      </w:pPr>
    </w:p>
    <w:p w14:paraId="42B5AEC8" w14:textId="4EFF0D11" w:rsidR="00AD4A41" w:rsidRDefault="00AD4A41" w:rsidP="009E5CA8">
      <w:pPr>
        <w:pStyle w:val="Textoindependiente"/>
        <w:jc w:val="both"/>
        <w:rPr>
          <w:b/>
          <w:bCs/>
          <w:lang w:val="es-ES_tradnl"/>
        </w:rPr>
      </w:pPr>
    </w:p>
    <w:p w14:paraId="29A519EC" w14:textId="77777777" w:rsidR="00AD4A41" w:rsidRDefault="00AD4A41" w:rsidP="009E5CA8">
      <w:pPr>
        <w:pStyle w:val="Textoindependiente"/>
        <w:jc w:val="both"/>
        <w:rPr>
          <w:b/>
          <w:bCs/>
          <w:lang w:val="es-ES_tradnl"/>
        </w:rPr>
      </w:pPr>
    </w:p>
    <w:p w14:paraId="2C34EB18" w14:textId="7044249A" w:rsidR="00B031B3" w:rsidRDefault="00B031B3" w:rsidP="009E5CA8">
      <w:pPr>
        <w:pStyle w:val="Textoindependiente"/>
        <w:jc w:val="both"/>
        <w:rPr>
          <w:b/>
          <w:bCs/>
          <w:lang w:val="es-ES_tradnl"/>
        </w:rPr>
      </w:pPr>
    </w:p>
    <w:p w14:paraId="013D1379" w14:textId="630EB1C5" w:rsidR="00B031B3" w:rsidRDefault="00B031B3" w:rsidP="009E5CA8">
      <w:pPr>
        <w:pStyle w:val="Textoindependiente"/>
        <w:jc w:val="both"/>
        <w:rPr>
          <w:b/>
          <w:bCs/>
          <w:lang w:val="es-ES_tradnl"/>
        </w:rPr>
      </w:pPr>
    </w:p>
    <w:bookmarkEnd w:id="0"/>
    <w:p w14:paraId="734692E5" w14:textId="44A9A3F2" w:rsidR="00C90033" w:rsidRPr="00EE7AB2" w:rsidRDefault="00C90033" w:rsidP="00C90033">
      <w:pPr>
        <w:spacing w:line="276" w:lineRule="auto"/>
        <w:rPr>
          <w:rFonts w:ascii="Arial" w:hAnsi="Arial" w:cs="Arial"/>
          <w:b/>
          <w:sz w:val="22"/>
          <w:lang w:val="es-CO"/>
        </w:rPr>
      </w:pPr>
      <w:r w:rsidRPr="00EE7AB2">
        <w:rPr>
          <w:rFonts w:ascii="Arial" w:hAnsi="Arial" w:cs="Arial"/>
          <w:sz w:val="22"/>
        </w:rPr>
        <w:t xml:space="preserve">Bogotá D.C., </w:t>
      </w:r>
      <w:r w:rsidR="00AD4A41">
        <w:rPr>
          <w:rFonts w:ascii="Arial" w:hAnsi="Arial" w:cs="Arial"/>
          <w:b/>
          <w:sz w:val="22"/>
        </w:rPr>
        <w:t>18/03/2021   14:25:12</w:t>
      </w:r>
    </w:p>
    <w:p w14:paraId="06C9ADFA" w14:textId="05150E2F" w:rsidR="000920F0" w:rsidRPr="00EE7AB2" w:rsidRDefault="00AD4A41" w:rsidP="00AD4A41">
      <w:pPr>
        <w:tabs>
          <w:tab w:val="left" w:pos="3374"/>
        </w:tabs>
        <w:spacing w:line="276" w:lineRule="auto"/>
        <w:jc w:val="right"/>
        <w:rPr>
          <w:rFonts w:ascii="Arial" w:hAnsi="Arial" w:cs="Arial"/>
          <w:noProof/>
          <w:sz w:val="22"/>
          <w:lang w:val="es-ES_tradnl"/>
        </w:rPr>
      </w:pPr>
      <w:r>
        <w:rPr>
          <w:noProof/>
        </w:rPr>
        <w:drawing>
          <wp:inline distT="0" distB="0" distL="0" distR="0" wp14:anchorId="13CDC33F" wp14:editId="5F3A426A">
            <wp:extent cx="2684907" cy="771525"/>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2566" t="34001" r="17738" b="50820"/>
                    <a:stretch/>
                  </pic:blipFill>
                  <pic:spPr bwMode="auto">
                    <a:xfrm>
                      <a:off x="0" y="0"/>
                      <a:ext cx="2711780" cy="779247"/>
                    </a:xfrm>
                    <a:prstGeom prst="rect">
                      <a:avLst/>
                    </a:prstGeom>
                    <a:ln>
                      <a:noFill/>
                    </a:ln>
                    <a:extLst>
                      <a:ext uri="{53640926-AAD7-44D8-BBD7-CCE9431645EC}">
                        <a14:shadowObscured xmlns:a14="http://schemas.microsoft.com/office/drawing/2010/main"/>
                      </a:ext>
                    </a:extLst>
                  </pic:spPr>
                </pic:pic>
              </a:graphicData>
            </a:graphic>
          </wp:inline>
        </w:drawing>
      </w:r>
    </w:p>
    <w:p w14:paraId="55FA24EE" w14:textId="77777777" w:rsidR="00597B94" w:rsidRPr="00EE7AB2" w:rsidRDefault="00597B94" w:rsidP="00F106B5">
      <w:pPr>
        <w:tabs>
          <w:tab w:val="left" w:pos="3374"/>
        </w:tabs>
        <w:spacing w:line="276" w:lineRule="auto"/>
        <w:rPr>
          <w:rFonts w:ascii="Arial" w:hAnsi="Arial" w:cs="Arial"/>
          <w:noProof/>
          <w:sz w:val="22"/>
          <w:lang w:val="es-ES_tradnl"/>
        </w:rPr>
      </w:pPr>
    </w:p>
    <w:p w14:paraId="3AC7108A" w14:textId="77777777" w:rsidR="009959B4" w:rsidRPr="00EE7AB2" w:rsidRDefault="00C15D32" w:rsidP="00875A80">
      <w:pPr>
        <w:rPr>
          <w:rFonts w:ascii="Arial" w:hAnsi="Arial" w:cs="Arial"/>
          <w:bCs/>
          <w:noProof/>
          <w:sz w:val="22"/>
          <w:lang w:val="es-ES_tradnl"/>
        </w:rPr>
      </w:pPr>
      <w:r w:rsidRPr="00EE7AB2">
        <w:rPr>
          <w:rFonts w:ascii="Arial" w:hAnsi="Arial" w:cs="Arial"/>
          <w:bCs/>
          <w:noProof/>
          <w:sz w:val="22"/>
          <w:lang w:val="es-ES_tradnl"/>
        </w:rPr>
        <w:t>Seño</w:t>
      </w:r>
      <w:r w:rsidR="009959B4" w:rsidRPr="00EE7AB2">
        <w:rPr>
          <w:rFonts w:ascii="Arial" w:hAnsi="Arial" w:cs="Arial"/>
          <w:bCs/>
          <w:noProof/>
          <w:sz w:val="22"/>
          <w:lang w:val="es-ES_tradnl"/>
        </w:rPr>
        <w:t>r</w:t>
      </w:r>
    </w:p>
    <w:p w14:paraId="7CD9B956" w14:textId="3130EB73" w:rsidR="00BA7CC0" w:rsidRDefault="00B031B3" w:rsidP="00875A80">
      <w:pPr>
        <w:rPr>
          <w:rFonts w:ascii="Arial" w:hAnsi="Arial" w:cs="Arial"/>
          <w:b/>
          <w:noProof/>
          <w:sz w:val="22"/>
          <w:lang w:val="es-ES_tradnl"/>
        </w:rPr>
      </w:pPr>
      <w:r>
        <w:rPr>
          <w:rFonts w:ascii="Arial" w:hAnsi="Arial" w:cs="Arial"/>
          <w:b/>
          <w:noProof/>
          <w:sz w:val="22"/>
          <w:lang w:val="es-ES_tradnl"/>
        </w:rPr>
        <w:t>Ricardo Gómez</w:t>
      </w:r>
    </w:p>
    <w:p w14:paraId="200CDA3A" w14:textId="7CCD60AE" w:rsidR="00597B94" w:rsidRPr="00EE7AB2" w:rsidRDefault="00B031B3" w:rsidP="00597B94">
      <w:pPr>
        <w:rPr>
          <w:rFonts w:ascii="Arial" w:hAnsi="Arial" w:cs="Arial"/>
          <w:noProof/>
          <w:sz w:val="22"/>
          <w:lang w:val="es-ES_tradnl"/>
        </w:rPr>
      </w:pPr>
      <w:r>
        <w:rPr>
          <w:rFonts w:ascii="Arial" w:hAnsi="Arial" w:cs="Arial"/>
          <w:noProof/>
          <w:sz w:val="22"/>
          <w:lang w:val="es-ES_tradnl"/>
        </w:rPr>
        <w:t>Medellín, Antioquia</w:t>
      </w:r>
    </w:p>
    <w:p w14:paraId="7040570F" w14:textId="5D95FD93" w:rsidR="00597B94" w:rsidRDefault="00597B94" w:rsidP="00597B94">
      <w:pPr>
        <w:rPr>
          <w:rFonts w:ascii="Arial" w:hAnsi="Arial" w:cs="Arial"/>
          <w:noProof/>
          <w:sz w:val="22"/>
          <w:lang w:val="es-ES_tradnl"/>
        </w:rPr>
      </w:pPr>
    </w:p>
    <w:p w14:paraId="5E2DE630" w14:textId="77777777" w:rsidR="00BA7CC0" w:rsidRPr="00EE7AB2" w:rsidRDefault="00BA7CC0" w:rsidP="00597B94">
      <w:pPr>
        <w:rPr>
          <w:rFonts w:ascii="Arial" w:hAnsi="Arial" w:cs="Arial"/>
          <w:noProof/>
          <w:sz w:val="22"/>
          <w:lang w:val="es-ES_tradnl"/>
        </w:rPr>
      </w:pPr>
    </w:p>
    <w:p w14:paraId="36D9E2A1" w14:textId="07C4CBA6" w:rsidR="000920F0" w:rsidRPr="00EE7AB2" w:rsidRDefault="000920F0" w:rsidP="00E36193">
      <w:pPr>
        <w:jc w:val="center"/>
        <w:rPr>
          <w:rFonts w:ascii="Arial" w:hAnsi="Arial" w:cs="Arial"/>
          <w:b/>
          <w:noProof/>
          <w:sz w:val="22"/>
          <w:lang w:val="es-ES_tradnl"/>
        </w:rPr>
      </w:pPr>
      <w:r w:rsidRPr="00EE7AB2">
        <w:rPr>
          <w:rFonts w:ascii="Arial" w:hAnsi="Arial" w:cs="Arial"/>
          <w:b/>
          <w:noProof/>
          <w:sz w:val="22"/>
          <w:lang w:val="es-ES_tradnl"/>
        </w:rPr>
        <w:t xml:space="preserve">Concepto C </w:t>
      </w:r>
      <w:r w:rsidR="007F6877" w:rsidRPr="00EE7AB2">
        <w:rPr>
          <w:rFonts w:ascii="Arial" w:hAnsi="Arial" w:cs="Arial"/>
          <w:b/>
          <w:noProof/>
          <w:sz w:val="22"/>
          <w:lang w:val="es-ES_tradnl"/>
        </w:rPr>
        <w:t>–</w:t>
      </w:r>
      <w:r w:rsidRPr="00EE7AB2">
        <w:rPr>
          <w:rFonts w:ascii="Arial" w:hAnsi="Arial" w:cs="Arial"/>
          <w:b/>
          <w:noProof/>
          <w:sz w:val="22"/>
          <w:lang w:val="es-ES_tradnl"/>
        </w:rPr>
        <w:t xml:space="preserve"> </w:t>
      </w:r>
      <w:r w:rsidR="00BA7CC0">
        <w:rPr>
          <w:rFonts w:ascii="Arial" w:hAnsi="Arial" w:cs="Arial"/>
          <w:b/>
          <w:noProof/>
          <w:sz w:val="22"/>
          <w:lang w:val="es-ES_tradnl"/>
        </w:rPr>
        <w:t>0</w:t>
      </w:r>
      <w:r w:rsidR="00B031B3">
        <w:rPr>
          <w:rFonts w:ascii="Arial" w:hAnsi="Arial" w:cs="Arial"/>
          <w:b/>
          <w:noProof/>
          <w:sz w:val="22"/>
          <w:lang w:val="es-ES_tradnl"/>
        </w:rPr>
        <w:t>83</w:t>
      </w:r>
      <w:r w:rsidR="009959B4" w:rsidRPr="00EE7AB2">
        <w:rPr>
          <w:rFonts w:ascii="Arial" w:hAnsi="Arial" w:cs="Arial"/>
          <w:b/>
          <w:noProof/>
          <w:sz w:val="22"/>
          <w:lang w:val="es-ES_tradnl"/>
        </w:rPr>
        <w:t xml:space="preserve"> </w:t>
      </w:r>
      <w:r w:rsidRPr="00EE7AB2">
        <w:rPr>
          <w:rFonts w:ascii="Arial" w:hAnsi="Arial" w:cs="Arial"/>
          <w:b/>
          <w:noProof/>
          <w:sz w:val="22"/>
          <w:lang w:val="es-ES_tradnl"/>
        </w:rPr>
        <w:t>de 202</w:t>
      </w:r>
      <w:r w:rsidR="00BA7CC0">
        <w:rPr>
          <w:rFonts w:ascii="Arial" w:hAnsi="Arial" w:cs="Arial"/>
          <w:b/>
          <w:noProof/>
          <w:sz w:val="22"/>
          <w:lang w:val="es-ES_tradnl"/>
        </w:rPr>
        <w:t>1</w:t>
      </w:r>
    </w:p>
    <w:p w14:paraId="5FD7FADA" w14:textId="77777777" w:rsidR="000920F0" w:rsidRPr="00EE7AB2"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EE7AB2" w14:paraId="16CF89C4" w14:textId="77777777" w:rsidTr="0041420E">
        <w:trPr>
          <w:trHeight w:val="591"/>
        </w:trPr>
        <w:tc>
          <w:tcPr>
            <w:tcW w:w="2689" w:type="dxa"/>
            <w:hideMark/>
          </w:tcPr>
          <w:p w14:paraId="76A5E400" w14:textId="1E8B7EC2" w:rsidR="000920F0" w:rsidRPr="00EE7AB2" w:rsidRDefault="000920F0" w:rsidP="0041420E">
            <w:pPr>
              <w:rPr>
                <w:rFonts w:ascii="Arial" w:hAnsi="Arial" w:cs="Arial"/>
                <w:noProof/>
                <w:sz w:val="22"/>
                <w:lang w:val="es-ES_tradnl"/>
              </w:rPr>
            </w:pPr>
            <w:r w:rsidRPr="00EE7AB2">
              <w:rPr>
                <w:rFonts w:ascii="Arial" w:hAnsi="Arial" w:cs="Arial"/>
                <w:b/>
                <w:noProof/>
                <w:sz w:val="22"/>
                <w:lang w:val="es-ES_tradnl"/>
              </w:rPr>
              <w:t>Temas:</w:t>
            </w:r>
            <w:r w:rsidR="00D960B1">
              <w:rPr>
                <w:rFonts w:ascii="Arial" w:hAnsi="Arial" w:cs="Arial"/>
                <w:noProof/>
                <w:sz w:val="22"/>
                <w:lang w:val="es-ES_tradnl"/>
              </w:rPr>
              <w:t xml:space="preserve">    </w:t>
            </w:r>
          </w:p>
        </w:tc>
        <w:tc>
          <w:tcPr>
            <w:tcW w:w="6237" w:type="dxa"/>
            <w:hideMark/>
          </w:tcPr>
          <w:p w14:paraId="5528BC60" w14:textId="1FCD8D63" w:rsidR="00BA7CC0" w:rsidRPr="00EE7AB2" w:rsidRDefault="00B031B3" w:rsidP="00A33107">
            <w:pPr>
              <w:pStyle w:val="Prrafodelista"/>
              <w:spacing w:after="120"/>
              <w:ind w:left="0"/>
              <w:jc w:val="both"/>
              <w:rPr>
                <w:rFonts w:ascii="Arial" w:hAnsi="Arial" w:cs="Arial"/>
                <w:b/>
                <w:bCs/>
                <w:noProof/>
                <w:sz w:val="22"/>
                <w:highlight w:val="yellow"/>
                <w:lang w:val="es-ES_tradnl"/>
              </w:rPr>
            </w:pPr>
            <w:r w:rsidRPr="00B23535">
              <w:rPr>
                <w:rFonts w:ascii="Arial" w:eastAsia="Calibri" w:hAnsi="Arial" w:cs="Arial"/>
                <w:bCs/>
                <w:sz w:val="22"/>
                <w:lang w:val="es-ES_tradnl"/>
              </w:rPr>
              <w:t>DOCUMENTOS TIPO – Fundamento normativo – Ley 2022 de 2020</w:t>
            </w:r>
            <w:r>
              <w:rPr>
                <w:rFonts w:ascii="Arial" w:eastAsia="Calibri" w:hAnsi="Arial" w:cs="Arial"/>
                <w:bCs/>
                <w:sz w:val="22"/>
                <w:lang w:val="es-ES_tradnl"/>
              </w:rPr>
              <w:t xml:space="preserve"> </w:t>
            </w:r>
            <w:r w:rsidRPr="00B23535">
              <w:rPr>
                <w:rFonts w:ascii="Arial" w:eastAsia="Calibri" w:hAnsi="Arial" w:cs="Arial"/>
                <w:bCs/>
                <w:sz w:val="22"/>
                <w:lang w:val="es-ES_tradnl"/>
              </w:rPr>
              <w:t>/ INALTERABILIDAD – Documentos tipo – Regla vigente – Alcance</w:t>
            </w:r>
            <w:r>
              <w:rPr>
                <w:rFonts w:ascii="Arial" w:eastAsia="Calibri" w:hAnsi="Arial" w:cs="Arial"/>
                <w:bCs/>
                <w:sz w:val="22"/>
                <w:lang w:val="es-ES_tradnl"/>
              </w:rPr>
              <w:t xml:space="preserve"> /</w:t>
            </w:r>
            <w:r w:rsidRPr="00B23535">
              <w:rPr>
                <w:rFonts w:ascii="Arial" w:eastAsia="Calibri" w:hAnsi="Arial" w:cs="Arial"/>
                <w:bCs/>
                <w:sz w:val="22"/>
                <w:lang w:val="es-ES_tradnl"/>
              </w:rPr>
              <w:t xml:space="preserve"> </w:t>
            </w:r>
            <w:r w:rsidRPr="000F7783">
              <w:rPr>
                <w:rFonts w:ascii="Arial" w:eastAsia="Calibri" w:hAnsi="Arial" w:cs="Arial"/>
                <w:color w:val="000000" w:themeColor="text1"/>
                <w:sz w:val="22"/>
              </w:rPr>
              <w:t xml:space="preserve">SUBSANABILIDAD </w:t>
            </w:r>
            <w:r>
              <w:rPr>
                <w:rFonts w:ascii="Arial" w:eastAsia="Calibri" w:hAnsi="Arial" w:cs="Arial"/>
                <w:color w:val="000000" w:themeColor="text1"/>
                <w:sz w:val="22"/>
              </w:rPr>
              <w:t>–</w:t>
            </w:r>
            <w:r w:rsidRPr="000F7783">
              <w:rPr>
                <w:rFonts w:ascii="Arial" w:eastAsia="Calibri" w:hAnsi="Arial" w:cs="Arial"/>
                <w:color w:val="000000" w:themeColor="text1"/>
                <w:sz w:val="22"/>
              </w:rPr>
              <w:t xml:space="preserve"> Concepto de unificación </w:t>
            </w:r>
            <w:r>
              <w:rPr>
                <w:rFonts w:ascii="Arial" w:eastAsia="Calibri" w:hAnsi="Arial" w:cs="Arial"/>
                <w:color w:val="000000" w:themeColor="text1"/>
                <w:sz w:val="22"/>
              </w:rPr>
              <w:t>–</w:t>
            </w:r>
            <w:r w:rsidRPr="000F7783">
              <w:rPr>
                <w:rFonts w:ascii="Arial" w:eastAsia="Calibri" w:hAnsi="Arial" w:cs="Arial"/>
                <w:color w:val="000000" w:themeColor="text1"/>
                <w:sz w:val="22"/>
              </w:rPr>
              <w:t xml:space="preserve"> Aplicación </w:t>
            </w:r>
            <w:r>
              <w:rPr>
                <w:rFonts w:ascii="Arial" w:eastAsia="Calibri" w:hAnsi="Arial" w:cs="Arial"/>
                <w:color w:val="000000" w:themeColor="text1"/>
                <w:sz w:val="22"/>
              </w:rPr>
              <w:t>–</w:t>
            </w:r>
            <w:r w:rsidRPr="000F7783">
              <w:rPr>
                <w:rFonts w:ascii="Arial" w:eastAsia="Calibri" w:hAnsi="Arial" w:cs="Arial"/>
                <w:color w:val="000000" w:themeColor="text1"/>
                <w:sz w:val="22"/>
              </w:rPr>
              <w:t xml:space="preserve"> Improcedencia </w:t>
            </w:r>
            <w:r>
              <w:rPr>
                <w:rFonts w:ascii="Arial" w:eastAsia="Calibri" w:hAnsi="Arial" w:cs="Arial"/>
                <w:color w:val="000000" w:themeColor="text1"/>
                <w:sz w:val="22"/>
              </w:rPr>
              <w:t>–</w:t>
            </w:r>
            <w:r w:rsidRPr="000F7783">
              <w:rPr>
                <w:rFonts w:ascii="Arial" w:eastAsia="Calibri" w:hAnsi="Arial" w:cs="Arial"/>
                <w:color w:val="000000" w:themeColor="text1"/>
                <w:sz w:val="22"/>
              </w:rPr>
              <w:t xml:space="preserve"> Circunstancias posteriores al cierre / SUBSANABILIDAD </w:t>
            </w:r>
            <w:r>
              <w:rPr>
                <w:rFonts w:ascii="Arial" w:eastAsia="Calibri" w:hAnsi="Arial" w:cs="Arial"/>
                <w:color w:val="000000" w:themeColor="text1"/>
                <w:sz w:val="22"/>
              </w:rPr>
              <w:t>–</w:t>
            </w:r>
            <w:r w:rsidRPr="000F7783">
              <w:rPr>
                <w:rFonts w:ascii="Arial" w:eastAsia="Calibri" w:hAnsi="Arial" w:cs="Arial"/>
                <w:color w:val="000000" w:themeColor="text1"/>
                <w:sz w:val="22"/>
              </w:rPr>
              <w:t xml:space="preserve"> Oportunidad </w:t>
            </w:r>
            <w:r>
              <w:rPr>
                <w:rFonts w:ascii="Arial" w:eastAsia="Calibri" w:hAnsi="Arial" w:cs="Arial"/>
                <w:color w:val="000000" w:themeColor="text1"/>
                <w:sz w:val="22"/>
              </w:rPr>
              <w:t>–</w:t>
            </w:r>
            <w:r w:rsidRPr="000F7783">
              <w:rPr>
                <w:rFonts w:ascii="Arial" w:eastAsia="Calibri" w:hAnsi="Arial" w:cs="Arial"/>
                <w:color w:val="000000" w:themeColor="text1"/>
                <w:sz w:val="22"/>
              </w:rPr>
              <w:t xml:space="preserve"> Traslado </w:t>
            </w:r>
            <w:r>
              <w:rPr>
                <w:rFonts w:ascii="Arial" w:eastAsia="Calibri" w:hAnsi="Arial" w:cs="Arial"/>
                <w:color w:val="000000" w:themeColor="text1"/>
                <w:sz w:val="22"/>
              </w:rPr>
              <w:t>–</w:t>
            </w:r>
            <w:r w:rsidRPr="000F7783">
              <w:rPr>
                <w:rFonts w:ascii="Arial" w:eastAsia="Calibri" w:hAnsi="Arial" w:cs="Arial"/>
                <w:color w:val="000000" w:themeColor="text1"/>
                <w:sz w:val="22"/>
              </w:rPr>
              <w:t xml:space="preserve"> Informe de evaluación</w:t>
            </w:r>
            <w:r w:rsidRPr="00EE7AB2">
              <w:rPr>
                <w:rFonts w:ascii="Arial" w:hAnsi="Arial" w:cs="Arial"/>
                <w:b/>
                <w:bCs/>
                <w:noProof/>
                <w:sz w:val="22"/>
                <w:highlight w:val="yellow"/>
                <w:lang w:val="es-ES_tradnl"/>
              </w:rPr>
              <w:t xml:space="preserve"> </w:t>
            </w:r>
          </w:p>
        </w:tc>
      </w:tr>
      <w:tr w:rsidR="00295D8A" w:rsidRPr="00EE7AB2" w14:paraId="5C0B4203" w14:textId="77777777" w:rsidTr="0041420E">
        <w:tc>
          <w:tcPr>
            <w:tcW w:w="2689" w:type="dxa"/>
          </w:tcPr>
          <w:p w14:paraId="32E4E458" w14:textId="53B5A55C" w:rsidR="000920F0" w:rsidRPr="00EE7AB2" w:rsidRDefault="000920F0" w:rsidP="0041420E">
            <w:pPr>
              <w:rPr>
                <w:rFonts w:ascii="Arial" w:hAnsi="Arial" w:cs="Arial"/>
                <w:b/>
                <w:noProof/>
                <w:sz w:val="22"/>
                <w:lang w:val="es-ES_tradnl"/>
              </w:rPr>
            </w:pPr>
            <w:r w:rsidRPr="00EE7AB2">
              <w:rPr>
                <w:rFonts w:ascii="Arial" w:hAnsi="Arial" w:cs="Arial"/>
                <w:b/>
                <w:noProof/>
                <w:sz w:val="22"/>
                <w:lang w:val="es-ES_tradnl"/>
              </w:rPr>
              <w:t>Radicación:</w:t>
            </w:r>
            <w:r w:rsidR="00D960B1">
              <w:rPr>
                <w:rFonts w:ascii="Arial" w:hAnsi="Arial" w:cs="Arial"/>
                <w:noProof/>
                <w:sz w:val="22"/>
                <w:lang w:val="es-ES_tradnl"/>
              </w:rPr>
              <w:t xml:space="preserve">               </w:t>
            </w:r>
          </w:p>
        </w:tc>
        <w:tc>
          <w:tcPr>
            <w:tcW w:w="6237" w:type="dxa"/>
          </w:tcPr>
          <w:p w14:paraId="1218CA08" w14:textId="40815F4D" w:rsidR="000920F0" w:rsidRPr="00EE7AB2" w:rsidRDefault="000920F0" w:rsidP="0041420E">
            <w:pPr>
              <w:jc w:val="both"/>
              <w:rPr>
                <w:rFonts w:ascii="Arial" w:hAnsi="Arial" w:cs="Arial"/>
                <w:noProof/>
                <w:sz w:val="22"/>
                <w:lang w:val="es-ES_tradnl"/>
              </w:rPr>
            </w:pPr>
            <w:r w:rsidRPr="00EE7AB2">
              <w:rPr>
                <w:rFonts w:ascii="Arial" w:hAnsi="Arial" w:cs="Arial"/>
                <w:noProof/>
                <w:sz w:val="22"/>
                <w:lang w:val="es-ES_tradnl"/>
              </w:rPr>
              <w:t>Respuesta a consulta</w:t>
            </w:r>
            <w:r w:rsidR="00EC35C7" w:rsidRPr="00EE7AB2">
              <w:rPr>
                <w:rFonts w:ascii="Arial" w:hAnsi="Arial" w:cs="Arial"/>
                <w:noProof/>
                <w:sz w:val="22"/>
                <w:lang w:val="es-ES_tradnl"/>
              </w:rPr>
              <w:t xml:space="preserve"> </w:t>
            </w:r>
            <w:r w:rsidRPr="00EE7AB2">
              <w:rPr>
                <w:rFonts w:ascii="Arial" w:hAnsi="Arial" w:cs="Arial"/>
                <w:noProof/>
                <w:sz w:val="22"/>
                <w:lang w:val="es-ES_tradnl"/>
              </w:rPr>
              <w:t xml:space="preserve"># </w:t>
            </w:r>
            <w:r w:rsidR="00B031B3" w:rsidRPr="00B031B3">
              <w:rPr>
                <w:rFonts w:ascii="Arial" w:hAnsi="Arial" w:cs="Arial"/>
                <w:noProof/>
                <w:sz w:val="22"/>
                <w:lang w:val="es-ES_tradnl"/>
              </w:rPr>
              <w:t>P20210204000919</w:t>
            </w:r>
          </w:p>
        </w:tc>
      </w:tr>
    </w:tbl>
    <w:p w14:paraId="36F05444" w14:textId="77777777" w:rsidR="000920F0" w:rsidRPr="00EE7AB2" w:rsidRDefault="000920F0" w:rsidP="00875A80">
      <w:pPr>
        <w:jc w:val="both"/>
        <w:rPr>
          <w:rFonts w:ascii="Arial" w:hAnsi="Arial" w:cs="Arial"/>
          <w:noProof/>
          <w:sz w:val="22"/>
          <w:lang w:val="es-ES_tradnl"/>
        </w:rPr>
      </w:pPr>
    </w:p>
    <w:p w14:paraId="3CDD931D" w14:textId="77777777" w:rsidR="000920F0" w:rsidRPr="00EE7AB2" w:rsidRDefault="000920F0" w:rsidP="00875A80">
      <w:pPr>
        <w:rPr>
          <w:rFonts w:ascii="Arial" w:hAnsi="Arial" w:cs="Arial"/>
          <w:noProof/>
          <w:sz w:val="22"/>
          <w:lang w:val="es-ES_tradnl"/>
        </w:rPr>
      </w:pPr>
    </w:p>
    <w:p w14:paraId="1B619448" w14:textId="58E1F3B6" w:rsidR="000920F0" w:rsidRPr="00EE7AB2" w:rsidRDefault="00C15D32" w:rsidP="00875A80">
      <w:pPr>
        <w:rPr>
          <w:rFonts w:ascii="Arial" w:hAnsi="Arial" w:cs="Arial"/>
          <w:noProof/>
          <w:sz w:val="22"/>
          <w:lang w:val="es-ES_tradnl"/>
        </w:rPr>
      </w:pPr>
      <w:r w:rsidRPr="00EE7AB2">
        <w:rPr>
          <w:rFonts w:ascii="Arial" w:hAnsi="Arial" w:cs="Arial"/>
          <w:noProof/>
          <w:sz w:val="22"/>
          <w:lang w:val="es-ES_tradnl"/>
        </w:rPr>
        <w:t>Estimad</w:t>
      </w:r>
      <w:r w:rsidR="0096481E">
        <w:rPr>
          <w:rFonts w:ascii="Arial" w:hAnsi="Arial" w:cs="Arial"/>
          <w:noProof/>
          <w:sz w:val="22"/>
          <w:lang w:val="es-ES_tradnl"/>
        </w:rPr>
        <w:t>o</w:t>
      </w:r>
      <w:r w:rsidRPr="00EE7AB2">
        <w:rPr>
          <w:rFonts w:ascii="Arial" w:hAnsi="Arial" w:cs="Arial"/>
          <w:noProof/>
          <w:sz w:val="22"/>
          <w:lang w:val="es-ES_tradnl"/>
        </w:rPr>
        <w:t xml:space="preserve"> </w:t>
      </w:r>
      <w:r w:rsidR="005A2B7F" w:rsidRPr="00EE7AB2">
        <w:rPr>
          <w:rFonts w:ascii="Arial" w:hAnsi="Arial" w:cs="Arial"/>
          <w:noProof/>
          <w:sz w:val="22"/>
          <w:lang w:val="es-ES_tradnl"/>
        </w:rPr>
        <w:t xml:space="preserve">señor </w:t>
      </w:r>
      <w:r w:rsidR="00B031B3">
        <w:rPr>
          <w:rFonts w:ascii="Arial" w:hAnsi="Arial" w:cs="Arial"/>
          <w:noProof/>
          <w:sz w:val="22"/>
          <w:lang w:val="es-ES_tradnl"/>
        </w:rPr>
        <w:t>Gómez</w:t>
      </w:r>
      <w:r w:rsidRPr="00EE7AB2">
        <w:rPr>
          <w:rFonts w:ascii="Arial" w:hAnsi="Arial" w:cs="Arial"/>
          <w:noProof/>
          <w:sz w:val="22"/>
          <w:lang w:val="es-ES_tradnl"/>
        </w:rPr>
        <w:t>,</w:t>
      </w:r>
    </w:p>
    <w:p w14:paraId="09825258" w14:textId="77777777" w:rsidR="000920F0" w:rsidRPr="00EE7AB2" w:rsidRDefault="000920F0" w:rsidP="00F106B5">
      <w:pPr>
        <w:spacing w:line="276" w:lineRule="auto"/>
        <w:rPr>
          <w:rFonts w:ascii="Arial" w:hAnsi="Arial" w:cs="Arial"/>
          <w:noProof/>
          <w:sz w:val="22"/>
          <w:lang w:val="es-ES_tradnl"/>
        </w:rPr>
      </w:pPr>
    </w:p>
    <w:p w14:paraId="1941402D" w14:textId="0BCF5A63" w:rsidR="004B7D75" w:rsidRPr="00EE7AB2" w:rsidRDefault="004B7D75" w:rsidP="004B7D75">
      <w:pPr>
        <w:spacing w:line="276" w:lineRule="auto"/>
        <w:jc w:val="both"/>
        <w:rPr>
          <w:rFonts w:ascii="Arial" w:hAnsi="Arial" w:cs="Arial"/>
          <w:sz w:val="22"/>
        </w:rPr>
      </w:pPr>
      <w:r w:rsidRPr="00EE7AB2">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C012A8">
        <w:rPr>
          <w:rFonts w:ascii="Arial" w:hAnsi="Arial" w:cs="Arial"/>
          <w:sz w:val="22"/>
        </w:rPr>
        <w:t>25</w:t>
      </w:r>
      <w:r w:rsidRPr="00EE7AB2">
        <w:rPr>
          <w:rFonts w:ascii="Arial" w:hAnsi="Arial" w:cs="Arial"/>
          <w:sz w:val="22"/>
        </w:rPr>
        <w:t xml:space="preserve"> de </w:t>
      </w:r>
      <w:r w:rsidR="00C012A8">
        <w:rPr>
          <w:rFonts w:ascii="Arial" w:hAnsi="Arial" w:cs="Arial"/>
          <w:sz w:val="22"/>
        </w:rPr>
        <w:t>enero</w:t>
      </w:r>
      <w:r w:rsidRPr="00EE7AB2">
        <w:rPr>
          <w:rFonts w:ascii="Arial" w:hAnsi="Arial" w:cs="Arial"/>
          <w:sz w:val="22"/>
        </w:rPr>
        <w:t xml:space="preserve"> del año 2020. </w:t>
      </w:r>
    </w:p>
    <w:p w14:paraId="28C2ECB0" w14:textId="77777777" w:rsidR="000920F0" w:rsidRPr="00C012A8" w:rsidRDefault="000920F0" w:rsidP="00F106B5">
      <w:pPr>
        <w:tabs>
          <w:tab w:val="left" w:pos="426"/>
        </w:tabs>
        <w:spacing w:line="276" w:lineRule="auto"/>
        <w:jc w:val="both"/>
        <w:rPr>
          <w:rFonts w:ascii="Arial" w:hAnsi="Arial" w:cs="Arial"/>
          <w:noProof/>
          <w:sz w:val="22"/>
        </w:rPr>
      </w:pPr>
    </w:p>
    <w:p w14:paraId="58FEF0FB" w14:textId="47041351" w:rsidR="000920F0" w:rsidRPr="00EE7AB2"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4" w:name="_Hlk50978304"/>
      <w:r w:rsidRPr="00EE7AB2">
        <w:rPr>
          <w:rFonts w:ascii="Arial" w:eastAsia="Calibri" w:hAnsi="Arial" w:cs="Arial"/>
          <w:b/>
          <w:noProof/>
          <w:sz w:val="22"/>
          <w:lang w:val="es-ES_tradnl"/>
        </w:rPr>
        <w:t xml:space="preserve">1. </w:t>
      </w:r>
      <w:r w:rsidR="000920F0" w:rsidRPr="00EE7AB2">
        <w:rPr>
          <w:rFonts w:ascii="Arial" w:eastAsia="Calibri" w:hAnsi="Arial" w:cs="Arial"/>
          <w:b/>
          <w:noProof/>
          <w:sz w:val="22"/>
          <w:lang w:val="es-ES_tradnl"/>
        </w:rPr>
        <w:t>Problema planteado</w:t>
      </w:r>
    </w:p>
    <w:p w14:paraId="476FAD3E" w14:textId="30ED6726" w:rsidR="000920F0" w:rsidRPr="00EE7AB2" w:rsidRDefault="000920F0" w:rsidP="00F106B5">
      <w:pPr>
        <w:tabs>
          <w:tab w:val="left" w:pos="426"/>
        </w:tabs>
        <w:spacing w:line="276" w:lineRule="auto"/>
        <w:jc w:val="both"/>
        <w:rPr>
          <w:rFonts w:ascii="Arial" w:hAnsi="Arial" w:cs="Arial"/>
          <w:b/>
          <w:noProof/>
          <w:sz w:val="22"/>
          <w:lang w:val="es-ES_tradnl"/>
        </w:rPr>
      </w:pPr>
    </w:p>
    <w:p w14:paraId="1E4E2AE9" w14:textId="6D7674A8" w:rsidR="00AD5641" w:rsidRDefault="000920F0" w:rsidP="00F84778">
      <w:pPr>
        <w:tabs>
          <w:tab w:val="left" w:pos="426"/>
        </w:tabs>
        <w:spacing w:line="276" w:lineRule="auto"/>
        <w:jc w:val="both"/>
        <w:rPr>
          <w:rFonts w:ascii="Arial" w:hAnsi="Arial" w:cs="Arial"/>
          <w:noProof/>
          <w:sz w:val="22"/>
          <w:lang w:val="es-ES_tradnl"/>
        </w:rPr>
      </w:pPr>
      <w:r w:rsidRPr="00EE7AB2">
        <w:rPr>
          <w:rFonts w:ascii="Arial" w:hAnsi="Arial" w:cs="Arial"/>
          <w:noProof/>
          <w:sz w:val="22"/>
          <w:lang w:val="es-ES_tradnl"/>
        </w:rPr>
        <w:t xml:space="preserve">Usted </w:t>
      </w:r>
      <w:r w:rsidR="00D3720F" w:rsidRPr="00EE7AB2">
        <w:rPr>
          <w:rFonts w:ascii="Arial" w:hAnsi="Arial" w:cs="Arial"/>
          <w:noProof/>
          <w:sz w:val="22"/>
          <w:lang w:val="es-ES_tradnl"/>
        </w:rPr>
        <w:t>formuló</w:t>
      </w:r>
      <w:r w:rsidRPr="00EE7AB2">
        <w:rPr>
          <w:rFonts w:ascii="Arial" w:hAnsi="Arial" w:cs="Arial"/>
          <w:noProof/>
          <w:sz w:val="22"/>
          <w:lang w:val="es-ES_tradnl"/>
        </w:rPr>
        <w:t xml:space="preserve"> la siguiente </w:t>
      </w:r>
      <w:r w:rsidR="00EB66DA" w:rsidRPr="00EE7AB2">
        <w:rPr>
          <w:rFonts w:ascii="Arial" w:hAnsi="Arial" w:cs="Arial"/>
          <w:noProof/>
          <w:sz w:val="22"/>
          <w:lang w:val="es-ES_tradnl"/>
        </w:rPr>
        <w:t>pregunta</w:t>
      </w:r>
      <w:r w:rsidRPr="00EE7AB2">
        <w:rPr>
          <w:rFonts w:ascii="Arial" w:hAnsi="Arial" w:cs="Arial"/>
          <w:noProof/>
          <w:sz w:val="22"/>
          <w:lang w:val="es-ES_tradnl"/>
        </w:rPr>
        <w:t>:</w:t>
      </w:r>
      <w:r w:rsidR="008B2185">
        <w:rPr>
          <w:rFonts w:ascii="Arial" w:hAnsi="Arial" w:cs="Arial"/>
          <w:noProof/>
          <w:sz w:val="22"/>
          <w:lang w:val="es-ES_tradnl"/>
        </w:rPr>
        <w:t xml:space="preserve"> </w:t>
      </w:r>
      <w:r w:rsidR="000D2573" w:rsidRPr="00EE7AB2">
        <w:rPr>
          <w:rFonts w:ascii="Arial" w:hAnsi="Arial" w:cs="Arial"/>
          <w:noProof/>
          <w:sz w:val="22"/>
          <w:lang w:val="es-ES_tradnl"/>
        </w:rPr>
        <w:t>«</w:t>
      </w:r>
      <w:bookmarkEnd w:id="4"/>
      <w:r w:rsidR="00B031B3" w:rsidRPr="00B031B3">
        <w:rPr>
          <w:rFonts w:ascii="Arial" w:hAnsi="Arial" w:cs="Arial"/>
          <w:noProof/>
          <w:sz w:val="22"/>
          <w:lang w:val="es-ES_tradnl"/>
        </w:rPr>
        <w:t>Puede una entidad estatal que desarrolla un proceso de selección en la modalidad de licitación pública con pliegos tipo versión 2, rechazar una propuesta por la no presentación de la carta de presentación firmada ? En los pliegos de condiciones no se establece como una causal de rechazo la no presentación de la carta de presentación y tampoco establece que dicho requisito no sea subsanable</w:t>
      </w:r>
      <w:r w:rsidR="009E5CA8" w:rsidRPr="004F22AA">
        <w:rPr>
          <w:rFonts w:ascii="Arial" w:hAnsi="Arial" w:cs="Arial"/>
          <w:sz w:val="22"/>
          <w:lang w:val="es-ES_tradnl"/>
        </w:rPr>
        <w:t>».</w:t>
      </w:r>
    </w:p>
    <w:p w14:paraId="760F4215" w14:textId="77777777" w:rsidR="009E5CA8" w:rsidRPr="00EE7AB2" w:rsidRDefault="009E5CA8" w:rsidP="00F84778">
      <w:pPr>
        <w:tabs>
          <w:tab w:val="left" w:pos="426"/>
        </w:tabs>
        <w:spacing w:line="276" w:lineRule="auto"/>
        <w:jc w:val="both"/>
        <w:rPr>
          <w:rFonts w:ascii="Arial" w:hAnsi="Arial" w:cs="Arial"/>
          <w:noProof/>
          <w:sz w:val="22"/>
          <w:lang w:val="es-ES_tradnl"/>
        </w:rPr>
      </w:pPr>
    </w:p>
    <w:p w14:paraId="79882F8B" w14:textId="77777777" w:rsidR="000920F0" w:rsidRPr="00EE7AB2" w:rsidRDefault="000920F0" w:rsidP="00E3265F">
      <w:pPr>
        <w:tabs>
          <w:tab w:val="left" w:pos="426"/>
        </w:tabs>
        <w:spacing w:line="276" w:lineRule="auto"/>
        <w:jc w:val="both"/>
        <w:rPr>
          <w:rFonts w:ascii="Arial" w:hAnsi="Arial" w:cs="Arial"/>
          <w:b/>
          <w:noProof/>
          <w:sz w:val="22"/>
          <w:lang w:val="es-ES_tradnl"/>
        </w:rPr>
      </w:pPr>
      <w:r w:rsidRPr="00EE7AB2">
        <w:rPr>
          <w:rFonts w:ascii="Arial" w:hAnsi="Arial" w:cs="Arial"/>
          <w:b/>
          <w:noProof/>
          <w:sz w:val="22"/>
          <w:lang w:val="es-ES_tradnl"/>
        </w:rPr>
        <w:t>2. Consideraciones</w:t>
      </w:r>
    </w:p>
    <w:bookmarkEnd w:id="1"/>
    <w:bookmarkEnd w:id="2"/>
    <w:p w14:paraId="7894E838" w14:textId="77777777" w:rsidR="000920F0" w:rsidRPr="00EE7AB2" w:rsidRDefault="000920F0" w:rsidP="00F106B5">
      <w:pPr>
        <w:spacing w:line="276" w:lineRule="auto"/>
        <w:jc w:val="both"/>
        <w:rPr>
          <w:rFonts w:ascii="Arial" w:hAnsi="Arial" w:cs="Arial"/>
          <w:noProof/>
          <w:sz w:val="22"/>
          <w:lang w:val="es-ES_tradnl"/>
        </w:rPr>
      </w:pPr>
    </w:p>
    <w:p w14:paraId="6E32CD28" w14:textId="0BB63CC6" w:rsidR="00EE7AB2" w:rsidRPr="00EE7AB2" w:rsidRDefault="009959B4" w:rsidP="00A27C8F">
      <w:pPr>
        <w:spacing w:after="120" w:line="276" w:lineRule="auto"/>
        <w:jc w:val="both"/>
        <w:rPr>
          <w:rFonts w:ascii="Arial" w:hAnsi="Arial" w:cs="Arial"/>
          <w:noProof/>
          <w:sz w:val="22"/>
          <w:lang w:val="es-ES_tradnl"/>
        </w:rPr>
      </w:pPr>
      <w:r w:rsidRPr="00EE7AB2">
        <w:rPr>
          <w:rFonts w:ascii="Arial" w:hAnsi="Arial" w:cs="Arial"/>
          <w:noProof/>
          <w:sz w:val="22"/>
          <w:lang w:val="es-ES_tradnl"/>
        </w:rPr>
        <w:t xml:space="preserve">Para resolver la presente consulta se analizarán los siguientes temas: i) </w:t>
      </w:r>
      <w:r w:rsidR="005F0A24">
        <w:rPr>
          <w:rFonts w:ascii="Arial" w:hAnsi="Arial" w:cs="Arial"/>
          <w:noProof/>
          <w:sz w:val="22"/>
          <w:lang w:val="es-ES_tradnl"/>
        </w:rPr>
        <w:t>el f</w:t>
      </w:r>
      <w:r w:rsidR="00B031B3" w:rsidRPr="00B031B3">
        <w:rPr>
          <w:rFonts w:ascii="Arial" w:hAnsi="Arial" w:cs="Arial"/>
          <w:noProof/>
          <w:sz w:val="22"/>
          <w:lang w:val="es-ES_tradnl"/>
        </w:rPr>
        <w:t>undamento normativo de los documentos tipo adoptados hasta la actualidad</w:t>
      </w:r>
      <w:r w:rsidR="009E5CA8">
        <w:rPr>
          <w:rFonts w:ascii="Arial" w:hAnsi="Arial" w:cs="Arial"/>
          <w:noProof/>
          <w:sz w:val="22"/>
          <w:lang w:val="es-ES_tradnl"/>
        </w:rPr>
        <w:t>,</w:t>
      </w:r>
      <w:r w:rsidRPr="00EE7AB2">
        <w:rPr>
          <w:rFonts w:ascii="Arial" w:hAnsi="Arial" w:cs="Arial"/>
          <w:noProof/>
          <w:sz w:val="22"/>
          <w:lang w:val="es-ES_tradnl"/>
        </w:rPr>
        <w:t xml:space="preserve"> ii) </w:t>
      </w:r>
      <w:r w:rsidR="005F0A24">
        <w:rPr>
          <w:rFonts w:ascii="Arial" w:hAnsi="Arial" w:cs="Arial"/>
          <w:noProof/>
          <w:sz w:val="22"/>
          <w:lang w:val="es-ES_tradnl"/>
        </w:rPr>
        <w:t xml:space="preserve">el </w:t>
      </w:r>
      <w:r w:rsidR="00B031B3">
        <w:rPr>
          <w:rFonts w:ascii="Arial" w:hAnsi="Arial" w:cs="Arial"/>
          <w:noProof/>
          <w:sz w:val="22"/>
          <w:lang w:val="es-ES_tradnl"/>
        </w:rPr>
        <w:t>a</w:t>
      </w:r>
      <w:r w:rsidR="00B031B3" w:rsidRPr="00B031B3">
        <w:rPr>
          <w:rFonts w:ascii="Arial" w:hAnsi="Arial" w:cs="Arial"/>
          <w:noProof/>
          <w:sz w:val="22"/>
          <w:lang w:val="es-ES_tradnl"/>
        </w:rPr>
        <w:t>lcance de la regla de la inalterabilidad de los documentos tipo</w:t>
      </w:r>
      <w:r w:rsidR="005F0A24">
        <w:rPr>
          <w:rFonts w:ascii="Arial" w:hAnsi="Arial" w:cs="Arial"/>
          <w:noProof/>
          <w:sz w:val="22"/>
          <w:lang w:val="es-ES_tradnl"/>
        </w:rPr>
        <w:t xml:space="preserve">, </w:t>
      </w:r>
      <w:r w:rsidR="009E5CA8">
        <w:rPr>
          <w:rFonts w:ascii="Arial" w:hAnsi="Arial" w:cs="Arial"/>
          <w:noProof/>
          <w:sz w:val="22"/>
          <w:lang w:val="es-ES_tradnl"/>
        </w:rPr>
        <w:t>iii)</w:t>
      </w:r>
      <w:r w:rsidR="00BC108D" w:rsidRPr="00BC108D">
        <w:rPr>
          <w:rFonts w:ascii="Arial" w:hAnsi="Arial" w:cs="Arial"/>
          <w:noProof/>
          <w:sz w:val="22"/>
          <w:lang w:val="es-ES_tradnl"/>
        </w:rPr>
        <w:t xml:space="preserve"> </w:t>
      </w:r>
      <w:r w:rsidR="005F0A24">
        <w:rPr>
          <w:rFonts w:ascii="Arial" w:hAnsi="Arial" w:cs="Arial"/>
          <w:noProof/>
          <w:sz w:val="22"/>
          <w:lang w:val="es-ES_tradnl"/>
        </w:rPr>
        <w:t xml:space="preserve">la </w:t>
      </w:r>
      <w:r w:rsidR="00BC108D">
        <w:rPr>
          <w:rFonts w:ascii="Arial" w:hAnsi="Arial" w:cs="Arial"/>
          <w:noProof/>
          <w:sz w:val="22"/>
          <w:lang w:val="es-ES_tradnl"/>
        </w:rPr>
        <w:t>c</w:t>
      </w:r>
      <w:r w:rsidR="00BC108D" w:rsidRPr="00BC108D">
        <w:rPr>
          <w:rFonts w:ascii="Arial" w:hAnsi="Arial" w:cs="Arial"/>
          <w:noProof/>
          <w:sz w:val="22"/>
          <w:lang w:val="es-ES_tradnl"/>
        </w:rPr>
        <w:t xml:space="preserve">arta de presentación de la oferta </w:t>
      </w:r>
      <w:r w:rsidR="00BC108D">
        <w:rPr>
          <w:rFonts w:ascii="Arial" w:hAnsi="Arial" w:cs="Arial"/>
          <w:noProof/>
          <w:sz w:val="22"/>
          <w:lang w:val="es-ES_tradnl"/>
        </w:rPr>
        <w:t>y</w:t>
      </w:r>
      <w:r w:rsidR="00BC108D" w:rsidRPr="00BC108D">
        <w:rPr>
          <w:rFonts w:ascii="Arial" w:hAnsi="Arial" w:cs="Arial"/>
          <w:noProof/>
          <w:sz w:val="22"/>
          <w:lang w:val="es-ES_tradnl"/>
        </w:rPr>
        <w:t xml:space="preserve"> </w:t>
      </w:r>
      <w:r w:rsidR="00BC108D">
        <w:rPr>
          <w:rFonts w:ascii="Arial" w:hAnsi="Arial" w:cs="Arial"/>
          <w:noProof/>
          <w:sz w:val="22"/>
          <w:lang w:val="es-ES_tradnl"/>
        </w:rPr>
        <w:t>iv) a</w:t>
      </w:r>
      <w:r w:rsidR="00BC108D" w:rsidRPr="00B031B3">
        <w:rPr>
          <w:rFonts w:ascii="Arial" w:hAnsi="Arial" w:cs="Arial"/>
          <w:noProof/>
          <w:sz w:val="22"/>
          <w:lang w:val="es-ES_tradnl"/>
        </w:rPr>
        <w:t>lcance de la regla de la subsanabilidad de las ofertas en los procedimientos de selección</w:t>
      </w:r>
      <w:r w:rsidR="005F0A24">
        <w:rPr>
          <w:rFonts w:ascii="Arial" w:hAnsi="Arial" w:cs="Arial"/>
          <w:noProof/>
          <w:sz w:val="22"/>
          <w:lang w:val="es-ES_tradnl"/>
        </w:rPr>
        <w:t>.</w:t>
      </w:r>
    </w:p>
    <w:p w14:paraId="28B99211" w14:textId="2E60B9E3" w:rsidR="00592D05" w:rsidRPr="00EE7AB2" w:rsidRDefault="00C012A8" w:rsidP="00592D05">
      <w:pPr>
        <w:tabs>
          <w:tab w:val="left" w:pos="426"/>
        </w:tabs>
        <w:spacing w:line="276" w:lineRule="auto"/>
        <w:jc w:val="both"/>
        <w:rPr>
          <w:rFonts w:ascii="Arial" w:hAnsi="Arial" w:cs="Arial"/>
          <w:b/>
          <w:noProof/>
          <w:sz w:val="22"/>
          <w:lang w:val="es-ES_tradnl"/>
        </w:rPr>
      </w:pPr>
      <w:r>
        <w:rPr>
          <w:rFonts w:ascii="Arial" w:hAnsi="Arial" w:cs="Arial"/>
          <w:noProof/>
          <w:sz w:val="22"/>
          <w:lang w:val="es-ES_tradnl"/>
        </w:rPr>
        <w:tab/>
      </w:r>
      <w:r w:rsidR="00B529BB">
        <w:rPr>
          <w:rFonts w:ascii="Arial" w:hAnsi="Arial" w:cs="Arial"/>
          <w:bCs/>
          <w:color w:val="000000" w:themeColor="text1"/>
          <w:sz w:val="22"/>
        </w:rPr>
        <w:t xml:space="preserve">Para estos efectos, la Agencia reitera </w:t>
      </w:r>
      <w:r w:rsidR="00B529BB" w:rsidRPr="005F12D3">
        <w:rPr>
          <w:rFonts w:ascii="Arial" w:hAnsi="Arial" w:cs="Arial"/>
          <w:bCs/>
          <w:color w:val="000000" w:themeColor="text1"/>
          <w:sz w:val="22"/>
        </w:rPr>
        <w:t>la</w:t>
      </w:r>
      <w:r w:rsidR="00B529BB">
        <w:rPr>
          <w:rFonts w:ascii="Arial" w:hAnsi="Arial" w:cs="Arial"/>
          <w:bCs/>
          <w:color w:val="000000" w:themeColor="text1"/>
          <w:sz w:val="22"/>
        </w:rPr>
        <w:t>s</w:t>
      </w:r>
      <w:r w:rsidR="00B529BB" w:rsidRPr="005F12D3">
        <w:rPr>
          <w:rFonts w:ascii="Arial" w:hAnsi="Arial" w:cs="Arial"/>
          <w:bCs/>
          <w:color w:val="000000" w:themeColor="text1"/>
          <w:sz w:val="22"/>
        </w:rPr>
        <w:t xml:space="preserve"> tesis expuesta</w:t>
      </w:r>
      <w:r w:rsidR="00B529BB">
        <w:rPr>
          <w:rFonts w:ascii="Arial" w:hAnsi="Arial" w:cs="Arial"/>
          <w:bCs/>
          <w:color w:val="000000" w:themeColor="text1"/>
          <w:sz w:val="22"/>
        </w:rPr>
        <w:t>s</w:t>
      </w:r>
      <w:r w:rsidR="00B529BB" w:rsidRPr="005F12D3">
        <w:rPr>
          <w:rFonts w:ascii="Arial" w:hAnsi="Arial" w:cs="Arial"/>
          <w:bCs/>
          <w:color w:val="000000" w:themeColor="text1"/>
          <w:sz w:val="22"/>
        </w:rPr>
        <w:t xml:space="preserve"> en los </w:t>
      </w:r>
      <w:r w:rsidR="00B529BB">
        <w:rPr>
          <w:rFonts w:ascii="Arial" w:hAnsi="Arial" w:cs="Arial"/>
          <w:bCs/>
          <w:color w:val="000000" w:themeColor="text1"/>
          <w:sz w:val="22"/>
        </w:rPr>
        <w:t>c</w:t>
      </w:r>
      <w:r w:rsidR="00B529BB" w:rsidRPr="005F12D3">
        <w:rPr>
          <w:rFonts w:ascii="Arial" w:hAnsi="Arial" w:cs="Arial"/>
          <w:bCs/>
          <w:color w:val="000000" w:themeColor="text1"/>
          <w:sz w:val="22"/>
        </w:rPr>
        <w:t>onceptos con radicado No</w:t>
      </w:r>
      <w:r w:rsidR="00B529BB">
        <w:rPr>
          <w:rFonts w:ascii="Arial" w:hAnsi="Arial" w:cs="Arial"/>
          <w:bCs/>
          <w:color w:val="000000" w:themeColor="text1"/>
          <w:sz w:val="22"/>
        </w:rPr>
        <w:t>:</w:t>
      </w:r>
      <w:r w:rsidR="00B529BB" w:rsidRPr="005F12D3">
        <w:rPr>
          <w:rFonts w:ascii="Arial" w:hAnsi="Arial" w:cs="Arial"/>
          <w:bCs/>
          <w:color w:val="000000" w:themeColor="text1"/>
          <w:sz w:val="22"/>
        </w:rPr>
        <w:t xml:space="preserve"> 4201913000006471 del 28 de octubre de 2019, 4201912000006711 del 12 de noviembre de 2019 y 4201912000006496 del 15 de noviembre de 2019</w:t>
      </w:r>
      <w:r w:rsidR="00B529BB">
        <w:rPr>
          <w:rFonts w:ascii="Arial" w:hAnsi="Arial" w:cs="Arial"/>
          <w:bCs/>
          <w:color w:val="000000" w:themeColor="text1"/>
          <w:sz w:val="22"/>
        </w:rPr>
        <w:t xml:space="preserve">; las cuales se unificaron en el Concepto CU-060 del 24 de febrero de 2020, que se reitera en forma pacífica, entre otros, en los conceptos: </w:t>
      </w:r>
      <w:r w:rsidR="00B529BB" w:rsidRPr="005F12D3">
        <w:rPr>
          <w:rFonts w:ascii="Arial" w:hAnsi="Arial" w:cs="Arial"/>
          <w:bCs/>
          <w:color w:val="000000" w:themeColor="text1"/>
          <w:sz w:val="22"/>
        </w:rPr>
        <w:t>C</w:t>
      </w:r>
      <w:r w:rsidR="00B529BB">
        <w:rPr>
          <w:rFonts w:ascii="Arial" w:hAnsi="Arial" w:cs="Arial"/>
          <w:bCs/>
          <w:color w:val="000000" w:themeColor="text1"/>
          <w:sz w:val="22"/>
        </w:rPr>
        <w:t>-</w:t>
      </w:r>
      <w:r w:rsidR="00B529BB" w:rsidRPr="005F12D3">
        <w:rPr>
          <w:rFonts w:ascii="Arial" w:hAnsi="Arial" w:cs="Arial"/>
          <w:bCs/>
          <w:color w:val="000000" w:themeColor="text1"/>
          <w:sz w:val="22"/>
        </w:rPr>
        <w:t>121 del 3 de marzo de 2020, C</w:t>
      </w:r>
      <w:r w:rsidR="00B529BB">
        <w:rPr>
          <w:rFonts w:ascii="Arial" w:hAnsi="Arial" w:cs="Arial"/>
          <w:bCs/>
          <w:color w:val="000000" w:themeColor="text1"/>
          <w:sz w:val="22"/>
        </w:rPr>
        <w:t>-</w:t>
      </w:r>
      <w:r w:rsidR="00B529BB" w:rsidRPr="005F12D3">
        <w:rPr>
          <w:rFonts w:ascii="Arial" w:hAnsi="Arial" w:cs="Arial"/>
          <w:bCs/>
          <w:color w:val="000000" w:themeColor="text1"/>
          <w:sz w:val="22"/>
        </w:rPr>
        <w:t>160 del 3 de abril de 2020,</w:t>
      </w:r>
      <w:r w:rsidR="00D960B1">
        <w:rPr>
          <w:rFonts w:ascii="Arial" w:hAnsi="Arial" w:cs="Arial"/>
          <w:bCs/>
          <w:color w:val="000000" w:themeColor="text1"/>
          <w:sz w:val="22"/>
        </w:rPr>
        <w:t xml:space="preserve"> </w:t>
      </w:r>
      <w:r w:rsidR="00B529BB" w:rsidRPr="005F12D3">
        <w:rPr>
          <w:rFonts w:ascii="Arial" w:hAnsi="Arial" w:cs="Arial"/>
          <w:bCs/>
          <w:color w:val="000000" w:themeColor="text1"/>
          <w:sz w:val="22"/>
        </w:rPr>
        <w:t xml:space="preserve">C-013 del 17 de abril de 2020, </w:t>
      </w:r>
      <w:r w:rsidR="00B529BB" w:rsidRPr="008918A2">
        <w:rPr>
          <w:rFonts w:ascii="Arial" w:eastAsia="Arial" w:hAnsi="Arial" w:cs="Arial"/>
          <w:sz w:val="22"/>
          <w:lang w:val="es-ES_tradnl"/>
        </w:rPr>
        <w:t>C-294 del 18 de mayo de 2020, C-276 y C-277 del 26 de mayo de 2020</w:t>
      </w:r>
      <w:r w:rsidR="008C068A">
        <w:rPr>
          <w:rFonts w:ascii="Arial" w:eastAsia="Arial" w:hAnsi="Arial" w:cs="Arial"/>
          <w:sz w:val="22"/>
          <w:lang w:val="es-ES_tradnl"/>
        </w:rPr>
        <w:t>,</w:t>
      </w:r>
      <w:r w:rsidR="00B529BB" w:rsidRPr="008918A2">
        <w:rPr>
          <w:rFonts w:ascii="Arial" w:eastAsia="Arial" w:hAnsi="Arial" w:cs="Arial"/>
          <w:sz w:val="22"/>
          <w:lang w:val="es-ES_tradnl"/>
        </w:rPr>
        <w:t xml:space="preserve"> C–380 y C–381 del 1 de junio de 2020</w:t>
      </w:r>
      <w:r w:rsidR="008C068A">
        <w:rPr>
          <w:rFonts w:ascii="Arial" w:eastAsia="Arial" w:hAnsi="Arial" w:cs="Arial"/>
          <w:sz w:val="22"/>
          <w:lang w:val="es-ES_tradnl"/>
        </w:rPr>
        <w:t>,</w:t>
      </w:r>
      <w:r w:rsidR="00B529BB" w:rsidRPr="008918A2">
        <w:rPr>
          <w:rFonts w:ascii="Arial" w:eastAsia="Arial" w:hAnsi="Arial" w:cs="Arial"/>
          <w:sz w:val="22"/>
          <w:lang w:val="es-ES_tradnl"/>
        </w:rPr>
        <w:t xml:space="preserve"> C-404 del 12 de junio de 2020, C-352 del 30 de junio de 2020, C-430 del 7 de julio de 2020, C-481 del 27 de julio de 2020</w:t>
      </w:r>
      <w:r w:rsidR="00B529BB">
        <w:rPr>
          <w:rFonts w:ascii="Arial" w:eastAsia="Arial" w:hAnsi="Arial" w:cs="Arial"/>
          <w:sz w:val="22"/>
          <w:lang w:val="es-ES_tradnl"/>
        </w:rPr>
        <w:t xml:space="preserve">, </w:t>
      </w:r>
      <w:r w:rsidR="00B529BB" w:rsidRPr="005F12D3">
        <w:rPr>
          <w:rFonts w:ascii="Arial" w:hAnsi="Arial" w:cs="Arial"/>
          <w:bCs/>
          <w:color w:val="000000" w:themeColor="text1"/>
          <w:sz w:val="22"/>
        </w:rPr>
        <w:t xml:space="preserve">C-465 del 27 de julio de 2020, </w:t>
      </w:r>
      <w:r w:rsidR="00B529BB" w:rsidRPr="008918A2">
        <w:rPr>
          <w:rFonts w:ascii="Arial" w:eastAsia="Arial" w:hAnsi="Arial" w:cs="Arial"/>
          <w:sz w:val="22"/>
          <w:lang w:val="es-ES_tradnl"/>
        </w:rPr>
        <w:t>C-502 del 29 de julio de 2020, C-500 del 3 de agosto de 2020</w:t>
      </w:r>
      <w:r w:rsidR="00B529BB">
        <w:rPr>
          <w:rFonts w:ascii="Arial" w:eastAsia="Arial" w:hAnsi="Arial" w:cs="Arial"/>
          <w:sz w:val="22"/>
          <w:lang w:val="es-ES_tradnl"/>
        </w:rPr>
        <w:t xml:space="preserve">, </w:t>
      </w:r>
      <w:r w:rsidR="00B529BB" w:rsidRPr="005F12D3">
        <w:rPr>
          <w:rFonts w:ascii="Arial" w:hAnsi="Arial" w:cs="Arial"/>
          <w:bCs/>
          <w:color w:val="000000" w:themeColor="text1"/>
          <w:sz w:val="22"/>
        </w:rPr>
        <w:t>C-557 del 21 de agosto de 2020</w:t>
      </w:r>
      <w:r w:rsidR="00B529BB">
        <w:rPr>
          <w:rFonts w:ascii="Arial" w:hAnsi="Arial" w:cs="Arial"/>
          <w:bCs/>
          <w:color w:val="000000" w:themeColor="text1"/>
          <w:sz w:val="22"/>
        </w:rPr>
        <w:t>,</w:t>
      </w:r>
      <w:r w:rsidR="00B529BB" w:rsidRPr="005F12D3">
        <w:rPr>
          <w:rFonts w:ascii="Arial" w:hAnsi="Arial" w:cs="Arial"/>
          <w:bCs/>
          <w:color w:val="000000" w:themeColor="text1"/>
          <w:sz w:val="22"/>
        </w:rPr>
        <w:t xml:space="preserve"> </w:t>
      </w:r>
      <w:r w:rsidR="00B529BB" w:rsidRPr="008918A2">
        <w:rPr>
          <w:rFonts w:ascii="Arial" w:eastAsia="Arial" w:hAnsi="Arial" w:cs="Arial"/>
          <w:sz w:val="22"/>
          <w:lang w:val="es-ES_tradnl"/>
        </w:rPr>
        <w:t>C-563 del 26 de agosto de 2020, C-570 del 27 de agosto de 2020</w:t>
      </w:r>
      <w:r w:rsidR="00B529BB">
        <w:rPr>
          <w:rFonts w:ascii="Arial" w:eastAsia="Arial" w:hAnsi="Arial" w:cs="Arial"/>
          <w:sz w:val="22"/>
          <w:lang w:val="es-ES_tradnl"/>
        </w:rPr>
        <w:t xml:space="preserve">, </w:t>
      </w:r>
      <w:r w:rsidR="00B529BB" w:rsidRPr="005F12D3">
        <w:rPr>
          <w:rFonts w:ascii="Arial" w:hAnsi="Arial" w:cs="Arial"/>
          <w:bCs/>
          <w:color w:val="000000" w:themeColor="text1"/>
          <w:sz w:val="22"/>
        </w:rPr>
        <w:t>C-573 del 27 de agosto de 2020</w:t>
      </w:r>
      <w:r w:rsidR="00B529BB">
        <w:rPr>
          <w:rFonts w:ascii="Arial" w:hAnsi="Arial" w:cs="Arial"/>
          <w:bCs/>
          <w:color w:val="000000" w:themeColor="text1"/>
          <w:sz w:val="22"/>
        </w:rPr>
        <w:t xml:space="preserve"> , C-595 del 21 de septiembre de 2020,</w:t>
      </w:r>
      <w:r w:rsidR="00B529BB" w:rsidRPr="00017DC3">
        <w:rPr>
          <w:rFonts w:ascii="Arial" w:eastAsia="Arial" w:hAnsi="Arial" w:cs="Arial"/>
          <w:sz w:val="22"/>
          <w:lang w:val="es-ES_tradnl"/>
        </w:rPr>
        <w:t xml:space="preserve"> </w:t>
      </w:r>
      <w:r w:rsidR="00B529BB" w:rsidRPr="008918A2">
        <w:rPr>
          <w:rFonts w:ascii="Arial" w:eastAsia="Arial" w:hAnsi="Arial" w:cs="Arial"/>
          <w:sz w:val="22"/>
          <w:lang w:val="es-ES_tradnl"/>
        </w:rPr>
        <w:t>C-713 del 2 de diciembre de 2020 y C-744 del 22 de diciembre de 2020</w:t>
      </w:r>
      <w:r w:rsidR="00592D05" w:rsidRPr="001C64F9">
        <w:rPr>
          <w:rFonts w:ascii="Arial" w:eastAsia="Arial" w:hAnsi="Arial" w:cs="Arial"/>
          <w:sz w:val="22"/>
          <w:lang w:val="es-ES_tradnl"/>
        </w:rPr>
        <w:t>.</w:t>
      </w:r>
    </w:p>
    <w:p w14:paraId="0AEC4393" w14:textId="72255470" w:rsidR="00082186" w:rsidRPr="00EE7AB2" w:rsidRDefault="00082186" w:rsidP="00EE7AB2">
      <w:pPr>
        <w:spacing w:line="276" w:lineRule="auto"/>
        <w:ind w:firstLine="708"/>
        <w:jc w:val="both"/>
        <w:rPr>
          <w:rFonts w:ascii="Arial" w:hAnsi="Arial" w:cs="Arial"/>
          <w:noProof/>
          <w:sz w:val="22"/>
          <w:lang w:val="es-ES_tradnl"/>
        </w:rPr>
      </w:pPr>
    </w:p>
    <w:p w14:paraId="5C301403" w14:textId="77777777" w:rsidR="00617149" w:rsidRPr="00617149" w:rsidRDefault="00617149" w:rsidP="00617149">
      <w:pPr>
        <w:spacing w:line="276" w:lineRule="auto"/>
        <w:jc w:val="both"/>
        <w:rPr>
          <w:rFonts w:ascii="Arial" w:eastAsia="Arial" w:hAnsi="Arial" w:cs="Arial"/>
          <w:b/>
          <w:bCs/>
          <w:color w:val="000000"/>
          <w:sz w:val="22"/>
          <w:szCs w:val="24"/>
          <w:lang w:val="es-ES_tradnl" w:eastAsia="es-ES_tradnl"/>
        </w:rPr>
      </w:pPr>
      <w:r w:rsidRPr="00617149">
        <w:rPr>
          <w:rFonts w:ascii="Arial" w:eastAsia="Arial" w:hAnsi="Arial" w:cs="Arial"/>
          <w:b/>
          <w:bCs/>
          <w:color w:val="000000"/>
          <w:sz w:val="22"/>
          <w:szCs w:val="24"/>
          <w:lang w:val="es-ES_tradnl" w:eastAsia="es-ES_tradnl"/>
        </w:rPr>
        <w:t xml:space="preserve">2.1. </w:t>
      </w:r>
      <w:bookmarkStart w:id="5" w:name="_Hlk66423290"/>
      <w:r w:rsidRPr="00617149">
        <w:rPr>
          <w:rFonts w:ascii="Arial" w:eastAsia="Arial" w:hAnsi="Arial" w:cs="Arial"/>
          <w:b/>
          <w:bCs/>
          <w:color w:val="000000"/>
          <w:sz w:val="22"/>
          <w:szCs w:val="24"/>
          <w:lang w:val="es-ES_tradnl" w:eastAsia="es-ES_tradnl"/>
        </w:rPr>
        <w:t>Fundamento normativo de los documentos tipo adoptados hasta la actualidad</w:t>
      </w:r>
      <w:bookmarkEnd w:id="5"/>
    </w:p>
    <w:p w14:paraId="3B7CB02D" w14:textId="77777777" w:rsidR="00617149" w:rsidRPr="00617149" w:rsidRDefault="00617149" w:rsidP="00617149">
      <w:pPr>
        <w:spacing w:line="276" w:lineRule="auto"/>
        <w:jc w:val="both"/>
        <w:rPr>
          <w:rFonts w:ascii="Arial" w:eastAsia="Arial" w:hAnsi="Arial" w:cs="Arial"/>
          <w:b/>
          <w:bCs/>
          <w:color w:val="000000"/>
          <w:sz w:val="22"/>
          <w:szCs w:val="24"/>
          <w:lang w:val="es-ES_tradnl" w:eastAsia="es-ES_tradnl"/>
        </w:rPr>
      </w:pPr>
    </w:p>
    <w:p w14:paraId="397F7634" w14:textId="77777777" w:rsidR="00617149" w:rsidRPr="00617149" w:rsidRDefault="00617149" w:rsidP="00617149">
      <w:pPr>
        <w:spacing w:after="120" w:line="276" w:lineRule="auto"/>
        <w:jc w:val="both"/>
        <w:rPr>
          <w:rFonts w:ascii="Arial" w:hAnsi="Arial" w:cs="Arial"/>
          <w:color w:val="000000"/>
          <w:sz w:val="22"/>
          <w:szCs w:val="24"/>
          <w:lang w:val="es-ES_tradnl" w:eastAsia="es-ES_tradnl"/>
        </w:rPr>
      </w:pPr>
      <w:r w:rsidRPr="00617149">
        <w:rPr>
          <w:rFonts w:ascii="Arial" w:hAnsi="Arial" w:cs="Arial"/>
          <w:color w:val="000000"/>
          <w:sz w:val="22"/>
          <w:szCs w:val="24"/>
          <w:lang w:val="es-ES_tradnl" w:eastAsia="es-ES_tradnl"/>
        </w:rPr>
        <w:t>La adopción de los documentos tipo obligatorios en el ordenamiento jurídico colombiano se incluyó por primera vez en el parágrafo 3 del artículo 2 de la Ley 1150 de 2007</w:t>
      </w:r>
      <w:r w:rsidRPr="00617149">
        <w:rPr>
          <w:rFonts w:ascii="Arial" w:hAnsi="Arial" w:cs="Arial"/>
          <w:color w:val="000000"/>
          <w:sz w:val="22"/>
          <w:szCs w:val="24"/>
          <w:vertAlign w:val="superscript"/>
          <w:lang w:val="es-ES_tradnl" w:eastAsia="es-ES_tradnl"/>
        </w:rPr>
        <w:footnoteReference w:id="2"/>
      </w:r>
      <w:r w:rsidRPr="00617149">
        <w:rPr>
          <w:rFonts w:ascii="Arial" w:hAnsi="Arial" w:cs="Arial"/>
          <w:color w:val="000000"/>
          <w:sz w:val="22"/>
          <w:szCs w:val="24"/>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69E68A25" w14:textId="77777777" w:rsidR="00617149" w:rsidRPr="00617149" w:rsidRDefault="00617149" w:rsidP="00617149">
      <w:pPr>
        <w:spacing w:line="276" w:lineRule="auto"/>
        <w:ind w:firstLine="708"/>
        <w:jc w:val="both"/>
        <w:rPr>
          <w:rFonts w:ascii="Arial" w:hAnsi="Arial" w:cs="Arial"/>
          <w:color w:val="000000"/>
          <w:sz w:val="22"/>
          <w:szCs w:val="24"/>
          <w:lang w:val="es-ES_tradnl" w:eastAsia="es-ES_tradnl"/>
        </w:rPr>
      </w:pPr>
      <w:r w:rsidRPr="00617149">
        <w:rPr>
          <w:rFonts w:ascii="Arial" w:hAnsi="Arial" w:cs="Arial"/>
          <w:color w:val="000000"/>
          <w:sz w:val="22"/>
          <w:szCs w:val="24"/>
          <w:lang w:val="es-ES_tradnl" w:eastAsia="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4C4EA4CD" w14:textId="77777777" w:rsidR="00617149" w:rsidRPr="00617149" w:rsidRDefault="00617149" w:rsidP="00617149">
      <w:pPr>
        <w:spacing w:before="120" w:after="120" w:line="276" w:lineRule="auto"/>
        <w:ind w:firstLine="708"/>
        <w:jc w:val="both"/>
        <w:rPr>
          <w:rFonts w:ascii="Arial" w:hAnsi="Arial" w:cs="Arial"/>
          <w:color w:val="000000"/>
          <w:sz w:val="22"/>
          <w:szCs w:val="24"/>
          <w:lang w:val="es-ES_tradnl" w:eastAsia="es-ES_tradnl"/>
        </w:rPr>
      </w:pPr>
      <w:r w:rsidRPr="00617149">
        <w:rPr>
          <w:rFonts w:ascii="Arial" w:hAnsi="Arial" w:cs="Arial"/>
          <w:color w:val="000000"/>
          <w:sz w:val="22"/>
          <w:szCs w:val="24"/>
          <w:lang w:val="es-ES_tradnl" w:eastAsia="es-ES_tradnl"/>
        </w:rPr>
        <w:lastRenderedPageBreak/>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617149">
        <w:rPr>
          <w:rFonts w:ascii="Arial" w:hAnsi="Arial" w:cs="Arial"/>
          <w:color w:val="000000"/>
          <w:sz w:val="22"/>
          <w:szCs w:val="24"/>
          <w:vertAlign w:val="superscript"/>
          <w:lang w:val="es-ES_tradnl" w:eastAsia="es-ES_tradnl"/>
        </w:rPr>
        <w:footnoteReference w:id="3"/>
      </w:r>
      <w:r w:rsidRPr="00617149">
        <w:rPr>
          <w:rFonts w:ascii="Arial" w:hAnsi="Arial" w:cs="Arial"/>
          <w:color w:val="000000"/>
          <w:sz w:val="22"/>
          <w:szCs w:val="24"/>
          <w:lang w:val="es-ES_tradnl" w:eastAsia="es-ES_tradnl"/>
        </w:rPr>
        <w:t>.</w:t>
      </w:r>
    </w:p>
    <w:p w14:paraId="001533E1" w14:textId="77777777" w:rsidR="00617149" w:rsidRPr="00617149" w:rsidRDefault="00617149" w:rsidP="00617149">
      <w:pPr>
        <w:spacing w:before="120" w:after="120" w:line="276" w:lineRule="auto"/>
        <w:jc w:val="both"/>
        <w:rPr>
          <w:rFonts w:ascii="Arial" w:hAnsi="Arial" w:cs="Arial"/>
          <w:color w:val="000000"/>
          <w:sz w:val="22"/>
          <w:szCs w:val="24"/>
          <w:lang w:val="es-ES_tradnl" w:eastAsia="es-ES_tradnl"/>
        </w:rPr>
      </w:pPr>
      <w:r w:rsidRPr="00617149">
        <w:rPr>
          <w:rFonts w:ascii="Arial" w:hAnsi="Arial" w:cs="Arial"/>
          <w:color w:val="000000"/>
          <w:sz w:val="22"/>
          <w:szCs w:val="24"/>
          <w:lang w:val="es-ES_tradnl"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873E553" w14:textId="77777777" w:rsidR="00617149" w:rsidRPr="00617149" w:rsidRDefault="00617149" w:rsidP="00617149">
      <w:pPr>
        <w:spacing w:before="120" w:after="120" w:line="276" w:lineRule="auto"/>
        <w:jc w:val="both"/>
        <w:rPr>
          <w:rFonts w:ascii="Arial" w:hAnsi="Arial" w:cs="Arial"/>
          <w:color w:val="000000"/>
          <w:sz w:val="22"/>
          <w:szCs w:val="24"/>
          <w:lang w:val="es-ES_tradnl" w:eastAsia="es-ES_tradnl"/>
        </w:rPr>
      </w:pPr>
      <w:r w:rsidRPr="00617149">
        <w:rPr>
          <w:rFonts w:ascii="Arial" w:hAnsi="Arial" w:cs="Arial"/>
          <w:color w:val="000000"/>
          <w:sz w:val="22"/>
          <w:szCs w:val="24"/>
          <w:lang w:val="es-ES_tradnl" w:eastAsia="es-ES_tradnl"/>
        </w:rPr>
        <w:tab/>
        <w:t xml:space="preserve">De la norma descrita se concluía lo siguiente: i) la adopción de los documentos tipo estaba en cabeza del gobierno nacional. </w:t>
      </w:r>
      <w:proofErr w:type="spellStart"/>
      <w:r w:rsidRPr="00617149">
        <w:rPr>
          <w:rFonts w:ascii="Arial" w:hAnsi="Arial" w:cs="Arial"/>
          <w:color w:val="000000"/>
          <w:sz w:val="22"/>
          <w:szCs w:val="24"/>
          <w:lang w:val="es-ES_tradnl" w:eastAsia="es-ES_tradnl"/>
        </w:rPr>
        <w:t>ii</w:t>
      </w:r>
      <w:proofErr w:type="spellEnd"/>
      <w:r w:rsidRPr="00617149">
        <w:rPr>
          <w:rFonts w:ascii="Arial" w:hAnsi="Arial" w:cs="Arial"/>
          <w:color w:val="000000"/>
          <w:sz w:val="22"/>
          <w:szCs w:val="24"/>
          <w:lang w:val="es-ES_tradnl"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617149">
        <w:rPr>
          <w:rFonts w:ascii="Arial" w:hAnsi="Arial" w:cs="Arial"/>
          <w:color w:val="000000"/>
          <w:sz w:val="22"/>
          <w:szCs w:val="24"/>
          <w:lang w:val="es-ES_tradnl" w:eastAsia="es-ES_tradnl"/>
        </w:rPr>
        <w:t>iii</w:t>
      </w:r>
      <w:proofErr w:type="spellEnd"/>
      <w:r w:rsidRPr="00617149">
        <w:rPr>
          <w:rFonts w:ascii="Arial" w:hAnsi="Arial" w:cs="Arial"/>
          <w:color w:val="000000"/>
          <w:sz w:val="22"/>
          <w:szCs w:val="24"/>
          <w:lang w:val="es-ES_tradnl" w:eastAsia="es-ES_tradnl"/>
        </w:rPr>
        <w:t xml:space="preserve">) Eran de obligatorio cumplimiento por parte de todas las entidades sometidas al Estatuto General de Contratación de la Administración Pública. </w:t>
      </w:r>
      <w:proofErr w:type="spellStart"/>
      <w:r w:rsidRPr="00617149">
        <w:rPr>
          <w:rFonts w:ascii="Arial" w:hAnsi="Arial" w:cs="Arial"/>
          <w:color w:val="000000"/>
          <w:sz w:val="22"/>
          <w:szCs w:val="24"/>
          <w:lang w:val="es-ES_tradnl" w:eastAsia="es-ES_tradnl"/>
        </w:rPr>
        <w:t>iv</w:t>
      </w:r>
      <w:proofErr w:type="spellEnd"/>
      <w:r w:rsidRPr="00617149">
        <w:rPr>
          <w:rFonts w:ascii="Arial" w:hAnsi="Arial" w:cs="Arial"/>
          <w:color w:val="000000"/>
          <w:sz w:val="22"/>
          <w:szCs w:val="24"/>
          <w:lang w:val="es-ES_tradnl"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w:t>
      </w:r>
      <w:r w:rsidRPr="00617149">
        <w:rPr>
          <w:rFonts w:ascii="Arial" w:hAnsi="Arial" w:cs="Arial"/>
          <w:color w:val="000000"/>
          <w:sz w:val="22"/>
          <w:szCs w:val="24"/>
          <w:lang w:val="es-ES_tradnl" w:eastAsia="es-ES_tradnl"/>
        </w:rPr>
        <w:lastRenderedPageBreak/>
        <w:t xml:space="preserve">procesos de selección. Por último, vi) los documentos tipo serían adoptados por categorías de acuerdo con la cuantía de la contratación. </w:t>
      </w:r>
    </w:p>
    <w:p w14:paraId="21318FE6" w14:textId="77777777" w:rsidR="00617149" w:rsidRPr="00617149" w:rsidRDefault="00617149" w:rsidP="00617149">
      <w:pPr>
        <w:spacing w:before="120" w:after="120" w:line="276" w:lineRule="auto"/>
        <w:jc w:val="both"/>
        <w:rPr>
          <w:rFonts w:ascii="Arial" w:hAnsi="Arial" w:cs="Arial"/>
          <w:color w:val="000000"/>
          <w:sz w:val="22"/>
          <w:szCs w:val="24"/>
          <w:lang w:val="es-ES_tradnl" w:eastAsia="es-ES_tradnl"/>
        </w:rPr>
      </w:pPr>
      <w:r w:rsidRPr="00617149">
        <w:rPr>
          <w:rFonts w:ascii="Arial" w:hAnsi="Arial" w:cs="Arial"/>
          <w:color w:val="000000"/>
          <w:sz w:val="22"/>
          <w:szCs w:val="24"/>
          <w:lang w:val="es-ES_tradnl"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6" w:name="_Hlk48665985"/>
      <w:r w:rsidRPr="00617149">
        <w:rPr>
          <w:rFonts w:ascii="Arial" w:hAnsi="Arial" w:cs="Arial"/>
          <w:color w:val="000000"/>
          <w:sz w:val="22"/>
          <w:szCs w:val="24"/>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6"/>
      <w:r w:rsidRPr="00617149">
        <w:rPr>
          <w:rFonts w:ascii="Arial" w:hAnsi="Arial" w:cs="Arial"/>
          <w:color w:val="000000"/>
          <w:sz w:val="22"/>
          <w:szCs w:val="24"/>
          <w:lang w:val="es-ES_tradnl" w:eastAsia="es-ES_tradnl"/>
        </w:rPr>
        <w:t>. De igual manera, se establece que esta autonomía se garantiza con la identificación autónoma de sus necesidades y la configuración de los elementos del contrato</w:t>
      </w:r>
      <w:r w:rsidRPr="00617149">
        <w:rPr>
          <w:rFonts w:ascii="Arial" w:hAnsi="Arial" w:cs="Arial"/>
          <w:color w:val="000000"/>
          <w:sz w:val="22"/>
          <w:szCs w:val="24"/>
          <w:vertAlign w:val="superscript"/>
          <w:lang w:val="es-ES_tradnl" w:eastAsia="es-ES_tradnl"/>
        </w:rPr>
        <w:footnoteReference w:id="4"/>
      </w:r>
      <w:r w:rsidRPr="00617149">
        <w:rPr>
          <w:rFonts w:ascii="Arial" w:hAnsi="Arial" w:cs="Arial"/>
          <w:color w:val="000000"/>
          <w:sz w:val="22"/>
          <w:szCs w:val="24"/>
          <w:lang w:val="es-ES_tradnl" w:eastAsia="es-ES_tradnl"/>
        </w:rPr>
        <w:t>.</w:t>
      </w:r>
    </w:p>
    <w:p w14:paraId="056A3D81" w14:textId="77777777" w:rsidR="00617149" w:rsidRPr="00617149" w:rsidRDefault="00617149" w:rsidP="00617149">
      <w:pPr>
        <w:spacing w:before="120" w:after="120" w:line="276" w:lineRule="auto"/>
        <w:jc w:val="both"/>
        <w:rPr>
          <w:rFonts w:ascii="Arial" w:hAnsi="Arial" w:cs="Arial"/>
          <w:color w:val="000000"/>
          <w:sz w:val="22"/>
          <w:szCs w:val="24"/>
          <w:lang w:val="es-ES_tradnl" w:eastAsia="es-ES_tradnl"/>
        </w:rPr>
      </w:pPr>
      <w:r w:rsidRPr="00617149">
        <w:rPr>
          <w:rFonts w:ascii="Arial" w:hAnsi="Arial" w:cs="Arial"/>
          <w:color w:val="000000"/>
          <w:sz w:val="22"/>
          <w:szCs w:val="24"/>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33323F26" w14:textId="77777777" w:rsidR="0074262E" w:rsidRDefault="00617149" w:rsidP="00617149">
      <w:pPr>
        <w:spacing w:before="120" w:after="120" w:line="276" w:lineRule="auto"/>
        <w:jc w:val="both"/>
        <w:rPr>
          <w:rFonts w:ascii="Arial" w:hAnsi="Arial" w:cs="Arial"/>
          <w:sz w:val="22"/>
          <w:lang w:val="es-ES_tradnl"/>
        </w:rPr>
      </w:pPr>
      <w:r w:rsidRPr="00617149">
        <w:rPr>
          <w:rFonts w:ascii="Arial" w:hAnsi="Arial" w:cs="Arial"/>
          <w:color w:val="000000"/>
          <w:sz w:val="22"/>
          <w:lang w:val="es-ES_tradnl" w:eastAsia="es-ES_tradnl"/>
        </w:rPr>
        <w:tab/>
        <w:t xml:space="preserve">Explicado el proceso para adoptar los documentos tipo en virtud de la Ley 1882 de 2018 y estudiada su constitucionalidad, de acuerdo con el pronunciamiento de la Corte Constitucional, a </w:t>
      </w:r>
      <w:proofErr w:type="gramStart"/>
      <w:r w:rsidRPr="00617149">
        <w:rPr>
          <w:rFonts w:ascii="Arial" w:hAnsi="Arial" w:cs="Arial"/>
          <w:color w:val="000000"/>
          <w:sz w:val="22"/>
          <w:lang w:val="es-ES_tradnl" w:eastAsia="es-ES_tradnl"/>
        </w:rPr>
        <w:t>continuación</w:t>
      </w:r>
      <w:proofErr w:type="gramEnd"/>
      <w:r w:rsidRPr="00617149">
        <w:rPr>
          <w:rFonts w:ascii="Arial" w:hAnsi="Arial" w:cs="Arial"/>
          <w:color w:val="000000"/>
          <w:sz w:val="22"/>
          <w:lang w:val="es-ES_tradnl" w:eastAsia="es-ES_tradnl"/>
        </w:rPr>
        <w:t xml:space="preserve"> se identificarán los documentos tipo adoptados por el gobierno nacional en virtud de esta ley. </w:t>
      </w:r>
      <w:r w:rsidRPr="00617149">
        <w:rPr>
          <w:rFonts w:ascii="Arial"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r w:rsidR="00DA56E5">
        <w:rPr>
          <w:rFonts w:ascii="Arial" w:hAnsi="Arial" w:cs="Arial"/>
          <w:sz w:val="22"/>
          <w:lang w:val="es-ES_tradnl"/>
        </w:rPr>
        <w:tab/>
      </w:r>
    </w:p>
    <w:p w14:paraId="57C63443" w14:textId="75D80802" w:rsidR="00617149" w:rsidRPr="00617149" w:rsidRDefault="00DA56E5" w:rsidP="00E36193">
      <w:pPr>
        <w:spacing w:before="120" w:after="120" w:line="276" w:lineRule="auto"/>
        <w:ind w:firstLine="708"/>
        <w:jc w:val="both"/>
        <w:rPr>
          <w:rFonts w:ascii="Arial" w:hAnsi="Arial" w:cs="Arial"/>
          <w:color w:val="000000"/>
          <w:sz w:val="22"/>
          <w:lang w:val="es-ES_tradnl" w:eastAsia="es-ES_tradnl"/>
        </w:rPr>
      </w:pPr>
      <w:r>
        <w:rPr>
          <w:rFonts w:ascii="Arial" w:hAnsi="Arial" w:cs="Arial"/>
          <w:sz w:val="22"/>
          <w:lang w:val="es-ES_tradnl"/>
        </w:rPr>
        <w:lastRenderedPageBreak/>
        <w:t>Posteriormente</w:t>
      </w:r>
      <w:r w:rsidR="00617149" w:rsidRPr="00617149">
        <w:rPr>
          <w:rFonts w:ascii="Arial" w:hAnsi="Arial" w:cs="Arial"/>
          <w:sz w:val="22"/>
          <w:lang w:val="es-ES_tradnl"/>
        </w:rPr>
        <w:t xml:space="preserv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00617149" w:rsidRPr="00617149" w:rsidDel="00A434AB">
        <w:rPr>
          <w:rFonts w:ascii="Arial" w:hAnsi="Arial" w:cs="Arial"/>
          <w:sz w:val="22"/>
          <w:lang w:val="es-ES_tradnl"/>
        </w:rPr>
        <w:t xml:space="preserve"> </w:t>
      </w:r>
      <w:r w:rsidR="00617149" w:rsidRPr="00617149">
        <w:rPr>
          <w:rFonts w:ascii="Arial"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7" w:name="_Hlk37841850"/>
      <w:r w:rsidR="00617149" w:rsidRPr="00617149">
        <w:rPr>
          <w:rFonts w:ascii="Arial" w:hAnsi="Arial" w:cs="Arial"/>
          <w:sz w:val="22"/>
          <w:lang w:val="es-ES_tradnl"/>
        </w:rPr>
        <w:t xml:space="preserve">– Colombia Compra Eficiente, </w:t>
      </w:r>
      <w:bookmarkEnd w:id="7"/>
      <w:r w:rsidR="00617149" w:rsidRPr="00617149">
        <w:rPr>
          <w:rFonts w:ascii="Arial" w:hAnsi="Arial" w:cs="Arial"/>
          <w:sz w:val="22"/>
          <w:lang w:val="es-ES_tradnl"/>
        </w:rPr>
        <w:t>por medio de la Resolución 1798 de 1 de abril de 2019</w:t>
      </w:r>
      <w:r w:rsidR="00210028">
        <w:rPr>
          <w:rFonts w:ascii="Arial" w:hAnsi="Arial" w:cs="Arial"/>
          <w:sz w:val="22"/>
          <w:lang w:val="es-ES_tradnl"/>
        </w:rPr>
        <w:t xml:space="preserve">, </w:t>
      </w:r>
      <w:r w:rsidR="00617149" w:rsidRPr="00617149">
        <w:rPr>
          <w:rFonts w:ascii="Arial" w:hAnsi="Arial" w:cs="Arial"/>
          <w:sz w:val="22"/>
          <w:lang w:val="es-ES_tradnl"/>
        </w:rPr>
        <w:t>derogada por la Resolución 045 del 14 de febrero de 2020</w:t>
      </w:r>
      <w:r w:rsidR="00210028">
        <w:rPr>
          <w:rFonts w:ascii="Arial" w:hAnsi="Arial" w:cs="Arial"/>
          <w:sz w:val="22"/>
          <w:lang w:val="es-ES_tradnl"/>
        </w:rPr>
        <w:t>, mediante la cual se adoptó la versión 2 de los documentos tipo de licitaciones de obra pública de infraestructura de transporte, que son los documentos sobre los que trata la pregunta del peticionario;</w:t>
      </w:r>
      <w:r w:rsidR="00617149" w:rsidRPr="00617149">
        <w:rPr>
          <w:rFonts w:ascii="Arial" w:hAnsi="Arial" w:cs="Arial"/>
          <w:sz w:val="22"/>
          <w:lang w:val="es-ES_tradnl"/>
        </w:rPr>
        <w:t xml:space="preserve"> la Resolución 044 del 14 de febrero de 2020 y la Resolución 094 del 21 de mayo de 2020.</w:t>
      </w:r>
    </w:p>
    <w:p w14:paraId="69CFC33B" w14:textId="37C5ABD4"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r w:rsidRPr="00617149">
        <w:rPr>
          <w:rFonts w:ascii="Arial" w:hAnsi="Arial" w:cs="Arial"/>
          <w:color w:val="000000" w:themeColor="text1"/>
          <w:sz w:val="22"/>
          <w:lang w:val="es-ES_tradnl" w:eastAsia="es-ES"/>
        </w:rPr>
        <w:t>Por otra parte</w:t>
      </w:r>
      <w:r w:rsidRPr="00617149">
        <w:rPr>
          <w:rFonts w:ascii="Arial" w:hAnsi="Arial" w:cs="Arial"/>
          <w:i/>
          <w:iCs/>
          <w:color w:val="000000" w:themeColor="text1"/>
          <w:sz w:val="22"/>
          <w:lang w:val="es-ES_tradnl" w:eastAsia="es-ES"/>
        </w:rPr>
        <w:t>,</w:t>
      </w:r>
      <w:r w:rsidRPr="00617149">
        <w:rPr>
          <w:rFonts w:ascii="Arial" w:hAnsi="Arial" w:cs="Arial"/>
          <w:color w:val="000000" w:themeColor="text1"/>
          <w:sz w:val="22"/>
          <w:lang w:val="es-ES_tradnl" w:eastAsia="es-ES"/>
        </w:rPr>
        <w:t xml:space="preserve"> </w:t>
      </w:r>
      <w:bookmarkStart w:id="8" w:name="_Hlk66966402"/>
      <w:r w:rsidRPr="00617149">
        <w:rPr>
          <w:rFonts w:ascii="Arial" w:hAnsi="Arial" w:cs="Arial"/>
          <w:color w:val="000000" w:themeColor="text1"/>
          <w:sz w:val="22"/>
          <w:lang w:val="es-ES_tradnl" w:eastAsia="es-ES"/>
        </w:rPr>
        <w:t xml:space="preserve">debe tenerse en cuenta que la Ley 2022 de 2020 fue sancionada por el </w:t>
      </w:r>
      <w:proofErr w:type="gramStart"/>
      <w:r w:rsidRPr="00617149">
        <w:rPr>
          <w:rFonts w:ascii="Arial" w:hAnsi="Arial" w:cs="Arial"/>
          <w:color w:val="000000" w:themeColor="text1"/>
          <w:sz w:val="22"/>
          <w:lang w:val="es-ES_tradnl" w:eastAsia="es-ES"/>
        </w:rPr>
        <w:t>Presidente</w:t>
      </w:r>
      <w:proofErr w:type="gramEnd"/>
      <w:r w:rsidRPr="00617149">
        <w:rPr>
          <w:rFonts w:ascii="Arial" w:hAnsi="Arial" w:cs="Arial"/>
          <w:color w:val="000000" w:themeColor="text1"/>
          <w:sz w:val="22"/>
          <w:lang w:val="es-ES_tradnl" w:eastAsia="es-ES"/>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w:t>
      </w:r>
      <w:r w:rsidR="00A25E18">
        <w:rPr>
          <w:rFonts w:ascii="Arial" w:hAnsi="Arial" w:cs="Arial"/>
          <w:color w:val="000000" w:themeColor="text1"/>
          <w:sz w:val="22"/>
          <w:lang w:val="es-ES_tradnl" w:eastAsia="es-ES"/>
        </w:rPr>
        <w:t xml:space="preserve"> –versión 3–</w:t>
      </w:r>
      <w:r w:rsidRPr="00617149">
        <w:rPr>
          <w:rFonts w:ascii="Arial" w:hAnsi="Arial" w:cs="Arial"/>
          <w:color w:val="000000" w:themeColor="text1"/>
          <w:sz w:val="22"/>
          <w:lang w:val="es-ES_tradnl" w:eastAsia="es-ES"/>
        </w:rPr>
        <w:t xml:space="preserve">. </w:t>
      </w:r>
    </w:p>
    <w:p w14:paraId="6281A6EB" w14:textId="7E0362A4"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r w:rsidRPr="00617149">
        <w:rPr>
          <w:rFonts w:ascii="Arial" w:hAnsi="Arial" w:cs="Arial"/>
          <w:color w:val="000000" w:themeColor="text1"/>
          <w:sz w:val="22"/>
          <w:lang w:val="es-ES_tradnl"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w:t>
      </w:r>
      <w:r w:rsidR="00A25E18">
        <w:rPr>
          <w:rFonts w:ascii="Arial" w:hAnsi="Arial" w:cs="Arial"/>
          <w:color w:val="000000" w:themeColor="text1"/>
          <w:sz w:val="22"/>
          <w:lang w:val="es-ES_tradnl" w:eastAsia="es-ES"/>
        </w:rPr>
        <w:t xml:space="preserve"> –versión 2–</w:t>
      </w:r>
      <w:r w:rsidRPr="00617149">
        <w:rPr>
          <w:rFonts w:ascii="Arial" w:hAnsi="Arial" w:cs="Arial"/>
          <w:color w:val="000000" w:themeColor="text1"/>
          <w:sz w:val="22"/>
          <w:lang w:val="es-ES_tradnl" w:eastAsia="es-ES"/>
        </w:rPr>
        <w:t xml:space="preserve">. Adicionalmente, </w:t>
      </w:r>
      <w:proofErr w:type="gramStart"/>
      <w:r w:rsidRPr="00617149">
        <w:rPr>
          <w:rFonts w:ascii="Arial" w:hAnsi="Arial" w:cs="Arial"/>
          <w:color w:val="000000" w:themeColor="text1"/>
          <w:sz w:val="22"/>
          <w:lang w:val="es-ES_tradnl" w:eastAsia="es-ES"/>
        </w:rPr>
        <w:t>entró en vigencia</w:t>
      </w:r>
      <w:proofErr w:type="gramEnd"/>
      <w:r w:rsidRPr="00617149">
        <w:rPr>
          <w:rFonts w:ascii="Arial" w:hAnsi="Arial" w:cs="Arial"/>
          <w:color w:val="000000" w:themeColor="text1"/>
          <w:sz w:val="22"/>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bookmarkEnd w:id="8"/>
    </w:p>
    <w:p w14:paraId="22ED6236"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r w:rsidRPr="00617149">
        <w:rPr>
          <w:rFonts w:ascii="Arial" w:hAnsi="Arial" w:cs="Arial"/>
          <w:color w:val="000000" w:themeColor="text1"/>
          <w:sz w:val="22"/>
          <w:lang w:val="es-ES_tradnl" w:eastAsia="es-ES"/>
        </w:rPr>
        <w:t xml:space="preserve">En síntesis, hasta el momento se han expedido los siguientes documentos tipo que son obligatorios para todas las entidades sometidas al Estatuto General de Contratación de la Administración Pública: </w:t>
      </w:r>
    </w:p>
    <w:p w14:paraId="07DD671F"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r w:rsidRPr="00617149">
        <w:rPr>
          <w:rFonts w:ascii="Arial" w:hAnsi="Arial" w:cs="Arial"/>
          <w:color w:val="000000" w:themeColor="text1"/>
          <w:sz w:val="22"/>
          <w:lang w:val="es-ES_tradnl" w:eastAsia="es-ES"/>
        </w:rPr>
        <w:lastRenderedPageBreak/>
        <w:t xml:space="preserve">i) Documentos tipo para licitación de obra pública de infraestructura de transporte –versión 1–, obligatorios para los procesos cuyo aviso de convocatoria se haya publicado desde el 1 de abril de 2019. </w:t>
      </w:r>
    </w:p>
    <w:p w14:paraId="53C9B7E6"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proofErr w:type="spellStart"/>
      <w:r w:rsidRPr="00617149">
        <w:rPr>
          <w:rFonts w:ascii="Arial" w:hAnsi="Arial" w:cs="Arial"/>
          <w:color w:val="000000" w:themeColor="text1"/>
          <w:sz w:val="22"/>
          <w:lang w:val="es-ES_tradnl" w:eastAsia="es-ES"/>
        </w:rPr>
        <w:t>ii</w:t>
      </w:r>
      <w:proofErr w:type="spellEnd"/>
      <w:r w:rsidRPr="00617149">
        <w:rPr>
          <w:rFonts w:ascii="Arial" w:hAnsi="Arial" w:cs="Arial"/>
          <w:color w:val="000000" w:themeColor="text1"/>
          <w:sz w:val="22"/>
          <w:lang w:val="es-ES_tradnl" w:eastAsia="es-ES"/>
        </w:rPr>
        <w:t>) Documentos tipo para licitación de obra pública de infraestructura de transporte –versión 2–, obligatorios para los procesos cuyo aviso de convocatoria se haya publicado desde el 10 de marzo de 2020.</w:t>
      </w:r>
    </w:p>
    <w:p w14:paraId="7CA0CFC3"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proofErr w:type="spellStart"/>
      <w:r w:rsidRPr="00617149">
        <w:rPr>
          <w:rFonts w:ascii="Arial" w:hAnsi="Arial" w:cs="Arial"/>
          <w:color w:val="000000" w:themeColor="text1"/>
          <w:sz w:val="22"/>
          <w:lang w:val="es-ES_tradnl" w:eastAsia="es-ES"/>
        </w:rPr>
        <w:t>iii</w:t>
      </w:r>
      <w:proofErr w:type="spellEnd"/>
      <w:r w:rsidRPr="00617149">
        <w:rPr>
          <w:rFonts w:ascii="Arial" w:hAnsi="Arial" w:cs="Arial"/>
          <w:color w:val="000000" w:themeColor="text1"/>
          <w:sz w:val="22"/>
          <w:lang w:val="es-ES_tradnl" w:eastAsia="es-ES"/>
        </w:rPr>
        <w:t>) Documentos tipo para licitación de obra pública de infraestructura de transporte –versión 3–, obligatorios para los procesos cuyo aviso de convocatoria se haya publicado desde el 1 de enero de 2021.</w:t>
      </w:r>
    </w:p>
    <w:p w14:paraId="404F6A8B"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proofErr w:type="spellStart"/>
      <w:r w:rsidRPr="00617149">
        <w:rPr>
          <w:rFonts w:ascii="Arial" w:hAnsi="Arial" w:cs="Arial"/>
          <w:color w:val="000000" w:themeColor="text1"/>
          <w:sz w:val="22"/>
          <w:lang w:val="es-ES_tradnl" w:eastAsia="es-ES"/>
        </w:rPr>
        <w:t>iv</w:t>
      </w:r>
      <w:proofErr w:type="spellEnd"/>
      <w:r w:rsidRPr="00617149">
        <w:rPr>
          <w:rFonts w:ascii="Arial" w:hAnsi="Arial" w:cs="Arial"/>
          <w:color w:val="000000" w:themeColor="text1"/>
          <w:sz w:val="22"/>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41B73654"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r w:rsidRPr="00617149">
        <w:rPr>
          <w:rFonts w:ascii="Arial" w:hAnsi="Arial" w:cs="Arial"/>
          <w:color w:val="000000" w:themeColor="text1"/>
          <w:sz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2CAC1A92"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r w:rsidRPr="00617149">
        <w:rPr>
          <w:rFonts w:ascii="Arial" w:hAnsi="Arial" w:cs="Arial"/>
          <w:color w:val="000000" w:themeColor="text1"/>
          <w:sz w:val="22"/>
          <w:lang w:val="es-ES_tradnl" w:eastAsia="es-ES"/>
        </w:rPr>
        <w:t>vi) Documentos tipo para procesos de mínima cuantía de infraestructura de transporte, obligatorios para los procesos cuya invitación pública se haya publicado a partir del 10 de junio de 2020.</w:t>
      </w:r>
    </w:p>
    <w:p w14:paraId="618415A6"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proofErr w:type="spellStart"/>
      <w:r w:rsidRPr="00617149">
        <w:rPr>
          <w:rFonts w:ascii="Arial" w:hAnsi="Arial" w:cs="Arial"/>
          <w:color w:val="000000" w:themeColor="text1"/>
          <w:sz w:val="22"/>
          <w:lang w:val="es-ES_tradnl" w:eastAsia="es-ES"/>
        </w:rPr>
        <w:t>vii</w:t>
      </w:r>
      <w:proofErr w:type="spellEnd"/>
      <w:r w:rsidRPr="00617149">
        <w:rPr>
          <w:rFonts w:ascii="Arial" w:hAnsi="Arial" w:cs="Arial"/>
          <w:color w:val="000000" w:themeColor="text1"/>
          <w:sz w:val="22"/>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233F6D81"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proofErr w:type="spellStart"/>
      <w:r w:rsidRPr="00617149">
        <w:rPr>
          <w:rFonts w:ascii="Arial" w:hAnsi="Arial" w:cs="Arial"/>
          <w:color w:val="000000" w:themeColor="text1"/>
          <w:sz w:val="22"/>
          <w:lang w:val="es-ES_tradnl" w:eastAsia="es-ES"/>
        </w:rPr>
        <w:t>viii</w:t>
      </w:r>
      <w:proofErr w:type="spellEnd"/>
      <w:r w:rsidRPr="00617149">
        <w:rPr>
          <w:rFonts w:ascii="Arial" w:hAnsi="Arial" w:cs="Arial"/>
          <w:color w:val="000000" w:themeColor="text1"/>
          <w:sz w:val="22"/>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5358AC6D"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proofErr w:type="spellStart"/>
      <w:r w:rsidRPr="00617149">
        <w:rPr>
          <w:rFonts w:ascii="Arial" w:hAnsi="Arial" w:cs="Arial"/>
          <w:color w:val="000000" w:themeColor="text1"/>
          <w:sz w:val="22"/>
          <w:lang w:val="es-ES_tradnl" w:eastAsia="es-ES"/>
        </w:rPr>
        <w:t>ix</w:t>
      </w:r>
      <w:proofErr w:type="spellEnd"/>
      <w:r w:rsidRPr="00617149">
        <w:rPr>
          <w:rFonts w:ascii="Arial" w:hAnsi="Arial" w:cs="Arial"/>
          <w:color w:val="000000" w:themeColor="text1"/>
          <w:sz w:val="22"/>
          <w:lang w:val="es-ES_tradnl"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0BDBC524" w14:textId="77777777" w:rsidR="00617149" w:rsidRPr="00617149" w:rsidRDefault="00617149" w:rsidP="00617149">
      <w:pPr>
        <w:spacing w:before="120" w:line="276" w:lineRule="auto"/>
        <w:ind w:firstLine="709"/>
        <w:jc w:val="both"/>
        <w:rPr>
          <w:rFonts w:ascii="Arial" w:hAnsi="Arial" w:cs="Arial"/>
          <w:color w:val="000000" w:themeColor="text1"/>
          <w:sz w:val="22"/>
          <w:lang w:val="es-ES_tradnl" w:eastAsia="es-ES"/>
        </w:rPr>
      </w:pPr>
      <w:r w:rsidRPr="00617149">
        <w:rPr>
          <w:rFonts w:ascii="Arial" w:hAnsi="Arial" w:cs="Arial"/>
          <w:color w:val="000000" w:themeColor="text1"/>
          <w:sz w:val="22"/>
          <w:lang w:val="es-ES_tradnl" w:eastAsia="es-ES"/>
        </w:rPr>
        <w:t>x) Documentos tipo para procesos de gestión catastral con enfoque multipropósito que se celebren a través de contratos interadministrativos, a partir del 1 de febrero de 2021.</w:t>
      </w:r>
    </w:p>
    <w:p w14:paraId="0926AD01" w14:textId="77777777" w:rsidR="00617149" w:rsidRPr="00617149" w:rsidRDefault="00617149" w:rsidP="00617149">
      <w:pPr>
        <w:spacing w:before="120" w:line="276" w:lineRule="auto"/>
        <w:ind w:firstLine="709"/>
        <w:jc w:val="both"/>
        <w:rPr>
          <w:rFonts w:ascii="Arial" w:hAnsi="Arial" w:cs="Arial"/>
          <w:color w:val="000000"/>
          <w:sz w:val="22"/>
          <w:lang w:val="es-ES_tradnl"/>
        </w:rPr>
      </w:pPr>
      <w:r w:rsidRPr="00617149">
        <w:rPr>
          <w:rFonts w:ascii="Arial" w:hAnsi="Arial" w:cs="Arial"/>
          <w:color w:val="000000" w:themeColor="text1"/>
          <w:sz w:val="22"/>
          <w:lang w:val="es-ES_tradnl" w:eastAsia="es-ES"/>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2BC7B84F" w14:textId="77777777" w:rsidR="00617149" w:rsidRPr="00617149" w:rsidRDefault="00617149" w:rsidP="00617149">
      <w:pPr>
        <w:tabs>
          <w:tab w:val="left" w:pos="0"/>
        </w:tabs>
        <w:spacing w:line="276" w:lineRule="auto"/>
        <w:jc w:val="both"/>
        <w:rPr>
          <w:rFonts w:ascii="Arial" w:hAnsi="Arial" w:cs="Arial"/>
          <w:b/>
          <w:color w:val="000000" w:themeColor="text1"/>
          <w:sz w:val="22"/>
          <w:szCs w:val="24"/>
          <w:lang w:val="es-ES_tradnl" w:eastAsia="es-ES_tradnl"/>
        </w:rPr>
      </w:pPr>
    </w:p>
    <w:p w14:paraId="27F68A57" w14:textId="77777777" w:rsidR="00617149" w:rsidRPr="00617149" w:rsidRDefault="00617149" w:rsidP="00617149">
      <w:pPr>
        <w:spacing w:line="276" w:lineRule="auto"/>
        <w:jc w:val="both"/>
        <w:rPr>
          <w:rFonts w:ascii="Arial" w:eastAsia="Arial" w:hAnsi="Arial" w:cs="Arial"/>
          <w:b/>
          <w:bCs/>
          <w:color w:val="000000"/>
          <w:sz w:val="22"/>
          <w:szCs w:val="24"/>
          <w:lang w:val="es-ES_tradnl" w:eastAsia="es-ES_tradnl"/>
        </w:rPr>
      </w:pPr>
      <w:r w:rsidRPr="00617149">
        <w:rPr>
          <w:rFonts w:ascii="Arial" w:eastAsia="Arial" w:hAnsi="Arial" w:cs="Arial"/>
          <w:b/>
          <w:bCs/>
          <w:color w:val="000000"/>
          <w:sz w:val="22"/>
          <w:szCs w:val="24"/>
          <w:lang w:val="es-ES_tradnl" w:eastAsia="es-ES_tradnl"/>
        </w:rPr>
        <w:t xml:space="preserve">2.2. Alcance de la regla de la inalterabilidad de los documentos tipo </w:t>
      </w:r>
    </w:p>
    <w:p w14:paraId="3825E4B4" w14:textId="77777777" w:rsidR="00617149" w:rsidRPr="00617149" w:rsidRDefault="00617149" w:rsidP="00617149">
      <w:pPr>
        <w:tabs>
          <w:tab w:val="left" w:pos="0"/>
        </w:tabs>
        <w:spacing w:line="276" w:lineRule="auto"/>
        <w:jc w:val="both"/>
        <w:rPr>
          <w:rFonts w:ascii="Arial" w:hAnsi="Arial" w:cs="Arial"/>
          <w:b/>
          <w:color w:val="000000" w:themeColor="text1"/>
          <w:sz w:val="22"/>
          <w:szCs w:val="24"/>
          <w:lang w:val="es-ES_tradnl" w:eastAsia="es-ES_tradnl"/>
        </w:rPr>
      </w:pPr>
    </w:p>
    <w:p w14:paraId="20C3909B" w14:textId="77777777" w:rsidR="00617149" w:rsidRPr="00617149" w:rsidRDefault="00617149" w:rsidP="00617149">
      <w:pPr>
        <w:spacing w:line="276" w:lineRule="auto"/>
        <w:jc w:val="both"/>
        <w:rPr>
          <w:rFonts w:ascii="Arial" w:eastAsia="Times New Roman" w:hAnsi="Arial" w:cs="Arial"/>
          <w:sz w:val="22"/>
          <w:szCs w:val="24"/>
          <w:shd w:val="clear" w:color="auto" w:fill="FFFFFF"/>
          <w:lang w:val="es-ES_tradnl" w:eastAsia="es-ES_tradnl"/>
        </w:rPr>
      </w:pPr>
      <w:bookmarkStart w:id="9" w:name="_Hlk66966516"/>
      <w:r w:rsidRPr="00617149">
        <w:rPr>
          <w:rFonts w:ascii="Arial" w:eastAsia="Times New Roman" w:hAnsi="Arial" w:cs="Arial"/>
          <w:sz w:val="22"/>
          <w:szCs w:val="24"/>
          <w:shd w:val="clear" w:color="auto" w:fill="FFFFFF"/>
          <w:lang w:val="es-ES_tradnl" w:eastAsia="es-ES_tradnl"/>
        </w:rPr>
        <w:t>Todas las resoluciones</w:t>
      </w:r>
      <w:r w:rsidRPr="00617149">
        <w:rPr>
          <w:rFonts w:ascii="Arial" w:eastAsia="Times New Roman" w:hAnsi="Arial" w:cs="Arial"/>
          <w:sz w:val="22"/>
          <w:szCs w:val="24"/>
          <w:shd w:val="clear" w:color="auto" w:fill="FFFFFF"/>
          <w:vertAlign w:val="superscript"/>
          <w:lang w:val="es-ES_tradnl" w:eastAsia="es-ES_tradnl"/>
        </w:rPr>
        <w:footnoteReference w:id="5"/>
      </w:r>
      <w:r w:rsidRPr="00617149">
        <w:rPr>
          <w:rFonts w:ascii="Arial" w:eastAsia="Times New Roman" w:hAnsi="Arial" w:cs="Arial"/>
          <w:sz w:val="22"/>
          <w:szCs w:val="24"/>
          <w:shd w:val="clear" w:color="auto" w:fill="FFFFFF"/>
          <w:lang w:val="es-ES_tradnl" w:eastAsia="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617149">
        <w:rPr>
          <w:rFonts w:ascii="Arial" w:eastAsia="Times New Roman" w:hAnsi="Arial" w:cs="Arial"/>
          <w:i/>
          <w:iCs/>
          <w:sz w:val="22"/>
          <w:szCs w:val="24"/>
          <w:shd w:val="clear" w:color="auto" w:fill="FFFFFF"/>
          <w:lang w:val="es-ES_tradnl" w:eastAsia="es-ES_tradnl"/>
        </w:rPr>
        <w:t>Documentos del Proceso</w:t>
      </w:r>
      <w:r w:rsidRPr="00617149">
        <w:rPr>
          <w:rFonts w:ascii="Arial" w:eastAsia="Times New Roman" w:hAnsi="Arial" w:cs="Arial"/>
          <w:sz w:val="22"/>
          <w:szCs w:val="24"/>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98F3B2A" w14:textId="27F7887F" w:rsidR="00617149" w:rsidRPr="00617149" w:rsidRDefault="00617149" w:rsidP="00617149">
      <w:pPr>
        <w:spacing w:before="120" w:line="276" w:lineRule="auto"/>
        <w:ind w:firstLine="709"/>
        <w:jc w:val="both"/>
        <w:rPr>
          <w:rFonts w:ascii="Arial" w:eastAsia="Times New Roman" w:hAnsi="Arial" w:cs="Arial"/>
          <w:sz w:val="22"/>
          <w:shd w:val="clear" w:color="auto" w:fill="FFFFFF"/>
          <w:lang w:val="es-ES_tradnl" w:eastAsia="es-ES_tradnl"/>
        </w:rPr>
      </w:pPr>
      <w:r w:rsidRPr="00617149">
        <w:rPr>
          <w:rFonts w:ascii="Arial" w:eastAsia="Times New Roman" w:hAnsi="Arial" w:cs="Arial"/>
          <w:sz w:val="22"/>
          <w:shd w:val="clear" w:color="auto" w:fill="FFFFFF"/>
          <w:lang w:val="es-ES_tradnl" w:eastAsia="es-ES_tradnl"/>
        </w:rPr>
        <w:t xml:space="preserve">El fundamento legal vigente de la regla de la </w:t>
      </w:r>
      <w:r w:rsidRPr="00617149">
        <w:rPr>
          <w:rFonts w:ascii="Arial" w:eastAsia="Times New Roman" w:hAnsi="Arial" w:cs="Arial"/>
          <w:sz w:val="22"/>
          <w:szCs w:val="24"/>
          <w:shd w:val="clear" w:color="auto" w:fill="FFFFFF"/>
          <w:lang w:val="es-ES_tradnl" w:eastAsia="es-ES_tradnl"/>
        </w:rPr>
        <w:t xml:space="preserve">inalterabilidad </w:t>
      </w:r>
      <w:r w:rsidRPr="00617149">
        <w:rPr>
          <w:rFonts w:ascii="Arial" w:eastAsia="Times New Roman" w:hAnsi="Arial" w:cs="Arial"/>
          <w:sz w:val="22"/>
          <w:shd w:val="clear" w:color="auto" w:fill="FFFFFF"/>
          <w:lang w:val="es-ES_tradnl" w:eastAsia="es-ES_tradnl"/>
        </w:rPr>
        <w:t>se encuentra en el artículo 1 de la Ley 2022 de 2020, según el cual «</w:t>
      </w:r>
      <w:r w:rsidRPr="00617149">
        <w:rPr>
          <w:rFonts w:ascii="Arial" w:eastAsia="Times New Roman" w:hAnsi="Arial" w:cs="Arial"/>
          <w:sz w:val="22"/>
          <w:lang w:val="es-ES_tradnl" w:eastAsia="es-ES_tradnl"/>
        </w:rPr>
        <w:t xml:space="preserve">[…] </w:t>
      </w:r>
      <w:r w:rsidRPr="00617149">
        <w:rPr>
          <w:rFonts w:ascii="Arial" w:eastAsia="Times New Roman" w:hAnsi="Arial" w:cs="Arial"/>
          <w:sz w:val="22"/>
          <w:shd w:val="clear" w:color="auto" w:fill="FFFFFF"/>
          <w:lang w:val="es-ES_tradnl" w:eastAsia="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r w:rsidR="00A25E18">
        <w:rPr>
          <w:rFonts w:ascii="Arial" w:eastAsia="Times New Roman" w:hAnsi="Arial" w:cs="Arial"/>
          <w:sz w:val="22"/>
          <w:shd w:val="clear" w:color="auto" w:fill="FFFFFF"/>
          <w:lang w:val="es-ES_tradnl" w:eastAsia="es-ES_tradnl"/>
        </w:rPr>
        <w:t xml:space="preserve"> En particular, frente al documento tipo indicado por el peticionario, toda vez que la versión 2 de los documentos tipo de licitación para obras de infraestructura de transporte se expidió en vigencia de la Ley 1882 de 2018, fue dicha ley, precisamente, unido al desarrollo del artículo </w:t>
      </w:r>
      <w:r w:rsidR="00A25E18" w:rsidRPr="00617149">
        <w:rPr>
          <w:rFonts w:ascii="Arial" w:eastAsia="Times New Roman" w:hAnsi="Arial" w:cs="Arial"/>
          <w:sz w:val="22"/>
          <w:shd w:val="clear" w:color="auto" w:fill="FFFFFF"/>
          <w:lang w:val="es-ES_tradnl" w:eastAsia="es-ES_tradnl"/>
        </w:rPr>
        <w:t>2.2.1.2.6.1.4.</w:t>
      </w:r>
      <w:r w:rsidR="00A25E18">
        <w:rPr>
          <w:rFonts w:ascii="Arial" w:eastAsia="Times New Roman" w:hAnsi="Arial" w:cs="Arial"/>
          <w:sz w:val="22"/>
          <w:shd w:val="clear" w:color="auto" w:fill="FFFFFF"/>
          <w:lang w:val="es-ES_tradnl" w:eastAsia="es-ES_tradnl"/>
        </w:rPr>
        <w:t xml:space="preserve"> del Decreto 1082 de 2015, el fundamento de la regla de inalterabilidad</w:t>
      </w:r>
      <w:r w:rsidR="00A25E18">
        <w:rPr>
          <w:rStyle w:val="Refdenotaalpie"/>
          <w:rFonts w:ascii="Arial" w:eastAsia="Times New Roman" w:hAnsi="Arial" w:cs="Arial"/>
          <w:sz w:val="22"/>
          <w:shd w:val="clear" w:color="auto" w:fill="FFFFFF"/>
          <w:lang w:val="es-ES_tradnl" w:eastAsia="es-ES_tradnl"/>
        </w:rPr>
        <w:footnoteReference w:id="6"/>
      </w:r>
      <w:r w:rsidR="00A25E18">
        <w:rPr>
          <w:rFonts w:ascii="Arial" w:eastAsia="Times New Roman" w:hAnsi="Arial" w:cs="Arial"/>
          <w:sz w:val="22"/>
          <w:shd w:val="clear" w:color="auto" w:fill="FFFFFF"/>
          <w:lang w:val="es-ES_tradnl" w:eastAsia="es-ES_tradnl"/>
        </w:rPr>
        <w:t>.</w:t>
      </w:r>
    </w:p>
    <w:bookmarkEnd w:id="9"/>
    <w:p w14:paraId="56DD7E37" w14:textId="7C37B485" w:rsidR="00617149" w:rsidRDefault="00617149" w:rsidP="00617149">
      <w:pPr>
        <w:spacing w:before="120" w:line="276" w:lineRule="auto"/>
        <w:ind w:firstLine="709"/>
        <w:jc w:val="both"/>
        <w:rPr>
          <w:rFonts w:ascii="Arial" w:eastAsia="Times New Roman" w:hAnsi="Arial" w:cs="Arial"/>
          <w:sz w:val="22"/>
          <w:shd w:val="clear" w:color="auto" w:fill="FFFFFF"/>
          <w:lang w:val="es-ES_tradnl" w:eastAsia="es-ES_tradnl"/>
        </w:rPr>
      </w:pPr>
      <w:r w:rsidRPr="00617149">
        <w:rPr>
          <w:rFonts w:ascii="Arial" w:eastAsia="Times New Roman" w:hAnsi="Arial" w:cs="Arial"/>
          <w:sz w:val="22"/>
          <w:shd w:val="clear" w:color="auto" w:fill="FFFFFF"/>
          <w:lang w:val="es-ES_tradnl" w:eastAsia="es-ES_tradnl"/>
        </w:rPr>
        <w:t>En este orden de ideas,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w:t>
      </w:r>
    </w:p>
    <w:p w14:paraId="627BFF73" w14:textId="4A03D1A4" w:rsidR="00604CAE" w:rsidRDefault="00604CAE" w:rsidP="00E36193">
      <w:pPr>
        <w:spacing w:line="276" w:lineRule="auto"/>
        <w:jc w:val="both"/>
        <w:rPr>
          <w:rFonts w:ascii="Arial" w:eastAsia="Times New Roman" w:hAnsi="Arial" w:cs="Arial"/>
          <w:sz w:val="22"/>
          <w:shd w:val="clear" w:color="auto" w:fill="FFFFFF"/>
          <w:lang w:val="es-ES_tradnl" w:eastAsia="es-ES_tradnl"/>
        </w:rPr>
      </w:pPr>
    </w:p>
    <w:p w14:paraId="0F8E6BE1" w14:textId="4C2A3617" w:rsidR="00604CAE" w:rsidRPr="00604CAE" w:rsidRDefault="00BC108D" w:rsidP="00A25E18">
      <w:pPr>
        <w:spacing w:line="276" w:lineRule="auto"/>
        <w:jc w:val="both"/>
        <w:rPr>
          <w:rFonts w:ascii="Arial" w:eastAsia="Arial" w:hAnsi="Arial" w:cs="Arial"/>
          <w:b/>
          <w:bCs/>
          <w:color w:val="000000"/>
          <w:sz w:val="22"/>
          <w:szCs w:val="24"/>
          <w:lang w:val="es-ES_tradnl" w:eastAsia="es-ES_tradnl"/>
        </w:rPr>
      </w:pPr>
      <w:r>
        <w:rPr>
          <w:rFonts w:ascii="Arial" w:eastAsia="Arial" w:hAnsi="Arial" w:cs="Arial"/>
          <w:b/>
          <w:bCs/>
          <w:color w:val="000000"/>
          <w:sz w:val="22"/>
          <w:szCs w:val="24"/>
          <w:lang w:val="es-ES_tradnl" w:eastAsia="es-ES_tradnl"/>
        </w:rPr>
        <w:t xml:space="preserve">2.3. </w:t>
      </w:r>
      <w:r w:rsidR="00604CAE" w:rsidRPr="00604CAE">
        <w:rPr>
          <w:rFonts w:ascii="Arial" w:eastAsia="Arial" w:hAnsi="Arial" w:cs="Arial"/>
          <w:b/>
          <w:bCs/>
          <w:color w:val="000000"/>
          <w:sz w:val="22"/>
          <w:szCs w:val="24"/>
          <w:lang w:val="es-ES_tradnl" w:eastAsia="es-ES_tradnl"/>
        </w:rPr>
        <w:t>Carta de presentación de la oferta</w:t>
      </w:r>
    </w:p>
    <w:p w14:paraId="73972A96" w14:textId="0949B1C2" w:rsidR="00604CAE" w:rsidRDefault="00604CAE" w:rsidP="00E36193">
      <w:pPr>
        <w:spacing w:line="276" w:lineRule="auto"/>
        <w:jc w:val="both"/>
        <w:rPr>
          <w:rFonts w:ascii="Arial" w:eastAsia="Times New Roman" w:hAnsi="Arial" w:cs="Arial"/>
          <w:sz w:val="22"/>
          <w:shd w:val="clear" w:color="auto" w:fill="FFFFFF"/>
          <w:lang w:val="es-ES_tradnl" w:eastAsia="es-ES_tradnl"/>
        </w:rPr>
      </w:pPr>
    </w:p>
    <w:p w14:paraId="653E96EF" w14:textId="2C05CA86" w:rsidR="00604CAE" w:rsidRDefault="00A25E18" w:rsidP="00E36193">
      <w:pPr>
        <w:spacing w:line="276" w:lineRule="auto"/>
        <w:jc w:val="both"/>
        <w:rPr>
          <w:rFonts w:ascii="Arial" w:hAnsi="Arial" w:cs="Arial"/>
          <w:color w:val="000000"/>
          <w:sz w:val="22"/>
          <w:lang w:val="es-ES_tradnl"/>
        </w:rPr>
      </w:pPr>
      <w:r>
        <w:rPr>
          <w:rFonts w:ascii="Arial" w:hAnsi="Arial" w:cs="Arial"/>
          <w:color w:val="000000"/>
          <w:sz w:val="22"/>
          <w:lang w:val="es-ES_tradnl"/>
        </w:rPr>
        <w:t xml:space="preserve">De conformidad con los documentos tipo, </w:t>
      </w:r>
      <w:r w:rsidRPr="008005E1">
        <w:rPr>
          <w:rFonts w:ascii="Arial" w:hAnsi="Arial" w:cs="Arial"/>
          <w:color w:val="000000"/>
          <w:sz w:val="22"/>
          <w:lang w:val="es-ES_tradnl"/>
        </w:rPr>
        <w:t xml:space="preserve">el proponente suscribe y presenta </w:t>
      </w:r>
      <w:r>
        <w:rPr>
          <w:rFonts w:ascii="Arial" w:hAnsi="Arial" w:cs="Arial"/>
          <w:color w:val="000000"/>
          <w:sz w:val="22"/>
          <w:lang w:val="es-ES_tradnl"/>
        </w:rPr>
        <w:t>el «</w:t>
      </w:r>
      <w:r w:rsidR="00604CAE" w:rsidRPr="008005E1">
        <w:rPr>
          <w:rFonts w:ascii="Arial" w:hAnsi="Arial" w:cs="Arial"/>
          <w:color w:val="000000"/>
          <w:sz w:val="22"/>
          <w:lang w:val="es-ES_tradnl"/>
        </w:rPr>
        <w:t>Formato 1 – Carta de presentación de la oferta</w:t>
      </w:r>
      <w:r>
        <w:rPr>
          <w:rFonts w:ascii="Arial" w:hAnsi="Arial" w:cs="Arial"/>
          <w:color w:val="000000"/>
          <w:sz w:val="22"/>
          <w:lang w:val="es-ES_tradnl"/>
        </w:rPr>
        <w:t>»</w:t>
      </w:r>
      <w:r w:rsidR="00604CAE" w:rsidRPr="008005E1">
        <w:rPr>
          <w:rFonts w:ascii="Arial" w:hAnsi="Arial" w:cs="Arial"/>
          <w:color w:val="000000"/>
          <w:sz w:val="22"/>
          <w:lang w:val="es-ES_tradnl"/>
        </w:rPr>
        <w:t xml:space="preserve">, para manifestar su intención de participar en el proceso de contratación. Así mismo, este documento contiene manifestaciones donde el </w:t>
      </w:r>
      <w:r>
        <w:rPr>
          <w:rFonts w:ascii="Arial" w:hAnsi="Arial" w:cs="Arial"/>
          <w:color w:val="000000"/>
          <w:sz w:val="22"/>
          <w:lang w:val="es-ES_tradnl"/>
        </w:rPr>
        <w:t>oferente</w:t>
      </w:r>
      <w:r w:rsidRPr="008005E1">
        <w:rPr>
          <w:rFonts w:ascii="Arial" w:hAnsi="Arial" w:cs="Arial"/>
          <w:color w:val="000000"/>
          <w:sz w:val="22"/>
          <w:lang w:val="es-ES_tradnl"/>
        </w:rPr>
        <w:t xml:space="preserve"> </w:t>
      </w:r>
      <w:r w:rsidR="00604CAE" w:rsidRPr="008005E1">
        <w:rPr>
          <w:rFonts w:ascii="Arial" w:hAnsi="Arial" w:cs="Arial"/>
          <w:color w:val="000000"/>
          <w:sz w:val="22"/>
          <w:lang w:val="es-ES_tradnl"/>
        </w:rPr>
        <w:t xml:space="preserve">señala, entre otros, encontrarse autorizado para suscribir y presentar la oferta; suscribir el contrato en caso de resultar adjudicatario; conocer los documentos, anexos, matrices, estudios y demás soportes del proceso de contratación; conocer las normas que rigen el proceso de contratación; conocer las características, condiciones de ejecución del contrato y riesgos previsibles; </w:t>
      </w:r>
      <w:r w:rsidR="00F45A06">
        <w:rPr>
          <w:rFonts w:ascii="Arial" w:hAnsi="Arial" w:cs="Arial"/>
          <w:color w:val="000000"/>
          <w:sz w:val="22"/>
          <w:lang w:val="es-ES_tradnl"/>
        </w:rPr>
        <w:t xml:space="preserve">y </w:t>
      </w:r>
      <w:r w:rsidR="00604CAE" w:rsidRPr="008005E1">
        <w:rPr>
          <w:rFonts w:ascii="Arial" w:hAnsi="Arial" w:cs="Arial"/>
          <w:color w:val="000000"/>
          <w:sz w:val="22"/>
          <w:lang w:val="es-ES_tradnl"/>
        </w:rPr>
        <w:t>no encontrarse incurso en causales de inhabilidad e incompatibilidad o conflicto de intereses</w:t>
      </w:r>
      <w:r>
        <w:rPr>
          <w:rFonts w:ascii="Arial" w:hAnsi="Arial" w:cs="Arial"/>
          <w:color w:val="000000"/>
          <w:sz w:val="22"/>
          <w:lang w:val="es-ES_tradnl"/>
        </w:rPr>
        <w:t>, entre otros.</w:t>
      </w:r>
    </w:p>
    <w:p w14:paraId="3680D845" w14:textId="23479DB1" w:rsidR="00604CAE" w:rsidRDefault="00604CAE" w:rsidP="00E36193">
      <w:pPr>
        <w:spacing w:line="276" w:lineRule="auto"/>
        <w:ind w:firstLine="709"/>
        <w:jc w:val="both"/>
        <w:rPr>
          <w:rFonts w:ascii="Arial" w:hAnsi="Arial" w:cs="Arial"/>
          <w:color w:val="000000"/>
          <w:sz w:val="22"/>
          <w:lang w:val="es-ES_tradnl"/>
        </w:rPr>
      </w:pPr>
      <w:r>
        <w:rPr>
          <w:rFonts w:ascii="Arial" w:hAnsi="Arial" w:cs="Arial"/>
          <w:color w:val="000000"/>
          <w:sz w:val="22"/>
          <w:lang w:val="es-ES_tradnl"/>
        </w:rPr>
        <w:t xml:space="preserve">Ahora bien, es importante entender </w:t>
      </w:r>
      <w:r w:rsidRPr="00604CAE">
        <w:rPr>
          <w:rFonts w:ascii="Arial" w:hAnsi="Arial" w:cs="Arial"/>
          <w:color w:val="000000"/>
          <w:sz w:val="22"/>
          <w:lang w:val="es-ES_tradnl"/>
        </w:rPr>
        <w:t xml:space="preserve">que la </w:t>
      </w:r>
      <w:r w:rsidR="00D960B1">
        <w:rPr>
          <w:rFonts w:ascii="Arial" w:hAnsi="Arial" w:cs="Arial"/>
          <w:color w:val="000000"/>
          <w:sz w:val="22"/>
          <w:lang w:val="es-ES_tradnl"/>
        </w:rPr>
        <w:t>propuesta</w:t>
      </w:r>
      <w:r w:rsidR="00D960B1" w:rsidRPr="00604CAE">
        <w:rPr>
          <w:rFonts w:ascii="Arial" w:hAnsi="Arial" w:cs="Arial"/>
          <w:color w:val="000000"/>
          <w:sz w:val="22"/>
          <w:lang w:val="es-ES_tradnl"/>
        </w:rPr>
        <w:t xml:space="preserve"> </w:t>
      </w:r>
      <w:r w:rsidRPr="00604CAE">
        <w:rPr>
          <w:rFonts w:ascii="Arial" w:hAnsi="Arial" w:cs="Arial"/>
          <w:color w:val="000000"/>
          <w:sz w:val="22"/>
          <w:lang w:val="es-ES_tradnl"/>
        </w:rPr>
        <w:t xml:space="preserve">está constituida por una diversidad de documentos y no solamente por la carta de presentación de la </w:t>
      </w:r>
      <w:r>
        <w:rPr>
          <w:rFonts w:ascii="Arial" w:hAnsi="Arial" w:cs="Arial"/>
          <w:color w:val="000000"/>
          <w:sz w:val="22"/>
          <w:lang w:val="es-ES_tradnl"/>
        </w:rPr>
        <w:t>oferta</w:t>
      </w:r>
      <w:r w:rsidRPr="00604CAE">
        <w:rPr>
          <w:rFonts w:ascii="Arial" w:hAnsi="Arial" w:cs="Arial"/>
          <w:color w:val="000000"/>
          <w:sz w:val="22"/>
          <w:lang w:val="es-ES_tradnl"/>
        </w:rPr>
        <w:t>, la cual, como su nombre lo indica, es solo la forma como se introduce al destinatario, en este caso, a la entidad</w:t>
      </w:r>
      <w:r w:rsidR="00D960B1">
        <w:rPr>
          <w:rFonts w:ascii="Arial" w:hAnsi="Arial" w:cs="Arial"/>
          <w:color w:val="000000"/>
          <w:sz w:val="22"/>
          <w:lang w:val="es-ES_tradnl"/>
        </w:rPr>
        <w:t xml:space="preserve"> estatal</w:t>
      </w:r>
      <w:r w:rsidRPr="00604CAE">
        <w:rPr>
          <w:rFonts w:ascii="Arial" w:hAnsi="Arial" w:cs="Arial"/>
          <w:color w:val="000000"/>
          <w:sz w:val="22"/>
          <w:lang w:val="es-ES_tradnl"/>
        </w:rPr>
        <w:t>, la totalidad de los elementos qu</w:t>
      </w:r>
      <w:r w:rsidR="00D960B1">
        <w:rPr>
          <w:rFonts w:ascii="Arial" w:hAnsi="Arial" w:cs="Arial"/>
          <w:color w:val="000000"/>
          <w:sz w:val="22"/>
          <w:lang w:val="es-ES_tradnl"/>
        </w:rPr>
        <w:t xml:space="preserve">e </w:t>
      </w:r>
      <w:r w:rsidRPr="00604CAE">
        <w:rPr>
          <w:rFonts w:ascii="Arial" w:hAnsi="Arial" w:cs="Arial"/>
          <w:color w:val="000000"/>
          <w:sz w:val="22"/>
          <w:lang w:val="es-ES_tradnl"/>
        </w:rPr>
        <w:t>conforman la oferta. En consecuencia</w:t>
      </w:r>
      <w:r w:rsidR="00D960B1">
        <w:rPr>
          <w:rFonts w:ascii="Arial" w:hAnsi="Arial" w:cs="Arial"/>
          <w:color w:val="000000"/>
          <w:sz w:val="22"/>
          <w:lang w:val="es-ES_tradnl"/>
        </w:rPr>
        <w:t xml:space="preserve">, </w:t>
      </w:r>
      <w:r w:rsidRPr="00604CAE">
        <w:rPr>
          <w:rFonts w:ascii="Arial" w:hAnsi="Arial" w:cs="Arial"/>
          <w:color w:val="000000"/>
          <w:sz w:val="22"/>
          <w:lang w:val="es-ES_tradnl"/>
        </w:rPr>
        <w:t>el</w:t>
      </w:r>
      <w:r w:rsidR="00D960B1">
        <w:rPr>
          <w:rFonts w:ascii="Arial" w:hAnsi="Arial" w:cs="Arial"/>
          <w:color w:val="000000"/>
          <w:sz w:val="22"/>
          <w:lang w:val="es-ES_tradnl"/>
        </w:rPr>
        <w:t xml:space="preserve"> </w:t>
      </w:r>
      <w:r w:rsidRPr="00604CAE">
        <w:rPr>
          <w:rFonts w:ascii="Arial" w:hAnsi="Arial" w:cs="Arial"/>
          <w:color w:val="000000"/>
          <w:sz w:val="22"/>
          <w:lang w:val="es-ES_tradnl"/>
        </w:rPr>
        <w:t>entendimiento</w:t>
      </w:r>
      <w:r w:rsidR="00D960B1">
        <w:rPr>
          <w:rFonts w:ascii="Arial" w:hAnsi="Arial" w:cs="Arial"/>
          <w:color w:val="000000"/>
          <w:sz w:val="22"/>
          <w:lang w:val="es-ES_tradnl"/>
        </w:rPr>
        <w:t xml:space="preserve"> </w:t>
      </w:r>
      <w:r w:rsidRPr="00604CAE">
        <w:rPr>
          <w:rFonts w:ascii="Arial" w:hAnsi="Arial" w:cs="Arial"/>
          <w:color w:val="000000"/>
          <w:sz w:val="22"/>
          <w:lang w:val="es-ES_tradnl"/>
        </w:rPr>
        <w:t>de</w:t>
      </w:r>
      <w:r w:rsidR="00D960B1">
        <w:rPr>
          <w:rFonts w:ascii="Arial" w:hAnsi="Arial" w:cs="Arial"/>
          <w:color w:val="000000"/>
          <w:sz w:val="22"/>
          <w:lang w:val="es-ES_tradnl"/>
        </w:rPr>
        <w:t xml:space="preserve"> </w:t>
      </w:r>
      <w:r w:rsidRPr="00604CAE">
        <w:rPr>
          <w:rFonts w:ascii="Arial" w:hAnsi="Arial" w:cs="Arial"/>
          <w:color w:val="000000"/>
          <w:sz w:val="22"/>
          <w:lang w:val="es-ES_tradnl"/>
        </w:rPr>
        <w:t>la</w:t>
      </w:r>
      <w:r w:rsidR="00D960B1">
        <w:rPr>
          <w:rFonts w:ascii="Arial" w:hAnsi="Arial" w:cs="Arial"/>
          <w:color w:val="000000"/>
          <w:sz w:val="22"/>
          <w:lang w:val="es-ES_tradnl"/>
        </w:rPr>
        <w:t xml:space="preserve"> </w:t>
      </w:r>
      <w:r w:rsidRPr="00604CAE">
        <w:rPr>
          <w:rFonts w:ascii="Arial" w:hAnsi="Arial" w:cs="Arial"/>
          <w:color w:val="000000"/>
          <w:sz w:val="22"/>
          <w:lang w:val="es-ES_tradnl"/>
        </w:rPr>
        <w:t>oferta</w:t>
      </w:r>
      <w:r w:rsidR="00D960B1">
        <w:rPr>
          <w:rFonts w:ascii="Arial" w:hAnsi="Arial" w:cs="Arial"/>
          <w:color w:val="000000"/>
          <w:sz w:val="22"/>
          <w:lang w:val="es-ES_tradnl"/>
        </w:rPr>
        <w:t xml:space="preserve"> </w:t>
      </w:r>
      <w:r w:rsidRPr="00604CAE">
        <w:rPr>
          <w:rFonts w:ascii="Arial" w:hAnsi="Arial" w:cs="Arial"/>
          <w:color w:val="000000"/>
          <w:sz w:val="22"/>
          <w:lang w:val="es-ES_tradnl"/>
        </w:rPr>
        <w:t>debe estar guiado por la comprensión de todos los documentos que integran</w:t>
      </w:r>
      <w:r w:rsidR="00D960B1">
        <w:rPr>
          <w:rFonts w:ascii="Arial" w:hAnsi="Arial" w:cs="Arial"/>
          <w:color w:val="000000"/>
          <w:sz w:val="22"/>
          <w:lang w:val="es-ES_tradnl"/>
        </w:rPr>
        <w:t xml:space="preserve"> y la función que cumple cada uno de ellos</w:t>
      </w:r>
      <w:r w:rsidRPr="00604CAE">
        <w:rPr>
          <w:rFonts w:ascii="Arial" w:hAnsi="Arial" w:cs="Arial"/>
          <w:color w:val="000000"/>
          <w:sz w:val="22"/>
          <w:lang w:val="es-ES_tradnl"/>
        </w:rPr>
        <w:t xml:space="preserve">, </w:t>
      </w:r>
      <w:r w:rsidR="00D960B1">
        <w:rPr>
          <w:rFonts w:ascii="Arial" w:hAnsi="Arial" w:cs="Arial"/>
          <w:color w:val="000000"/>
          <w:sz w:val="22"/>
          <w:lang w:val="es-ES_tradnl"/>
        </w:rPr>
        <w:t>sin que una oferta pueda</w:t>
      </w:r>
      <w:r w:rsidRPr="00604CAE">
        <w:rPr>
          <w:rFonts w:ascii="Arial" w:hAnsi="Arial" w:cs="Arial"/>
          <w:color w:val="000000"/>
          <w:sz w:val="22"/>
          <w:lang w:val="es-ES_tradnl"/>
        </w:rPr>
        <w:t xml:space="preserve"> limitarse a lo que la </w:t>
      </w:r>
      <w:r>
        <w:rPr>
          <w:rFonts w:ascii="Arial" w:hAnsi="Arial" w:cs="Arial"/>
          <w:color w:val="000000"/>
          <w:sz w:val="22"/>
          <w:lang w:val="es-ES_tradnl"/>
        </w:rPr>
        <w:t>ca</w:t>
      </w:r>
      <w:r w:rsidRPr="00604CAE">
        <w:rPr>
          <w:rFonts w:ascii="Arial" w:hAnsi="Arial" w:cs="Arial"/>
          <w:color w:val="000000"/>
          <w:sz w:val="22"/>
          <w:lang w:val="es-ES_tradnl"/>
        </w:rPr>
        <w:t>rta de presentación de la propuesta indica.</w:t>
      </w:r>
      <w:r w:rsidR="00D960B1">
        <w:rPr>
          <w:rFonts w:ascii="Arial" w:hAnsi="Arial" w:cs="Arial"/>
          <w:color w:val="000000"/>
          <w:sz w:val="22"/>
          <w:lang w:val="es-ES_tradnl"/>
        </w:rPr>
        <w:t xml:space="preserve"> </w:t>
      </w:r>
      <w:r>
        <w:rPr>
          <w:rFonts w:ascii="Arial" w:hAnsi="Arial" w:cs="Arial"/>
          <w:color w:val="000000"/>
          <w:sz w:val="22"/>
          <w:lang w:val="es-ES_tradnl"/>
        </w:rPr>
        <w:t xml:space="preserve">Este criterio se ha entendido como </w:t>
      </w:r>
      <w:r w:rsidR="00D960B1">
        <w:rPr>
          <w:rFonts w:ascii="Arial" w:hAnsi="Arial" w:cs="Arial"/>
          <w:color w:val="000000"/>
          <w:sz w:val="22"/>
          <w:lang w:val="es-ES_tradnl"/>
        </w:rPr>
        <w:t>«</w:t>
      </w:r>
      <w:r w:rsidRPr="00604CAE">
        <w:rPr>
          <w:rFonts w:ascii="Arial" w:hAnsi="Arial" w:cs="Arial"/>
          <w:color w:val="000000"/>
          <w:sz w:val="22"/>
          <w:lang w:val="es-ES_tradnl"/>
        </w:rPr>
        <w:t>Interpretación sistemática o coherente</w:t>
      </w:r>
      <w:r w:rsidR="00D960B1">
        <w:rPr>
          <w:rFonts w:ascii="Arial" w:hAnsi="Arial" w:cs="Arial"/>
          <w:color w:val="000000"/>
          <w:sz w:val="22"/>
          <w:lang w:val="es-ES_tradnl"/>
        </w:rPr>
        <w:t>»</w:t>
      </w:r>
      <w:r>
        <w:rPr>
          <w:rFonts w:ascii="Arial" w:hAnsi="Arial" w:cs="Arial"/>
          <w:color w:val="000000"/>
          <w:sz w:val="22"/>
          <w:lang w:val="es-ES_tradnl"/>
        </w:rPr>
        <w:t xml:space="preserve">, el cual ha sido desarrollado por el Consejo de Estado </w:t>
      </w:r>
      <w:r w:rsidR="00D960B1">
        <w:rPr>
          <w:rFonts w:ascii="Arial" w:hAnsi="Arial" w:cs="Arial"/>
          <w:color w:val="000000"/>
          <w:sz w:val="22"/>
          <w:lang w:val="es-ES_tradnl"/>
        </w:rPr>
        <w:t>de la siguiente manera</w:t>
      </w:r>
      <w:r>
        <w:rPr>
          <w:rFonts w:ascii="Arial" w:hAnsi="Arial" w:cs="Arial"/>
          <w:color w:val="000000"/>
          <w:sz w:val="22"/>
          <w:lang w:val="es-ES_tradnl"/>
        </w:rPr>
        <w:t>:</w:t>
      </w:r>
    </w:p>
    <w:p w14:paraId="05115B45" w14:textId="05E70E75" w:rsidR="00604CAE" w:rsidRDefault="00604CAE" w:rsidP="00E36193">
      <w:pPr>
        <w:spacing w:line="276" w:lineRule="auto"/>
        <w:ind w:firstLine="709"/>
        <w:jc w:val="both"/>
        <w:rPr>
          <w:rFonts w:ascii="Arial" w:hAnsi="Arial" w:cs="Arial"/>
          <w:color w:val="000000"/>
          <w:sz w:val="22"/>
          <w:lang w:val="es-ES_tradnl"/>
        </w:rPr>
      </w:pPr>
    </w:p>
    <w:p w14:paraId="0C224E50" w14:textId="0D794733" w:rsidR="00604CAE" w:rsidRDefault="00604CAE" w:rsidP="00604CAE">
      <w:pPr>
        <w:ind w:left="709" w:right="709"/>
        <w:jc w:val="both"/>
        <w:rPr>
          <w:rFonts w:ascii="Arial" w:hAnsi="Arial" w:cs="Arial"/>
          <w:color w:val="000000"/>
          <w:sz w:val="21"/>
          <w:szCs w:val="21"/>
          <w:lang w:val="es-ES_tradnl"/>
        </w:rPr>
      </w:pPr>
      <w:r w:rsidRPr="00604CAE">
        <w:rPr>
          <w:rFonts w:ascii="Arial" w:hAnsi="Arial" w:cs="Arial"/>
          <w:color w:val="000000"/>
          <w:sz w:val="21"/>
          <w:szCs w:val="21"/>
          <w:lang w:val="es-ES_tradnl"/>
        </w:rPr>
        <w:t>Este criterio interpretativo pone de presente la correlación que existe entre las partes constitutivas del discurso, como de cada manifestación del pensamiento, y su referencia común al todo del que hacen parte: correlación y referencia que hacen posible la iluminación recíproca del significado entre el todo y los elementos constitutivos. Constituye un principio evidente de técnica de interpretación textual, que al dirigirse a aclarar el sentido de una declaración de índole jurídica, ordena que el significado de las declaraciones no puede ser segmentado, sino que deba ser atribuido al conjunto de la intención del declarante; es decir, que en presencia de una o varias cláusulas, dentro de un contrato; o de uno o varios artículos, dentro de una ley; o de una o varias leyes dentro del ordenamiento jurídico; o de una o varias declaraciones, dentro de una propuesta para una licitación pública, se debe considerar que hacen parte de un todo, y es por medio de la luz de cuanto emerge del conjunto de la declaración entera, que se determina el sentido jurídico propio del objeto interpretado</w:t>
      </w:r>
      <w:r w:rsidR="00D960B1">
        <w:rPr>
          <w:rStyle w:val="Refdenotaalpie"/>
          <w:rFonts w:ascii="Arial" w:hAnsi="Arial" w:cs="Arial"/>
          <w:color w:val="000000"/>
          <w:sz w:val="22"/>
          <w:lang w:val="es-ES_tradnl"/>
        </w:rPr>
        <w:footnoteReference w:id="7"/>
      </w:r>
      <w:r>
        <w:rPr>
          <w:rFonts w:ascii="Arial" w:hAnsi="Arial" w:cs="Arial"/>
          <w:color w:val="000000"/>
          <w:sz w:val="21"/>
          <w:szCs w:val="21"/>
          <w:lang w:val="es-ES_tradnl"/>
        </w:rPr>
        <w:t>.</w:t>
      </w:r>
    </w:p>
    <w:p w14:paraId="03BC227D" w14:textId="6383CD14" w:rsidR="00604CAE" w:rsidRDefault="00604CAE" w:rsidP="00985F4D">
      <w:pPr>
        <w:ind w:left="709" w:right="709"/>
        <w:jc w:val="both"/>
        <w:rPr>
          <w:rFonts w:ascii="Arial" w:hAnsi="Arial" w:cs="Arial"/>
          <w:color w:val="000000"/>
          <w:sz w:val="21"/>
          <w:szCs w:val="21"/>
          <w:lang w:val="es-ES_tradnl"/>
        </w:rPr>
      </w:pPr>
    </w:p>
    <w:p w14:paraId="4FB46679" w14:textId="100A4DAC" w:rsidR="00985F4D" w:rsidRDefault="00985F4D" w:rsidP="00985F4D">
      <w:pPr>
        <w:spacing w:before="120" w:line="276" w:lineRule="auto"/>
        <w:ind w:firstLine="708"/>
        <w:jc w:val="both"/>
        <w:rPr>
          <w:rFonts w:ascii="Arial" w:hAnsi="Arial" w:cs="Arial"/>
          <w:color w:val="000000"/>
          <w:sz w:val="22"/>
          <w:lang w:val="es-ES_tradnl"/>
        </w:rPr>
      </w:pPr>
      <w:r>
        <w:rPr>
          <w:rFonts w:ascii="Arial" w:hAnsi="Arial" w:cs="Arial"/>
          <w:color w:val="000000"/>
          <w:sz w:val="22"/>
          <w:lang w:val="es-ES_tradnl"/>
        </w:rPr>
        <w:t>E</w:t>
      </w:r>
      <w:r w:rsidRPr="00985F4D">
        <w:rPr>
          <w:rFonts w:ascii="Arial" w:hAnsi="Arial" w:cs="Arial"/>
          <w:color w:val="000000"/>
          <w:sz w:val="22"/>
          <w:lang w:val="es-ES_tradnl"/>
        </w:rPr>
        <w:t xml:space="preserve">ste criterio se impone como un instrumento útil que, además de contribuir al esclarecimiento del sentido de las declaraciones, permite valorar de forma negativa y rechazar las interpretaciones que pretenden aislar una parte de la declaración, o a alguna </w:t>
      </w:r>
      <w:r w:rsidR="00D960B1">
        <w:rPr>
          <w:rFonts w:ascii="Arial" w:hAnsi="Arial" w:cs="Arial"/>
          <w:color w:val="000000"/>
          <w:sz w:val="22"/>
          <w:lang w:val="es-ES_tradnl"/>
        </w:rPr>
        <w:lastRenderedPageBreak/>
        <w:t>de ellas</w:t>
      </w:r>
      <w:r w:rsidR="00D960B1" w:rsidRPr="00985F4D">
        <w:rPr>
          <w:rFonts w:ascii="Arial" w:hAnsi="Arial" w:cs="Arial"/>
          <w:color w:val="000000"/>
          <w:sz w:val="22"/>
          <w:lang w:val="es-ES_tradnl"/>
        </w:rPr>
        <w:t xml:space="preserve"> </w:t>
      </w:r>
      <w:r w:rsidRPr="00985F4D">
        <w:rPr>
          <w:rFonts w:ascii="Arial" w:hAnsi="Arial" w:cs="Arial"/>
          <w:color w:val="000000"/>
          <w:sz w:val="22"/>
          <w:lang w:val="es-ES_tradnl"/>
        </w:rPr>
        <w:t>dentro del conjunto de otras muchas; también elimina las situaciones específicas que resultan incoherentes</w:t>
      </w:r>
      <w:r>
        <w:rPr>
          <w:rFonts w:ascii="Arial" w:hAnsi="Arial" w:cs="Arial"/>
          <w:color w:val="000000"/>
          <w:sz w:val="22"/>
          <w:lang w:val="es-ES_tradnl"/>
        </w:rPr>
        <w:t>.</w:t>
      </w:r>
    </w:p>
    <w:p w14:paraId="591DEA43" w14:textId="6CE435A2" w:rsidR="00C92472" w:rsidRDefault="00985F4D" w:rsidP="00C92472">
      <w:pPr>
        <w:spacing w:before="120" w:line="276" w:lineRule="auto"/>
        <w:ind w:firstLine="708"/>
        <w:jc w:val="both"/>
        <w:rPr>
          <w:rFonts w:ascii="Arial" w:hAnsi="Arial" w:cs="Arial"/>
          <w:color w:val="000000"/>
          <w:sz w:val="22"/>
          <w:lang w:val="es-ES_tradnl"/>
        </w:rPr>
      </w:pPr>
      <w:r>
        <w:rPr>
          <w:rFonts w:ascii="Arial" w:hAnsi="Arial" w:cs="Arial"/>
          <w:color w:val="000000"/>
          <w:sz w:val="22"/>
          <w:lang w:val="es-ES_tradnl"/>
        </w:rPr>
        <w:t>Lo anterior nos permite entender que los documentos de la oferta ostentan un carácter de complementariedad y</w:t>
      </w:r>
      <w:r w:rsidR="00D960B1">
        <w:rPr>
          <w:rFonts w:ascii="Arial" w:hAnsi="Arial" w:cs="Arial"/>
          <w:color w:val="000000"/>
          <w:sz w:val="22"/>
          <w:lang w:val="es-ES_tradnl"/>
        </w:rPr>
        <w:t>,</w:t>
      </w:r>
      <w:r>
        <w:rPr>
          <w:rFonts w:ascii="Arial" w:hAnsi="Arial" w:cs="Arial"/>
          <w:color w:val="000000"/>
          <w:sz w:val="22"/>
          <w:lang w:val="es-ES_tradnl"/>
        </w:rPr>
        <w:t xml:space="preserve"> por lo tanto</w:t>
      </w:r>
      <w:r w:rsidR="00D960B1">
        <w:rPr>
          <w:rFonts w:ascii="Arial" w:hAnsi="Arial" w:cs="Arial"/>
          <w:color w:val="000000"/>
          <w:sz w:val="22"/>
          <w:lang w:val="es-ES_tradnl"/>
        </w:rPr>
        <w:t>,</w:t>
      </w:r>
      <w:r>
        <w:rPr>
          <w:rFonts w:ascii="Arial" w:hAnsi="Arial" w:cs="Arial"/>
          <w:color w:val="000000"/>
          <w:sz w:val="22"/>
          <w:lang w:val="es-ES_tradnl"/>
        </w:rPr>
        <w:t xml:space="preserve"> no puede entenderse cada uno de ellos como un acto aislado dentro del contexto del ofrecimiento que se efectúa en el marco del proceso de selección. Es decir, la carta de presentación de la oferta permite poner en contexto a la </w:t>
      </w:r>
      <w:r w:rsidR="00D960B1">
        <w:rPr>
          <w:rFonts w:ascii="Arial" w:hAnsi="Arial" w:cs="Arial"/>
          <w:color w:val="000000"/>
          <w:sz w:val="22"/>
          <w:lang w:val="es-ES_tradnl"/>
        </w:rPr>
        <w:t>e</w:t>
      </w:r>
      <w:r>
        <w:rPr>
          <w:rFonts w:ascii="Arial" w:hAnsi="Arial" w:cs="Arial"/>
          <w:color w:val="000000"/>
          <w:sz w:val="22"/>
          <w:lang w:val="es-ES_tradnl"/>
        </w:rPr>
        <w:t xml:space="preserve">ntidad </w:t>
      </w:r>
      <w:r w:rsidR="00D960B1">
        <w:rPr>
          <w:rFonts w:ascii="Arial" w:hAnsi="Arial" w:cs="Arial"/>
          <w:color w:val="000000"/>
          <w:sz w:val="22"/>
          <w:lang w:val="es-ES_tradnl"/>
        </w:rPr>
        <w:t>c</w:t>
      </w:r>
      <w:r>
        <w:rPr>
          <w:rFonts w:ascii="Arial" w:hAnsi="Arial" w:cs="Arial"/>
          <w:color w:val="000000"/>
          <w:sz w:val="22"/>
          <w:lang w:val="es-ES_tradnl"/>
        </w:rPr>
        <w:t xml:space="preserve">ontratante </w:t>
      </w:r>
      <w:r w:rsidR="00D960B1">
        <w:rPr>
          <w:rFonts w:ascii="Arial" w:hAnsi="Arial" w:cs="Arial"/>
          <w:color w:val="000000"/>
          <w:sz w:val="22"/>
          <w:lang w:val="es-ES_tradnl"/>
        </w:rPr>
        <w:t xml:space="preserve">frente a </w:t>
      </w:r>
      <w:r>
        <w:rPr>
          <w:rFonts w:ascii="Arial" w:hAnsi="Arial" w:cs="Arial"/>
          <w:color w:val="000000"/>
          <w:sz w:val="22"/>
          <w:lang w:val="es-ES_tradnl"/>
        </w:rPr>
        <w:t>una serie de documentos que en su conjunto forman un acervo probatorio de los requisitos que se pretenden hacer valer, y que permiten determinar, entre varias ofertas</w:t>
      </w:r>
      <w:r w:rsidR="00C92472">
        <w:rPr>
          <w:rFonts w:ascii="Arial" w:hAnsi="Arial" w:cs="Arial"/>
          <w:color w:val="000000"/>
          <w:sz w:val="22"/>
          <w:lang w:val="es-ES_tradnl"/>
        </w:rPr>
        <w:t>,</w:t>
      </w:r>
      <w:r>
        <w:rPr>
          <w:rFonts w:ascii="Arial" w:hAnsi="Arial" w:cs="Arial"/>
          <w:color w:val="000000"/>
          <w:sz w:val="22"/>
          <w:lang w:val="es-ES_tradnl"/>
        </w:rPr>
        <w:t xml:space="preserve"> la que represente la mejor </w:t>
      </w:r>
      <w:r w:rsidR="00C92472">
        <w:rPr>
          <w:rFonts w:ascii="Arial" w:hAnsi="Arial" w:cs="Arial"/>
          <w:color w:val="000000"/>
          <w:sz w:val="22"/>
          <w:lang w:val="es-ES_tradnl"/>
        </w:rPr>
        <w:t>condición de elegibilidad.</w:t>
      </w:r>
    </w:p>
    <w:p w14:paraId="478B5EC7" w14:textId="174E9090" w:rsidR="00985F4D" w:rsidRPr="00985F4D" w:rsidRDefault="00C92472" w:rsidP="00E36193">
      <w:pPr>
        <w:spacing w:line="276" w:lineRule="auto"/>
        <w:ind w:firstLine="708"/>
        <w:jc w:val="both"/>
        <w:rPr>
          <w:rFonts w:ascii="Arial" w:hAnsi="Arial" w:cs="Arial"/>
          <w:color w:val="000000"/>
          <w:sz w:val="22"/>
          <w:lang w:val="es-ES_tradnl"/>
        </w:rPr>
      </w:pPr>
      <w:r>
        <w:rPr>
          <w:rFonts w:ascii="Arial" w:hAnsi="Arial" w:cs="Arial"/>
          <w:color w:val="000000"/>
          <w:sz w:val="22"/>
          <w:lang w:val="es-ES_tradnl"/>
        </w:rPr>
        <w:t>L</w:t>
      </w:r>
      <w:r w:rsidRPr="00C92472">
        <w:rPr>
          <w:rFonts w:ascii="Arial" w:hAnsi="Arial" w:cs="Arial"/>
          <w:color w:val="000000"/>
          <w:sz w:val="22"/>
          <w:lang w:val="es-ES_tradnl"/>
        </w:rPr>
        <w:t>os requisitos de los proponentes</w:t>
      </w:r>
      <w:r>
        <w:rPr>
          <w:rFonts w:ascii="Arial" w:hAnsi="Arial" w:cs="Arial"/>
          <w:color w:val="000000"/>
          <w:sz w:val="22"/>
          <w:lang w:val="es-ES_tradnl"/>
        </w:rPr>
        <w:t xml:space="preserve">, que se hacen valer por medio de la oferta en su integralidad, pueden ser entendidos en </w:t>
      </w:r>
      <w:r w:rsidRPr="00C92472">
        <w:rPr>
          <w:rFonts w:ascii="Arial" w:hAnsi="Arial" w:cs="Arial"/>
          <w:color w:val="000000"/>
          <w:sz w:val="22"/>
          <w:lang w:val="es-ES_tradnl"/>
        </w:rPr>
        <w:t>tres clase</w:t>
      </w:r>
      <w:r>
        <w:rPr>
          <w:rFonts w:ascii="Arial" w:hAnsi="Arial" w:cs="Arial"/>
          <w:color w:val="000000"/>
          <w:sz w:val="22"/>
          <w:lang w:val="es-ES_tradnl"/>
        </w:rPr>
        <w:t>s:</w:t>
      </w:r>
      <w:r w:rsidRPr="00C92472">
        <w:rPr>
          <w:rFonts w:ascii="Arial" w:hAnsi="Arial" w:cs="Arial"/>
          <w:color w:val="000000"/>
          <w:sz w:val="22"/>
          <w:lang w:val="es-ES_tradnl"/>
        </w:rPr>
        <w:t xml:space="preserve"> </w:t>
      </w:r>
      <w:r w:rsidRPr="00C92472">
        <w:rPr>
          <w:rFonts w:ascii="Arial" w:hAnsi="Arial" w:cs="Arial"/>
          <w:i/>
          <w:iCs/>
          <w:color w:val="000000"/>
          <w:sz w:val="22"/>
          <w:lang w:val="es-ES_tradnl"/>
        </w:rPr>
        <w:t>subjetivos</w:t>
      </w:r>
      <w:r>
        <w:rPr>
          <w:rFonts w:ascii="Arial" w:hAnsi="Arial" w:cs="Arial"/>
          <w:i/>
          <w:iCs/>
          <w:color w:val="000000"/>
          <w:sz w:val="22"/>
          <w:lang w:val="es-ES_tradnl"/>
        </w:rPr>
        <w:t>,</w:t>
      </w:r>
      <w:r w:rsidRPr="00C92472">
        <w:rPr>
          <w:rFonts w:ascii="Arial" w:hAnsi="Arial" w:cs="Arial"/>
          <w:color w:val="000000"/>
          <w:sz w:val="22"/>
          <w:lang w:val="es-ES_tradnl"/>
        </w:rPr>
        <w:t xml:space="preserve"> que atienden a las calidades, capacidades, idoneidad y condiciones de los oferentes; </w:t>
      </w:r>
      <w:r w:rsidRPr="00C92472">
        <w:rPr>
          <w:rFonts w:ascii="Arial" w:hAnsi="Arial" w:cs="Arial"/>
          <w:i/>
          <w:iCs/>
          <w:color w:val="000000"/>
          <w:sz w:val="22"/>
          <w:lang w:val="es-ES_tradnl"/>
        </w:rPr>
        <w:t>objetivos</w:t>
      </w:r>
      <w:r w:rsidRPr="00C92472">
        <w:rPr>
          <w:rFonts w:ascii="Arial" w:hAnsi="Arial" w:cs="Arial"/>
          <w:color w:val="000000"/>
          <w:sz w:val="22"/>
          <w:lang w:val="es-ES_tradnl"/>
        </w:rPr>
        <w:t xml:space="preserve"> que se refieren a aspectos técnicos, económicos, presupuestales, etc., que permiten ponderar las ofertas en su real y efectiva dimensión, y </w:t>
      </w:r>
      <w:r w:rsidRPr="00C92472">
        <w:rPr>
          <w:rFonts w:ascii="Arial" w:hAnsi="Arial" w:cs="Arial"/>
          <w:i/>
          <w:iCs/>
          <w:color w:val="000000"/>
          <w:sz w:val="22"/>
          <w:lang w:val="es-ES_tradnl"/>
        </w:rPr>
        <w:t>formales</w:t>
      </w:r>
      <w:r w:rsidRPr="00C92472">
        <w:rPr>
          <w:rFonts w:ascii="Arial" w:hAnsi="Arial" w:cs="Arial"/>
          <w:color w:val="000000"/>
          <w:sz w:val="22"/>
          <w:lang w:val="es-ES_tradnl"/>
        </w:rPr>
        <w:t xml:space="preserve"> que atienden a la instrumentalización y protocolización de los actos jurídicos, tanto de la propuesta como del contrato estatal</w:t>
      </w:r>
      <w:r>
        <w:rPr>
          <w:rFonts w:ascii="Arial" w:hAnsi="Arial" w:cs="Arial"/>
          <w:color w:val="000000"/>
          <w:sz w:val="22"/>
          <w:lang w:val="es-ES_tradnl"/>
        </w:rPr>
        <w:t xml:space="preserve">. En este último sentido la Carta de Presentación de la Oferta, es una formalidad, que como se ha dejado claro, </w:t>
      </w:r>
      <w:r w:rsidRPr="00604CAE">
        <w:rPr>
          <w:rFonts w:ascii="Arial" w:hAnsi="Arial" w:cs="Arial"/>
          <w:color w:val="000000"/>
          <w:sz w:val="22"/>
          <w:lang w:val="es-ES_tradnl"/>
        </w:rPr>
        <w:t>introduce al destinatario, en este caso, a la entidad</w:t>
      </w:r>
      <w:r w:rsidR="00D960B1">
        <w:rPr>
          <w:rFonts w:ascii="Arial" w:hAnsi="Arial" w:cs="Arial"/>
          <w:color w:val="000000"/>
          <w:sz w:val="22"/>
          <w:lang w:val="es-ES_tradnl"/>
        </w:rPr>
        <w:t xml:space="preserve"> </w:t>
      </w:r>
      <w:r>
        <w:rPr>
          <w:rFonts w:ascii="Arial" w:hAnsi="Arial" w:cs="Arial"/>
          <w:color w:val="000000"/>
          <w:sz w:val="22"/>
          <w:lang w:val="es-ES_tradnl"/>
        </w:rPr>
        <w:t>estatal</w:t>
      </w:r>
      <w:r w:rsidRPr="00604CAE">
        <w:rPr>
          <w:rFonts w:ascii="Arial" w:hAnsi="Arial" w:cs="Arial"/>
          <w:color w:val="000000"/>
          <w:sz w:val="22"/>
          <w:lang w:val="es-ES_tradnl"/>
        </w:rPr>
        <w:t>, la</w:t>
      </w:r>
      <w:r w:rsidR="00D960B1">
        <w:rPr>
          <w:rFonts w:ascii="Arial" w:hAnsi="Arial" w:cs="Arial"/>
          <w:color w:val="000000"/>
          <w:sz w:val="22"/>
          <w:lang w:val="es-ES_tradnl"/>
        </w:rPr>
        <w:t xml:space="preserve"> </w:t>
      </w:r>
      <w:r w:rsidRPr="00604CAE">
        <w:rPr>
          <w:rFonts w:ascii="Arial" w:hAnsi="Arial" w:cs="Arial"/>
          <w:color w:val="000000"/>
          <w:sz w:val="22"/>
          <w:lang w:val="es-ES_tradnl"/>
        </w:rPr>
        <w:t>totalidad</w:t>
      </w:r>
      <w:r w:rsidR="00D960B1">
        <w:rPr>
          <w:rFonts w:ascii="Arial" w:hAnsi="Arial" w:cs="Arial"/>
          <w:color w:val="000000"/>
          <w:sz w:val="22"/>
          <w:lang w:val="es-ES_tradnl"/>
        </w:rPr>
        <w:t xml:space="preserve"> </w:t>
      </w:r>
      <w:r w:rsidRPr="00604CAE">
        <w:rPr>
          <w:rFonts w:ascii="Arial" w:hAnsi="Arial" w:cs="Arial"/>
          <w:color w:val="000000"/>
          <w:sz w:val="22"/>
          <w:lang w:val="es-ES_tradnl"/>
        </w:rPr>
        <w:t>de</w:t>
      </w:r>
      <w:r w:rsidR="00D960B1">
        <w:rPr>
          <w:rFonts w:ascii="Arial" w:hAnsi="Arial" w:cs="Arial"/>
          <w:color w:val="000000"/>
          <w:sz w:val="22"/>
          <w:lang w:val="es-ES_tradnl"/>
        </w:rPr>
        <w:t xml:space="preserve"> </w:t>
      </w:r>
      <w:r w:rsidRPr="00604CAE">
        <w:rPr>
          <w:rFonts w:ascii="Arial" w:hAnsi="Arial" w:cs="Arial"/>
          <w:color w:val="000000"/>
          <w:sz w:val="22"/>
          <w:lang w:val="es-ES_tradnl"/>
        </w:rPr>
        <w:t>los</w:t>
      </w:r>
      <w:r w:rsidR="00D960B1">
        <w:rPr>
          <w:rFonts w:ascii="Arial" w:hAnsi="Arial" w:cs="Arial"/>
          <w:color w:val="000000"/>
          <w:sz w:val="22"/>
          <w:lang w:val="es-ES_tradnl"/>
        </w:rPr>
        <w:t xml:space="preserve"> </w:t>
      </w:r>
      <w:r w:rsidRPr="00604CAE">
        <w:rPr>
          <w:rFonts w:ascii="Arial" w:hAnsi="Arial" w:cs="Arial"/>
          <w:color w:val="000000"/>
          <w:sz w:val="22"/>
          <w:lang w:val="es-ES_tradnl"/>
        </w:rPr>
        <w:t>elementos</w:t>
      </w:r>
      <w:r w:rsidR="00D960B1">
        <w:rPr>
          <w:rFonts w:ascii="Arial" w:hAnsi="Arial" w:cs="Arial"/>
          <w:color w:val="000000"/>
          <w:sz w:val="22"/>
          <w:lang w:val="es-ES_tradnl"/>
        </w:rPr>
        <w:t xml:space="preserve"> </w:t>
      </w:r>
      <w:r w:rsidRPr="00604CAE">
        <w:rPr>
          <w:rFonts w:ascii="Arial" w:hAnsi="Arial" w:cs="Arial"/>
          <w:color w:val="000000"/>
          <w:sz w:val="22"/>
          <w:lang w:val="es-ES_tradnl"/>
        </w:rPr>
        <w:t>que</w:t>
      </w:r>
      <w:r w:rsidR="00D960B1">
        <w:rPr>
          <w:rFonts w:ascii="Arial" w:hAnsi="Arial" w:cs="Arial"/>
          <w:color w:val="000000"/>
          <w:sz w:val="22"/>
          <w:lang w:val="es-ES_tradnl"/>
        </w:rPr>
        <w:t xml:space="preserve"> </w:t>
      </w:r>
      <w:r w:rsidRPr="00604CAE">
        <w:rPr>
          <w:rFonts w:ascii="Arial" w:hAnsi="Arial" w:cs="Arial"/>
          <w:color w:val="000000"/>
          <w:sz w:val="22"/>
          <w:lang w:val="es-ES_tradnl"/>
        </w:rPr>
        <w:t>conforman la oferta</w:t>
      </w:r>
      <w:r>
        <w:rPr>
          <w:rFonts w:ascii="Arial" w:hAnsi="Arial" w:cs="Arial"/>
          <w:color w:val="000000"/>
          <w:sz w:val="22"/>
          <w:lang w:val="es-ES_tradnl"/>
        </w:rPr>
        <w:t>.</w:t>
      </w:r>
      <w:r w:rsidR="00D960B1">
        <w:rPr>
          <w:rFonts w:ascii="Arial" w:hAnsi="Arial" w:cs="Arial"/>
          <w:color w:val="000000"/>
          <w:sz w:val="22"/>
          <w:lang w:val="es-ES_tradnl"/>
        </w:rPr>
        <w:t xml:space="preserve"> </w:t>
      </w:r>
      <w:r>
        <w:rPr>
          <w:rFonts w:ascii="Arial" w:hAnsi="Arial" w:cs="Arial"/>
          <w:color w:val="000000"/>
          <w:sz w:val="22"/>
          <w:lang w:val="es-ES_tradnl"/>
        </w:rPr>
        <w:t>L</w:t>
      </w:r>
      <w:r w:rsidRPr="00C92472">
        <w:rPr>
          <w:rFonts w:ascii="Arial" w:hAnsi="Arial" w:cs="Arial"/>
          <w:color w:val="000000"/>
          <w:sz w:val="22"/>
          <w:lang w:val="es-ES_tradnl"/>
        </w:rPr>
        <w:t>os requisitos simplemente formales</w:t>
      </w:r>
      <w:r w:rsidR="00D960B1">
        <w:rPr>
          <w:rFonts w:ascii="Arial" w:hAnsi="Arial" w:cs="Arial"/>
          <w:color w:val="000000"/>
          <w:sz w:val="22"/>
          <w:lang w:val="es-ES_tradnl"/>
        </w:rPr>
        <w:t xml:space="preserve"> </w:t>
      </w:r>
      <w:r w:rsidRPr="00C92472">
        <w:rPr>
          <w:rFonts w:ascii="Arial" w:hAnsi="Arial" w:cs="Arial"/>
          <w:color w:val="000000"/>
          <w:sz w:val="22"/>
          <w:lang w:val="es-ES_tradnl"/>
        </w:rPr>
        <w:t xml:space="preserve">pueden ser subsanados </w:t>
      </w:r>
      <w:r>
        <w:rPr>
          <w:rFonts w:ascii="Arial" w:hAnsi="Arial" w:cs="Arial"/>
          <w:color w:val="000000"/>
          <w:sz w:val="22"/>
          <w:lang w:val="es-ES_tradnl"/>
        </w:rPr>
        <w:t xml:space="preserve">de acuerdo con la regla de </w:t>
      </w:r>
      <w:proofErr w:type="spellStart"/>
      <w:r>
        <w:rPr>
          <w:rFonts w:ascii="Arial" w:hAnsi="Arial" w:cs="Arial"/>
          <w:color w:val="000000"/>
          <w:sz w:val="22"/>
          <w:lang w:val="es-ES_tradnl"/>
        </w:rPr>
        <w:t>subsanabilidad</w:t>
      </w:r>
      <w:proofErr w:type="spellEnd"/>
      <w:r>
        <w:rPr>
          <w:rFonts w:ascii="Arial" w:hAnsi="Arial" w:cs="Arial"/>
          <w:color w:val="000000"/>
          <w:sz w:val="22"/>
          <w:lang w:val="es-ES_tradnl"/>
        </w:rPr>
        <w:t xml:space="preserve"> que se analiza en el siguiente acápite.</w:t>
      </w:r>
    </w:p>
    <w:p w14:paraId="2268A87D" w14:textId="77777777" w:rsidR="00985F4D" w:rsidRDefault="00985F4D" w:rsidP="00E36193">
      <w:pPr>
        <w:spacing w:line="276" w:lineRule="auto"/>
        <w:jc w:val="both"/>
        <w:rPr>
          <w:rFonts w:ascii="Arial" w:eastAsia="Times New Roman" w:hAnsi="Arial" w:cs="Arial"/>
          <w:sz w:val="22"/>
          <w:shd w:val="clear" w:color="auto" w:fill="FFFFFF"/>
          <w:lang w:val="es-ES_tradnl" w:eastAsia="es-ES_tradnl"/>
        </w:rPr>
      </w:pPr>
    </w:p>
    <w:p w14:paraId="7B8CD2CE" w14:textId="3C0C90E5" w:rsidR="00617149" w:rsidRPr="00617149" w:rsidRDefault="00617149">
      <w:pPr>
        <w:spacing w:line="276" w:lineRule="auto"/>
        <w:jc w:val="both"/>
        <w:rPr>
          <w:rFonts w:ascii="Arial" w:hAnsi="Arial" w:cs="Arial"/>
          <w:b/>
          <w:bCs/>
          <w:color w:val="000000"/>
          <w:sz w:val="22"/>
          <w:lang w:val="es-ES_tradnl"/>
        </w:rPr>
      </w:pPr>
      <w:r w:rsidRPr="00617149">
        <w:rPr>
          <w:rFonts w:ascii="Arial" w:hAnsi="Arial" w:cs="Arial"/>
          <w:b/>
          <w:bCs/>
          <w:color w:val="000000"/>
          <w:sz w:val="22"/>
          <w:lang w:val="es-ES_tradnl"/>
        </w:rPr>
        <w:t>2.</w:t>
      </w:r>
      <w:r w:rsidR="00BC108D">
        <w:rPr>
          <w:rFonts w:ascii="Arial" w:hAnsi="Arial" w:cs="Arial"/>
          <w:b/>
          <w:bCs/>
          <w:color w:val="000000"/>
          <w:sz w:val="22"/>
          <w:lang w:val="es-ES_tradnl"/>
        </w:rPr>
        <w:t>4</w:t>
      </w:r>
      <w:r w:rsidRPr="00617149">
        <w:rPr>
          <w:rFonts w:ascii="Arial" w:hAnsi="Arial" w:cs="Arial"/>
          <w:b/>
          <w:bCs/>
          <w:color w:val="000000"/>
          <w:sz w:val="22"/>
          <w:lang w:val="es-ES_tradnl"/>
        </w:rPr>
        <w:t xml:space="preserve">. </w:t>
      </w:r>
      <w:bookmarkStart w:id="10" w:name="_Hlk66423375"/>
      <w:r w:rsidRPr="00617149">
        <w:rPr>
          <w:rFonts w:ascii="Arial" w:hAnsi="Arial" w:cs="Arial"/>
          <w:b/>
          <w:bCs/>
          <w:color w:val="000000"/>
          <w:sz w:val="22"/>
          <w:lang w:val="es-ES_tradnl"/>
        </w:rPr>
        <w:t xml:space="preserve">Alcance de la regla de la </w:t>
      </w:r>
      <w:proofErr w:type="spellStart"/>
      <w:r w:rsidRPr="00617149">
        <w:rPr>
          <w:rFonts w:ascii="Arial" w:hAnsi="Arial" w:cs="Arial"/>
          <w:b/>
          <w:bCs/>
          <w:color w:val="000000"/>
          <w:sz w:val="22"/>
          <w:lang w:val="es-ES_tradnl"/>
        </w:rPr>
        <w:t>subsanabilidad</w:t>
      </w:r>
      <w:proofErr w:type="spellEnd"/>
      <w:r w:rsidRPr="00617149">
        <w:rPr>
          <w:rFonts w:ascii="Arial" w:hAnsi="Arial" w:cs="Arial"/>
          <w:b/>
          <w:bCs/>
          <w:color w:val="000000"/>
          <w:sz w:val="22"/>
          <w:lang w:val="es-ES_tradnl"/>
        </w:rPr>
        <w:t xml:space="preserve"> de las ofertas en los procedimientos de selección</w:t>
      </w:r>
      <w:bookmarkEnd w:id="10"/>
      <w:r w:rsidRPr="00617149">
        <w:rPr>
          <w:rFonts w:ascii="Arial" w:hAnsi="Arial" w:cs="Arial"/>
          <w:b/>
          <w:bCs/>
          <w:color w:val="000000"/>
          <w:sz w:val="22"/>
          <w:lang w:val="es-ES_tradnl"/>
        </w:rPr>
        <w:t xml:space="preserve"> </w:t>
      </w:r>
    </w:p>
    <w:p w14:paraId="6480152E" w14:textId="77777777" w:rsidR="00617149" w:rsidRPr="00617149" w:rsidRDefault="00617149">
      <w:pPr>
        <w:spacing w:line="276" w:lineRule="auto"/>
        <w:jc w:val="both"/>
        <w:rPr>
          <w:rFonts w:ascii="Arial" w:hAnsi="Arial" w:cs="Arial"/>
          <w:color w:val="000000"/>
          <w:sz w:val="22"/>
          <w:lang w:val="es-ES_tradnl"/>
        </w:rPr>
      </w:pPr>
    </w:p>
    <w:p w14:paraId="06594A72" w14:textId="491F7DF4" w:rsidR="00617149" w:rsidRPr="00617149" w:rsidRDefault="00825211" w:rsidP="00E36193">
      <w:pPr>
        <w:spacing w:after="120" w:line="276" w:lineRule="auto"/>
        <w:jc w:val="both"/>
        <w:rPr>
          <w:rFonts w:ascii="Arial" w:hAnsi="Arial" w:cs="Arial"/>
          <w:color w:val="000000"/>
          <w:sz w:val="22"/>
          <w:lang w:val="es-ES_tradnl"/>
        </w:rPr>
      </w:pPr>
      <w:r>
        <w:rPr>
          <w:rFonts w:ascii="Arial" w:hAnsi="Arial" w:cs="Arial"/>
          <w:color w:val="000000"/>
          <w:sz w:val="22"/>
          <w:lang w:val="es-ES_tradnl"/>
        </w:rPr>
        <w:t>L</w:t>
      </w:r>
      <w:r w:rsidR="00617149" w:rsidRPr="00617149">
        <w:rPr>
          <w:rFonts w:ascii="Arial" w:hAnsi="Arial" w:cs="Arial"/>
          <w:color w:val="000000"/>
          <w:sz w:val="22"/>
          <w:lang w:val="es-ES_tradnl"/>
        </w:rPr>
        <w:t xml:space="preserve">a posibilidad de enmendar, corregir o subsanar los errores en los que se incurre en los documentos contentivos de la oferta es un tema que ha tenido diferentes momentos o etapas en el ordenamiento jurídico colombiano. En un </w:t>
      </w:r>
      <w:r w:rsidR="00617149" w:rsidRPr="00617149">
        <w:rPr>
          <w:rFonts w:ascii="Arial" w:hAnsi="Arial" w:cs="Arial"/>
          <w:i/>
          <w:color w:val="000000"/>
          <w:sz w:val="22"/>
          <w:lang w:val="es-ES_tradnl"/>
        </w:rPr>
        <w:t>primer momento</w:t>
      </w:r>
      <w:r w:rsidR="00617149" w:rsidRPr="00617149">
        <w:rPr>
          <w:rFonts w:ascii="Arial" w:hAnsi="Arial" w:cs="Arial"/>
          <w:color w:val="000000"/>
          <w:sz w:val="22"/>
          <w:lang w:val="es-ES_tradnl"/>
        </w:rPr>
        <w:t xml:space="preserve">, antes de la </w:t>
      </w:r>
      <w:proofErr w:type="gramStart"/>
      <w:r w:rsidR="00617149" w:rsidRPr="00617149">
        <w:rPr>
          <w:rFonts w:ascii="Arial" w:hAnsi="Arial" w:cs="Arial"/>
          <w:color w:val="000000"/>
          <w:sz w:val="22"/>
          <w:lang w:val="es-ES_tradnl"/>
        </w:rPr>
        <w:t>entrada en vigencia</w:t>
      </w:r>
      <w:proofErr w:type="gramEnd"/>
      <w:r w:rsidR="00617149" w:rsidRPr="00617149">
        <w:rPr>
          <w:rFonts w:ascii="Arial" w:hAnsi="Arial" w:cs="Arial"/>
          <w:color w:val="000000"/>
          <w:sz w:val="22"/>
          <w:lang w:val="es-ES_tradnl"/>
        </w:rPr>
        <w:t xml:space="preserve"> de la Constitución Política de 1991, el régimen jurídico de la </w:t>
      </w:r>
      <w:proofErr w:type="spellStart"/>
      <w:r w:rsidR="00617149" w:rsidRPr="00617149">
        <w:rPr>
          <w:rFonts w:ascii="Arial" w:hAnsi="Arial" w:cs="Arial"/>
          <w:color w:val="000000"/>
          <w:sz w:val="22"/>
          <w:lang w:val="es-ES_tradnl"/>
        </w:rPr>
        <w:t>subsanabilidad</w:t>
      </w:r>
      <w:proofErr w:type="spellEnd"/>
      <w:r w:rsidR="00617149" w:rsidRPr="00617149">
        <w:rPr>
          <w:rFonts w:ascii="Arial" w:hAnsi="Arial" w:cs="Arial"/>
          <w:color w:val="000000"/>
          <w:sz w:val="22"/>
          <w:lang w:val="es-ES_tradnl"/>
        </w:rPr>
        <w:t xml:space="preserve"> de las ofertas estaba compuesto por el Decreto-ley 150 de 1976 y el Decreto-ley 222 de 1983. Bajo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2A89A6D8" w14:textId="77777777" w:rsidR="00617149" w:rsidRPr="00617149" w:rsidRDefault="00617149" w:rsidP="00617149">
      <w:pPr>
        <w:spacing w:before="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En un </w:t>
      </w:r>
      <w:r w:rsidRPr="00617149">
        <w:rPr>
          <w:rFonts w:ascii="Arial" w:hAnsi="Arial" w:cs="Arial"/>
          <w:i/>
          <w:color w:val="000000"/>
          <w:sz w:val="22"/>
          <w:lang w:val="es-ES_tradnl"/>
        </w:rPr>
        <w:t>segundo momento</w:t>
      </w:r>
      <w:r w:rsidRPr="00617149">
        <w:rPr>
          <w:rFonts w:ascii="Arial" w:hAnsi="Arial" w:cs="Arial"/>
          <w:color w:val="000000"/>
          <w:sz w:val="22"/>
          <w:lang w:val="es-ES_tradnl"/>
        </w:rPr>
        <w:t xml:space="preserve"> se expidió la Ley 80 de 1993, bajo el paradigma que supuso la Constitución de 1991, particularmente en la manera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7DD2857B" w14:textId="77777777" w:rsidR="00617149" w:rsidRPr="00617149" w:rsidRDefault="00617149" w:rsidP="00617149">
      <w:pPr>
        <w:spacing w:line="276" w:lineRule="auto"/>
        <w:jc w:val="both"/>
        <w:rPr>
          <w:rFonts w:ascii="Arial" w:hAnsi="Arial" w:cs="Arial"/>
          <w:color w:val="000000"/>
          <w:sz w:val="22"/>
          <w:lang w:val="es-ES_tradnl"/>
        </w:rPr>
      </w:pPr>
    </w:p>
    <w:p w14:paraId="1057B7CC" w14:textId="77777777" w:rsidR="00617149" w:rsidRPr="00617149" w:rsidRDefault="00617149" w:rsidP="00617149">
      <w:pPr>
        <w:spacing w:after="120"/>
        <w:ind w:left="709" w:right="709"/>
        <w:jc w:val="both"/>
        <w:rPr>
          <w:rFonts w:ascii="Arial" w:hAnsi="Arial" w:cs="Arial"/>
          <w:color w:val="000000"/>
          <w:sz w:val="21"/>
          <w:szCs w:val="21"/>
          <w:lang w:val="es-ES_tradnl"/>
        </w:rPr>
      </w:pPr>
      <w:r w:rsidRPr="00617149">
        <w:rPr>
          <w:rFonts w:ascii="Arial" w:hAnsi="Arial" w:cs="Arial"/>
          <w:color w:val="000000"/>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032C72F" w14:textId="77777777" w:rsidR="00617149" w:rsidRPr="00617149" w:rsidRDefault="00617149" w:rsidP="00617149">
      <w:pPr>
        <w:ind w:left="709" w:right="709"/>
        <w:jc w:val="both"/>
        <w:rPr>
          <w:rFonts w:ascii="Arial" w:hAnsi="Arial" w:cs="Arial"/>
          <w:color w:val="000000"/>
          <w:sz w:val="21"/>
          <w:szCs w:val="21"/>
          <w:lang w:val="es-ES_tradnl"/>
        </w:rPr>
      </w:pPr>
      <w:r w:rsidRPr="00617149">
        <w:rPr>
          <w:rFonts w:ascii="Arial" w:hAnsi="Arial" w:cs="Arial"/>
          <w:color w:val="000000"/>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071000CA" w14:textId="77777777" w:rsidR="00617149" w:rsidRPr="00617149" w:rsidRDefault="00617149" w:rsidP="00617149">
      <w:pPr>
        <w:spacing w:line="276" w:lineRule="auto"/>
        <w:jc w:val="both"/>
        <w:rPr>
          <w:rFonts w:ascii="Arial" w:hAnsi="Arial" w:cs="Arial"/>
          <w:b/>
          <w:color w:val="000000"/>
          <w:sz w:val="22"/>
          <w:lang w:val="es-ES_tradnl"/>
        </w:rPr>
      </w:pPr>
    </w:p>
    <w:p w14:paraId="0BFAE707" w14:textId="77777777" w:rsidR="00617149" w:rsidRPr="00617149" w:rsidRDefault="00617149" w:rsidP="00617149">
      <w:pPr>
        <w:spacing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El régimen jurídico de </w:t>
      </w:r>
      <w:proofErr w:type="spellStart"/>
      <w:r w:rsidRPr="00617149">
        <w:rPr>
          <w:rFonts w:ascii="Arial" w:hAnsi="Arial" w:cs="Arial"/>
          <w:color w:val="000000"/>
          <w:sz w:val="22"/>
          <w:lang w:val="es-ES_tradnl"/>
        </w:rPr>
        <w:t>subsanabilidad</w:t>
      </w:r>
      <w:proofErr w:type="spellEnd"/>
      <w:r w:rsidRPr="00617149">
        <w:rPr>
          <w:rFonts w:ascii="Arial" w:hAnsi="Arial" w:cs="Arial"/>
          <w:color w:val="000000"/>
          <w:sz w:val="22"/>
          <w:lang w:val="es-ES_tradnl"/>
        </w:rPr>
        <w:t xml:space="preserve"> de las ofertas sufre un cambio fundamental bajo esta norma, pues ya no era posible rechazar las ofertas por falta de requisitos o documentos que no fueran «</w:t>
      </w:r>
      <w:r w:rsidRPr="00617149">
        <w:rPr>
          <w:rFonts w:ascii="Arial" w:hAnsi="Arial" w:cs="Arial"/>
          <w:iCs/>
          <w:color w:val="000000"/>
          <w:sz w:val="22"/>
          <w:lang w:val="es-ES_tradnl"/>
        </w:rPr>
        <w:t>necesarios para la comparación de propuestas</w:t>
      </w:r>
      <w:r w:rsidRPr="00617149">
        <w:rPr>
          <w:rFonts w:ascii="Arial" w:hAnsi="Arial" w:cs="Arial"/>
          <w:color w:val="000000"/>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337DC060" w14:textId="582FCE89"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Esta norma debía leerse en conjunto con otras de la Ley 80 de 1993, particularmente con el artículo 30.7, que ordena a la entidad señalar un plazo razonable para evaluar las propuestas y pedir a los proponentes, de ser necesario, que aclaren o expliquen aspectos que ofrezcan dudas y resulten indispensables para hacer la evaluación</w:t>
      </w:r>
      <w:r w:rsidRPr="00617149">
        <w:rPr>
          <w:rFonts w:ascii="Arial" w:hAnsi="Arial" w:cs="Arial"/>
          <w:color w:val="000000"/>
          <w:sz w:val="22"/>
          <w:vertAlign w:val="superscript"/>
          <w:lang w:val="es-ES_tradnl"/>
        </w:rPr>
        <w:footnoteReference w:id="8"/>
      </w:r>
      <w:r w:rsidRPr="00617149">
        <w:rPr>
          <w:rFonts w:ascii="Arial" w:hAnsi="Arial" w:cs="Arial"/>
          <w:color w:val="000000"/>
          <w:sz w:val="22"/>
          <w:lang w:val="es-ES_tradnl"/>
        </w:rPr>
        <w:t>. En igual sentido, el artículo 30.8, consagró el término de 5 días hábiles para que los oferentes presenten observaciones al informe de evaluación de las propuestas, sin que sea posible completar, adicionar, modificar o mejorar la oferta</w:t>
      </w:r>
      <w:r w:rsidRPr="00617149">
        <w:rPr>
          <w:rFonts w:ascii="Arial" w:hAnsi="Arial" w:cs="Arial"/>
          <w:color w:val="000000"/>
          <w:sz w:val="22"/>
          <w:vertAlign w:val="superscript"/>
          <w:lang w:val="es-ES_tradnl"/>
        </w:rPr>
        <w:footnoteReference w:id="9"/>
      </w:r>
      <w:r w:rsidRPr="00617149">
        <w:rPr>
          <w:rFonts w:ascii="Arial" w:hAnsi="Arial" w:cs="Arial"/>
          <w:color w:val="000000"/>
          <w:sz w:val="22"/>
          <w:lang w:val="es-ES_tradnl"/>
        </w:rPr>
        <w:t>.</w:t>
      </w:r>
      <w:r w:rsidR="00D960B1">
        <w:rPr>
          <w:rFonts w:ascii="Arial" w:hAnsi="Arial" w:cs="Arial"/>
          <w:color w:val="000000"/>
          <w:sz w:val="22"/>
          <w:lang w:val="es-ES_tradnl"/>
        </w:rPr>
        <w:t xml:space="preserve"> </w:t>
      </w:r>
    </w:p>
    <w:p w14:paraId="7A49EBA1"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A partir de la lectura integrada de estas tres normas debía concluirse que con la Ley 80 de 1993 era posible subsanar las propuestas, y la omisión o el error en algún aspecto de </w:t>
      </w:r>
      <w:proofErr w:type="gramStart"/>
      <w:r w:rsidRPr="00617149">
        <w:rPr>
          <w:rFonts w:ascii="Arial" w:hAnsi="Arial" w:cs="Arial"/>
          <w:color w:val="000000"/>
          <w:sz w:val="22"/>
          <w:lang w:val="es-ES_tradnl"/>
        </w:rPr>
        <w:t>la misma</w:t>
      </w:r>
      <w:proofErr w:type="gramEnd"/>
      <w:r w:rsidRPr="00617149">
        <w:rPr>
          <w:rFonts w:ascii="Arial" w:hAnsi="Arial" w:cs="Arial"/>
          <w:color w:val="000000"/>
          <w:sz w:val="22"/>
          <w:lang w:val="es-ES_tradnl"/>
        </w:rPr>
        <w:t xml:space="preserve"> no podía llevar a su rechazo, sin antes verificar que lo omitido fuera un aspecto necesario para la comparación. </w:t>
      </w:r>
    </w:p>
    <w:p w14:paraId="00E167A5" w14:textId="77777777" w:rsidR="00617149" w:rsidRPr="00617149" w:rsidRDefault="00617149" w:rsidP="00617149">
      <w:pPr>
        <w:spacing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En un </w:t>
      </w:r>
      <w:r w:rsidRPr="00617149">
        <w:rPr>
          <w:rFonts w:ascii="Arial" w:hAnsi="Arial" w:cs="Arial"/>
          <w:i/>
          <w:color w:val="000000"/>
          <w:sz w:val="22"/>
          <w:lang w:val="es-ES_tradnl"/>
        </w:rPr>
        <w:t>tercer momento</w:t>
      </w:r>
      <w:r w:rsidRPr="00617149">
        <w:rPr>
          <w:rFonts w:ascii="Arial" w:hAnsi="Arial" w:cs="Arial"/>
          <w:color w:val="000000"/>
          <w:sz w:val="22"/>
          <w:lang w:val="es-ES_tradnl"/>
        </w:rPr>
        <w:t xml:space="preserve">, siguiendo la línea trazada por la Ley 80 de 1993, el legislador expidió la Ley 1150 de 2007, que, en el parágrafo 1º del artículo 5, prescribió lo siguiente: </w:t>
      </w:r>
    </w:p>
    <w:p w14:paraId="6251C4A2" w14:textId="77777777" w:rsidR="00617149" w:rsidRPr="00617149" w:rsidRDefault="00617149" w:rsidP="00617149">
      <w:pPr>
        <w:spacing w:line="276" w:lineRule="auto"/>
        <w:jc w:val="both"/>
        <w:rPr>
          <w:rFonts w:ascii="Arial" w:hAnsi="Arial" w:cs="Arial"/>
          <w:color w:val="000000"/>
          <w:sz w:val="22"/>
          <w:lang w:val="es-ES_tradnl"/>
        </w:rPr>
      </w:pPr>
    </w:p>
    <w:p w14:paraId="75F174AF" w14:textId="77777777" w:rsidR="00617149" w:rsidRPr="00617149" w:rsidRDefault="00617149" w:rsidP="00617149">
      <w:pPr>
        <w:ind w:left="709" w:right="709"/>
        <w:jc w:val="both"/>
        <w:rPr>
          <w:rFonts w:ascii="Arial" w:hAnsi="Arial" w:cs="Arial"/>
          <w:color w:val="000000"/>
          <w:sz w:val="21"/>
          <w:szCs w:val="21"/>
          <w:lang w:val="es-ES_tradnl"/>
        </w:rPr>
      </w:pPr>
      <w:r w:rsidRPr="00617149">
        <w:rPr>
          <w:rFonts w:ascii="Arial" w:hAnsi="Arial" w:cs="Arial"/>
          <w:color w:val="000000"/>
          <w:sz w:val="21"/>
          <w:szCs w:val="21"/>
          <w:lang w:val="es-ES_tradnl"/>
        </w:rPr>
        <w:lastRenderedPageBreak/>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617149">
        <w:rPr>
          <w:rFonts w:ascii="Arial" w:hAnsi="Arial" w:cs="Arial"/>
          <w:b/>
          <w:color w:val="000000"/>
          <w:sz w:val="21"/>
          <w:szCs w:val="21"/>
          <w:lang w:val="es-ES_tradnl"/>
        </w:rPr>
        <w:t xml:space="preserve">, </w:t>
      </w:r>
      <w:r w:rsidRPr="00617149">
        <w:rPr>
          <w:rFonts w:ascii="Arial" w:hAnsi="Arial" w:cs="Arial"/>
          <w:color w:val="000000"/>
          <w:sz w:val="21"/>
          <w:szCs w:val="21"/>
          <w:lang w:val="es-ES_tradnl"/>
        </w:rPr>
        <w:t xml:space="preserve">todos aquellos requisitos de la propuesta que no afecten la asignación de </w:t>
      </w:r>
      <w:proofErr w:type="gramStart"/>
      <w:r w:rsidRPr="00617149">
        <w:rPr>
          <w:rFonts w:ascii="Arial" w:hAnsi="Arial" w:cs="Arial"/>
          <w:color w:val="000000"/>
          <w:sz w:val="21"/>
          <w:szCs w:val="21"/>
          <w:lang w:val="es-ES_tradnl"/>
        </w:rPr>
        <w:t>puntaje,</w:t>
      </w:r>
      <w:proofErr w:type="gramEnd"/>
      <w:r w:rsidRPr="00617149">
        <w:rPr>
          <w:rFonts w:ascii="Arial" w:hAnsi="Arial" w:cs="Arial"/>
          <w:color w:val="000000"/>
          <w:sz w:val="21"/>
          <w:szCs w:val="21"/>
          <w:lang w:val="es-ES_tradnl"/>
        </w:rPr>
        <w:t xml:space="preserve"> podrán ser solicitados por las entidades en cualquier momento, hasta la adjudicación. No </w:t>
      </w:r>
      <w:proofErr w:type="gramStart"/>
      <w:r w:rsidRPr="00617149">
        <w:rPr>
          <w:rFonts w:ascii="Arial" w:hAnsi="Arial" w:cs="Arial"/>
          <w:color w:val="000000"/>
          <w:sz w:val="21"/>
          <w:szCs w:val="21"/>
          <w:lang w:val="es-ES_tradnl"/>
        </w:rPr>
        <w:t>obstante</w:t>
      </w:r>
      <w:proofErr w:type="gramEnd"/>
      <w:r w:rsidRPr="00617149">
        <w:rPr>
          <w:rFonts w:ascii="Arial" w:hAnsi="Arial" w:cs="Arial"/>
          <w:color w:val="000000"/>
          <w:sz w:val="21"/>
          <w:szCs w:val="21"/>
          <w:lang w:val="es-ES_tradnl"/>
        </w:rPr>
        <w:t xml:space="preserve"> lo anterior, en aquellos procesos de selección en los que se utilice el mecanismo de subasta, deberán ser solicitados hasta el momento previo a su realización. </w:t>
      </w:r>
    </w:p>
    <w:p w14:paraId="4B165037" w14:textId="77777777" w:rsidR="00617149" w:rsidRPr="00617149" w:rsidRDefault="00617149" w:rsidP="00617149">
      <w:pPr>
        <w:spacing w:line="276" w:lineRule="auto"/>
        <w:jc w:val="both"/>
        <w:rPr>
          <w:rFonts w:ascii="Arial" w:hAnsi="Arial" w:cs="Arial"/>
          <w:b/>
          <w:color w:val="000000"/>
          <w:sz w:val="22"/>
          <w:lang w:val="es-ES_tradnl"/>
        </w:rPr>
      </w:pPr>
    </w:p>
    <w:p w14:paraId="32102486" w14:textId="77777777" w:rsidR="00617149" w:rsidRPr="00617149" w:rsidRDefault="00617149" w:rsidP="00617149">
      <w:pPr>
        <w:spacing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3055FAA7" w14:textId="3D132FE4"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w:t>
      </w:r>
      <w:r w:rsidR="00D960B1">
        <w:rPr>
          <w:rFonts w:ascii="Arial" w:hAnsi="Arial" w:cs="Arial"/>
          <w:color w:val="000000"/>
          <w:sz w:val="22"/>
          <w:lang w:val="es-ES_tradnl"/>
        </w:rPr>
        <w:t xml:space="preserve"> </w:t>
      </w:r>
    </w:p>
    <w:p w14:paraId="6D7DA791" w14:textId="77777777" w:rsidR="00617149" w:rsidRPr="00617149" w:rsidRDefault="00617149" w:rsidP="00617149">
      <w:pPr>
        <w:spacing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El artículo 5 de la Ley 1150 de 2007, además de consagrar un criterio más claro, y, de paso, reducir la discrecionalidad de la Administración, fijó un ámbito temporal para la subsanación de las ofertas: “</w:t>
      </w:r>
      <w:r w:rsidRPr="00617149">
        <w:rPr>
          <w:rFonts w:ascii="Arial" w:hAnsi="Arial" w:cs="Arial"/>
          <w:i/>
          <w:color w:val="000000"/>
          <w:sz w:val="22"/>
          <w:lang w:val="es-ES_tradnl"/>
        </w:rPr>
        <w:t>en cualquier momento, hasta la adjudicación</w:t>
      </w:r>
      <w:r w:rsidRPr="00617149">
        <w:rPr>
          <w:rFonts w:ascii="Arial" w:hAnsi="Arial" w:cs="Arial"/>
          <w:color w:val="000000"/>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89249C9" w14:textId="77777777" w:rsidR="00617149" w:rsidRPr="00617149" w:rsidRDefault="00617149" w:rsidP="00617149">
      <w:pPr>
        <w:spacing w:line="276" w:lineRule="auto"/>
        <w:jc w:val="both"/>
        <w:rPr>
          <w:rFonts w:ascii="Arial" w:hAnsi="Arial" w:cs="Arial"/>
          <w:color w:val="000000"/>
          <w:sz w:val="22"/>
          <w:lang w:val="es-ES_tradnl"/>
        </w:rPr>
      </w:pPr>
    </w:p>
    <w:p w14:paraId="6F254AE8" w14:textId="77777777" w:rsidR="00617149" w:rsidRPr="00617149" w:rsidRDefault="00617149" w:rsidP="00617149">
      <w:pPr>
        <w:ind w:left="709" w:right="709"/>
        <w:jc w:val="both"/>
        <w:rPr>
          <w:rFonts w:ascii="Arial" w:hAnsi="Arial" w:cs="Arial"/>
          <w:color w:val="000000"/>
          <w:sz w:val="21"/>
          <w:szCs w:val="21"/>
          <w:lang w:val="es-ES_tradnl"/>
        </w:rPr>
      </w:pPr>
      <w:r w:rsidRPr="00617149">
        <w:rPr>
          <w:rFonts w:ascii="Arial" w:hAnsi="Arial" w:cs="Arial"/>
          <w:color w:val="000000"/>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617149">
        <w:rPr>
          <w:rFonts w:ascii="Arial" w:hAnsi="Arial" w:cs="Arial"/>
          <w:color w:val="000000"/>
          <w:sz w:val="21"/>
          <w:szCs w:val="21"/>
          <w:vertAlign w:val="superscript"/>
          <w:lang w:val="es-ES_tradnl"/>
        </w:rPr>
        <w:footnoteReference w:id="10"/>
      </w:r>
      <w:r w:rsidRPr="00617149">
        <w:rPr>
          <w:rFonts w:ascii="Arial" w:hAnsi="Arial" w:cs="Arial"/>
          <w:color w:val="000000"/>
          <w:sz w:val="21"/>
          <w:szCs w:val="21"/>
          <w:lang w:val="es-ES_tradnl"/>
        </w:rPr>
        <w:t>.</w:t>
      </w:r>
    </w:p>
    <w:p w14:paraId="04B78A8A" w14:textId="77777777" w:rsidR="00617149" w:rsidRPr="00617149" w:rsidRDefault="00617149" w:rsidP="00617149">
      <w:pPr>
        <w:spacing w:line="276" w:lineRule="auto"/>
        <w:jc w:val="both"/>
        <w:rPr>
          <w:rFonts w:ascii="Arial" w:hAnsi="Arial" w:cs="Arial"/>
          <w:b/>
          <w:color w:val="000000"/>
          <w:sz w:val="22"/>
          <w:lang w:val="es-ES_tradnl"/>
        </w:rPr>
      </w:pPr>
    </w:p>
    <w:p w14:paraId="104A851C" w14:textId="77777777" w:rsidR="00617149" w:rsidRPr="00617149" w:rsidRDefault="00617149" w:rsidP="00617149">
      <w:pPr>
        <w:widowControl w:val="0"/>
        <w:tabs>
          <w:tab w:val="left" w:pos="284"/>
        </w:tabs>
        <w:autoSpaceDE w:val="0"/>
        <w:autoSpaceDN w:val="0"/>
        <w:spacing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Esa interpretación fue compartida por la </w:t>
      </w:r>
      <w:r w:rsidRPr="00617149">
        <w:rPr>
          <w:rFonts w:ascii="Arial" w:eastAsia="Arial" w:hAnsi="Arial" w:cs="Arial"/>
          <w:color w:val="000000"/>
          <w:sz w:val="22"/>
          <w:lang w:val="es-ES_tradnl"/>
        </w:rPr>
        <w:t>Agencia Nacional de Contratación Pública – Colombia Compra Eficiente</w:t>
      </w:r>
      <w:r w:rsidRPr="00617149">
        <w:rPr>
          <w:rFonts w:ascii="Arial" w:hAnsi="Arial" w:cs="Arial"/>
          <w:color w:val="000000"/>
          <w:sz w:val="22"/>
          <w:lang w:val="es-ES_tradnl"/>
        </w:rPr>
        <w:t xml:space="preserve">, pues en la Circular Externa Única se precisó </w:t>
      </w:r>
      <w:proofErr w:type="gramStart"/>
      <w:r w:rsidRPr="00617149">
        <w:rPr>
          <w:rFonts w:ascii="Arial" w:hAnsi="Arial" w:cs="Arial"/>
          <w:color w:val="000000"/>
          <w:sz w:val="22"/>
          <w:lang w:val="es-ES_tradnl"/>
        </w:rPr>
        <w:t>que</w:t>
      </w:r>
      <w:proofErr w:type="gramEnd"/>
      <w:r w:rsidRPr="00617149">
        <w:rPr>
          <w:rFonts w:ascii="Arial" w:hAnsi="Arial" w:cs="Arial"/>
          <w:color w:val="000000"/>
          <w:sz w:val="22"/>
          <w:lang w:val="es-ES_tradnl"/>
        </w:rPr>
        <w:t xml:space="preserve"> si durante </w:t>
      </w:r>
      <w:r w:rsidRPr="00617149">
        <w:rPr>
          <w:rFonts w:ascii="Arial" w:hAnsi="Arial" w:cs="Arial"/>
          <w:color w:val="000000"/>
          <w:sz w:val="22"/>
          <w:lang w:val="es-ES_tradnl"/>
        </w:rPr>
        <w:lastRenderedPageBreak/>
        <w:t>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15E146C3" w14:textId="77777777" w:rsidR="00617149" w:rsidRPr="00617149" w:rsidRDefault="00617149" w:rsidP="00617149">
      <w:pPr>
        <w:widowControl w:val="0"/>
        <w:tabs>
          <w:tab w:val="left" w:pos="284"/>
        </w:tabs>
        <w:autoSpaceDE w:val="0"/>
        <w:autoSpaceDN w:val="0"/>
        <w:spacing w:before="120" w:line="276" w:lineRule="auto"/>
        <w:ind w:firstLine="709"/>
        <w:jc w:val="both"/>
        <w:rPr>
          <w:rFonts w:ascii="Arial" w:hAnsi="Arial" w:cs="Arial"/>
          <w:color w:val="000000"/>
          <w:sz w:val="22"/>
          <w:lang w:val="es-ES_tradnl"/>
        </w:rPr>
      </w:pPr>
      <w:r w:rsidRPr="00617149">
        <w:rPr>
          <w:rFonts w:ascii="Arial" w:eastAsia="Arial" w:hAnsi="Arial" w:cs="Arial"/>
          <w:color w:val="000000"/>
          <w:sz w:val="22"/>
          <w:lang w:val="es-ES_tradnl"/>
        </w:rPr>
        <w:t xml:space="preserve">En un </w:t>
      </w:r>
      <w:r w:rsidRPr="00617149">
        <w:rPr>
          <w:rFonts w:ascii="Arial" w:eastAsia="Arial" w:hAnsi="Arial" w:cs="Arial"/>
          <w:i/>
          <w:color w:val="000000"/>
          <w:sz w:val="22"/>
          <w:lang w:val="es-ES_tradnl"/>
        </w:rPr>
        <w:t>cuarto momento</w:t>
      </w:r>
      <w:r w:rsidRPr="00617149">
        <w:rPr>
          <w:rFonts w:ascii="Arial" w:eastAsia="Arial" w:hAnsi="Arial" w:cs="Arial"/>
          <w:color w:val="000000"/>
          <w:sz w:val="22"/>
          <w:lang w:val="es-ES_tradnl"/>
        </w:rPr>
        <w:t xml:space="preserve">, el legislador expidió la Ley 1882 de 2018, con la finalidad de introducir cambios y ajustes para fortalecer la contratación pública. Particularmente, el artículo 5 modificó el parágrafo 1º del artículo 5 de la Ley 1150 de 2007: </w:t>
      </w:r>
    </w:p>
    <w:p w14:paraId="7E64542B" w14:textId="77777777" w:rsidR="00617149" w:rsidRPr="00617149" w:rsidRDefault="00617149" w:rsidP="00617149">
      <w:pPr>
        <w:spacing w:line="276" w:lineRule="auto"/>
        <w:jc w:val="both"/>
        <w:rPr>
          <w:rFonts w:ascii="Arial" w:hAnsi="Arial" w:cs="Arial"/>
          <w:color w:val="000000"/>
          <w:sz w:val="22"/>
          <w:lang w:val="es-ES_tradnl"/>
        </w:rPr>
      </w:pPr>
    </w:p>
    <w:p w14:paraId="69FDF1B3" w14:textId="77777777" w:rsidR="00617149" w:rsidRPr="00617149" w:rsidRDefault="00617149" w:rsidP="00617149">
      <w:pPr>
        <w:ind w:left="709" w:right="709"/>
        <w:jc w:val="both"/>
        <w:rPr>
          <w:rFonts w:ascii="Arial" w:hAnsi="Arial" w:cs="Arial"/>
          <w:color w:val="000000"/>
          <w:sz w:val="21"/>
          <w:szCs w:val="21"/>
          <w:lang w:val="es-ES_tradnl"/>
        </w:rPr>
      </w:pPr>
      <w:r w:rsidRPr="00617149">
        <w:rPr>
          <w:rFonts w:ascii="Arial" w:hAnsi="Arial" w:cs="Arial"/>
          <w:color w:val="000000"/>
          <w:sz w:val="21"/>
          <w:szCs w:val="21"/>
          <w:lang w:val="es-ES_tradnl"/>
        </w:rPr>
        <w:t xml:space="preserve">Artículo 5°. De la selección objetiva. </w:t>
      </w:r>
    </w:p>
    <w:p w14:paraId="4E2E5870" w14:textId="77777777" w:rsidR="00617149" w:rsidRPr="00617149" w:rsidRDefault="00617149" w:rsidP="00617149">
      <w:pPr>
        <w:spacing w:after="120"/>
        <w:ind w:left="709" w:right="709"/>
        <w:jc w:val="both"/>
        <w:rPr>
          <w:rFonts w:ascii="Arial" w:hAnsi="Arial" w:cs="Arial"/>
          <w:color w:val="000000"/>
          <w:sz w:val="21"/>
          <w:szCs w:val="21"/>
          <w:lang w:val="es-ES_tradnl"/>
        </w:rPr>
      </w:pPr>
      <w:r w:rsidRPr="00617149">
        <w:rPr>
          <w:rFonts w:ascii="Arial" w:hAnsi="Arial" w:cs="Arial"/>
          <w:color w:val="000000"/>
          <w:sz w:val="21"/>
          <w:szCs w:val="21"/>
          <w:lang w:val="es-ES_tradnl"/>
        </w:rPr>
        <w:t xml:space="preserve">[...] </w:t>
      </w:r>
    </w:p>
    <w:p w14:paraId="6303968E" w14:textId="77777777" w:rsidR="00617149" w:rsidRPr="00617149" w:rsidRDefault="00617149" w:rsidP="00617149">
      <w:pPr>
        <w:ind w:left="709" w:right="709"/>
        <w:jc w:val="both"/>
        <w:rPr>
          <w:rFonts w:ascii="Arial" w:hAnsi="Arial" w:cs="Arial"/>
          <w:color w:val="000000"/>
          <w:sz w:val="21"/>
          <w:szCs w:val="21"/>
          <w:lang w:val="es-ES_tradnl"/>
        </w:rPr>
      </w:pPr>
      <w:r w:rsidRPr="00617149">
        <w:rPr>
          <w:rFonts w:ascii="Arial" w:hAnsi="Arial" w:cs="Arial"/>
          <w:color w:val="000000"/>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617149">
        <w:rPr>
          <w:rFonts w:ascii="Arial" w:hAnsi="Arial" w:cs="Arial"/>
          <w:color w:val="000000"/>
          <w:sz w:val="21"/>
          <w:szCs w:val="21"/>
          <w:lang w:val="es-ES_tradnl"/>
        </w:rPr>
        <w:t>puntaje,</w:t>
      </w:r>
      <w:proofErr w:type="gramEnd"/>
      <w:r w:rsidRPr="00617149">
        <w:rPr>
          <w:rFonts w:ascii="Arial" w:hAnsi="Arial" w:cs="Arial"/>
          <w:color w:val="000000"/>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1BB3A592" w14:textId="77777777" w:rsidR="00617149" w:rsidRPr="00617149" w:rsidRDefault="00617149" w:rsidP="00617149">
      <w:pPr>
        <w:spacing w:line="276" w:lineRule="auto"/>
        <w:jc w:val="both"/>
        <w:rPr>
          <w:rFonts w:ascii="Arial" w:hAnsi="Arial" w:cs="Arial"/>
          <w:b/>
          <w:color w:val="000000"/>
          <w:sz w:val="22"/>
          <w:lang w:val="es-ES_tradnl"/>
        </w:rPr>
      </w:pPr>
    </w:p>
    <w:p w14:paraId="55E39FAA" w14:textId="2539B9E1" w:rsidR="00617149" w:rsidRPr="00617149" w:rsidRDefault="00617149" w:rsidP="00617149">
      <w:pPr>
        <w:spacing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Esta norma: i) mantiene el criterio de la Ley 80 de 1993, relativo a que todo lo que no sea necesario para la comparación de propuestas no es título suficiente para su rechazo; </w:t>
      </w:r>
      <w:proofErr w:type="spellStart"/>
      <w:r w:rsidRPr="00617149">
        <w:rPr>
          <w:rFonts w:ascii="Arial" w:hAnsi="Arial" w:cs="Arial"/>
          <w:color w:val="000000"/>
          <w:sz w:val="22"/>
          <w:lang w:val="es-ES_tradnl"/>
        </w:rPr>
        <w:t>ii</w:t>
      </w:r>
      <w:proofErr w:type="spellEnd"/>
      <w:r w:rsidRPr="00617149">
        <w:rPr>
          <w:rFonts w:ascii="Arial" w:hAnsi="Arial" w:cs="Arial"/>
          <w:color w:val="000000"/>
          <w:sz w:val="22"/>
          <w:lang w:val="es-ES_tradnl"/>
        </w:rPr>
        <w:t xml:space="preserve">) mantiene el criterio aclaratorio de la Ley 1150 de 2007, según el cual todo lo que no afecte la asignación de puntaje puede subsanarse y </w:t>
      </w:r>
      <w:proofErr w:type="spellStart"/>
      <w:r w:rsidRPr="00617149">
        <w:rPr>
          <w:rFonts w:ascii="Arial" w:hAnsi="Arial" w:cs="Arial"/>
          <w:color w:val="000000"/>
          <w:sz w:val="22"/>
          <w:lang w:val="es-ES_tradnl"/>
        </w:rPr>
        <w:t>iii</w:t>
      </w:r>
      <w:proofErr w:type="spellEnd"/>
      <w:r w:rsidRPr="00617149">
        <w:rPr>
          <w:rFonts w:ascii="Arial" w:hAnsi="Arial" w:cs="Arial"/>
          <w:color w:val="000000"/>
          <w:sz w:val="22"/>
          <w:lang w:val="es-ES_tradnl"/>
        </w:rPr>
        <w:t>) introduce modificaciones en relación con tres aspectos que se analizarán a continuación</w:t>
      </w:r>
      <w:r w:rsidR="00825211">
        <w:rPr>
          <w:rStyle w:val="Refdenotaalpie"/>
          <w:rFonts w:ascii="Arial" w:hAnsi="Arial" w:cs="Arial"/>
          <w:color w:val="000000"/>
          <w:sz w:val="22"/>
          <w:lang w:val="es-ES_tradnl"/>
        </w:rPr>
        <w:footnoteReference w:id="11"/>
      </w:r>
      <w:r w:rsidRPr="00617149">
        <w:rPr>
          <w:rFonts w:ascii="Arial" w:hAnsi="Arial" w:cs="Arial"/>
          <w:color w:val="000000"/>
          <w:sz w:val="22"/>
          <w:lang w:val="es-ES_tradnl"/>
        </w:rPr>
        <w:t xml:space="preserve">. </w:t>
      </w:r>
    </w:p>
    <w:p w14:paraId="18711D7E" w14:textId="24211AAB"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pues en este último </w:t>
      </w:r>
      <w:r w:rsidRPr="00617149">
        <w:rPr>
          <w:rFonts w:ascii="Arial" w:hAnsi="Arial" w:cs="Arial"/>
          <w:color w:val="000000"/>
          <w:sz w:val="22"/>
          <w:lang w:val="es-ES_tradnl"/>
        </w:rPr>
        <w:lastRenderedPageBreak/>
        <w:t>los documentos o requisitos subsanables pueden y deben solicitarse hasta el momento previo a su realización</w:t>
      </w:r>
      <w:r w:rsidRPr="00617149">
        <w:rPr>
          <w:rFonts w:ascii="Arial" w:hAnsi="Arial" w:cs="Arial"/>
          <w:color w:val="000000"/>
          <w:sz w:val="22"/>
          <w:vertAlign w:val="superscript"/>
          <w:lang w:val="es-ES_tradnl"/>
        </w:rPr>
        <w:footnoteReference w:id="12"/>
      </w:r>
      <w:r w:rsidRPr="00617149">
        <w:rPr>
          <w:rFonts w:ascii="Arial" w:hAnsi="Arial" w:cs="Arial"/>
          <w:color w:val="000000"/>
          <w:sz w:val="22"/>
          <w:lang w:val="es-ES_tradnl"/>
        </w:rPr>
        <w:t>.</w:t>
      </w:r>
      <w:r w:rsidR="00D960B1">
        <w:rPr>
          <w:rFonts w:ascii="Arial" w:hAnsi="Arial" w:cs="Arial"/>
          <w:color w:val="000000"/>
          <w:sz w:val="22"/>
          <w:lang w:val="es-ES_tradnl"/>
        </w:rPr>
        <w:t xml:space="preserve"> </w:t>
      </w:r>
    </w:p>
    <w:p w14:paraId="4685315B"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ya que «</w:t>
      </w:r>
      <w:r w:rsidRPr="00617149">
        <w:rPr>
          <w:rFonts w:ascii="Arial" w:hAnsi="Arial" w:cs="Arial"/>
          <w:iCs/>
          <w:color w:val="000000"/>
          <w:sz w:val="22"/>
          <w:lang w:val="es-ES_tradnl"/>
        </w:rPr>
        <w:t>deberán ser solicitados por las entidades estatales y deberán ser entregados por los proponentes hasta el término de traslado del informe de evaluación que corresponda a cada modalidad de selección»</w:t>
      </w:r>
      <w:r w:rsidRPr="00617149">
        <w:rPr>
          <w:rFonts w:ascii="Arial" w:hAnsi="Arial" w:cs="Arial"/>
          <w:color w:val="000000"/>
          <w:sz w:val="22"/>
          <w:lang w:val="es-ES_tradnl"/>
        </w:rPr>
        <w:t xml:space="preserve">. </w:t>
      </w:r>
    </w:p>
    <w:p w14:paraId="7EC34DF1"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617149">
        <w:rPr>
          <w:rFonts w:ascii="Arial" w:hAnsi="Arial" w:cs="Arial"/>
          <w:color w:val="000000"/>
          <w:sz w:val="22"/>
          <w:lang w:val="es-ES_tradnl"/>
        </w:rPr>
        <w:t>subsanabilidad</w:t>
      </w:r>
      <w:proofErr w:type="spellEnd"/>
      <w:r w:rsidRPr="00617149">
        <w:rPr>
          <w:rFonts w:ascii="Arial" w:hAnsi="Arial" w:cs="Arial"/>
          <w:color w:val="000000"/>
          <w:sz w:val="22"/>
          <w:lang w:val="es-ES_tradnl"/>
        </w:rPr>
        <w:t xml:space="preserve"> de las ofertas. </w:t>
      </w:r>
      <w:r w:rsidRPr="00617149">
        <w:rPr>
          <w:rFonts w:ascii="Arial" w:hAnsi="Arial" w:cs="Arial"/>
          <w:i/>
          <w:iCs/>
          <w:color w:val="000000"/>
          <w:sz w:val="22"/>
          <w:lang w:val="es-ES_tradnl"/>
        </w:rPr>
        <w:t>Primera</w:t>
      </w:r>
      <w:r w:rsidRPr="00617149">
        <w:rPr>
          <w:rFonts w:ascii="Arial" w:hAnsi="Arial" w:cs="Arial"/>
          <w:color w:val="000000"/>
          <w:sz w:val="22"/>
          <w:lang w:val="es-ES_tradn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617149">
        <w:rPr>
          <w:rFonts w:ascii="Arial" w:hAnsi="Arial" w:cs="Arial"/>
          <w:i/>
          <w:iCs/>
          <w:color w:val="000000"/>
          <w:sz w:val="22"/>
          <w:lang w:val="es-ES_tradnl"/>
        </w:rPr>
        <w:t>Segunda</w:t>
      </w:r>
      <w:r w:rsidRPr="00617149">
        <w:rPr>
          <w:rFonts w:ascii="Arial" w:hAnsi="Arial" w:cs="Arial"/>
          <w:color w:val="000000"/>
          <w:sz w:val="22"/>
          <w:lang w:val="es-ES_tradnl"/>
        </w:rPr>
        <w:t xml:space="preserve">, que el término del traslado del informe de evaluación es el límite para la subsanación de ofertas, pero no el único momento para hacerlo. </w:t>
      </w:r>
    </w:p>
    <w:p w14:paraId="2592073F" w14:textId="2508C79F"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r w:rsidR="00D960B1">
        <w:rPr>
          <w:rFonts w:ascii="Arial" w:hAnsi="Arial" w:cs="Arial"/>
          <w:color w:val="000000"/>
          <w:sz w:val="22"/>
          <w:lang w:val="es-ES_tradnl"/>
        </w:rPr>
        <w:t xml:space="preserve"> </w:t>
      </w:r>
    </w:p>
    <w:p w14:paraId="6E2CB68E"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4464480B"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desde el punto de vista </w:t>
      </w:r>
      <w:r w:rsidRPr="00617149">
        <w:rPr>
          <w:rFonts w:ascii="Arial" w:hAnsi="Arial" w:cs="Arial"/>
          <w:color w:val="000000"/>
          <w:sz w:val="22"/>
          <w:lang w:val="es-ES_tradnl"/>
        </w:rPr>
        <w:lastRenderedPageBreak/>
        <w:t xml:space="preserve">formal. La posibilidad de subsanar antes del informe de evaluación ofrece mayor seguridad y certeza al proceso de selección, a la Administración y a los oferentes. </w:t>
      </w:r>
    </w:p>
    <w:p w14:paraId="562C9B8C"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Lo anterior,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085823A1"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De otro lado, el </w:t>
      </w:r>
      <w:r w:rsidRPr="00E36193">
        <w:rPr>
          <w:rFonts w:ascii="Arial" w:hAnsi="Arial" w:cs="Arial"/>
          <w:i/>
          <w:iCs/>
          <w:color w:val="000000"/>
          <w:sz w:val="22"/>
          <w:lang w:val="es-ES_tradnl"/>
        </w:rPr>
        <w:t>segundo cambio importante</w:t>
      </w:r>
      <w:r w:rsidRPr="00617149">
        <w:rPr>
          <w:rFonts w:ascii="Arial" w:hAnsi="Arial" w:cs="Arial"/>
          <w:color w:val="000000"/>
          <w:sz w:val="22"/>
          <w:lang w:val="es-ES_tradnl"/>
        </w:rPr>
        <w:t xml:space="preserve"> de la Ley 1882 de 2018 fue la inclusión de un criterio material, directamente relacionado con los aspectos subsanables, ya que «los proponentes no podrán acreditar circunstancias ocurridas con posterioridad al cierre del proceso»</w:t>
      </w:r>
      <w:r w:rsidRPr="00617149">
        <w:rPr>
          <w:rFonts w:ascii="Arial" w:hAnsi="Arial" w:cs="Arial"/>
          <w:b/>
          <w:i/>
          <w:iCs/>
          <w:color w:val="000000"/>
          <w:sz w:val="22"/>
          <w:lang w:val="es-ES_tradnl"/>
        </w:rPr>
        <w:t>.</w:t>
      </w:r>
      <w:r w:rsidRPr="00617149">
        <w:rPr>
          <w:rFonts w:ascii="Arial" w:hAnsi="Arial" w:cs="Arial"/>
          <w:b/>
          <w:color w:val="000000"/>
          <w:sz w:val="22"/>
          <w:lang w:val="es-ES_tradnl"/>
        </w:rPr>
        <w:t xml:space="preserve"> </w:t>
      </w:r>
      <w:r w:rsidRPr="00617149">
        <w:rPr>
          <w:rFonts w:ascii="Arial" w:hAnsi="Arial" w:cs="Arial"/>
          <w:color w:val="000000"/>
          <w:sz w:val="22"/>
          <w:lang w:val="es-ES_tradnl"/>
        </w:rPr>
        <w:t xml:space="preserve">Lo anterior ofrece dos aspectos que merecen clarificación: </w:t>
      </w:r>
      <w:r w:rsidRPr="00617149">
        <w:rPr>
          <w:rFonts w:ascii="Arial" w:hAnsi="Arial" w:cs="Arial"/>
          <w:i/>
          <w:iCs/>
          <w:color w:val="000000"/>
          <w:sz w:val="22"/>
          <w:lang w:val="es-ES_tradnl"/>
        </w:rPr>
        <w:t>primero</w:t>
      </w:r>
      <w:r w:rsidRPr="00617149">
        <w:rPr>
          <w:rFonts w:ascii="Arial" w:hAnsi="Arial" w:cs="Arial"/>
          <w:color w:val="000000"/>
          <w:sz w:val="22"/>
          <w:lang w:val="es-ES_tradnl"/>
        </w:rPr>
        <w:t xml:space="preserve">, qué debe entenderse por circunstancias ocurridas con posterioridad; y </w:t>
      </w:r>
      <w:r w:rsidRPr="00617149">
        <w:rPr>
          <w:rFonts w:ascii="Arial" w:hAnsi="Arial" w:cs="Arial"/>
          <w:i/>
          <w:iCs/>
          <w:color w:val="000000"/>
          <w:sz w:val="22"/>
          <w:lang w:val="es-ES_tradnl"/>
        </w:rPr>
        <w:t>segundo</w:t>
      </w:r>
      <w:r w:rsidRPr="00617149">
        <w:rPr>
          <w:rFonts w:ascii="Arial" w:hAnsi="Arial" w:cs="Arial"/>
          <w:color w:val="000000"/>
          <w:sz w:val="22"/>
          <w:lang w:val="es-ES_tradnl"/>
        </w:rPr>
        <w:t>, qué es el cierre del proceso.</w:t>
      </w:r>
    </w:p>
    <w:p w14:paraId="385B7BD4" w14:textId="77777777" w:rsidR="00617149" w:rsidRPr="00617149" w:rsidRDefault="00617149" w:rsidP="00617149">
      <w:pPr>
        <w:spacing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617149">
        <w:rPr>
          <w:rFonts w:ascii="Arial" w:hAnsi="Arial" w:cs="Arial"/>
          <w:color w:val="000000"/>
          <w:sz w:val="22"/>
          <w:vertAlign w:val="superscript"/>
          <w:lang w:val="es-ES_tradnl"/>
        </w:rPr>
        <w:footnoteReference w:id="13"/>
      </w:r>
      <w:r w:rsidRPr="00617149">
        <w:rPr>
          <w:rFonts w:ascii="Arial" w:hAnsi="Arial" w:cs="Arial"/>
          <w:color w:val="000000"/>
          <w:sz w:val="22"/>
          <w:lang w:val="es-ES_tradnl"/>
        </w:rPr>
        <w:t xml:space="preserve">, que había determinado que en ningún caso la entidad podía permitir que se acreditaran circunstancias ocurridas con posterioridad al cierre del proceso. El Consejo de Estado precisó que por cierre del proceso debe </w:t>
      </w:r>
      <w:r w:rsidRPr="00617149">
        <w:rPr>
          <w:rFonts w:ascii="Arial" w:hAnsi="Arial" w:cs="Arial"/>
          <w:color w:val="000000"/>
          <w:sz w:val="22"/>
          <w:lang w:val="es-ES_tradnl"/>
        </w:rPr>
        <w:lastRenderedPageBreak/>
        <w:t xml:space="preserve">entenderse el vencimiento del plazo para la presentación de las ofertas y que lo subsanable son las circunstancias que ocurrieron con anterioridad a esa fecha: </w:t>
      </w:r>
    </w:p>
    <w:p w14:paraId="28AA5187" w14:textId="77777777" w:rsidR="00617149" w:rsidRPr="00617149" w:rsidRDefault="00617149" w:rsidP="00617149">
      <w:pPr>
        <w:spacing w:line="276" w:lineRule="auto"/>
        <w:ind w:left="709" w:right="709"/>
        <w:jc w:val="both"/>
        <w:rPr>
          <w:rFonts w:ascii="Arial" w:hAnsi="Arial" w:cs="Arial"/>
          <w:color w:val="000000"/>
          <w:sz w:val="22"/>
          <w:lang w:val="es-ES_tradnl"/>
        </w:rPr>
      </w:pPr>
    </w:p>
    <w:p w14:paraId="290675E5" w14:textId="77777777" w:rsidR="00617149" w:rsidRPr="00617149" w:rsidRDefault="00617149" w:rsidP="00617149">
      <w:pPr>
        <w:spacing w:after="120"/>
        <w:ind w:left="709" w:right="709"/>
        <w:jc w:val="both"/>
        <w:rPr>
          <w:rFonts w:ascii="Arial" w:hAnsi="Arial" w:cs="Arial"/>
          <w:color w:val="000000"/>
          <w:sz w:val="21"/>
          <w:szCs w:val="21"/>
          <w:lang w:val="es-ES_tradnl"/>
        </w:rPr>
      </w:pPr>
      <w:r w:rsidRPr="00617149">
        <w:rPr>
          <w:rFonts w:ascii="Arial" w:hAnsi="Arial" w:cs="Arial"/>
          <w:color w:val="000000"/>
          <w:sz w:val="21"/>
          <w:szCs w:val="21"/>
          <w:lang w:val="es-ES_tradnl"/>
        </w:rPr>
        <w:t xml:space="preserve">Sin embargo, debe tenerse en cuenta que la última norma en cita -Decreto 2474 de 2008, aparte subrayado-, establece un límite a la </w:t>
      </w:r>
      <w:proofErr w:type="spellStart"/>
      <w:r w:rsidRPr="00617149">
        <w:rPr>
          <w:rFonts w:ascii="Arial" w:hAnsi="Arial" w:cs="Arial"/>
          <w:color w:val="000000"/>
          <w:sz w:val="21"/>
          <w:szCs w:val="21"/>
          <w:lang w:val="es-ES_tradnl"/>
        </w:rPr>
        <w:t>subsanabilidad</w:t>
      </w:r>
      <w:proofErr w:type="spellEnd"/>
      <w:r w:rsidRPr="00617149">
        <w:rPr>
          <w:rFonts w:ascii="Arial" w:hAnsi="Arial" w:cs="Arial"/>
          <w:color w:val="000000"/>
          <w:sz w:val="21"/>
          <w:szCs w:val="21"/>
          <w:lang w:val="es-ES_tradnl"/>
        </w:rPr>
        <w:t>, puesto que en cualquier caso debe referirse o recaer sobre circunstancias ocurridas antes del cierre del respectivo proceso, esto es, del vencimiento del plazo para presentar ofertas.</w:t>
      </w:r>
    </w:p>
    <w:p w14:paraId="77E5A176" w14:textId="77777777" w:rsidR="00617149" w:rsidRPr="00617149" w:rsidRDefault="00617149" w:rsidP="00617149">
      <w:pPr>
        <w:ind w:left="709" w:right="709"/>
        <w:jc w:val="both"/>
        <w:rPr>
          <w:rFonts w:ascii="Arial" w:hAnsi="Arial" w:cs="Arial"/>
          <w:color w:val="000000"/>
          <w:sz w:val="21"/>
          <w:szCs w:val="21"/>
          <w:lang w:val="es-ES_tradnl"/>
        </w:rPr>
      </w:pPr>
      <w:r w:rsidRPr="00617149">
        <w:rPr>
          <w:rFonts w:ascii="Arial" w:hAnsi="Arial" w:cs="Arial"/>
          <w:color w:val="000000"/>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617149">
        <w:rPr>
          <w:rFonts w:ascii="Arial" w:hAnsi="Arial" w:cs="Arial"/>
          <w:color w:val="000000"/>
          <w:sz w:val="21"/>
          <w:szCs w:val="21"/>
          <w:lang w:val="es-ES_tradnl"/>
        </w:rPr>
        <w:t>la misma</w:t>
      </w:r>
      <w:proofErr w:type="gramEnd"/>
      <w:r w:rsidRPr="00617149">
        <w:rPr>
          <w:rFonts w:ascii="Arial" w:hAnsi="Arial" w:cs="Arial"/>
          <w:color w:val="000000"/>
          <w:sz w:val="21"/>
          <w:szCs w:val="21"/>
          <w:lang w:val="es-ES_tradnl"/>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617149">
        <w:rPr>
          <w:rFonts w:ascii="Arial" w:hAnsi="Arial" w:cs="Arial"/>
          <w:color w:val="000000"/>
          <w:sz w:val="21"/>
          <w:szCs w:val="21"/>
          <w:lang w:val="es-ES_tradnl"/>
        </w:rPr>
        <w:t>del mismo</w:t>
      </w:r>
      <w:proofErr w:type="gramEnd"/>
      <w:r w:rsidRPr="00617149">
        <w:rPr>
          <w:rFonts w:ascii="Arial" w:hAnsi="Arial" w:cs="Arial"/>
          <w:color w:val="000000"/>
          <w:sz w:val="21"/>
          <w:szCs w:val="21"/>
          <w:lang w:val="es-ES_tradnl"/>
        </w:rPr>
        <w:t xml:space="preserve"> o lo actualice, pero no para que se constituya la sociedad con posterioridad al cierre del proceso, pues si ello no se había hecho, significa simplemente que el oferente no tenía la condición para participar</w:t>
      </w:r>
      <w:r w:rsidRPr="00617149">
        <w:rPr>
          <w:rFonts w:ascii="Arial" w:hAnsi="Arial" w:cs="Arial"/>
          <w:color w:val="000000"/>
          <w:sz w:val="21"/>
          <w:szCs w:val="21"/>
          <w:vertAlign w:val="superscript"/>
          <w:lang w:val="es-ES_tradnl"/>
        </w:rPr>
        <w:footnoteReference w:id="14"/>
      </w:r>
      <w:r w:rsidRPr="00617149">
        <w:rPr>
          <w:rFonts w:ascii="Arial" w:hAnsi="Arial" w:cs="Arial"/>
          <w:color w:val="000000"/>
          <w:sz w:val="21"/>
          <w:szCs w:val="21"/>
          <w:lang w:val="es-ES_tradnl"/>
        </w:rPr>
        <w:t>.</w:t>
      </w:r>
    </w:p>
    <w:p w14:paraId="3F7032D0" w14:textId="77777777" w:rsidR="00617149" w:rsidRPr="00617149" w:rsidRDefault="00617149" w:rsidP="00617149">
      <w:pPr>
        <w:spacing w:line="276" w:lineRule="auto"/>
        <w:jc w:val="both"/>
        <w:rPr>
          <w:rFonts w:ascii="Arial" w:hAnsi="Arial" w:cs="Arial"/>
          <w:color w:val="000000"/>
          <w:sz w:val="22"/>
          <w:lang w:val="es-ES_tradnl"/>
        </w:rPr>
      </w:pPr>
    </w:p>
    <w:p w14:paraId="4E5A34A5" w14:textId="77777777" w:rsidR="00617149" w:rsidRPr="00617149" w:rsidRDefault="00617149" w:rsidP="00617149">
      <w:pPr>
        <w:spacing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Conforme el artículo 5 de la Ley 1882 de 2018, lo subsanable es la prueba de todas las circunstancias ocurridas antes del vencimiento del término para presentar las ofertas, por lo que ese el alcance y significado que tiene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5A28B09"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617149">
        <w:rPr>
          <w:rFonts w:ascii="Arial" w:hAnsi="Arial" w:cs="Arial"/>
          <w:color w:val="000000"/>
          <w:sz w:val="22"/>
          <w:lang w:val="es-ES_tradnl"/>
        </w:rPr>
        <w:t>subsanabilidad</w:t>
      </w:r>
      <w:proofErr w:type="spellEnd"/>
      <w:r w:rsidRPr="00617149">
        <w:rPr>
          <w:rFonts w:ascii="Arial" w:hAnsi="Arial" w:cs="Arial"/>
          <w:color w:val="000000"/>
          <w:sz w:val="22"/>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Por ejemplo: </w:t>
      </w:r>
    </w:p>
    <w:p w14:paraId="77BCC417" w14:textId="5CDEECC3"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lastRenderedPageBreak/>
        <w:t xml:space="preserve">i) </w:t>
      </w:r>
      <w:bookmarkStart w:id="11" w:name="_Hlk52901112"/>
      <w:r w:rsidRPr="00617149">
        <w:rPr>
          <w:rFonts w:ascii="Arial" w:hAnsi="Arial" w:cs="Arial"/>
          <w:color w:val="000000"/>
          <w:sz w:val="22"/>
          <w:lang w:val="es-ES_tradnl"/>
        </w:rPr>
        <w:t>si un oferente olvidó adjuntar con su propuesta el certificado que da cuenta de su inscripción en el RUP, el requisito será subsanable siempre que la prueba allegada demuestre que el hecho, esto es, la inscripción en el registro ocurrió con anterioridad al cierre del proceso</w:t>
      </w:r>
      <w:bookmarkEnd w:id="11"/>
      <w:r w:rsidRPr="00617149">
        <w:rPr>
          <w:rFonts w:ascii="Arial" w:hAnsi="Arial" w:cs="Arial"/>
          <w:color w:val="000000"/>
          <w:sz w:val="22"/>
          <w:lang w:val="es-ES_tradnl"/>
        </w:rPr>
        <w:t xml:space="preserve">; </w:t>
      </w:r>
    </w:p>
    <w:p w14:paraId="1FBB8EE2"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proofErr w:type="spellStart"/>
      <w:r w:rsidRPr="00617149">
        <w:rPr>
          <w:rFonts w:ascii="Arial" w:hAnsi="Arial" w:cs="Arial"/>
          <w:color w:val="000000"/>
          <w:sz w:val="22"/>
          <w:lang w:val="es-ES_tradnl"/>
        </w:rPr>
        <w:t>ii</w:t>
      </w:r>
      <w:proofErr w:type="spellEnd"/>
      <w:r w:rsidRPr="00617149">
        <w:rPr>
          <w:rFonts w:ascii="Arial" w:hAnsi="Arial" w:cs="Arial"/>
          <w:color w:val="000000"/>
          <w:sz w:val="22"/>
          <w:lang w:val="es-ES_tradnl"/>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617149">
        <w:rPr>
          <w:rFonts w:ascii="Arial" w:hAnsi="Arial" w:cs="Arial"/>
          <w:color w:val="000000"/>
          <w:sz w:val="22"/>
          <w:vertAlign w:val="superscript"/>
          <w:lang w:val="es-ES_tradnl"/>
        </w:rPr>
        <w:footnoteReference w:id="15"/>
      </w:r>
      <w:r w:rsidRPr="00617149">
        <w:rPr>
          <w:rFonts w:ascii="Arial" w:hAnsi="Arial" w:cs="Arial"/>
          <w:color w:val="000000"/>
          <w:sz w:val="22"/>
          <w:lang w:val="es-ES_tradnl"/>
        </w:rPr>
        <w:t xml:space="preserve">; </w:t>
      </w:r>
    </w:p>
    <w:p w14:paraId="7965368F"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proofErr w:type="spellStart"/>
      <w:r w:rsidRPr="00617149">
        <w:rPr>
          <w:rFonts w:ascii="Arial" w:hAnsi="Arial" w:cs="Arial"/>
          <w:color w:val="000000"/>
          <w:sz w:val="22"/>
          <w:lang w:val="es-ES_tradnl"/>
        </w:rPr>
        <w:t>iii</w:t>
      </w:r>
      <w:proofErr w:type="spellEnd"/>
      <w:r w:rsidRPr="00617149">
        <w:rPr>
          <w:rFonts w:ascii="Arial" w:hAnsi="Arial" w:cs="Arial"/>
          <w:color w:val="000000"/>
          <w:sz w:val="22"/>
          <w:lang w:val="es-ES_tradnl"/>
        </w:rPr>
        <w:t>) si un oferente no anexó el certificado de existencia y representación legal, el documento aportado con posterioridad debe dar cuenta de que la sociedad existe desde antes del cierre del proceso</w:t>
      </w:r>
      <w:r w:rsidRPr="00617149">
        <w:rPr>
          <w:rFonts w:ascii="Arial" w:hAnsi="Arial" w:cs="Arial"/>
          <w:color w:val="000000"/>
          <w:sz w:val="22"/>
          <w:vertAlign w:val="superscript"/>
          <w:lang w:val="es-ES_tradnl"/>
        </w:rPr>
        <w:footnoteReference w:id="16"/>
      </w:r>
      <w:r w:rsidRPr="00617149">
        <w:rPr>
          <w:rFonts w:ascii="Arial" w:hAnsi="Arial" w:cs="Arial"/>
          <w:color w:val="000000"/>
          <w:sz w:val="22"/>
          <w:lang w:val="es-ES_tradnl"/>
        </w:rPr>
        <w:t xml:space="preserve">; </w:t>
      </w:r>
    </w:p>
    <w:p w14:paraId="3AEB1093"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proofErr w:type="spellStart"/>
      <w:r w:rsidRPr="00617149">
        <w:rPr>
          <w:rFonts w:ascii="Arial" w:hAnsi="Arial" w:cs="Arial"/>
          <w:color w:val="000000"/>
          <w:sz w:val="22"/>
          <w:lang w:val="es-ES_tradnl"/>
        </w:rPr>
        <w:t>iv</w:t>
      </w:r>
      <w:proofErr w:type="spellEnd"/>
      <w:r w:rsidRPr="00617149">
        <w:rPr>
          <w:rFonts w:ascii="Arial" w:hAnsi="Arial" w:cs="Arial"/>
          <w:color w:val="000000"/>
          <w:sz w:val="22"/>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w:t>
      </w:r>
    </w:p>
    <w:p w14:paraId="66E79E5B"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5EB309C9"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vi) si el oferente olvidó firmar la propuesta o presentar una copia de ella, puede subsanar sin que se entienda que acreditó una circunstancia ocurrida con posterioridad al cierre del proceso. </w:t>
      </w:r>
    </w:p>
    <w:p w14:paraId="158B401C"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1A272EB7" w14:textId="77777777" w:rsidR="00617149" w:rsidRPr="00617149" w:rsidRDefault="00617149" w:rsidP="00617149">
      <w:pPr>
        <w:spacing w:before="120" w:after="120"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Es por ello </w:t>
      </w:r>
      <w:proofErr w:type="gramStart"/>
      <w:r w:rsidRPr="00617149">
        <w:rPr>
          <w:rFonts w:ascii="Arial" w:hAnsi="Arial" w:cs="Arial"/>
          <w:color w:val="000000"/>
          <w:sz w:val="22"/>
          <w:lang w:val="es-ES_tradnl"/>
        </w:rPr>
        <w:t>que</w:t>
      </w:r>
      <w:proofErr w:type="gramEnd"/>
      <w:r w:rsidRPr="00617149">
        <w:rPr>
          <w:rFonts w:ascii="Arial" w:hAnsi="Arial" w:cs="Arial"/>
          <w:color w:val="000000"/>
          <w:sz w:val="22"/>
          <w:lang w:val="es-ES_tradn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w:t>
      </w:r>
      <w:r w:rsidRPr="00617149">
        <w:rPr>
          <w:rFonts w:ascii="Arial" w:hAnsi="Arial" w:cs="Arial"/>
          <w:color w:val="000000"/>
          <w:sz w:val="22"/>
          <w:lang w:val="es-ES_tradnl"/>
        </w:rPr>
        <w:lastRenderedPageBreak/>
        <w:t>del plazo para presentar ofertas»</w:t>
      </w:r>
      <w:r w:rsidRPr="00617149">
        <w:rPr>
          <w:rFonts w:ascii="Arial" w:hAnsi="Arial" w:cs="Arial"/>
          <w:color w:val="000000"/>
          <w:sz w:val="22"/>
          <w:vertAlign w:val="superscript"/>
          <w:lang w:val="es-ES_tradnl"/>
        </w:rPr>
        <w:footnoteReference w:id="17"/>
      </w:r>
      <w:r w:rsidRPr="00617149">
        <w:rPr>
          <w:rFonts w:ascii="Arial" w:hAnsi="Arial" w:cs="Arial"/>
          <w:color w:val="000000"/>
          <w:sz w:val="22"/>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6C37F353" w14:textId="77777777" w:rsidR="00617149" w:rsidRPr="00617149" w:rsidRDefault="00617149" w:rsidP="00617149">
      <w:pPr>
        <w:spacing w:before="120" w:after="120" w:line="276" w:lineRule="auto"/>
        <w:ind w:firstLine="709"/>
        <w:jc w:val="both"/>
        <w:rPr>
          <w:rFonts w:ascii="Arial" w:hAnsi="Arial" w:cs="Arial"/>
          <w:color w:val="000000"/>
          <w:sz w:val="22"/>
        </w:rPr>
      </w:pPr>
      <w:r w:rsidRPr="00617149">
        <w:rPr>
          <w:rFonts w:ascii="Arial" w:hAnsi="Arial" w:cs="Arial"/>
          <w:color w:val="000000"/>
          <w:sz w:val="22"/>
          <w:lang w:val="es-ES_tradnl"/>
        </w:rPr>
        <w:t xml:space="preserve">Esta tesis fue reiterada por la Agencia Nacional de Contratación Pública – Colombia Compra Eficiente en el concepto con radicado </w:t>
      </w:r>
      <w:r w:rsidRPr="00617149">
        <w:rPr>
          <w:rFonts w:ascii="Arial" w:hAnsi="Arial" w:cs="Arial"/>
          <w:color w:val="000000"/>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617149">
        <w:rPr>
          <w:rFonts w:ascii="Arial" w:hAnsi="Arial" w:cs="Arial"/>
          <w:color w:val="000000"/>
          <w:sz w:val="22"/>
        </w:rPr>
        <w:t>subsanabilidad</w:t>
      </w:r>
      <w:proofErr w:type="spellEnd"/>
      <w:r w:rsidRPr="00617149">
        <w:rPr>
          <w:rFonts w:ascii="Arial" w:hAnsi="Arial" w:cs="Arial"/>
          <w:color w:val="000000"/>
          <w:sz w:val="22"/>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397EB6FB" w14:textId="77777777" w:rsidR="00617149" w:rsidRPr="00617149" w:rsidRDefault="00617149" w:rsidP="00617149">
      <w:pPr>
        <w:spacing w:before="120" w:after="120" w:line="276" w:lineRule="auto"/>
        <w:ind w:firstLine="709"/>
        <w:jc w:val="both"/>
        <w:rPr>
          <w:rFonts w:ascii="Arial" w:hAnsi="Arial" w:cs="Arial"/>
          <w:color w:val="000000"/>
          <w:sz w:val="22"/>
          <w:lang w:val="es-CO"/>
        </w:rPr>
      </w:pPr>
      <w:r w:rsidRPr="00617149">
        <w:rPr>
          <w:rFonts w:ascii="Arial" w:hAnsi="Arial" w:cs="Arial"/>
          <w:color w:val="000000"/>
          <w:sz w:val="22"/>
        </w:rPr>
        <w:t xml:space="preserve">Una reiteración de la postura de esta Subdirección, según la cual la </w:t>
      </w:r>
      <w:proofErr w:type="spellStart"/>
      <w:r w:rsidRPr="00617149">
        <w:rPr>
          <w:rFonts w:ascii="Arial" w:hAnsi="Arial" w:cs="Arial"/>
          <w:color w:val="000000"/>
          <w:sz w:val="22"/>
        </w:rPr>
        <w:t>subsanabilidad</w:t>
      </w:r>
      <w:proofErr w:type="spellEnd"/>
      <w:r w:rsidRPr="00617149">
        <w:rPr>
          <w:rFonts w:ascii="Arial" w:hAnsi="Arial" w:cs="Arial"/>
          <w:color w:val="000000"/>
          <w:sz w:val="22"/>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señaló que no es posible variar el porcentaje de participación en una unión temporal, porque implicaría </w:t>
      </w:r>
      <w:r w:rsidRPr="00617149">
        <w:rPr>
          <w:rFonts w:ascii="Arial" w:hAnsi="Arial" w:cs="Arial"/>
          <w:color w:val="000000"/>
          <w:sz w:val="22"/>
        </w:rPr>
        <w:lastRenderedPageBreak/>
        <w:t xml:space="preserve">una modificación de la oferta y la acreditación de un aspecto que es posterior al cierre del procedimiento de selección–. </w:t>
      </w:r>
    </w:p>
    <w:p w14:paraId="15C54444" w14:textId="7BC1E156" w:rsidR="00617149" w:rsidRDefault="00617149" w:rsidP="00E36193">
      <w:pPr>
        <w:spacing w:line="276" w:lineRule="auto"/>
        <w:ind w:firstLine="709"/>
        <w:jc w:val="both"/>
        <w:rPr>
          <w:rFonts w:ascii="Arial" w:hAnsi="Arial" w:cs="Arial"/>
          <w:color w:val="000000"/>
          <w:sz w:val="22"/>
          <w:lang w:val="es-ES_tradnl"/>
        </w:rPr>
      </w:pPr>
      <w:r w:rsidRPr="00617149">
        <w:rPr>
          <w:rFonts w:ascii="Arial" w:hAnsi="Arial" w:cs="Arial"/>
          <w:color w:val="000000"/>
          <w:sz w:val="22"/>
          <w:lang w:val="es-ES_tradnl"/>
        </w:rPr>
        <w:t xml:space="preserve">Visto lo anterior, una vez verificada la ausencia de requisitos y/o documentos de la oferta, para saber si se puede subsanar, la Administración se debe preguntar, en primer lugar, si lo que hace falta es un </w:t>
      </w:r>
      <w:r w:rsidRPr="00617149">
        <w:rPr>
          <w:rFonts w:ascii="Arial" w:hAnsi="Arial" w:cs="Arial"/>
          <w:iCs/>
          <w:color w:val="000000"/>
          <w:sz w:val="22"/>
          <w:lang w:val="es-ES_tradnl"/>
        </w:rPr>
        <w:t>documento o información</w:t>
      </w:r>
      <w:r w:rsidRPr="00617149">
        <w:rPr>
          <w:rFonts w:ascii="Arial" w:hAnsi="Arial" w:cs="Arial"/>
          <w:color w:val="000000"/>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w:t>
      </w:r>
      <w:r w:rsidR="00B529BB">
        <w:rPr>
          <w:rFonts w:ascii="Arial" w:hAnsi="Arial" w:cs="Arial"/>
          <w:color w:val="000000"/>
          <w:sz w:val="22"/>
          <w:lang w:val="es-ES_tradnl"/>
        </w:rPr>
        <w:t xml:space="preserve"> </w:t>
      </w:r>
    </w:p>
    <w:p w14:paraId="689FECBC" w14:textId="77777777" w:rsidR="00825211" w:rsidRDefault="00825211" w:rsidP="00E36193">
      <w:pPr>
        <w:spacing w:line="276" w:lineRule="auto"/>
        <w:ind w:firstLine="709"/>
        <w:jc w:val="both"/>
        <w:rPr>
          <w:rFonts w:ascii="Arial" w:hAnsi="Arial" w:cs="Arial"/>
          <w:color w:val="000000"/>
          <w:sz w:val="22"/>
          <w:lang w:val="es-ES_tradnl"/>
        </w:rPr>
      </w:pPr>
    </w:p>
    <w:p w14:paraId="4132AAB4" w14:textId="65178754" w:rsidR="00A8002B" w:rsidRPr="00B9707F" w:rsidRDefault="00461EC0" w:rsidP="00F84778">
      <w:pPr>
        <w:pStyle w:val="Textoindependiente"/>
        <w:spacing w:line="276" w:lineRule="auto"/>
        <w:ind w:right="103"/>
        <w:jc w:val="both"/>
        <w:rPr>
          <w:b/>
          <w:bCs/>
          <w:color w:val="000000" w:themeColor="text1"/>
        </w:rPr>
      </w:pPr>
      <w:r>
        <w:rPr>
          <w:b/>
          <w:bCs/>
          <w:color w:val="000000" w:themeColor="text1"/>
        </w:rPr>
        <w:t xml:space="preserve">3. </w:t>
      </w:r>
      <w:r w:rsidR="00A8002B" w:rsidRPr="00B9707F">
        <w:rPr>
          <w:b/>
          <w:bCs/>
          <w:color w:val="000000" w:themeColor="text1"/>
        </w:rPr>
        <w:t>Respuesta</w:t>
      </w:r>
    </w:p>
    <w:p w14:paraId="4FCB9E98" w14:textId="77777777" w:rsidR="00A8002B" w:rsidRDefault="00A8002B">
      <w:pPr>
        <w:pStyle w:val="Textoindependiente"/>
        <w:rPr>
          <w:b/>
          <w:color w:val="000000" w:themeColor="text1"/>
        </w:rPr>
      </w:pPr>
    </w:p>
    <w:p w14:paraId="519019F0" w14:textId="34B6AA16" w:rsidR="00A8002B" w:rsidRPr="00F84778" w:rsidRDefault="00A8002B" w:rsidP="004669CB">
      <w:pPr>
        <w:tabs>
          <w:tab w:val="left" w:pos="426"/>
        </w:tabs>
        <w:ind w:left="709" w:right="709"/>
        <w:jc w:val="both"/>
        <w:rPr>
          <w:rFonts w:ascii="Arial" w:hAnsi="Arial" w:cs="Arial"/>
          <w:noProof/>
          <w:sz w:val="21"/>
          <w:szCs w:val="21"/>
          <w:lang w:val="es-ES_tradnl"/>
        </w:rPr>
      </w:pPr>
      <w:r w:rsidRPr="00F84778">
        <w:rPr>
          <w:rFonts w:ascii="Arial" w:hAnsi="Arial" w:cs="Arial"/>
          <w:noProof/>
          <w:sz w:val="21"/>
          <w:szCs w:val="21"/>
          <w:lang w:val="es-ES_tradnl"/>
        </w:rPr>
        <w:t>«</w:t>
      </w:r>
      <w:r w:rsidR="00B529BB" w:rsidRPr="00B529BB">
        <w:rPr>
          <w:rFonts w:ascii="Arial" w:hAnsi="Arial" w:cs="Arial"/>
          <w:noProof/>
          <w:sz w:val="21"/>
          <w:szCs w:val="21"/>
          <w:lang w:val="es-ES_tradnl"/>
        </w:rPr>
        <w:t>Puede una entidad estatal que desarrolla un proceso de selección en la modalidad de licitación pública con pliegos tipo versión 2, rechazar una propuesta por la no presentación de la carta de presentación firmada ? En los pliegos de condiciones no se establece como una causal de rechazo la no presentación de la carta de presentación y tampoco establece que dicho requisito no sea subsanable</w:t>
      </w:r>
      <w:r w:rsidRPr="00F84778">
        <w:rPr>
          <w:rFonts w:ascii="Arial" w:hAnsi="Arial" w:cs="Arial"/>
          <w:noProof/>
          <w:sz w:val="21"/>
          <w:szCs w:val="21"/>
          <w:lang w:val="es-ES_tradnl"/>
        </w:rPr>
        <w:t>».</w:t>
      </w:r>
    </w:p>
    <w:p w14:paraId="203FFB89" w14:textId="77777777" w:rsidR="00A8002B" w:rsidRPr="00A8002B" w:rsidRDefault="00A8002B" w:rsidP="00A8002B">
      <w:pPr>
        <w:pStyle w:val="Textoindependiente"/>
        <w:rPr>
          <w:b/>
          <w:color w:val="000000" w:themeColor="text1"/>
          <w:lang w:val="es-ES_tradnl"/>
        </w:rPr>
      </w:pPr>
    </w:p>
    <w:p w14:paraId="07FB4FB9" w14:textId="29880121" w:rsidR="00B529BB" w:rsidRDefault="00B529BB" w:rsidP="00B529BB">
      <w:pPr>
        <w:spacing w:after="120" w:line="276" w:lineRule="auto"/>
        <w:jc w:val="both"/>
        <w:rPr>
          <w:rFonts w:ascii="Arial" w:hAnsi="Arial" w:cs="Arial"/>
          <w:color w:val="000000" w:themeColor="text1"/>
          <w:sz w:val="22"/>
        </w:rPr>
      </w:pPr>
      <w:r>
        <w:rPr>
          <w:rFonts w:ascii="Arial" w:hAnsi="Arial" w:cs="Arial"/>
          <w:color w:val="000000" w:themeColor="text1"/>
          <w:sz w:val="22"/>
        </w:rPr>
        <w:t xml:space="preserve">Conforme a lo explicado en el presente concepto, </w:t>
      </w:r>
      <w:r w:rsidRPr="00455758">
        <w:rPr>
          <w:rFonts w:ascii="Arial" w:hAnsi="Arial" w:cs="Arial"/>
          <w:color w:val="000000" w:themeColor="text1"/>
          <w:sz w:val="22"/>
        </w:rPr>
        <w:t xml:space="preserve">la regla prevista actualmente en </w:t>
      </w:r>
      <w:r w:rsidR="00FE4104">
        <w:rPr>
          <w:rFonts w:ascii="Arial" w:hAnsi="Arial" w:cs="Arial"/>
          <w:color w:val="000000" w:themeColor="text1"/>
          <w:sz w:val="22"/>
        </w:rPr>
        <w:t>el</w:t>
      </w:r>
      <w:r w:rsidR="00FE4104" w:rsidRPr="00455758">
        <w:rPr>
          <w:rFonts w:ascii="Arial" w:hAnsi="Arial" w:cs="Arial"/>
          <w:color w:val="000000" w:themeColor="text1"/>
          <w:sz w:val="22"/>
        </w:rPr>
        <w:t xml:space="preserve"> </w:t>
      </w:r>
      <w:r w:rsidRPr="00455758">
        <w:rPr>
          <w:rFonts w:ascii="Arial" w:hAnsi="Arial" w:cs="Arial"/>
          <w:color w:val="000000" w:themeColor="text1"/>
          <w:sz w:val="22"/>
        </w:rPr>
        <w:t>parágrafo</w:t>
      </w:r>
      <w:r w:rsidR="00FE4104">
        <w:rPr>
          <w:rFonts w:ascii="Arial" w:hAnsi="Arial" w:cs="Arial"/>
          <w:color w:val="000000" w:themeColor="text1"/>
          <w:sz w:val="22"/>
        </w:rPr>
        <w:t xml:space="preserve"> </w:t>
      </w:r>
      <w:r w:rsidRPr="00455758">
        <w:rPr>
          <w:rFonts w:ascii="Arial" w:hAnsi="Arial" w:cs="Arial"/>
          <w:color w:val="000000" w:themeColor="text1"/>
          <w:sz w:val="22"/>
        </w:rPr>
        <w:t xml:space="preserve">1 del artículo 5 de la Ley 1150 de 2007, modificado por el artículo 5 de la Ley 1882 de 2018, </w:t>
      </w:r>
      <w:r w:rsidR="00FE4104">
        <w:rPr>
          <w:rFonts w:ascii="Arial" w:hAnsi="Arial" w:cs="Arial"/>
          <w:color w:val="000000" w:themeColor="text1"/>
          <w:sz w:val="22"/>
        </w:rPr>
        <w:t>establece</w:t>
      </w:r>
      <w:r w:rsidRPr="00455758">
        <w:rPr>
          <w:rFonts w:ascii="Arial" w:hAnsi="Arial" w:cs="Arial"/>
          <w:color w:val="000000" w:themeColor="text1"/>
          <w:sz w:val="22"/>
        </w:rPr>
        <w:t xml:space="preserve"> que las entidades estatales, al verificar la acreditación de los requisitos </w:t>
      </w:r>
      <w:r w:rsidR="00FE4104">
        <w:rPr>
          <w:rFonts w:ascii="Arial" w:hAnsi="Arial" w:cs="Arial"/>
          <w:color w:val="000000" w:themeColor="text1"/>
          <w:sz w:val="22"/>
        </w:rPr>
        <w:t>que no otorgan puntaje, como los habilitantes,</w:t>
      </w:r>
      <w:r w:rsidR="00FE4104" w:rsidRPr="00455758">
        <w:rPr>
          <w:rFonts w:ascii="Arial" w:hAnsi="Arial" w:cs="Arial"/>
          <w:color w:val="000000" w:themeColor="text1"/>
          <w:sz w:val="22"/>
        </w:rPr>
        <w:t xml:space="preserve"> </w:t>
      </w:r>
      <w:r w:rsidRPr="00455758">
        <w:rPr>
          <w:rFonts w:ascii="Arial" w:hAnsi="Arial" w:cs="Arial"/>
          <w:color w:val="000000" w:themeColor="text1"/>
          <w:sz w:val="22"/>
        </w:rPr>
        <w:t>permit</w:t>
      </w:r>
      <w:r>
        <w:rPr>
          <w:rFonts w:ascii="Arial" w:hAnsi="Arial" w:cs="Arial"/>
          <w:color w:val="000000" w:themeColor="text1"/>
          <w:sz w:val="22"/>
        </w:rPr>
        <w:t>an</w:t>
      </w:r>
      <w:r w:rsidRPr="00455758">
        <w:rPr>
          <w:rFonts w:ascii="Arial" w:hAnsi="Arial" w:cs="Arial"/>
          <w:color w:val="000000" w:themeColor="text1"/>
          <w:sz w:val="22"/>
        </w:rPr>
        <w:t>, por regla general, que los oferentes aporten o corrijan aquella información relacionada con tales requisitos de participación, de manera que no se rechace</w:t>
      </w:r>
      <w:r w:rsidR="00FE4104">
        <w:rPr>
          <w:rFonts w:ascii="Arial" w:hAnsi="Arial" w:cs="Arial"/>
          <w:color w:val="000000" w:themeColor="text1"/>
          <w:sz w:val="22"/>
        </w:rPr>
        <w:t>n</w:t>
      </w:r>
      <w:r w:rsidRPr="00455758">
        <w:rPr>
          <w:rFonts w:ascii="Arial" w:hAnsi="Arial" w:cs="Arial"/>
          <w:color w:val="000000" w:themeColor="text1"/>
          <w:sz w:val="22"/>
        </w:rPr>
        <w:t xml:space="preserve"> de plano de las ofertas. </w:t>
      </w:r>
    </w:p>
    <w:p w14:paraId="4F2E0FF2" w14:textId="3BED5049" w:rsidR="00B529BB" w:rsidRDefault="00B529BB" w:rsidP="00B529BB">
      <w:pPr>
        <w:spacing w:after="120" w:line="276" w:lineRule="auto"/>
        <w:ind w:firstLine="709"/>
        <w:jc w:val="both"/>
        <w:rPr>
          <w:rFonts w:ascii="Arial" w:hAnsi="Arial" w:cs="Arial"/>
          <w:sz w:val="22"/>
        </w:rPr>
      </w:pPr>
      <w:r w:rsidRPr="00455758">
        <w:rPr>
          <w:rFonts w:ascii="Arial" w:hAnsi="Arial" w:cs="Arial"/>
          <w:color w:val="000000" w:themeColor="text1"/>
          <w:sz w:val="22"/>
        </w:rPr>
        <w:t xml:space="preserve">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 adicionado por el artículo 5 de la Ley 1882 de 2018, según el cual «La no entrega de la garantía de seriedad junto con la propuesta no será subsanable y será causal de rechazo de la misma», lo cierto es que la </w:t>
      </w:r>
      <w:proofErr w:type="spellStart"/>
      <w:r w:rsidRPr="00455758">
        <w:rPr>
          <w:rFonts w:ascii="Arial" w:hAnsi="Arial" w:cs="Arial"/>
          <w:color w:val="000000" w:themeColor="text1"/>
          <w:sz w:val="22"/>
        </w:rPr>
        <w:t>subsanabilidad</w:t>
      </w:r>
      <w:proofErr w:type="spellEnd"/>
      <w:r w:rsidRPr="00455758">
        <w:rPr>
          <w:rFonts w:ascii="Arial" w:hAnsi="Arial" w:cs="Arial"/>
          <w:color w:val="000000" w:themeColor="text1"/>
          <w:sz w:val="22"/>
        </w:rPr>
        <w:t xml:space="preserve"> de las ofertas debe interpretarse como una regla general en relación con la falta de entrega o con los defectos de los requisitos </w:t>
      </w:r>
      <w:r w:rsidR="00FE4104">
        <w:rPr>
          <w:rFonts w:ascii="Arial" w:hAnsi="Arial" w:cs="Arial"/>
          <w:color w:val="000000" w:themeColor="text1"/>
          <w:sz w:val="22"/>
        </w:rPr>
        <w:t>que no otorgan puntaje, como son los requisitos habilitantes</w:t>
      </w:r>
      <w:r>
        <w:rPr>
          <w:rFonts w:ascii="Arial" w:hAnsi="Arial" w:cs="Arial"/>
          <w:sz w:val="22"/>
        </w:rPr>
        <w:t xml:space="preserve">. </w:t>
      </w:r>
    </w:p>
    <w:p w14:paraId="3526A968" w14:textId="2C5B8FEC" w:rsidR="00B529BB" w:rsidRDefault="00B529BB" w:rsidP="00B529BB">
      <w:pPr>
        <w:spacing w:after="120" w:line="276" w:lineRule="auto"/>
        <w:ind w:firstLine="709"/>
        <w:jc w:val="both"/>
        <w:rPr>
          <w:rFonts w:ascii="Arial" w:hAnsi="Arial" w:cs="Arial"/>
          <w:sz w:val="22"/>
        </w:rPr>
      </w:pPr>
      <w:r>
        <w:rPr>
          <w:rFonts w:ascii="Arial" w:hAnsi="Arial" w:cs="Arial"/>
          <w:sz w:val="22"/>
        </w:rPr>
        <w:t xml:space="preserve">De esta manera, </w:t>
      </w:r>
      <w:r w:rsidR="00FE4104">
        <w:rPr>
          <w:rFonts w:ascii="Arial" w:hAnsi="Arial" w:cs="Arial"/>
          <w:sz w:val="22"/>
        </w:rPr>
        <w:t>por tratarse de un requisito que</w:t>
      </w:r>
      <w:r>
        <w:rPr>
          <w:rFonts w:ascii="Arial" w:hAnsi="Arial" w:cs="Arial"/>
          <w:sz w:val="22"/>
        </w:rPr>
        <w:t xml:space="preserve"> </w:t>
      </w:r>
      <w:r w:rsidR="00FE4104">
        <w:rPr>
          <w:rFonts w:ascii="Arial" w:hAnsi="Arial" w:cs="Arial"/>
          <w:sz w:val="22"/>
        </w:rPr>
        <w:t>n</w:t>
      </w:r>
      <w:r>
        <w:rPr>
          <w:rFonts w:ascii="Arial" w:hAnsi="Arial" w:cs="Arial"/>
          <w:sz w:val="22"/>
        </w:rPr>
        <w:t xml:space="preserve">o </w:t>
      </w:r>
      <w:r w:rsidR="00FE4104">
        <w:rPr>
          <w:rFonts w:ascii="Arial" w:hAnsi="Arial" w:cs="Arial"/>
          <w:sz w:val="22"/>
        </w:rPr>
        <w:t xml:space="preserve">afecta </w:t>
      </w:r>
      <w:r>
        <w:rPr>
          <w:rFonts w:ascii="Arial" w:hAnsi="Arial" w:cs="Arial"/>
          <w:sz w:val="22"/>
        </w:rPr>
        <w:t>la asignación de puntaje, los proponentes pueden subsanar la ausencia la carta de presentación de la oferta</w:t>
      </w:r>
      <w:r w:rsidR="00FE4104">
        <w:rPr>
          <w:rFonts w:ascii="Arial" w:hAnsi="Arial" w:cs="Arial"/>
          <w:sz w:val="22"/>
        </w:rPr>
        <w:t xml:space="preserve"> o su firma</w:t>
      </w:r>
      <w:r>
        <w:rPr>
          <w:rFonts w:ascii="Arial" w:hAnsi="Arial" w:cs="Arial"/>
          <w:sz w:val="22"/>
        </w:rPr>
        <w:t xml:space="preserve">, siempre que </w:t>
      </w:r>
      <w:r w:rsidR="00D352E9">
        <w:rPr>
          <w:rFonts w:ascii="Arial" w:hAnsi="Arial" w:cs="Arial"/>
          <w:sz w:val="22"/>
        </w:rPr>
        <w:t xml:space="preserve">mediante este documento no se acrediten circunstancias ocurridas con </w:t>
      </w:r>
      <w:r w:rsidR="00D352E9">
        <w:rPr>
          <w:rFonts w:ascii="Arial" w:hAnsi="Arial" w:cs="Arial"/>
          <w:sz w:val="22"/>
        </w:rPr>
        <w:lastRenderedPageBreak/>
        <w:t xml:space="preserve">posterioridad al cierre del proceso, </w:t>
      </w:r>
      <w:r w:rsidR="006925DD">
        <w:rPr>
          <w:rFonts w:ascii="Arial" w:hAnsi="Arial" w:cs="Arial"/>
          <w:sz w:val="22"/>
        </w:rPr>
        <w:t>siendo esto último de</w:t>
      </w:r>
      <w:r w:rsidR="00D352E9">
        <w:rPr>
          <w:rFonts w:ascii="Arial" w:hAnsi="Arial" w:cs="Arial"/>
          <w:sz w:val="22"/>
        </w:rPr>
        <w:t xml:space="preserve"> difícil </w:t>
      </w:r>
      <w:r w:rsidR="006925DD">
        <w:rPr>
          <w:rFonts w:ascii="Arial" w:hAnsi="Arial" w:cs="Arial"/>
          <w:sz w:val="22"/>
        </w:rPr>
        <w:t>ocurrencia</w:t>
      </w:r>
      <w:r w:rsidR="00D352E9">
        <w:rPr>
          <w:rFonts w:ascii="Arial" w:hAnsi="Arial" w:cs="Arial"/>
          <w:sz w:val="22"/>
        </w:rPr>
        <w:t>, dado el contenido de este documento</w:t>
      </w:r>
      <w:r w:rsidR="003E1E10">
        <w:rPr>
          <w:rFonts w:ascii="Arial" w:hAnsi="Arial" w:cs="Arial"/>
          <w:sz w:val="22"/>
        </w:rPr>
        <w:t>.</w:t>
      </w:r>
    </w:p>
    <w:p w14:paraId="34D31235" w14:textId="4FAD1D76" w:rsidR="00E13FF0" w:rsidRDefault="00B529BB" w:rsidP="00C92472">
      <w:pPr>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 xml:space="preserve">Para estos efectos es necesario </w:t>
      </w:r>
      <w:r w:rsidRPr="00DC2C79">
        <w:rPr>
          <w:rFonts w:ascii="Arial" w:hAnsi="Arial" w:cs="Arial"/>
          <w:color w:val="000000" w:themeColor="text1"/>
          <w:sz w:val="22"/>
          <w:lang w:val="es-ES_tradnl"/>
        </w:rPr>
        <w:t xml:space="preserve">distinguir entre la prueba de un hecho y el hecho mismo. En el caso de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una cosa es el requisito habilitante o el elemento de la propuesta y otra su prueba. Lo que prohíbe la norma es que se subsanen requisitos </w:t>
      </w:r>
      <w:r w:rsidR="00E13FF0">
        <w:rPr>
          <w:rFonts w:ascii="Arial" w:hAnsi="Arial" w:cs="Arial"/>
          <w:color w:val="000000" w:themeColor="text1"/>
          <w:sz w:val="22"/>
          <w:lang w:val="es-ES_tradnl"/>
        </w:rPr>
        <w:t xml:space="preserve">o circunstancias </w:t>
      </w:r>
      <w:r w:rsidR="006925DD">
        <w:rPr>
          <w:rFonts w:ascii="Arial" w:hAnsi="Arial" w:cs="Arial"/>
          <w:color w:val="000000" w:themeColor="text1"/>
          <w:sz w:val="22"/>
          <w:lang w:val="es-ES_tradnl"/>
        </w:rPr>
        <w:t>con que no contaba el proponente al</w:t>
      </w:r>
      <w:r w:rsidRPr="00DC2C79">
        <w:rPr>
          <w:rFonts w:ascii="Arial" w:hAnsi="Arial" w:cs="Arial"/>
          <w:color w:val="000000" w:themeColor="text1"/>
          <w:sz w:val="22"/>
          <w:lang w:val="es-ES_tradnl"/>
        </w:rPr>
        <w:t xml:space="preserve"> momento de presentar la oferta, o en palabras de la ley, que se acrediten hechos que ocurrieron después del cierre del proceso</w:t>
      </w:r>
      <w:r>
        <w:rPr>
          <w:rFonts w:ascii="Arial" w:hAnsi="Arial" w:cs="Arial"/>
          <w:color w:val="000000" w:themeColor="text1"/>
          <w:sz w:val="22"/>
          <w:lang w:val="es-ES_tradnl"/>
        </w:rPr>
        <w:t xml:space="preserve">. </w:t>
      </w:r>
      <w:r w:rsidR="00E13FF0">
        <w:rPr>
          <w:rFonts w:ascii="Arial" w:hAnsi="Arial" w:cs="Arial"/>
          <w:color w:val="000000" w:themeColor="text1"/>
          <w:sz w:val="22"/>
          <w:lang w:val="es-ES_tradnl"/>
        </w:rPr>
        <w:t>De esta manera, atendiendo a la finalidad y contenido de la carta de presentación de la oferta, conforme a lo indicado en el numeral 2.3 de este concepto, y su integración con los demás documentos de la propuesta, la ausencia de este requisito es subsanable en tanto es un requisito que no afecta la asignación de puntaje</w:t>
      </w:r>
      <w:r w:rsidR="00ED4FCC">
        <w:rPr>
          <w:rFonts w:ascii="Arial" w:hAnsi="Arial" w:cs="Arial"/>
          <w:color w:val="000000" w:themeColor="text1"/>
          <w:sz w:val="22"/>
          <w:lang w:val="es-ES_tradnl"/>
        </w:rPr>
        <w:t>, siempre</w:t>
      </w:r>
      <w:r w:rsidR="00D352E9">
        <w:rPr>
          <w:rFonts w:ascii="Arial" w:hAnsi="Arial" w:cs="Arial"/>
          <w:color w:val="000000" w:themeColor="text1"/>
          <w:sz w:val="22"/>
          <w:lang w:val="es-ES_tradnl"/>
        </w:rPr>
        <w:t xml:space="preserve"> que en </w:t>
      </w:r>
      <w:r w:rsidR="005C4D40">
        <w:rPr>
          <w:rFonts w:ascii="Arial" w:hAnsi="Arial" w:cs="Arial"/>
          <w:color w:val="000000" w:themeColor="text1"/>
          <w:sz w:val="22"/>
          <w:lang w:val="es-ES_tradnl"/>
        </w:rPr>
        <w:t>con su</w:t>
      </w:r>
      <w:r w:rsidR="00D352E9">
        <w:rPr>
          <w:rFonts w:ascii="Arial" w:hAnsi="Arial" w:cs="Arial"/>
          <w:color w:val="000000" w:themeColor="text1"/>
          <w:sz w:val="22"/>
          <w:lang w:val="es-ES_tradnl"/>
        </w:rPr>
        <w:t xml:space="preserve"> subsanación no se acrediten circunstancias que ocurran con posterioridad al cierre del proceso</w:t>
      </w:r>
      <w:r w:rsidR="00ED4FCC">
        <w:rPr>
          <w:rFonts w:ascii="Arial" w:hAnsi="Arial" w:cs="Arial"/>
          <w:color w:val="000000" w:themeColor="text1"/>
          <w:sz w:val="22"/>
          <w:lang w:val="es-ES_tradnl"/>
        </w:rPr>
        <w:t>.</w:t>
      </w:r>
      <w:r w:rsidR="003E1E10">
        <w:rPr>
          <w:rFonts w:ascii="Arial" w:hAnsi="Arial" w:cs="Arial"/>
          <w:color w:val="000000" w:themeColor="text1"/>
          <w:sz w:val="22"/>
          <w:lang w:val="es-ES_tradnl"/>
        </w:rPr>
        <w:t xml:space="preserve"> De esta manera, </w:t>
      </w:r>
      <w:r w:rsidR="00756B6B">
        <w:rPr>
          <w:rFonts w:ascii="Arial" w:hAnsi="Arial" w:cs="Arial"/>
          <w:color w:val="000000" w:themeColor="text1"/>
          <w:sz w:val="22"/>
          <w:lang w:val="es-ES_tradnl"/>
        </w:rPr>
        <w:t xml:space="preserve">es posible, </w:t>
      </w:r>
      <w:r w:rsidR="003E1E10">
        <w:rPr>
          <w:rFonts w:ascii="Arial" w:hAnsi="Arial" w:cs="Arial"/>
          <w:color w:val="000000" w:themeColor="text1"/>
          <w:sz w:val="22"/>
          <w:lang w:val="es-ES_tradnl"/>
        </w:rPr>
        <w:t xml:space="preserve">en el caso expuesto por el peticionario, que el oferente presente el </w:t>
      </w:r>
      <w:r w:rsidR="006925DD">
        <w:rPr>
          <w:rFonts w:ascii="Arial" w:hAnsi="Arial" w:cs="Arial"/>
          <w:color w:val="000000" w:themeColor="text1"/>
          <w:sz w:val="22"/>
          <w:lang w:val="es-ES_tradnl"/>
        </w:rPr>
        <w:t>documento con el mismo contenido incluyendo la firma</w:t>
      </w:r>
      <w:r w:rsidR="003E1E10">
        <w:rPr>
          <w:rFonts w:ascii="Arial" w:hAnsi="Arial" w:cs="Arial"/>
          <w:color w:val="000000" w:themeColor="text1"/>
          <w:sz w:val="22"/>
          <w:lang w:val="es-ES_tradnl"/>
        </w:rPr>
        <w:t xml:space="preserve"> o que acuda a suscribir el documento</w:t>
      </w:r>
      <w:r w:rsidR="006925DD">
        <w:rPr>
          <w:rFonts w:ascii="Arial" w:hAnsi="Arial" w:cs="Arial"/>
          <w:color w:val="000000" w:themeColor="text1"/>
          <w:sz w:val="22"/>
          <w:lang w:val="es-ES_tradnl"/>
        </w:rPr>
        <w:t xml:space="preserve"> presentado inicialmente.</w:t>
      </w:r>
    </w:p>
    <w:p w14:paraId="4080C226" w14:textId="77777777" w:rsidR="00D352E9" w:rsidRDefault="00D352E9" w:rsidP="00C92472">
      <w:pPr>
        <w:spacing w:after="120" w:line="276" w:lineRule="auto"/>
        <w:ind w:firstLine="708"/>
        <w:jc w:val="both"/>
        <w:rPr>
          <w:rFonts w:ascii="Arial" w:hAnsi="Arial" w:cs="Arial"/>
          <w:sz w:val="22"/>
        </w:rPr>
      </w:pPr>
    </w:p>
    <w:p w14:paraId="71EC6CA0" w14:textId="77777777" w:rsidR="00EE7AB2" w:rsidRPr="00EE7AB2" w:rsidRDefault="00EE7AB2" w:rsidP="00EE7AB2">
      <w:pPr>
        <w:pStyle w:val="Textoindependiente"/>
        <w:spacing w:before="4"/>
        <w:rPr>
          <w:color w:val="000000" w:themeColor="text1"/>
        </w:rPr>
      </w:pPr>
    </w:p>
    <w:p w14:paraId="544609D3" w14:textId="3CFF1235" w:rsidR="000920F0" w:rsidRPr="00EE7AB2" w:rsidRDefault="000920F0" w:rsidP="00B80A0C">
      <w:pPr>
        <w:spacing w:line="276" w:lineRule="auto"/>
        <w:jc w:val="both"/>
        <w:rPr>
          <w:rFonts w:ascii="Arial" w:hAnsi="Arial" w:cs="Arial"/>
          <w:noProof/>
          <w:sz w:val="22"/>
          <w:lang w:val="es-ES_tradnl"/>
        </w:rPr>
      </w:pPr>
      <w:r w:rsidRPr="00EE7AB2">
        <w:rPr>
          <w:rFonts w:ascii="Arial" w:hAnsi="Arial" w:cs="Arial"/>
          <w:noProof/>
          <w:sz w:val="22"/>
          <w:lang w:val="es-ES_tradnl"/>
        </w:rPr>
        <w:t>Este concepto tiene el alcance previsto en el artículo 28 del Código de Procedimiento Administrativo y de lo Contencioso Administrativo</w:t>
      </w:r>
      <w:r w:rsidR="00A568E5" w:rsidRPr="00EE7AB2">
        <w:rPr>
          <w:rFonts w:ascii="Arial" w:hAnsi="Arial" w:cs="Arial"/>
          <w:noProof/>
          <w:sz w:val="22"/>
          <w:lang w:val="es-ES_tradnl"/>
        </w:rPr>
        <w:t>.</w:t>
      </w:r>
    </w:p>
    <w:p w14:paraId="72B1ECAA" w14:textId="77777777" w:rsidR="00150A83" w:rsidRPr="00EE7AB2" w:rsidRDefault="00150A83" w:rsidP="00F106B5">
      <w:pPr>
        <w:spacing w:line="276" w:lineRule="auto"/>
        <w:jc w:val="both"/>
        <w:rPr>
          <w:rFonts w:ascii="Arial" w:hAnsi="Arial" w:cs="Arial"/>
          <w:noProof/>
          <w:sz w:val="22"/>
          <w:lang w:val="es-ES_tradnl"/>
        </w:rPr>
      </w:pPr>
    </w:p>
    <w:p w14:paraId="2A352265" w14:textId="77777777" w:rsidR="000920F0" w:rsidRPr="00EE7AB2" w:rsidRDefault="000920F0" w:rsidP="00F106B5">
      <w:pPr>
        <w:spacing w:line="276" w:lineRule="auto"/>
        <w:jc w:val="both"/>
        <w:rPr>
          <w:rFonts w:ascii="Arial" w:hAnsi="Arial" w:cs="Arial"/>
          <w:noProof/>
          <w:sz w:val="22"/>
          <w:lang w:val="es-ES_tradnl"/>
        </w:rPr>
      </w:pPr>
      <w:r w:rsidRPr="00EE7AB2">
        <w:rPr>
          <w:rFonts w:ascii="Arial" w:hAnsi="Arial" w:cs="Arial"/>
          <w:noProof/>
          <w:sz w:val="22"/>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B0AB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EE7AB2" w:rsidRDefault="00033726" w:rsidP="00033726">
      <w:pPr>
        <w:rPr>
          <w:rFonts w:ascii="Arial" w:eastAsia="Times New Roman" w:hAnsi="Arial" w:cs="Arial"/>
          <w:sz w:val="22"/>
          <w:lang w:val="es-CO" w:eastAsia="es-CO"/>
        </w:rPr>
      </w:pPr>
      <w:bookmarkStart w:id="12" w:name="_Hlk50986665"/>
      <w:bookmarkStart w:id="13" w:name="_Hlk55258198"/>
      <w:bookmarkEnd w:id="3"/>
      <w:r w:rsidRPr="00EE7AB2">
        <w:rPr>
          <w:rFonts w:ascii="Arial" w:hAnsi="Arial" w:cs="Arial"/>
          <w:sz w:val="22"/>
          <w:lang w:eastAsia="es-CO"/>
        </w:rPr>
        <w:t>Atentamente,</w:t>
      </w:r>
    </w:p>
    <w:p w14:paraId="48343DC8" w14:textId="77777777" w:rsidR="00033726" w:rsidRPr="00EE7AB2" w:rsidRDefault="00033726" w:rsidP="00033726">
      <w:pPr>
        <w:rPr>
          <w:rFonts w:ascii="Arial" w:hAnsi="Arial" w:cs="Arial"/>
          <w:sz w:val="22"/>
          <w:lang w:eastAsia="es-CO"/>
        </w:rPr>
      </w:pPr>
    </w:p>
    <w:p w14:paraId="17330A55" w14:textId="01B74523" w:rsidR="00033726" w:rsidRPr="00295D8A" w:rsidRDefault="00AD4A41" w:rsidP="00033726">
      <w:pPr>
        <w:jc w:val="center"/>
        <w:rPr>
          <w:rFonts w:ascii="Arial" w:hAnsi="Arial" w:cs="Arial"/>
          <w:sz w:val="18"/>
          <w:szCs w:val="20"/>
          <w:lang w:eastAsia="es-CO"/>
        </w:rPr>
      </w:pPr>
      <w:r>
        <w:rPr>
          <w:rFonts w:ascii="Arial" w:hAnsi="Arial" w:cs="Arial"/>
          <w:noProof/>
          <w:sz w:val="18"/>
          <w:szCs w:val="20"/>
        </w:rPr>
        <w:drawing>
          <wp:inline distT="0" distB="0" distL="0" distR="0" wp14:anchorId="6EE405F6" wp14:editId="3CC59BB1">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0814" w:rsidRPr="00295D8A" w14:paraId="6B2C663A" w14:textId="77777777" w:rsidTr="00760814">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9A25AA"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Kamal Abdul Nassar Montoya</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760814">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97D96E"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Sebastián Ramírez Grisales</w:t>
            </w:r>
          </w:p>
          <w:p w14:paraId="2654F995" w14:textId="70446065" w:rsidR="00760814" w:rsidRPr="00295D8A" w:rsidRDefault="0096481E" w:rsidP="00760814">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w:t>
            </w:r>
            <w:r w:rsidR="00760814" w:rsidRPr="00295D8A">
              <w:rPr>
                <w:rFonts w:ascii="Arial" w:hAnsi="Arial" w:cs="Arial"/>
                <w:sz w:val="16"/>
                <w:szCs w:val="16"/>
                <w:lang w:eastAsia="es-ES"/>
              </w:rPr>
              <w:t>Subdirección de Gestión Contractual</w:t>
            </w:r>
          </w:p>
        </w:tc>
      </w:tr>
      <w:tr w:rsidR="00295D8A" w:rsidRPr="00295D8A" w14:paraId="12FFD112" w14:textId="77777777" w:rsidTr="00760814">
        <w:trPr>
          <w:trHeight w:val="300"/>
        </w:trPr>
        <w:tc>
          <w:tcPr>
            <w:tcW w:w="812" w:type="dxa"/>
            <w:vAlign w:val="center"/>
            <w:hideMark/>
          </w:tcPr>
          <w:p w14:paraId="48653619"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Subdirector de Gestión Contractual</w:t>
            </w:r>
          </w:p>
        </w:tc>
      </w:tr>
      <w:tr w:rsidR="00033726" w:rsidRPr="00295D8A" w14:paraId="3AD4D574" w14:textId="77777777" w:rsidTr="00760814">
        <w:trPr>
          <w:trHeight w:val="300"/>
        </w:trPr>
        <w:tc>
          <w:tcPr>
            <w:tcW w:w="812" w:type="dxa"/>
            <w:vAlign w:val="center"/>
            <w:hideMark/>
          </w:tcPr>
          <w:p w14:paraId="7B045DBA"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C9FA1"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0</w:t>
            </w:r>
          </w:p>
        </w:tc>
        <w:bookmarkEnd w:id="12"/>
      </w:tr>
      <w:bookmarkEnd w:id="13"/>
    </w:tbl>
    <w:p w14:paraId="7EBF297E" w14:textId="77777777" w:rsidR="007B0854" w:rsidRPr="00295D8A" w:rsidRDefault="007B0854" w:rsidP="00C92472">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874F3" w14:textId="77777777" w:rsidR="00082985" w:rsidRDefault="00082985">
      <w:r>
        <w:separator/>
      </w:r>
    </w:p>
  </w:endnote>
  <w:endnote w:type="continuationSeparator" w:id="0">
    <w:p w14:paraId="23C0C068" w14:textId="77777777" w:rsidR="00082985" w:rsidRDefault="00082985">
      <w:r>
        <w:continuationSeparator/>
      </w:r>
    </w:p>
  </w:endnote>
  <w:endnote w:type="continuationNotice" w:id="1">
    <w:p w14:paraId="47B735BC" w14:textId="77777777" w:rsidR="00082985" w:rsidRDefault="00082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0032" w14:textId="77777777" w:rsidR="001B4AE1" w:rsidRDefault="001B4AE1" w:rsidP="00856133">
    <w:pPr>
      <w:pStyle w:val="Sinespaciado"/>
      <w:jc w:val="right"/>
      <w:rPr>
        <w:rFonts w:ascii="Arial" w:hAnsi="Arial" w:cs="Arial"/>
        <w:sz w:val="18"/>
        <w:szCs w:val="18"/>
      </w:rPr>
    </w:pPr>
  </w:p>
  <w:p w14:paraId="512F463F" w14:textId="54B3CCBC" w:rsidR="001B4AE1" w:rsidRPr="008217B7" w:rsidRDefault="001B4AE1"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1B4AE1" w:rsidRDefault="001B4AE1"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1B4AE1" w:rsidRDefault="001B4AE1" w:rsidP="00856133">
    <w:pPr>
      <w:pStyle w:val="Piedepgina"/>
      <w:jc w:val="center"/>
      <w:rPr>
        <w:lang w:val="es-ES"/>
      </w:rPr>
    </w:pPr>
  </w:p>
  <w:p w14:paraId="70077B90" w14:textId="77777777" w:rsidR="001B4AE1" w:rsidRPr="007B0854" w:rsidRDefault="001B4AE1" w:rsidP="00856133">
    <w:pPr>
      <w:pStyle w:val="Piedepgina"/>
      <w:jc w:val="center"/>
      <w:rPr>
        <w:lang w:val="es-ES"/>
      </w:rPr>
    </w:pPr>
  </w:p>
  <w:p w14:paraId="6C0EFC49" w14:textId="77777777" w:rsidR="001B4AE1" w:rsidRPr="00856133" w:rsidRDefault="001B4AE1"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8CDF3" w14:textId="77777777" w:rsidR="00082985" w:rsidRDefault="00082985">
      <w:r>
        <w:separator/>
      </w:r>
    </w:p>
  </w:footnote>
  <w:footnote w:type="continuationSeparator" w:id="0">
    <w:p w14:paraId="2077463F" w14:textId="77777777" w:rsidR="00082985" w:rsidRDefault="00082985">
      <w:r>
        <w:continuationSeparator/>
      </w:r>
    </w:p>
  </w:footnote>
  <w:footnote w:type="continuationNotice" w:id="1">
    <w:p w14:paraId="04C8A952" w14:textId="77777777" w:rsidR="00082985" w:rsidRDefault="00082985"/>
  </w:footnote>
  <w:footnote w:id="2">
    <w:p w14:paraId="0A3FFA85" w14:textId="77777777" w:rsidR="00617149" w:rsidRPr="00A25E18" w:rsidRDefault="00617149" w:rsidP="00A25E18">
      <w:pPr>
        <w:pStyle w:val="Textonotapie"/>
        <w:ind w:firstLine="709"/>
        <w:jc w:val="both"/>
        <w:rPr>
          <w:rFonts w:ascii="Arial" w:hAnsi="Arial" w:cs="Arial"/>
          <w:sz w:val="19"/>
          <w:szCs w:val="19"/>
        </w:rPr>
      </w:pPr>
      <w:r w:rsidRPr="00A25E18">
        <w:rPr>
          <w:rStyle w:val="Refdenotaalpie"/>
          <w:rFonts w:ascii="Arial" w:hAnsi="Arial" w:cs="Arial"/>
          <w:sz w:val="19"/>
          <w:szCs w:val="19"/>
        </w:rPr>
        <w:footnoteRef/>
      </w:r>
      <w:r w:rsidRPr="00A25E18">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537A816E" w14:textId="77777777" w:rsidR="00617149" w:rsidRPr="00A25E18" w:rsidRDefault="00617149" w:rsidP="00A25E18">
      <w:pPr>
        <w:pStyle w:val="Textonotapie"/>
        <w:ind w:firstLine="709"/>
        <w:jc w:val="both"/>
        <w:rPr>
          <w:rFonts w:ascii="Arial" w:hAnsi="Arial" w:cs="Arial"/>
          <w:sz w:val="19"/>
          <w:szCs w:val="19"/>
          <w:lang w:val="es-CO"/>
        </w:rPr>
      </w:pPr>
    </w:p>
  </w:footnote>
  <w:footnote w:id="3">
    <w:p w14:paraId="1DC42CE2" w14:textId="77777777" w:rsidR="00617149" w:rsidRPr="00A25E18" w:rsidRDefault="00617149" w:rsidP="00A25E18">
      <w:pPr>
        <w:pStyle w:val="Textonotapie"/>
        <w:ind w:firstLine="709"/>
        <w:jc w:val="both"/>
        <w:rPr>
          <w:rFonts w:ascii="Arial" w:hAnsi="Arial" w:cs="Arial"/>
          <w:sz w:val="19"/>
          <w:szCs w:val="19"/>
        </w:rPr>
      </w:pPr>
      <w:r w:rsidRPr="00A25E18">
        <w:rPr>
          <w:rStyle w:val="Refdenotaalpie"/>
          <w:rFonts w:ascii="Arial" w:hAnsi="Arial" w:cs="Arial"/>
          <w:sz w:val="19"/>
          <w:szCs w:val="19"/>
        </w:rPr>
        <w:footnoteRef/>
      </w:r>
      <w:r w:rsidRPr="00A25E18">
        <w:rPr>
          <w:rFonts w:ascii="Arial" w:hAnsi="Arial" w:cs="Arial"/>
          <w:sz w:val="19"/>
          <w:szCs w:val="19"/>
        </w:rPr>
        <w:t xml:space="preserve"> </w:t>
      </w:r>
      <w:r w:rsidRPr="00A25E18">
        <w:rPr>
          <w:rFonts w:ascii="Arial" w:hAnsi="Arial" w:cs="Arial"/>
          <w:sz w:val="19"/>
          <w:szCs w:val="19"/>
          <w:lang w:val="es-CO"/>
        </w:rPr>
        <w:t xml:space="preserve">Ley 1882 de 2018: «Artículo 4. </w:t>
      </w:r>
      <w:r w:rsidRPr="00A25E18">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9FA9E5D" w14:textId="77777777" w:rsidR="00617149" w:rsidRPr="00A25E18" w:rsidRDefault="00617149" w:rsidP="00A25E18">
      <w:pPr>
        <w:pStyle w:val="Textonotapie"/>
        <w:ind w:firstLine="709"/>
        <w:jc w:val="both"/>
        <w:rPr>
          <w:rFonts w:ascii="Arial" w:hAnsi="Arial" w:cs="Arial"/>
          <w:sz w:val="19"/>
          <w:szCs w:val="19"/>
          <w:lang w:val="es-CO"/>
        </w:rPr>
      </w:pPr>
      <w:proofErr w:type="gramStart"/>
      <w:r w:rsidRPr="00A25E18">
        <w:rPr>
          <w:rFonts w:ascii="Arial" w:hAnsi="Arial" w:cs="Arial"/>
          <w:sz w:val="19"/>
          <w:szCs w:val="19"/>
          <w:lang w:val="es-CO"/>
        </w:rPr>
        <w:t>»La</w:t>
      </w:r>
      <w:proofErr w:type="gramEnd"/>
      <w:r w:rsidRPr="00A25E18">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6E9A1B77" w14:textId="77777777" w:rsidR="00617149" w:rsidRPr="00A25E18" w:rsidRDefault="00617149" w:rsidP="00A25E18">
      <w:pPr>
        <w:pStyle w:val="Textonotapie"/>
        <w:ind w:firstLine="709"/>
        <w:jc w:val="both"/>
        <w:rPr>
          <w:rFonts w:ascii="Arial" w:hAnsi="Arial" w:cs="Arial"/>
          <w:sz w:val="19"/>
          <w:szCs w:val="19"/>
          <w:lang w:val="es-CO"/>
        </w:rPr>
      </w:pPr>
      <w:proofErr w:type="gramStart"/>
      <w:r w:rsidRPr="00A25E18">
        <w:rPr>
          <w:rFonts w:ascii="Arial" w:hAnsi="Arial" w:cs="Arial"/>
          <w:sz w:val="19"/>
          <w:szCs w:val="19"/>
          <w:lang w:val="es-CO"/>
        </w:rPr>
        <w:t>»Los</w:t>
      </w:r>
      <w:proofErr w:type="gramEnd"/>
      <w:r w:rsidRPr="00A25E18">
        <w:rPr>
          <w:rFonts w:ascii="Arial" w:hAnsi="Arial" w:cs="Arial"/>
          <w:sz w:val="19"/>
          <w:szCs w:val="19"/>
          <w:lang w:val="es-CO"/>
        </w:rPr>
        <w:t xml:space="preserve"> pliegos tipo se adoptarán por categorías de acuerdo con la cuantía de la contratación, según la reglamentación que expida el Gobierno nacional».</w:t>
      </w:r>
    </w:p>
    <w:p w14:paraId="291CA196" w14:textId="77777777" w:rsidR="00617149" w:rsidRPr="00A25E18" w:rsidRDefault="00617149" w:rsidP="00A25E18">
      <w:pPr>
        <w:pStyle w:val="Textonotapie"/>
        <w:ind w:firstLine="709"/>
        <w:jc w:val="both"/>
        <w:rPr>
          <w:rFonts w:ascii="Arial" w:hAnsi="Arial" w:cs="Arial"/>
          <w:sz w:val="19"/>
          <w:szCs w:val="19"/>
          <w:lang w:val="es-CO"/>
        </w:rPr>
      </w:pPr>
    </w:p>
  </w:footnote>
  <w:footnote w:id="4">
    <w:p w14:paraId="4A6FCCFC" w14:textId="77777777" w:rsidR="00617149" w:rsidRPr="00A25E18" w:rsidRDefault="00617149" w:rsidP="00A25E18">
      <w:pPr>
        <w:pStyle w:val="Textonotapie"/>
        <w:ind w:firstLine="709"/>
        <w:jc w:val="both"/>
        <w:rPr>
          <w:rFonts w:ascii="Arial" w:hAnsi="Arial" w:cs="Arial"/>
          <w:sz w:val="19"/>
          <w:szCs w:val="19"/>
        </w:rPr>
      </w:pPr>
      <w:r w:rsidRPr="00A25E18">
        <w:rPr>
          <w:rStyle w:val="Refdenotaalpie"/>
          <w:rFonts w:ascii="Arial" w:hAnsi="Arial" w:cs="Arial"/>
          <w:sz w:val="19"/>
          <w:szCs w:val="19"/>
        </w:rPr>
        <w:footnoteRef/>
      </w:r>
      <w:r w:rsidRPr="00A25E18">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3E17C30D" w14:textId="77777777" w:rsidR="00617149" w:rsidRPr="00A25E18" w:rsidRDefault="00617149" w:rsidP="00A25E18">
      <w:pPr>
        <w:pStyle w:val="Textonotapie"/>
        <w:ind w:firstLine="709"/>
        <w:jc w:val="both"/>
        <w:rPr>
          <w:rFonts w:ascii="Arial" w:hAnsi="Arial" w:cs="Arial"/>
          <w:sz w:val="19"/>
          <w:szCs w:val="19"/>
        </w:rPr>
      </w:pPr>
    </w:p>
  </w:footnote>
  <w:footnote w:id="5">
    <w:p w14:paraId="30A2ABF4" w14:textId="77777777" w:rsidR="00617149" w:rsidRPr="00A25E18" w:rsidRDefault="00617149" w:rsidP="00A25E18">
      <w:pPr>
        <w:pStyle w:val="Textonotapie"/>
        <w:ind w:firstLine="709"/>
        <w:jc w:val="both"/>
        <w:rPr>
          <w:rFonts w:ascii="Arial" w:hAnsi="Arial" w:cs="Arial"/>
          <w:sz w:val="19"/>
          <w:szCs w:val="19"/>
          <w:lang w:val="es-ES"/>
        </w:rPr>
      </w:pPr>
      <w:r w:rsidRPr="00A25E18">
        <w:rPr>
          <w:rStyle w:val="Refdenotaalpie"/>
          <w:rFonts w:ascii="Arial" w:hAnsi="Arial" w:cs="Arial"/>
          <w:sz w:val="19"/>
          <w:szCs w:val="19"/>
        </w:rPr>
        <w:footnoteRef/>
      </w:r>
      <w:r w:rsidRPr="00A25E18">
        <w:rPr>
          <w:rFonts w:ascii="Arial" w:hAnsi="Arial" w:cs="Arial"/>
          <w:sz w:val="19"/>
          <w:szCs w:val="19"/>
        </w:rPr>
        <w:t xml:space="preserve"> </w:t>
      </w:r>
      <w:r w:rsidRPr="00A25E18">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p>
  </w:footnote>
  <w:footnote w:id="6">
    <w:p w14:paraId="36A9CD76" w14:textId="0827B491" w:rsidR="00A25E18" w:rsidRPr="00E36193" w:rsidRDefault="00A25E18" w:rsidP="00E36193">
      <w:pPr>
        <w:pStyle w:val="Textonotapie"/>
        <w:ind w:firstLine="708"/>
        <w:jc w:val="both"/>
        <w:rPr>
          <w:rFonts w:ascii="Arial" w:hAnsi="Arial" w:cs="Arial"/>
          <w:sz w:val="19"/>
          <w:szCs w:val="19"/>
          <w:lang w:val="es-CO"/>
        </w:rPr>
      </w:pPr>
      <w:r w:rsidRPr="00E36193">
        <w:rPr>
          <w:rStyle w:val="Refdenotaalpie"/>
          <w:rFonts w:ascii="Arial" w:hAnsi="Arial" w:cs="Arial"/>
          <w:sz w:val="19"/>
          <w:szCs w:val="19"/>
        </w:rPr>
        <w:footnoteRef/>
      </w:r>
      <w:r w:rsidRPr="00E36193">
        <w:rPr>
          <w:rFonts w:ascii="Arial" w:hAnsi="Arial" w:cs="Arial"/>
          <w:sz w:val="19"/>
          <w:szCs w:val="19"/>
        </w:rPr>
        <w:t xml:space="preserve"> «Artículo 2.2.1.2.6.1.4. Inalterabilidad de los Documentos Tipo. [Adicionado por el artículo 1 del Decreto 342 del 5 de marzo de 2019] Las entidades estatales contratantes no podrán incluir o modificar dentro de los Documentos del Proceso las condiciones habilitantes, los factores técnicos y económicos de escogencia y los sistemas de ponderación distintos a los señalados en los Documentos Tipo</w:t>
      </w:r>
      <w:r>
        <w:rPr>
          <w:rFonts w:ascii="Arial" w:hAnsi="Arial" w:cs="Arial"/>
          <w:sz w:val="19"/>
          <w:szCs w:val="19"/>
        </w:rPr>
        <w:t>»</w:t>
      </w:r>
      <w:r w:rsidRPr="00E36193">
        <w:rPr>
          <w:rFonts w:ascii="Arial" w:hAnsi="Arial" w:cs="Arial"/>
          <w:sz w:val="19"/>
          <w:szCs w:val="19"/>
        </w:rPr>
        <w:t>.</w:t>
      </w:r>
    </w:p>
  </w:footnote>
  <w:footnote w:id="7">
    <w:p w14:paraId="3FCAD486" w14:textId="77777777" w:rsidR="00D960B1" w:rsidRPr="00375818" w:rsidRDefault="00D960B1" w:rsidP="00D960B1">
      <w:pPr>
        <w:pStyle w:val="Textonotapie"/>
        <w:ind w:firstLine="708"/>
        <w:jc w:val="both"/>
        <w:rPr>
          <w:rFonts w:ascii="Arial" w:hAnsi="Arial" w:cs="Arial"/>
          <w:color w:val="000000"/>
          <w:sz w:val="19"/>
          <w:szCs w:val="19"/>
        </w:rPr>
      </w:pPr>
      <w:r w:rsidRPr="00375818">
        <w:rPr>
          <w:rStyle w:val="Refdenotaalpie"/>
          <w:rFonts w:ascii="Arial" w:hAnsi="Arial" w:cs="Arial"/>
          <w:sz w:val="19"/>
          <w:szCs w:val="19"/>
        </w:rPr>
        <w:footnoteRef/>
      </w:r>
      <w:r>
        <w:rPr>
          <w:rFonts w:ascii="Arial" w:hAnsi="Arial" w:cs="Arial"/>
          <w:sz w:val="19"/>
          <w:szCs w:val="19"/>
        </w:rPr>
        <w:t xml:space="preserve"> </w:t>
      </w:r>
      <w:r w:rsidRPr="00A25E18">
        <w:rPr>
          <w:rFonts w:ascii="Arial" w:hAnsi="Arial" w:cs="Arial"/>
          <w:color w:val="000000"/>
          <w:sz w:val="19"/>
          <w:szCs w:val="19"/>
        </w:rPr>
        <w:t>Consejo de Estado. Sección Tercera</w:t>
      </w:r>
      <w:r>
        <w:rPr>
          <w:rFonts w:ascii="Arial" w:hAnsi="Arial" w:cs="Arial"/>
          <w:color w:val="000000"/>
          <w:sz w:val="19"/>
          <w:szCs w:val="19"/>
        </w:rPr>
        <w:t>.</w:t>
      </w:r>
      <w:r w:rsidRPr="00A25E18">
        <w:rPr>
          <w:rFonts w:ascii="Arial" w:hAnsi="Arial" w:cs="Arial"/>
          <w:color w:val="000000"/>
          <w:sz w:val="19"/>
          <w:szCs w:val="19"/>
        </w:rPr>
        <w:t xml:space="preserve"> Subsección C. Sentencia del 11 de febrero de 2009. </w:t>
      </w:r>
      <w:proofErr w:type="spellStart"/>
      <w:r>
        <w:rPr>
          <w:rFonts w:ascii="Arial" w:hAnsi="Arial" w:cs="Arial"/>
          <w:color w:val="000000"/>
          <w:sz w:val="19"/>
          <w:szCs w:val="19"/>
        </w:rPr>
        <w:t>Exp</w:t>
      </w:r>
      <w:proofErr w:type="spellEnd"/>
      <w:r>
        <w:rPr>
          <w:rFonts w:ascii="Arial" w:hAnsi="Arial" w:cs="Arial"/>
          <w:color w:val="000000"/>
          <w:sz w:val="19"/>
          <w:szCs w:val="19"/>
        </w:rPr>
        <w:t xml:space="preserve">. </w:t>
      </w:r>
      <w:r w:rsidRPr="00D960B1">
        <w:rPr>
          <w:rFonts w:ascii="Arial" w:hAnsi="Arial" w:cs="Arial"/>
          <w:color w:val="000000"/>
          <w:sz w:val="19"/>
          <w:szCs w:val="19"/>
        </w:rPr>
        <w:t>16.100</w:t>
      </w:r>
      <w:r>
        <w:rPr>
          <w:rFonts w:ascii="Arial" w:hAnsi="Arial" w:cs="Arial"/>
          <w:color w:val="000000"/>
          <w:sz w:val="19"/>
          <w:szCs w:val="19"/>
        </w:rPr>
        <w:t xml:space="preserve">. </w:t>
      </w:r>
      <w:r w:rsidRPr="00A25E18">
        <w:rPr>
          <w:rFonts w:ascii="Arial" w:hAnsi="Arial" w:cs="Arial"/>
          <w:color w:val="000000"/>
          <w:sz w:val="19"/>
          <w:szCs w:val="19"/>
        </w:rPr>
        <w:t>C.P. Ramiro Saavedra Becerra</w:t>
      </w:r>
      <w:r w:rsidRPr="00375818">
        <w:rPr>
          <w:rFonts w:ascii="Arial" w:hAnsi="Arial" w:cs="Arial"/>
          <w:color w:val="000000"/>
          <w:sz w:val="19"/>
          <w:szCs w:val="19"/>
        </w:rPr>
        <w:t>.</w:t>
      </w:r>
    </w:p>
  </w:footnote>
  <w:footnote w:id="8">
    <w:p w14:paraId="743B609C" w14:textId="77777777" w:rsidR="00617149" w:rsidRPr="00D960B1" w:rsidRDefault="00617149" w:rsidP="00A25E18">
      <w:pPr>
        <w:pStyle w:val="Textonotapie"/>
        <w:ind w:firstLine="709"/>
        <w:jc w:val="both"/>
        <w:rPr>
          <w:rFonts w:ascii="Arial" w:hAnsi="Arial" w:cs="Arial"/>
          <w:color w:val="000000"/>
          <w:sz w:val="19"/>
          <w:szCs w:val="19"/>
        </w:rPr>
      </w:pPr>
      <w:r w:rsidRPr="00A25E18">
        <w:rPr>
          <w:rStyle w:val="Refdenotaalpie"/>
          <w:rFonts w:ascii="Arial" w:hAnsi="Arial" w:cs="Arial"/>
          <w:color w:val="000000"/>
          <w:sz w:val="19"/>
          <w:szCs w:val="19"/>
        </w:rPr>
        <w:footnoteRef/>
      </w:r>
      <w:r w:rsidRPr="00A25E18">
        <w:rPr>
          <w:rFonts w:ascii="Arial" w:hAnsi="Arial" w:cs="Arial"/>
          <w:color w:val="000000"/>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24F62B26" w14:textId="77777777" w:rsidR="00617149" w:rsidRPr="00825211" w:rsidRDefault="00617149" w:rsidP="00D960B1">
      <w:pPr>
        <w:pStyle w:val="Textonotapie"/>
        <w:ind w:firstLine="709"/>
        <w:jc w:val="both"/>
        <w:rPr>
          <w:rFonts w:ascii="Arial" w:hAnsi="Arial" w:cs="Arial"/>
          <w:b/>
          <w:color w:val="000000"/>
          <w:sz w:val="19"/>
          <w:szCs w:val="19"/>
        </w:rPr>
      </w:pPr>
    </w:p>
  </w:footnote>
  <w:footnote w:id="9">
    <w:p w14:paraId="12E208A1" w14:textId="77777777" w:rsidR="00617149" w:rsidRPr="00825211" w:rsidRDefault="00617149" w:rsidP="00825211">
      <w:pPr>
        <w:pStyle w:val="Textonotapie"/>
        <w:ind w:firstLine="709"/>
        <w:jc w:val="both"/>
        <w:rPr>
          <w:rFonts w:ascii="Arial" w:hAnsi="Arial" w:cs="Arial"/>
          <w:color w:val="000000"/>
          <w:sz w:val="19"/>
          <w:szCs w:val="19"/>
        </w:rPr>
      </w:pPr>
      <w:r w:rsidRPr="00A25E18">
        <w:rPr>
          <w:rStyle w:val="Refdenotaalpie"/>
          <w:rFonts w:ascii="Arial" w:hAnsi="Arial" w:cs="Arial"/>
          <w:color w:val="000000"/>
          <w:sz w:val="19"/>
          <w:szCs w:val="19"/>
        </w:rPr>
        <w:footnoteRef/>
      </w:r>
      <w:r w:rsidRPr="00A25E18">
        <w:rPr>
          <w:rFonts w:ascii="Arial" w:hAnsi="Arial" w:cs="Arial"/>
          <w:color w:val="000000"/>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w:t>
      </w:r>
      <w:r w:rsidRPr="00D960B1">
        <w:rPr>
          <w:rFonts w:ascii="Arial" w:hAnsi="Arial" w:cs="Arial"/>
          <w:color w:val="000000"/>
          <w:sz w:val="19"/>
          <w:szCs w:val="19"/>
        </w:rPr>
        <w:t>, modificar o mejorar sus propuestas».</w:t>
      </w:r>
    </w:p>
  </w:footnote>
  <w:footnote w:id="10">
    <w:p w14:paraId="0471C855" w14:textId="77777777" w:rsidR="00617149" w:rsidRPr="00A25E18" w:rsidRDefault="00617149" w:rsidP="00825211">
      <w:pPr>
        <w:pStyle w:val="Textonotapie"/>
        <w:ind w:firstLine="709"/>
        <w:jc w:val="both"/>
        <w:rPr>
          <w:rFonts w:ascii="Arial" w:hAnsi="Arial" w:cs="Arial"/>
          <w:color w:val="000000"/>
          <w:sz w:val="19"/>
          <w:szCs w:val="19"/>
        </w:rPr>
      </w:pPr>
      <w:r w:rsidRPr="00A25E18">
        <w:rPr>
          <w:rStyle w:val="Refdenotaalpie"/>
          <w:rFonts w:ascii="Arial" w:hAnsi="Arial" w:cs="Arial"/>
          <w:color w:val="000000"/>
          <w:sz w:val="19"/>
          <w:szCs w:val="19"/>
        </w:rPr>
        <w:footnoteRef/>
      </w:r>
      <w:r w:rsidRPr="00A25E18">
        <w:rPr>
          <w:rFonts w:ascii="Arial" w:hAnsi="Arial" w:cs="Arial"/>
          <w:color w:val="000000"/>
          <w:sz w:val="19"/>
          <w:szCs w:val="19"/>
        </w:rPr>
        <w:t xml:space="preserve"> Consejo de Estado. Sección Tercera, Subsección C. Sentencia del 26 de febrero de 2014. C.P. Enrique Gil Botero, Rad. 1999-00113-01 (25.804). </w:t>
      </w:r>
    </w:p>
  </w:footnote>
  <w:footnote w:id="11">
    <w:p w14:paraId="329CC29B" w14:textId="3A0DC65A" w:rsidR="00825211" w:rsidRPr="00E36193" w:rsidRDefault="00825211" w:rsidP="00E36193">
      <w:pPr>
        <w:pStyle w:val="Textonotapie"/>
        <w:ind w:firstLine="708"/>
        <w:jc w:val="both"/>
        <w:rPr>
          <w:rFonts w:ascii="Arial" w:hAnsi="Arial" w:cs="Arial"/>
          <w:sz w:val="19"/>
          <w:szCs w:val="19"/>
        </w:rPr>
      </w:pPr>
      <w:r w:rsidRPr="00E36193">
        <w:rPr>
          <w:rStyle w:val="Refdenotaalpie"/>
          <w:rFonts w:ascii="Arial" w:hAnsi="Arial" w:cs="Arial"/>
          <w:sz w:val="19"/>
          <w:szCs w:val="19"/>
        </w:rPr>
        <w:footnoteRef/>
      </w:r>
      <w:r w:rsidRPr="00E36193">
        <w:rPr>
          <w:rFonts w:ascii="Arial" w:hAnsi="Arial" w:cs="Arial"/>
          <w:sz w:val="19"/>
          <w:szCs w:val="19"/>
        </w:rPr>
        <w:t xml:space="preserve"> Solo se profundizará en dos de ellos, por tener relación con el esquema general de </w:t>
      </w:r>
      <w:proofErr w:type="spellStart"/>
      <w:r w:rsidRPr="00E36193">
        <w:rPr>
          <w:rFonts w:ascii="Arial" w:hAnsi="Arial" w:cs="Arial"/>
          <w:sz w:val="19"/>
          <w:szCs w:val="19"/>
        </w:rPr>
        <w:t>subsanabilidad</w:t>
      </w:r>
      <w:proofErr w:type="spellEnd"/>
      <w:r w:rsidRPr="00E36193">
        <w:rPr>
          <w:rFonts w:ascii="Arial" w:hAnsi="Arial" w:cs="Arial"/>
          <w:sz w:val="19"/>
          <w:szCs w:val="19"/>
        </w:rPr>
        <w:t xml:space="preserve">, en este sentido, el tercer aspecto, en que no se profundizará en este texto, </w:t>
      </w:r>
      <w:r w:rsidR="00E07D2A">
        <w:rPr>
          <w:rFonts w:ascii="Arial" w:hAnsi="Arial" w:cs="Arial"/>
          <w:sz w:val="19"/>
          <w:szCs w:val="19"/>
        </w:rPr>
        <w:t>se deriva de lo establecido en el parágrafo 3 del artículo 5 de la Ley 1150 de 2007, incluido por el artículo 5 de la Ley 1882 de 2018: «</w:t>
      </w:r>
      <w:r w:rsidR="00E07D2A" w:rsidRPr="00E07D2A">
        <w:rPr>
          <w:rFonts w:ascii="Arial" w:hAnsi="Arial" w:cs="Arial"/>
          <w:sz w:val="19"/>
          <w:szCs w:val="19"/>
        </w:rPr>
        <w:t>P</w:t>
      </w:r>
      <w:r w:rsidR="00E07D2A">
        <w:rPr>
          <w:rFonts w:ascii="Arial" w:hAnsi="Arial" w:cs="Arial"/>
          <w:sz w:val="19"/>
          <w:szCs w:val="19"/>
        </w:rPr>
        <w:t>arágrafo</w:t>
      </w:r>
      <w:r w:rsidR="00E07D2A" w:rsidRPr="00E07D2A">
        <w:rPr>
          <w:rFonts w:ascii="Arial" w:hAnsi="Arial" w:cs="Arial"/>
          <w:sz w:val="19"/>
          <w:szCs w:val="19"/>
        </w:rPr>
        <w:t xml:space="preserve"> 3. La no entrega de la garantía de seriedad junto con la propuesta no será subsanable y será causal de rechazo de </w:t>
      </w:r>
      <w:proofErr w:type="gramStart"/>
      <w:r w:rsidR="00E07D2A" w:rsidRPr="00E07D2A">
        <w:rPr>
          <w:rFonts w:ascii="Arial" w:hAnsi="Arial" w:cs="Arial"/>
          <w:sz w:val="19"/>
          <w:szCs w:val="19"/>
        </w:rPr>
        <w:t>la misma</w:t>
      </w:r>
      <w:proofErr w:type="gramEnd"/>
      <w:r w:rsidR="00E07D2A">
        <w:rPr>
          <w:rFonts w:ascii="Arial" w:hAnsi="Arial" w:cs="Arial"/>
          <w:sz w:val="19"/>
          <w:szCs w:val="19"/>
        </w:rPr>
        <w:t>»</w:t>
      </w:r>
      <w:r w:rsidR="00E07D2A" w:rsidRPr="00E07D2A">
        <w:rPr>
          <w:rFonts w:ascii="Arial" w:hAnsi="Arial" w:cs="Arial"/>
          <w:sz w:val="19"/>
          <w:szCs w:val="19"/>
        </w:rPr>
        <w:t>.</w:t>
      </w:r>
      <w:r w:rsidR="00E07D2A" w:rsidRPr="00E36193">
        <w:rPr>
          <w:rFonts w:ascii="Arial" w:hAnsi="Arial" w:cs="Arial"/>
          <w:sz w:val="19"/>
          <w:szCs w:val="19"/>
        </w:rPr>
        <w:t xml:space="preserve"> </w:t>
      </w:r>
    </w:p>
    <w:p w14:paraId="236B62F9" w14:textId="77777777" w:rsidR="00825211" w:rsidRPr="00E36193" w:rsidRDefault="00825211" w:rsidP="00E36193">
      <w:pPr>
        <w:pStyle w:val="Textonotapie"/>
        <w:ind w:firstLine="708"/>
        <w:rPr>
          <w:lang w:val="es-CO"/>
        </w:rPr>
      </w:pPr>
    </w:p>
  </w:footnote>
  <w:footnote w:id="12">
    <w:p w14:paraId="1C1F0F11" w14:textId="77777777" w:rsidR="00617149" w:rsidRPr="00A25E18" w:rsidRDefault="00617149" w:rsidP="00825211">
      <w:pPr>
        <w:pStyle w:val="Textonotapie"/>
        <w:ind w:firstLine="709"/>
        <w:jc w:val="both"/>
        <w:rPr>
          <w:rFonts w:ascii="Arial" w:hAnsi="Arial" w:cs="Arial"/>
          <w:color w:val="000000"/>
          <w:sz w:val="19"/>
          <w:szCs w:val="19"/>
          <w:lang w:val="es-CO"/>
        </w:rPr>
      </w:pPr>
      <w:r w:rsidRPr="00A25E18">
        <w:rPr>
          <w:rStyle w:val="Refdenotaalpie"/>
          <w:rFonts w:ascii="Arial" w:hAnsi="Arial" w:cs="Arial"/>
          <w:color w:val="000000"/>
          <w:sz w:val="19"/>
          <w:szCs w:val="19"/>
        </w:rPr>
        <w:footnoteRef/>
      </w:r>
      <w:r w:rsidRPr="00A25E18">
        <w:rPr>
          <w:rStyle w:val="Refdenotaalpie"/>
          <w:rFonts w:ascii="Arial" w:hAnsi="Arial" w:cs="Arial"/>
          <w:color w:val="000000"/>
          <w:sz w:val="19"/>
          <w:szCs w:val="19"/>
        </w:rPr>
        <w:t xml:space="preserve"> </w:t>
      </w:r>
      <w:r w:rsidRPr="00A25E18">
        <w:rPr>
          <w:rFonts w:ascii="Arial" w:hAnsi="Arial" w:cs="Arial"/>
          <w:color w:val="000000"/>
          <w:sz w:val="19"/>
          <w:szCs w:val="19"/>
          <w:lang w:val="es-CO"/>
        </w:rPr>
        <w:t>Ley 1150 de 2007, artículo 5, parágrafo 4°: «</w:t>
      </w:r>
      <w:r w:rsidRPr="00D960B1">
        <w:rPr>
          <w:rFonts w:ascii="Arial" w:hAnsi="Arial" w:cs="Arial"/>
          <w:color w:val="000000"/>
          <w:sz w:val="19"/>
          <w:szCs w:val="19"/>
        </w:rPr>
        <w:t>En aquellos procesos de se</w:t>
      </w:r>
      <w:r w:rsidRPr="00825211">
        <w:rPr>
          <w:rFonts w:ascii="Arial" w:hAnsi="Arial" w:cs="Arial"/>
          <w:color w:val="000000"/>
          <w:sz w:val="19"/>
          <w:szCs w:val="19"/>
        </w:rPr>
        <w:t>lección en los que se utilice el mecanismo de subasta, los documentos referentes a la futura contratación o a proponente, no necesarios para la comparación de las propuestas, deberán ser solicitados hasta el momento previo a su realización».</w:t>
      </w:r>
    </w:p>
  </w:footnote>
  <w:footnote w:id="13">
    <w:p w14:paraId="6E91BCC4" w14:textId="6417F7B3" w:rsidR="00617149" w:rsidRPr="00A25E18" w:rsidRDefault="00617149" w:rsidP="00825211">
      <w:pPr>
        <w:ind w:firstLine="709"/>
        <w:jc w:val="both"/>
        <w:rPr>
          <w:rFonts w:ascii="Arial" w:hAnsi="Arial" w:cs="Arial"/>
          <w:color w:val="000000"/>
          <w:sz w:val="19"/>
          <w:szCs w:val="19"/>
        </w:rPr>
      </w:pPr>
      <w:r w:rsidRPr="00A25E18">
        <w:rPr>
          <w:rStyle w:val="Refdenotaalpie"/>
          <w:rFonts w:ascii="Arial" w:hAnsi="Arial" w:cs="Arial"/>
          <w:color w:val="000000"/>
          <w:sz w:val="19"/>
          <w:szCs w:val="19"/>
        </w:rPr>
        <w:footnoteRef/>
      </w:r>
      <w:r w:rsidRPr="00A25E18">
        <w:rPr>
          <w:rFonts w:ascii="Arial" w:hAnsi="Arial" w:cs="Arial"/>
          <w:color w:val="000000"/>
          <w:sz w:val="19"/>
          <w:szCs w:val="19"/>
        </w:rPr>
        <w:t xml:space="preserve"> Decreto 2474 de 2008 (</w:t>
      </w:r>
      <w:r w:rsidR="00825211" w:rsidRPr="00A25E18">
        <w:rPr>
          <w:rFonts w:ascii="Arial" w:hAnsi="Arial" w:cs="Arial"/>
          <w:color w:val="000000"/>
          <w:sz w:val="19"/>
          <w:szCs w:val="19"/>
        </w:rPr>
        <w:t>derogado</w:t>
      </w:r>
      <w:r w:rsidRPr="00A25E18">
        <w:rPr>
          <w:rFonts w:ascii="Arial" w:hAnsi="Arial" w:cs="Arial"/>
          <w:color w:val="000000"/>
          <w:sz w:val="19"/>
          <w:szCs w:val="19"/>
        </w:rPr>
        <w:t xml:space="preserve">): «art. 10. Reglas de </w:t>
      </w:r>
      <w:proofErr w:type="spellStart"/>
      <w:r w:rsidRPr="00A25E18">
        <w:rPr>
          <w:rFonts w:ascii="Arial" w:hAnsi="Arial" w:cs="Arial"/>
          <w:color w:val="000000"/>
          <w:sz w:val="19"/>
          <w:szCs w:val="19"/>
        </w:rPr>
        <w:t>subsanabilidad</w:t>
      </w:r>
      <w:proofErr w:type="spellEnd"/>
      <w:r w:rsidRPr="00A25E18">
        <w:rPr>
          <w:rFonts w:ascii="Arial" w:hAnsi="Arial" w:cs="Arial"/>
          <w:color w:val="000000"/>
          <w:sz w:val="19"/>
          <w:szCs w:val="19"/>
        </w:rPr>
        <w:t>. En todo proceso de selección de contratistas primará lo sustancial sobre lo formal. En consecuencia no podrá rechazarse una propuesta por la ausencia de requisitos o la falta de documentos que verifi</w:t>
      </w:r>
      <w:r w:rsidRPr="00D960B1">
        <w:rPr>
          <w:rFonts w:ascii="Arial" w:hAnsi="Arial" w:cs="Arial"/>
          <w:color w:val="000000"/>
          <w:sz w:val="19"/>
          <w:szCs w:val="19"/>
        </w:rPr>
        <w:t>quen las condiciones del proponente o soporten el contenido de la oferta, y que no constituyan los factores de escogencia establecidos por la entidad en el pliego de condiciones, de conformidad con lo previsto en los numerales 2º, 3º y 4º del artículo 5º d</w:t>
      </w:r>
      <w:r w:rsidRPr="00825211">
        <w:rPr>
          <w:rFonts w:ascii="Arial" w:hAnsi="Arial" w:cs="Arial"/>
          <w:color w:val="000000"/>
          <w:sz w:val="19"/>
          <w:szCs w:val="19"/>
        </w:rPr>
        <w:t>e la </w:t>
      </w:r>
      <w:hyperlink r:id="rId1" w:tooltip="Haga clic para abrir TODA la Ley 1150 de 2007" w:history="1">
        <w:r w:rsidRPr="00A25E18">
          <w:rPr>
            <w:rFonts w:ascii="Arial" w:hAnsi="Arial" w:cs="Arial"/>
            <w:color w:val="000000"/>
            <w:sz w:val="19"/>
            <w:szCs w:val="19"/>
          </w:rPr>
          <w:t>Ley 1150 de 2007</w:t>
        </w:r>
      </w:hyperlink>
      <w:r w:rsidRPr="00A25E18">
        <w:rPr>
          <w:rFonts w:ascii="Arial" w:hAnsi="Arial" w:cs="Arial"/>
          <w:color w:val="000000"/>
          <w:sz w:val="19"/>
          <w:szCs w:val="19"/>
        </w:rPr>
        <w:t> y en el presente decreto.</w:t>
      </w:r>
    </w:p>
    <w:p w14:paraId="680390E1" w14:textId="77777777" w:rsidR="00617149" w:rsidRPr="00A25E18" w:rsidRDefault="00617149">
      <w:pPr>
        <w:ind w:firstLine="709"/>
        <w:jc w:val="both"/>
        <w:rPr>
          <w:rFonts w:ascii="Arial" w:hAnsi="Arial" w:cs="Arial"/>
          <w:color w:val="000000"/>
          <w:sz w:val="19"/>
          <w:szCs w:val="19"/>
        </w:rPr>
      </w:pPr>
      <w:proofErr w:type="gramStart"/>
      <w:r w:rsidRPr="00D960B1">
        <w:rPr>
          <w:rFonts w:ascii="Arial" w:hAnsi="Arial" w:cs="Arial"/>
          <w:color w:val="000000"/>
          <w:sz w:val="19"/>
          <w:szCs w:val="19"/>
        </w:rPr>
        <w:t>»Tales</w:t>
      </w:r>
      <w:proofErr w:type="gramEnd"/>
      <w:r w:rsidRPr="00D960B1">
        <w:rPr>
          <w:rFonts w:ascii="Arial" w:hAnsi="Arial" w:cs="Arial"/>
          <w:color w:val="000000"/>
          <w:sz w:val="19"/>
          <w:szCs w:val="19"/>
        </w:rPr>
        <w:t xml:space="preserve"> requisitos o documentos podrán ser requeridos por la entidad en condi</w:t>
      </w:r>
      <w:r w:rsidRPr="00825211">
        <w:rPr>
          <w:rFonts w:ascii="Arial" w:hAnsi="Arial" w:cs="Arial"/>
          <w:color w:val="000000"/>
          <w:sz w:val="19"/>
          <w:szCs w:val="19"/>
        </w:rPr>
        <w:t>ciones de igualdad para todos los proponentes hasta la adjudicación, o hasta el momento en que la entidad lo establezca en los pliegos de condiciones, sin que tal previsión haga nugatorio el principio contemplado en el inciso anterior.</w:t>
      </w:r>
    </w:p>
    <w:p w14:paraId="6BD9F44F" w14:textId="77777777" w:rsidR="00617149" w:rsidRPr="00A25E18" w:rsidRDefault="00617149">
      <w:pPr>
        <w:ind w:firstLine="709"/>
        <w:jc w:val="both"/>
        <w:rPr>
          <w:rFonts w:ascii="Arial" w:hAnsi="Arial" w:cs="Arial"/>
          <w:color w:val="000000"/>
          <w:sz w:val="19"/>
          <w:szCs w:val="19"/>
        </w:rPr>
      </w:pPr>
      <w:proofErr w:type="gramStart"/>
      <w:r w:rsidRPr="00A25E18">
        <w:rPr>
          <w:rFonts w:ascii="Arial" w:hAnsi="Arial" w:cs="Arial"/>
          <w:color w:val="000000"/>
          <w:sz w:val="19"/>
          <w:szCs w:val="19"/>
        </w:rPr>
        <w:t>»Será</w:t>
      </w:r>
      <w:proofErr w:type="gramEnd"/>
      <w:r w:rsidRPr="00A25E18">
        <w:rPr>
          <w:rFonts w:ascii="Arial" w:hAnsi="Arial" w:cs="Arial"/>
          <w:color w:val="000000"/>
          <w:sz w:val="19"/>
          <w:szCs w:val="19"/>
        </w:rPr>
        <w:t xml:space="preserve"> rechazada la oferta del proponente que dentro del término previsto en el pliego o en la solicitud, no responda al requerimiento que le haga la entidad para subsanarla.</w:t>
      </w:r>
    </w:p>
    <w:p w14:paraId="237E5C1C" w14:textId="77777777" w:rsidR="00617149" w:rsidRPr="00A25E18" w:rsidRDefault="00617149">
      <w:pPr>
        <w:ind w:firstLine="709"/>
        <w:jc w:val="both"/>
        <w:rPr>
          <w:rFonts w:ascii="Arial" w:hAnsi="Arial" w:cs="Arial"/>
          <w:color w:val="000000"/>
          <w:sz w:val="19"/>
          <w:szCs w:val="19"/>
        </w:rPr>
      </w:pPr>
      <w:proofErr w:type="gramStart"/>
      <w:r w:rsidRPr="00A25E18">
        <w:rPr>
          <w:rFonts w:ascii="Arial" w:hAnsi="Arial" w:cs="Arial"/>
          <w:color w:val="000000"/>
          <w:sz w:val="19"/>
          <w:szCs w:val="19"/>
        </w:rPr>
        <w:t>»Cuando</w:t>
      </w:r>
      <w:proofErr w:type="gramEnd"/>
      <w:r w:rsidRPr="00A25E18">
        <w:rPr>
          <w:rFonts w:ascii="Arial" w:hAnsi="Arial" w:cs="Arial"/>
          <w:color w:val="000000"/>
          <w:sz w:val="19"/>
          <w:szCs w:val="19"/>
        </w:rPr>
        <w:t xml:space="preserve"> se utilice el mecanismo de subasta esta posibilidad deberá ejercerse hasta el momento previo a su realización, de conformidad con el artículo 22 del presente decreto.</w:t>
      </w:r>
    </w:p>
    <w:p w14:paraId="41A056BE" w14:textId="77777777" w:rsidR="00617149" w:rsidRPr="00A25E18" w:rsidRDefault="00617149">
      <w:pPr>
        <w:ind w:firstLine="709"/>
        <w:jc w:val="both"/>
        <w:rPr>
          <w:rFonts w:ascii="Arial" w:hAnsi="Arial" w:cs="Arial"/>
          <w:color w:val="000000"/>
          <w:sz w:val="19"/>
          <w:szCs w:val="19"/>
        </w:rPr>
      </w:pPr>
      <w:proofErr w:type="gramStart"/>
      <w:r w:rsidRPr="00A25E18">
        <w:rPr>
          <w:rFonts w:ascii="Arial" w:hAnsi="Arial" w:cs="Arial"/>
          <w:color w:val="000000"/>
          <w:sz w:val="19"/>
          <w:szCs w:val="19"/>
        </w:rPr>
        <w:t>»En</w:t>
      </w:r>
      <w:proofErr w:type="gramEnd"/>
      <w:r w:rsidRPr="00A25E18">
        <w:rPr>
          <w:rFonts w:ascii="Arial" w:hAnsi="Arial" w:cs="Arial"/>
          <w:color w:val="000000"/>
          <w:sz w:val="19"/>
          <w:szCs w:val="19"/>
        </w:rPr>
        <w:t xml:space="preserve"> ningún caso la entidad podrá señalar taxativamente los requisitos o documentos subsanables o no subsanables en el pliego de condiciones, </w:t>
      </w:r>
      <w:r w:rsidRPr="00A25E18">
        <w:rPr>
          <w:rFonts w:ascii="Arial" w:hAnsi="Arial" w:cs="Arial"/>
          <w:bCs/>
          <w:i/>
          <w:iCs/>
          <w:color w:val="000000"/>
          <w:sz w:val="19"/>
          <w:szCs w:val="19"/>
        </w:rPr>
        <w:t>ni permitir que se subsane la falta de capacidad para presentar la oferta, ni que se acrediten circunstancias ocurridas con posterioridad al cierre del proceso</w:t>
      </w:r>
      <w:r w:rsidRPr="00A25E18">
        <w:rPr>
          <w:rFonts w:ascii="Arial" w:hAnsi="Arial" w:cs="Arial"/>
          <w:color w:val="000000"/>
          <w:sz w:val="19"/>
          <w:szCs w:val="19"/>
        </w:rPr>
        <w:t xml:space="preserve">». (Cursivas fuera de texto). </w:t>
      </w:r>
    </w:p>
    <w:p w14:paraId="3F2C962F" w14:textId="77777777" w:rsidR="00617149" w:rsidRPr="00A25E18" w:rsidRDefault="00617149">
      <w:pPr>
        <w:pStyle w:val="Textonotapie"/>
        <w:ind w:firstLine="709"/>
        <w:jc w:val="both"/>
        <w:rPr>
          <w:rFonts w:ascii="Arial" w:hAnsi="Arial" w:cs="Arial"/>
          <w:color w:val="000000"/>
          <w:sz w:val="19"/>
          <w:szCs w:val="19"/>
        </w:rPr>
      </w:pPr>
    </w:p>
  </w:footnote>
  <w:footnote w:id="14">
    <w:p w14:paraId="2C8A56C7" w14:textId="77777777" w:rsidR="00617149" w:rsidRPr="00825211" w:rsidRDefault="00617149">
      <w:pPr>
        <w:pStyle w:val="Textonotapie"/>
        <w:ind w:firstLine="709"/>
        <w:jc w:val="both"/>
        <w:rPr>
          <w:rFonts w:ascii="Arial" w:hAnsi="Arial" w:cs="Arial"/>
          <w:color w:val="000000"/>
          <w:sz w:val="19"/>
          <w:szCs w:val="19"/>
          <w:lang w:val="es-CO"/>
        </w:rPr>
      </w:pPr>
      <w:r w:rsidRPr="00A25E18">
        <w:rPr>
          <w:rStyle w:val="Refdenotaalpie"/>
          <w:rFonts w:ascii="Arial" w:hAnsi="Arial" w:cs="Arial"/>
          <w:color w:val="000000"/>
          <w:sz w:val="19"/>
          <w:szCs w:val="19"/>
        </w:rPr>
        <w:footnoteRef/>
      </w:r>
      <w:r w:rsidRPr="00A25E18">
        <w:rPr>
          <w:rFonts w:ascii="Arial" w:hAnsi="Arial" w:cs="Arial"/>
          <w:color w:val="000000"/>
          <w:sz w:val="19"/>
          <w:szCs w:val="19"/>
        </w:rPr>
        <w:t xml:space="preserve"> </w:t>
      </w:r>
      <w:r w:rsidRPr="00A25E18">
        <w:rPr>
          <w:rFonts w:ascii="Arial" w:hAnsi="Arial" w:cs="Arial"/>
          <w:color w:val="000000"/>
          <w:sz w:val="19"/>
          <w:szCs w:val="19"/>
          <w:lang w:val="es-CO"/>
        </w:rPr>
        <w:t xml:space="preserve">Consejo de Estado, Sala de Consulta y Servicio Civil, concepto del 6 de noviembre de 2008. C.P. </w:t>
      </w:r>
      <w:r w:rsidRPr="00D960B1">
        <w:rPr>
          <w:rFonts w:ascii="Arial" w:hAnsi="Arial" w:cs="Arial"/>
          <w:color w:val="000000"/>
          <w:sz w:val="19"/>
          <w:szCs w:val="19"/>
          <w:lang w:val="es-CO"/>
        </w:rPr>
        <w:t>William Zambrano Cetina. Rad. 2008-00079-00(1927).</w:t>
      </w:r>
    </w:p>
    <w:p w14:paraId="522FD1A1" w14:textId="0D50843C" w:rsidR="00617149" w:rsidRPr="00D960B1" w:rsidRDefault="00D960B1">
      <w:pPr>
        <w:pStyle w:val="Textonotapie"/>
        <w:ind w:firstLine="709"/>
        <w:jc w:val="both"/>
        <w:rPr>
          <w:rFonts w:ascii="Arial" w:hAnsi="Arial" w:cs="Arial"/>
          <w:color w:val="000000"/>
          <w:sz w:val="19"/>
          <w:szCs w:val="19"/>
        </w:rPr>
      </w:pPr>
      <w:r>
        <w:rPr>
          <w:rFonts w:ascii="Arial" w:hAnsi="Arial" w:cs="Arial"/>
          <w:color w:val="000000"/>
          <w:sz w:val="19"/>
          <w:szCs w:val="19"/>
        </w:rPr>
        <w:t xml:space="preserve"> </w:t>
      </w:r>
    </w:p>
  </w:footnote>
  <w:footnote w:id="15">
    <w:p w14:paraId="0F89F651" w14:textId="6CB154F8" w:rsidR="00617149" w:rsidRPr="00D960B1" w:rsidRDefault="00617149">
      <w:pPr>
        <w:pStyle w:val="Textonotapie"/>
        <w:ind w:firstLine="709"/>
        <w:jc w:val="both"/>
        <w:rPr>
          <w:rFonts w:ascii="Arial" w:hAnsi="Arial" w:cs="Arial"/>
          <w:color w:val="000000"/>
          <w:sz w:val="19"/>
          <w:szCs w:val="19"/>
        </w:rPr>
      </w:pPr>
      <w:r w:rsidRPr="00A25E18">
        <w:rPr>
          <w:rStyle w:val="Refdenotaalpie"/>
          <w:rFonts w:ascii="Arial" w:hAnsi="Arial" w:cs="Arial"/>
          <w:color w:val="000000"/>
          <w:sz w:val="19"/>
          <w:szCs w:val="19"/>
        </w:rPr>
        <w:footnoteRef/>
      </w:r>
      <w:r w:rsidRPr="00A25E18">
        <w:rPr>
          <w:rFonts w:ascii="Arial" w:hAnsi="Arial" w:cs="Arial"/>
          <w:color w:val="000000"/>
          <w:sz w:val="19"/>
          <w:szCs w:val="19"/>
        </w:rPr>
        <w:t xml:space="preserve"> </w:t>
      </w:r>
      <w:r w:rsidRPr="00A25E18">
        <w:rPr>
          <w:rFonts w:ascii="Arial" w:hAnsi="Arial" w:cs="Arial"/>
          <w:color w:val="000000"/>
          <w:sz w:val="19"/>
          <w:szCs w:val="19"/>
          <w:lang w:val="es-CO"/>
        </w:rPr>
        <w:t>Ver Consejo de Estado</w:t>
      </w:r>
      <w:r w:rsidR="00F04AF4">
        <w:rPr>
          <w:rFonts w:ascii="Arial" w:hAnsi="Arial" w:cs="Arial"/>
          <w:color w:val="000000"/>
          <w:sz w:val="19"/>
          <w:szCs w:val="19"/>
          <w:lang w:val="es-CO"/>
        </w:rPr>
        <w:t>.</w:t>
      </w:r>
      <w:r w:rsidRPr="00A25E18">
        <w:rPr>
          <w:rFonts w:ascii="Arial" w:hAnsi="Arial" w:cs="Arial"/>
          <w:color w:val="000000"/>
          <w:sz w:val="19"/>
          <w:szCs w:val="19"/>
          <w:lang w:val="es-CO"/>
        </w:rPr>
        <w:t xml:space="preserve"> Sección Tercera</w:t>
      </w:r>
      <w:r w:rsidR="00F04AF4">
        <w:rPr>
          <w:rFonts w:ascii="Arial" w:hAnsi="Arial" w:cs="Arial"/>
          <w:color w:val="000000"/>
          <w:sz w:val="19"/>
          <w:szCs w:val="19"/>
          <w:lang w:val="es-CO"/>
        </w:rPr>
        <w:t>.</w:t>
      </w:r>
      <w:r w:rsidRPr="00A25E18">
        <w:rPr>
          <w:rFonts w:ascii="Arial" w:hAnsi="Arial" w:cs="Arial"/>
          <w:color w:val="000000"/>
          <w:sz w:val="19"/>
          <w:szCs w:val="19"/>
          <w:lang w:val="es-CO"/>
        </w:rPr>
        <w:t xml:space="preserve"> Subsección C. Sentencia del 26 de febrero de 2011. </w:t>
      </w:r>
      <w:proofErr w:type="spellStart"/>
      <w:r w:rsidR="00F04AF4">
        <w:rPr>
          <w:rFonts w:ascii="Arial" w:hAnsi="Arial" w:cs="Arial"/>
          <w:color w:val="000000"/>
          <w:sz w:val="19"/>
          <w:szCs w:val="19"/>
          <w:lang w:val="es-CO"/>
        </w:rPr>
        <w:t>Exp</w:t>
      </w:r>
      <w:proofErr w:type="spellEnd"/>
      <w:r w:rsidR="00F04AF4">
        <w:rPr>
          <w:rFonts w:ascii="Arial" w:hAnsi="Arial" w:cs="Arial"/>
          <w:color w:val="000000"/>
          <w:sz w:val="19"/>
          <w:szCs w:val="19"/>
          <w:lang w:val="es-CO"/>
        </w:rPr>
        <w:t xml:space="preserve">. </w:t>
      </w:r>
      <w:r w:rsidR="00F04AF4" w:rsidRPr="00A25E18">
        <w:rPr>
          <w:rFonts w:ascii="Arial" w:hAnsi="Arial" w:cs="Arial"/>
          <w:color w:val="000000"/>
          <w:sz w:val="19"/>
          <w:szCs w:val="19"/>
          <w:lang w:val="es-CO"/>
        </w:rPr>
        <w:t>36.408</w:t>
      </w:r>
      <w:r w:rsidR="00F04AF4">
        <w:rPr>
          <w:rFonts w:ascii="Arial" w:hAnsi="Arial" w:cs="Arial"/>
          <w:color w:val="000000"/>
          <w:sz w:val="19"/>
          <w:szCs w:val="19"/>
          <w:lang w:val="es-CO"/>
        </w:rPr>
        <w:t xml:space="preserve">. </w:t>
      </w:r>
      <w:r w:rsidRPr="00A25E18">
        <w:rPr>
          <w:rFonts w:ascii="Arial" w:hAnsi="Arial" w:cs="Arial"/>
          <w:color w:val="000000"/>
          <w:sz w:val="19"/>
          <w:szCs w:val="19"/>
          <w:lang w:val="es-CO"/>
        </w:rPr>
        <w:t>C.P. Jaime Orlando Santofimio.</w:t>
      </w:r>
      <w:r w:rsidR="00D960B1">
        <w:rPr>
          <w:rFonts w:ascii="Arial" w:hAnsi="Arial" w:cs="Arial"/>
          <w:color w:val="000000"/>
          <w:sz w:val="19"/>
          <w:szCs w:val="19"/>
        </w:rPr>
        <w:t xml:space="preserve"> </w:t>
      </w:r>
    </w:p>
    <w:p w14:paraId="3ABB3953" w14:textId="77777777" w:rsidR="00617149" w:rsidRPr="00825211" w:rsidRDefault="00617149">
      <w:pPr>
        <w:pStyle w:val="Textonotapie"/>
        <w:ind w:firstLine="709"/>
        <w:jc w:val="both"/>
        <w:rPr>
          <w:rFonts w:ascii="Arial" w:hAnsi="Arial" w:cs="Arial"/>
          <w:color w:val="000000"/>
          <w:sz w:val="19"/>
          <w:szCs w:val="19"/>
        </w:rPr>
      </w:pPr>
    </w:p>
  </w:footnote>
  <w:footnote w:id="16">
    <w:p w14:paraId="3B92EBF6" w14:textId="56B17762" w:rsidR="00617149" w:rsidRPr="00D960B1" w:rsidRDefault="00617149">
      <w:pPr>
        <w:pStyle w:val="Textonotapie"/>
        <w:ind w:firstLine="709"/>
        <w:jc w:val="both"/>
        <w:rPr>
          <w:rFonts w:ascii="Arial" w:hAnsi="Arial" w:cs="Arial"/>
          <w:color w:val="000000"/>
          <w:sz w:val="19"/>
          <w:szCs w:val="19"/>
        </w:rPr>
      </w:pPr>
      <w:r w:rsidRPr="00A25E18">
        <w:rPr>
          <w:rStyle w:val="Refdenotaalpie"/>
          <w:rFonts w:ascii="Arial" w:hAnsi="Arial" w:cs="Arial"/>
          <w:color w:val="000000"/>
          <w:sz w:val="19"/>
          <w:szCs w:val="19"/>
        </w:rPr>
        <w:footnoteRef/>
      </w:r>
      <w:r w:rsidRPr="00A25E18">
        <w:rPr>
          <w:rFonts w:ascii="Arial" w:hAnsi="Arial" w:cs="Arial"/>
          <w:color w:val="000000"/>
          <w:sz w:val="19"/>
          <w:szCs w:val="19"/>
        </w:rPr>
        <w:t xml:space="preserve"> </w:t>
      </w:r>
      <w:r w:rsidRPr="00A25E18">
        <w:rPr>
          <w:rFonts w:ascii="Arial" w:hAnsi="Arial" w:cs="Arial"/>
          <w:color w:val="000000"/>
          <w:sz w:val="19"/>
          <w:szCs w:val="19"/>
          <w:lang w:val="es-CO"/>
        </w:rPr>
        <w:t>Ver Consejo de Estado, Sección Tercera</w:t>
      </w:r>
      <w:r w:rsidR="00F04AF4">
        <w:rPr>
          <w:rFonts w:ascii="Arial" w:hAnsi="Arial" w:cs="Arial"/>
          <w:color w:val="000000"/>
          <w:sz w:val="19"/>
          <w:szCs w:val="19"/>
          <w:lang w:val="es-CO"/>
        </w:rPr>
        <w:t>.</w:t>
      </w:r>
      <w:r w:rsidRPr="00A25E18">
        <w:rPr>
          <w:rFonts w:ascii="Arial" w:hAnsi="Arial" w:cs="Arial"/>
          <w:color w:val="000000"/>
          <w:sz w:val="19"/>
          <w:szCs w:val="19"/>
          <w:lang w:val="es-CO"/>
        </w:rPr>
        <w:t xml:space="preserve"> Subsección C. </w:t>
      </w:r>
      <w:r w:rsidRPr="00D960B1">
        <w:rPr>
          <w:rFonts w:ascii="Arial" w:hAnsi="Arial" w:cs="Arial"/>
          <w:color w:val="000000"/>
          <w:sz w:val="19"/>
          <w:szCs w:val="19"/>
          <w:lang w:val="es-CO"/>
        </w:rPr>
        <w:t xml:space="preserve">Sentencia del 26 de febrero de 2014. </w:t>
      </w:r>
      <w:proofErr w:type="spellStart"/>
      <w:r w:rsidR="00F04AF4">
        <w:rPr>
          <w:rFonts w:ascii="Arial" w:hAnsi="Arial" w:cs="Arial"/>
          <w:color w:val="000000"/>
          <w:sz w:val="19"/>
          <w:szCs w:val="19"/>
          <w:lang w:val="es-CO"/>
        </w:rPr>
        <w:t>Exp</w:t>
      </w:r>
      <w:proofErr w:type="spellEnd"/>
      <w:r w:rsidR="00F04AF4">
        <w:rPr>
          <w:rFonts w:ascii="Arial" w:hAnsi="Arial" w:cs="Arial"/>
          <w:color w:val="000000"/>
          <w:sz w:val="19"/>
          <w:szCs w:val="19"/>
          <w:lang w:val="es-CO"/>
        </w:rPr>
        <w:t xml:space="preserve">. </w:t>
      </w:r>
      <w:r w:rsidR="00F04AF4" w:rsidRPr="00D960B1">
        <w:rPr>
          <w:rFonts w:ascii="Arial" w:hAnsi="Arial" w:cs="Arial"/>
          <w:color w:val="000000"/>
          <w:sz w:val="19"/>
          <w:szCs w:val="19"/>
          <w:lang w:val="es-CO"/>
        </w:rPr>
        <w:t>25.804</w:t>
      </w:r>
      <w:r w:rsidR="00F04AF4">
        <w:rPr>
          <w:rFonts w:ascii="Arial" w:hAnsi="Arial" w:cs="Arial"/>
          <w:color w:val="000000"/>
          <w:sz w:val="19"/>
          <w:szCs w:val="19"/>
          <w:lang w:val="es-CO"/>
        </w:rPr>
        <w:t xml:space="preserve">. </w:t>
      </w:r>
      <w:r w:rsidRPr="00D960B1">
        <w:rPr>
          <w:rFonts w:ascii="Arial" w:hAnsi="Arial" w:cs="Arial"/>
          <w:color w:val="000000"/>
          <w:sz w:val="19"/>
          <w:szCs w:val="19"/>
          <w:lang w:val="es-CO"/>
        </w:rPr>
        <w:t>C.P. Enrique Gil Botero.</w:t>
      </w:r>
      <w:r w:rsidR="00D960B1">
        <w:rPr>
          <w:rFonts w:ascii="Arial" w:hAnsi="Arial" w:cs="Arial"/>
          <w:color w:val="000000"/>
          <w:sz w:val="19"/>
          <w:szCs w:val="19"/>
        </w:rPr>
        <w:t xml:space="preserve"> </w:t>
      </w:r>
    </w:p>
    <w:p w14:paraId="0E7308CC" w14:textId="77777777" w:rsidR="00617149" w:rsidRPr="00825211" w:rsidRDefault="00617149">
      <w:pPr>
        <w:pStyle w:val="Textonotapie"/>
        <w:ind w:firstLine="709"/>
        <w:jc w:val="both"/>
        <w:rPr>
          <w:rFonts w:ascii="Arial" w:hAnsi="Arial" w:cs="Arial"/>
          <w:color w:val="000000"/>
          <w:sz w:val="19"/>
          <w:szCs w:val="19"/>
        </w:rPr>
      </w:pPr>
    </w:p>
  </w:footnote>
  <w:footnote w:id="17">
    <w:p w14:paraId="6E253813" w14:textId="6B4FBBCA" w:rsidR="00617149" w:rsidRPr="00D960B1" w:rsidRDefault="00617149">
      <w:pPr>
        <w:pStyle w:val="Textonotapie"/>
        <w:ind w:firstLine="709"/>
        <w:jc w:val="both"/>
        <w:rPr>
          <w:rFonts w:ascii="Arial" w:hAnsi="Arial" w:cs="Arial"/>
          <w:color w:val="000000"/>
          <w:sz w:val="19"/>
          <w:szCs w:val="19"/>
          <w:lang w:val="es-CO"/>
        </w:rPr>
      </w:pPr>
      <w:r w:rsidRPr="00A25E18">
        <w:rPr>
          <w:rStyle w:val="Refdenotaalpie"/>
          <w:rFonts w:ascii="Arial" w:hAnsi="Arial" w:cs="Arial"/>
          <w:color w:val="000000"/>
          <w:sz w:val="19"/>
          <w:szCs w:val="19"/>
        </w:rPr>
        <w:footnoteRef/>
      </w:r>
      <w:r w:rsidRPr="00A25E18">
        <w:rPr>
          <w:rFonts w:ascii="Arial" w:hAnsi="Arial" w:cs="Arial"/>
          <w:color w:val="000000"/>
          <w:sz w:val="19"/>
          <w:szCs w:val="19"/>
        </w:rPr>
        <w:t xml:space="preserve"> </w:t>
      </w:r>
      <w:r w:rsidRPr="00A25E18">
        <w:rPr>
          <w:rFonts w:ascii="Arial" w:hAnsi="Arial" w:cs="Arial"/>
          <w:color w:val="000000"/>
          <w:sz w:val="19"/>
          <w:szCs w:val="19"/>
          <w:lang w:val="es-CO"/>
        </w:rPr>
        <w:t>Consejo de Estado</w:t>
      </w:r>
      <w:r w:rsidR="00F04AF4">
        <w:rPr>
          <w:rFonts w:ascii="Arial" w:hAnsi="Arial" w:cs="Arial"/>
          <w:color w:val="000000"/>
          <w:sz w:val="19"/>
          <w:szCs w:val="19"/>
          <w:lang w:val="es-CO"/>
        </w:rPr>
        <w:t>.</w:t>
      </w:r>
      <w:r w:rsidRPr="00A25E18">
        <w:rPr>
          <w:rFonts w:ascii="Arial" w:hAnsi="Arial" w:cs="Arial"/>
          <w:color w:val="000000"/>
          <w:sz w:val="19"/>
          <w:szCs w:val="19"/>
          <w:lang w:val="es-CO"/>
        </w:rPr>
        <w:t xml:space="preserve"> Sala de Consulta y Servicio Civil</w:t>
      </w:r>
      <w:r w:rsidR="00F04AF4">
        <w:rPr>
          <w:rFonts w:ascii="Arial" w:hAnsi="Arial" w:cs="Arial"/>
          <w:color w:val="000000"/>
          <w:sz w:val="19"/>
          <w:szCs w:val="19"/>
          <w:lang w:val="es-CO"/>
        </w:rPr>
        <w:t>.</w:t>
      </w:r>
      <w:r w:rsidRPr="00A25E18">
        <w:rPr>
          <w:rFonts w:ascii="Arial" w:hAnsi="Arial" w:cs="Arial"/>
          <w:color w:val="000000"/>
          <w:sz w:val="19"/>
          <w:szCs w:val="19"/>
          <w:lang w:val="es-CO"/>
        </w:rPr>
        <w:t xml:space="preserve"> </w:t>
      </w:r>
      <w:r w:rsidR="00F04AF4">
        <w:rPr>
          <w:rFonts w:ascii="Arial" w:hAnsi="Arial" w:cs="Arial"/>
          <w:color w:val="000000"/>
          <w:sz w:val="19"/>
          <w:szCs w:val="19"/>
          <w:lang w:val="es-CO"/>
        </w:rPr>
        <w:t>C</w:t>
      </w:r>
      <w:r w:rsidRPr="00A25E18">
        <w:rPr>
          <w:rFonts w:ascii="Arial" w:hAnsi="Arial" w:cs="Arial"/>
          <w:color w:val="000000"/>
          <w:sz w:val="19"/>
          <w:szCs w:val="19"/>
          <w:lang w:val="es-CO"/>
        </w:rPr>
        <w:t xml:space="preserve">oncepto del 20 de mayo de 2010. C.P. </w:t>
      </w:r>
      <w:proofErr w:type="spellStart"/>
      <w:r w:rsidR="00F04AF4">
        <w:rPr>
          <w:rFonts w:ascii="Arial" w:hAnsi="Arial" w:cs="Arial"/>
          <w:color w:val="000000"/>
          <w:sz w:val="19"/>
          <w:szCs w:val="19"/>
          <w:lang w:val="es-CO"/>
        </w:rPr>
        <w:t>Exp</w:t>
      </w:r>
      <w:proofErr w:type="spellEnd"/>
      <w:r w:rsidR="00F04AF4">
        <w:rPr>
          <w:rFonts w:ascii="Arial" w:hAnsi="Arial" w:cs="Arial"/>
          <w:color w:val="000000"/>
          <w:sz w:val="19"/>
          <w:szCs w:val="19"/>
          <w:lang w:val="es-CO"/>
        </w:rPr>
        <w:t xml:space="preserve">. </w:t>
      </w:r>
      <w:r w:rsidR="00F04AF4" w:rsidRPr="00A25E18">
        <w:rPr>
          <w:rFonts w:ascii="Arial" w:hAnsi="Arial" w:cs="Arial"/>
          <w:color w:val="000000"/>
          <w:sz w:val="19"/>
          <w:szCs w:val="19"/>
          <w:lang w:val="es-CO"/>
        </w:rPr>
        <w:t>1</w:t>
      </w:r>
      <w:r w:rsidR="00F04AF4">
        <w:rPr>
          <w:rFonts w:ascii="Arial" w:hAnsi="Arial" w:cs="Arial"/>
          <w:color w:val="000000"/>
          <w:sz w:val="19"/>
          <w:szCs w:val="19"/>
          <w:lang w:val="es-CO"/>
        </w:rPr>
        <w:t>.</w:t>
      </w:r>
      <w:r w:rsidR="00F04AF4" w:rsidRPr="00A25E18">
        <w:rPr>
          <w:rFonts w:ascii="Arial" w:hAnsi="Arial" w:cs="Arial"/>
          <w:color w:val="000000"/>
          <w:sz w:val="19"/>
          <w:szCs w:val="19"/>
          <w:lang w:val="es-CO"/>
        </w:rPr>
        <w:t>992</w:t>
      </w:r>
      <w:r w:rsidR="00F04AF4">
        <w:rPr>
          <w:rFonts w:ascii="Arial" w:hAnsi="Arial" w:cs="Arial"/>
          <w:color w:val="000000"/>
          <w:sz w:val="19"/>
          <w:szCs w:val="19"/>
          <w:lang w:val="es-CO"/>
        </w:rPr>
        <w:t xml:space="preserve">. </w:t>
      </w:r>
      <w:r w:rsidRPr="00A25E18">
        <w:rPr>
          <w:rFonts w:ascii="Arial" w:hAnsi="Arial" w:cs="Arial"/>
          <w:color w:val="000000"/>
          <w:sz w:val="19"/>
          <w:szCs w:val="19"/>
          <w:lang w:val="es-CO"/>
        </w:rPr>
        <w:t>Enrique José Arboleda Perdomo.</w:t>
      </w:r>
    </w:p>
    <w:p w14:paraId="24E5130F" w14:textId="77777777" w:rsidR="00617149" w:rsidRPr="00825211" w:rsidRDefault="00617149">
      <w:pPr>
        <w:pStyle w:val="Textonotapie"/>
        <w:ind w:firstLine="709"/>
        <w:jc w:val="both"/>
        <w:rPr>
          <w:rFonts w:ascii="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B4AE1" w:rsidRDefault="001B4AE1">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4"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6"/>
  </w:num>
  <w:num w:numId="2">
    <w:abstractNumId w:val="5"/>
  </w:num>
  <w:num w:numId="3">
    <w:abstractNumId w:val="7"/>
  </w:num>
  <w:num w:numId="4">
    <w:abstractNumId w:val="8"/>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0"/>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1594"/>
    <w:rsid w:val="00033726"/>
    <w:rsid w:val="00034AA9"/>
    <w:rsid w:val="0003588F"/>
    <w:rsid w:val="00036094"/>
    <w:rsid w:val="000362E6"/>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6567"/>
    <w:rsid w:val="000678DE"/>
    <w:rsid w:val="00071C82"/>
    <w:rsid w:val="000720AC"/>
    <w:rsid w:val="000732C7"/>
    <w:rsid w:val="000739BE"/>
    <w:rsid w:val="000765A3"/>
    <w:rsid w:val="0007666B"/>
    <w:rsid w:val="000775E4"/>
    <w:rsid w:val="00082182"/>
    <w:rsid w:val="00082186"/>
    <w:rsid w:val="00082985"/>
    <w:rsid w:val="000835DB"/>
    <w:rsid w:val="00083D0E"/>
    <w:rsid w:val="00084818"/>
    <w:rsid w:val="00085C37"/>
    <w:rsid w:val="00086610"/>
    <w:rsid w:val="000867ED"/>
    <w:rsid w:val="00087989"/>
    <w:rsid w:val="00087D45"/>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E43"/>
    <w:rsid w:val="000E450F"/>
    <w:rsid w:val="000E7D7E"/>
    <w:rsid w:val="000F0898"/>
    <w:rsid w:val="000F14E8"/>
    <w:rsid w:val="000F19EF"/>
    <w:rsid w:val="000F1F4B"/>
    <w:rsid w:val="000F6DA0"/>
    <w:rsid w:val="00101394"/>
    <w:rsid w:val="001014F5"/>
    <w:rsid w:val="0010184F"/>
    <w:rsid w:val="00103915"/>
    <w:rsid w:val="001078E6"/>
    <w:rsid w:val="00111960"/>
    <w:rsid w:val="001160B0"/>
    <w:rsid w:val="001162A5"/>
    <w:rsid w:val="001200ED"/>
    <w:rsid w:val="001203F9"/>
    <w:rsid w:val="0012087D"/>
    <w:rsid w:val="00120B80"/>
    <w:rsid w:val="00121D3B"/>
    <w:rsid w:val="00122B23"/>
    <w:rsid w:val="001245D4"/>
    <w:rsid w:val="00124E57"/>
    <w:rsid w:val="00135A40"/>
    <w:rsid w:val="001375C4"/>
    <w:rsid w:val="00137646"/>
    <w:rsid w:val="00137A61"/>
    <w:rsid w:val="00137FFA"/>
    <w:rsid w:val="001431FB"/>
    <w:rsid w:val="001438ED"/>
    <w:rsid w:val="00146025"/>
    <w:rsid w:val="00146856"/>
    <w:rsid w:val="00147224"/>
    <w:rsid w:val="00150A83"/>
    <w:rsid w:val="00152274"/>
    <w:rsid w:val="001522B6"/>
    <w:rsid w:val="0015343F"/>
    <w:rsid w:val="001543F8"/>
    <w:rsid w:val="00154B53"/>
    <w:rsid w:val="00155245"/>
    <w:rsid w:val="00155DAE"/>
    <w:rsid w:val="00155DD9"/>
    <w:rsid w:val="00156BE4"/>
    <w:rsid w:val="00164F83"/>
    <w:rsid w:val="00165A21"/>
    <w:rsid w:val="00166C46"/>
    <w:rsid w:val="00167BF1"/>
    <w:rsid w:val="00171104"/>
    <w:rsid w:val="00171CF4"/>
    <w:rsid w:val="0018017A"/>
    <w:rsid w:val="00181C2A"/>
    <w:rsid w:val="00183388"/>
    <w:rsid w:val="00184CBC"/>
    <w:rsid w:val="00186338"/>
    <w:rsid w:val="00190812"/>
    <w:rsid w:val="00192F9B"/>
    <w:rsid w:val="0019331A"/>
    <w:rsid w:val="00195EF5"/>
    <w:rsid w:val="001966CD"/>
    <w:rsid w:val="00196BE5"/>
    <w:rsid w:val="001975AC"/>
    <w:rsid w:val="001A00E2"/>
    <w:rsid w:val="001A153A"/>
    <w:rsid w:val="001A393A"/>
    <w:rsid w:val="001A4318"/>
    <w:rsid w:val="001A5507"/>
    <w:rsid w:val="001B1847"/>
    <w:rsid w:val="001B1ECB"/>
    <w:rsid w:val="001B23CE"/>
    <w:rsid w:val="001B45E7"/>
    <w:rsid w:val="001B4AE1"/>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FEF"/>
    <w:rsid w:val="00200B89"/>
    <w:rsid w:val="00200C0F"/>
    <w:rsid w:val="002021C7"/>
    <w:rsid w:val="00202B7A"/>
    <w:rsid w:val="002031DB"/>
    <w:rsid w:val="002047E9"/>
    <w:rsid w:val="00205850"/>
    <w:rsid w:val="00206852"/>
    <w:rsid w:val="00207041"/>
    <w:rsid w:val="00210028"/>
    <w:rsid w:val="002101B0"/>
    <w:rsid w:val="002111F9"/>
    <w:rsid w:val="00211C31"/>
    <w:rsid w:val="00213804"/>
    <w:rsid w:val="0021714E"/>
    <w:rsid w:val="00220681"/>
    <w:rsid w:val="00221C0B"/>
    <w:rsid w:val="00224722"/>
    <w:rsid w:val="00227E56"/>
    <w:rsid w:val="002301F1"/>
    <w:rsid w:val="002304C1"/>
    <w:rsid w:val="002315AE"/>
    <w:rsid w:val="00232ECE"/>
    <w:rsid w:val="0023384B"/>
    <w:rsid w:val="00233A64"/>
    <w:rsid w:val="002346F8"/>
    <w:rsid w:val="00234B84"/>
    <w:rsid w:val="00236F7F"/>
    <w:rsid w:val="0024212A"/>
    <w:rsid w:val="002436DD"/>
    <w:rsid w:val="002456DF"/>
    <w:rsid w:val="00250966"/>
    <w:rsid w:val="00251667"/>
    <w:rsid w:val="002518A6"/>
    <w:rsid w:val="00251DDE"/>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18D"/>
    <w:rsid w:val="00282A6B"/>
    <w:rsid w:val="00283535"/>
    <w:rsid w:val="002844C4"/>
    <w:rsid w:val="0029116C"/>
    <w:rsid w:val="00292D21"/>
    <w:rsid w:val="002934B2"/>
    <w:rsid w:val="0029572E"/>
    <w:rsid w:val="00295D8A"/>
    <w:rsid w:val="002A0F0D"/>
    <w:rsid w:val="002A0F0F"/>
    <w:rsid w:val="002A19C4"/>
    <w:rsid w:val="002A294A"/>
    <w:rsid w:val="002A2CD3"/>
    <w:rsid w:val="002A7C42"/>
    <w:rsid w:val="002B03E5"/>
    <w:rsid w:val="002B17C5"/>
    <w:rsid w:val="002B446C"/>
    <w:rsid w:val="002B6286"/>
    <w:rsid w:val="002B6D28"/>
    <w:rsid w:val="002B709B"/>
    <w:rsid w:val="002B70AB"/>
    <w:rsid w:val="002C1EEC"/>
    <w:rsid w:val="002C31BC"/>
    <w:rsid w:val="002C56EA"/>
    <w:rsid w:val="002C57F2"/>
    <w:rsid w:val="002C68B3"/>
    <w:rsid w:val="002D05DE"/>
    <w:rsid w:val="002D2FF2"/>
    <w:rsid w:val="002D3B38"/>
    <w:rsid w:val="002D57A3"/>
    <w:rsid w:val="002D5D61"/>
    <w:rsid w:val="002D5FFC"/>
    <w:rsid w:val="002D665A"/>
    <w:rsid w:val="002E08D0"/>
    <w:rsid w:val="002E0C71"/>
    <w:rsid w:val="002E13E0"/>
    <w:rsid w:val="002E1993"/>
    <w:rsid w:val="002E1A34"/>
    <w:rsid w:val="002E424E"/>
    <w:rsid w:val="002E479E"/>
    <w:rsid w:val="002E4EFE"/>
    <w:rsid w:val="002E6F80"/>
    <w:rsid w:val="002F1143"/>
    <w:rsid w:val="002F1FE0"/>
    <w:rsid w:val="002F231E"/>
    <w:rsid w:val="002F2352"/>
    <w:rsid w:val="002F23C9"/>
    <w:rsid w:val="002F6312"/>
    <w:rsid w:val="002F6F49"/>
    <w:rsid w:val="002F7B2C"/>
    <w:rsid w:val="0030118B"/>
    <w:rsid w:val="003033BA"/>
    <w:rsid w:val="00305329"/>
    <w:rsid w:val="00306222"/>
    <w:rsid w:val="00306763"/>
    <w:rsid w:val="003074FD"/>
    <w:rsid w:val="00307A32"/>
    <w:rsid w:val="00307E45"/>
    <w:rsid w:val="003102F2"/>
    <w:rsid w:val="00310C43"/>
    <w:rsid w:val="00311A86"/>
    <w:rsid w:val="0031275A"/>
    <w:rsid w:val="003133D1"/>
    <w:rsid w:val="00313974"/>
    <w:rsid w:val="00314B07"/>
    <w:rsid w:val="00315651"/>
    <w:rsid w:val="00315A1D"/>
    <w:rsid w:val="00317242"/>
    <w:rsid w:val="003174A5"/>
    <w:rsid w:val="00317949"/>
    <w:rsid w:val="00317BB7"/>
    <w:rsid w:val="00321B8E"/>
    <w:rsid w:val="003223D9"/>
    <w:rsid w:val="00325979"/>
    <w:rsid w:val="00326BEF"/>
    <w:rsid w:val="00327181"/>
    <w:rsid w:val="003277AE"/>
    <w:rsid w:val="00327E0D"/>
    <w:rsid w:val="00331A72"/>
    <w:rsid w:val="00331CE3"/>
    <w:rsid w:val="00333156"/>
    <w:rsid w:val="00333CDE"/>
    <w:rsid w:val="003342B2"/>
    <w:rsid w:val="003355DA"/>
    <w:rsid w:val="0033597E"/>
    <w:rsid w:val="00340AD3"/>
    <w:rsid w:val="00340C37"/>
    <w:rsid w:val="0034119F"/>
    <w:rsid w:val="00341911"/>
    <w:rsid w:val="00341BE6"/>
    <w:rsid w:val="00343194"/>
    <w:rsid w:val="00343AB2"/>
    <w:rsid w:val="003461EA"/>
    <w:rsid w:val="0034680A"/>
    <w:rsid w:val="003477C1"/>
    <w:rsid w:val="00352ABF"/>
    <w:rsid w:val="00352FB2"/>
    <w:rsid w:val="0035397A"/>
    <w:rsid w:val="0035419A"/>
    <w:rsid w:val="0035582B"/>
    <w:rsid w:val="00355E89"/>
    <w:rsid w:val="00356A34"/>
    <w:rsid w:val="00361348"/>
    <w:rsid w:val="0036167C"/>
    <w:rsid w:val="00362709"/>
    <w:rsid w:val="00363BC9"/>
    <w:rsid w:val="003643E8"/>
    <w:rsid w:val="00364A46"/>
    <w:rsid w:val="00366AA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49A4"/>
    <w:rsid w:val="003B4D4F"/>
    <w:rsid w:val="003B7211"/>
    <w:rsid w:val="003B75E6"/>
    <w:rsid w:val="003B75EA"/>
    <w:rsid w:val="003B7BCC"/>
    <w:rsid w:val="003C0712"/>
    <w:rsid w:val="003C3A87"/>
    <w:rsid w:val="003C3FB8"/>
    <w:rsid w:val="003C5458"/>
    <w:rsid w:val="003C564B"/>
    <w:rsid w:val="003C5A2E"/>
    <w:rsid w:val="003D1833"/>
    <w:rsid w:val="003D5FFB"/>
    <w:rsid w:val="003E1061"/>
    <w:rsid w:val="003E1E10"/>
    <w:rsid w:val="003E21E7"/>
    <w:rsid w:val="003F0256"/>
    <w:rsid w:val="003F2762"/>
    <w:rsid w:val="003F466C"/>
    <w:rsid w:val="003F551E"/>
    <w:rsid w:val="003F5E2E"/>
    <w:rsid w:val="003F5F01"/>
    <w:rsid w:val="003F6DB8"/>
    <w:rsid w:val="003F7100"/>
    <w:rsid w:val="004008EE"/>
    <w:rsid w:val="004026AA"/>
    <w:rsid w:val="00402887"/>
    <w:rsid w:val="00402FFB"/>
    <w:rsid w:val="00403195"/>
    <w:rsid w:val="0040416B"/>
    <w:rsid w:val="00405F6D"/>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22D6"/>
    <w:rsid w:val="00442D02"/>
    <w:rsid w:val="00443588"/>
    <w:rsid w:val="00443C26"/>
    <w:rsid w:val="0044423C"/>
    <w:rsid w:val="004473DB"/>
    <w:rsid w:val="00450066"/>
    <w:rsid w:val="00454FD6"/>
    <w:rsid w:val="00455B90"/>
    <w:rsid w:val="00455DB2"/>
    <w:rsid w:val="0045685E"/>
    <w:rsid w:val="00457DF1"/>
    <w:rsid w:val="00460842"/>
    <w:rsid w:val="00460DD2"/>
    <w:rsid w:val="00460ED0"/>
    <w:rsid w:val="00461501"/>
    <w:rsid w:val="00461EC0"/>
    <w:rsid w:val="00461F68"/>
    <w:rsid w:val="00462ECE"/>
    <w:rsid w:val="00464784"/>
    <w:rsid w:val="004649F4"/>
    <w:rsid w:val="00465EED"/>
    <w:rsid w:val="004669CB"/>
    <w:rsid w:val="00467068"/>
    <w:rsid w:val="00470363"/>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0621"/>
    <w:rsid w:val="004A24EA"/>
    <w:rsid w:val="004A267D"/>
    <w:rsid w:val="004A278C"/>
    <w:rsid w:val="004A29A5"/>
    <w:rsid w:val="004A2B18"/>
    <w:rsid w:val="004A34D2"/>
    <w:rsid w:val="004A512D"/>
    <w:rsid w:val="004A611F"/>
    <w:rsid w:val="004A6646"/>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3EDA"/>
    <w:rsid w:val="004C69A1"/>
    <w:rsid w:val="004C6C72"/>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9F5"/>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5289"/>
    <w:rsid w:val="00526515"/>
    <w:rsid w:val="00527802"/>
    <w:rsid w:val="00527C35"/>
    <w:rsid w:val="00530BAB"/>
    <w:rsid w:val="005311CA"/>
    <w:rsid w:val="005313B9"/>
    <w:rsid w:val="00531C8E"/>
    <w:rsid w:val="00534450"/>
    <w:rsid w:val="00535A98"/>
    <w:rsid w:val="00535C77"/>
    <w:rsid w:val="005360FB"/>
    <w:rsid w:val="0054061C"/>
    <w:rsid w:val="00540BDD"/>
    <w:rsid w:val="005414AC"/>
    <w:rsid w:val="00542C19"/>
    <w:rsid w:val="00543102"/>
    <w:rsid w:val="0054413A"/>
    <w:rsid w:val="00544B92"/>
    <w:rsid w:val="0054651C"/>
    <w:rsid w:val="00547F13"/>
    <w:rsid w:val="00550C02"/>
    <w:rsid w:val="00551312"/>
    <w:rsid w:val="00552067"/>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07D8"/>
    <w:rsid w:val="005725DF"/>
    <w:rsid w:val="005731D0"/>
    <w:rsid w:val="0057359F"/>
    <w:rsid w:val="00575217"/>
    <w:rsid w:val="00575B3D"/>
    <w:rsid w:val="00576724"/>
    <w:rsid w:val="00576733"/>
    <w:rsid w:val="00577071"/>
    <w:rsid w:val="00581EBC"/>
    <w:rsid w:val="00585E95"/>
    <w:rsid w:val="0058647D"/>
    <w:rsid w:val="00586679"/>
    <w:rsid w:val="005870DF"/>
    <w:rsid w:val="00587E9D"/>
    <w:rsid w:val="0059076C"/>
    <w:rsid w:val="00592D05"/>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67"/>
    <w:rsid w:val="005C47CD"/>
    <w:rsid w:val="005C4D40"/>
    <w:rsid w:val="005C60EB"/>
    <w:rsid w:val="005C6619"/>
    <w:rsid w:val="005C66D8"/>
    <w:rsid w:val="005C6792"/>
    <w:rsid w:val="005C7BC1"/>
    <w:rsid w:val="005D1E83"/>
    <w:rsid w:val="005D2381"/>
    <w:rsid w:val="005D3C8F"/>
    <w:rsid w:val="005D47B2"/>
    <w:rsid w:val="005D6180"/>
    <w:rsid w:val="005D78E7"/>
    <w:rsid w:val="005E124C"/>
    <w:rsid w:val="005E1400"/>
    <w:rsid w:val="005E15AC"/>
    <w:rsid w:val="005E414D"/>
    <w:rsid w:val="005E74B0"/>
    <w:rsid w:val="005E7E46"/>
    <w:rsid w:val="005F0922"/>
    <w:rsid w:val="005F0A24"/>
    <w:rsid w:val="005F2058"/>
    <w:rsid w:val="005F2C66"/>
    <w:rsid w:val="005F51D1"/>
    <w:rsid w:val="005F5643"/>
    <w:rsid w:val="005F735D"/>
    <w:rsid w:val="005F7503"/>
    <w:rsid w:val="00604CAE"/>
    <w:rsid w:val="00604F5A"/>
    <w:rsid w:val="00605641"/>
    <w:rsid w:val="00606144"/>
    <w:rsid w:val="006103E8"/>
    <w:rsid w:val="00612107"/>
    <w:rsid w:val="00613798"/>
    <w:rsid w:val="006137DC"/>
    <w:rsid w:val="00614030"/>
    <w:rsid w:val="00614E0B"/>
    <w:rsid w:val="006160D2"/>
    <w:rsid w:val="00616FD5"/>
    <w:rsid w:val="00617149"/>
    <w:rsid w:val="00620BF2"/>
    <w:rsid w:val="00623442"/>
    <w:rsid w:val="006241B0"/>
    <w:rsid w:val="0063024C"/>
    <w:rsid w:val="00630415"/>
    <w:rsid w:val="006310DC"/>
    <w:rsid w:val="006313A5"/>
    <w:rsid w:val="006324F8"/>
    <w:rsid w:val="006326DB"/>
    <w:rsid w:val="00632865"/>
    <w:rsid w:val="00632E60"/>
    <w:rsid w:val="00633357"/>
    <w:rsid w:val="00634551"/>
    <w:rsid w:val="006359C0"/>
    <w:rsid w:val="00636DBA"/>
    <w:rsid w:val="006376C9"/>
    <w:rsid w:val="006406EA"/>
    <w:rsid w:val="00640DDA"/>
    <w:rsid w:val="00640E32"/>
    <w:rsid w:val="006420D0"/>
    <w:rsid w:val="006423F5"/>
    <w:rsid w:val="00642EA9"/>
    <w:rsid w:val="006461BD"/>
    <w:rsid w:val="006462AE"/>
    <w:rsid w:val="00646B5C"/>
    <w:rsid w:val="00647FE6"/>
    <w:rsid w:val="006500F1"/>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A48"/>
    <w:rsid w:val="00671E09"/>
    <w:rsid w:val="0067300D"/>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DF1"/>
    <w:rsid w:val="006925DD"/>
    <w:rsid w:val="00694000"/>
    <w:rsid w:val="00696576"/>
    <w:rsid w:val="00697665"/>
    <w:rsid w:val="006977A6"/>
    <w:rsid w:val="006A22FE"/>
    <w:rsid w:val="006A25C9"/>
    <w:rsid w:val="006A3B75"/>
    <w:rsid w:val="006A5068"/>
    <w:rsid w:val="006A63E2"/>
    <w:rsid w:val="006A6B4A"/>
    <w:rsid w:val="006A7981"/>
    <w:rsid w:val="006A7FD0"/>
    <w:rsid w:val="006B0790"/>
    <w:rsid w:val="006B0F95"/>
    <w:rsid w:val="006B2A4B"/>
    <w:rsid w:val="006B2A81"/>
    <w:rsid w:val="006B3A45"/>
    <w:rsid w:val="006B4DEC"/>
    <w:rsid w:val="006B58E4"/>
    <w:rsid w:val="006B5D02"/>
    <w:rsid w:val="006B74EF"/>
    <w:rsid w:val="006C01CD"/>
    <w:rsid w:val="006C04B6"/>
    <w:rsid w:val="006C1787"/>
    <w:rsid w:val="006C2EDF"/>
    <w:rsid w:val="006C45E1"/>
    <w:rsid w:val="006C4C2C"/>
    <w:rsid w:val="006C4D46"/>
    <w:rsid w:val="006D1C63"/>
    <w:rsid w:val="006D23F0"/>
    <w:rsid w:val="006D6A68"/>
    <w:rsid w:val="006D7687"/>
    <w:rsid w:val="006E0572"/>
    <w:rsid w:val="006E19F4"/>
    <w:rsid w:val="006E3D5D"/>
    <w:rsid w:val="006E5E5D"/>
    <w:rsid w:val="006E69B8"/>
    <w:rsid w:val="006E6EE9"/>
    <w:rsid w:val="006E71B6"/>
    <w:rsid w:val="006E73B1"/>
    <w:rsid w:val="006F344A"/>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62E"/>
    <w:rsid w:val="00742AFC"/>
    <w:rsid w:val="00742B02"/>
    <w:rsid w:val="00742DD2"/>
    <w:rsid w:val="00745301"/>
    <w:rsid w:val="00745483"/>
    <w:rsid w:val="00746C26"/>
    <w:rsid w:val="0075277F"/>
    <w:rsid w:val="00752D13"/>
    <w:rsid w:val="0075345C"/>
    <w:rsid w:val="00754152"/>
    <w:rsid w:val="00754EC0"/>
    <w:rsid w:val="0075647A"/>
    <w:rsid w:val="00756B6B"/>
    <w:rsid w:val="00757117"/>
    <w:rsid w:val="00760814"/>
    <w:rsid w:val="00760C7C"/>
    <w:rsid w:val="007634AD"/>
    <w:rsid w:val="00763B06"/>
    <w:rsid w:val="00763DF0"/>
    <w:rsid w:val="00766562"/>
    <w:rsid w:val="00770749"/>
    <w:rsid w:val="00770ADC"/>
    <w:rsid w:val="00771BA7"/>
    <w:rsid w:val="007732B5"/>
    <w:rsid w:val="00773EE9"/>
    <w:rsid w:val="00773EFA"/>
    <w:rsid w:val="007751AB"/>
    <w:rsid w:val="0077581F"/>
    <w:rsid w:val="00775C7C"/>
    <w:rsid w:val="00775F71"/>
    <w:rsid w:val="00777B18"/>
    <w:rsid w:val="00780F3A"/>
    <w:rsid w:val="0078122E"/>
    <w:rsid w:val="00781432"/>
    <w:rsid w:val="0078331C"/>
    <w:rsid w:val="00786FA5"/>
    <w:rsid w:val="00790165"/>
    <w:rsid w:val="00792CCD"/>
    <w:rsid w:val="00794D1B"/>
    <w:rsid w:val="00795F60"/>
    <w:rsid w:val="007A00AB"/>
    <w:rsid w:val="007A1640"/>
    <w:rsid w:val="007A3087"/>
    <w:rsid w:val="007A3365"/>
    <w:rsid w:val="007A3575"/>
    <w:rsid w:val="007A36F7"/>
    <w:rsid w:val="007A3878"/>
    <w:rsid w:val="007A45E1"/>
    <w:rsid w:val="007A4F9B"/>
    <w:rsid w:val="007B0854"/>
    <w:rsid w:val="007B26EA"/>
    <w:rsid w:val="007B350C"/>
    <w:rsid w:val="007B5E4D"/>
    <w:rsid w:val="007C0482"/>
    <w:rsid w:val="007C2BF6"/>
    <w:rsid w:val="007C4999"/>
    <w:rsid w:val="007C5B45"/>
    <w:rsid w:val="007C67B5"/>
    <w:rsid w:val="007C6D53"/>
    <w:rsid w:val="007C745C"/>
    <w:rsid w:val="007D1800"/>
    <w:rsid w:val="007D28D9"/>
    <w:rsid w:val="007D4E2C"/>
    <w:rsid w:val="007E0012"/>
    <w:rsid w:val="007E07F7"/>
    <w:rsid w:val="007E13BA"/>
    <w:rsid w:val="007E5FE9"/>
    <w:rsid w:val="007E724B"/>
    <w:rsid w:val="007E78BE"/>
    <w:rsid w:val="007E7D01"/>
    <w:rsid w:val="007F21B2"/>
    <w:rsid w:val="007F306F"/>
    <w:rsid w:val="007F3261"/>
    <w:rsid w:val="007F3788"/>
    <w:rsid w:val="007F40CD"/>
    <w:rsid w:val="007F5CD2"/>
    <w:rsid w:val="007F6877"/>
    <w:rsid w:val="007F6E86"/>
    <w:rsid w:val="007F72CB"/>
    <w:rsid w:val="008005E1"/>
    <w:rsid w:val="008020B4"/>
    <w:rsid w:val="00802410"/>
    <w:rsid w:val="008029C5"/>
    <w:rsid w:val="00802E04"/>
    <w:rsid w:val="008031FA"/>
    <w:rsid w:val="00803C53"/>
    <w:rsid w:val="00804199"/>
    <w:rsid w:val="00810BC2"/>
    <w:rsid w:val="00810F70"/>
    <w:rsid w:val="008112AE"/>
    <w:rsid w:val="008118F4"/>
    <w:rsid w:val="00812B27"/>
    <w:rsid w:val="00813D99"/>
    <w:rsid w:val="008150DF"/>
    <w:rsid w:val="0082268C"/>
    <w:rsid w:val="00825211"/>
    <w:rsid w:val="0082781F"/>
    <w:rsid w:val="0083119B"/>
    <w:rsid w:val="00834E72"/>
    <w:rsid w:val="008369CD"/>
    <w:rsid w:val="00836AFD"/>
    <w:rsid w:val="00836C3A"/>
    <w:rsid w:val="00836EAB"/>
    <w:rsid w:val="00837248"/>
    <w:rsid w:val="00837349"/>
    <w:rsid w:val="00840D0A"/>
    <w:rsid w:val="00841B8A"/>
    <w:rsid w:val="008431EE"/>
    <w:rsid w:val="00845BC2"/>
    <w:rsid w:val="00845C82"/>
    <w:rsid w:val="00847A9D"/>
    <w:rsid w:val="00847F78"/>
    <w:rsid w:val="0085092D"/>
    <w:rsid w:val="00852147"/>
    <w:rsid w:val="00854321"/>
    <w:rsid w:val="00854646"/>
    <w:rsid w:val="008546F7"/>
    <w:rsid w:val="00856133"/>
    <w:rsid w:val="00856268"/>
    <w:rsid w:val="008563D1"/>
    <w:rsid w:val="00860B70"/>
    <w:rsid w:val="00863B12"/>
    <w:rsid w:val="00870D79"/>
    <w:rsid w:val="00874D84"/>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DDE"/>
    <w:rsid w:val="00891978"/>
    <w:rsid w:val="00892103"/>
    <w:rsid w:val="00893313"/>
    <w:rsid w:val="00893744"/>
    <w:rsid w:val="00893A01"/>
    <w:rsid w:val="00893FB7"/>
    <w:rsid w:val="00895A43"/>
    <w:rsid w:val="008A1527"/>
    <w:rsid w:val="008A1750"/>
    <w:rsid w:val="008A1B06"/>
    <w:rsid w:val="008A2636"/>
    <w:rsid w:val="008A4B60"/>
    <w:rsid w:val="008B0FF2"/>
    <w:rsid w:val="008B1E24"/>
    <w:rsid w:val="008B2021"/>
    <w:rsid w:val="008B2185"/>
    <w:rsid w:val="008B404F"/>
    <w:rsid w:val="008B4FA2"/>
    <w:rsid w:val="008B5AED"/>
    <w:rsid w:val="008B5F80"/>
    <w:rsid w:val="008B6437"/>
    <w:rsid w:val="008B7DB2"/>
    <w:rsid w:val="008C068A"/>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2DDA"/>
    <w:rsid w:val="008F4F08"/>
    <w:rsid w:val="008F67B0"/>
    <w:rsid w:val="008F6974"/>
    <w:rsid w:val="00900C60"/>
    <w:rsid w:val="00900CC0"/>
    <w:rsid w:val="00901F74"/>
    <w:rsid w:val="00902980"/>
    <w:rsid w:val="00903913"/>
    <w:rsid w:val="00904433"/>
    <w:rsid w:val="009047C5"/>
    <w:rsid w:val="009049F3"/>
    <w:rsid w:val="00906117"/>
    <w:rsid w:val="0090662D"/>
    <w:rsid w:val="00906DF7"/>
    <w:rsid w:val="009118A9"/>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03A2"/>
    <w:rsid w:val="00931EF5"/>
    <w:rsid w:val="009321E6"/>
    <w:rsid w:val="009329C1"/>
    <w:rsid w:val="0093326F"/>
    <w:rsid w:val="009333DD"/>
    <w:rsid w:val="00934245"/>
    <w:rsid w:val="009343E2"/>
    <w:rsid w:val="00940D6B"/>
    <w:rsid w:val="00943849"/>
    <w:rsid w:val="00943ED3"/>
    <w:rsid w:val="00943FE7"/>
    <w:rsid w:val="00945268"/>
    <w:rsid w:val="00945B7C"/>
    <w:rsid w:val="00947C29"/>
    <w:rsid w:val="00951797"/>
    <w:rsid w:val="0095285B"/>
    <w:rsid w:val="00952EDF"/>
    <w:rsid w:val="0095385A"/>
    <w:rsid w:val="00956410"/>
    <w:rsid w:val="00961031"/>
    <w:rsid w:val="0096481E"/>
    <w:rsid w:val="0096486A"/>
    <w:rsid w:val="00964E9B"/>
    <w:rsid w:val="00965839"/>
    <w:rsid w:val="00966612"/>
    <w:rsid w:val="00966C75"/>
    <w:rsid w:val="0097005F"/>
    <w:rsid w:val="009743FB"/>
    <w:rsid w:val="00975738"/>
    <w:rsid w:val="00976237"/>
    <w:rsid w:val="009768F4"/>
    <w:rsid w:val="00977307"/>
    <w:rsid w:val="009777A2"/>
    <w:rsid w:val="009823A4"/>
    <w:rsid w:val="00982A87"/>
    <w:rsid w:val="00983F83"/>
    <w:rsid w:val="009840CC"/>
    <w:rsid w:val="00985247"/>
    <w:rsid w:val="00985F4D"/>
    <w:rsid w:val="009863F1"/>
    <w:rsid w:val="00987DD3"/>
    <w:rsid w:val="00990A5A"/>
    <w:rsid w:val="00993037"/>
    <w:rsid w:val="00994999"/>
    <w:rsid w:val="009959B4"/>
    <w:rsid w:val="009969F2"/>
    <w:rsid w:val="009973A4"/>
    <w:rsid w:val="00997EA9"/>
    <w:rsid w:val="009A0F89"/>
    <w:rsid w:val="009A1B89"/>
    <w:rsid w:val="009A1C7B"/>
    <w:rsid w:val="009A1DB3"/>
    <w:rsid w:val="009A2E9B"/>
    <w:rsid w:val="009A36E4"/>
    <w:rsid w:val="009A374F"/>
    <w:rsid w:val="009A4877"/>
    <w:rsid w:val="009A4DDF"/>
    <w:rsid w:val="009A5FB7"/>
    <w:rsid w:val="009A65FE"/>
    <w:rsid w:val="009A69D9"/>
    <w:rsid w:val="009A7DDF"/>
    <w:rsid w:val="009B1002"/>
    <w:rsid w:val="009B223B"/>
    <w:rsid w:val="009B38BA"/>
    <w:rsid w:val="009B7BFB"/>
    <w:rsid w:val="009B7D69"/>
    <w:rsid w:val="009C1B12"/>
    <w:rsid w:val="009C1F9A"/>
    <w:rsid w:val="009C5436"/>
    <w:rsid w:val="009C5B56"/>
    <w:rsid w:val="009C68C5"/>
    <w:rsid w:val="009C7CFD"/>
    <w:rsid w:val="009D169F"/>
    <w:rsid w:val="009D17E4"/>
    <w:rsid w:val="009D1CC6"/>
    <w:rsid w:val="009D2970"/>
    <w:rsid w:val="009D34F9"/>
    <w:rsid w:val="009D4284"/>
    <w:rsid w:val="009D4A95"/>
    <w:rsid w:val="009D51AB"/>
    <w:rsid w:val="009D5694"/>
    <w:rsid w:val="009D65AE"/>
    <w:rsid w:val="009D71D6"/>
    <w:rsid w:val="009D72B1"/>
    <w:rsid w:val="009D768B"/>
    <w:rsid w:val="009D7F49"/>
    <w:rsid w:val="009E134A"/>
    <w:rsid w:val="009E168D"/>
    <w:rsid w:val="009E2F26"/>
    <w:rsid w:val="009E3931"/>
    <w:rsid w:val="009E58DB"/>
    <w:rsid w:val="009E5CA8"/>
    <w:rsid w:val="009F3049"/>
    <w:rsid w:val="009F387C"/>
    <w:rsid w:val="009F4F5C"/>
    <w:rsid w:val="009F7878"/>
    <w:rsid w:val="00A00480"/>
    <w:rsid w:val="00A009C1"/>
    <w:rsid w:val="00A018CF"/>
    <w:rsid w:val="00A026C3"/>
    <w:rsid w:val="00A0366E"/>
    <w:rsid w:val="00A037EA"/>
    <w:rsid w:val="00A03FFA"/>
    <w:rsid w:val="00A04EE6"/>
    <w:rsid w:val="00A064D1"/>
    <w:rsid w:val="00A0747C"/>
    <w:rsid w:val="00A131D8"/>
    <w:rsid w:val="00A134BC"/>
    <w:rsid w:val="00A14ED6"/>
    <w:rsid w:val="00A14FEA"/>
    <w:rsid w:val="00A15652"/>
    <w:rsid w:val="00A15E6A"/>
    <w:rsid w:val="00A17D5A"/>
    <w:rsid w:val="00A20899"/>
    <w:rsid w:val="00A24560"/>
    <w:rsid w:val="00A252F8"/>
    <w:rsid w:val="00A25924"/>
    <w:rsid w:val="00A25E18"/>
    <w:rsid w:val="00A27C8F"/>
    <w:rsid w:val="00A27D96"/>
    <w:rsid w:val="00A3135A"/>
    <w:rsid w:val="00A31FAF"/>
    <w:rsid w:val="00A3305E"/>
    <w:rsid w:val="00A33107"/>
    <w:rsid w:val="00A34538"/>
    <w:rsid w:val="00A35DB0"/>
    <w:rsid w:val="00A366C0"/>
    <w:rsid w:val="00A37325"/>
    <w:rsid w:val="00A4284F"/>
    <w:rsid w:val="00A44ADA"/>
    <w:rsid w:val="00A457BC"/>
    <w:rsid w:val="00A46B58"/>
    <w:rsid w:val="00A502C3"/>
    <w:rsid w:val="00A55589"/>
    <w:rsid w:val="00A55593"/>
    <w:rsid w:val="00A568E5"/>
    <w:rsid w:val="00A6031B"/>
    <w:rsid w:val="00A60F23"/>
    <w:rsid w:val="00A6135D"/>
    <w:rsid w:val="00A61BAB"/>
    <w:rsid w:val="00A63214"/>
    <w:rsid w:val="00A63550"/>
    <w:rsid w:val="00A637F0"/>
    <w:rsid w:val="00A64A3E"/>
    <w:rsid w:val="00A64D34"/>
    <w:rsid w:val="00A66B56"/>
    <w:rsid w:val="00A66CB6"/>
    <w:rsid w:val="00A67701"/>
    <w:rsid w:val="00A70D3C"/>
    <w:rsid w:val="00A7259A"/>
    <w:rsid w:val="00A7306C"/>
    <w:rsid w:val="00A74421"/>
    <w:rsid w:val="00A7602D"/>
    <w:rsid w:val="00A8002B"/>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2FA4"/>
    <w:rsid w:val="00AA442B"/>
    <w:rsid w:val="00AA5DE7"/>
    <w:rsid w:val="00AA611E"/>
    <w:rsid w:val="00AB019E"/>
    <w:rsid w:val="00AB0CF9"/>
    <w:rsid w:val="00AB22AC"/>
    <w:rsid w:val="00AB519E"/>
    <w:rsid w:val="00AB71ED"/>
    <w:rsid w:val="00AC284A"/>
    <w:rsid w:val="00AC2F83"/>
    <w:rsid w:val="00AC4A88"/>
    <w:rsid w:val="00AC604E"/>
    <w:rsid w:val="00AC7AF0"/>
    <w:rsid w:val="00AD0301"/>
    <w:rsid w:val="00AD1BC5"/>
    <w:rsid w:val="00AD2F6D"/>
    <w:rsid w:val="00AD44F4"/>
    <w:rsid w:val="00AD4A41"/>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1B3"/>
    <w:rsid w:val="00B03B42"/>
    <w:rsid w:val="00B050FF"/>
    <w:rsid w:val="00B061F8"/>
    <w:rsid w:val="00B07589"/>
    <w:rsid w:val="00B10040"/>
    <w:rsid w:val="00B105C8"/>
    <w:rsid w:val="00B113BF"/>
    <w:rsid w:val="00B12934"/>
    <w:rsid w:val="00B13131"/>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375CA"/>
    <w:rsid w:val="00B40151"/>
    <w:rsid w:val="00B417C9"/>
    <w:rsid w:val="00B42A23"/>
    <w:rsid w:val="00B42F19"/>
    <w:rsid w:val="00B442BB"/>
    <w:rsid w:val="00B448AF"/>
    <w:rsid w:val="00B45B98"/>
    <w:rsid w:val="00B473D1"/>
    <w:rsid w:val="00B50B3D"/>
    <w:rsid w:val="00B525CB"/>
    <w:rsid w:val="00B529BB"/>
    <w:rsid w:val="00B57141"/>
    <w:rsid w:val="00B5723A"/>
    <w:rsid w:val="00B615BB"/>
    <w:rsid w:val="00B61EAF"/>
    <w:rsid w:val="00B628C8"/>
    <w:rsid w:val="00B63CB2"/>
    <w:rsid w:val="00B64914"/>
    <w:rsid w:val="00B67830"/>
    <w:rsid w:val="00B71EA5"/>
    <w:rsid w:val="00B734AF"/>
    <w:rsid w:val="00B73E50"/>
    <w:rsid w:val="00B7415E"/>
    <w:rsid w:val="00B7625C"/>
    <w:rsid w:val="00B76CDB"/>
    <w:rsid w:val="00B80A0C"/>
    <w:rsid w:val="00B81B4F"/>
    <w:rsid w:val="00B83689"/>
    <w:rsid w:val="00B83959"/>
    <w:rsid w:val="00B83E31"/>
    <w:rsid w:val="00B85CB0"/>
    <w:rsid w:val="00B86742"/>
    <w:rsid w:val="00B86E19"/>
    <w:rsid w:val="00B9214A"/>
    <w:rsid w:val="00B9228C"/>
    <w:rsid w:val="00B924AA"/>
    <w:rsid w:val="00B930A2"/>
    <w:rsid w:val="00B93C15"/>
    <w:rsid w:val="00B93EB4"/>
    <w:rsid w:val="00B94453"/>
    <w:rsid w:val="00B955E0"/>
    <w:rsid w:val="00B96EEB"/>
    <w:rsid w:val="00B9707F"/>
    <w:rsid w:val="00B972C9"/>
    <w:rsid w:val="00BA2A4A"/>
    <w:rsid w:val="00BA2D3A"/>
    <w:rsid w:val="00BA5331"/>
    <w:rsid w:val="00BA7CC0"/>
    <w:rsid w:val="00BA7E88"/>
    <w:rsid w:val="00BB094C"/>
    <w:rsid w:val="00BB20AF"/>
    <w:rsid w:val="00BB343D"/>
    <w:rsid w:val="00BB4442"/>
    <w:rsid w:val="00BB52CB"/>
    <w:rsid w:val="00BB6594"/>
    <w:rsid w:val="00BB6E3C"/>
    <w:rsid w:val="00BC00B1"/>
    <w:rsid w:val="00BC108D"/>
    <w:rsid w:val="00BC2E1A"/>
    <w:rsid w:val="00BC3CF6"/>
    <w:rsid w:val="00BC4624"/>
    <w:rsid w:val="00BC4A98"/>
    <w:rsid w:val="00BC5927"/>
    <w:rsid w:val="00BC794D"/>
    <w:rsid w:val="00BD115B"/>
    <w:rsid w:val="00BD1CED"/>
    <w:rsid w:val="00BD28D5"/>
    <w:rsid w:val="00BD78FE"/>
    <w:rsid w:val="00BE020D"/>
    <w:rsid w:val="00BE051B"/>
    <w:rsid w:val="00BE15CF"/>
    <w:rsid w:val="00BE2414"/>
    <w:rsid w:val="00BE30AE"/>
    <w:rsid w:val="00BF0AE6"/>
    <w:rsid w:val="00BF1286"/>
    <w:rsid w:val="00BF1C20"/>
    <w:rsid w:val="00BF1F2C"/>
    <w:rsid w:val="00BF3F8D"/>
    <w:rsid w:val="00BF5F64"/>
    <w:rsid w:val="00BF616F"/>
    <w:rsid w:val="00C00B13"/>
    <w:rsid w:val="00C00EE1"/>
    <w:rsid w:val="00C012A8"/>
    <w:rsid w:val="00C0384D"/>
    <w:rsid w:val="00C03C90"/>
    <w:rsid w:val="00C04442"/>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6"/>
    <w:rsid w:val="00C32FA9"/>
    <w:rsid w:val="00C3420D"/>
    <w:rsid w:val="00C34CD8"/>
    <w:rsid w:val="00C34E5D"/>
    <w:rsid w:val="00C3799C"/>
    <w:rsid w:val="00C41CC9"/>
    <w:rsid w:val="00C44B05"/>
    <w:rsid w:val="00C45264"/>
    <w:rsid w:val="00C46F19"/>
    <w:rsid w:val="00C518B8"/>
    <w:rsid w:val="00C53893"/>
    <w:rsid w:val="00C539EC"/>
    <w:rsid w:val="00C53B49"/>
    <w:rsid w:val="00C55CE9"/>
    <w:rsid w:val="00C57F52"/>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4725"/>
    <w:rsid w:val="00C90033"/>
    <w:rsid w:val="00C9033A"/>
    <w:rsid w:val="00C92472"/>
    <w:rsid w:val="00C92C93"/>
    <w:rsid w:val="00C93D81"/>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461"/>
    <w:rsid w:val="00CC5490"/>
    <w:rsid w:val="00CC5C83"/>
    <w:rsid w:val="00CC6744"/>
    <w:rsid w:val="00CC704B"/>
    <w:rsid w:val="00CD0EFB"/>
    <w:rsid w:val="00CD1D8A"/>
    <w:rsid w:val="00CD2181"/>
    <w:rsid w:val="00CD2FA0"/>
    <w:rsid w:val="00CD3CC5"/>
    <w:rsid w:val="00CD56AA"/>
    <w:rsid w:val="00CD66DC"/>
    <w:rsid w:val="00CD76F0"/>
    <w:rsid w:val="00CD7776"/>
    <w:rsid w:val="00CE1E9A"/>
    <w:rsid w:val="00CE49F8"/>
    <w:rsid w:val="00CE65B0"/>
    <w:rsid w:val="00CE68C6"/>
    <w:rsid w:val="00CE762D"/>
    <w:rsid w:val="00CF29EA"/>
    <w:rsid w:val="00CF2ABC"/>
    <w:rsid w:val="00CF40C0"/>
    <w:rsid w:val="00CF478D"/>
    <w:rsid w:val="00CF6D74"/>
    <w:rsid w:val="00D0147E"/>
    <w:rsid w:val="00D035F8"/>
    <w:rsid w:val="00D0504D"/>
    <w:rsid w:val="00D05420"/>
    <w:rsid w:val="00D06915"/>
    <w:rsid w:val="00D06ADE"/>
    <w:rsid w:val="00D1574C"/>
    <w:rsid w:val="00D15B6E"/>
    <w:rsid w:val="00D16312"/>
    <w:rsid w:val="00D16E39"/>
    <w:rsid w:val="00D2246B"/>
    <w:rsid w:val="00D234DF"/>
    <w:rsid w:val="00D246C2"/>
    <w:rsid w:val="00D27700"/>
    <w:rsid w:val="00D27E00"/>
    <w:rsid w:val="00D305BD"/>
    <w:rsid w:val="00D30743"/>
    <w:rsid w:val="00D32D01"/>
    <w:rsid w:val="00D32E17"/>
    <w:rsid w:val="00D32EBE"/>
    <w:rsid w:val="00D33532"/>
    <w:rsid w:val="00D345B5"/>
    <w:rsid w:val="00D34731"/>
    <w:rsid w:val="00D352E9"/>
    <w:rsid w:val="00D3720F"/>
    <w:rsid w:val="00D40D8E"/>
    <w:rsid w:val="00D40FAB"/>
    <w:rsid w:val="00D41158"/>
    <w:rsid w:val="00D41D66"/>
    <w:rsid w:val="00D4348E"/>
    <w:rsid w:val="00D44FB5"/>
    <w:rsid w:val="00D4574F"/>
    <w:rsid w:val="00D4699F"/>
    <w:rsid w:val="00D50075"/>
    <w:rsid w:val="00D51603"/>
    <w:rsid w:val="00D52820"/>
    <w:rsid w:val="00D52B6D"/>
    <w:rsid w:val="00D5365B"/>
    <w:rsid w:val="00D54877"/>
    <w:rsid w:val="00D55237"/>
    <w:rsid w:val="00D553D7"/>
    <w:rsid w:val="00D567A9"/>
    <w:rsid w:val="00D56991"/>
    <w:rsid w:val="00D6034C"/>
    <w:rsid w:val="00D6361B"/>
    <w:rsid w:val="00D64A4A"/>
    <w:rsid w:val="00D65DDA"/>
    <w:rsid w:val="00D709EF"/>
    <w:rsid w:val="00D72E9D"/>
    <w:rsid w:val="00D73430"/>
    <w:rsid w:val="00D73788"/>
    <w:rsid w:val="00D747D7"/>
    <w:rsid w:val="00D74C23"/>
    <w:rsid w:val="00D74C57"/>
    <w:rsid w:val="00D77187"/>
    <w:rsid w:val="00D82CE5"/>
    <w:rsid w:val="00D8507B"/>
    <w:rsid w:val="00D855EC"/>
    <w:rsid w:val="00D85B4F"/>
    <w:rsid w:val="00D914DA"/>
    <w:rsid w:val="00D91B83"/>
    <w:rsid w:val="00D91DB7"/>
    <w:rsid w:val="00D9271F"/>
    <w:rsid w:val="00D936D0"/>
    <w:rsid w:val="00D93E4B"/>
    <w:rsid w:val="00D9433E"/>
    <w:rsid w:val="00D94DAE"/>
    <w:rsid w:val="00D95624"/>
    <w:rsid w:val="00D960B1"/>
    <w:rsid w:val="00D97469"/>
    <w:rsid w:val="00DA0439"/>
    <w:rsid w:val="00DA0775"/>
    <w:rsid w:val="00DA311A"/>
    <w:rsid w:val="00DA56E5"/>
    <w:rsid w:val="00DA5AB1"/>
    <w:rsid w:val="00DA6FB5"/>
    <w:rsid w:val="00DA7425"/>
    <w:rsid w:val="00DB11B2"/>
    <w:rsid w:val="00DB1204"/>
    <w:rsid w:val="00DB3B65"/>
    <w:rsid w:val="00DB5599"/>
    <w:rsid w:val="00DB5918"/>
    <w:rsid w:val="00DB6907"/>
    <w:rsid w:val="00DB710D"/>
    <w:rsid w:val="00DC08E1"/>
    <w:rsid w:val="00DC1AB6"/>
    <w:rsid w:val="00DC36CE"/>
    <w:rsid w:val="00DC3CF1"/>
    <w:rsid w:val="00DC3EF6"/>
    <w:rsid w:val="00DC53D7"/>
    <w:rsid w:val="00DC5DE5"/>
    <w:rsid w:val="00DC6019"/>
    <w:rsid w:val="00DC62E5"/>
    <w:rsid w:val="00DD002F"/>
    <w:rsid w:val="00DD514A"/>
    <w:rsid w:val="00DD5FCE"/>
    <w:rsid w:val="00DD6C91"/>
    <w:rsid w:val="00DD735D"/>
    <w:rsid w:val="00DE057F"/>
    <w:rsid w:val="00DE100A"/>
    <w:rsid w:val="00DE1A24"/>
    <w:rsid w:val="00DE3119"/>
    <w:rsid w:val="00DE3771"/>
    <w:rsid w:val="00DE53B3"/>
    <w:rsid w:val="00DE540F"/>
    <w:rsid w:val="00DE63CA"/>
    <w:rsid w:val="00DE6469"/>
    <w:rsid w:val="00DF09A8"/>
    <w:rsid w:val="00DF107A"/>
    <w:rsid w:val="00DF167C"/>
    <w:rsid w:val="00DF198C"/>
    <w:rsid w:val="00DF236B"/>
    <w:rsid w:val="00DF3197"/>
    <w:rsid w:val="00DF3271"/>
    <w:rsid w:val="00DF42F1"/>
    <w:rsid w:val="00DF59D6"/>
    <w:rsid w:val="00DF6105"/>
    <w:rsid w:val="00DF7ACB"/>
    <w:rsid w:val="00E01639"/>
    <w:rsid w:val="00E01F0B"/>
    <w:rsid w:val="00E0222A"/>
    <w:rsid w:val="00E03888"/>
    <w:rsid w:val="00E05934"/>
    <w:rsid w:val="00E07BC7"/>
    <w:rsid w:val="00E07D2A"/>
    <w:rsid w:val="00E10A23"/>
    <w:rsid w:val="00E1123E"/>
    <w:rsid w:val="00E1209F"/>
    <w:rsid w:val="00E126C1"/>
    <w:rsid w:val="00E1277F"/>
    <w:rsid w:val="00E129E9"/>
    <w:rsid w:val="00E13AB8"/>
    <w:rsid w:val="00E13C3F"/>
    <w:rsid w:val="00E13FF0"/>
    <w:rsid w:val="00E14CEA"/>
    <w:rsid w:val="00E1511F"/>
    <w:rsid w:val="00E16BBA"/>
    <w:rsid w:val="00E173AD"/>
    <w:rsid w:val="00E17E1B"/>
    <w:rsid w:val="00E20955"/>
    <w:rsid w:val="00E214DF"/>
    <w:rsid w:val="00E25651"/>
    <w:rsid w:val="00E25D1B"/>
    <w:rsid w:val="00E267C6"/>
    <w:rsid w:val="00E2690F"/>
    <w:rsid w:val="00E26CA4"/>
    <w:rsid w:val="00E275BF"/>
    <w:rsid w:val="00E32050"/>
    <w:rsid w:val="00E32500"/>
    <w:rsid w:val="00E3265F"/>
    <w:rsid w:val="00E3337D"/>
    <w:rsid w:val="00E33B62"/>
    <w:rsid w:val="00E351A3"/>
    <w:rsid w:val="00E36193"/>
    <w:rsid w:val="00E36BCA"/>
    <w:rsid w:val="00E36C78"/>
    <w:rsid w:val="00E3785C"/>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71BA4"/>
    <w:rsid w:val="00E728F0"/>
    <w:rsid w:val="00E72932"/>
    <w:rsid w:val="00E773CD"/>
    <w:rsid w:val="00E822B0"/>
    <w:rsid w:val="00E86340"/>
    <w:rsid w:val="00E86589"/>
    <w:rsid w:val="00E86805"/>
    <w:rsid w:val="00E932D4"/>
    <w:rsid w:val="00E932EF"/>
    <w:rsid w:val="00E93D64"/>
    <w:rsid w:val="00E93F32"/>
    <w:rsid w:val="00E9469D"/>
    <w:rsid w:val="00E97868"/>
    <w:rsid w:val="00E97974"/>
    <w:rsid w:val="00E97A9B"/>
    <w:rsid w:val="00E97ED9"/>
    <w:rsid w:val="00EA0062"/>
    <w:rsid w:val="00EA1D29"/>
    <w:rsid w:val="00EA2E32"/>
    <w:rsid w:val="00EA49E7"/>
    <w:rsid w:val="00EA5627"/>
    <w:rsid w:val="00EA7FF3"/>
    <w:rsid w:val="00EB0667"/>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EEA"/>
    <w:rsid w:val="00EC35C7"/>
    <w:rsid w:val="00EC4003"/>
    <w:rsid w:val="00EC69AE"/>
    <w:rsid w:val="00ED0712"/>
    <w:rsid w:val="00ED1923"/>
    <w:rsid w:val="00ED1CBE"/>
    <w:rsid w:val="00ED23DD"/>
    <w:rsid w:val="00ED29ED"/>
    <w:rsid w:val="00ED41FD"/>
    <w:rsid w:val="00ED4F9F"/>
    <w:rsid w:val="00ED4FCC"/>
    <w:rsid w:val="00ED520C"/>
    <w:rsid w:val="00EE21CC"/>
    <w:rsid w:val="00EE2FB0"/>
    <w:rsid w:val="00EE461A"/>
    <w:rsid w:val="00EE4899"/>
    <w:rsid w:val="00EE5B35"/>
    <w:rsid w:val="00EE5BFD"/>
    <w:rsid w:val="00EE5D34"/>
    <w:rsid w:val="00EE6725"/>
    <w:rsid w:val="00EE759C"/>
    <w:rsid w:val="00EE7AB2"/>
    <w:rsid w:val="00EE7F0C"/>
    <w:rsid w:val="00EF0630"/>
    <w:rsid w:val="00EF16B4"/>
    <w:rsid w:val="00EF1743"/>
    <w:rsid w:val="00EF1A07"/>
    <w:rsid w:val="00EF2AB2"/>
    <w:rsid w:val="00EF2B13"/>
    <w:rsid w:val="00EF2DE9"/>
    <w:rsid w:val="00EF37EC"/>
    <w:rsid w:val="00EF51AA"/>
    <w:rsid w:val="00EF74C8"/>
    <w:rsid w:val="00EF795E"/>
    <w:rsid w:val="00F0016A"/>
    <w:rsid w:val="00F00368"/>
    <w:rsid w:val="00F00C5A"/>
    <w:rsid w:val="00F043F9"/>
    <w:rsid w:val="00F04AF4"/>
    <w:rsid w:val="00F05C8F"/>
    <w:rsid w:val="00F069A3"/>
    <w:rsid w:val="00F06DDB"/>
    <w:rsid w:val="00F07E74"/>
    <w:rsid w:val="00F106B5"/>
    <w:rsid w:val="00F11757"/>
    <w:rsid w:val="00F118CE"/>
    <w:rsid w:val="00F12FEC"/>
    <w:rsid w:val="00F2171E"/>
    <w:rsid w:val="00F24737"/>
    <w:rsid w:val="00F26416"/>
    <w:rsid w:val="00F265D4"/>
    <w:rsid w:val="00F319D3"/>
    <w:rsid w:val="00F337D5"/>
    <w:rsid w:val="00F33ED0"/>
    <w:rsid w:val="00F35235"/>
    <w:rsid w:val="00F35EF3"/>
    <w:rsid w:val="00F37C95"/>
    <w:rsid w:val="00F40429"/>
    <w:rsid w:val="00F44108"/>
    <w:rsid w:val="00F442A2"/>
    <w:rsid w:val="00F44916"/>
    <w:rsid w:val="00F44975"/>
    <w:rsid w:val="00F44C8B"/>
    <w:rsid w:val="00F456F9"/>
    <w:rsid w:val="00F458C6"/>
    <w:rsid w:val="00F45A0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70AE0"/>
    <w:rsid w:val="00F71F4A"/>
    <w:rsid w:val="00F71F95"/>
    <w:rsid w:val="00F727D9"/>
    <w:rsid w:val="00F72FBA"/>
    <w:rsid w:val="00F740F2"/>
    <w:rsid w:val="00F74230"/>
    <w:rsid w:val="00F74527"/>
    <w:rsid w:val="00F75589"/>
    <w:rsid w:val="00F755D0"/>
    <w:rsid w:val="00F768DE"/>
    <w:rsid w:val="00F77649"/>
    <w:rsid w:val="00F8136F"/>
    <w:rsid w:val="00F8234B"/>
    <w:rsid w:val="00F84778"/>
    <w:rsid w:val="00F84899"/>
    <w:rsid w:val="00F84B03"/>
    <w:rsid w:val="00F84BB3"/>
    <w:rsid w:val="00F859F0"/>
    <w:rsid w:val="00F865F7"/>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3AB4"/>
    <w:rsid w:val="00FD4D51"/>
    <w:rsid w:val="00FD5AF7"/>
    <w:rsid w:val="00FD75F3"/>
    <w:rsid w:val="00FD79B7"/>
    <w:rsid w:val="00FD7A5B"/>
    <w:rsid w:val="00FE141E"/>
    <w:rsid w:val="00FE2AAC"/>
    <w:rsid w:val="00FE306B"/>
    <w:rsid w:val="00FE3140"/>
    <w:rsid w:val="00FE4104"/>
    <w:rsid w:val="00FE49F4"/>
    <w:rsid w:val="00FE6739"/>
    <w:rsid w:val="00FF131D"/>
    <w:rsid w:val="00FF1902"/>
    <w:rsid w:val="00FF25AA"/>
    <w:rsid w:val="00FF3F79"/>
    <w:rsid w:val="00FF4DDD"/>
    <w:rsid w:val="00FF537A"/>
    <w:rsid w:val="00FF7B7B"/>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 w:type="paragraph" w:customStyle="1" w:styleId="Appelnotedebasde">
    <w:name w:val="Appel note de bas de..."/>
    <w:basedOn w:val="Normal"/>
    <w:link w:val="Refdenotaalpie"/>
    <w:uiPriority w:val="99"/>
    <w:rsid w:val="00443C26"/>
    <w:pPr>
      <w:spacing w:after="160" w:line="240" w:lineRule="exact"/>
    </w:pPr>
    <w:rPr>
      <w:rFonts w:asciiTheme="minorHAnsi" w:eastAsiaTheme="minorHAnsi" w:hAnsiTheme="minorHAnsi" w:cstheme="minorBidi"/>
      <w:sz w:val="22"/>
      <w:vertAlign w:val="superscript"/>
      <w:lang w:val="es-CO"/>
    </w:rPr>
  </w:style>
  <w:style w:type="character" w:styleId="nfasis">
    <w:name w:val="Emphasis"/>
    <w:basedOn w:val="Fuentedeprrafopredeter"/>
    <w:uiPriority w:val="20"/>
    <w:qFormat/>
    <w:rsid w:val="009E5C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354355289">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293704553">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21</Pages>
  <Words>8532</Words>
  <Characters>46932</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Kamal Abdul Nassar Montoya</cp:lastModifiedBy>
  <cp:revision>2</cp:revision>
  <dcterms:created xsi:type="dcterms:W3CDTF">2021-04-20T13:19:00Z</dcterms:created>
  <dcterms:modified xsi:type="dcterms:W3CDTF">2021-04-20T13:19:00Z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