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BEE4F5" w14:textId="77777777" w:rsidR="00614A06" w:rsidRDefault="00614A06" w:rsidP="00E245AB">
      <w:pPr>
        <w:spacing w:after="0"/>
        <w:rPr>
          <w:rFonts w:ascii="Century Gothic" w:hAnsi="Century Gothic"/>
        </w:rPr>
      </w:pPr>
      <w:bookmarkStart w:id="0" w:name="_Hlk143780582"/>
    </w:p>
    <w:p w14:paraId="10EDB6E6" w14:textId="77777777" w:rsidR="003276D6" w:rsidRDefault="003276D6" w:rsidP="00E245AB">
      <w:pPr>
        <w:spacing w:after="0"/>
        <w:rPr>
          <w:rFonts w:ascii="Century Gothic" w:hAnsi="Century Gothic"/>
        </w:rPr>
      </w:pPr>
    </w:p>
    <w:p w14:paraId="59F3A75F" w14:textId="77777777" w:rsidR="00681219" w:rsidRPr="00681219" w:rsidRDefault="00681219" w:rsidP="00681219">
      <w:pPr>
        <w:spacing w:after="0" w:line="240" w:lineRule="auto"/>
        <w:jc w:val="both"/>
        <w:rPr>
          <w:rFonts w:ascii="Century Gothic" w:eastAsia="Times New Roman" w:hAnsi="Century Gothic" w:cs="Arial"/>
          <w:b/>
          <w:bCs/>
          <w:sz w:val="20"/>
          <w:szCs w:val="20"/>
          <w:lang w:val="es-MX"/>
        </w:rPr>
      </w:pPr>
      <w:r w:rsidRPr="00681219">
        <w:rPr>
          <w:rFonts w:ascii="Century Gothic" w:eastAsia="Times New Roman" w:hAnsi="Century Gothic" w:cs="Arial"/>
          <w:b/>
          <w:bCs/>
          <w:sz w:val="20"/>
          <w:szCs w:val="20"/>
          <w:lang w:val="es-MX"/>
        </w:rPr>
        <w:t>PUBLICIDAD SECOP – Entidades exceptuadas – Estatuto general de contratación – Modificación del artículo 53 – Ley 2195 de 2022</w:t>
      </w:r>
    </w:p>
    <w:p w14:paraId="7368D820" w14:textId="77777777" w:rsidR="00681219" w:rsidRPr="00681219" w:rsidRDefault="00681219" w:rsidP="00681219">
      <w:pPr>
        <w:spacing w:after="0" w:line="240" w:lineRule="auto"/>
        <w:jc w:val="both"/>
        <w:rPr>
          <w:rFonts w:ascii="Century Gothic" w:eastAsia="Times New Roman" w:hAnsi="Century Gothic" w:cs="Arial"/>
          <w:b/>
          <w:bCs/>
          <w:sz w:val="20"/>
          <w:szCs w:val="20"/>
          <w:lang w:val="es-MX"/>
        </w:rPr>
      </w:pPr>
    </w:p>
    <w:p w14:paraId="1838440E" w14:textId="77777777" w:rsidR="00681219" w:rsidRPr="00681219" w:rsidRDefault="00681219" w:rsidP="00681219">
      <w:pPr>
        <w:spacing w:after="0" w:line="240" w:lineRule="auto"/>
        <w:jc w:val="both"/>
        <w:rPr>
          <w:rFonts w:ascii="Century Gothic" w:eastAsia="Times New Roman" w:hAnsi="Century Gothic" w:cs="Arial"/>
          <w:sz w:val="20"/>
          <w:szCs w:val="20"/>
          <w:lang w:val="es-MX"/>
        </w:rPr>
      </w:pPr>
      <w:r w:rsidRPr="00681219">
        <w:rPr>
          <w:rFonts w:ascii="Century Gothic" w:eastAsia="Times New Roman" w:hAnsi="Century Gothic" w:cs="Arial"/>
          <w:sz w:val="20"/>
          <w:szCs w:val="20"/>
          <w:lang w:val="es-MX"/>
        </w:rPr>
        <w:t>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41978D73" w14:textId="77777777" w:rsidR="00681219" w:rsidRPr="00681219" w:rsidRDefault="00681219" w:rsidP="00681219">
      <w:pPr>
        <w:spacing w:after="0" w:line="240" w:lineRule="auto"/>
        <w:jc w:val="both"/>
        <w:rPr>
          <w:rFonts w:ascii="Century Gothic" w:eastAsia="Times New Roman" w:hAnsi="Century Gothic" w:cs="Arial"/>
          <w:sz w:val="20"/>
          <w:szCs w:val="20"/>
          <w:lang w:val="es-MX"/>
        </w:rPr>
      </w:pPr>
    </w:p>
    <w:p w14:paraId="6E1A4FBD" w14:textId="77777777" w:rsidR="00681219" w:rsidRPr="00681219" w:rsidRDefault="00681219" w:rsidP="00681219">
      <w:pPr>
        <w:spacing w:after="0" w:line="240" w:lineRule="auto"/>
        <w:jc w:val="both"/>
        <w:rPr>
          <w:rFonts w:ascii="Century Gothic" w:eastAsia="Times New Roman" w:hAnsi="Century Gothic" w:cs="Arial"/>
          <w:sz w:val="20"/>
          <w:szCs w:val="20"/>
          <w:lang w:val="es-MX"/>
        </w:rPr>
      </w:pPr>
      <w:r w:rsidRPr="00681219">
        <w:rPr>
          <w:rFonts w:ascii="Century Gothic" w:eastAsia="Times New Roman" w:hAnsi="Century Gothic" w:cs="Arial"/>
          <w:sz w:val="20"/>
          <w:szCs w:val="20"/>
          <w:lang w:val="es-MX"/>
        </w:rPr>
        <w:t>La 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0271F322" w14:textId="77777777" w:rsidR="00681219" w:rsidRPr="00681219" w:rsidRDefault="00681219" w:rsidP="00681219">
      <w:pPr>
        <w:spacing w:after="0" w:line="240" w:lineRule="auto"/>
        <w:jc w:val="both"/>
        <w:rPr>
          <w:rFonts w:ascii="Century Gothic" w:eastAsia="Times New Roman" w:hAnsi="Century Gothic" w:cs="Arial"/>
          <w:sz w:val="20"/>
          <w:szCs w:val="20"/>
          <w:lang w:val="es-MX"/>
        </w:rPr>
      </w:pPr>
    </w:p>
    <w:p w14:paraId="6889215C" w14:textId="77777777" w:rsidR="00681219" w:rsidRPr="00681219" w:rsidRDefault="00681219" w:rsidP="00681219">
      <w:pPr>
        <w:spacing w:after="0" w:line="240" w:lineRule="auto"/>
        <w:jc w:val="both"/>
        <w:rPr>
          <w:rFonts w:ascii="Century Gothic" w:eastAsia="Times New Roman" w:hAnsi="Century Gothic" w:cs="Arial"/>
          <w:b/>
          <w:bCs/>
          <w:sz w:val="20"/>
          <w:szCs w:val="20"/>
          <w:lang w:val="es-MX"/>
        </w:rPr>
      </w:pPr>
      <w:r w:rsidRPr="00681219">
        <w:rPr>
          <w:rFonts w:ascii="Century Gothic" w:eastAsia="Times New Roman" w:hAnsi="Century Gothic" w:cs="Arial"/>
          <w:b/>
          <w:bCs/>
          <w:sz w:val="20"/>
          <w:szCs w:val="20"/>
          <w:lang w:val="es-MX"/>
        </w:rPr>
        <w:t>SECOP II – Deber de publicidad – Entidades exceptuadas – Documentos relacionados con la actividad contractual</w:t>
      </w:r>
    </w:p>
    <w:p w14:paraId="6FD1C799" w14:textId="77777777" w:rsidR="00681219" w:rsidRPr="00681219" w:rsidRDefault="00681219" w:rsidP="00681219">
      <w:pPr>
        <w:spacing w:after="0" w:line="240" w:lineRule="auto"/>
        <w:jc w:val="both"/>
        <w:rPr>
          <w:rFonts w:ascii="Century Gothic" w:eastAsia="Times New Roman" w:hAnsi="Century Gothic" w:cs="Arial"/>
          <w:b/>
          <w:bCs/>
          <w:sz w:val="20"/>
          <w:szCs w:val="20"/>
          <w:lang w:val="es-MX"/>
        </w:rPr>
      </w:pPr>
    </w:p>
    <w:p w14:paraId="5DE32F1E" w14:textId="77777777" w:rsidR="00681219" w:rsidRPr="00681219" w:rsidRDefault="00681219" w:rsidP="00681219">
      <w:pPr>
        <w:spacing w:after="0" w:line="240" w:lineRule="auto"/>
        <w:jc w:val="both"/>
        <w:rPr>
          <w:rFonts w:ascii="Century Gothic" w:eastAsia="Times New Roman" w:hAnsi="Century Gothic" w:cs="Arial"/>
          <w:sz w:val="20"/>
          <w:szCs w:val="20"/>
          <w:lang w:val="es-MX"/>
        </w:rPr>
      </w:pPr>
      <w:r w:rsidRPr="00681219">
        <w:rPr>
          <w:rFonts w:ascii="Century Gothic" w:eastAsia="Times New Roman" w:hAnsi="Century Gothic" w:cs="Arial"/>
          <w:sz w:val="20"/>
          <w:szCs w:val="20"/>
          <w:lang w:val="es-MX"/>
        </w:rPr>
        <w:t>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6F937986" w14:textId="77777777" w:rsidR="00681219" w:rsidRPr="00681219" w:rsidRDefault="00681219" w:rsidP="00681219">
      <w:pPr>
        <w:spacing w:after="0" w:line="240" w:lineRule="auto"/>
        <w:jc w:val="both"/>
        <w:rPr>
          <w:rFonts w:ascii="Century Gothic" w:eastAsia="Times New Roman" w:hAnsi="Century Gothic" w:cs="Arial"/>
          <w:sz w:val="20"/>
          <w:szCs w:val="20"/>
          <w:lang w:val="es-MX"/>
        </w:rPr>
      </w:pPr>
    </w:p>
    <w:p w14:paraId="07A9EB8A" w14:textId="77777777" w:rsidR="00681219" w:rsidRDefault="00681219" w:rsidP="00681219">
      <w:pPr>
        <w:spacing w:after="0" w:line="240" w:lineRule="auto"/>
        <w:jc w:val="both"/>
        <w:rPr>
          <w:rFonts w:ascii="Century Gothic" w:eastAsia="Times New Roman" w:hAnsi="Century Gothic" w:cs="Arial"/>
          <w:sz w:val="20"/>
          <w:szCs w:val="20"/>
          <w:lang w:val="es-MX"/>
        </w:rPr>
      </w:pPr>
      <w:r w:rsidRPr="00681219">
        <w:rPr>
          <w:rFonts w:ascii="Century Gothic" w:eastAsia="Times New Roman" w:hAnsi="Century Gothic" w:cs="Arial"/>
          <w:sz w:val="20"/>
          <w:szCs w:val="20"/>
          <w:lang w:val="es-MX"/>
        </w:rPr>
        <w:t>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“no misionales” estén per se excluidos del deber de publicidad.</w:t>
      </w:r>
    </w:p>
    <w:p w14:paraId="6BE5EC59" w14:textId="77777777" w:rsidR="00312A08" w:rsidRDefault="00312A08" w:rsidP="00681219">
      <w:pPr>
        <w:spacing w:after="0" w:line="240" w:lineRule="auto"/>
        <w:jc w:val="both"/>
        <w:rPr>
          <w:rFonts w:ascii="Century Gothic" w:eastAsia="Times New Roman" w:hAnsi="Century Gothic" w:cs="Arial"/>
          <w:sz w:val="20"/>
          <w:szCs w:val="20"/>
          <w:lang w:val="es-MX"/>
        </w:rPr>
      </w:pPr>
    </w:p>
    <w:p w14:paraId="00D183F3" w14:textId="77777777" w:rsidR="00312A08" w:rsidRPr="00312A08" w:rsidRDefault="00312A08" w:rsidP="00312A08">
      <w:pPr>
        <w:spacing w:after="0" w:line="240" w:lineRule="auto"/>
        <w:rPr>
          <w:rFonts w:ascii="Century Gothic" w:eastAsia="Times New Roman" w:hAnsi="Century Gothic" w:cs="Arial"/>
        </w:rPr>
      </w:pPr>
      <w:r w:rsidRPr="00312A08">
        <w:rPr>
          <w:rFonts w:ascii="Century Gothic" w:eastAsia="Times New Roman" w:hAnsi="Century Gothic" w:cs="Arial"/>
          <w:b/>
          <w:bCs/>
          <w:lang w:val="es-ES"/>
        </w:rPr>
        <w:t>PRINCIPIO DE PUBLICIDAD - Naturaleza</w:t>
      </w:r>
      <w:r w:rsidRPr="00312A08">
        <w:rPr>
          <w:rFonts w:ascii="Century Gothic" w:eastAsia="Times New Roman" w:hAnsi="Century Gothic" w:cs="Arial"/>
        </w:rPr>
        <w:t xml:space="preserve"> </w:t>
      </w:r>
    </w:p>
    <w:p w14:paraId="00BFBF19" w14:textId="77777777" w:rsidR="00312A08" w:rsidRPr="00312A08" w:rsidRDefault="00312A08" w:rsidP="00312A08">
      <w:pPr>
        <w:spacing w:after="0" w:line="240" w:lineRule="auto"/>
        <w:rPr>
          <w:rFonts w:ascii="Century Gothic" w:eastAsia="Times New Roman" w:hAnsi="Century Gothic" w:cs="Arial"/>
          <w:sz w:val="20"/>
          <w:szCs w:val="20"/>
        </w:rPr>
      </w:pPr>
    </w:p>
    <w:p w14:paraId="5712CFF0" w14:textId="77777777" w:rsidR="00312A08" w:rsidRPr="00312A08" w:rsidRDefault="00312A08" w:rsidP="08937EA5">
      <w:pPr>
        <w:spacing w:after="0" w:line="240" w:lineRule="auto"/>
        <w:jc w:val="both"/>
        <w:rPr>
          <w:rFonts w:ascii="Century Gothic" w:eastAsia="Times New Roman" w:hAnsi="Century Gothic" w:cs="Arial"/>
          <w:color w:val="000000" w:themeColor="text1"/>
          <w:sz w:val="20"/>
          <w:szCs w:val="20"/>
          <w:lang w:val="es-ES" w:eastAsia="es-ES"/>
        </w:rPr>
      </w:pPr>
      <w:r w:rsidRPr="08937EA5">
        <w:rPr>
          <w:rFonts w:ascii="Century Gothic" w:eastAsia="Times New Roman" w:hAnsi="Century Gothic" w:cs="Arial"/>
          <w:sz w:val="20"/>
          <w:szCs w:val="20"/>
          <w:lang w:val="es-ES" w:eastAsia="es-ES"/>
        </w:rPr>
        <w:t xml:space="preserve">Uno de los postulados más importantes de un Estado Social y Democrático de Derecho es el principio de </w:t>
      </w:r>
      <w:r w:rsidRPr="08937EA5">
        <w:rPr>
          <w:rFonts w:ascii="Century Gothic" w:eastAsia="Times New Roman" w:hAnsi="Century Gothic" w:cs="Arial"/>
          <w:i/>
          <w:iCs/>
          <w:sz w:val="20"/>
          <w:szCs w:val="20"/>
          <w:lang w:val="es-ES" w:eastAsia="es-ES"/>
        </w:rPr>
        <w:t>publicidad</w:t>
      </w:r>
      <w:r w:rsidRPr="08937EA5">
        <w:rPr>
          <w:rFonts w:ascii="Century Gothic" w:eastAsia="Times New Roman" w:hAnsi="Century Gothic" w:cs="Arial"/>
          <w:sz w:val="20"/>
          <w:szCs w:val="20"/>
          <w:lang w:val="es-ES" w:eastAsia="es-ES"/>
        </w:rPr>
        <w:t xml:space="preserve">, pues este permite que las actuaciones de las autoridades gocen de visibilidad. La Constitución Política de 1991 consagra en varios artículos la publicidad como un principio rector del Estado colombiano. Entre </w:t>
      </w:r>
      <w:r w:rsidRPr="08937EA5">
        <w:rPr>
          <w:rFonts w:ascii="Century Gothic" w:eastAsia="Times New Roman" w:hAnsi="Century Gothic" w:cs="Arial"/>
          <w:color w:val="000000" w:themeColor="text1"/>
          <w:sz w:val="20"/>
          <w:szCs w:val="20"/>
          <w:lang w:val="es-ES" w:eastAsia="es-ES"/>
        </w:rPr>
        <w:t xml:space="preserve">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07C015D3" w14:textId="77777777" w:rsidR="00312A08" w:rsidRPr="00312A08" w:rsidRDefault="00312A08" w:rsidP="00312A08">
      <w:pPr>
        <w:spacing w:after="0" w:line="240" w:lineRule="auto"/>
        <w:jc w:val="both"/>
        <w:rPr>
          <w:rFonts w:ascii="Century Gothic" w:eastAsia="Times New Roman" w:hAnsi="Century Gothic" w:cs="Arial"/>
          <w:color w:val="000000" w:themeColor="text1"/>
          <w:sz w:val="20"/>
          <w:szCs w:val="20"/>
          <w:lang w:val="es-ES_tradnl"/>
        </w:rPr>
      </w:pPr>
    </w:p>
    <w:p w14:paraId="6F11EC88" w14:textId="77777777" w:rsidR="00312A08" w:rsidRPr="00312A08" w:rsidRDefault="00312A08" w:rsidP="00312A08">
      <w:pPr>
        <w:spacing w:after="0" w:line="240" w:lineRule="auto"/>
        <w:jc w:val="both"/>
        <w:rPr>
          <w:rFonts w:ascii="Century Gothic" w:eastAsia="Times New Roman" w:hAnsi="Century Gothic" w:cs="Arial"/>
          <w:b/>
          <w:color w:val="000000"/>
        </w:rPr>
      </w:pPr>
      <w:r w:rsidRPr="00312A08">
        <w:rPr>
          <w:rFonts w:ascii="Century Gothic" w:eastAsia="Times New Roman" w:hAnsi="Century Gothic" w:cs="Arial"/>
          <w:b/>
          <w:color w:val="000000"/>
        </w:rPr>
        <w:t xml:space="preserve">ACCESO A DOCUMENTACIÓN PÚBLICA – Derecho fundamental – Transparencia – Información contractual </w:t>
      </w:r>
    </w:p>
    <w:p w14:paraId="1DAC160B" w14:textId="77777777" w:rsidR="00312A08" w:rsidRPr="00312A08" w:rsidRDefault="00312A08" w:rsidP="00312A08">
      <w:pPr>
        <w:tabs>
          <w:tab w:val="left" w:pos="1816"/>
        </w:tabs>
        <w:spacing w:after="0" w:line="240" w:lineRule="auto"/>
        <w:jc w:val="both"/>
        <w:rPr>
          <w:rFonts w:ascii="Century Gothic" w:eastAsia="Times New Roman" w:hAnsi="Century Gothic" w:cs="Arial"/>
          <w:b/>
          <w:color w:val="000000"/>
          <w:sz w:val="20"/>
          <w:szCs w:val="20"/>
        </w:rPr>
      </w:pPr>
      <w:r w:rsidRPr="00312A08">
        <w:rPr>
          <w:rFonts w:ascii="Century Gothic" w:eastAsia="Times New Roman" w:hAnsi="Century Gothic" w:cs="Arial"/>
          <w:b/>
          <w:color w:val="000000"/>
          <w:sz w:val="20"/>
          <w:szCs w:val="20"/>
        </w:rPr>
        <w:t xml:space="preserve"> </w:t>
      </w:r>
      <w:r w:rsidRPr="00312A08">
        <w:rPr>
          <w:rFonts w:ascii="Century Gothic" w:eastAsia="Times New Roman" w:hAnsi="Century Gothic" w:cs="Arial"/>
          <w:b/>
          <w:color w:val="000000"/>
          <w:sz w:val="20"/>
          <w:szCs w:val="20"/>
        </w:rPr>
        <w:tab/>
      </w:r>
      <w:r w:rsidRPr="00312A08">
        <w:rPr>
          <w:rFonts w:ascii="Century Gothic" w:eastAsia="Times New Roman" w:hAnsi="Century Gothic" w:cs="Arial"/>
          <w:color w:val="000000"/>
          <w:sz w:val="20"/>
          <w:szCs w:val="20"/>
        </w:rPr>
        <w:t xml:space="preserve"> </w:t>
      </w:r>
    </w:p>
    <w:p w14:paraId="6DD6688E" w14:textId="77777777" w:rsidR="00312A08" w:rsidRPr="00312A08" w:rsidRDefault="00312A08" w:rsidP="08937EA5">
      <w:pPr>
        <w:spacing w:after="0" w:line="240" w:lineRule="auto"/>
        <w:jc w:val="both"/>
        <w:rPr>
          <w:rFonts w:ascii="Century Gothic" w:eastAsia="Times New Roman" w:hAnsi="Century Gothic" w:cs="Arial"/>
          <w:color w:val="000000" w:themeColor="text1"/>
          <w:sz w:val="20"/>
          <w:szCs w:val="20"/>
          <w:lang w:val="es-ES"/>
        </w:rPr>
      </w:pPr>
      <w:r w:rsidRPr="08937EA5">
        <w:rPr>
          <w:rFonts w:ascii="Century Gothic" w:eastAsia="Times New Roman" w:hAnsi="Century Gothic" w:cs="Arial"/>
          <w:color w:val="000000" w:themeColor="text1"/>
          <w:sz w:val="20"/>
          <w:szCs w:val="20"/>
          <w:lang w:val="es-ES" w:eastAsia="es-ES"/>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 en adelante SECOP– como un mecanismo que “contará con la información oficial de la contratación realizada con dineros públicos, para lo cual establecerá los patrones a que haya lugar y se encargará de su difusión a través de canales electrónicos”</w:t>
      </w:r>
      <w:r w:rsidRPr="08937EA5">
        <w:rPr>
          <w:rFonts w:ascii="Century Gothic" w:eastAsia="Times New Roman" w:hAnsi="Century Gothic" w:cs="Arial"/>
          <w:color w:val="000000" w:themeColor="text1"/>
          <w:sz w:val="20"/>
          <w:szCs w:val="20"/>
          <w:lang w:val="es-ES"/>
        </w:rPr>
        <w:t xml:space="preserve">. </w:t>
      </w:r>
    </w:p>
    <w:p w14:paraId="659AF623" w14:textId="77777777" w:rsidR="00312A08" w:rsidRPr="00681219" w:rsidRDefault="00312A08" w:rsidP="00681219">
      <w:pPr>
        <w:spacing w:after="0" w:line="240" w:lineRule="auto"/>
        <w:jc w:val="both"/>
        <w:rPr>
          <w:rFonts w:ascii="Century Gothic" w:eastAsia="Times New Roman" w:hAnsi="Century Gothic" w:cs="Arial"/>
          <w:sz w:val="20"/>
          <w:szCs w:val="20"/>
          <w:lang w:val="es-ES_tradnl"/>
        </w:rPr>
      </w:pPr>
    </w:p>
    <w:p w14:paraId="1CBDC94D" w14:textId="77777777" w:rsidR="00681219" w:rsidRPr="00681219" w:rsidRDefault="00681219" w:rsidP="00681219">
      <w:pPr>
        <w:spacing w:after="0"/>
        <w:rPr>
          <w:rFonts w:ascii="Century Gothic" w:eastAsia="Times New Roman" w:hAnsi="Century Gothic" w:cs="Times New Roman"/>
        </w:rPr>
      </w:pPr>
    </w:p>
    <w:p w14:paraId="37E06358" w14:textId="77777777" w:rsidR="00681219" w:rsidRPr="00681219" w:rsidRDefault="00681219" w:rsidP="00681219">
      <w:pPr>
        <w:spacing w:after="0"/>
        <w:rPr>
          <w:rFonts w:ascii="Century Gothic" w:eastAsia="Times New Roman" w:hAnsi="Century Gothic" w:cs="Times New Roman"/>
        </w:rPr>
      </w:pPr>
    </w:p>
    <w:p w14:paraId="364FEEAD" w14:textId="77777777" w:rsidR="00681219" w:rsidRPr="00681219" w:rsidRDefault="00681219" w:rsidP="00681219">
      <w:pPr>
        <w:spacing w:after="0"/>
        <w:rPr>
          <w:rFonts w:ascii="Century Gothic" w:eastAsia="Times New Roman" w:hAnsi="Century Gothic" w:cs="Times New Roman"/>
        </w:rPr>
      </w:pPr>
    </w:p>
    <w:p w14:paraId="11C2307E" w14:textId="77777777" w:rsidR="003276D6" w:rsidRDefault="003276D6" w:rsidP="00E245AB">
      <w:pPr>
        <w:spacing w:after="0"/>
        <w:rPr>
          <w:rFonts w:ascii="Century Gothic" w:hAnsi="Century Gothic"/>
        </w:rPr>
      </w:pPr>
    </w:p>
    <w:p w14:paraId="456FB018" w14:textId="77777777" w:rsidR="003276D6" w:rsidRDefault="003276D6" w:rsidP="00E245AB">
      <w:pPr>
        <w:spacing w:after="0"/>
        <w:rPr>
          <w:rFonts w:ascii="Century Gothic" w:hAnsi="Century Gothic"/>
        </w:rPr>
      </w:pPr>
    </w:p>
    <w:p w14:paraId="29A62543" w14:textId="77777777" w:rsidR="003276D6" w:rsidRDefault="003276D6" w:rsidP="00E245AB">
      <w:pPr>
        <w:spacing w:after="0"/>
        <w:rPr>
          <w:rFonts w:ascii="Century Gothic" w:hAnsi="Century Gothic"/>
        </w:rPr>
      </w:pPr>
    </w:p>
    <w:p w14:paraId="4E06AE25" w14:textId="77777777" w:rsidR="003276D6" w:rsidRDefault="003276D6" w:rsidP="00E245AB">
      <w:pPr>
        <w:spacing w:after="0"/>
        <w:rPr>
          <w:rFonts w:ascii="Century Gothic" w:hAnsi="Century Gothic"/>
        </w:rPr>
      </w:pPr>
    </w:p>
    <w:p w14:paraId="2EDDB1D0" w14:textId="77777777" w:rsidR="003276D6" w:rsidRDefault="003276D6" w:rsidP="00E245AB">
      <w:pPr>
        <w:spacing w:after="0"/>
        <w:rPr>
          <w:rFonts w:ascii="Century Gothic" w:hAnsi="Century Gothic"/>
        </w:rPr>
      </w:pPr>
    </w:p>
    <w:p w14:paraId="085E9910" w14:textId="77777777" w:rsidR="003276D6" w:rsidRDefault="003276D6" w:rsidP="00E245AB">
      <w:pPr>
        <w:spacing w:after="0"/>
        <w:rPr>
          <w:rFonts w:ascii="Century Gothic" w:hAnsi="Century Gothic"/>
        </w:rPr>
      </w:pPr>
    </w:p>
    <w:p w14:paraId="3B2979B7" w14:textId="77777777" w:rsidR="003276D6" w:rsidRDefault="003276D6" w:rsidP="00E245AB">
      <w:pPr>
        <w:spacing w:after="0"/>
        <w:rPr>
          <w:rFonts w:ascii="Century Gothic" w:hAnsi="Century Gothic"/>
        </w:rPr>
      </w:pPr>
    </w:p>
    <w:p w14:paraId="4968A877" w14:textId="77777777" w:rsidR="003276D6" w:rsidRDefault="003276D6" w:rsidP="00E245AB">
      <w:pPr>
        <w:spacing w:after="0"/>
        <w:rPr>
          <w:rFonts w:ascii="Century Gothic" w:hAnsi="Century Gothic"/>
        </w:rPr>
      </w:pPr>
    </w:p>
    <w:p w14:paraId="41DEC529" w14:textId="77777777" w:rsidR="003276D6" w:rsidRDefault="003276D6" w:rsidP="00E245AB">
      <w:pPr>
        <w:spacing w:after="0"/>
        <w:rPr>
          <w:rFonts w:ascii="Century Gothic" w:hAnsi="Century Gothic"/>
        </w:rPr>
      </w:pPr>
    </w:p>
    <w:p w14:paraId="6CB5759F" w14:textId="77777777" w:rsidR="003276D6" w:rsidRDefault="003276D6" w:rsidP="00E245AB">
      <w:pPr>
        <w:spacing w:after="0"/>
        <w:rPr>
          <w:rFonts w:ascii="Century Gothic" w:hAnsi="Century Gothic"/>
        </w:rPr>
      </w:pPr>
    </w:p>
    <w:p w14:paraId="648CECE4" w14:textId="77777777" w:rsidR="00614A06" w:rsidRDefault="00614A06" w:rsidP="00E245AB">
      <w:pPr>
        <w:spacing w:after="0"/>
        <w:rPr>
          <w:rFonts w:ascii="Century Gothic" w:hAnsi="Century Gothic"/>
        </w:rPr>
      </w:pPr>
    </w:p>
    <w:p w14:paraId="6349E446" w14:textId="77777777" w:rsidR="00C6607A" w:rsidRDefault="00C6607A" w:rsidP="00E245AB">
      <w:pPr>
        <w:spacing w:after="0"/>
        <w:rPr>
          <w:rFonts w:ascii="Century Gothic" w:hAnsi="Century Gothic"/>
        </w:rPr>
      </w:pPr>
    </w:p>
    <w:p w14:paraId="3FE2184B" w14:textId="7DFEFE94" w:rsidR="00E245AB" w:rsidRPr="00A45A38" w:rsidRDefault="00E245AB" w:rsidP="00E245AB">
      <w:pPr>
        <w:spacing w:after="0"/>
        <w:rPr>
          <w:rFonts w:ascii="Century Gothic" w:hAnsi="Century Gothic"/>
        </w:rPr>
      </w:pPr>
      <w:r w:rsidRPr="00A45A38">
        <w:rPr>
          <w:rFonts w:ascii="Century Gothic" w:hAnsi="Century Gothic"/>
        </w:rPr>
        <w:t xml:space="preserve">Bogotá D.C., </w:t>
      </w:r>
      <w:r w:rsidR="00891928" w:rsidRPr="00A45A38">
        <w:rPr>
          <w:rFonts w:ascii="Century Gothic" w:hAnsi="Century Gothic"/>
        </w:rPr>
        <w:t>[Día]</w:t>
      </w:r>
      <w:r w:rsidR="005A2340" w:rsidRPr="00A45A38">
        <w:rPr>
          <w:rFonts w:ascii="Century Gothic" w:hAnsi="Century Gothic"/>
        </w:rPr>
        <w:t xml:space="preserve"> </w:t>
      </w:r>
      <w:r w:rsidR="00891928" w:rsidRPr="00A45A38">
        <w:rPr>
          <w:rFonts w:ascii="Century Gothic" w:hAnsi="Century Gothic"/>
        </w:rPr>
        <w:t>[Mes</w:t>
      </w:r>
      <w:r w:rsidR="005A2340" w:rsidRPr="00A45A38">
        <w:rPr>
          <w:rFonts w:ascii="Century Gothic" w:hAnsi="Century Gothic"/>
        </w:rPr>
        <w:t>.</w:t>
      </w:r>
      <w:r w:rsidR="00891928" w:rsidRPr="00A45A38">
        <w:rPr>
          <w:rFonts w:ascii="Century Gothic" w:hAnsi="Century Gothic"/>
        </w:rPr>
        <w:t>NombreCapitalizado]</w:t>
      </w:r>
      <w:r w:rsidR="005A2340" w:rsidRPr="00A45A38">
        <w:rPr>
          <w:rFonts w:ascii="Century Gothic" w:hAnsi="Century Gothic"/>
        </w:rPr>
        <w:t xml:space="preserve"> </w:t>
      </w:r>
      <w:r w:rsidR="00891928" w:rsidRPr="00A45A38">
        <w:rPr>
          <w:rFonts w:ascii="Century Gothic" w:hAnsi="Century Gothic"/>
        </w:rPr>
        <w:t>[Año]</w:t>
      </w:r>
      <w:r w:rsidR="00891928" w:rsidRPr="00A45A38">
        <w:rPr>
          <w:rFonts w:ascii="Century Gothic" w:hAnsi="Century Gothic"/>
        </w:rPr>
        <w:tab/>
      </w:r>
    </w:p>
    <w:p w14:paraId="5FCADBF9" w14:textId="77777777" w:rsidR="00E245AB" w:rsidRPr="00A45A38" w:rsidRDefault="00E245AB" w:rsidP="00E245AB">
      <w:pPr>
        <w:spacing w:after="0"/>
        <w:rPr>
          <w:rFonts w:ascii="Century Gothic" w:hAnsi="Century Gothic"/>
        </w:rPr>
      </w:pPr>
    </w:p>
    <w:p w14:paraId="4327E65A" w14:textId="06A9B442" w:rsidR="007959BC" w:rsidRDefault="00F02B16" w:rsidP="007959BC">
      <w:pPr>
        <w:spacing w:after="0"/>
        <w:rPr>
          <w:rFonts w:ascii="Century Gothic" w:eastAsia="Calibri" w:hAnsi="Century Gothic" w:cs="Arial"/>
        </w:rPr>
      </w:pPr>
      <w:r w:rsidRPr="00F02B16">
        <w:rPr>
          <w:rFonts w:ascii="Century Gothic" w:eastAsia="Calibri" w:hAnsi="Century Gothic" w:cs="Arial"/>
          <w:noProof/>
        </w:rPr>
        <w:drawing>
          <wp:inline distT="0" distB="0" distL="0" distR="0" wp14:anchorId="3774F11D" wp14:editId="1C52B4A9">
            <wp:extent cx="4114800" cy="1200150"/>
            <wp:effectExtent l="0" t="0" r="0" b="0"/>
            <wp:docPr id="7678724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72457" name=""/>
                    <pic:cNvPicPr/>
                  </pic:nvPicPr>
                  <pic:blipFill>
                    <a:blip r:embed="rId11"/>
                    <a:stretch>
                      <a:fillRect/>
                    </a:stretch>
                  </pic:blipFill>
                  <pic:spPr>
                    <a:xfrm>
                      <a:off x="0" y="0"/>
                      <a:ext cx="4114800" cy="1200150"/>
                    </a:xfrm>
                    <a:prstGeom prst="rect">
                      <a:avLst/>
                    </a:prstGeom>
                  </pic:spPr>
                </pic:pic>
              </a:graphicData>
            </a:graphic>
          </wp:inline>
        </w:drawing>
      </w:r>
    </w:p>
    <w:p w14:paraId="5E47992F" w14:textId="77777777" w:rsidR="00F02B16" w:rsidRDefault="00F02B16" w:rsidP="007959BC">
      <w:pPr>
        <w:spacing w:after="0"/>
        <w:rPr>
          <w:rFonts w:ascii="Century Gothic" w:eastAsia="Calibri" w:hAnsi="Century Gothic" w:cs="Arial"/>
        </w:rPr>
      </w:pPr>
    </w:p>
    <w:p w14:paraId="6F2B8F24" w14:textId="77777777" w:rsidR="00F02B16" w:rsidRDefault="00F02B16" w:rsidP="007959BC">
      <w:pPr>
        <w:spacing w:after="0"/>
        <w:rPr>
          <w:rFonts w:ascii="Century Gothic" w:eastAsia="Calibri" w:hAnsi="Century Gothic" w:cs="Arial"/>
        </w:rPr>
      </w:pPr>
    </w:p>
    <w:p w14:paraId="4DF51AA1" w14:textId="77777777" w:rsidR="00F02B16" w:rsidRPr="00A45A38" w:rsidRDefault="00F02B16" w:rsidP="007959BC">
      <w:pPr>
        <w:spacing w:after="0"/>
        <w:rPr>
          <w:rFonts w:ascii="Century Gothic" w:eastAsia="Calibri" w:hAnsi="Century Gothic" w:cs="Arial"/>
        </w:rPr>
      </w:pPr>
    </w:p>
    <w:p w14:paraId="6CBCDF96" w14:textId="515122FF" w:rsidR="007959BC" w:rsidRDefault="007959BC" w:rsidP="007959BC">
      <w:pPr>
        <w:spacing w:after="0"/>
        <w:rPr>
          <w:rFonts w:ascii="Century Gothic" w:eastAsia="Calibri" w:hAnsi="Century Gothic" w:cs="Arial"/>
        </w:rPr>
      </w:pPr>
      <w:r w:rsidRPr="00A45A38">
        <w:rPr>
          <w:rFonts w:ascii="Century Gothic" w:eastAsia="Calibri" w:hAnsi="Century Gothic" w:cs="Arial"/>
        </w:rPr>
        <w:t>Señor</w:t>
      </w:r>
    </w:p>
    <w:p w14:paraId="2D276403" w14:textId="1591BD50" w:rsidR="00A64969" w:rsidRPr="00BD579D" w:rsidRDefault="00B97BEE" w:rsidP="007959BC">
      <w:pPr>
        <w:spacing w:after="0"/>
        <w:rPr>
          <w:rFonts w:ascii="Century Gothic" w:eastAsia="Calibri" w:hAnsi="Century Gothic" w:cs="Arial"/>
        </w:rPr>
      </w:pPr>
      <w:r w:rsidRPr="00BD579D">
        <w:rPr>
          <w:rFonts w:ascii="Century Gothic" w:eastAsia="Calibri" w:hAnsi="Century Gothic" w:cs="Arial"/>
        </w:rPr>
        <w:t>Joaquín</w:t>
      </w:r>
      <w:r w:rsidR="00A64969" w:rsidRPr="00BD579D">
        <w:rPr>
          <w:rFonts w:ascii="Century Gothic" w:eastAsia="Calibri" w:hAnsi="Century Gothic" w:cs="Arial"/>
        </w:rPr>
        <w:t xml:space="preserve"> Andres Cuellar Salas</w:t>
      </w:r>
    </w:p>
    <w:p w14:paraId="61EAFB1A" w14:textId="6FD37E89" w:rsidR="00912700" w:rsidRDefault="006255AC" w:rsidP="006255AC">
      <w:pPr>
        <w:spacing w:after="0"/>
        <w:rPr>
          <w:rFonts w:ascii="Century Gothic" w:eastAsia="Calibri" w:hAnsi="Century Gothic" w:cs="Arial"/>
        </w:rPr>
      </w:pPr>
      <w:r w:rsidRPr="006255AC">
        <w:rPr>
          <w:rFonts w:ascii="Century Gothic" w:eastAsia="Calibri" w:hAnsi="Century Gothic" w:cs="Arial"/>
        </w:rPr>
        <w:t>Popayán, Ca</w:t>
      </w:r>
      <w:r>
        <w:rPr>
          <w:rFonts w:ascii="Century Gothic" w:eastAsia="Calibri" w:hAnsi="Century Gothic" w:cs="Arial"/>
        </w:rPr>
        <w:t>uca</w:t>
      </w:r>
      <w:r w:rsidR="00912700">
        <w:rPr>
          <w:rFonts w:ascii="Century Gothic" w:eastAsia="Calibri" w:hAnsi="Century Gothic" w:cs="Arial"/>
        </w:rPr>
        <w:t xml:space="preserve"> </w:t>
      </w:r>
    </w:p>
    <w:p w14:paraId="4B2F0588" w14:textId="77777777" w:rsidR="00342ACD" w:rsidRDefault="00342ACD" w:rsidP="00342ACD">
      <w:pPr>
        <w:spacing w:after="0"/>
        <w:rPr>
          <w:rFonts w:ascii="Century Gothic" w:eastAsia="Calibri" w:hAnsi="Century Gothic" w:cs="Arial"/>
          <w:bCs/>
        </w:rPr>
      </w:pPr>
    </w:p>
    <w:p w14:paraId="60750850" w14:textId="77777777" w:rsidR="00342ACD" w:rsidRPr="00A45A38" w:rsidRDefault="00342ACD" w:rsidP="00342ACD">
      <w:pPr>
        <w:spacing w:after="0"/>
        <w:rPr>
          <w:rFonts w:ascii="Century Gothic" w:eastAsia="Calibri" w:hAnsi="Century Gothic" w:cs="Arial"/>
        </w:rPr>
      </w:pPr>
    </w:p>
    <w:p w14:paraId="5EA67B57" w14:textId="21E2F080" w:rsidR="007959BC" w:rsidRPr="00A45A38" w:rsidRDefault="007959BC" w:rsidP="00426158">
      <w:pPr>
        <w:jc w:val="center"/>
        <w:rPr>
          <w:rFonts w:ascii="Century Gothic" w:eastAsia="Calibri" w:hAnsi="Century Gothic" w:cs="Arial"/>
          <w:b/>
        </w:rPr>
      </w:pPr>
      <w:r w:rsidRPr="00A45A38">
        <w:rPr>
          <w:rFonts w:ascii="Century Gothic" w:eastAsia="Calibri" w:hAnsi="Century Gothic" w:cs="Arial"/>
          <w:b/>
        </w:rPr>
        <w:t xml:space="preserve">Concepto C </w:t>
      </w:r>
      <w:r w:rsidR="00470B30" w:rsidRPr="00A45A38">
        <w:rPr>
          <w:rFonts w:ascii="Century Gothic" w:eastAsia="Calibri" w:hAnsi="Century Gothic" w:cs="Arial"/>
          <w:b/>
        </w:rPr>
        <w:t>─</w:t>
      </w:r>
      <w:r w:rsidR="00426158">
        <w:rPr>
          <w:rFonts w:ascii="Century Gothic" w:eastAsia="Calibri" w:hAnsi="Century Gothic" w:cs="Arial"/>
          <w:b/>
        </w:rPr>
        <w:t xml:space="preserve"> </w:t>
      </w:r>
      <w:r w:rsidR="006D4727">
        <w:rPr>
          <w:rFonts w:ascii="Century Gothic" w:eastAsia="Calibri" w:hAnsi="Century Gothic" w:cs="Arial"/>
          <w:b/>
        </w:rPr>
        <w:t>083 de</w:t>
      </w:r>
      <w:r w:rsidRPr="00A45A38">
        <w:rPr>
          <w:rFonts w:ascii="Century Gothic" w:eastAsia="Calibri" w:hAnsi="Century Gothic" w:cs="Arial"/>
          <w:b/>
        </w:rPr>
        <w:t xml:space="preserve"> 202</w:t>
      </w:r>
      <w:r w:rsidR="00470B30">
        <w:rPr>
          <w:rFonts w:ascii="Century Gothic" w:eastAsia="Calibri" w:hAnsi="Century Gothic" w:cs="Arial"/>
          <w:b/>
        </w:rPr>
        <w:t>4</w:t>
      </w: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959BC" w:rsidRPr="00A45A38" w14:paraId="04E5D6DF" w14:textId="77777777">
        <w:tc>
          <w:tcPr>
            <w:tcW w:w="2689" w:type="dxa"/>
            <w:hideMark/>
          </w:tcPr>
          <w:p w14:paraId="4C57D315" w14:textId="77777777" w:rsidR="007959BC" w:rsidRPr="00A45A38" w:rsidRDefault="007959BC">
            <w:pPr>
              <w:rPr>
                <w:rFonts w:ascii="Century Gothic" w:eastAsia="Calibri" w:hAnsi="Century Gothic" w:cs="Arial"/>
              </w:rPr>
            </w:pPr>
            <w:r w:rsidRPr="00A45A38">
              <w:rPr>
                <w:rFonts w:ascii="Century Gothic" w:eastAsia="Calibri" w:hAnsi="Century Gothic" w:cs="Arial"/>
                <w:b/>
              </w:rPr>
              <w:t>Temas:</w:t>
            </w:r>
            <w:r w:rsidRPr="00A45A38">
              <w:rPr>
                <w:rFonts w:ascii="Century Gothic" w:eastAsia="Calibri" w:hAnsi="Century Gothic" w:cs="Arial"/>
              </w:rPr>
              <w:t xml:space="preserve">           </w:t>
            </w:r>
          </w:p>
        </w:tc>
        <w:tc>
          <w:tcPr>
            <w:tcW w:w="6237" w:type="dxa"/>
            <w:hideMark/>
          </w:tcPr>
          <w:p w14:paraId="51E2F745" w14:textId="68BC27C8" w:rsidR="00DC3F30" w:rsidRDefault="002630EA" w:rsidP="007032EE">
            <w:pPr>
              <w:jc w:val="both"/>
              <w:rPr>
                <w:rFonts w:ascii="Century Gothic" w:eastAsia="Arial" w:hAnsi="Century Gothic" w:cs="Arial"/>
                <w:color w:val="000000"/>
                <w:lang w:val="es-MX" w:eastAsia="es-ES_tradnl"/>
              </w:rPr>
            </w:pPr>
            <w:r w:rsidRPr="004204E3">
              <w:rPr>
                <w:rFonts w:ascii="Century Gothic" w:hAnsi="Century Gothic" w:cs="Arial"/>
                <w:bCs/>
                <w:lang w:val="es-MX" w:eastAsia="es-ES_tradnl"/>
              </w:rPr>
              <w:t>PUBLICIDAD SECOP – Entidades exceptuadas – Estatuto general de contratación – Modificación del artículo 53 – Ley 2195 de 2022 /</w:t>
            </w:r>
            <w:r w:rsidRPr="004204E3">
              <w:rPr>
                <w:rFonts w:ascii="Century Gothic" w:hAnsi="Century Gothic"/>
              </w:rPr>
              <w:t xml:space="preserve"> </w:t>
            </w:r>
            <w:r w:rsidRPr="004204E3">
              <w:rPr>
                <w:rFonts w:ascii="Century Gothic" w:hAnsi="Century Gothic" w:cs="Arial"/>
                <w:bCs/>
                <w:lang w:val="es-MX" w:eastAsia="es-ES_tradnl"/>
              </w:rPr>
              <w:t>SECOP II – Deber de publicidad – Entidades exceptuadas – Documentos relacionados con la actividad contractual</w:t>
            </w:r>
            <w:r w:rsidR="006D4727">
              <w:rPr>
                <w:rFonts w:ascii="Century Gothic" w:hAnsi="Century Gothic" w:cs="Arial"/>
                <w:bCs/>
                <w:lang w:val="es-MX" w:eastAsia="es-ES_tradnl"/>
              </w:rPr>
              <w:t xml:space="preserve"> – Reserva de la información pública.</w:t>
            </w:r>
          </w:p>
          <w:p w14:paraId="6FD0833C" w14:textId="77777777" w:rsidR="00342ACD" w:rsidRPr="00A45A38" w:rsidRDefault="00342ACD" w:rsidP="007032EE">
            <w:pPr>
              <w:jc w:val="both"/>
              <w:rPr>
                <w:rFonts w:ascii="Century Gothic" w:eastAsia="Calibri" w:hAnsi="Century Gothic" w:cs="Arial"/>
              </w:rPr>
            </w:pPr>
          </w:p>
          <w:p w14:paraId="6049A904" w14:textId="487F6A70" w:rsidR="007959BC" w:rsidRPr="00A45A38" w:rsidRDefault="007959BC" w:rsidP="00C71270">
            <w:pPr>
              <w:jc w:val="both"/>
              <w:rPr>
                <w:rFonts w:ascii="Century Gothic" w:eastAsia="Calibri" w:hAnsi="Century Gothic" w:cs="Arial"/>
                <w:highlight w:val="yellow"/>
              </w:rPr>
            </w:pPr>
          </w:p>
        </w:tc>
      </w:tr>
      <w:tr w:rsidR="007959BC" w:rsidRPr="00A45A38" w14:paraId="0ACC1938" w14:textId="77777777">
        <w:tc>
          <w:tcPr>
            <w:tcW w:w="2689" w:type="dxa"/>
          </w:tcPr>
          <w:p w14:paraId="0070E961" w14:textId="77777777" w:rsidR="007959BC" w:rsidRPr="00A45A38" w:rsidRDefault="007959BC">
            <w:pPr>
              <w:rPr>
                <w:rFonts w:ascii="Century Gothic" w:eastAsia="Calibri" w:hAnsi="Century Gothic" w:cs="Arial"/>
                <w:b/>
              </w:rPr>
            </w:pPr>
            <w:r w:rsidRPr="00A45A38">
              <w:rPr>
                <w:rFonts w:ascii="Century Gothic" w:eastAsia="Calibri" w:hAnsi="Century Gothic" w:cs="Arial"/>
                <w:b/>
              </w:rPr>
              <w:t>Radicación:</w:t>
            </w:r>
            <w:r w:rsidRPr="00A45A38">
              <w:rPr>
                <w:rFonts w:ascii="Century Gothic" w:eastAsia="Calibri" w:hAnsi="Century Gothic" w:cs="Arial"/>
              </w:rPr>
              <w:t xml:space="preserve">                              </w:t>
            </w:r>
          </w:p>
        </w:tc>
        <w:tc>
          <w:tcPr>
            <w:tcW w:w="6237" w:type="dxa"/>
          </w:tcPr>
          <w:p w14:paraId="06B5E2D7" w14:textId="7832D638" w:rsidR="007959BC" w:rsidRPr="00A45A38" w:rsidRDefault="007959BC" w:rsidP="00624AD9">
            <w:pPr>
              <w:jc w:val="right"/>
              <w:rPr>
                <w:rFonts w:ascii="Century Gothic" w:eastAsia="Calibri" w:hAnsi="Century Gothic" w:cs="Arial"/>
              </w:rPr>
            </w:pPr>
            <w:r w:rsidRPr="00A45A38">
              <w:rPr>
                <w:rFonts w:ascii="Century Gothic" w:eastAsia="Calibri" w:hAnsi="Century Gothic" w:cs="Arial"/>
              </w:rPr>
              <w:t xml:space="preserve">Respuesta a consulta No. </w:t>
            </w:r>
            <w:r w:rsidR="00F36044" w:rsidRPr="00A45A38">
              <w:rPr>
                <w:rFonts w:ascii="Century Gothic" w:eastAsia="Calibri" w:hAnsi="Century Gothic" w:cs="Arial"/>
              </w:rPr>
              <w:t>P202</w:t>
            </w:r>
            <w:r w:rsidR="00342ACD">
              <w:rPr>
                <w:rFonts w:ascii="Century Gothic" w:eastAsia="Calibri" w:hAnsi="Century Gothic" w:cs="Arial"/>
              </w:rPr>
              <w:t>4</w:t>
            </w:r>
            <w:r w:rsidR="00A64969">
              <w:rPr>
                <w:rFonts w:ascii="Century Gothic" w:eastAsia="Calibri" w:hAnsi="Century Gothic" w:cs="Arial"/>
              </w:rPr>
              <w:t>0425004322</w:t>
            </w:r>
          </w:p>
        </w:tc>
      </w:tr>
    </w:tbl>
    <w:p w14:paraId="52F0206B" w14:textId="77777777" w:rsidR="007959BC" w:rsidRDefault="007959BC" w:rsidP="007959BC">
      <w:pPr>
        <w:jc w:val="both"/>
        <w:rPr>
          <w:rFonts w:ascii="Century Gothic" w:eastAsia="Calibri" w:hAnsi="Century Gothic" w:cs="Arial"/>
        </w:rPr>
      </w:pPr>
    </w:p>
    <w:p w14:paraId="3847530B" w14:textId="77777777" w:rsidR="00624AD9" w:rsidRPr="00A45A38" w:rsidRDefault="00624AD9" w:rsidP="007959BC">
      <w:pPr>
        <w:jc w:val="both"/>
        <w:rPr>
          <w:rFonts w:ascii="Century Gothic" w:eastAsia="Calibri" w:hAnsi="Century Gothic" w:cs="Arial"/>
        </w:rPr>
      </w:pPr>
    </w:p>
    <w:p w14:paraId="61188B5D" w14:textId="7B290218" w:rsidR="007959BC" w:rsidRPr="00A45A38" w:rsidRDefault="007959BC" w:rsidP="007959BC">
      <w:pPr>
        <w:rPr>
          <w:rFonts w:ascii="Century Gothic" w:eastAsia="Calibri" w:hAnsi="Century Gothic" w:cs="Arial"/>
        </w:rPr>
      </w:pPr>
      <w:r w:rsidRPr="00A45A38">
        <w:rPr>
          <w:rFonts w:ascii="Century Gothic" w:eastAsia="Calibri" w:hAnsi="Century Gothic" w:cs="Arial"/>
        </w:rPr>
        <w:t>Estimad</w:t>
      </w:r>
      <w:r w:rsidR="00E16E33">
        <w:rPr>
          <w:rFonts w:ascii="Century Gothic" w:eastAsia="Calibri" w:hAnsi="Century Gothic" w:cs="Arial"/>
        </w:rPr>
        <w:t>o señor Cuellar</w:t>
      </w:r>
      <w:r w:rsidRPr="00A45A38">
        <w:rPr>
          <w:rFonts w:ascii="Century Gothic" w:eastAsia="Calibri" w:hAnsi="Century Gothic" w:cs="Arial"/>
        </w:rPr>
        <w:t>,</w:t>
      </w:r>
    </w:p>
    <w:p w14:paraId="145341C8" w14:textId="4DB1601B" w:rsidR="00E64CCD" w:rsidRDefault="007959BC" w:rsidP="00E64CCD">
      <w:pPr>
        <w:spacing w:line="276" w:lineRule="auto"/>
        <w:ind w:right="49"/>
        <w:jc w:val="both"/>
        <w:rPr>
          <w:rFonts w:ascii="Century Gothic" w:eastAsia="Calibri" w:hAnsi="Century Gothic" w:cs="Arial"/>
        </w:rPr>
      </w:pPr>
      <w:r w:rsidRPr="00A45A38">
        <w:rPr>
          <w:rFonts w:ascii="Century Gothic" w:eastAsia="Calibri" w:hAnsi="Century Gothic" w:cs="Aria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DE00D3">
        <w:rPr>
          <w:rFonts w:ascii="Century Gothic" w:eastAsia="Calibri" w:hAnsi="Century Gothic" w:cs="Arial"/>
        </w:rPr>
        <w:t>25</w:t>
      </w:r>
      <w:r w:rsidRPr="00A45A38">
        <w:rPr>
          <w:rFonts w:ascii="Century Gothic" w:eastAsia="Calibri" w:hAnsi="Century Gothic" w:cs="Arial"/>
        </w:rPr>
        <w:t xml:space="preserve"> de</w:t>
      </w:r>
      <w:r w:rsidR="00E64CCD">
        <w:rPr>
          <w:rFonts w:ascii="Century Gothic" w:eastAsia="Calibri" w:hAnsi="Century Gothic" w:cs="Arial"/>
        </w:rPr>
        <w:t xml:space="preserve"> </w:t>
      </w:r>
      <w:r w:rsidR="00FA4784">
        <w:rPr>
          <w:rFonts w:ascii="Century Gothic" w:eastAsia="Calibri" w:hAnsi="Century Gothic" w:cs="Arial"/>
        </w:rPr>
        <w:t xml:space="preserve">abril </w:t>
      </w:r>
      <w:r w:rsidR="00E64CCD" w:rsidRPr="009619D5">
        <w:rPr>
          <w:rFonts w:ascii="Century Gothic" w:eastAsia="Calibri" w:hAnsi="Century Gothic" w:cs="Arial"/>
        </w:rPr>
        <w:t>de</w:t>
      </w:r>
      <w:r w:rsidRPr="009619D5">
        <w:rPr>
          <w:rFonts w:ascii="Century Gothic" w:eastAsia="Calibri" w:hAnsi="Century Gothic" w:cs="Arial"/>
        </w:rPr>
        <w:t xml:space="preserve"> 202</w:t>
      </w:r>
      <w:r w:rsidR="00E64CCD">
        <w:rPr>
          <w:rFonts w:ascii="Century Gothic" w:eastAsia="Calibri" w:hAnsi="Century Gothic" w:cs="Arial"/>
        </w:rPr>
        <w:t>4</w:t>
      </w:r>
      <w:r w:rsidR="00587B4F">
        <w:rPr>
          <w:rFonts w:ascii="Century Gothic" w:eastAsia="Calibri" w:hAnsi="Century Gothic" w:cs="Arial"/>
        </w:rPr>
        <w:t xml:space="preserve">. </w:t>
      </w:r>
    </w:p>
    <w:p w14:paraId="14EC49E1" w14:textId="77777777" w:rsidR="00587B4F" w:rsidRDefault="00587B4F" w:rsidP="00E64CCD">
      <w:pPr>
        <w:spacing w:line="276" w:lineRule="auto"/>
        <w:ind w:right="49"/>
        <w:jc w:val="both"/>
        <w:rPr>
          <w:rFonts w:ascii="Century Gothic" w:eastAsia="Calibri" w:hAnsi="Century Gothic" w:cs="Arial"/>
        </w:rPr>
      </w:pPr>
    </w:p>
    <w:p w14:paraId="42E592A7" w14:textId="4B1589C6" w:rsidR="007959BC" w:rsidRPr="00A45A38" w:rsidRDefault="007959BC" w:rsidP="00E64CCD">
      <w:pPr>
        <w:spacing w:line="276" w:lineRule="auto"/>
        <w:ind w:right="49"/>
        <w:jc w:val="both"/>
        <w:rPr>
          <w:rFonts w:ascii="Century Gothic" w:eastAsia="Calibri" w:hAnsi="Century Gothic" w:cs="Arial"/>
          <w:b/>
        </w:rPr>
      </w:pPr>
      <w:r w:rsidRPr="00A45A38">
        <w:rPr>
          <w:rFonts w:ascii="Century Gothic" w:eastAsia="Calibri" w:hAnsi="Century Gothic" w:cs="Arial"/>
          <w:b/>
        </w:rPr>
        <w:t xml:space="preserve"> Problemas planteados </w:t>
      </w:r>
    </w:p>
    <w:p w14:paraId="7C37FA9D" w14:textId="634CF4BD" w:rsidR="007959BC" w:rsidRPr="00A45A38" w:rsidRDefault="007959BC" w:rsidP="007959BC">
      <w:pPr>
        <w:tabs>
          <w:tab w:val="left" w:pos="426"/>
        </w:tabs>
        <w:spacing w:line="276" w:lineRule="auto"/>
        <w:jc w:val="both"/>
        <w:rPr>
          <w:rFonts w:ascii="Century Gothic" w:eastAsia="Calibri" w:hAnsi="Century Gothic" w:cs="Arial"/>
        </w:rPr>
      </w:pPr>
      <w:r w:rsidRPr="00A45A38">
        <w:rPr>
          <w:rFonts w:ascii="Century Gothic" w:eastAsia="Calibri" w:hAnsi="Century Gothic" w:cs="Arial"/>
        </w:rPr>
        <w:t xml:space="preserve">En la consulta Usted </w:t>
      </w:r>
      <w:r w:rsidR="00740F5B" w:rsidRPr="00A45A38">
        <w:rPr>
          <w:rFonts w:ascii="Century Gothic" w:eastAsia="Calibri" w:hAnsi="Century Gothic" w:cs="Arial"/>
        </w:rPr>
        <w:t>formula la siguiente pregunta:</w:t>
      </w:r>
    </w:p>
    <w:p w14:paraId="76A3CE7C" w14:textId="2A6E5153" w:rsidR="00932868" w:rsidRPr="000F2337" w:rsidRDefault="00932868" w:rsidP="000F2337">
      <w:pPr>
        <w:pStyle w:val="NormalWeb"/>
        <w:spacing w:line="270" w:lineRule="atLeast"/>
        <w:ind w:left="709" w:right="709"/>
        <w:jc w:val="both"/>
        <w:rPr>
          <w:rFonts w:ascii="Century Gothic" w:hAnsi="Century Gothic" w:cs="Calibri"/>
          <w:sz w:val="20"/>
          <w:szCs w:val="20"/>
          <w:lang w:val="es-ES" w:eastAsia="es-ES"/>
        </w:rPr>
      </w:pPr>
      <w:r w:rsidRPr="000F2337">
        <w:rPr>
          <w:rFonts w:ascii="Century Gothic" w:hAnsi="Century Gothic" w:cs="Arial"/>
          <w:sz w:val="20"/>
          <w:szCs w:val="20"/>
        </w:rPr>
        <w:t>“solicito</w:t>
      </w:r>
      <w:r w:rsidRPr="000F2337">
        <w:rPr>
          <w:rFonts w:ascii="Century Gothic" w:hAnsi="Century Gothic" w:cs="Calibri"/>
          <w:sz w:val="20"/>
          <w:szCs w:val="20"/>
          <w:lang w:val="es-ES" w:eastAsia="es-ES"/>
        </w:rPr>
        <w:t xml:space="preserve"> se aclare la respuesta dada en concepto   C 460 de 2003, por medio de la cual se indica que las entidades co</w:t>
      </w:r>
      <w:r w:rsidR="00BD113C">
        <w:rPr>
          <w:rFonts w:ascii="Century Gothic" w:hAnsi="Century Gothic" w:cs="Calibri"/>
          <w:sz w:val="20"/>
          <w:szCs w:val="20"/>
          <w:lang w:val="es-ES" w:eastAsia="es-ES"/>
        </w:rPr>
        <w:t>m</w:t>
      </w:r>
      <w:r w:rsidRPr="000F2337">
        <w:rPr>
          <w:rFonts w:ascii="Century Gothic" w:hAnsi="Century Gothic" w:cs="Calibri"/>
          <w:sz w:val="20"/>
          <w:szCs w:val="20"/>
          <w:lang w:val="es-ES" w:eastAsia="es-ES"/>
        </w:rPr>
        <w:t xml:space="preserve">o régimen exceptuado están en libertad para utilizar discrecionalmente la plataforma SECOP 2 de manera transaccional, sosteniendo que la misma puede ser utilizada simplemente como mecanismo de publicidad. </w:t>
      </w:r>
    </w:p>
    <w:p w14:paraId="5EEBA6AF" w14:textId="56ED5E9C" w:rsidR="009028A8" w:rsidRPr="000F2337" w:rsidRDefault="003D72CA" w:rsidP="000F2337">
      <w:pPr>
        <w:pStyle w:val="NormalWeb"/>
        <w:spacing w:line="270" w:lineRule="atLeast"/>
        <w:ind w:left="709" w:right="709"/>
        <w:jc w:val="both"/>
        <w:rPr>
          <w:rFonts w:ascii="Century Gothic" w:hAnsi="Century Gothic" w:cstheme="minorHAnsi"/>
          <w:sz w:val="20"/>
          <w:szCs w:val="20"/>
          <w:shd w:val="clear" w:color="auto" w:fill="FFFFFF"/>
        </w:rPr>
      </w:pPr>
      <w:r>
        <w:rPr>
          <w:rFonts w:ascii="Century Gothic" w:hAnsi="Century Gothic" w:cstheme="minorHAnsi"/>
          <w:sz w:val="20"/>
          <w:szCs w:val="20"/>
          <w:shd w:val="clear" w:color="auto" w:fill="FFFFFF"/>
        </w:rPr>
        <w:t xml:space="preserve">Por lo </w:t>
      </w:r>
      <w:r w:rsidR="00BD579D">
        <w:rPr>
          <w:rFonts w:ascii="Century Gothic" w:hAnsi="Century Gothic" w:cstheme="minorHAnsi"/>
          <w:sz w:val="20"/>
          <w:szCs w:val="20"/>
          <w:shd w:val="clear" w:color="auto" w:fill="FFFFFF"/>
        </w:rPr>
        <w:t>anterior y</w:t>
      </w:r>
      <w:r w:rsidR="00751EF2">
        <w:rPr>
          <w:rFonts w:ascii="Century Gothic" w:hAnsi="Century Gothic" w:cstheme="minorHAnsi"/>
          <w:sz w:val="20"/>
          <w:szCs w:val="20"/>
          <w:shd w:val="clear" w:color="auto" w:fill="FFFFFF"/>
        </w:rPr>
        <w:t xml:space="preserve"> previamente a la interposición de una acción popular por </w:t>
      </w:r>
      <w:r w:rsidR="007953BA">
        <w:rPr>
          <w:rFonts w:ascii="Century Gothic" w:hAnsi="Century Gothic" w:cstheme="minorHAnsi"/>
          <w:sz w:val="20"/>
          <w:szCs w:val="20"/>
          <w:shd w:val="clear" w:color="auto" w:fill="FFFFFF"/>
        </w:rPr>
        <w:t>moralidad</w:t>
      </w:r>
      <w:r w:rsidR="00751EF2">
        <w:rPr>
          <w:rFonts w:ascii="Century Gothic" w:hAnsi="Century Gothic" w:cstheme="minorHAnsi"/>
          <w:sz w:val="20"/>
          <w:szCs w:val="20"/>
          <w:shd w:val="clear" w:color="auto" w:fill="FFFFFF"/>
        </w:rPr>
        <w:t xml:space="preserve"> administrativa y </w:t>
      </w:r>
      <w:r w:rsidR="009028A8" w:rsidRPr="000F2337">
        <w:rPr>
          <w:rFonts w:ascii="Century Gothic" w:hAnsi="Century Gothic" w:cstheme="minorHAnsi"/>
          <w:sz w:val="20"/>
          <w:szCs w:val="20"/>
          <w:shd w:val="clear" w:color="auto" w:fill="FFFFFF"/>
        </w:rPr>
        <w:t>transparencia contra el DAPRE y la Agencia Colombia Compra Eficiente, solicito:</w:t>
      </w:r>
    </w:p>
    <w:p w14:paraId="116668AF" w14:textId="77777777" w:rsidR="009028A8" w:rsidRPr="000F2337" w:rsidRDefault="009028A8" w:rsidP="000F2337">
      <w:pPr>
        <w:pStyle w:val="NormalWeb"/>
        <w:numPr>
          <w:ilvl w:val="0"/>
          <w:numId w:val="18"/>
        </w:numPr>
        <w:spacing w:line="270" w:lineRule="atLeast"/>
        <w:ind w:left="709" w:right="709"/>
        <w:jc w:val="both"/>
        <w:rPr>
          <w:rFonts w:ascii="Century Gothic" w:hAnsi="Century Gothic" w:cstheme="minorHAnsi"/>
          <w:sz w:val="20"/>
          <w:szCs w:val="20"/>
          <w:shd w:val="clear" w:color="auto" w:fill="FFFFFF"/>
        </w:rPr>
      </w:pPr>
      <w:r w:rsidRPr="000F2337">
        <w:rPr>
          <w:rFonts w:ascii="Century Gothic" w:hAnsi="Century Gothic" w:cstheme="minorHAnsi"/>
          <w:sz w:val="20"/>
          <w:szCs w:val="20"/>
          <w:shd w:val="clear" w:color="auto" w:fill="FFFFFF"/>
        </w:rPr>
        <w:t xml:space="preserve"> Se aclare si la Agencia Colombia Compra considera que las entidades exceptuadas de conformidad con el art. 53 de la ley 2195 pueden </w:t>
      </w:r>
      <w:r w:rsidRPr="000F2337">
        <w:rPr>
          <w:rFonts w:ascii="Century Gothic" w:hAnsi="Century Gothic" w:cstheme="minorHAnsi"/>
          <w:b/>
          <w:sz w:val="20"/>
          <w:szCs w:val="20"/>
          <w:shd w:val="clear" w:color="auto" w:fill="FFFFFF"/>
        </w:rPr>
        <w:t>discrecionalmente</w:t>
      </w:r>
      <w:r w:rsidRPr="000F2337">
        <w:rPr>
          <w:rFonts w:ascii="Century Gothic" w:hAnsi="Century Gothic" w:cstheme="minorHAnsi"/>
          <w:sz w:val="20"/>
          <w:szCs w:val="20"/>
          <w:shd w:val="clear" w:color="auto" w:fill="FFFFFF"/>
        </w:rPr>
        <w:t xml:space="preserve"> utilizar o no la plataforma SECOP 2 de manera transaccional o simplemente como plataforma de publicidad.  </w:t>
      </w:r>
    </w:p>
    <w:p w14:paraId="2DBAE385" w14:textId="259C7639" w:rsidR="00D13025" w:rsidRPr="000F2337" w:rsidRDefault="009028A8" w:rsidP="000F2337">
      <w:pPr>
        <w:pStyle w:val="NormalWeb"/>
        <w:numPr>
          <w:ilvl w:val="0"/>
          <w:numId w:val="18"/>
        </w:numPr>
        <w:tabs>
          <w:tab w:val="left" w:pos="426"/>
        </w:tabs>
        <w:spacing w:line="276" w:lineRule="auto"/>
        <w:ind w:left="709" w:right="709"/>
        <w:jc w:val="both"/>
        <w:rPr>
          <w:rFonts w:ascii="Century Gothic" w:hAnsi="Century Gothic" w:cs="Arial"/>
          <w:sz w:val="20"/>
          <w:szCs w:val="20"/>
        </w:rPr>
      </w:pPr>
      <w:r w:rsidRPr="000F2337">
        <w:rPr>
          <w:rFonts w:ascii="Century Gothic" w:hAnsi="Century Gothic" w:cstheme="minorHAnsi"/>
          <w:sz w:val="20"/>
          <w:szCs w:val="20"/>
          <w:shd w:val="clear" w:color="auto" w:fill="FFFFFF"/>
        </w:rPr>
        <w:t>Si se considera que el uso es simplemente de publicidad, la publicación de la gestión contractual de dichas entidades exceptuadas se puede realizar en físico o en correos electrónicos y luego de celebrado el contrato publicar en SECOP 2 o si dicha publicación de cada actuación (presentación propuesta, evaluación, subsanación, ¿</w:t>
      </w:r>
      <w:r w:rsidR="00F41FA4" w:rsidRPr="000F2337">
        <w:rPr>
          <w:rFonts w:ascii="Century Gothic" w:hAnsi="Century Gothic" w:cstheme="minorHAnsi"/>
          <w:sz w:val="20"/>
          <w:szCs w:val="20"/>
          <w:shd w:val="clear" w:color="auto" w:fill="FFFFFF"/>
        </w:rPr>
        <w:t>etc.</w:t>
      </w:r>
      <w:r w:rsidRPr="000F2337">
        <w:rPr>
          <w:rFonts w:ascii="Century Gothic" w:hAnsi="Century Gothic" w:cstheme="minorHAnsi"/>
          <w:sz w:val="20"/>
          <w:szCs w:val="20"/>
          <w:shd w:val="clear" w:color="auto" w:fill="FFFFFF"/>
        </w:rPr>
        <w:t>) debe hacerse automáticamente</w:t>
      </w:r>
      <w:r w:rsidR="00F41FA4" w:rsidRPr="000F2337">
        <w:rPr>
          <w:rFonts w:ascii="Century Gothic" w:hAnsi="Century Gothic" w:cstheme="minorHAnsi"/>
          <w:sz w:val="20"/>
          <w:szCs w:val="20"/>
          <w:shd w:val="clear" w:color="auto" w:fill="FFFFFF"/>
        </w:rPr>
        <w:t>?”</w:t>
      </w:r>
      <w:r w:rsidR="00FD37EC" w:rsidRPr="000F2337">
        <w:rPr>
          <w:rFonts w:ascii="Century Gothic" w:hAnsi="Century Gothic" w:cs="Arial"/>
          <w:sz w:val="20"/>
          <w:szCs w:val="20"/>
        </w:rPr>
        <w:t xml:space="preserve"> </w:t>
      </w:r>
      <w:r w:rsidR="00F41FA4" w:rsidRPr="000F2337">
        <w:rPr>
          <w:rFonts w:ascii="Century Gothic" w:hAnsi="Century Gothic" w:cs="Arial"/>
          <w:sz w:val="20"/>
          <w:szCs w:val="20"/>
        </w:rPr>
        <w:t>(SIC) […]</w:t>
      </w:r>
      <w:bookmarkStart w:id="1" w:name="_Hlk38500171"/>
    </w:p>
    <w:p w14:paraId="18BA9B9B" w14:textId="78674B26" w:rsidR="007959BC" w:rsidRPr="00A45A38" w:rsidRDefault="007959BC" w:rsidP="007959BC">
      <w:pPr>
        <w:tabs>
          <w:tab w:val="left" w:pos="426"/>
        </w:tabs>
        <w:spacing w:line="276" w:lineRule="auto"/>
        <w:jc w:val="both"/>
        <w:rPr>
          <w:rFonts w:ascii="Century Gothic" w:eastAsia="Calibri" w:hAnsi="Century Gothic" w:cs="Arial"/>
          <w:b/>
        </w:rPr>
      </w:pPr>
      <w:r w:rsidRPr="00A45A38">
        <w:rPr>
          <w:rFonts w:ascii="Century Gothic" w:eastAsia="Calibri" w:hAnsi="Century Gothic" w:cs="Arial"/>
          <w:b/>
        </w:rPr>
        <w:t>2. Consideraciones</w:t>
      </w:r>
    </w:p>
    <w:p w14:paraId="49F05B0E" w14:textId="77777777" w:rsidR="007959BC" w:rsidRPr="00A45A38" w:rsidRDefault="007959BC" w:rsidP="007959BC">
      <w:pPr>
        <w:shd w:val="clear" w:color="auto" w:fill="FFFFFF" w:themeFill="background1"/>
        <w:spacing w:line="276" w:lineRule="auto"/>
        <w:jc w:val="both"/>
        <w:rPr>
          <w:rFonts w:ascii="Century Gothic" w:eastAsia="Calibri" w:hAnsi="Century Gothic" w:cs="Arial"/>
          <w:color w:val="000000" w:themeColor="text1"/>
        </w:rPr>
      </w:pPr>
      <w:r w:rsidRPr="00A45A38">
        <w:rPr>
          <w:rFonts w:ascii="Century Gothic" w:eastAsia="Calibri" w:hAnsi="Century Gothic" w:cs="Arial"/>
          <w:color w:val="000000" w:themeColor="text1"/>
        </w:rPr>
        <w:t>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24E20872" w14:textId="77777777" w:rsidR="007959BC" w:rsidRPr="00A45A38" w:rsidRDefault="007959BC" w:rsidP="007959BC">
      <w:pPr>
        <w:shd w:val="clear" w:color="auto" w:fill="FFFFFF" w:themeFill="background1"/>
        <w:spacing w:line="276" w:lineRule="auto"/>
        <w:ind w:firstLine="708"/>
        <w:jc w:val="both"/>
        <w:rPr>
          <w:rFonts w:ascii="Century Gothic" w:eastAsia="Calibri" w:hAnsi="Century Gothic" w:cs="Arial"/>
          <w:color w:val="000000" w:themeColor="text1"/>
        </w:rPr>
      </w:pPr>
      <w:r w:rsidRPr="00A45A38">
        <w:rPr>
          <w:rFonts w:ascii="Century Gothic" w:eastAsia="Calibri" w:hAnsi="Century Gothic" w:cs="Arial"/>
          <w:color w:val="000000" w:themeColor="text1"/>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5CAC1226" w14:textId="3481FE46" w:rsidR="00D74FA9" w:rsidRDefault="007959BC" w:rsidP="007959BC">
      <w:pPr>
        <w:spacing w:line="276" w:lineRule="auto"/>
        <w:jc w:val="both"/>
        <w:rPr>
          <w:rFonts w:ascii="Century Gothic" w:hAnsi="Century Gothic" w:cs="Arial"/>
          <w:color w:val="000000" w:themeColor="text1"/>
          <w:lang w:val="es-ES"/>
        </w:rPr>
      </w:pPr>
      <w:r w:rsidRPr="00A45A38">
        <w:rPr>
          <w:rFonts w:ascii="Century Gothic" w:eastAsia="Calibri" w:hAnsi="Century Gothic" w:cs="Arial"/>
          <w:color w:val="000000" w:themeColor="text1"/>
        </w:rPr>
        <w:tab/>
      </w:r>
      <w:r w:rsidRPr="003167C7">
        <w:rPr>
          <w:rFonts w:ascii="Century Gothic" w:eastAsia="Calibri" w:hAnsi="Century Gothic" w:cs="Arial"/>
          <w:color w:val="000000" w:themeColor="text1"/>
        </w:rPr>
        <w:t>En este contexto, la Subdirección de Gestión Contractual, dentro de los límites de sus atribuciones, esto es, haciendo abstracción a las preguntas de casos particulares expuestos, resolverá la consulta conforme a las normas generales en materia de contratación estatal. Con este objetivo se analizarán</w:t>
      </w:r>
      <w:r w:rsidRPr="003167C7">
        <w:rPr>
          <w:rFonts w:ascii="Century Gothic" w:eastAsia="Calibri" w:hAnsi="Century Gothic" w:cs="Arial"/>
          <w:color w:val="000000" w:themeColor="text1"/>
          <w:lang w:val="es-ES"/>
        </w:rPr>
        <w:t xml:space="preserve"> los siguientes temas</w:t>
      </w:r>
      <w:r w:rsidRPr="003167C7">
        <w:rPr>
          <w:rFonts w:ascii="Century Gothic" w:hAnsi="Century Gothic" w:cs="Arial"/>
          <w:color w:val="000000" w:themeColor="text1"/>
          <w:lang w:val="es-ES"/>
        </w:rPr>
        <w:t>:</w:t>
      </w:r>
      <w:r w:rsidR="00D74FA9">
        <w:rPr>
          <w:rFonts w:ascii="Century Gothic" w:hAnsi="Century Gothic" w:cs="Arial"/>
          <w:color w:val="000000" w:themeColor="text1"/>
          <w:lang w:val="es-ES"/>
        </w:rPr>
        <w:t xml:space="preserve">  </w:t>
      </w:r>
      <w:r w:rsidR="006058EA">
        <w:rPr>
          <w:rFonts w:ascii="Century Gothic" w:hAnsi="Century Gothic" w:cs="Arial"/>
          <w:color w:val="000000" w:themeColor="text1"/>
          <w:lang w:val="es-ES"/>
        </w:rPr>
        <w:t xml:space="preserve">El deber </w:t>
      </w:r>
      <w:r w:rsidR="00C53CE9">
        <w:rPr>
          <w:rFonts w:ascii="Century Gothic" w:hAnsi="Century Gothic" w:cs="Arial"/>
          <w:color w:val="000000" w:themeColor="text1"/>
          <w:lang w:val="es-ES"/>
        </w:rPr>
        <w:t xml:space="preserve">y alcance de las </w:t>
      </w:r>
      <w:r w:rsidR="00C10C72">
        <w:rPr>
          <w:rFonts w:ascii="Century Gothic" w:hAnsi="Century Gothic" w:cs="Arial"/>
          <w:color w:val="000000" w:themeColor="text1"/>
          <w:lang w:val="es-ES"/>
        </w:rPr>
        <w:t>entidades exceptuadas</w:t>
      </w:r>
      <w:r w:rsidR="00C53CE9">
        <w:rPr>
          <w:rFonts w:ascii="Century Gothic" w:hAnsi="Century Gothic" w:cs="Arial"/>
          <w:color w:val="000000" w:themeColor="text1"/>
          <w:lang w:val="es-ES"/>
        </w:rPr>
        <w:t xml:space="preserve"> del</w:t>
      </w:r>
      <w:r w:rsidR="008D1A0A">
        <w:rPr>
          <w:rFonts w:ascii="Century Gothic" w:hAnsi="Century Gothic" w:cs="Arial"/>
          <w:color w:val="000000" w:themeColor="text1"/>
          <w:lang w:val="es-ES"/>
        </w:rPr>
        <w:t xml:space="preserve"> Estatuto </w:t>
      </w:r>
      <w:r w:rsidR="00CC7D06">
        <w:rPr>
          <w:rFonts w:ascii="Century Gothic" w:hAnsi="Century Gothic" w:cs="Arial"/>
          <w:color w:val="000000" w:themeColor="text1"/>
          <w:lang w:val="es-ES"/>
        </w:rPr>
        <w:t xml:space="preserve">General de Contratación de la Administración </w:t>
      </w:r>
      <w:r w:rsidR="00764CCB">
        <w:rPr>
          <w:rFonts w:ascii="Century Gothic" w:hAnsi="Century Gothic" w:cs="Arial"/>
          <w:color w:val="000000" w:themeColor="text1"/>
          <w:lang w:val="es-ES"/>
        </w:rPr>
        <w:t>Pública de</w:t>
      </w:r>
      <w:r w:rsidR="00597C3B">
        <w:rPr>
          <w:rFonts w:ascii="Century Gothic" w:hAnsi="Century Gothic" w:cs="Arial"/>
          <w:color w:val="000000" w:themeColor="text1"/>
          <w:lang w:val="es-ES"/>
        </w:rPr>
        <w:t xml:space="preserve"> publicar </w:t>
      </w:r>
      <w:r w:rsidR="00074CE9" w:rsidRPr="00074CE9">
        <w:rPr>
          <w:rFonts w:ascii="Century Gothic" w:hAnsi="Century Gothic" w:cs="Arial"/>
          <w:bCs/>
          <w:lang w:val="es-MX"/>
        </w:rPr>
        <w:t>los documentos relacionados con su actividad contractual en el SECOP II</w:t>
      </w:r>
      <w:r w:rsidR="00E01A53" w:rsidRPr="00074CE9">
        <w:rPr>
          <w:rFonts w:ascii="Century Gothic" w:hAnsi="Century Gothic" w:cs="Arial"/>
          <w:bCs/>
          <w:color w:val="000000" w:themeColor="text1"/>
          <w:lang w:val="es-ES"/>
        </w:rPr>
        <w:t>,</w:t>
      </w:r>
      <w:r w:rsidR="00E01A53">
        <w:rPr>
          <w:rFonts w:ascii="Century Gothic" w:hAnsi="Century Gothic" w:cs="Arial"/>
          <w:color w:val="000000" w:themeColor="text1"/>
          <w:lang w:val="es-ES"/>
        </w:rPr>
        <w:t xml:space="preserve"> est</w:t>
      </w:r>
      <w:r w:rsidR="004151F8">
        <w:rPr>
          <w:rFonts w:ascii="Century Gothic" w:hAnsi="Century Gothic" w:cs="Arial"/>
          <w:color w:val="000000" w:themeColor="text1"/>
          <w:lang w:val="es-ES"/>
        </w:rPr>
        <w:t xml:space="preserve">os fueron objeto de </w:t>
      </w:r>
      <w:r w:rsidR="003167C7">
        <w:rPr>
          <w:rFonts w:ascii="Century Gothic" w:hAnsi="Century Gothic" w:cs="Arial"/>
          <w:color w:val="000000" w:themeColor="text1"/>
          <w:lang w:val="es-ES"/>
        </w:rPr>
        <w:t>análisis y</w:t>
      </w:r>
      <w:r w:rsidR="004151F8">
        <w:rPr>
          <w:rFonts w:ascii="Century Gothic" w:hAnsi="Century Gothic" w:cs="Arial"/>
          <w:color w:val="000000" w:themeColor="text1"/>
          <w:lang w:val="es-ES"/>
        </w:rPr>
        <w:t xml:space="preserve"> de estudio en los siguientes conceptos por parte de esta agencia</w:t>
      </w:r>
      <w:r w:rsidR="003167C7">
        <w:rPr>
          <w:rFonts w:ascii="Century Gothic" w:hAnsi="Century Gothic" w:cs="Arial"/>
          <w:color w:val="000000" w:themeColor="text1"/>
          <w:lang w:val="es-ES"/>
        </w:rPr>
        <w:t>:</w:t>
      </w:r>
    </w:p>
    <w:p w14:paraId="332F40CC" w14:textId="29E224D4" w:rsidR="00894BBF" w:rsidRPr="00B50BC5" w:rsidRDefault="00B50BC5" w:rsidP="00257652">
      <w:pPr>
        <w:spacing w:line="276" w:lineRule="auto"/>
        <w:jc w:val="both"/>
        <w:rPr>
          <w:rFonts w:ascii="Century Gothic" w:hAnsi="Century Gothic" w:cs="Arial"/>
          <w:color w:val="000000" w:themeColor="text1"/>
          <w:lang w:val="es-ES"/>
        </w:rPr>
      </w:pPr>
      <w:r>
        <w:rPr>
          <w:rFonts w:ascii="Century Gothic" w:hAnsi="Century Gothic" w:cs="Arial"/>
          <w:color w:val="000000" w:themeColor="text1"/>
          <w:lang w:val="es-ES"/>
        </w:rPr>
        <w:t xml:space="preserve">C- 909 del 05 de enero de 2023, </w:t>
      </w:r>
      <w:r w:rsidR="009F4C28">
        <w:rPr>
          <w:rFonts w:ascii="Century Gothic" w:hAnsi="Century Gothic" w:cs="Arial"/>
          <w:color w:val="000000" w:themeColor="text1"/>
          <w:lang w:val="es-ES"/>
        </w:rPr>
        <w:t xml:space="preserve">C- 071 del 28 de marzo de 2023, </w:t>
      </w:r>
      <w:r w:rsidR="003255DD">
        <w:rPr>
          <w:rFonts w:ascii="Century Gothic" w:hAnsi="Century Gothic" w:cs="Arial"/>
          <w:color w:val="000000" w:themeColor="text1"/>
          <w:lang w:val="es-ES"/>
        </w:rPr>
        <w:t xml:space="preserve">C- 055 del 19 de abril de 2023, C- 130 del 18 de mayo de 2023, </w:t>
      </w:r>
      <w:r w:rsidR="00AC69D1">
        <w:rPr>
          <w:rFonts w:ascii="Century Gothic" w:hAnsi="Century Gothic" w:cs="Arial"/>
          <w:color w:val="000000" w:themeColor="text1"/>
          <w:lang w:val="es-ES"/>
        </w:rPr>
        <w:t xml:space="preserve">C- 196 del 15 de junio de 2023, </w:t>
      </w:r>
      <w:r w:rsidR="004E2851">
        <w:rPr>
          <w:rFonts w:ascii="Century Gothic" w:hAnsi="Century Gothic" w:cs="Arial"/>
          <w:color w:val="000000" w:themeColor="text1"/>
          <w:lang w:val="es-ES"/>
        </w:rPr>
        <w:t xml:space="preserve">C- 260 del 10 de julio de 2023, C- 270 del 12 de julio de 2023, </w:t>
      </w:r>
      <w:r w:rsidR="00FB011F">
        <w:rPr>
          <w:rFonts w:ascii="Century Gothic" w:hAnsi="Century Gothic" w:cs="Arial"/>
          <w:color w:val="000000" w:themeColor="text1"/>
          <w:lang w:val="es-ES"/>
        </w:rPr>
        <w:t xml:space="preserve">C- </w:t>
      </w:r>
      <w:r w:rsidR="004E2851">
        <w:rPr>
          <w:rFonts w:ascii="Century Gothic" w:hAnsi="Century Gothic" w:cs="Arial"/>
          <w:color w:val="000000" w:themeColor="text1"/>
          <w:lang w:val="es-ES"/>
        </w:rPr>
        <w:t>284 del</w:t>
      </w:r>
      <w:r w:rsidR="00235106">
        <w:rPr>
          <w:rFonts w:ascii="Century Gothic" w:hAnsi="Century Gothic" w:cs="Arial"/>
          <w:color w:val="000000" w:themeColor="text1"/>
          <w:lang w:val="es-ES"/>
        </w:rPr>
        <w:t xml:space="preserve"> 17 de julio de 2023, </w:t>
      </w:r>
      <w:r w:rsidR="00FB011F">
        <w:rPr>
          <w:rFonts w:ascii="Century Gothic" w:hAnsi="Century Gothic" w:cs="Arial"/>
          <w:color w:val="000000" w:themeColor="text1"/>
          <w:lang w:val="es-ES"/>
        </w:rPr>
        <w:t xml:space="preserve">C- 229 del 27 de julio de 2023, </w:t>
      </w:r>
      <w:r w:rsidR="00107516">
        <w:rPr>
          <w:rFonts w:ascii="Century Gothic" w:hAnsi="Century Gothic" w:cs="Arial"/>
          <w:color w:val="000000" w:themeColor="text1"/>
          <w:lang w:val="es-ES"/>
        </w:rPr>
        <w:t xml:space="preserve">C- 326 del 11 de agosto de 2023, </w:t>
      </w:r>
      <w:r w:rsidR="00FF268B">
        <w:rPr>
          <w:rFonts w:ascii="Century Gothic" w:hAnsi="Century Gothic" w:cs="Arial"/>
          <w:color w:val="000000" w:themeColor="text1"/>
          <w:lang w:val="es-ES"/>
        </w:rPr>
        <w:t xml:space="preserve">C- 195 del 24 de agosto de 2023, </w:t>
      </w:r>
      <w:r w:rsidR="00A70BDB">
        <w:rPr>
          <w:rFonts w:ascii="Century Gothic" w:hAnsi="Century Gothic" w:cs="Arial"/>
          <w:color w:val="000000" w:themeColor="text1"/>
          <w:lang w:val="es-ES"/>
        </w:rPr>
        <w:t xml:space="preserve">C- 422 del 10 de octubre de 2023, </w:t>
      </w:r>
      <w:r w:rsidR="001C5DB3">
        <w:rPr>
          <w:rFonts w:ascii="Century Gothic" w:hAnsi="Century Gothic" w:cs="Arial"/>
          <w:color w:val="000000" w:themeColor="text1"/>
          <w:lang w:val="es-ES"/>
        </w:rPr>
        <w:t xml:space="preserve">C- 457 del 24 de octubre de 2023, C- 438 del 31 de octubre de 2023, </w:t>
      </w:r>
      <w:r w:rsidR="00803344">
        <w:rPr>
          <w:rFonts w:ascii="Century Gothic" w:hAnsi="Century Gothic" w:cs="Arial"/>
          <w:color w:val="000000" w:themeColor="text1"/>
          <w:lang w:val="es-ES"/>
        </w:rPr>
        <w:t xml:space="preserve">C- 391 del 14 de noviembre de 2023, </w:t>
      </w:r>
      <w:r w:rsidR="00D2516C">
        <w:rPr>
          <w:rFonts w:ascii="Century Gothic" w:hAnsi="Century Gothic" w:cs="Arial"/>
          <w:color w:val="000000" w:themeColor="text1"/>
          <w:lang w:val="es-ES"/>
        </w:rPr>
        <w:t xml:space="preserve">C- 460 </w:t>
      </w:r>
      <w:r w:rsidR="00AA378E">
        <w:rPr>
          <w:rFonts w:ascii="Century Gothic" w:hAnsi="Century Gothic" w:cs="Arial"/>
          <w:color w:val="000000" w:themeColor="text1"/>
          <w:lang w:val="es-ES"/>
        </w:rPr>
        <w:t xml:space="preserve">del 30 de noviembre de 2023, </w:t>
      </w:r>
      <w:r w:rsidR="0007291E">
        <w:rPr>
          <w:rFonts w:ascii="Century Gothic" w:hAnsi="Century Gothic" w:cs="Arial"/>
          <w:color w:val="000000" w:themeColor="text1"/>
          <w:lang w:val="es-ES"/>
        </w:rPr>
        <w:t xml:space="preserve">CU- 007 del 16 de enero de 2024, </w:t>
      </w:r>
      <w:r w:rsidR="004D7782">
        <w:rPr>
          <w:rFonts w:ascii="Century Gothic" w:hAnsi="Century Gothic" w:cs="Arial"/>
          <w:color w:val="000000" w:themeColor="text1"/>
          <w:lang w:val="es-ES"/>
        </w:rPr>
        <w:t xml:space="preserve">C- 294 del 18 de enero de 2024, </w:t>
      </w:r>
      <w:r w:rsidR="00AD3EDD">
        <w:rPr>
          <w:rFonts w:ascii="Century Gothic" w:hAnsi="Century Gothic" w:cs="Arial"/>
          <w:color w:val="000000" w:themeColor="text1"/>
          <w:lang w:val="es-ES"/>
        </w:rPr>
        <w:t xml:space="preserve">C- </w:t>
      </w:r>
      <w:r w:rsidR="00FF268B">
        <w:rPr>
          <w:rFonts w:ascii="Century Gothic" w:hAnsi="Century Gothic" w:cs="Arial"/>
          <w:color w:val="000000" w:themeColor="text1"/>
          <w:lang w:val="es-ES"/>
        </w:rPr>
        <w:t>017 del</w:t>
      </w:r>
      <w:r w:rsidR="00AD3EDD">
        <w:rPr>
          <w:rFonts w:ascii="Century Gothic" w:hAnsi="Century Gothic" w:cs="Arial"/>
          <w:color w:val="000000" w:themeColor="text1"/>
          <w:lang w:val="es-ES"/>
        </w:rPr>
        <w:t xml:space="preserve"> 26 de febrero de 2024, </w:t>
      </w:r>
      <w:r w:rsidR="00C22FDC">
        <w:rPr>
          <w:rFonts w:ascii="Century Gothic" w:hAnsi="Century Gothic" w:cs="Arial"/>
          <w:color w:val="000000" w:themeColor="text1"/>
          <w:lang w:val="es-ES"/>
        </w:rPr>
        <w:t>C</w:t>
      </w:r>
      <w:r w:rsidR="00AD295D">
        <w:rPr>
          <w:rFonts w:ascii="Century Gothic" w:hAnsi="Century Gothic" w:cs="Arial"/>
          <w:color w:val="000000" w:themeColor="text1"/>
          <w:lang w:val="es-ES"/>
        </w:rPr>
        <w:t>- 041 del 29 de mayo de 2024, C</w:t>
      </w:r>
      <w:r w:rsidR="00F279D1">
        <w:rPr>
          <w:rFonts w:ascii="Century Gothic" w:hAnsi="Century Gothic" w:cs="Arial"/>
          <w:color w:val="000000" w:themeColor="text1"/>
          <w:lang w:val="es-ES"/>
        </w:rPr>
        <w:t>-</w:t>
      </w:r>
      <w:r w:rsidR="00C22FDC">
        <w:rPr>
          <w:rFonts w:ascii="Century Gothic" w:hAnsi="Century Gothic" w:cs="Arial"/>
          <w:color w:val="000000" w:themeColor="text1"/>
          <w:lang w:val="es-ES"/>
        </w:rPr>
        <w:t xml:space="preserve"> 055 del 09 de junio de 2024</w:t>
      </w:r>
      <w:bookmarkEnd w:id="1"/>
      <w:r w:rsidR="007A6E93" w:rsidRPr="00DE3ED4">
        <w:rPr>
          <w:rStyle w:val="FootnoteReference"/>
          <w:rFonts w:ascii="Century Gothic" w:eastAsia="Times New Roman" w:hAnsi="Century Gothic" w:cs="Arial"/>
          <w:lang w:eastAsia="es-CO"/>
        </w:rPr>
        <w:footnoteReference w:id="2"/>
      </w:r>
      <w:r w:rsidR="007A6E93" w:rsidRPr="00DE3ED4">
        <w:rPr>
          <w:rFonts w:ascii="Century Gothic" w:eastAsia="Times New Roman" w:hAnsi="Century Gothic" w:cs="Arial"/>
          <w:lang w:eastAsia="es-CO"/>
        </w:rPr>
        <w:t xml:space="preserve">. </w:t>
      </w:r>
      <w:r w:rsidR="00894BBF" w:rsidRPr="00DE3ED4">
        <w:rPr>
          <w:rFonts w:ascii="Century Gothic" w:eastAsia="Calibri" w:hAnsi="Century Gothic" w:cs="Arial"/>
          <w:color w:val="000000"/>
        </w:rPr>
        <w:t xml:space="preserve">Las tesis expuestas en estos conceptos se reiteran y se complementan en lo pertinente para dar respuesta a su </w:t>
      </w:r>
      <w:r w:rsidR="009E54A5" w:rsidRPr="00DE3ED4">
        <w:rPr>
          <w:rFonts w:ascii="Century Gothic" w:eastAsia="Calibri" w:hAnsi="Century Gothic" w:cs="Arial"/>
          <w:color w:val="000000"/>
        </w:rPr>
        <w:t>consulta.</w:t>
      </w:r>
    </w:p>
    <w:p w14:paraId="1BE7B740" w14:textId="77777777" w:rsidR="00C96336" w:rsidRPr="00A45A38" w:rsidRDefault="00C96336" w:rsidP="00894BBF">
      <w:pPr>
        <w:spacing w:after="0" w:line="276" w:lineRule="auto"/>
        <w:ind w:firstLine="709"/>
        <w:jc w:val="both"/>
        <w:rPr>
          <w:rFonts w:ascii="Century Gothic" w:eastAsia="Calibri" w:hAnsi="Century Gothic" w:cs="Arial"/>
          <w:color w:val="000000"/>
        </w:rPr>
      </w:pPr>
    </w:p>
    <w:p w14:paraId="7793B0B1" w14:textId="6DDAA1FA" w:rsidR="00977A67" w:rsidRPr="004204E3" w:rsidRDefault="00977A67" w:rsidP="00977A67">
      <w:pPr>
        <w:spacing w:after="0" w:line="276" w:lineRule="auto"/>
        <w:contextualSpacing/>
        <w:jc w:val="both"/>
        <w:rPr>
          <w:rFonts w:ascii="Century Gothic" w:hAnsi="Century Gothic" w:cs="Arial"/>
          <w:b/>
          <w:lang w:val="es-MX"/>
        </w:rPr>
      </w:pPr>
      <w:r w:rsidRPr="004204E3">
        <w:rPr>
          <w:rFonts w:ascii="Century Gothic" w:hAnsi="Century Gothic" w:cs="Arial"/>
          <w:b/>
          <w:lang w:val="es-MX"/>
        </w:rPr>
        <w:t>2.</w:t>
      </w:r>
      <w:r w:rsidR="00CC0BA1">
        <w:rPr>
          <w:rFonts w:ascii="Century Gothic" w:hAnsi="Century Gothic" w:cs="Arial"/>
          <w:b/>
          <w:lang w:val="es-MX"/>
        </w:rPr>
        <w:t>1</w:t>
      </w:r>
      <w:r w:rsidRPr="004204E3">
        <w:rPr>
          <w:rFonts w:ascii="Century Gothic" w:hAnsi="Century Gothic" w:cs="Arial"/>
          <w:b/>
          <w:lang w:val="es-MX"/>
        </w:rPr>
        <w:t>. Deber de las Entidades Estatales, exceptuadas del Estatuto General de Contratación de la Administración Pública, de publicar los documentos relacionados con su actividad contractual en el SECOP II. Modificación introducida por el artículo 53 de la Ley 2195 de 2022</w:t>
      </w:r>
    </w:p>
    <w:p w14:paraId="77EE7527" w14:textId="77777777" w:rsidR="00977A67" w:rsidRPr="004204E3" w:rsidRDefault="00977A67" w:rsidP="00977A67">
      <w:pPr>
        <w:spacing w:after="0" w:line="276" w:lineRule="auto"/>
        <w:contextualSpacing/>
        <w:jc w:val="both"/>
        <w:rPr>
          <w:rFonts w:ascii="Century Gothic" w:hAnsi="Century Gothic" w:cs="Arial"/>
          <w:bCs/>
          <w:lang w:val="es-MX"/>
        </w:rPr>
      </w:pPr>
    </w:p>
    <w:p w14:paraId="121146F1" w14:textId="77777777" w:rsidR="00977A67" w:rsidRPr="004204E3" w:rsidRDefault="00977A67" w:rsidP="00977A67">
      <w:pPr>
        <w:spacing w:after="0" w:line="276" w:lineRule="auto"/>
        <w:contextualSpacing/>
        <w:jc w:val="both"/>
        <w:rPr>
          <w:rFonts w:ascii="Century Gothic" w:hAnsi="Century Gothic" w:cs="Arial"/>
          <w:bCs/>
          <w:lang w:val="es-MX"/>
        </w:rPr>
      </w:pPr>
      <w:r w:rsidRPr="004204E3">
        <w:rPr>
          <w:rFonts w:ascii="Century Gothic" w:hAnsi="Century Gothic" w:cs="Arial"/>
          <w:bCs/>
          <w:lang w:val="es-MX"/>
        </w:rPr>
        <w:t xml:space="preserve">Uno de los postulados más importantes de un Estado Social y Democrático de Derecho es el </w:t>
      </w:r>
      <w:r w:rsidRPr="004204E3">
        <w:rPr>
          <w:rFonts w:ascii="Century Gothic" w:hAnsi="Century Gothic" w:cs="Arial"/>
          <w:bCs/>
          <w:i/>
          <w:iCs/>
          <w:lang w:val="es-MX"/>
        </w:rPr>
        <w:t>principio de publicidad</w:t>
      </w:r>
      <w:r w:rsidRPr="004204E3">
        <w:rPr>
          <w:rFonts w:ascii="Century Gothic" w:hAnsi="Century Gothic" w:cs="Arial"/>
          <w:bCs/>
          <w:lang w:val="es-MX"/>
        </w:rPr>
        <w:t>,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3BDB4313" w14:textId="77777777" w:rsidR="00977A67" w:rsidRPr="004204E3" w:rsidRDefault="00977A67" w:rsidP="00977A67">
      <w:pPr>
        <w:spacing w:after="0" w:line="276" w:lineRule="auto"/>
        <w:ind w:firstLine="709"/>
        <w:contextualSpacing/>
        <w:jc w:val="both"/>
        <w:rPr>
          <w:rFonts w:ascii="Century Gothic" w:hAnsi="Century Gothic" w:cs="Arial"/>
          <w:bCs/>
          <w:lang w:val="es-MX"/>
        </w:rPr>
      </w:pPr>
    </w:p>
    <w:p w14:paraId="65A8FA3B" w14:textId="77777777" w:rsidR="00977A67" w:rsidRPr="004204E3" w:rsidRDefault="00977A67" w:rsidP="00977A67">
      <w:pPr>
        <w:tabs>
          <w:tab w:val="left" w:pos="3885"/>
        </w:tabs>
        <w:spacing w:after="0" w:line="240" w:lineRule="auto"/>
        <w:ind w:left="709" w:right="709"/>
        <w:contextualSpacing/>
        <w:jc w:val="both"/>
        <w:rPr>
          <w:rFonts w:ascii="Century Gothic" w:hAnsi="Century Gothic" w:cs="Arial"/>
          <w:bCs/>
          <w:sz w:val="21"/>
          <w:szCs w:val="21"/>
          <w:lang w:val="es-MX"/>
        </w:rPr>
      </w:pPr>
      <m:oMath>
        <m:r>
          <m:rPr>
            <m:sty m:val="p"/>
          </m:rPr>
          <w:rPr>
            <w:rFonts w:ascii="Cambria Math" w:hAnsi="Cambria Math" w:cs="Arial"/>
            <w:sz w:val="21"/>
            <w:szCs w:val="21"/>
            <w:lang w:val="es-MX"/>
          </w:rPr>
          <m:t>"</m:t>
        </m:r>
      </m:oMath>
      <w:r w:rsidRPr="004204E3">
        <w:rPr>
          <w:rFonts w:ascii="Century Gothic" w:hAnsi="Century Gothic" w:cs="Arial"/>
          <w:bCs/>
          <w:sz w:val="21"/>
          <w:szCs w:val="21"/>
          <w:lang w:val="es-MX"/>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E948A78" w14:textId="77777777" w:rsidR="00977A67" w:rsidRPr="004204E3" w:rsidRDefault="00977A67" w:rsidP="00977A67">
      <w:pPr>
        <w:tabs>
          <w:tab w:val="left" w:pos="3885"/>
        </w:tabs>
        <w:spacing w:after="0" w:line="240" w:lineRule="auto"/>
        <w:ind w:left="709" w:right="709"/>
        <w:contextualSpacing/>
        <w:jc w:val="both"/>
        <w:rPr>
          <w:rFonts w:ascii="Century Gothic" w:hAnsi="Century Gothic" w:cs="Arial"/>
          <w:bCs/>
          <w:sz w:val="21"/>
          <w:szCs w:val="21"/>
          <w:lang w:val="es-MX"/>
        </w:rPr>
      </w:pPr>
    </w:p>
    <w:p w14:paraId="4390D9B0" w14:textId="77777777" w:rsidR="00977A67" w:rsidRPr="004204E3" w:rsidRDefault="00977A67" w:rsidP="00977A67">
      <w:pPr>
        <w:tabs>
          <w:tab w:val="left" w:pos="3885"/>
          <w:tab w:val="left" w:pos="8222"/>
        </w:tabs>
        <w:spacing w:after="0" w:line="240" w:lineRule="auto"/>
        <w:ind w:left="709" w:right="709"/>
        <w:contextualSpacing/>
        <w:jc w:val="both"/>
        <w:rPr>
          <w:rFonts w:ascii="Century Gothic" w:hAnsi="Century Gothic" w:cs="Arial"/>
          <w:bCs/>
          <w:sz w:val="21"/>
          <w:szCs w:val="21"/>
          <w:lang w:val="es-MX"/>
        </w:rPr>
      </w:pPr>
      <w:r w:rsidRPr="004204E3">
        <w:rPr>
          <w:rFonts w:ascii="Century Gothic" w:hAnsi="Century Gothic" w:cs="Arial"/>
          <w:bCs/>
          <w:sz w:val="21"/>
          <w:szCs w:val="21"/>
          <w:lang w:val="es-MX"/>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4204E3">
        <w:rPr>
          <w:rFonts w:ascii="Century Gothic" w:hAnsi="Century Gothic" w:cs="Arial"/>
          <w:bCs/>
          <w:sz w:val="21"/>
          <w:szCs w:val="21"/>
          <w:vertAlign w:val="superscript"/>
          <w:lang w:val="es-MX"/>
        </w:rPr>
        <w:footnoteReference w:id="3"/>
      </w:r>
    </w:p>
    <w:p w14:paraId="26FC0257" w14:textId="77777777" w:rsidR="00977A67" w:rsidRPr="004204E3" w:rsidRDefault="00977A67" w:rsidP="00977A67">
      <w:pPr>
        <w:spacing w:after="0" w:line="276" w:lineRule="auto"/>
        <w:ind w:firstLine="709"/>
        <w:contextualSpacing/>
        <w:jc w:val="both"/>
        <w:rPr>
          <w:rFonts w:ascii="Century Gothic" w:hAnsi="Century Gothic" w:cs="Arial"/>
          <w:bCs/>
          <w:lang w:val="es-MX"/>
        </w:rPr>
      </w:pPr>
    </w:p>
    <w:p w14:paraId="2CF28F6F" w14:textId="77777777" w:rsidR="00977A67" w:rsidRPr="004204E3" w:rsidRDefault="00977A67" w:rsidP="00977A67">
      <w:pPr>
        <w:spacing w:after="120" w:line="276" w:lineRule="auto"/>
        <w:ind w:firstLine="709"/>
        <w:jc w:val="both"/>
        <w:rPr>
          <w:rFonts w:ascii="Century Gothic" w:hAnsi="Century Gothic" w:cs="Arial"/>
          <w:bCs/>
          <w:lang w:val="es-MX"/>
        </w:rPr>
      </w:pPr>
      <w:r w:rsidRPr="004204E3">
        <w:rPr>
          <w:rFonts w:ascii="Century Gothic" w:hAnsi="Century Gothic" w:cs="Arial"/>
          <w:bCs/>
          <w:lang w:val="es-MX"/>
        </w:rPr>
        <w:t>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4204E3">
        <w:rPr>
          <w:rFonts w:ascii="Century Gothic" w:hAnsi="Century Gothic" w:cs="Arial"/>
          <w:bCs/>
          <w:vertAlign w:val="superscript"/>
          <w:lang w:val="es-MX"/>
        </w:rPr>
        <w:footnoteReference w:id="4"/>
      </w:r>
      <w:r w:rsidRPr="004204E3">
        <w:rPr>
          <w:rFonts w:ascii="Century Gothic" w:hAnsi="Century Gothic" w:cs="Arial"/>
          <w:bCs/>
          <w:lang w:val="es-MX"/>
        </w:rPr>
        <w:t xml:space="preserve">. </w:t>
      </w:r>
    </w:p>
    <w:p w14:paraId="70756844" w14:textId="77777777" w:rsidR="00977A67" w:rsidRPr="004204E3" w:rsidRDefault="00977A67" w:rsidP="00977A67">
      <w:pPr>
        <w:spacing w:after="120" w:line="276" w:lineRule="auto"/>
        <w:ind w:firstLine="708"/>
        <w:jc w:val="both"/>
        <w:rPr>
          <w:rFonts w:ascii="Century Gothic" w:hAnsi="Century Gothic" w:cs="Arial"/>
          <w:bCs/>
          <w:lang w:val="es-MX"/>
        </w:rPr>
      </w:pPr>
      <w:r w:rsidRPr="004204E3">
        <w:rPr>
          <w:rFonts w:ascii="Century Gothic" w:hAnsi="Century Gothic" w:cs="Arial"/>
          <w:bCs/>
          <w:lang w:val="es-MX"/>
        </w:rPr>
        <w:t>De otra parte, la Ley 1712 de 2014, “</w:t>
      </w:r>
      <w:r w:rsidRPr="004204E3">
        <w:rPr>
          <w:rFonts w:ascii="Century Gothic" w:hAnsi="Century Gothic" w:cs="Arial"/>
        </w:rPr>
        <w:t>P</w:t>
      </w:r>
      <w:r w:rsidRPr="004204E3">
        <w:rPr>
          <w:rFonts w:ascii="Century Gothic" w:hAnsi="Century Gothic" w:cs="Arial"/>
          <w:lang w:eastAsia="es-CO"/>
        </w:rPr>
        <w:t>or medio de la cual se crea la Ley de Transparencia y del Derecho de Acceso a la Información Pública Nacional y se dictan otras disposiciones</w:t>
      </w:r>
      <w:r w:rsidRPr="004204E3">
        <w:rPr>
          <w:rFonts w:ascii="Century Gothic" w:hAnsi="Century Gothic" w:cs="Arial"/>
          <w:bCs/>
          <w:lang w:val="es-MX"/>
        </w:rPr>
        <w:t xml:space="preserve">”, identifica como principios que orientan el derecho de acceso a la información pública, el principio de máxima publicidad, el principio de transparencia en la información y el principio de buena fe. El principio de </w:t>
      </w:r>
      <w:r w:rsidRPr="004204E3">
        <w:rPr>
          <w:rFonts w:ascii="Century Gothic" w:hAnsi="Century Gothic" w:cs="Arial"/>
          <w:bCs/>
          <w:i/>
          <w:iCs/>
          <w:lang w:val="es-MX"/>
        </w:rPr>
        <w:t>máxima publicidad</w:t>
      </w:r>
      <w:r w:rsidRPr="004204E3">
        <w:rPr>
          <w:rFonts w:ascii="Century Gothic" w:hAnsi="Century Gothic" w:cs="Arial"/>
          <w:bCs/>
          <w:lang w:val="es-MX"/>
        </w:rPr>
        <w:t xml:space="preserve"> establece que “toda información en posesión, bajo control o custodia de un sujeto obligado es pública y no podrá ser reservada o limitada sino por disposición constitucional o legal”</w:t>
      </w:r>
      <w:r w:rsidRPr="004204E3">
        <w:rPr>
          <w:rFonts w:ascii="Century Gothic" w:hAnsi="Century Gothic" w:cs="Arial"/>
          <w:bCs/>
          <w:vertAlign w:val="superscript"/>
          <w:lang w:val="es-MX"/>
        </w:rPr>
        <w:footnoteReference w:id="5"/>
      </w:r>
      <w:r w:rsidRPr="004204E3">
        <w:rPr>
          <w:rFonts w:ascii="Century Gothic" w:hAnsi="Century Gothic" w:cs="Arial"/>
          <w:bCs/>
          <w:lang w:val="es-MX"/>
        </w:rPr>
        <w:t xml:space="preserve">. El </w:t>
      </w:r>
      <w:r w:rsidRPr="004204E3">
        <w:rPr>
          <w:rFonts w:ascii="Century Gothic" w:hAnsi="Century Gothic" w:cs="Arial"/>
          <w:bCs/>
          <w:i/>
          <w:iCs/>
          <w:lang w:val="es-MX"/>
        </w:rPr>
        <w:t>principio de transparencia</w:t>
      </w:r>
      <w:r w:rsidRPr="004204E3">
        <w:rPr>
          <w:rFonts w:ascii="Century Gothic" w:hAnsi="Century Gothic" w:cs="Arial"/>
          <w:bCs/>
          <w:lang w:val="es-MX"/>
        </w:rPr>
        <w:t xml:space="preserve"> en la información alude al deber de los sujetos de proporcionar y facilitar el acceso a la misma en los términos más amplios posibles, a través de los medios y procedimientos legales</w:t>
      </w:r>
      <w:r w:rsidRPr="004204E3">
        <w:rPr>
          <w:rFonts w:ascii="Century Gothic" w:hAnsi="Century Gothic" w:cs="Arial"/>
          <w:vertAlign w:val="superscript"/>
          <w:lang w:eastAsia="es-CO"/>
        </w:rPr>
        <w:footnoteReference w:id="6"/>
      </w:r>
      <w:r w:rsidRPr="004204E3">
        <w:rPr>
          <w:rFonts w:ascii="Century Gothic" w:hAnsi="Century Gothic" w:cs="Arial"/>
          <w:bCs/>
          <w:lang w:val="es-MX"/>
        </w:rPr>
        <w:t xml:space="preserve">. Y el </w:t>
      </w:r>
      <w:r w:rsidRPr="004204E3">
        <w:rPr>
          <w:rFonts w:ascii="Century Gothic" w:hAnsi="Century Gothic" w:cs="Arial"/>
          <w:bCs/>
          <w:i/>
          <w:iCs/>
          <w:lang w:val="es-MX"/>
        </w:rPr>
        <w:t>principio de buena fe</w:t>
      </w:r>
      <w:r w:rsidRPr="004204E3">
        <w:rPr>
          <w:rFonts w:ascii="Century Gothic" w:hAnsi="Century Gothic" w:cs="Arial"/>
          <w:bCs/>
          <w:lang w:val="es-MX"/>
        </w:rPr>
        <w:t xml:space="preserve"> hace referencia al deber de todo sujeto obligado de cumplir con las obligaciones derivadas del derecho de acceso a la información pública con motivación honesta, leal y desprovista de cualquier intención dolosa o culposa</w:t>
      </w:r>
      <w:r w:rsidRPr="004204E3">
        <w:rPr>
          <w:rFonts w:ascii="Century Gothic" w:hAnsi="Century Gothic" w:cs="Arial"/>
          <w:bCs/>
          <w:vertAlign w:val="superscript"/>
          <w:lang w:val="es-MX"/>
        </w:rPr>
        <w:footnoteReference w:id="7"/>
      </w:r>
      <w:r w:rsidRPr="004204E3">
        <w:rPr>
          <w:rFonts w:ascii="Century Gothic" w:hAnsi="Century Gothic" w:cs="Arial"/>
          <w:bCs/>
          <w:lang w:val="es-MX"/>
        </w:rPr>
        <w:t xml:space="preserve">. </w:t>
      </w:r>
    </w:p>
    <w:p w14:paraId="632DFBD3" w14:textId="77777777" w:rsidR="00977A67" w:rsidRPr="004204E3" w:rsidRDefault="00977A67" w:rsidP="00977A67">
      <w:pPr>
        <w:spacing w:after="120" w:line="276" w:lineRule="auto"/>
        <w:ind w:firstLine="709"/>
        <w:jc w:val="both"/>
        <w:rPr>
          <w:rFonts w:ascii="Century Gothic" w:hAnsi="Century Gothic" w:cs="Arial"/>
          <w:lang w:eastAsia="es-CO"/>
        </w:rPr>
      </w:pPr>
      <w:r w:rsidRPr="004204E3">
        <w:rPr>
          <w:rFonts w:ascii="Century Gothic" w:hAnsi="Century Gothic" w:cs="Arial"/>
          <w:bCs/>
          <w:lang w:val="es-MX"/>
        </w:rPr>
        <w:t xml:space="preserve">La citada Ley establece, </w:t>
      </w:r>
      <w:bookmarkStart w:id="3" w:name="_Hlk112225357"/>
      <w:r w:rsidRPr="004204E3">
        <w:rPr>
          <w:rFonts w:ascii="Century Gothic" w:hAnsi="Century Gothic" w:cs="Arial"/>
          <w:bCs/>
          <w:lang w:val="es-MX"/>
        </w:rPr>
        <w:t xml:space="preserve">en el literal e) del artículo 9, que los </w:t>
      </w:r>
      <w:r w:rsidRPr="004204E3">
        <w:rPr>
          <w:rFonts w:ascii="Century Gothic" w:hAnsi="Century Gothic" w:cs="Arial"/>
          <w:bCs/>
          <w:i/>
          <w:iCs/>
          <w:lang w:val="es-MX"/>
        </w:rPr>
        <w:t>sujetos obligados</w:t>
      </w:r>
      <w:r w:rsidRPr="004204E3">
        <w:rPr>
          <w:rFonts w:ascii="Century Gothic" w:hAnsi="Century Gothic" w:cs="Arial"/>
          <w:bCs/>
          <w:lang w:val="es-MX"/>
        </w:rPr>
        <w:t xml:space="preserve"> deben publicar la información relativa a su contratación</w:t>
      </w:r>
      <w:r w:rsidRPr="004204E3">
        <w:rPr>
          <w:rFonts w:ascii="Century Gothic" w:hAnsi="Century Gothic" w:cs="Arial"/>
          <w:vertAlign w:val="superscript"/>
          <w:lang w:eastAsia="es-CO"/>
        </w:rPr>
        <w:footnoteReference w:id="8"/>
      </w:r>
      <w:r w:rsidRPr="004204E3">
        <w:rPr>
          <w:rFonts w:ascii="Century Gothic" w:hAnsi="Century Gothic" w:cs="Arial"/>
          <w:bCs/>
          <w:lang w:val="es-MX"/>
        </w:rPr>
        <w:t xml:space="preserve">. El artículo 5 ibidem, al describir qué se entiende por sujetos obligados, consagra una lista cuyo propósito es incluir a cualquier entidad, órgano, organismo, o persona natural que desempeñe funciones públicas o administre recursos públicos. </w:t>
      </w:r>
      <w:r w:rsidRPr="004204E3">
        <w:rPr>
          <w:rFonts w:ascii="Century Gothic" w:hAnsi="Century Gothic" w:cs="Arial"/>
          <w:lang w:val="es-ES"/>
        </w:rPr>
        <w:t>Igualmente, establece que son sujetos obligados las empresas públicas, las empresas del Estado y las sociedades en las que el Estado tenga participación, sin que importe su monto</w:t>
      </w:r>
      <w:r w:rsidRPr="004204E3">
        <w:rPr>
          <w:rFonts w:ascii="Century Gothic" w:hAnsi="Century Gothic" w:cs="Arial"/>
          <w:vertAlign w:val="superscript"/>
          <w:lang w:eastAsia="es-CO"/>
        </w:rPr>
        <w:footnoteReference w:id="9"/>
      </w:r>
      <w:r w:rsidRPr="004204E3">
        <w:rPr>
          <w:rFonts w:ascii="Century Gothic" w:hAnsi="Century Gothic" w:cs="Arial"/>
          <w:lang w:val="es-ES"/>
        </w:rPr>
        <w:t>.</w:t>
      </w:r>
      <w:r w:rsidRPr="004204E3">
        <w:rPr>
          <w:rFonts w:ascii="Century Gothic" w:hAnsi="Century Gothic" w:cs="Arial"/>
          <w:lang w:eastAsia="es-CO"/>
        </w:rPr>
        <w:t xml:space="preserve"> 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bookmarkEnd w:id="3"/>
    <w:p w14:paraId="7622C90E" w14:textId="77777777" w:rsidR="00977A67" w:rsidRPr="004204E3" w:rsidRDefault="00977A67" w:rsidP="00977A67">
      <w:pPr>
        <w:spacing w:after="120" w:line="276" w:lineRule="auto"/>
        <w:ind w:firstLine="708"/>
        <w:jc w:val="both"/>
        <w:rPr>
          <w:rFonts w:ascii="Century Gothic" w:hAnsi="Century Gothic" w:cs="Arial"/>
          <w:bCs/>
          <w:lang w:val="es-MX"/>
        </w:rPr>
      </w:pPr>
      <w:r w:rsidRPr="004204E3">
        <w:rPr>
          <w:rFonts w:ascii="Century Gothic" w:hAnsi="Century Gothic" w:cs="Arial"/>
          <w:bCs/>
          <w:lang w:val="es-MX"/>
        </w:rPr>
        <w:t>Esta obligación fue desarrollada por el artículo 2.1.1.2.1.7. del Decreto Único Reglamentario 1081 de 2015</w:t>
      </w:r>
      <w:r w:rsidRPr="004204E3">
        <w:rPr>
          <w:rFonts w:ascii="Century Gothic" w:hAnsi="Century Gothic" w:cs="Arial"/>
          <w:bCs/>
          <w:vertAlign w:val="superscript"/>
          <w:lang w:val="es-MX"/>
        </w:rPr>
        <w:footnoteReference w:id="10"/>
      </w:r>
      <w:r w:rsidRPr="004204E3">
        <w:rPr>
          <w:rFonts w:ascii="Century Gothic" w:hAnsi="Century Gothic" w:cs="Arial"/>
          <w:bCs/>
          <w:lang w:val="es-MX"/>
        </w:rPr>
        <w:t>, el cual dispuso que la publicación de la información contractual de los sujetos obligados, que contratan con cargo a recursos públicos, debe hacerse en el Sistema Electrónico para la Contratación Pública ─</w:t>
      </w:r>
      <w:r w:rsidRPr="004204E3">
        <w:rPr>
          <w:rFonts w:ascii="Century Gothic" w:hAnsi="Century Gothic" w:cs="Arial"/>
          <w:bCs/>
          <w:lang w:val="es-MX"/>
        </w:rPr>
        <w:softHyphen/>
        <w:t xml:space="preserve"> </w:t>
      </w:r>
      <w:r w:rsidRPr="004204E3">
        <w:rPr>
          <w:rFonts w:ascii="Century Gothic" w:hAnsi="Century Gothic" w:cs="Arial"/>
          <w:bCs/>
          <w:lang w:val="es-MX"/>
        </w:rPr>
        <w:softHyphen/>
        <w:t>SECOP–.</w:t>
      </w:r>
    </w:p>
    <w:p w14:paraId="2F882482" w14:textId="77777777" w:rsidR="00977A67" w:rsidRPr="004204E3" w:rsidRDefault="00977A67" w:rsidP="00977A67">
      <w:pPr>
        <w:spacing w:after="0" w:line="276" w:lineRule="auto"/>
        <w:ind w:firstLine="709"/>
        <w:contextualSpacing/>
        <w:jc w:val="both"/>
        <w:rPr>
          <w:rFonts w:ascii="Century Gothic" w:hAnsi="Century Gothic" w:cs="Arial"/>
          <w:bCs/>
          <w:lang w:val="es-MX"/>
        </w:rPr>
      </w:pPr>
      <w:r w:rsidRPr="004204E3">
        <w:rPr>
          <w:rFonts w:ascii="Century Gothic" w:hAnsi="Century Gothic" w:cs="Arial"/>
          <w:bCs/>
          <w:lang w:val="es-MX"/>
        </w:rPr>
        <w:t xml:space="preserve">Las anteriores disposiciones normativas fueron complementadas con la expedición de la </w:t>
      </w:r>
      <w:bookmarkStart w:id="4" w:name="_Hlk109111930"/>
      <w:r w:rsidRPr="004204E3">
        <w:rPr>
          <w:rFonts w:ascii="Century Gothic" w:hAnsi="Century Gothic" w:cs="Arial"/>
          <w:bCs/>
          <w:lang w:val="es-MX"/>
        </w:rPr>
        <w:t xml:space="preserve">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EGCAP de publicar los documentos relacionados con su actividad contractual en el Sistema Electrónico para la Contratación Pública –SECOP II- o la plataforma transaccional que haga sus veces. </w:t>
      </w:r>
      <w:bookmarkEnd w:id="4"/>
      <w:r w:rsidRPr="004204E3">
        <w:rPr>
          <w:rFonts w:ascii="Century Gothic" w:hAnsi="Century Gothic" w:cs="Arial"/>
          <w:bCs/>
          <w:lang w:val="es-MX"/>
        </w:rPr>
        <w:t>Al respecto, la norma citada, de manera expresa, señala:</w:t>
      </w:r>
    </w:p>
    <w:p w14:paraId="14ED63F9" w14:textId="77777777" w:rsidR="00977A67" w:rsidRPr="004204E3" w:rsidRDefault="00977A67" w:rsidP="00977A67">
      <w:pPr>
        <w:spacing w:after="0" w:line="240" w:lineRule="auto"/>
        <w:ind w:firstLine="301"/>
        <w:contextualSpacing/>
        <w:rPr>
          <w:rFonts w:ascii="Century Gothic" w:hAnsi="Century Gothic" w:cs="Arial"/>
          <w:bCs/>
          <w:lang w:val="es-MX"/>
        </w:rPr>
      </w:pPr>
    </w:p>
    <w:p w14:paraId="72210BA4" w14:textId="77777777" w:rsidR="00977A67" w:rsidRPr="004204E3" w:rsidRDefault="00977A67" w:rsidP="00977A67">
      <w:pPr>
        <w:spacing w:after="0" w:line="240" w:lineRule="auto"/>
        <w:ind w:left="709" w:right="709"/>
        <w:contextualSpacing/>
        <w:jc w:val="both"/>
        <w:rPr>
          <w:rFonts w:ascii="Century Gothic" w:hAnsi="Century Gothic" w:cs="Arial"/>
          <w:bCs/>
          <w:sz w:val="21"/>
          <w:szCs w:val="21"/>
          <w:lang w:val="es-MX"/>
        </w:rPr>
      </w:pPr>
      <w:r w:rsidRPr="004204E3">
        <w:rPr>
          <w:rFonts w:ascii="Century Gothic" w:hAnsi="Century Gothic" w:cs="Arial"/>
          <w:bCs/>
          <w:sz w:val="21"/>
          <w:szCs w:val="21"/>
          <w:lang w:val="es-MX"/>
        </w:rPr>
        <w:t>“Adiciónese los siguientes incisos al artículo 13 de la Ley 1150 de 2007, el cual quedará así:</w:t>
      </w:r>
    </w:p>
    <w:p w14:paraId="78C877A7" w14:textId="77777777" w:rsidR="00977A67" w:rsidRPr="004204E3" w:rsidRDefault="00977A67" w:rsidP="00977A67">
      <w:pPr>
        <w:spacing w:after="0" w:line="240" w:lineRule="auto"/>
        <w:ind w:left="709" w:right="709"/>
        <w:contextualSpacing/>
        <w:jc w:val="both"/>
        <w:rPr>
          <w:rFonts w:ascii="Century Gothic" w:hAnsi="Century Gothic" w:cs="Arial"/>
          <w:bCs/>
          <w:sz w:val="21"/>
          <w:szCs w:val="21"/>
          <w:lang w:val="es-MX"/>
        </w:rPr>
      </w:pPr>
    </w:p>
    <w:p w14:paraId="3DA34338" w14:textId="77777777" w:rsidR="00977A67" w:rsidRPr="004204E3" w:rsidRDefault="00977A67" w:rsidP="00977A67">
      <w:pPr>
        <w:spacing w:after="0" w:line="240" w:lineRule="auto"/>
        <w:ind w:left="709" w:right="709"/>
        <w:contextualSpacing/>
        <w:jc w:val="both"/>
        <w:rPr>
          <w:rFonts w:ascii="Century Gothic" w:hAnsi="Century Gothic" w:cs="Arial"/>
          <w:bCs/>
          <w:sz w:val="21"/>
          <w:szCs w:val="21"/>
          <w:lang w:val="es-MX"/>
        </w:rPr>
      </w:pPr>
      <w:r w:rsidRPr="004204E3">
        <w:rPr>
          <w:rFonts w:ascii="Century Gothic" w:hAnsi="Century Gothic" w:cs="Arial"/>
          <w:bCs/>
          <w:sz w:val="21"/>
          <w:szCs w:val="21"/>
          <w:lang w:val="es-MX"/>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B56976E" w14:textId="77777777" w:rsidR="00977A67" w:rsidRPr="004204E3" w:rsidRDefault="00977A67" w:rsidP="00977A67">
      <w:pPr>
        <w:spacing w:after="0" w:line="240" w:lineRule="auto"/>
        <w:ind w:left="709" w:right="709"/>
        <w:contextualSpacing/>
        <w:jc w:val="both"/>
        <w:rPr>
          <w:rFonts w:ascii="Century Gothic" w:hAnsi="Century Gothic" w:cs="Arial"/>
          <w:bCs/>
          <w:sz w:val="21"/>
          <w:szCs w:val="21"/>
          <w:lang w:val="es-MX"/>
        </w:rPr>
      </w:pPr>
    </w:p>
    <w:p w14:paraId="03FC39DF" w14:textId="77777777" w:rsidR="00977A67" w:rsidRPr="004204E3" w:rsidRDefault="00977A67" w:rsidP="00977A67">
      <w:pPr>
        <w:spacing w:after="0" w:line="240" w:lineRule="auto"/>
        <w:ind w:left="709" w:right="709"/>
        <w:contextualSpacing/>
        <w:jc w:val="both"/>
        <w:rPr>
          <w:rFonts w:ascii="Century Gothic" w:hAnsi="Century Gothic" w:cs="Arial"/>
          <w:bCs/>
          <w:i/>
          <w:iCs/>
          <w:sz w:val="21"/>
          <w:szCs w:val="21"/>
          <w:lang w:val="es-MX"/>
        </w:rPr>
      </w:pPr>
      <w:r w:rsidRPr="004204E3">
        <w:rPr>
          <w:rFonts w:ascii="Century Gothic" w:hAnsi="Century Gothic" w:cs="Arial"/>
          <w:bCs/>
          <w:i/>
          <w:iCs/>
          <w:sz w:val="21"/>
          <w:szCs w:val="21"/>
          <w:lang w:val="es-MX"/>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7E44CA7E" w14:textId="77777777" w:rsidR="00977A67" w:rsidRPr="004204E3" w:rsidRDefault="00977A67" w:rsidP="00977A67">
      <w:pPr>
        <w:spacing w:after="0" w:line="240" w:lineRule="auto"/>
        <w:ind w:left="709" w:right="709"/>
        <w:contextualSpacing/>
        <w:jc w:val="both"/>
        <w:rPr>
          <w:rFonts w:ascii="Century Gothic" w:hAnsi="Century Gothic" w:cs="Arial"/>
          <w:bCs/>
          <w:sz w:val="21"/>
          <w:szCs w:val="21"/>
          <w:lang w:val="es-MX"/>
        </w:rPr>
      </w:pPr>
    </w:p>
    <w:p w14:paraId="3019439A" w14:textId="6B21A587" w:rsidR="00977A67" w:rsidRPr="004204E3" w:rsidRDefault="00977A67" w:rsidP="00977A67">
      <w:pPr>
        <w:spacing w:after="0" w:line="240" w:lineRule="auto"/>
        <w:ind w:left="709" w:right="709"/>
        <w:contextualSpacing/>
        <w:jc w:val="both"/>
        <w:rPr>
          <w:rFonts w:ascii="Century Gothic" w:hAnsi="Century Gothic" w:cs="Arial"/>
          <w:bCs/>
          <w:sz w:val="21"/>
          <w:szCs w:val="21"/>
          <w:lang w:val="es-MX"/>
        </w:rPr>
      </w:pPr>
      <w:r w:rsidRPr="004204E3">
        <w:rPr>
          <w:rFonts w:ascii="Century Gothic" w:hAnsi="Century Gothic" w:cs="Arial"/>
          <w:bCs/>
          <w:sz w:val="21"/>
          <w:szCs w:val="21"/>
          <w:lang w:val="es-MX"/>
        </w:rPr>
        <w:t xml:space="preserve">A partir de la </w:t>
      </w:r>
      <w:r w:rsidR="002B60FD" w:rsidRPr="004204E3">
        <w:rPr>
          <w:rFonts w:ascii="Century Gothic" w:hAnsi="Century Gothic" w:cs="Arial"/>
          <w:bCs/>
          <w:sz w:val="21"/>
          <w:szCs w:val="21"/>
          <w:lang w:val="es-MX"/>
        </w:rPr>
        <w:t>entrada en vigor</w:t>
      </w:r>
      <w:r w:rsidRPr="004204E3">
        <w:rPr>
          <w:rFonts w:ascii="Century Gothic" w:hAnsi="Century Gothic" w:cs="Arial"/>
          <w:bCs/>
          <w:sz w:val="21"/>
          <w:szCs w:val="21"/>
          <w:lang w:val="es-MX"/>
        </w:rPr>
        <w:t xml:space="preserve"> de la presente Ley, se establecerá un periodo de transición de seis (6) meses, para que las entidades den cumplimiento efectivo a lo aquí establecido”. [Énfasis fuera de texto].</w:t>
      </w:r>
    </w:p>
    <w:p w14:paraId="5443404A" w14:textId="77777777" w:rsidR="00977A67" w:rsidRPr="004204E3" w:rsidRDefault="00977A67" w:rsidP="00977A67">
      <w:pPr>
        <w:spacing w:after="0" w:line="276" w:lineRule="auto"/>
        <w:ind w:firstLine="709"/>
        <w:contextualSpacing/>
        <w:jc w:val="both"/>
        <w:rPr>
          <w:rFonts w:ascii="Century Gothic" w:hAnsi="Century Gothic" w:cs="Arial"/>
          <w:bCs/>
          <w:lang w:val="es-MX"/>
        </w:rPr>
      </w:pPr>
    </w:p>
    <w:p w14:paraId="33062C74" w14:textId="77777777" w:rsidR="00977A67" w:rsidRPr="004204E3" w:rsidRDefault="00977A67" w:rsidP="08937EA5">
      <w:pPr>
        <w:spacing w:after="120" w:line="276" w:lineRule="auto"/>
        <w:ind w:firstLine="709"/>
        <w:jc w:val="both"/>
        <w:rPr>
          <w:rFonts w:ascii="Century Gothic" w:hAnsi="Century Gothic" w:cs="Arial"/>
          <w:lang w:val="es-ES"/>
        </w:rPr>
      </w:pPr>
      <w:r w:rsidRPr="08937EA5">
        <w:rPr>
          <w:rFonts w:ascii="Century Gothic" w:hAnsi="Century Gothic" w:cs="Arial"/>
          <w:lang w:val="es-ES"/>
        </w:rPr>
        <w:t xml:space="preserve">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esta obligación y la complementa con la exigencia de emplear el SECOP II. En otras palabras, a través del artículo 53 de la Ley 2195 de 2022, el Congreso de la República dispone que las entidades estatales exceptuadas del EGCAP deben publicar en el SECOP II –es decir en la plataforma transaccional vigente– su actividad contractual. </w:t>
      </w:r>
    </w:p>
    <w:p w14:paraId="0EE42241" w14:textId="77777777" w:rsidR="00977A67" w:rsidRPr="004204E3" w:rsidRDefault="00977A67" w:rsidP="00977A67">
      <w:pPr>
        <w:spacing w:after="120" w:line="276" w:lineRule="auto"/>
        <w:ind w:firstLine="709"/>
        <w:jc w:val="both"/>
        <w:rPr>
          <w:rFonts w:ascii="Century Gothic" w:hAnsi="Century Gothic" w:cs="Arial"/>
          <w:bCs/>
          <w:lang w:val="es-MX"/>
        </w:rPr>
      </w:pPr>
      <w:r w:rsidRPr="004204E3">
        <w:rPr>
          <w:rFonts w:ascii="Century Gothic" w:hAnsi="Century Gothic" w:cs="Arial"/>
          <w:bCs/>
          <w:lang w:val="es-MX"/>
        </w:rPr>
        <w:t>Ahora bien,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en el futuro dicha plataforma sea remplazada por otra que tenga una denominación distinta, las entidades que tienen un régimen exceptuado deben continuar publicando la documentación de su actividad contractual en la nueva plataforma transaccional que para el efecto se cree. En ese sentido, la locución “la plataforma que haga sus veces” no puede interpretarse como una autorización para que las entidades obligadas en virtud del artículo 53 de la Ley 2195 de 2022 empleen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6102CF5C" w14:textId="77777777" w:rsidR="00977A67" w:rsidRPr="004204E3" w:rsidRDefault="00977A67" w:rsidP="00977A67">
      <w:pPr>
        <w:spacing w:after="120" w:line="276" w:lineRule="auto"/>
        <w:ind w:firstLine="709"/>
        <w:jc w:val="both"/>
        <w:rPr>
          <w:rFonts w:ascii="Century Gothic" w:hAnsi="Century Gothic" w:cs="Arial"/>
          <w:bCs/>
          <w:lang w:val="es-MX"/>
        </w:rPr>
      </w:pPr>
      <w:bookmarkStart w:id="5" w:name="_Hlk109111956"/>
      <w:r w:rsidRPr="004204E3">
        <w:rPr>
          <w:rFonts w:ascii="Century Gothic" w:hAnsi="Century Gothic" w:cs="Arial"/>
          <w:bCs/>
          <w:lang w:val="es-MX"/>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4204E3">
        <w:rPr>
          <w:rFonts w:ascii="Century Gothic" w:hAnsi="Century Gothic" w:cs="Arial"/>
          <w:bCs/>
          <w:i/>
          <w:iCs/>
          <w:lang w:val="es-MX"/>
        </w:rPr>
        <w:t>actividad contractual</w:t>
      </w:r>
      <w:r w:rsidRPr="004204E3">
        <w:rPr>
          <w:rFonts w:ascii="Century Gothic" w:hAnsi="Century Gothic" w:cs="Arial"/>
          <w:bCs/>
          <w:lang w:val="es-MX"/>
        </w:rPr>
        <w:t xml:space="preserve">,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tanto, </w:t>
      </w:r>
      <w:bookmarkEnd w:id="5"/>
      <w:r w:rsidRPr="004204E3">
        <w:rPr>
          <w:rFonts w:ascii="Century Gothic" w:hAnsi="Century Gothic" w:cs="Arial"/>
          <w:bCs/>
          <w:lang w:val="es-MX"/>
        </w:rPr>
        <w:t xml:space="preserve">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43D9DBA8" w14:textId="77777777" w:rsidR="00977A67" w:rsidRPr="004204E3" w:rsidRDefault="00977A67" w:rsidP="00977A67">
      <w:pPr>
        <w:spacing w:after="120" w:line="276" w:lineRule="auto"/>
        <w:ind w:firstLine="709"/>
        <w:jc w:val="both"/>
        <w:rPr>
          <w:rFonts w:ascii="Century Gothic" w:hAnsi="Century Gothic" w:cs="Arial"/>
          <w:bCs/>
          <w:lang w:val="es-MX"/>
        </w:rPr>
      </w:pPr>
      <w:r w:rsidRPr="004204E3">
        <w:rPr>
          <w:rFonts w:ascii="Century Gothic" w:hAnsi="Century Gothic" w:cs="Arial"/>
          <w:bCs/>
          <w:lang w:val="es-MX"/>
        </w:rPr>
        <w:t>Sin perjuicio de lo anterior, vale la pena aclarar que el cumplimiento del deber de publicación de la documentación contractual debe armonizarse con las normas aplicables al tipo de información que estas contienen</w:t>
      </w:r>
      <w:r w:rsidRPr="004204E3">
        <w:rPr>
          <w:rFonts w:ascii="Century Gothic" w:hAnsi="Century Gothic" w:cs="Arial"/>
          <w:bCs/>
          <w:vertAlign w:val="superscript"/>
          <w:lang w:val="es-MX"/>
        </w:rPr>
        <w:footnoteReference w:id="11"/>
      </w:r>
      <w:r w:rsidRPr="004204E3">
        <w:rPr>
          <w:rFonts w:ascii="Century Gothic" w:hAnsi="Century Gothic" w:cs="Arial"/>
          <w:bCs/>
          <w:lang w:val="es-MX"/>
        </w:rPr>
        <w:t xml:space="preserve">. Lo anterior significa que, respecto de datos sensibles, información sometida a reserva o de la cual proceda un tratamiento especial que impida su publicidad, las entidades deberán proceder de conformidad con el tratamiento que impongan tales normas. </w:t>
      </w:r>
    </w:p>
    <w:p w14:paraId="17CC90B4" w14:textId="77777777" w:rsidR="00977A67" w:rsidRPr="004204E3" w:rsidRDefault="00977A67" w:rsidP="00977A67">
      <w:pPr>
        <w:spacing w:after="120" w:line="276" w:lineRule="auto"/>
        <w:ind w:firstLine="709"/>
        <w:jc w:val="both"/>
        <w:rPr>
          <w:rFonts w:ascii="Century Gothic" w:hAnsi="Century Gothic" w:cs="Arial"/>
          <w:bCs/>
          <w:lang w:val="es-MX"/>
        </w:rPr>
      </w:pPr>
      <w:bookmarkStart w:id="6" w:name="_Hlk109111976"/>
      <w:r w:rsidRPr="004204E3">
        <w:rPr>
          <w:rFonts w:ascii="Century Gothic" w:hAnsi="Century Gothic" w:cs="Arial"/>
          <w:bCs/>
          <w:lang w:val="es-MX"/>
        </w:rPr>
        <w:t>Por otro lado, el inciso final del artículo 53 dispone que “A partir de la entrada en vigencia de la presente Ley, se establecerá un periodo de transición de seis (6) 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bookmarkEnd w:id="6"/>
      <w:r w:rsidRPr="004204E3">
        <w:rPr>
          <w:rFonts w:ascii="Century Gothic" w:hAnsi="Century Gothic" w:cs="Arial"/>
          <w:bCs/>
          <w:lang w:val="es-MX"/>
        </w:rPr>
        <w:t xml:space="preserve"> 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Pr="004204E3">
        <w:rPr>
          <w:rFonts w:ascii="Century Gothic" w:hAnsi="Century Gothic" w:cs="Arial"/>
          <w:bCs/>
          <w:vertAlign w:val="superscript"/>
          <w:lang w:val="es-MX"/>
        </w:rPr>
        <w:footnoteReference w:id="12"/>
      </w:r>
      <w:r w:rsidRPr="004204E3">
        <w:rPr>
          <w:rFonts w:ascii="Century Gothic" w:hAnsi="Century Gothic" w:cs="Arial"/>
          <w:bCs/>
          <w:lang w:val="es-MX"/>
        </w:rPr>
        <w:t xml:space="preserve">. </w:t>
      </w:r>
    </w:p>
    <w:p w14:paraId="1DD8069C" w14:textId="77777777" w:rsidR="00977A67" w:rsidRPr="004204E3" w:rsidRDefault="00977A67" w:rsidP="00977A67">
      <w:pPr>
        <w:spacing w:after="120" w:line="276" w:lineRule="auto"/>
        <w:ind w:firstLine="709"/>
        <w:jc w:val="both"/>
        <w:rPr>
          <w:rFonts w:ascii="Century Gothic" w:hAnsi="Century Gothic" w:cs="Arial"/>
          <w:bCs/>
          <w:lang w:val="es-MX"/>
        </w:rPr>
      </w:pPr>
      <w:r w:rsidRPr="004204E3">
        <w:rPr>
          <w:rFonts w:ascii="Century Gothic" w:hAnsi="Century Gothic" w:cs="Arial"/>
          <w:bCs/>
          <w:lang w:val="es-MX"/>
        </w:rPr>
        <w:t>Teniendo en cuenta el marco normativo antes reseñado, 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4204E3">
        <w:rPr>
          <w:rFonts w:ascii="Century Gothic" w:hAnsi="Century Gothic" w:cs="Arial"/>
          <w:bCs/>
          <w:vertAlign w:val="superscript"/>
          <w:lang w:val="es-MX"/>
        </w:rPr>
        <w:footnoteReference w:id="13"/>
      </w:r>
      <w:r w:rsidRPr="004204E3">
        <w:rPr>
          <w:rFonts w:ascii="Century Gothic" w:hAnsi="Century Gothic" w:cs="Arial"/>
          <w:bCs/>
          <w:lang w:val="es-MX"/>
        </w:rPr>
        <w:t xml:space="preserve">. </w:t>
      </w:r>
    </w:p>
    <w:p w14:paraId="03825183" w14:textId="77777777" w:rsidR="00977A67" w:rsidRPr="004204E3" w:rsidRDefault="00977A67" w:rsidP="00977A67">
      <w:pPr>
        <w:spacing w:after="120" w:line="276" w:lineRule="auto"/>
        <w:ind w:firstLine="709"/>
        <w:jc w:val="both"/>
        <w:rPr>
          <w:rFonts w:ascii="Century Gothic" w:hAnsi="Century Gothic" w:cs="Arial"/>
          <w:bCs/>
          <w:lang w:val="es-MX"/>
        </w:rPr>
      </w:pPr>
      <w:r w:rsidRPr="004204E3">
        <w:rPr>
          <w:rFonts w:ascii="Century Gothic" w:hAnsi="Century Gothic" w:cs="Arial"/>
          <w:bCs/>
          <w:lang w:val="es-MX"/>
        </w:rPr>
        <w:t xml:space="preserve">De lo expuesto en los considerandos de este concepto, de cara a la consulta planteada acerca de la obligación de publicación de las empresas de servicios públicos, se concluye que estas empresas, independientemente de que el régimen contractual que les aplica sea el derecho privado, deben publicar su actividad en el SECOP II o la plataforma transaccional que haga sus veces, de acuerdo con lo establecido en el artículo 53 de la Ley 2195 de 2022. La disposición citada no consagra ninguna excepción respecto a su aplicación, por lo cual todas las entidades que no se encuentran sometidas al EGCAP deberán cumplir con el deber de publicación analizado en el presente concepto, sin que sea posible modular sus efectos.   </w:t>
      </w:r>
    </w:p>
    <w:p w14:paraId="397DC2F7" w14:textId="77777777" w:rsidR="00977A67" w:rsidRPr="004204E3" w:rsidRDefault="00977A67" w:rsidP="00977A67">
      <w:pPr>
        <w:spacing w:before="120" w:after="0" w:line="276" w:lineRule="auto"/>
        <w:ind w:firstLine="709"/>
        <w:jc w:val="both"/>
        <w:rPr>
          <w:rFonts w:ascii="Century Gothic" w:hAnsi="Century Gothic" w:cs="Arial"/>
          <w:bCs/>
          <w:lang w:val="es-MX"/>
        </w:rPr>
      </w:pPr>
      <w:r w:rsidRPr="004204E3">
        <w:rPr>
          <w:rFonts w:ascii="Century Gothic" w:hAnsi="Century Gothic" w:cs="Arial"/>
          <w:bCs/>
          <w:lang w:val="es-MX"/>
        </w:rPr>
        <w:t xml:space="preserve">La anterior conclusión se refuerza si se tiene en cuenta que, de conformidad con el literal e) del artículo 9 y el literal g) del artículo 11 de la Ley 1712 de 2014, desarrollados en el artículo 7 del Decreto 103 de 2015 –compilado en el artículo 2.1.1.2.1.7. del Decreto 1081 de 2015–a los cuales se ha hecho mención en el presente concepto, las entidades estatales –incluidas las que se rigen generalmente por el derecho privado en materia contractual–, al ser </w:t>
      </w:r>
      <w:r w:rsidRPr="004204E3">
        <w:rPr>
          <w:rFonts w:ascii="Century Gothic" w:hAnsi="Century Gothic" w:cs="Arial"/>
          <w:bCs/>
          <w:i/>
          <w:iCs/>
          <w:lang w:val="es-MX"/>
        </w:rPr>
        <w:t>sujetos obligados</w:t>
      </w:r>
      <w:r w:rsidRPr="004204E3">
        <w:rPr>
          <w:rFonts w:ascii="Century Gothic" w:hAnsi="Century Gothic" w:cs="Arial"/>
          <w:bCs/>
          <w:lang w:val="es-MX"/>
        </w:rPr>
        <w:t xml:space="preserve"> a garantizar el derecho de acceso a la información y a los documentos públicos, deben publicar en el SECOP los documentos relacionados con su gestión contractual.</w:t>
      </w:r>
    </w:p>
    <w:p w14:paraId="28AD564C" w14:textId="77777777" w:rsidR="00977A67" w:rsidRPr="004204E3" w:rsidRDefault="00977A67" w:rsidP="00977A67">
      <w:pPr>
        <w:spacing w:after="0" w:line="276" w:lineRule="auto"/>
        <w:contextualSpacing/>
        <w:jc w:val="both"/>
        <w:rPr>
          <w:rFonts w:ascii="Century Gothic" w:hAnsi="Century Gothic" w:cs="Arial"/>
          <w:b/>
          <w:lang w:val="es-MX"/>
        </w:rPr>
      </w:pPr>
    </w:p>
    <w:p w14:paraId="1CD46FE9" w14:textId="4078D409" w:rsidR="00977A67" w:rsidRPr="004204E3" w:rsidRDefault="00977A67" w:rsidP="00977A67">
      <w:pPr>
        <w:spacing w:after="0" w:line="276" w:lineRule="auto"/>
        <w:contextualSpacing/>
        <w:jc w:val="both"/>
        <w:rPr>
          <w:rFonts w:ascii="Century Gothic" w:hAnsi="Century Gothic" w:cs="Arial"/>
          <w:b/>
          <w:bCs/>
          <w:lang w:val="es-ES_tradnl" w:eastAsia="es-ES_tradnl"/>
        </w:rPr>
      </w:pPr>
      <w:r w:rsidRPr="004204E3">
        <w:rPr>
          <w:rFonts w:ascii="Century Gothic" w:hAnsi="Century Gothic" w:cs="Arial"/>
          <w:b/>
          <w:lang w:val="es-MX"/>
        </w:rPr>
        <w:t>2.</w:t>
      </w:r>
      <w:r w:rsidR="00CC0BA1">
        <w:rPr>
          <w:rFonts w:ascii="Century Gothic" w:hAnsi="Century Gothic" w:cs="Arial"/>
          <w:b/>
          <w:lang w:val="es-MX"/>
        </w:rPr>
        <w:t>2</w:t>
      </w:r>
      <w:r w:rsidRPr="004204E3">
        <w:rPr>
          <w:rFonts w:ascii="Century Gothic" w:hAnsi="Century Gothic" w:cs="Arial"/>
          <w:b/>
          <w:lang w:val="es-MX"/>
        </w:rPr>
        <w:t xml:space="preserve">. </w:t>
      </w:r>
      <w:r w:rsidRPr="004204E3">
        <w:rPr>
          <w:rFonts w:ascii="Century Gothic" w:hAnsi="Century Gothic" w:cs="Arial"/>
          <w:b/>
          <w:bCs/>
          <w:lang w:val="es-ES_tradnl" w:eastAsia="es-ES_tradnl"/>
        </w:rPr>
        <w:t>Alcance del deber de las entidades con regímenes especiales de publicar en el SECOP II la información concerniente a su actividad contractual</w:t>
      </w:r>
    </w:p>
    <w:p w14:paraId="1CD6105E" w14:textId="77777777" w:rsidR="00977A67" w:rsidRPr="004204E3" w:rsidRDefault="00977A67" w:rsidP="00977A67">
      <w:pPr>
        <w:spacing w:after="0" w:line="276" w:lineRule="auto"/>
        <w:contextualSpacing/>
        <w:jc w:val="both"/>
        <w:rPr>
          <w:rFonts w:ascii="Century Gothic" w:hAnsi="Century Gothic" w:cs="Arial"/>
          <w:b/>
          <w:bCs/>
          <w:lang w:val="es-ES_tradnl" w:eastAsia="es-ES_tradnl"/>
        </w:rPr>
      </w:pPr>
    </w:p>
    <w:p w14:paraId="5B3EAE01" w14:textId="77777777" w:rsidR="00977A67" w:rsidRPr="004204E3" w:rsidRDefault="00977A67" w:rsidP="08937EA5">
      <w:pPr>
        <w:spacing w:after="120" w:line="276" w:lineRule="auto"/>
        <w:jc w:val="both"/>
        <w:rPr>
          <w:rFonts w:ascii="Century Gothic" w:hAnsi="Century Gothic" w:cs="Arial"/>
          <w:lang w:val="es-ES" w:eastAsia="es-ES"/>
        </w:rPr>
      </w:pPr>
      <w:r w:rsidRPr="08937EA5">
        <w:rPr>
          <w:rFonts w:ascii="Century Gothic" w:hAnsi="Century Gothic" w:cs="Arial"/>
          <w:lang w:val="es-ES" w:eastAsia="es-ES"/>
        </w:rPr>
        <w:t xml:space="preserve">Una vez explicada la obligación que les asiste a las entidades con regímenes exceptuados de publicar en el SECOP II lo concerniente a su actividad contractual y, teniendo en cuenta la consulta planteada, debe analizarse el alcance de esta obligación para determinar si esta aplica a toda la actividad contractual de este tipo de entidades. </w:t>
      </w:r>
    </w:p>
    <w:p w14:paraId="0EA63DA0" w14:textId="77777777" w:rsidR="00977A67" w:rsidRPr="004204E3" w:rsidRDefault="00977A67" w:rsidP="00977A67">
      <w:pPr>
        <w:spacing w:after="120" w:line="276" w:lineRule="auto"/>
        <w:ind w:firstLine="708"/>
        <w:jc w:val="both"/>
        <w:rPr>
          <w:rFonts w:ascii="Century Gothic" w:hAnsi="Century Gothic" w:cs="Arial"/>
          <w:lang w:val="es-ES_tradnl" w:eastAsia="es-ES_tradnl"/>
        </w:rPr>
      </w:pPr>
      <w:r w:rsidRPr="004204E3">
        <w:rPr>
          <w:rFonts w:ascii="Century Gothic" w:hAnsi="Century Gothic" w:cs="Arial"/>
          <w:lang w:val="es-ES_tradnl" w:eastAsia="es-ES_tradnl"/>
        </w:rPr>
        <w:t>El artículo 53 de la Ley 2195 de 2022 dispone que las entidades con regímenes especiales “</w:t>
      </w:r>
      <w:r w:rsidRPr="004204E3">
        <w:rPr>
          <w:rStyle w:val="normaltextrun"/>
          <w:rFonts w:ascii="Century Gothic" w:hAnsi="Century Gothic" w:cs="Arial"/>
          <w:shd w:val="clear" w:color="auto" w:fill="FFFFFF"/>
        </w:rPr>
        <w:t>deberán publicar los documentos relacionados con su actividad contractual en el Sistema Electrónico para la Contratación Pública –SECOP II– o la plataforma transaccional que haga sus veces”</w:t>
      </w:r>
      <w:r w:rsidRPr="004204E3">
        <w:rPr>
          <w:rFonts w:ascii="Century Gothic" w:hAnsi="Century Gothic" w:cs="Arial"/>
          <w:lang w:val="es-ES_tradnl"/>
        </w:rPr>
        <w:t>. Como</w:t>
      </w:r>
      <w:r w:rsidRPr="004204E3">
        <w:rPr>
          <w:rStyle w:val="normaltextrun"/>
          <w:rFonts w:ascii="Century Gothic" w:hAnsi="Century Gothic" w:cs="Arial"/>
          <w:shd w:val="clear" w:color="auto" w:fill="FFFFFF"/>
        </w:rPr>
        <w:t xml:space="preserve"> puede observarse, la disposición objeto de estudio </w:t>
      </w:r>
      <w:r w:rsidRPr="004204E3">
        <w:rPr>
          <w:rFonts w:ascii="Century Gothic" w:hAnsi="Century Gothic" w:cs="Arial"/>
          <w:lang w:val="es-ES_tradnl" w:eastAsia="es-ES_tradnl"/>
        </w:rPr>
        <w:t xml:space="preserve">no señala de forma expresa si el deber de las entidades exceptuadas de publicar todos los documentos relacionados con su actividad contractual aplica para todos los contratos que celebren o si, por el contrario, esta obligación solo se impone respecto de aquellos contratos cuya fuente de financiación proviene de </w:t>
      </w:r>
      <w:r w:rsidRPr="004204E3">
        <w:rPr>
          <w:rFonts w:ascii="Century Gothic" w:hAnsi="Century Gothic" w:cs="Arial"/>
          <w:i/>
          <w:iCs/>
          <w:lang w:val="es-ES_tradnl" w:eastAsia="es-ES_tradnl"/>
        </w:rPr>
        <w:t>recursos públicos</w:t>
      </w:r>
      <w:r w:rsidRPr="004204E3">
        <w:rPr>
          <w:rFonts w:ascii="Century Gothic" w:hAnsi="Century Gothic" w:cs="Arial"/>
          <w:lang w:val="es-ES_tradnl" w:eastAsia="es-ES_tradnl"/>
        </w:rPr>
        <w:t xml:space="preserve">.  </w:t>
      </w:r>
    </w:p>
    <w:p w14:paraId="1A96CDC3" w14:textId="77777777" w:rsidR="00977A67" w:rsidRPr="004204E3" w:rsidRDefault="00977A67" w:rsidP="00977A67">
      <w:pPr>
        <w:spacing w:after="120" w:line="276" w:lineRule="auto"/>
        <w:ind w:firstLine="708"/>
        <w:jc w:val="both"/>
        <w:rPr>
          <w:rFonts w:ascii="Century Gothic" w:hAnsi="Century Gothic" w:cs="Arial"/>
          <w:lang w:val="es-ES_tradnl" w:eastAsia="es-ES_tradnl"/>
        </w:rPr>
      </w:pPr>
      <w:r w:rsidRPr="004204E3">
        <w:rPr>
          <w:rFonts w:ascii="Century Gothic" w:hAnsi="Century Gothic" w:cs="Arial"/>
          <w:lang w:val="es-ES_tradnl" w:eastAsia="es-ES_tradnl"/>
        </w:rPr>
        <w:t>D</w:t>
      </w:r>
      <w:r w:rsidRPr="004204E3">
        <w:rPr>
          <w:rStyle w:val="normaltextrun"/>
          <w:rFonts w:ascii="Century Gothic" w:hAnsi="Century Gothic" w:cs="Arial"/>
          <w:shd w:val="clear" w:color="auto" w:fill="FFFFFF"/>
        </w:rPr>
        <w:t xml:space="preserve">e la lectura del artículo antes citado se pueden extraer al menos dos posturas contrapuestas relacionadas con la interpretación que se realice de la norma. </w:t>
      </w:r>
      <w:r w:rsidRPr="004204E3">
        <w:rPr>
          <w:rFonts w:ascii="Century Gothic" w:hAnsi="Century Gothic" w:cs="Arial"/>
          <w:lang w:val="es-ES_tradnl" w:eastAsia="es-ES_tradnl"/>
        </w:rPr>
        <w:t xml:space="preserve">En primer lugar, una interpretación </w:t>
      </w:r>
      <w:r w:rsidRPr="004204E3">
        <w:rPr>
          <w:rFonts w:ascii="Century Gothic" w:hAnsi="Century Gothic" w:cs="Arial"/>
          <w:i/>
          <w:iCs/>
          <w:lang w:val="es-ES_tradnl" w:eastAsia="es-ES_tradnl"/>
        </w:rPr>
        <w:t>exegética</w:t>
      </w:r>
      <w:r w:rsidRPr="004204E3">
        <w:rPr>
          <w:rFonts w:ascii="Century Gothic" w:hAnsi="Century Gothic" w:cs="Arial"/>
          <w:lang w:val="es-ES_tradnl" w:eastAsia="es-ES_tradnl"/>
        </w:rPr>
        <w:t xml:space="preserve"> de la disposición plantearía que, dado que el artículo 53 no señala que la obligación de publicar en el SECOP II recae solamente sobre la contratación que se realice con dineros públicos, por tanto, esta aplica para toda la actividad contractual que ejecute la entidad, indistintamente del origen de los recursos. En segundo lugar, una interpretación </w:t>
      </w:r>
      <w:r w:rsidRPr="004204E3">
        <w:rPr>
          <w:rFonts w:ascii="Century Gothic" w:hAnsi="Century Gothic" w:cs="Arial"/>
          <w:i/>
          <w:iCs/>
          <w:lang w:val="es-ES_tradnl" w:eastAsia="es-ES_tradnl"/>
        </w:rPr>
        <w:t>sistemática</w:t>
      </w:r>
      <w:r w:rsidRPr="004204E3">
        <w:rPr>
          <w:rFonts w:ascii="Century Gothic" w:hAnsi="Century Gothic" w:cs="Arial"/>
          <w:lang w:val="es-ES_tradnl" w:eastAsia="es-ES_tradnl"/>
        </w:rPr>
        <w:t xml:space="preserve"> de la norma concluiría que el artículo 53, al modificar una disposición de la Ley 1150 de 2007, debe armonizarse con todo el cuerpo normativo consagrado en dicha Ley y, dado que este se refiere a la contratación que se realiza </w:t>
      </w:r>
      <w:r w:rsidRPr="004204E3">
        <w:rPr>
          <w:rFonts w:ascii="Century Gothic" w:hAnsi="Century Gothic" w:cs="Arial"/>
          <w:i/>
          <w:iCs/>
          <w:lang w:val="es-ES_tradnl" w:eastAsia="es-ES_tradnl"/>
        </w:rPr>
        <w:t>con dineros públicos</w:t>
      </w:r>
      <w:r w:rsidRPr="004204E3">
        <w:rPr>
          <w:rFonts w:ascii="Century Gothic" w:hAnsi="Century Gothic" w:cs="Arial"/>
          <w:lang w:val="es-ES_tradnl" w:eastAsia="es-ES_tradnl"/>
        </w:rPr>
        <w:t>, 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solo la información relacionada con la actividad contractual efectuada con recursos públicos.</w:t>
      </w:r>
    </w:p>
    <w:p w14:paraId="266072E1" w14:textId="77777777" w:rsidR="00977A67" w:rsidRPr="004204E3" w:rsidRDefault="00977A67" w:rsidP="00977A67">
      <w:pPr>
        <w:spacing w:after="120" w:line="276" w:lineRule="auto"/>
        <w:ind w:firstLine="709"/>
        <w:jc w:val="both"/>
        <w:rPr>
          <w:rStyle w:val="normaltextrun"/>
          <w:rFonts w:ascii="Century Gothic" w:hAnsi="Century Gothic" w:cs="Arial"/>
          <w:shd w:val="clear" w:color="auto" w:fill="FFFFFF"/>
        </w:rPr>
      </w:pPr>
      <w:bookmarkStart w:id="7" w:name="_Hlk110869120"/>
      <w:r w:rsidRPr="004204E3">
        <w:rPr>
          <w:rFonts w:ascii="Century Gothic" w:hAnsi="Century Gothic" w:cs="Arial"/>
          <w:lang w:val="es-ES_tradnl" w:eastAsia="es-ES_tradnl"/>
        </w:rPr>
        <w:t xml:space="preserve">Esta Agencia considera que, la obligación de publicar en el SECOP II todos los documentos relacionados con la actividad contractual de las entidades con regímenes especiales contenida en el artículo 53 de la </w:t>
      </w:r>
      <w:r w:rsidRPr="004204E3">
        <w:rPr>
          <w:rStyle w:val="normaltextrun"/>
          <w:rFonts w:ascii="Century Gothic" w:hAnsi="Century Gothic" w:cs="Arial"/>
          <w:shd w:val="clear" w:color="auto" w:fill="FFFFFF"/>
          <w:lang w:val="es-ES"/>
        </w:rPr>
        <w:t xml:space="preserve">Ley 2195 de 2022 debe interpretarse de forma sistemática con </w:t>
      </w:r>
      <w:r w:rsidRPr="004204E3">
        <w:rPr>
          <w:rStyle w:val="normaltextrun"/>
          <w:rFonts w:ascii="Century Gothic" w:hAnsi="Century Gothic" w:cs="Arial"/>
          <w:shd w:val="clear" w:color="auto" w:fill="FFFFFF"/>
        </w:rPr>
        <w:t xml:space="preserve">los preceptos que existen sobre la materia, como, entre otros, los siguientes enunciados normativos: i) los artículos 74 y 209 de la Constitución, ii) el artículo 3, literal c) de la Ley 1150 de 2007, iii) los artículos 3, 9, literal e) y 11, literal g), de la Ley 1712 de 2014, y iv) los artículos 7 al 10 del Decreto 103 de 2015 –compilado en los artículos 2.1.1.1.1. al 2.1.1.6.1. del Decreto 1081 de 2015–. </w:t>
      </w:r>
    </w:p>
    <w:p w14:paraId="5D23EEB0" w14:textId="77777777" w:rsidR="00977A67" w:rsidRPr="004204E3" w:rsidRDefault="00977A67" w:rsidP="00977A67">
      <w:pPr>
        <w:spacing w:after="120" w:line="276" w:lineRule="auto"/>
        <w:ind w:firstLine="709"/>
        <w:jc w:val="both"/>
        <w:rPr>
          <w:rFonts w:ascii="Century Gothic" w:hAnsi="Century Gothic" w:cs="Arial"/>
          <w:shd w:val="clear" w:color="auto" w:fill="FFFFFF"/>
          <w:lang w:val="es-ES"/>
        </w:rPr>
      </w:pPr>
      <w:r w:rsidRPr="004204E3">
        <w:rPr>
          <w:rStyle w:val="normaltextrun"/>
          <w:rFonts w:ascii="Century Gothic" w:hAnsi="Century Gothic" w:cs="Arial"/>
          <w:shd w:val="clear" w:color="auto" w:fill="FFFFFF"/>
          <w:lang w:val="es-ES"/>
        </w:rPr>
        <w:t xml:space="preserve">Así las cosas, dado que el artículo 53 de la Ley 2195 de 2022 complementó las disposiciones ya establecidas en la Ley 1150 de 2007, la lectura que se haga de dicho artículo debe efectuarse de forma sistemática. </w:t>
      </w:r>
      <w:r w:rsidRPr="004204E3">
        <w:rPr>
          <w:rStyle w:val="eop"/>
          <w:rFonts w:ascii="Century Gothic" w:hAnsi="Century Gothic" w:cs="Arial"/>
          <w:shd w:val="clear" w:color="auto" w:fill="FFFFFF"/>
        </w:rPr>
        <w:t xml:space="preserve"> En este sentido, debe </w:t>
      </w:r>
      <w:r w:rsidRPr="004204E3">
        <w:rPr>
          <w:rFonts w:ascii="Century Gothic" w:hAnsi="Century Gothic" w:cs="Arial"/>
          <w:lang w:val="es-ES_tradnl" w:eastAsia="es-ES_tradnl"/>
        </w:rPr>
        <w:t xml:space="preserve">señalarse que </w:t>
      </w:r>
      <w:r w:rsidRPr="004204E3">
        <w:rPr>
          <w:rFonts w:ascii="Century Gothic" w:hAnsi="Century Gothic" w:cs="Arial"/>
          <w:i/>
          <w:iCs/>
          <w:lang w:val="es-ES_tradnl" w:eastAsia="es-CO"/>
        </w:rPr>
        <w:t>contratación con cargo a recursos públicos</w:t>
      </w:r>
      <w:r w:rsidRPr="004204E3">
        <w:rPr>
          <w:rFonts w:ascii="Century Gothic" w:hAnsi="Century Gothic" w:cs="Arial"/>
          <w:lang w:val="es-ES_tradnl" w:eastAsia="es-CO"/>
        </w:rPr>
        <w:t xml:space="preserve"> es un concepto al que alude expresamente la Ley 1150 de 2007, incluso desde el mismo título, pues este indica que dicha Ley es </w:t>
      </w:r>
      <w:r w:rsidRPr="004204E3">
        <w:rPr>
          <w:rFonts w:ascii="Century Gothic" w:hAnsi="Century Gothic" w:cs="Arial"/>
          <w:lang w:val="es-ES_tradnl"/>
        </w:rPr>
        <w:t>“</w:t>
      </w:r>
      <w:r w:rsidRPr="004204E3">
        <w:rPr>
          <w:rFonts w:ascii="Century Gothic" w:hAnsi="Century Gothic" w:cs="Arial"/>
        </w:rPr>
        <w:t>Por medio de la cual se introducen medidas para la eficiencia y la transparencia en la Ley </w:t>
      </w:r>
      <w:hyperlink r:id="rId12" w:anchor="1" w:history="1">
        <w:r w:rsidRPr="004204E3">
          <w:rPr>
            <w:rStyle w:val="Hyperlink"/>
            <w:rFonts w:ascii="Century Gothic" w:hAnsi="Century Gothic" w:cs="Arial"/>
          </w:rPr>
          <w:t>80</w:t>
        </w:r>
      </w:hyperlink>
      <w:r w:rsidRPr="004204E3">
        <w:rPr>
          <w:rFonts w:ascii="Century Gothic" w:hAnsi="Century Gothic" w:cs="Arial"/>
        </w:rPr>
        <w:t xml:space="preserve"> de 1993 y se dictan otras disposiciones generales sobre la contratación con </w:t>
      </w:r>
      <w:r w:rsidRPr="004204E3">
        <w:rPr>
          <w:rFonts w:ascii="Century Gothic" w:hAnsi="Century Gothic" w:cs="Arial"/>
          <w:i/>
          <w:iCs/>
        </w:rPr>
        <w:t>Recursos Públicos</w:t>
      </w:r>
      <w:r w:rsidRPr="004204E3">
        <w:rPr>
          <w:rFonts w:ascii="Century Gothic" w:hAnsi="Century Gothic" w:cs="Arial"/>
          <w:lang w:val="es-ES_tradnl"/>
        </w:rPr>
        <w:t>”</w:t>
      </w:r>
      <w:r w:rsidRPr="004204E3">
        <w:rPr>
          <w:rFonts w:ascii="Century Gothic" w:hAnsi="Century Gothic" w:cs="Arial"/>
        </w:rPr>
        <w:t>.</w:t>
      </w:r>
      <w:r w:rsidRPr="004204E3">
        <w:rPr>
          <w:rFonts w:ascii="Century Gothic" w:hAnsi="Century Gothic" w:cs="Arial"/>
          <w:lang w:val="es-ES_tradnl" w:eastAsia="es-CO"/>
        </w:rPr>
        <w:t xml:space="preserve"> Asimismo, la terminología </w:t>
      </w:r>
      <w:r w:rsidRPr="004204E3">
        <w:rPr>
          <w:rFonts w:ascii="Century Gothic" w:hAnsi="Century Gothic" w:cs="Arial"/>
          <w:i/>
          <w:iCs/>
          <w:lang w:val="es-ES_tradnl" w:eastAsia="es-CO"/>
        </w:rPr>
        <w:t xml:space="preserve">contratación con cargo recursos públicos </w:t>
      </w:r>
      <w:r w:rsidRPr="004204E3">
        <w:rPr>
          <w:rFonts w:ascii="Century Gothic" w:hAnsi="Century Gothic" w:cs="Arial"/>
          <w:lang w:val="es-ES_tradnl" w:eastAsia="es-CO"/>
        </w:rPr>
        <w:t>se encuentra en el artículo primero, al definir el ámbito de aplicación de sus disposiciones</w:t>
      </w:r>
      <w:r w:rsidRPr="004204E3">
        <w:rPr>
          <w:rFonts w:ascii="Century Gothic" w:hAnsi="Century Gothic" w:cs="Arial"/>
          <w:vertAlign w:val="superscript"/>
          <w:lang w:val="es-ES_tradnl" w:eastAsia="es-CO"/>
        </w:rPr>
        <w:footnoteReference w:id="14"/>
      </w:r>
      <w:r w:rsidRPr="004204E3">
        <w:rPr>
          <w:rFonts w:ascii="Century Gothic" w:hAnsi="Century Gothic" w:cs="Arial"/>
          <w:lang w:val="es-ES_tradnl" w:eastAsia="es-CO"/>
        </w:rPr>
        <w:t xml:space="preserve"> y en el literal c) del artículo 3 –del que surge el deber de publicar en el SECOP–, que expresamente </w:t>
      </w:r>
      <w:r w:rsidRPr="004204E3">
        <w:rPr>
          <w:rStyle w:val="normaltextrun"/>
          <w:rFonts w:ascii="Century Gothic" w:hAnsi="Century Gothic" w:cs="Arial"/>
          <w:shd w:val="clear" w:color="auto" w:fill="FFFFFF"/>
          <w:lang w:val="es-ES"/>
        </w:rPr>
        <w:t xml:space="preserve">establece que ese aparte del artículo se aplica a la “contratación realizada con dineros públicos”. </w:t>
      </w:r>
      <w:r w:rsidRPr="004204E3">
        <w:rPr>
          <w:rStyle w:val="normaltextrun"/>
          <w:rFonts w:ascii="Century Gothic" w:hAnsi="Century Gothic"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bookmarkEnd w:id="7"/>
    <w:p w14:paraId="4688C4AE" w14:textId="77777777" w:rsidR="00977A67" w:rsidRPr="004204E3" w:rsidRDefault="00977A67" w:rsidP="00977A67">
      <w:pPr>
        <w:spacing w:after="0" w:line="276" w:lineRule="auto"/>
        <w:ind w:firstLine="709"/>
        <w:jc w:val="both"/>
        <w:rPr>
          <w:rFonts w:ascii="Century Gothic" w:hAnsi="Century Gothic" w:cs="Arial"/>
        </w:rPr>
      </w:pPr>
      <w:r w:rsidRPr="004204E3">
        <w:rPr>
          <w:rFonts w:ascii="Century Gothic" w:hAnsi="Century Gothic" w:cs="Arial"/>
          <w:lang w:val="es-ES_tradnl" w:eastAsia="es-CO"/>
        </w:rPr>
        <w:t xml:space="preserve">Por otro lado, </w:t>
      </w:r>
      <w:r w:rsidRPr="004204E3">
        <w:rPr>
          <w:rFonts w:ascii="Century Gothic" w:hAnsi="Century Gothic" w:cs="Arial"/>
        </w:rPr>
        <w:t xml:space="preserve">el Decreto 103, mediante el cual se reglamentó la Ley 1712 de 2014, y que fue compilado </w:t>
      </w:r>
      <w:r w:rsidRPr="004204E3">
        <w:rPr>
          <w:rStyle w:val="normaltextrun"/>
          <w:rFonts w:ascii="Century Gothic" w:hAnsi="Century Gothic" w:cs="Arial"/>
          <w:shd w:val="clear" w:color="auto" w:fill="FFFFFF"/>
        </w:rPr>
        <w:t xml:space="preserve">en los artículos 2.1.1.1.1. al 2.1.1.6.1. del Decreto 1081 de 2015–.  </w:t>
      </w:r>
      <w:r w:rsidRPr="004204E3">
        <w:rPr>
          <w:rFonts w:ascii="Century Gothic" w:hAnsi="Century Gothic" w:cs="Arial"/>
        </w:rPr>
        <w:t>señala:</w:t>
      </w:r>
    </w:p>
    <w:p w14:paraId="07EE32E3" w14:textId="77777777" w:rsidR="00977A67" w:rsidRPr="004204E3" w:rsidRDefault="00977A67" w:rsidP="00977A67">
      <w:pPr>
        <w:spacing w:after="0" w:line="240" w:lineRule="auto"/>
        <w:ind w:firstLine="709"/>
        <w:contextualSpacing/>
        <w:jc w:val="both"/>
        <w:rPr>
          <w:rFonts w:ascii="Century Gothic" w:hAnsi="Century Gothic" w:cs="Arial"/>
        </w:rPr>
      </w:pPr>
      <w:r w:rsidRPr="004204E3">
        <w:rPr>
          <w:rFonts w:ascii="Century Gothic" w:hAnsi="Century Gothic" w:cs="Arial"/>
        </w:rPr>
        <w:t xml:space="preserve"> </w:t>
      </w:r>
    </w:p>
    <w:p w14:paraId="5822E29D" w14:textId="77777777" w:rsidR="00977A67" w:rsidRPr="004204E3" w:rsidRDefault="00977A67" w:rsidP="00977A67">
      <w:pPr>
        <w:spacing w:after="0" w:line="240" w:lineRule="auto"/>
        <w:ind w:left="709" w:right="709"/>
        <w:contextualSpacing/>
        <w:jc w:val="both"/>
        <w:rPr>
          <w:rFonts w:ascii="Century Gothic" w:hAnsi="Century Gothic" w:cs="Arial"/>
          <w:sz w:val="21"/>
          <w:szCs w:val="21"/>
          <w:lang w:eastAsia="es-CO"/>
        </w:rPr>
      </w:pPr>
      <w:r w:rsidRPr="004204E3">
        <w:rPr>
          <w:rFonts w:ascii="Century Gothic" w:hAnsi="Century Gothic" w:cs="Arial"/>
          <w:sz w:val="21"/>
          <w:szCs w:val="21"/>
          <w:lang w:eastAsia="es-CO"/>
        </w:rPr>
        <w:t>“Artículo 7°.</w:t>
      </w:r>
      <w:r w:rsidRPr="004204E3">
        <w:rPr>
          <w:rFonts w:ascii="Century Gothic" w:hAnsi="Century Gothic" w:cs="Arial"/>
          <w:i/>
          <w:iCs/>
          <w:sz w:val="21"/>
          <w:szCs w:val="21"/>
          <w:lang w:eastAsia="es-CO"/>
        </w:rPr>
        <w:t xml:space="preserve"> Publicación de la información contractual. </w:t>
      </w:r>
      <w:r w:rsidRPr="004204E3">
        <w:rPr>
          <w:rFonts w:ascii="Century Gothic" w:hAnsi="Century Gothic" w:cs="Arial"/>
          <w:sz w:val="21"/>
          <w:szCs w:val="21"/>
          <w:lang w:eastAsia="es-CO"/>
        </w:rPr>
        <w:t xml:space="preserve">De conformidad con el literal (c) del artículo 3° de la Ley 1150 de 2007, el sistema de información del Estado en el cual los sujetos obligados que contratan </w:t>
      </w:r>
      <w:r w:rsidRPr="004204E3">
        <w:rPr>
          <w:rFonts w:ascii="Century Gothic" w:hAnsi="Century Gothic" w:cs="Arial"/>
          <w:i/>
          <w:iCs/>
          <w:sz w:val="21"/>
          <w:szCs w:val="21"/>
          <w:lang w:eastAsia="es-CO"/>
        </w:rPr>
        <w:t>con cargo a recursos públicos</w:t>
      </w:r>
      <w:r w:rsidRPr="004204E3">
        <w:rPr>
          <w:rFonts w:ascii="Century Gothic" w:hAnsi="Century Gothic" w:cs="Arial"/>
          <w:sz w:val="21"/>
          <w:szCs w:val="21"/>
          <w:lang w:eastAsia="es-CO"/>
        </w:rPr>
        <w:t xml:space="preserve"> deben cumplir la obligación de publicar la información de su gestión contractual es el Sistema Electrónico para la Contratación Pública (Secop). </w:t>
      </w:r>
    </w:p>
    <w:p w14:paraId="4D5C8B0F" w14:textId="77777777" w:rsidR="00977A67" w:rsidRPr="004204E3" w:rsidRDefault="00977A67" w:rsidP="00977A67">
      <w:pPr>
        <w:spacing w:after="0" w:line="240" w:lineRule="auto"/>
        <w:ind w:left="709" w:right="709"/>
        <w:contextualSpacing/>
        <w:jc w:val="both"/>
        <w:rPr>
          <w:rFonts w:ascii="Century Gothic" w:hAnsi="Century Gothic" w:cs="Arial"/>
          <w:sz w:val="21"/>
          <w:szCs w:val="21"/>
          <w:lang w:eastAsia="es-CO"/>
        </w:rPr>
      </w:pPr>
      <w:r w:rsidRPr="004204E3">
        <w:rPr>
          <w:rFonts w:ascii="Century Gothic" w:hAnsi="Century Gothic" w:cs="Arial"/>
          <w:sz w:val="21"/>
          <w:szCs w:val="21"/>
          <w:lang w:eastAsia="es-CO"/>
        </w:rPr>
        <w:t>  </w:t>
      </w:r>
    </w:p>
    <w:p w14:paraId="724F991C" w14:textId="77777777" w:rsidR="00977A67" w:rsidRPr="004204E3" w:rsidRDefault="00977A67" w:rsidP="00977A67">
      <w:pPr>
        <w:spacing w:after="0" w:line="240" w:lineRule="auto"/>
        <w:ind w:left="709" w:right="709"/>
        <w:contextualSpacing/>
        <w:jc w:val="both"/>
        <w:rPr>
          <w:rFonts w:ascii="Century Gothic" w:hAnsi="Century Gothic" w:cs="Arial"/>
          <w:sz w:val="21"/>
          <w:szCs w:val="21"/>
          <w:lang w:eastAsia="es-CO"/>
        </w:rPr>
      </w:pPr>
      <w:r w:rsidRPr="004204E3">
        <w:rPr>
          <w:rFonts w:ascii="Century Gothic" w:hAnsi="Century Gothic" w:cs="Arial"/>
          <w:sz w:val="21"/>
          <w:szCs w:val="21"/>
          <w:lang w:eastAsia="es-CO"/>
        </w:rPr>
        <w:t xml:space="preserve">Los sujetos obligados que contratan </w:t>
      </w:r>
      <w:r w:rsidRPr="004204E3">
        <w:rPr>
          <w:rFonts w:ascii="Century Gothic" w:hAnsi="Century Gothic" w:cs="Arial"/>
          <w:i/>
          <w:iCs/>
          <w:sz w:val="21"/>
          <w:szCs w:val="21"/>
          <w:lang w:eastAsia="es-CO"/>
        </w:rPr>
        <w:t>con cargo a recursos públicos</w:t>
      </w:r>
      <w:r w:rsidRPr="004204E3">
        <w:rPr>
          <w:rFonts w:ascii="Century Gothic" w:hAnsi="Century Gothic" w:cs="Arial"/>
          <w:sz w:val="21"/>
          <w:szCs w:val="21"/>
          <w:lang w:eastAsia="es-CO"/>
        </w:rPr>
        <w:t xml:space="preserve"> deben publicar la información de su gestión contractual en el plazo previsto en el artículo 19 del Decreto 1510 de 2013, o el que lo modifique, sustituya o adicione. </w:t>
      </w:r>
    </w:p>
    <w:p w14:paraId="72B1BF21" w14:textId="77777777" w:rsidR="00977A67" w:rsidRPr="004204E3" w:rsidRDefault="00977A67" w:rsidP="00977A67">
      <w:pPr>
        <w:spacing w:after="0" w:line="240" w:lineRule="auto"/>
        <w:ind w:left="709" w:right="709"/>
        <w:contextualSpacing/>
        <w:jc w:val="both"/>
        <w:rPr>
          <w:rFonts w:ascii="Century Gothic" w:hAnsi="Century Gothic" w:cs="Arial"/>
          <w:sz w:val="21"/>
          <w:szCs w:val="21"/>
          <w:lang w:eastAsia="es-CO"/>
        </w:rPr>
      </w:pPr>
      <w:r w:rsidRPr="004204E3">
        <w:rPr>
          <w:rFonts w:ascii="Century Gothic" w:hAnsi="Century Gothic" w:cs="Arial"/>
          <w:sz w:val="21"/>
          <w:szCs w:val="21"/>
          <w:lang w:eastAsia="es-CO"/>
        </w:rPr>
        <w:t>  </w:t>
      </w:r>
    </w:p>
    <w:p w14:paraId="27FE4DD9" w14:textId="77777777" w:rsidR="00977A67" w:rsidRPr="004204E3" w:rsidRDefault="00977A67" w:rsidP="00977A67">
      <w:pPr>
        <w:spacing w:after="0" w:line="240" w:lineRule="auto"/>
        <w:ind w:left="709" w:right="709"/>
        <w:contextualSpacing/>
        <w:jc w:val="both"/>
        <w:rPr>
          <w:rFonts w:ascii="Century Gothic" w:hAnsi="Century Gothic" w:cs="Arial"/>
          <w:sz w:val="21"/>
          <w:szCs w:val="21"/>
          <w:lang w:eastAsia="es-CO"/>
        </w:rPr>
      </w:pPr>
      <w:r w:rsidRPr="004204E3">
        <w:rPr>
          <w:rFonts w:ascii="Century Gothic" w:hAnsi="Century Gothic" w:cs="Arial"/>
          <w:sz w:val="21"/>
          <w:szCs w:val="21"/>
          <w:lang w:eastAsia="es-CO"/>
        </w:rPr>
        <w:t xml:space="preserve">Los sujetos obligados que contratan con recursos públicos y recursos privados, deben publicar la información de su gestión contractual con cargo a recursos públicos en el Sistema Electrónico para la Contratación Pública (Secop)”. (Énfasis fuera del texto original). </w:t>
      </w:r>
    </w:p>
    <w:p w14:paraId="61FD5738" w14:textId="77777777" w:rsidR="00977A67" w:rsidRPr="004204E3" w:rsidRDefault="00977A67" w:rsidP="00977A67">
      <w:pPr>
        <w:spacing w:after="0" w:line="240" w:lineRule="auto"/>
        <w:ind w:left="709" w:right="709"/>
        <w:contextualSpacing/>
        <w:jc w:val="both"/>
        <w:rPr>
          <w:rFonts w:ascii="Century Gothic" w:hAnsi="Century Gothic" w:cs="Arial"/>
          <w:lang w:eastAsia="es-CO"/>
        </w:rPr>
      </w:pPr>
      <w:r w:rsidRPr="004204E3">
        <w:rPr>
          <w:rFonts w:ascii="Century Gothic" w:hAnsi="Century Gothic" w:cs="Arial"/>
          <w:lang w:eastAsia="es-CO"/>
        </w:rPr>
        <w:t>  </w:t>
      </w:r>
    </w:p>
    <w:p w14:paraId="4F07F3EE" w14:textId="77777777" w:rsidR="00977A67" w:rsidRPr="004204E3" w:rsidRDefault="00977A67" w:rsidP="00977A67">
      <w:pPr>
        <w:spacing w:after="120" w:line="276" w:lineRule="auto"/>
        <w:ind w:firstLine="709"/>
        <w:jc w:val="both"/>
        <w:rPr>
          <w:rFonts w:ascii="Century Gothic" w:hAnsi="Century Gothic" w:cs="Arial"/>
          <w:lang w:val="es-ES_tradnl" w:eastAsia="es-ES_tradnl"/>
        </w:rPr>
      </w:pPr>
      <w:bookmarkStart w:id="8" w:name="_Hlk110869205"/>
      <w:r w:rsidRPr="004204E3">
        <w:rPr>
          <w:rFonts w:ascii="Century Gothic" w:hAnsi="Century Gothic"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bookmarkEnd w:id="8"/>
    <w:p w14:paraId="7F25E393" w14:textId="77777777" w:rsidR="00977A67" w:rsidRPr="004204E3" w:rsidRDefault="00977A67" w:rsidP="00977A67">
      <w:pPr>
        <w:spacing w:after="0" w:line="276" w:lineRule="auto"/>
        <w:ind w:firstLine="709"/>
        <w:jc w:val="both"/>
        <w:rPr>
          <w:rFonts w:ascii="Century Gothic" w:hAnsi="Century Gothic" w:cs="Arial"/>
          <w:lang w:val="es-ES"/>
        </w:rPr>
      </w:pPr>
      <w:r w:rsidRPr="004204E3">
        <w:rPr>
          <w:rStyle w:val="normaltextrun"/>
          <w:rFonts w:ascii="Century Gothic" w:hAnsi="Century Gothic" w:cs="Arial"/>
          <w:shd w:val="clear" w:color="auto" w:fill="FFFFFF"/>
          <w:lang w:val="es-ES"/>
        </w:rPr>
        <w:t xml:space="preserve">En consonancia con la interpretación antes expuesta, </w:t>
      </w:r>
      <w:r w:rsidRPr="004204E3">
        <w:rPr>
          <w:rFonts w:ascii="Century Gothic" w:hAnsi="Century Gothic" w:cs="Arial"/>
          <w:lang w:val="es-ES"/>
        </w:rPr>
        <w:t>la Circular 002 del 1 de junio de 2022</w:t>
      </w:r>
      <w:r w:rsidRPr="004204E3">
        <w:rPr>
          <w:rFonts w:ascii="Century Gothic" w:hAnsi="Century Gothic" w:cs="Arial"/>
          <w:vertAlign w:val="superscript"/>
          <w:lang w:val="es-ES"/>
        </w:rPr>
        <w:footnoteReference w:id="15"/>
      </w:r>
      <w:r w:rsidRPr="004204E3">
        <w:rPr>
          <w:rFonts w:ascii="Century Gothic" w:hAnsi="Century Gothic" w:cs="Arial"/>
          <w:lang w:val="es-ES"/>
        </w:rPr>
        <w:t xml:space="preserve">, dictada por el Departamento Administrativo de la Presidencia de la República, a través de la cual fueron impartidas instrucciones relacionadas con la aplicación del artículo 53 de la Ley 2195 de 2022, en el numeral I –denominado “Publicación de los documentos contractuales en el SECOP II”–, señala: </w:t>
      </w:r>
    </w:p>
    <w:p w14:paraId="6B9870BE" w14:textId="77777777" w:rsidR="00977A67" w:rsidRPr="004204E3" w:rsidRDefault="00977A67" w:rsidP="00977A67">
      <w:pPr>
        <w:spacing w:after="0" w:line="240" w:lineRule="auto"/>
        <w:ind w:left="709" w:right="709"/>
        <w:contextualSpacing/>
        <w:jc w:val="both"/>
        <w:rPr>
          <w:rFonts w:ascii="Century Gothic" w:hAnsi="Century Gothic" w:cs="Arial"/>
          <w:lang w:val="es-ES_tradnl" w:eastAsia="es-ES_tradnl"/>
        </w:rPr>
      </w:pPr>
    </w:p>
    <w:p w14:paraId="522A0A0E" w14:textId="77777777" w:rsidR="00977A67" w:rsidRPr="004204E3" w:rsidRDefault="00977A67" w:rsidP="08937EA5">
      <w:pPr>
        <w:spacing w:after="0" w:line="240" w:lineRule="auto"/>
        <w:ind w:left="709" w:right="709"/>
        <w:contextualSpacing/>
        <w:jc w:val="both"/>
        <w:rPr>
          <w:rFonts w:ascii="Century Gothic" w:hAnsi="Century Gothic" w:cs="Arial"/>
          <w:sz w:val="21"/>
          <w:szCs w:val="21"/>
          <w:lang w:val="es-ES" w:eastAsia="es-ES"/>
        </w:rPr>
      </w:pPr>
      <w:r w:rsidRPr="08937EA5">
        <w:rPr>
          <w:rFonts w:ascii="Century Gothic" w:hAnsi="Century Gothic" w:cs="Arial"/>
          <w:sz w:val="21"/>
          <w:szCs w:val="21"/>
          <w:lang w:val="es-ES" w:eastAsia="es-ES"/>
        </w:rPr>
        <w:t xml:space="preserve">“El Sistema Electrónico de Contratación Pública – SECOP – es una herramienta tecnológica de apoyo a la contratación pública, en la cual se encuentra la información oficial de la contratación realizada </w:t>
      </w:r>
      <w:r w:rsidRPr="08937EA5">
        <w:rPr>
          <w:rFonts w:ascii="Century Gothic" w:hAnsi="Century Gothic" w:cs="Arial"/>
          <w:i/>
          <w:iCs/>
          <w:sz w:val="21"/>
          <w:szCs w:val="21"/>
          <w:lang w:val="es-ES" w:eastAsia="es-ES"/>
        </w:rPr>
        <w:t>con dineros públicos</w:t>
      </w:r>
      <w:r w:rsidRPr="08937EA5">
        <w:rPr>
          <w:rFonts w:ascii="Century Gothic" w:hAnsi="Century Gothic" w:cs="Arial"/>
          <w:sz w:val="21"/>
          <w:szCs w:val="21"/>
          <w:lang w:val="es-ES" w:eastAsia="es-ES"/>
        </w:rPr>
        <w:t xml:space="preserve">. Lo anterior, de conformidad con lo establecido en el literal c) del artículo 3 de la Ley 1150 de 2007. </w:t>
      </w:r>
    </w:p>
    <w:p w14:paraId="31D09D9E" w14:textId="77777777" w:rsidR="00977A67" w:rsidRPr="004204E3" w:rsidRDefault="00977A67" w:rsidP="00977A67">
      <w:pPr>
        <w:spacing w:after="0" w:line="240" w:lineRule="auto"/>
        <w:ind w:left="709" w:right="709"/>
        <w:contextualSpacing/>
        <w:jc w:val="both"/>
        <w:rPr>
          <w:rFonts w:ascii="Century Gothic" w:hAnsi="Century Gothic" w:cs="Arial"/>
          <w:sz w:val="21"/>
          <w:szCs w:val="21"/>
          <w:lang w:val="es-ES_tradnl" w:eastAsia="es-ES_tradnl"/>
        </w:rPr>
      </w:pPr>
    </w:p>
    <w:p w14:paraId="2B3B8AC5" w14:textId="77777777" w:rsidR="00977A67" w:rsidRPr="004204E3" w:rsidRDefault="00977A67" w:rsidP="00977A67">
      <w:pPr>
        <w:spacing w:after="0" w:line="240" w:lineRule="auto"/>
        <w:ind w:left="709" w:right="709"/>
        <w:contextualSpacing/>
        <w:jc w:val="both"/>
        <w:rPr>
          <w:rFonts w:ascii="Century Gothic" w:hAnsi="Century Gothic" w:cs="Arial"/>
          <w:sz w:val="21"/>
          <w:szCs w:val="21"/>
          <w:lang w:val="es-ES_tradnl" w:eastAsia="es-ES_tradnl"/>
        </w:rPr>
      </w:pPr>
      <w:r w:rsidRPr="004204E3">
        <w:rPr>
          <w:rFonts w:ascii="Century Gothic" w:hAnsi="Century Gothic" w:cs="Arial"/>
          <w:sz w:val="21"/>
          <w:szCs w:val="21"/>
          <w:lang w:val="es-ES_tradnl" w:eastAsia="es-ES_tradnl"/>
        </w:rPr>
        <w:t xml:space="preserve">En ese sentido, las entidades obligadas en virtud del artículo 53 de la Ley 2195 de 2022, deberán realizar la publicación en el SECOP II </w:t>
      </w:r>
      <w:r w:rsidRPr="004204E3">
        <w:rPr>
          <w:rFonts w:ascii="Century Gothic" w:hAnsi="Century Gothic" w:cs="Arial"/>
          <w:i/>
          <w:iCs/>
          <w:sz w:val="21"/>
          <w:szCs w:val="21"/>
          <w:lang w:val="es-ES_tradnl" w:eastAsia="es-ES_tradnl"/>
        </w:rPr>
        <w:t>de aquellos documentos relacionados con la actividad contractual que se realice con dineros públicos”</w:t>
      </w:r>
      <w:r w:rsidRPr="004204E3">
        <w:rPr>
          <w:rFonts w:ascii="Century Gothic" w:hAnsi="Century Gothic" w:cs="Arial"/>
          <w:sz w:val="21"/>
          <w:szCs w:val="21"/>
          <w:lang w:val="es-ES_tradnl" w:eastAsia="es-ES_tradnl"/>
        </w:rPr>
        <w:t xml:space="preserve"> […] </w:t>
      </w:r>
      <w:r w:rsidRPr="004204E3">
        <w:rPr>
          <w:rFonts w:ascii="Century Gothic" w:hAnsi="Century Gothic" w:cs="Arial"/>
          <w:sz w:val="21"/>
          <w:szCs w:val="21"/>
          <w:lang w:val="es-ES"/>
        </w:rPr>
        <w:t>(Énfasis fuera del texto original).</w:t>
      </w:r>
    </w:p>
    <w:p w14:paraId="26476F46" w14:textId="77777777" w:rsidR="00977A67" w:rsidRPr="004204E3" w:rsidRDefault="00977A67" w:rsidP="00977A67">
      <w:pPr>
        <w:spacing w:after="0" w:line="276" w:lineRule="auto"/>
        <w:ind w:firstLine="709"/>
        <w:contextualSpacing/>
        <w:jc w:val="both"/>
        <w:rPr>
          <w:rFonts w:ascii="Century Gothic" w:hAnsi="Century Gothic" w:cs="Arial"/>
          <w:lang w:val="es-ES_tradnl" w:eastAsia="es-ES_tradnl"/>
        </w:rPr>
      </w:pPr>
    </w:p>
    <w:p w14:paraId="1D84A3C1" w14:textId="77777777" w:rsidR="00977A67" w:rsidRDefault="00977A67" w:rsidP="00977A67">
      <w:pPr>
        <w:spacing w:after="0" w:line="276" w:lineRule="auto"/>
        <w:ind w:firstLine="709"/>
        <w:jc w:val="both"/>
        <w:rPr>
          <w:rStyle w:val="normaltextrun"/>
          <w:rFonts w:ascii="Century Gothic" w:hAnsi="Century Gothic" w:cs="Arial"/>
          <w:shd w:val="clear" w:color="auto" w:fill="FFFFFF"/>
          <w:lang w:val="es-ES"/>
        </w:rPr>
      </w:pPr>
      <w:r w:rsidRPr="004204E3">
        <w:rPr>
          <w:rFonts w:ascii="Century Gothic" w:hAnsi="Century Gothic" w:cs="Arial"/>
          <w:lang w:val="es-ES"/>
        </w:rPr>
        <w:t xml:space="preserve">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 acorde con la interpretación sistemática que permite armonizar el referido artículo 53 de la Ley 2195 de 2022 con todo el contexto normativo que establece que en dicha plataforma se debe publicar solo la información relativa a la actividad contractual con dineros públicos. </w:t>
      </w:r>
      <w:r w:rsidRPr="004204E3">
        <w:rPr>
          <w:rStyle w:val="normaltextrun"/>
          <w:rFonts w:ascii="Century Gothic" w:hAnsi="Century Gothic" w:cs="Arial"/>
          <w:shd w:val="clear" w:color="auto" w:fill="FFFFFF"/>
        </w:rPr>
        <w:t xml:space="preserve">Así las cosas, la Agencia Nacional de Contratación Pública – Colombia Compra Eficiente considera que la modificación introducida por el artículo 53 de la Ley 2195 de 2022 no afecta la interpretación adoptada hasta el momento, en el sentido de que la </w:t>
      </w:r>
      <w:r w:rsidRPr="004204E3">
        <w:rPr>
          <w:rStyle w:val="normaltextrun"/>
          <w:rFonts w:ascii="Century Gothic" w:hAnsi="Century Gothic" w:cs="Arial"/>
          <w:shd w:val="clear" w:color="auto" w:fill="FFFFFF"/>
          <w:lang w:val="es-ES"/>
        </w:rPr>
        <w:t xml:space="preserve">publicación de la información oficial de la contratación en el SECOP debe realizarse si los negocios jurídicos adelantados fueron financiados con recursos públicos. </w:t>
      </w:r>
    </w:p>
    <w:p w14:paraId="057A5544" w14:textId="77777777" w:rsidR="00A42316" w:rsidRDefault="00A42316" w:rsidP="00977A67">
      <w:pPr>
        <w:spacing w:after="0" w:line="276" w:lineRule="auto"/>
        <w:ind w:firstLine="709"/>
        <w:jc w:val="both"/>
        <w:rPr>
          <w:rStyle w:val="normaltextrun"/>
          <w:rFonts w:ascii="Century Gothic" w:hAnsi="Century Gothic" w:cs="Arial"/>
          <w:shd w:val="clear" w:color="auto" w:fill="FFFFFF"/>
          <w:lang w:val="es-ES"/>
        </w:rPr>
      </w:pPr>
    </w:p>
    <w:p w14:paraId="54E528BC" w14:textId="7F2A1A80" w:rsidR="00A42316" w:rsidRPr="00A42316" w:rsidRDefault="00A42316" w:rsidP="00A42316">
      <w:pPr>
        <w:tabs>
          <w:tab w:val="left" w:pos="426"/>
        </w:tabs>
        <w:spacing w:after="0" w:line="276" w:lineRule="auto"/>
        <w:jc w:val="both"/>
        <w:rPr>
          <w:rFonts w:ascii="Century Gothic" w:eastAsia="Times New Roman" w:hAnsi="Century Gothic" w:cs="Arial"/>
          <w:b/>
          <w:bCs/>
          <w:color w:val="000000"/>
          <w:szCs w:val="24"/>
          <w:lang w:val="es-ES_tradnl" w:eastAsia="en-GB"/>
        </w:rPr>
      </w:pPr>
      <w:r w:rsidRPr="00A42316">
        <w:rPr>
          <w:rFonts w:ascii="Century Gothic" w:eastAsia="Times New Roman" w:hAnsi="Century Gothic" w:cs="Arial"/>
          <w:b/>
          <w:bCs/>
          <w:color w:val="000000"/>
          <w:szCs w:val="24"/>
          <w:lang w:val="es-ES_tradnl" w:eastAsia="en-GB"/>
        </w:rPr>
        <w:t>2.</w:t>
      </w:r>
      <w:r>
        <w:rPr>
          <w:rFonts w:ascii="Century Gothic" w:eastAsia="Times New Roman" w:hAnsi="Century Gothic" w:cs="Arial"/>
          <w:b/>
          <w:bCs/>
          <w:color w:val="000000"/>
          <w:szCs w:val="24"/>
          <w:lang w:val="es-ES_tradnl" w:eastAsia="en-GB"/>
        </w:rPr>
        <w:t>3</w:t>
      </w:r>
      <w:r w:rsidRPr="00A42316">
        <w:rPr>
          <w:rFonts w:ascii="Century Gothic" w:eastAsia="Times New Roman" w:hAnsi="Century Gothic" w:cs="Arial"/>
          <w:b/>
          <w:bCs/>
          <w:color w:val="000000"/>
          <w:szCs w:val="24"/>
          <w:lang w:val="es-ES_tradnl" w:eastAsia="en-GB"/>
        </w:rPr>
        <w:t>. La reserva de información pública como límite al deber de divulgación proactiva de la información en la contratación estatal</w:t>
      </w:r>
    </w:p>
    <w:p w14:paraId="7658945A" w14:textId="77777777" w:rsidR="00A42316" w:rsidRPr="00A42316" w:rsidRDefault="00A42316" w:rsidP="00A42316">
      <w:pPr>
        <w:spacing w:after="0" w:line="276" w:lineRule="auto"/>
        <w:jc w:val="both"/>
        <w:rPr>
          <w:rFonts w:ascii="Century Gothic" w:eastAsia="Times New Roman" w:hAnsi="Century Gothic" w:cs="Century Gothic"/>
          <w:b/>
          <w:bCs/>
          <w:lang w:val="es-ES_tradnl" w:eastAsia="es-ES_tradnl"/>
        </w:rPr>
      </w:pPr>
    </w:p>
    <w:p w14:paraId="3F403BA7" w14:textId="77777777" w:rsidR="00A42316" w:rsidRPr="00A42316" w:rsidRDefault="00A42316" w:rsidP="00A42316">
      <w:pPr>
        <w:tabs>
          <w:tab w:val="left" w:pos="426"/>
        </w:tabs>
        <w:spacing w:after="120" w:line="276" w:lineRule="auto"/>
        <w:jc w:val="both"/>
        <w:rPr>
          <w:rFonts w:ascii="Century Gothic" w:eastAsia="Times New Roman" w:hAnsi="Century Gothic" w:cs="Arial"/>
          <w:color w:val="000000"/>
          <w:lang w:val="es-ES_tradnl" w:eastAsia="en-GB"/>
        </w:rPr>
      </w:pPr>
      <w:r w:rsidRPr="00A42316">
        <w:rPr>
          <w:rFonts w:ascii="Century Gothic" w:eastAsia="Times New Roman" w:hAnsi="Century Gothic" w:cs="Arial"/>
          <w:lang w:val="es-ES" w:eastAsia="es-ES_tradnl"/>
        </w:rPr>
        <w:t xml:space="preserve">No obstante, lo expresado en el numeral anterior,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actuar de conformidad con el tratamiento que impongan tales normas, absteniéndose, de ser el caso, de publicar los documentos del proceso, algunos de ellos o algunos apartes de dichos documentos en los que se evidencie este tipo de información. </w:t>
      </w:r>
    </w:p>
    <w:p w14:paraId="1E3D525B" w14:textId="77777777" w:rsidR="00A42316" w:rsidRPr="00A42316" w:rsidRDefault="00A42316" w:rsidP="08937EA5">
      <w:pPr>
        <w:spacing w:after="120" w:line="276" w:lineRule="auto"/>
        <w:ind w:firstLine="709"/>
        <w:jc w:val="both"/>
        <w:rPr>
          <w:rFonts w:ascii="Century Gothic" w:eastAsia="Times New Roman" w:hAnsi="Century Gothic" w:cs="Arial"/>
          <w:color w:val="000000"/>
          <w:lang w:val="es-ES" w:eastAsia="en-GB"/>
        </w:rPr>
      </w:pPr>
      <w:r w:rsidRPr="08937EA5">
        <w:rPr>
          <w:rFonts w:ascii="Century Gothic" w:eastAsia="Times New Roman" w:hAnsi="Century Gothic" w:cs="Arial"/>
          <w:color w:val="000000" w:themeColor="text1"/>
          <w:lang w:val="es-ES"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08937EA5">
        <w:rPr>
          <w:rFonts w:ascii="Century Gothic" w:eastAsia="Times New Roman" w:hAnsi="Century Gothic" w:cs="Arial"/>
          <w:i/>
          <w:iCs/>
          <w:color w:val="000000" w:themeColor="text1"/>
          <w:lang w:val="es-ES" w:eastAsia="en-GB"/>
        </w:rPr>
        <w:t>prima facie,</w:t>
      </w:r>
      <w:r w:rsidRPr="08937EA5">
        <w:rPr>
          <w:rFonts w:ascii="Century Gothic" w:eastAsia="Times New Roman" w:hAnsi="Century Gothic" w:cs="Arial"/>
          <w:color w:val="000000" w:themeColor="text1"/>
          <w:lang w:val="es-ES"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w:t>
      </w:r>
    </w:p>
    <w:p w14:paraId="318D3AFC" w14:textId="77777777" w:rsidR="00A42316" w:rsidRPr="00A42316" w:rsidRDefault="00A42316" w:rsidP="08937EA5">
      <w:pPr>
        <w:spacing w:after="120" w:line="276" w:lineRule="auto"/>
        <w:ind w:firstLine="709"/>
        <w:jc w:val="both"/>
        <w:rPr>
          <w:rFonts w:ascii="Century Gothic" w:eastAsia="Times New Roman" w:hAnsi="Century Gothic" w:cs="Arial"/>
          <w:color w:val="000000"/>
          <w:lang w:val="es-ES" w:eastAsia="en-GB"/>
        </w:rPr>
      </w:pPr>
      <w:r w:rsidRPr="08937EA5">
        <w:rPr>
          <w:rFonts w:ascii="Century Gothic" w:eastAsia="Times New Roman" w:hAnsi="Century Gothic" w:cs="Arial"/>
          <w:color w:val="000000"/>
          <w:lang w:val="es-ES" w:eastAsia="en-GB"/>
        </w:rPr>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08937EA5">
        <w:rPr>
          <w:rFonts w:ascii="Century Gothic" w:eastAsia="Times New Roman" w:hAnsi="Century Gothic" w:cs="Arial"/>
          <w:color w:val="000000"/>
          <w:vertAlign w:val="superscript"/>
          <w:lang w:val="es-ES" w:eastAsia="en-GB"/>
        </w:rPr>
        <w:footnoteReference w:id="16"/>
      </w:r>
      <w:r w:rsidRPr="08937EA5">
        <w:rPr>
          <w:rFonts w:ascii="Century Gothic" w:eastAsia="Times New Roman" w:hAnsi="Century Gothic" w:cs="Arial"/>
          <w:color w:val="000000"/>
          <w:lang w:val="es-ES" w:eastAsia="en-GB"/>
        </w:rPr>
        <w:t>. Sin perjuicio de lo anterior, es posible que el contenido de todo el documento o expediente no deba ser objeto de publicidad por estar amparado de forma íntegra por la reserva, dada su conexión con las causales establecidas en la Constitución o la ley.</w:t>
      </w:r>
    </w:p>
    <w:p w14:paraId="121CABCB" w14:textId="77777777" w:rsidR="00A42316" w:rsidRPr="00A42316" w:rsidRDefault="00A42316" w:rsidP="00A42316">
      <w:pPr>
        <w:tabs>
          <w:tab w:val="left" w:pos="426"/>
        </w:tabs>
        <w:spacing w:after="120" w:line="276" w:lineRule="auto"/>
        <w:ind w:firstLine="709"/>
        <w:jc w:val="both"/>
        <w:rPr>
          <w:rFonts w:ascii="Century Gothic" w:eastAsia="Times New Roman" w:hAnsi="Century Gothic" w:cs="Arial"/>
          <w:color w:val="000000"/>
          <w:lang w:val="es-ES_tradnl" w:eastAsia="en-GB"/>
        </w:rPr>
      </w:pPr>
      <w:r w:rsidRPr="00A42316">
        <w:rPr>
          <w:rFonts w:ascii="Century Gothic" w:eastAsia="Times New Roman" w:hAnsi="Century Gothic" w:cs="Arial"/>
          <w:color w:val="000000"/>
          <w:lang w:val="es-ES_tradnl" w:eastAsia="en-GB"/>
        </w:rPr>
        <w:t>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artículo 2.2.2.25.1.3., numeral 3 –que compiló al Decreto 1377 de 2013 (art. 3)–, solo podrá divulgarse según las reglas establecidas en dichas normas.</w:t>
      </w:r>
    </w:p>
    <w:p w14:paraId="70F740D7" w14:textId="77777777" w:rsidR="00A42316" w:rsidRPr="00A42316" w:rsidRDefault="00A42316" w:rsidP="00A42316">
      <w:pPr>
        <w:tabs>
          <w:tab w:val="left" w:pos="426"/>
        </w:tabs>
        <w:spacing w:after="120" w:line="276" w:lineRule="auto"/>
        <w:ind w:firstLine="709"/>
        <w:jc w:val="both"/>
        <w:rPr>
          <w:rFonts w:ascii="Century Gothic" w:eastAsia="Times New Roman" w:hAnsi="Century Gothic" w:cs="Arial"/>
          <w:color w:val="000000"/>
          <w:lang w:val="es-ES_tradnl" w:eastAsia="en-GB"/>
        </w:rPr>
      </w:pPr>
      <w:r w:rsidRPr="00A42316">
        <w:rPr>
          <w:rFonts w:ascii="Century Gothic" w:eastAsia="Times New Roman" w:hAnsi="Century Gothic" w:cs="Arial"/>
          <w:color w:val="000000"/>
          <w:lang w:val="es-ES_tradnl" w:eastAsia="en-GB"/>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587F7DDA" w14:textId="77777777" w:rsidR="00A42316" w:rsidRPr="00A42316" w:rsidRDefault="00A42316" w:rsidP="08937EA5">
      <w:pPr>
        <w:tabs>
          <w:tab w:val="left" w:pos="426"/>
        </w:tabs>
        <w:spacing w:after="0" w:line="276" w:lineRule="auto"/>
        <w:ind w:firstLine="709"/>
        <w:jc w:val="both"/>
        <w:rPr>
          <w:rFonts w:ascii="Century Gothic" w:eastAsia="Times New Roman" w:hAnsi="Century Gothic" w:cs="Arial"/>
          <w:color w:val="000000"/>
          <w:lang w:val="es-ES" w:eastAsia="en-GB"/>
        </w:rPr>
      </w:pPr>
      <w:r w:rsidRPr="08937EA5">
        <w:rPr>
          <w:rFonts w:ascii="Century Gothic" w:eastAsia="Times New Roman" w:hAnsi="Century Gothic" w:cs="Arial"/>
          <w:color w:val="000000" w:themeColor="text1"/>
          <w:lang w:val="es-ES" w:eastAsia="en-GB"/>
        </w:rPr>
        <w:t xml:space="preserve">En efecto, de conformidad con la Constitución y la jurisprudencia de las altas cortes, la reserva de información pública solo puede crearla el constituyente o el legislador. Además, como se viene explicando, para efectos de la consulta realizada a la Agencia, las Leyes estatutarias 1712 de 2014 y la 1755 de 2015 –que sustituyó los artículos 13 a 33 de la Ley 1437 de 2011– establecen reservas particulares de información pública. En armonía con lo anterior, cabe reiterar lo que se afirmó anteriormente en el sentido de que la creación de reservas de información pública es un asunto reservado al constituyente o al legislador. </w:t>
      </w:r>
    </w:p>
    <w:p w14:paraId="5F5B1AC8" w14:textId="77777777" w:rsidR="00A42316" w:rsidRPr="00A42316" w:rsidRDefault="00A42316" w:rsidP="00977A67">
      <w:pPr>
        <w:spacing w:after="0" w:line="276" w:lineRule="auto"/>
        <w:ind w:firstLine="709"/>
        <w:jc w:val="both"/>
        <w:rPr>
          <w:rFonts w:ascii="Century Gothic" w:hAnsi="Century Gothic" w:cs="Arial"/>
          <w:shd w:val="clear" w:color="auto" w:fill="FFFFFF"/>
          <w:lang w:val="es-ES_tradnl"/>
        </w:rPr>
      </w:pPr>
    </w:p>
    <w:p w14:paraId="048AD5FE" w14:textId="77777777" w:rsidR="00977A67" w:rsidRPr="004204E3" w:rsidRDefault="00977A67" w:rsidP="00977A67">
      <w:pPr>
        <w:spacing w:after="0" w:line="276" w:lineRule="auto"/>
        <w:contextualSpacing/>
        <w:jc w:val="both"/>
        <w:rPr>
          <w:rFonts w:ascii="Century Gothic" w:hAnsi="Century Gothic" w:cs="Arial"/>
          <w:bCs/>
          <w:lang w:val="es-MX"/>
        </w:rPr>
      </w:pPr>
    </w:p>
    <w:p w14:paraId="5D40318F" w14:textId="4D480CAC" w:rsidR="00977A67" w:rsidRDefault="00977A67" w:rsidP="002B60FD">
      <w:pPr>
        <w:pStyle w:val="ListParagraph"/>
        <w:numPr>
          <w:ilvl w:val="0"/>
          <w:numId w:val="18"/>
        </w:numPr>
        <w:tabs>
          <w:tab w:val="left" w:pos="284"/>
        </w:tabs>
        <w:spacing w:after="0" w:line="276" w:lineRule="auto"/>
        <w:jc w:val="both"/>
        <w:rPr>
          <w:rFonts w:ascii="Century Gothic" w:hAnsi="Century Gothic" w:cs="Arial"/>
          <w:b/>
          <w:lang w:val="es-MX"/>
        </w:rPr>
      </w:pPr>
      <w:r w:rsidRPr="002B60FD">
        <w:rPr>
          <w:rFonts w:ascii="Century Gothic" w:hAnsi="Century Gothic" w:cs="Arial"/>
          <w:b/>
          <w:lang w:val="es-MX"/>
        </w:rPr>
        <w:t>Respuesta</w:t>
      </w:r>
    </w:p>
    <w:p w14:paraId="0C47B7C2" w14:textId="77777777" w:rsidR="005045BB" w:rsidRDefault="005045BB" w:rsidP="005045BB">
      <w:pPr>
        <w:tabs>
          <w:tab w:val="left" w:pos="284"/>
        </w:tabs>
        <w:spacing w:after="0" w:line="276" w:lineRule="auto"/>
        <w:jc w:val="both"/>
        <w:rPr>
          <w:rFonts w:ascii="Century Gothic" w:hAnsi="Century Gothic" w:cs="Arial"/>
          <w:b/>
          <w:lang w:val="es-MX"/>
        </w:rPr>
      </w:pPr>
    </w:p>
    <w:p w14:paraId="0979C669" w14:textId="77777777" w:rsidR="00373B0C" w:rsidRPr="000F2337" w:rsidRDefault="00373B0C" w:rsidP="00373B0C">
      <w:pPr>
        <w:pStyle w:val="NormalWeb"/>
        <w:spacing w:line="270" w:lineRule="atLeast"/>
        <w:ind w:left="709" w:right="709"/>
        <w:jc w:val="both"/>
        <w:rPr>
          <w:rFonts w:ascii="Century Gothic" w:hAnsi="Century Gothic" w:cs="Calibri"/>
          <w:sz w:val="20"/>
          <w:szCs w:val="20"/>
          <w:lang w:val="es-ES" w:eastAsia="es-ES"/>
        </w:rPr>
      </w:pPr>
      <w:r w:rsidRPr="000F2337">
        <w:rPr>
          <w:rFonts w:ascii="Century Gothic" w:hAnsi="Century Gothic" w:cs="Arial"/>
          <w:sz w:val="20"/>
          <w:szCs w:val="20"/>
        </w:rPr>
        <w:t>“solicito</w:t>
      </w:r>
      <w:r w:rsidRPr="000F2337">
        <w:rPr>
          <w:rFonts w:ascii="Century Gothic" w:hAnsi="Century Gothic" w:cs="Calibri"/>
          <w:sz w:val="20"/>
          <w:szCs w:val="20"/>
          <w:lang w:val="es-ES" w:eastAsia="es-ES"/>
        </w:rPr>
        <w:t xml:space="preserve"> se aclare la respuesta dada en concepto   C 460 de 2003, por medio de la cual se indica que las entidades co</w:t>
      </w:r>
      <w:r>
        <w:rPr>
          <w:rFonts w:ascii="Century Gothic" w:hAnsi="Century Gothic" w:cs="Calibri"/>
          <w:sz w:val="20"/>
          <w:szCs w:val="20"/>
          <w:lang w:val="es-ES" w:eastAsia="es-ES"/>
        </w:rPr>
        <w:t>m</w:t>
      </w:r>
      <w:r w:rsidRPr="000F2337">
        <w:rPr>
          <w:rFonts w:ascii="Century Gothic" w:hAnsi="Century Gothic" w:cs="Calibri"/>
          <w:sz w:val="20"/>
          <w:szCs w:val="20"/>
          <w:lang w:val="es-ES" w:eastAsia="es-ES"/>
        </w:rPr>
        <w:t xml:space="preserve">o régimen exceptuado están en libertad para utilizar discrecionalmente la plataforma SECOP 2 de manera transaccional, sosteniendo que la misma puede ser utilizada simplemente como mecanismo de publicidad. </w:t>
      </w:r>
    </w:p>
    <w:p w14:paraId="1FBD7081" w14:textId="77777777" w:rsidR="00373B0C" w:rsidRPr="000F2337" w:rsidRDefault="00373B0C" w:rsidP="00373B0C">
      <w:pPr>
        <w:pStyle w:val="NormalWeb"/>
        <w:spacing w:line="270" w:lineRule="atLeast"/>
        <w:ind w:left="709" w:right="709"/>
        <w:jc w:val="both"/>
        <w:rPr>
          <w:rFonts w:ascii="Century Gothic" w:hAnsi="Century Gothic" w:cstheme="minorHAnsi"/>
          <w:sz w:val="20"/>
          <w:szCs w:val="20"/>
          <w:shd w:val="clear" w:color="auto" w:fill="FFFFFF"/>
        </w:rPr>
      </w:pPr>
      <w:r>
        <w:rPr>
          <w:rFonts w:ascii="Century Gothic" w:hAnsi="Century Gothic" w:cstheme="minorHAnsi"/>
          <w:sz w:val="20"/>
          <w:szCs w:val="20"/>
          <w:shd w:val="clear" w:color="auto" w:fill="FFFFFF"/>
        </w:rPr>
        <w:t xml:space="preserve">Por lo anterior y previamente a la interposición de una acción popular por moralidad administrativa y </w:t>
      </w:r>
      <w:r w:rsidRPr="000F2337">
        <w:rPr>
          <w:rFonts w:ascii="Century Gothic" w:hAnsi="Century Gothic" w:cstheme="minorHAnsi"/>
          <w:sz w:val="20"/>
          <w:szCs w:val="20"/>
          <w:shd w:val="clear" w:color="auto" w:fill="FFFFFF"/>
        </w:rPr>
        <w:t>transparencia contra el DAPRE y la Agencia Colombia Compra Eficiente, solicito:</w:t>
      </w:r>
    </w:p>
    <w:p w14:paraId="4191CDD8" w14:textId="77777777" w:rsidR="00373B0C" w:rsidRPr="000F2337" w:rsidRDefault="00373B0C" w:rsidP="00373B0C">
      <w:pPr>
        <w:pStyle w:val="NormalWeb"/>
        <w:numPr>
          <w:ilvl w:val="0"/>
          <w:numId w:val="18"/>
        </w:numPr>
        <w:spacing w:line="270" w:lineRule="atLeast"/>
        <w:ind w:left="709" w:right="709"/>
        <w:jc w:val="both"/>
        <w:rPr>
          <w:rFonts w:ascii="Century Gothic" w:hAnsi="Century Gothic" w:cstheme="minorHAnsi"/>
          <w:sz w:val="20"/>
          <w:szCs w:val="20"/>
          <w:shd w:val="clear" w:color="auto" w:fill="FFFFFF"/>
        </w:rPr>
      </w:pPr>
      <w:r w:rsidRPr="000F2337">
        <w:rPr>
          <w:rFonts w:ascii="Century Gothic" w:hAnsi="Century Gothic" w:cstheme="minorHAnsi"/>
          <w:sz w:val="20"/>
          <w:szCs w:val="20"/>
          <w:shd w:val="clear" w:color="auto" w:fill="FFFFFF"/>
        </w:rPr>
        <w:t xml:space="preserve"> Se aclare si la Agencia Colombia Compra considera que las entidades exceptuadas de conformidad con el art. 53 de la ley 2195 pueden </w:t>
      </w:r>
      <w:r w:rsidRPr="000F2337">
        <w:rPr>
          <w:rFonts w:ascii="Century Gothic" w:hAnsi="Century Gothic" w:cstheme="minorHAnsi"/>
          <w:b/>
          <w:sz w:val="20"/>
          <w:szCs w:val="20"/>
          <w:shd w:val="clear" w:color="auto" w:fill="FFFFFF"/>
        </w:rPr>
        <w:t>discrecionalmente</w:t>
      </w:r>
      <w:r w:rsidRPr="000F2337">
        <w:rPr>
          <w:rFonts w:ascii="Century Gothic" w:hAnsi="Century Gothic" w:cstheme="minorHAnsi"/>
          <w:sz w:val="20"/>
          <w:szCs w:val="20"/>
          <w:shd w:val="clear" w:color="auto" w:fill="FFFFFF"/>
        </w:rPr>
        <w:t xml:space="preserve"> utilizar o no la plataforma SECOP 2 de manera transaccional o simplemente como plataforma de publicidad.  </w:t>
      </w:r>
    </w:p>
    <w:p w14:paraId="1192AE2A" w14:textId="77777777" w:rsidR="00373B0C" w:rsidRPr="000F2337" w:rsidRDefault="00373B0C" w:rsidP="00373B0C">
      <w:pPr>
        <w:pStyle w:val="NormalWeb"/>
        <w:numPr>
          <w:ilvl w:val="0"/>
          <w:numId w:val="18"/>
        </w:numPr>
        <w:tabs>
          <w:tab w:val="left" w:pos="426"/>
        </w:tabs>
        <w:spacing w:line="276" w:lineRule="auto"/>
        <w:ind w:left="709" w:right="709"/>
        <w:jc w:val="both"/>
        <w:rPr>
          <w:rFonts w:ascii="Century Gothic" w:hAnsi="Century Gothic" w:cs="Arial"/>
          <w:sz w:val="20"/>
          <w:szCs w:val="20"/>
        </w:rPr>
      </w:pPr>
      <w:r w:rsidRPr="000F2337">
        <w:rPr>
          <w:rFonts w:ascii="Century Gothic" w:hAnsi="Century Gothic" w:cstheme="minorHAnsi"/>
          <w:sz w:val="20"/>
          <w:szCs w:val="20"/>
          <w:shd w:val="clear" w:color="auto" w:fill="FFFFFF"/>
        </w:rPr>
        <w:t>Si se considera que el uso es simplemente de publicidad, la publicación de la gestión contractual de dichas entidades exceptuadas se puede realizar en físico o en correos electrónicos y luego de celebrado el contrato publicar en SECOP 2 o si dicha publicación de cada actuación (presentación propuesta, evaluación, subsanación, ¿etc.) debe hacerse automáticamente?”</w:t>
      </w:r>
      <w:r w:rsidRPr="000F2337">
        <w:rPr>
          <w:rFonts w:ascii="Century Gothic" w:hAnsi="Century Gothic" w:cs="Arial"/>
          <w:sz w:val="20"/>
          <w:szCs w:val="20"/>
        </w:rPr>
        <w:t xml:space="preserve"> (SIC) […]</w:t>
      </w:r>
    </w:p>
    <w:p w14:paraId="742B78ED" w14:textId="77777777" w:rsidR="00650E70" w:rsidRDefault="00650E70" w:rsidP="00650E70">
      <w:pPr>
        <w:spacing w:after="120" w:line="276" w:lineRule="auto"/>
        <w:jc w:val="both"/>
        <w:rPr>
          <w:rFonts w:ascii="Century Gothic" w:hAnsi="Century Gothic" w:cs="Arial"/>
        </w:rPr>
      </w:pPr>
    </w:p>
    <w:p w14:paraId="01AB2E85" w14:textId="77777777" w:rsidR="00650E70" w:rsidRDefault="00650E70" w:rsidP="00650E70">
      <w:pPr>
        <w:spacing w:after="120" w:line="276" w:lineRule="auto"/>
        <w:jc w:val="both"/>
        <w:rPr>
          <w:rFonts w:ascii="Century Gothic" w:hAnsi="Century Gothic" w:cs="Arial"/>
        </w:rPr>
      </w:pPr>
    </w:p>
    <w:p w14:paraId="6D90E9C1" w14:textId="42CB05D2" w:rsidR="00650E70" w:rsidRPr="00650E70" w:rsidRDefault="00650E70" w:rsidP="00650E70">
      <w:pPr>
        <w:spacing w:after="120" w:line="276" w:lineRule="auto"/>
        <w:ind w:firstLine="349"/>
        <w:jc w:val="both"/>
        <w:rPr>
          <w:rFonts w:ascii="Century Gothic" w:hAnsi="Century Gothic" w:cs="Arial"/>
        </w:rPr>
      </w:pPr>
      <w:r w:rsidRPr="00650E70">
        <w:rPr>
          <w:rFonts w:ascii="Century Gothic" w:hAnsi="Century Gothic" w:cs="Arial"/>
        </w:rPr>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29CEFBC1" w14:textId="46ECE8C7" w:rsidR="005045BB" w:rsidRPr="00233B93" w:rsidRDefault="00233B93" w:rsidP="005045BB">
      <w:pPr>
        <w:tabs>
          <w:tab w:val="left" w:pos="284"/>
        </w:tabs>
        <w:spacing w:after="0" w:line="276" w:lineRule="auto"/>
        <w:jc w:val="both"/>
        <w:rPr>
          <w:rFonts w:ascii="Century Gothic" w:hAnsi="Century Gothic" w:cs="Arial"/>
          <w:bCs/>
          <w:lang w:val="es-ES"/>
        </w:rPr>
      </w:pPr>
      <w:r w:rsidRPr="00233B93">
        <w:rPr>
          <w:rFonts w:ascii="Century Gothic" w:hAnsi="Century Gothic" w:cs="Arial"/>
          <w:bCs/>
          <w:lang w:val="es-ES"/>
        </w:rPr>
        <w:t>Así las cosas,</w:t>
      </w:r>
      <w:r>
        <w:rPr>
          <w:rFonts w:ascii="Century Gothic" w:hAnsi="Century Gothic" w:cs="Arial"/>
          <w:bCs/>
          <w:lang w:val="es-ES"/>
        </w:rPr>
        <w:t xml:space="preserve"> con relación al deber de publicidad que les asiste a las </w:t>
      </w:r>
      <w:r w:rsidR="004E1DB9">
        <w:rPr>
          <w:rFonts w:ascii="Century Gothic" w:hAnsi="Century Gothic" w:cs="Arial"/>
          <w:bCs/>
          <w:lang w:val="es-ES"/>
        </w:rPr>
        <w:t xml:space="preserve">entidades </w:t>
      </w:r>
      <w:r w:rsidR="00464B21">
        <w:rPr>
          <w:rFonts w:ascii="Century Gothic" w:hAnsi="Century Gothic" w:cs="Arial"/>
          <w:bCs/>
          <w:lang w:val="es-ES"/>
        </w:rPr>
        <w:t>no sometida</w:t>
      </w:r>
      <w:r w:rsidR="00D7311B">
        <w:rPr>
          <w:rFonts w:ascii="Century Gothic" w:hAnsi="Century Gothic" w:cs="Arial"/>
          <w:bCs/>
          <w:lang w:val="es-ES"/>
        </w:rPr>
        <w:t xml:space="preserve">s </w:t>
      </w:r>
      <w:r w:rsidR="00CB53AB">
        <w:rPr>
          <w:rFonts w:ascii="Century Gothic" w:hAnsi="Century Gothic" w:cs="Arial"/>
          <w:bCs/>
          <w:lang w:val="es-ES"/>
        </w:rPr>
        <w:t>y obligadas por el Estatuto General de</w:t>
      </w:r>
      <w:r w:rsidR="002E4818">
        <w:rPr>
          <w:rFonts w:ascii="Century Gothic" w:hAnsi="Century Gothic" w:cs="Arial"/>
          <w:bCs/>
          <w:lang w:val="es-ES"/>
        </w:rPr>
        <w:t xml:space="preserve"> </w:t>
      </w:r>
      <w:r w:rsidR="009A79A1">
        <w:rPr>
          <w:rFonts w:ascii="Century Gothic" w:hAnsi="Century Gothic" w:cs="Arial"/>
          <w:bCs/>
          <w:lang w:val="es-ES"/>
        </w:rPr>
        <w:t>C</w:t>
      </w:r>
      <w:r w:rsidR="002E4818">
        <w:rPr>
          <w:rFonts w:ascii="Century Gothic" w:hAnsi="Century Gothic" w:cs="Arial"/>
          <w:bCs/>
          <w:lang w:val="es-ES"/>
        </w:rPr>
        <w:t xml:space="preserve">ontratación de la </w:t>
      </w:r>
      <w:r w:rsidR="00CB53AB">
        <w:rPr>
          <w:rFonts w:ascii="Century Gothic" w:hAnsi="Century Gothic" w:cs="Arial"/>
          <w:bCs/>
          <w:lang w:val="es-ES"/>
        </w:rPr>
        <w:t xml:space="preserve"> Administración </w:t>
      </w:r>
      <w:r w:rsidR="004E1DB9">
        <w:rPr>
          <w:rFonts w:ascii="Century Gothic" w:hAnsi="Century Gothic" w:cs="Arial"/>
          <w:bCs/>
          <w:lang w:val="es-ES"/>
        </w:rPr>
        <w:t>pública</w:t>
      </w:r>
      <w:r w:rsidR="00CB53AB">
        <w:rPr>
          <w:rFonts w:ascii="Century Gothic" w:hAnsi="Century Gothic" w:cs="Arial"/>
          <w:bCs/>
          <w:lang w:val="es-ES"/>
        </w:rPr>
        <w:t xml:space="preserve"> </w:t>
      </w:r>
      <w:r w:rsidR="00F24AB2">
        <w:rPr>
          <w:rFonts w:ascii="Century Gothic" w:hAnsi="Century Gothic" w:cs="Arial"/>
          <w:bCs/>
          <w:lang w:val="es-ES"/>
        </w:rPr>
        <w:t>– Ley 80 de 1993</w:t>
      </w:r>
      <w:r w:rsidR="004E1DB9">
        <w:rPr>
          <w:rFonts w:ascii="Century Gothic" w:hAnsi="Century Gothic" w:cs="Arial"/>
          <w:bCs/>
          <w:lang w:val="es-ES"/>
        </w:rPr>
        <w:t xml:space="preserve"> es menester resaltar que este es un </w:t>
      </w:r>
      <w:r w:rsidR="00213990">
        <w:rPr>
          <w:rFonts w:ascii="Century Gothic" w:hAnsi="Century Gothic" w:cs="Arial"/>
          <w:bCs/>
          <w:lang w:val="es-ES"/>
        </w:rPr>
        <w:t xml:space="preserve"> principio constitucional </w:t>
      </w:r>
      <w:r w:rsidR="006E4DC5">
        <w:rPr>
          <w:rFonts w:ascii="Century Gothic" w:hAnsi="Century Gothic" w:cs="Arial"/>
          <w:bCs/>
          <w:lang w:val="es-ES"/>
        </w:rPr>
        <w:t>el cual ha sido desarrollado en parte por la Ley 2195 de 2022</w:t>
      </w:r>
      <w:r w:rsidR="00815699">
        <w:rPr>
          <w:rFonts w:ascii="Century Gothic" w:hAnsi="Century Gothic" w:cs="Arial"/>
          <w:bCs/>
          <w:lang w:val="es-ES"/>
        </w:rPr>
        <w:t xml:space="preserve">, en </w:t>
      </w:r>
      <w:r w:rsidR="00564A06">
        <w:rPr>
          <w:rFonts w:ascii="Century Gothic" w:hAnsi="Century Gothic" w:cs="Arial"/>
          <w:bCs/>
          <w:lang w:val="es-ES"/>
        </w:rPr>
        <w:t>consecuencia</w:t>
      </w:r>
      <w:r w:rsidR="00865F91">
        <w:rPr>
          <w:rFonts w:ascii="Century Gothic" w:hAnsi="Century Gothic" w:cs="Arial"/>
          <w:bCs/>
          <w:lang w:val="es-ES"/>
        </w:rPr>
        <w:t>,</w:t>
      </w:r>
      <w:r w:rsidR="00564A06">
        <w:rPr>
          <w:rFonts w:ascii="Century Gothic" w:hAnsi="Century Gothic" w:cs="Arial"/>
          <w:bCs/>
          <w:lang w:val="es-ES"/>
        </w:rPr>
        <w:t xml:space="preserve"> </w:t>
      </w:r>
      <w:r w:rsidR="000A2CC6">
        <w:rPr>
          <w:rFonts w:ascii="Century Gothic" w:hAnsi="Century Gothic" w:cs="Arial"/>
          <w:bCs/>
          <w:lang w:val="es-ES"/>
        </w:rPr>
        <w:t xml:space="preserve">la obligatoriedad </w:t>
      </w:r>
      <w:r w:rsidR="004344A8">
        <w:rPr>
          <w:rFonts w:ascii="Century Gothic" w:hAnsi="Century Gothic" w:cs="Arial"/>
          <w:bCs/>
          <w:lang w:val="es-ES"/>
        </w:rPr>
        <w:t xml:space="preserve">para las entidades no sometidas al Estatuto </w:t>
      </w:r>
      <w:r w:rsidR="000A2CC6">
        <w:rPr>
          <w:rFonts w:ascii="Century Gothic" w:hAnsi="Century Gothic" w:cs="Arial"/>
          <w:bCs/>
          <w:lang w:val="es-ES"/>
        </w:rPr>
        <w:t xml:space="preserve">recae sobre la publicación de los documentos relacionados con la actividad contractual en el Sistema </w:t>
      </w:r>
      <w:r w:rsidR="00BD6062">
        <w:rPr>
          <w:rFonts w:ascii="Century Gothic" w:hAnsi="Century Gothic" w:cs="Arial"/>
          <w:bCs/>
          <w:lang w:val="es-ES"/>
        </w:rPr>
        <w:t>Electrónico</w:t>
      </w:r>
      <w:r w:rsidR="000A2CC6">
        <w:rPr>
          <w:rFonts w:ascii="Century Gothic" w:hAnsi="Century Gothic" w:cs="Arial"/>
          <w:bCs/>
          <w:lang w:val="es-ES"/>
        </w:rPr>
        <w:t xml:space="preserve"> para la </w:t>
      </w:r>
      <w:r w:rsidR="00BD6062">
        <w:rPr>
          <w:rFonts w:ascii="Century Gothic" w:hAnsi="Century Gothic" w:cs="Arial"/>
          <w:bCs/>
          <w:lang w:val="es-ES"/>
        </w:rPr>
        <w:t>Contratación</w:t>
      </w:r>
      <w:r w:rsidR="000A2CC6">
        <w:rPr>
          <w:rFonts w:ascii="Century Gothic" w:hAnsi="Century Gothic" w:cs="Arial"/>
          <w:bCs/>
          <w:lang w:val="es-ES"/>
        </w:rPr>
        <w:t xml:space="preserve"> </w:t>
      </w:r>
      <w:r w:rsidR="00BD6062">
        <w:rPr>
          <w:rFonts w:ascii="Century Gothic" w:hAnsi="Century Gothic" w:cs="Arial"/>
          <w:bCs/>
          <w:lang w:val="es-ES"/>
        </w:rPr>
        <w:t>Pública</w:t>
      </w:r>
      <w:r w:rsidR="000A2CC6">
        <w:rPr>
          <w:rFonts w:ascii="Century Gothic" w:hAnsi="Century Gothic" w:cs="Arial"/>
          <w:bCs/>
          <w:lang w:val="es-ES"/>
        </w:rPr>
        <w:t xml:space="preserve"> ( SECOP</w:t>
      </w:r>
      <w:r w:rsidR="00BD6062">
        <w:rPr>
          <w:rFonts w:ascii="Century Gothic" w:hAnsi="Century Gothic" w:cs="Arial"/>
          <w:bCs/>
          <w:lang w:val="es-ES"/>
        </w:rPr>
        <w:t xml:space="preserve"> II) o la plataforma que haga sus veces. </w:t>
      </w:r>
      <w:r w:rsidR="00024870">
        <w:rPr>
          <w:rFonts w:ascii="Century Gothic" w:hAnsi="Century Gothic" w:cs="Arial"/>
          <w:bCs/>
          <w:lang w:val="es-ES"/>
        </w:rPr>
        <w:t>Ahora bien, con todo y lo anterior</w:t>
      </w:r>
      <w:r w:rsidR="00CB5586">
        <w:rPr>
          <w:rFonts w:ascii="Century Gothic" w:hAnsi="Century Gothic" w:cs="Arial"/>
          <w:bCs/>
          <w:lang w:val="es-ES"/>
        </w:rPr>
        <w:t xml:space="preserve"> es importante resaltar </w:t>
      </w:r>
      <w:r w:rsidR="00ED7F08">
        <w:rPr>
          <w:rFonts w:ascii="Century Gothic" w:hAnsi="Century Gothic" w:cs="Arial"/>
          <w:bCs/>
          <w:lang w:val="es-ES"/>
        </w:rPr>
        <w:t>que las</w:t>
      </w:r>
      <w:r w:rsidR="00672B47">
        <w:rPr>
          <w:rFonts w:ascii="Century Gothic" w:hAnsi="Century Gothic" w:cs="Arial"/>
          <w:bCs/>
          <w:lang w:val="es-ES"/>
        </w:rPr>
        <w:t xml:space="preserve"> entidades </w:t>
      </w:r>
      <w:r w:rsidR="005F46BA">
        <w:rPr>
          <w:rFonts w:ascii="Century Gothic" w:hAnsi="Century Gothic" w:cs="Arial"/>
          <w:bCs/>
          <w:lang w:val="es-ES"/>
        </w:rPr>
        <w:t>pueden hacer</w:t>
      </w:r>
      <w:r w:rsidR="009A7226">
        <w:rPr>
          <w:rFonts w:ascii="Century Gothic" w:hAnsi="Century Gothic" w:cs="Arial"/>
          <w:bCs/>
          <w:lang w:val="es-ES"/>
        </w:rPr>
        <w:t xml:space="preserve"> transacciones en</w:t>
      </w:r>
      <w:r w:rsidR="005F46BA">
        <w:rPr>
          <w:rFonts w:ascii="Century Gothic" w:hAnsi="Century Gothic" w:cs="Arial"/>
          <w:bCs/>
          <w:lang w:val="es-ES"/>
        </w:rPr>
        <w:t xml:space="preserve"> la </w:t>
      </w:r>
      <w:r w:rsidR="00EB52B0">
        <w:rPr>
          <w:rFonts w:ascii="Century Gothic" w:hAnsi="Century Gothic" w:cs="Arial"/>
          <w:bCs/>
          <w:lang w:val="es-ES"/>
        </w:rPr>
        <w:t xml:space="preserve">plataforma </w:t>
      </w:r>
      <w:r w:rsidR="00CB5586">
        <w:rPr>
          <w:rFonts w:ascii="Century Gothic" w:hAnsi="Century Gothic" w:cs="Arial"/>
          <w:bCs/>
          <w:lang w:val="es-ES"/>
        </w:rPr>
        <w:t xml:space="preserve">lo cual se </w:t>
      </w:r>
      <w:r w:rsidR="00E50ACF">
        <w:rPr>
          <w:rFonts w:ascii="Century Gothic" w:hAnsi="Century Gothic" w:cs="Arial"/>
          <w:bCs/>
          <w:lang w:val="es-ES"/>
        </w:rPr>
        <w:t xml:space="preserve">contemplaría como una buena </w:t>
      </w:r>
      <w:r w:rsidR="00ED7F08">
        <w:rPr>
          <w:rFonts w:ascii="Century Gothic" w:hAnsi="Century Gothic" w:cs="Arial"/>
          <w:bCs/>
          <w:lang w:val="es-ES"/>
        </w:rPr>
        <w:t>práctica</w:t>
      </w:r>
      <w:r w:rsidR="00E50ACF">
        <w:rPr>
          <w:rFonts w:ascii="Century Gothic" w:hAnsi="Century Gothic" w:cs="Arial"/>
          <w:bCs/>
          <w:lang w:val="es-ES"/>
        </w:rPr>
        <w:t xml:space="preserve"> contractual. </w:t>
      </w:r>
    </w:p>
    <w:p w14:paraId="722695A7" w14:textId="77777777" w:rsidR="002B60FD" w:rsidRDefault="002B60FD" w:rsidP="002B60FD">
      <w:pPr>
        <w:tabs>
          <w:tab w:val="left" w:pos="284"/>
        </w:tabs>
        <w:spacing w:after="0" w:line="276" w:lineRule="auto"/>
        <w:jc w:val="both"/>
        <w:rPr>
          <w:rFonts w:ascii="Century Gothic" w:hAnsi="Century Gothic" w:cs="Arial"/>
          <w:b/>
          <w:lang w:val="es-MX"/>
        </w:rPr>
      </w:pPr>
    </w:p>
    <w:p w14:paraId="46E79D2D" w14:textId="77777777" w:rsidR="00A35B95" w:rsidRPr="00977A67" w:rsidRDefault="00A35B95" w:rsidP="00ED7F08">
      <w:pPr>
        <w:tabs>
          <w:tab w:val="left" w:pos="0"/>
        </w:tabs>
        <w:spacing w:line="276" w:lineRule="auto"/>
        <w:jc w:val="both"/>
        <w:rPr>
          <w:rFonts w:ascii="Century Gothic" w:hAnsi="Century Gothic" w:cs="Arial"/>
          <w:lang w:val="es-MX"/>
        </w:rPr>
      </w:pPr>
    </w:p>
    <w:p w14:paraId="31656C5C" w14:textId="45B2394F" w:rsidR="007959BC" w:rsidRPr="00A45A38" w:rsidRDefault="007959BC" w:rsidP="00B01695">
      <w:pPr>
        <w:shd w:val="clear" w:color="auto" w:fill="FFFFFF" w:themeFill="background1"/>
        <w:spacing w:after="0" w:line="276" w:lineRule="auto"/>
        <w:ind w:firstLine="708"/>
        <w:jc w:val="both"/>
        <w:textAlignment w:val="baseline"/>
        <w:rPr>
          <w:rFonts w:ascii="Century Gothic" w:hAnsi="Century Gothic" w:cs="Arial"/>
          <w:color w:val="000000" w:themeColor="text1"/>
          <w:lang w:eastAsia="es-MX"/>
        </w:rPr>
      </w:pPr>
      <w:r w:rsidRPr="00A45A38">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AFAC856" w14:textId="77777777" w:rsidR="007959BC" w:rsidRPr="00A45A38" w:rsidRDefault="007959BC" w:rsidP="007959BC">
      <w:pPr>
        <w:spacing w:after="0" w:line="276" w:lineRule="auto"/>
        <w:contextualSpacing/>
        <w:jc w:val="both"/>
        <w:textAlignment w:val="baseline"/>
        <w:rPr>
          <w:rFonts w:ascii="Century Gothic" w:hAnsi="Century Gothic" w:cs="Arial"/>
          <w:lang w:val="es-ES"/>
        </w:rPr>
      </w:pPr>
    </w:p>
    <w:p w14:paraId="21E44696" w14:textId="77777777" w:rsidR="007959BC" w:rsidRPr="00A45A38" w:rsidRDefault="007959BC" w:rsidP="007959BC">
      <w:pPr>
        <w:spacing w:after="0" w:line="276" w:lineRule="auto"/>
        <w:contextualSpacing/>
        <w:jc w:val="both"/>
        <w:textAlignment w:val="baseline"/>
        <w:rPr>
          <w:rFonts w:ascii="Century Gothic" w:eastAsia="Times New Roman" w:hAnsi="Century Gothic" w:cs="Arial"/>
          <w:lang w:eastAsia="es-CO"/>
        </w:rPr>
      </w:pPr>
      <w:r w:rsidRPr="00A45A38">
        <w:rPr>
          <w:rFonts w:ascii="Century Gothic" w:hAnsi="Century Gothic" w:cs="Arial"/>
          <w:lang w:val="es-ES"/>
        </w:rPr>
        <w:t>Atentamente</w:t>
      </w:r>
      <w:r w:rsidRPr="00A45A38">
        <w:rPr>
          <w:rFonts w:ascii="Century Gothic" w:eastAsia="Times New Roman" w:hAnsi="Century Gothic" w:cs="Arial"/>
          <w:lang w:val="es-MX" w:eastAsia="es-CO"/>
        </w:rPr>
        <w:t>,</w:t>
      </w:r>
      <w:r w:rsidRPr="00A45A38">
        <w:rPr>
          <w:rFonts w:ascii="Century Gothic" w:eastAsia="Times New Roman" w:hAnsi="Century Gothic" w:cs="Arial"/>
          <w:lang w:eastAsia="es-CO"/>
        </w:rPr>
        <w:t> </w:t>
      </w:r>
    </w:p>
    <w:p w14:paraId="06D09903" w14:textId="77777777" w:rsidR="00F03B99" w:rsidRDefault="00F03B99" w:rsidP="007959BC">
      <w:pPr>
        <w:spacing w:after="0" w:line="276" w:lineRule="auto"/>
        <w:jc w:val="center"/>
        <w:textAlignment w:val="baseline"/>
        <w:rPr>
          <w:rFonts w:ascii="Century Gothic" w:eastAsia="Times New Roman" w:hAnsi="Century Gothic" w:cs="Arial"/>
          <w:sz w:val="18"/>
          <w:szCs w:val="18"/>
          <w:lang w:eastAsia="es-CO"/>
        </w:rPr>
      </w:pPr>
    </w:p>
    <w:p w14:paraId="254217D4" w14:textId="42E59649" w:rsidR="0066747D" w:rsidRDefault="00705C5A" w:rsidP="00705C5A">
      <w:pPr>
        <w:spacing w:after="0" w:line="276" w:lineRule="auto"/>
        <w:jc w:val="center"/>
        <w:textAlignment w:val="baseline"/>
        <w:rPr>
          <w:rFonts w:ascii="Century Gothic" w:eastAsia="Times New Roman" w:hAnsi="Century Gothic" w:cs="Arial"/>
          <w:sz w:val="18"/>
          <w:szCs w:val="18"/>
          <w:lang w:eastAsia="es-CO"/>
        </w:rPr>
      </w:pPr>
      <w:r w:rsidRPr="00705C5A">
        <w:rPr>
          <w:rFonts w:ascii="Century Gothic" w:eastAsia="Times New Roman" w:hAnsi="Century Gothic" w:cs="Arial"/>
          <w:noProof/>
          <w:sz w:val="18"/>
          <w:szCs w:val="18"/>
          <w:lang w:eastAsia="es-CO"/>
        </w:rPr>
        <w:drawing>
          <wp:inline distT="0" distB="0" distL="0" distR="0" wp14:anchorId="5501012A" wp14:editId="77BA5897">
            <wp:extent cx="3154680" cy="1211580"/>
            <wp:effectExtent l="0" t="0" r="7620" b="7620"/>
            <wp:docPr id="1145605376" name="Imagen 1" descr="C:\Users\ghinestroza\AppData\Local\Microsoft\Windows\INetCache\Content.MSO\9A8B54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hinestroza\AppData\Local\Microsoft\Windows\INetCache\Content.MSO\9A8B54F8.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r w:rsidRPr="00705C5A">
        <w:rPr>
          <w:rFonts w:ascii="Century Gothic" w:eastAsia="Times New Roman" w:hAnsi="Century Gothic" w:cs="Arial"/>
          <w:sz w:val="18"/>
          <w:szCs w:val="18"/>
          <w:lang w:eastAsia="es-CO"/>
        </w:rPr>
        <w:br/>
      </w:r>
    </w:p>
    <w:p w14:paraId="4B5A9EE6" w14:textId="77777777" w:rsidR="0066747D" w:rsidRPr="00A45A38" w:rsidRDefault="0066747D" w:rsidP="007959BC">
      <w:pPr>
        <w:spacing w:after="0" w:line="276" w:lineRule="auto"/>
        <w:jc w:val="center"/>
        <w:textAlignment w:val="baseline"/>
        <w:rPr>
          <w:rFonts w:ascii="Century Gothic" w:eastAsia="Times New Roman" w:hAnsi="Century Gothic" w:cs="Arial"/>
          <w:sz w:val="18"/>
          <w:szCs w:val="18"/>
          <w:lang w:eastAsia="es-CO"/>
        </w:rPr>
      </w:pPr>
    </w:p>
    <w:tbl>
      <w:tblPr>
        <w:tblW w:w="7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2"/>
        <w:gridCol w:w="6287"/>
      </w:tblGrid>
      <w:tr w:rsidR="007959BC" w:rsidRPr="00A45A38" w14:paraId="1F2D786F" w14:textId="77777777">
        <w:trPr>
          <w:trHeight w:val="441"/>
        </w:trPr>
        <w:tc>
          <w:tcPr>
            <w:tcW w:w="1122" w:type="dxa"/>
            <w:tcBorders>
              <w:top w:val="nil"/>
              <w:left w:val="nil"/>
              <w:bottom w:val="nil"/>
              <w:right w:val="nil"/>
            </w:tcBorders>
            <w:vAlign w:val="center"/>
            <w:hideMark/>
          </w:tcPr>
          <w:p w14:paraId="7C971A7B" w14:textId="77777777" w:rsidR="007959BC" w:rsidRPr="00A45A38" w:rsidRDefault="007959BC">
            <w:pPr>
              <w:spacing w:after="0" w:line="276"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MX" w:eastAsia="es-CO"/>
              </w:rPr>
              <w:t>Elaboró:</w:t>
            </w:r>
            <w:r w:rsidRPr="00A45A38">
              <w:rPr>
                <w:rFonts w:ascii="Century Gothic" w:eastAsia="Times New Roman" w:hAnsi="Century Gothic" w:cs="Arial"/>
                <w:sz w:val="18"/>
                <w:szCs w:val="18"/>
                <w:lang w:eastAsia="es-CO"/>
              </w:rPr>
              <w:t> </w:t>
            </w:r>
          </w:p>
        </w:tc>
        <w:tc>
          <w:tcPr>
            <w:tcW w:w="6287" w:type="dxa"/>
            <w:tcBorders>
              <w:top w:val="nil"/>
              <w:left w:val="nil"/>
              <w:bottom w:val="dotted" w:sz="6" w:space="0" w:color="7F7F7F"/>
              <w:right w:val="nil"/>
            </w:tcBorders>
            <w:vAlign w:val="center"/>
            <w:hideMark/>
          </w:tcPr>
          <w:p w14:paraId="4BDFE0A9" w14:textId="1D41D699" w:rsidR="007959BC" w:rsidRPr="00591C74" w:rsidRDefault="0066747D">
            <w:pPr>
              <w:spacing w:after="0" w:line="240" w:lineRule="auto"/>
              <w:jc w:val="both"/>
              <w:textAlignment w:val="baseline"/>
              <w:rPr>
                <w:rFonts w:ascii="Century Gothic" w:eastAsia="Times New Roman" w:hAnsi="Century Gothic" w:cs="Arial"/>
                <w:sz w:val="16"/>
                <w:szCs w:val="16"/>
                <w:lang w:eastAsia="es-ES"/>
              </w:rPr>
            </w:pPr>
            <w:r w:rsidRPr="00591C74">
              <w:rPr>
                <w:rFonts w:ascii="Century Gothic" w:eastAsia="Times New Roman" w:hAnsi="Century Gothic" w:cs="Arial"/>
                <w:sz w:val="16"/>
                <w:szCs w:val="16"/>
                <w:lang w:eastAsia="es-ES"/>
              </w:rPr>
              <w:t>Hector Luis Quiñones Quiñones</w:t>
            </w:r>
          </w:p>
          <w:p w14:paraId="66BA9686" w14:textId="1724B83C" w:rsidR="007959BC" w:rsidRPr="00591C74" w:rsidRDefault="003F18EA">
            <w:pPr>
              <w:spacing w:after="0" w:line="240" w:lineRule="auto"/>
              <w:jc w:val="both"/>
              <w:textAlignment w:val="baseline"/>
              <w:rPr>
                <w:rFonts w:ascii="Century Gothic" w:eastAsia="Times New Roman" w:hAnsi="Century Gothic" w:cs="Arial"/>
                <w:sz w:val="16"/>
                <w:szCs w:val="16"/>
                <w:lang w:eastAsia="es-CO"/>
              </w:rPr>
            </w:pPr>
            <w:r w:rsidRPr="00591C74">
              <w:rPr>
                <w:rFonts w:ascii="Century Gothic" w:eastAsia="Times New Roman" w:hAnsi="Century Gothic" w:cs="Arial"/>
                <w:sz w:val="16"/>
                <w:szCs w:val="16"/>
                <w:lang w:eastAsia="es-ES"/>
              </w:rPr>
              <w:t>Analista T2-02</w:t>
            </w:r>
            <w:r w:rsidR="007959BC" w:rsidRPr="00591C74">
              <w:rPr>
                <w:rFonts w:ascii="Century Gothic" w:eastAsia="Times New Roman" w:hAnsi="Century Gothic" w:cs="Arial"/>
                <w:sz w:val="16"/>
                <w:szCs w:val="16"/>
                <w:lang w:eastAsia="es-ES"/>
              </w:rPr>
              <w:t xml:space="preserve"> de</w:t>
            </w:r>
            <w:r w:rsidRPr="00591C74">
              <w:rPr>
                <w:rFonts w:ascii="Century Gothic" w:eastAsia="Times New Roman" w:hAnsi="Century Gothic" w:cs="Arial"/>
                <w:sz w:val="16"/>
                <w:szCs w:val="16"/>
                <w:lang w:eastAsia="es-ES"/>
              </w:rPr>
              <w:t xml:space="preserve"> la Subdirección de Gestión</w:t>
            </w:r>
            <w:r w:rsidR="007959BC" w:rsidRPr="00591C74">
              <w:rPr>
                <w:rFonts w:ascii="Century Gothic" w:eastAsia="Times New Roman" w:hAnsi="Century Gothic" w:cs="Arial"/>
                <w:sz w:val="16"/>
                <w:szCs w:val="16"/>
                <w:lang w:eastAsia="es-ES"/>
              </w:rPr>
              <w:t xml:space="preserve"> Contractual</w:t>
            </w:r>
          </w:p>
        </w:tc>
      </w:tr>
      <w:tr w:rsidR="007959BC" w:rsidRPr="00A45A38" w14:paraId="44192DF3" w14:textId="77777777">
        <w:trPr>
          <w:trHeight w:val="441"/>
        </w:trPr>
        <w:tc>
          <w:tcPr>
            <w:tcW w:w="1122" w:type="dxa"/>
            <w:tcBorders>
              <w:top w:val="nil"/>
              <w:left w:val="nil"/>
              <w:bottom w:val="nil"/>
              <w:right w:val="nil"/>
            </w:tcBorders>
            <w:vAlign w:val="center"/>
            <w:hideMark/>
          </w:tcPr>
          <w:p w14:paraId="2E72076D" w14:textId="77777777" w:rsidR="007959BC" w:rsidRPr="00A45A38" w:rsidRDefault="007959BC">
            <w:pPr>
              <w:spacing w:after="0" w:line="276"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MX" w:eastAsia="es-CO"/>
              </w:rPr>
              <w:t>Revisó:</w:t>
            </w:r>
            <w:r w:rsidRPr="00A45A38">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6793B6EA" w14:textId="5BA5287C" w:rsidR="007959BC" w:rsidRPr="00591C74" w:rsidRDefault="00CC0BA1">
            <w:pPr>
              <w:spacing w:after="0" w:line="276" w:lineRule="auto"/>
              <w:rPr>
                <w:rFonts w:ascii="Century Gothic" w:eastAsia="Times New Roman" w:hAnsi="Century Gothic" w:cs="Arial"/>
                <w:sz w:val="16"/>
                <w:szCs w:val="16"/>
                <w:lang w:eastAsia="es-ES"/>
              </w:rPr>
            </w:pPr>
            <w:r>
              <w:rPr>
                <w:rFonts w:ascii="Century Gothic" w:eastAsia="Times New Roman" w:hAnsi="Century Gothic" w:cs="Arial"/>
                <w:sz w:val="16"/>
                <w:szCs w:val="16"/>
                <w:lang w:eastAsia="es-ES"/>
              </w:rPr>
              <w:t>Juan David Cabeza</w:t>
            </w:r>
          </w:p>
          <w:p w14:paraId="28DD1270" w14:textId="1725BB7F" w:rsidR="007959BC" w:rsidRPr="00591C74" w:rsidRDefault="00CB1EF0">
            <w:pPr>
              <w:spacing w:after="0" w:line="276" w:lineRule="auto"/>
              <w:rPr>
                <w:rFonts w:ascii="Century Gothic" w:eastAsia="Times New Roman" w:hAnsi="Century Gothic" w:cs="Arial"/>
                <w:sz w:val="16"/>
                <w:szCs w:val="16"/>
                <w:lang w:eastAsia="es-CO"/>
              </w:rPr>
            </w:pPr>
            <w:r w:rsidRPr="00591C74">
              <w:rPr>
                <w:rFonts w:ascii="Century Gothic" w:eastAsia="Times New Roman" w:hAnsi="Century Gothic" w:cs="Arial"/>
                <w:sz w:val="16"/>
                <w:szCs w:val="16"/>
                <w:lang w:eastAsia="es-ES"/>
              </w:rPr>
              <w:t>Contratista</w:t>
            </w:r>
            <w:r w:rsidR="007959BC" w:rsidRPr="00591C74">
              <w:rPr>
                <w:rFonts w:ascii="Century Gothic" w:eastAsia="Times New Roman" w:hAnsi="Century Gothic" w:cs="Arial"/>
                <w:sz w:val="16"/>
                <w:szCs w:val="16"/>
                <w:lang w:eastAsia="es-ES"/>
              </w:rPr>
              <w:t xml:space="preserve"> de la Subdirección de Gestión Contractual</w:t>
            </w:r>
          </w:p>
        </w:tc>
      </w:tr>
      <w:tr w:rsidR="007959BC" w:rsidRPr="00A45A38" w14:paraId="541BF5FF" w14:textId="77777777">
        <w:trPr>
          <w:trHeight w:val="420"/>
        </w:trPr>
        <w:tc>
          <w:tcPr>
            <w:tcW w:w="1122" w:type="dxa"/>
            <w:tcBorders>
              <w:top w:val="nil"/>
              <w:left w:val="nil"/>
              <w:bottom w:val="nil"/>
              <w:right w:val="nil"/>
            </w:tcBorders>
            <w:vAlign w:val="center"/>
            <w:hideMark/>
          </w:tcPr>
          <w:p w14:paraId="1504A643" w14:textId="77777777" w:rsidR="007959BC" w:rsidRPr="00A45A38" w:rsidRDefault="007959BC">
            <w:pPr>
              <w:spacing w:after="0" w:line="276" w:lineRule="auto"/>
              <w:jc w:val="both"/>
              <w:textAlignment w:val="baseline"/>
              <w:rPr>
                <w:rFonts w:ascii="Century Gothic" w:eastAsia="Times New Roman" w:hAnsi="Century Gothic" w:cs="Arial"/>
                <w:sz w:val="18"/>
                <w:szCs w:val="18"/>
                <w:lang w:eastAsia="es-CO"/>
              </w:rPr>
            </w:pPr>
            <w:r w:rsidRPr="00A45A38">
              <w:rPr>
                <w:rFonts w:ascii="Century Gothic" w:eastAsia="Times New Roman" w:hAnsi="Century Gothic" w:cs="Arial"/>
                <w:sz w:val="18"/>
                <w:szCs w:val="18"/>
                <w:lang w:val="es-MX" w:eastAsia="es-CO"/>
              </w:rPr>
              <w:t>Aprobó:</w:t>
            </w:r>
            <w:r w:rsidRPr="00A45A38">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6E6B09CA" w14:textId="77777777" w:rsidR="007959BC" w:rsidRPr="00591C74" w:rsidRDefault="007959BC">
            <w:pPr>
              <w:spacing w:after="0" w:line="240" w:lineRule="auto"/>
              <w:jc w:val="both"/>
              <w:textAlignment w:val="baseline"/>
              <w:rPr>
                <w:rFonts w:ascii="Century Gothic" w:eastAsia="Times New Roman" w:hAnsi="Century Gothic" w:cs="Arial"/>
                <w:sz w:val="16"/>
                <w:szCs w:val="16"/>
                <w:lang w:val="es-ES_tradnl" w:eastAsia="es-CO"/>
              </w:rPr>
            </w:pPr>
            <w:r w:rsidRPr="00591C74">
              <w:rPr>
                <w:rFonts w:ascii="Century Gothic" w:eastAsia="Times New Roman" w:hAnsi="Century Gothic" w:cs="Arial"/>
                <w:sz w:val="16"/>
                <w:szCs w:val="16"/>
                <w:lang w:val="es-ES_tradnl" w:eastAsia="es-CO"/>
              </w:rPr>
              <w:t>Nohelia del Carmen Zawady Palacio</w:t>
            </w:r>
          </w:p>
          <w:p w14:paraId="1B638618" w14:textId="77777777" w:rsidR="007959BC" w:rsidRPr="00591C74" w:rsidRDefault="007959BC">
            <w:pPr>
              <w:spacing w:after="0" w:line="240" w:lineRule="auto"/>
              <w:jc w:val="both"/>
              <w:textAlignment w:val="baseline"/>
              <w:rPr>
                <w:rFonts w:ascii="Century Gothic" w:eastAsia="Times New Roman" w:hAnsi="Century Gothic" w:cs="Arial"/>
                <w:sz w:val="16"/>
                <w:szCs w:val="16"/>
                <w:lang w:eastAsia="es-CO"/>
              </w:rPr>
            </w:pPr>
            <w:r w:rsidRPr="00591C74">
              <w:rPr>
                <w:rFonts w:ascii="Century Gothic" w:eastAsia="Times New Roman" w:hAnsi="Century Gothic" w:cs="Arial"/>
                <w:sz w:val="16"/>
                <w:szCs w:val="16"/>
                <w:lang w:val="es-ES_tradnl" w:eastAsia="es-CO"/>
              </w:rPr>
              <w:t>Subdirectora de Gestión Contractual ANCP-CCE</w:t>
            </w:r>
          </w:p>
        </w:tc>
      </w:tr>
      <w:bookmarkEnd w:id="0"/>
    </w:tbl>
    <w:p w14:paraId="0F293BF4" w14:textId="7BBFAB11" w:rsidR="00127233" w:rsidRPr="00A45A38" w:rsidRDefault="00127233" w:rsidP="007959BC">
      <w:pPr>
        <w:spacing w:after="0"/>
        <w:jc w:val="both"/>
        <w:rPr>
          <w:rFonts w:ascii="Century Gothic" w:hAnsi="Century Gothic"/>
        </w:rPr>
      </w:pPr>
    </w:p>
    <w:sectPr w:rsidR="00127233" w:rsidRPr="00A45A38" w:rsidSect="0039380E">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2CF559" w14:textId="77777777" w:rsidR="00D00576" w:rsidRDefault="00D00576" w:rsidP="004A1847">
      <w:pPr>
        <w:spacing w:after="0" w:line="240" w:lineRule="auto"/>
      </w:pPr>
      <w:r>
        <w:separator/>
      </w:r>
    </w:p>
  </w:endnote>
  <w:endnote w:type="continuationSeparator" w:id="0">
    <w:p w14:paraId="32684533" w14:textId="77777777" w:rsidR="00D00576" w:rsidRDefault="00D00576" w:rsidP="004A1847">
      <w:pPr>
        <w:spacing w:after="0" w:line="240" w:lineRule="auto"/>
      </w:pPr>
      <w:r>
        <w:continuationSeparator/>
      </w:r>
    </w:p>
  </w:endnote>
  <w:endnote w:type="continuationNotice" w:id="1">
    <w:p w14:paraId="031BDCD6" w14:textId="77777777" w:rsidR="00D00576" w:rsidRDefault="00D005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alibri"/>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Footer"/>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Footer"/>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Footer"/>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Footer"/>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2C84AC" w14:textId="77777777" w:rsidR="00D00576" w:rsidRDefault="00D00576" w:rsidP="004A1847">
      <w:pPr>
        <w:spacing w:after="0" w:line="240" w:lineRule="auto"/>
      </w:pPr>
      <w:r>
        <w:separator/>
      </w:r>
    </w:p>
  </w:footnote>
  <w:footnote w:type="continuationSeparator" w:id="0">
    <w:p w14:paraId="6F9C8D95" w14:textId="77777777" w:rsidR="00D00576" w:rsidRDefault="00D00576" w:rsidP="004A1847">
      <w:pPr>
        <w:spacing w:after="0" w:line="240" w:lineRule="auto"/>
      </w:pPr>
      <w:r>
        <w:continuationSeparator/>
      </w:r>
    </w:p>
  </w:footnote>
  <w:footnote w:type="continuationNotice" w:id="1">
    <w:p w14:paraId="1B292D22" w14:textId="77777777" w:rsidR="00D00576" w:rsidRDefault="00D00576">
      <w:pPr>
        <w:spacing w:after="0" w:line="240" w:lineRule="auto"/>
      </w:pPr>
    </w:p>
  </w:footnote>
  <w:footnote w:id="2">
    <w:p w14:paraId="1371A85C" w14:textId="77777777" w:rsidR="007A6E93" w:rsidRPr="00A45A38" w:rsidRDefault="007A6E93" w:rsidP="00A45A38">
      <w:pPr>
        <w:spacing w:after="0" w:line="240" w:lineRule="auto"/>
        <w:ind w:firstLine="708"/>
        <w:jc w:val="both"/>
        <w:rPr>
          <w:rFonts w:ascii="Century Gothic" w:eastAsia="Times New Roman" w:hAnsi="Century Gothic" w:cs="Arial"/>
          <w:sz w:val="18"/>
          <w:szCs w:val="18"/>
          <w:lang w:eastAsia="es-CO"/>
        </w:rPr>
      </w:pPr>
      <w:r w:rsidRPr="00A45A38">
        <w:rPr>
          <w:rStyle w:val="FootnoteReference"/>
          <w:rFonts w:ascii="Century Gothic" w:hAnsi="Century Gothic" w:cs="Arial"/>
          <w:sz w:val="18"/>
          <w:szCs w:val="18"/>
        </w:rPr>
        <w:footnoteRef/>
      </w:r>
      <w:r w:rsidRPr="00A45A38">
        <w:rPr>
          <w:rFonts w:ascii="Century Gothic" w:hAnsi="Century Gothic" w:cs="Arial"/>
          <w:sz w:val="18"/>
          <w:szCs w:val="18"/>
        </w:rPr>
        <w:t xml:space="preserve"> </w:t>
      </w:r>
      <w:r w:rsidRPr="00A45A38">
        <w:rPr>
          <w:rFonts w:ascii="Century Gothic" w:eastAsia="Times New Roman" w:hAnsi="Century Gothic" w:cs="Arial"/>
          <w:sz w:val="18"/>
          <w:szCs w:val="18"/>
          <w:lang w:eastAsia="es-CO"/>
        </w:rPr>
        <w:t>Estos conceptos pueden ser consultados en la relatoría de Colombia Compra Eficiente en el siguiente enlace:</w:t>
      </w:r>
      <w:r w:rsidRPr="00A45A38">
        <w:rPr>
          <w:rFonts w:ascii="Century Gothic" w:eastAsia="Times New Roman" w:hAnsi="Century Gothic" w:cs="Arial"/>
          <w:sz w:val="18"/>
          <w:szCs w:val="18"/>
          <w:lang w:eastAsia="es-CO"/>
        </w:rPr>
        <w:br/>
      </w:r>
      <w:hyperlink r:id="rId1" w:history="1">
        <w:r w:rsidRPr="00A45A38">
          <w:rPr>
            <w:rStyle w:val="Hyperlink"/>
            <w:rFonts w:ascii="Century Gothic" w:eastAsia="Times New Roman" w:hAnsi="Century Gothic" w:cs="Arial"/>
            <w:sz w:val="18"/>
            <w:szCs w:val="18"/>
            <w:lang w:eastAsia="es-CO"/>
          </w:rPr>
          <w:t>http://relatoria.colombiacompra.gov.co/busqueda/conceptos</w:t>
        </w:r>
      </w:hyperlink>
      <w:r w:rsidRPr="00A45A38">
        <w:rPr>
          <w:rFonts w:ascii="Century Gothic" w:eastAsia="Times New Roman" w:hAnsi="Century Gothic" w:cs="Arial"/>
          <w:sz w:val="18"/>
          <w:szCs w:val="18"/>
          <w:lang w:eastAsia="es-CO"/>
        </w:rPr>
        <w:t xml:space="preserve"> </w:t>
      </w:r>
    </w:p>
  </w:footnote>
  <w:footnote w:id="3">
    <w:p w14:paraId="02BA3550" w14:textId="77777777" w:rsidR="00977A67" w:rsidRPr="00246CE2" w:rsidRDefault="00977A67" w:rsidP="00977A67">
      <w:pPr>
        <w:pStyle w:val="FootnoteText"/>
        <w:ind w:firstLine="708"/>
        <w:contextualSpacing/>
        <w:jc w:val="both"/>
        <w:rPr>
          <w:rFonts w:ascii="Century Gothic" w:hAnsi="Century Gothic" w:cs="Arial"/>
          <w:color w:val="000000"/>
          <w:sz w:val="18"/>
          <w:szCs w:val="18"/>
        </w:rPr>
      </w:pPr>
      <w:r w:rsidRPr="00246CE2">
        <w:rPr>
          <w:rFonts w:ascii="Century Gothic" w:hAnsi="Century Gothic" w:cs="Arial"/>
          <w:color w:val="000000"/>
          <w:sz w:val="18"/>
          <w:szCs w:val="18"/>
          <w:vertAlign w:val="superscript"/>
        </w:rPr>
        <w:footnoteRef/>
      </w:r>
      <w:r w:rsidRPr="00246CE2">
        <w:rPr>
          <w:rFonts w:ascii="Century Gothic" w:hAnsi="Century Gothic" w:cs="Arial"/>
          <w:color w:val="000000"/>
          <w:sz w:val="18"/>
          <w:szCs w:val="18"/>
        </w:rPr>
        <w:t xml:space="preserve"> Corte Constitucional. Sentencia C- 341 del 4 de junio de 2014. M. P. Mauricio González Cuervo.</w:t>
      </w:r>
    </w:p>
    <w:p w14:paraId="3C9BE2EE" w14:textId="77777777" w:rsidR="00977A67" w:rsidRDefault="00977A67" w:rsidP="00977A67">
      <w:pPr>
        <w:pStyle w:val="FootnoteText"/>
        <w:ind w:firstLine="708"/>
        <w:contextualSpacing/>
        <w:jc w:val="both"/>
      </w:pPr>
    </w:p>
  </w:footnote>
  <w:footnote w:id="4">
    <w:p w14:paraId="435D8607" w14:textId="77777777" w:rsidR="00977A67" w:rsidRDefault="00977A67" w:rsidP="00977A67">
      <w:pPr>
        <w:pStyle w:val="FootnoteText"/>
        <w:ind w:firstLine="709"/>
        <w:contextualSpacing/>
        <w:jc w:val="both"/>
        <w:rPr>
          <w:rFonts w:ascii="Century Gothic" w:hAnsi="Century Gothic" w:cs="Arial"/>
          <w:color w:val="000000"/>
          <w:sz w:val="18"/>
          <w:szCs w:val="18"/>
        </w:rPr>
      </w:pPr>
      <w:r w:rsidRPr="00246CE2">
        <w:rPr>
          <w:rFonts w:ascii="Century Gothic" w:hAnsi="Century Gothic" w:cs="Arial"/>
          <w:color w:val="000000"/>
          <w:sz w:val="18"/>
          <w:szCs w:val="18"/>
          <w:vertAlign w:val="superscript"/>
        </w:rPr>
        <w:footnoteRef/>
      </w:r>
      <w:r w:rsidRPr="00246CE2">
        <w:rPr>
          <w:rFonts w:ascii="Century Gothic" w:hAnsi="Century Gothic" w:cs="Arial"/>
          <w:color w:val="000000"/>
          <w:sz w:val="18"/>
          <w:szCs w:val="18"/>
        </w:rPr>
        <w:t xml:space="preserve"> Ley 1150 de 2007: </w:t>
      </w:r>
      <w:r>
        <w:rPr>
          <w:rFonts w:ascii="Century Gothic" w:hAnsi="Century Gothic" w:cs="Arial"/>
          <w:color w:val="000000"/>
          <w:sz w:val="18"/>
          <w:szCs w:val="18"/>
        </w:rPr>
        <w:t>“</w:t>
      </w:r>
      <w:r w:rsidRPr="00246CE2">
        <w:rPr>
          <w:rFonts w:ascii="Century Gothic" w:hAnsi="Century Gothic" w:cs="Arial"/>
          <w:color w:val="000000"/>
          <w:sz w:val="18"/>
          <w:szCs w:val="18"/>
        </w:rPr>
        <w:t>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5EB828C" w14:textId="77777777" w:rsidR="00977A67" w:rsidRPr="00246CE2" w:rsidRDefault="00977A67" w:rsidP="00977A67">
      <w:pPr>
        <w:pStyle w:val="FootnoteText"/>
        <w:ind w:firstLine="709"/>
        <w:contextualSpacing/>
        <w:jc w:val="both"/>
        <w:rPr>
          <w:rFonts w:ascii="Century Gothic" w:hAnsi="Century Gothic" w:cs="Arial"/>
          <w:color w:val="000000"/>
          <w:sz w:val="18"/>
          <w:szCs w:val="18"/>
        </w:rPr>
      </w:pPr>
    </w:p>
    <w:p w14:paraId="66FC240D" w14:textId="77777777" w:rsidR="00977A67" w:rsidRPr="00246CE2" w:rsidRDefault="00977A67" w:rsidP="00977A67">
      <w:pPr>
        <w:pStyle w:val="FootnoteText"/>
        <w:ind w:firstLine="709"/>
        <w:contextualSpacing/>
        <w:jc w:val="both"/>
        <w:rPr>
          <w:rFonts w:ascii="Century Gothic" w:hAnsi="Century Gothic" w:cs="Arial"/>
          <w:color w:val="000000"/>
          <w:sz w:val="18"/>
          <w:szCs w:val="18"/>
        </w:rPr>
      </w:pPr>
      <w:r>
        <w:rPr>
          <w:rFonts w:ascii="Century Gothic" w:hAnsi="Century Gothic" w:cs="Arial"/>
          <w:color w:val="000000"/>
          <w:sz w:val="18"/>
          <w:szCs w:val="18"/>
        </w:rPr>
        <w:t>“</w:t>
      </w:r>
      <w:r w:rsidRPr="00246CE2">
        <w:rPr>
          <w:rFonts w:ascii="Century Gothic" w:hAnsi="Century Gothic" w:cs="Arial"/>
          <w:color w:val="000000"/>
          <w:sz w:val="18"/>
          <w:szCs w:val="18"/>
        </w:rPr>
        <w:t>Lo anterior, sin perjuicio de las publicaciones previstas en el numeral 3 del artículo 30 de la Ley 80 de 1993.</w:t>
      </w:r>
    </w:p>
    <w:p w14:paraId="71FFF5D7" w14:textId="77777777" w:rsidR="00977A67" w:rsidRPr="00246CE2" w:rsidRDefault="00977A67" w:rsidP="00977A67">
      <w:pPr>
        <w:pStyle w:val="FootnoteText"/>
        <w:ind w:firstLine="709"/>
        <w:contextualSpacing/>
        <w:jc w:val="both"/>
        <w:rPr>
          <w:rFonts w:ascii="Century Gothic" w:hAnsi="Century Gothic" w:cs="Arial"/>
          <w:color w:val="000000"/>
          <w:sz w:val="18"/>
          <w:szCs w:val="18"/>
        </w:rPr>
      </w:pPr>
      <w:r>
        <w:rPr>
          <w:rFonts w:ascii="Century Gothic" w:hAnsi="Century Gothic" w:cs="Arial"/>
          <w:color w:val="000000"/>
          <w:sz w:val="18"/>
          <w:szCs w:val="18"/>
        </w:rPr>
        <w:t>“</w:t>
      </w:r>
      <w:r w:rsidRPr="00246CE2">
        <w:rPr>
          <w:rFonts w:ascii="Century Gothic" w:hAnsi="Century Gothic" w:cs="Arial"/>
          <w:color w:val="000000"/>
          <w:sz w:val="18"/>
          <w:szCs w:val="18"/>
        </w:rPr>
        <w:t xml:space="preserve">Con el fin de materializar los objetivos a que se refiere el inciso anterior, el Gobierno Nacional desarrollará el Sistema Electrónico para la Contratación Pública, Secop, el cual: </w:t>
      </w:r>
    </w:p>
    <w:p w14:paraId="03872143" w14:textId="77777777" w:rsidR="00977A67" w:rsidRPr="00246CE2" w:rsidRDefault="00977A67" w:rsidP="00977A67">
      <w:pPr>
        <w:pStyle w:val="FootnoteText"/>
        <w:ind w:firstLine="709"/>
        <w:contextualSpacing/>
        <w:jc w:val="both"/>
        <w:rPr>
          <w:rFonts w:ascii="Century Gothic" w:hAnsi="Century Gothic" w:cs="Arial"/>
          <w:color w:val="000000"/>
          <w:sz w:val="18"/>
          <w:szCs w:val="18"/>
        </w:rPr>
      </w:pPr>
      <w:r w:rsidRPr="00246CE2">
        <w:rPr>
          <w:rFonts w:ascii="Century Gothic" w:hAnsi="Century Gothic" w:cs="Arial"/>
          <w:color w:val="000000"/>
          <w:sz w:val="18"/>
          <w:szCs w:val="18"/>
        </w:rPr>
        <w:t>[…]</w:t>
      </w:r>
    </w:p>
    <w:p w14:paraId="7213A708" w14:textId="77777777" w:rsidR="00977A67" w:rsidRDefault="00977A67" w:rsidP="00977A67">
      <w:pPr>
        <w:pStyle w:val="FootnoteText"/>
        <w:ind w:firstLine="709"/>
        <w:contextualSpacing/>
        <w:jc w:val="both"/>
      </w:pPr>
      <w:r>
        <w:rPr>
          <w:rFonts w:ascii="Century Gothic" w:hAnsi="Century Gothic" w:cs="Arial"/>
          <w:color w:val="000000"/>
          <w:sz w:val="18"/>
          <w:szCs w:val="18"/>
        </w:rPr>
        <w:t>“</w:t>
      </w:r>
      <w:r w:rsidRPr="00246CE2">
        <w:rPr>
          <w:rFonts w:ascii="Century Gothic" w:hAnsi="Century Gothic" w:cs="Arial"/>
          <w:color w:val="000000"/>
          <w:sz w:val="18"/>
          <w:szCs w:val="18"/>
        </w:rPr>
        <w:t>c) Contará con la información oficial de la contratación realizada con dineros públicos, para lo cual establecerá los patrones a que haya lugar y se encargará de su difusión a través de canales electrónico</w:t>
      </w:r>
      <w:r>
        <w:rPr>
          <w:rFonts w:ascii="Century Gothic" w:hAnsi="Century Gothic" w:cs="Arial"/>
          <w:color w:val="000000"/>
          <w:sz w:val="18"/>
          <w:szCs w:val="18"/>
        </w:rPr>
        <w:t>”</w:t>
      </w:r>
      <w:r w:rsidRPr="00246CE2">
        <w:rPr>
          <w:rFonts w:ascii="Century Gothic" w:hAnsi="Century Gothic" w:cs="Arial"/>
          <w:color w:val="000000"/>
          <w:sz w:val="18"/>
          <w:szCs w:val="18"/>
        </w:rPr>
        <w:t xml:space="preserve">. </w:t>
      </w:r>
    </w:p>
  </w:footnote>
  <w:footnote w:id="5">
    <w:p w14:paraId="76FBD7BD" w14:textId="77777777" w:rsidR="00977A67" w:rsidRDefault="00977A67" w:rsidP="00977A67">
      <w:pPr>
        <w:pStyle w:val="FootnoteText"/>
        <w:ind w:firstLine="709"/>
        <w:contextualSpacing/>
        <w:jc w:val="both"/>
      </w:pPr>
      <w:r w:rsidRPr="00246CE2">
        <w:rPr>
          <w:rFonts w:ascii="Century Gothic" w:hAnsi="Century Gothic" w:cs="Arial"/>
          <w:color w:val="000000"/>
          <w:sz w:val="18"/>
          <w:szCs w:val="18"/>
          <w:vertAlign w:val="superscript"/>
        </w:rPr>
        <w:footnoteRef/>
      </w:r>
      <w:r w:rsidRPr="00246CE2">
        <w:rPr>
          <w:rFonts w:ascii="Century Gothic" w:hAnsi="Century Gothic" w:cs="Arial"/>
          <w:color w:val="000000"/>
          <w:sz w:val="18"/>
          <w:szCs w:val="18"/>
        </w:rPr>
        <w:t xml:space="preserve"> Ley 1712 de 2014: </w:t>
      </w:r>
      <w:r>
        <w:rPr>
          <w:rFonts w:ascii="Century Gothic" w:hAnsi="Century Gothic" w:cs="Arial"/>
          <w:color w:val="000000"/>
          <w:sz w:val="18"/>
          <w:szCs w:val="18"/>
        </w:rPr>
        <w:t>“</w:t>
      </w:r>
      <w:r w:rsidRPr="00246CE2">
        <w:rPr>
          <w:rFonts w:ascii="Century Gothic" w:hAnsi="Century Gothic" w:cs="Arial"/>
          <w:color w:val="000000"/>
          <w:sz w:val="18"/>
          <w:szCs w:val="18"/>
        </w:rPr>
        <w:t>Artículo 2. Toda información en posesión, bajo control o custodia de un sujeto obligado es pública y no podrá ser reservada o limitada sino por disposición constitucional o legal, de conformidad con la presente ley</w:t>
      </w:r>
      <w:r>
        <w:rPr>
          <w:rFonts w:ascii="Century Gothic" w:hAnsi="Century Gothic" w:cs="Arial"/>
          <w:color w:val="000000"/>
          <w:sz w:val="18"/>
          <w:szCs w:val="18"/>
        </w:rPr>
        <w:t>”</w:t>
      </w:r>
      <w:r w:rsidRPr="00246CE2">
        <w:rPr>
          <w:rFonts w:ascii="Century Gothic" w:hAnsi="Century Gothic" w:cs="Arial"/>
          <w:color w:val="000000"/>
          <w:sz w:val="18"/>
          <w:szCs w:val="18"/>
        </w:rPr>
        <w:t>.</w:t>
      </w:r>
    </w:p>
  </w:footnote>
  <w:footnote w:id="6">
    <w:p w14:paraId="369054FD" w14:textId="77777777" w:rsidR="00977A67" w:rsidRPr="00246CE2" w:rsidRDefault="00977A67" w:rsidP="00977A67">
      <w:pPr>
        <w:pStyle w:val="FootnoteText"/>
        <w:ind w:firstLine="707"/>
        <w:contextualSpacing/>
        <w:jc w:val="both"/>
        <w:rPr>
          <w:rFonts w:ascii="Century Gothic" w:hAnsi="Century Gothic" w:cs="Arial"/>
          <w:sz w:val="18"/>
          <w:szCs w:val="18"/>
          <w:lang w:val="es-CO"/>
        </w:rPr>
      </w:pPr>
      <w:r w:rsidRPr="00246CE2">
        <w:rPr>
          <w:rFonts w:ascii="Century Gothic" w:hAnsi="Century Gothic" w:cs="Arial"/>
          <w:sz w:val="18"/>
          <w:szCs w:val="18"/>
          <w:vertAlign w:val="superscript"/>
        </w:rPr>
        <w:footnoteRef/>
      </w:r>
      <w:r w:rsidRPr="00246CE2">
        <w:rPr>
          <w:rFonts w:ascii="Century Gothic" w:hAnsi="Century Gothic" w:cs="Arial"/>
          <w:sz w:val="18"/>
          <w:szCs w:val="18"/>
          <w:vertAlign w:val="superscript"/>
        </w:rPr>
        <w:t xml:space="preserve"> </w:t>
      </w:r>
      <w:r w:rsidRPr="00246CE2">
        <w:rPr>
          <w:rFonts w:ascii="Century Gothic" w:hAnsi="Century Gothic" w:cs="Arial"/>
          <w:sz w:val="18"/>
          <w:szCs w:val="18"/>
        </w:rPr>
        <w:t xml:space="preserve">Ley 1712 de 2014: «Artículo 3. </w:t>
      </w:r>
      <w:bookmarkStart w:id="2" w:name="3"/>
      <w:bookmarkEnd w:id="2"/>
      <w:r w:rsidRPr="00246CE2">
        <w:rPr>
          <w:rFonts w:ascii="Century Gothic" w:hAnsi="Century Gothic" w:cs="Arial"/>
          <w:sz w:val="18"/>
          <w:szCs w:val="18"/>
          <w:lang w:val="es-CO"/>
        </w:rPr>
        <w:t>Otros principios de la transparencia y acceso a la información pública. </w:t>
      </w:r>
    </w:p>
    <w:p w14:paraId="5A1933F8" w14:textId="77777777" w:rsidR="00977A67" w:rsidRPr="00246CE2" w:rsidRDefault="00977A67" w:rsidP="00977A67">
      <w:pPr>
        <w:pStyle w:val="FootnoteText"/>
        <w:ind w:firstLine="707"/>
        <w:contextualSpacing/>
        <w:jc w:val="both"/>
        <w:rPr>
          <w:rFonts w:ascii="Century Gothic" w:hAnsi="Century Gothic" w:cs="Arial"/>
          <w:sz w:val="18"/>
          <w:szCs w:val="18"/>
          <w:lang w:val="es-CO"/>
        </w:rPr>
      </w:pPr>
      <w:r w:rsidRPr="00246CE2">
        <w:rPr>
          <w:rFonts w:ascii="Century Gothic" w:hAnsi="Century Gothic" w:cs="Arial"/>
          <w:sz w:val="18"/>
          <w:szCs w:val="18"/>
          <w:lang w:val="es-CO"/>
        </w:rPr>
        <w:t>[…]</w:t>
      </w:r>
    </w:p>
    <w:p w14:paraId="13EB8491" w14:textId="77777777" w:rsidR="00977A67" w:rsidRPr="00246CE2" w:rsidRDefault="00977A67" w:rsidP="00977A67">
      <w:pPr>
        <w:pStyle w:val="FootnoteText"/>
        <w:ind w:firstLine="707"/>
        <w:contextualSpacing/>
        <w:jc w:val="both"/>
        <w:rPr>
          <w:rFonts w:ascii="Century Gothic" w:hAnsi="Century Gothic" w:cs="Arial"/>
          <w:sz w:val="18"/>
          <w:szCs w:val="18"/>
        </w:rPr>
      </w:pPr>
      <w:r w:rsidRPr="00246CE2">
        <w:rPr>
          <w:rStyle w:val="baj"/>
          <w:rFonts w:ascii="Century Gothic" w:hAnsi="Century Gothic" w:cs="Arial"/>
          <w:sz w:val="18"/>
          <w:szCs w:val="18"/>
        </w:rPr>
        <w:t>Principio de transparencia</w:t>
      </w:r>
      <w:r w:rsidRPr="00246CE2">
        <w:rPr>
          <w:rFonts w:ascii="Century Gothic" w:hAnsi="Century Gothic" w:cs="Arial"/>
          <w:sz w:val="18"/>
          <w:szCs w:val="18"/>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4D496F7D" w14:textId="77777777" w:rsidR="00977A67" w:rsidRDefault="00977A67" w:rsidP="00977A67">
      <w:pPr>
        <w:pStyle w:val="FootnoteText"/>
        <w:ind w:firstLine="707"/>
        <w:contextualSpacing/>
        <w:jc w:val="both"/>
      </w:pPr>
    </w:p>
  </w:footnote>
  <w:footnote w:id="7">
    <w:p w14:paraId="1546ECD3" w14:textId="77777777" w:rsidR="00977A67" w:rsidRPr="00246CE2" w:rsidRDefault="00977A67" w:rsidP="00977A67">
      <w:pPr>
        <w:pStyle w:val="FootnoteText"/>
        <w:ind w:firstLine="707"/>
        <w:contextualSpacing/>
        <w:jc w:val="both"/>
        <w:rPr>
          <w:rFonts w:ascii="Century Gothic" w:hAnsi="Century Gothic" w:cs="Arial"/>
          <w:sz w:val="18"/>
          <w:szCs w:val="18"/>
          <w:lang w:val="es-CO"/>
        </w:rPr>
      </w:pPr>
      <w:r w:rsidRPr="00246CE2">
        <w:rPr>
          <w:rFonts w:ascii="Century Gothic" w:hAnsi="Century Gothic" w:cs="Arial"/>
          <w:sz w:val="18"/>
          <w:szCs w:val="18"/>
          <w:vertAlign w:val="superscript"/>
        </w:rPr>
        <w:footnoteRef/>
      </w:r>
      <w:r w:rsidRPr="00246CE2">
        <w:rPr>
          <w:rFonts w:ascii="Century Gothic" w:hAnsi="Century Gothic" w:cs="Arial"/>
          <w:sz w:val="18"/>
          <w:szCs w:val="18"/>
          <w:vertAlign w:val="superscript"/>
        </w:rPr>
        <w:t xml:space="preserve"> </w:t>
      </w:r>
      <w:r w:rsidRPr="00246CE2">
        <w:rPr>
          <w:rFonts w:ascii="Century Gothic" w:hAnsi="Century Gothic" w:cs="Arial"/>
          <w:sz w:val="18"/>
          <w:szCs w:val="18"/>
        </w:rPr>
        <w:t xml:space="preserve">Ley 1712 de 2014: «Artículo 3. </w:t>
      </w:r>
      <w:r w:rsidRPr="00246CE2">
        <w:rPr>
          <w:rFonts w:ascii="Century Gothic" w:hAnsi="Century Gothic" w:cs="Arial"/>
          <w:sz w:val="18"/>
          <w:szCs w:val="18"/>
          <w:lang w:val="es-CO"/>
        </w:rPr>
        <w:t>Otros principios de la transparencia y acceso a la información pública. </w:t>
      </w:r>
    </w:p>
    <w:p w14:paraId="5CF80908" w14:textId="77777777" w:rsidR="00977A67" w:rsidRPr="00246CE2" w:rsidRDefault="00977A67" w:rsidP="00977A67">
      <w:pPr>
        <w:pStyle w:val="FootnoteText"/>
        <w:ind w:firstLine="707"/>
        <w:contextualSpacing/>
        <w:jc w:val="both"/>
        <w:rPr>
          <w:rFonts w:ascii="Century Gothic" w:hAnsi="Century Gothic" w:cs="Arial"/>
          <w:sz w:val="18"/>
          <w:szCs w:val="18"/>
          <w:lang w:val="es-ES"/>
        </w:rPr>
      </w:pPr>
      <w:r w:rsidRPr="00246CE2">
        <w:rPr>
          <w:rFonts w:ascii="Century Gothic" w:hAnsi="Century Gothic" w:cs="Arial"/>
          <w:sz w:val="18"/>
          <w:szCs w:val="18"/>
          <w:lang w:val="es-ES"/>
        </w:rPr>
        <w:t>[…]</w:t>
      </w:r>
    </w:p>
    <w:p w14:paraId="327F6275" w14:textId="77777777" w:rsidR="00977A67" w:rsidRDefault="00977A67" w:rsidP="00977A67">
      <w:pPr>
        <w:pStyle w:val="FootnoteText"/>
        <w:ind w:firstLine="707"/>
        <w:contextualSpacing/>
        <w:jc w:val="both"/>
      </w:pPr>
      <w:r w:rsidRPr="00246CE2">
        <w:rPr>
          <w:rStyle w:val="baj"/>
          <w:rFonts w:ascii="Century Gothic" w:hAnsi="Century Gothic" w:cs="Arial"/>
          <w:b/>
          <w:bCs/>
          <w:sz w:val="18"/>
          <w:szCs w:val="18"/>
        </w:rPr>
        <w:t>Principio de buena fe</w:t>
      </w:r>
      <w:r w:rsidRPr="00246CE2">
        <w:rPr>
          <w:rFonts w:ascii="Century Gothic" w:hAnsi="Century Gothic" w:cs="Arial"/>
          <w:sz w:val="18"/>
          <w:szCs w:val="18"/>
        </w:rPr>
        <w:t>. En virtud del cual todo sujeto obligado, al cumplir con las obligaciones derivadas del derecho de acceso a la información pública, lo hará con motivación honesta, leal y desprovista de cualquier intención dolosa o culposa.</w:t>
      </w:r>
    </w:p>
  </w:footnote>
  <w:footnote w:id="8">
    <w:p w14:paraId="5BF0E138" w14:textId="77777777" w:rsidR="00977A67" w:rsidRPr="00246CE2" w:rsidRDefault="00977A67" w:rsidP="00977A67">
      <w:pPr>
        <w:pStyle w:val="FootnoteText"/>
        <w:ind w:firstLine="707"/>
        <w:contextualSpacing/>
        <w:jc w:val="both"/>
        <w:rPr>
          <w:rFonts w:ascii="Century Gothic" w:hAnsi="Century Gothic" w:cs="Arial"/>
          <w:sz w:val="18"/>
          <w:szCs w:val="18"/>
          <w:shd w:val="clear" w:color="auto" w:fill="FFFFFF"/>
        </w:rPr>
      </w:pPr>
      <w:r w:rsidRPr="00246CE2">
        <w:rPr>
          <w:rFonts w:ascii="Century Gothic" w:hAnsi="Century Gothic" w:cs="Arial"/>
          <w:sz w:val="18"/>
          <w:szCs w:val="18"/>
          <w:vertAlign w:val="superscript"/>
        </w:rPr>
        <w:footnoteRef/>
      </w:r>
      <w:r w:rsidRPr="00246CE2">
        <w:rPr>
          <w:rFonts w:ascii="Century Gothic" w:hAnsi="Century Gothic" w:cs="Arial"/>
          <w:sz w:val="18"/>
          <w:szCs w:val="18"/>
        </w:rPr>
        <w:t xml:space="preserve"> Ley 1712 de 2014: </w:t>
      </w:r>
      <w:r>
        <w:rPr>
          <w:rFonts w:ascii="Century Gothic" w:hAnsi="Century Gothic" w:cs="Arial"/>
          <w:sz w:val="18"/>
          <w:szCs w:val="18"/>
        </w:rPr>
        <w:t>“</w:t>
      </w:r>
      <w:r w:rsidRPr="00246CE2">
        <w:rPr>
          <w:rFonts w:ascii="Century Gothic" w:hAnsi="Century Gothic" w:cs="Arial"/>
          <w:sz w:val="18"/>
          <w:szCs w:val="18"/>
        </w:rPr>
        <w:t xml:space="preserve">Artículo 9. </w:t>
      </w:r>
      <w:r w:rsidRPr="00246CE2">
        <w:rPr>
          <w:rFonts w:ascii="Century Gothic" w:hAnsi="Century Gothic" w:cs="Arial"/>
          <w:sz w:val="18"/>
          <w:szCs w:val="18"/>
          <w:shd w:val="clear" w:color="auto" w:fill="FFFFFF"/>
        </w:rPr>
        <w:t> </w:t>
      </w:r>
      <w:r w:rsidRPr="00246CE2">
        <w:rPr>
          <w:rStyle w:val="Emphasis"/>
          <w:rFonts w:ascii="Century Gothic" w:hAnsi="Century Gothic" w:cs="Arial"/>
          <w:sz w:val="18"/>
          <w:szCs w:val="18"/>
          <w:shd w:val="clear" w:color="auto" w:fill="FFFFFF"/>
        </w:rPr>
        <w:t>Información mínima obligatoria respecto a la estructura del sujeto obligado. </w:t>
      </w:r>
      <w:r w:rsidRPr="00246CE2">
        <w:rPr>
          <w:rFonts w:ascii="Century Gothic" w:hAnsi="Century Gothic" w:cs="Arial"/>
          <w:sz w:val="18"/>
          <w:szCs w:val="18"/>
          <w:shd w:val="clear" w:color="auto" w:fill="FFFFFF"/>
        </w:rPr>
        <w:t>Todo sujeto obligado deberá publicar la siguiente información mínima obligatoria de manera proactiva en los sistemas de información del Estado o herramientas que lo sustituyan:</w:t>
      </w:r>
    </w:p>
    <w:p w14:paraId="42FCFC75" w14:textId="77777777" w:rsidR="00977A67" w:rsidRPr="00246CE2" w:rsidRDefault="00977A67" w:rsidP="00977A67">
      <w:pPr>
        <w:pStyle w:val="FootnoteText"/>
        <w:ind w:firstLine="707"/>
        <w:contextualSpacing/>
        <w:jc w:val="both"/>
        <w:rPr>
          <w:rFonts w:ascii="Century Gothic" w:hAnsi="Century Gothic" w:cs="Arial"/>
          <w:sz w:val="18"/>
          <w:szCs w:val="18"/>
          <w:shd w:val="clear" w:color="auto" w:fill="FFFFFF"/>
        </w:rPr>
      </w:pPr>
      <w:r w:rsidRPr="00246CE2">
        <w:rPr>
          <w:rFonts w:ascii="Century Gothic" w:hAnsi="Century Gothic" w:cs="Arial"/>
          <w:sz w:val="18"/>
          <w:szCs w:val="18"/>
          <w:shd w:val="clear" w:color="auto" w:fill="FFFFFF"/>
        </w:rPr>
        <w:t>[…]</w:t>
      </w:r>
    </w:p>
    <w:p w14:paraId="7E6DE98B" w14:textId="77777777" w:rsidR="00977A67" w:rsidRDefault="00977A67" w:rsidP="00977A67">
      <w:pPr>
        <w:pStyle w:val="FootnoteText"/>
        <w:ind w:firstLine="707"/>
        <w:contextualSpacing/>
        <w:jc w:val="both"/>
      </w:pPr>
      <w:r w:rsidRPr="00246CE2">
        <w:rPr>
          <w:rFonts w:ascii="Century Gothic" w:hAnsi="Century Gothic" w:cs="Arial"/>
          <w:sz w:val="18"/>
          <w:szCs w:val="18"/>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246CE2">
        <w:rPr>
          <w:rFonts w:ascii="Century Gothic" w:hAnsi="Century Gothic" w:cs="Arial"/>
          <w:sz w:val="18"/>
          <w:szCs w:val="18"/>
        </w:rPr>
        <w:t xml:space="preserve"> </w:t>
      </w:r>
      <w:r w:rsidRPr="00246CE2">
        <w:rPr>
          <w:rFonts w:ascii="Century Gothic" w:hAnsi="Century Gothic" w:cs="Arial"/>
          <w:sz w:val="18"/>
          <w:szCs w:val="18"/>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Pr>
          <w:rFonts w:ascii="Century Gothic" w:hAnsi="Century Gothic" w:cs="Arial"/>
          <w:sz w:val="18"/>
          <w:szCs w:val="18"/>
        </w:rPr>
        <w:t>”</w:t>
      </w:r>
      <w:r w:rsidRPr="00246CE2">
        <w:rPr>
          <w:rFonts w:ascii="Century Gothic" w:hAnsi="Century Gothic" w:cs="Arial"/>
          <w:sz w:val="18"/>
          <w:szCs w:val="18"/>
        </w:rPr>
        <w:t>.</w:t>
      </w:r>
    </w:p>
  </w:footnote>
  <w:footnote w:id="9">
    <w:p w14:paraId="59A57FEB" w14:textId="77777777" w:rsidR="00977A67" w:rsidRPr="00246CE2" w:rsidRDefault="00977A67" w:rsidP="00977A67">
      <w:pPr>
        <w:spacing w:after="0" w:line="240" w:lineRule="auto"/>
        <w:ind w:firstLine="707"/>
        <w:contextualSpacing/>
        <w:jc w:val="both"/>
        <w:rPr>
          <w:rFonts w:ascii="Century Gothic" w:hAnsi="Century Gothic" w:cs="Arial"/>
          <w:sz w:val="18"/>
          <w:szCs w:val="18"/>
        </w:rPr>
      </w:pPr>
      <w:r w:rsidRPr="00246CE2">
        <w:rPr>
          <w:rFonts w:ascii="Century Gothic" w:hAnsi="Century Gothic" w:cs="Arial"/>
          <w:sz w:val="18"/>
          <w:szCs w:val="18"/>
          <w:vertAlign w:val="superscript"/>
        </w:rPr>
        <w:footnoteRef/>
      </w:r>
      <w:r w:rsidRPr="00246CE2">
        <w:rPr>
          <w:rFonts w:ascii="Century Gothic" w:hAnsi="Century Gothic" w:cs="Arial"/>
          <w:sz w:val="18"/>
          <w:szCs w:val="18"/>
        </w:rPr>
        <w:t xml:space="preserve"> Ley 1712 de 2014: </w:t>
      </w:r>
      <w:r>
        <w:rPr>
          <w:rFonts w:ascii="Century Gothic" w:hAnsi="Century Gothic" w:cs="Arial"/>
          <w:sz w:val="18"/>
          <w:szCs w:val="18"/>
        </w:rPr>
        <w:t>“</w:t>
      </w:r>
      <w:r w:rsidRPr="00246CE2">
        <w:rPr>
          <w:rFonts w:ascii="Century Gothic" w:hAnsi="Century Gothic" w:cs="Arial"/>
          <w:sz w:val="18"/>
          <w:szCs w:val="18"/>
        </w:rPr>
        <w:t>Artículo 5. Ámbito de aplicación. Las disposiciones de esta ley serán aplicables a las siguientes personas en calidad de sujetos obligados:</w:t>
      </w:r>
    </w:p>
    <w:p w14:paraId="3D292F1E" w14:textId="77777777" w:rsidR="00977A67" w:rsidRDefault="00977A67" w:rsidP="00977A67">
      <w:pPr>
        <w:spacing w:after="0" w:line="240" w:lineRule="auto"/>
        <w:ind w:firstLine="707"/>
        <w:contextualSpacing/>
        <w:jc w:val="both"/>
      </w:pPr>
      <w:r>
        <w:rPr>
          <w:rFonts w:ascii="Century Gothic" w:hAnsi="Century Gothic" w:cs="Arial"/>
          <w:sz w:val="18"/>
          <w:szCs w:val="18"/>
        </w:rPr>
        <w:t>“</w:t>
      </w:r>
      <w:r w:rsidRPr="00246CE2">
        <w:rPr>
          <w:rFonts w:ascii="Century Gothic" w:hAnsi="Century Gothic" w:cs="Arial"/>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r>
        <w:rPr>
          <w:rFonts w:ascii="Century Gothic" w:hAnsi="Century Gothic" w:cs="Arial"/>
          <w:sz w:val="18"/>
          <w:szCs w:val="18"/>
        </w:rPr>
        <w:t>”</w:t>
      </w:r>
      <w:r w:rsidRPr="00246CE2">
        <w:rPr>
          <w:rFonts w:ascii="Century Gothic" w:hAnsi="Century Gothic" w:cs="Arial"/>
          <w:sz w:val="18"/>
          <w:szCs w:val="18"/>
        </w:rPr>
        <w:t>.</w:t>
      </w:r>
    </w:p>
  </w:footnote>
  <w:footnote w:id="10">
    <w:p w14:paraId="70015615" w14:textId="77777777" w:rsidR="00977A67" w:rsidRPr="00246CE2" w:rsidRDefault="00977A67" w:rsidP="00977A67">
      <w:pPr>
        <w:pStyle w:val="FootnoteText"/>
        <w:ind w:firstLine="707"/>
        <w:contextualSpacing/>
        <w:jc w:val="both"/>
        <w:rPr>
          <w:rFonts w:ascii="Century Gothic" w:hAnsi="Century Gothic" w:cs="Arial"/>
          <w:color w:val="000000"/>
          <w:sz w:val="18"/>
          <w:szCs w:val="18"/>
        </w:rPr>
      </w:pPr>
      <w:r w:rsidRPr="00246CE2">
        <w:rPr>
          <w:rFonts w:ascii="Century Gothic" w:hAnsi="Century Gothic" w:cs="Arial"/>
          <w:color w:val="000000"/>
          <w:sz w:val="18"/>
          <w:szCs w:val="18"/>
          <w:vertAlign w:val="superscript"/>
          <w:lang w:val="es-ES" w:eastAsia="es-ES"/>
        </w:rPr>
        <w:footnoteRef/>
      </w:r>
      <w:r w:rsidRPr="00246CE2">
        <w:rPr>
          <w:rFonts w:ascii="Century Gothic" w:hAnsi="Century Gothic" w:cs="Arial"/>
          <w:color w:val="000000"/>
          <w:sz w:val="18"/>
          <w:szCs w:val="18"/>
          <w:vertAlign w:val="superscript"/>
          <w:lang w:val="es-ES" w:eastAsia="es-ES"/>
        </w:rPr>
        <w:t xml:space="preserve"> </w:t>
      </w:r>
      <w:r>
        <w:rPr>
          <w:rFonts w:ascii="Century Gothic" w:hAnsi="Century Gothic" w:cs="Arial"/>
          <w:color w:val="000000"/>
          <w:sz w:val="18"/>
          <w:szCs w:val="18"/>
          <w:lang w:val="es-ES" w:eastAsia="es-ES"/>
        </w:rPr>
        <w:t>“</w:t>
      </w:r>
      <w:r w:rsidRPr="00246CE2">
        <w:rPr>
          <w:rFonts w:ascii="Century Gothic" w:hAnsi="Century Gothic" w:cs="Arial"/>
          <w:color w:val="000000"/>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E5048B4" w14:textId="77777777" w:rsidR="00977A67" w:rsidRPr="00246CE2" w:rsidRDefault="00977A67" w:rsidP="00977A67">
      <w:pPr>
        <w:pStyle w:val="FootnoteText"/>
        <w:ind w:firstLine="709"/>
        <w:contextualSpacing/>
        <w:jc w:val="both"/>
        <w:rPr>
          <w:rFonts w:ascii="Century Gothic" w:hAnsi="Century Gothic" w:cs="Arial"/>
          <w:color w:val="000000"/>
          <w:sz w:val="18"/>
          <w:szCs w:val="18"/>
          <w:lang w:val="es-ES" w:eastAsia="es-ES"/>
        </w:rPr>
      </w:pPr>
      <w:r w:rsidRPr="00246CE2">
        <w:rPr>
          <w:rFonts w:ascii="Century Gothic" w:hAnsi="Century Gothic" w:cs="Arial"/>
          <w:color w:val="000000"/>
          <w:sz w:val="18"/>
          <w:szCs w:val="18"/>
        </w:rPr>
        <w:t>[…].</w:t>
      </w:r>
    </w:p>
    <w:p w14:paraId="690222F1" w14:textId="77777777" w:rsidR="00977A67" w:rsidRPr="00246CE2" w:rsidRDefault="00977A67" w:rsidP="00977A67">
      <w:pPr>
        <w:pStyle w:val="FootnoteText"/>
        <w:ind w:firstLine="709"/>
        <w:contextualSpacing/>
        <w:jc w:val="both"/>
        <w:rPr>
          <w:rFonts w:ascii="Century Gothic" w:hAnsi="Century Gothic" w:cs="Arial"/>
          <w:color w:val="000000"/>
          <w:sz w:val="18"/>
          <w:szCs w:val="18"/>
          <w:lang w:val="es-ES" w:eastAsia="es-ES"/>
        </w:rPr>
      </w:pPr>
      <w:r>
        <w:rPr>
          <w:rFonts w:ascii="Century Gothic" w:hAnsi="Century Gothic" w:cs="Arial"/>
          <w:color w:val="000000"/>
          <w:sz w:val="18"/>
          <w:szCs w:val="18"/>
          <w:lang w:val="es-ES" w:eastAsia="es-ES"/>
        </w:rPr>
        <w:t>“</w:t>
      </w:r>
      <w:r w:rsidRPr="00246CE2">
        <w:rPr>
          <w:rFonts w:ascii="Century Gothic" w:hAnsi="Century Gothic" w:cs="Arial"/>
          <w:color w:val="000000"/>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r>
        <w:rPr>
          <w:rFonts w:ascii="Century Gothic" w:hAnsi="Century Gothic" w:cs="Arial"/>
          <w:color w:val="000000"/>
          <w:sz w:val="18"/>
          <w:szCs w:val="18"/>
          <w:lang w:val="es-ES" w:eastAsia="es-ES"/>
        </w:rPr>
        <w:t>”</w:t>
      </w:r>
      <w:r w:rsidRPr="00246CE2">
        <w:rPr>
          <w:rFonts w:ascii="Century Gothic" w:hAnsi="Century Gothic" w:cs="Arial"/>
          <w:color w:val="000000"/>
          <w:sz w:val="18"/>
          <w:szCs w:val="18"/>
          <w:lang w:val="es-ES" w:eastAsia="es-ES"/>
        </w:rPr>
        <w:t>.</w:t>
      </w:r>
    </w:p>
    <w:p w14:paraId="120353A4" w14:textId="77777777" w:rsidR="00977A67" w:rsidRDefault="00977A67" w:rsidP="00977A67">
      <w:pPr>
        <w:pStyle w:val="FootnoteText"/>
        <w:ind w:firstLine="709"/>
        <w:contextualSpacing/>
        <w:jc w:val="both"/>
      </w:pPr>
    </w:p>
  </w:footnote>
  <w:footnote w:id="11">
    <w:p w14:paraId="24AC771F" w14:textId="77777777" w:rsidR="00977A67" w:rsidRPr="00246CE2" w:rsidRDefault="00977A67" w:rsidP="00977A67">
      <w:pPr>
        <w:pStyle w:val="FootnoteText"/>
        <w:ind w:firstLine="709"/>
        <w:contextualSpacing/>
        <w:jc w:val="both"/>
        <w:rPr>
          <w:rFonts w:ascii="Century Gothic" w:hAnsi="Century Gothic" w:cs="Arial"/>
          <w:sz w:val="18"/>
          <w:szCs w:val="18"/>
        </w:rPr>
      </w:pPr>
      <w:r w:rsidRPr="00246CE2">
        <w:rPr>
          <w:rFonts w:ascii="Century Gothic" w:hAnsi="Century Gothic" w:cs="Arial"/>
          <w:sz w:val="18"/>
          <w:szCs w:val="18"/>
          <w:vertAlign w:val="superscript"/>
        </w:rPr>
        <w:footnoteRef/>
      </w:r>
      <w:r w:rsidRPr="00246CE2">
        <w:rPr>
          <w:rFonts w:ascii="Century Gothic" w:hAnsi="Century Gothic" w:cs="Arial"/>
          <w:sz w:val="18"/>
          <w:szCs w:val="18"/>
        </w:rPr>
        <w:t xml:space="preserve"> Ley 1437 de 2011: </w:t>
      </w:r>
      <w:r>
        <w:rPr>
          <w:rFonts w:ascii="Century Gothic" w:hAnsi="Century Gothic" w:cs="Arial"/>
          <w:sz w:val="18"/>
          <w:szCs w:val="18"/>
        </w:rPr>
        <w:t>“</w:t>
      </w:r>
      <w:r w:rsidRPr="00246CE2">
        <w:rPr>
          <w:rFonts w:ascii="Century Gothic" w:hAnsi="Century Gothic" w:cs="Arial"/>
          <w:sz w:val="18"/>
          <w:szCs w:val="18"/>
        </w:rPr>
        <w:t xml:space="preserve">Artículo 24. Informaciones y documentos reservados. Solo tendrán carácter reservado las informaciones y documentos expresamente sometidos a reserva por la Constitución Política o la ley, y en especial:  </w:t>
      </w:r>
    </w:p>
    <w:p w14:paraId="0762B11D"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1. Los relacionados con la defensa o seguridad nacionales.  </w:t>
      </w:r>
    </w:p>
    <w:p w14:paraId="703158A2"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2. Las instrucciones en materia diplomática o sobre negociaciones reservadas.  </w:t>
      </w:r>
    </w:p>
    <w:p w14:paraId="30223A69"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2C2795DA"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5AC9F85"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5. Los datos referentes a la información financiera y comercial, en los términos de la Ley Estatutaria 1266 de 2008.  </w:t>
      </w:r>
    </w:p>
    <w:p w14:paraId="4A706431"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6. Los protegidos por el secreto comercial o industrial, así como los planes estratégicos de las empresas públicas de servicios públicos.  </w:t>
      </w:r>
    </w:p>
    <w:p w14:paraId="54C09274"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7. Los amparados por el secreto profesional.  </w:t>
      </w:r>
    </w:p>
    <w:p w14:paraId="7ABF4022" w14:textId="77777777" w:rsidR="00977A67" w:rsidRPr="00246CE2" w:rsidRDefault="00977A67" w:rsidP="00977A67">
      <w:pPr>
        <w:pStyle w:val="FootnoteText"/>
        <w:ind w:firstLine="709"/>
        <w:contextualSpacing/>
        <w:jc w:val="both"/>
        <w:rPr>
          <w:rFonts w:ascii="Century Gothic" w:hAnsi="Century Gothic" w:cs="Arial"/>
          <w:sz w:val="18"/>
          <w:szCs w:val="18"/>
        </w:rPr>
      </w:pPr>
      <w:r>
        <w:rPr>
          <w:rFonts w:ascii="Century Gothic" w:hAnsi="Century Gothic" w:cs="Arial"/>
          <w:sz w:val="18"/>
          <w:szCs w:val="18"/>
        </w:rPr>
        <w:t>“</w:t>
      </w:r>
      <w:r w:rsidRPr="00246CE2">
        <w:rPr>
          <w:rFonts w:ascii="Century Gothic" w:hAnsi="Century Gothic" w:cs="Arial"/>
          <w:sz w:val="18"/>
          <w:szCs w:val="18"/>
        </w:rPr>
        <w:t xml:space="preserve">8. Los datos genéticos humanos.  </w:t>
      </w:r>
    </w:p>
    <w:p w14:paraId="160C49F2" w14:textId="77777777" w:rsidR="00977A67" w:rsidRDefault="00977A67" w:rsidP="00977A67">
      <w:pPr>
        <w:pStyle w:val="FootnoteText"/>
        <w:ind w:firstLine="709"/>
        <w:contextualSpacing/>
        <w:jc w:val="both"/>
      </w:pPr>
      <w:r>
        <w:rPr>
          <w:rFonts w:ascii="Century Gothic" w:hAnsi="Century Gothic" w:cs="Arial"/>
          <w:sz w:val="18"/>
          <w:szCs w:val="18"/>
        </w:rPr>
        <w:t>“</w:t>
      </w:r>
      <w:r w:rsidRPr="00246CE2">
        <w:rPr>
          <w:rFonts w:ascii="Century Gothic" w:hAnsi="Century Gothic" w:cs="Arial"/>
          <w:sz w:val="18"/>
          <w:szCs w:val="18"/>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r>
        <w:rPr>
          <w:rFonts w:ascii="Century Gothic" w:hAnsi="Century Gothic" w:cs="Arial"/>
          <w:sz w:val="18"/>
          <w:szCs w:val="18"/>
        </w:rPr>
        <w:t>”</w:t>
      </w:r>
      <w:r w:rsidRPr="00246CE2">
        <w:rPr>
          <w:rFonts w:ascii="Century Gothic" w:hAnsi="Century Gothic" w:cs="Arial"/>
          <w:sz w:val="18"/>
          <w:szCs w:val="18"/>
        </w:rPr>
        <w:t xml:space="preserve">.  </w:t>
      </w:r>
    </w:p>
  </w:footnote>
  <w:footnote w:id="12">
    <w:p w14:paraId="707D8A79" w14:textId="77777777" w:rsidR="00977A67" w:rsidRDefault="00977A67" w:rsidP="00977A67">
      <w:pPr>
        <w:pStyle w:val="FootnoteText"/>
        <w:ind w:firstLine="708"/>
        <w:contextualSpacing/>
        <w:jc w:val="both"/>
      </w:pPr>
      <w:r w:rsidRPr="00246CE2">
        <w:rPr>
          <w:rFonts w:ascii="Century Gothic" w:hAnsi="Century Gothic" w:cs="Arial"/>
          <w:sz w:val="18"/>
          <w:szCs w:val="18"/>
          <w:vertAlign w:val="superscript"/>
        </w:rPr>
        <w:footnoteRef/>
      </w:r>
      <w:r w:rsidRPr="00246CE2">
        <w:rPr>
          <w:rFonts w:ascii="Century Gothic" w:hAnsi="Century Gothic" w:cs="Arial"/>
          <w:sz w:val="18"/>
          <w:szCs w:val="18"/>
        </w:rPr>
        <w:t xml:space="preserve"> </w:t>
      </w:r>
      <w:r w:rsidRPr="00246CE2">
        <w:rPr>
          <w:rFonts w:ascii="Century Gothic" w:hAnsi="Century Gothic" w:cs="Arial"/>
          <w:sz w:val="18"/>
          <w:szCs w:val="18"/>
          <w:lang w:val="es-ES_tradnl"/>
        </w:rPr>
        <w:t xml:space="preserve">En armonía con lo anterior, en la Circular Externa 002 de esta Agencia se establece, que: </w:t>
      </w:r>
      <w:r>
        <w:rPr>
          <w:rFonts w:ascii="Century Gothic" w:hAnsi="Century Gothic" w:cs="Arial"/>
          <w:sz w:val="18"/>
          <w:szCs w:val="18"/>
          <w:lang w:val="es-ES_tradnl"/>
        </w:rPr>
        <w:t>“</w:t>
      </w:r>
      <w:r w:rsidRPr="00246CE2">
        <w:rPr>
          <w:rFonts w:ascii="Century Gothic" w:hAnsi="Century Gothic" w:cs="Arial"/>
          <w:sz w:val="18"/>
          <w:szCs w:val="18"/>
          <w:lang w:val="es-ES_tradnl"/>
        </w:rPr>
        <w:t>Todos los procesos de contratación creados en el SECOP I antes del 18 de julio de 2022, 23:59 horas, por parte de estas entidades estatales, podrán continuar siendo gestionados en esta plataforma</w:t>
      </w:r>
      <w:r>
        <w:rPr>
          <w:rFonts w:ascii="Century Gothic" w:hAnsi="Century Gothic" w:cs="Arial"/>
          <w:sz w:val="18"/>
          <w:szCs w:val="18"/>
          <w:lang w:val="es-ES_tradnl"/>
        </w:rPr>
        <w:t>”</w:t>
      </w:r>
      <w:r w:rsidRPr="00246CE2">
        <w:rPr>
          <w:rFonts w:ascii="Century Gothic" w:hAnsi="Century Gothic" w:cs="Arial"/>
          <w:sz w:val="18"/>
          <w:szCs w:val="18"/>
          <w:lang w:val="es-ES_tradnl"/>
        </w:rPr>
        <w:t>.</w:t>
      </w:r>
    </w:p>
  </w:footnote>
  <w:footnote w:id="13">
    <w:p w14:paraId="1B3641B0" w14:textId="77777777" w:rsidR="00977A67" w:rsidRPr="00246CE2" w:rsidRDefault="00977A67" w:rsidP="00977A67">
      <w:pPr>
        <w:pStyle w:val="FootnoteText"/>
        <w:ind w:firstLine="709"/>
        <w:contextualSpacing/>
        <w:jc w:val="both"/>
        <w:rPr>
          <w:rFonts w:ascii="Century Gothic" w:hAnsi="Century Gothic" w:cs="Arial"/>
          <w:color w:val="000000"/>
          <w:sz w:val="18"/>
          <w:szCs w:val="18"/>
        </w:rPr>
      </w:pPr>
      <w:r w:rsidRPr="00246CE2">
        <w:rPr>
          <w:rFonts w:ascii="Century Gothic" w:hAnsi="Century Gothic" w:cs="Arial"/>
          <w:color w:val="000000"/>
          <w:sz w:val="18"/>
          <w:szCs w:val="18"/>
          <w:vertAlign w:val="superscript"/>
        </w:rPr>
        <w:footnoteRef/>
      </w:r>
      <w:r w:rsidRPr="00246CE2">
        <w:rPr>
          <w:rFonts w:ascii="Century Gothic" w:hAnsi="Century Gothic" w:cs="Arial"/>
          <w:color w:val="000000"/>
          <w:sz w:val="18"/>
          <w:szCs w:val="18"/>
        </w:rPr>
        <w:t xml:space="preserve"> </w:t>
      </w:r>
      <w:r>
        <w:rPr>
          <w:rFonts w:ascii="Century Gothic" w:hAnsi="Century Gothic" w:cs="Arial"/>
          <w:color w:val="000000"/>
          <w:sz w:val="18"/>
          <w:szCs w:val="18"/>
        </w:rPr>
        <w:t>“</w:t>
      </w:r>
      <w:r w:rsidRPr="00246CE2">
        <w:rPr>
          <w:rFonts w:ascii="Century Gothic" w:hAnsi="Century Gothic" w:cs="Arial"/>
          <w:color w:val="000000"/>
          <w:sz w:val="18"/>
          <w:szCs w:val="18"/>
        </w:rPr>
        <w:t>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r>
        <w:rPr>
          <w:rFonts w:ascii="Century Gothic" w:hAnsi="Century Gothic" w:cs="Arial"/>
          <w:color w:val="000000"/>
          <w:sz w:val="18"/>
          <w:szCs w:val="18"/>
        </w:rPr>
        <w:t>”</w:t>
      </w:r>
      <w:r w:rsidRPr="00246CE2">
        <w:rPr>
          <w:rFonts w:ascii="Century Gothic" w:hAnsi="Century Gothic" w:cs="Arial"/>
          <w:color w:val="000000"/>
          <w:sz w:val="18"/>
          <w:szCs w:val="18"/>
        </w:rPr>
        <w:t>.</w:t>
      </w:r>
    </w:p>
    <w:p w14:paraId="0B82CEFD" w14:textId="77777777" w:rsidR="00977A67" w:rsidRDefault="00977A67" w:rsidP="00977A67">
      <w:pPr>
        <w:pStyle w:val="FootnoteText"/>
        <w:ind w:firstLine="709"/>
        <w:contextualSpacing/>
        <w:jc w:val="both"/>
      </w:pPr>
    </w:p>
  </w:footnote>
  <w:footnote w:id="14">
    <w:p w14:paraId="344B6F6A" w14:textId="77777777" w:rsidR="00977A67" w:rsidRDefault="00977A67" w:rsidP="00977A67">
      <w:pPr>
        <w:pStyle w:val="FootnoteText"/>
        <w:ind w:firstLine="708"/>
        <w:contextualSpacing/>
        <w:jc w:val="both"/>
      </w:pPr>
      <w:r w:rsidRPr="00246CE2">
        <w:rPr>
          <w:rFonts w:ascii="Century Gothic" w:hAnsi="Century Gothic" w:cs="Arial"/>
          <w:sz w:val="18"/>
          <w:szCs w:val="18"/>
          <w:vertAlign w:val="superscript"/>
        </w:rPr>
        <w:footnoteRef/>
      </w:r>
      <w:r w:rsidRPr="00246CE2">
        <w:rPr>
          <w:rFonts w:ascii="Century Gothic" w:hAnsi="Century Gothic" w:cs="Arial"/>
          <w:sz w:val="18"/>
          <w:szCs w:val="18"/>
        </w:rPr>
        <w:t xml:space="preserve"> Ley 1150 de 2007. </w:t>
      </w:r>
      <w:r>
        <w:rPr>
          <w:rFonts w:ascii="Century Gothic" w:hAnsi="Century Gothic" w:cs="Arial"/>
          <w:sz w:val="18"/>
          <w:szCs w:val="18"/>
        </w:rPr>
        <w:t>“</w:t>
      </w:r>
      <w:r w:rsidRPr="00246CE2">
        <w:rPr>
          <w:rFonts w:ascii="Century Gothic" w:hAnsi="Century Gothic" w:cs="Arial"/>
          <w:sz w:val="18"/>
          <w:szCs w:val="18"/>
        </w:rPr>
        <w:t>Artículo 1. Objeto. La presente ley tiene por objeto introducir modificaciones en la Ley 80 de 1993, así como dictar otras disposiciones generales aplicables a toda contratación con recursos públicos</w:t>
      </w:r>
      <w:r>
        <w:rPr>
          <w:rFonts w:ascii="Century Gothic" w:hAnsi="Century Gothic" w:cs="Arial"/>
          <w:sz w:val="18"/>
          <w:szCs w:val="18"/>
        </w:rPr>
        <w:t>”</w:t>
      </w:r>
      <w:r w:rsidRPr="00246CE2">
        <w:rPr>
          <w:rFonts w:ascii="Century Gothic" w:hAnsi="Century Gothic" w:cs="Arial"/>
          <w:sz w:val="18"/>
          <w:szCs w:val="18"/>
        </w:rPr>
        <w:t>.</w:t>
      </w:r>
    </w:p>
  </w:footnote>
  <w:footnote w:id="15">
    <w:p w14:paraId="4CFE157E" w14:textId="77777777" w:rsidR="00977A67" w:rsidRPr="00246CE2" w:rsidRDefault="00977A67" w:rsidP="00977A67">
      <w:pPr>
        <w:autoSpaceDE w:val="0"/>
        <w:autoSpaceDN w:val="0"/>
        <w:adjustRightInd w:val="0"/>
        <w:spacing w:after="0" w:line="240" w:lineRule="auto"/>
        <w:ind w:firstLine="708"/>
        <w:contextualSpacing/>
        <w:jc w:val="both"/>
        <w:rPr>
          <w:rFonts w:ascii="Century Gothic" w:hAnsi="Century Gothic" w:cs="Arial"/>
          <w:sz w:val="18"/>
          <w:szCs w:val="18"/>
          <w:lang w:val="es-ES" w:eastAsia="es-ES_tradnl"/>
        </w:rPr>
      </w:pPr>
      <w:r w:rsidRPr="00246CE2">
        <w:rPr>
          <w:rFonts w:ascii="Century Gothic" w:hAnsi="Century Gothic" w:cs="Arial"/>
          <w:sz w:val="18"/>
          <w:szCs w:val="18"/>
          <w:vertAlign w:val="superscript"/>
        </w:rPr>
        <w:footnoteRef/>
      </w:r>
      <w:r w:rsidRPr="00246CE2">
        <w:rPr>
          <w:rFonts w:ascii="Century Gothic" w:hAnsi="Century Gothic" w:cs="Arial"/>
          <w:sz w:val="18"/>
          <w:szCs w:val="18"/>
        </w:rPr>
        <w:t xml:space="preserve"> E</w:t>
      </w:r>
      <w:r w:rsidRPr="00246CE2">
        <w:rPr>
          <w:rFonts w:ascii="Century Gothic" w:hAnsi="Century Gothic" w:cs="Arial"/>
          <w:sz w:val="18"/>
          <w:szCs w:val="18"/>
          <w:lang w:val="es-ES_tradnl" w:eastAsia="es-ES_tradnl"/>
        </w:rPr>
        <w:t xml:space="preserve">l pasado </w:t>
      </w:r>
      <w:r w:rsidRPr="00246CE2">
        <w:rPr>
          <w:rFonts w:ascii="Century Gothic" w:hAnsi="Century Gothic" w:cs="Arial"/>
          <w:sz w:val="18"/>
          <w:szCs w:val="18"/>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ii) reserva de los documentos relacionados con la actividad contractual y; iii) régimen de transición de los contratos celebrados con anterioridad a la entrada en vigencia de la obligación consagrada en el artículo 53 de la Ley 2195 de 2022. La mencionada Circular contiene una serie de instrucciones con miras a garantizar el cumplimiento del deber legal por parte de las entidades estatales exceptuadas del Estatuto General de Contratación Pública. </w:t>
      </w:r>
    </w:p>
    <w:p w14:paraId="4A8B5066" w14:textId="77777777" w:rsidR="00977A67" w:rsidRDefault="00977A67" w:rsidP="00977A67">
      <w:pPr>
        <w:autoSpaceDE w:val="0"/>
        <w:autoSpaceDN w:val="0"/>
        <w:adjustRightInd w:val="0"/>
        <w:spacing w:after="0" w:line="240" w:lineRule="auto"/>
        <w:ind w:firstLine="708"/>
        <w:contextualSpacing/>
        <w:jc w:val="both"/>
      </w:pPr>
    </w:p>
  </w:footnote>
  <w:footnote w:id="16">
    <w:p w14:paraId="2E0BF6E1" w14:textId="4A4480C9" w:rsidR="00A42316" w:rsidRDefault="00A42316" w:rsidP="00A42316">
      <w:pPr>
        <w:pStyle w:val="FootnoteText"/>
        <w:ind w:firstLine="708"/>
        <w:contextualSpacing/>
        <w:jc w:val="both"/>
        <w:rPr>
          <w:rFonts w:ascii="Century Gothic" w:hAnsi="Century Gothic" w:cs="Arial"/>
          <w:sz w:val="18"/>
          <w:szCs w:val="18"/>
        </w:rPr>
      </w:pPr>
      <w:r w:rsidRPr="007716E6">
        <w:rPr>
          <w:rFonts w:ascii="Century Gothic" w:hAnsi="Century Gothic" w:cs="Arial"/>
          <w:sz w:val="18"/>
          <w:szCs w:val="18"/>
          <w:vertAlign w:val="superscript"/>
        </w:rPr>
        <w:footnoteRef/>
      </w:r>
      <w:r w:rsidRPr="007716E6">
        <w:rPr>
          <w:rFonts w:ascii="Century Gothic" w:hAnsi="Century Gothic" w:cs="Arial"/>
          <w:sz w:val="18"/>
          <w:szCs w:val="18"/>
        </w:rPr>
        <w:t xml:space="preserve"> </w:t>
      </w:r>
      <w:r>
        <w:rPr>
          <w:rFonts w:ascii="Century Gothic" w:hAnsi="Century Gothic" w:cs="Arial"/>
          <w:sz w:val="18"/>
          <w:szCs w:val="18"/>
        </w:rPr>
        <w:t>“</w:t>
      </w:r>
      <w:r w:rsidRPr="007716E6">
        <w:rPr>
          <w:rFonts w:ascii="Century Gothic" w:hAnsi="Century Gothic" w:cs="Arial"/>
          <w:sz w:val="18"/>
          <w:szCs w:val="18"/>
        </w:rPr>
        <w:t xml:space="preserve">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w:t>
      </w:r>
      <w:r w:rsidR="005E0222" w:rsidRPr="007716E6">
        <w:rPr>
          <w:rFonts w:ascii="Century Gothic" w:hAnsi="Century Gothic" w:cs="Arial"/>
          <w:sz w:val="18"/>
          <w:szCs w:val="18"/>
        </w:rPr>
        <w:t>público,</w:t>
      </w:r>
      <w:r w:rsidRPr="007716E6">
        <w:rPr>
          <w:rFonts w:ascii="Century Gothic" w:hAnsi="Century Gothic" w:cs="Arial"/>
          <w:sz w:val="18"/>
          <w:szCs w:val="18"/>
        </w:rPr>
        <w:t xml:space="preserve"> pero no de su existencia.</w:t>
      </w:r>
    </w:p>
    <w:p w14:paraId="1C0AD1AF" w14:textId="19EB585B" w:rsidR="00A42316" w:rsidRDefault="00A42316" w:rsidP="00A42316">
      <w:pPr>
        <w:pStyle w:val="FootnoteText"/>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Ninguna </w:t>
      </w:r>
      <w:r w:rsidR="005E0222" w:rsidRPr="007716E6">
        <w:rPr>
          <w:rFonts w:ascii="Century Gothic" w:hAnsi="Century Gothic" w:cs="Arial"/>
          <w:sz w:val="18"/>
          <w:szCs w:val="18"/>
        </w:rPr>
        <w:t>autoridad</w:t>
      </w:r>
      <w:r w:rsidRPr="007716E6">
        <w:rPr>
          <w:rFonts w:ascii="Century Gothic" w:hAnsi="Century Gothic" w:cs="Arial"/>
          <w:sz w:val="18"/>
          <w:szCs w:val="18"/>
        </w:rPr>
        <w:t xml:space="preserve"> puede negarse a indicar si un documento obra o no en su poder o negar la divulgación de un documento, salvo que el daño causado al interés protegido sea mayor al interés público de obtener acceso a la información.</w:t>
      </w:r>
    </w:p>
    <w:p w14:paraId="661AE609" w14:textId="77777777" w:rsidR="00A42316" w:rsidRDefault="00A42316" w:rsidP="00A42316">
      <w:pPr>
        <w:pStyle w:val="FootnoteText"/>
        <w:ind w:firstLine="708"/>
        <w:contextualSpacing/>
        <w:jc w:val="both"/>
      </w:pPr>
      <w:r w:rsidRPr="007716E6">
        <w:rPr>
          <w:rFonts w:ascii="Century Gothic" w:hAnsi="Century Gothic" w:cs="Arial"/>
          <w:sz w:val="18"/>
          <w:szCs w:val="18"/>
        </w:rPr>
        <w:t>Las excepciones de acceso a la información contenidas en la presente ley no aplican en casos de violación de derechos humanos o delitos de lesa humanidad, y en todo caso deberán protegerse los derechos de las víctimas de dichas violaciones</w:t>
      </w:r>
      <w:r>
        <w:rPr>
          <w:rFonts w:ascii="Century Gothic" w:hAnsi="Century Gothic" w:cs="Arial"/>
          <w:sz w:val="18"/>
          <w:szCs w:val="18"/>
        </w:rPr>
        <w:t>”</w:t>
      </w:r>
      <w:r w:rsidRPr="007716E6">
        <w:rPr>
          <w:rFonts w:ascii="Century Gothic" w:hAnsi="Century Gothic"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43B6B0B6" w:rsidR="00756841" w:rsidRDefault="00961B09">
    <w:pPr>
      <w:pStyle w:val="Header"/>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Header"/>
    </w:pPr>
  </w:p>
  <w:p w14:paraId="1BE2B9AE" w14:textId="4B94DB3B" w:rsidR="00756841" w:rsidRDefault="00756841">
    <w:pPr>
      <w:pStyle w:val="Header"/>
    </w:pPr>
  </w:p>
  <w:p w14:paraId="7FE1230C" w14:textId="77777777" w:rsidR="004A305D" w:rsidRPr="00F02B16" w:rsidRDefault="004A305D" w:rsidP="004A305D">
    <w:pPr>
      <w:spacing w:after="0"/>
      <w:rPr>
        <w:rFonts w:ascii="Century Gothic" w:hAnsi="Century Gothic"/>
        <w:color w:val="002060"/>
        <w:sz w:val="16"/>
        <w:szCs w:val="16"/>
        <w:lang w:val="pt-BR"/>
      </w:rPr>
    </w:pPr>
    <w:r w:rsidRPr="00F02B16">
      <w:rPr>
        <w:rFonts w:ascii="Century Gothic" w:hAnsi="Century Gothic"/>
        <w:color w:val="002060"/>
        <w:sz w:val="16"/>
        <w:szCs w:val="16"/>
        <w:lang w:val="pt-BR"/>
      </w:rPr>
      <w:t>FORMATO PQRSD</w:t>
    </w:r>
  </w:p>
  <w:p w14:paraId="7B0A8834" w14:textId="3D6F55FC" w:rsidR="004A305D" w:rsidRPr="00F02B16"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val="pt-BR" w:eastAsia="es-CO"/>
      </w:rPr>
    </w:pPr>
    <w:r w:rsidRPr="00F02B16">
      <w:rPr>
        <w:rFonts w:ascii="Century Gothic" w:eastAsia="Geo" w:hAnsi="Century Gothic" w:cs="Geo"/>
        <w:b/>
        <w:color w:val="000000"/>
        <w:sz w:val="16"/>
        <w:szCs w:val="16"/>
        <w:lang w:val="pt-BR" w:eastAsia="es-CO"/>
      </w:rPr>
      <w:t xml:space="preserve">Código: </w:t>
    </w:r>
    <w:r w:rsidRPr="00F02B16">
      <w:rPr>
        <w:rFonts w:ascii="Century Gothic" w:eastAsia="Geo" w:hAnsi="Century Gothic" w:cs="Geo"/>
        <w:bCs/>
        <w:color w:val="000000"/>
        <w:sz w:val="16"/>
        <w:szCs w:val="16"/>
        <w:lang w:val="pt-BR" w:eastAsia="es-CO"/>
      </w:rPr>
      <w:t>CCE-</w:t>
    </w:r>
    <w:r w:rsidR="00CB6357" w:rsidRPr="00F02B16">
      <w:rPr>
        <w:rFonts w:ascii="Century Gothic" w:eastAsia="Geo" w:hAnsi="Century Gothic" w:cs="Geo"/>
        <w:bCs/>
        <w:color w:val="000000"/>
        <w:sz w:val="16"/>
        <w:szCs w:val="16"/>
        <w:lang w:val="pt-BR" w:eastAsia="es-CO"/>
      </w:rPr>
      <w:t>REC</w:t>
    </w:r>
    <w:r w:rsidRPr="00F02B16">
      <w:rPr>
        <w:rFonts w:ascii="Century Gothic" w:eastAsia="Geo" w:hAnsi="Century Gothic" w:cs="Geo"/>
        <w:bCs/>
        <w:color w:val="000000"/>
        <w:sz w:val="16"/>
        <w:szCs w:val="16"/>
        <w:lang w:val="pt-BR" w:eastAsia="es-CO"/>
      </w:rPr>
      <w:t>-FM-</w:t>
    </w:r>
    <w:r w:rsidR="00CB6357" w:rsidRPr="00F02B16">
      <w:rPr>
        <w:rFonts w:ascii="Century Gothic" w:eastAsia="Geo" w:hAnsi="Century Gothic" w:cs="Geo"/>
        <w:bCs/>
        <w:color w:val="000000"/>
        <w:sz w:val="16"/>
        <w:szCs w:val="16"/>
        <w:lang w:val="pt-BR" w:eastAsia="es-CO"/>
      </w:rPr>
      <w:t>1</w:t>
    </w:r>
    <w:r w:rsidR="00061B2A" w:rsidRPr="00F02B16">
      <w:rPr>
        <w:rFonts w:ascii="Century Gothic" w:eastAsia="Geo" w:hAnsi="Century Gothic" w:cs="Geo"/>
        <w:bCs/>
        <w:color w:val="000000"/>
        <w:sz w:val="16"/>
        <w:szCs w:val="16"/>
        <w:lang w:val="pt-BR"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5455F"/>
    <w:multiLevelType w:val="multilevel"/>
    <w:tmpl w:val="97C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573C0C"/>
    <w:multiLevelType w:val="hybridMultilevel"/>
    <w:tmpl w:val="9EC8E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84E4628"/>
    <w:multiLevelType w:val="hybridMultilevel"/>
    <w:tmpl w:val="6944DE94"/>
    <w:lvl w:ilvl="0" w:tplc="F4CAB266">
      <w:numFmt w:val="bullet"/>
      <w:lvlText w:val=""/>
      <w:lvlJc w:val="left"/>
      <w:pPr>
        <w:ind w:left="720" w:hanging="360"/>
      </w:pPr>
      <w:rPr>
        <w:rFonts w:ascii="Symbol" w:eastAsia="Calibr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4202804">
    <w:abstractNumId w:val="7"/>
  </w:num>
  <w:num w:numId="2" w16cid:durableId="2138595451">
    <w:abstractNumId w:val="2"/>
  </w:num>
  <w:num w:numId="3" w16cid:durableId="1119177380">
    <w:abstractNumId w:val="5"/>
  </w:num>
  <w:num w:numId="4" w16cid:durableId="4110486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4615800">
    <w:abstractNumId w:val="2"/>
  </w:num>
  <w:num w:numId="6" w16cid:durableId="1736972793">
    <w:abstractNumId w:val="14"/>
  </w:num>
  <w:num w:numId="7" w16cid:durableId="807239573">
    <w:abstractNumId w:val="6"/>
  </w:num>
  <w:num w:numId="8" w16cid:durableId="488711543">
    <w:abstractNumId w:val="13"/>
  </w:num>
  <w:num w:numId="9" w16cid:durableId="643241845">
    <w:abstractNumId w:val="8"/>
  </w:num>
  <w:num w:numId="10" w16cid:durableId="1179320593">
    <w:abstractNumId w:val="12"/>
  </w:num>
  <w:num w:numId="11" w16cid:durableId="598803929">
    <w:abstractNumId w:val="9"/>
  </w:num>
  <w:num w:numId="12" w16cid:durableId="1961108719">
    <w:abstractNumId w:val="1"/>
  </w:num>
  <w:num w:numId="13" w16cid:durableId="603001266">
    <w:abstractNumId w:val="4"/>
  </w:num>
  <w:num w:numId="14" w16cid:durableId="836118555">
    <w:abstractNumId w:val="15"/>
  </w:num>
  <w:num w:numId="15" w16cid:durableId="700131612">
    <w:abstractNumId w:val="10"/>
  </w:num>
  <w:num w:numId="16" w16cid:durableId="750927637">
    <w:abstractNumId w:val="0"/>
  </w:num>
  <w:num w:numId="17" w16cid:durableId="1191382049">
    <w:abstractNumId w:val="11"/>
  </w:num>
  <w:num w:numId="18" w16cid:durableId="12853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998"/>
    <w:rsid w:val="000010C4"/>
    <w:rsid w:val="000021D3"/>
    <w:rsid w:val="00003CE8"/>
    <w:rsid w:val="00004E30"/>
    <w:rsid w:val="0000763D"/>
    <w:rsid w:val="00013659"/>
    <w:rsid w:val="00024870"/>
    <w:rsid w:val="000248F5"/>
    <w:rsid w:val="000310B7"/>
    <w:rsid w:val="0004082E"/>
    <w:rsid w:val="00043DB0"/>
    <w:rsid w:val="000447C6"/>
    <w:rsid w:val="00061B2A"/>
    <w:rsid w:val="00062934"/>
    <w:rsid w:val="00064801"/>
    <w:rsid w:val="00067221"/>
    <w:rsid w:val="0007053F"/>
    <w:rsid w:val="00072054"/>
    <w:rsid w:val="0007291E"/>
    <w:rsid w:val="00074CE9"/>
    <w:rsid w:val="00076662"/>
    <w:rsid w:val="00081C27"/>
    <w:rsid w:val="00081C36"/>
    <w:rsid w:val="00082362"/>
    <w:rsid w:val="000833EB"/>
    <w:rsid w:val="00083C60"/>
    <w:rsid w:val="00085E74"/>
    <w:rsid w:val="0009346B"/>
    <w:rsid w:val="000961F4"/>
    <w:rsid w:val="000A2CC6"/>
    <w:rsid w:val="000A3B5F"/>
    <w:rsid w:val="000A4593"/>
    <w:rsid w:val="000A683E"/>
    <w:rsid w:val="000A7971"/>
    <w:rsid w:val="000B19B9"/>
    <w:rsid w:val="000B5289"/>
    <w:rsid w:val="000B7EC5"/>
    <w:rsid w:val="000C60A3"/>
    <w:rsid w:val="000C690B"/>
    <w:rsid w:val="000D0334"/>
    <w:rsid w:val="000D3EE5"/>
    <w:rsid w:val="000D5F85"/>
    <w:rsid w:val="000E078B"/>
    <w:rsid w:val="000E0A56"/>
    <w:rsid w:val="000E1B4C"/>
    <w:rsid w:val="000E1F9B"/>
    <w:rsid w:val="000E4556"/>
    <w:rsid w:val="000E70F3"/>
    <w:rsid w:val="000F053C"/>
    <w:rsid w:val="000F2337"/>
    <w:rsid w:val="000F366A"/>
    <w:rsid w:val="000F6486"/>
    <w:rsid w:val="0010457A"/>
    <w:rsid w:val="00105C8D"/>
    <w:rsid w:val="001071AE"/>
    <w:rsid w:val="00107516"/>
    <w:rsid w:val="00125105"/>
    <w:rsid w:val="00125BAB"/>
    <w:rsid w:val="00127233"/>
    <w:rsid w:val="001276DB"/>
    <w:rsid w:val="00132AA8"/>
    <w:rsid w:val="00133981"/>
    <w:rsid w:val="0014008D"/>
    <w:rsid w:val="00150F27"/>
    <w:rsid w:val="00151FD3"/>
    <w:rsid w:val="001542A3"/>
    <w:rsid w:val="00156046"/>
    <w:rsid w:val="00157DE5"/>
    <w:rsid w:val="0016558E"/>
    <w:rsid w:val="00166419"/>
    <w:rsid w:val="0017407C"/>
    <w:rsid w:val="0018361B"/>
    <w:rsid w:val="001A1441"/>
    <w:rsid w:val="001A2914"/>
    <w:rsid w:val="001A44FE"/>
    <w:rsid w:val="001A5A3E"/>
    <w:rsid w:val="001C06EA"/>
    <w:rsid w:val="001C5A63"/>
    <w:rsid w:val="001C5DB3"/>
    <w:rsid w:val="001D43B9"/>
    <w:rsid w:val="001E2661"/>
    <w:rsid w:val="001E2CE3"/>
    <w:rsid w:val="001E3CB4"/>
    <w:rsid w:val="001E4177"/>
    <w:rsid w:val="001F403F"/>
    <w:rsid w:val="001F42FE"/>
    <w:rsid w:val="001F4595"/>
    <w:rsid w:val="001F6027"/>
    <w:rsid w:val="001F7DC6"/>
    <w:rsid w:val="0020148F"/>
    <w:rsid w:val="00202914"/>
    <w:rsid w:val="00203AC1"/>
    <w:rsid w:val="00204D5A"/>
    <w:rsid w:val="00210A8F"/>
    <w:rsid w:val="00213990"/>
    <w:rsid w:val="00216BCE"/>
    <w:rsid w:val="0021702B"/>
    <w:rsid w:val="00217397"/>
    <w:rsid w:val="00233B93"/>
    <w:rsid w:val="00235106"/>
    <w:rsid w:val="002421BB"/>
    <w:rsid w:val="0024536F"/>
    <w:rsid w:val="00247823"/>
    <w:rsid w:val="00253214"/>
    <w:rsid w:val="00255300"/>
    <w:rsid w:val="0025572D"/>
    <w:rsid w:val="0025656A"/>
    <w:rsid w:val="00257652"/>
    <w:rsid w:val="002620E4"/>
    <w:rsid w:val="002630EA"/>
    <w:rsid w:val="002707A2"/>
    <w:rsid w:val="0027110F"/>
    <w:rsid w:val="00274EEA"/>
    <w:rsid w:val="00275678"/>
    <w:rsid w:val="0028302F"/>
    <w:rsid w:val="00283593"/>
    <w:rsid w:val="00292E59"/>
    <w:rsid w:val="002951A0"/>
    <w:rsid w:val="002962BC"/>
    <w:rsid w:val="00296469"/>
    <w:rsid w:val="00296682"/>
    <w:rsid w:val="002A093D"/>
    <w:rsid w:val="002A0CC1"/>
    <w:rsid w:val="002A0DD0"/>
    <w:rsid w:val="002A3F32"/>
    <w:rsid w:val="002A49AC"/>
    <w:rsid w:val="002A64FD"/>
    <w:rsid w:val="002B3448"/>
    <w:rsid w:val="002B3C8F"/>
    <w:rsid w:val="002B4865"/>
    <w:rsid w:val="002B48E6"/>
    <w:rsid w:val="002B60FD"/>
    <w:rsid w:val="002B6F6C"/>
    <w:rsid w:val="002C4A15"/>
    <w:rsid w:val="002C4A2E"/>
    <w:rsid w:val="002C7A84"/>
    <w:rsid w:val="002D39B0"/>
    <w:rsid w:val="002D7080"/>
    <w:rsid w:val="002E1A57"/>
    <w:rsid w:val="002E1DD4"/>
    <w:rsid w:val="002E34B4"/>
    <w:rsid w:val="002E4818"/>
    <w:rsid w:val="002E4FD9"/>
    <w:rsid w:val="002E58F1"/>
    <w:rsid w:val="002E5907"/>
    <w:rsid w:val="002E5A54"/>
    <w:rsid w:val="002F03A6"/>
    <w:rsid w:val="002F1AB4"/>
    <w:rsid w:val="002F43E1"/>
    <w:rsid w:val="002F519D"/>
    <w:rsid w:val="002F6600"/>
    <w:rsid w:val="002F7588"/>
    <w:rsid w:val="00312A08"/>
    <w:rsid w:val="00315F8D"/>
    <w:rsid w:val="003167C7"/>
    <w:rsid w:val="003200E8"/>
    <w:rsid w:val="0032179C"/>
    <w:rsid w:val="00322907"/>
    <w:rsid w:val="00322A85"/>
    <w:rsid w:val="003255DD"/>
    <w:rsid w:val="00326A10"/>
    <w:rsid w:val="003276D6"/>
    <w:rsid w:val="0033249D"/>
    <w:rsid w:val="00333EDB"/>
    <w:rsid w:val="003368F1"/>
    <w:rsid w:val="00342ACD"/>
    <w:rsid w:val="00342DE5"/>
    <w:rsid w:val="003436F7"/>
    <w:rsid w:val="00343A37"/>
    <w:rsid w:val="003448F4"/>
    <w:rsid w:val="0035074A"/>
    <w:rsid w:val="00354E47"/>
    <w:rsid w:val="00360C26"/>
    <w:rsid w:val="00364F67"/>
    <w:rsid w:val="003663E7"/>
    <w:rsid w:val="00373B0C"/>
    <w:rsid w:val="0037438B"/>
    <w:rsid w:val="00374F5E"/>
    <w:rsid w:val="00377E3E"/>
    <w:rsid w:val="00390C94"/>
    <w:rsid w:val="0039380E"/>
    <w:rsid w:val="003A779E"/>
    <w:rsid w:val="003B2424"/>
    <w:rsid w:val="003D0F4D"/>
    <w:rsid w:val="003D5B0D"/>
    <w:rsid w:val="003D72CA"/>
    <w:rsid w:val="003E0499"/>
    <w:rsid w:val="003E1F8D"/>
    <w:rsid w:val="003E44B8"/>
    <w:rsid w:val="003E490B"/>
    <w:rsid w:val="003F18EA"/>
    <w:rsid w:val="003F3288"/>
    <w:rsid w:val="003F3941"/>
    <w:rsid w:val="00400C31"/>
    <w:rsid w:val="004015B9"/>
    <w:rsid w:val="00403896"/>
    <w:rsid w:val="004057C9"/>
    <w:rsid w:val="00406575"/>
    <w:rsid w:val="00412F56"/>
    <w:rsid w:val="004151F8"/>
    <w:rsid w:val="00420B61"/>
    <w:rsid w:val="00420EBC"/>
    <w:rsid w:val="00422266"/>
    <w:rsid w:val="00425357"/>
    <w:rsid w:val="00426158"/>
    <w:rsid w:val="0042722E"/>
    <w:rsid w:val="004344A8"/>
    <w:rsid w:val="0043455E"/>
    <w:rsid w:val="00435659"/>
    <w:rsid w:val="00464B21"/>
    <w:rsid w:val="00464BDD"/>
    <w:rsid w:val="0046717B"/>
    <w:rsid w:val="004702AD"/>
    <w:rsid w:val="00470B30"/>
    <w:rsid w:val="0047434B"/>
    <w:rsid w:val="004752D5"/>
    <w:rsid w:val="00477698"/>
    <w:rsid w:val="00480453"/>
    <w:rsid w:val="00487453"/>
    <w:rsid w:val="00492F5D"/>
    <w:rsid w:val="0049409F"/>
    <w:rsid w:val="00494B11"/>
    <w:rsid w:val="004A1847"/>
    <w:rsid w:val="004A305D"/>
    <w:rsid w:val="004B4892"/>
    <w:rsid w:val="004B512C"/>
    <w:rsid w:val="004B5A88"/>
    <w:rsid w:val="004C1F15"/>
    <w:rsid w:val="004C2C98"/>
    <w:rsid w:val="004C3931"/>
    <w:rsid w:val="004C423F"/>
    <w:rsid w:val="004C59C3"/>
    <w:rsid w:val="004D33B9"/>
    <w:rsid w:val="004D39DB"/>
    <w:rsid w:val="004D69D9"/>
    <w:rsid w:val="004D7782"/>
    <w:rsid w:val="004E1DB9"/>
    <w:rsid w:val="004E1E3B"/>
    <w:rsid w:val="004E1EB0"/>
    <w:rsid w:val="004E2851"/>
    <w:rsid w:val="004F06E0"/>
    <w:rsid w:val="004F1557"/>
    <w:rsid w:val="004F21C4"/>
    <w:rsid w:val="004F5C9B"/>
    <w:rsid w:val="004F685F"/>
    <w:rsid w:val="005012A9"/>
    <w:rsid w:val="005045BB"/>
    <w:rsid w:val="00506091"/>
    <w:rsid w:val="00510895"/>
    <w:rsid w:val="005130E4"/>
    <w:rsid w:val="00514878"/>
    <w:rsid w:val="00521455"/>
    <w:rsid w:val="00522CD1"/>
    <w:rsid w:val="00522FB5"/>
    <w:rsid w:val="00530EE8"/>
    <w:rsid w:val="00530F69"/>
    <w:rsid w:val="00536E9C"/>
    <w:rsid w:val="005479E0"/>
    <w:rsid w:val="005566E8"/>
    <w:rsid w:val="005608E3"/>
    <w:rsid w:val="0056325A"/>
    <w:rsid w:val="005632F8"/>
    <w:rsid w:val="00564A06"/>
    <w:rsid w:val="00574867"/>
    <w:rsid w:val="005765F3"/>
    <w:rsid w:val="00581B21"/>
    <w:rsid w:val="00587B4F"/>
    <w:rsid w:val="00591460"/>
    <w:rsid w:val="00591C74"/>
    <w:rsid w:val="00597C3B"/>
    <w:rsid w:val="005A2340"/>
    <w:rsid w:val="005A289A"/>
    <w:rsid w:val="005A4FBB"/>
    <w:rsid w:val="005A560C"/>
    <w:rsid w:val="005C3777"/>
    <w:rsid w:val="005C38E6"/>
    <w:rsid w:val="005C4160"/>
    <w:rsid w:val="005C5CDC"/>
    <w:rsid w:val="005C7CE6"/>
    <w:rsid w:val="005D476C"/>
    <w:rsid w:val="005E0222"/>
    <w:rsid w:val="005F3FA3"/>
    <w:rsid w:val="005F46BA"/>
    <w:rsid w:val="00602D16"/>
    <w:rsid w:val="00602F8F"/>
    <w:rsid w:val="00603889"/>
    <w:rsid w:val="006058EA"/>
    <w:rsid w:val="00606B01"/>
    <w:rsid w:val="00614A06"/>
    <w:rsid w:val="006219F8"/>
    <w:rsid w:val="0062339D"/>
    <w:rsid w:val="00624AD9"/>
    <w:rsid w:val="006255AC"/>
    <w:rsid w:val="00632BAF"/>
    <w:rsid w:val="0064519C"/>
    <w:rsid w:val="00645D63"/>
    <w:rsid w:val="00650E70"/>
    <w:rsid w:val="00664260"/>
    <w:rsid w:val="00665D70"/>
    <w:rsid w:val="0066747D"/>
    <w:rsid w:val="006716B3"/>
    <w:rsid w:val="00672B47"/>
    <w:rsid w:val="00681219"/>
    <w:rsid w:val="0068164C"/>
    <w:rsid w:val="0068782F"/>
    <w:rsid w:val="006900D9"/>
    <w:rsid w:val="0069037E"/>
    <w:rsid w:val="00691D3E"/>
    <w:rsid w:val="00695865"/>
    <w:rsid w:val="006A3680"/>
    <w:rsid w:val="006A64ED"/>
    <w:rsid w:val="006B148C"/>
    <w:rsid w:val="006B262B"/>
    <w:rsid w:val="006B561C"/>
    <w:rsid w:val="006B68D6"/>
    <w:rsid w:val="006D3729"/>
    <w:rsid w:val="006D4727"/>
    <w:rsid w:val="006E4DC5"/>
    <w:rsid w:val="006E7889"/>
    <w:rsid w:val="006F0726"/>
    <w:rsid w:val="006F3297"/>
    <w:rsid w:val="006F566A"/>
    <w:rsid w:val="006F6651"/>
    <w:rsid w:val="006F705D"/>
    <w:rsid w:val="007032EE"/>
    <w:rsid w:val="007046C3"/>
    <w:rsid w:val="00705C5A"/>
    <w:rsid w:val="00706C16"/>
    <w:rsid w:val="0072042E"/>
    <w:rsid w:val="0072199A"/>
    <w:rsid w:val="00730DED"/>
    <w:rsid w:val="00731BB5"/>
    <w:rsid w:val="00740AB4"/>
    <w:rsid w:val="00740F5B"/>
    <w:rsid w:val="007441D7"/>
    <w:rsid w:val="00744F96"/>
    <w:rsid w:val="00751E36"/>
    <w:rsid w:val="00751EF2"/>
    <w:rsid w:val="00752BE3"/>
    <w:rsid w:val="00756841"/>
    <w:rsid w:val="007649AB"/>
    <w:rsid w:val="00764CCB"/>
    <w:rsid w:val="00766515"/>
    <w:rsid w:val="00767D1A"/>
    <w:rsid w:val="00771D0C"/>
    <w:rsid w:val="00782AA7"/>
    <w:rsid w:val="007833AC"/>
    <w:rsid w:val="00783FBC"/>
    <w:rsid w:val="007845D3"/>
    <w:rsid w:val="00793CE7"/>
    <w:rsid w:val="00794973"/>
    <w:rsid w:val="007953BA"/>
    <w:rsid w:val="007959BC"/>
    <w:rsid w:val="007A2D8A"/>
    <w:rsid w:val="007A47C1"/>
    <w:rsid w:val="007A6E93"/>
    <w:rsid w:val="007B0B3C"/>
    <w:rsid w:val="007B268C"/>
    <w:rsid w:val="007B4D4E"/>
    <w:rsid w:val="007B5D94"/>
    <w:rsid w:val="007B7171"/>
    <w:rsid w:val="007C3DC2"/>
    <w:rsid w:val="007D14A8"/>
    <w:rsid w:val="007D4A47"/>
    <w:rsid w:val="007D6CCB"/>
    <w:rsid w:val="007D77D6"/>
    <w:rsid w:val="007E15E5"/>
    <w:rsid w:val="007E3517"/>
    <w:rsid w:val="007E5497"/>
    <w:rsid w:val="007E5AA0"/>
    <w:rsid w:val="007E5C9A"/>
    <w:rsid w:val="007F14AA"/>
    <w:rsid w:val="0080035F"/>
    <w:rsid w:val="00803344"/>
    <w:rsid w:val="00806E4B"/>
    <w:rsid w:val="00806F5F"/>
    <w:rsid w:val="0080722F"/>
    <w:rsid w:val="00807323"/>
    <w:rsid w:val="0081512B"/>
    <w:rsid w:val="00815699"/>
    <w:rsid w:val="00820278"/>
    <w:rsid w:val="00823726"/>
    <w:rsid w:val="0082444F"/>
    <w:rsid w:val="00824BCF"/>
    <w:rsid w:val="00826B1C"/>
    <w:rsid w:val="0083021D"/>
    <w:rsid w:val="008332FA"/>
    <w:rsid w:val="00844A51"/>
    <w:rsid w:val="00853613"/>
    <w:rsid w:val="00865F91"/>
    <w:rsid w:val="0087282A"/>
    <w:rsid w:val="00881A7B"/>
    <w:rsid w:val="008832F1"/>
    <w:rsid w:val="008843B6"/>
    <w:rsid w:val="00891928"/>
    <w:rsid w:val="00894BBF"/>
    <w:rsid w:val="00897527"/>
    <w:rsid w:val="008A054D"/>
    <w:rsid w:val="008A446D"/>
    <w:rsid w:val="008A5A09"/>
    <w:rsid w:val="008A6174"/>
    <w:rsid w:val="008B04C7"/>
    <w:rsid w:val="008B1C8C"/>
    <w:rsid w:val="008B28F6"/>
    <w:rsid w:val="008B4D3D"/>
    <w:rsid w:val="008C1C96"/>
    <w:rsid w:val="008C7F93"/>
    <w:rsid w:val="008D180B"/>
    <w:rsid w:val="008D1A0A"/>
    <w:rsid w:val="008D34EE"/>
    <w:rsid w:val="008D41D3"/>
    <w:rsid w:val="008D5ABE"/>
    <w:rsid w:val="008D67E2"/>
    <w:rsid w:val="008E4029"/>
    <w:rsid w:val="008E4DF8"/>
    <w:rsid w:val="008E70D4"/>
    <w:rsid w:val="008F0EA7"/>
    <w:rsid w:val="008F2D5D"/>
    <w:rsid w:val="008F6921"/>
    <w:rsid w:val="009007C6"/>
    <w:rsid w:val="00902794"/>
    <w:rsid w:val="009028A8"/>
    <w:rsid w:val="00906D8C"/>
    <w:rsid w:val="009104DD"/>
    <w:rsid w:val="00912081"/>
    <w:rsid w:val="00912700"/>
    <w:rsid w:val="00921CB4"/>
    <w:rsid w:val="00923EEF"/>
    <w:rsid w:val="00926D95"/>
    <w:rsid w:val="00932868"/>
    <w:rsid w:val="0093465A"/>
    <w:rsid w:val="009419F9"/>
    <w:rsid w:val="00943998"/>
    <w:rsid w:val="009532A4"/>
    <w:rsid w:val="00956E00"/>
    <w:rsid w:val="009619D5"/>
    <w:rsid w:val="00961B09"/>
    <w:rsid w:val="00962E4E"/>
    <w:rsid w:val="00965334"/>
    <w:rsid w:val="00965A85"/>
    <w:rsid w:val="0097093E"/>
    <w:rsid w:val="00971D68"/>
    <w:rsid w:val="00976272"/>
    <w:rsid w:val="00976F50"/>
    <w:rsid w:val="00977A67"/>
    <w:rsid w:val="009802E8"/>
    <w:rsid w:val="00981AC6"/>
    <w:rsid w:val="009950B4"/>
    <w:rsid w:val="009A6976"/>
    <w:rsid w:val="009A7226"/>
    <w:rsid w:val="009A79A1"/>
    <w:rsid w:val="009B7784"/>
    <w:rsid w:val="009C511A"/>
    <w:rsid w:val="009C71FA"/>
    <w:rsid w:val="009C72E7"/>
    <w:rsid w:val="009D035A"/>
    <w:rsid w:val="009D0ACB"/>
    <w:rsid w:val="009D71BF"/>
    <w:rsid w:val="009D7203"/>
    <w:rsid w:val="009E2C0B"/>
    <w:rsid w:val="009E54A5"/>
    <w:rsid w:val="009F2696"/>
    <w:rsid w:val="009F3A13"/>
    <w:rsid w:val="009F4C28"/>
    <w:rsid w:val="009F7337"/>
    <w:rsid w:val="00A055B6"/>
    <w:rsid w:val="00A0573E"/>
    <w:rsid w:val="00A122D3"/>
    <w:rsid w:val="00A13247"/>
    <w:rsid w:val="00A14EAB"/>
    <w:rsid w:val="00A17F13"/>
    <w:rsid w:val="00A20739"/>
    <w:rsid w:val="00A33C78"/>
    <w:rsid w:val="00A35B95"/>
    <w:rsid w:val="00A42316"/>
    <w:rsid w:val="00A44342"/>
    <w:rsid w:val="00A45A38"/>
    <w:rsid w:val="00A527D4"/>
    <w:rsid w:val="00A5421B"/>
    <w:rsid w:val="00A54D0A"/>
    <w:rsid w:val="00A5509F"/>
    <w:rsid w:val="00A555F2"/>
    <w:rsid w:val="00A56BFB"/>
    <w:rsid w:val="00A63051"/>
    <w:rsid w:val="00A64367"/>
    <w:rsid w:val="00A64969"/>
    <w:rsid w:val="00A66653"/>
    <w:rsid w:val="00A70BDB"/>
    <w:rsid w:val="00A72330"/>
    <w:rsid w:val="00A84461"/>
    <w:rsid w:val="00A9190B"/>
    <w:rsid w:val="00A93A9B"/>
    <w:rsid w:val="00A96EFF"/>
    <w:rsid w:val="00A972FF"/>
    <w:rsid w:val="00A975F2"/>
    <w:rsid w:val="00A9776B"/>
    <w:rsid w:val="00AA378E"/>
    <w:rsid w:val="00AA678D"/>
    <w:rsid w:val="00AB02C6"/>
    <w:rsid w:val="00AB0944"/>
    <w:rsid w:val="00AB0ADB"/>
    <w:rsid w:val="00AB628B"/>
    <w:rsid w:val="00AB63E1"/>
    <w:rsid w:val="00AC6584"/>
    <w:rsid w:val="00AC69D1"/>
    <w:rsid w:val="00AC6CA2"/>
    <w:rsid w:val="00AC782F"/>
    <w:rsid w:val="00AD295D"/>
    <w:rsid w:val="00AD3EDD"/>
    <w:rsid w:val="00AD4D03"/>
    <w:rsid w:val="00AD5941"/>
    <w:rsid w:val="00AD65DF"/>
    <w:rsid w:val="00AE00E7"/>
    <w:rsid w:val="00AE0136"/>
    <w:rsid w:val="00AE5E65"/>
    <w:rsid w:val="00AE6BDD"/>
    <w:rsid w:val="00AF5C51"/>
    <w:rsid w:val="00B01695"/>
    <w:rsid w:val="00B0526B"/>
    <w:rsid w:val="00B05CB2"/>
    <w:rsid w:val="00B066E1"/>
    <w:rsid w:val="00B15F23"/>
    <w:rsid w:val="00B17BF9"/>
    <w:rsid w:val="00B2343E"/>
    <w:rsid w:val="00B36627"/>
    <w:rsid w:val="00B40FA5"/>
    <w:rsid w:val="00B50BC5"/>
    <w:rsid w:val="00B5772E"/>
    <w:rsid w:val="00B72CD3"/>
    <w:rsid w:val="00B72FFF"/>
    <w:rsid w:val="00B738E4"/>
    <w:rsid w:val="00B7538B"/>
    <w:rsid w:val="00B75B5E"/>
    <w:rsid w:val="00B75C64"/>
    <w:rsid w:val="00B77AE9"/>
    <w:rsid w:val="00B77FF8"/>
    <w:rsid w:val="00B848BD"/>
    <w:rsid w:val="00B85E1E"/>
    <w:rsid w:val="00B913BA"/>
    <w:rsid w:val="00B936D9"/>
    <w:rsid w:val="00B95016"/>
    <w:rsid w:val="00B97BEE"/>
    <w:rsid w:val="00BA2F2B"/>
    <w:rsid w:val="00BA50D0"/>
    <w:rsid w:val="00BB4AF2"/>
    <w:rsid w:val="00BB741A"/>
    <w:rsid w:val="00BC2073"/>
    <w:rsid w:val="00BC3D36"/>
    <w:rsid w:val="00BC5A28"/>
    <w:rsid w:val="00BD113C"/>
    <w:rsid w:val="00BD579D"/>
    <w:rsid w:val="00BD6062"/>
    <w:rsid w:val="00BD7F72"/>
    <w:rsid w:val="00BE4798"/>
    <w:rsid w:val="00BE5C5D"/>
    <w:rsid w:val="00BE6574"/>
    <w:rsid w:val="00BF1483"/>
    <w:rsid w:val="00BF73CC"/>
    <w:rsid w:val="00C04FB3"/>
    <w:rsid w:val="00C058CC"/>
    <w:rsid w:val="00C0645D"/>
    <w:rsid w:val="00C06A3F"/>
    <w:rsid w:val="00C1044D"/>
    <w:rsid w:val="00C10C72"/>
    <w:rsid w:val="00C13E51"/>
    <w:rsid w:val="00C1434F"/>
    <w:rsid w:val="00C162EF"/>
    <w:rsid w:val="00C22FDC"/>
    <w:rsid w:val="00C32214"/>
    <w:rsid w:val="00C330EB"/>
    <w:rsid w:val="00C33BDD"/>
    <w:rsid w:val="00C34063"/>
    <w:rsid w:val="00C368F8"/>
    <w:rsid w:val="00C40E3B"/>
    <w:rsid w:val="00C42F48"/>
    <w:rsid w:val="00C4502A"/>
    <w:rsid w:val="00C477D8"/>
    <w:rsid w:val="00C53CE9"/>
    <w:rsid w:val="00C633A0"/>
    <w:rsid w:val="00C65CB6"/>
    <w:rsid w:val="00C6607A"/>
    <w:rsid w:val="00C679EB"/>
    <w:rsid w:val="00C71270"/>
    <w:rsid w:val="00C732CC"/>
    <w:rsid w:val="00C754BE"/>
    <w:rsid w:val="00C76B1C"/>
    <w:rsid w:val="00C77821"/>
    <w:rsid w:val="00C8319D"/>
    <w:rsid w:val="00C92BBC"/>
    <w:rsid w:val="00C93A6A"/>
    <w:rsid w:val="00C96336"/>
    <w:rsid w:val="00C97EFD"/>
    <w:rsid w:val="00CA1B96"/>
    <w:rsid w:val="00CA21CC"/>
    <w:rsid w:val="00CA5DB7"/>
    <w:rsid w:val="00CA783B"/>
    <w:rsid w:val="00CB1EF0"/>
    <w:rsid w:val="00CB2A2F"/>
    <w:rsid w:val="00CB53AB"/>
    <w:rsid w:val="00CB5586"/>
    <w:rsid w:val="00CB6357"/>
    <w:rsid w:val="00CC0BA1"/>
    <w:rsid w:val="00CC1B26"/>
    <w:rsid w:val="00CC7D06"/>
    <w:rsid w:val="00CF18C7"/>
    <w:rsid w:val="00CF2527"/>
    <w:rsid w:val="00CF5683"/>
    <w:rsid w:val="00CF5891"/>
    <w:rsid w:val="00CF74D3"/>
    <w:rsid w:val="00D00576"/>
    <w:rsid w:val="00D00CB8"/>
    <w:rsid w:val="00D06760"/>
    <w:rsid w:val="00D13025"/>
    <w:rsid w:val="00D21915"/>
    <w:rsid w:val="00D2516C"/>
    <w:rsid w:val="00D2599D"/>
    <w:rsid w:val="00D26A42"/>
    <w:rsid w:val="00D41EC6"/>
    <w:rsid w:val="00D423A2"/>
    <w:rsid w:val="00D46A9F"/>
    <w:rsid w:val="00D51190"/>
    <w:rsid w:val="00D522A8"/>
    <w:rsid w:val="00D56CD6"/>
    <w:rsid w:val="00D614F0"/>
    <w:rsid w:val="00D63AC2"/>
    <w:rsid w:val="00D64D1B"/>
    <w:rsid w:val="00D6560C"/>
    <w:rsid w:val="00D7311B"/>
    <w:rsid w:val="00D7383B"/>
    <w:rsid w:val="00D74836"/>
    <w:rsid w:val="00D74FA9"/>
    <w:rsid w:val="00D77B33"/>
    <w:rsid w:val="00D8139F"/>
    <w:rsid w:val="00D823E0"/>
    <w:rsid w:val="00DA231B"/>
    <w:rsid w:val="00DA7211"/>
    <w:rsid w:val="00DB2E5B"/>
    <w:rsid w:val="00DB4AA2"/>
    <w:rsid w:val="00DB672C"/>
    <w:rsid w:val="00DC3F30"/>
    <w:rsid w:val="00DD2D28"/>
    <w:rsid w:val="00DD47DB"/>
    <w:rsid w:val="00DD5095"/>
    <w:rsid w:val="00DD601A"/>
    <w:rsid w:val="00DE00D3"/>
    <w:rsid w:val="00DE1E8F"/>
    <w:rsid w:val="00DE3ED4"/>
    <w:rsid w:val="00DF1D65"/>
    <w:rsid w:val="00DF5254"/>
    <w:rsid w:val="00E01A53"/>
    <w:rsid w:val="00E01F40"/>
    <w:rsid w:val="00E053CF"/>
    <w:rsid w:val="00E16408"/>
    <w:rsid w:val="00E16E33"/>
    <w:rsid w:val="00E20100"/>
    <w:rsid w:val="00E20894"/>
    <w:rsid w:val="00E245AB"/>
    <w:rsid w:val="00E26AF2"/>
    <w:rsid w:val="00E2764C"/>
    <w:rsid w:val="00E27F2E"/>
    <w:rsid w:val="00E30FCA"/>
    <w:rsid w:val="00E42FF1"/>
    <w:rsid w:val="00E45FCF"/>
    <w:rsid w:val="00E46C6C"/>
    <w:rsid w:val="00E478E0"/>
    <w:rsid w:val="00E50ACF"/>
    <w:rsid w:val="00E50AFE"/>
    <w:rsid w:val="00E56626"/>
    <w:rsid w:val="00E56DF6"/>
    <w:rsid w:val="00E57542"/>
    <w:rsid w:val="00E57D3D"/>
    <w:rsid w:val="00E64CCD"/>
    <w:rsid w:val="00E64E8A"/>
    <w:rsid w:val="00E7141E"/>
    <w:rsid w:val="00E714FE"/>
    <w:rsid w:val="00E771DC"/>
    <w:rsid w:val="00E80BA6"/>
    <w:rsid w:val="00E832DA"/>
    <w:rsid w:val="00E83F46"/>
    <w:rsid w:val="00E8772A"/>
    <w:rsid w:val="00E90F6B"/>
    <w:rsid w:val="00E912D8"/>
    <w:rsid w:val="00E919A2"/>
    <w:rsid w:val="00E92C27"/>
    <w:rsid w:val="00E9414B"/>
    <w:rsid w:val="00E96A5D"/>
    <w:rsid w:val="00E97D30"/>
    <w:rsid w:val="00EA0E3D"/>
    <w:rsid w:val="00EB52B0"/>
    <w:rsid w:val="00EB5D44"/>
    <w:rsid w:val="00EC09E0"/>
    <w:rsid w:val="00EC303E"/>
    <w:rsid w:val="00EC6BB9"/>
    <w:rsid w:val="00ED209E"/>
    <w:rsid w:val="00ED3F85"/>
    <w:rsid w:val="00ED7D71"/>
    <w:rsid w:val="00ED7F08"/>
    <w:rsid w:val="00EE0B51"/>
    <w:rsid w:val="00EE1AA8"/>
    <w:rsid w:val="00EF0336"/>
    <w:rsid w:val="00F003C3"/>
    <w:rsid w:val="00F02B16"/>
    <w:rsid w:val="00F03B99"/>
    <w:rsid w:val="00F0593B"/>
    <w:rsid w:val="00F118DC"/>
    <w:rsid w:val="00F15F18"/>
    <w:rsid w:val="00F24827"/>
    <w:rsid w:val="00F24AB2"/>
    <w:rsid w:val="00F279D1"/>
    <w:rsid w:val="00F31EDC"/>
    <w:rsid w:val="00F3368E"/>
    <w:rsid w:val="00F36044"/>
    <w:rsid w:val="00F40B8A"/>
    <w:rsid w:val="00F41FA4"/>
    <w:rsid w:val="00F462B3"/>
    <w:rsid w:val="00F51292"/>
    <w:rsid w:val="00F547BB"/>
    <w:rsid w:val="00F5664F"/>
    <w:rsid w:val="00F569BF"/>
    <w:rsid w:val="00F56F5F"/>
    <w:rsid w:val="00F631E8"/>
    <w:rsid w:val="00F666C4"/>
    <w:rsid w:val="00F67F62"/>
    <w:rsid w:val="00F706F5"/>
    <w:rsid w:val="00F7391C"/>
    <w:rsid w:val="00F76AFC"/>
    <w:rsid w:val="00F8137F"/>
    <w:rsid w:val="00F82D41"/>
    <w:rsid w:val="00F86B75"/>
    <w:rsid w:val="00F90ED8"/>
    <w:rsid w:val="00FA4784"/>
    <w:rsid w:val="00FB011F"/>
    <w:rsid w:val="00FB5DD1"/>
    <w:rsid w:val="00FC2B5D"/>
    <w:rsid w:val="00FC2F1A"/>
    <w:rsid w:val="00FC3844"/>
    <w:rsid w:val="00FD37EC"/>
    <w:rsid w:val="00FD49C8"/>
    <w:rsid w:val="00FD6265"/>
    <w:rsid w:val="00FD7183"/>
    <w:rsid w:val="00FF1449"/>
    <w:rsid w:val="00FF268B"/>
    <w:rsid w:val="00FF57AF"/>
    <w:rsid w:val="08937EA5"/>
    <w:rsid w:val="1629CCB3"/>
    <w:rsid w:val="1C69E5A6"/>
    <w:rsid w:val="276504BA"/>
    <w:rsid w:val="29BEF383"/>
    <w:rsid w:val="2DAC8686"/>
    <w:rsid w:val="301EEC12"/>
    <w:rsid w:val="380EBE75"/>
    <w:rsid w:val="3C00DBA2"/>
    <w:rsid w:val="3D87E757"/>
    <w:rsid w:val="40A8037B"/>
    <w:rsid w:val="4624F1D7"/>
    <w:rsid w:val="4DD82FCA"/>
    <w:rsid w:val="6162D00D"/>
    <w:rsid w:val="680F7C78"/>
    <w:rsid w:val="6A999FAD"/>
    <w:rsid w:val="6AA97D3F"/>
    <w:rsid w:val="6C7CE11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869364E-27CB-42DD-A589-CC5193584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F"/>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959BC"/>
    <w:rPr>
      <w:rFonts w:ascii="Geomanist Light" w:hAnsi="Geomanist Light"/>
      <w:lang w:val="es-ES"/>
    </w:rPr>
  </w:style>
  <w:style w:type="paragraph" w:styleId="BodyText">
    <w:name w:val="Body Text"/>
    <w:basedOn w:val="Normal"/>
    <w:link w:val="BodyTextChar"/>
    <w:uiPriority w:val="1"/>
    <w:unhideWhenUsed/>
    <w:qFormat/>
    <w:rsid w:val="007959BC"/>
    <w:pPr>
      <w:widowControl w:val="0"/>
      <w:autoSpaceDE w:val="0"/>
      <w:autoSpaceDN w:val="0"/>
      <w:spacing w:after="0" w:line="240" w:lineRule="auto"/>
    </w:pPr>
    <w:rPr>
      <w:rFonts w:ascii="Arial" w:eastAsia="Arial" w:hAnsi="Arial" w:cs="Arial"/>
      <w:lang w:val="es-ES" w:eastAsia="es-ES" w:bidi="es-ES"/>
    </w:rPr>
  </w:style>
  <w:style w:type="character" w:customStyle="1" w:styleId="BodyTextChar">
    <w:name w:val="Body Text Char"/>
    <w:basedOn w:val="DefaultParagraphFont"/>
    <w:link w:val="BodyText"/>
    <w:uiPriority w:val="1"/>
    <w:rsid w:val="007959BC"/>
    <w:rPr>
      <w:rFonts w:ascii="Arial" w:eastAsia="Arial" w:hAnsi="Arial" w:cs="Arial"/>
      <w:lang w:val="es-ES" w:eastAsia="es-ES" w:bidi="es-ES"/>
    </w:rPr>
  </w:style>
  <w:style w:type="paragraph" w:customStyle="1" w:styleId="Appelnotedebasde">
    <w:name w:val="Appel note de bas de..."/>
    <w:basedOn w:val="Normal"/>
    <w:link w:val="FootnoteReference"/>
    <w:uiPriority w:val="99"/>
    <w:rsid w:val="007959BC"/>
    <w:pPr>
      <w:spacing w:line="240" w:lineRule="exact"/>
    </w:pPr>
    <w:rPr>
      <w:vertAlign w:val="superscript"/>
    </w:rPr>
  </w:style>
  <w:style w:type="paragraph" w:customStyle="1" w:styleId="xmsonospacing">
    <w:name w:val="x_msonospacing"/>
    <w:basedOn w:val="Normal"/>
    <w:rsid w:val="007959B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Emphasis">
    <w:name w:val="Emphasis"/>
    <w:basedOn w:val="DefaultParagraphFont"/>
    <w:uiPriority w:val="20"/>
    <w:qFormat/>
    <w:rsid w:val="000E078B"/>
    <w:rPr>
      <w:i/>
      <w:iCs/>
    </w:rPr>
  </w:style>
  <w:style w:type="character" w:styleId="CommentReference">
    <w:name w:val="annotation reference"/>
    <w:basedOn w:val="DefaultParagraphFont"/>
    <w:uiPriority w:val="99"/>
    <w:semiHidden/>
    <w:unhideWhenUsed/>
    <w:rsid w:val="007D14A8"/>
    <w:rPr>
      <w:sz w:val="16"/>
      <w:szCs w:val="16"/>
    </w:rPr>
  </w:style>
  <w:style w:type="paragraph" w:styleId="CommentText">
    <w:name w:val="annotation text"/>
    <w:basedOn w:val="Normal"/>
    <w:link w:val="CommentTextChar"/>
    <w:uiPriority w:val="99"/>
    <w:unhideWhenUsed/>
    <w:rsid w:val="007D14A8"/>
    <w:pPr>
      <w:spacing w:line="240" w:lineRule="auto"/>
    </w:pPr>
    <w:rPr>
      <w:sz w:val="20"/>
      <w:szCs w:val="20"/>
    </w:rPr>
  </w:style>
  <w:style w:type="character" w:customStyle="1" w:styleId="CommentTextChar">
    <w:name w:val="Comment Text Char"/>
    <w:basedOn w:val="DefaultParagraphFont"/>
    <w:link w:val="CommentText"/>
    <w:uiPriority w:val="99"/>
    <w:rsid w:val="007D14A8"/>
    <w:rPr>
      <w:sz w:val="20"/>
      <w:szCs w:val="20"/>
    </w:rPr>
  </w:style>
  <w:style w:type="paragraph" w:styleId="CommentSubject">
    <w:name w:val="annotation subject"/>
    <w:basedOn w:val="CommentText"/>
    <w:next w:val="CommentText"/>
    <w:link w:val="CommentSubjectChar"/>
    <w:uiPriority w:val="99"/>
    <w:semiHidden/>
    <w:unhideWhenUsed/>
    <w:rsid w:val="007D14A8"/>
    <w:rPr>
      <w:b/>
      <w:bCs/>
    </w:rPr>
  </w:style>
  <w:style w:type="character" w:customStyle="1" w:styleId="CommentSubjectChar">
    <w:name w:val="Comment Subject Char"/>
    <w:basedOn w:val="CommentTextChar"/>
    <w:link w:val="CommentSubject"/>
    <w:uiPriority w:val="99"/>
    <w:semiHidden/>
    <w:rsid w:val="007D14A8"/>
    <w:rPr>
      <w:b/>
      <w:bCs/>
      <w:sz w:val="20"/>
      <w:szCs w:val="20"/>
    </w:rPr>
  </w:style>
  <w:style w:type="character" w:styleId="Strong">
    <w:name w:val="Strong"/>
    <w:basedOn w:val="DefaultParagraphFont"/>
    <w:uiPriority w:val="22"/>
    <w:qFormat/>
    <w:rsid w:val="00C13E51"/>
    <w:rPr>
      <w:b/>
      <w:bCs/>
    </w:rPr>
  </w:style>
  <w:style w:type="paragraph" w:styleId="NoSpacing">
    <w:name w:val="No Spacing"/>
    <w:uiPriority w:val="1"/>
    <w:qFormat/>
    <w:rsid w:val="008A5A09"/>
    <w:pPr>
      <w:spacing w:after="0" w:line="240" w:lineRule="auto"/>
    </w:pPr>
  </w:style>
  <w:style w:type="character" w:customStyle="1" w:styleId="Hipervnculo1">
    <w:name w:val="Hipervínculo1"/>
    <w:basedOn w:val="DefaultParagraphFont"/>
    <w:uiPriority w:val="99"/>
    <w:unhideWhenUsed/>
    <w:rsid w:val="003E44B8"/>
    <w:rPr>
      <w:color w:val="F2F2F2"/>
      <w:u w:val="single"/>
    </w:rPr>
  </w:style>
  <w:style w:type="character" w:customStyle="1" w:styleId="baj">
    <w:name w:val="b_aj"/>
    <w:basedOn w:val="DefaultParagraphFont"/>
    <w:rsid w:val="00977A6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47674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71188094">
      <w:bodyDiv w:val="1"/>
      <w:marLeft w:val="0"/>
      <w:marRight w:val="0"/>
      <w:marTop w:val="0"/>
      <w:marBottom w:val="0"/>
      <w:divBdr>
        <w:top w:val="none" w:sz="0" w:space="0" w:color="auto"/>
        <w:left w:val="none" w:sz="0" w:space="0" w:color="auto"/>
        <w:bottom w:val="none" w:sz="0" w:space="0" w:color="auto"/>
        <w:right w:val="none" w:sz="0" w:space="0" w:color="auto"/>
      </w:divBdr>
      <w:divsChild>
        <w:div w:id="429007679">
          <w:marLeft w:val="0"/>
          <w:marRight w:val="0"/>
          <w:marTop w:val="0"/>
          <w:marBottom w:val="0"/>
          <w:divBdr>
            <w:top w:val="none" w:sz="0" w:space="0" w:color="auto"/>
            <w:left w:val="none" w:sz="0" w:space="0" w:color="auto"/>
            <w:bottom w:val="none" w:sz="0" w:space="0" w:color="auto"/>
            <w:right w:val="none" w:sz="0" w:space="0" w:color="auto"/>
          </w:divBdr>
        </w:div>
        <w:div w:id="591822019">
          <w:marLeft w:val="0"/>
          <w:marRight w:val="0"/>
          <w:marTop w:val="0"/>
          <w:marBottom w:val="0"/>
          <w:divBdr>
            <w:top w:val="none" w:sz="0" w:space="0" w:color="auto"/>
            <w:left w:val="none" w:sz="0" w:space="0" w:color="auto"/>
            <w:bottom w:val="none" w:sz="0" w:space="0" w:color="auto"/>
            <w:right w:val="none" w:sz="0" w:space="0" w:color="auto"/>
          </w:divBdr>
        </w:div>
        <w:div w:id="854225939">
          <w:marLeft w:val="0"/>
          <w:marRight w:val="0"/>
          <w:marTop w:val="0"/>
          <w:marBottom w:val="0"/>
          <w:divBdr>
            <w:top w:val="none" w:sz="0" w:space="0" w:color="auto"/>
            <w:left w:val="none" w:sz="0" w:space="0" w:color="auto"/>
            <w:bottom w:val="none" w:sz="0" w:space="0" w:color="auto"/>
            <w:right w:val="none" w:sz="0" w:space="0" w:color="auto"/>
          </w:divBdr>
        </w:div>
        <w:div w:id="1243679342">
          <w:marLeft w:val="0"/>
          <w:marRight w:val="0"/>
          <w:marTop w:val="0"/>
          <w:marBottom w:val="0"/>
          <w:divBdr>
            <w:top w:val="none" w:sz="0" w:space="0" w:color="auto"/>
            <w:left w:val="none" w:sz="0" w:space="0" w:color="auto"/>
            <w:bottom w:val="none" w:sz="0" w:space="0" w:color="auto"/>
            <w:right w:val="none" w:sz="0" w:space="0" w:color="auto"/>
          </w:divBdr>
        </w:div>
        <w:div w:id="1447430903">
          <w:marLeft w:val="0"/>
          <w:marRight w:val="0"/>
          <w:marTop w:val="0"/>
          <w:marBottom w:val="0"/>
          <w:divBdr>
            <w:top w:val="none" w:sz="0" w:space="0" w:color="auto"/>
            <w:left w:val="none" w:sz="0" w:space="0" w:color="auto"/>
            <w:bottom w:val="none" w:sz="0" w:space="0" w:color="auto"/>
            <w:right w:val="none" w:sz="0" w:space="0" w:color="auto"/>
          </w:divBdr>
        </w:div>
        <w:div w:id="1860658836">
          <w:marLeft w:val="0"/>
          <w:marRight w:val="0"/>
          <w:marTop w:val="0"/>
          <w:marBottom w:val="0"/>
          <w:divBdr>
            <w:top w:val="none" w:sz="0" w:space="0" w:color="auto"/>
            <w:left w:val="none" w:sz="0" w:space="0" w:color="auto"/>
            <w:bottom w:val="none" w:sz="0" w:space="0" w:color="auto"/>
            <w:right w:val="none" w:sz="0" w:space="0" w:color="auto"/>
          </w:divBdr>
        </w:div>
        <w:div w:id="1888760207">
          <w:marLeft w:val="0"/>
          <w:marRight w:val="0"/>
          <w:marTop w:val="0"/>
          <w:marBottom w:val="0"/>
          <w:divBdr>
            <w:top w:val="none" w:sz="0" w:space="0" w:color="auto"/>
            <w:left w:val="none" w:sz="0" w:space="0" w:color="auto"/>
            <w:bottom w:val="none" w:sz="0" w:space="0" w:color="auto"/>
            <w:right w:val="none" w:sz="0" w:space="0" w:color="auto"/>
          </w:divBdr>
        </w:div>
      </w:divsChild>
    </w:div>
    <w:div w:id="89000220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5822097">
      <w:bodyDiv w:val="1"/>
      <w:marLeft w:val="0"/>
      <w:marRight w:val="0"/>
      <w:marTop w:val="0"/>
      <w:marBottom w:val="0"/>
      <w:divBdr>
        <w:top w:val="none" w:sz="0" w:space="0" w:color="auto"/>
        <w:left w:val="none" w:sz="0" w:space="0" w:color="auto"/>
        <w:bottom w:val="none" w:sz="0" w:space="0" w:color="auto"/>
        <w:right w:val="none" w:sz="0" w:space="0" w:color="auto"/>
      </w:divBdr>
    </w:div>
    <w:div w:id="1403529917">
      <w:bodyDiv w:val="1"/>
      <w:marLeft w:val="0"/>
      <w:marRight w:val="0"/>
      <w:marTop w:val="0"/>
      <w:marBottom w:val="0"/>
      <w:divBdr>
        <w:top w:val="none" w:sz="0" w:space="0" w:color="auto"/>
        <w:left w:val="none" w:sz="0" w:space="0" w:color="auto"/>
        <w:bottom w:val="none" w:sz="0" w:space="0" w:color="auto"/>
        <w:right w:val="none" w:sz="0" w:space="0" w:color="auto"/>
      </w:divBdr>
      <w:divsChild>
        <w:div w:id="105122983">
          <w:marLeft w:val="0"/>
          <w:marRight w:val="0"/>
          <w:marTop w:val="0"/>
          <w:marBottom w:val="0"/>
          <w:divBdr>
            <w:top w:val="none" w:sz="0" w:space="0" w:color="auto"/>
            <w:left w:val="none" w:sz="0" w:space="0" w:color="auto"/>
            <w:bottom w:val="none" w:sz="0" w:space="0" w:color="auto"/>
            <w:right w:val="none" w:sz="0" w:space="0" w:color="auto"/>
          </w:divBdr>
        </w:div>
        <w:div w:id="280958949">
          <w:marLeft w:val="0"/>
          <w:marRight w:val="0"/>
          <w:marTop w:val="0"/>
          <w:marBottom w:val="0"/>
          <w:divBdr>
            <w:top w:val="none" w:sz="0" w:space="0" w:color="auto"/>
            <w:left w:val="none" w:sz="0" w:space="0" w:color="auto"/>
            <w:bottom w:val="none" w:sz="0" w:space="0" w:color="auto"/>
            <w:right w:val="none" w:sz="0" w:space="0" w:color="auto"/>
          </w:divBdr>
        </w:div>
        <w:div w:id="789321740">
          <w:marLeft w:val="0"/>
          <w:marRight w:val="0"/>
          <w:marTop w:val="0"/>
          <w:marBottom w:val="0"/>
          <w:divBdr>
            <w:top w:val="none" w:sz="0" w:space="0" w:color="auto"/>
            <w:left w:val="none" w:sz="0" w:space="0" w:color="auto"/>
            <w:bottom w:val="none" w:sz="0" w:space="0" w:color="auto"/>
            <w:right w:val="none" w:sz="0" w:space="0" w:color="auto"/>
          </w:divBdr>
        </w:div>
        <w:div w:id="1347945658">
          <w:marLeft w:val="0"/>
          <w:marRight w:val="0"/>
          <w:marTop w:val="0"/>
          <w:marBottom w:val="0"/>
          <w:divBdr>
            <w:top w:val="none" w:sz="0" w:space="0" w:color="auto"/>
            <w:left w:val="none" w:sz="0" w:space="0" w:color="auto"/>
            <w:bottom w:val="none" w:sz="0" w:space="0" w:color="auto"/>
            <w:right w:val="none" w:sz="0" w:space="0" w:color="auto"/>
          </w:divBdr>
        </w:div>
        <w:div w:id="1556115920">
          <w:marLeft w:val="0"/>
          <w:marRight w:val="0"/>
          <w:marTop w:val="0"/>
          <w:marBottom w:val="0"/>
          <w:divBdr>
            <w:top w:val="none" w:sz="0" w:space="0" w:color="auto"/>
            <w:left w:val="none" w:sz="0" w:space="0" w:color="auto"/>
            <w:bottom w:val="none" w:sz="0" w:space="0" w:color="auto"/>
            <w:right w:val="none" w:sz="0" w:space="0" w:color="auto"/>
          </w:divBdr>
        </w:div>
        <w:div w:id="2033533023">
          <w:marLeft w:val="0"/>
          <w:marRight w:val="0"/>
          <w:marTop w:val="0"/>
          <w:marBottom w:val="0"/>
          <w:divBdr>
            <w:top w:val="none" w:sz="0" w:space="0" w:color="auto"/>
            <w:left w:val="none" w:sz="0" w:space="0" w:color="auto"/>
            <w:bottom w:val="none" w:sz="0" w:space="0" w:color="auto"/>
            <w:right w:val="none" w:sz="0" w:space="0" w:color="auto"/>
          </w:divBdr>
        </w:div>
        <w:div w:id="2105572032">
          <w:marLeft w:val="0"/>
          <w:marRight w:val="0"/>
          <w:marTop w:val="0"/>
          <w:marBottom w:val="0"/>
          <w:divBdr>
            <w:top w:val="none" w:sz="0" w:space="0" w:color="auto"/>
            <w:left w:val="none" w:sz="0" w:space="0" w:color="auto"/>
            <w:bottom w:val="none" w:sz="0" w:space="0" w:color="auto"/>
            <w:right w:val="none" w:sz="0" w:space="0" w:color="auto"/>
          </w:divBdr>
        </w:div>
      </w:divsChild>
    </w:div>
    <w:div w:id="1449934837">
      <w:bodyDiv w:val="1"/>
      <w:marLeft w:val="0"/>
      <w:marRight w:val="0"/>
      <w:marTop w:val="0"/>
      <w:marBottom w:val="0"/>
      <w:divBdr>
        <w:top w:val="none" w:sz="0" w:space="0" w:color="auto"/>
        <w:left w:val="none" w:sz="0" w:space="0" w:color="auto"/>
        <w:bottom w:val="none" w:sz="0" w:space="0" w:color="auto"/>
        <w:right w:val="none" w:sz="0" w:space="0" w:color="auto"/>
      </w:divBdr>
    </w:div>
    <w:div w:id="1627276350">
      <w:bodyDiv w:val="1"/>
      <w:marLeft w:val="0"/>
      <w:marRight w:val="0"/>
      <w:marTop w:val="0"/>
      <w:marBottom w:val="0"/>
      <w:divBdr>
        <w:top w:val="none" w:sz="0" w:space="0" w:color="auto"/>
        <w:left w:val="none" w:sz="0" w:space="0" w:color="auto"/>
        <w:bottom w:val="none" w:sz="0" w:space="0" w:color="auto"/>
        <w:right w:val="none" w:sz="0" w:space="0" w:color="auto"/>
      </w:divBdr>
      <w:divsChild>
        <w:div w:id="169103044">
          <w:marLeft w:val="0"/>
          <w:marRight w:val="0"/>
          <w:marTop w:val="0"/>
          <w:marBottom w:val="0"/>
          <w:divBdr>
            <w:top w:val="none" w:sz="0" w:space="0" w:color="auto"/>
            <w:left w:val="none" w:sz="0" w:space="0" w:color="auto"/>
            <w:bottom w:val="none" w:sz="0" w:space="0" w:color="auto"/>
            <w:right w:val="none" w:sz="0" w:space="0" w:color="auto"/>
          </w:divBdr>
        </w:div>
        <w:div w:id="413017600">
          <w:marLeft w:val="0"/>
          <w:marRight w:val="0"/>
          <w:marTop w:val="0"/>
          <w:marBottom w:val="0"/>
          <w:divBdr>
            <w:top w:val="none" w:sz="0" w:space="0" w:color="auto"/>
            <w:left w:val="none" w:sz="0" w:space="0" w:color="auto"/>
            <w:bottom w:val="none" w:sz="0" w:space="0" w:color="auto"/>
            <w:right w:val="none" w:sz="0" w:space="0" w:color="auto"/>
          </w:divBdr>
        </w:div>
        <w:div w:id="701712410">
          <w:marLeft w:val="0"/>
          <w:marRight w:val="0"/>
          <w:marTop w:val="0"/>
          <w:marBottom w:val="0"/>
          <w:divBdr>
            <w:top w:val="none" w:sz="0" w:space="0" w:color="auto"/>
            <w:left w:val="none" w:sz="0" w:space="0" w:color="auto"/>
            <w:bottom w:val="none" w:sz="0" w:space="0" w:color="auto"/>
            <w:right w:val="none" w:sz="0" w:space="0" w:color="auto"/>
          </w:divBdr>
        </w:div>
        <w:div w:id="1420981105">
          <w:marLeft w:val="0"/>
          <w:marRight w:val="0"/>
          <w:marTop w:val="0"/>
          <w:marBottom w:val="0"/>
          <w:divBdr>
            <w:top w:val="none" w:sz="0" w:space="0" w:color="auto"/>
            <w:left w:val="none" w:sz="0" w:space="0" w:color="auto"/>
            <w:bottom w:val="none" w:sz="0" w:space="0" w:color="auto"/>
            <w:right w:val="none" w:sz="0" w:space="0" w:color="auto"/>
          </w:divBdr>
        </w:div>
        <w:div w:id="143277846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Any Alejandra Tovar Castillo</DisplayName>
        <AccountId>539</AccountId>
        <AccountType/>
      </UserInfo>
      <UserInfo>
        <DisplayName>Ximena Ríos López</DisplayName>
        <AccountId>48</AccountId>
        <AccountType/>
      </UserInfo>
      <UserInfo>
        <DisplayName>Nohelia Del Carmen Zawady Palacio</DisplayName>
        <AccountId>289</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53C0842-C34E-464B-A4B3-5EF1492E5B86}">
  <ds:schemaRefs>
    <ds:schemaRef ds:uri="http://schemas.openxmlformats.org/officeDocument/2006/bibliography"/>
  </ds:schemaRefs>
</ds:datastoreItem>
</file>

<file path=customXml/itemProps3.xml><?xml version="1.0" encoding="utf-8"?>
<ds:datastoreItem xmlns:ds="http://schemas.openxmlformats.org/officeDocument/2006/customXml" ds:itemID="{4C872193-A59E-4B12-9EF8-50D777385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5700</TotalTime>
  <Pages>1</Pages>
  <Words>5960</Words>
  <Characters>33972</Characters>
  <Application>Microsoft Office Word</Application>
  <DocSecurity>4</DocSecurity>
  <Lines>283</Lines>
  <Paragraphs>79</Paragraphs>
  <ScaleCrop>false</ScaleCrop>
  <Company/>
  <LinksUpToDate>false</LinksUpToDate>
  <CharactersWithSpaces>39853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Andrés Ricardo Cabarcas Thorne</cp:lastModifiedBy>
  <cp:revision>454</cp:revision>
  <cp:lastPrinted>2023-01-11T00:18:00Z</cp:lastPrinted>
  <dcterms:created xsi:type="dcterms:W3CDTF">2024-04-10T17:37:00Z</dcterms:created>
  <dcterms:modified xsi:type="dcterms:W3CDTF">2024-07-09T18:03:00Z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