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D17E59" w:rsidRDefault="00B55C69" w:rsidP="001A4314">
      <w:pPr>
        <w:jc w:val="right"/>
        <w:rPr>
          <w:rFonts w:ascii="Arial" w:eastAsia="Calibri" w:hAnsi="Arial" w:cs="Arial"/>
          <w:b/>
          <w:color w:val="000000" w:themeColor="text1"/>
          <w:sz w:val="20"/>
          <w:szCs w:val="20"/>
          <w:lang w:val="es-ES_tradnl"/>
        </w:rPr>
      </w:pPr>
      <w:bookmarkStart w:id="0" w:name="_Hlk28946138"/>
      <w:bookmarkStart w:id="1" w:name="_Hlk29548183"/>
      <w:r w:rsidRPr="00D17E59">
        <w:rPr>
          <w:rFonts w:ascii="Arial" w:hAnsi="Arial" w:cs="Arial"/>
          <w:bCs/>
          <w:color w:val="000000" w:themeColor="text1"/>
          <w:sz w:val="16"/>
          <w:szCs w:val="16"/>
          <w:lang w:val="es-ES_tradnl" w:eastAsia="es-ES"/>
        </w:rPr>
        <w:t>CCE-DES-FM-17</w:t>
      </w:r>
      <w:bookmarkEnd w:id="0"/>
      <w:bookmarkEnd w:id="1"/>
    </w:p>
    <w:p w14:paraId="55FBD910" w14:textId="77777777" w:rsidR="008536BB" w:rsidRPr="00D17E59" w:rsidRDefault="008536BB" w:rsidP="00B95C30">
      <w:pPr>
        <w:spacing w:line="276" w:lineRule="auto"/>
        <w:jc w:val="both"/>
        <w:rPr>
          <w:rFonts w:ascii="Arial" w:hAnsi="Arial" w:cs="Arial"/>
          <w:noProof/>
          <w:color w:val="000000" w:themeColor="text1"/>
          <w:sz w:val="22"/>
          <w:lang w:val="es-ES_tradnl"/>
        </w:rPr>
      </w:pPr>
    </w:p>
    <w:p w14:paraId="6A9E6ADF" w14:textId="169A7A08" w:rsidR="00EC224E" w:rsidRPr="00D17E59" w:rsidRDefault="00EC224E" w:rsidP="00EC224E">
      <w:pPr>
        <w:jc w:val="both"/>
        <w:rPr>
          <w:rFonts w:ascii="Arial" w:eastAsia="Calibri" w:hAnsi="Arial" w:cs="Arial"/>
          <w:b/>
          <w:sz w:val="22"/>
          <w:lang w:val="es-ES_tradnl"/>
        </w:rPr>
      </w:pPr>
      <w:r w:rsidRPr="00D17E59">
        <w:rPr>
          <w:rFonts w:ascii="Arial" w:eastAsia="Calibri" w:hAnsi="Arial" w:cs="Arial"/>
          <w:b/>
          <w:sz w:val="22"/>
          <w:lang w:val="es-ES_tradnl"/>
        </w:rPr>
        <w:t xml:space="preserve">LEY DE EMPRENDIMIENTO </w:t>
      </w:r>
      <w:r w:rsidRPr="00D17E59">
        <w:rPr>
          <w:rFonts w:ascii="Arial" w:eastAsia="Calibri" w:hAnsi="Arial" w:cs="Arial"/>
          <w:b/>
          <w:color w:val="000000" w:themeColor="text1"/>
          <w:sz w:val="22"/>
          <w:lang w:val="es-ES_tradnl"/>
        </w:rPr>
        <w:t>–</w:t>
      </w:r>
      <w:r w:rsidRPr="00D17E59">
        <w:rPr>
          <w:rFonts w:ascii="Arial" w:eastAsia="Calibri" w:hAnsi="Arial" w:cs="Arial"/>
          <w:b/>
          <w:sz w:val="22"/>
          <w:lang w:val="es-ES_tradnl"/>
        </w:rPr>
        <w:t xml:space="preserve"> Ley </w:t>
      </w:r>
      <w:r w:rsidR="001F0325" w:rsidRPr="00D17E59">
        <w:rPr>
          <w:rFonts w:ascii="Arial" w:eastAsia="Calibri" w:hAnsi="Arial" w:cs="Arial"/>
          <w:b/>
          <w:sz w:val="22"/>
          <w:lang w:val="es-ES_tradnl"/>
        </w:rPr>
        <w:t>2069</w:t>
      </w:r>
      <w:r w:rsidRPr="00D17E59">
        <w:rPr>
          <w:rFonts w:ascii="Arial" w:eastAsia="Calibri" w:hAnsi="Arial" w:cs="Arial"/>
          <w:b/>
          <w:sz w:val="22"/>
          <w:lang w:val="es-ES_tradnl"/>
        </w:rPr>
        <w:t xml:space="preserve"> de 2020 </w:t>
      </w:r>
      <w:r w:rsidRPr="00D17E59">
        <w:rPr>
          <w:rFonts w:ascii="Arial" w:eastAsia="Calibri" w:hAnsi="Arial" w:cs="Arial"/>
          <w:b/>
          <w:color w:val="000000" w:themeColor="text1"/>
          <w:sz w:val="22"/>
          <w:lang w:val="es-ES_tradnl"/>
        </w:rPr>
        <w:t xml:space="preserve">– Vigencia </w:t>
      </w:r>
    </w:p>
    <w:p w14:paraId="5A76D430" w14:textId="77777777" w:rsidR="00EC224E" w:rsidRPr="00D17E59" w:rsidRDefault="00EC224E" w:rsidP="00EC224E">
      <w:pPr>
        <w:jc w:val="both"/>
        <w:rPr>
          <w:rFonts w:ascii="Arial" w:eastAsia="Calibri" w:hAnsi="Arial" w:cs="Arial"/>
          <w:b/>
          <w:sz w:val="22"/>
          <w:lang w:val="es-ES_tradnl"/>
        </w:rPr>
      </w:pPr>
    </w:p>
    <w:p w14:paraId="0D9471D6" w14:textId="77777777" w:rsidR="00C167F7" w:rsidRPr="00D17E59" w:rsidRDefault="00C167F7" w:rsidP="00C167F7">
      <w:pPr>
        <w:jc w:val="both"/>
        <w:rPr>
          <w:rFonts w:ascii="Arial" w:eastAsia="Calibri" w:hAnsi="Arial" w:cs="Arial"/>
          <w:sz w:val="20"/>
          <w:szCs w:val="20"/>
          <w:lang w:val="es-ES_tradnl"/>
        </w:rPr>
      </w:pPr>
      <w:r w:rsidRPr="00D17E59">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2DFC6D5" w14:textId="77777777" w:rsidR="00C167F7" w:rsidRPr="00D17E59" w:rsidRDefault="00C167F7" w:rsidP="00C167F7">
      <w:pPr>
        <w:jc w:val="both"/>
        <w:rPr>
          <w:rFonts w:ascii="Arial" w:eastAsia="Calibri" w:hAnsi="Arial" w:cs="Arial"/>
          <w:sz w:val="20"/>
          <w:szCs w:val="20"/>
          <w:lang w:val="es-ES_tradnl"/>
        </w:rPr>
      </w:pPr>
    </w:p>
    <w:p w14:paraId="2DDB93AD" w14:textId="77777777" w:rsidR="00C167F7" w:rsidRPr="00D17E59" w:rsidRDefault="00C167F7" w:rsidP="00C167F7">
      <w:pPr>
        <w:jc w:val="both"/>
        <w:rPr>
          <w:rFonts w:ascii="Arial" w:eastAsia="Calibri" w:hAnsi="Arial" w:cs="Arial"/>
          <w:sz w:val="20"/>
          <w:szCs w:val="20"/>
          <w:lang w:val="es-ES_tradnl"/>
        </w:rPr>
      </w:pPr>
      <w:r w:rsidRPr="00D17E59">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D17E59">
        <w:rPr>
          <w:rFonts w:ascii="Arial" w:eastAsia="Calibri" w:hAnsi="Arial" w:cs="Arial"/>
          <w:sz w:val="20"/>
          <w:szCs w:val="20"/>
          <w:lang w:val="es-ES_tradnl"/>
        </w:rPr>
        <w:t>mipymes</w:t>
      </w:r>
      <w:proofErr w:type="spellEnd"/>
      <w:r w:rsidRPr="00D17E59">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9641C5C" w14:textId="77777777" w:rsidR="00EC224E" w:rsidRPr="00D17E59" w:rsidRDefault="00EC224E" w:rsidP="00EC224E">
      <w:pPr>
        <w:jc w:val="both"/>
        <w:rPr>
          <w:rFonts w:ascii="Arial" w:eastAsia="Calibri" w:hAnsi="Arial" w:cs="Arial"/>
          <w:sz w:val="20"/>
          <w:szCs w:val="20"/>
          <w:lang w:val="es-ES_tradnl"/>
        </w:rPr>
      </w:pPr>
    </w:p>
    <w:p w14:paraId="30A0AA2C" w14:textId="55A19152" w:rsidR="00EC224E" w:rsidRPr="00D17E59" w:rsidRDefault="007648AE" w:rsidP="00EC224E">
      <w:pPr>
        <w:jc w:val="both"/>
        <w:rPr>
          <w:rFonts w:ascii="Arial" w:eastAsia="Calibri" w:hAnsi="Arial" w:cs="Arial"/>
          <w:b/>
          <w:sz w:val="22"/>
          <w:lang w:val="es-ES_tradnl"/>
        </w:rPr>
      </w:pPr>
      <w:r w:rsidRPr="00D17E59">
        <w:rPr>
          <w:rFonts w:ascii="Arial" w:eastAsia="Calibri" w:hAnsi="Arial" w:cs="Arial"/>
          <w:b/>
          <w:sz w:val="22"/>
          <w:lang w:val="es-ES_tradnl"/>
        </w:rPr>
        <w:t>PROMOCIÓN DEL DESARROLLO</w:t>
      </w:r>
      <w:r w:rsidR="00EC224E" w:rsidRPr="00D17E59">
        <w:rPr>
          <w:rFonts w:ascii="Arial" w:eastAsia="Calibri" w:hAnsi="Arial" w:cs="Arial"/>
          <w:b/>
          <w:sz w:val="22"/>
          <w:lang w:val="es-ES_tradnl"/>
        </w:rPr>
        <w:t xml:space="preserve"> </w:t>
      </w:r>
      <w:r w:rsidR="00EC224E" w:rsidRPr="00D17E59">
        <w:rPr>
          <w:rFonts w:ascii="Arial" w:eastAsia="Calibri" w:hAnsi="Arial" w:cs="Arial"/>
          <w:b/>
          <w:color w:val="000000" w:themeColor="text1"/>
          <w:sz w:val="22"/>
          <w:lang w:val="es-ES_tradnl"/>
        </w:rPr>
        <w:t>–</w:t>
      </w:r>
      <w:r w:rsidRPr="00D17E59">
        <w:rPr>
          <w:rFonts w:ascii="Arial" w:eastAsia="Calibri" w:hAnsi="Arial" w:cs="Arial"/>
          <w:b/>
          <w:color w:val="000000" w:themeColor="text1"/>
          <w:sz w:val="22"/>
          <w:lang w:val="es-ES_tradnl"/>
        </w:rPr>
        <w:t xml:space="preserve"> Contratación estatal</w:t>
      </w:r>
      <w:r w:rsidR="004774FB" w:rsidRPr="00D17E59">
        <w:rPr>
          <w:rFonts w:ascii="Arial" w:eastAsia="Calibri" w:hAnsi="Arial" w:cs="Arial"/>
          <w:b/>
          <w:color w:val="000000" w:themeColor="text1"/>
          <w:sz w:val="22"/>
          <w:lang w:val="es-ES_tradnl"/>
        </w:rPr>
        <w:t xml:space="preserve"> –</w:t>
      </w:r>
      <w:r w:rsidR="00EC224E" w:rsidRPr="00D17E59">
        <w:rPr>
          <w:rFonts w:ascii="Arial" w:eastAsia="Calibri" w:hAnsi="Arial" w:cs="Arial"/>
          <w:b/>
          <w:sz w:val="22"/>
          <w:lang w:val="es-ES_tradnl"/>
        </w:rPr>
        <w:t xml:space="preserve"> Ley </w:t>
      </w:r>
      <w:r w:rsidR="001F0325" w:rsidRPr="00D17E59">
        <w:rPr>
          <w:rFonts w:ascii="Arial" w:eastAsia="Calibri" w:hAnsi="Arial" w:cs="Arial"/>
          <w:b/>
          <w:sz w:val="22"/>
          <w:lang w:val="es-ES_tradnl"/>
        </w:rPr>
        <w:t>2069</w:t>
      </w:r>
      <w:r w:rsidR="00EC224E" w:rsidRPr="00D17E59">
        <w:rPr>
          <w:rFonts w:ascii="Arial" w:eastAsia="Calibri" w:hAnsi="Arial" w:cs="Arial"/>
          <w:b/>
          <w:sz w:val="22"/>
          <w:lang w:val="es-ES_tradnl"/>
        </w:rPr>
        <w:t xml:space="preserve"> </w:t>
      </w:r>
      <w:r w:rsidR="00EC224E" w:rsidRPr="00D17E59">
        <w:rPr>
          <w:rFonts w:ascii="Arial" w:eastAsia="Calibri" w:hAnsi="Arial" w:cs="Arial"/>
          <w:b/>
          <w:color w:val="000000" w:themeColor="text1"/>
          <w:sz w:val="22"/>
          <w:lang w:val="es-ES_tradnl"/>
        </w:rPr>
        <w:t>– Artículo 34</w:t>
      </w:r>
      <w:r w:rsidR="00821E42" w:rsidRPr="00D17E59">
        <w:rPr>
          <w:rFonts w:ascii="Arial" w:eastAsia="Calibri" w:hAnsi="Arial" w:cs="Arial"/>
          <w:b/>
          <w:color w:val="000000" w:themeColor="text1"/>
          <w:sz w:val="22"/>
          <w:lang w:val="es-ES_tradnl"/>
        </w:rPr>
        <w:t xml:space="preserve"> – Subrogación</w:t>
      </w:r>
      <w:r w:rsidR="00EC224E" w:rsidRPr="00D17E59">
        <w:rPr>
          <w:rFonts w:ascii="Arial" w:eastAsia="Calibri" w:hAnsi="Arial" w:cs="Arial"/>
          <w:b/>
          <w:color w:val="000000" w:themeColor="text1"/>
          <w:sz w:val="22"/>
          <w:lang w:val="es-ES_tradnl"/>
        </w:rPr>
        <w:t xml:space="preserve"> </w:t>
      </w:r>
    </w:p>
    <w:p w14:paraId="7211A414" w14:textId="77777777" w:rsidR="000538D3" w:rsidRPr="00D17E59" w:rsidRDefault="000538D3" w:rsidP="00B15599">
      <w:pPr>
        <w:jc w:val="both"/>
        <w:rPr>
          <w:rFonts w:ascii="Arial" w:eastAsia="Calibri" w:hAnsi="Arial" w:cs="Arial"/>
          <w:sz w:val="20"/>
          <w:szCs w:val="20"/>
          <w:lang w:val="es-ES_tradnl"/>
        </w:rPr>
      </w:pPr>
    </w:p>
    <w:p w14:paraId="29D090C6" w14:textId="50AC8DDF" w:rsidR="000538D3" w:rsidRPr="00D17E59" w:rsidRDefault="000538D3" w:rsidP="00B15599">
      <w:pPr>
        <w:jc w:val="both"/>
        <w:rPr>
          <w:rFonts w:ascii="Arial" w:eastAsia="Calibri" w:hAnsi="Arial" w:cs="Arial"/>
          <w:sz w:val="20"/>
          <w:szCs w:val="20"/>
          <w:lang w:val="es-ES_tradnl"/>
        </w:rPr>
      </w:pPr>
      <w:r w:rsidRPr="00D17E59">
        <w:rPr>
          <w:rFonts w:ascii="Arial" w:eastAsia="Calibri" w:hAnsi="Arial" w:cs="Arial"/>
          <w:sz w:val="20"/>
          <w:szCs w:val="20"/>
          <w:lang w:val="es-ES_tradnl"/>
        </w:rPr>
        <w:t xml:space="preserve">La subrogación es, </w:t>
      </w:r>
      <w:r w:rsidR="00C71908" w:rsidRPr="00D17E59">
        <w:rPr>
          <w:rFonts w:ascii="Arial" w:eastAsia="Calibri" w:hAnsi="Arial" w:cs="Arial"/>
          <w:sz w:val="20"/>
          <w:szCs w:val="20"/>
          <w:lang w:val="es-ES_tradnl"/>
        </w:rPr>
        <w:t>[…]</w:t>
      </w:r>
      <w:r w:rsidRPr="00D17E59">
        <w:rPr>
          <w:rFonts w:ascii="Arial" w:eastAsia="Calibri" w:hAnsi="Arial" w:cs="Arial"/>
          <w:sz w:val="20"/>
          <w:szCs w:val="20"/>
          <w:lang w:val="es-ES_tradnl"/>
        </w:rPr>
        <w:t>,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249256A8" w14:textId="77777777" w:rsidR="00C71908" w:rsidRPr="00D17E59" w:rsidRDefault="00C71908" w:rsidP="00B15599">
      <w:pPr>
        <w:jc w:val="both"/>
        <w:rPr>
          <w:rFonts w:ascii="Arial" w:eastAsia="Calibri" w:hAnsi="Arial" w:cs="Arial"/>
          <w:sz w:val="20"/>
          <w:szCs w:val="20"/>
          <w:lang w:val="es-ES_tradnl"/>
        </w:rPr>
      </w:pPr>
    </w:p>
    <w:p w14:paraId="414EB8FF" w14:textId="7A97973F" w:rsidR="000538D3" w:rsidRPr="00D17E59" w:rsidRDefault="000538D3" w:rsidP="00B15599">
      <w:pPr>
        <w:jc w:val="both"/>
        <w:rPr>
          <w:rFonts w:ascii="Arial" w:eastAsia="Calibri" w:hAnsi="Arial" w:cs="Arial"/>
          <w:sz w:val="20"/>
          <w:szCs w:val="20"/>
          <w:lang w:val="es-ES_tradnl"/>
        </w:rPr>
      </w:pPr>
      <w:r w:rsidRPr="00D17E59">
        <w:rPr>
          <w:rFonts w:ascii="Arial" w:eastAsia="Calibri" w:hAnsi="Arial" w:cs="Arial"/>
          <w:sz w:val="20"/>
          <w:szCs w:val="20"/>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se lee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1632D0E3" w14:textId="77777777" w:rsidR="000538D3" w:rsidRPr="00D17E59" w:rsidRDefault="000538D3" w:rsidP="00EC224E">
      <w:pPr>
        <w:jc w:val="both"/>
        <w:rPr>
          <w:rFonts w:ascii="Arial" w:eastAsia="Calibri" w:hAnsi="Arial" w:cs="Arial"/>
          <w:sz w:val="20"/>
          <w:szCs w:val="20"/>
          <w:lang w:val="es-ES_tradnl"/>
        </w:rPr>
      </w:pPr>
    </w:p>
    <w:p w14:paraId="6A654097" w14:textId="3F3577FF" w:rsidR="00C978D4" w:rsidRPr="00D17E59" w:rsidRDefault="00272945" w:rsidP="00C978D4">
      <w:pPr>
        <w:jc w:val="both"/>
        <w:rPr>
          <w:rFonts w:ascii="Arial" w:eastAsia="Calibri" w:hAnsi="Arial" w:cs="Arial"/>
          <w:b/>
          <w:sz w:val="22"/>
          <w:lang w:val="es-ES_tradnl"/>
        </w:rPr>
      </w:pPr>
      <w:r w:rsidRPr="00D17E59">
        <w:rPr>
          <w:rFonts w:ascii="Arial" w:eastAsia="Calibri" w:hAnsi="Arial" w:cs="Arial"/>
          <w:b/>
          <w:sz w:val="22"/>
          <w:lang w:val="es-ES_tradnl"/>
        </w:rPr>
        <w:t>SELECCIÓN OBJETIVA</w:t>
      </w:r>
      <w:r w:rsidR="00C978D4" w:rsidRPr="00D17E59">
        <w:rPr>
          <w:rFonts w:ascii="Arial" w:eastAsia="Calibri" w:hAnsi="Arial" w:cs="Arial"/>
          <w:b/>
          <w:sz w:val="22"/>
          <w:lang w:val="es-ES_tradnl"/>
        </w:rPr>
        <w:t xml:space="preserve"> </w:t>
      </w:r>
      <w:r w:rsidR="00C978D4" w:rsidRPr="00D17E59">
        <w:rPr>
          <w:rFonts w:ascii="Arial" w:eastAsia="Calibri" w:hAnsi="Arial" w:cs="Arial"/>
          <w:b/>
          <w:color w:val="000000" w:themeColor="text1"/>
          <w:sz w:val="22"/>
          <w:lang w:val="es-ES_tradnl"/>
        </w:rPr>
        <w:t>–</w:t>
      </w:r>
      <w:r w:rsidR="00C978D4" w:rsidRPr="00D17E59">
        <w:rPr>
          <w:rFonts w:ascii="Arial" w:eastAsia="Calibri" w:hAnsi="Arial" w:cs="Arial"/>
          <w:b/>
          <w:sz w:val="22"/>
          <w:lang w:val="es-ES_tradnl"/>
        </w:rPr>
        <w:t xml:space="preserve"> </w:t>
      </w:r>
      <w:r w:rsidR="00003D39" w:rsidRPr="00D17E59">
        <w:rPr>
          <w:rFonts w:ascii="Arial" w:eastAsia="Calibri" w:hAnsi="Arial" w:cs="Arial"/>
          <w:b/>
          <w:sz w:val="22"/>
          <w:lang w:val="es-ES_tradnl"/>
        </w:rPr>
        <w:t>Contratación estatal</w:t>
      </w:r>
      <w:r w:rsidR="00616D7F" w:rsidRPr="00D17E59">
        <w:rPr>
          <w:rFonts w:ascii="Arial" w:eastAsia="Calibri" w:hAnsi="Arial" w:cs="Arial"/>
          <w:b/>
          <w:sz w:val="22"/>
          <w:lang w:val="es-ES_tradnl"/>
        </w:rPr>
        <w:t xml:space="preserve"> </w:t>
      </w:r>
      <w:r w:rsidR="00C978D4" w:rsidRPr="00D17E59">
        <w:rPr>
          <w:rFonts w:ascii="Arial" w:eastAsia="Calibri" w:hAnsi="Arial" w:cs="Arial"/>
          <w:b/>
          <w:color w:val="000000" w:themeColor="text1"/>
          <w:sz w:val="22"/>
          <w:lang w:val="es-ES_tradnl"/>
        </w:rPr>
        <w:t xml:space="preserve">– </w:t>
      </w:r>
      <w:r w:rsidRPr="00D17E59">
        <w:rPr>
          <w:rFonts w:ascii="Arial" w:eastAsia="Calibri" w:hAnsi="Arial" w:cs="Arial"/>
          <w:b/>
          <w:color w:val="000000" w:themeColor="text1"/>
          <w:sz w:val="22"/>
          <w:lang w:val="es-ES_tradnl"/>
        </w:rPr>
        <w:t>Concepto</w:t>
      </w:r>
    </w:p>
    <w:p w14:paraId="4AAB8DDD" w14:textId="537B898C" w:rsidR="00C978D4" w:rsidRPr="00D17E59" w:rsidRDefault="00C978D4" w:rsidP="0099531F">
      <w:pPr>
        <w:jc w:val="both"/>
        <w:rPr>
          <w:rFonts w:ascii="Arial" w:eastAsia="Calibri" w:hAnsi="Arial" w:cs="Arial"/>
          <w:b/>
          <w:sz w:val="22"/>
          <w:lang w:val="es-ES_tradnl"/>
        </w:rPr>
      </w:pPr>
    </w:p>
    <w:p w14:paraId="2BC15560" w14:textId="77777777" w:rsidR="00446922" w:rsidRPr="00D17E59" w:rsidRDefault="00446922" w:rsidP="00446922">
      <w:pPr>
        <w:jc w:val="both"/>
        <w:rPr>
          <w:rFonts w:ascii="Arial" w:eastAsia="Calibri" w:hAnsi="Arial" w:cs="Arial"/>
          <w:sz w:val="20"/>
          <w:szCs w:val="20"/>
          <w:lang w:val="es-ES_tradnl"/>
        </w:rPr>
      </w:pPr>
      <w:r w:rsidRPr="00D17E59">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w:t>
      </w:r>
      <w:r w:rsidRPr="00D17E59">
        <w:rPr>
          <w:rFonts w:ascii="Arial" w:eastAsia="Calibri" w:hAnsi="Arial" w:cs="Arial"/>
          <w:sz w:val="20"/>
          <w:szCs w:val="20"/>
          <w:lang w:val="es-ES_tradnl"/>
        </w:rPr>
        <w:lastRenderedPageBreak/>
        <w:t>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D17E59" w:rsidRDefault="00AF6DEC" w:rsidP="0099531F">
      <w:pPr>
        <w:jc w:val="both"/>
        <w:rPr>
          <w:rFonts w:ascii="Arial" w:eastAsia="Calibri" w:hAnsi="Arial" w:cs="Arial"/>
          <w:b/>
          <w:sz w:val="22"/>
          <w:lang w:val="es-ES_tradnl"/>
        </w:rPr>
      </w:pPr>
    </w:p>
    <w:p w14:paraId="73365DCF" w14:textId="63E2A713" w:rsidR="00272945" w:rsidRPr="00D17E59" w:rsidRDefault="00B54215" w:rsidP="00272945">
      <w:pPr>
        <w:jc w:val="both"/>
        <w:rPr>
          <w:rFonts w:ascii="Arial" w:eastAsia="Calibri" w:hAnsi="Arial" w:cs="Arial"/>
          <w:b/>
          <w:sz w:val="22"/>
          <w:lang w:val="es-ES_tradnl"/>
        </w:rPr>
      </w:pPr>
      <w:r w:rsidRPr="00D17E59">
        <w:rPr>
          <w:rFonts w:ascii="Arial" w:eastAsia="Calibri" w:hAnsi="Arial" w:cs="Arial"/>
          <w:b/>
          <w:sz w:val="22"/>
          <w:lang w:val="es-ES_tradnl"/>
        </w:rPr>
        <w:t>EMPATE</w:t>
      </w:r>
      <w:r w:rsidR="00272945" w:rsidRPr="00D17E59">
        <w:rPr>
          <w:rFonts w:ascii="Arial" w:eastAsia="Calibri" w:hAnsi="Arial" w:cs="Arial"/>
          <w:b/>
          <w:sz w:val="22"/>
          <w:lang w:val="es-ES_tradnl"/>
        </w:rPr>
        <w:t xml:space="preserve"> </w:t>
      </w:r>
      <w:r w:rsidR="00272945" w:rsidRPr="00D17E59">
        <w:rPr>
          <w:rFonts w:ascii="Arial" w:eastAsia="Calibri" w:hAnsi="Arial" w:cs="Arial"/>
          <w:b/>
          <w:color w:val="000000" w:themeColor="text1"/>
          <w:sz w:val="22"/>
          <w:lang w:val="es-ES_tradnl"/>
        </w:rPr>
        <w:t>–</w:t>
      </w:r>
      <w:r w:rsidR="00272945" w:rsidRPr="00D17E59">
        <w:rPr>
          <w:rFonts w:ascii="Arial" w:eastAsia="Calibri" w:hAnsi="Arial" w:cs="Arial"/>
          <w:b/>
          <w:sz w:val="22"/>
          <w:lang w:val="es-ES_tradnl"/>
        </w:rPr>
        <w:t xml:space="preserve"> </w:t>
      </w:r>
      <w:r w:rsidRPr="00D17E59">
        <w:rPr>
          <w:rFonts w:ascii="Arial" w:eastAsia="Calibri" w:hAnsi="Arial" w:cs="Arial"/>
          <w:b/>
          <w:sz w:val="22"/>
          <w:lang w:val="es-ES_tradnl"/>
        </w:rPr>
        <w:t>Procedimiento de selección</w:t>
      </w:r>
      <w:r w:rsidR="00272945" w:rsidRPr="00D17E59">
        <w:rPr>
          <w:rFonts w:ascii="Arial" w:eastAsia="Calibri" w:hAnsi="Arial" w:cs="Arial"/>
          <w:b/>
          <w:sz w:val="22"/>
          <w:lang w:val="es-ES_tradnl"/>
        </w:rPr>
        <w:t xml:space="preserve"> </w:t>
      </w:r>
      <w:r w:rsidR="00272945" w:rsidRPr="00D17E59">
        <w:rPr>
          <w:rFonts w:ascii="Arial" w:eastAsia="Calibri" w:hAnsi="Arial" w:cs="Arial"/>
          <w:b/>
          <w:color w:val="000000" w:themeColor="text1"/>
          <w:sz w:val="22"/>
          <w:lang w:val="es-ES_tradnl"/>
        </w:rPr>
        <w:t>– Concepto</w:t>
      </w:r>
    </w:p>
    <w:p w14:paraId="182F8CB9" w14:textId="246E5B50" w:rsidR="00272945" w:rsidRPr="00D17E59" w:rsidRDefault="00272945" w:rsidP="0099531F">
      <w:pPr>
        <w:jc w:val="both"/>
        <w:rPr>
          <w:rFonts w:ascii="Arial" w:eastAsia="Calibri" w:hAnsi="Arial" w:cs="Arial"/>
          <w:b/>
          <w:sz w:val="22"/>
          <w:lang w:val="es-ES_tradnl"/>
        </w:rPr>
      </w:pPr>
    </w:p>
    <w:p w14:paraId="36D9430C" w14:textId="77777777" w:rsidR="00066A7F" w:rsidRPr="00D17E59" w:rsidRDefault="00066A7F" w:rsidP="00066A7F">
      <w:pPr>
        <w:jc w:val="both"/>
        <w:rPr>
          <w:rFonts w:ascii="Arial" w:hAnsi="Arial" w:cs="Arial"/>
          <w:noProof/>
          <w:color w:val="000000" w:themeColor="text1"/>
          <w:sz w:val="22"/>
          <w:lang w:val="es-ES_tradnl"/>
        </w:rPr>
      </w:pPr>
      <w:r w:rsidRPr="00D17E59">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D17E59" w:rsidRDefault="005C6D19" w:rsidP="00DF71EA">
      <w:pPr>
        <w:jc w:val="both"/>
        <w:rPr>
          <w:rFonts w:ascii="Arial" w:eastAsia="Calibri" w:hAnsi="Arial" w:cs="Arial"/>
          <w:b/>
          <w:sz w:val="22"/>
          <w:lang w:val="es-ES_tradnl"/>
        </w:rPr>
      </w:pPr>
    </w:p>
    <w:p w14:paraId="04086EC5" w14:textId="5C2FA739" w:rsidR="00DF71EA" w:rsidRPr="00D17E59" w:rsidRDefault="00D73881" w:rsidP="00DF71EA">
      <w:pPr>
        <w:jc w:val="both"/>
        <w:rPr>
          <w:rFonts w:ascii="Arial" w:eastAsia="Calibri" w:hAnsi="Arial" w:cs="Arial"/>
          <w:b/>
          <w:sz w:val="22"/>
          <w:lang w:val="es-ES_tradnl"/>
        </w:rPr>
      </w:pPr>
      <w:r w:rsidRPr="00D17E59">
        <w:rPr>
          <w:rFonts w:ascii="Arial" w:eastAsia="Calibri" w:hAnsi="Arial" w:cs="Arial"/>
          <w:b/>
          <w:sz w:val="22"/>
          <w:lang w:val="es-ES_tradnl"/>
        </w:rPr>
        <w:t>FACTORES DE DESEMPATE</w:t>
      </w:r>
      <w:r w:rsidR="00DF71EA" w:rsidRPr="00D17E59">
        <w:rPr>
          <w:rFonts w:ascii="Arial" w:eastAsia="Calibri" w:hAnsi="Arial" w:cs="Arial"/>
          <w:b/>
          <w:sz w:val="22"/>
          <w:lang w:val="es-ES_tradnl"/>
        </w:rPr>
        <w:t xml:space="preserve"> </w:t>
      </w:r>
      <w:r w:rsidR="00DF71EA" w:rsidRPr="00D17E59">
        <w:rPr>
          <w:rFonts w:ascii="Arial" w:eastAsia="Calibri" w:hAnsi="Arial" w:cs="Arial"/>
          <w:b/>
          <w:color w:val="000000" w:themeColor="text1"/>
          <w:sz w:val="22"/>
          <w:lang w:val="es-ES_tradnl"/>
        </w:rPr>
        <w:t>–</w:t>
      </w:r>
      <w:r w:rsidR="00DF71EA" w:rsidRPr="00D17E59">
        <w:rPr>
          <w:rFonts w:ascii="Arial" w:eastAsia="Calibri" w:hAnsi="Arial" w:cs="Arial"/>
          <w:b/>
          <w:sz w:val="22"/>
          <w:lang w:val="es-ES_tradnl"/>
        </w:rPr>
        <w:t xml:space="preserve"> </w:t>
      </w:r>
      <w:r w:rsidRPr="00D17E59">
        <w:rPr>
          <w:rFonts w:ascii="Arial" w:eastAsia="Calibri" w:hAnsi="Arial" w:cs="Arial"/>
          <w:b/>
          <w:sz w:val="22"/>
          <w:lang w:val="es-ES_tradnl"/>
        </w:rPr>
        <w:t>Características</w:t>
      </w:r>
      <w:r w:rsidR="00DF71EA" w:rsidRPr="00D17E59">
        <w:rPr>
          <w:rFonts w:ascii="Arial" w:eastAsia="Calibri" w:hAnsi="Arial" w:cs="Arial"/>
          <w:b/>
          <w:sz w:val="22"/>
          <w:lang w:val="es-ES_tradnl"/>
        </w:rPr>
        <w:t xml:space="preserve"> </w:t>
      </w:r>
      <w:r w:rsidR="00DF71EA" w:rsidRPr="00D17E59">
        <w:rPr>
          <w:rFonts w:ascii="Arial" w:eastAsia="Calibri" w:hAnsi="Arial" w:cs="Arial"/>
          <w:b/>
          <w:color w:val="000000" w:themeColor="text1"/>
          <w:sz w:val="22"/>
          <w:lang w:val="es-ES_tradnl"/>
        </w:rPr>
        <w:t xml:space="preserve">– </w:t>
      </w:r>
      <w:r w:rsidRPr="00D17E59">
        <w:rPr>
          <w:rFonts w:ascii="Arial" w:eastAsia="Calibri" w:hAnsi="Arial" w:cs="Arial"/>
          <w:b/>
          <w:color w:val="000000" w:themeColor="text1"/>
          <w:sz w:val="22"/>
          <w:lang w:val="es-ES_tradnl"/>
        </w:rPr>
        <w:t>Límites</w:t>
      </w:r>
    </w:p>
    <w:p w14:paraId="583F00A4" w14:textId="390EB1EB" w:rsidR="00DF71EA" w:rsidRPr="00D17E59" w:rsidRDefault="00DF71EA" w:rsidP="00B95C30">
      <w:pPr>
        <w:spacing w:line="276" w:lineRule="auto"/>
        <w:jc w:val="both"/>
        <w:rPr>
          <w:rFonts w:ascii="Arial" w:hAnsi="Arial" w:cs="Arial"/>
          <w:noProof/>
          <w:color w:val="000000" w:themeColor="text1"/>
          <w:sz w:val="22"/>
          <w:lang w:val="es-ES_tradnl"/>
        </w:rPr>
      </w:pPr>
    </w:p>
    <w:p w14:paraId="1D564DCD" w14:textId="77777777" w:rsidR="00A611B1" w:rsidRPr="00D17E59" w:rsidRDefault="00A611B1" w:rsidP="00A611B1">
      <w:pPr>
        <w:jc w:val="both"/>
        <w:rPr>
          <w:rFonts w:ascii="Arial" w:eastAsia="Calibri" w:hAnsi="Arial" w:cs="Arial"/>
          <w:sz w:val="20"/>
          <w:szCs w:val="20"/>
          <w:lang w:val="es-ES_tradnl"/>
        </w:rPr>
      </w:pPr>
      <w:r w:rsidRPr="00D17E59">
        <w:rPr>
          <w:rFonts w:ascii="Arial" w:eastAsia="Calibri" w:hAnsi="Arial" w:cs="Arial"/>
          <w:sz w:val="20"/>
          <w:szCs w:val="20"/>
          <w:lang w:val="es-ES_tradnl"/>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2069 de 2020. La jurisprudencia comparte la idea de que los criterios de desempate deben estar establecidos de antemano y constituyen un límite a la discrecionalidad administrativa en los procedimientos de selección.</w:t>
      </w:r>
    </w:p>
    <w:p w14:paraId="12F37450" w14:textId="77777777" w:rsidR="00A611B1" w:rsidRPr="00D17E59" w:rsidRDefault="00A611B1" w:rsidP="00A611B1">
      <w:pPr>
        <w:jc w:val="both"/>
        <w:rPr>
          <w:rFonts w:ascii="Arial" w:eastAsia="Calibri" w:hAnsi="Arial" w:cs="Arial"/>
          <w:sz w:val="20"/>
          <w:szCs w:val="20"/>
          <w:lang w:val="es-ES_tradnl"/>
        </w:rPr>
      </w:pPr>
    </w:p>
    <w:p w14:paraId="20C1D571" w14:textId="77777777" w:rsidR="00A611B1" w:rsidRPr="00D17E59" w:rsidRDefault="00A611B1" w:rsidP="00A611B1">
      <w:pPr>
        <w:jc w:val="both"/>
        <w:rPr>
          <w:rFonts w:ascii="Arial" w:eastAsia="Calibri" w:hAnsi="Arial" w:cs="Arial"/>
          <w:sz w:val="20"/>
          <w:szCs w:val="20"/>
          <w:lang w:val="es-ES_tradnl"/>
        </w:rPr>
      </w:pPr>
      <w:r w:rsidRPr="00D17E59">
        <w:rPr>
          <w:rFonts w:ascii="Arial" w:eastAsia="Calibri" w:hAnsi="Arial" w:cs="Arial"/>
          <w:sz w:val="20"/>
          <w:szCs w:val="20"/>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7B24A529" w14:textId="298FAC10" w:rsidR="008410B1" w:rsidRPr="00D17E59" w:rsidRDefault="00D73881" w:rsidP="008410B1">
      <w:pPr>
        <w:jc w:val="both"/>
        <w:rPr>
          <w:rFonts w:ascii="Arial" w:eastAsia="Calibri" w:hAnsi="Arial" w:cs="Arial"/>
          <w:sz w:val="20"/>
          <w:szCs w:val="20"/>
          <w:lang w:val="es-ES_tradnl"/>
        </w:rPr>
      </w:pPr>
      <w:r w:rsidRPr="00D17E59">
        <w:rPr>
          <w:rFonts w:ascii="Arial" w:eastAsia="Calibri" w:hAnsi="Arial" w:cs="Arial"/>
          <w:sz w:val="20"/>
          <w:szCs w:val="20"/>
          <w:lang w:val="es-ES_tradnl"/>
        </w:rPr>
        <w:t xml:space="preserve"> </w:t>
      </w:r>
    </w:p>
    <w:p w14:paraId="5C894141" w14:textId="1011AF9F" w:rsidR="00D73881" w:rsidRPr="00D17E59" w:rsidRDefault="00D73881" w:rsidP="00D73881">
      <w:pPr>
        <w:jc w:val="both"/>
        <w:rPr>
          <w:rFonts w:ascii="Arial" w:eastAsia="Calibri" w:hAnsi="Arial" w:cs="Arial"/>
          <w:b/>
          <w:sz w:val="22"/>
          <w:lang w:val="es-ES_tradnl"/>
        </w:rPr>
      </w:pPr>
      <w:r w:rsidRPr="00D17E59">
        <w:rPr>
          <w:rFonts w:ascii="Arial" w:eastAsia="Calibri" w:hAnsi="Arial" w:cs="Arial"/>
          <w:b/>
          <w:sz w:val="22"/>
          <w:lang w:val="es-ES_tradnl"/>
        </w:rPr>
        <w:t xml:space="preserve">FACTORES DE DESEMPATE </w:t>
      </w:r>
      <w:r w:rsidRPr="00D17E59">
        <w:rPr>
          <w:rFonts w:ascii="Arial" w:eastAsia="Calibri" w:hAnsi="Arial" w:cs="Arial"/>
          <w:b/>
          <w:color w:val="000000" w:themeColor="text1"/>
          <w:sz w:val="22"/>
          <w:lang w:val="es-ES_tradnl"/>
        </w:rPr>
        <w:t>–</w:t>
      </w:r>
      <w:r w:rsidRPr="00D17E59">
        <w:rPr>
          <w:rFonts w:ascii="Arial" w:eastAsia="Calibri" w:hAnsi="Arial" w:cs="Arial"/>
          <w:b/>
          <w:sz w:val="22"/>
          <w:lang w:val="es-ES_tradnl"/>
        </w:rPr>
        <w:t xml:space="preserve"> Ley </w:t>
      </w:r>
      <w:r w:rsidR="001F0325" w:rsidRPr="00D17E59">
        <w:rPr>
          <w:rFonts w:ascii="Arial" w:eastAsia="Calibri" w:hAnsi="Arial" w:cs="Arial"/>
          <w:b/>
          <w:sz w:val="22"/>
          <w:lang w:val="es-ES_tradnl"/>
        </w:rPr>
        <w:t>2069</w:t>
      </w:r>
      <w:r w:rsidRPr="00D17E59">
        <w:rPr>
          <w:rFonts w:ascii="Arial" w:eastAsia="Calibri" w:hAnsi="Arial" w:cs="Arial"/>
          <w:b/>
          <w:sz w:val="22"/>
          <w:lang w:val="es-ES_tradnl"/>
        </w:rPr>
        <w:t xml:space="preserve"> </w:t>
      </w:r>
      <w:r w:rsidRPr="00D17E59">
        <w:rPr>
          <w:rFonts w:ascii="Arial" w:eastAsia="Calibri" w:hAnsi="Arial" w:cs="Arial"/>
          <w:b/>
          <w:color w:val="000000" w:themeColor="text1"/>
          <w:sz w:val="22"/>
          <w:lang w:val="es-ES_tradnl"/>
        </w:rPr>
        <w:t xml:space="preserve">– Artículo 35 – </w:t>
      </w:r>
      <w:r w:rsidR="00B213DB" w:rsidRPr="00D17E59">
        <w:rPr>
          <w:rFonts w:ascii="Arial" w:eastAsia="Calibri" w:hAnsi="Arial" w:cs="Arial"/>
          <w:b/>
          <w:color w:val="000000" w:themeColor="text1"/>
          <w:sz w:val="22"/>
          <w:lang w:val="es-ES_tradnl"/>
        </w:rPr>
        <w:t>Vigencia</w:t>
      </w:r>
    </w:p>
    <w:p w14:paraId="4D9EB4C1" w14:textId="20D03020" w:rsidR="00D73881" w:rsidRPr="00D17E59" w:rsidRDefault="00D73881" w:rsidP="00B95C30">
      <w:pPr>
        <w:spacing w:line="276" w:lineRule="auto"/>
        <w:jc w:val="both"/>
        <w:rPr>
          <w:rFonts w:ascii="Arial" w:hAnsi="Arial" w:cs="Arial"/>
          <w:noProof/>
          <w:color w:val="000000" w:themeColor="text1"/>
          <w:sz w:val="22"/>
          <w:lang w:val="es-ES_tradnl"/>
        </w:rPr>
      </w:pPr>
    </w:p>
    <w:p w14:paraId="1309897E" w14:textId="77777777" w:rsidR="00B213DB" w:rsidRPr="00D17E59" w:rsidRDefault="00B213DB" w:rsidP="00B213DB">
      <w:pPr>
        <w:jc w:val="both"/>
        <w:rPr>
          <w:rFonts w:ascii="Arial" w:eastAsia="Calibri" w:hAnsi="Arial" w:cs="Arial"/>
          <w:sz w:val="20"/>
          <w:szCs w:val="20"/>
          <w:lang w:val="es-ES_tradnl"/>
        </w:rPr>
      </w:pPr>
      <w:r w:rsidRPr="00D17E59">
        <w:rPr>
          <w:rFonts w:ascii="Arial" w:eastAsia="Calibri" w:hAnsi="Arial" w:cs="Arial"/>
          <w:sz w:val="20"/>
          <w:szCs w:val="20"/>
          <w:lang w:val="es-ES_tradnl"/>
        </w:rPr>
        <w:t>El artículo 35 de la Ley 2069 de 2020 modifica la regulación de los factores de desempate en la contratación estatal. En consideración a que en la consulta se solicita que la Agencia Nacional de Contratación Pública – Colombia Compra Eficiente indique si dicho artículo es de obligatoria aplicación, se aclarará cuál es la interpretación o el sentido que le otorga la Agencia a este tema. Esto sin pasar por alto la novedad de dicho enunciado normativo –dada su reciente entrada en vigencia– y la ausencia de pronunciamientos jurisprudenciales o estudios doctrinarios sobre la materia.</w:t>
      </w:r>
    </w:p>
    <w:p w14:paraId="493627A0" w14:textId="77777777" w:rsidR="00B213DB" w:rsidRPr="00D17E59" w:rsidRDefault="00B213DB" w:rsidP="00B213DB">
      <w:pPr>
        <w:jc w:val="both"/>
        <w:rPr>
          <w:rFonts w:ascii="Arial" w:eastAsia="Calibri" w:hAnsi="Arial" w:cs="Arial"/>
          <w:sz w:val="20"/>
          <w:szCs w:val="20"/>
          <w:lang w:val="es-ES_tradnl"/>
        </w:rPr>
      </w:pPr>
    </w:p>
    <w:p w14:paraId="5B078637" w14:textId="3D9AFBD1" w:rsidR="00B167C8" w:rsidRPr="00D17E59" w:rsidRDefault="00B213DB" w:rsidP="00B213DB">
      <w:pPr>
        <w:jc w:val="both"/>
        <w:rPr>
          <w:rFonts w:ascii="Arial" w:eastAsia="Calibri" w:hAnsi="Arial" w:cs="Arial"/>
          <w:sz w:val="20"/>
          <w:szCs w:val="20"/>
          <w:lang w:val="es-ES_tradnl"/>
        </w:rPr>
      </w:pPr>
      <w:r w:rsidRPr="00D17E59">
        <w:rPr>
          <w:rFonts w:ascii="Arial" w:eastAsia="Calibri" w:hAnsi="Arial" w:cs="Arial"/>
          <w:sz w:val="20"/>
          <w:szCs w:val="20"/>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w:t>
      </w:r>
      <w:r w:rsidRPr="00D17E59">
        <w:rPr>
          <w:rFonts w:ascii="Arial" w:eastAsia="Calibri" w:hAnsi="Arial" w:cs="Arial"/>
          <w:sz w:val="20"/>
          <w:szCs w:val="20"/>
          <w:lang w:val="es-ES_tradnl"/>
        </w:rPr>
        <w:lastRenderedPageBreak/>
        <w:t>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w:t>
      </w:r>
    </w:p>
    <w:p w14:paraId="13C27EB7" w14:textId="77777777" w:rsidR="00B167C8" w:rsidRPr="00D17E59" w:rsidRDefault="00B167C8" w:rsidP="00B95C30">
      <w:pPr>
        <w:spacing w:line="276" w:lineRule="auto"/>
        <w:jc w:val="both"/>
        <w:rPr>
          <w:rFonts w:ascii="Arial" w:hAnsi="Arial" w:cs="Arial"/>
          <w:noProof/>
          <w:color w:val="000000" w:themeColor="text1"/>
          <w:sz w:val="22"/>
          <w:lang w:val="es-ES_tradnl"/>
        </w:rPr>
      </w:pPr>
    </w:p>
    <w:p w14:paraId="0AB212D3" w14:textId="77777777" w:rsidR="00B167C8" w:rsidRPr="00D17E59" w:rsidRDefault="00B167C8" w:rsidP="00B95C30">
      <w:pPr>
        <w:spacing w:line="276" w:lineRule="auto"/>
        <w:jc w:val="both"/>
        <w:rPr>
          <w:rFonts w:ascii="Arial" w:hAnsi="Arial" w:cs="Arial"/>
          <w:noProof/>
          <w:color w:val="000000" w:themeColor="text1"/>
          <w:sz w:val="22"/>
          <w:lang w:val="es-ES_tradnl"/>
        </w:rPr>
      </w:pPr>
    </w:p>
    <w:p w14:paraId="5B23BC21" w14:textId="77777777" w:rsidR="00B167C8" w:rsidRPr="00D17E59" w:rsidRDefault="00B167C8" w:rsidP="00B95C30">
      <w:pPr>
        <w:spacing w:line="276" w:lineRule="auto"/>
        <w:jc w:val="both"/>
        <w:rPr>
          <w:rFonts w:ascii="Arial" w:hAnsi="Arial" w:cs="Arial"/>
          <w:noProof/>
          <w:color w:val="000000" w:themeColor="text1"/>
          <w:sz w:val="22"/>
          <w:lang w:val="es-ES_tradnl"/>
        </w:rPr>
      </w:pPr>
    </w:p>
    <w:p w14:paraId="47C05A37" w14:textId="1069F92E" w:rsidR="00F53F4F" w:rsidRPr="00D17E59" w:rsidRDefault="00F53F4F" w:rsidP="00B95C30">
      <w:pPr>
        <w:spacing w:line="276" w:lineRule="auto"/>
        <w:jc w:val="both"/>
        <w:rPr>
          <w:rFonts w:ascii="Arial" w:hAnsi="Arial" w:cs="Arial"/>
          <w:noProof/>
          <w:color w:val="000000" w:themeColor="text1"/>
          <w:sz w:val="22"/>
          <w:lang w:val="es-ES_tradnl"/>
        </w:rPr>
      </w:pPr>
    </w:p>
    <w:p w14:paraId="4C890ADD" w14:textId="4072A01E" w:rsidR="00160C01" w:rsidRPr="00D17E59" w:rsidRDefault="00160C01" w:rsidP="00B95C30">
      <w:pPr>
        <w:spacing w:line="276" w:lineRule="auto"/>
        <w:jc w:val="both"/>
        <w:rPr>
          <w:rFonts w:ascii="Arial" w:hAnsi="Arial" w:cs="Arial"/>
          <w:noProof/>
          <w:color w:val="000000" w:themeColor="text1"/>
          <w:sz w:val="22"/>
          <w:lang w:val="es-ES_tradnl"/>
        </w:rPr>
      </w:pPr>
    </w:p>
    <w:p w14:paraId="087584F4" w14:textId="1F7A4741" w:rsidR="00160C01" w:rsidRPr="00D17E59" w:rsidRDefault="00160C01" w:rsidP="00B95C30">
      <w:pPr>
        <w:spacing w:line="276" w:lineRule="auto"/>
        <w:jc w:val="both"/>
        <w:rPr>
          <w:rFonts w:ascii="Arial" w:hAnsi="Arial" w:cs="Arial"/>
          <w:noProof/>
          <w:color w:val="000000" w:themeColor="text1"/>
          <w:sz w:val="22"/>
          <w:lang w:val="es-ES_tradnl"/>
        </w:rPr>
      </w:pPr>
    </w:p>
    <w:p w14:paraId="310C4E73" w14:textId="402A5058" w:rsidR="00160C01" w:rsidRPr="00D17E59" w:rsidRDefault="00160C01" w:rsidP="00B95C30">
      <w:pPr>
        <w:spacing w:line="276" w:lineRule="auto"/>
        <w:jc w:val="both"/>
        <w:rPr>
          <w:rFonts w:ascii="Arial" w:hAnsi="Arial" w:cs="Arial"/>
          <w:noProof/>
          <w:color w:val="000000" w:themeColor="text1"/>
          <w:sz w:val="22"/>
          <w:lang w:val="es-ES_tradnl"/>
        </w:rPr>
      </w:pPr>
    </w:p>
    <w:p w14:paraId="32590D25" w14:textId="1D5A21BB" w:rsidR="00160C01" w:rsidRPr="00D17E59" w:rsidRDefault="00160C01" w:rsidP="00B95C30">
      <w:pPr>
        <w:spacing w:line="276" w:lineRule="auto"/>
        <w:jc w:val="both"/>
        <w:rPr>
          <w:rFonts w:ascii="Arial" w:hAnsi="Arial" w:cs="Arial"/>
          <w:noProof/>
          <w:color w:val="000000" w:themeColor="text1"/>
          <w:sz w:val="22"/>
          <w:lang w:val="es-ES_tradnl"/>
        </w:rPr>
      </w:pPr>
    </w:p>
    <w:p w14:paraId="25CCBBE2" w14:textId="3A508260" w:rsidR="00160C01" w:rsidRPr="00D17E59" w:rsidRDefault="00160C01" w:rsidP="00B95C30">
      <w:pPr>
        <w:spacing w:line="276" w:lineRule="auto"/>
        <w:jc w:val="both"/>
        <w:rPr>
          <w:rFonts w:ascii="Arial" w:hAnsi="Arial" w:cs="Arial"/>
          <w:noProof/>
          <w:color w:val="000000" w:themeColor="text1"/>
          <w:sz w:val="22"/>
          <w:lang w:val="es-ES_tradnl"/>
        </w:rPr>
      </w:pPr>
    </w:p>
    <w:p w14:paraId="3DA67C56" w14:textId="77777777" w:rsidR="00160C01" w:rsidRPr="00D17E59" w:rsidRDefault="00160C01" w:rsidP="00B95C30">
      <w:pPr>
        <w:spacing w:line="276" w:lineRule="auto"/>
        <w:jc w:val="both"/>
        <w:rPr>
          <w:rFonts w:ascii="Arial" w:hAnsi="Arial" w:cs="Arial"/>
          <w:noProof/>
          <w:color w:val="000000" w:themeColor="text1"/>
          <w:sz w:val="22"/>
          <w:lang w:val="es-ES_tradnl"/>
        </w:rPr>
      </w:pPr>
    </w:p>
    <w:p w14:paraId="12A9C41A" w14:textId="77777777" w:rsidR="00F53F4F" w:rsidRPr="00D17E59" w:rsidRDefault="00F53F4F" w:rsidP="00B95C30">
      <w:pPr>
        <w:spacing w:line="276" w:lineRule="auto"/>
        <w:jc w:val="both"/>
        <w:rPr>
          <w:rFonts w:ascii="Arial" w:hAnsi="Arial" w:cs="Arial"/>
          <w:noProof/>
          <w:color w:val="000000" w:themeColor="text1"/>
          <w:sz w:val="22"/>
          <w:lang w:val="es-ES_tradnl"/>
        </w:rPr>
      </w:pPr>
    </w:p>
    <w:p w14:paraId="4656B165"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66FE663B"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743C273C"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7A8FF912"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11C0CED8"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27401B6D"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1315AA73"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391143F9"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77615FFD"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074AECAC"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49960E0B"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16EDCA5E"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3223EF74"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27C4CE6D"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00F16F80"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0122D04E"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58DEACE6"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03EDBD31"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095ECC05"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7908CE12"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7EC72D14" w14:textId="77777777" w:rsidR="00D96E12" w:rsidRPr="00D17E59" w:rsidRDefault="00D96E12" w:rsidP="00B95C30">
      <w:pPr>
        <w:spacing w:line="276" w:lineRule="auto"/>
        <w:jc w:val="both"/>
        <w:rPr>
          <w:rFonts w:ascii="Arial" w:hAnsi="Arial" w:cs="Arial"/>
          <w:noProof/>
          <w:color w:val="000000" w:themeColor="text1"/>
          <w:sz w:val="22"/>
          <w:lang w:val="es-ES_tradnl"/>
        </w:rPr>
      </w:pPr>
    </w:p>
    <w:p w14:paraId="7F675A47" w14:textId="77777777" w:rsidR="008D5BB1" w:rsidRPr="00D17E59" w:rsidRDefault="008D5BB1" w:rsidP="00B95C30">
      <w:pPr>
        <w:spacing w:line="276" w:lineRule="auto"/>
        <w:jc w:val="both"/>
        <w:rPr>
          <w:rFonts w:ascii="Arial" w:hAnsi="Arial" w:cs="Arial"/>
          <w:noProof/>
          <w:color w:val="000000" w:themeColor="text1"/>
          <w:sz w:val="22"/>
          <w:lang w:val="es-ES_tradnl"/>
        </w:rPr>
      </w:pPr>
    </w:p>
    <w:p w14:paraId="6FDAF1A8" w14:textId="77777777" w:rsidR="008D5BB1" w:rsidRPr="00D17E59" w:rsidRDefault="008D5BB1" w:rsidP="00B95C30">
      <w:pPr>
        <w:spacing w:line="276" w:lineRule="auto"/>
        <w:jc w:val="both"/>
        <w:rPr>
          <w:rFonts w:ascii="Arial" w:hAnsi="Arial" w:cs="Arial"/>
          <w:noProof/>
          <w:color w:val="000000" w:themeColor="text1"/>
          <w:sz w:val="22"/>
          <w:lang w:val="es-ES_tradnl"/>
        </w:rPr>
      </w:pPr>
    </w:p>
    <w:p w14:paraId="68B87EA4" w14:textId="77777777" w:rsidR="008D5BB1" w:rsidRPr="00D17E59" w:rsidRDefault="008D5BB1" w:rsidP="00B95C30">
      <w:pPr>
        <w:spacing w:line="276" w:lineRule="auto"/>
        <w:jc w:val="both"/>
        <w:rPr>
          <w:rFonts w:ascii="Arial" w:hAnsi="Arial" w:cs="Arial"/>
          <w:noProof/>
          <w:color w:val="000000" w:themeColor="text1"/>
          <w:sz w:val="22"/>
          <w:lang w:val="es-ES_tradnl"/>
        </w:rPr>
      </w:pPr>
    </w:p>
    <w:p w14:paraId="7AD4C737" w14:textId="77777777" w:rsidR="008D5BB1" w:rsidRPr="00D17E59" w:rsidRDefault="008D5BB1" w:rsidP="00B95C30">
      <w:pPr>
        <w:spacing w:line="276" w:lineRule="auto"/>
        <w:jc w:val="both"/>
        <w:rPr>
          <w:rFonts w:ascii="Arial" w:hAnsi="Arial" w:cs="Arial"/>
          <w:noProof/>
          <w:color w:val="000000" w:themeColor="text1"/>
          <w:sz w:val="22"/>
          <w:lang w:val="es-ES_tradnl"/>
        </w:rPr>
      </w:pPr>
    </w:p>
    <w:p w14:paraId="17572024" w14:textId="77777777" w:rsidR="008D5BB1" w:rsidRPr="00D17E59" w:rsidRDefault="008D5BB1" w:rsidP="00B95C30">
      <w:pPr>
        <w:spacing w:line="276" w:lineRule="auto"/>
        <w:jc w:val="both"/>
        <w:rPr>
          <w:rFonts w:ascii="Arial" w:hAnsi="Arial" w:cs="Arial"/>
          <w:noProof/>
          <w:color w:val="000000" w:themeColor="text1"/>
          <w:sz w:val="22"/>
          <w:lang w:val="es-ES_tradnl"/>
        </w:rPr>
      </w:pPr>
    </w:p>
    <w:p w14:paraId="75FC04FF" w14:textId="77777777" w:rsidR="00450D80" w:rsidRPr="00D17E59" w:rsidRDefault="00450D80" w:rsidP="00B95C30">
      <w:pPr>
        <w:spacing w:line="276" w:lineRule="auto"/>
        <w:jc w:val="both"/>
        <w:rPr>
          <w:rFonts w:ascii="Arial" w:hAnsi="Arial" w:cs="Arial"/>
          <w:noProof/>
          <w:color w:val="000000" w:themeColor="text1"/>
          <w:sz w:val="22"/>
          <w:lang w:val="es-ES_tradnl"/>
        </w:rPr>
      </w:pPr>
    </w:p>
    <w:p w14:paraId="01971546" w14:textId="77777777" w:rsidR="00450D80" w:rsidRPr="00D17E59" w:rsidRDefault="00450D80" w:rsidP="00B95C30">
      <w:pPr>
        <w:spacing w:line="276" w:lineRule="auto"/>
        <w:jc w:val="both"/>
        <w:rPr>
          <w:rFonts w:ascii="Arial" w:hAnsi="Arial" w:cs="Arial"/>
          <w:noProof/>
          <w:color w:val="000000" w:themeColor="text1"/>
          <w:sz w:val="22"/>
          <w:lang w:val="es-ES_tradnl"/>
        </w:rPr>
      </w:pPr>
    </w:p>
    <w:p w14:paraId="7DD48F49" w14:textId="66F946C7" w:rsidR="00B95C30" w:rsidRPr="00D17E59" w:rsidRDefault="00B95C30" w:rsidP="00B95C30">
      <w:pPr>
        <w:spacing w:line="276" w:lineRule="auto"/>
        <w:jc w:val="both"/>
        <w:rPr>
          <w:rFonts w:ascii="Arial" w:hAnsi="Arial" w:cs="Arial"/>
          <w:b/>
          <w:bCs/>
          <w:noProof/>
          <w:color w:val="000000" w:themeColor="text1"/>
          <w:sz w:val="22"/>
          <w:lang w:val="es-ES_tradnl"/>
        </w:rPr>
      </w:pPr>
      <w:r w:rsidRPr="00D17E59">
        <w:rPr>
          <w:rFonts w:ascii="Arial" w:hAnsi="Arial" w:cs="Arial"/>
          <w:noProof/>
          <w:color w:val="000000" w:themeColor="text1"/>
          <w:sz w:val="22"/>
          <w:lang w:val="es-ES_tradnl"/>
        </w:rPr>
        <w:t xml:space="preserve">Bogotá D.C., </w:t>
      </w:r>
      <w:r w:rsidR="00FF777A">
        <w:rPr>
          <w:rFonts w:ascii="Arial" w:hAnsi="Arial" w:cs="Arial"/>
          <w:b/>
          <w:bCs/>
          <w:noProof/>
          <w:color w:val="000000" w:themeColor="text1"/>
          <w:sz w:val="22"/>
          <w:lang w:val="es-ES_tradnl"/>
        </w:rPr>
        <w:t>23/02/2021 19:46:49</w:t>
      </w:r>
    </w:p>
    <w:p w14:paraId="1F928DBD" w14:textId="77777777" w:rsidR="00F53F4F" w:rsidRPr="00D17E59" w:rsidRDefault="00F53F4F" w:rsidP="00B95C30">
      <w:pPr>
        <w:spacing w:line="276" w:lineRule="auto"/>
        <w:jc w:val="both"/>
        <w:rPr>
          <w:rFonts w:ascii="Arial" w:eastAsia="Calibri" w:hAnsi="Arial" w:cs="Arial"/>
          <w:noProof/>
          <w:color w:val="000000" w:themeColor="text1"/>
          <w:sz w:val="22"/>
          <w:szCs w:val="22"/>
          <w:lang w:val="es-ES_tradnl"/>
        </w:rPr>
      </w:pPr>
    </w:p>
    <w:p w14:paraId="4361CC99" w14:textId="0F351F70" w:rsidR="00FF777A" w:rsidRPr="00FF777A" w:rsidRDefault="00FF777A" w:rsidP="00FF777A">
      <w:pPr>
        <w:jc w:val="right"/>
      </w:pPr>
      <w:r w:rsidRPr="00FF777A">
        <w:fldChar w:fldCharType="begin"/>
      </w:r>
      <w:r w:rsidRPr="00FF777A">
        <w:instrText xml:space="preserve"> INCLUDEPICTURE "/var/folders/5l/v1rdjm0x1x9416lmbj7_vjt40000gn/T/com.microsoft.Word/WebArchiveCopyPasteTempFiles/page1image1779424" \* MERGEFORMATINET </w:instrText>
      </w:r>
      <w:r w:rsidRPr="00FF777A">
        <w:fldChar w:fldCharType="separate"/>
      </w:r>
      <w:r w:rsidRPr="00FF777A">
        <w:rPr>
          <w:noProof/>
        </w:rPr>
        <w:drawing>
          <wp:inline distT="0" distB="0" distL="0" distR="0" wp14:anchorId="3F1C7FDB" wp14:editId="311F0CA7">
            <wp:extent cx="2399030" cy="609600"/>
            <wp:effectExtent l="0" t="0" r="1270" b="0"/>
            <wp:docPr id="4" name="Imagen 4" descr="page1image177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794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9030" cy="609600"/>
                    </a:xfrm>
                    <a:prstGeom prst="rect">
                      <a:avLst/>
                    </a:prstGeom>
                    <a:noFill/>
                    <a:ln>
                      <a:noFill/>
                    </a:ln>
                  </pic:spPr>
                </pic:pic>
              </a:graphicData>
            </a:graphic>
          </wp:inline>
        </w:drawing>
      </w:r>
      <w:r w:rsidRPr="00FF777A">
        <w:fldChar w:fldCharType="end"/>
      </w:r>
    </w:p>
    <w:p w14:paraId="6A8A869B" w14:textId="514D7C5B" w:rsidR="00B95C30" w:rsidRPr="00D17E59" w:rsidRDefault="00B95C30" w:rsidP="00B95C30">
      <w:pPr>
        <w:jc w:val="both"/>
        <w:rPr>
          <w:rFonts w:ascii="Arial" w:hAnsi="Arial" w:cs="Arial"/>
          <w:b/>
          <w:color w:val="000000" w:themeColor="text1"/>
          <w:sz w:val="22"/>
          <w:lang w:val="es-ES_tradnl"/>
        </w:rPr>
      </w:pPr>
    </w:p>
    <w:p w14:paraId="24A88D3F" w14:textId="77777777" w:rsidR="00F53F4F" w:rsidRPr="00D17E59" w:rsidRDefault="00F53F4F" w:rsidP="00B95C30">
      <w:pPr>
        <w:jc w:val="both"/>
        <w:rPr>
          <w:rFonts w:ascii="Arial" w:hAnsi="Arial" w:cs="Arial"/>
          <w:b/>
          <w:color w:val="000000" w:themeColor="text1"/>
          <w:sz w:val="22"/>
          <w:lang w:val="es-ES_tradnl"/>
        </w:rPr>
      </w:pPr>
    </w:p>
    <w:p w14:paraId="5F5AE9EF" w14:textId="6132C0CD" w:rsidR="00B95C30" w:rsidRPr="00D17E59" w:rsidRDefault="00BE4FBF" w:rsidP="00B95C30">
      <w:pPr>
        <w:jc w:val="both"/>
        <w:rPr>
          <w:rFonts w:ascii="Arial" w:eastAsia="Calibri" w:hAnsi="Arial" w:cs="Arial"/>
          <w:color w:val="000000" w:themeColor="text1"/>
          <w:sz w:val="22"/>
          <w:lang w:val="es-ES_tradnl"/>
        </w:rPr>
      </w:pPr>
      <w:r w:rsidRPr="00D17E59">
        <w:rPr>
          <w:rFonts w:ascii="Arial" w:eastAsia="Calibri" w:hAnsi="Arial" w:cs="Arial"/>
          <w:color w:val="000000" w:themeColor="text1"/>
          <w:sz w:val="22"/>
          <w:lang w:val="es-ES_tradnl"/>
        </w:rPr>
        <w:t>Señor</w:t>
      </w:r>
    </w:p>
    <w:p w14:paraId="3DCD58CE" w14:textId="64FD84D7" w:rsidR="00B95C30" w:rsidRPr="00D17E59" w:rsidRDefault="004B5B9F" w:rsidP="00B95C30">
      <w:pPr>
        <w:jc w:val="both"/>
        <w:rPr>
          <w:rFonts w:ascii="Arial" w:eastAsia="Calibri" w:hAnsi="Arial" w:cs="Arial"/>
          <w:b/>
          <w:color w:val="000000" w:themeColor="text1"/>
          <w:sz w:val="22"/>
          <w:lang w:val="es-ES_tradnl"/>
        </w:rPr>
      </w:pPr>
      <w:r w:rsidRPr="00D17E59">
        <w:rPr>
          <w:rFonts w:ascii="Arial" w:eastAsia="Calibri" w:hAnsi="Arial" w:cs="Arial"/>
          <w:b/>
          <w:color w:val="000000" w:themeColor="text1"/>
          <w:sz w:val="22"/>
          <w:lang w:val="es-ES_tradnl"/>
        </w:rPr>
        <w:t>Nilton Javier Caicedo Vidal</w:t>
      </w:r>
    </w:p>
    <w:p w14:paraId="09D4AEA8" w14:textId="06B988C1" w:rsidR="00B95C30" w:rsidRPr="00D17E59" w:rsidRDefault="004B5B9F" w:rsidP="00B95C30">
      <w:pPr>
        <w:jc w:val="both"/>
        <w:rPr>
          <w:rFonts w:ascii="Arial" w:eastAsia="Calibri" w:hAnsi="Arial" w:cs="Arial"/>
          <w:color w:val="000000" w:themeColor="text1"/>
          <w:sz w:val="22"/>
          <w:lang w:val="es-ES_tradnl"/>
        </w:rPr>
      </w:pPr>
      <w:r w:rsidRPr="00D17E59">
        <w:rPr>
          <w:rFonts w:ascii="Arial" w:eastAsia="Calibri" w:hAnsi="Arial" w:cs="Arial"/>
          <w:color w:val="000000" w:themeColor="text1"/>
          <w:sz w:val="22"/>
          <w:lang w:val="es-ES_tradnl"/>
        </w:rPr>
        <w:t>Cali</w:t>
      </w:r>
    </w:p>
    <w:p w14:paraId="3B584A57" w14:textId="4528CA3D" w:rsidR="00F53F4F" w:rsidRPr="00D17E59" w:rsidRDefault="00F53F4F" w:rsidP="00B95C30">
      <w:pPr>
        <w:jc w:val="both"/>
        <w:rPr>
          <w:rFonts w:ascii="Arial" w:eastAsia="Calibri" w:hAnsi="Arial" w:cs="Arial"/>
          <w:color w:val="000000" w:themeColor="text1"/>
          <w:sz w:val="22"/>
          <w:lang w:val="es-ES_tradnl"/>
        </w:rPr>
      </w:pPr>
    </w:p>
    <w:p w14:paraId="48E36FCF" w14:textId="77777777" w:rsidR="00F53F4F" w:rsidRPr="00D17E59" w:rsidRDefault="00F53F4F" w:rsidP="00B95C30">
      <w:pPr>
        <w:jc w:val="both"/>
        <w:rPr>
          <w:rFonts w:ascii="Arial" w:eastAsia="Calibri" w:hAnsi="Arial" w:cs="Arial"/>
          <w:color w:val="000000" w:themeColor="text1"/>
          <w:sz w:val="22"/>
          <w:lang w:val="es-ES_tradnl"/>
        </w:rPr>
      </w:pPr>
    </w:p>
    <w:p w14:paraId="12E66182" w14:textId="347AB9CE" w:rsidR="00B95C30" w:rsidRPr="00D17E59" w:rsidRDefault="00F53F4F" w:rsidP="001D6CD2">
      <w:pPr>
        <w:rPr>
          <w:rFonts w:ascii="Arial" w:eastAsia="Calibri" w:hAnsi="Arial" w:cs="Arial"/>
          <w:b/>
          <w:bCs/>
          <w:color w:val="000000" w:themeColor="text1"/>
          <w:sz w:val="22"/>
          <w:lang w:val="es-ES_tradnl"/>
        </w:rPr>
      </w:pPr>
      <w:r w:rsidRPr="00D17E59">
        <w:rPr>
          <w:rFonts w:ascii="Arial" w:eastAsia="Calibri" w:hAnsi="Arial" w:cs="Arial"/>
          <w:b/>
          <w:bCs/>
          <w:color w:val="000000" w:themeColor="text1"/>
          <w:sz w:val="22"/>
          <w:lang w:val="es-ES_tradnl"/>
        </w:rPr>
        <w:t xml:space="preserve">                                            </w:t>
      </w:r>
      <w:r w:rsidR="00B95C30" w:rsidRPr="00D17E59">
        <w:rPr>
          <w:rFonts w:ascii="Arial" w:eastAsia="Calibri" w:hAnsi="Arial" w:cs="Arial"/>
          <w:b/>
          <w:bCs/>
          <w:color w:val="000000" w:themeColor="text1"/>
          <w:sz w:val="22"/>
          <w:lang w:val="es-ES_tradnl"/>
        </w:rPr>
        <w:t xml:space="preserve">Concepto C ‒ </w:t>
      </w:r>
      <w:r w:rsidR="00173BF2" w:rsidRPr="00D17E59">
        <w:rPr>
          <w:rFonts w:ascii="Arial" w:eastAsia="Calibri" w:hAnsi="Arial" w:cs="Arial"/>
          <w:b/>
          <w:bCs/>
          <w:color w:val="000000" w:themeColor="text1"/>
          <w:sz w:val="22"/>
          <w:lang w:val="es-ES_tradnl"/>
        </w:rPr>
        <w:t>087</w:t>
      </w:r>
      <w:r w:rsidR="00AE6547" w:rsidRPr="00D17E59">
        <w:rPr>
          <w:rFonts w:ascii="Arial" w:eastAsia="Calibri" w:hAnsi="Arial" w:cs="Arial"/>
          <w:b/>
          <w:bCs/>
          <w:color w:val="000000" w:themeColor="text1"/>
          <w:sz w:val="22"/>
          <w:lang w:val="es-ES_tradnl"/>
        </w:rPr>
        <w:t xml:space="preserve"> </w:t>
      </w:r>
      <w:r w:rsidR="00B95C30" w:rsidRPr="00D17E59">
        <w:rPr>
          <w:rFonts w:ascii="Arial" w:eastAsia="Calibri" w:hAnsi="Arial" w:cs="Arial"/>
          <w:b/>
          <w:bCs/>
          <w:color w:val="000000" w:themeColor="text1"/>
          <w:sz w:val="22"/>
          <w:lang w:val="es-ES_tradnl"/>
        </w:rPr>
        <w:t>de 202</w:t>
      </w:r>
      <w:r w:rsidR="005E781C" w:rsidRPr="00D17E59">
        <w:rPr>
          <w:rFonts w:ascii="Arial" w:eastAsia="Calibri" w:hAnsi="Arial" w:cs="Arial"/>
          <w:b/>
          <w:bCs/>
          <w:color w:val="000000" w:themeColor="text1"/>
          <w:sz w:val="22"/>
          <w:lang w:val="es-ES_tradnl"/>
        </w:rPr>
        <w:t>1</w:t>
      </w:r>
    </w:p>
    <w:p w14:paraId="1BD594F9" w14:textId="77777777" w:rsidR="00B95C30" w:rsidRPr="00D17E59"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D17E59" w14:paraId="19DFC051" w14:textId="77777777" w:rsidTr="008F4163">
        <w:tc>
          <w:tcPr>
            <w:tcW w:w="2689" w:type="dxa"/>
          </w:tcPr>
          <w:p w14:paraId="6BC0D1AC" w14:textId="77777777" w:rsidR="00B95C30" w:rsidRPr="00D17E59" w:rsidRDefault="00B95C30" w:rsidP="008F4163">
            <w:pPr>
              <w:jc w:val="both"/>
              <w:rPr>
                <w:rFonts w:ascii="Arial" w:eastAsia="Calibri" w:hAnsi="Arial" w:cs="Arial"/>
                <w:color w:val="000000" w:themeColor="text1"/>
                <w:sz w:val="22"/>
                <w:lang w:val="es-ES_tradnl"/>
              </w:rPr>
            </w:pPr>
            <w:r w:rsidRPr="00D17E59">
              <w:rPr>
                <w:rFonts w:ascii="Arial" w:eastAsia="Calibri" w:hAnsi="Arial" w:cs="Arial"/>
                <w:b/>
                <w:color w:val="000000" w:themeColor="text1"/>
                <w:sz w:val="22"/>
                <w:lang w:val="es-ES_tradnl"/>
              </w:rPr>
              <w:t>Temas:</w:t>
            </w:r>
            <w:r w:rsidRPr="00D17E59">
              <w:rPr>
                <w:rFonts w:ascii="Arial" w:eastAsia="Calibri" w:hAnsi="Arial" w:cs="Arial"/>
                <w:color w:val="000000" w:themeColor="text1"/>
                <w:sz w:val="22"/>
                <w:lang w:val="es-ES_tradnl"/>
              </w:rPr>
              <w:t xml:space="preserve">                                      </w:t>
            </w:r>
          </w:p>
        </w:tc>
        <w:tc>
          <w:tcPr>
            <w:tcW w:w="6237" w:type="dxa"/>
          </w:tcPr>
          <w:p w14:paraId="5F389CAF" w14:textId="59ED2003" w:rsidR="00B95C30" w:rsidRPr="00D17E59" w:rsidRDefault="00A54A55" w:rsidP="008F4163">
            <w:pPr>
              <w:jc w:val="both"/>
              <w:rPr>
                <w:rFonts w:ascii="Arial" w:eastAsia="Calibri" w:hAnsi="Arial" w:cs="Arial"/>
                <w:color w:val="000000" w:themeColor="text1"/>
                <w:sz w:val="22"/>
                <w:lang w:val="es-ES_tradnl"/>
              </w:rPr>
            </w:pPr>
            <w:r w:rsidRPr="00D17E59">
              <w:rPr>
                <w:rFonts w:ascii="Arial" w:eastAsia="Calibri" w:hAnsi="Arial" w:cs="Arial"/>
                <w:bCs/>
                <w:sz w:val="22"/>
                <w:lang w:val="es-ES_tradnl"/>
              </w:rPr>
              <w:t>LEY DE EMPRENDIMIENTO – Ley 2069 de 2020 – Vigencia / PROMOCIÓN DEL DESARROLLO – Contratación estatal – Ley 2069 – Artículo 34 – Subrogación / SELECCIÓN OBJETIVA – Contratación estatal – Concepto / EMPATE – Procedimiento de selección – Concepto / FACTORES DE DESEMPATE – Características – Límites / FACTORES DE DESEMPATE – Ley 2069 – Artículo 35 – Vigencia</w:t>
            </w:r>
            <w:r w:rsidR="00B95C30" w:rsidRPr="00D17E59">
              <w:rPr>
                <w:rFonts w:ascii="Arial" w:eastAsia="Arial" w:hAnsi="Arial" w:cs="Arial"/>
                <w:sz w:val="22"/>
                <w:lang w:val="es-ES_tradnl"/>
              </w:rPr>
              <w:t>.</w:t>
            </w:r>
          </w:p>
        </w:tc>
      </w:tr>
      <w:tr w:rsidR="00B95C30" w:rsidRPr="00D17E59" w14:paraId="27CD52AB" w14:textId="77777777" w:rsidTr="008F4163">
        <w:tc>
          <w:tcPr>
            <w:tcW w:w="2689" w:type="dxa"/>
          </w:tcPr>
          <w:p w14:paraId="37E195A1" w14:textId="1BA218D5" w:rsidR="00B95C30" w:rsidRPr="00D17E59" w:rsidRDefault="00B95C30" w:rsidP="008F4163">
            <w:pPr>
              <w:spacing w:before="120"/>
              <w:jc w:val="both"/>
              <w:rPr>
                <w:rFonts w:ascii="Arial" w:eastAsia="Calibri" w:hAnsi="Arial" w:cs="Arial"/>
                <w:b/>
                <w:color w:val="000000" w:themeColor="text1"/>
                <w:sz w:val="22"/>
                <w:lang w:val="es-ES_tradnl"/>
              </w:rPr>
            </w:pPr>
            <w:r w:rsidRPr="00D17E59">
              <w:rPr>
                <w:rFonts w:ascii="Arial" w:eastAsia="Calibri" w:hAnsi="Arial" w:cs="Arial"/>
                <w:b/>
                <w:color w:val="000000" w:themeColor="text1"/>
                <w:sz w:val="22"/>
                <w:lang w:val="es-ES_tradnl"/>
              </w:rPr>
              <w:t>Radicación:</w:t>
            </w:r>
            <w:r w:rsidRPr="00D17E59">
              <w:rPr>
                <w:rFonts w:ascii="Arial" w:eastAsia="Calibri" w:hAnsi="Arial" w:cs="Arial"/>
                <w:color w:val="000000" w:themeColor="text1"/>
                <w:sz w:val="22"/>
                <w:lang w:val="es-ES_tradnl"/>
              </w:rPr>
              <w:t xml:space="preserve">                              </w:t>
            </w:r>
          </w:p>
        </w:tc>
        <w:tc>
          <w:tcPr>
            <w:tcW w:w="6237" w:type="dxa"/>
          </w:tcPr>
          <w:p w14:paraId="09088B1B" w14:textId="75CB04D8" w:rsidR="00B95C30" w:rsidRPr="00D17E59" w:rsidRDefault="00B95C30" w:rsidP="008F4163">
            <w:pPr>
              <w:spacing w:before="120"/>
              <w:jc w:val="both"/>
              <w:rPr>
                <w:rFonts w:ascii="Arial" w:eastAsia="Calibri" w:hAnsi="Arial" w:cs="Arial"/>
                <w:color w:val="000000" w:themeColor="text1"/>
                <w:sz w:val="22"/>
                <w:lang w:val="es-ES_tradnl"/>
              </w:rPr>
            </w:pPr>
            <w:r w:rsidRPr="00D17E59">
              <w:rPr>
                <w:rFonts w:ascii="Arial" w:eastAsia="Calibri" w:hAnsi="Arial" w:cs="Arial"/>
                <w:color w:val="000000" w:themeColor="text1"/>
                <w:sz w:val="22"/>
                <w:lang w:val="es-ES_tradnl"/>
              </w:rPr>
              <w:t xml:space="preserve">Respuesta a consulta # </w:t>
            </w:r>
            <w:r w:rsidR="00101B58" w:rsidRPr="00D17E59">
              <w:rPr>
                <w:rFonts w:ascii="Arial" w:eastAsia="Calibri" w:hAnsi="Arial" w:cs="Arial"/>
                <w:color w:val="000000" w:themeColor="text1"/>
                <w:sz w:val="22"/>
                <w:lang w:val="es-ES_tradnl"/>
              </w:rPr>
              <w:t>P20210207000980</w:t>
            </w:r>
          </w:p>
        </w:tc>
      </w:tr>
    </w:tbl>
    <w:p w14:paraId="61B55CA4" w14:textId="77777777" w:rsidR="00716BB0" w:rsidRPr="00D17E59" w:rsidRDefault="00716BB0" w:rsidP="003C3339">
      <w:pPr>
        <w:jc w:val="both"/>
        <w:rPr>
          <w:rFonts w:ascii="Arial" w:eastAsia="Calibri" w:hAnsi="Arial" w:cs="Arial"/>
          <w:color w:val="000000" w:themeColor="text1"/>
          <w:sz w:val="22"/>
          <w:lang w:val="es-ES_tradnl"/>
        </w:rPr>
      </w:pPr>
    </w:p>
    <w:p w14:paraId="4B9B5156" w14:textId="77777777" w:rsidR="00716BB0" w:rsidRPr="00D17E59" w:rsidRDefault="00716BB0" w:rsidP="003C3339">
      <w:pPr>
        <w:jc w:val="both"/>
        <w:rPr>
          <w:rFonts w:ascii="Arial" w:eastAsia="Calibri" w:hAnsi="Arial" w:cs="Arial"/>
          <w:color w:val="000000" w:themeColor="text1"/>
          <w:sz w:val="22"/>
          <w:lang w:val="es-ES_tradnl"/>
        </w:rPr>
      </w:pPr>
    </w:p>
    <w:p w14:paraId="1CF4AEA0" w14:textId="6CCFA31B" w:rsidR="003C3339" w:rsidRPr="00D17E59" w:rsidRDefault="003C3339" w:rsidP="003C3339">
      <w:pPr>
        <w:jc w:val="both"/>
        <w:rPr>
          <w:rFonts w:ascii="Arial" w:eastAsia="Calibri" w:hAnsi="Arial" w:cs="Arial"/>
          <w:color w:val="000000" w:themeColor="text1"/>
          <w:sz w:val="22"/>
          <w:lang w:val="es-ES_tradnl"/>
        </w:rPr>
      </w:pPr>
      <w:r w:rsidRPr="00D17E59">
        <w:rPr>
          <w:rFonts w:ascii="Arial" w:eastAsia="Calibri" w:hAnsi="Arial" w:cs="Arial"/>
          <w:color w:val="000000" w:themeColor="text1"/>
          <w:sz w:val="22"/>
          <w:lang w:val="es-ES_tradnl"/>
        </w:rPr>
        <w:t>Estimad</w:t>
      </w:r>
      <w:r w:rsidR="00810A15" w:rsidRPr="00D17E59">
        <w:rPr>
          <w:rFonts w:ascii="Arial" w:eastAsia="Calibri" w:hAnsi="Arial" w:cs="Arial"/>
          <w:color w:val="000000" w:themeColor="text1"/>
          <w:sz w:val="22"/>
          <w:lang w:val="es-ES_tradnl"/>
        </w:rPr>
        <w:t>o</w:t>
      </w:r>
      <w:r w:rsidRPr="00D17E59">
        <w:rPr>
          <w:rFonts w:ascii="Arial" w:eastAsia="Calibri" w:hAnsi="Arial" w:cs="Arial"/>
          <w:color w:val="000000" w:themeColor="text1"/>
          <w:sz w:val="22"/>
          <w:lang w:val="es-ES_tradnl"/>
        </w:rPr>
        <w:t xml:space="preserve"> </w:t>
      </w:r>
      <w:r w:rsidR="0063732C" w:rsidRPr="00D17E59">
        <w:rPr>
          <w:rFonts w:ascii="Arial" w:eastAsia="Calibri" w:hAnsi="Arial" w:cs="Arial"/>
          <w:color w:val="000000" w:themeColor="text1"/>
          <w:sz w:val="22"/>
          <w:lang w:val="es-ES_tradnl"/>
        </w:rPr>
        <w:t>señor</w:t>
      </w:r>
      <w:r w:rsidR="00A716AB" w:rsidRPr="00D17E59">
        <w:rPr>
          <w:rFonts w:ascii="Arial" w:eastAsia="Calibri" w:hAnsi="Arial" w:cs="Arial"/>
          <w:color w:val="000000" w:themeColor="text1"/>
          <w:sz w:val="22"/>
          <w:lang w:val="es-ES_tradnl"/>
        </w:rPr>
        <w:t xml:space="preserve"> Caicedo</w:t>
      </w:r>
      <w:r w:rsidRPr="00D17E59">
        <w:rPr>
          <w:rFonts w:ascii="Arial" w:eastAsia="Calibri" w:hAnsi="Arial" w:cs="Arial"/>
          <w:color w:val="000000" w:themeColor="text1"/>
          <w:sz w:val="22"/>
          <w:lang w:val="es-ES_tradnl"/>
        </w:rPr>
        <w:t>:</w:t>
      </w:r>
    </w:p>
    <w:p w14:paraId="1EAE5543" w14:textId="77777777" w:rsidR="00DD5B04" w:rsidRPr="00D17E59" w:rsidRDefault="00DD5B04" w:rsidP="00DF76A2">
      <w:pPr>
        <w:jc w:val="both"/>
        <w:rPr>
          <w:rFonts w:ascii="Arial" w:eastAsia="Calibri" w:hAnsi="Arial" w:cs="Arial"/>
          <w:color w:val="000000" w:themeColor="text1"/>
          <w:sz w:val="22"/>
          <w:lang w:val="es-ES_tradnl"/>
        </w:rPr>
      </w:pPr>
    </w:p>
    <w:p w14:paraId="2109B2D3" w14:textId="3BE04F13" w:rsidR="00DD5B04" w:rsidRPr="00D17E59" w:rsidRDefault="00DD5B04" w:rsidP="00DF76A2">
      <w:pPr>
        <w:spacing w:line="276" w:lineRule="auto"/>
        <w:jc w:val="both"/>
        <w:rPr>
          <w:rFonts w:ascii="Arial" w:eastAsia="Calibri" w:hAnsi="Arial" w:cs="Arial"/>
          <w:color w:val="000000" w:themeColor="text1"/>
          <w:sz w:val="22"/>
          <w:lang w:val="es-ES_tradnl"/>
        </w:rPr>
      </w:pPr>
      <w:r w:rsidRPr="00D17E59">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D17E59">
        <w:rPr>
          <w:rFonts w:ascii="Arial" w:eastAsia="Calibri" w:hAnsi="Arial" w:cs="Arial"/>
          <w:color w:val="000000" w:themeColor="text1"/>
          <w:sz w:val="22"/>
          <w:lang w:val="es-ES_tradnl"/>
        </w:rPr>
        <w:t xml:space="preserve"> </w:t>
      </w:r>
      <w:r w:rsidRPr="00D17E59">
        <w:rPr>
          <w:rFonts w:ascii="Arial" w:eastAsia="Calibri" w:hAnsi="Arial" w:cs="Arial"/>
          <w:color w:val="000000" w:themeColor="text1"/>
          <w:sz w:val="22"/>
          <w:lang w:val="es-ES_tradnl"/>
        </w:rPr>
        <w:t xml:space="preserve">responde su consulta del </w:t>
      </w:r>
      <w:r w:rsidR="00EA13EE" w:rsidRPr="00D17E59">
        <w:rPr>
          <w:rFonts w:ascii="Arial" w:eastAsia="Calibri" w:hAnsi="Arial" w:cs="Arial"/>
          <w:color w:val="000000" w:themeColor="text1"/>
          <w:sz w:val="22"/>
          <w:lang w:val="es-ES_tradnl"/>
        </w:rPr>
        <w:t>7</w:t>
      </w:r>
      <w:r w:rsidR="00FD4AF3" w:rsidRPr="00D17E59">
        <w:rPr>
          <w:rFonts w:ascii="Arial" w:eastAsia="Calibri" w:hAnsi="Arial" w:cs="Arial"/>
          <w:color w:val="000000" w:themeColor="text1"/>
          <w:sz w:val="22"/>
          <w:lang w:val="es-ES_tradnl"/>
        </w:rPr>
        <w:t xml:space="preserve"> de </w:t>
      </w:r>
      <w:r w:rsidR="00BB0F91" w:rsidRPr="00D17E59">
        <w:rPr>
          <w:rFonts w:ascii="Arial" w:eastAsia="Calibri" w:hAnsi="Arial" w:cs="Arial"/>
          <w:color w:val="000000" w:themeColor="text1"/>
          <w:sz w:val="22"/>
          <w:lang w:val="es-ES_tradnl"/>
        </w:rPr>
        <w:t>febrero</w:t>
      </w:r>
      <w:r w:rsidRPr="00D17E59">
        <w:rPr>
          <w:rFonts w:ascii="Arial" w:eastAsia="Calibri" w:hAnsi="Arial" w:cs="Arial"/>
          <w:color w:val="000000" w:themeColor="text1"/>
          <w:sz w:val="22"/>
          <w:lang w:val="es-ES_tradnl"/>
        </w:rPr>
        <w:t xml:space="preserve"> del</w:t>
      </w:r>
      <w:r w:rsidR="007E74BF" w:rsidRPr="00D17E59">
        <w:rPr>
          <w:rFonts w:ascii="Arial" w:eastAsia="Calibri" w:hAnsi="Arial" w:cs="Arial"/>
          <w:color w:val="000000" w:themeColor="text1"/>
          <w:sz w:val="22"/>
          <w:lang w:val="es-ES_tradnl"/>
        </w:rPr>
        <w:t xml:space="preserve"> </w:t>
      </w:r>
      <w:r w:rsidRPr="00D17E59">
        <w:rPr>
          <w:rFonts w:ascii="Arial" w:eastAsia="Calibri" w:hAnsi="Arial" w:cs="Arial"/>
          <w:color w:val="000000" w:themeColor="text1"/>
          <w:sz w:val="22"/>
          <w:lang w:val="es-ES_tradnl"/>
        </w:rPr>
        <w:t>202</w:t>
      </w:r>
      <w:r w:rsidR="00FB0880" w:rsidRPr="00D17E59">
        <w:rPr>
          <w:rFonts w:ascii="Arial" w:eastAsia="Calibri" w:hAnsi="Arial" w:cs="Arial"/>
          <w:color w:val="000000" w:themeColor="text1"/>
          <w:sz w:val="22"/>
          <w:lang w:val="es-ES_tradnl"/>
        </w:rPr>
        <w:t>1</w:t>
      </w:r>
      <w:r w:rsidR="008C3C57" w:rsidRPr="00D17E59">
        <w:rPr>
          <w:rFonts w:ascii="Arial" w:eastAsia="Calibri" w:hAnsi="Arial" w:cs="Arial"/>
          <w:color w:val="000000" w:themeColor="text1"/>
          <w:sz w:val="22"/>
          <w:lang w:val="es-ES_tradnl"/>
        </w:rPr>
        <w:t>.</w:t>
      </w:r>
    </w:p>
    <w:p w14:paraId="0C1E0712" w14:textId="77777777" w:rsidR="00DD5B04" w:rsidRPr="00D17E59"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D17E59"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D17E59">
        <w:rPr>
          <w:rFonts w:ascii="Arial" w:eastAsia="Calibri" w:hAnsi="Arial" w:cs="Arial"/>
          <w:b/>
          <w:color w:val="000000" w:themeColor="text1"/>
          <w:sz w:val="22"/>
          <w:lang w:val="es-ES_tradnl"/>
        </w:rPr>
        <w:t xml:space="preserve">Problema planteado </w:t>
      </w:r>
    </w:p>
    <w:p w14:paraId="224B43D3" w14:textId="77777777" w:rsidR="00DD5B04" w:rsidRPr="00D17E59"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2DEBC93" w:rsidR="00443B55" w:rsidRPr="00D17E59" w:rsidRDefault="00DD5B04" w:rsidP="0099583D">
      <w:pPr>
        <w:spacing w:line="276" w:lineRule="auto"/>
        <w:jc w:val="both"/>
        <w:rPr>
          <w:rFonts w:ascii="Arial" w:hAnsi="Arial" w:cs="Arial"/>
          <w:color w:val="000000" w:themeColor="text1"/>
          <w:sz w:val="22"/>
          <w:lang w:val="es-ES_tradnl"/>
        </w:rPr>
      </w:pPr>
      <w:r w:rsidRPr="00D17E59">
        <w:rPr>
          <w:rFonts w:ascii="Arial" w:hAnsi="Arial" w:cs="Arial"/>
          <w:color w:val="000000" w:themeColor="text1"/>
          <w:sz w:val="22"/>
          <w:lang w:val="es-ES_tradnl"/>
        </w:rPr>
        <w:t xml:space="preserve">Usted </w:t>
      </w:r>
      <w:r w:rsidR="00B422C0" w:rsidRPr="00D17E59">
        <w:rPr>
          <w:rFonts w:ascii="Arial" w:hAnsi="Arial" w:cs="Arial"/>
          <w:color w:val="000000" w:themeColor="text1"/>
          <w:sz w:val="22"/>
          <w:lang w:val="es-ES_tradnl"/>
        </w:rPr>
        <w:t>formula</w:t>
      </w:r>
      <w:r w:rsidR="006D46A3" w:rsidRPr="00D17E59">
        <w:rPr>
          <w:rFonts w:ascii="Arial" w:hAnsi="Arial" w:cs="Arial"/>
          <w:color w:val="000000" w:themeColor="text1"/>
          <w:sz w:val="22"/>
          <w:lang w:val="es-ES_tradnl"/>
        </w:rPr>
        <w:t xml:space="preserve"> la siguient</w:t>
      </w:r>
      <w:r w:rsidR="003A4C7B" w:rsidRPr="00D17E59">
        <w:rPr>
          <w:rFonts w:ascii="Arial" w:hAnsi="Arial" w:cs="Arial"/>
          <w:color w:val="000000" w:themeColor="text1"/>
          <w:sz w:val="22"/>
          <w:lang w:val="es-ES_tradnl"/>
        </w:rPr>
        <w:t>e consulta</w:t>
      </w:r>
      <w:r w:rsidR="00B422C0" w:rsidRPr="00D17E59">
        <w:rPr>
          <w:rFonts w:ascii="Arial" w:hAnsi="Arial" w:cs="Arial"/>
          <w:color w:val="000000" w:themeColor="text1"/>
          <w:sz w:val="22"/>
          <w:lang w:val="es-ES_tradnl"/>
        </w:rPr>
        <w:t>:</w:t>
      </w:r>
      <w:r w:rsidR="007E18DF" w:rsidRPr="00D17E59">
        <w:rPr>
          <w:rFonts w:ascii="Arial" w:hAnsi="Arial" w:cs="Arial"/>
          <w:color w:val="000000" w:themeColor="text1"/>
          <w:sz w:val="22"/>
          <w:lang w:val="es-ES_tradnl"/>
        </w:rPr>
        <w:t xml:space="preserve"> </w:t>
      </w:r>
    </w:p>
    <w:p w14:paraId="559EE20C" w14:textId="77777777" w:rsidR="00443B55" w:rsidRPr="00D17E59" w:rsidRDefault="00443B55" w:rsidP="0099583D">
      <w:pPr>
        <w:spacing w:line="276" w:lineRule="auto"/>
        <w:jc w:val="both"/>
        <w:rPr>
          <w:rFonts w:ascii="Arial" w:hAnsi="Arial" w:cs="Arial"/>
          <w:color w:val="000000" w:themeColor="text1"/>
          <w:sz w:val="22"/>
          <w:lang w:val="es-ES_tradnl"/>
        </w:rPr>
      </w:pPr>
    </w:p>
    <w:p w14:paraId="1F640B64" w14:textId="7A1E341F" w:rsidR="00450D80" w:rsidRPr="00D17E59" w:rsidRDefault="001C79A4" w:rsidP="00BC2540">
      <w:pPr>
        <w:ind w:left="709" w:right="709"/>
        <w:jc w:val="both"/>
        <w:rPr>
          <w:rFonts w:ascii="Arial" w:hAnsi="Arial" w:cs="Arial"/>
          <w:color w:val="000000" w:themeColor="text1"/>
          <w:sz w:val="21"/>
          <w:szCs w:val="21"/>
          <w:lang w:val="es-ES_tradnl"/>
        </w:rPr>
      </w:pPr>
      <w:r w:rsidRPr="00D17E59">
        <w:rPr>
          <w:rFonts w:ascii="Arial" w:hAnsi="Arial" w:cs="Arial"/>
          <w:color w:val="000000" w:themeColor="text1"/>
          <w:sz w:val="21"/>
          <w:szCs w:val="21"/>
          <w:lang w:val="es-ES_tradnl"/>
        </w:rPr>
        <w:t>«</w:t>
      </w:r>
      <w:r w:rsidR="00BC2540" w:rsidRPr="00D17E59">
        <w:rPr>
          <w:rFonts w:ascii="Arial" w:hAnsi="Arial" w:cs="Arial"/>
          <w:color w:val="000000" w:themeColor="text1"/>
          <w:sz w:val="21"/>
          <w:szCs w:val="21"/>
          <w:lang w:val="es-ES_tradnl"/>
        </w:rPr>
        <w:t>¿Existe contradicción en la aplicación del criterio de desempate contenido en las Leyes 2040 de 2020 y 2069 de 2020,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w:t>
      </w:r>
      <w:r w:rsidR="00130053" w:rsidRPr="00D17E59">
        <w:rPr>
          <w:rFonts w:ascii="Arial" w:hAnsi="Arial" w:cs="Arial"/>
          <w:color w:val="000000" w:themeColor="text1"/>
          <w:sz w:val="21"/>
          <w:szCs w:val="21"/>
          <w:lang w:val="es-ES_tradnl"/>
        </w:rPr>
        <w:t>»</w:t>
      </w:r>
    </w:p>
    <w:p w14:paraId="1757D490" w14:textId="77777777" w:rsidR="00450D80" w:rsidRPr="00D17E59" w:rsidRDefault="00450D80" w:rsidP="00C305C1">
      <w:pPr>
        <w:ind w:right="709"/>
        <w:jc w:val="both"/>
        <w:rPr>
          <w:rFonts w:ascii="Arial" w:hAnsi="Arial" w:cs="Arial"/>
          <w:color w:val="000000" w:themeColor="text1"/>
          <w:sz w:val="21"/>
          <w:szCs w:val="21"/>
          <w:lang w:val="es-ES_tradnl"/>
        </w:rPr>
      </w:pPr>
    </w:p>
    <w:p w14:paraId="124D2DCA" w14:textId="77777777" w:rsidR="00DD5B04" w:rsidRPr="00D17E59"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D17E59">
        <w:rPr>
          <w:rFonts w:ascii="Arial" w:eastAsia="Calibri" w:hAnsi="Arial" w:cs="Arial"/>
          <w:b/>
          <w:color w:val="000000" w:themeColor="text1"/>
          <w:sz w:val="22"/>
          <w:lang w:val="es-ES_tradnl"/>
        </w:rPr>
        <w:t>Consideraciones</w:t>
      </w:r>
    </w:p>
    <w:p w14:paraId="7D050D2E" w14:textId="77777777" w:rsidR="00435703" w:rsidRPr="00D17E59" w:rsidRDefault="00435703" w:rsidP="00DF76A2">
      <w:pPr>
        <w:spacing w:line="276" w:lineRule="auto"/>
        <w:jc w:val="both"/>
        <w:rPr>
          <w:rFonts w:ascii="Arial" w:eastAsia="Calibri" w:hAnsi="Arial" w:cs="Arial"/>
          <w:color w:val="000000" w:themeColor="text1"/>
          <w:sz w:val="22"/>
          <w:szCs w:val="22"/>
          <w:lang w:val="es-ES_tradnl"/>
        </w:rPr>
      </w:pPr>
    </w:p>
    <w:p w14:paraId="305BC2F1" w14:textId="0EBBD49A" w:rsidR="003C4317" w:rsidRPr="00D17E59" w:rsidRDefault="008E30C4" w:rsidP="00271230">
      <w:pPr>
        <w:spacing w:line="276" w:lineRule="auto"/>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La Subdirección de Gestión Contractual responderá </w:t>
      </w:r>
      <w:r w:rsidR="00271230" w:rsidRPr="00D17E59">
        <w:rPr>
          <w:rFonts w:ascii="Arial" w:eastAsia="Calibri" w:hAnsi="Arial" w:cs="Arial"/>
          <w:color w:val="000000" w:themeColor="text1"/>
          <w:sz w:val="22"/>
          <w:szCs w:val="22"/>
          <w:lang w:val="es-ES_tradnl"/>
        </w:rPr>
        <w:t>la consulta</w:t>
      </w:r>
      <w:r w:rsidRPr="00D17E59">
        <w:rPr>
          <w:rFonts w:ascii="Arial" w:eastAsia="Calibri" w:hAnsi="Arial" w:cs="Arial"/>
          <w:color w:val="000000" w:themeColor="text1"/>
          <w:sz w:val="22"/>
          <w:szCs w:val="22"/>
          <w:lang w:val="es-ES_tradnl"/>
        </w:rPr>
        <w:t xml:space="preserve">, </w:t>
      </w:r>
      <w:r w:rsidR="00271230" w:rsidRPr="00D17E59">
        <w:rPr>
          <w:rFonts w:ascii="Arial" w:eastAsia="Calibri" w:hAnsi="Arial" w:cs="Arial"/>
          <w:color w:val="000000" w:themeColor="text1"/>
          <w:sz w:val="22"/>
          <w:szCs w:val="22"/>
          <w:lang w:val="es-ES_tradnl"/>
        </w:rPr>
        <w:t>luego de analizar los</w:t>
      </w:r>
      <w:r w:rsidR="00822EC4" w:rsidRPr="00D17E59">
        <w:rPr>
          <w:rFonts w:ascii="Arial" w:eastAsia="Calibri" w:hAnsi="Arial" w:cs="Arial"/>
          <w:color w:val="000000" w:themeColor="text1"/>
          <w:sz w:val="22"/>
          <w:szCs w:val="22"/>
          <w:lang w:val="es-ES_tradnl"/>
        </w:rPr>
        <w:t xml:space="preserve"> siguientes temas: </w:t>
      </w:r>
      <w:r w:rsidR="00833ADA" w:rsidRPr="00D17E59">
        <w:rPr>
          <w:rFonts w:ascii="Arial" w:eastAsia="Calibri" w:hAnsi="Arial" w:cs="Arial"/>
          <w:color w:val="000000" w:themeColor="text1"/>
          <w:sz w:val="22"/>
          <w:szCs w:val="22"/>
          <w:lang w:val="es-ES_tradnl"/>
        </w:rPr>
        <w:t>i)</w:t>
      </w:r>
      <w:r w:rsidR="008F40DC" w:rsidRPr="00D17E59">
        <w:rPr>
          <w:rFonts w:ascii="Arial" w:eastAsia="Calibri" w:hAnsi="Arial" w:cs="Arial"/>
          <w:color w:val="000000" w:themeColor="text1"/>
          <w:sz w:val="22"/>
          <w:szCs w:val="22"/>
          <w:lang w:val="es-ES_tradnl"/>
        </w:rPr>
        <w:t xml:space="preserve"> vigencia y ámbito de aplicación de la Ley </w:t>
      </w:r>
      <w:r w:rsidR="001F0325" w:rsidRPr="00D17E59">
        <w:rPr>
          <w:rFonts w:ascii="Arial" w:eastAsia="Calibri" w:hAnsi="Arial" w:cs="Arial"/>
          <w:color w:val="000000" w:themeColor="text1"/>
          <w:sz w:val="22"/>
          <w:szCs w:val="22"/>
          <w:lang w:val="es-ES_tradnl"/>
        </w:rPr>
        <w:t>2069</w:t>
      </w:r>
      <w:r w:rsidR="008F40DC" w:rsidRPr="00D17E59">
        <w:rPr>
          <w:rFonts w:ascii="Arial" w:eastAsia="Calibri" w:hAnsi="Arial" w:cs="Arial"/>
          <w:color w:val="000000" w:themeColor="text1"/>
          <w:sz w:val="22"/>
          <w:szCs w:val="22"/>
          <w:lang w:val="es-ES_tradnl"/>
        </w:rPr>
        <w:t xml:space="preserve"> de 2020, ii) </w:t>
      </w:r>
      <w:r w:rsidR="007D7F8F" w:rsidRPr="00D17E59">
        <w:rPr>
          <w:rFonts w:ascii="Arial" w:eastAsia="Calibri" w:hAnsi="Arial" w:cs="Arial"/>
          <w:color w:val="000000" w:themeColor="text1"/>
          <w:sz w:val="22"/>
          <w:szCs w:val="22"/>
          <w:lang w:val="es-ES_tradnl"/>
        </w:rPr>
        <w:t>nueva regulación de la promoción del desarrollo en la contratación estatal en el artículo 34 de la Ley 2069 de 2020 y subrogación del artículo 12 de la Ley 1150 de 2007</w:t>
      </w:r>
      <w:r w:rsidR="006C2CC0" w:rsidRPr="00D17E59">
        <w:rPr>
          <w:rFonts w:ascii="Arial" w:eastAsia="Calibri" w:hAnsi="Arial" w:cs="Arial"/>
          <w:color w:val="000000" w:themeColor="text1"/>
          <w:sz w:val="22"/>
          <w:szCs w:val="22"/>
          <w:lang w:val="es-ES_tradnl"/>
        </w:rPr>
        <w:t>,</w:t>
      </w:r>
      <w:r w:rsidR="008F40DC" w:rsidRPr="00D17E59">
        <w:rPr>
          <w:rFonts w:ascii="Arial" w:eastAsia="Calibri" w:hAnsi="Arial" w:cs="Arial"/>
          <w:color w:val="000000" w:themeColor="text1"/>
          <w:sz w:val="22"/>
          <w:szCs w:val="22"/>
          <w:lang w:val="es-ES_tradnl"/>
        </w:rPr>
        <w:t xml:space="preserve"> iii)</w:t>
      </w:r>
      <w:r w:rsidR="00E420B7" w:rsidRPr="00D17E59">
        <w:rPr>
          <w:rFonts w:ascii="Arial" w:eastAsia="Calibri" w:hAnsi="Arial" w:cs="Arial"/>
          <w:color w:val="000000" w:themeColor="text1"/>
          <w:sz w:val="22"/>
          <w:szCs w:val="22"/>
          <w:lang w:val="es-ES_tradnl"/>
        </w:rPr>
        <w:t xml:space="preserve"> </w:t>
      </w:r>
      <w:r w:rsidR="00833ADA" w:rsidRPr="00D17E59">
        <w:rPr>
          <w:rFonts w:ascii="Arial" w:eastAsia="Calibri" w:hAnsi="Arial" w:cs="Arial"/>
          <w:color w:val="000000" w:themeColor="text1"/>
          <w:sz w:val="22"/>
          <w:szCs w:val="22"/>
          <w:lang w:val="es-ES_tradnl"/>
        </w:rPr>
        <w:t xml:space="preserve">definición de los criterios de desempate en la contratación estatal </w:t>
      </w:r>
      <w:r w:rsidR="00A12574" w:rsidRPr="00D17E59">
        <w:rPr>
          <w:rFonts w:ascii="Arial" w:eastAsia="Calibri" w:hAnsi="Arial" w:cs="Arial"/>
          <w:color w:val="000000" w:themeColor="text1"/>
          <w:sz w:val="22"/>
          <w:szCs w:val="22"/>
          <w:lang w:val="es-ES_tradnl"/>
        </w:rPr>
        <w:t>y</w:t>
      </w:r>
      <w:r w:rsidR="00833ADA" w:rsidRPr="00D17E59">
        <w:rPr>
          <w:rFonts w:ascii="Arial" w:eastAsia="Calibri" w:hAnsi="Arial" w:cs="Arial"/>
          <w:color w:val="000000" w:themeColor="text1"/>
          <w:sz w:val="22"/>
          <w:szCs w:val="22"/>
          <w:lang w:val="es-ES_tradnl"/>
        </w:rPr>
        <w:t xml:space="preserve"> </w:t>
      </w:r>
      <w:r w:rsidR="00523F41" w:rsidRPr="00D17E59">
        <w:rPr>
          <w:rFonts w:ascii="Arial" w:eastAsia="Calibri" w:hAnsi="Arial" w:cs="Arial"/>
          <w:color w:val="000000" w:themeColor="text1"/>
          <w:sz w:val="22"/>
          <w:szCs w:val="22"/>
          <w:lang w:val="es-ES_tradnl"/>
        </w:rPr>
        <w:t>i</w:t>
      </w:r>
      <w:r w:rsidR="008F40DC" w:rsidRPr="00D17E59">
        <w:rPr>
          <w:rFonts w:ascii="Arial" w:eastAsia="Calibri" w:hAnsi="Arial" w:cs="Arial"/>
          <w:color w:val="000000" w:themeColor="text1"/>
          <w:sz w:val="22"/>
          <w:szCs w:val="22"/>
          <w:lang w:val="es-ES_tradnl"/>
        </w:rPr>
        <w:t>v</w:t>
      </w:r>
      <w:r w:rsidR="00523F41" w:rsidRPr="00D17E59">
        <w:rPr>
          <w:rFonts w:ascii="Arial" w:eastAsia="Calibri" w:hAnsi="Arial" w:cs="Arial"/>
          <w:color w:val="000000" w:themeColor="text1"/>
          <w:sz w:val="22"/>
          <w:szCs w:val="22"/>
          <w:lang w:val="es-ES_tradnl"/>
        </w:rPr>
        <w:t xml:space="preserve">) </w:t>
      </w:r>
      <w:r w:rsidR="00D43769" w:rsidRPr="00D17E59">
        <w:rPr>
          <w:rFonts w:ascii="Arial" w:eastAsia="Calibri" w:hAnsi="Arial" w:cs="Arial"/>
          <w:color w:val="000000" w:themeColor="text1"/>
          <w:sz w:val="22"/>
          <w:szCs w:val="22"/>
          <w:lang w:val="es-ES_tradnl"/>
        </w:rPr>
        <w:t>aplicación obligatoria d</w:t>
      </w:r>
      <w:r w:rsidR="003C4317" w:rsidRPr="00D17E59">
        <w:rPr>
          <w:rFonts w:ascii="Arial" w:eastAsia="Calibri" w:hAnsi="Arial" w:cs="Arial"/>
          <w:color w:val="000000" w:themeColor="text1"/>
          <w:sz w:val="22"/>
          <w:szCs w:val="22"/>
          <w:lang w:val="es-ES_tradnl"/>
        </w:rPr>
        <w:t xml:space="preserve">el artículo 35 </w:t>
      </w:r>
      <w:r w:rsidR="00137440" w:rsidRPr="00D17E59">
        <w:rPr>
          <w:rFonts w:ascii="Arial" w:eastAsia="Calibri" w:hAnsi="Arial" w:cs="Arial"/>
          <w:color w:val="000000" w:themeColor="text1"/>
          <w:sz w:val="22"/>
          <w:szCs w:val="22"/>
          <w:lang w:val="es-ES_tradnl"/>
        </w:rPr>
        <w:t xml:space="preserve">de la mencionada </w:t>
      </w:r>
      <w:r w:rsidR="003C4317" w:rsidRPr="00D17E59">
        <w:rPr>
          <w:rFonts w:ascii="Arial" w:eastAsia="Calibri" w:hAnsi="Arial" w:cs="Arial"/>
          <w:color w:val="000000" w:themeColor="text1"/>
          <w:sz w:val="22"/>
          <w:szCs w:val="22"/>
          <w:lang w:val="es-ES_tradnl"/>
        </w:rPr>
        <w:t>Ley.</w:t>
      </w:r>
    </w:p>
    <w:p w14:paraId="1144E6B3" w14:textId="4D48F172" w:rsidR="00C8331F" w:rsidRPr="00D17E59" w:rsidRDefault="00EC1DAE" w:rsidP="00C8331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E</w:t>
      </w:r>
      <w:r w:rsidR="00C8331F" w:rsidRPr="00D17E59">
        <w:rPr>
          <w:rFonts w:ascii="Arial" w:eastAsia="Calibri" w:hAnsi="Arial" w:cs="Arial"/>
          <w:color w:val="000000" w:themeColor="text1"/>
          <w:sz w:val="22"/>
          <w:szCs w:val="22"/>
          <w:lang w:val="es-ES_tradnl"/>
        </w:rPr>
        <w:t>s importante destacar que la Agencia Nacional de Contratación Pública</w:t>
      </w:r>
      <w:r w:rsidRPr="00D17E59">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D17E59">
        <w:rPr>
          <w:rFonts w:ascii="Arial" w:eastAsia="Calibri" w:hAnsi="Arial" w:cs="Arial"/>
          <w:color w:val="000000" w:themeColor="text1"/>
          <w:sz w:val="22"/>
          <w:szCs w:val="22"/>
          <w:lang w:val="es-ES_tradnl"/>
        </w:rPr>
        <w:t>,</w:t>
      </w:r>
      <w:r w:rsidR="0091310F" w:rsidRPr="00D17E59">
        <w:rPr>
          <w:rFonts w:ascii="Arial" w:eastAsia="Calibri" w:hAnsi="Arial" w:cs="Arial"/>
          <w:color w:val="000000" w:themeColor="text1"/>
          <w:sz w:val="22"/>
          <w:szCs w:val="22"/>
          <w:lang w:val="es-ES_tradnl"/>
        </w:rPr>
        <w:t xml:space="preserve"> en los conceptos C-285 del </w:t>
      </w:r>
      <w:r w:rsidR="00677212" w:rsidRPr="00D17E59">
        <w:rPr>
          <w:rFonts w:ascii="Arial" w:eastAsia="Calibri" w:hAnsi="Arial" w:cs="Arial"/>
          <w:color w:val="000000" w:themeColor="text1"/>
          <w:sz w:val="22"/>
          <w:szCs w:val="22"/>
          <w:lang w:val="es-ES_tradnl"/>
        </w:rPr>
        <w:t>4</w:t>
      </w:r>
      <w:r w:rsidR="0091310F" w:rsidRPr="00D17E59">
        <w:rPr>
          <w:rFonts w:ascii="Arial" w:eastAsia="Calibri" w:hAnsi="Arial" w:cs="Arial"/>
          <w:color w:val="000000" w:themeColor="text1"/>
          <w:sz w:val="22"/>
          <w:szCs w:val="22"/>
          <w:lang w:val="es-ES_tradnl"/>
        </w:rPr>
        <w:t xml:space="preserve"> de </w:t>
      </w:r>
      <w:r w:rsidR="00677212" w:rsidRPr="00D17E59">
        <w:rPr>
          <w:rFonts w:ascii="Arial" w:eastAsia="Calibri" w:hAnsi="Arial" w:cs="Arial"/>
          <w:color w:val="000000" w:themeColor="text1"/>
          <w:sz w:val="22"/>
          <w:szCs w:val="22"/>
          <w:lang w:val="es-ES_tradnl"/>
        </w:rPr>
        <w:t>mayo</w:t>
      </w:r>
      <w:r w:rsidR="0091310F" w:rsidRPr="00D17E59">
        <w:rPr>
          <w:rFonts w:ascii="Arial" w:eastAsia="Calibri" w:hAnsi="Arial" w:cs="Arial"/>
          <w:color w:val="000000" w:themeColor="text1"/>
          <w:sz w:val="22"/>
          <w:szCs w:val="22"/>
          <w:lang w:val="es-ES_tradnl"/>
        </w:rPr>
        <w:t xml:space="preserve"> de 2020, </w:t>
      </w:r>
      <w:r w:rsidR="006361C9" w:rsidRPr="00D17E59">
        <w:rPr>
          <w:rFonts w:ascii="Arial" w:eastAsia="Calibri" w:hAnsi="Arial" w:cs="Arial"/>
          <w:color w:val="000000" w:themeColor="text1"/>
          <w:sz w:val="22"/>
          <w:szCs w:val="22"/>
          <w:lang w:val="es-ES_tradnl"/>
        </w:rPr>
        <w:t xml:space="preserve">C-481 del </w:t>
      </w:r>
      <w:r w:rsidR="004060DC" w:rsidRPr="00D17E59">
        <w:rPr>
          <w:rFonts w:ascii="Arial" w:eastAsia="Calibri" w:hAnsi="Arial" w:cs="Arial"/>
          <w:color w:val="000000" w:themeColor="text1"/>
          <w:sz w:val="22"/>
          <w:szCs w:val="22"/>
          <w:lang w:val="es-ES_tradnl"/>
        </w:rPr>
        <w:t>27</w:t>
      </w:r>
      <w:r w:rsidR="00184219" w:rsidRPr="00D17E59">
        <w:rPr>
          <w:rFonts w:ascii="Arial" w:eastAsia="Calibri" w:hAnsi="Arial" w:cs="Arial"/>
          <w:color w:val="000000" w:themeColor="text1"/>
          <w:sz w:val="22"/>
          <w:szCs w:val="22"/>
          <w:lang w:val="es-ES_tradnl"/>
        </w:rPr>
        <w:t xml:space="preserve"> de julio de 2020</w:t>
      </w:r>
      <w:r w:rsidR="006606A4" w:rsidRPr="00D17E59">
        <w:rPr>
          <w:rFonts w:ascii="Arial" w:eastAsia="Calibri" w:hAnsi="Arial" w:cs="Arial"/>
          <w:color w:val="000000" w:themeColor="text1"/>
          <w:sz w:val="22"/>
          <w:szCs w:val="22"/>
          <w:lang w:val="es-ES_tradnl"/>
        </w:rPr>
        <w:t xml:space="preserve">, C-514 </w:t>
      </w:r>
      <w:r w:rsidR="002F7961" w:rsidRPr="00D17E59">
        <w:rPr>
          <w:rFonts w:ascii="Arial" w:eastAsia="Calibri" w:hAnsi="Arial" w:cs="Arial"/>
          <w:color w:val="000000" w:themeColor="text1"/>
          <w:sz w:val="22"/>
          <w:szCs w:val="22"/>
          <w:lang w:val="es-ES_tradnl"/>
        </w:rPr>
        <w:t xml:space="preserve">y C-535 </w:t>
      </w:r>
      <w:r w:rsidR="006606A4" w:rsidRPr="00D17E59">
        <w:rPr>
          <w:rFonts w:ascii="Arial" w:eastAsia="Calibri" w:hAnsi="Arial" w:cs="Arial"/>
          <w:color w:val="000000" w:themeColor="text1"/>
          <w:sz w:val="22"/>
          <w:szCs w:val="22"/>
          <w:lang w:val="es-ES_tradnl"/>
        </w:rPr>
        <w:t>del 26 de agosto de 2020</w:t>
      </w:r>
      <w:r w:rsidR="004060DC" w:rsidRPr="00D17E59">
        <w:rPr>
          <w:rFonts w:ascii="Arial" w:eastAsia="Calibri" w:hAnsi="Arial" w:cs="Arial"/>
          <w:color w:val="000000" w:themeColor="text1"/>
          <w:sz w:val="22"/>
          <w:szCs w:val="22"/>
          <w:lang w:val="es-ES_tradnl"/>
        </w:rPr>
        <w:t xml:space="preserve"> y </w:t>
      </w:r>
      <w:r w:rsidR="00F96079" w:rsidRPr="00D17E59">
        <w:rPr>
          <w:rFonts w:ascii="Arial" w:eastAsia="Calibri" w:hAnsi="Arial" w:cs="Arial"/>
          <w:color w:val="000000" w:themeColor="text1"/>
          <w:sz w:val="22"/>
          <w:szCs w:val="22"/>
          <w:lang w:val="es-ES_tradnl"/>
        </w:rPr>
        <w:t xml:space="preserve">C-556 del </w:t>
      </w:r>
      <w:r w:rsidR="00E820F4" w:rsidRPr="00D17E59">
        <w:rPr>
          <w:rFonts w:ascii="Arial" w:eastAsia="Calibri" w:hAnsi="Arial" w:cs="Arial"/>
          <w:color w:val="000000" w:themeColor="text1"/>
          <w:sz w:val="22"/>
          <w:szCs w:val="22"/>
          <w:lang w:val="es-ES_tradnl"/>
        </w:rPr>
        <w:t>31 de agosto de 2020</w:t>
      </w:r>
      <w:r w:rsidR="004060DC" w:rsidRPr="00D17E59">
        <w:rPr>
          <w:rFonts w:ascii="Arial" w:eastAsia="Calibri" w:hAnsi="Arial" w:cs="Arial"/>
          <w:color w:val="000000" w:themeColor="text1"/>
          <w:sz w:val="22"/>
          <w:szCs w:val="22"/>
          <w:lang w:val="es-ES_tradnl"/>
        </w:rPr>
        <w:t>.</w:t>
      </w:r>
      <w:r w:rsidR="00032689" w:rsidRPr="00D17E59">
        <w:rPr>
          <w:rFonts w:ascii="Arial" w:eastAsia="Calibri" w:hAnsi="Arial" w:cs="Arial"/>
          <w:color w:val="000000" w:themeColor="text1"/>
          <w:sz w:val="22"/>
          <w:szCs w:val="22"/>
          <w:lang w:val="es-ES_tradnl"/>
        </w:rPr>
        <w:t xml:space="preserve"> Además, recientemente se expidieron los conceptos </w:t>
      </w:r>
      <w:r w:rsidR="00547778" w:rsidRPr="00D17E59">
        <w:rPr>
          <w:rFonts w:ascii="Arial" w:eastAsia="Calibri" w:hAnsi="Arial" w:cs="Arial"/>
          <w:color w:val="000000" w:themeColor="text1"/>
          <w:sz w:val="22"/>
          <w:szCs w:val="22"/>
          <w:lang w:val="es-ES_tradnl"/>
        </w:rPr>
        <w:t xml:space="preserve">C-009, C-012, C-013, </w:t>
      </w:r>
      <w:r w:rsidR="00A51D65" w:rsidRPr="00D17E59">
        <w:rPr>
          <w:rFonts w:ascii="Arial" w:eastAsia="Calibri" w:hAnsi="Arial" w:cs="Arial"/>
          <w:color w:val="000000" w:themeColor="text1"/>
          <w:sz w:val="22"/>
          <w:szCs w:val="22"/>
          <w:lang w:val="es-ES_tradnl"/>
        </w:rPr>
        <w:t>C-015, C-016 y C-026, del 4 de febrero de 2020, en los que s</w:t>
      </w:r>
      <w:r w:rsidR="00C43E53" w:rsidRPr="00D17E59">
        <w:rPr>
          <w:rFonts w:ascii="Arial" w:eastAsia="Calibri" w:hAnsi="Arial" w:cs="Arial"/>
          <w:color w:val="000000" w:themeColor="text1"/>
          <w:sz w:val="22"/>
          <w:szCs w:val="22"/>
          <w:lang w:val="es-ES_tradnl"/>
        </w:rPr>
        <w:t>e analizó la vigencia y forma de acreditación de los factores de desempate contenidos en el artículo 35 de la Ley 2069 de 202</w:t>
      </w:r>
      <w:r w:rsidR="00F32356" w:rsidRPr="00D17E59">
        <w:rPr>
          <w:rFonts w:ascii="Arial" w:eastAsia="Calibri" w:hAnsi="Arial" w:cs="Arial"/>
          <w:color w:val="000000" w:themeColor="text1"/>
          <w:sz w:val="22"/>
          <w:szCs w:val="22"/>
          <w:lang w:val="es-ES_tradnl"/>
        </w:rPr>
        <w:t>1</w:t>
      </w:r>
      <w:r w:rsidR="00C43E53" w:rsidRPr="00D17E59">
        <w:rPr>
          <w:rFonts w:ascii="Arial" w:eastAsia="Calibri" w:hAnsi="Arial" w:cs="Arial"/>
          <w:color w:val="000000" w:themeColor="text1"/>
          <w:sz w:val="22"/>
          <w:szCs w:val="22"/>
          <w:lang w:val="es-ES_tradnl"/>
        </w:rPr>
        <w:t>.</w:t>
      </w:r>
      <w:r w:rsidR="004060DC" w:rsidRPr="00D17E59">
        <w:rPr>
          <w:rFonts w:ascii="Arial" w:eastAsia="Calibri" w:hAnsi="Arial" w:cs="Arial"/>
          <w:color w:val="000000" w:themeColor="text1"/>
          <w:sz w:val="22"/>
          <w:szCs w:val="22"/>
          <w:lang w:val="es-ES_tradnl"/>
        </w:rPr>
        <w:t xml:space="preserve"> </w:t>
      </w:r>
      <w:r w:rsidR="00471857" w:rsidRPr="00D17E59">
        <w:rPr>
          <w:rFonts w:ascii="Arial" w:eastAsia="Calibri" w:hAnsi="Arial" w:cs="Arial"/>
          <w:color w:val="000000" w:themeColor="text1"/>
          <w:sz w:val="22"/>
          <w:szCs w:val="22"/>
          <w:lang w:val="es-ES_tradnl"/>
        </w:rPr>
        <w:t xml:space="preserve">Igualmente, </w:t>
      </w:r>
      <w:r w:rsidR="00BC37D3" w:rsidRPr="00D17E59">
        <w:rPr>
          <w:rFonts w:ascii="Arial" w:eastAsia="Calibri" w:hAnsi="Arial" w:cs="Arial"/>
          <w:color w:val="000000" w:themeColor="text1"/>
          <w:sz w:val="22"/>
          <w:szCs w:val="22"/>
          <w:lang w:val="es-ES_tradnl"/>
        </w:rPr>
        <w:t>se expidió el Concepto C-043 del 9 de febrero de 2021, en el que se</w:t>
      </w:r>
      <w:r w:rsidR="0096439C" w:rsidRPr="00D17E59">
        <w:rPr>
          <w:rFonts w:ascii="Arial" w:eastAsia="Calibri" w:hAnsi="Arial" w:cs="Arial"/>
          <w:color w:val="000000" w:themeColor="text1"/>
          <w:sz w:val="22"/>
          <w:szCs w:val="22"/>
          <w:lang w:val="es-ES_tradnl"/>
        </w:rPr>
        <w:t xml:space="preserve"> estudió la vigencia del artículo 12 de la Ley 1150 de 2007, a partir de lo establecido en el artículo 34 de la Ley 2069 de 2020. </w:t>
      </w:r>
      <w:r w:rsidR="004060DC" w:rsidRPr="00D17E59">
        <w:rPr>
          <w:rFonts w:ascii="Arial" w:eastAsia="Calibri" w:hAnsi="Arial" w:cs="Arial"/>
          <w:color w:val="000000" w:themeColor="text1"/>
          <w:sz w:val="22"/>
          <w:szCs w:val="22"/>
          <w:lang w:val="es-ES_tradnl"/>
        </w:rPr>
        <w:t xml:space="preserve">Algunas de las consideraciones </w:t>
      </w:r>
      <w:r w:rsidR="00A6144B" w:rsidRPr="00D17E59">
        <w:rPr>
          <w:rFonts w:ascii="Arial" w:eastAsia="Calibri" w:hAnsi="Arial" w:cs="Arial"/>
          <w:color w:val="000000" w:themeColor="text1"/>
          <w:sz w:val="22"/>
          <w:szCs w:val="22"/>
          <w:lang w:val="es-ES_tradnl"/>
        </w:rPr>
        <w:t>de estos</w:t>
      </w:r>
      <w:r w:rsidR="004060DC" w:rsidRPr="00D17E59">
        <w:rPr>
          <w:rFonts w:ascii="Arial" w:eastAsia="Calibri" w:hAnsi="Arial" w:cs="Arial"/>
          <w:color w:val="000000" w:themeColor="text1"/>
          <w:sz w:val="22"/>
          <w:szCs w:val="22"/>
          <w:lang w:val="es-ES_tradnl"/>
        </w:rPr>
        <w:t xml:space="preserve"> conceptos se </w:t>
      </w:r>
      <w:r w:rsidR="00F24BB1" w:rsidRPr="00D17E59">
        <w:rPr>
          <w:rFonts w:ascii="Arial" w:eastAsia="Calibri" w:hAnsi="Arial" w:cs="Arial"/>
          <w:color w:val="000000" w:themeColor="text1"/>
          <w:sz w:val="22"/>
          <w:szCs w:val="22"/>
          <w:lang w:val="es-ES_tradnl"/>
        </w:rPr>
        <w:t>reiteran</w:t>
      </w:r>
      <w:r w:rsidR="004060DC" w:rsidRPr="00D17E59">
        <w:rPr>
          <w:rFonts w:ascii="Arial" w:eastAsia="Calibri" w:hAnsi="Arial" w:cs="Arial"/>
          <w:color w:val="000000" w:themeColor="text1"/>
          <w:sz w:val="22"/>
          <w:szCs w:val="22"/>
          <w:lang w:val="es-ES_tradnl"/>
        </w:rPr>
        <w:t xml:space="preserve"> a continuación</w:t>
      </w:r>
      <w:r w:rsidR="0018258E" w:rsidRPr="00D17E59">
        <w:rPr>
          <w:rFonts w:ascii="Arial" w:eastAsia="Calibri" w:hAnsi="Arial" w:cs="Arial"/>
          <w:color w:val="000000" w:themeColor="text1"/>
          <w:sz w:val="22"/>
          <w:szCs w:val="22"/>
          <w:lang w:val="es-ES_tradnl"/>
        </w:rPr>
        <w:t xml:space="preserve"> y se complementan en lo pertinente.</w:t>
      </w:r>
    </w:p>
    <w:p w14:paraId="331D0ECA" w14:textId="0CEC4B0A" w:rsidR="003C4317" w:rsidRPr="00D17E59" w:rsidRDefault="003C4317" w:rsidP="00271230">
      <w:pPr>
        <w:spacing w:line="276" w:lineRule="auto"/>
        <w:jc w:val="both"/>
        <w:rPr>
          <w:rFonts w:ascii="Arial" w:eastAsia="Calibri" w:hAnsi="Arial" w:cs="Arial"/>
          <w:color w:val="000000" w:themeColor="text1"/>
          <w:sz w:val="22"/>
          <w:szCs w:val="22"/>
          <w:lang w:val="es-ES_tradnl"/>
        </w:rPr>
      </w:pPr>
    </w:p>
    <w:p w14:paraId="1BB98AEE" w14:textId="1CE81C6A" w:rsidR="005C6397" w:rsidRPr="00D17E59" w:rsidRDefault="005C6397" w:rsidP="005C6397">
      <w:pPr>
        <w:spacing w:line="276" w:lineRule="auto"/>
        <w:jc w:val="both"/>
        <w:rPr>
          <w:rFonts w:ascii="Arial" w:eastAsia="Calibri" w:hAnsi="Arial" w:cs="Arial"/>
          <w:b/>
          <w:bCs/>
          <w:color w:val="000000" w:themeColor="text1"/>
          <w:sz w:val="22"/>
          <w:szCs w:val="22"/>
          <w:lang w:val="es-ES_tradnl"/>
        </w:rPr>
      </w:pPr>
      <w:r w:rsidRPr="00D17E59">
        <w:rPr>
          <w:rFonts w:ascii="Arial" w:eastAsia="Calibri" w:hAnsi="Arial" w:cs="Arial"/>
          <w:b/>
          <w:bCs/>
          <w:color w:val="000000" w:themeColor="text1"/>
          <w:sz w:val="22"/>
          <w:szCs w:val="22"/>
          <w:lang w:val="es-ES_tradnl"/>
        </w:rPr>
        <w:t>2.</w:t>
      </w:r>
      <w:r w:rsidR="00B43718" w:rsidRPr="00D17E59">
        <w:rPr>
          <w:rFonts w:ascii="Arial" w:eastAsia="Calibri" w:hAnsi="Arial" w:cs="Arial"/>
          <w:b/>
          <w:bCs/>
          <w:color w:val="000000" w:themeColor="text1"/>
          <w:sz w:val="22"/>
          <w:szCs w:val="22"/>
          <w:lang w:val="es-ES_tradnl"/>
        </w:rPr>
        <w:t>1</w:t>
      </w:r>
      <w:r w:rsidRPr="00D17E59">
        <w:rPr>
          <w:rFonts w:ascii="Arial" w:eastAsia="Calibri" w:hAnsi="Arial" w:cs="Arial"/>
          <w:b/>
          <w:bCs/>
          <w:color w:val="000000" w:themeColor="text1"/>
          <w:sz w:val="22"/>
          <w:szCs w:val="22"/>
          <w:lang w:val="es-ES_tradnl"/>
        </w:rPr>
        <w:t xml:space="preserve">. Vigencia y ámbito de aplicación de la Ley </w:t>
      </w:r>
      <w:r w:rsidR="001F0325" w:rsidRPr="00D17E59">
        <w:rPr>
          <w:rFonts w:ascii="Arial" w:eastAsia="Calibri" w:hAnsi="Arial" w:cs="Arial"/>
          <w:b/>
          <w:bCs/>
          <w:color w:val="000000" w:themeColor="text1"/>
          <w:sz w:val="22"/>
          <w:szCs w:val="22"/>
          <w:lang w:val="es-ES_tradnl"/>
        </w:rPr>
        <w:t>2069</w:t>
      </w:r>
      <w:r w:rsidRPr="00D17E59">
        <w:rPr>
          <w:rFonts w:ascii="Arial" w:eastAsia="Calibri" w:hAnsi="Arial" w:cs="Arial"/>
          <w:b/>
          <w:bCs/>
          <w:color w:val="000000" w:themeColor="text1"/>
          <w:sz w:val="22"/>
          <w:szCs w:val="22"/>
          <w:lang w:val="es-ES_tradnl"/>
        </w:rPr>
        <w:t xml:space="preserve"> de 2020</w:t>
      </w:r>
    </w:p>
    <w:p w14:paraId="38137F57" w14:textId="77777777" w:rsidR="005C6397" w:rsidRPr="00D17E59" w:rsidRDefault="005C6397" w:rsidP="005C6397">
      <w:pPr>
        <w:spacing w:line="276" w:lineRule="auto"/>
        <w:jc w:val="both"/>
        <w:rPr>
          <w:rFonts w:ascii="Arial" w:eastAsia="Calibri" w:hAnsi="Arial" w:cs="Arial"/>
          <w:color w:val="000000" w:themeColor="text1"/>
          <w:sz w:val="22"/>
          <w:szCs w:val="22"/>
          <w:lang w:val="es-ES_tradnl"/>
        </w:rPr>
      </w:pPr>
    </w:p>
    <w:p w14:paraId="33320CB6" w14:textId="77777777" w:rsidR="00C47F18" w:rsidRPr="00D17E59" w:rsidRDefault="00C47F18" w:rsidP="00C47F18">
      <w:pPr>
        <w:spacing w:line="276" w:lineRule="auto"/>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21E74D7" w14:textId="77777777" w:rsidR="00C47F18" w:rsidRPr="00D17E59" w:rsidRDefault="00C47F18" w:rsidP="00C47F18">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D17E59">
        <w:rPr>
          <w:rFonts w:ascii="Arial" w:eastAsia="Calibri" w:hAnsi="Arial" w:cs="Arial"/>
          <w:color w:val="000000" w:themeColor="text1"/>
          <w:sz w:val="22"/>
          <w:szCs w:val="22"/>
          <w:lang w:val="es-ES_tradnl"/>
        </w:rPr>
        <w:t>mipymes</w:t>
      </w:r>
      <w:proofErr w:type="spellEnd"/>
      <w:r w:rsidRPr="00D17E59">
        <w:rPr>
          <w:rFonts w:ascii="Arial" w:eastAsia="Calibri" w:hAnsi="Arial" w:cs="Arial"/>
          <w:color w:val="000000" w:themeColor="text1"/>
          <w:sz w:val="22"/>
          <w:szCs w:val="22"/>
          <w:lang w:val="es-ES_tradnl"/>
        </w:rPr>
        <w:t>–, mediante la racionalización y simplificación de los trámites y tarifas</w:t>
      </w:r>
      <w:r w:rsidRPr="00D17E59">
        <w:rPr>
          <w:rStyle w:val="Refdenotaalpie"/>
          <w:rFonts w:ascii="Arial" w:eastAsia="Calibri" w:hAnsi="Arial" w:cs="Arial"/>
          <w:color w:val="000000" w:themeColor="text1"/>
          <w:sz w:val="22"/>
          <w:szCs w:val="22"/>
          <w:lang w:val="es-ES_tradnl"/>
        </w:rPr>
        <w:footnoteReference w:id="2"/>
      </w:r>
      <w:r w:rsidRPr="00D17E59">
        <w:rPr>
          <w:rFonts w:ascii="Arial" w:eastAsia="Calibri" w:hAnsi="Arial" w:cs="Arial"/>
          <w:color w:val="000000" w:themeColor="text1"/>
          <w:sz w:val="22"/>
          <w:szCs w:val="22"/>
          <w:lang w:val="es-ES_tradnl"/>
        </w:rPr>
        <w:t xml:space="preserve">, así como </w:t>
      </w:r>
      <w:r w:rsidRPr="00D17E59">
        <w:rPr>
          <w:rFonts w:ascii="Arial" w:eastAsia="Calibri" w:hAnsi="Arial" w:cs="Arial"/>
          <w:color w:val="000000" w:themeColor="text1"/>
          <w:sz w:val="22"/>
          <w:szCs w:val="22"/>
          <w:lang w:val="es-ES_tradnl"/>
        </w:rPr>
        <w:lastRenderedPageBreak/>
        <w:t>incentivos a favor de aquellas dentro del sistema de compras y contratación pública</w:t>
      </w:r>
      <w:r w:rsidRPr="00D17E59">
        <w:rPr>
          <w:rStyle w:val="Refdenotaalpie"/>
          <w:rFonts w:ascii="Arial" w:eastAsia="Calibri" w:hAnsi="Arial" w:cs="Arial"/>
          <w:color w:val="000000" w:themeColor="text1"/>
          <w:sz w:val="22"/>
          <w:szCs w:val="22"/>
          <w:lang w:val="es-ES_tradnl"/>
        </w:rPr>
        <w:footnoteReference w:id="3"/>
      </w:r>
      <w:r w:rsidRPr="00D17E59">
        <w:rPr>
          <w:rFonts w:ascii="Arial" w:eastAsia="Calibri" w:hAnsi="Arial" w:cs="Arial"/>
          <w:color w:val="000000" w:themeColor="text1"/>
          <w:sz w:val="22"/>
          <w:szCs w:val="22"/>
          <w:lang w:val="es-ES_tradnl"/>
        </w:rPr>
        <w:t>. También se consagran mecanismos de acceso al financiamiento</w:t>
      </w:r>
      <w:r w:rsidRPr="00D17E59">
        <w:rPr>
          <w:rStyle w:val="Refdenotaalpie"/>
          <w:rFonts w:ascii="Arial" w:eastAsia="Calibri" w:hAnsi="Arial" w:cs="Arial"/>
          <w:color w:val="000000" w:themeColor="text1"/>
          <w:sz w:val="22"/>
          <w:szCs w:val="22"/>
          <w:lang w:val="es-ES_tradnl"/>
        </w:rPr>
        <w:footnoteReference w:id="4"/>
      </w:r>
      <w:r w:rsidRPr="00D17E59">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D17E59">
        <w:rPr>
          <w:rStyle w:val="Refdenotaalpie"/>
          <w:rFonts w:ascii="Arial" w:eastAsia="Calibri" w:hAnsi="Arial" w:cs="Arial"/>
          <w:color w:val="000000" w:themeColor="text1"/>
          <w:sz w:val="22"/>
          <w:szCs w:val="22"/>
          <w:lang w:val="es-ES_tradnl"/>
        </w:rPr>
        <w:footnoteReference w:id="5"/>
      </w:r>
      <w:r w:rsidRPr="00D17E59">
        <w:rPr>
          <w:rFonts w:ascii="Arial" w:eastAsia="Calibri" w:hAnsi="Arial" w:cs="Arial"/>
          <w:color w:val="000000" w:themeColor="text1"/>
          <w:sz w:val="22"/>
          <w:szCs w:val="22"/>
          <w:lang w:val="es-ES_tradnl"/>
        </w:rPr>
        <w:t xml:space="preserve"> y se prevén medidas de educación para el emprendimiento y la innovación</w:t>
      </w:r>
      <w:r w:rsidRPr="00D17E59">
        <w:rPr>
          <w:rStyle w:val="Refdenotaalpie"/>
          <w:rFonts w:ascii="Arial" w:eastAsia="Calibri" w:hAnsi="Arial" w:cs="Arial"/>
          <w:color w:val="000000" w:themeColor="text1"/>
          <w:sz w:val="22"/>
          <w:szCs w:val="22"/>
          <w:lang w:val="es-ES_tradnl"/>
        </w:rPr>
        <w:footnoteReference w:id="6"/>
      </w:r>
      <w:r w:rsidRPr="00D17E59">
        <w:rPr>
          <w:rFonts w:ascii="Arial" w:eastAsia="Calibri" w:hAnsi="Arial" w:cs="Arial"/>
          <w:color w:val="000000" w:themeColor="text1"/>
          <w:sz w:val="22"/>
          <w:szCs w:val="22"/>
          <w:lang w:val="es-ES_tradnl"/>
        </w:rPr>
        <w:t>.</w:t>
      </w:r>
    </w:p>
    <w:p w14:paraId="42EFB9AA" w14:textId="09F5CC67" w:rsidR="005C6397" w:rsidRPr="00D17E59" w:rsidRDefault="005C6397" w:rsidP="005C6397">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Como se indicó, parte de la Ley </w:t>
      </w:r>
      <w:r w:rsidR="001F0325" w:rsidRPr="00D17E59">
        <w:rPr>
          <w:rFonts w:ascii="Arial" w:eastAsia="Calibri" w:hAnsi="Arial" w:cs="Arial"/>
          <w:color w:val="000000" w:themeColor="text1"/>
          <w:sz w:val="22"/>
          <w:szCs w:val="22"/>
          <w:lang w:val="es-ES_tradnl"/>
        </w:rPr>
        <w:t>2069</w:t>
      </w:r>
      <w:r w:rsidRPr="00D17E59">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D17E59">
        <w:rPr>
          <w:rFonts w:ascii="Arial" w:eastAsia="Calibri" w:hAnsi="Arial" w:cs="Arial"/>
          <w:color w:val="000000" w:themeColor="text1"/>
          <w:sz w:val="22"/>
          <w:szCs w:val="22"/>
          <w:lang w:val="es-ES_tradnl"/>
        </w:rPr>
        <w:t>mipymes</w:t>
      </w:r>
      <w:proofErr w:type="spellEnd"/>
      <w:r w:rsidRPr="00D17E59">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D17E59">
        <w:rPr>
          <w:rFonts w:ascii="Arial" w:eastAsia="Calibri" w:hAnsi="Arial" w:cs="Arial"/>
          <w:color w:val="000000" w:themeColor="text1"/>
          <w:sz w:val="22"/>
          <w:szCs w:val="22"/>
          <w:lang w:val="es-ES_tradnl"/>
        </w:rPr>
        <w:t>mipymes</w:t>
      </w:r>
      <w:proofErr w:type="spellEnd"/>
      <w:r w:rsidRPr="00D17E59">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D17E59">
        <w:rPr>
          <w:rFonts w:ascii="Arial" w:eastAsia="Calibri" w:hAnsi="Arial" w:cs="Arial"/>
          <w:color w:val="000000" w:themeColor="text1"/>
          <w:sz w:val="22"/>
          <w:szCs w:val="22"/>
          <w:lang w:val="es-ES_tradnl"/>
        </w:rPr>
        <w:t>mipymes</w:t>
      </w:r>
      <w:proofErr w:type="spellEnd"/>
      <w:r w:rsidRPr="00D17E59">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w:t>
      </w:r>
      <w:r w:rsidR="00BA55E0" w:rsidRPr="00D17E59">
        <w:rPr>
          <w:rFonts w:ascii="Arial" w:eastAsia="Calibri" w:hAnsi="Arial" w:cs="Arial"/>
          <w:color w:val="000000" w:themeColor="text1"/>
          <w:sz w:val="22"/>
          <w:szCs w:val="22"/>
          <w:lang w:val="es-ES_tradnl"/>
        </w:rPr>
        <w:t>de los artículos 34 y</w:t>
      </w:r>
      <w:r w:rsidRPr="00D17E59">
        <w:rPr>
          <w:rFonts w:ascii="Arial" w:eastAsia="Calibri" w:hAnsi="Arial" w:cs="Arial"/>
          <w:color w:val="000000" w:themeColor="text1"/>
          <w:sz w:val="22"/>
          <w:szCs w:val="22"/>
          <w:lang w:val="es-ES_tradnl"/>
        </w:rPr>
        <w:t xml:space="preserve"> 35 de la referida Ley, a continuación se estudiará el contenido y alcance de dicha</w:t>
      </w:r>
      <w:r w:rsidR="00BA55E0" w:rsidRPr="00D17E59">
        <w:rPr>
          <w:rFonts w:ascii="Arial" w:eastAsia="Calibri" w:hAnsi="Arial" w:cs="Arial"/>
          <w:color w:val="000000" w:themeColor="text1"/>
          <w:sz w:val="22"/>
          <w:szCs w:val="22"/>
          <w:lang w:val="es-ES_tradnl"/>
        </w:rPr>
        <w:t>s</w:t>
      </w:r>
      <w:r w:rsidRPr="00D17E59">
        <w:rPr>
          <w:rFonts w:ascii="Arial" w:eastAsia="Calibri" w:hAnsi="Arial" w:cs="Arial"/>
          <w:color w:val="000000" w:themeColor="text1"/>
          <w:sz w:val="22"/>
          <w:szCs w:val="22"/>
          <w:lang w:val="es-ES_tradnl"/>
        </w:rPr>
        <w:t xml:space="preserve"> norma</w:t>
      </w:r>
      <w:r w:rsidR="00BA55E0" w:rsidRPr="00D17E59">
        <w:rPr>
          <w:rFonts w:ascii="Arial" w:eastAsia="Calibri" w:hAnsi="Arial" w:cs="Arial"/>
          <w:color w:val="000000" w:themeColor="text1"/>
          <w:sz w:val="22"/>
          <w:szCs w:val="22"/>
          <w:lang w:val="es-ES_tradnl"/>
        </w:rPr>
        <w:t>s</w:t>
      </w:r>
      <w:r w:rsidRPr="00D17E59">
        <w:rPr>
          <w:rFonts w:ascii="Arial" w:eastAsia="Calibri" w:hAnsi="Arial" w:cs="Arial"/>
          <w:color w:val="000000" w:themeColor="text1"/>
          <w:sz w:val="22"/>
          <w:szCs w:val="22"/>
          <w:lang w:val="es-ES_tradnl"/>
        </w:rPr>
        <w:t xml:space="preserve">.  </w:t>
      </w:r>
    </w:p>
    <w:p w14:paraId="60078656" w14:textId="20CE103E" w:rsidR="005C6397" w:rsidRPr="00D17E59" w:rsidRDefault="005C6397" w:rsidP="00271230">
      <w:pPr>
        <w:spacing w:line="276" w:lineRule="auto"/>
        <w:jc w:val="both"/>
        <w:rPr>
          <w:rFonts w:ascii="Arial" w:eastAsia="Calibri" w:hAnsi="Arial" w:cs="Arial"/>
          <w:color w:val="000000" w:themeColor="text1"/>
          <w:sz w:val="22"/>
          <w:szCs w:val="22"/>
          <w:lang w:val="es-ES_tradnl"/>
        </w:rPr>
      </w:pPr>
    </w:p>
    <w:p w14:paraId="1C51DF3C" w14:textId="530BC4F6" w:rsidR="00A04532" w:rsidRPr="00D17E59" w:rsidRDefault="00A04532" w:rsidP="00271230">
      <w:pPr>
        <w:spacing w:line="276" w:lineRule="auto"/>
        <w:jc w:val="both"/>
        <w:rPr>
          <w:rFonts w:ascii="Arial" w:eastAsia="Calibri" w:hAnsi="Arial" w:cs="Arial"/>
          <w:b/>
          <w:bCs/>
          <w:color w:val="000000" w:themeColor="text1"/>
          <w:sz w:val="22"/>
          <w:szCs w:val="22"/>
          <w:lang w:val="es-ES_tradnl"/>
        </w:rPr>
      </w:pPr>
      <w:r w:rsidRPr="00D17E59">
        <w:rPr>
          <w:rFonts w:ascii="Arial" w:eastAsia="Calibri" w:hAnsi="Arial" w:cs="Arial"/>
          <w:b/>
          <w:bCs/>
          <w:color w:val="000000" w:themeColor="text1"/>
          <w:sz w:val="22"/>
          <w:szCs w:val="22"/>
          <w:lang w:val="es-ES_tradnl"/>
        </w:rPr>
        <w:t xml:space="preserve">2.2. </w:t>
      </w:r>
      <w:r w:rsidR="0070045E" w:rsidRPr="00D17E59">
        <w:rPr>
          <w:rFonts w:ascii="Arial" w:eastAsia="Calibri" w:hAnsi="Arial" w:cs="Arial"/>
          <w:b/>
          <w:bCs/>
          <w:color w:val="000000" w:themeColor="text1"/>
          <w:sz w:val="22"/>
          <w:szCs w:val="22"/>
          <w:lang w:val="es-ES_tradnl"/>
        </w:rPr>
        <w:t xml:space="preserve">Nueva regulación de la promoción </w:t>
      </w:r>
      <w:r w:rsidR="008C2F63" w:rsidRPr="00D17E59">
        <w:rPr>
          <w:rFonts w:ascii="Arial" w:eastAsia="Calibri" w:hAnsi="Arial" w:cs="Arial"/>
          <w:b/>
          <w:bCs/>
          <w:color w:val="000000" w:themeColor="text1"/>
          <w:sz w:val="22"/>
          <w:szCs w:val="22"/>
          <w:lang w:val="es-ES_tradnl"/>
        </w:rPr>
        <w:t>del</w:t>
      </w:r>
      <w:r w:rsidR="0070045E" w:rsidRPr="00D17E59">
        <w:rPr>
          <w:rFonts w:ascii="Arial" w:eastAsia="Calibri" w:hAnsi="Arial" w:cs="Arial"/>
          <w:b/>
          <w:bCs/>
          <w:color w:val="000000" w:themeColor="text1"/>
          <w:sz w:val="22"/>
          <w:szCs w:val="22"/>
          <w:lang w:val="es-ES_tradnl"/>
        </w:rPr>
        <w:t xml:space="preserve"> desarrollo en la contratación estatal</w:t>
      </w:r>
      <w:r w:rsidRPr="00D17E59">
        <w:rPr>
          <w:rFonts w:ascii="Arial" w:eastAsia="Calibri" w:hAnsi="Arial" w:cs="Arial"/>
          <w:b/>
          <w:bCs/>
          <w:color w:val="000000" w:themeColor="text1"/>
          <w:sz w:val="22"/>
          <w:szCs w:val="22"/>
          <w:lang w:val="es-ES_tradnl"/>
        </w:rPr>
        <w:t xml:space="preserve"> en el artículo 34 de la Ley </w:t>
      </w:r>
      <w:r w:rsidR="001F0325" w:rsidRPr="00D17E59">
        <w:rPr>
          <w:rFonts w:ascii="Arial" w:eastAsia="Calibri" w:hAnsi="Arial" w:cs="Arial"/>
          <w:b/>
          <w:bCs/>
          <w:color w:val="000000" w:themeColor="text1"/>
          <w:sz w:val="22"/>
          <w:szCs w:val="22"/>
          <w:lang w:val="es-ES_tradnl"/>
        </w:rPr>
        <w:t>2069</w:t>
      </w:r>
      <w:r w:rsidRPr="00D17E59">
        <w:rPr>
          <w:rFonts w:ascii="Arial" w:eastAsia="Calibri" w:hAnsi="Arial" w:cs="Arial"/>
          <w:b/>
          <w:bCs/>
          <w:color w:val="000000" w:themeColor="text1"/>
          <w:sz w:val="22"/>
          <w:szCs w:val="22"/>
          <w:lang w:val="es-ES_tradnl"/>
        </w:rPr>
        <w:t xml:space="preserve"> de 2020. </w:t>
      </w:r>
      <w:r w:rsidR="008C2F63" w:rsidRPr="00D17E59">
        <w:rPr>
          <w:rFonts w:ascii="Arial" w:eastAsia="Calibri" w:hAnsi="Arial" w:cs="Arial"/>
          <w:b/>
          <w:bCs/>
          <w:color w:val="000000" w:themeColor="text1"/>
          <w:sz w:val="22"/>
          <w:szCs w:val="22"/>
          <w:lang w:val="es-ES_tradnl"/>
        </w:rPr>
        <w:t>Subrogación del artículo 12 de la Ley 1150 de 2007</w:t>
      </w:r>
    </w:p>
    <w:p w14:paraId="0D50FD63" w14:textId="23BCDBD8" w:rsidR="00A04532" w:rsidRPr="00D17E59" w:rsidRDefault="00A04532" w:rsidP="00271230">
      <w:pPr>
        <w:spacing w:line="276" w:lineRule="auto"/>
        <w:jc w:val="both"/>
        <w:rPr>
          <w:rFonts w:ascii="Arial" w:eastAsia="Calibri" w:hAnsi="Arial" w:cs="Arial"/>
          <w:color w:val="000000" w:themeColor="text1"/>
          <w:sz w:val="22"/>
          <w:szCs w:val="22"/>
          <w:lang w:val="es-ES_tradnl"/>
        </w:rPr>
      </w:pPr>
    </w:p>
    <w:p w14:paraId="645CC861" w14:textId="13B87C8C" w:rsidR="009A2B60" w:rsidRPr="00D17E59" w:rsidRDefault="00E3212A" w:rsidP="00271230">
      <w:pPr>
        <w:spacing w:line="276" w:lineRule="auto"/>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El artículo 34 de la Ley 2069 de 2020 </w:t>
      </w:r>
      <w:r w:rsidR="002A3F66" w:rsidRPr="00D17E59">
        <w:rPr>
          <w:rFonts w:ascii="Arial" w:eastAsia="Calibri" w:hAnsi="Arial" w:cs="Arial"/>
          <w:color w:val="000000" w:themeColor="text1"/>
          <w:sz w:val="22"/>
          <w:szCs w:val="22"/>
          <w:lang w:val="es-ES_tradnl"/>
        </w:rPr>
        <w:t>establece</w:t>
      </w:r>
      <w:r w:rsidR="0063247E" w:rsidRPr="00D17E59">
        <w:rPr>
          <w:rFonts w:ascii="Arial" w:eastAsia="Calibri" w:hAnsi="Arial" w:cs="Arial"/>
          <w:color w:val="000000" w:themeColor="text1"/>
          <w:sz w:val="22"/>
          <w:szCs w:val="22"/>
          <w:lang w:val="es-ES_tradnl"/>
        </w:rPr>
        <w:t xml:space="preserve"> nuevas reglas sobre </w:t>
      </w:r>
      <w:r w:rsidR="00F87F37" w:rsidRPr="00D17E59">
        <w:rPr>
          <w:rFonts w:ascii="Arial" w:eastAsia="Calibri" w:hAnsi="Arial" w:cs="Arial"/>
          <w:color w:val="000000" w:themeColor="text1"/>
          <w:sz w:val="22"/>
          <w:szCs w:val="22"/>
          <w:lang w:val="es-ES_tradnl"/>
        </w:rPr>
        <w:t xml:space="preserve">la </w:t>
      </w:r>
      <w:r w:rsidR="0063247E" w:rsidRPr="00D17E59">
        <w:rPr>
          <w:rFonts w:ascii="Arial" w:eastAsia="Calibri" w:hAnsi="Arial" w:cs="Arial"/>
          <w:color w:val="000000" w:themeColor="text1"/>
          <w:sz w:val="22"/>
          <w:szCs w:val="22"/>
          <w:lang w:val="es-ES_tradnl"/>
        </w:rPr>
        <w:t>promoción al desarrollo en la contratación estatal</w:t>
      </w:r>
      <w:r w:rsidR="000F55A8" w:rsidRPr="00D17E59">
        <w:rPr>
          <w:rFonts w:ascii="Arial" w:eastAsia="Calibri" w:hAnsi="Arial" w:cs="Arial"/>
          <w:color w:val="000000" w:themeColor="text1"/>
          <w:sz w:val="22"/>
          <w:szCs w:val="22"/>
          <w:lang w:val="es-ES_tradnl"/>
        </w:rPr>
        <w:t xml:space="preserve">. Concretamente, modifica </w:t>
      </w:r>
      <w:r w:rsidR="00D500ED" w:rsidRPr="00D17E59">
        <w:rPr>
          <w:rFonts w:ascii="Arial" w:eastAsia="Calibri" w:hAnsi="Arial" w:cs="Arial"/>
          <w:color w:val="000000" w:themeColor="text1"/>
          <w:sz w:val="22"/>
          <w:szCs w:val="22"/>
          <w:lang w:val="es-ES_tradnl"/>
        </w:rPr>
        <w:t>el contenido del artículo 12 de la Ley 1150 de 2007</w:t>
      </w:r>
      <w:r w:rsidR="00903C57" w:rsidRPr="00D17E59">
        <w:rPr>
          <w:rStyle w:val="Refdenotaalpie"/>
          <w:rFonts w:ascii="Arial" w:eastAsia="Calibri" w:hAnsi="Arial" w:cs="Arial"/>
          <w:color w:val="000000" w:themeColor="text1"/>
          <w:sz w:val="22"/>
          <w:szCs w:val="22"/>
          <w:lang w:val="es-ES_tradnl"/>
        </w:rPr>
        <w:footnoteReference w:id="7"/>
      </w:r>
      <w:r w:rsidR="007E7E80" w:rsidRPr="00D17E59">
        <w:rPr>
          <w:rFonts w:ascii="Arial" w:eastAsia="Calibri" w:hAnsi="Arial" w:cs="Arial"/>
          <w:color w:val="000000" w:themeColor="text1"/>
          <w:sz w:val="22"/>
          <w:szCs w:val="22"/>
          <w:lang w:val="es-ES_tradnl"/>
        </w:rPr>
        <w:t xml:space="preserve">, prescribiendo </w:t>
      </w:r>
      <w:r w:rsidR="00D11687" w:rsidRPr="00D17E59">
        <w:rPr>
          <w:rFonts w:ascii="Arial" w:eastAsia="Calibri" w:hAnsi="Arial" w:cs="Arial"/>
          <w:color w:val="000000" w:themeColor="text1"/>
          <w:sz w:val="22"/>
          <w:szCs w:val="22"/>
          <w:lang w:val="es-ES_tradnl"/>
        </w:rPr>
        <w:t>lo que se indica a continuación</w:t>
      </w:r>
      <w:r w:rsidR="007E7E80" w:rsidRPr="00D17E59">
        <w:rPr>
          <w:rFonts w:ascii="Arial" w:eastAsia="Calibri" w:hAnsi="Arial" w:cs="Arial"/>
          <w:color w:val="000000" w:themeColor="text1"/>
          <w:sz w:val="22"/>
          <w:szCs w:val="22"/>
          <w:lang w:val="es-ES_tradnl"/>
        </w:rPr>
        <w:t>:</w:t>
      </w:r>
    </w:p>
    <w:p w14:paraId="04501723" w14:textId="7DE0E9FC" w:rsidR="007E7E80" w:rsidRPr="00D17E59" w:rsidRDefault="007E7E80" w:rsidP="009A2B60">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lastRenderedPageBreak/>
        <w:t xml:space="preserve">i) </w:t>
      </w:r>
      <w:r w:rsidR="00741B0C" w:rsidRPr="00D17E59">
        <w:rPr>
          <w:rFonts w:ascii="Arial" w:eastAsia="Calibri" w:hAnsi="Arial" w:cs="Arial"/>
          <w:color w:val="000000" w:themeColor="text1"/>
          <w:sz w:val="22"/>
          <w:szCs w:val="22"/>
          <w:lang w:val="es-ES_tradnl"/>
        </w:rPr>
        <w:t xml:space="preserve">Encomienda, con carácter imperativo, al gobierno nacional </w:t>
      </w:r>
      <w:r w:rsidR="00255AD7" w:rsidRPr="00D17E59">
        <w:rPr>
          <w:rFonts w:ascii="Arial" w:eastAsia="Calibri" w:hAnsi="Arial" w:cs="Arial"/>
          <w:color w:val="000000" w:themeColor="text1"/>
          <w:sz w:val="22"/>
          <w:szCs w:val="22"/>
          <w:lang w:val="es-ES_tradnl"/>
        </w:rPr>
        <w:t>definir</w:t>
      </w:r>
      <w:r w:rsidR="00741B0C" w:rsidRPr="00D17E59">
        <w:rPr>
          <w:rFonts w:ascii="Arial" w:eastAsia="Calibri" w:hAnsi="Arial" w:cs="Arial"/>
          <w:color w:val="000000" w:themeColor="text1"/>
          <w:sz w:val="22"/>
          <w:szCs w:val="22"/>
          <w:lang w:val="es-ES_tradnl"/>
        </w:rPr>
        <w:t xml:space="preserve"> </w:t>
      </w:r>
      <w:r w:rsidR="00C2186B" w:rsidRPr="00D17E59">
        <w:rPr>
          <w:rFonts w:ascii="Arial" w:eastAsia="Calibri" w:hAnsi="Arial" w:cs="Arial"/>
          <w:color w:val="000000" w:themeColor="text1"/>
          <w:sz w:val="22"/>
          <w:szCs w:val="22"/>
          <w:lang w:val="es-ES_tradnl"/>
        </w:rPr>
        <w:t>las condiciones y los montos para que las entidades estatales</w:t>
      </w:r>
      <w:r w:rsidR="003F02A2" w:rsidRPr="00D17E59">
        <w:rPr>
          <w:rFonts w:ascii="Arial" w:eastAsia="Calibri" w:hAnsi="Arial" w:cs="Arial"/>
          <w:color w:val="000000" w:themeColor="text1"/>
          <w:sz w:val="22"/>
          <w:szCs w:val="22"/>
          <w:lang w:val="es-ES_tradnl"/>
        </w:rPr>
        <w:t xml:space="preserve"> –cualquiera sea su régimen contractual–</w:t>
      </w:r>
      <w:r w:rsidR="003D4F41" w:rsidRPr="00D17E59">
        <w:rPr>
          <w:rFonts w:ascii="Arial" w:eastAsia="Calibri" w:hAnsi="Arial" w:cs="Arial"/>
          <w:color w:val="000000" w:themeColor="text1"/>
          <w:sz w:val="22"/>
          <w:szCs w:val="22"/>
          <w:lang w:val="es-ES_tradnl"/>
        </w:rPr>
        <w:t>, los patrimonios autónomos constituidos por aquellas y los particulares que administren recursos públicos</w:t>
      </w:r>
      <w:r w:rsidR="003F02A2" w:rsidRPr="00D17E59">
        <w:rPr>
          <w:rFonts w:ascii="Arial" w:eastAsia="Calibri" w:hAnsi="Arial" w:cs="Arial"/>
          <w:color w:val="000000" w:themeColor="text1"/>
          <w:sz w:val="22"/>
          <w:szCs w:val="22"/>
          <w:lang w:val="es-ES_tradnl"/>
        </w:rPr>
        <w:t xml:space="preserve">, efectúen convocatorias limitadas a </w:t>
      </w:r>
      <w:proofErr w:type="spellStart"/>
      <w:r w:rsidR="00AA47FA" w:rsidRPr="00D17E59">
        <w:rPr>
          <w:rFonts w:ascii="Arial" w:eastAsia="Calibri" w:hAnsi="Arial" w:cs="Arial"/>
          <w:color w:val="000000" w:themeColor="text1"/>
          <w:sz w:val="22"/>
          <w:szCs w:val="22"/>
          <w:lang w:val="es-ES_tradnl"/>
        </w:rPr>
        <w:t>m</w:t>
      </w:r>
      <w:r w:rsidR="003F02A2" w:rsidRPr="00D17E59">
        <w:rPr>
          <w:rFonts w:ascii="Arial" w:eastAsia="Calibri" w:hAnsi="Arial" w:cs="Arial"/>
          <w:color w:val="000000" w:themeColor="text1"/>
          <w:sz w:val="22"/>
          <w:szCs w:val="22"/>
          <w:lang w:val="es-ES_tradnl"/>
        </w:rPr>
        <w:t>ipymes</w:t>
      </w:r>
      <w:proofErr w:type="spellEnd"/>
      <w:r w:rsidR="00206F4D" w:rsidRPr="00D17E59">
        <w:rPr>
          <w:rFonts w:ascii="Arial" w:eastAsia="Calibri" w:hAnsi="Arial" w:cs="Arial"/>
          <w:color w:val="000000" w:themeColor="text1"/>
          <w:sz w:val="22"/>
          <w:szCs w:val="22"/>
          <w:lang w:val="es-ES_tradnl"/>
        </w:rPr>
        <w:t xml:space="preserve"> en los procesos de contratación.</w:t>
      </w:r>
      <w:r w:rsidR="0082520B" w:rsidRPr="00D17E59">
        <w:rPr>
          <w:rFonts w:ascii="Arial" w:eastAsia="Calibri" w:hAnsi="Arial" w:cs="Arial"/>
          <w:color w:val="000000" w:themeColor="text1"/>
          <w:sz w:val="22"/>
          <w:szCs w:val="22"/>
          <w:lang w:val="es-ES_tradnl"/>
        </w:rPr>
        <w:t xml:space="preserve"> </w:t>
      </w:r>
      <w:r w:rsidR="00DC50AA" w:rsidRPr="00D17E59">
        <w:rPr>
          <w:rFonts w:ascii="Arial" w:eastAsia="Calibri" w:hAnsi="Arial" w:cs="Arial"/>
          <w:color w:val="000000" w:themeColor="text1"/>
          <w:sz w:val="22"/>
          <w:szCs w:val="22"/>
          <w:lang w:val="es-ES_tradnl"/>
        </w:rPr>
        <w:t xml:space="preserve">Y agrega que estas convocatorias se pueden realizar </w:t>
      </w:r>
      <w:r w:rsidR="003D65E0" w:rsidRPr="00D17E59">
        <w:rPr>
          <w:rFonts w:ascii="Arial" w:eastAsia="Calibri" w:hAnsi="Arial" w:cs="Arial"/>
          <w:color w:val="000000" w:themeColor="text1"/>
          <w:sz w:val="22"/>
          <w:szCs w:val="22"/>
          <w:lang w:val="es-ES_tradnl"/>
        </w:rPr>
        <w:t>también en el ámbito municipal o departamental en el que se ejecute el contrato.</w:t>
      </w:r>
      <w:r w:rsidR="00DC50AA" w:rsidRPr="00D17E59">
        <w:rPr>
          <w:rFonts w:ascii="Arial" w:eastAsia="Calibri" w:hAnsi="Arial" w:cs="Arial"/>
          <w:color w:val="000000" w:themeColor="text1"/>
          <w:sz w:val="22"/>
          <w:szCs w:val="22"/>
          <w:lang w:val="es-ES_tradnl"/>
        </w:rPr>
        <w:t xml:space="preserve"> </w:t>
      </w:r>
    </w:p>
    <w:p w14:paraId="3B240066" w14:textId="1ADE6963" w:rsidR="00AA47FA" w:rsidRPr="00D17E59" w:rsidRDefault="00206F4D" w:rsidP="009A2B60">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ii) Indica que</w:t>
      </w:r>
      <w:r w:rsidR="005E665F" w:rsidRPr="00D17E59">
        <w:rPr>
          <w:rFonts w:ascii="Arial" w:eastAsia="Calibri" w:hAnsi="Arial" w:cs="Arial"/>
          <w:color w:val="000000" w:themeColor="text1"/>
          <w:sz w:val="22"/>
          <w:szCs w:val="22"/>
          <w:lang w:val="es-ES_tradnl"/>
        </w:rPr>
        <w:t xml:space="preserve"> dichas convocatorias se deben efectuar –y así lo deberá reglamentar el gobierno nacional–</w:t>
      </w:r>
      <w:r w:rsidR="009A2B60" w:rsidRPr="00D17E59">
        <w:rPr>
          <w:rFonts w:ascii="Arial" w:eastAsia="Calibri" w:hAnsi="Arial" w:cs="Arial"/>
          <w:color w:val="000000" w:themeColor="text1"/>
          <w:sz w:val="22"/>
          <w:szCs w:val="22"/>
          <w:lang w:val="es-ES_tradnl"/>
        </w:rPr>
        <w:t xml:space="preserve"> siempre </w:t>
      </w:r>
      <w:r w:rsidR="00D22BDD" w:rsidRPr="00D17E59">
        <w:rPr>
          <w:rFonts w:ascii="Arial" w:eastAsia="Calibri" w:hAnsi="Arial" w:cs="Arial"/>
          <w:color w:val="000000" w:themeColor="text1"/>
          <w:sz w:val="22"/>
          <w:szCs w:val="22"/>
          <w:lang w:val="es-ES_tradnl"/>
        </w:rPr>
        <w:t>y cuando,</w:t>
      </w:r>
      <w:r w:rsidR="009A2B60" w:rsidRPr="00D17E59">
        <w:rPr>
          <w:rFonts w:ascii="Arial" w:eastAsia="Calibri" w:hAnsi="Arial" w:cs="Arial"/>
          <w:color w:val="000000" w:themeColor="text1"/>
          <w:sz w:val="22"/>
          <w:szCs w:val="22"/>
          <w:lang w:val="es-ES_tradnl"/>
        </w:rPr>
        <w:t xml:space="preserve"> antes del acto administrativo de apertura del proceso de selección</w:t>
      </w:r>
      <w:r w:rsidR="00D22BDD" w:rsidRPr="00D17E59">
        <w:rPr>
          <w:rFonts w:ascii="Arial" w:eastAsia="Calibri" w:hAnsi="Arial" w:cs="Arial"/>
          <w:color w:val="000000" w:themeColor="text1"/>
          <w:sz w:val="22"/>
          <w:szCs w:val="22"/>
          <w:lang w:val="es-ES_tradnl"/>
        </w:rPr>
        <w:t>,</w:t>
      </w:r>
      <w:r w:rsidR="009A2B60" w:rsidRPr="00D17E59">
        <w:rPr>
          <w:rFonts w:ascii="Arial" w:eastAsia="Calibri" w:hAnsi="Arial" w:cs="Arial"/>
          <w:color w:val="000000" w:themeColor="text1"/>
          <w:sz w:val="22"/>
          <w:szCs w:val="22"/>
          <w:lang w:val="es-ES_tradnl"/>
        </w:rPr>
        <w:t xml:space="preserve"> </w:t>
      </w:r>
      <w:r w:rsidR="00AA47FA" w:rsidRPr="00D17E59">
        <w:rPr>
          <w:rFonts w:ascii="Arial" w:eastAsia="Calibri" w:hAnsi="Arial" w:cs="Arial"/>
          <w:color w:val="000000" w:themeColor="text1"/>
          <w:sz w:val="22"/>
          <w:szCs w:val="22"/>
          <w:lang w:val="es-ES_tradnl"/>
        </w:rPr>
        <w:t>por lo menos dos</w:t>
      </w:r>
      <w:r w:rsidR="00857638" w:rsidRPr="00D17E59">
        <w:rPr>
          <w:rFonts w:ascii="Arial" w:eastAsia="Calibri" w:hAnsi="Arial" w:cs="Arial"/>
          <w:color w:val="000000" w:themeColor="text1"/>
          <w:sz w:val="22"/>
          <w:szCs w:val="22"/>
          <w:lang w:val="es-ES_tradnl"/>
        </w:rPr>
        <w:t xml:space="preserve"> (2)</w:t>
      </w:r>
      <w:r w:rsidR="00AA47FA" w:rsidRPr="00D17E59">
        <w:rPr>
          <w:rFonts w:ascii="Arial" w:eastAsia="Calibri" w:hAnsi="Arial" w:cs="Arial"/>
          <w:color w:val="000000" w:themeColor="text1"/>
          <w:sz w:val="22"/>
          <w:szCs w:val="22"/>
          <w:lang w:val="es-ES_tradnl"/>
        </w:rPr>
        <w:t xml:space="preserve"> </w:t>
      </w:r>
      <w:proofErr w:type="spellStart"/>
      <w:r w:rsidR="00AA47FA" w:rsidRPr="00D17E59">
        <w:rPr>
          <w:rFonts w:ascii="Arial" w:eastAsia="Calibri" w:hAnsi="Arial" w:cs="Arial"/>
          <w:color w:val="000000" w:themeColor="text1"/>
          <w:sz w:val="22"/>
          <w:szCs w:val="22"/>
          <w:lang w:val="es-ES_tradnl"/>
        </w:rPr>
        <w:t>mipymes</w:t>
      </w:r>
      <w:proofErr w:type="spellEnd"/>
      <w:r w:rsidR="00AA47FA" w:rsidRPr="00D17E59">
        <w:rPr>
          <w:rFonts w:ascii="Arial" w:eastAsia="Calibri" w:hAnsi="Arial" w:cs="Arial"/>
          <w:color w:val="000000" w:themeColor="text1"/>
          <w:sz w:val="22"/>
          <w:szCs w:val="22"/>
          <w:lang w:val="es-ES_tradnl"/>
        </w:rPr>
        <w:t xml:space="preserve"> hayan manifestado su interés.</w:t>
      </w:r>
    </w:p>
    <w:p w14:paraId="065EDECD" w14:textId="7D4261AC" w:rsidR="00597516" w:rsidRPr="00D17E59" w:rsidRDefault="00AA47FA" w:rsidP="009A2B60">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iii) Determina que uno de los parámetros que deberá tener en cuenta el gobierno nacional para </w:t>
      </w:r>
      <w:r w:rsidR="001858C9" w:rsidRPr="00D17E59">
        <w:rPr>
          <w:rFonts w:ascii="Arial" w:eastAsia="Calibri" w:hAnsi="Arial" w:cs="Arial"/>
          <w:color w:val="000000" w:themeColor="text1"/>
          <w:sz w:val="22"/>
          <w:szCs w:val="22"/>
          <w:lang w:val="es-ES_tradnl"/>
        </w:rPr>
        <w:t>reglamentar</w:t>
      </w:r>
      <w:r w:rsidRPr="00D17E59">
        <w:rPr>
          <w:rFonts w:ascii="Arial" w:eastAsia="Calibri" w:hAnsi="Arial" w:cs="Arial"/>
          <w:color w:val="000000" w:themeColor="text1"/>
          <w:sz w:val="22"/>
          <w:szCs w:val="22"/>
          <w:lang w:val="es-ES_tradnl"/>
        </w:rPr>
        <w:t xml:space="preserve"> la mate</w:t>
      </w:r>
      <w:r w:rsidR="00400A1B" w:rsidRPr="00D17E59">
        <w:rPr>
          <w:rFonts w:ascii="Arial" w:eastAsia="Calibri" w:hAnsi="Arial" w:cs="Arial"/>
          <w:color w:val="000000" w:themeColor="text1"/>
          <w:sz w:val="22"/>
          <w:szCs w:val="22"/>
          <w:lang w:val="es-ES_tradnl"/>
        </w:rPr>
        <w:t xml:space="preserve">ria </w:t>
      </w:r>
      <w:r w:rsidR="006A6D7B" w:rsidRPr="00D17E59">
        <w:rPr>
          <w:rFonts w:ascii="Arial" w:eastAsia="Calibri" w:hAnsi="Arial" w:cs="Arial"/>
          <w:color w:val="000000" w:themeColor="text1"/>
          <w:sz w:val="22"/>
          <w:szCs w:val="22"/>
          <w:lang w:val="es-ES_tradnl"/>
        </w:rPr>
        <w:t>es el cumplimiento de</w:t>
      </w:r>
      <w:r w:rsidR="00400A1B" w:rsidRPr="00D17E59">
        <w:rPr>
          <w:rFonts w:ascii="Arial" w:eastAsia="Calibri" w:hAnsi="Arial" w:cs="Arial"/>
          <w:color w:val="000000" w:themeColor="text1"/>
          <w:sz w:val="22"/>
          <w:szCs w:val="22"/>
          <w:lang w:val="es-ES_tradnl"/>
        </w:rPr>
        <w:t xml:space="preserve"> los compromisos internacionales vigentes. Es decir que se deberán considerar las estipulaciones</w:t>
      </w:r>
      <w:r w:rsidR="00597516" w:rsidRPr="00D17E59">
        <w:rPr>
          <w:rFonts w:ascii="Arial" w:eastAsia="Calibri" w:hAnsi="Arial" w:cs="Arial"/>
          <w:color w:val="000000" w:themeColor="text1"/>
          <w:sz w:val="22"/>
          <w:szCs w:val="22"/>
          <w:lang w:val="es-ES_tradnl"/>
        </w:rPr>
        <w:t xml:space="preserve"> contenidas en los tratados comerciales suscritos entre Colombia y otros Estados.</w:t>
      </w:r>
    </w:p>
    <w:p w14:paraId="7C504D48" w14:textId="74451E22" w:rsidR="00D175B2" w:rsidRPr="00D17E59" w:rsidRDefault="00597516" w:rsidP="009A2B60">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iv)</w:t>
      </w:r>
      <w:r w:rsidR="00AA31C5" w:rsidRPr="00D17E59">
        <w:rPr>
          <w:rFonts w:ascii="Arial" w:eastAsia="Calibri" w:hAnsi="Arial" w:cs="Arial"/>
          <w:color w:val="000000" w:themeColor="text1"/>
          <w:sz w:val="22"/>
          <w:szCs w:val="22"/>
          <w:lang w:val="es-ES_tradnl"/>
        </w:rPr>
        <w:t xml:space="preserve"> </w:t>
      </w:r>
      <w:r w:rsidR="00244FC3" w:rsidRPr="00D17E59">
        <w:rPr>
          <w:rFonts w:ascii="Arial" w:eastAsia="Calibri" w:hAnsi="Arial" w:cs="Arial"/>
          <w:color w:val="000000" w:themeColor="text1"/>
          <w:sz w:val="22"/>
          <w:szCs w:val="22"/>
          <w:lang w:val="es-ES_tradnl"/>
        </w:rPr>
        <w:t>Establece que</w:t>
      </w:r>
      <w:r w:rsidR="001858C9" w:rsidRPr="00D17E59">
        <w:rPr>
          <w:rFonts w:ascii="Arial" w:eastAsia="Calibri" w:hAnsi="Arial" w:cs="Arial"/>
          <w:color w:val="000000" w:themeColor="text1"/>
          <w:sz w:val="22"/>
          <w:szCs w:val="22"/>
          <w:lang w:val="es-ES_tradnl"/>
        </w:rPr>
        <w:t>,</w:t>
      </w:r>
      <w:r w:rsidR="00244FC3" w:rsidRPr="00D17E59">
        <w:rPr>
          <w:rFonts w:ascii="Arial" w:eastAsia="Calibri" w:hAnsi="Arial" w:cs="Arial"/>
          <w:color w:val="000000" w:themeColor="text1"/>
          <w:sz w:val="22"/>
          <w:szCs w:val="22"/>
          <w:lang w:val="es-ES_tradnl"/>
        </w:rPr>
        <w:t xml:space="preserve"> en el reglamento</w:t>
      </w:r>
      <w:r w:rsidR="001858C9" w:rsidRPr="00D17E59">
        <w:rPr>
          <w:rFonts w:ascii="Arial" w:eastAsia="Calibri" w:hAnsi="Arial" w:cs="Arial"/>
          <w:color w:val="000000" w:themeColor="text1"/>
          <w:sz w:val="22"/>
          <w:szCs w:val="22"/>
          <w:lang w:val="es-ES_tradnl"/>
        </w:rPr>
        <w:t>,</w:t>
      </w:r>
      <w:r w:rsidR="00244FC3" w:rsidRPr="00D17E59">
        <w:rPr>
          <w:rFonts w:ascii="Arial" w:eastAsia="Calibri" w:hAnsi="Arial" w:cs="Arial"/>
          <w:color w:val="000000" w:themeColor="text1"/>
          <w:sz w:val="22"/>
          <w:szCs w:val="22"/>
          <w:lang w:val="es-ES_tradnl"/>
        </w:rPr>
        <w:t xml:space="preserve"> el gobierno nacional podría</w:t>
      </w:r>
      <w:r w:rsidR="00D175B2" w:rsidRPr="00D17E59">
        <w:rPr>
          <w:rFonts w:ascii="Arial" w:eastAsia="Calibri" w:hAnsi="Arial" w:cs="Arial"/>
          <w:color w:val="000000" w:themeColor="text1"/>
          <w:sz w:val="22"/>
          <w:szCs w:val="22"/>
          <w:lang w:val="es-ES_tradnl"/>
        </w:rPr>
        <w:t xml:space="preserve"> establecer condiciones preferenciales para los bienes y servicios producidos por las </w:t>
      </w:r>
      <w:proofErr w:type="spellStart"/>
      <w:r w:rsidR="00D175B2" w:rsidRPr="00D17E59">
        <w:rPr>
          <w:rFonts w:ascii="Arial" w:eastAsia="Calibri" w:hAnsi="Arial" w:cs="Arial"/>
          <w:color w:val="000000" w:themeColor="text1"/>
          <w:sz w:val="22"/>
          <w:szCs w:val="22"/>
          <w:lang w:val="es-ES_tradnl"/>
        </w:rPr>
        <w:t>mipymes</w:t>
      </w:r>
      <w:proofErr w:type="spellEnd"/>
      <w:r w:rsidR="00D26DE7" w:rsidRPr="00D17E59">
        <w:rPr>
          <w:rFonts w:ascii="Arial" w:eastAsia="Calibri" w:hAnsi="Arial" w:cs="Arial"/>
          <w:color w:val="000000" w:themeColor="text1"/>
          <w:sz w:val="22"/>
          <w:szCs w:val="22"/>
          <w:lang w:val="es-ES_tradnl"/>
        </w:rPr>
        <w:t xml:space="preserve">, sin contrariar los </w:t>
      </w:r>
      <w:r w:rsidR="00AA31C5" w:rsidRPr="00D17E59">
        <w:rPr>
          <w:rFonts w:ascii="Arial" w:eastAsia="Calibri" w:hAnsi="Arial" w:cs="Arial"/>
          <w:color w:val="000000" w:themeColor="text1"/>
          <w:sz w:val="22"/>
          <w:szCs w:val="22"/>
          <w:lang w:val="es-ES_tradnl"/>
        </w:rPr>
        <w:t>compromisos internacionales</w:t>
      </w:r>
      <w:r w:rsidR="00D26DE7" w:rsidRPr="00D17E59">
        <w:rPr>
          <w:rFonts w:ascii="Arial" w:eastAsia="Calibri" w:hAnsi="Arial" w:cs="Arial"/>
          <w:color w:val="000000" w:themeColor="text1"/>
          <w:sz w:val="22"/>
          <w:szCs w:val="22"/>
          <w:lang w:val="es-ES_tradnl"/>
        </w:rPr>
        <w:t xml:space="preserve"> vigentes.</w:t>
      </w:r>
    </w:p>
    <w:p w14:paraId="45F36E6C" w14:textId="3D4CFBCB" w:rsidR="005A1F51" w:rsidRPr="00D17E59" w:rsidRDefault="00D175B2" w:rsidP="009A2B60">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v) </w:t>
      </w:r>
      <w:r w:rsidR="009A2B60" w:rsidRPr="00D17E59">
        <w:rPr>
          <w:rFonts w:ascii="Arial" w:eastAsia="Calibri" w:hAnsi="Arial" w:cs="Arial"/>
          <w:color w:val="000000" w:themeColor="text1"/>
          <w:sz w:val="22"/>
          <w:szCs w:val="22"/>
          <w:lang w:val="es-ES_tradnl"/>
        </w:rPr>
        <w:t xml:space="preserve"> </w:t>
      </w:r>
      <w:r w:rsidR="00AA31C5" w:rsidRPr="00D17E59">
        <w:rPr>
          <w:rFonts w:ascii="Arial" w:eastAsia="Calibri" w:hAnsi="Arial" w:cs="Arial"/>
          <w:color w:val="000000" w:themeColor="text1"/>
          <w:sz w:val="22"/>
          <w:szCs w:val="22"/>
          <w:lang w:val="es-ES_tradnl"/>
        </w:rPr>
        <w:t xml:space="preserve">Aclara que tanto las convocatorias limitadas a </w:t>
      </w:r>
      <w:proofErr w:type="spellStart"/>
      <w:r w:rsidR="00AA31C5" w:rsidRPr="00D17E59">
        <w:rPr>
          <w:rFonts w:ascii="Arial" w:eastAsia="Calibri" w:hAnsi="Arial" w:cs="Arial"/>
          <w:color w:val="000000" w:themeColor="text1"/>
          <w:sz w:val="22"/>
          <w:szCs w:val="22"/>
          <w:lang w:val="es-ES_tradnl"/>
        </w:rPr>
        <w:t>mipymes</w:t>
      </w:r>
      <w:proofErr w:type="spellEnd"/>
      <w:r w:rsidR="00AA31C5" w:rsidRPr="00D17E59">
        <w:rPr>
          <w:rFonts w:ascii="Arial" w:eastAsia="Calibri" w:hAnsi="Arial" w:cs="Arial"/>
          <w:color w:val="000000" w:themeColor="text1"/>
          <w:sz w:val="22"/>
          <w:szCs w:val="22"/>
          <w:lang w:val="es-ES_tradnl"/>
        </w:rPr>
        <w:t>, como</w:t>
      </w:r>
      <w:r w:rsidR="00977F52" w:rsidRPr="00D17E59">
        <w:rPr>
          <w:rFonts w:ascii="Arial" w:eastAsia="Calibri" w:hAnsi="Arial" w:cs="Arial"/>
          <w:color w:val="000000" w:themeColor="text1"/>
          <w:sz w:val="22"/>
          <w:szCs w:val="22"/>
          <w:lang w:val="es-ES_tradnl"/>
        </w:rPr>
        <w:t xml:space="preserve"> las condiciones preferenciales a favor de los bienes y servicios producidos por estas, no es óbice para que deban cumplir l</w:t>
      </w:r>
      <w:r w:rsidR="005A1F51" w:rsidRPr="00D17E59">
        <w:rPr>
          <w:rFonts w:ascii="Arial" w:eastAsia="Calibri" w:hAnsi="Arial" w:cs="Arial"/>
          <w:color w:val="000000" w:themeColor="text1"/>
          <w:sz w:val="22"/>
          <w:szCs w:val="22"/>
          <w:lang w:val="es-ES_tradnl"/>
        </w:rPr>
        <w:t xml:space="preserve">as </w:t>
      </w:r>
      <w:r w:rsidR="00AD30DB" w:rsidRPr="00D17E59">
        <w:rPr>
          <w:rFonts w:ascii="Arial" w:eastAsia="Calibri" w:hAnsi="Arial" w:cs="Arial"/>
          <w:color w:val="000000" w:themeColor="text1"/>
          <w:sz w:val="22"/>
          <w:szCs w:val="22"/>
          <w:lang w:val="es-ES_tradnl"/>
        </w:rPr>
        <w:t>exigencias</w:t>
      </w:r>
      <w:r w:rsidR="005A1F51" w:rsidRPr="00D17E59">
        <w:rPr>
          <w:rFonts w:ascii="Arial" w:eastAsia="Calibri" w:hAnsi="Arial" w:cs="Arial"/>
          <w:color w:val="000000" w:themeColor="text1"/>
          <w:sz w:val="22"/>
          <w:szCs w:val="22"/>
          <w:lang w:val="es-ES_tradnl"/>
        </w:rPr>
        <w:t xml:space="preserve"> técnicas y económicas </w:t>
      </w:r>
      <w:r w:rsidR="00AD30DB" w:rsidRPr="00D17E59">
        <w:rPr>
          <w:rFonts w:ascii="Arial" w:eastAsia="Calibri" w:hAnsi="Arial" w:cs="Arial"/>
          <w:color w:val="000000" w:themeColor="text1"/>
          <w:sz w:val="22"/>
          <w:szCs w:val="22"/>
          <w:lang w:val="es-ES_tradnl"/>
        </w:rPr>
        <w:t>d</w:t>
      </w:r>
      <w:r w:rsidR="005A1F51" w:rsidRPr="00D17E59">
        <w:rPr>
          <w:rFonts w:ascii="Arial" w:eastAsia="Calibri" w:hAnsi="Arial" w:cs="Arial"/>
          <w:color w:val="000000" w:themeColor="text1"/>
          <w:sz w:val="22"/>
          <w:szCs w:val="22"/>
          <w:lang w:val="es-ES_tradnl"/>
        </w:rPr>
        <w:t>el proceso de selección.</w:t>
      </w:r>
    </w:p>
    <w:p w14:paraId="41608704" w14:textId="37352778" w:rsidR="009E7068" w:rsidRPr="00D17E59" w:rsidRDefault="005A1F51" w:rsidP="003A058E">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vi) </w:t>
      </w:r>
      <w:r w:rsidR="002C0589" w:rsidRPr="00D17E59">
        <w:rPr>
          <w:rFonts w:ascii="Arial" w:eastAsia="Calibri" w:hAnsi="Arial" w:cs="Arial"/>
          <w:color w:val="000000" w:themeColor="text1"/>
          <w:sz w:val="22"/>
          <w:szCs w:val="22"/>
          <w:lang w:val="es-ES_tradnl"/>
        </w:rPr>
        <w:t>Señala que el reglamento que expida el gobierno nacional</w:t>
      </w:r>
      <w:r w:rsidR="00446709" w:rsidRPr="00D17E59">
        <w:rPr>
          <w:rFonts w:ascii="Arial" w:eastAsia="Calibri" w:hAnsi="Arial" w:cs="Arial"/>
          <w:color w:val="000000" w:themeColor="text1"/>
          <w:sz w:val="22"/>
          <w:szCs w:val="22"/>
          <w:lang w:val="es-ES_tradnl"/>
        </w:rPr>
        <w:t xml:space="preserve">, además de las convocatorias limitadas a </w:t>
      </w:r>
      <w:proofErr w:type="spellStart"/>
      <w:r w:rsidR="00446709" w:rsidRPr="00D17E59">
        <w:rPr>
          <w:rFonts w:ascii="Arial" w:eastAsia="Calibri" w:hAnsi="Arial" w:cs="Arial"/>
          <w:color w:val="000000" w:themeColor="text1"/>
          <w:sz w:val="22"/>
          <w:szCs w:val="22"/>
          <w:lang w:val="es-ES_tradnl"/>
        </w:rPr>
        <w:t>mipymes</w:t>
      </w:r>
      <w:proofErr w:type="spellEnd"/>
      <w:r w:rsidR="00446709" w:rsidRPr="00D17E59">
        <w:rPr>
          <w:rFonts w:ascii="Arial" w:eastAsia="Calibri" w:hAnsi="Arial" w:cs="Arial"/>
          <w:color w:val="000000" w:themeColor="text1"/>
          <w:sz w:val="22"/>
          <w:szCs w:val="22"/>
          <w:lang w:val="es-ES_tradnl"/>
        </w:rPr>
        <w:t xml:space="preserve">, deberá contener disposiciones normativas que </w:t>
      </w:r>
      <w:r w:rsidR="00446709" w:rsidRPr="00D17E59">
        <w:rPr>
          <w:rFonts w:ascii="Arial" w:eastAsia="Calibri" w:hAnsi="Arial" w:cs="Arial"/>
          <w:color w:val="000000" w:themeColor="text1"/>
          <w:sz w:val="22"/>
          <w:szCs w:val="22"/>
          <w:lang w:val="es-ES_tradnl"/>
        </w:rPr>
        <w:lastRenderedPageBreak/>
        <w:t>permitan la provisión de bienes y servicios, a través de la celebración de contratos estatales</w:t>
      </w:r>
      <w:r w:rsidR="00C04F1B" w:rsidRPr="00D17E59">
        <w:rPr>
          <w:rFonts w:ascii="Arial" w:eastAsia="Calibri" w:hAnsi="Arial" w:cs="Arial"/>
          <w:color w:val="000000" w:themeColor="text1"/>
          <w:sz w:val="22"/>
          <w:szCs w:val="22"/>
          <w:lang w:val="es-ES_tradnl"/>
        </w:rPr>
        <w:t xml:space="preserve"> con </w:t>
      </w:r>
      <w:r w:rsidR="00446709" w:rsidRPr="00D17E59">
        <w:rPr>
          <w:rFonts w:ascii="Arial" w:eastAsia="Calibri" w:hAnsi="Arial" w:cs="Arial"/>
          <w:color w:val="000000" w:themeColor="text1"/>
          <w:sz w:val="22"/>
          <w:szCs w:val="22"/>
          <w:lang w:val="es-ES_tradnl"/>
        </w:rPr>
        <w:t>algunas personas que gozan de especial protección constitucional.</w:t>
      </w:r>
      <w:r w:rsidR="00206F4D" w:rsidRPr="00D17E59">
        <w:rPr>
          <w:rFonts w:ascii="Arial" w:eastAsia="Calibri" w:hAnsi="Arial" w:cs="Arial"/>
          <w:color w:val="000000" w:themeColor="text1"/>
          <w:sz w:val="22"/>
          <w:szCs w:val="22"/>
          <w:lang w:val="es-ES_tradnl"/>
        </w:rPr>
        <w:t xml:space="preserve"> </w:t>
      </w:r>
      <w:r w:rsidR="00C04F1B" w:rsidRPr="00D17E59">
        <w:rPr>
          <w:rFonts w:ascii="Arial" w:eastAsia="Calibri" w:hAnsi="Arial" w:cs="Arial"/>
          <w:color w:val="000000" w:themeColor="text1"/>
          <w:sz w:val="22"/>
          <w:szCs w:val="22"/>
          <w:lang w:val="es-ES_tradnl"/>
        </w:rPr>
        <w:t>Entre tales personas se encuentran</w:t>
      </w:r>
      <w:r w:rsidR="00785FB2" w:rsidRPr="00D17E59">
        <w:rPr>
          <w:rFonts w:ascii="Arial" w:eastAsia="Calibri" w:hAnsi="Arial" w:cs="Arial"/>
          <w:color w:val="000000" w:themeColor="text1"/>
          <w:sz w:val="22"/>
          <w:szCs w:val="22"/>
          <w:lang w:val="es-ES_tradnl"/>
        </w:rPr>
        <w:t xml:space="preserve"> las que tengan condiciones de pobreza extrema, las desplazadas por la violencia</w:t>
      </w:r>
      <w:r w:rsidR="007E7B55" w:rsidRPr="00D17E59">
        <w:rPr>
          <w:rFonts w:ascii="Arial" w:eastAsia="Calibri" w:hAnsi="Arial" w:cs="Arial"/>
          <w:color w:val="000000" w:themeColor="text1"/>
          <w:sz w:val="22"/>
          <w:szCs w:val="22"/>
          <w:lang w:val="es-ES_tradnl"/>
        </w:rPr>
        <w:t xml:space="preserve"> y </w:t>
      </w:r>
      <w:r w:rsidR="00452A7C" w:rsidRPr="00D17E59">
        <w:rPr>
          <w:rFonts w:ascii="Arial" w:eastAsia="Calibri" w:hAnsi="Arial" w:cs="Arial"/>
          <w:color w:val="000000" w:themeColor="text1"/>
          <w:sz w:val="22"/>
          <w:szCs w:val="22"/>
          <w:lang w:val="es-ES_tradnl"/>
        </w:rPr>
        <w:t>quienes estén en procesos de reintegración o reincorporación, entre otr</w:t>
      </w:r>
      <w:r w:rsidR="00F47026" w:rsidRPr="00D17E59">
        <w:rPr>
          <w:rFonts w:ascii="Arial" w:eastAsia="Calibri" w:hAnsi="Arial" w:cs="Arial"/>
          <w:color w:val="000000" w:themeColor="text1"/>
          <w:sz w:val="22"/>
          <w:szCs w:val="22"/>
          <w:lang w:val="es-ES_tradnl"/>
        </w:rPr>
        <w:t>a</w:t>
      </w:r>
      <w:r w:rsidR="00452A7C" w:rsidRPr="00D17E59">
        <w:rPr>
          <w:rFonts w:ascii="Arial" w:eastAsia="Calibri" w:hAnsi="Arial" w:cs="Arial"/>
          <w:color w:val="000000" w:themeColor="text1"/>
          <w:sz w:val="22"/>
          <w:szCs w:val="22"/>
          <w:lang w:val="es-ES_tradnl"/>
        </w:rPr>
        <w:t>s que incluya el reglamento.</w:t>
      </w:r>
    </w:p>
    <w:p w14:paraId="37CB71F7" w14:textId="253BDB69" w:rsidR="003351FF" w:rsidRPr="00D17E59" w:rsidRDefault="003351FF" w:rsidP="003A058E">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vii) Precisa que la posibilidad de participar en convocatorias limitadas a </w:t>
      </w:r>
      <w:proofErr w:type="spellStart"/>
      <w:r w:rsidRPr="00D17E59">
        <w:rPr>
          <w:rFonts w:ascii="Arial" w:eastAsia="Calibri" w:hAnsi="Arial" w:cs="Arial"/>
          <w:color w:val="000000" w:themeColor="text1"/>
          <w:sz w:val="22"/>
          <w:szCs w:val="22"/>
          <w:lang w:val="es-ES_tradnl"/>
        </w:rPr>
        <w:t>mipymes</w:t>
      </w:r>
      <w:proofErr w:type="spellEnd"/>
      <w:r w:rsidRPr="00D17E59">
        <w:rPr>
          <w:rFonts w:ascii="Arial" w:eastAsia="Calibri" w:hAnsi="Arial" w:cs="Arial"/>
          <w:color w:val="000000" w:themeColor="text1"/>
          <w:sz w:val="22"/>
          <w:szCs w:val="22"/>
          <w:lang w:val="es-ES_tradnl"/>
        </w:rPr>
        <w:t xml:space="preserve"> se encuentra condicionada a que estas</w:t>
      </w:r>
      <w:r w:rsidR="000C084E" w:rsidRPr="00D17E59">
        <w:rPr>
          <w:rFonts w:ascii="Arial" w:eastAsia="Calibri" w:hAnsi="Arial" w:cs="Arial"/>
          <w:color w:val="000000" w:themeColor="text1"/>
          <w:sz w:val="22"/>
          <w:szCs w:val="22"/>
          <w:lang w:val="es-ES_tradnl"/>
        </w:rPr>
        <w:t xml:space="preserve"> acrediten como mínimo un año de existencia, con el certificado expedido por la cámara de comercio respectiva</w:t>
      </w:r>
      <w:r w:rsidR="00A84935" w:rsidRPr="00D17E59">
        <w:rPr>
          <w:rFonts w:ascii="Arial" w:eastAsia="Calibri" w:hAnsi="Arial" w:cs="Arial"/>
          <w:color w:val="000000" w:themeColor="text1"/>
          <w:sz w:val="22"/>
          <w:szCs w:val="22"/>
          <w:lang w:val="es-ES_tradnl"/>
        </w:rPr>
        <w:t xml:space="preserve"> o por la autoridad que sea competente para ello.</w:t>
      </w:r>
    </w:p>
    <w:p w14:paraId="1B793D8D" w14:textId="6CEF958B" w:rsidR="00DB387B" w:rsidRPr="00D17E59" w:rsidRDefault="00A84935" w:rsidP="00DB387B">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viii) Hace </w:t>
      </w:r>
      <w:r w:rsidR="00DE4E67" w:rsidRPr="00D17E59">
        <w:rPr>
          <w:rFonts w:ascii="Arial" w:eastAsia="Calibri" w:hAnsi="Arial" w:cs="Arial"/>
          <w:color w:val="000000" w:themeColor="text1"/>
          <w:sz w:val="22"/>
          <w:szCs w:val="22"/>
          <w:lang w:val="es-ES_tradnl"/>
        </w:rPr>
        <w:t xml:space="preserve">obligatorio el cumplimiento </w:t>
      </w:r>
      <w:r w:rsidR="00772E2A" w:rsidRPr="00D17E59">
        <w:rPr>
          <w:rFonts w:ascii="Arial" w:eastAsia="Calibri" w:hAnsi="Arial" w:cs="Arial"/>
          <w:color w:val="000000" w:themeColor="text1"/>
          <w:sz w:val="22"/>
          <w:szCs w:val="22"/>
          <w:lang w:val="es-ES_tradnl"/>
        </w:rPr>
        <w:t>de lo dispuesto en los artículos 90 a 95 de la Ley 418</w:t>
      </w:r>
      <w:r w:rsidR="00AE1713" w:rsidRPr="00D17E59">
        <w:rPr>
          <w:rFonts w:ascii="Arial" w:eastAsia="Calibri" w:hAnsi="Arial" w:cs="Arial"/>
          <w:color w:val="000000" w:themeColor="text1"/>
          <w:sz w:val="22"/>
          <w:szCs w:val="22"/>
          <w:lang w:val="es-ES_tradnl"/>
        </w:rPr>
        <w:t xml:space="preserve"> de 1997</w:t>
      </w:r>
      <w:r w:rsidR="00496AC4" w:rsidRPr="00D17E59">
        <w:rPr>
          <w:rFonts w:ascii="Arial" w:eastAsia="Calibri" w:hAnsi="Arial" w:cs="Arial"/>
          <w:color w:val="000000" w:themeColor="text1"/>
          <w:sz w:val="22"/>
          <w:szCs w:val="22"/>
          <w:lang w:val="es-ES_tradnl"/>
        </w:rPr>
        <w:t xml:space="preserve"> –</w:t>
      </w:r>
      <w:r w:rsidR="00FA66F9" w:rsidRPr="00D17E59">
        <w:rPr>
          <w:rFonts w:ascii="Arial" w:eastAsia="Calibri" w:hAnsi="Arial" w:cs="Arial"/>
          <w:color w:val="000000" w:themeColor="text1"/>
          <w:sz w:val="22"/>
          <w:szCs w:val="22"/>
          <w:lang w:val="es-ES_tradnl"/>
        </w:rPr>
        <w:t xml:space="preserve">normas </w:t>
      </w:r>
      <w:r w:rsidR="00496AC4" w:rsidRPr="00D17E59">
        <w:rPr>
          <w:rFonts w:ascii="Arial" w:eastAsia="Calibri" w:hAnsi="Arial" w:cs="Arial"/>
          <w:color w:val="000000" w:themeColor="text1"/>
          <w:sz w:val="22"/>
          <w:szCs w:val="22"/>
          <w:lang w:val="es-ES_tradnl"/>
        </w:rPr>
        <w:t>que establecen la obligación de declarar la caducidad y la liquidación unilateral</w:t>
      </w:r>
      <w:r w:rsidR="00A46A5F" w:rsidRPr="00D17E59">
        <w:rPr>
          <w:rFonts w:ascii="Arial" w:eastAsia="Calibri" w:hAnsi="Arial" w:cs="Arial"/>
          <w:color w:val="000000" w:themeColor="text1"/>
          <w:sz w:val="22"/>
          <w:szCs w:val="22"/>
          <w:lang w:val="es-ES_tradnl"/>
        </w:rPr>
        <w:t xml:space="preserve"> cuando el contratista beneficie grupos armados </w:t>
      </w:r>
      <w:r w:rsidR="005F7DE2" w:rsidRPr="00D17E59">
        <w:rPr>
          <w:rFonts w:ascii="Arial" w:eastAsia="Calibri" w:hAnsi="Arial" w:cs="Arial"/>
          <w:color w:val="000000" w:themeColor="text1"/>
          <w:sz w:val="22"/>
          <w:szCs w:val="22"/>
          <w:lang w:val="es-ES_tradnl"/>
        </w:rPr>
        <w:t>organizados al margen de la ley–</w:t>
      </w:r>
      <w:r w:rsidR="00AE1713" w:rsidRPr="00D17E59">
        <w:rPr>
          <w:rFonts w:ascii="Arial" w:eastAsia="Calibri" w:hAnsi="Arial" w:cs="Arial"/>
          <w:color w:val="000000" w:themeColor="text1"/>
          <w:sz w:val="22"/>
          <w:szCs w:val="22"/>
          <w:lang w:val="es-ES_tradnl"/>
        </w:rPr>
        <w:t xml:space="preserve"> en la ejecución de los contratos celebrados </w:t>
      </w:r>
      <w:r w:rsidR="00496AC4" w:rsidRPr="00D17E59">
        <w:rPr>
          <w:rFonts w:ascii="Arial" w:eastAsia="Calibri" w:hAnsi="Arial" w:cs="Arial"/>
          <w:color w:val="000000" w:themeColor="text1"/>
          <w:sz w:val="22"/>
          <w:szCs w:val="22"/>
          <w:lang w:val="es-ES_tradnl"/>
        </w:rPr>
        <w:t>en virtud del artículo 34 de la Ley 2069 de 2020.</w:t>
      </w:r>
    </w:p>
    <w:p w14:paraId="030DC43C" w14:textId="77777777" w:rsidR="00657B67" w:rsidRPr="00D17E59" w:rsidRDefault="00C537BA" w:rsidP="00772AA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A partir de lo anterior, puede afirmarse que el artículo 34 de la Ley 2069 de 2020</w:t>
      </w:r>
      <w:r w:rsidR="00387C6C" w:rsidRPr="00D17E59">
        <w:rPr>
          <w:rFonts w:ascii="Arial" w:eastAsia="Calibri" w:hAnsi="Arial" w:cs="Arial"/>
          <w:color w:val="000000" w:themeColor="text1"/>
          <w:sz w:val="22"/>
          <w:szCs w:val="22"/>
          <w:lang w:val="es-ES_tradnl"/>
        </w:rPr>
        <w:t xml:space="preserve"> sustituyó íntegramente el contenido del artículo 12 de la Ley 1150 de 2007. En este sentido</w:t>
      </w:r>
      <w:r w:rsidR="004102DD" w:rsidRPr="00D17E59">
        <w:rPr>
          <w:rFonts w:ascii="Arial" w:eastAsia="Calibri" w:hAnsi="Arial" w:cs="Arial"/>
          <w:color w:val="000000" w:themeColor="text1"/>
          <w:sz w:val="22"/>
          <w:szCs w:val="22"/>
          <w:lang w:val="es-ES_tradnl"/>
        </w:rPr>
        <w:t>, frente a esta última norma se produjo el fenómeno de la subrogació</w:t>
      </w:r>
      <w:r w:rsidR="00657B67" w:rsidRPr="00D17E59">
        <w:rPr>
          <w:rFonts w:ascii="Arial" w:eastAsia="Calibri" w:hAnsi="Arial" w:cs="Arial"/>
          <w:color w:val="000000" w:themeColor="text1"/>
          <w:sz w:val="22"/>
          <w:szCs w:val="22"/>
          <w:lang w:val="es-ES_tradnl"/>
        </w:rPr>
        <w:t xml:space="preserve">n, el cual ha sido explicado por la Corte Constitucional en los siguientes términos: </w:t>
      </w:r>
    </w:p>
    <w:p w14:paraId="72AF610C" w14:textId="77777777" w:rsidR="00657B67" w:rsidRPr="00D17E59" w:rsidRDefault="00657B67" w:rsidP="00657B67">
      <w:pPr>
        <w:spacing w:line="276" w:lineRule="auto"/>
        <w:ind w:left="709" w:right="709"/>
        <w:jc w:val="both"/>
        <w:rPr>
          <w:rFonts w:ascii="Arial" w:eastAsia="Calibri" w:hAnsi="Arial" w:cs="Arial"/>
          <w:color w:val="000000" w:themeColor="text1"/>
          <w:sz w:val="21"/>
          <w:szCs w:val="21"/>
          <w:lang w:val="es-ES_tradnl"/>
        </w:rPr>
      </w:pPr>
    </w:p>
    <w:p w14:paraId="2A1706ED" w14:textId="51ED5634" w:rsidR="00C537BA" w:rsidRPr="00D17E59" w:rsidRDefault="00657B67" w:rsidP="009B0D05">
      <w:pPr>
        <w:ind w:left="709" w:right="709"/>
        <w:jc w:val="both"/>
        <w:rPr>
          <w:rFonts w:ascii="Arial" w:eastAsia="Calibri" w:hAnsi="Arial" w:cs="Arial"/>
          <w:color w:val="000000" w:themeColor="text1"/>
          <w:sz w:val="21"/>
          <w:szCs w:val="21"/>
          <w:lang w:val="es-ES_tradnl"/>
        </w:rPr>
      </w:pPr>
      <w:r w:rsidRPr="00D17E59">
        <w:rPr>
          <w:rFonts w:ascii="Arial" w:eastAsia="Calibri" w:hAnsi="Arial" w:cs="Arial"/>
          <w:color w:val="000000" w:themeColor="text1"/>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00D83044" w:rsidRPr="00D17E59">
        <w:rPr>
          <w:rStyle w:val="Refdenotaalpie"/>
          <w:rFonts w:ascii="Arial" w:eastAsia="Calibri" w:hAnsi="Arial" w:cs="Arial"/>
          <w:color w:val="000000" w:themeColor="text1"/>
          <w:sz w:val="21"/>
          <w:szCs w:val="21"/>
          <w:lang w:val="es-ES_tradnl"/>
        </w:rPr>
        <w:footnoteReference w:id="8"/>
      </w:r>
      <w:r w:rsidRPr="00D17E59">
        <w:rPr>
          <w:rFonts w:ascii="Arial" w:eastAsia="Calibri" w:hAnsi="Arial" w:cs="Arial"/>
          <w:color w:val="000000" w:themeColor="text1"/>
          <w:sz w:val="21"/>
          <w:szCs w:val="21"/>
          <w:lang w:val="es-ES_tradnl"/>
        </w:rPr>
        <w:t>.</w:t>
      </w:r>
    </w:p>
    <w:p w14:paraId="7A82E3C8" w14:textId="77777777" w:rsidR="00D83044" w:rsidRPr="00D17E59" w:rsidRDefault="00D83044" w:rsidP="00D83044">
      <w:pPr>
        <w:spacing w:line="276" w:lineRule="auto"/>
        <w:ind w:firstLine="709"/>
        <w:jc w:val="both"/>
        <w:rPr>
          <w:rFonts w:ascii="Arial" w:eastAsia="Calibri" w:hAnsi="Arial" w:cs="Arial"/>
          <w:color w:val="000000" w:themeColor="text1"/>
          <w:sz w:val="22"/>
          <w:szCs w:val="22"/>
          <w:lang w:val="es-ES_tradnl"/>
        </w:rPr>
      </w:pPr>
    </w:p>
    <w:p w14:paraId="16DFB311" w14:textId="5A6E596C" w:rsidR="00525822" w:rsidRPr="00D17E59" w:rsidRDefault="00525822" w:rsidP="00D83044">
      <w:pPr>
        <w:spacing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La subrogación es, entonces, una forma de derogación de los actos normativos,</w:t>
      </w:r>
      <w:r w:rsidR="00274774" w:rsidRPr="00D17E59">
        <w:rPr>
          <w:rFonts w:ascii="Arial" w:eastAsia="Calibri" w:hAnsi="Arial" w:cs="Arial"/>
          <w:color w:val="000000" w:themeColor="text1"/>
          <w:sz w:val="22"/>
          <w:szCs w:val="22"/>
          <w:lang w:val="es-ES_tradnl"/>
        </w:rPr>
        <w:t xml:space="preserve"> que consiste en el reemplazo </w:t>
      </w:r>
      <w:r w:rsidR="00B51776" w:rsidRPr="00D17E59">
        <w:rPr>
          <w:rFonts w:ascii="Arial" w:eastAsia="Calibri" w:hAnsi="Arial" w:cs="Arial"/>
          <w:color w:val="000000" w:themeColor="text1"/>
          <w:sz w:val="22"/>
          <w:szCs w:val="22"/>
          <w:lang w:val="es-ES_tradnl"/>
        </w:rPr>
        <w:t>de su</w:t>
      </w:r>
      <w:r w:rsidR="00274774" w:rsidRPr="00D17E59">
        <w:rPr>
          <w:rFonts w:ascii="Arial" w:eastAsia="Calibri" w:hAnsi="Arial" w:cs="Arial"/>
          <w:color w:val="000000" w:themeColor="text1"/>
          <w:sz w:val="22"/>
          <w:szCs w:val="22"/>
          <w:lang w:val="es-ES_tradnl"/>
        </w:rPr>
        <w:t xml:space="preserve"> contenido por un enunciado normativo nuevo. Se distingue de la derogación simple en que en este último evento la disposición normativa</w:t>
      </w:r>
      <w:r w:rsidR="00965D36" w:rsidRPr="00D17E59">
        <w:rPr>
          <w:rFonts w:ascii="Arial" w:eastAsia="Calibri" w:hAnsi="Arial" w:cs="Arial"/>
          <w:color w:val="000000" w:themeColor="text1"/>
          <w:sz w:val="22"/>
          <w:szCs w:val="22"/>
          <w:lang w:val="es-ES_tradnl"/>
        </w:rPr>
        <w:t xml:space="preserve"> posterior no sustituye el texto, sino que</w:t>
      </w:r>
      <w:r w:rsidR="009D7E32" w:rsidRPr="00D17E59">
        <w:rPr>
          <w:rFonts w:ascii="Arial" w:eastAsia="Calibri" w:hAnsi="Arial" w:cs="Arial"/>
          <w:color w:val="000000" w:themeColor="text1"/>
          <w:sz w:val="22"/>
          <w:szCs w:val="22"/>
          <w:lang w:val="es-ES_tradnl"/>
        </w:rPr>
        <w:t xml:space="preserve"> solo</w:t>
      </w:r>
      <w:r w:rsidR="00965D36" w:rsidRPr="00D17E59">
        <w:rPr>
          <w:rFonts w:ascii="Arial" w:eastAsia="Calibri" w:hAnsi="Arial" w:cs="Arial"/>
          <w:color w:val="000000" w:themeColor="text1"/>
          <w:sz w:val="22"/>
          <w:szCs w:val="22"/>
          <w:lang w:val="es-ES_tradnl"/>
        </w:rPr>
        <w:t xml:space="preserve"> </w:t>
      </w:r>
      <w:r w:rsidR="009D7E32" w:rsidRPr="00D17E59">
        <w:rPr>
          <w:rFonts w:ascii="Arial" w:eastAsia="Calibri" w:hAnsi="Arial" w:cs="Arial"/>
          <w:color w:val="000000" w:themeColor="text1"/>
          <w:sz w:val="22"/>
          <w:szCs w:val="22"/>
          <w:lang w:val="es-ES_tradnl"/>
        </w:rPr>
        <w:t>le hace perder vigencia a la</w:t>
      </w:r>
      <w:r w:rsidR="00B51776" w:rsidRPr="00D17E59">
        <w:rPr>
          <w:rFonts w:ascii="Arial" w:eastAsia="Calibri" w:hAnsi="Arial" w:cs="Arial"/>
          <w:color w:val="000000" w:themeColor="text1"/>
          <w:sz w:val="22"/>
          <w:szCs w:val="22"/>
          <w:lang w:val="es-ES_tradnl"/>
        </w:rPr>
        <w:t xml:space="preserve"> disposición normativa</w:t>
      </w:r>
      <w:r w:rsidR="009D7E32" w:rsidRPr="00D17E59">
        <w:rPr>
          <w:rFonts w:ascii="Arial" w:eastAsia="Calibri" w:hAnsi="Arial" w:cs="Arial"/>
          <w:color w:val="000000" w:themeColor="text1"/>
          <w:sz w:val="22"/>
          <w:szCs w:val="22"/>
          <w:lang w:val="es-ES_tradnl"/>
        </w:rPr>
        <w:t xml:space="preserve"> anterior.</w:t>
      </w:r>
      <w:r w:rsidR="006E1E86" w:rsidRPr="00D17E59">
        <w:rPr>
          <w:rFonts w:ascii="Arial" w:eastAsia="Calibri" w:hAnsi="Arial" w:cs="Arial"/>
          <w:color w:val="000000" w:themeColor="text1"/>
          <w:sz w:val="22"/>
          <w:szCs w:val="22"/>
          <w:lang w:val="es-ES_tradnl"/>
        </w:rPr>
        <w:t xml:space="preserve"> Como lo explica la Corte Constitucional, la subrogación </w:t>
      </w:r>
      <w:r w:rsidR="008A7AEB" w:rsidRPr="00D17E59">
        <w:rPr>
          <w:rFonts w:ascii="Arial" w:eastAsia="Calibri" w:hAnsi="Arial" w:cs="Arial"/>
          <w:color w:val="000000" w:themeColor="text1"/>
          <w:sz w:val="22"/>
          <w:szCs w:val="22"/>
          <w:lang w:val="es-ES_tradnl"/>
        </w:rPr>
        <w:t>puede presentarse</w:t>
      </w:r>
      <w:r w:rsidR="006E1E86" w:rsidRPr="00D17E59">
        <w:rPr>
          <w:rFonts w:ascii="Arial" w:eastAsia="Calibri" w:hAnsi="Arial" w:cs="Arial"/>
          <w:color w:val="000000" w:themeColor="text1"/>
          <w:sz w:val="22"/>
          <w:szCs w:val="22"/>
          <w:lang w:val="es-ES_tradnl"/>
        </w:rPr>
        <w:t xml:space="preserve"> bien porque el enunciado normativo</w:t>
      </w:r>
      <w:r w:rsidR="009B6AE5" w:rsidRPr="00D17E59">
        <w:rPr>
          <w:rFonts w:ascii="Arial" w:eastAsia="Calibri" w:hAnsi="Arial" w:cs="Arial"/>
          <w:color w:val="000000" w:themeColor="text1"/>
          <w:sz w:val="22"/>
          <w:szCs w:val="22"/>
          <w:lang w:val="es-ES_tradnl"/>
        </w:rPr>
        <w:t xml:space="preserve"> regule de manera diferente una materia o porque repro</w:t>
      </w:r>
      <w:r w:rsidR="00F07441" w:rsidRPr="00D17E59">
        <w:rPr>
          <w:rFonts w:ascii="Arial" w:eastAsia="Calibri" w:hAnsi="Arial" w:cs="Arial"/>
          <w:color w:val="000000" w:themeColor="text1"/>
          <w:sz w:val="22"/>
          <w:szCs w:val="22"/>
          <w:lang w:val="es-ES_tradnl"/>
        </w:rPr>
        <w:t xml:space="preserve">duzca apartados normativos de otra. Pero lo cierto es que, en uno u otro caso, la disposición normativa anterior </w:t>
      </w:r>
      <w:r w:rsidR="00031B7A" w:rsidRPr="00D17E59">
        <w:rPr>
          <w:rFonts w:ascii="Arial" w:eastAsia="Calibri" w:hAnsi="Arial" w:cs="Arial"/>
          <w:color w:val="000000" w:themeColor="text1"/>
          <w:sz w:val="22"/>
          <w:szCs w:val="22"/>
          <w:lang w:val="es-ES_tradnl"/>
        </w:rPr>
        <w:t>pierde vigencia.</w:t>
      </w:r>
    </w:p>
    <w:p w14:paraId="79E5EF7C" w14:textId="77777777" w:rsidR="006D405E" w:rsidRPr="00D17E59" w:rsidRDefault="008A7AEB" w:rsidP="00793D65">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lastRenderedPageBreak/>
        <w:t xml:space="preserve">El artículo </w:t>
      </w:r>
      <w:r w:rsidR="006E0B2B" w:rsidRPr="00D17E59">
        <w:rPr>
          <w:rFonts w:ascii="Arial" w:eastAsia="Calibri" w:hAnsi="Arial" w:cs="Arial"/>
          <w:color w:val="000000" w:themeColor="text1"/>
          <w:sz w:val="22"/>
          <w:szCs w:val="22"/>
          <w:lang w:val="es-ES_tradnl"/>
        </w:rPr>
        <w:t>12 de la Ley 1150 de 2007 fue subrogado por el artículo 34 de la Ley 2069 de 2020, porque este</w:t>
      </w:r>
      <w:r w:rsidR="00BB3A8F" w:rsidRPr="00D17E59">
        <w:rPr>
          <w:rFonts w:ascii="Arial" w:eastAsia="Calibri" w:hAnsi="Arial" w:cs="Arial"/>
          <w:color w:val="000000" w:themeColor="text1"/>
          <w:sz w:val="22"/>
          <w:szCs w:val="22"/>
          <w:lang w:val="es-ES_tradnl"/>
        </w:rPr>
        <w:t xml:space="preserve"> contiene una regulación diferente de la promoción del desarrollo en la contratación estatal. Además, en el primer inciso de</w:t>
      </w:r>
      <w:r w:rsidR="004263A9" w:rsidRPr="00D17E59">
        <w:rPr>
          <w:rFonts w:ascii="Arial" w:eastAsia="Calibri" w:hAnsi="Arial" w:cs="Arial"/>
          <w:color w:val="000000" w:themeColor="text1"/>
          <w:sz w:val="22"/>
          <w:szCs w:val="22"/>
          <w:lang w:val="es-ES_tradnl"/>
        </w:rPr>
        <w:t xml:space="preserve">l artículo 34 de la Ley 2069 de 2020 se lee claramente: «Modifíquese el artículo 12 de la Ley 1150 de 2007, el cual quedará así». </w:t>
      </w:r>
      <w:r w:rsidR="000453F7" w:rsidRPr="00D17E59">
        <w:rPr>
          <w:rFonts w:ascii="Arial" w:eastAsia="Calibri" w:hAnsi="Arial" w:cs="Arial"/>
          <w:color w:val="000000" w:themeColor="text1"/>
          <w:sz w:val="22"/>
          <w:szCs w:val="22"/>
          <w:lang w:val="es-ES_tradnl"/>
        </w:rPr>
        <w:t>Esto significa que la voluntad del legislador no estuvo dirigida a efectuar una</w:t>
      </w:r>
      <w:r w:rsidR="00F8563E" w:rsidRPr="00D17E59">
        <w:rPr>
          <w:rFonts w:ascii="Arial" w:eastAsia="Calibri" w:hAnsi="Arial" w:cs="Arial"/>
          <w:color w:val="000000" w:themeColor="text1"/>
          <w:sz w:val="22"/>
          <w:szCs w:val="22"/>
          <w:lang w:val="es-ES_tradnl"/>
        </w:rPr>
        <w:t xml:space="preserve"> </w:t>
      </w:r>
      <w:r w:rsidR="000453F7" w:rsidRPr="00D17E59">
        <w:rPr>
          <w:rFonts w:ascii="Arial" w:eastAsia="Calibri" w:hAnsi="Arial" w:cs="Arial"/>
          <w:color w:val="000000" w:themeColor="text1"/>
          <w:sz w:val="22"/>
          <w:szCs w:val="22"/>
          <w:lang w:val="es-ES_tradnl"/>
        </w:rPr>
        <w:t>reforma parcial</w:t>
      </w:r>
      <w:r w:rsidR="00F8563E" w:rsidRPr="00D17E59">
        <w:rPr>
          <w:rFonts w:ascii="Arial" w:eastAsia="Calibri" w:hAnsi="Arial" w:cs="Arial"/>
          <w:color w:val="000000" w:themeColor="text1"/>
          <w:sz w:val="22"/>
          <w:szCs w:val="22"/>
          <w:lang w:val="es-ES_tradnl"/>
        </w:rPr>
        <w:t xml:space="preserve"> del artículo 12 de la Ley 1150 de 2007, sino a modificarlo </w:t>
      </w:r>
      <w:r w:rsidR="00793D65" w:rsidRPr="00D17E59">
        <w:rPr>
          <w:rFonts w:ascii="Arial" w:eastAsia="Calibri" w:hAnsi="Arial" w:cs="Arial"/>
          <w:color w:val="000000" w:themeColor="text1"/>
          <w:sz w:val="22"/>
          <w:szCs w:val="22"/>
          <w:lang w:val="es-ES_tradnl"/>
        </w:rPr>
        <w:t>completamente, sustituyéndolo por uno nuevo.</w:t>
      </w:r>
    </w:p>
    <w:p w14:paraId="109E199C" w14:textId="155899DC" w:rsidR="00992E5F" w:rsidRPr="00D17E59" w:rsidRDefault="0008285F" w:rsidP="00A36BC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En este orden de ideas, aunque el artículo 12 de la Ley 1150 de 2007 había sido modificado parcialmente por el artículo </w:t>
      </w:r>
      <w:r w:rsidR="00F45AA5" w:rsidRPr="00D17E59">
        <w:rPr>
          <w:rFonts w:ascii="Arial" w:eastAsia="Calibri" w:hAnsi="Arial" w:cs="Arial"/>
          <w:color w:val="000000" w:themeColor="text1"/>
          <w:sz w:val="22"/>
          <w:szCs w:val="22"/>
          <w:lang w:val="es-ES_tradnl"/>
        </w:rPr>
        <w:t xml:space="preserve">3 de la Ley 2040 de 2020, que le había adicionado </w:t>
      </w:r>
      <w:r w:rsidR="00E1070C" w:rsidRPr="00D17E59">
        <w:rPr>
          <w:rFonts w:ascii="Arial" w:eastAsia="Calibri" w:hAnsi="Arial" w:cs="Arial"/>
          <w:color w:val="000000" w:themeColor="text1"/>
          <w:sz w:val="22"/>
          <w:szCs w:val="22"/>
          <w:lang w:val="es-ES_tradnl"/>
        </w:rPr>
        <w:t>un parágrafo, también dicho parágrafo ha perdido su vigencia. En efecto</w:t>
      </w:r>
      <w:r w:rsidR="00992E5F" w:rsidRPr="00D17E59">
        <w:rPr>
          <w:rFonts w:ascii="Arial" w:eastAsia="Calibri" w:hAnsi="Arial" w:cs="Arial"/>
          <w:color w:val="000000" w:themeColor="text1"/>
          <w:sz w:val="22"/>
          <w:szCs w:val="22"/>
          <w:lang w:val="es-ES_tradnl"/>
        </w:rPr>
        <w:t>,</w:t>
      </w:r>
      <w:r w:rsidR="00872484" w:rsidRPr="00D17E59">
        <w:rPr>
          <w:rFonts w:ascii="Arial" w:eastAsia="Calibri" w:hAnsi="Arial" w:cs="Arial"/>
          <w:color w:val="000000" w:themeColor="text1"/>
          <w:sz w:val="22"/>
          <w:szCs w:val="22"/>
          <w:lang w:val="es-ES_tradnl"/>
        </w:rPr>
        <w:t xml:space="preserve"> el artículo 3 de la Ley 2040 de 2020 dispuso: </w:t>
      </w:r>
    </w:p>
    <w:p w14:paraId="16BF6207" w14:textId="77777777" w:rsidR="00A36BCF" w:rsidRPr="00D17E59" w:rsidRDefault="00A36BCF" w:rsidP="00A36BCF">
      <w:pPr>
        <w:ind w:left="709" w:right="709"/>
        <w:jc w:val="both"/>
        <w:rPr>
          <w:rFonts w:ascii="Arial" w:eastAsia="Calibri" w:hAnsi="Arial" w:cs="Arial"/>
          <w:color w:val="000000" w:themeColor="text1"/>
          <w:sz w:val="21"/>
          <w:szCs w:val="21"/>
          <w:lang w:val="es-ES_tradnl"/>
        </w:rPr>
      </w:pPr>
    </w:p>
    <w:p w14:paraId="6BC3FC1A" w14:textId="03134EB7" w:rsidR="00A36BCF" w:rsidRPr="00D17E59" w:rsidRDefault="00A36BCF" w:rsidP="00A36BCF">
      <w:pPr>
        <w:ind w:left="709" w:right="709"/>
        <w:jc w:val="both"/>
        <w:rPr>
          <w:rFonts w:ascii="Arial" w:eastAsia="Calibri" w:hAnsi="Arial" w:cs="Arial"/>
          <w:color w:val="000000" w:themeColor="text1"/>
          <w:sz w:val="21"/>
          <w:szCs w:val="21"/>
          <w:lang w:val="es-ES_tradnl"/>
        </w:rPr>
      </w:pPr>
      <w:r w:rsidRPr="00D17E59">
        <w:rPr>
          <w:rFonts w:ascii="Arial" w:eastAsia="Calibri" w:hAnsi="Arial" w:cs="Arial"/>
          <w:color w:val="000000" w:themeColor="text1"/>
          <w:sz w:val="21"/>
          <w:szCs w:val="21"/>
          <w:lang w:val="es-ES_tradnl"/>
        </w:rPr>
        <w:t>Adiciónese un parágrafo al artículo 12 de la Ley 1150 de 2007:</w:t>
      </w:r>
    </w:p>
    <w:p w14:paraId="10EFE4BA" w14:textId="25BB91AE" w:rsidR="00A36BCF" w:rsidRPr="00D17E59" w:rsidRDefault="00A36BCF" w:rsidP="00A36BCF">
      <w:pPr>
        <w:ind w:right="709"/>
        <w:jc w:val="both"/>
        <w:rPr>
          <w:rFonts w:ascii="Arial" w:eastAsia="Calibri" w:hAnsi="Arial" w:cs="Arial"/>
          <w:color w:val="000000" w:themeColor="text1"/>
          <w:sz w:val="21"/>
          <w:szCs w:val="21"/>
          <w:lang w:val="es-ES_tradnl"/>
        </w:rPr>
      </w:pPr>
    </w:p>
    <w:p w14:paraId="4C3E1537" w14:textId="42B620AC" w:rsidR="00992E5F" w:rsidRPr="00D17E59" w:rsidRDefault="00A36BCF" w:rsidP="00A36BCF">
      <w:pPr>
        <w:ind w:left="709" w:right="709"/>
        <w:jc w:val="both"/>
        <w:rPr>
          <w:rFonts w:ascii="Arial" w:eastAsia="Calibri" w:hAnsi="Arial" w:cs="Arial"/>
          <w:color w:val="000000" w:themeColor="text1"/>
          <w:sz w:val="21"/>
          <w:szCs w:val="21"/>
          <w:lang w:val="es-ES_tradnl"/>
        </w:rPr>
      </w:pPr>
      <w:r w:rsidRPr="00D17E59">
        <w:rPr>
          <w:rFonts w:ascii="Arial" w:eastAsia="Calibri" w:hAnsi="Arial" w:cs="Arial"/>
          <w:color w:val="000000" w:themeColor="text1"/>
          <w:sz w:val="21"/>
          <w:szCs w:val="21"/>
          <w:lang w:val="es-ES_tradnl"/>
        </w:rPr>
        <w:t>PARÁGRAFO 4°. Criterio de desempate.</w:t>
      </w:r>
      <w:r w:rsidR="00782D6D" w:rsidRPr="00D17E59">
        <w:rPr>
          <w:rFonts w:ascii="Arial" w:eastAsia="Calibri" w:hAnsi="Arial" w:cs="Arial"/>
          <w:color w:val="000000" w:themeColor="text1"/>
          <w:sz w:val="21"/>
          <w:szCs w:val="21"/>
          <w:lang w:val="es-ES_tradnl"/>
        </w:rPr>
        <w:t xml:space="preserve"> </w:t>
      </w:r>
      <w:r w:rsidR="00992E5F" w:rsidRPr="00D17E59">
        <w:rPr>
          <w:rFonts w:ascii="Arial" w:eastAsia="Calibri" w:hAnsi="Arial" w:cs="Arial"/>
          <w:color w:val="000000" w:themeColor="text1"/>
          <w:sz w:val="21"/>
          <w:szCs w:val="21"/>
          <w:lang w:val="es-ES_tradnl"/>
        </w:rPr>
        <w:t>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w:t>
      </w:r>
    </w:p>
    <w:p w14:paraId="634263CB" w14:textId="77777777" w:rsidR="00992E5F" w:rsidRPr="00D17E59" w:rsidRDefault="00992E5F" w:rsidP="009B0D05">
      <w:pPr>
        <w:ind w:left="709" w:right="709"/>
        <w:jc w:val="both"/>
        <w:rPr>
          <w:rFonts w:ascii="Arial" w:eastAsia="Calibri" w:hAnsi="Arial" w:cs="Arial"/>
          <w:color w:val="000000" w:themeColor="text1"/>
          <w:sz w:val="21"/>
          <w:szCs w:val="21"/>
          <w:lang w:val="es-ES_tradnl"/>
        </w:rPr>
      </w:pPr>
    </w:p>
    <w:p w14:paraId="04C0CDF4" w14:textId="35A7039D" w:rsidR="00992E5F" w:rsidRPr="00D17E59" w:rsidRDefault="00992E5F" w:rsidP="009B0D05">
      <w:pPr>
        <w:ind w:left="709" w:right="709"/>
        <w:jc w:val="both"/>
        <w:rPr>
          <w:rFonts w:ascii="Arial" w:eastAsia="Calibri" w:hAnsi="Arial" w:cs="Arial"/>
          <w:color w:val="000000" w:themeColor="text1"/>
          <w:sz w:val="21"/>
          <w:szCs w:val="21"/>
          <w:lang w:val="es-ES_tradnl"/>
        </w:rPr>
      </w:pPr>
      <w:r w:rsidRPr="00D17E59">
        <w:rPr>
          <w:rFonts w:ascii="Arial" w:eastAsia="Calibri" w:hAnsi="Arial" w:cs="Arial"/>
          <w:color w:val="000000" w:themeColor="text1"/>
          <w:sz w:val="21"/>
          <w:szCs w:val="21"/>
          <w:lang w:val="es-ES_tradnl"/>
        </w:rPr>
        <w:t>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la misma.</w:t>
      </w:r>
    </w:p>
    <w:p w14:paraId="4D7B40F5" w14:textId="6371D5AE" w:rsidR="00992E5F" w:rsidRPr="00D17E59" w:rsidRDefault="00992E5F" w:rsidP="009B0D05">
      <w:pPr>
        <w:ind w:right="709"/>
        <w:jc w:val="both"/>
        <w:rPr>
          <w:rFonts w:ascii="Arial" w:eastAsia="Calibri" w:hAnsi="Arial" w:cs="Arial"/>
          <w:color w:val="000000" w:themeColor="text1"/>
          <w:sz w:val="21"/>
          <w:szCs w:val="21"/>
          <w:lang w:val="es-ES_tradnl"/>
        </w:rPr>
      </w:pPr>
    </w:p>
    <w:p w14:paraId="031328FE" w14:textId="77777777" w:rsidR="009B0D05" w:rsidRPr="00D17E59" w:rsidRDefault="00992E5F" w:rsidP="009B0D05">
      <w:pPr>
        <w:ind w:left="709" w:right="709"/>
        <w:jc w:val="both"/>
        <w:rPr>
          <w:rFonts w:ascii="Arial" w:eastAsia="Calibri" w:hAnsi="Arial" w:cs="Arial"/>
          <w:color w:val="000000" w:themeColor="text1"/>
          <w:sz w:val="21"/>
          <w:szCs w:val="21"/>
          <w:lang w:val="es-ES_tradnl"/>
        </w:rPr>
      </w:pPr>
      <w:r w:rsidRPr="00D17E59">
        <w:rPr>
          <w:rFonts w:ascii="Arial" w:eastAsia="Calibri" w:hAnsi="Arial" w:cs="Arial"/>
          <w:color w:val="000000" w:themeColor="text1"/>
          <w:sz w:val="21"/>
          <w:szCs w:val="21"/>
          <w:lang w:val="es-ES_tradnl"/>
        </w:rPr>
        <w:t>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w:t>
      </w:r>
    </w:p>
    <w:p w14:paraId="6D77C6E7" w14:textId="77777777" w:rsidR="009B0D05" w:rsidRPr="00D17E59" w:rsidRDefault="009B0D05" w:rsidP="009B0D05">
      <w:pPr>
        <w:ind w:left="709" w:right="709"/>
        <w:jc w:val="both"/>
        <w:rPr>
          <w:rFonts w:ascii="Arial" w:eastAsia="Calibri" w:hAnsi="Arial" w:cs="Arial"/>
          <w:color w:val="000000" w:themeColor="text1"/>
          <w:sz w:val="21"/>
          <w:szCs w:val="21"/>
          <w:lang w:val="es-ES_tradnl"/>
        </w:rPr>
      </w:pPr>
    </w:p>
    <w:p w14:paraId="254CC6FB" w14:textId="10BFDAC0" w:rsidR="009B0D05" w:rsidRPr="00D17E59" w:rsidRDefault="00992E5F" w:rsidP="00A36BCF">
      <w:pPr>
        <w:ind w:left="709" w:right="709"/>
        <w:jc w:val="both"/>
        <w:rPr>
          <w:rFonts w:ascii="Arial" w:eastAsia="Calibri" w:hAnsi="Arial" w:cs="Arial"/>
          <w:color w:val="000000" w:themeColor="text1"/>
          <w:sz w:val="21"/>
          <w:szCs w:val="21"/>
          <w:lang w:val="es-ES_tradnl"/>
        </w:rPr>
      </w:pPr>
      <w:r w:rsidRPr="00D17E59">
        <w:rPr>
          <w:rFonts w:ascii="Arial" w:eastAsia="Calibri" w:hAnsi="Arial" w:cs="Arial"/>
          <w:color w:val="000000" w:themeColor="text1"/>
          <w:sz w:val="21"/>
          <w:szCs w:val="21"/>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12AAB67E" w14:textId="77777777" w:rsidR="00A36BCF" w:rsidRPr="00D17E59" w:rsidRDefault="00A36BCF" w:rsidP="00A36BCF">
      <w:pPr>
        <w:spacing w:line="276" w:lineRule="auto"/>
        <w:ind w:firstLine="709"/>
        <w:jc w:val="both"/>
        <w:rPr>
          <w:rFonts w:ascii="Arial" w:eastAsia="Calibri" w:hAnsi="Arial" w:cs="Arial"/>
          <w:color w:val="000000" w:themeColor="text1"/>
          <w:sz w:val="22"/>
          <w:szCs w:val="22"/>
          <w:lang w:val="es-ES_tradnl"/>
        </w:rPr>
      </w:pPr>
    </w:p>
    <w:p w14:paraId="5E557502" w14:textId="6DEA7883" w:rsidR="00525822" w:rsidRPr="00D17E59" w:rsidRDefault="009B0D05" w:rsidP="00A36BCF">
      <w:pPr>
        <w:spacing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El anterior texto, que</w:t>
      </w:r>
      <w:r w:rsidR="00A36BCF" w:rsidRPr="00D17E59">
        <w:rPr>
          <w:rFonts w:ascii="Arial" w:eastAsia="Calibri" w:hAnsi="Arial" w:cs="Arial"/>
          <w:color w:val="000000" w:themeColor="text1"/>
          <w:sz w:val="22"/>
          <w:szCs w:val="22"/>
          <w:lang w:val="es-ES_tradnl"/>
        </w:rPr>
        <w:t xml:space="preserve">, </w:t>
      </w:r>
      <w:r w:rsidR="005407B0" w:rsidRPr="00D17E59">
        <w:rPr>
          <w:rFonts w:ascii="Arial" w:eastAsia="Calibri" w:hAnsi="Arial" w:cs="Arial"/>
          <w:color w:val="000000" w:themeColor="text1"/>
          <w:sz w:val="22"/>
          <w:szCs w:val="22"/>
          <w:lang w:val="es-ES_tradnl"/>
        </w:rPr>
        <w:t>según</w:t>
      </w:r>
      <w:r w:rsidR="00A36BCF" w:rsidRPr="00D17E59">
        <w:rPr>
          <w:rFonts w:ascii="Arial" w:eastAsia="Calibri" w:hAnsi="Arial" w:cs="Arial"/>
          <w:color w:val="000000" w:themeColor="text1"/>
          <w:sz w:val="22"/>
          <w:szCs w:val="22"/>
          <w:lang w:val="es-ES_tradnl"/>
        </w:rPr>
        <w:t xml:space="preserve"> se indicó, había quedado agregado al artículo 12 de la Ley 1150 de 2007 como parágrafo 4, también se ve </w:t>
      </w:r>
      <w:r w:rsidR="00A85D83" w:rsidRPr="00D17E59">
        <w:rPr>
          <w:rFonts w:ascii="Arial" w:eastAsia="Calibri" w:hAnsi="Arial" w:cs="Arial"/>
          <w:color w:val="000000" w:themeColor="text1"/>
          <w:sz w:val="22"/>
          <w:szCs w:val="22"/>
          <w:lang w:val="es-ES_tradnl"/>
        </w:rPr>
        <w:t xml:space="preserve">afectado por el efecto de la subrogación producida por el artículo 34 de la Ley 2069 de 2020, porque en este artículo </w:t>
      </w:r>
      <w:r w:rsidR="009D1DD5" w:rsidRPr="00D17E59">
        <w:rPr>
          <w:rFonts w:ascii="Arial" w:eastAsia="Calibri" w:hAnsi="Arial" w:cs="Arial"/>
          <w:color w:val="000000" w:themeColor="text1"/>
          <w:sz w:val="22"/>
          <w:szCs w:val="22"/>
          <w:lang w:val="es-ES_tradnl"/>
        </w:rPr>
        <w:t xml:space="preserve">no se dice que se mantiene vigente el referido parágrafo. Dicho de otra manera, si el artículo </w:t>
      </w:r>
      <w:r w:rsidR="00DE3D2C" w:rsidRPr="00D17E59">
        <w:rPr>
          <w:rFonts w:ascii="Arial" w:eastAsia="Calibri" w:hAnsi="Arial" w:cs="Arial"/>
          <w:color w:val="000000" w:themeColor="text1"/>
          <w:sz w:val="22"/>
          <w:szCs w:val="22"/>
          <w:lang w:val="es-ES_tradnl"/>
        </w:rPr>
        <w:t xml:space="preserve">3 de la Ley </w:t>
      </w:r>
      <w:r w:rsidR="00DE3D2C" w:rsidRPr="00D17E59">
        <w:rPr>
          <w:rFonts w:ascii="Arial" w:eastAsia="Calibri" w:hAnsi="Arial" w:cs="Arial"/>
          <w:color w:val="000000" w:themeColor="text1"/>
          <w:sz w:val="22"/>
          <w:szCs w:val="22"/>
          <w:lang w:val="es-ES_tradnl"/>
        </w:rPr>
        <w:lastRenderedPageBreak/>
        <w:t xml:space="preserve">2040 de 2020 había adicionado un parágrafo 4 al artículo 12 de la Ley 1150 de 2007 y posteriormente el artículo 34 de la Ley 2069 de 2020 </w:t>
      </w:r>
      <w:r w:rsidR="00163190" w:rsidRPr="00D17E59">
        <w:rPr>
          <w:rFonts w:ascii="Arial" w:eastAsia="Calibri" w:hAnsi="Arial" w:cs="Arial"/>
          <w:color w:val="000000" w:themeColor="text1"/>
          <w:sz w:val="22"/>
          <w:szCs w:val="22"/>
          <w:lang w:val="es-ES_tradnl"/>
        </w:rPr>
        <w:t>modificó integralmente el referido artículo 12, sustituyéndolo por un texto nuevo, se concluye que el parágrafo 4 quedó derogado.</w:t>
      </w:r>
      <w:r w:rsidR="00C05F6C" w:rsidRPr="00D17E59">
        <w:rPr>
          <w:rFonts w:ascii="Arial" w:eastAsia="Calibri" w:hAnsi="Arial" w:cs="Arial"/>
          <w:color w:val="000000" w:themeColor="text1"/>
          <w:sz w:val="22"/>
          <w:szCs w:val="22"/>
          <w:lang w:val="es-ES_tradnl"/>
        </w:rPr>
        <w:t xml:space="preserve"> Por lo tanto</w:t>
      </w:r>
      <w:r w:rsidR="00440E76" w:rsidRPr="00D17E59">
        <w:rPr>
          <w:rFonts w:ascii="Arial" w:eastAsia="Calibri" w:hAnsi="Arial" w:cs="Arial"/>
          <w:color w:val="000000" w:themeColor="text1"/>
          <w:sz w:val="22"/>
          <w:szCs w:val="22"/>
          <w:lang w:val="es-ES_tradnl"/>
        </w:rPr>
        <w:t>,</w:t>
      </w:r>
      <w:r w:rsidR="00C05F6C" w:rsidRPr="00D17E59">
        <w:rPr>
          <w:rFonts w:ascii="Arial" w:eastAsia="Calibri" w:hAnsi="Arial" w:cs="Arial"/>
          <w:color w:val="000000" w:themeColor="text1"/>
          <w:sz w:val="22"/>
          <w:szCs w:val="22"/>
          <w:lang w:val="es-ES_tradnl"/>
        </w:rPr>
        <w:t xml:space="preserve"> no puede aplicar</w:t>
      </w:r>
      <w:r w:rsidR="00440E76" w:rsidRPr="00D17E59">
        <w:rPr>
          <w:rFonts w:ascii="Arial" w:eastAsia="Calibri" w:hAnsi="Arial" w:cs="Arial"/>
          <w:color w:val="000000" w:themeColor="text1"/>
          <w:sz w:val="22"/>
          <w:szCs w:val="22"/>
          <w:lang w:val="es-ES_tradnl"/>
        </w:rPr>
        <w:t xml:space="preserve">se </w:t>
      </w:r>
      <w:r w:rsidR="00C05F6C" w:rsidRPr="00D17E59">
        <w:rPr>
          <w:rFonts w:ascii="Arial" w:eastAsia="Calibri" w:hAnsi="Arial" w:cs="Arial"/>
          <w:color w:val="000000" w:themeColor="text1"/>
          <w:sz w:val="22"/>
          <w:szCs w:val="22"/>
          <w:lang w:val="es-ES_tradnl"/>
        </w:rPr>
        <w:t>en la actualidad</w:t>
      </w:r>
      <w:r w:rsidR="00440E76" w:rsidRPr="00D17E59">
        <w:rPr>
          <w:rFonts w:ascii="Arial" w:eastAsia="Calibri" w:hAnsi="Arial" w:cs="Arial"/>
          <w:color w:val="000000" w:themeColor="text1"/>
          <w:sz w:val="22"/>
          <w:szCs w:val="22"/>
          <w:lang w:val="es-ES_tradnl"/>
        </w:rPr>
        <w:t xml:space="preserve"> y mucho menos puede entenderse como obligatorio en los procesos de selección, ya que no está vigente.</w:t>
      </w:r>
    </w:p>
    <w:p w14:paraId="51860337" w14:textId="7183DD26" w:rsidR="00D17E59" w:rsidRPr="00D17E59" w:rsidRDefault="00291491" w:rsidP="00D17E59">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Aunque el argumento anterior es suficiente, u</w:t>
      </w:r>
      <w:r w:rsidR="00C308E3" w:rsidRPr="00D17E59">
        <w:rPr>
          <w:rFonts w:ascii="Arial" w:eastAsia="Calibri" w:hAnsi="Arial" w:cs="Arial"/>
          <w:color w:val="000000" w:themeColor="text1"/>
          <w:sz w:val="22"/>
          <w:szCs w:val="22"/>
          <w:lang w:val="es-ES_tradnl"/>
        </w:rPr>
        <w:t>na razón adicional</w:t>
      </w:r>
      <w:r w:rsidR="00BC058B" w:rsidRPr="00D17E59">
        <w:rPr>
          <w:rFonts w:ascii="Arial" w:eastAsia="Calibri" w:hAnsi="Arial" w:cs="Arial"/>
          <w:color w:val="000000" w:themeColor="text1"/>
          <w:sz w:val="22"/>
          <w:szCs w:val="22"/>
          <w:lang w:val="es-ES_tradnl"/>
        </w:rPr>
        <w:t>,</w:t>
      </w:r>
      <w:r w:rsidR="00C308E3" w:rsidRPr="00D17E59">
        <w:rPr>
          <w:rFonts w:ascii="Arial" w:eastAsia="Calibri" w:hAnsi="Arial" w:cs="Arial"/>
          <w:color w:val="000000" w:themeColor="text1"/>
          <w:sz w:val="22"/>
          <w:szCs w:val="22"/>
          <w:lang w:val="es-ES_tradnl"/>
        </w:rPr>
        <w:t xml:space="preserve"> para concluir</w:t>
      </w:r>
      <w:r w:rsidRPr="00D17E59">
        <w:rPr>
          <w:rFonts w:ascii="Arial" w:eastAsia="Calibri" w:hAnsi="Arial" w:cs="Arial"/>
          <w:color w:val="000000" w:themeColor="text1"/>
          <w:sz w:val="22"/>
          <w:szCs w:val="22"/>
          <w:lang w:val="es-ES_tradnl"/>
        </w:rPr>
        <w:t xml:space="preserve"> que </w:t>
      </w:r>
      <w:r w:rsidR="00440E76" w:rsidRPr="00D17E59">
        <w:rPr>
          <w:rFonts w:ascii="Arial" w:eastAsia="Calibri" w:hAnsi="Arial" w:cs="Arial"/>
          <w:color w:val="000000" w:themeColor="text1"/>
          <w:sz w:val="22"/>
          <w:szCs w:val="22"/>
          <w:lang w:val="es-ES_tradnl"/>
        </w:rPr>
        <w:t>el artículo 3</w:t>
      </w:r>
      <w:r w:rsidR="00032B89" w:rsidRPr="00D17E59">
        <w:rPr>
          <w:rFonts w:ascii="Arial" w:eastAsia="Calibri" w:hAnsi="Arial" w:cs="Arial"/>
          <w:color w:val="000000" w:themeColor="text1"/>
          <w:sz w:val="22"/>
          <w:szCs w:val="22"/>
          <w:lang w:val="es-ES_tradnl"/>
        </w:rPr>
        <w:t>4</w:t>
      </w:r>
      <w:r w:rsidR="00440E76" w:rsidRPr="00D17E59">
        <w:rPr>
          <w:rFonts w:ascii="Arial" w:eastAsia="Calibri" w:hAnsi="Arial" w:cs="Arial"/>
          <w:color w:val="000000" w:themeColor="text1"/>
          <w:sz w:val="22"/>
          <w:szCs w:val="22"/>
          <w:lang w:val="es-ES_tradnl"/>
        </w:rPr>
        <w:t xml:space="preserve"> de la Ley 2069 de 202</w:t>
      </w:r>
      <w:r w:rsidRPr="00D17E59">
        <w:rPr>
          <w:rFonts w:ascii="Arial" w:eastAsia="Calibri" w:hAnsi="Arial" w:cs="Arial"/>
          <w:color w:val="000000" w:themeColor="text1"/>
          <w:sz w:val="22"/>
          <w:szCs w:val="22"/>
          <w:lang w:val="es-ES_tradnl"/>
        </w:rPr>
        <w:t>0 dejó sin vigencia el parágrafo 4 del artículo 12 de la Ley 1150 de 2007 –y por lo tanto, el artículo 3 de la Ley 2040 de 2020–</w:t>
      </w:r>
      <w:r w:rsidR="00032B89" w:rsidRPr="00D17E59">
        <w:rPr>
          <w:rFonts w:ascii="Arial" w:eastAsia="Calibri" w:hAnsi="Arial" w:cs="Arial"/>
          <w:color w:val="000000" w:themeColor="text1"/>
          <w:sz w:val="22"/>
          <w:szCs w:val="22"/>
          <w:lang w:val="es-ES_tradnl"/>
        </w:rPr>
        <w:t>, es que</w:t>
      </w:r>
      <w:r w:rsidR="00F617A3" w:rsidRPr="00D17E59">
        <w:rPr>
          <w:rFonts w:ascii="Arial" w:eastAsia="Calibri" w:hAnsi="Arial" w:cs="Arial"/>
          <w:color w:val="000000" w:themeColor="text1"/>
          <w:sz w:val="22"/>
          <w:szCs w:val="22"/>
          <w:lang w:val="es-ES_tradnl"/>
        </w:rPr>
        <w:t xml:space="preserve"> el artículo 35 de la Ley 2069 de 2020 contiene una regulación nueva de los factores de desempate en la contratación estatal</w:t>
      </w:r>
      <w:r w:rsidR="00782D6D" w:rsidRPr="00D17E59">
        <w:rPr>
          <w:rFonts w:ascii="Arial" w:eastAsia="Calibri" w:hAnsi="Arial" w:cs="Arial"/>
          <w:color w:val="000000" w:themeColor="text1"/>
          <w:sz w:val="22"/>
          <w:szCs w:val="22"/>
          <w:lang w:val="es-ES_tradnl"/>
        </w:rPr>
        <w:t>, como se estudiará más adelante en este concepto. Más aún, el numeral</w:t>
      </w:r>
      <w:r w:rsidR="001805C2" w:rsidRPr="00D17E59">
        <w:rPr>
          <w:rFonts w:ascii="Arial" w:eastAsia="Calibri" w:hAnsi="Arial" w:cs="Arial"/>
          <w:color w:val="000000" w:themeColor="text1"/>
          <w:sz w:val="22"/>
          <w:szCs w:val="22"/>
          <w:lang w:val="es-ES_tradnl"/>
        </w:rPr>
        <w:t xml:space="preserve"> 4 del artículo 35 dispone que en los procesos de selección</w:t>
      </w:r>
      <w:r w:rsidR="00C4175E" w:rsidRPr="00D17E59">
        <w:rPr>
          <w:rFonts w:ascii="Arial" w:eastAsia="Calibri" w:hAnsi="Arial" w:cs="Arial"/>
          <w:color w:val="000000" w:themeColor="text1"/>
          <w:sz w:val="22"/>
          <w:szCs w:val="22"/>
          <w:lang w:val="es-ES_tradnl"/>
        </w:rPr>
        <w:t xml:space="preserve"> las entidades estatales deben</w:t>
      </w:r>
      <w:r w:rsidR="00EE3599" w:rsidRPr="00D17E59">
        <w:rPr>
          <w:rFonts w:ascii="Arial" w:eastAsia="Calibri" w:hAnsi="Arial" w:cs="Arial"/>
          <w:color w:val="000000" w:themeColor="text1"/>
          <w:sz w:val="22"/>
          <w:szCs w:val="22"/>
          <w:lang w:val="es-ES_tradnl"/>
        </w:rPr>
        <w:t xml:space="preserve"> </w:t>
      </w:r>
      <w:r w:rsidR="00C4175E" w:rsidRPr="00D17E59">
        <w:rPr>
          <w:rFonts w:ascii="Arial" w:eastAsia="Calibri" w:hAnsi="Arial" w:cs="Arial"/>
          <w:color w:val="000000" w:themeColor="text1"/>
          <w:sz w:val="22"/>
          <w:szCs w:val="22"/>
          <w:lang w:val="es-ES_tradnl"/>
        </w:rPr>
        <w:t>«Preferir la propuesta presentada por el oferente que acredite la vinculación en mayor proporción de personas mayores que no sean beneficiarios de la pensión de vejez, familiar o de sobrevivencia y que hayan cumplido el requisito de edad de pensión establecido en la Ley».</w:t>
      </w:r>
      <w:r w:rsidR="00D16CFA" w:rsidRPr="00D17E59">
        <w:rPr>
          <w:rFonts w:ascii="Arial" w:eastAsia="Calibri" w:hAnsi="Arial" w:cs="Arial"/>
          <w:color w:val="000000" w:themeColor="text1"/>
          <w:sz w:val="22"/>
          <w:szCs w:val="22"/>
          <w:lang w:val="es-ES_tradnl"/>
        </w:rPr>
        <w:t xml:space="preserve"> Esta norma se encuentra vigente, ya que el legislador no condicionó su aplicación a la expedición de</w:t>
      </w:r>
      <w:r w:rsidR="00B74A8F" w:rsidRPr="00D17E59">
        <w:rPr>
          <w:rFonts w:ascii="Arial" w:eastAsia="Calibri" w:hAnsi="Arial" w:cs="Arial"/>
          <w:color w:val="000000" w:themeColor="text1"/>
          <w:sz w:val="22"/>
          <w:szCs w:val="22"/>
          <w:lang w:val="es-ES_tradnl"/>
        </w:rPr>
        <w:t xml:space="preserve"> </w:t>
      </w:r>
      <w:r w:rsidR="00EE3599" w:rsidRPr="00D17E59">
        <w:rPr>
          <w:rFonts w:ascii="Arial" w:eastAsia="Calibri" w:hAnsi="Arial" w:cs="Arial"/>
          <w:color w:val="000000" w:themeColor="text1"/>
          <w:sz w:val="22"/>
          <w:szCs w:val="22"/>
          <w:lang w:val="es-ES_tradnl"/>
        </w:rPr>
        <w:t xml:space="preserve">un </w:t>
      </w:r>
      <w:r w:rsidR="00B74A8F" w:rsidRPr="00D17E59">
        <w:rPr>
          <w:rFonts w:ascii="Arial" w:eastAsia="Calibri" w:hAnsi="Arial" w:cs="Arial"/>
          <w:color w:val="000000" w:themeColor="text1"/>
          <w:sz w:val="22"/>
          <w:szCs w:val="22"/>
          <w:lang w:val="es-ES_tradnl"/>
        </w:rPr>
        <w:t>decreto reglamentario por parte del gobierno nacional, aunque nada se opone a que en ejercicio de la facultad discrecional con que cuenta para reglamentar las leyes</w:t>
      </w:r>
      <w:r w:rsidR="003B5642" w:rsidRPr="00D17E59">
        <w:rPr>
          <w:rFonts w:ascii="Arial" w:eastAsia="Calibri" w:hAnsi="Arial" w:cs="Arial"/>
          <w:color w:val="000000" w:themeColor="text1"/>
          <w:sz w:val="22"/>
          <w:szCs w:val="22"/>
          <w:lang w:val="es-ES_tradnl"/>
        </w:rPr>
        <w:t xml:space="preserve"> –en virtud del artículo 189, numeral 11, de la Constitución–</w:t>
      </w:r>
      <w:r w:rsidR="00B74A8F" w:rsidRPr="00D17E59">
        <w:rPr>
          <w:rFonts w:ascii="Arial" w:eastAsia="Calibri" w:hAnsi="Arial" w:cs="Arial"/>
          <w:color w:val="000000" w:themeColor="text1"/>
          <w:sz w:val="22"/>
          <w:szCs w:val="22"/>
          <w:lang w:val="es-ES_tradnl"/>
        </w:rPr>
        <w:t xml:space="preserve">, establezca condiciones </w:t>
      </w:r>
      <w:r w:rsidR="00EE3599" w:rsidRPr="00D17E59">
        <w:rPr>
          <w:rFonts w:ascii="Arial" w:eastAsia="Calibri" w:hAnsi="Arial" w:cs="Arial"/>
          <w:color w:val="000000" w:themeColor="text1"/>
          <w:sz w:val="22"/>
          <w:szCs w:val="22"/>
          <w:lang w:val="es-ES_tradnl"/>
        </w:rPr>
        <w:t>para aplicar</w:t>
      </w:r>
      <w:r w:rsidR="003B5642" w:rsidRPr="00D17E59">
        <w:rPr>
          <w:rFonts w:ascii="Arial" w:eastAsia="Calibri" w:hAnsi="Arial" w:cs="Arial"/>
          <w:color w:val="000000" w:themeColor="text1"/>
          <w:sz w:val="22"/>
          <w:szCs w:val="22"/>
          <w:lang w:val="es-ES_tradnl"/>
        </w:rPr>
        <w:t xml:space="preserve"> dicho numeral.</w:t>
      </w:r>
    </w:p>
    <w:p w14:paraId="18D605E6" w14:textId="77777777" w:rsidR="00D17E59" w:rsidRPr="00D17E59" w:rsidRDefault="00D17E59" w:rsidP="00D17E59">
      <w:pPr>
        <w:spacing w:before="120" w:line="276" w:lineRule="auto"/>
        <w:ind w:firstLine="709"/>
        <w:jc w:val="both"/>
        <w:rPr>
          <w:rFonts w:ascii="Arial" w:hAnsi="Arial" w:cs="Arial"/>
          <w:color w:val="000000"/>
          <w:sz w:val="22"/>
          <w:szCs w:val="22"/>
          <w:bdr w:val="none" w:sz="0" w:space="0" w:color="auto" w:frame="1"/>
        </w:rPr>
      </w:pPr>
      <w:r w:rsidRPr="00D17E59">
        <w:rPr>
          <w:rFonts w:ascii="Arial" w:eastAsia="Calibri" w:hAnsi="Arial" w:cs="Arial"/>
          <w:color w:val="000000" w:themeColor="text1"/>
          <w:sz w:val="22"/>
          <w:szCs w:val="22"/>
          <w:lang w:val="es-ES_tradnl"/>
        </w:rPr>
        <w:t>Así pues</w:t>
      </w:r>
      <w:r w:rsidRPr="00D17E59">
        <w:rPr>
          <w:rFonts w:ascii="Arial" w:hAnsi="Arial" w:cs="Arial"/>
          <w:color w:val="000000"/>
          <w:sz w:val="22"/>
          <w:szCs w:val="22"/>
          <w:bdr w:val="none" w:sz="0" w:space="0" w:color="auto" w:frame="1"/>
        </w:rPr>
        <w:t>, el artículo 34 de la Ley 2069 de 2020 cambia requisitos esenciales para que pueda haber convocatorias limitadas a mipymes: i) dice que estas deben desarrollarse independientemente del régimen de contratación de la entidad estatal –es decir, también deben efectuarlas las entidades estatales exceptuadas del Estatuto General de Contratación de la Administración Pública o que se rigen por derecho privado–. ii) Señala que los patrimonios autónomos constituidos por entidades estatales y los particulares que ejecuten recursos públicos también son destinatarios de esta exigencia. iii) Indica que para que pueda haber convocatorias limitadas a mipymes, dos (2) de ellas deben manifestar su interés –mientras que el artículo 12 de la Ley 1150 de 2007 no establecía un número mínimo y el Decreto 1082 de 2015 exigía tres (3)–.</w:t>
      </w:r>
    </w:p>
    <w:p w14:paraId="65ACF835" w14:textId="77777777" w:rsidR="00D17E59" w:rsidRPr="00D17E59" w:rsidRDefault="00D17E59" w:rsidP="00D17E59">
      <w:pPr>
        <w:spacing w:before="120" w:line="276" w:lineRule="auto"/>
        <w:ind w:firstLine="709"/>
        <w:jc w:val="both"/>
        <w:rPr>
          <w:rFonts w:ascii="Arial" w:hAnsi="Arial" w:cs="Arial"/>
          <w:color w:val="000000"/>
          <w:sz w:val="22"/>
          <w:szCs w:val="22"/>
          <w:bdr w:val="none" w:sz="0" w:space="0" w:color="auto" w:frame="1"/>
        </w:rPr>
      </w:pPr>
      <w:r w:rsidRPr="00D17E59">
        <w:rPr>
          <w:rFonts w:ascii="Arial" w:hAnsi="Arial" w:cs="Arial"/>
          <w:color w:val="000000"/>
          <w:sz w:val="22"/>
          <w:szCs w:val="22"/>
          <w:bdr w:val="none" w:sz="0" w:space="0" w:color="auto" w:frame="1"/>
        </w:rPr>
        <w:t xml:space="preserve">Por otro lado, el artículo 34 de la Ley 2069 de 2020 señala que el gobierno nacional debe definir las condiciones y montos para que se puedan realizar convocatorias limitadas a mipymes. </w:t>
      </w:r>
      <w:r w:rsidRPr="00D17E59">
        <w:rPr>
          <w:rFonts w:ascii="Arial" w:hAnsi="Arial" w:cs="Arial"/>
          <w:color w:val="000000"/>
          <w:sz w:val="22"/>
          <w:szCs w:val="22"/>
        </w:rPr>
        <w:t xml:space="preserve">En este sentido, al producirse la mencionada subrogación –que incluye el cambio de los requisitos para las convocatorias limitadas a mipymes–, se genera el decaimiento –pérdida de fuerza ejecutoria– de los artículos 2.2.1.2.4.2.2., 2.2.1.2.4.2.3. y 2.2.1.2.4.2.4. del Decreto 1082 de 2015. Lo anterior, por cuanto, al desaparecer –por subrogación– el fundamento normativo de tales disposiciones reglamentarias, y al oponerse, en cuanto a sus requisitos, al artículo 34 de la Ley 2069 de 2020, dichas normas han perdido vigencia. Además, estas normas reglamentaban las convocatorias limitadas a mipymes solo en tres procedimientos de selección –licitación pública, selección abreviada </w:t>
      </w:r>
      <w:r w:rsidRPr="00D17E59">
        <w:rPr>
          <w:rFonts w:ascii="Arial" w:hAnsi="Arial" w:cs="Arial"/>
          <w:color w:val="000000"/>
          <w:sz w:val="22"/>
          <w:szCs w:val="22"/>
        </w:rPr>
        <w:lastRenderedPageBreak/>
        <w:t>y concurso de méritos–, lo cual se opone al contenido del artículo 34, que dice que el gobierno nacional debe definir las condiciones y montos para que dichas convocatorias limitadas a miymes operen en los </w:t>
      </w:r>
      <w:r w:rsidRPr="00D17E59">
        <w:rPr>
          <w:rFonts w:ascii="Arial" w:hAnsi="Arial" w:cs="Arial"/>
          <w:i/>
          <w:iCs/>
          <w:color w:val="000000"/>
          <w:sz w:val="22"/>
          <w:szCs w:val="22"/>
        </w:rPr>
        <w:t>procesos de contratación</w:t>
      </w:r>
      <w:r w:rsidRPr="00D17E59">
        <w:rPr>
          <w:rFonts w:ascii="Arial" w:hAnsi="Arial" w:cs="Arial"/>
          <w:color w:val="000000"/>
          <w:sz w:val="22"/>
          <w:szCs w:val="22"/>
        </w:rPr>
        <w:t> –sin distinguir–.</w:t>
      </w:r>
    </w:p>
    <w:p w14:paraId="465DD58B" w14:textId="63581C10" w:rsidR="00D17E59" w:rsidRPr="00D17E59" w:rsidRDefault="00D17E59" w:rsidP="00D17E59">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hAnsi="Arial" w:cs="Arial"/>
          <w:color w:val="000000"/>
          <w:sz w:val="22"/>
          <w:szCs w:val="22"/>
          <w:bdr w:val="none" w:sz="0" w:space="0" w:color="auto" w:frame="1"/>
        </w:rPr>
        <w:t>Como el artículo 34 de la Ley 2069 de 2020 amplió los sujetos destinatarios de la obligación de limitar las convocatorias a mipymes –trascendiendo de las entidades sometidas al Estatuto General de Contratación de la Administración Pública, a las exceptuadas, a los patrimonios autónomos de entidades estatales y a los particulares que ejecuten recursos públicos–, la nueva norma reglamentaria debe contemplar los requisitos transversales para estos nuevos sujetos. Se considera que esta es la interpretación más adecuada y acorde con el nuevo espíritu del artículo 34 de la Ley 2069 de 2020, que, al subrogar el artículo 12 de la Ley 1150 de 2007, contiene un nuevo mandato de reglamentación, que no se satisface con el reglamento anterior. Además, precisamente porque la regulación de las convocatorias limitadas a mipymes en el Decreto 1082 de 2015 estaba pensada a partir del artículo 12 de la Ley 1150 de 2007, se opone en muchos aspectos –número de mipymes, procesos de selección, entidades que deben efectuar la convocatoria, etc.– al artículo 34 de la Ley 2069 de 2020.</w:t>
      </w:r>
    </w:p>
    <w:p w14:paraId="22A615A2" w14:textId="353F920E" w:rsidR="00440E76" w:rsidRPr="00D17E59" w:rsidRDefault="003B5642" w:rsidP="00C4175E">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En conclusión, las entidades estatales</w:t>
      </w:r>
      <w:r w:rsidR="00F47EEA" w:rsidRPr="00D17E59">
        <w:rPr>
          <w:rFonts w:ascii="Arial" w:eastAsia="Calibri" w:hAnsi="Arial" w:cs="Arial"/>
          <w:color w:val="000000" w:themeColor="text1"/>
          <w:sz w:val="22"/>
          <w:szCs w:val="22"/>
          <w:lang w:val="es-ES_tradnl"/>
        </w:rPr>
        <w:t xml:space="preserve">, independientemente del régimen contractual que </w:t>
      </w:r>
      <w:r w:rsidR="00EE3599" w:rsidRPr="00D17E59">
        <w:rPr>
          <w:rFonts w:ascii="Arial" w:eastAsia="Calibri" w:hAnsi="Arial" w:cs="Arial"/>
          <w:color w:val="000000" w:themeColor="text1"/>
          <w:sz w:val="22"/>
          <w:szCs w:val="22"/>
          <w:lang w:val="es-ES_tradnl"/>
        </w:rPr>
        <w:t>las rige</w:t>
      </w:r>
      <w:r w:rsidR="00F47EEA" w:rsidRPr="00D17E59">
        <w:rPr>
          <w:rFonts w:ascii="Arial" w:eastAsia="Calibri" w:hAnsi="Arial" w:cs="Arial"/>
          <w:color w:val="000000" w:themeColor="text1"/>
          <w:sz w:val="22"/>
          <w:szCs w:val="22"/>
          <w:lang w:val="es-ES_tradnl"/>
        </w:rPr>
        <w:t xml:space="preserve">, deben aplicar el factor de desempate </w:t>
      </w:r>
      <w:r w:rsidR="00E32A7A" w:rsidRPr="00D17E59">
        <w:rPr>
          <w:rFonts w:ascii="Arial" w:eastAsia="Calibri" w:hAnsi="Arial" w:cs="Arial"/>
          <w:color w:val="000000" w:themeColor="text1"/>
          <w:sz w:val="22"/>
          <w:szCs w:val="22"/>
          <w:lang w:val="es-ES_tradnl"/>
        </w:rPr>
        <w:t>basado en la vinculación de personas mayores. Sin embargo, el fundamento de esta obligación ya no es el artículo 3 de la Ley 2040 de 2020 –pues no está vigente–, sino el artículo 35</w:t>
      </w:r>
      <w:r w:rsidR="001A282A" w:rsidRPr="00D17E59">
        <w:rPr>
          <w:rFonts w:ascii="Arial" w:eastAsia="Calibri" w:hAnsi="Arial" w:cs="Arial"/>
          <w:color w:val="000000" w:themeColor="text1"/>
          <w:sz w:val="22"/>
          <w:szCs w:val="22"/>
          <w:lang w:val="es-ES_tradnl"/>
        </w:rPr>
        <w:t>, numeral 4, de la Ley 206</w:t>
      </w:r>
      <w:r w:rsidR="001B43B1" w:rsidRPr="00D17E59">
        <w:rPr>
          <w:rFonts w:ascii="Arial" w:eastAsia="Calibri" w:hAnsi="Arial" w:cs="Arial"/>
          <w:color w:val="000000" w:themeColor="text1"/>
          <w:sz w:val="22"/>
          <w:szCs w:val="22"/>
          <w:lang w:val="es-ES_tradnl"/>
        </w:rPr>
        <w:t>9</w:t>
      </w:r>
      <w:r w:rsidR="001A282A" w:rsidRPr="00D17E59">
        <w:rPr>
          <w:rFonts w:ascii="Arial" w:eastAsia="Calibri" w:hAnsi="Arial" w:cs="Arial"/>
          <w:color w:val="000000" w:themeColor="text1"/>
          <w:sz w:val="22"/>
          <w:szCs w:val="22"/>
          <w:lang w:val="es-ES_tradnl"/>
        </w:rPr>
        <w:t xml:space="preserve"> de 2020.</w:t>
      </w:r>
      <w:r w:rsidR="00C4175E" w:rsidRPr="00D17E59">
        <w:rPr>
          <w:rFonts w:ascii="Arial" w:eastAsia="Calibri" w:hAnsi="Arial" w:cs="Arial"/>
          <w:color w:val="000000" w:themeColor="text1"/>
          <w:sz w:val="22"/>
          <w:szCs w:val="22"/>
          <w:lang w:val="es-ES_tradnl"/>
        </w:rPr>
        <w:t xml:space="preserve"> </w:t>
      </w:r>
      <w:r w:rsidR="00782D6D" w:rsidRPr="00D17E59">
        <w:rPr>
          <w:rFonts w:ascii="Arial" w:eastAsia="Calibri" w:hAnsi="Arial" w:cs="Arial"/>
          <w:color w:val="000000" w:themeColor="text1"/>
          <w:sz w:val="22"/>
          <w:szCs w:val="22"/>
          <w:lang w:val="es-ES_tradnl"/>
        </w:rPr>
        <w:t xml:space="preserve"> </w:t>
      </w:r>
      <w:r w:rsidR="00291491" w:rsidRPr="00D17E59">
        <w:rPr>
          <w:rFonts w:ascii="Arial" w:eastAsia="Calibri" w:hAnsi="Arial" w:cs="Arial"/>
          <w:color w:val="000000" w:themeColor="text1"/>
          <w:sz w:val="22"/>
          <w:szCs w:val="22"/>
          <w:lang w:val="es-ES_tradnl"/>
        </w:rPr>
        <w:t xml:space="preserve"> </w:t>
      </w:r>
      <w:r w:rsidR="00440E76" w:rsidRPr="00D17E59">
        <w:rPr>
          <w:rFonts w:ascii="Arial" w:eastAsia="Calibri" w:hAnsi="Arial" w:cs="Arial"/>
          <w:color w:val="000000" w:themeColor="text1"/>
          <w:sz w:val="22"/>
          <w:szCs w:val="22"/>
          <w:lang w:val="es-ES_tradnl"/>
        </w:rPr>
        <w:t xml:space="preserve"> </w:t>
      </w:r>
    </w:p>
    <w:p w14:paraId="1909D750" w14:textId="1EE550B2" w:rsidR="00F128D9" w:rsidRPr="00D17E59" w:rsidRDefault="00BC30B3" w:rsidP="00A36BC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Luego de explicar </w:t>
      </w:r>
      <w:r w:rsidR="009715E1" w:rsidRPr="00D17E59">
        <w:rPr>
          <w:rFonts w:ascii="Arial" w:eastAsia="Calibri" w:hAnsi="Arial" w:cs="Arial"/>
          <w:color w:val="000000" w:themeColor="text1"/>
          <w:sz w:val="22"/>
          <w:szCs w:val="22"/>
          <w:lang w:val="es-ES_tradnl"/>
        </w:rPr>
        <w:t xml:space="preserve">las reglas incluidas en la nueva regulación de la promoción del desarrollo en la contratación estatal, </w:t>
      </w:r>
      <w:r w:rsidR="0062267E" w:rsidRPr="00D17E59">
        <w:rPr>
          <w:rFonts w:ascii="Arial" w:eastAsia="Calibri" w:hAnsi="Arial" w:cs="Arial"/>
          <w:color w:val="000000" w:themeColor="text1"/>
          <w:sz w:val="22"/>
          <w:szCs w:val="22"/>
          <w:lang w:val="es-ES_tradnl"/>
        </w:rPr>
        <w:t>previstas</w:t>
      </w:r>
      <w:r w:rsidR="009715E1" w:rsidRPr="00D17E59">
        <w:rPr>
          <w:rFonts w:ascii="Arial" w:eastAsia="Calibri" w:hAnsi="Arial" w:cs="Arial"/>
          <w:color w:val="000000" w:themeColor="text1"/>
          <w:sz w:val="22"/>
          <w:szCs w:val="22"/>
          <w:lang w:val="es-ES_tradnl"/>
        </w:rPr>
        <w:t xml:space="preserve"> en el artículo 34 de la Ley 2069 de 2020</w:t>
      </w:r>
      <w:r w:rsidR="00FA66F9" w:rsidRPr="00D17E59">
        <w:rPr>
          <w:rFonts w:ascii="Arial" w:eastAsia="Calibri" w:hAnsi="Arial" w:cs="Arial"/>
          <w:color w:val="000000" w:themeColor="text1"/>
          <w:sz w:val="22"/>
          <w:szCs w:val="22"/>
          <w:lang w:val="es-ES_tradnl"/>
        </w:rPr>
        <w:t>,</w:t>
      </w:r>
      <w:r w:rsidR="000F4A7F" w:rsidRPr="00D17E59">
        <w:rPr>
          <w:rFonts w:ascii="Arial" w:eastAsia="Calibri" w:hAnsi="Arial" w:cs="Arial"/>
          <w:color w:val="000000" w:themeColor="text1"/>
          <w:sz w:val="22"/>
          <w:szCs w:val="22"/>
          <w:lang w:val="es-ES_tradnl"/>
        </w:rPr>
        <w:t xml:space="preserve"> y habiendo aclarado que dicha norma </w:t>
      </w:r>
      <w:r w:rsidR="00735CA5" w:rsidRPr="00D17E59">
        <w:rPr>
          <w:rFonts w:ascii="Arial" w:eastAsia="Calibri" w:hAnsi="Arial" w:cs="Arial"/>
          <w:color w:val="000000" w:themeColor="text1"/>
          <w:sz w:val="22"/>
          <w:szCs w:val="22"/>
          <w:lang w:val="es-ES_tradnl"/>
        </w:rPr>
        <w:t>modificó</w:t>
      </w:r>
      <w:r w:rsidR="000F4A7F" w:rsidRPr="00D17E59">
        <w:rPr>
          <w:rFonts w:ascii="Arial" w:eastAsia="Calibri" w:hAnsi="Arial" w:cs="Arial"/>
          <w:color w:val="000000" w:themeColor="text1"/>
          <w:sz w:val="22"/>
          <w:szCs w:val="22"/>
          <w:lang w:val="es-ES_tradnl"/>
        </w:rPr>
        <w:t xml:space="preserve"> el artículo 12 de la Ley 1150 de 2007, conviene preguntarse qué sucede con la vigencia del artículo</w:t>
      </w:r>
      <w:r w:rsidR="00425B2E" w:rsidRPr="00D17E59">
        <w:rPr>
          <w:rFonts w:ascii="Arial" w:eastAsia="Calibri" w:hAnsi="Arial" w:cs="Arial"/>
          <w:color w:val="000000" w:themeColor="text1"/>
          <w:sz w:val="22"/>
          <w:szCs w:val="22"/>
          <w:lang w:val="es-ES_tradnl"/>
        </w:rPr>
        <w:t xml:space="preserve"> 2.2.1.2.4.2.2. del Decreto 1082 de 2015</w:t>
      </w:r>
      <w:r w:rsidR="00384494" w:rsidRPr="00D17E59">
        <w:rPr>
          <w:rFonts w:ascii="Arial" w:eastAsia="Calibri" w:hAnsi="Arial" w:cs="Arial"/>
          <w:color w:val="000000" w:themeColor="text1"/>
          <w:sz w:val="22"/>
          <w:szCs w:val="22"/>
          <w:lang w:val="es-ES_tradnl"/>
        </w:rPr>
        <w:t>, que</w:t>
      </w:r>
      <w:r w:rsidR="00735CA5" w:rsidRPr="00D17E59">
        <w:rPr>
          <w:rFonts w:ascii="Arial" w:eastAsia="Calibri" w:hAnsi="Arial" w:cs="Arial"/>
          <w:color w:val="000000" w:themeColor="text1"/>
          <w:sz w:val="22"/>
          <w:szCs w:val="22"/>
          <w:lang w:val="es-ES_tradnl"/>
        </w:rPr>
        <w:t>,</w:t>
      </w:r>
      <w:r w:rsidR="00384494" w:rsidRPr="00D17E59">
        <w:rPr>
          <w:rFonts w:ascii="Arial" w:eastAsia="Calibri" w:hAnsi="Arial" w:cs="Arial"/>
          <w:color w:val="000000" w:themeColor="text1"/>
          <w:sz w:val="22"/>
          <w:szCs w:val="22"/>
          <w:lang w:val="es-ES_tradnl"/>
        </w:rPr>
        <w:t xml:space="preserve"> hasta la expedición de la Ley 2069 de 2020</w:t>
      </w:r>
      <w:r w:rsidR="00735CA5" w:rsidRPr="00D17E59">
        <w:rPr>
          <w:rFonts w:ascii="Arial" w:eastAsia="Calibri" w:hAnsi="Arial" w:cs="Arial"/>
          <w:color w:val="000000" w:themeColor="text1"/>
          <w:sz w:val="22"/>
          <w:szCs w:val="22"/>
          <w:lang w:val="es-ES_tradnl"/>
        </w:rPr>
        <w:t>,</w:t>
      </w:r>
      <w:r w:rsidR="00384494" w:rsidRPr="00D17E59">
        <w:rPr>
          <w:rFonts w:ascii="Arial" w:eastAsia="Calibri" w:hAnsi="Arial" w:cs="Arial"/>
          <w:color w:val="000000" w:themeColor="text1"/>
          <w:sz w:val="22"/>
          <w:szCs w:val="22"/>
          <w:lang w:val="es-ES_tradnl"/>
        </w:rPr>
        <w:t xml:space="preserve"> </w:t>
      </w:r>
      <w:r w:rsidR="000323C6" w:rsidRPr="00D17E59">
        <w:rPr>
          <w:rFonts w:ascii="Arial" w:eastAsia="Calibri" w:hAnsi="Arial" w:cs="Arial"/>
          <w:color w:val="000000" w:themeColor="text1"/>
          <w:sz w:val="22"/>
          <w:szCs w:val="22"/>
          <w:lang w:val="es-ES_tradnl"/>
        </w:rPr>
        <w:t>regía</w:t>
      </w:r>
      <w:r w:rsidR="00384494" w:rsidRPr="00D17E59">
        <w:rPr>
          <w:rFonts w:ascii="Arial" w:eastAsia="Calibri" w:hAnsi="Arial" w:cs="Arial"/>
          <w:color w:val="000000" w:themeColor="text1"/>
          <w:sz w:val="22"/>
          <w:szCs w:val="22"/>
          <w:lang w:val="es-ES_tradnl"/>
        </w:rPr>
        <w:t xml:space="preserve"> las convocatorias limitadas a </w:t>
      </w:r>
      <w:proofErr w:type="spellStart"/>
      <w:r w:rsidR="00384494" w:rsidRPr="00D17E59">
        <w:rPr>
          <w:rFonts w:ascii="Arial" w:eastAsia="Calibri" w:hAnsi="Arial" w:cs="Arial"/>
          <w:color w:val="000000" w:themeColor="text1"/>
          <w:sz w:val="22"/>
          <w:szCs w:val="22"/>
          <w:lang w:val="es-ES_tradnl"/>
        </w:rPr>
        <w:t>mipymes</w:t>
      </w:r>
      <w:proofErr w:type="spellEnd"/>
      <w:r w:rsidR="00384494" w:rsidRPr="00D17E59">
        <w:rPr>
          <w:rFonts w:ascii="Arial" w:eastAsia="Calibri" w:hAnsi="Arial" w:cs="Arial"/>
          <w:color w:val="000000" w:themeColor="text1"/>
          <w:sz w:val="22"/>
          <w:szCs w:val="22"/>
          <w:lang w:val="es-ES_tradnl"/>
        </w:rPr>
        <w:t>.</w:t>
      </w:r>
      <w:r w:rsidR="009477BD" w:rsidRPr="00D17E59">
        <w:rPr>
          <w:rFonts w:ascii="Arial" w:eastAsia="Calibri" w:hAnsi="Arial" w:cs="Arial"/>
          <w:color w:val="000000" w:themeColor="text1"/>
          <w:sz w:val="22"/>
          <w:szCs w:val="22"/>
          <w:lang w:val="es-ES_tradnl"/>
        </w:rPr>
        <w:t xml:space="preserve"> En opinión de esta Agencia</w:t>
      </w:r>
      <w:r w:rsidR="000323C6" w:rsidRPr="00D17E59">
        <w:rPr>
          <w:rFonts w:ascii="Arial" w:eastAsia="Calibri" w:hAnsi="Arial" w:cs="Arial"/>
          <w:color w:val="000000" w:themeColor="text1"/>
          <w:sz w:val="22"/>
          <w:szCs w:val="22"/>
          <w:lang w:val="es-ES_tradnl"/>
        </w:rPr>
        <w:t>,</w:t>
      </w:r>
      <w:r w:rsidR="009477BD" w:rsidRPr="00D17E59">
        <w:rPr>
          <w:rFonts w:ascii="Arial" w:eastAsia="Calibri" w:hAnsi="Arial" w:cs="Arial"/>
          <w:color w:val="000000" w:themeColor="text1"/>
          <w:sz w:val="22"/>
          <w:szCs w:val="22"/>
          <w:lang w:val="es-ES_tradnl"/>
        </w:rPr>
        <w:t xml:space="preserve"> dicho artículo del Decreto reglamentario</w:t>
      </w:r>
      <w:r w:rsidR="00ED572F" w:rsidRPr="00D17E59">
        <w:rPr>
          <w:rFonts w:ascii="Arial" w:eastAsia="Calibri" w:hAnsi="Arial" w:cs="Arial"/>
          <w:color w:val="000000" w:themeColor="text1"/>
          <w:sz w:val="22"/>
          <w:szCs w:val="22"/>
          <w:lang w:val="es-ES_tradnl"/>
        </w:rPr>
        <w:t xml:space="preserve"> </w:t>
      </w:r>
      <w:r w:rsidR="00BF775D" w:rsidRPr="00D17E59">
        <w:rPr>
          <w:rFonts w:ascii="Arial" w:eastAsia="Calibri" w:hAnsi="Arial" w:cs="Arial"/>
          <w:color w:val="000000" w:themeColor="text1"/>
          <w:sz w:val="22"/>
          <w:szCs w:val="22"/>
          <w:lang w:val="es-ES_tradnl"/>
        </w:rPr>
        <w:t>no está vigente</w:t>
      </w:r>
      <w:r w:rsidR="00ED572F" w:rsidRPr="00D17E59">
        <w:rPr>
          <w:rFonts w:ascii="Arial" w:eastAsia="Calibri" w:hAnsi="Arial" w:cs="Arial"/>
          <w:color w:val="000000" w:themeColor="text1"/>
          <w:sz w:val="22"/>
          <w:szCs w:val="22"/>
          <w:lang w:val="es-ES_tradnl"/>
        </w:rPr>
        <w:t>, porque su contenido es contrario a</w:t>
      </w:r>
      <w:r w:rsidR="0062267E" w:rsidRPr="00D17E59">
        <w:rPr>
          <w:rFonts w:ascii="Arial" w:eastAsia="Calibri" w:hAnsi="Arial" w:cs="Arial"/>
          <w:color w:val="000000" w:themeColor="text1"/>
          <w:sz w:val="22"/>
          <w:szCs w:val="22"/>
          <w:lang w:val="es-ES_tradnl"/>
        </w:rPr>
        <w:t>l del artículo 34 de la Ley 2069 de 2020. En tal sentido, ha perdido fuerza ejecutoria</w:t>
      </w:r>
      <w:r w:rsidR="00F802B0" w:rsidRPr="00D17E59">
        <w:rPr>
          <w:rFonts w:ascii="Arial" w:eastAsia="Calibri" w:hAnsi="Arial" w:cs="Arial"/>
          <w:color w:val="000000" w:themeColor="text1"/>
          <w:sz w:val="22"/>
          <w:szCs w:val="22"/>
          <w:lang w:val="es-ES_tradnl"/>
        </w:rPr>
        <w:t xml:space="preserve">, de conformidad con el artículo </w:t>
      </w:r>
      <w:r w:rsidR="007034D9" w:rsidRPr="00D17E59">
        <w:rPr>
          <w:rFonts w:ascii="Arial" w:eastAsia="Calibri" w:hAnsi="Arial" w:cs="Arial"/>
          <w:color w:val="000000" w:themeColor="text1"/>
          <w:sz w:val="22"/>
          <w:szCs w:val="22"/>
          <w:lang w:val="es-ES_tradnl"/>
        </w:rPr>
        <w:t>91, numeral 2, de la Ley 1437 de 2011</w:t>
      </w:r>
      <w:r w:rsidR="007936E2" w:rsidRPr="00D17E59">
        <w:rPr>
          <w:rFonts w:ascii="Arial" w:eastAsia="Calibri" w:hAnsi="Arial" w:cs="Arial"/>
          <w:color w:val="000000" w:themeColor="text1"/>
          <w:sz w:val="22"/>
          <w:szCs w:val="22"/>
          <w:lang w:val="es-ES_tradnl"/>
        </w:rPr>
        <w:t>, el cual establece que los actos administrativos –categoría que</w:t>
      </w:r>
      <w:r w:rsidR="00AD0861" w:rsidRPr="00D17E59">
        <w:rPr>
          <w:rFonts w:ascii="Arial" w:eastAsia="Calibri" w:hAnsi="Arial" w:cs="Arial"/>
          <w:color w:val="000000" w:themeColor="text1"/>
          <w:sz w:val="22"/>
          <w:szCs w:val="22"/>
          <w:lang w:val="es-ES_tradnl"/>
        </w:rPr>
        <w:t>,</w:t>
      </w:r>
      <w:r w:rsidR="004278D8" w:rsidRPr="00D17E59">
        <w:rPr>
          <w:rFonts w:ascii="Arial" w:eastAsia="Calibri" w:hAnsi="Arial" w:cs="Arial"/>
          <w:color w:val="000000" w:themeColor="text1"/>
          <w:sz w:val="22"/>
          <w:szCs w:val="22"/>
          <w:lang w:val="es-ES_tradnl"/>
        </w:rPr>
        <w:t xml:space="preserve"> como es sabido, </w:t>
      </w:r>
      <w:r w:rsidR="007936E2" w:rsidRPr="00D17E59">
        <w:rPr>
          <w:rFonts w:ascii="Arial" w:eastAsia="Calibri" w:hAnsi="Arial" w:cs="Arial"/>
          <w:color w:val="000000" w:themeColor="text1"/>
          <w:sz w:val="22"/>
          <w:szCs w:val="22"/>
          <w:lang w:val="es-ES_tradnl"/>
        </w:rPr>
        <w:t>incluye los decretos reglamentarios–</w:t>
      </w:r>
      <w:r w:rsidR="008D4596" w:rsidRPr="00D17E59">
        <w:rPr>
          <w:rFonts w:ascii="Arial" w:eastAsia="Calibri" w:hAnsi="Arial" w:cs="Arial"/>
          <w:color w:val="000000" w:themeColor="text1"/>
          <w:sz w:val="22"/>
          <w:szCs w:val="22"/>
          <w:lang w:val="es-ES_tradnl"/>
        </w:rPr>
        <w:t xml:space="preserve"> dejan de ser obligatorios o decaen «Cuando desaparezcan sus fundamentos de hecho o de derecho».</w:t>
      </w:r>
      <w:r w:rsidR="00772AAF" w:rsidRPr="00D17E59">
        <w:rPr>
          <w:rFonts w:ascii="Arial" w:eastAsia="Calibri" w:hAnsi="Arial" w:cs="Arial"/>
          <w:color w:val="000000" w:themeColor="text1"/>
          <w:sz w:val="22"/>
          <w:szCs w:val="22"/>
          <w:lang w:val="es-ES_tradnl"/>
        </w:rPr>
        <w:t xml:space="preserve"> </w:t>
      </w:r>
    </w:p>
    <w:p w14:paraId="5D1BA105" w14:textId="3C48BEB7" w:rsidR="00A06EB6" w:rsidRPr="00D17E59" w:rsidRDefault="008D4596" w:rsidP="00772AA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Si</w:t>
      </w:r>
      <w:r w:rsidR="00772AAF" w:rsidRPr="00D17E59">
        <w:rPr>
          <w:rFonts w:ascii="Arial" w:eastAsia="Calibri" w:hAnsi="Arial" w:cs="Arial"/>
          <w:color w:val="000000" w:themeColor="text1"/>
          <w:sz w:val="22"/>
          <w:szCs w:val="22"/>
          <w:lang w:val="es-ES_tradnl"/>
        </w:rPr>
        <w:t xml:space="preserve"> los decretos reglamentarios que profiere el Presidente de la República en ejercicio de la potestad que le confiere el artículo 189, numeral 11, de la Constitución Política</w:t>
      </w:r>
      <w:r w:rsidR="00F128D9" w:rsidRPr="00D17E59">
        <w:rPr>
          <w:rFonts w:ascii="Arial" w:eastAsia="Calibri" w:hAnsi="Arial" w:cs="Arial"/>
          <w:color w:val="000000" w:themeColor="text1"/>
          <w:sz w:val="22"/>
          <w:szCs w:val="22"/>
          <w:lang w:val="es-ES_tradnl"/>
        </w:rPr>
        <w:t>, buscan «la cumplida ejecución de las leyes»</w:t>
      </w:r>
      <w:r w:rsidR="008673AE" w:rsidRPr="00D17E59">
        <w:rPr>
          <w:rFonts w:ascii="Arial" w:eastAsia="Calibri" w:hAnsi="Arial" w:cs="Arial"/>
          <w:color w:val="000000" w:themeColor="text1"/>
          <w:sz w:val="22"/>
          <w:szCs w:val="22"/>
          <w:lang w:val="es-ES_tradnl"/>
        </w:rPr>
        <w:t>,</w:t>
      </w:r>
      <w:r w:rsidR="00F128D9" w:rsidRPr="00D17E59">
        <w:rPr>
          <w:rFonts w:ascii="Arial" w:eastAsia="Calibri" w:hAnsi="Arial" w:cs="Arial"/>
          <w:color w:val="000000" w:themeColor="text1"/>
          <w:sz w:val="22"/>
          <w:szCs w:val="22"/>
          <w:lang w:val="es-ES_tradnl"/>
        </w:rPr>
        <w:t xml:space="preserve"> y si la disposición legal que había servido de fundamento a la expedición del artículo 2.2.1.2.4.2.2. del Decreto 1082 de 2015 –es decir, el artículo 12 de la Ley 1150 de 2007– fue </w:t>
      </w:r>
      <w:r w:rsidR="00EF19A5" w:rsidRPr="00D17E59">
        <w:rPr>
          <w:rFonts w:ascii="Arial" w:eastAsia="Calibri" w:hAnsi="Arial" w:cs="Arial"/>
          <w:color w:val="000000" w:themeColor="text1"/>
          <w:sz w:val="22"/>
          <w:szCs w:val="22"/>
          <w:lang w:val="es-ES_tradnl"/>
        </w:rPr>
        <w:t>modificado</w:t>
      </w:r>
      <w:r w:rsidR="00F128D9" w:rsidRPr="00D17E59">
        <w:rPr>
          <w:rFonts w:ascii="Arial" w:eastAsia="Calibri" w:hAnsi="Arial" w:cs="Arial"/>
          <w:color w:val="000000" w:themeColor="text1"/>
          <w:sz w:val="22"/>
          <w:szCs w:val="22"/>
          <w:lang w:val="es-ES_tradnl"/>
        </w:rPr>
        <w:t xml:space="preserve"> por el artículo </w:t>
      </w:r>
      <w:r w:rsidR="00744273" w:rsidRPr="00D17E59">
        <w:rPr>
          <w:rFonts w:ascii="Arial" w:eastAsia="Calibri" w:hAnsi="Arial" w:cs="Arial"/>
          <w:color w:val="000000" w:themeColor="text1"/>
          <w:sz w:val="22"/>
          <w:szCs w:val="22"/>
          <w:lang w:val="es-ES_tradnl"/>
        </w:rPr>
        <w:t>34 de la Ley 2069 de 2020, puede concluirse que la disposición reglamentaria decayó</w:t>
      </w:r>
      <w:r w:rsidR="008673AE" w:rsidRPr="00D17E59">
        <w:rPr>
          <w:rFonts w:ascii="Arial" w:eastAsia="Calibri" w:hAnsi="Arial" w:cs="Arial"/>
          <w:color w:val="000000" w:themeColor="text1"/>
          <w:sz w:val="22"/>
          <w:szCs w:val="22"/>
          <w:lang w:val="es-ES_tradnl"/>
        </w:rPr>
        <w:t>,</w:t>
      </w:r>
      <w:r w:rsidR="00744273" w:rsidRPr="00D17E59">
        <w:rPr>
          <w:rFonts w:ascii="Arial" w:eastAsia="Calibri" w:hAnsi="Arial" w:cs="Arial"/>
          <w:color w:val="000000" w:themeColor="text1"/>
          <w:sz w:val="22"/>
          <w:szCs w:val="22"/>
          <w:lang w:val="es-ES_tradnl"/>
        </w:rPr>
        <w:t xml:space="preserve"> por </w:t>
      </w:r>
      <w:r w:rsidR="008673AE" w:rsidRPr="00D17E59">
        <w:rPr>
          <w:rFonts w:ascii="Arial" w:eastAsia="Calibri" w:hAnsi="Arial" w:cs="Arial"/>
          <w:color w:val="000000" w:themeColor="text1"/>
          <w:sz w:val="22"/>
          <w:szCs w:val="22"/>
          <w:lang w:val="es-ES_tradnl"/>
        </w:rPr>
        <w:t xml:space="preserve">desaparición de su </w:t>
      </w:r>
      <w:r w:rsidR="008673AE" w:rsidRPr="00D17E59">
        <w:rPr>
          <w:rFonts w:ascii="Arial" w:eastAsia="Calibri" w:hAnsi="Arial" w:cs="Arial"/>
          <w:color w:val="000000" w:themeColor="text1"/>
          <w:sz w:val="22"/>
          <w:szCs w:val="22"/>
          <w:lang w:val="es-ES_tradnl"/>
        </w:rPr>
        <w:lastRenderedPageBreak/>
        <w:t>fundamento de derecho</w:t>
      </w:r>
      <w:r w:rsidR="0011318E" w:rsidRPr="00D17E59">
        <w:rPr>
          <w:rFonts w:ascii="Arial" w:eastAsia="Calibri" w:hAnsi="Arial" w:cs="Arial"/>
          <w:color w:val="000000" w:themeColor="text1"/>
          <w:sz w:val="22"/>
          <w:szCs w:val="22"/>
          <w:lang w:val="es-ES_tradnl"/>
        </w:rPr>
        <w:t>.</w:t>
      </w:r>
      <w:r w:rsidR="00EF19A5" w:rsidRPr="00D17E59">
        <w:rPr>
          <w:rFonts w:ascii="Arial" w:eastAsia="Calibri" w:hAnsi="Arial" w:cs="Arial"/>
          <w:color w:val="000000" w:themeColor="text1"/>
          <w:sz w:val="22"/>
          <w:szCs w:val="22"/>
          <w:lang w:val="es-ES_tradnl"/>
        </w:rPr>
        <w:t xml:space="preserve"> Es decir, el fundamento de derecho</w:t>
      </w:r>
      <w:r w:rsidR="00FF44D7" w:rsidRPr="00D17E59">
        <w:rPr>
          <w:rFonts w:ascii="Arial" w:eastAsia="Calibri" w:hAnsi="Arial" w:cs="Arial"/>
          <w:color w:val="000000" w:themeColor="text1"/>
          <w:sz w:val="22"/>
          <w:szCs w:val="22"/>
          <w:lang w:val="es-ES_tradnl"/>
        </w:rPr>
        <w:t xml:space="preserve">, </w:t>
      </w:r>
      <w:r w:rsidR="00EF19A5" w:rsidRPr="00D17E59">
        <w:rPr>
          <w:rFonts w:ascii="Arial" w:eastAsia="Calibri" w:hAnsi="Arial" w:cs="Arial"/>
          <w:color w:val="000000" w:themeColor="text1"/>
          <w:sz w:val="22"/>
          <w:szCs w:val="22"/>
          <w:lang w:val="es-ES_tradnl"/>
        </w:rPr>
        <w:t>que era el contenido del artículo 12</w:t>
      </w:r>
      <w:r w:rsidR="00FF44D7" w:rsidRPr="00D17E59">
        <w:rPr>
          <w:rFonts w:ascii="Arial" w:eastAsia="Calibri" w:hAnsi="Arial" w:cs="Arial"/>
          <w:color w:val="000000" w:themeColor="text1"/>
          <w:sz w:val="22"/>
          <w:szCs w:val="22"/>
          <w:lang w:val="es-ES_tradnl"/>
        </w:rPr>
        <w:t xml:space="preserve"> de la Ley 1150 de 2007</w:t>
      </w:r>
      <w:r w:rsidR="004774C3" w:rsidRPr="00D17E59">
        <w:rPr>
          <w:rFonts w:ascii="Arial" w:eastAsia="Calibri" w:hAnsi="Arial" w:cs="Arial"/>
          <w:color w:val="000000" w:themeColor="text1"/>
          <w:sz w:val="22"/>
          <w:szCs w:val="22"/>
          <w:lang w:val="es-ES_tradnl"/>
        </w:rPr>
        <w:t xml:space="preserve">, </w:t>
      </w:r>
      <w:r w:rsidR="00FF44D7" w:rsidRPr="00D17E59">
        <w:rPr>
          <w:rFonts w:ascii="Arial" w:eastAsia="Calibri" w:hAnsi="Arial" w:cs="Arial"/>
          <w:color w:val="000000" w:themeColor="text1"/>
          <w:sz w:val="22"/>
          <w:szCs w:val="22"/>
          <w:lang w:val="es-ES_tradnl"/>
        </w:rPr>
        <w:t>fue subrogado por el artículo 34 de la Ley 2069 de 2020.</w:t>
      </w:r>
      <w:r w:rsidR="0011318E" w:rsidRPr="00D17E59">
        <w:rPr>
          <w:rFonts w:ascii="Arial" w:eastAsia="Calibri" w:hAnsi="Arial" w:cs="Arial"/>
          <w:color w:val="000000" w:themeColor="text1"/>
          <w:sz w:val="22"/>
          <w:szCs w:val="22"/>
          <w:lang w:val="es-ES_tradnl"/>
        </w:rPr>
        <w:t xml:space="preserve"> Sin embargo, no es solo por una razón formal</w:t>
      </w:r>
      <w:r w:rsidR="006F50C2" w:rsidRPr="00D17E59">
        <w:rPr>
          <w:rFonts w:ascii="Arial" w:eastAsia="Calibri" w:hAnsi="Arial" w:cs="Arial"/>
          <w:color w:val="000000" w:themeColor="text1"/>
          <w:sz w:val="22"/>
          <w:szCs w:val="22"/>
          <w:lang w:val="es-ES_tradnl"/>
        </w:rPr>
        <w:t xml:space="preserve"> que se deduce la pérdida de fuerza ejecutoria del artículo 2.2.1.2.4.2.2. del Decreto 1082 de 2015, sino también por un argumento material, como</w:t>
      </w:r>
      <w:r w:rsidR="00576C8A" w:rsidRPr="00D17E59">
        <w:rPr>
          <w:rFonts w:ascii="Arial" w:eastAsia="Calibri" w:hAnsi="Arial" w:cs="Arial"/>
          <w:color w:val="000000" w:themeColor="text1"/>
          <w:sz w:val="22"/>
          <w:szCs w:val="22"/>
          <w:lang w:val="es-ES_tradnl"/>
        </w:rPr>
        <w:t xml:space="preserve"> se explica a continuación.</w:t>
      </w:r>
    </w:p>
    <w:p w14:paraId="045D18D9" w14:textId="7C5502A8" w:rsidR="00A84935" w:rsidRPr="00D17E59" w:rsidRDefault="00A06EB6" w:rsidP="00772AA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Además de que el artículo 2.2.1.2.4.2.2. del Decreto 1082 de 2015 perdió </w:t>
      </w:r>
      <w:r w:rsidR="004727B1" w:rsidRPr="00D17E59">
        <w:rPr>
          <w:rFonts w:ascii="Arial" w:eastAsia="Calibri" w:hAnsi="Arial" w:cs="Arial"/>
          <w:color w:val="000000" w:themeColor="text1"/>
          <w:sz w:val="22"/>
          <w:szCs w:val="22"/>
          <w:lang w:val="es-ES_tradnl"/>
        </w:rPr>
        <w:t>el</w:t>
      </w:r>
      <w:r w:rsidRPr="00D17E59">
        <w:rPr>
          <w:rFonts w:ascii="Arial" w:eastAsia="Calibri" w:hAnsi="Arial" w:cs="Arial"/>
          <w:color w:val="000000" w:themeColor="text1"/>
          <w:sz w:val="22"/>
          <w:szCs w:val="22"/>
          <w:lang w:val="es-ES_tradnl"/>
        </w:rPr>
        <w:t xml:space="preserve"> fundamento legal</w:t>
      </w:r>
      <w:r w:rsidR="00576C8A" w:rsidRPr="00D17E59">
        <w:rPr>
          <w:rFonts w:ascii="Arial" w:eastAsia="Calibri" w:hAnsi="Arial" w:cs="Arial"/>
          <w:color w:val="000000" w:themeColor="text1"/>
          <w:sz w:val="22"/>
          <w:szCs w:val="22"/>
          <w:lang w:val="es-ES_tradnl"/>
        </w:rPr>
        <w:t>, su contenido es contrario</w:t>
      </w:r>
      <w:r w:rsidR="00F0749E" w:rsidRPr="00D17E59">
        <w:rPr>
          <w:rFonts w:ascii="Arial" w:eastAsia="Calibri" w:hAnsi="Arial" w:cs="Arial"/>
          <w:color w:val="000000" w:themeColor="text1"/>
          <w:sz w:val="22"/>
          <w:szCs w:val="22"/>
          <w:lang w:val="es-ES_tradnl"/>
        </w:rPr>
        <w:t xml:space="preserve"> al del nuevo artículo 12 de la Ley 1150 de 2007, modificado por el artículo 34 de la Ley 2069 de 2020.</w:t>
      </w:r>
      <w:r w:rsidR="00641899" w:rsidRPr="00D17E59">
        <w:rPr>
          <w:rFonts w:ascii="Arial" w:eastAsia="Calibri" w:hAnsi="Arial" w:cs="Arial"/>
          <w:color w:val="000000" w:themeColor="text1"/>
          <w:sz w:val="22"/>
          <w:szCs w:val="22"/>
          <w:lang w:val="es-ES_tradnl"/>
        </w:rPr>
        <w:t xml:space="preserve"> En efecto, </w:t>
      </w:r>
      <w:r w:rsidR="00E40FB8" w:rsidRPr="00D17E59">
        <w:rPr>
          <w:rFonts w:ascii="Arial" w:eastAsia="Calibri" w:hAnsi="Arial" w:cs="Arial"/>
          <w:color w:val="000000" w:themeColor="text1"/>
          <w:sz w:val="22"/>
          <w:szCs w:val="22"/>
          <w:lang w:val="es-ES_tradnl"/>
        </w:rPr>
        <w:t xml:space="preserve">este </w:t>
      </w:r>
      <w:r w:rsidR="006D62EA" w:rsidRPr="00D17E59">
        <w:rPr>
          <w:rFonts w:ascii="Arial" w:eastAsia="Calibri" w:hAnsi="Arial" w:cs="Arial"/>
          <w:color w:val="000000" w:themeColor="text1"/>
          <w:sz w:val="22"/>
          <w:szCs w:val="22"/>
          <w:lang w:val="es-ES_tradnl"/>
        </w:rPr>
        <w:t xml:space="preserve">último </w:t>
      </w:r>
      <w:r w:rsidR="00E40FB8" w:rsidRPr="00D17E59">
        <w:rPr>
          <w:rFonts w:ascii="Arial" w:eastAsia="Calibri" w:hAnsi="Arial" w:cs="Arial"/>
          <w:color w:val="000000" w:themeColor="text1"/>
          <w:sz w:val="22"/>
          <w:szCs w:val="22"/>
          <w:lang w:val="es-ES_tradnl"/>
        </w:rPr>
        <w:t>artículo no consagra las mismas exigencias para la</w:t>
      </w:r>
      <w:r w:rsidR="001B3B25" w:rsidRPr="00D17E59">
        <w:rPr>
          <w:rFonts w:ascii="Arial" w:eastAsia="Calibri" w:hAnsi="Arial" w:cs="Arial"/>
          <w:color w:val="000000" w:themeColor="text1"/>
          <w:sz w:val="22"/>
          <w:szCs w:val="22"/>
          <w:lang w:val="es-ES_tradnl"/>
        </w:rPr>
        <w:t>s</w:t>
      </w:r>
      <w:r w:rsidR="00E40FB8" w:rsidRPr="00D17E59">
        <w:rPr>
          <w:rFonts w:ascii="Arial" w:eastAsia="Calibri" w:hAnsi="Arial" w:cs="Arial"/>
          <w:color w:val="000000" w:themeColor="text1"/>
          <w:sz w:val="22"/>
          <w:szCs w:val="22"/>
          <w:lang w:val="es-ES_tradnl"/>
        </w:rPr>
        <w:t xml:space="preserve"> convocatoria</w:t>
      </w:r>
      <w:r w:rsidR="001B3B25" w:rsidRPr="00D17E59">
        <w:rPr>
          <w:rFonts w:ascii="Arial" w:eastAsia="Calibri" w:hAnsi="Arial" w:cs="Arial"/>
          <w:color w:val="000000" w:themeColor="text1"/>
          <w:sz w:val="22"/>
          <w:szCs w:val="22"/>
          <w:lang w:val="es-ES_tradnl"/>
        </w:rPr>
        <w:t>s</w:t>
      </w:r>
      <w:r w:rsidR="00E40FB8" w:rsidRPr="00D17E59">
        <w:rPr>
          <w:rFonts w:ascii="Arial" w:eastAsia="Calibri" w:hAnsi="Arial" w:cs="Arial"/>
          <w:color w:val="000000" w:themeColor="text1"/>
          <w:sz w:val="22"/>
          <w:szCs w:val="22"/>
          <w:lang w:val="es-ES_tradnl"/>
        </w:rPr>
        <w:t xml:space="preserve"> limitada</w:t>
      </w:r>
      <w:r w:rsidR="001B3B25" w:rsidRPr="00D17E59">
        <w:rPr>
          <w:rFonts w:ascii="Arial" w:eastAsia="Calibri" w:hAnsi="Arial" w:cs="Arial"/>
          <w:color w:val="000000" w:themeColor="text1"/>
          <w:sz w:val="22"/>
          <w:szCs w:val="22"/>
          <w:lang w:val="es-ES_tradnl"/>
        </w:rPr>
        <w:t>s</w:t>
      </w:r>
      <w:r w:rsidR="00E40FB8" w:rsidRPr="00D17E59">
        <w:rPr>
          <w:rFonts w:ascii="Arial" w:eastAsia="Calibri" w:hAnsi="Arial" w:cs="Arial"/>
          <w:color w:val="000000" w:themeColor="text1"/>
          <w:sz w:val="22"/>
          <w:szCs w:val="22"/>
          <w:lang w:val="es-ES_tradnl"/>
        </w:rPr>
        <w:t xml:space="preserve"> a </w:t>
      </w:r>
      <w:proofErr w:type="spellStart"/>
      <w:r w:rsidR="00E40FB8" w:rsidRPr="00D17E59">
        <w:rPr>
          <w:rFonts w:ascii="Arial" w:eastAsia="Calibri" w:hAnsi="Arial" w:cs="Arial"/>
          <w:color w:val="000000" w:themeColor="text1"/>
          <w:sz w:val="22"/>
          <w:szCs w:val="22"/>
          <w:lang w:val="es-ES_tradnl"/>
        </w:rPr>
        <w:t>mipymes</w:t>
      </w:r>
      <w:proofErr w:type="spellEnd"/>
      <w:r w:rsidR="001B3B25" w:rsidRPr="00D17E59">
        <w:rPr>
          <w:rFonts w:ascii="Arial" w:eastAsia="Calibri" w:hAnsi="Arial" w:cs="Arial"/>
          <w:color w:val="000000" w:themeColor="text1"/>
          <w:sz w:val="22"/>
          <w:szCs w:val="22"/>
          <w:lang w:val="es-ES_tradnl"/>
        </w:rPr>
        <w:t>. Concretamente</w:t>
      </w:r>
      <w:r w:rsidR="004774C3" w:rsidRPr="00D17E59">
        <w:rPr>
          <w:rFonts w:ascii="Arial" w:eastAsia="Calibri" w:hAnsi="Arial" w:cs="Arial"/>
          <w:color w:val="000000" w:themeColor="text1"/>
          <w:sz w:val="22"/>
          <w:szCs w:val="22"/>
          <w:lang w:val="es-ES_tradnl"/>
        </w:rPr>
        <w:t xml:space="preserve">, </w:t>
      </w:r>
      <w:r w:rsidR="001B3B25" w:rsidRPr="00D17E59">
        <w:rPr>
          <w:rFonts w:ascii="Arial" w:eastAsia="Calibri" w:hAnsi="Arial" w:cs="Arial"/>
          <w:color w:val="000000" w:themeColor="text1"/>
          <w:sz w:val="22"/>
          <w:szCs w:val="22"/>
          <w:lang w:val="es-ES_tradnl"/>
        </w:rPr>
        <w:t xml:space="preserve">no incluye </w:t>
      </w:r>
      <w:r w:rsidR="00940207" w:rsidRPr="00D17E59">
        <w:rPr>
          <w:rFonts w:ascii="Arial" w:eastAsia="Calibri" w:hAnsi="Arial" w:cs="Arial"/>
          <w:color w:val="000000" w:themeColor="text1"/>
          <w:sz w:val="22"/>
          <w:szCs w:val="22"/>
          <w:lang w:val="es-ES_tradnl"/>
        </w:rPr>
        <w:t xml:space="preserve">todos </w:t>
      </w:r>
      <w:r w:rsidR="001B3B25" w:rsidRPr="00D17E59">
        <w:rPr>
          <w:rFonts w:ascii="Arial" w:eastAsia="Calibri" w:hAnsi="Arial" w:cs="Arial"/>
          <w:color w:val="000000" w:themeColor="text1"/>
          <w:sz w:val="22"/>
          <w:szCs w:val="22"/>
          <w:lang w:val="es-ES_tradnl"/>
        </w:rPr>
        <w:t>los requisitos</w:t>
      </w:r>
      <w:r w:rsidR="00940207" w:rsidRPr="00D17E59">
        <w:rPr>
          <w:rFonts w:ascii="Arial" w:eastAsia="Calibri" w:hAnsi="Arial" w:cs="Arial"/>
          <w:color w:val="000000" w:themeColor="text1"/>
          <w:sz w:val="22"/>
          <w:szCs w:val="22"/>
          <w:lang w:val="es-ES_tradnl"/>
        </w:rPr>
        <w:t xml:space="preserve"> </w:t>
      </w:r>
      <w:r w:rsidR="001B3B25" w:rsidRPr="00D17E59">
        <w:rPr>
          <w:rFonts w:ascii="Arial" w:eastAsia="Calibri" w:hAnsi="Arial" w:cs="Arial"/>
          <w:color w:val="000000" w:themeColor="text1"/>
          <w:sz w:val="22"/>
          <w:szCs w:val="22"/>
          <w:lang w:val="es-ES_tradnl"/>
        </w:rPr>
        <w:t>que</w:t>
      </w:r>
      <w:r w:rsidR="00940207" w:rsidRPr="00D17E59">
        <w:rPr>
          <w:rFonts w:ascii="Arial" w:eastAsia="Calibri" w:hAnsi="Arial" w:cs="Arial"/>
          <w:color w:val="000000" w:themeColor="text1"/>
          <w:sz w:val="22"/>
          <w:szCs w:val="22"/>
          <w:lang w:val="es-ES_tradnl"/>
        </w:rPr>
        <w:t>,</w:t>
      </w:r>
      <w:r w:rsidR="001B3B25" w:rsidRPr="00D17E59">
        <w:rPr>
          <w:rFonts w:ascii="Arial" w:eastAsia="Calibri" w:hAnsi="Arial" w:cs="Arial"/>
          <w:color w:val="000000" w:themeColor="text1"/>
          <w:sz w:val="22"/>
          <w:szCs w:val="22"/>
          <w:lang w:val="es-ES_tradnl"/>
        </w:rPr>
        <w:t xml:space="preserve"> hasta la entrada en vigencia de la Ley 2069 de 2020, establecía el </w:t>
      </w:r>
      <w:r w:rsidR="00E90067" w:rsidRPr="00D17E59">
        <w:rPr>
          <w:rFonts w:ascii="Arial" w:eastAsia="Calibri" w:hAnsi="Arial" w:cs="Arial"/>
          <w:color w:val="000000" w:themeColor="text1"/>
          <w:sz w:val="22"/>
          <w:szCs w:val="22"/>
          <w:lang w:val="es-ES_tradnl"/>
        </w:rPr>
        <w:t>artículo 2.2.1.2.4.2.2. del Decreto 1082 de 2015. Esta norma indicaba</w:t>
      </w:r>
      <w:r w:rsidR="000C47E0" w:rsidRPr="00D17E59">
        <w:rPr>
          <w:rFonts w:ascii="Arial" w:eastAsia="Calibri" w:hAnsi="Arial" w:cs="Arial"/>
          <w:color w:val="000000" w:themeColor="text1"/>
          <w:sz w:val="22"/>
          <w:szCs w:val="22"/>
          <w:lang w:val="es-ES_tradnl"/>
        </w:rPr>
        <w:t xml:space="preserve"> en </w:t>
      </w:r>
      <w:r w:rsidR="00BF0B32" w:rsidRPr="00D17E59">
        <w:rPr>
          <w:rFonts w:ascii="Arial" w:eastAsia="Calibri" w:hAnsi="Arial" w:cs="Arial"/>
          <w:color w:val="000000" w:themeColor="text1"/>
          <w:sz w:val="22"/>
          <w:szCs w:val="22"/>
          <w:lang w:val="es-ES_tradnl"/>
        </w:rPr>
        <w:t>su</w:t>
      </w:r>
      <w:r w:rsidR="000C47E0" w:rsidRPr="00D17E59">
        <w:rPr>
          <w:rFonts w:ascii="Arial" w:eastAsia="Calibri" w:hAnsi="Arial" w:cs="Arial"/>
          <w:color w:val="000000" w:themeColor="text1"/>
          <w:sz w:val="22"/>
          <w:szCs w:val="22"/>
          <w:lang w:val="es-ES_tradnl"/>
        </w:rPr>
        <w:t xml:space="preserve"> </w:t>
      </w:r>
      <w:r w:rsidR="00BF0B32" w:rsidRPr="00D17E59">
        <w:rPr>
          <w:rFonts w:ascii="Arial" w:eastAsia="Calibri" w:hAnsi="Arial" w:cs="Arial"/>
          <w:color w:val="000000" w:themeColor="text1"/>
          <w:sz w:val="22"/>
          <w:szCs w:val="22"/>
          <w:lang w:val="es-ES_tradnl"/>
        </w:rPr>
        <w:t>primer inciso</w:t>
      </w:r>
      <w:r w:rsidR="000C47E0" w:rsidRPr="00D17E59">
        <w:rPr>
          <w:rFonts w:ascii="Arial" w:eastAsia="Calibri" w:hAnsi="Arial" w:cs="Arial"/>
          <w:color w:val="000000" w:themeColor="text1"/>
          <w:sz w:val="22"/>
          <w:szCs w:val="22"/>
          <w:lang w:val="es-ES_tradnl"/>
        </w:rPr>
        <w:t xml:space="preserve"> que</w:t>
      </w:r>
      <w:r w:rsidR="009E13D2" w:rsidRPr="00D17E59">
        <w:rPr>
          <w:rFonts w:ascii="Arial" w:eastAsia="Calibri" w:hAnsi="Arial" w:cs="Arial"/>
          <w:color w:val="000000" w:themeColor="text1"/>
          <w:sz w:val="22"/>
          <w:szCs w:val="22"/>
          <w:lang w:val="es-ES_tradnl"/>
        </w:rPr>
        <w:t xml:space="preserve"> </w:t>
      </w:r>
      <w:r w:rsidR="000C47E0" w:rsidRPr="00D17E59">
        <w:rPr>
          <w:rFonts w:ascii="Arial" w:eastAsia="Calibri" w:hAnsi="Arial" w:cs="Arial"/>
          <w:color w:val="000000" w:themeColor="text1"/>
          <w:sz w:val="22"/>
          <w:szCs w:val="22"/>
          <w:lang w:val="es-ES_tradnl"/>
        </w:rPr>
        <w:t xml:space="preserve">la entidad estatal </w:t>
      </w:r>
      <w:r w:rsidR="00BF0B32" w:rsidRPr="00D17E59">
        <w:rPr>
          <w:rFonts w:ascii="Arial" w:eastAsia="Calibri" w:hAnsi="Arial" w:cs="Arial"/>
          <w:color w:val="000000" w:themeColor="text1"/>
          <w:sz w:val="22"/>
          <w:szCs w:val="22"/>
          <w:lang w:val="es-ES_tradnl"/>
        </w:rPr>
        <w:t>solo podía</w:t>
      </w:r>
      <w:r w:rsidR="000C47E0" w:rsidRPr="00D17E59">
        <w:rPr>
          <w:rFonts w:ascii="Arial" w:eastAsia="Calibri" w:hAnsi="Arial" w:cs="Arial"/>
          <w:color w:val="000000" w:themeColor="text1"/>
          <w:sz w:val="22"/>
          <w:szCs w:val="22"/>
          <w:lang w:val="es-ES_tradnl"/>
        </w:rPr>
        <w:t xml:space="preserve"> limitar</w:t>
      </w:r>
      <w:r w:rsidR="00BF0B32" w:rsidRPr="00D17E59">
        <w:rPr>
          <w:rFonts w:ascii="Arial" w:eastAsia="Calibri" w:hAnsi="Arial" w:cs="Arial"/>
          <w:color w:val="000000" w:themeColor="text1"/>
          <w:sz w:val="22"/>
          <w:szCs w:val="22"/>
          <w:lang w:val="es-ES_tradnl"/>
        </w:rPr>
        <w:t xml:space="preserve"> la convocatoria a las </w:t>
      </w:r>
      <w:proofErr w:type="spellStart"/>
      <w:r w:rsidR="00BF0B32" w:rsidRPr="00D17E59">
        <w:rPr>
          <w:rFonts w:ascii="Arial" w:eastAsia="Calibri" w:hAnsi="Arial" w:cs="Arial"/>
          <w:color w:val="000000" w:themeColor="text1"/>
          <w:sz w:val="22"/>
          <w:szCs w:val="22"/>
          <w:lang w:val="es-ES_tradnl"/>
        </w:rPr>
        <w:t>mipymes</w:t>
      </w:r>
      <w:proofErr w:type="spellEnd"/>
      <w:r w:rsidR="00BF0B32" w:rsidRPr="00D17E59">
        <w:rPr>
          <w:rFonts w:ascii="Arial" w:eastAsia="Calibri" w:hAnsi="Arial" w:cs="Arial"/>
          <w:color w:val="000000" w:themeColor="text1"/>
          <w:sz w:val="22"/>
          <w:szCs w:val="22"/>
          <w:lang w:val="es-ES_tradnl"/>
        </w:rPr>
        <w:t xml:space="preserve"> nacionales</w:t>
      </w:r>
      <w:r w:rsidR="0075022F" w:rsidRPr="00D17E59">
        <w:rPr>
          <w:rFonts w:ascii="Arial" w:eastAsia="Calibri" w:hAnsi="Arial" w:cs="Arial"/>
          <w:color w:val="000000" w:themeColor="text1"/>
          <w:sz w:val="22"/>
          <w:szCs w:val="22"/>
          <w:lang w:val="es-ES_tradnl"/>
        </w:rPr>
        <w:t xml:space="preserve"> si se trataba de procesos de selección de licitación pública, selección abreviada y concursos de méritos</w:t>
      </w:r>
      <w:r w:rsidR="00503534" w:rsidRPr="00D17E59">
        <w:rPr>
          <w:rFonts w:ascii="Arial" w:eastAsia="Calibri" w:hAnsi="Arial" w:cs="Arial"/>
          <w:color w:val="000000" w:themeColor="text1"/>
          <w:sz w:val="22"/>
          <w:szCs w:val="22"/>
          <w:lang w:val="es-ES_tradnl"/>
        </w:rPr>
        <w:t>. Por su parte, tal restricción no se encuentra en el artículo 34 de la Ley 2069 de 2020.</w:t>
      </w:r>
    </w:p>
    <w:p w14:paraId="63F6170C" w14:textId="58D5D25C" w:rsidR="00503534" w:rsidRPr="00D17E59" w:rsidRDefault="00503534" w:rsidP="00772AA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Adicionalmente, el numeral 1 del artículo 2.2.1.2.4.2.2. del Decreto 1082 de 2015</w:t>
      </w:r>
      <w:r w:rsidR="00B12FBB" w:rsidRPr="00D17E59">
        <w:rPr>
          <w:rFonts w:ascii="Arial" w:eastAsia="Calibri" w:hAnsi="Arial" w:cs="Arial"/>
          <w:color w:val="000000" w:themeColor="text1"/>
          <w:sz w:val="22"/>
          <w:szCs w:val="22"/>
          <w:lang w:val="es-ES_tradnl"/>
        </w:rPr>
        <w:t xml:space="preserve"> exigía que el valor del proceso de contratación</w:t>
      </w:r>
      <w:r w:rsidR="009838C1" w:rsidRPr="00D17E59">
        <w:rPr>
          <w:rFonts w:ascii="Arial" w:eastAsia="Calibri" w:hAnsi="Arial" w:cs="Arial"/>
          <w:color w:val="000000" w:themeColor="text1"/>
          <w:sz w:val="22"/>
          <w:szCs w:val="22"/>
          <w:lang w:val="es-ES_tradnl"/>
        </w:rPr>
        <w:t xml:space="preserve"> en el que pretendiera limitarse la convocatoria a </w:t>
      </w:r>
      <w:proofErr w:type="spellStart"/>
      <w:r w:rsidR="009838C1" w:rsidRPr="00D17E59">
        <w:rPr>
          <w:rFonts w:ascii="Arial" w:eastAsia="Calibri" w:hAnsi="Arial" w:cs="Arial"/>
          <w:color w:val="000000" w:themeColor="text1"/>
          <w:sz w:val="22"/>
          <w:szCs w:val="22"/>
          <w:lang w:val="es-ES_tradnl"/>
        </w:rPr>
        <w:t>mipymes</w:t>
      </w:r>
      <w:proofErr w:type="spellEnd"/>
      <w:r w:rsidR="009838C1" w:rsidRPr="00D17E59">
        <w:rPr>
          <w:rFonts w:ascii="Arial" w:eastAsia="Calibri" w:hAnsi="Arial" w:cs="Arial"/>
          <w:color w:val="000000" w:themeColor="text1"/>
          <w:sz w:val="22"/>
          <w:szCs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en</w:t>
      </w:r>
      <w:r w:rsidR="006A4249" w:rsidRPr="00D17E59">
        <w:rPr>
          <w:rFonts w:ascii="Arial" w:eastAsia="Calibri" w:hAnsi="Arial" w:cs="Arial"/>
          <w:color w:val="000000" w:themeColor="text1"/>
          <w:sz w:val="22"/>
          <w:szCs w:val="22"/>
          <w:lang w:val="es-ES_tradnl"/>
        </w:rPr>
        <w:t xml:space="preserve"> el artículo 34 de la Ley 2069 de 2020.</w:t>
      </w:r>
    </w:p>
    <w:p w14:paraId="69F50883" w14:textId="77777777" w:rsidR="00430D44" w:rsidRPr="00D17E59" w:rsidRDefault="00773131" w:rsidP="00772AA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A lo anterior debe agregarse que mientras la nueva disposición legal</w:t>
      </w:r>
      <w:r w:rsidR="00BB7B13" w:rsidRPr="00D17E59">
        <w:rPr>
          <w:rFonts w:ascii="Arial" w:eastAsia="Calibri" w:hAnsi="Arial" w:cs="Arial"/>
          <w:color w:val="000000" w:themeColor="text1"/>
          <w:sz w:val="22"/>
          <w:szCs w:val="22"/>
          <w:lang w:val="es-ES_tradnl"/>
        </w:rPr>
        <w:t xml:space="preserve"> indica que la convocatoria limitada a </w:t>
      </w:r>
      <w:proofErr w:type="spellStart"/>
      <w:r w:rsidR="00BB7B13" w:rsidRPr="00D17E59">
        <w:rPr>
          <w:rFonts w:ascii="Arial" w:eastAsia="Calibri" w:hAnsi="Arial" w:cs="Arial"/>
          <w:color w:val="000000" w:themeColor="text1"/>
          <w:sz w:val="22"/>
          <w:szCs w:val="22"/>
          <w:lang w:val="es-ES_tradnl"/>
        </w:rPr>
        <w:t>mipymes</w:t>
      </w:r>
      <w:proofErr w:type="spellEnd"/>
      <w:r w:rsidR="00BB7B13" w:rsidRPr="00D17E59">
        <w:rPr>
          <w:rFonts w:ascii="Arial" w:eastAsia="Calibri" w:hAnsi="Arial" w:cs="Arial"/>
          <w:color w:val="000000" w:themeColor="text1"/>
          <w:sz w:val="22"/>
          <w:szCs w:val="22"/>
          <w:lang w:val="es-ES_tradnl"/>
        </w:rPr>
        <w:t xml:space="preserve"> </w:t>
      </w:r>
      <w:r w:rsidR="0034713F" w:rsidRPr="00D17E59">
        <w:rPr>
          <w:rFonts w:ascii="Arial" w:eastAsia="Calibri" w:hAnsi="Arial" w:cs="Arial"/>
          <w:color w:val="000000" w:themeColor="text1"/>
          <w:sz w:val="22"/>
          <w:szCs w:val="22"/>
          <w:lang w:val="es-ES_tradnl"/>
        </w:rPr>
        <w:t xml:space="preserve">debe hacerse cuando por lo menos </w:t>
      </w:r>
      <w:r w:rsidR="0034713F" w:rsidRPr="00D17E59">
        <w:rPr>
          <w:rFonts w:ascii="Arial" w:eastAsia="Calibri" w:hAnsi="Arial" w:cs="Arial"/>
          <w:i/>
          <w:iCs/>
          <w:color w:val="000000" w:themeColor="text1"/>
          <w:sz w:val="22"/>
          <w:szCs w:val="22"/>
          <w:lang w:val="es-ES_tradnl"/>
        </w:rPr>
        <w:t>dos (2)</w:t>
      </w:r>
      <w:r w:rsidR="0034713F" w:rsidRPr="00D17E59">
        <w:rPr>
          <w:rFonts w:ascii="Arial" w:eastAsia="Calibri" w:hAnsi="Arial" w:cs="Arial"/>
          <w:color w:val="000000" w:themeColor="text1"/>
          <w:sz w:val="22"/>
          <w:szCs w:val="22"/>
          <w:lang w:val="es-ES_tradnl"/>
        </w:rPr>
        <w:t xml:space="preserve"> de estas hayan manifestado su interés antes de la resolución de apertura del proceso respectivo, el artículo</w:t>
      </w:r>
      <w:r w:rsidR="00636C0C" w:rsidRPr="00D17E59">
        <w:rPr>
          <w:rFonts w:ascii="Arial" w:eastAsia="Calibri" w:hAnsi="Arial" w:cs="Arial"/>
          <w:color w:val="000000" w:themeColor="text1"/>
          <w:sz w:val="22"/>
          <w:szCs w:val="22"/>
          <w:lang w:val="es-ES_tradnl"/>
        </w:rPr>
        <w:t xml:space="preserve"> 2.2.1.2.4.2.2. del Decreto 1082 de 2015 condicionaba la limitación de la convocatoria a que la entidad estatal hubiera recibido</w:t>
      </w:r>
      <w:r w:rsidR="00401533" w:rsidRPr="00D17E59">
        <w:rPr>
          <w:rFonts w:ascii="Arial" w:eastAsia="Calibri" w:hAnsi="Arial" w:cs="Arial"/>
          <w:color w:val="000000" w:themeColor="text1"/>
          <w:sz w:val="22"/>
          <w:szCs w:val="22"/>
          <w:lang w:val="es-ES_tradnl"/>
        </w:rPr>
        <w:t xml:space="preserve"> solicitudes de por lo menos </w:t>
      </w:r>
      <w:r w:rsidR="00401533" w:rsidRPr="00D17E59">
        <w:rPr>
          <w:rFonts w:ascii="Arial" w:eastAsia="Calibri" w:hAnsi="Arial" w:cs="Arial"/>
          <w:i/>
          <w:iCs/>
          <w:color w:val="000000" w:themeColor="text1"/>
          <w:sz w:val="22"/>
          <w:szCs w:val="22"/>
          <w:lang w:val="es-ES_tradnl"/>
        </w:rPr>
        <w:t>tres (3)</w:t>
      </w:r>
      <w:r w:rsidR="00401533" w:rsidRPr="00D17E59">
        <w:rPr>
          <w:rFonts w:ascii="Arial" w:eastAsia="Calibri" w:hAnsi="Arial" w:cs="Arial"/>
          <w:color w:val="000000" w:themeColor="text1"/>
          <w:sz w:val="22"/>
          <w:szCs w:val="22"/>
          <w:lang w:val="es-ES_tradnl"/>
        </w:rPr>
        <w:t xml:space="preserve"> </w:t>
      </w:r>
      <w:proofErr w:type="spellStart"/>
      <w:r w:rsidR="00401533" w:rsidRPr="00D17E59">
        <w:rPr>
          <w:rFonts w:ascii="Arial" w:eastAsia="Calibri" w:hAnsi="Arial" w:cs="Arial"/>
          <w:color w:val="000000" w:themeColor="text1"/>
          <w:sz w:val="22"/>
          <w:szCs w:val="22"/>
          <w:lang w:val="es-ES_tradnl"/>
        </w:rPr>
        <w:t>mipymes</w:t>
      </w:r>
      <w:proofErr w:type="spellEnd"/>
      <w:r w:rsidR="00401533" w:rsidRPr="00D17E59">
        <w:rPr>
          <w:rFonts w:ascii="Arial" w:eastAsia="Calibri" w:hAnsi="Arial" w:cs="Arial"/>
          <w:color w:val="000000" w:themeColor="text1"/>
          <w:sz w:val="22"/>
          <w:szCs w:val="22"/>
          <w:lang w:val="es-ES_tradnl"/>
        </w:rPr>
        <w:t>, a más tardar un día hábil antes de la apertura del proceso de selección.</w:t>
      </w:r>
    </w:p>
    <w:p w14:paraId="1E77B196" w14:textId="7DD3F464" w:rsidR="00C21F0C" w:rsidRPr="00D17E59" w:rsidRDefault="00430D44" w:rsidP="00772AA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Las diferencias </w:t>
      </w:r>
      <w:r w:rsidR="001D2552" w:rsidRPr="00D17E59">
        <w:rPr>
          <w:rFonts w:ascii="Arial" w:eastAsia="Calibri" w:hAnsi="Arial" w:cs="Arial"/>
          <w:color w:val="000000" w:themeColor="text1"/>
          <w:sz w:val="22"/>
          <w:szCs w:val="22"/>
          <w:lang w:val="es-ES_tradnl"/>
        </w:rPr>
        <w:t>evidenciadas son suficientes para mostrar que, además de la pérdida de fuerza ejecutoria del artículo 2.2.1.2.4.2.2. del Decreto 1082 de 2015</w:t>
      </w:r>
      <w:r w:rsidR="002E3931" w:rsidRPr="00D17E59">
        <w:rPr>
          <w:rFonts w:ascii="Arial" w:eastAsia="Calibri" w:hAnsi="Arial" w:cs="Arial"/>
          <w:color w:val="000000" w:themeColor="text1"/>
          <w:sz w:val="22"/>
          <w:szCs w:val="22"/>
          <w:lang w:val="es-ES_tradnl"/>
        </w:rPr>
        <w:t xml:space="preserve">, </w:t>
      </w:r>
      <w:r w:rsidR="001D2552" w:rsidRPr="00D17E59">
        <w:rPr>
          <w:rFonts w:ascii="Arial" w:eastAsia="Calibri" w:hAnsi="Arial" w:cs="Arial"/>
          <w:color w:val="000000" w:themeColor="text1"/>
          <w:sz w:val="22"/>
          <w:szCs w:val="22"/>
          <w:lang w:val="es-ES_tradnl"/>
        </w:rPr>
        <w:t xml:space="preserve">por </w:t>
      </w:r>
      <w:r w:rsidR="0039047D" w:rsidRPr="00D17E59">
        <w:rPr>
          <w:rFonts w:ascii="Arial" w:eastAsia="Calibri" w:hAnsi="Arial" w:cs="Arial"/>
          <w:color w:val="000000" w:themeColor="text1"/>
          <w:sz w:val="22"/>
          <w:szCs w:val="22"/>
          <w:lang w:val="es-ES_tradnl"/>
        </w:rPr>
        <w:t xml:space="preserve">la </w:t>
      </w:r>
      <w:r w:rsidR="001D2552" w:rsidRPr="00D17E59">
        <w:rPr>
          <w:rFonts w:ascii="Arial" w:eastAsia="Calibri" w:hAnsi="Arial" w:cs="Arial"/>
          <w:color w:val="000000" w:themeColor="text1"/>
          <w:sz w:val="22"/>
          <w:szCs w:val="22"/>
          <w:lang w:val="es-ES_tradnl"/>
        </w:rPr>
        <w:t>desaparición de</w:t>
      </w:r>
      <w:r w:rsidR="0039047D" w:rsidRPr="00D17E59">
        <w:rPr>
          <w:rFonts w:ascii="Arial" w:eastAsia="Calibri" w:hAnsi="Arial" w:cs="Arial"/>
          <w:color w:val="000000" w:themeColor="text1"/>
          <w:sz w:val="22"/>
          <w:szCs w:val="22"/>
          <w:lang w:val="es-ES_tradnl"/>
        </w:rPr>
        <w:t xml:space="preserve"> su</w:t>
      </w:r>
      <w:r w:rsidR="001D2552" w:rsidRPr="00D17E59">
        <w:rPr>
          <w:rFonts w:ascii="Arial" w:eastAsia="Calibri" w:hAnsi="Arial" w:cs="Arial"/>
          <w:color w:val="000000" w:themeColor="text1"/>
          <w:sz w:val="22"/>
          <w:szCs w:val="22"/>
          <w:lang w:val="es-ES_tradnl"/>
        </w:rPr>
        <w:t xml:space="preserve"> fundamento de derecho</w:t>
      </w:r>
      <w:r w:rsidR="0043741B" w:rsidRPr="00D17E59">
        <w:rPr>
          <w:rFonts w:ascii="Arial" w:eastAsia="Calibri" w:hAnsi="Arial" w:cs="Arial"/>
          <w:color w:val="000000" w:themeColor="text1"/>
          <w:sz w:val="22"/>
          <w:szCs w:val="22"/>
          <w:lang w:val="es-ES_tradnl"/>
        </w:rPr>
        <w:t>,</w:t>
      </w:r>
      <w:r w:rsidR="00F06CA4" w:rsidRPr="00D17E59">
        <w:rPr>
          <w:rFonts w:ascii="Arial" w:eastAsia="Calibri" w:hAnsi="Arial" w:cs="Arial"/>
          <w:color w:val="000000" w:themeColor="text1"/>
          <w:sz w:val="22"/>
          <w:szCs w:val="22"/>
          <w:lang w:val="es-ES_tradnl"/>
        </w:rPr>
        <w:t xml:space="preserve"> se advierte una manifiesta oposición entre dicho enunciado normativo y el nuevo contenido del artículo 12 de la Ley 1150 de 2007, modificado por el artículo </w:t>
      </w:r>
      <w:r w:rsidR="007A7775" w:rsidRPr="00D17E59">
        <w:rPr>
          <w:rFonts w:ascii="Arial" w:eastAsia="Calibri" w:hAnsi="Arial" w:cs="Arial"/>
          <w:color w:val="000000" w:themeColor="text1"/>
          <w:sz w:val="22"/>
          <w:szCs w:val="22"/>
          <w:lang w:val="es-ES_tradnl"/>
        </w:rPr>
        <w:t>34 de la Ley 2069 de 2020. Ante esta contradicción, se debe aplicar la consecuencia jurídica</w:t>
      </w:r>
      <w:r w:rsidR="00AF7E8F" w:rsidRPr="00D17E59">
        <w:rPr>
          <w:rFonts w:ascii="Arial" w:eastAsia="Calibri" w:hAnsi="Arial" w:cs="Arial"/>
          <w:color w:val="000000" w:themeColor="text1"/>
          <w:sz w:val="22"/>
          <w:szCs w:val="22"/>
          <w:lang w:val="es-ES_tradnl"/>
        </w:rPr>
        <w:t xml:space="preserve"> prevista en el artículo </w:t>
      </w:r>
      <w:r w:rsidR="00260523" w:rsidRPr="00D17E59">
        <w:rPr>
          <w:rFonts w:ascii="Arial" w:eastAsia="Calibri" w:hAnsi="Arial" w:cs="Arial"/>
          <w:color w:val="000000" w:themeColor="text1"/>
          <w:sz w:val="22"/>
          <w:szCs w:val="22"/>
          <w:lang w:val="es-ES_tradnl"/>
        </w:rPr>
        <w:t>84 de la Ley 2069 de 2020, según la cual esta «deroga […]</w:t>
      </w:r>
      <w:r w:rsidR="00F32F80" w:rsidRPr="00D17E59">
        <w:rPr>
          <w:rFonts w:ascii="Arial" w:eastAsia="Calibri" w:hAnsi="Arial" w:cs="Arial"/>
          <w:color w:val="000000" w:themeColor="text1"/>
          <w:sz w:val="22"/>
          <w:szCs w:val="22"/>
          <w:lang w:val="es-ES_tradnl"/>
        </w:rPr>
        <w:t xml:space="preserve"> todas las disposiciones que le sean contrarias». </w:t>
      </w:r>
      <w:r w:rsidR="006937EA" w:rsidRPr="00D17E59">
        <w:rPr>
          <w:rFonts w:ascii="Arial" w:eastAsia="Calibri" w:hAnsi="Arial" w:cs="Arial"/>
          <w:color w:val="000000" w:themeColor="text1"/>
          <w:sz w:val="22"/>
          <w:szCs w:val="22"/>
          <w:lang w:val="es-ES_tradnl"/>
        </w:rPr>
        <w:t>Entonces, puede afirmarse que, además del decaimiento del artículo 2.2.1.2.4.2.2. del Decreto 1082 de 2015, debe entenderse derogado.</w:t>
      </w:r>
    </w:p>
    <w:p w14:paraId="1DF3F462" w14:textId="2FFFA137" w:rsidR="00773131" w:rsidRPr="00D17E59" w:rsidRDefault="00C21F0C" w:rsidP="00774337">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Por último, no es válido aducir que </w:t>
      </w:r>
      <w:r w:rsidR="00CC45A5" w:rsidRPr="00D17E59">
        <w:rPr>
          <w:rFonts w:ascii="Arial" w:eastAsia="Calibri" w:hAnsi="Arial" w:cs="Arial"/>
          <w:color w:val="000000" w:themeColor="text1"/>
          <w:sz w:val="22"/>
          <w:szCs w:val="22"/>
          <w:lang w:val="es-ES_tradnl"/>
        </w:rPr>
        <w:t>los apartados normativos del artículo</w:t>
      </w:r>
      <w:r w:rsidR="0042226E" w:rsidRPr="00D17E59">
        <w:rPr>
          <w:rFonts w:ascii="Arial" w:eastAsia="Calibri" w:hAnsi="Arial" w:cs="Arial"/>
          <w:color w:val="000000" w:themeColor="text1"/>
          <w:sz w:val="22"/>
          <w:szCs w:val="22"/>
          <w:lang w:val="es-ES_tradnl"/>
        </w:rPr>
        <w:t xml:space="preserve"> 2.2.1.2.4.2.2. del Decreto 1082 de 2015 que</w:t>
      </w:r>
      <w:r w:rsidR="0003535C" w:rsidRPr="00D17E59">
        <w:rPr>
          <w:rFonts w:ascii="Arial" w:eastAsia="Calibri" w:hAnsi="Arial" w:cs="Arial"/>
          <w:color w:val="000000" w:themeColor="text1"/>
          <w:sz w:val="22"/>
          <w:szCs w:val="22"/>
          <w:lang w:val="es-ES_tradnl"/>
        </w:rPr>
        <w:t>,</w:t>
      </w:r>
      <w:r w:rsidR="0042226E" w:rsidRPr="00D17E59">
        <w:rPr>
          <w:rFonts w:ascii="Arial" w:eastAsia="Calibri" w:hAnsi="Arial" w:cs="Arial"/>
          <w:color w:val="000000" w:themeColor="text1"/>
          <w:sz w:val="22"/>
          <w:szCs w:val="22"/>
          <w:lang w:val="es-ES_tradnl"/>
        </w:rPr>
        <w:t xml:space="preserve"> en su texto</w:t>
      </w:r>
      <w:r w:rsidR="0003535C" w:rsidRPr="00D17E59">
        <w:rPr>
          <w:rFonts w:ascii="Arial" w:eastAsia="Calibri" w:hAnsi="Arial" w:cs="Arial"/>
          <w:color w:val="000000" w:themeColor="text1"/>
          <w:sz w:val="22"/>
          <w:szCs w:val="22"/>
          <w:lang w:val="es-ES_tradnl"/>
        </w:rPr>
        <w:t>,</w:t>
      </w:r>
      <w:r w:rsidR="0042226E" w:rsidRPr="00D17E59">
        <w:rPr>
          <w:rFonts w:ascii="Arial" w:eastAsia="Calibri" w:hAnsi="Arial" w:cs="Arial"/>
          <w:color w:val="000000" w:themeColor="text1"/>
          <w:sz w:val="22"/>
          <w:szCs w:val="22"/>
          <w:lang w:val="es-ES_tradnl"/>
        </w:rPr>
        <w:t xml:space="preserve"> no sean contrarios a la nueva </w:t>
      </w:r>
      <w:r w:rsidR="0042226E" w:rsidRPr="00D17E59">
        <w:rPr>
          <w:rFonts w:ascii="Arial" w:eastAsia="Calibri" w:hAnsi="Arial" w:cs="Arial"/>
          <w:color w:val="000000" w:themeColor="text1"/>
          <w:sz w:val="22"/>
          <w:szCs w:val="22"/>
          <w:lang w:val="es-ES_tradnl"/>
        </w:rPr>
        <w:lastRenderedPageBreak/>
        <w:t xml:space="preserve">regulación contenida en el artículo 34 de la Ley 2069 de 2020 pueden seguirse aplicando. </w:t>
      </w:r>
      <w:r w:rsidR="00011EA4" w:rsidRPr="00D17E59">
        <w:rPr>
          <w:rFonts w:ascii="Arial" w:eastAsia="Calibri" w:hAnsi="Arial" w:cs="Arial"/>
          <w:color w:val="000000" w:themeColor="text1"/>
          <w:sz w:val="22"/>
          <w:szCs w:val="22"/>
          <w:lang w:val="es-ES_tradnl"/>
        </w:rPr>
        <w:t xml:space="preserve">Tal aseveración no </w:t>
      </w:r>
      <w:r w:rsidR="0003535C" w:rsidRPr="00D17E59">
        <w:rPr>
          <w:rFonts w:ascii="Arial" w:eastAsia="Calibri" w:hAnsi="Arial" w:cs="Arial"/>
          <w:color w:val="000000" w:themeColor="text1"/>
          <w:sz w:val="22"/>
          <w:szCs w:val="22"/>
          <w:lang w:val="es-ES_tradnl"/>
        </w:rPr>
        <w:t>es</w:t>
      </w:r>
      <w:r w:rsidR="00011EA4" w:rsidRPr="00D17E59">
        <w:rPr>
          <w:rFonts w:ascii="Arial" w:eastAsia="Calibri" w:hAnsi="Arial" w:cs="Arial"/>
          <w:color w:val="000000" w:themeColor="text1"/>
          <w:sz w:val="22"/>
          <w:szCs w:val="22"/>
          <w:lang w:val="es-ES_tradnl"/>
        </w:rPr>
        <w:t xml:space="preserve"> admisible, porque el artículo 34</w:t>
      </w:r>
      <w:r w:rsidR="00C94065" w:rsidRPr="00D17E59">
        <w:rPr>
          <w:rFonts w:ascii="Arial" w:eastAsia="Calibri" w:hAnsi="Arial" w:cs="Arial"/>
          <w:color w:val="000000" w:themeColor="text1"/>
          <w:sz w:val="22"/>
          <w:szCs w:val="22"/>
          <w:lang w:val="es-ES_tradnl"/>
        </w:rPr>
        <w:t>,</w:t>
      </w:r>
      <w:r w:rsidR="005C721D" w:rsidRPr="00D17E59">
        <w:rPr>
          <w:rFonts w:ascii="Arial" w:eastAsia="Calibri" w:hAnsi="Arial" w:cs="Arial"/>
          <w:color w:val="000000" w:themeColor="text1"/>
          <w:sz w:val="22"/>
          <w:szCs w:val="22"/>
          <w:lang w:val="es-ES_tradnl"/>
        </w:rPr>
        <w:t xml:space="preserve"> reiteradamente</w:t>
      </w:r>
      <w:r w:rsidR="00C94065" w:rsidRPr="00D17E59">
        <w:rPr>
          <w:rFonts w:ascii="Arial" w:eastAsia="Calibri" w:hAnsi="Arial" w:cs="Arial"/>
          <w:color w:val="000000" w:themeColor="text1"/>
          <w:sz w:val="22"/>
          <w:szCs w:val="22"/>
          <w:lang w:val="es-ES_tradnl"/>
        </w:rPr>
        <w:t>,</w:t>
      </w:r>
      <w:r w:rsidR="005C721D" w:rsidRPr="00D17E59">
        <w:rPr>
          <w:rFonts w:ascii="Arial" w:eastAsia="Calibri" w:hAnsi="Arial" w:cs="Arial"/>
          <w:color w:val="000000" w:themeColor="text1"/>
          <w:sz w:val="22"/>
          <w:szCs w:val="22"/>
          <w:lang w:val="es-ES_tradnl"/>
        </w:rPr>
        <w:t xml:space="preserve"> </w:t>
      </w:r>
      <w:r w:rsidR="00774337" w:rsidRPr="00D17E59">
        <w:rPr>
          <w:rFonts w:ascii="Arial" w:eastAsia="Calibri" w:hAnsi="Arial" w:cs="Arial"/>
          <w:color w:val="000000" w:themeColor="text1"/>
          <w:sz w:val="22"/>
          <w:szCs w:val="22"/>
          <w:lang w:val="es-ES_tradnl"/>
        </w:rPr>
        <w:t xml:space="preserve">señala </w:t>
      </w:r>
      <w:r w:rsidR="0068420B" w:rsidRPr="00D17E59">
        <w:rPr>
          <w:rFonts w:ascii="Arial" w:eastAsia="Calibri" w:hAnsi="Arial" w:cs="Arial"/>
          <w:color w:val="000000" w:themeColor="text1"/>
          <w:sz w:val="22"/>
          <w:szCs w:val="22"/>
          <w:lang w:val="es-ES_tradnl"/>
        </w:rPr>
        <w:t>que el gobierno nacional debe definir las condiciones para la aplicación de las reglas recientemente expedidas</w:t>
      </w:r>
      <w:r w:rsidR="00774337" w:rsidRPr="00D17E59">
        <w:rPr>
          <w:rFonts w:ascii="Arial" w:eastAsia="Calibri" w:hAnsi="Arial" w:cs="Arial"/>
          <w:color w:val="000000" w:themeColor="text1"/>
          <w:sz w:val="22"/>
          <w:szCs w:val="22"/>
          <w:lang w:val="es-ES_tradnl"/>
        </w:rPr>
        <w:t>,</w:t>
      </w:r>
      <w:r w:rsidR="0068420B" w:rsidRPr="00D17E59">
        <w:rPr>
          <w:rFonts w:ascii="Arial" w:eastAsia="Calibri" w:hAnsi="Arial" w:cs="Arial"/>
          <w:color w:val="000000" w:themeColor="text1"/>
          <w:sz w:val="22"/>
          <w:szCs w:val="22"/>
          <w:lang w:val="es-ES_tradnl"/>
        </w:rPr>
        <w:t xml:space="preserve"> que permitan </w:t>
      </w:r>
      <w:r w:rsidR="002212FB" w:rsidRPr="00D17E59">
        <w:rPr>
          <w:rFonts w:ascii="Arial" w:eastAsia="Calibri" w:hAnsi="Arial" w:cs="Arial"/>
          <w:color w:val="000000" w:themeColor="text1"/>
          <w:sz w:val="22"/>
          <w:szCs w:val="22"/>
          <w:lang w:val="es-ES_tradnl"/>
        </w:rPr>
        <w:t xml:space="preserve">llevar a cabo las convocatorias limitadas a </w:t>
      </w:r>
      <w:proofErr w:type="spellStart"/>
      <w:r w:rsidR="002212FB" w:rsidRPr="00D17E59">
        <w:rPr>
          <w:rFonts w:ascii="Arial" w:eastAsia="Calibri" w:hAnsi="Arial" w:cs="Arial"/>
          <w:color w:val="000000" w:themeColor="text1"/>
          <w:sz w:val="22"/>
          <w:szCs w:val="22"/>
          <w:lang w:val="es-ES_tradnl"/>
        </w:rPr>
        <w:t>mipymes</w:t>
      </w:r>
      <w:proofErr w:type="spellEnd"/>
      <w:r w:rsidR="002212FB" w:rsidRPr="00D17E59">
        <w:rPr>
          <w:rFonts w:ascii="Arial" w:eastAsia="Calibri" w:hAnsi="Arial" w:cs="Arial"/>
          <w:color w:val="000000" w:themeColor="text1"/>
          <w:sz w:val="22"/>
          <w:szCs w:val="22"/>
          <w:lang w:val="es-ES_tradnl"/>
        </w:rPr>
        <w:t>, lo cual demuestra la voluntad legislativa de</w:t>
      </w:r>
      <w:r w:rsidR="00607860" w:rsidRPr="00D17E59">
        <w:rPr>
          <w:rFonts w:ascii="Arial" w:eastAsia="Calibri" w:hAnsi="Arial" w:cs="Arial"/>
          <w:color w:val="000000" w:themeColor="text1"/>
          <w:sz w:val="22"/>
          <w:szCs w:val="22"/>
          <w:lang w:val="es-ES_tradnl"/>
        </w:rPr>
        <w:t xml:space="preserve"> </w:t>
      </w:r>
      <w:r w:rsidR="00774337" w:rsidRPr="00D17E59">
        <w:rPr>
          <w:rFonts w:ascii="Arial" w:eastAsia="Calibri" w:hAnsi="Arial" w:cs="Arial"/>
          <w:color w:val="000000" w:themeColor="text1"/>
          <w:sz w:val="22"/>
          <w:szCs w:val="22"/>
          <w:lang w:val="es-ES_tradnl"/>
        </w:rPr>
        <w:t xml:space="preserve">establecer </w:t>
      </w:r>
      <w:r w:rsidR="00607860" w:rsidRPr="00D17E59">
        <w:rPr>
          <w:rFonts w:ascii="Arial" w:eastAsia="Calibri" w:hAnsi="Arial" w:cs="Arial"/>
          <w:color w:val="000000" w:themeColor="text1"/>
          <w:sz w:val="22"/>
          <w:szCs w:val="22"/>
          <w:lang w:val="es-ES_tradnl"/>
        </w:rPr>
        <w:t>la necesidad de una nueva reglamentación de dicha materia.</w:t>
      </w:r>
      <w:r w:rsidR="00774337" w:rsidRPr="00D17E59">
        <w:rPr>
          <w:rFonts w:ascii="Arial" w:eastAsia="Calibri" w:hAnsi="Arial" w:cs="Arial"/>
          <w:color w:val="000000" w:themeColor="text1"/>
          <w:sz w:val="22"/>
          <w:szCs w:val="22"/>
          <w:lang w:val="es-ES_tradnl"/>
        </w:rPr>
        <w:t xml:space="preserve"> En tal sentido, el gobierno nacional podría, mediante el decreto reglamentario que expida, definir nuevas condiciones </w:t>
      </w:r>
      <w:r w:rsidR="00402FAF" w:rsidRPr="00D17E59">
        <w:rPr>
          <w:rFonts w:ascii="Arial" w:eastAsia="Calibri" w:hAnsi="Arial" w:cs="Arial"/>
          <w:color w:val="000000" w:themeColor="text1"/>
          <w:sz w:val="22"/>
          <w:szCs w:val="22"/>
          <w:lang w:val="es-ES_tradnl"/>
        </w:rPr>
        <w:t xml:space="preserve">y montos para </w:t>
      </w:r>
      <w:r w:rsidR="00962C93" w:rsidRPr="00D17E59">
        <w:rPr>
          <w:rFonts w:ascii="Arial" w:eastAsia="Calibri" w:hAnsi="Arial" w:cs="Arial"/>
          <w:color w:val="000000" w:themeColor="text1"/>
          <w:sz w:val="22"/>
          <w:szCs w:val="22"/>
          <w:lang w:val="es-ES_tradnl"/>
        </w:rPr>
        <w:t>las</w:t>
      </w:r>
      <w:r w:rsidR="00402FAF" w:rsidRPr="00D17E59">
        <w:rPr>
          <w:rFonts w:ascii="Arial" w:eastAsia="Calibri" w:hAnsi="Arial" w:cs="Arial"/>
          <w:color w:val="000000" w:themeColor="text1"/>
          <w:sz w:val="22"/>
          <w:szCs w:val="22"/>
          <w:lang w:val="es-ES_tradnl"/>
        </w:rPr>
        <w:t xml:space="preserve"> convocatorias</w:t>
      </w:r>
      <w:r w:rsidR="00962C93" w:rsidRPr="00D17E59">
        <w:rPr>
          <w:rFonts w:ascii="Arial" w:eastAsia="Calibri" w:hAnsi="Arial" w:cs="Arial"/>
          <w:color w:val="000000" w:themeColor="text1"/>
          <w:sz w:val="22"/>
          <w:szCs w:val="22"/>
          <w:lang w:val="es-ES_tradnl"/>
        </w:rPr>
        <w:t xml:space="preserve"> limitadas a</w:t>
      </w:r>
      <w:r w:rsidR="007C21E1" w:rsidRPr="00D17E59">
        <w:rPr>
          <w:rFonts w:ascii="Arial" w:eastAsia="Calibri" w:hAnsi="Arial" w:cs="Arial"/>
          <w:color w:val="000000" w:themeColor="text1"/>
          <w:sz w:val="22"/>
          <w:szCs w:val="22"/>
          <w:lang w:val="es-ES_tradnl"/>
        </w:rPr>
        <w:t xml:space="preserve"> </w:t>
      </w:r>
      <w:proofErr w:type="spellStart"/>
      <w:r w:rsidR="007C21E1" w:rsidRPr="00D17E59">
        <w:rPr>
          <w:rFonts w:ascii="Arial" w:eastAsia="Calibri" w:hAnsi="Arial" w:cs="Arial"/>
          <w:color w:val="000000" w:themeColor="text1"/>
          <w:sz w:val="22"/>
          <w:szCs w:val="22"/>
          <w:lang w:val="es-ES_tradnl"/>
        </w:rPr>
        <w:t>mipymes</w:t>
      </w:r>
      <w:proofErr w:type="spellEnd"/>
      <w:r w:rsidR="00402FAF" w:rsidRPr="00D17E59">
        <w:rPr>
          <w:rFonts w:ascii="Arial" w:eastAsia="Calibri" w:hAnsi="Arial" w:cs="Arial"/>
          <w:color w:val="000000" w:themeColor="text1"/>
          <w:sz w:val="22"/>
          <w:szCs w:val="22"/>
          <w:lang w:val="es-ES_tradnl"/>
        </w:rPr>
        <w:t xml:space="preserve">. Por ende, mientras ello no suceda, </w:t>
      </w:r>
      <w:r w:rsidR="00D50DB9" w:rsidRPr="00D17E59">
        <w:rPr>
          <w:rFonts w:ascii="Arial" w:eastAsia="Calibri" w:hAnsi="Arial" w:cs="Arial"/>
          <w:color w:val="000000" w:themeColor="text1"/>
          <w:sz w:val="22"/>
          <w:szCs w:val="22"/>
          <w:lang w:val="es-ES_tradnl"/>
        </w:rPr>
        <w:t>las entidades estatales, los patrimonios autónomos constituidos por estas y los particulares que ejecuten recursos públicos, no pueden</w:t>
      </w:r>
      <w:r w:rsidR="00400E06" w:rsidRPr="00D17E59">
        <w:rPr>
          <w:rFonts w:ascii="Arial" w:eastAsia="Calibri" w:hAnsi="Arial" w:cs="Arial"/>
          <w:color w:val="000000" w:themeColor="text1"/>
          <w:sz w:val="22"/>
          <w:szCs w:val="22"/>
          <w:lang w:val="es-ES_tradnl"/>
        </w:rPr>
        <w:t xml:space="preserve"> adoptar convocatorias limitadas a </w:t>
      </w:r>
      <w:proofErr w:type="spellStart"/>
      <w:r w:rsidR="00400E06" w:rsidRPr="00D17E59">
        <w:rPr>
          <w:rFonts w:ascii="Arial" w:eastAsia="Calibri" w:hAnsi="Arial" w:cs="Arial"/>
          <w:color w:val="000000" w:themeColor="text1"/>
          <w:sz w:val="22"/>
          <w:szCs w:val="22"/>
          <w:lang w:val="es-ES_tradnl"/>
        </w:rPr>
        <w:t>mipymes</w:t>
      </w:r>
      <w:proofErr w:type="spellEnd"/>
      <w:r w:rsidR="00400E06" w:rsidRPr="00D17E59">
        <w:rPr>
          <w:rFonts w:ascii="Arial" w:eastAsia="Calibri" w:hAnsi="Arial" w:cs="Arial"/>
          <w:color w:val="000000" w:themeColor="text1"/>
          <w:sz w:val="22"/>
          <w:szCs w:val="22"/>
          <w:lang w:val="es-ES_tradnl"/>
        </w:rPr>
        <w:t xml:space="preserve">, pues al tenor del artículo 34 de la Ley 2069 de 2020, la eficacia de esta norma quedó condicionada a la expedición del decreto reglamentario que fije las condiciones de su operatividad.   </w:t>
      </w:r>
      <w:r w:rsidR="00D50DB9" w:rsidRPr="00D17E59">
        <w:rPr>
          <w:rFonts w:ascii="Arial" w:eastAsia="Calibri" w:hAnsi="Arial" w:cs="Arial"/>
          <w:color w:val="000000" w:themeColor="text1"/>
          <w:sz w:val="22"/>
          <w:szCs w:val="22"/>
          <w:lang w:val="es-ES_tradnl"/>
        </w:rPr>
        <w:t xml:space="preserve"> </w:t>
      </w:r>
    </w:p>
    <w:p w14:paraId="093B22A4" w14:textId="77777777" w:rsidR="00C85528" w:rsidRPr="00D17E59" w:rsidRDefault="00C85528" w:rsidP="00271230">
      <w:pPr>
        <w:spacing w:line="276" w:lineRule="auto"/>
        <w:jc w:val="both"/>
        <w:rPr>
          <w:rFonts w:ascii="Arial" w:eastAsia="Calibri" w:hAnsi="Arial" w:cs="Arial"/>
          <w:color w:val="000000" w:themeColor="text1"/>
          <w:sz w:val="22"/>
          <w:szCs w:val="22"/>
          <w:lang w:val="es-ES_tradnl"/>
        </w:rPr>
      </w:pPr>
    </w:p>
    <w:p w14:paraId="0F39B6EF" w14:textId="663189D1" w:rsidR="005244FC" w:rsidRPr="00D17E59" w:rsidRDefault="005244FC" w:rsidP="005244FC">
      <w:pPr>
        <w:spacing w:line="276" w:lineRule="auto"/>
        <w:jc w:val="both"/>
        <w:rPr>
          <w:rFonts w:ascii="Arial" w:eastAsia="Calibri" w:hAnsi="Arial" w:cs="Arial"/>
          <w:b/>
          <w:bCs/>
          <w:color w:val="000000" w:themeColor="text1"/>
          <w:sz w:val="22"/>
          <w:szCs w:val="22"/>
          <w:lang w:val="es-ES_tradnl"/>
        </w:rPr>
      </w:pPr>
      <w:r w:rsidRPr="00D17E59">
        <w:rPr>
          <w:rFonts w:ascii="Arial" w:eastAsia="Calibri" w:hAnsi="Arial" w:cs="Arial"/>
          <w:b/>
          <w:bCs/>
          <w:color w:val="000000" w:themeColor="text1"/>
          <w:sz w:val="22"/>
          <w:szCs w:val="22"/>
          <w:lang w:val="es-ES_tradnl"/>
        </w:rPr>
        <w:t>2.</w:t>
      </w:r>
      <w:r w:rsidR="003906FD" w:rsidRPr="00D17E59">
        <w:rPr>
          <w:rFonts w:ascii="Arial" w:eastAsia="Calibri" w:hAnsi="Arial" w:cs="Arial"/>
          <w:b/>
          <w:bCs/>
          <w:color w:val="000000" w:themeColor="text1"/>
          <w:sz w:val="22"/>
          <w:szCs w:val="22"/>
          <w:lang w:val="es-ES_tradnl"/>
        </w:rPr>
        <w:t>3</w:t>
      </w:r>
      <w:r w:rsidRPr="00D17E59">
        <w:rPr>
          <w:rFonts w:ascii="Arial" w:eastAsia="Calibri" w:hAnsi="Arial" w:cs="Arial"/>
          <w:b/>
          <w:bCs/>
          <w:color w:val="000000" w:themeColor="text1"/>
          <w:sz w:val="22"/>
          <w:szCs w:val="22"/>
          <w:lang w:val="es-ES_tradnl"/>
        </w:rPr>
        <w:t>. Factores de desempate en la contratación estatal: concepto y características</w:t>
      </w:r>
    </w:p>
    <w:p w14:paraId="342BA812" w14:textId="77777777" w:rsidR="005244FC" w:rsidRPr="00D17E59" w:rsidRDefault="005244FC" w:rsidP="005244FC">
      <w:pPr>
        <w:spacing w:line="276" w:lineRule="auto"/>
        <w:jc w:val="both"/>
        <w:rPr>
          <w:rFonts w:ascii="Arial" w:eastAsia="Calibri" w:hAnsi="Arial" w:cs="Arial"/>
          <w:color w:val="000000" w:themeColor="text1"/>
          <w:sz w:val="22"/>
          <w:szCs w:val="22"/>
          <w:lang w:val="es-ES_tradnl"/>
        </w:rPr>
      </w:pPr>
    </w:p>
    <w:p w14:paraId="7EE28DCC" w14:textId="77777777" w:rsidR="00BC3DD4" w:rsidRPr="00D17E59" w:rsidRDefault="00BC3DD4" w:rsidP="00BC3DD4">
      <w:pPr>
        <w:spacing w:line="276" w:lineRule="auto"/>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5466C7F0" w14:textId="77777777" w:rsidR="00BC3DD4" w:rsidRPr="00D17E59"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061133B5" w14:textId="77777777" w:rsidR="00BC3DD4" w:rsidRPr="00D17E59"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lastRenderedPageBreak/>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w:t>
      </w:r>
      <w:r w:rsidRPr="00D17E59">
        <w:rPr>
          <w:rStyle w:val="Refdenotaalpie"/>
          <w:rFonts w:ascii="Arial" w:hAnsi="Arial" w:cs="Arial"/>
          <w:sz w:val="21"/>
          <w:szCs w:val="21"/>
          <w:lang w:val="es-ES_tradnl"/>
        </w:rPr>
        <w:footnoteReference w:id="9"/>
      </w:r>
      <w:r w:rsidRPr="00D17E59">
        <w:rPr>
          <w:rFonts w:ascii="Arial" w:eastAsia="Calibri" w:hAnsi="Arial" w:cs="Arial"/>
          <w:color w:val="000000" w:themeColor="text1"/>
          <w:sz w:val="22"/>
          <w:szCs w:val="22"/>
          <w:lang w:val="es-ES_tradnl"/>
        </w:rPr>
        <w:t xml:space="preserve">. </w:t>
      </w:r>
    </w:p>
    <w:p w14:paraId="5CF96159" w14:textId="77777777" w:rsidR="00BC3DD4" w:rsidRPr="00D17E59"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D17E59">
        <w:rPr>
          <w:rStyle w:val="Refdenotaalpie"/>
          <w:rFonts w:ascii="Arial" w:eastAsia="Calibri" w:hAnsi="Arial" w:cs="Arial"/>
          <w:color w:val="000000" w:themeColor="text1"/>
          <w:sz w:val="22"/>
          <w:szCs w:val="22"/>
          <w:lang w:val="es-ES_tradnl"/>
        </w:rPr>
        <w:footnoteReference w:id="10"/>
      </w:r>
      <w:r w:rsidRPr="00D17E59">
        <w:rPr>
          <w:rFonts w:ascii="Arial" w:eastAsia="Calibri" w:hAnsi="Arial"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D17E59">
        <w:rPr>
          <w:rStyle w:val="Refdenotaalpie"/>
          <w:rFonts w:ascii="Arial" w:eastAsia="Calibri" w:hAnsi="Arial" w:cs="Arial"/>
          <w:color w:val="000000" w:themeColor="text1"/>
          <w:sz w:val="22"/>
          <w:szCs w:val="22"/>
          <w:lang w:val="es-ES_tradnl"/>
        </w:rPr>
        <w:footnoteReference w:id="11"/>
      </w:r>
      <w:r w:rsidRPr="00D17E59">
        <w:rPr>
          <w:rFonts w:ascii="Arial" w:eastAsia="Calibri" w:hAnsi="Arial" w:cs="Arial"/>
          <w:color w:val="000000" w:themeColor="text1"/>
          <w:sz w:val="22"/>
          <w:szCs w:val="22"/>
          <w:lang w:val="es-ES_tradnl"/>
        </w:rPr>
        <w:t>.</w:t>
      </w:r>
    </w:p>
    <w:p w14:paraId="66186ED1" w14:textId="77777777" w:rsidR="00BC3DD4" w:rsidRPr="00D17E59"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Ahora bien, en cumplimiento de los principios de reciprocidad y de </w:t>
      </w:r>
      <w:r w:rsidRPr="00D17E59">
        <w:rPr>
          <w:rFonts w:ascii="Arial" w:eastAsia="Calibri" w:hAnsi="Arial" w:cs="Arial"/>
          <w:i/>
          <w:iCs/>
          <w:color w:val="000000" w:themeColor="text1"/>
          <w:sz w:val="22"/>
          <w:szCs w:val="22"/>
          <w:lang w:val="es-ES_tradnl"/>
        </w:rPr>
        <w:t xml:space="preserve">pacta </w:t>
      </w:r>
      <w:proofErr w:type="spellStart"/>
      <w:r w:rsidRPr="00D17E59">
        <w:rPr>
          <w:rFonts w:ascii="Arial" w:eastAsia="Calibri" w:hAnsi="Arial" w:cs="Arial"/>
          <w:i/>
          <w:iCs/>
          <w:color w:val="000000" w:themeColor="text1"/>
          <w:sz w:val="22"/>
          <w:szCs w:val="22"/>
          <w:lang w:val="es-ES_tradnl"/>
        </w:rPr>
        <w:t>sunt</w:t>
      </w:r>
      <w:proofErr w:type="spellEnd"/>
      <w:r w:rsidRPr="00D17E59">
        <w:rPr>
          <w:rFonts w:ascii="Arial" w:eastAsia="Calibri" w:hAnsi="Arial" w:cs="Arial"/>
          <w:i/>
          <w:iCs/>
          <w:color w:val="000000" w:themeColor="text1"/>
          <w:sz w:val="22"/>
          <w:szCs w:val="22"/>
          <w:lang w:val="es-ES_tradnl"/>
        </w:rPr>
        <w:t xml:space="preserve"> </w:t>
      </w:r>
      <w:proofErr w:type="spellStart"/>
      <w:r w:rsidRPr="00D17E59">
        <w:rPr>
          <w:rFonts w:ascii="Arial" w:eastAsia="Calibri" w:hAnsi="Arial" w:cs="Arial"/>
          <w:i/>
          <w:iCs/>
          <w:color w:val="000000" w:themeColor="text1"/>
          <w:sz w:val="22"/>
          <w:szCs w:val="22"/>
          <w:lang w:val="es-ES_tradnl"/>
        </w:rPr>
        <w:t>servanda</w:t>
      </w:r>
      <w:proofErr w:type="spellEnd"/>
      <w:r w:rsidRPr="00D17E59">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B333DBB" w14:textId="77777777" w:rsidR="005244FC" w:rsidRPr="00D17E59" w:rsidRDefault="005244FC" w:rsidP="005244FC">
      <w:pPr>
        <w:spacing w:line="276" w:lineRule="auto"/>
        <w:rPr>
          <w:rFonts w:ascii="Arial" w:eastAsia="Calibri" w:hAnsi="Arial" w:cs="Arial"/>
          <w:color w:val="000000" w:themeColor="text1"/>
          <w:sz w:val="22"/>
          <w:szCs w:val="22"/>
          <w:lang w:val="es-ES_tradnl"/>
        </w:rPr>
      </w:pPr>
    </w:p>
    <w:p w14:paraId="5A01BB7D" w14:textId="2A35E23A" w:rsidR="00FB658F" w:rsidRPr="00D17E59" w:rsidRDefault="00FB658F" w:rsidP="00FB658F">
      <w:pPr>
        <w:spacing w:line="276" w:lineRule="auto"/>
        <w:jc w:val="both"/>
        <w:rPr>
          <w:rFonts w:ascii="Arial" w:eastAsia="Calibri" w:hAnsi="Arial" w:cs="Arial"/>
          <w:b/>
          <w:bCs/>
          <w:color w:val="000000" w:themeColor="text1"/>
          <w:sz w:val="22"/>
          <w:szCs w:val="22"/>
          <w:lang w:val="es-ES_tradnl"/>
        </w:rPr>
      </w:pPr>
      <w:r w:rsidRPr="00D17E59">
        <w:rPr>
          <w:rFonts w:ascii="Arial" w:eastAsia="Calibri" w:hAnsi="Arial" w:cs="Arial"/>
          <w:b/>
          <w:bCs/>
          <w:color w:val="000000" w:themeColor="text1"/>
          <w:sz w:val="22"/>
          <w:szCs w:val="22"/>
          <w:lang w:val="es-ES_tradnl"/>
        </w:rPr>
        <w:t>2.</w:t>
      </w:r>
      <w:r w:rsidR="00450D80" w:rsidRPr="00D17E59">
        <w:rPr>
          <w:rFonts w:ascii="Arial" w:eastAsia="Calibri" w:hAnsi="Arial" w:cs="Arial"/>
          <w:b/>
          <w:bCs/>
          <w:color w:val="000000" w:themeColor="text1"/>
          <w:sz w:val="22"/>
          <w:szCs w:val="22"/>
          <w:lang w:val="es-ES_tradnl"/>
        </w:rPr>
        <w:t>4</w:t>
      </w:r>
      <w:r w:rsidRPr="00D17E59">
        <w:rPr>
          <w:rFonts w:ascii="Arial" w:eastAsia="Calibri" w:hAnsi="Arial" w:cs="Arial"/>
          <w:b/>
          <w:bCs/>
          <w:color w:val="000000" w:themeColor="text1"/>
          <w:sz w:val="22"/>
          <w:szCs w:val="22"/>
          <w:lang w:val="es-ES_tradnl"/>
        </w:rPr>
        <w:t xml:space="preserve">. </w:t>
      </w:r>
      <w:r w:rsidR="007D4770" w:rsidRPr="00D17E59">
        <w:rPr>
          <w:rFonts w:ascii="Arial" w:eastAsia="Calibri" w:hAnsi="Arial" w:cs="Arial"/>
          <w:b/>
          <w:bCs/>
          <w:color w:val="000000" w:themeColor="text1"/>
          <w:sz w:val="22"/>
          <w:szCs w:val="22"/>
          <w:lang w:val="es-ES_tradnl"/>
        </w:rPr>
        <w:t>Vigencia y a</w:t>
      </w:r>
      <w:r w:rsidR="00D43769" w:rsidRPr="00D17E59">
        <w:rPr>
          <w:rFonts w:ascii="Arial" w:eastAsia="Calibri" w:hAnsi="Arial" w:cs="Arial"/>
          <w:b/>
          <w:bCs/>
          <w:color w:val="000000" w:themeColor="text1"/>
          <w:sz w:val="22"/>
          <w:szCs w:val="22"/>
          <w:lang w:val="es-ES_tradnl"/>
        </w:rPr>
        <w:t>plicación obligatoria</w:t>
      </w:r>
      <w:r w:rsidRPr="00D17E59">
        <w:rPr>
          <w:rFonts w:ascii="Arial" w:eastAsia="Calibri" w:hAnsi="Arial" w:cs="Arial"/>
          <w:b/>
          <w:bCs/>
          <w:color w:val="000000" w:themeColor="text1"/>
          <w:sz w:val="22"/>
          <w:szCs w:val="22"/>
          <w:lang w:val="es-ES_tradnl"/>
        </w:rPr>
        <w:t xml:space="preserve"> </w:t>
      </w:r>
      <w:r w:rsidR="00D43769" w:rsidRPr="00D17E59">
        <w:rPr>
          <w:rFonts w:ascii="Arial" w:eastAsia="Calibri" w:hAnsi="Arial" w:cs="Arial"/>
          <w:b/>
          <w:bCs/>
          <w:color w:val="000000" w:themeColor="text1"/>
          <w:sz w:val="22"/>
          <w:szCs w:val="22"/>
          <w:lang w:val="es-ES_tradnl"/>
        </w:rPr>
        <w:t>d</w:t>
      </w:r>
      <w:r w:rsidRPr="00D17E59">
        <w:rPr>
          <w:rFonts w:ascii="Arial" w:eastAsia="Calibri" w:hAnsi="Arial" w:cs="Arial"/>
          <w:b/>
          <w:bCs/>
          <w:color w:val="000000" w:themeColor="text1"/>
          <w:sz w:val="22"/>
          <w:szCs w:val="22"/>
          <w:lang w:val="es-ES_tradnl"/>
        </w:rPr>
        <w:t>el artículo 35 de la Ley 2069 de 2020</w:t>
      </w:r>
    </w:p>
    <w:p w14:paraId="0F8298C8" w14:textId="77777777" w:rsidR="00FB658F" w:rsidRPr="00D17E59" w:rsidRDefault="00FB658F" w:rsidP="00FB658F">
      <w:pPr>
        <w:spacing w:line="276" w:lineRule="auto"/>
        <w:jc w:val="both"/>
        <w:rPr>
          <w:rFonts w:ascii="Arial" w:eastAsia="Calibri" w:hAnsi="Arial" w:cs="Arial"/>
          <w:color w:val="000000" w:themeColor="text1"/>
          <w:sz w:val="22"/>
          <w:szCs w:val="22"/>
          <w:lang w:val="es-ES_tradnl"/>
        </w:rPr>
      </w:pPr>
    </w:p>
    <w:p w14:paraId="202BF97D" w14:textId="41F4F54C" w:rsidR="00FB658F" w:rsidRPr="00D17E59" w:rsidRDefault="00FB658F" w:rsidP="00FB658F">
      <w:pPr>
        <w:spacing w:line="276" w:lineRule="auto"/>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indique </w:t>
      </w:r>
      <w:r w:rsidR="004B6241" w:rsidRPr="00D17E59">
        <w:rPr>
          <w:rFonts w:ascii="Arial" w:eastAsia="Calibri" w:hAnsi="Arial" w:cs="Arial"/>
          <w:color w:val="000000" w:themeColor="text1"/>
          <w:sz w:val="22"/>
          <w:szCs w:val="22"/>
          <w:lang w:val="es-ES_tradnl"/>
        </w:rPr>
        <w:t xml:space="preserve">si dicho artículo es </w:t>
      </w:r>
      <w:r w:rsidR="004B6241" w:rsidRPr="00D17E59">
        <w:rPr>
          <w:rFonts w:ascii="Arial" w:eastAsia="Calibri" w:hAnsi="Arial" w:cs="Arial"/>
          <w:color w:val="000000" w:themeColor="text1"/>
          <w:sz w:val="22"/>
          <w:szCs w:val="22"/>
          <w:lang w:val="es-ES_tradnl"/>
        </w:rPr>
        <w:lastRenderedPageBreak/>
        <w:t>de obligatoria aplicación</w:t>
      </w:r>
      <w:r w:rsidRPr="00D17E59">
        <w:rPr>
          <w:rFonts w:ascii="Arial" w:eastAsia="Calibri" w:hAnsi="Arial" w:cs="Arial"/>
          <w:color w:val="000000" w:themeColor="text1"/>
          <w:sz w:val="22"/>
          <w:szCs w:val="22"/>
          <w:lang w:val="es-ES_tradnl"/>
        </w:rPr>
        <w:t>, se aclarará cuál es la interpretación o el sentido que le otorga la Agencia a este tema. Esto sin pasar por alto la novedad de dicho enunciado normativo –dada su reciente entrada en vigencia– y la ausencia de pronunciamientos jurisprudenciales o estudios doctrinarios sobre la materia.</w:t>
      </w:r>
    </w:p>
    <w:p w14:paraId="520EF92A" w14:textId="77777777" w:rsidR="00FB658F" w:rsidRPr="00D17E59" w:rsidRDefault="00FB658F" w:rsidP="00FB658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Al respecto, </w:t>
      </w:r>
      <w:r w:rsidRPr="00D17E59">
        <w:rPr>
          <w:rFonts w:ascii="Arial" w:eastAsia="Calibri" w:hAnsi="Arial" w:cs="Arial"/>
          <w:sz w:val="22"/>
          <w:szCs w:val="22"/>
          <w:lang w:val="es-ES_tradnl"/>
        </w:rPr>
        <w:t>pese a que el parágrafo 3 dispone que el Gobierno Nacional podrá regular los supuestos en que concurran dos o más factores de desempate,</w:t>
      </w:r>
      <w:r w:rsidRPr="00D17E59">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2379A869" w14:textId="77777777" w:rsidR="00FB658F" w:rsidRPr="00D17E59" w:rsidRDefault="00FB658F" w:rsidP="00FB658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D17E59">
        <w:rPr>
          <w:rFonts w:ascii="Arial" w:eastAsia="Calibri" w:hAnsi="Arial" w:cs="Arial"/>
          <w:color w:val="000000" w:themeColor="text1"/>
          <w:sz w:val="22"/>
          <w:szCs w:val="22"/>
          <w:lang w:val="es-ES_tradnl"/>
        </w:rPr>
        <w:t>mipymes</w:t>
      </w:r>
      <w:proofErr w:type="spellEnd"/>
      <w:r w:rsidRPr="00D17E59">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D17E59">
        <w:rPr>
          <w:rFonts w:ascii="Arial" w:eastAsia="Calibri" w:hAnsi="Arial" w:cs="Arial"/>
          <w:color w:val="000000" w:themeColor="text1"/>
          <w:sz w:val="22"/>
          <w:szCs w:val="22"/>
          <w:lang w:val="es-ES_tradnl"/>
        </w:rPr>
        <w:t>mipymes</w:t>
      </w:r>
      <w:proofErr w:type="spellEnd"/>
      <w:r w:rsidRPr="00D17E59">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0D3E8A0E" w14:textId="77777777" w:rsidR="00FB658F" w:rsidRPr="00D17E59" w:rsidRDefault="00FB658F" w:rsidP="00FB658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Por su parte,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3343009F" w14:textId="77777777" w:rsidR="00FB658F" w:rsidRPr="00D17E59" w:rsidRDefault="00FB658F" w:rsidP="00FB658F">
      <w:pPr>
        <w:spacing w:before="120" w:line="276" w:lineRule="auto"/>
        <w:ind w:firstLine="708"/>
        <w:jc w:val="both"/>
        <w:rPr>
          <w:rFonts w:ascii="Arial" w:eastAsia="Calibri" w:hAnsi="Arial" w:cs="Arial"/>
          <w:sz w:val="22"/>
          <w:szCs w:val="22"/>
          <w:lang w:val="es-ES_tradnl"/>
        </w:rPr>
      </w:pPr>
      <w:r w:rsidRPr="00D17E59">
        <w:rPr>
          <w:rFonts w:ascii="Arial" w:eastAsia="Calibri" w:hAnsi="Arial" w:cs="Arial"/>
          <w:color w:val="000000" w:themeColor="text1"/>
          <w:sz w:val="22"/>
          <w:szCs w:val="22"/>
          <w:lang w:val="es-ES_tradnl"/>
        </w:rPr>
        <w:t xml:space="preserve">Lo mismo no sucede con el artículo 35. </w:t>
      </w:r>
      <w:r w:rsidRPr="00D17E59">
        <w:rPr>
          <w:rFonts w:ascii="Arial" w:eastAsia="Calibri" w:hAnsi="Arial" w:cs="Arial"/>
          <w:sz w:val="22"/>
          <w:szCs w:val="22"/>
          <w:lang w:val="es-ES_tradnl"/>
        </w:rPr>
        <w:t xml:space="preserve">En efecto, </w:t>
      </w:r>
      <w:r w:rsidRPr="00D17E59">
        <w:rPr>
          <w:rFonts w:ascii="Arial" w:hAnsi="Arial" w:cs="Arial"/>
          <w:color w:val="000000" w:themeColor="text1"/>
          <w:sz w:val="22"/>
          <w:szCs w:val="22"/>
          <w:lang w:val="es-ES_tradnl"/>
        </w:rPr>
        <w:t>si bien los factores de desempate regulados en el artículo 35 deben aplicarse «</w:t>
      </w:r>
      <w:r w:rsidRPr="00D17E59">
        <w:rPr>
          <w:rFonts w:ascii="Arial" w:hAnsi="Arial" w:cs="Arial"/>
          <w:lang w:val="es-ES_tradnl"/>
        </w:rPr>
        <w:t xml:space="preserve">[…] </w:t>
      </w:r>
      <w:r w:rsidRPr="00D17E59">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D17E59">
        <w:rPr>
          <w:rFonts w:ascii="Arial" w:eastAsia="Calibri" w:hAnsi="Arial" w:cs="Arial"/>
          <w:color w:val="000000" w:themeColor="text1"/>
          <w:sz w:val="22"/>
          <w:szCs w:val="22"/>
          <w:lang w:val="es-ES_tradnl"/>
        </w:rPr>
        <w:t xml:space="preserve"> </w:t>
      </w:r>
    </w:p>
    <w:p w14:paraId="2C7B9CD1" w14:textId="77777777" w:rsidR="00FB658F" w:rsidRPr="00D17E59" w:rsidRDefault="00FB658F" w:rsidP="00FB658F">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lastRenderedPageBreak/>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7E83BEFA" w14:textId="77777777" w:rsidR="0060009C" w:rsidRPr="00D17E59" w:rsidRDefault="0060009C" w:rsidP="00510DE9">
      <w:pPr>
        <w:tabs>
          <w:tab w:val="left" w:pos="0"/>
        </w:tabs>
        <w:jc w:val="both"/>
        <w:rPr>
          <w:rFonts w:ascii="Arial" w:eastAsia="Calibri" w:hAnsi="Arial" w:cs="Arial"/>
          <w:b/>
          <w:color w:val="000000" w:themeColor="text1"/>
          <w:sz w:val="22"/>
          <w:lang w:val="es-ES_tradnl"/>
        </w:rPr>
      </w:pPr>
    </w:p>
    <w:p w14:paraId="37CA9805" w14:textId="122A5ECE" w:rsidR="00DD5B04" w:rsidRPr="00D17E59" w:rsidRDefault="004177A6" w:rsidP="00510DE9">
      <w:pPr>
        <w:tabs>
          <w:tab w:val="left" w:pos="0"/>
        </w:tabs>
        <w:jc w:val="both"/>
        <w:rPr>
          <w:rFonts w:ascii="Arial" w:eastAsia="Calibri" w:hAnsi="Arial" w:cs="Arial"/>
          <w:b/>
          <w:color w:val="000000" w:themeColor="text1"/>
          <w:sz w:val="22"/>
          <w:lang w:val="es-ES_tradnl"/>
        </w:rPr>
      </w:pPr>
      <w:r w:rsidRPr="00D17E59">
        <w:rPr>
          <w:rFonts w:ascii="Arial" w:eastAsia="Calibri" w:hAnsi="Arial" w:cs="Arial"/>
          <w:b/>
          <w:color w:val="000000" w:themeColor="text1"/>
          <w:sz w:val="22"/>
          <w:lang w:val="es-ES_tradnl"/>
        </w:rPr>
        <w:t>3</w:t>
      </w:r>
      <w:r w:rsidR="00B011A9" w:rsidRPr="00D17E59">
        <w:rPr>
          <w:rFonts w:ascii="Arial" w:eastAsia="Calibri" w:hAnsi="Arial" w:cs="Arial"/>
          <w:b/>
          <w:color w:val="000000" w:themeColor="text1"/>
          <w:sz w:val="22"/>
          <w:lang w:val="es-ES_tradnl"/>
        </w:rPr>
        <w:t xml:space="preserve">. </w:t>
      </w:r>
      <w:r w:rsidR="00DD5B04" w:rsidRPr="00D17E59">
        <w:rPr>
          <w:rFonts w:ascii="Arial" w:eastAsia="Calibri" w:hAnsi="Arial" w:cs="Arial"/>
          <w:b/>
          <w:color w:val="000000" w:themeColor="text1"/>
          <w:sz w:val="22"/>
          <w:lang w:val="es-ES_tradnl"/>
        </w:rPr>
        <w:t>Respuesta</w:t>
      </w:r>
      <w:r w:rsidR="002A7D84" w:rsidRPr="00D17E59">
        <w:rPr>
          <w:rFonts w:ascii="Arial" w:eastAsia="Calibri" w:hAnsi="Arial" w:cs="Arial"/>
          <w:b/>
          <w:color w:val="000000" w:themeColor="text1"/>
          <w:sz w:val="22"/>
          <w:lang w:val="es-ES_tradnl"/>
        </w:rPr>
        <w:t>s</w:t>
      </w:r>
    </w:p>
    <w:p w14:paraId="12DCA9F3" w14:textId="77777777" w:rsidR="004B25D8" w:rsidRPr="00D17E59" w:rsidRDefault="004B25D8" w:rsidP="001C2119">
      <w:pPr>
        <w:ind w:right="709"/>
        <w:jc w:val="both"/>
        <w:rPr>
          <w:rFonts w:ascii="Arial" w:hAnsi="Arial" w:cs="Arial"/>
          <w:color w:val="000000" w:themeColor="text1"/>
          <w:sz w:val="21"/>
          <w:szCs w:val="21"/>
          <w:lang w:val="es-ES_tradnl"/>
        </w:rPr>
      </w:pPr>
    </w:p>
    <w:p w14:paraId="527FF5D0" w14:textId="60C4D4A2" w:rsidR="004A0612" w:rsidRPr="00D17E59" w:rsidRDefault="004A0612" w:rsidP="004A0612">
      <w:pPr>
        <w:ind w:left="709" w:right="709"/>
        <w:jc w:val="both"/>
        <w:rPr>
          <w:rFonts w:ascii="Arial" w:hAnsi="Arial" w:cs="Arial"/>
          <w:color w:val="000000" w:themeColor="text1"/>
          <w:sz w:val="21"/>
          <w:szCs w:val="21"/>
          <w:lang w:val="es-ES_tradnl"/>
        </w:rPr>
      </w:pPr>
      <w:r w:rsidRPr="00D17E59">
        <w:rPr>
          <w:rFonts w:ascii="Arial" w:hAnsi="Arial" w:cs="Arial"/>
          <w:color w:val="000000" w:themeColor="text1"/>
          <w:sz w:val="21"/>
          <w:szCs w:val="21"/>
          <w:lang w:val="es-ES_tradnl"/>
        </w:rPr>
        <w:t>«¿Existe contradicción en la aplicación del criterio de desempate contenido en las Leyes 2040 de 2020 y 2069 de 2020,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w:t>
      </w:r>
    </w:p>
    <w:p w14:paraId="4E9D623E" w14:textId="72D39C00" w:rsidR="00D70AF4" w:rsidRPr="00D17E59" w:rsidRDefault="00D70AF4" w:rsidP="00D70AF4">
      <w:pPr>
        <w:ind w:left="709" w:right="709"/>
        <w:jc w:val="both"/>
        <w:rPr>
          <w:rFonts w:ascii="Arial" w:hAnsi="Arial" w:cs="Arial"/>
          <w:color w:val="000000" w:themeColor="text1"/>
          <w:sz w:val="21"/>
          <w:szCs w:val="21"/>
          <w:lang w:val="es-ES_tradnl"/>
        </w:rPr>
      </w:pPr>
    </w:p>
    <w:p w14:paraId="23A632A3" w14:textId="3492D02E" w:rsidR="0013494E" w:rsidRPr="00D17E59" w:rsidRDefault="0013494E" w:rsidP="0013494E">
      <w:pPr>
        <w:spacing w:line="276" w:lineRule="auto"/>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El artículo 3 de la Ley 2040 de 2020, que había agregado un cuarto parágrafo al artículo</w:t>
      </w:r>
      <w:r w:rsidR="00AF53C0" w:rsidRPr="00D17E59">
        <w:rPr>
          <w:rFonts w:ascii="Arial" w:eastAsia="Calibri" w:hAnsi="Arial" w:cs="Arial"/>
          <w:color w:val="000000" w:themeColor="text1"/>
          <w:sz w:val="22"/>
          <w:szCs w:val="22"/>
          <w:lang w:val="es-ES_tradnl"/>
        </w:rPr>
        <w:t xml:space="preserve"> 12 de la Ley 1150 de 2007</w:t>
      </w:r>
      <w:r w:rsidRPr="00D17E59">
        <w:rPr>
          <w:rFonts w:ascii="Arial" w:eastAsia="Calibri" w:hAnsi="Arial" w:cs="Arial"/>
          <w:color w:val="000000" w:themeColor="text1"/>
          <w:sz w:val="22"/>
          <w:szCs w:val="22"/>
          <w:lang w:val="es-ES_tradnl"/>
        </w:rPr>
        <w:t>, también se ve afectado por el efecto de la subrogación producida por el artículo 34 de la Ley 2069 de 2020, porque en este artículo no se dice que se mantiene vigente el referido parágrafo. Dicho de otra manera,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ya que no está vigente.</w:t>
      </w:r>
    </w:p>
    <w:p w14:paraId="39F1564E" w14:textId="1291958B" w:rsidR="0013494E" w:rsidRPr="00D17E59" w:rsidRDefault="0013494E" w:rsidP="0013494E">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t>Aunque el argumento anterior es suficiente, una razón adicional</w:t>
      </w:r>
      <w:r w:rsidR="00AF310E" w:rsidRPr="00D17E59">
        <w:rPr>
          <w:rFonts w:ascii="Arial" w:eastAsia="Calibri" w:hAnsi="Arial" w:cs="Arial"/>
          <w:color w:val="000000" w:themeColor="text1"/>
          <w:sz w:val="22"/>
          <w:szCs w:val="22"/>
          <w:lang w:val="es-ES_tradnl"/>
        </w:rPr>
        <w:t>,</w:t>
      </w:r>
      <w:r w:rsidRPr="00D17E59">
        <w:rPr>
          <w:rFonts w:ascii="Arial" w:eastAsia="Calibri" w:hAnsi="Arial" w:cs="Arial"/>
          <w:color w:val="000000" w:themeColor="text1"/>
          <w:sz w:val="22"/>
          <w:szCs w:val="22"/>
          <w:lang w:val="es-ES_tradnl"/>
        </w:rPr>
        <w:t xml:space="preserve"> para concluir que el artículo 34 de la Ley 2069 de 2020 dejó sin vigencia el parágrafo 4 del artículo 12 de la Ley 1150 de 2007 –y por lo tanto, el artículo 3 de la Ley 2040 de 2020–, es que el artículo 35 de la Ley 2069 de 2020 contiene una regulación nueva de los factores de desempate en la contratación estatal. Más aún,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 se encuentra vigente, ya que el legislador no condicionó su aplicación a la expedición de</w:t>
      </w:r>
      <w:r w:rsidR="00480154" w:rsidRPr="00D17E59">
        <w:rPr>
          <w:rFonts w:ascii="Arial" w:eastAsia="Calibri" w:hAnsi="Arial" w:cs="Arial"/>
          <w:color w:val="000000" w:themeColor="text1"/>
          <w:sz w:val="22"/>
          <w:szCs w:val="22"/>
          <w:lang w:val="es-ES_tradnl"/>
        </w:rPr>
        <w:t xml:space="preserve"> un</w:t>
      </w:r>
      <w:r w:rsidRPr="00D17E59">
        <w:rPr>
          <w:rFonts w:ascii="Arial" w:eastAsia="Calibri" w:hAnsi="Arial" w:cs="Arial"/>
          <w:color w:val="000000" w:themeColor="text1"/>
          <w:sz w:val="22"/>
          <w:szCs w:val="22"/>
          <w:lang w:val="es-ES_tradnl"/>
        </w:rPr>
        <w:t xml:space="preserve"> decreto reglamentario por parte del gobierno nacional, aunque nada se opone a que</w:t>
      </w:r>
      <w:r w:rsidR="00480154" w:rsidRPr="00D17E59">
        <w:rPr>
          <w:rFonts w:ascii="Arial" w:eastAsia="Calibri" w:hAnsi="Arial" w:cs="Arial"/>
          <w:color w:val="000000" w:themeColor="text1"/>
          <w:sz w:val="22"/>
          <w:szCs w:val="22"/>
          <w:lang w:val="es-ES_tradnl"/>
        </w:rPr>
        <w:t>,</w:t>
      </w:r>
      <w:r w:rsidRPr="00D17E59">
        <w:rPr>
          <w:rFonts w:ascii="Arial" w:eastAsia="Calibri" w:hAnsi="Arial" w:cs="Arial"/>
          <w:color w:val="000000" w:themeColor="text1"/>
          <w:sz w:val="22"/>
          <w:szCs w:val="22"/>
          <w:lang w:val="es-ES_tradnl"/>
        </w:rPr>
        <w:t xml:space="preserve"> en ejercicio de la facultad discrecional con que cuenta para reglamentar las leyes –en virtud del artículo 189, numeral 11, de la Constitución–, establezca condiciones </w:t>
      </w:r>
      <w:r w:rsidR="00480154" w:rsidRPr="00D17E59">
        <w:rPr>
          <w:rFonts w:ascii="Arial" w:eastAsia="Calibri" w:hAnsi="Arial" w:cs="Arial"/>
          <w:color w:val="000000" w:themeColor="text1"/>
          <w:sz w:val="22"/>
          <w:szCs w:val="22"/>
          <w:lang w:val="es-ES_tradnl"/>
        </w:rPr>
        <w:t>para aplicar</w:t>
      </w:r>
      <w:r w:rsidRPr="00D17E59">
        <w:rPr>
          <w:rFonts w:ascii="Arial" w:eastAsia="Calibri" w:hAnsi="Arial" w:cs="Arial"/>
          <w:color w:val="000000" w:themeColor="text1"/>
          <w:sz w:val="22"/>
          <w:szCs w:val="22"/>
          <w:lang w:val="es-ES_tradnl"/>
        </w:rPr>
        <w:t xml:space="preserve"> dicho numeral.</w:t>
      </w:r>
    </w:p>
    <w:p w14:paraId="7A88C5ED" w14:textId="540FB854" w:rsidR="0013494E" w:rsidRPr="00D17E59" w:rsidRDefault="0013494E" w:rsidP="0013494E">
      <w:pPr>
        <w:spacing w:before="120" w:line="276" w:lineRule="auto"/>
        <w:ind w:firstLine="709"/>
        <w:jc w:val="both"/>
        <w:rPr>
          <w:rFonts w:ascii="Arial" w:eastAsia="Calibri" w:hAnsi="Arial" w:cs="Arial"/>
          <w:color w:val="000000" w:themeColor="text1"/>
          <w:sz w:val="22"/>
          <w:szCs w:val="22"/>
          <w:lang w:val="es-ES_tradnl"/>
        </w:rPr>
      </w:pPr>
      <w:r w:rsidRPr="00D17E59">
        <w:rPr>
          <w:rFonts w:ascii="Arial" w:eastAsia="Calibri" w:hAnsi="Arial" w:cs="Arial"/>
          <w:color w:val="000000" w:themeColor="text1"/>
          <w:sz w:val="22"/>
          <w:szCs w:val="22"/>
          <w:lang w:val="es-ES_tradnl"/>
        </w:rPr>
        <w:lastRenderedPageBreak/>
        <w:t xml:space="preserve">En conclusión, las entidades estatales, independientemente del régimen contractual que </w:t>
      </w:r>
      <w:r w:rsidR="00F60C07" w:rsidRPr="00D17E59">
        <w:rPr>
          <w:rFonts w:ascii="Arial" w:eastAsia="Calibri" w:hAnsi="Arial" w:cs="Arial"/>
          <w:color w:val="000000" w:themeColor="text1"/>
          <w:sz w:val="22"/>
          <w:szCs w:val="22"/>
          <w:lang w:val="es-ES_tradnl"/>
        </w:rPr>
        <w:t>las ri</w:t>
      </w:r>
      <w:r w:rsidR="00EE3599" w:rsidRPr="00D17E59">
        <w:rPr>
          <w:rFonts w:ascii="Arial" w:eastAsia="Calibri" w:hAnsi="Arial" w:cs="Arial"/>
          <w:color w:val="000000" w:themeColor="text1"/>
          <w:sz w:val="22"/>
          <w:szCs w:val="22"/>
          <w:lang w:val="es-ES_tradnl"/>
        </w:rPr>
        <w:t>ge</w:t>
      </w:r>
      <w:r w:rsidRPr="00D17E59">
        <w:rPr>
          <w:rFonts w:ascii="Arial" w:eastAsia="Calibri" w:hAnsi="Arial" w:cs="Arial"/>
          <w:color w:val="000000" w:themeColor="text1"/>
          <w:sz w:val="22"/>
          <w:szCs w:val="22"/>
          <w:lang w:val="es-ES_tradnl"/>
        </w:rPr>
        <w:t>, deben aplicar el factor de desempate basado en la vinculación de personas mayores. Sin embargo, el fundamento de esta obligación ya no es el artículo 3 de la Ley 2040 de 2020 –pues no está vigente–, sino el artículo 35, numeral 4, de la Ley 206</w:t>
      </w:r>
      <w:r w:rsidR="001B43B1" w:rsidRPr="00D17E59">
        <w:rPr>
          <w:rFonts w:ascii="Arial" w:eastAsia="Calibri" w:hAnsi="Arial" w:cs="Arial"/>
          <w:color w:val="000000" w:themeColor="text1"/>
          <w:sz w:val="22"/>
          <w:szCs w:val="22"/>
          <w:lang w:val="es-ES_tradnl"/>
        </w:rPr>
        <w:t>9</w:t>
      </w:r>
      <w:r w:rsidRPr="00D17E59">
        <w:rPr>
          <w:rFonts w:ascii="Arial" w:eastAsia="Calibri" w:hAnsi="Arial" w:cs="Arial"/>
          <w:color w:val="000000" w:themeColor="text1"/>
          <w:sz w:val="22"/>
          <w:szCs w:val="22"/>
          <w:lang w:val="es-ES_tradnl"/>
        </w:rPr>
        <w:t xml:space="preserve"> de 2020.    </w:t>
      </w:r>
    </w:p>
    <w:p w14:paraId="64E1CB54" w14:textId="77777777" w:rsidR="00DA36B3" w:rsidRPr="00D17E59" w:rsidRDefault="00DA36B3" w:rsidP="00352991">
      <w:pPr>
        <w:spacing w:before="120" w:line="276" w:lineRule="auto"/>
        <w:jc w:val="both"/>
        <w:rPr>
          <w:rFonts w:ascii="Arial" w:hAnsi="Arial" w:cs="Arial"/>
          <w:color w:val="000000" w:themeColor="text1"/>
          <w:sz w:val="22"/>
          <w:szCs w:val="22"/>
          <w:lang w:val="es-ES_tradnl"/>
        </w:rPr>
      </w:pPr>
    </w:p>
    <w:p w14:paraId="7B2C921D" w14:textId="49442F1C" w:rsidR="00DD5B04" w:rsidRPr="00D17E59" w:rsidRDefault="00DD5B04" w:rsidP="00DF76A2">
      <w:pPr>
        <w:spacing w:line="276" w:lineRule="auto"/>
        <w:jc w:val="both"/>
        <w:rPr>
          <w:rFonts w:ascii="Arial" w:hAnsi="Arial" w:cs="Arial"/>
          <w:color w:val="000000" w:themeColor="text1"/>
          <w:sz w:val="22"/>
          <w:lang w:val="es-ES_tradnl"/>
        </w:rPr>
      </w:pPr>
      <w:r w:rsidRPr="00D17E59">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D17E59"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D17E59"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17E59">
        <w:rPr>
          <w:rFonts w:ascii="Arial" w:hAnsi="Arial" w:cs="Arial"/>
          <w:color w:val="000000" w:themeColor="text1"/>
          <w:sz w:val="22"/>
          <w:szCs w:val="22"/>
          <w:lang w:val="es-ES_tradnl"/>
        </w:rPr>
        <w:t>Atentamente,</w:t>
      </w:r>
    </w:p>
    <w:p w14:paraId="692FC307" w14:textId="210AA6B5" w:rsidR="00921304" w:rsidRPr="00D17E59"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3FDD31FD" w:rsidR="00921304" w:rsidRPr="00D17E59" w:rsidRDefault="00F96B9B"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23D39AB7" wp14:editId="07E3363A">
            <wp:extent cx="2514600" cy="1114425"/>
            <wp:effectExtent l="0" t="0" r="0" b="0"/>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D17E59" w:rsidRDefault="00425C43" w:rsidP="00B37657">
      <w:pPr>
        <w:jc w:val="center"/>
        <w:rPr>
          <w:rFonts w:ascii="Arial" w:hAnsi="Arial" w:cs="Arial"/>
          <w:color w:val="000000" w:themeColor="text1"/>
          <w:sz w:val="18"/>
          <w:szCs w:val="20"/>
          <w:lang w:val="es-ES_tradnl" w:eastAsia="es-CO"/>
        </w:rPr>
      </w:pPr>
    </w:p>
    <w:p w14:paraId="49730030" w14:textId="217D35F3" w:rsidR="00DD5B04" w:rsidRPr="00D17E59"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17E59" w14:paraId="0C7DC5F7" w14:textId="77777777" w:rsidTr="008F4163">
        <w:trPr>
          <w:trHeight w:val="315"/>
        </w:trPr>
        <w:tc>
          <w:tcPr>
            <w:tcW w:w="812" w:type="dxa"/>
            <w:vAlign w:val="center"/>
            <w:hideMark/>
          </w:tcPr>
          <w:p w14:paraId="5BDB1AC9" w14:textId="77777777" w:rsidR="00DD5B04" w:rsidRPr="00D17E59" w:rsidRDefault="00DD5B04" w:rsidP="00DF76A2">
            <w:pPr>
              <w:jc w:val="both"/>
              <w:rPr>
                <w:rFonts w:ascii="Arial" w:hAnsi="Arial" w:cs="Arial"/>
                <w:color w:val="000000" w:themeColor="text1"/>
                <w:sz w:val="16"/>
                <w:szCs w:val="16"/>
                <w:lang w:val="es-ES_tradnl" w:eastAsia="es-ES"/>
              </w:rPr>
            </w:pPr>
            <w:r w:rsidRPr="00D17E59">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D17E59" w:rsidRDefault="00DD5B04" w:rsidP="00DF76A2">
            <w:pPr>
              <w:jc w:val="both"/>
              <w:rPr>
                <w:rFonts w:ascii="Arial" w:hAnsi="Arial" w:cs="Arial"/>
                <w:color w:val="000000" w:themeColor="text1"/>
                <w:sz w:val="16"/>
                <w:szCs w:val="16"/>
                <w:lang w:val="es-ES_tradnl" w:eastAsia="es-ES"/>
              </w:rPr>
            </w:pPr>
            <w:r w:rsidRPr="00D17E59">
              <w:rPr>
                <w:rFonts w:ascii="Arial" w:hAnsi="Arial" w:cs="Arial"/>
                <w:color w:val="000000" w:themeColor="text1"/>
                <w:sz w:val="16"/>
                <w:szCs w:val="16"/>
                <w:lang w:val="es-ES_tradnl" w:eastAsia="es-ES"/>
              </w:rPr>
              <w:t>Cristian Andrés Díaz Díez</w:t>
            </w:r>
          </w:p>
          <w:p w14:paraId="240C71FD" w14:textId="31312C95" w:rsidR="00DD5B04" w:rsidRPr="00D17E59" w:rsidRDefault="00DD5B04" w:rsidP="00DF76A2">
            <w:pPr>
              <w:jc w:val="both"/>
              <w:rPr>
                <w:rFonts w:ascii="Arial" w:hAnsi="Arial" w:cs="Arial"/>
                <w:color w:val="000000" w:themeColor="text1"/>
                <w:sz w:val="16"/>
                <w:szCs w:val="16"/>
                <w:lang w:val="es-ES_tradnl" w:eastAsia="es-ES"/>
              </w:rPr>
            </w:pPr>
            <w:r w:rsidRPr="00D17E59">
              <w:rPr>
                <w:rFonts w:ascii="Arial" w:hAnsi="Arial" w:cs="Arial"/>
                <w:color w:val="000000" w:themeColor="text1"/>
                <w:sz w:val="16"/>
                <w:szCs w:val="16"/>
                <w:lang w:val="es-ES_tradnl" w:eastAsia="es-ES"/>
              </w:rPr>
              <w:t>Contratista</w:t>
            </w:r>
            <w:r w:rsidR="00FF0050" w:rsidRPr="00D17E59">
              <w:rPr>
                <w:rFonts w:ascii="Arial" w:hAnsi="Arial" w:cs="Arial"/>
                <w:color w:val="000000" w:themeColor="text1"/>
                <w:sz w:val="16"/>
                <w:szCs w:val="16"/>
                <w:lang w:val="es-ES_tradnl" w:eastAsia="es-ES"/>
              </w:rPr>
              <w:t xml:space="preserve"> de la </w:t>
            </w:r>
            <w:r w:rsidRPr="00D17E59">
              <w:rPr>
                <w:rFonts w:ascii="Arial" w:hAnsi="Arial" w:cs="Arial"/>
                <w:color w:val="000000" w:themeColor="text1"/>
                <w:sz w:val="16"/>
                <w:szCs w:val="16"/>
                <w:lang w:val="es-ES_tradnl" w:eastAsia="es-ES"/>
              </w:rPr>
              <w:t>Subdirección de Gestión Contractual</w:t>
            </w:r>
          </w:p>
        </w:tc>
      </w:tr>
      <w:tr w:rsidR="00DD5B04" w:rsidRPr="00D17E59" w14:paraId="2F8FD650" w14:textId="77777777" w:rsidTr="008F4163">
        <w:trPr>
          <w:trHeight w:val="330"/>
        </w:trPr>
        <w:tc>
          <w:tcPr>
            <w:tcW w:w="812" w:type="dxa"/>
            <w:vAlign w:val="center"/>
            <w:hideMark/>
          </w:tcPr>
          <w:p w14:paraId="50203A0B" w14:textId="77777777" w:rsidR="00DD5B04" w:rsidRPr="00D17E59" w:rsidRDefault="00DD5B04" w:rsidP="00DF76A2">
            <w:pPr>
              <w:jc w:val="both"/>
              <w:rPr>
                <w:rFonts w:ascii="Arial" w:hAnsi="Arial" w:cs="Arial"/>
                <w:color w:val="000000" w:themeColor="text1"/>
                <w:sz w:val="16"/>
                <w:szCs w:val="16"/>
                <w:lang w:val="es-ES_tradnl" w:eastAsia="es-ES"/>
              </w:rPr>
            </w:pPr>
            <w:r w:rsidRPr="00D17E59">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C992CF" w14:textId="77777777" w:rsidR="005042E8" w:rsidRPr="00D17E59" w:rsidRDefault="005042E8" w:rsidP="00C05A61">
            <w:pPr>
              <w:jc w:val="both"/>
              <w:rPr>
                <w:rFonts w:ascii="Arial" w:hAnsi="Arial" w:cs="Arial"/>
                <w:color w:val="000000" w:themeColor="text1"/>
                <w:sz w:val="16"/>
                <w:szCs w:val="16"/>
                <w:lang w:val="es-ES_tradnl" w:eastAsia="es-ES"/>
              </w:rPr>
            </w:pPr>
            <w:r w:rsidRPr="00D17E59">
              <w:rPr>
                <w:rFonts w:ascii="Arial" w:hAnsi="Arial" w:cs="Arial"/>
                <w:color w:val="000000" w:themeColor="text1"/>
                <w:sz w:val="16"/>
                <w:szCs w:val="16"/>
                <w:lang w:val="es-ES_tradnl" w:eastAsia="es-ES"/>
              </w:rPr>
              <w:t xml:space="preserve">Jorge Augusto Tirado Navarro </w:t>
            </w:r>
          </w:p>
          <w:p w14:paraId="130B3228" w14:textId="52535CC9" w:rsidR="00DD5B04" w:rsidRPr="00D17E59" w:rsidRDefault="005042E8" w:rsidP="00C05A61">
            <w:pPr>
              <w:jc w:val="both"/>
              <w:rPr>
                <w:rFonts w:ascii="Arial" w:hAnsi="Arial" w:cs="Arial"/>
                <w:color w:val="000000" w:themeColor="text1"/>
                <w:sz w:val="16"/>
                <w:szCs w:val="16"/>
                <w:lang w:val="es-ES_tradnl" w:eastAsia="es-ES"/>
              </w:rPr>
            </w:pPr>
            <w:r w:rsidRPr="00D17E59">
              <w:rPr>
                <w:rFonts w:ascii="Arial" w:hAnsi="Arial" w:cs="Arial"/>
                <w:color w:val="000000" w:themeColor="text1"/>
                <w:sz w:val="16"/>
                <w:szCs w:val="16"/>
                <w:lang w:val="es-ES_tradnl" w:eastAsia="es-ES"/>
              </w:rPr>
              <w:t>Subdirector de Gestión Contractual ANCP – CCE</w:t>
            </w:r>
          </w:p>
        </w:tc>
      </w:tr>
      <w:tr w:rsidR="00DD5B04" w:rsidRPr="005419DA" w14:paraId="0FCBCA4A" w14:textId="77777777" w:rsidTr="008F4163">
        <w:trPr>
          <w:trHeight w:val="300"/>
        </w:trPr>
        <w:tc>
          <w:tcPr>
            <w:tcW w:w="812" w:type="dxa"/>
            <w:vAlign w:val="center"/>
            <w:hideMark/>
          </w:tcPr>
          <w:p w14:paraId="3C1D943A" w14:textId="77777777" w:rsidR="00DD5B04" w:rsidRPr="00D17E59" w:rsidRDefault="00DD5B04" w:rsidP="00DF76A2">
            <w:pPr>
              <w:jc w:val="both"/>
              <w:rPr>
                <w:rFonts w:ascii="Arial" w:hAnsi="Arial" w:cs="Arial"/>
                <w:color w:val="000000" w:themeColor="text1"/>
                <w:sz w:val="16"/>
                <w:szCs w:val="16"/>
                <w:lang w:val="es-ES_tradnl" w:eastAsia="es-ES"/>
              </w:rPr>
            </w:pPr>
            <w:r w:rsidRPr="00D17E59">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17E59" w:rsidRDefault="00C05A61" w:rsidP="00DF76A2">
            <w:pPr>
              <w:jc w:val="both"/>
              <w:rPr>
                <w:rFonts w:ascii="Arial" w:hAnsi="Arial" w:cs="Arial"/>
                <w:color w:val="000000" w:themeColor="text1"/>
                <w:sz w:val="16"/>
                <w:szCs w:val="16"/>
                <w:lang w:val="es-ES_tradnl" w:eastAsia="es-ES"/>
              </w:rPr>
            </w:pPr>
            <w:r w:rsidRPr="00D17E59">
              <w:rPr>
                <w:rFonts w:ascii="Arial" w:hAnsi="Arial" w:cs="Arial"/>
                <w:color w:val="000000" w:themeColor="text1"/>
                <w:sz w:val="16"/>
                <w:szCs w:val="16"/>
                <w:lang w:val="es-ES_tradnl" w:eastAsia="es-ES"/>
              </w:rPr>
              <w:t xml:space="preserve">Jorge </w:t>
            </w:r>
            <w:r w:rsidR="00647A36" w:rsidRPr="00D17E59">
              <w:rPr>
                <w:rFonts w:ascii="Arial" w:hAnsi="Arial" w:cs="Arial"/>
                <w:color w:val="000000" w:themeColor="text1"/>
                <w:sz w:val="16"/>
                <w:szCs w:val="16"/>
                <w:lang w:val="es-ES_tradnl" w:eastAsia="es-ES"/>
              </w:rPr>
              <w:t xml:space="preserve">Augusto </w:t>
            </w:r>
            <w:r w:rsidRPr="00D17E59">
              <w:rPr>
                <w:rFonts w:ascii="Arial" w:hAnsi="Arial" w:cs="Arial"/>
                <w:color w:val="000000" w:themeColor="text1"/>
                <w:sz w:val="16"/>
                <w:szCs w:val="16"/>
                <w:lang w:val="es-ES_tradnl" w:eastAsia="es-ES"/>
              </w:rPr>
              <w:t>Tirado Navarro</w:t>
            </w:r>
          </w:p>
          <w:p w14:paraId="1ADC483B" w14:textId="2E3B66D0" w:rsidR="00DD5B04" w:rsidRPr="005419DA" w:rsidRDefault="00DD5B04" w:rsidP="00DF76A2">
            <w:pPr>
              <w:jc w:val="both"/>
              <w:rPr>
                <w:rFonts w:ascii="Arial" w:hAnsi="Arial" w:cs="Arial"/>
                <w:color w:val="000000" w:themeColor="text1"/>
                <w:sz w:val="16"/>
                <w:szCs w:val="16"/>
                <w:lang w:val="es-ES_tradnl" w:eastAsia="es-ES"/>
              </w:rPr>
            </w:pPr>
            <w:r w:rsidRPr="00D17E59">
              <w:rPr>
                <w:rFonts w:ascii="Arial" w:hAnsi="Arial" w:cs="Arial"/>
                <w:color w:val="000000" w:themeColor="text1"/>
                <w:sz w:val="16"/>
                <w:szCs w:val="16"/>
                <w:lang w:val="es-ES_tradnl" w:eastAsia="es-ES"/>
              </w:rPr>
              <w:t>Subdirector de Gestión Contractual</w:t>
            </w:r>
            <w:r w:rsidR="008201DE" w:rsidRPr="00D17E59">
              <w:rPr>
                <w:rFonts w:ascii="Arial" w:hAnsi="Arial" w:cs="Arial"/>
                <w:color w:val="000000" w:themeColor="text1"/>
                <w:sz w:val="16"/>
                <w:szCs w:val="16"/>
                <w:lang w:val="es-ES_tradnl" w:eastAsia="es-ES"/>
              </w:rPr>
              <w:t xml:space="preserve"> ANCP – CCE</w:t>
            </w:r>
          </w:p>
        </w:tc>
      </w:tr>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EC861" w14:textId="77777777" w:rsidR="006E59A0" w:rsidRDefault="006E59A0">
      <w:r>
        <w:separator/>
      </w:r>
    </w:p>
  </w:endnote>
  <w:endnote w:type="continuationSeparator" w:id="0">
    <w:p w14:paraId="4C5EA364" w14:textId="77777777" w:rsidR="006E59A0" w:rsidRDefault="006E59A0">
      <w:r>
        <w:continuationSeparator/>
      </w:r>
    </w:p>
  </w:endnote>
  <w:endnote w:type="continuationNotice" w:id="1">
    <w:p w14:paraId="0ADD76AA" w14:textId="77777777" w:rsidR="006E59A0" w:rsidRDefault="006E59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AD19AB" w14:textId="77777777" w:rsidR="006E59A0" w:rsidRDefault="006E59A0">
      <w:r>
        <w:separator/>
      </w:r>
    </w:p>
  </w:footnote>
  <w:footnote w:type="continuationSeparator" w:id="0">
    <w:p w14:paraId="7B464A27" w14:textId="77777777" w:rsidR="006E59A0" w:rsidRDefault="006E59A0">
      <w:r>
        <w:continuationSeparator/>
      </w:r>
    </w:p>
  </w:footnote>
  <w:footnote w:type="continuationNotice" w:id="1">
    <w:p w14:paraId="20CA4C5D" w14:textId="77777777" w:rsidR="006E59A0" w:rsidRDefault="006E59A0"/>
  </w:footnote>
  <w:footnote w:id="2">
    <w:p w14:paraId="79F1759F" w14:textId="77777777" w:rsidR="00C47F18" w:rsidRPr="001F29DD" w:rsidRDefault="00C47F18"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2 al 29.</w:t>
      </w:r>
    </w:p>
    <w:p w14:paraId="3F3A4C1F" w14:textId="77777777" w:rsidR="00C47F18" w:rsidRPr="001F29DD" w:rsidRDefault="00C47F18" w:rsidP="001F29DD">
      <w:pPr>
        <w:pStyle w:val="Textonotapie"/>
        <w:ind w:firstLine="709"/>
        <w:jc w:val="both"/>
        <w:rPr>
          <w:rFonts w:ascii="Arial" w:hAnsi="Arial" w:cs="Arial"/>
          <w:sz w:val="19"/>
          <w:szCs w:val="19"/>
          <w:lang w:val="es-ES"/>
        </w:rPr>
      </w:pPr>
    </w:p>
  </w:footnote>
  <w:footnote w:id="3">
    <w:p w14:paraId="3A8728BD" w14:textId="77777777" w:rsidR="00C47F18" w:rsidRPr="001F29DD" w:rsidRDefault="00C47F18"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30 al 36.</w:t>
      </w:r>
    </w:p>
    <w:p w14:paraId="6E32AE94" w14:textId="77777777" w:rsidR="00C47F18" w:rsidRPr="001F29DD" w:rsidRDefault="00C47F18" w:rsidP="001F29DD">
      <w:pPr>
        <w:pStyle w:val="Textonotapie"/>
        <w:ind w:firstLine="709"/>
        <w:jc w:val="both"/>
        <w:rPr>
          <w:rFonts w:ascii="Arial" w:hAnsi="Arial" w:cs="Arial"/>
          <w:sz w:val="19"/>
          <w:szCs w:val="19"/>
          <w:lang w:val="es-ES"/>
        </w:rPr>
      </w:pPr>
    </w:p>
  </w:footnote>
  <w:footnote w:id="4">
    <w:p w14:paraId="29604E64" w14:textId="77777777" w:rsidR="00C47F18" w:rsidRPr="001F29DD" w:rsidRDefault="00C47F18"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37 al 45.</w:t>
      </w:r>
    </w:p>
    <w:p w14:paraId="6EAC1815" w14:textId="77777777" w:rsidR="00C47F18" w:rsidRPr="001F29DD" w:rsidRDefault="00C47F18" w:rsidP="001F29DD">
      <w:pPr>
        <w:pStyle w:val="Textonotapie"/>
        <w:ind w:firstLine="709"/>
        <w:jc w:val="both"/>
        <w:rPr>
          <w:rFonts w:ascii="Arial" w:hAnsi="Arial" w:cs="Arial"/>
          <w:sz w:val="19"/>
          <w:szCs w:val="19"/>
          <w:lang w:val="es-ES"/>
        </w:rPr>
      </w:pPr>
    </w:p>
  </w:footnote>
  <w:footnote w:id="5">
    <w:p w14:paraId="5B24E1F3" w14:textId="77777777" w:rsidR="00C47F18" w:rsidRPr="001F29DD" w:rsidRDefault="00C47F18"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46 al 73.</w:t>
      </w:r>
    </w:p>
    <w:p w14:paraId="30FD1F17" w14:textId="77777777" w:rsidR="00C47F18" w:rsidRPr="001F29DD" w:rsidRDefault="00C47F18" w:rsidP="001F29DD">
      <w:pPr>
        <w:pStyle w:val="Textonotapie"/>
        <w:ind w:firstLine="709"/>
        <w:jc w:val="both"/>
        <w:rPr>
          <w:rFonts w:ascii="Arial" w:hAnsi="Arial" w:cs="Arial"/>
          <w:sz w:val="19"/>
          <w:szCs w:val="19"/>
          <w:lang w:val="es-ES"/>
        </w:rPr>
      </w:pPr>
    </w:p>
  </w:footnote>
  <w:footnote w:id="6">
    <w:p w14:paraId="799E79D6" w14:textId="77777777" w:rsidR="00C47F18" w:rsidRPr="001F29DD" w:rsidRDefault="00C47F18"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74 al 83.</w:t>
      </w:r>
    </w:p>
    <w:p w14:paraId="4FB507B1" w14:textId="77777777" w:rsidR="00C47F18" w:rsidRPr="001F29DD" w:rsidRDefault="00C47F18" w:rsidP="001F29DD">
      <w:pPr>
        <w:pStyle w:val="Textonotapie"/>
        <w:ind w:firstLine="709"/>
        <w:jc w:val="both"/>
        <w:rPr>
          <w:rFonts w:ascii="Arial" w:hAnsi="Arial" w:cs="Arial"/>
          <w:sz w:val="19"/>
          <w:szCs w:val="19"/>
          <w:lang w:val="es-ES"/>
        </w:rPr>
      </w:pPr>
    </w:p>
  </w:footnote>
  <w:footnote w:id="7">
    <w:p w14:paraId="007B2DE8" w14:textId="11F1F723" w:rsidR="005F0B10" w:rsidRPr="001F29DD" w:rsidRDefault="00903C57" w:rsidP="001F29DD">
      <w:pPr>
        <w:ind w:firstLine="709"/>
        <w:jc w:val="both"/>
        <w:rPr>
          <w:rFonts w:ascii="Arial" w:hAnsi="Arial" w:cs="Arial"/>
          <w:sz w:val="19"/>
          <w:szCs w:val="19"/>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 xml:space="preserve">En efecto, el artículo </w:t>
      </w:r>
      <w:r w:rsidR="00231A18" w:rsidRPr="001F29DD">
        <w:rPr>
          <w:rFonts w:ascii="Arial" w:hAnsi="Arial" w:cs="Arial"/>
          <w:sz w:val="19"/>
          <w:szCs w:val="19"/>
          <w:lang w:val="es-ES"/>
        </w:rPr>
        <w:t xml:space="preserve">34 de la Ley 2069 de 2020 establece: </w:t>
      </w:r>
      <w:r w:rsidR="005F0B10" w:rsidRPr="001F29DD">
        <w:rPr>
          <w:rFonts w:ascii="Arial" w:hAnsi="Arial" w:cs="Arial"/>
          <w:sz w:val="19"/>
          <w:szCs w:val="19"/>
          <w:lang w:val="es-ES"/>
        </w:rPr>
        <w:t>«</w:t>
      </w:r>
      <w:r w:rsidR="005F0B10" w:rsidRPr="001F29DD">
        <w:rPr>
          <w:rFonts w:ascii="Arial" w:hAnsi="Arial" w:cs="Arial"/>
          <w:sz w:val="19"/>
          <w:szCs w:val="19"/>
        </w:rPr>
        <w:t xml:space="preserve">Modifíquese el artículo 12 de la Ley 1150 de 2007, el cual quedará así: </w:t>
      </w:r>
    </w:p>
    <w:p w14:paraId="5B3EECC1" w14:textId="7C5050AB"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rPr>
        <w:t>»</w:t>
      </w:r>
      <w:r w:rsidR="00231A18" w:rsidRPr="001F29DD">
        <w:rPr>
          <w:rFonts w:ascii="Arial" w:eastAsia="Calibri" w:hAnsi="Arial" w:cs="Arial"/>
          <w:color w:val="000000" w:themeColor="text1"/>
          <w:sz w:val="19"/>
          <w:szCs w:val="19"/>
          <w:lang w:val="es-ES_tradnl"/>
        </w:rPr>
        <w:t>"</w:t>
      </w:r>
      <w:r w:rsidRPr="001F29DD">
        <w:rPr>
          <w:rFonts w:ascii="Arial" w:eastAsia="Calibri" w:hAnsi="Arial" w:cs="Arial"/>
          <w:color w:val="000000" w:themeColor="text1"/>
          <w:sz w:val="19"/>
          <w:szCs w:val="19"/>
          <w:lang w:val="es-ES_tradnl"/>
        </w:rPr>
        <w:t>Artículo</w:t>
      </w:r>
      <w:r w:rsidR="00231A18" w:rsidRPr="001F29DD">
        <w:rPr>
          <w:rFonts w:ascii="Arial" w:eastAsia="Calibri" w:hAnsi="Arial" w:cs="Arial"/>
          <w:color w:val="000000" w:themeColor="text1"/>
          <w:sz w:val="19"/>
          <w:szCs w:val="19"/>
          <w:lang w:val="es-ES_tradnl"/>
        </w:rPr>
        <w:t xml:space="preserve">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58FA426A" w14:textId="303369BB"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w:t>
      </w:r>
      <w:r w:rsidR="00231A18" w:rsidRPr="001F29DD">
        <w:rPr>
          <w:rFonts w:ascii="Arial" w:eastAsia="Calibri" w:hAnsi="Arial" w:cs="Arial"/>
          <w:color w:val="000000" w:themeColor="text1"/>
          <w:sz w:val="19"/>
          <w:szCs w:val="19"/>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18EBE081" w14:textId="1BBDB92E"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w:t>
      </w:r>
      <w:r w:rsidR="00231A18" w:rsidRPr="001F29DD">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0B8E2E25" w14:textId="120EFCBF"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w:t>
      </w:r>
      <w:r w:rsidR="00231A18" w:rsidRPr="001F29DD">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02ADEC45" w14:textId="314C7AA9"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Primero</w:t>
      </w:r>
      <w:r w:rsidR="00231A18" w:rsidRPr="001F29DD">
        <w:rPr>
          <w:rFonts w:ascii="Arial" w:eastAsia="Calibri" w:hAnsi="Arial" w:cs="Arial"/>
          <w:color w:val="000000" w:themeColor="text1"/>
          <w:sz w:val="19"/>
          <w:szCs w:val="19"/>
          <w:lang w:val="es-ES_tradnl"/>
        </w:rPr>
        <w:t>. En los Procesos de Contratación que se desarrollen con base en el primer inciso, las entidades podrán realizar las convocatorias limitadas que beneficien a las Mipyme del ámbito municipal o departamental correspondiente al de la ejecución del contrato.</w:t>
      </w:r>
    </w:p>
    <w:p w14:paraId="75C07D68" w14:textId="4D11C44A"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Segundo</w:t>
      </w:r>
      <w:r w:rsidR="00231A18" w:rsidRPr="001F29DD">
        <w:rPr>
          <w:rFonts w:ascii="Arial" w:eastAsia="Calibri" w:hAnsi="Arial" w:cs="Arial"/>
          <w:color w:val="000000" w:themeColor="text1"/>
          <w:sz w:val="19"/>
          <w:szCs w:val="19"/>
          <w:lang w:val="es-ES_tradnl"/>
        </w:rPr>
        <w:t>.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497F2C4" w14:textId="3858EBC9"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Tercero</w:t>
      </w:r>
      <w:r w:rsidR="00231A18" w:rsidRPr="001F29DD">
        <w:rPr>
          <w:rFonts w:ascii="Arial" w:eastAsia="Calibri" w:hAnsi="Arial" w:cs="Arial"/>
          <w:color w:val="000000" w:themeColor="text1"/>
          <w:sz w:val="19"/>
          <w:szCs w:val="19"/>
          <w:lang w:val="es-ES_tradnl"/>
        </w:rPr>
        <w:t>. En la ejecución de los contratos a que se refiere el presente artículo, las entidades y los contratistas, deberán observar lo dispuesto en los artículos 90 a 95 de la Ley 418 de 1997 y las normas que la modifiquen, adicionen o subroguen."</w:t>
      </w:r>
      <w:r w:rsidRPr="001F29DD">
        <w:rPr>
          <w:rFonts w:ascii="Arial" w:eastAsia="Calibri" w:hAnsi="Arial" w:cs="Arial"/>
          <w:color w:val="000000" w:themeColor="text1"/>
          <w:sz w:val="19"/>
          <w:szCs w:val="19"/>
          <w:lang w:val="es-ES_tradnl"/>
        </w:rPr>
        <w:t>»</w:t>
      </w:r>
      <w:r w:rsidR="00231A18" w:rsidRPr="001F29DD">
        <w:rPr>
          <w:rFonts w:ascii="Arial" w:eastAsia="Calibri" w:hAnsi="Arial" w:cs="Arial"/>
          <w:color w:val="000000" w:themeColor="text1"/>
          <w:sz w:val="19"/>
          <w:szCs w:val="19"/>
          <w:lang w:val="es-ES_tradnl"/>
        </w:rPr>
        <w:t xml:space="preserve">  </w:t>
      </w:r>
    </w:p>
    <w:p w14:paraId="415AFBE5" w14:textId="0449504E" w:rsidR="00903C57" w:rsidRPr="001F29DD" w:rsidRDefault="00903C57" w:rsidP="001F29DD">
      <w:pPr>
        <w:pStyle w:val="Textonotapie"/>
        <w:ind w:firstLine="709"/>
        <w:jc w:val="both"/>
        <w:rPr>
          <w:rFonts w:ascii="Arial" w:hAnsi="Arial" w:cs="Arial"/>
          <w:sz w:val="19"/>
          <w:szCs w:val="19"/>
          <w:lang w:val="es-ES_tradnl"/>
        </w:rPr>
      </w:pPr>
    </w:p>
  </w:footnote>
  <w:footnote w:id="8">
    <w:p w14:paraId="078CB9B4" w14:textId="3A296902" w:rsidR="001F29DD" w:rsidRPr="001F29DD" w:rsidRDefault="00D83044" w:rsidP="001F29DD">
      <w:pPr>
        <w:ind w:firstLine="709"/>
        <w:jc w:val="both"/>
        <w:rPr>
          <w:rFonts w:ascii="Arial" w:eastAsiaTheme="minorHAnsi" w:hAnsi="Arial" w:cs="Arial"/>
          <w:sz w:val="19"/>
          <w:szCs w:val="19"/>
          <w:lang w:val="es-ES" w:eastAsia="en-U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Corte Constitucional. Sentencia</w:t>
      </w:r>
      <w:r w:rsidR="001F29DD" w:rsidRPr="001F29DD">
        <w:rPr>
          <w:rFonts w:ascii="Arial" w:hAnsi="Arial" w:cs="Arial"/>
          <w:sz w:val="19"/>
          <w:szCs w:val="19"/>
          <w:lang w:val="es-ES"/>
        </w:rPr>
        <w:t xml:space="preserve"> C-502 de 2012. Magistrada Ponente: </w:t>
      </w:r>
      <w:r w:rsidR="001F29DD" w:rsidRPr="001F29DD">
        <w:rPr>
          <w:rFonts w:ascii="Arial" w:eastAsiaTheme="minorHAnsi" w:hAnsi="Arial" w:cs="Arial"/>
          <w:sz w:val="19"/>
          <w:szCs w:val="19"/>
          <w:lang w:val="es-ES" w:eastAsia="en-US"/>
        </w:rPr>
        <w:t>Adriana Mar</w:t>
      </w:r>
      <w:r w:rsidR="007323A1">
        <w:rPr>
          <w:rFonts w:ascii="Arial" w:eastAsiaTheme="minorHAnsi" w:hAnsi="Arial" w:cs="Arial"/>
          <w:sz w:val="19"/>
          <w:szCs w:val="19"/>
          <w:lang w:val="es-ES" w:eastAsia="en-US"/>
        </w:rPr>
        <w:t>í</w:t>
      </w:r>
      <w:r w:rsidR="001F29DD" w:rsidRPr="001F29DD">
        <w:rPr>
          <w:rFonts w:ascii="Arial" w:eastAsiaTheme="minorHAnsi" w:hAnsi="Arial" w:cs="Arial"/>
          <w:sz w:val="19"/>
          <w:szCs w:val="19"/>
          <w:lang w:val="es-ES" w:eastAsia="en-US"/>
        </w:rPr>
        <w:t>a Guillén Arango</w:t>
      </w:r>
      <w:r w:rsidR="001F29DD">
        <w:rPr>
          <w:rFonts w:ascii="Arial" w:eastAsiaTheme="minorHAnsi" w:hAnsi="Arial" w:cs="Arial"/>
          <w:sz w:val="19"/>
          <w:szCs w:val="19"/>
          <w:lang w:val="es-ES" w:eastAsia="en-US"/>
        </w:rPr>
        <w:t>.</w:t>
      </w:r>
    </w:p>
    <w:p w14:paraId="1910D83F" w14:textId="3CBCEA2F" w:rsidR="00D83044" w:rsidRPr="001F29DD" w:rsidRDefault="00D83044" w:rsidP="001F29DD">
      <w:pPr>
        <w:pStyle w:val="Textonotapie"/>
        <w:ind w:firstLine="709"/>
        <w:jc w:val="both"/>
        <w:rPr>
          <w:rFonts w:ascii="Arial" w:hAnsi="Arial" w:cs="Arial"/>
          <w:sz w:val="19"/>
          <w:szCs w:val="19"/>
          <w:lang w:val="es-ES"/>
        </w:rPr>
      </w:pPr>
      <w:r w:rsidRPr="001F29DD">
        <w:rPr>
          <w:rFonts w:ascii="Arial" w:hAnsi="Arial" w:cs="Arial"/>
          <w:sz w:val="19"/>
          <w:szCs w:val="19"/>
          <w:lang w:val="es-ES"/>
        </w:rPr>
        <w:t xml:space="preserve"> </w:t>
      </w:r>
    </w:p>
  </w:footnote>
  <w:footnote w:id="9">
    <w:p w14:paraId="52603FCF" w14:textId="77777777" w:rsidR="00BC3DD4" w:rsidRPr="001F29DD" w:rsidRDefault="00BC3DD4"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Consejo de Estado. Sección Tercera. Sentencia del 29 de octubre de 2.015. Consejera Ponente: Stella Conto Díaz Del Castillo. Expediente: 31.918.</w:t>
      </w:r>
    </w:p>
    <w:p w14:paraId="517CDA04" w14:textId="77777777" w:rsidR="00BC3DD4" w:rsidRPr="001F29DD" w:rsidRDefault="00BC3DD4" w:rsidP="001F29DD">
      <w:pPr>
        <w:pStyle w:val="Textonotapie"/>
        <w:ind w:firstLine="709"/>
        <w:jc w:val="both"/>
        <w:rPr>
          <w:rFonts w:ascii="Arial" w:hAnsi="Arial" w:cs="Arial"/>
          <w:sz w:val="19"/>
          <w:szCs w:val="19"/>
          <w:lang w:val="es-ES"/>
        </w:rPr>
      </w:pPr>
    </w:p>
  </w:footnote>
  <w:footnote w:id="10">
    <w:p w14:paraId="3DC4A1EC" w14:textId="77777777" w:rsidR="00BC3DD4" w:rsidRPr="001F29DD" w:rsidRDefault="00BC3DD4"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Corte Constitucional. Sentencia T-684A del 14 de septiembre de 2011. Magistrado Ponente: Mauricio González Cuervo.</w:t>
      </w:r>
    </w:p>
    <w:p w14:paraId="3B84A5BD" w14:textId="77777777" w:rsidR="00BC3DD4" w:rsidRPr="001F29DD" w:rsidRDefault="00BC3DD4" w:rsidP="001F29DD">
      <w:pPr>
        <w:pStyle w:val="Textonotapie"/>
        <w:ind w:firstLine="709"/>
        <w:jc w:val="both"/>
        <w:rPr>
          <w:rFonts w:ascii="Arial" w:hAnsi="Arial" w:cs="Arial"/>
          <w:sz w:val="19"/>
          <w:szCs w:val="19"/>
          <w:lang w:val="es-ES"/>
        </w:rPr>
      </w:pPr>
    </w:p>
  </w:footnote>
  <w:footnote w:id="11">
    <w:p w14:paraId="6AD716AE" w14:textId="77777777" w:rsidR="00BC3DD4" w:rsidRPr="001F29DD" w:rsidRDefault="00BC3DD4"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588DF4F0" w14:textId="77777777" w:rsidR="00BC3DD4" w:rsidRPr="001F29DD" w:rsidRDefault="00BC3DD4" w:rsidP="001F29DD">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1B7A"/>
    <w:rsid w:val="0003236E"/>
    <w:rsid w:val="000323C6"/>
    <w:rsid w:val="00032689"/>
    <w:rsid w:val="00032B89"/>
    <w:rsid w:val="0003339A"/>
    <w:rsid w:val="000341F2"/>
    <w:rsid w:val="00035046"/>
    <w:rsid w:val="000351F2"/>
    <w:rsid w:val="0003535C"/>
    <w:rsid w:val="00035768"/>
    <w:rsid w:val="00036D03"/>
    <w:rsid w:val="00036E03"/>
    <w:rsid w:val="000406DB"/>
    <w:rsid w:val="0004094D"/>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53F7"/>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8D3"/>
    <w:rsid w:val="00053A00"/>
    <w:rsid w:val="0005474D"/>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26E"/>
    <w:rsid w:val="00066A7F"/>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85F"/>
    <w:rsid w:val="00082B74"/>
    <w:rsid w:val="00083099"/>
    <w:rsid w:val="00083EDC"/>
    <w:rsid w:val="00084B97"/>
    <w:rsid w:val="00084F87"/>
    <w:rsid w:val="00085033"/>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781"/>
    <w:rsid w:val="000B5CB1"/>
    <w:rsid w:val="000B75F4"/>
    <w:rsid w:val="000C0185"/>
    <w:rsid w:val="000C084E"/>
    <w:rsid w:val="000C0F81"/>
    <w:rsid w:val="000C128D"/>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6C10"/>
    <w:rsid w:val="000D728B"/>
    <w:rsid w:val="000D7541"/>
    <w:rsid w:val="000D75E1"/>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A7F"/>
    <w:rsid w:val="000F4E17"/>
    <w:rsid w:val="000F55A8"/>
    <w:rsid w:val="000F5615"/>
    <w:rsid w:val="000F6578"/>
    <w:rsid w:val="000F6F92"/>
    <w:rsid w:val="000F7E8F"/>
    <w:rsid w:val="000F7FBB"/>
    <w:rsid w:val="001000FB"/>
    <w:rsid w:val="00100A9E"/>
    <w:rsid w:val="00100F6A"/>
    <w:rsid w:val="00101B58"/>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053"/>
    <w:rsid w:val="00130355"/>
    <w:rsid w:val="00130365"/>
    <w:rsid w:val="001304E5"/>
    <w:rsid w:val="00131B5A"/>
    <w:rsid w:val="001329BC"/>
    <w:rsid w:val="00132C30"/>
    <w:rsid w:val="00132EFD"/>
    <w:rsid w:val="00133AED"/>
    <w:rsid w:val="0013494E"/>
    <w:rsid w:val="00134BCD"/>
    <w:rsid w:val="00134E09"/>
    <w:rsid w:val="001350AB"/>
    <w:rsid w:val="00135DB9"/>
    <w:rsid w:val="00135E5D"/>
    <w:rsid w:val="0013695C"/>
    <w:rsid w:val="00136BF7"/>
    <w:rsid w:val="00136C78"/>
    <w:rsid w:val="00137440"/>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190"/>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3BF2"/>
    <w:rsid w:val="001742BF"/>
    <w:rsid w:val="001742E1"/>
    <w:rsid w:val="00175E49"/>
    <w:rsid w:val="0017649F"/>
    <w:rsid w:val="0017655B"/>
    <w:rsid w:val="00177EAA"/>
    <w:rsid w:val="001805C1"/>
    <w:rsid w:val="001805C2"/>
    <w:rsid w:val="00180A2E"/>
    <w:rsid w:val="00180F75"/>
    <w:rsid w:val="001813AF"/>
    <w:rsid w:val="0018258E"/>
    <w:rsid w:val="001826C9"/>
    <w:rsid w:val="001829CD"/>
    <w:rsid w:val="00182F01"/>
    <w:rsid w:val="00184219"/>
    <w:rsid w:val="00184F27"/>
    <w:rsid w:val="0018519B"/>
    <w:rsid w:val="001858C9"/>
    <w:rsid w:val="00185966"/>
    <w:rsid w:val="00185A2D"/>
    <w:rsid w:val="00185AFE"/>
    <w:rsid w:val="00185E78"/>
    <w:rsid w:val="001868D9"/>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282A"/>
    <w:rsid w:val="001A3011"/>
    <w:rsid w:val="001A3078"/>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3B1"/>
    <w:rsid w:val="001B449C"/>
    <w:rsid w:val="001B4AA2"/>
    <w:rsid w:val="001B4ADE"/>
    <w:rsid w:val="001B5530"/>
    <w:rsid w:val="001B5EF8"/>
    <w:rsid w:val="001B71E8"/>
    <w:rsid w:val="001C033E"/>
    <w:rsid w:val="001C07C6"/>
    <w:rsid w:val="001C120D"/>
    <w:rsid w:val="001C16DA"/>
    <w:rsid w:val="001C19CD"/>
    <w:rsid w:val="001C2119"/>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552"/>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325"/>
    <w:rsid w:val="001F0806"/>
    <w:rsid w:val="001F0D15"/>
    <w:rsid w:val="001F0FA0"/>
    <w:rsid w:val="001F1349"/>
    <w:rsid w:val="001F1863"/>
    <w:rsid w:val="001F2356"/>
    <w:rsid w:val="001F2462"/>
    <w:rsid w:val="001F29DD"/>
    <w:rsid w:val="001F2A68"/>
    <w:rsid w:val="001F2C47"/>
    <w:rsid w:val="001F4773"/>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6F4D"/>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A1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4FC3"/>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A27"/>
    <w:rsid w:val="00271F13"/>
    <w:rsid w:val="00272945"/>
    <w:rsid w:val="00272E89"/>
    <w:rsid w:val="002742D0"/>
    <w:rsid w:val="00274774"/>
    <w:rsid w:val="0027482E"/>
    <w:rsid w:val="002748F1"/>
    <w:rsid w:val="00274DB5"/>
    <w:rsid w:val="00275BB1"/>
    <w:rsid w:val="00276EF7"/>
    <w:rsid w:val="0027770B"/>
    <w:rsid w:val="00277933"/>
    <w:rsid w:val="00277F8D"/>
    <w:rsid w:val="00277FA7"/>
    <w:rsid w:val="00280046"/>
    <w:rsid w:val="002809B4"/>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663B"/>
    <w:rsid w:val="00286CEC"/>
    <w:rsid w:val="002870F9"/>
    <w:rsid w:val="002871A9"/>
    <w:rsid w:val="00287505"/>
    <w:rsid w:val="00287BDB"/>
    <w:rsid w:val="00290781"/>
    <w:rsid w:val="00291491"/>
    <w:rsid w:val="00291784"/>
    <w:rsid w:val="002920DF"/>
    <w:rsid w:val="002928A3"/>
    <w:rsid w:val="002929BB"/>
    <w:rsid w:val="00294368"/>
    <w:rsid w:val="00294B78"/>
    <w:rsid w:val="00295416"/>
    <w:rsid w:val="00295949"/>
    <w:rsid w:val="00295D7C"/>
    <w:rsid w:val="0029624A"/>
    <w:rsid w:val="00296922"/>
    <w:rsid w:val="00297098"/>
    <w:rsid w:val="00297457"/>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0589"/>
    <w:rsid w:val="002C24B4"/>
    <w:rsid w:val="002C2B3A"/>
    <w:rsid w:val="002C2B87"/>
    <w:rsid w:val="002C3CF4"/>
    <w:rsid w:val="002C441A"/>
    <w:rsid w:val="002C4A2B"/>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79"/>
    <w:rsid w:val="00325D98"/>
    <w:rsid w:val="0032682A"/>
    <w:rsid w:val="00327A5C"/>
    <w:rsid w:val="003305BD"/>
    <w:rsid w:val="0033092C"/>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13F"/>
    <w:rsid w:val="00347202"/>
    <w:rsid w:val="0034778E"/>
    <w:rsid w:val="00347A5A"/>
    <w:rsid w:val="003501E2"/>
    <w:rsid w:val="003514B8"/>
    <w:rsid w:val="00351E10"/>
    <w:rsid w:val="00352991"/>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594A"/>
    <w:rsid w:val="00365AE5"/>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DE4"/>
    <w:rsid w:val="00383EDF"/>
    <w:rsid w:val="00384494"/>
    <w:rsid w:val="00384C5E"/>
    <w:rsid w:val="00384DF1"/>
    <w:rsid w:val="00384FF3"/>
    <w:rsid w:val="00386456"/>
    <w:rsid w:val="003865A9"/>
    <w:rsid w:val="00387C6C"/>
    <w:rsid w:val="0039047D"/>
    <w:rsid w:val="003906FD"/>
    <w:rsid w:val="0039092B"/>
    <w:rsid w:val="00390BD9"/>
    <w:rsid w:val="00390F32"/>
    <w:rsid w:val="0039135E"/>
    <w:rsid w:val="00391867"/>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B0341"/>
    <w:rsid w:val="003B1961"/>
    <w:rsid w:val="003B1E57"/>
    <w:rsid w:val="003B2EF3"/>
    <w:rsid w:val="003B534F"/>
    <w:rsid w:val="003B5391"/>
    <w:rsid w:val="003B5642"/>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3B15"/>
    <w:rsid w:val="003D3B2E"/>
    <w:rsid w:val="003D3F28"/>
    <w:rsid w:val="003D4101"/>
    <w:rsid w:val="003D484D"/>
    <w:rsid w:val="003D49CB"/>
    <w:rsid w:val="003D4F41"/>
    <w:rsid w:val="003D5F10"/>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2A2"/>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2DD"/>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5B2E"/>
    <w:rsid w:val="00425C43"/>
    <w:rsid w:val="004263A9"/>
    <w:rsid w:val="004273FA"/>
    <w:rsid w:val="004275A7"/>
    <w:rsid w:val="004278D8"/>
    <w:rsid w:val="00430186"/>
    <w:rsid w:val="00430D44"/>
    <w:rsid w:val="00430F17"/>
    <w:rsid w:val="00431CC7"/>
    <w:rsid w:val="0043260C"/>
    <w:rsid w:val="0043269A"/>
    <w:rsid w:val="00432E92"/>
    <w:rsid w:val="004333C2"/>
    <w:rsid w:val="00434787"/>
    <w:rsid w:val="00434C13"/>
    <w:rsid w:val="00434D8B"/>
    <w:rsid w:val="00435294"/>
    <w:rsid w:val="0043557F"/>
    <w:rsid w:val="00435703"/>
    <w:rsid w:val="00435BD5"/>
    <w:rsid w:val="00436323"/>
    <w:rsid w:val="0043683F"/>
    <w:rsid w:val="00436F40"/>
    <w:rsid w:val="004370FA"/>
    <w:rsid w:val="0043741B"/>
    <w:rsid w:val="00440096"/>
    <w:rsid w:val="004403DD"/>
    <w:rsid w:val="00440CF3"/>
    <w:rsid w:val="00440DB0"/>
    <w:rsid w:val="00440DDC"/>
    <w:rsid w:val="00440E76"/>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6709"/>
    <w:rsid w:val="00446922"/>
    <w:rsid w:val="0044772C"/>
    <w:rsid w:val="00450846"/>
    <w:rsid w:val="00450D80"/>
    <w:rsid w:val="00451A52"/>
    <w:rsid w:val="0045271D"/>
    <w:rsid w:val="00452755"/>
    <w:rsid w:val="00452803"/>
    <w:rsid w:val="004529C6"/>
    <w:rsid w:val="004529FD"/>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857"/>
    <w:rsid w:val="00471DF7"/>
    <w:rsid w:val="004727B1"/>
    <w:rsid w:val="004734CF"/>
    <w:rsid w:val="00473F33"/>
    <w:rsid w:val="0047480D"/>
    <w:rsid w:val="0047586C"/>
    <w:rsid w:val="00475C5A"/>
    <w:rsid w:val="00475C9C"/>
    <w:rsid w:val="0047676B"/>
    <w:rsid w:val="004774C3"/>
    <w:rsid w:val="004774FB"/>
    <w:rsid w:val="0047773C"/>
    <w:rsid w:val="00477C5F"/>
    <w:rsid w:val="00480050"/>
    <w:rsid w:val="0048011C"/>
    <w:rsid w:val="00480154"/>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530F"/>
    <w:rsid w:val="00496664"/>
    <w:rsid w:val="00496786"/>
    <w:rsid w:val="0049695B"/>
    <w:rsid w:val="00496AC4"/>
    <w:rsid w:val="00496D8F"/>
    <w:rsid w:val="00497463"/>
    <w:rsid w:val="004A054C"/>
    <w:rsid w:val="004A0612"/>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5D8"/>
    <w:rsid w:val="004B298A"/>
    <w:rsid w:val="004B2BB8"/>
    <w:rsid w:val="004B50CB"/>
    <w:rsid w:val="004B578D"/>
    <w:rsid w:val="004B5B9F"/>
    <w:rsid w:val="004B5BE7"/>
    <w:rsid w:val="004B5E2D"/>
    <w:rsid w:val="004B6241"/>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2364"/>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534"/>
    <w:rsid w:val="00503A17"/>
    <w:rsid w:val="005042E8"/>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0EC1"/>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5822"/>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7B0"/>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3C7"/>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AC8"/>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6C8A"/>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94B"/>
    <w:rsid w:val="00584233"/>
    <w:rsid w:val="005842D0"/>
    <w:rsid w:val="005845FB"/>
    <w:rsid w:val="005855AE"/>
    <w:rsid w:val="00585829"/>
    <w:rsid w:val="00585CA8"/>
    <w:rsid w:val="00586412"/>
    <w:rsid w:val="005864B9"/>
    <w:rsid w:val="00586564"/>
    <w:rsid w:val="005866C4"/>
    <w:rsid w:val="00590F1A"/>
    <w:rsid w:val="00591207"/>
    <w:rsid w:val="00591C03"/>
    <w:rsid w:val="00591E2A"/>
    <w:rsid w:val="005923C4"/>
    <w:rsid w:val="0059397D"/>
    <w:rsid w:val="00593EA2"/>
    <w:rsid w:val="00593F75"/>
    <w:rsid w:val="005940A0"/>
    <w:rsid w:val="0059429A"/>
    <w:rsid w:val="00594CBE"/>
    <w:rsid w:val="00595561"/>
    <w:rsid w:val="00596AF7"/>
    <w:rsid w:val="00596CCE"/>
    <w:rsid w:val="00597516"/>
    <w:rsid w:val="005A1976"/>
    <w:rsid w:val="005A1F51"/>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6397"/>
    <w:rsid w:val="005C6CF7"/>
    <w:rsid w:val="005C6D19"/>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129"/>
    <w:rsid w:val="005E4B72"/>
    <w:rsid w:val="005E52C9"/>
    <w:rsid w:val="005E665F"/>
    <w:rsid w:val="005E781C"/>
    <w:rsid w:val="005F0B10"/>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DE2"/>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860"/>
    <w:rsid w:val="00607996"/>
    <w:rsid w:val="00607A37"/>
    <w:rsid w:val="00607E9F"/>
    <w:rsid w:val="0061085E"/>
    <w:rsid w:val="006112A7"/>
    <w:rsid w:val="00611398"/>
    <w:rsid w:val="006113B4"/>
    <w:rsid w:val="0061186D"/>
    <w:rsid w:val="00612322"/>
    <w:rsid w:val="006123C0"/>
    <w:rsid w:val="006126A2"/>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57B67"/>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BE"/>
    <w:rsid w:val="006811C9"/>
    <w:rsid w:val="006812CE"/>
    <w:rsid w:val="006826C1"/>
    <w:rsid w:val="00682C89"/>
    <w:rsid w:val="006832B8"/>
    <w:rsid w:val="00683329"/>
    <w:rsid w:val="006837B2"/>
    <w:rsid w:val="00683800"/>
    <w:rsid w:val="0068420B"/>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2CC0"/>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9DE"/>
    <w:rsid w:val="006D1BE1"/>
    <w:rsid w:val="006D1DD3"/>
    <w:rsid w:val="006D1FF3"/>
    <w:rsid w:val="006D2C65"/>
    <w:rsid w:val="006D32C6"/>
    <w:rsid w:val="006D360E"/>
    <w:rsid w:val="006D3697"/>
    <w:rsid w:val="006D39D2"/>
    <w:rsid w:val="006D3A94"/>
    <w:rsid w:val="006D3F2A"/>
    <w:rsid w:val="006D405E"/>
    <w:rsid w:val="006D4370"/>
    <w:rsid w:val="006D46A3"/>
    <w:rsid w:val="006D5DCB"/>
    <w:rsid w:val="006D62E0"/>
    <w:rsid w:val="006D62EA"/>
    <w:rsid w:val="006D658F"/>
    <w:rsid w:val="006D66B2"/>
    <w:rsid w:val="006D6A12"/>
    <w:rsid w:val="006D712D"/>
    <w:rsid w:val="006D7687"/>
    <w:rsid w:val="006D7D1F"/>
    <w:rsid w:val="006D7D8A"/>
    <w:rsid w:val="006E046C"/>
    <w:rsid w:val="006E0572"/>
    <w:rsid w:val="006E05D8"/>
    <w:rsid w:val="006E08EE"/>
    <w:rsid w:val="006E0B2B"/>
    <w:rsid w:val="006E0F32"/>
    <w:rsid w:val="006E155A"/>
    <w:rsid w:val="006E1E86"/>
    <w:rsid w:val="006E2C34"/>
    <w:rsid w:val="006E359B"/>
    <w:rsid w:val="006E39D1"/>
    <w:rsid w:val="006E3B05"/>
    <w:rsid w:val="006E437F"/>
    <w:rsid w:val="006E4D5B"/>
    <w:rsid w:val="006E59A0"/>
    <w:rsid w:val="006E602F"/>
    <w:rsid w:val="006E6720"/>
    <w:rsid w:val="006E7275"/>
    <w:rsid w:val="006E77B8"/>
    <w:rsid w:val="006E7AAF"/>
    <w:rsid w:val="006F0F74"/>
    <w:rsid w:val="006F13BA"/>
    <w:rsid w:val="006F15CC"/>
    <w:rsid w:val="006F15F6"/>
    <w:rsid w:val="006F36EA"/>
    <w:rsid w:val="006F4147"/>
    <w:rsid w:val="006F4315"/>
    <w:rsid w:val="006F47A7"/>
    <w:rsid w:val="006F4CB0"/>
    <w:rsid w:val="006F4F78"/>
    <w:rsid w:val="006F50C2"/>
    <w:rsid w:val="006F5389"/>
    <w:rsid w:val="006F547E"/>
    <w:rsid w:val="006F5CCF"/>
    <w:rsid w:val="006F6F04"/>
    <w:rsid w:val="006F71F5"/>
    <w:rsid w:val="006F72A8"/>
    <w:rsid w:val="006F79BB"/>
    <w:rsid w:val="007000A6"/>
    <w:rsid w:val="0070045E"/>
    <w:rsid w:val="00700610"/>
    <w:rsid w:val="0070138A"/>
    <w:rsid w:val="0070157E"/>
    <w:rsid w:val="007030D4"/>
    <w:rsid w:val="00703279"/>
    <w:rsid w:val="007034D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BFF"/>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3A1"/>
    <w:rsid w:val="00732EBC"/>
    <w:rsid w:val="00734952"/>
    <w:rsid w:val="00734987"/>
    <w:rsid w:val="00734990"/>
    <w:rsid w:val="00734FF5"/>
    <w:rsid w:val="00735B78"/>
    <w:rsid w:val="00735CA5"/>
    <w:rsid w:val="00735DA7"/>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E6C"/>
    <w:rsid w:val="00762F54"/>
    <w:rsid w:val="007634AD"/>
    <w:rsid w:val="0076445F"/>
    <w:rsid w:val="007648AE"/>
    <w:rsid w:val="00764EC5"/>
    <w:rsid w:val="007651EF"/>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D6D"/>
    <w:rsid w:val="00782FC2"/>
    <w:rsid w:val="0078347A"/>
    <w:rsid w:val="0078410A"/>
    <w:rsid w:val="00784938"/>
    <w:rsid w:val="00784FC4"/>
    <w:rsid w:val="00785BBB"/>
    <w:rsid w:val="00785FB2"/>
    <w:rsid w:val="00786937"/>
    <w:rsid w:val="00786FAD"/>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3D65"/>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A7775"/>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1E1"/>
    <w:rsid w:val="007C24EE"/>
    <w:rsid w:val="007C312A"/>
    <w:rsid w:val="007C3538"/>
    <w:rsid w:val="007C3570"/>
    <w:rsid w:val="007C3907"/>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9CB"/>
    <w:rsid w:val="007D3C6D"/>
    <w:rsid w:val="007D4770"/>
    <w:rsid w:val="007D481A"/>
    <w:rsid w:val="007D4B96"/>
    <w:rsid w:val="007D4ED0"/>
    <w:rsid w:val="007D5648"/>
    <w:rsid w:val="007D58C5"/>
    <w:rsid w:val="007D5DE8"/>
    <w:rsid w:val="007D7CFC"/>
    <w:rsid w:val="007D7F8F"/>
    <w:rsid w:val="007E0812"/>
    <w:rsid w:val="007E0825"/>
    <w:rsid w:val="007E18DF"/>
    <w:rsid w:val="007E214A"/>
    <w:rsid w:val="007E238D"/>
    <w:rsid w:val="007E2C36"/>
    <w:rsid w:val="007E350D"/>
    <w:rsid w:val="007E3ACA"/>
    <w:rsid w:val="007E3F4A"/>
    <w:rsid w:val="007E564D"/>
    <w:rsid w:val="007E5C4A"/>
    <w:rsid w:val="007E64D4"/>
    <w:rsid w:val="007E66E9"/>
    <w:rsid w:val="007E69F2"/>
    <w:rsid w:val="007E7432"/>
    <w:rsid w:val="007E74BF"/>
    <w:rsid w:val="007E7657"/>
    <w:rsid w:val="007E7B55"/>
    <w:rsid w:val="007E7D2E"/>
    <w:rsid w:val="007E7E80"/>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566"/>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9A"/>
    <w:rsid w:val="008174F3"/>
    <w:rsid w:val="0081766B"/>
    <w:rsid w:val="008201DE"/>
    <w:rsid w:val="008205AC"/>
    <w:rsid w:val="00820705"/>
    <w:rsid w:val="00820CBF"/>
    <w:rsid w:val="00820FA8"/>
    <w:rsid w:val="008212FD"/>
    <w:rsid w:val="00821489"/>
    <w:rsid w:val="0082168D"/>
    <w:rsid w:val="008217B7"/>
    <w:rsid w:val="00821E42"/>
    <w:rsid w:val="0082239B"/>
    <w:rsid w:val="0082292E"/>
    <w:rsid w:val="00822D06"/>
    <w:rsid w:val="00822EC4"/>
    <w:rsid w:val="0082348D"/>
    <w:rsid w:val="008236BE"/>
    <w:rsid w:val="008241CE"/>
    <w:rsid w:val="0082520B"/>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48CA"/>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BE"/>
    <w:rsid w:val="00865EAF"/>
    <w:rsid w:val="0086633B"/>
    <w:rsid w:val="00866495"/>
    <w:rsid w:val="0086673C"/>
    <w:rsid w:val="00866881"/>
    <w:rsid w:val="00866931"/>
    <w:rsid w:val="008673AE"/>
    <w:rsid w:val="00867512"/>
    <w:rsid w:val="008678A3"/>
    <w:rsid w:val="00867C13"/>
    <w:rsid w:val="00867C1D"/>
    <w:rsid w:val="0087033C"/>
    <w:rsid w:val="008715ED"/>
    <w:rsid w:val="008717D8"/>
    <w:rsid w:val="00871E3C"/>
    <w:rsid w:val="00872484"/>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6D6"/>
    <w:rsid w:val="008A5C9A"/>
    <w:rsid w:val="008A6005"/>
    <w:rsid w:val="008A614F"/>
    <w:rsid w:val="008A6A55"/>
    <w:rsid w:val="008A6DF0"/>
    <w:rsid w:val="008A6F6E"/>
    <w:rsid w:val="008A7888"/>
    <w:rsid w:val="008A796E"/>
    <w:rsid w:val="008A7AEB"/>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5A0"/>
    <w:rsid w:val="008C1918"/>
    <w:rsid w:val="008C1DBA"/>
    <w:rsid w:val="008C24E7"/>
    <w:rsid w:val="008C2500"/>
    <w:rsid w:val="008C2CAC"/>
    <w:rsid w:val="008C2F63"/>
    <w:rsid w:val="008C3C57"/>
    <w:rsid w:val="008C3E2A"/>
    <w:rsid w:val="008C45BD"/>
    <w:rsid w:val="008C4B19"/>
    <w:rsid w:val="008C5983"/>
    <w:rsid w:val="008C62D4"/>
    <w:rsid w:val="008C6B89"/>
    <w:rsid w:val="008C6B97"/>
    <w:rsid w:val="008C7EF7"/>
    <w:rsid w:val="008C7F13"/>
    <w:rsid w:val="008D094D"/>
    <w:rsid w:val="008D0ECE"/>
    <w:rsid w:val="008D18AA"/>
    <w:rsid w:val="008D1A2A"/>
    <w:rsid w:val="008D1ADE"/>
    <w:rsid w:val="008D3199"/>
    <w:rsid w:val="008D35D9"/>
    <w:rsid w:val="008D3B36"/>
    <w:rsid w:val="008D3B85"/>
    <w:rsid w:val="008D42D2"/>
    <w:rsid w:val="008D4596"/>
    <w:rsid w:val="008D462D"/>
    <w:rsid w:val="008D5BB1"/>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0DC"/>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3C57"/>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907"/>
    <w:rsid w:val="00916AFE"/>
    <w:rsid w:val="00916FC8"/>
    <w:rsid w:val="009170D3"/>
    <w:rsid w:val="0091759C"/>
    <w:rsid w:val="00917CBE"/>
    <w:rsid w:val="00920026"/>
    <w:rsid w:val="009202E7"/>
    <w:rsid w:val="009203E2"/>
    <w:rsid w:val="00920BF5"/>
    <w:rsid w:val="00920F61"/>
    <w:rsid w:val="00921304"/>
    <w:rsid w:val="00921395"/>
    <w:rsid w:val="00921805"/>
    <w:rsid w:val="00921E63"/>
    <w:rsid w:val="009220F6"/>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40207"/>
    <w:rsid w:val="00940477"/>
    <w:rsid w:val="00940876"/>
    <w:rsid w:val="00940A53"/>
    <w:rsid w:val="00940F3C"/>
    <w:rsid w:val="009410E0"/>
    <w:rsid w:val="00941FA9"/>
    <w:rsid w:val="009439B6"/>
    <w:rsid w:val="009444B4"/>
    <w:rsid w:val="00944644"/>
    <w:rsid w:val="00946A24"/>
    <w:rsid w:val="009470D4"/>
    <w:rsid w:val="00947337"/>
    <w:rsid w:val="009477BD"/>
    <w:rsid w:val="00947E6E"/>
    <w:rsid w:val="009512FA"/>
    <w:rsid w:val="009516A9"/>
    <w:rsid w:val="00951E57"/>
    <w:rsid w:val="00952350"/>
    <w:rsid w:val="00952505"/>
    <w:rsid w:val="00953018"/>
    <w:rsid w:val="009533E2"/>
    <w:rsid w:val="00953554"/>
    <w:rsid w:val="0095385A"/>
    <w:rsid w:val="00954F3A"/>
    <w:rsid w:val="00955541"/>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2C93"/>
    <w:rsid w:val="00963550"/>
    <w:rsid w:val="00964138"/>
    <w:rsid w:val="0096439C"/>
    <w:rsid w:val="009648D6"/>
    <w:rsid w:val="00964B3F"/>
    <w:rsid w:val="00964C98"/>
    <w:rsid w:val="00965D36"/>
    <w:rsid w:val="00971441"/>
    <w:rsid w:val="00971555"/>
    <w:rsid w:val="009715D4"/>
    <w:rsid w:val="009715E1"/>
    <w:rsid w:val="0097179A"/>
    <w:rsid w:val="00971B0A"/>
    <w:rsid w:val="009731F4"/>
    <w:rsid w:val="009732A4"/>
    <w:rsid w:val="00973AB3"/>
    <w:rsid w:val="00973C05"/>
    <w:rsid w:val="0097494E"/>
    <w:rsid w:val="00974999"/>
    <w:rsid w:val="00974B58"/>
    <w:rsid w:val="00974CBD"/>
    <w:rsid w:val="00975445"/>
    <w:rsid w:val="009761ED"/>
    <w:rsid w:val="00977F52"/>
    <w:rsid w:val="0098022F"/>
    <w:rsid w:val="009810DE"/>
    <w:rsid w:val="00981B91"/>
    <w:rsid w:val="009822D7"/>
    <w:rsid w:val="009827E6"/>
    <w:rsid w:val="00982F84"/>
    <w:rsid w:val="009831C3"/>
    <w:rsid w:val="009838C1"/>
    <w:rsid w:val="0098427D"/>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211C"/>
    <w:rsid w:val="00992E5F"/>
    <w:rsid w:val="00993013"/>
    <w:rsid w:val="009930AB"/>
    <w:rsid w:val="00993125"/>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2041"/>
    <w:rsid w:val="009A2435"/>
    <w:rsid w:val="009A2B60"/>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0D05"/>
    <w:rsid w:val="009B2374"/>
    <w:rsid w:val="009B28D6"/>
    <w:rsid w:val="009B2E29"/>
    <w:rsid w:val="009B3163"/>
    <w:rsid w:val="009B422F"/>
    <w:rsid w:val="009B46BC"/>
    <w:rsid w:val="009B4D1A"/>
    <w:rsid w:val="009B519D"/>
    <w:rsid w:val="009B558B"/>
    <w:rsid w:val="009B663F"/>
    <w:rsid w:val="009B6842"/>
    <w:rsid w:val="009B6AE5"/>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DD5"/>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E32"/>
    <w:rsid w:val="009E0490"/>
    <w:rsid w:val="009E06C3"/>
    <w:rsid w:val="009E0703"/>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532"/>
    <w:rsid w:val="00A046D2"/>
    <w:rsid w:val="00A04A54"/>
    <w:rsid w:val="00A058B8"/>
    <w:rsid w:val="00A05B4B"/>
    <w:rsid w:val="00A066C3"/>
    <w:rsid w:val="00A06754"/>
    <w:rsid w:val="00A069E0"/>
    <w:rsid w:val="00A06E4A"/>
    <w:rsid w:val="00A06EB6"/>
    <w:rsid w:val="00A070E9"/>
    <w:rsid w:val="00A078FB"/>
    <w:rsid w:val="00A10209"/>
    <w:rsid w:val="00A1036D"/>
    <w:rsid w:val="00A1069F"/>
    <w:rsid w:val="00A10ACA"/>
    <w:rsid w:val="00A10D08"/>
    <w:rsid w:val="00A11720"/>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6BCF"/>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A55"/>
    <w:rsid w:val="00A54FC2"/>
    <w:rsid w:val="00A55122"/>
    <w:rsid w:val="00A55806"/>
    <w:rsid w:val="00A55CEA"/>
    <w:rsid w:val="00A560A9"/>
    <w:rsid w:val="00A56DE7"/>
    <w:rsid w:val="00A57EB2"/>
    <w:rsid w:val="00A6009E"/>
    <w:rsid w:val="00A60265"/>
    <w:rsid w:val="00A60540"/>
    <w:rsid w:val="00A60B1F"/>
    <w:rsid w:val="00A611B1"/>
    <w:rsid w:val="00A6144B"/>
    <w:rsid w:val="00A61C60"/>
    <w:rsid w:val="00A62589"/>
    <w:rsid w:val="00A62AD0"/>
    <w:rsid w:val="00A62C3A"/>
    <w:rsid w:val="00A6319C"/>
    <w:rsid w:val="00A63812"/>
    <w:rsid w:val="00A63DF7"/>
    <w:rsid w:val="00A6454D"/>
    <w:rsid w:val="00A64767"/>
    <w:rsid w:val="00A64F2F"/>
    <w:rsid w:val="00A6611E"/>
    <w:rsid w:val="00A6662C"/>
    <w:rsid w:val="00A668BA"/>
    <w:rsid w:val="00A66FA7"/>
    <w:rsid w:val="00A67170"/>
    <w:rsid w:val="00A67E16"/>
    <w:rsid w:val="00A67EB1"/>
    <w:rsid w:val="00A67F1C"/>
    <w:rsid w:val="00A703CC"/>
    <w:rsid w:val="00A70C5C"/>
    <w:rsid w:val="00A710A2"/>
    <w:rsid w:val="00A716AB"/>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A3"/>
    <w:rsid w:val="00A84A0E"/>
    <w:rsid w:val="00A8575D"/>
    <w:rsid w:val="00A85D83"/>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5D"/>
    <w:rsid w:val="00AD463C"/>
    <w:rsid w:val="00AD4F60"/>
    <w:rsid w:val="00AD5044"/>
    <w:rsid w:val="00AD5114"/>
    <w:rsid w:val="00AD5740"/>
    <w:rsid w:val="00AD6236"/>
    <w:rsid w:val="00AD69D5"/>
    <w:rsid w:val="00AD7619"/>
    <w:rsid w:val="00AD7770"/>
    <w:rsid w:val="00AE1713"/>
    <w:rsid w:val="00AE1772"/>
    <w:rsid w:val="00AE1990"/>
    <w:rsid w:val="00AE25E8"/>
    <w:rsid w:val="00AE2AD4"/>
    <w:rsid w:val="00AE2CA7"/>
    <w:rsid w:val="00AE2F1D"/>
    <w:rsid w:val="00AE4C81"/>
    <w:rsid w:val="00AE586F"/>
    <w:rsid w:val="00AE62FE"/>
    <w:rsid w:val="00AE6547"/>
    <w:rsid w:val="00AE6582"/>
    <w:rsid w:val="00AE6DC5"/>
    <w:rsid w:val="00AE7686"/>
    <w:rsid w:val="00AE799A"/>
    <w:rsid w:val="00AF0E81"/>
    <w:rsid w:val="00AF117A"/>
    <w:rsid w:val="00AF134E"/>
    <w:rsid w:val="00AF16CA"/>
    <w:rsid w:val="00AF186E"/>
    <w:rsid w:val="00AF19DF"/>
    <w:rsid w:val="00AF1D41"/>
    <w:rsid w:val="00AF26CF"/>
    <w:rsid w:val="00AF310E"/>
    <w:rsid w:val="00AF3124"/>
    <w:rsid w:val="00AF344D"/>
    <w:rsid w:val="00AF39B3"/>
    <w:rsid w:val="00AF3C1F"/>
    <w:rsid w:val="00AF3FED"/>
    <w:rsid w:val="00AF4402"/>
    <w:rsid w:val="00AF4639"/>
    <w:rsid w:val="00AF4E92"/>
    <w:rsid w:val="00AF53C0"/>
    <w:rsid w:val="00AF554B"/>
    <w:rsid w:val="00AF5C9B"/>
    <w:rsid w:val="00AF5D53"/>
    <w:rsid w:val="00AF5E2D"/>
    <w:rsid w:val="00AF644B"/>
    <w:rsid w:val="00AF69EB"/>
    <w:rsid w:val="00AF6CA6"/>
    <w:rsid w:val="00AF6DEC"/>
    <w:rsid w:val="00AF6EB6"/>
    <w:rsid w:val="00AF7796"/>
    <w:rsid w:val="00AF7E8F"/>
    <w:rsid w:val="00B011A9"/>
    <w:rsid w:val="00B01BAF"/>
    <w:rsid w:val="00B024ED"/>
    <w:rsid w:val="00B026B8"/>
    <w:rsid w:val="00B02EB3"/>
    <w:rsid w:val="00B02F7C"/>
    <w:rsid w:val="00B02FCB"/>
    <w:rsid w:val="00B033F8"/>
    <w:rsid w:val="00B0343B"/>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2FBB"/>
    <w:rsid w:val="00B13C48"/>
    <w:rsid w:val="00B13E35"/>
    <w:rsid w:val="00B13EC0"/>
    <w:rsid w:val="00B14102"/>
    <w:rsid w:val="00B14D32"/>
    <w:rsid w:val="00B1507C"/>
    <w:rsid w:val="00B1557C"/>
    <w:rsid w:val="00B15599"/>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13DB"/>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718"/>
    <w:rsid w:val="00B4387A"/>
    <w:rsid w:val="00B44746"/>
    <w:rsid w:val="00B44854"/>
    <w:rsid w:val="00B44BA5"/>
    <w:rsid w:val="00B458D0"/>
    <w:rsid w:val="00B4792C"/>
    <w:rsid w:val="00B50CAE"/>
    <w:rsid w:val="00B512AD"/>
    <w:rsid w:val="00B51776"/>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058"/>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A8F"/>
    <w:rsid w:val="00B74D05"/>
    <w:rsid w:val="00B74EF8"/>
    <w:rsid w:val="00B75893"/>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5E0"/>
    <w:rsid w:val="00BA665B"/>
    <w:rsid w:val="00BA6FE8"/>
    <w:rsid w:val="00BA732D"/>
    <w:rsid w:val="00BA7370"/>
    <w:rsid w:val="00BA778B"/>
    <w:rsid w:val="00BB0888"/>
    <w:rsid w:val="00BB0DF1"/>
    <w:rsid w:val="00BB0E49"/>
    <w:rsid w:val="00BB0E9B"/>
    <w:rsid w:val="00BB0F91"/>
    <w:rsid w:val="00BB2841"/>
    <w:rsid w:val="00BB300F"/>
    <w:rsid w:val="00BB32C9"/>
    <w:rsid w:val="00BB35C5"/>
    <w:rsid w:val="00BB3A8F"/>
    <w:rsid w:val="00BB4048"/>
    <w:rsid w:val="00BB4C8E"/>
    <w:rsid w:val="00BB5324"/>
    <w:rsid w:val="00BB57ED"/>
    <w:rsid w:val="00BB5A2D"/>
    <w:rsid w:val="00BB606C"/>
    <w:rsid w:val="00BB65C3"/>
    <w:rsid w:val="00BB662E"/>
    <w:rsid w:val="00BB67A9"/>
    <w:rsid w:val="00BB6C01"/>
    <w:rsid w:val="00BB7942"/>
    <w:rsid w:val="00BB7B13"/>
    <w:rsid w:val="00BB7CD1"/>
    <w:rsid w:val="00BC058B"/>
    <w:rsid w:val="00BC0F33"/>
    <w:rsid w:val="00BC14A7"/>
    <w:rsid w:val="00BC17CC"/>
    <w:rsid w:val="00BC209F"/>
    <w:rsid w:val="00BC24AD"/>
    <w:rsid w:val="00BC2540"/>
    <w:rsid w:val="00BC2898"/>
    <w:rsid w:val="00BC2928"/>
    <w:rsid w:val="00BC29BD"/>
    <w:rsid w:val="00BC2BB1"/>
    <w:rsid w:val="00BC30B3"/>
    <w:rsid w:val="00BC34A3"/>
    <w:rsid w:val="00BC37D3"/>
    <w:rsid w:val="00BC3DD4"/>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2F6"/>
    <w:rsid w:val="00BE6D73"/>
    <w:rsid w:val="00BE7257"/>
    <w:rsid w:val="00BF020D"/>
    <w:rsid w:val="00BF0532"/>
    <w:rsid w:val="00BF0609"/>
    <w:rsid w:val="00BF0B32"/>
    <w:rsid w:val="00BF0EE8"/>
    <w:rsid w:val="00BF10ED"/>
    <w:rsid w:val="00BF1DD2"/>
    <w:rsid w:val="00BF23A3"/>
    <w:rsid w:val="00BF2A7E"/>
    <w:rsid w:val="00BF3331"/>
    <w:rsid w:val="00BF3A45"/>
    <w:rsid w:val="00BF436F"/>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4F1B"/>
    <w:rsid w:val="00C052C6"/>
    <w:rsid w:val="00C05A61"/>
    <w:rsid w:val="00C05F6C"/>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5D53"/>
    <w:rsid w:val="00C26C71"/>
    <w:rsid w:val="00C27143"/>
    <w:rsid w:val="00C27490"/>
    <w:rsid w:val="00C27D37"/>
    <w:rsid w:val="00C305C1"/>
    <w:rsid w:val="00C308E3"/>
    <w:rsid w:val="00C309E8"/>
    <w:rsid w:val="00C30C6E"/>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75E"/>
    <w:rsid w:val="00C419E3"/>
    <w:rsid w:val="00C419F4"/>
    <w:rsid w:val="00C41E6A"/>
    <w:rsid w:val="00C42247"/>
    <w:rsid w:val="00C428E7"/>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9A"/>
    <w:rsid w:val="00C52C68"/>
    <w:rsid w:val="00C52D98"/>
    <w:rsid w:val="00C52DA1"/>
    <w:rsid w:val="00C537BA"/>
    <w:rsid w:val="00C53D24"/>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908"/>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52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A8B"/>
    <w:rsid w:val="00D16CFA"/>
    <w:rsid w:val="00D16E39"/>
    <w:rsid w:val="00D171DE"/>
    <w:rsid w:val="00D172A4"/>
    <w:rsid w:val="00D175B2"/>
    <w:rsid w:val="00D17951"/>
    <w:rsid w:val="00D17AD8"/>
    <w:rsid w:val="00D17E59"/>
    <w:rsid w:val="00D2104A"/>
    <w:rsid w:val="00D21A58"/>
    <w:rsid w:val="00D21BB5"/>
    <w:rsid w:val="00D21FFC"/>
    <w:rsid w:val="00D223B6"/>
    <w:rsid w:val="00D223E8"/>
    <w:rsid w:val="00D224E1"/>
    <w:rsid w:val="00D22B0F"/>
    <w:rsid w:val="00D22BDD"/>
    <w:rsid w:val="00D22DC8"/>
    <w:rsid w:val="00D2477B"/>
    <w:rsid w:val="00D2522A"/>
    <w:rsid w:val="00D2531C"/>
    <w:rsid w:val="00D25428"/>
    <w:rsid w:val="00D2553E"/>
    <w:rsid w:val="00D2587F"/>
    <w:rsid w:val="00D26DE7"/>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EB"/>
    <w:rsid w:val="00D422DB"/>
    <w:rsid w:val="00D42AC2"/>
    <w:rsid w:val="00D43769"/>
    <w:rsid w:val="00D4498E"/>
    <w:rsid w:val="00D4515F"/>
    <w:rsid w:val="00D451E8"/>
    <w:rsid w:val="00D466C9"/>
    <w:rsid w:val="00D47275"/>
    <w:rsid w:val="00D500ED"/>
    <w:rsid w:val="00D50DB9"/>
    <w:rsid w:val="00D517F6"/>
    <w:rsid w:val="00D51AB7"/>
    <w:rsid w:val="00D51E15"/>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DEA"/>
    <w:rsid w:val="00D6650F"/>
    <w:rsid w:val="00D66579"/>
    <w:rsid w:val="00D66CF2"/>
    <w:rsid w:val="00D676D3"/>
    <w:rsid w:val="00D67B06"/>
    <w:rsid w:val="00D67BC7"/>
    <w:rsid w:val="00D67C3B"/>
    <w:rsid w:val="00D701F1"/>
    <w:rsid w:val="00D705D3"/>
    <w:rsid w:val="00D70AF4"/>
    <w:rsid w:val="00D70E00"/>
    <w:rsid w:val="00D70F7C"/>
    <w:rsid w:val="00D715AC"/>
    <w:rsid w:val="00D71851"/>
    <w:rsid w:val="00D718CF"/>
    <w:rsid w:val="00D71B68"/>
    <w:rsid w:val="00D728F5"/>
    <w:rsid w:val="00D72E9D"/>
    <w:rsid w:val="00D73249"/>
    <w:rsid w:val="00D73419"/>
    <w:rsid w:val="00D73881"/>
    <w:rsid w:val="00D73CA9"/>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7E9"/>
    <w:rsid w:val="00D82A7D"/>
    <w:rsid w:val="00D82B57"/>
    <w:rsid w:val="00D82CE5"/>
    <w:rsid w:val="00D83044"/>
    <w:rsid w:val="00D831E3"/>
    <w:rsid w:val="00D8342C"/>
    <w:rsid w:val="00D83D08"/>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12"/>
    <w:rsid w:val="00D96EE0"/>
    <w:rsid w:val="00D97BD1"/>
    <w:rsid w:val="00D97EF0"/>
    <w:rsid w:val="00DA00C3"/>
    <w:rsid w:val="00DA01E9"/>
    <w:rsid w:val="00DA06B8"/>
    <w:rsid w:val="00DA14A9"/>
    <w:rsid w:val="00DA286D"/>
    <w:rsid w:val="00DA2969"/>
    <w:rsid w:val="00DA29B7"/>
    <w:rsid w:val="00DA2E5F"/>
    <w:rsid w:val="00DA337C"/>
    <w:rsid w:val="00DA36B3"/>
    <w:rsid w:val="00DA422F"/>
    <w:rsid w:val="00DA4842"/>
    <w:rsid w:val="00DA4C97"/>
    <w:rsid w:val="00DA5989"/>
    <w:rsid w:val="00DA5AB1"/>
    <w:rsid w:val="00DA5F9D"/>
    <w:rsid w:val="00DA6719"/>
    <w:rsid w:val="00DA69B2"/>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4292"/>
    <w:rsid w:val="00DB4DF0"/>
    <w:rsid w:val="00DB5023"/>
    <w:rsid w:val="00DB6E46"/>
    <w:rsid w:val="00DB7117"/>
    <w:rsid w:val="00DB7760"/>
    <w:rsid w:val="00DB7DD4"/>
    <w:rsid w:val="00DC00B4"/>
    <w:rsid w:val="00DC0954"/>
    <w:rsid w:val="00DC0DF8"/>
    <w:rsid w:val="00DC15BA"/>
    <w:rsid w:val="00DC18CD"/>
    <w:rsid w:val="00DC1A68"/>
    <w:rsid w:val="00DC30B8"/>
    <w:rsid w:val="00DC478F"/>
    <w:rsid w:val="00DC50AA"/>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1410"/>
    <w:rsid w:val="00DE20C6"/>
    <w:rsid w:val="00DE3119"/>
    <w:rsid w:val="00DE3C24"/>
    <w:rsid w:val="00DE3D2C"/>
    <w:rsid w:val="00DE3FF0"/>
    <w:rsid w:val="00DE4105"/>
    <w:rsid w:val="00DE4BEA"/>
    <w:rsid w:val="00DE4E67"/>
    <w:rsid w:val="00DE5189"/>
    <w:rsid w:val="00DE7108"/>
    <w:rsid w:val="00DE78D1"/>
    <w:rsid w:val="00DE78FF"/>
    <w:rsid w:val="00DE7C6E"/>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70C"/>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212A"/>
    <w:rsid w:val="00E32A7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5C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203"/>
    <w:rsid w:val="00E84314"/>
    <w:rsid w:val="00E849CA"/>
    <w:rsid w:val="00E84A71"/>
    <w:rsid w:val="00E853F3"/>
    <w:rsid w:val="00E8556F"/>
    <w:rsid w:val="00E86556"/>
    <w:rsid w:val="00E86D35"/>
    <w:rsid w:val="00E86DC2"/>
    <w:rsid w:val="00E86E32"/>
    <w:rsid w:val="00E86F2E"/>
    <w:rsid w:val="00E8732E"/>
    <w:rsid w:val="00E879C7"/>
    <w:rsid w:val="00E90067"/>
    <w:rsid w:val="00E9011F"/>
    <w:rsid w:val="00E906EB"/>
    <w:rsid w:val="00E90CE2"/>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3EE"/>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2769"/>
    <w:rsid w:val="00EC33A8"/>
    <w:rsid w:val="00EC3ABE"/>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352"/>
    <w:rsid w:val="00ED249D"/>
    <w:rsid w:val="00ED2D27"/>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599"/>
    <w:rsid w:val="00EE366D"/>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986"/>
    <w:rsid w:val="00F04ECA"/>
    <w:rsid w:val="00F04F8B"/>
    <w:rsid w:val="00F06CA4"/>
    <w:rsid w:val="00F06E19"/>
    <w:rsid w:val="00F06F84"/>
    <w:rsid w:val="00F07441"/>
    <w:rsid w:val="00F0749E"/>
    <w:rsid w:val="00F076E7"/>
    <w:rsid w:val="00F07A86"/>
    <w:rsid w:val="00F07AA1"/>
    <w:rsid w:val="00F105AE"/>
    <w:rsid w:val="00F10618"/>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E5F"/>
    <w:rsid w:val="00F37F3F"/>
    <w:rsid w:val="00F40190"/>
    <w:rsid w:val="00F40992"/>
    <w:rsid w:val="00F40F72"/>
    <w:rsid w:val="00F41596"/>
    <w:rsid w:val="00F41D8B"/>
    <w:rsid w:val="00F42121"/>
    <w:rsid w:val="00F424B3"/>
    <w:rsid w:val="00F428B1"/>
    <w:rsid w:val="00F428B4"/>
    <w:rsid w:val="00F4345D"/>
    <w:rsid w:val="00F4387B"/>
    <w:rsid w:val="00F45921"/>
    <w:rsid w:val="00F45AA5"/>
    <w:rsid w:val="00F45B91"/>
    <w:rsid w:val="00F46639"/>
    <w:rsid w:val="00F47026"/>
    <w:rsid w:val="00F476FD"/>
    <w:rsid w:val="00F47EEA"/>
    <w:rsid w:val="00F50183"/>
    <w:rsid w:val="00F50D92"/>
    <w:rsid w:val="00F51765"/>
    <w:rsid w:val="00F51A51"/>
    <w:rsid w:val="00F51BC6"/>
    <w:rsid w:val="00F51CB4"/>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C07"/>
    <w:rsid w:val="00F60F60"/>
    <w:rsid w:val="00F612CE"/>
    <w:rsid w:val="00F6133C"/>
    <w:rsid w:val="00F61405"/>
    <w:rsid w:val="00F617A3"/>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A0A"/>
    <w:rsid w:val="00F80C81"/>
    <w:rsid w:val="00F815AC"/>
    <w:rsid w:val="00F82E28"/>
    <w:rsid w:val="00F83B33"/>
    <w:rsid w:val="00F83CAE"/>
    <w:rsid w:val="00F840BF"/>
    <w:rsid w:val="00F8427A"/>
    <w:rsid w:val="00F843DF"/>
    <w:rsid w:val="00F84646"/>
    <w:rsid w:val="00F84899"/>
    <w:rsid w:val="00F85585"/>
    <w:rsid w:val="00F8563E"/>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FC1"/>
    <w:rsid w:val="00F932D1"/>
    <w:rsid w:val="00F93DBC"/>
    <w:rsid w:val="00F93E41"/>
    <w:rsid w:val="00F94644"/>
    <w:rsid w:val="00F952E4"/>
    <w:rsid w:val="00F9537B"/>
    <w:rsid w:val="00F96079"/>
    <w:rsid w:val="00F963FC"/>
    <w:rsid w:val="00F96B9B"/>
    <w:rsid w:val="00F97CF1"/>
    <w:rsid w:val="00FA015F"/>
    <w:rsid w:val="00FA0FAC"/>
    <w:rsid w:val="00FA10F7"/>
    <w:rsid w:val="00FA1817"/>
    <w:rsid w:val="00FA1DA2"/>
    <w:rsid w:val="00FA313F"/>
    <w:rsid w:val="00FA3414"/>
    <w:rsid w:val="00FA347A"/>
    <w:rsid w:val="00FA3CDE"/>
    <w:rsid w:val="00FA49B7"/>
    <w:rsid w:val="00FA5043"/>
    <w:rsid w:val="00FA60C1"/>
    <w:rsid w:val="00FA63DD"/>
    <w:rsid w:val="00FA65A3"/>
    <w:rsid w:val="00FA66F9"/>
    <w:rsid w:val="00FA6BCA"/>
    <w:rsid w:val="00FA6F8B"/>
    <w:rsid w:val="00FA727C"/>
    <w:rsid w:val="00FA7A30"/>
    <w:rsid w:val="00FB033F"/>
    <w:rsid w:val="00FB0880"/>
    <w:rsid w:val="00FB12E3"/>
    <w:rsid w:val="00FB1570"/>
    <w:rsid w:val="00FB193B"/>
    <w:rsid w:val="00FB1FBC"/>
    <w:rsid w:val="00FB27B7"/>
    <w:rsid w:val="00FB35E3"/>
    <w:rsid w:val="00FB4743"/>
    <w:rsid w:val="00FB4C98"/>
    <w:rsid w:val="00FB4CE3"/>
    <w:rsid w:val="00FB583C"/>
    <w:rsid w:val="00FB630E"/>
    <w:rsid w:val="00FB658F"/>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77A"/>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0180975">
      <w:bodyDiv w:val="1"/>
      <w:marLeft w:val="0"/>
      <w:marRight w:val="0"/>
      <w:marTop w:val="0"/>
      <w:marBottom w:val="0"/>
      <w:divBdr>
        <w:top w:val="none" w:sz="0" w:space="0" w:color="auto"/>
        <w:left w:val="none" w:sz="0" w:space="0" w:color="auto"/>
        <w:bottom w:val="none" w:sz="0" w:space="0" w:color="auto"/>
        <w:right w:val="none" w:sz="0" w:space="0" w:color="auto"/>
      </w:divBdr>
      <w:divsChild>
        <w:div w:id="646202167">
          <w:marLeft w:val="0"/>
          <w:marRight w:val="0"/>
          <w:marTop w:val="0"/>
          <w:marBottom w:val="0"/>
          <w:divBdr>
            <w:top w:val="none" w:sz="0" w:space="0" w:color="auto"/>
            <w:left w:val="none" w:sz="0" w:space="0" w:color="auto"/>
            <w:bottom w:val="none" w:sz="0" w:space="0" w:color="auto"/>
            <w:right w:val="none" w:sz="0" w:space="0" w:color="auto"/>
          </w:divBdr>
        </w:div>
      </w:divsChild>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27872112">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62677824">
      <w:bodyDiv w:val="1"/>
      <w:marLeft w:val="0"/>
      <w:marRight w:val="0"/>
      <w:marTop w:val="0"/>
      <w:marBottom w:val="0"/>
      <w:divBdr>
        <w:top w:val="none" w:sz="0" w:space="0" w:color="auto"/>
        <w:left w:val="none" w:sz="0" w:space="0" w:color="auto"/>
        <w:bottom w:val="none" w:sz="0" w:space="0" w:color="auto"/>
        <w:right w:val="none" w:sz="0" w:space="0" w:color="auto"/>
      </w:divBdr>
      <w:divsChild>
        <w:div w:id="1762094626">
          <w:marLeft w:val="0"/>
          <w:marRight w:val="0"/>
          <w:marTop w:val="0"/>
          <w:marBottom w:val="0"/>
          <w:divBdr>
            <w:top w:val="none" w:sz="0" w:space="0" w:color="auto"/>
            <w:left w:val="none" w:sz="0" w:space="0" w:color="auto"/>
            <w:bottom w:val="none" w:sz="0" w:space="0" w:color="auto"/>
            <w:right w:val="none" w:sz="0" w:space="0" w:color="auto"/>
          </w:divBdr>
          <w:divsChild>
            <w:div w:id="548228321">
              <w:marLeft w:val="0"/>
              <w:marRight w:val="0"/>
              <w:marTop w:val="0"/>
              <w:marBottom w:val="0"/>
              <w:divBdr>
                <w:top w:val="none" w:sz="0" w:space="0" w:color="auto"/>
                <w:left w:val="none" w:sz="0" w:space="0" w:color="auto"/>
                <w:bottom w:val="none" w:sz="0" w:space="0" w:color="auto"/>
                <w:right w:val="none" w:sz="0" w:space="0" w:color="auto"/>
              </w:divBdr>
              <w:divsChild>
                <w:div w:id="69010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848416">
      <w:bodyDiv w:val="1"/>
      <w:marLeft w:val="0"/>
      <w:marRight w:val="0"/>
      <w:marTop w:val="0"/>
      <w:marBottom w:val="0"/>
      <w:divBdr>
        <w:top w:val="none" w:sz="0" w:space="0" w:color="auto"/>
        <w:left w:val="none" w:sz="0" w:space="0" w:color="auto"/>
        <w:bottom w:val="none" w:sz="0" w:space="0" w:color="auto"/>
        <w:right w:val="none" w:sz="0" w:space="0" w:color="auto"/>
      </w:divBdr>
      <w:divsChild>
        <w:div w:id="60449470">
          <w:marLeft w:val="0"/>
          <w:marRight w:val="0"/>
          <w:marTop w:val="0"/>
          <w:marBottom w:val="0"/>
          <w:divBdr>
            <w:top w:val="none" w:sz="0" w:space="0" w:color="auto"/>
            <w:left w:val="none" w:sz="0" w:space="0" w:color="auto"/>
            <w:bottom w:val="none" w:sz="0" w:space="0" w:color="auto"/>
            <w:right w:val="none" w:sz="0" w:space="0" w:color="auto"/>
          </w:divBdr>
          <w:divsChild>
            <w:div w:id="1914700243">
              <w:marLeft w:val="0"/>
              <w:marRight w:val="0"/>
              <w:marTop w:val="0"/>
              <w:marBottom w:val="0"/>
              <w:divBdr>
                <w:top w:val="none" w:sz="0" w:space="0" w:color="auto"/>
                <w:left w:val="none" w:sz="0" w:space="0" w:color="auto"/>
                <w:bottom w:val="none" w:sz="0" w:space="0" w:color="auto"/>
                <w:right w:val="none" w:sz="0" w:space="0" w:color="auto"/>
              </w:divBdr>
              <w:divsChild>
                <w:div w:id="165571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8907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6396095">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4042188">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349650">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TotalTime>
  <Pages>17</Pages>
  <Words>6560</Words>
  <Characters>36082</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5</cp:revision>
  <cp:lastPrinted>2020-01-30T15:05:00Z</cp:lastPrinted>
  <dcterms:created xsi:type="dcterms:W3CDTF">2021-02-18T21:11:00Z</dcterms:created>
  <dcterms:modified xsi:type="dcterms:W3CDTF">2021-02-24T00:50:00Z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