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26F4D" w14:textId="77777777" w:rsidR="000920F0" w:rsidRPr="00C052F3" w:rsidRDefault="000920F0" w:rsidP="000920F0">
      <w:pPr>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r w:rsidRPr="00C052F3">
        <w:rPr>
          <w:rFonts w:ascii="Arial" w:hAnsi="Arial" w:cs="Arial"/>
          <w:b/>
          <w:color w:val="000000" w:themeColor="text1"/>
          <w:sz w:val="21"/>
          <w:szCs w:val="21"/>
          <w:lang w:val="es-ES_tradnl" w:eastAsia="es-ES"/>
        </w:rPr>
        <w:tab/>
      </w:r>
      <w:r w:rsidRPr="00C052F3">
        <w:rPr>
          <w:rFonts w:ascii="Arial" w:hAnsi="Arial" w:cs="Arial"/>
          <w:b/>
          <w:color w:val="000000" w:themeColor="text1"/>
          <w:sz w:val="16"/>
          <w:szCs w:val="16"/>
          <w:lang w:val="es-ES_tradnl" w:eastAsia="es-ES"/>
        </w:rPr>
        <w:t>CCE-DES-FM-17</w:t>
      </w:r>
    </w:p>
    <w:p w14:paraId="6EB4D096" w14:textId="77777777" w:rsidR="000920F0" w:rsidRPr="00186799" w:rsidRDefault="000920F0" w:rsidP="000920F0">
      <w:pPr>
        <w:jc w:val="both"/>
        <w:rPr>
          <w:rFonts w:ascii="Arial" w:eastAsia="Calibri" w:hAnsi="Arial" w:cs="Arial"/>
          <w:b/>
          <w:color w:val="000000" w:themeColor="text1"/>
          <w:sz w:val="16"/>
          <w:szCs w:val="16"/>
          <w:lang w:val="es-ES_tradnl"/>
        </w:rPr>
      </w:pPr>
    </w:p>
    <w:p w14:paraId="29B2EED3" w14:textId="445F965D" w:rsidR="000920F0" w:rsidRPr="00C052F3" w:rsidRDefault="000920F0" w:rsidP="000920F0">
      <w:pPr>
        <w:spacing w:line="276" w:lineRule="auto"/>
        <w:jc w:val="both"/>
        <w:rPr>
          <w:rFonts w:ascii="Arial" w:eastAsia="Calibri" w:hAnsi="Arial" w:cs="Arial"/>
          <w:bCs/>
          <w:color w:val="000000" w:themeColor="text1"/>
          <w:sz w:val="22"/>
        </w:rPr>
      </w:pPr>
      <w:r w:rsidRPr="00C052F3">
        <w:rPr>
          <w:rFonts w:ascii="Arial" w:eastAsia="Calibri" w:hAnsi="Arial" w:cs="Arial"/>
          <w:b/>
          <w:color w:val="000000" w:themeColor="text1"/>
          <w:sz w:val="22"/>
        </w:rPr>
        <w:t xml:space="preserve">SECOP – Publicidad – Entidades de </w:t>
      </w:r>
      <w:r w:rsidR="008A18E1">
        <w:rPr>
          <w:rFonts w:ascii="Arial" w:eastAsia="Calibri" w:hAnsi="Arial" w:cs="Arial"/>
          <w:b/>
          <w:color w:val="000000" w:themeColor="text1"/>
          <w:sz w:val="22"/>
        </w:rPr>
        <w:t xml:space="preserve">régimen especial – Reiteración </w:t>
      </w:r>
      <w:r w:rsidR="008A18E1">
        <w:rPr>
          <w:rFonts w:ascii="Arial" w:eastAsia="Calibri" w:hAnsi="Arial" w:cs="Arial"/>
          <w:b/>
          <w:color w:val="000000" w:themeColor="text1"/>
          <w:sz w:val="22"/>
        </w:rPr>
        <w:t>–</w:t>
      </w:r>
      <w:r w:rsidRPr="00C052F3">
        <w:rPr>
          <w:rFonts w:ascii="Arial" w:eastAsia="Calibri" w:hAnsi="Arial" w:cs="Arial"/>
          <w:b/>
          <w:color w:val="000000" w:themeColor="text1"/>
          <w:sz w:val="22"/>
        </w:rPr>
        <w:t xml:space="preserve"> Concepto unificado </w:t>
      </w:r>
      <w:r w:rsidR="008A18E1">
        <w:rPr>
          <w:rFonts w:ascii="Arial" w:eastAsia="Calibri" w:hAnsi="Arial" w:cs="Arial"/>
          <w:b/>
          <w:color w:val="000000" w:themeColor="text1"/>
          <w:sz w:val="22"/>
        </w:rPr>
        <w:t>–</w:t>
      </w:r>
      <w:r w:rsidR="008A18E1">
        <w:rPr>
          <w:rFonts w:ascii="Arial" w:eastAsia="Calibri" w:hAnsi="Arial" w:cs="Arial"/>
          <w:b/>
          <w:color w:val="000000" w:themeColor="text1"/>
          <w:sz w:val="22"/>
        </w:rPr>
        <w:t xml:space="preserve"> CU </w:t>
      </w:r>
      <w:bookmarkStart w:id="3" w:name="_GoBack"/>
      <w:bookmarkEnd w:id="3"/>
      <w:r w:rsidRPr="00C052F3">
        <w:rPr>
          <w:rFonts w:ascii="Arial" w:eastAsia="Calibri" w:hAnsi="Arial" w:cs="Arial"/>
          <w:b/>
          <w:color w:val="000000" w:themeColor="text1"/>
          <w:sz w:val="22"/>
        </w:rPr>
        <w:t>003 de 2020</w:t>
      </w:r>
    </w:p>
    <w:p w14:paraId="5080D085" w14:textId="77777777" w:rsidR="000920F0" w:rsidRPr="0095558C" w:rsidRDefault="000920F0" w:rsidP="000920F0">
      <w:pPr>
        <w:spacing w:line="276" w:lineRule="auto"/>
        <w:jc w:val="both"/>
        <w:rPr>
          <w:rFonts w:ascii="Arial" w:hAnsi="Arial" w:cs="Arial"/>
          <w:color w:val="000000" w:themeColor="text1"/>
          <w:sz w:val="20"/>
          <w:szCs w:val="20"/>
        </w:rPr>
      </w:pPr>
    </w:p>
    <w:p w14:paraId="78CC5D2C" w14:textId="77777777" w:rsidR="000920F0" w:rsidRPr="00C052F3" w:rsidRDefault="000920F0" w:rsidP="000920F0">
      <w:pPr>
        <w:jc w:val="both"/>
        <w:rPr>
          <w:rFonts w:ascii="Arial" w:eastAsia="Calibri" w:hAnsi="Arial" w:cs="Arial"/>
          <w:color w:val="000000" w:themeColor="text1"/>
          <w:sz w:val="20"/>
          <w:szCs w:val="20"/>
          <w:lang w:val="es-ES"/>
        </w:rPr>
      </w:pPr>
      <w:r w:rsidRPr="00C052F3">
        <w:rPr>
          <w:rFonts w:ascii="Arial" w:eastAsia="Calibri" w:hAnsi="Arial" w:cs="Arial"/>
          <w:color w:val="000000" w:themeColor="text1"/>
          <w:sz w:val="20"/>
          <w:szCs w:val="20"/>
        </w:rPr>
        <w:t xml:space="preserve">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 Así también lo indicó la Agencia Nacional de Contratación Pública en Concepto unificado CU-003 de 2020, que se reitera en esta oportunidad. </w:t>
      </w:r>
    </w:p>
    <w:p w14:paraId="531F5F8A" w14:textId="77777777" w:rsidR="000920F0" w:rsidRPr="00C052F3" w:rsidRDefault="000920F0" w:rsidP="00571B84">
      <w:pPr>
        <w:pStyle w:val="Prrafodelista"/>
        <w:ind w:left="0"/>
        <w:jc w:val="both"/>
        <w:rPr>
          <w:rFonts w:ascii="Arial" w:eastAsia="Calibri" w:hAnsi="Arial" w:cs="Arial"/>
          <w:color w:val="000000" w:themeColor="text1"/>
          <w:sz w:val="20"/>
          <w:szCs w:val="20"/>
        </w:rPr>
      </w:pPr>
    </w:p>
    <w:p w14:paraId="75A10307" w14:textId="77777777" w:rsidR="000920F0" w:rsidRPr="00C052F3" w:rsidRDefault="000920F0" w:rsidP="00571B84">
      <w:pPr>
        <w:pStyle w:val="Prrafodelista"/>
        <w:ind w:left="0"/>
        <w:jc w:val="both"/>
        <w:rPr>
          <w:rFonts w:ascii="Arial" w:eastAsia="Calibri" w:hAnsi="Arial" w:cs="Arial"/>
          <w:b/>
          <w:color w:val="000000" w:themeColor="text1"/>
          <w:sz w:val="22"/>
          <w:szCs w:val="20"/>
        </w:rPr>
      </w:pPr>
      <w:r w:rsidRPr="00C052F3">
        <w:rPr>
          <w:rFonts w:ascii="Arial" w:eastAsia="Calibri" w:hAnsi="Arial" w:cs="Arial"/>
          <w:b/>
          <w:color w:val="000000" w:themeColor="text1"/>
          <w:sz w:val="22"/>
          <w:szCs w:val="20"/>
        </w:rPr>
        <w:t xml:space="preserve">SECOP – Publicidad </w:t>
      </w:r>
      <w:r w:rsidRPr="00C052F3">
        <w:rPr>
          <w:rFonts w:ascii="Arial" w:eastAsia="Calibri" w:hAnsi="Arial" w:cs="Arial"/>
          <w:b/>
          <w:color w:val="000000" w:themeColor="text1"/>
          <w:sz w:val="22"/>
          <w:szCs w:val="20"/>
        </w:rPr>
        <w:softHyphen/>
        <w:t xml:space="preserve">– Documentos </w:t>
      </w:r>
    </w:p>
    <w:p w14:paraId="3CFE11D7" w14:textId="77777777" w:rsidR="000920F0" w:rsidRPr="00C052F3" w:rsidRDefault="000920F0" w:rsidP="00571B84">
      <w:pPr>
        <w:pStyle w:val="Prrafodelista"/>
        <w:ind w:left="0"/>
        <w:jc w:val="both"/>
        <w:rPr>
          <w:rFonts w:ascii="Arial" w:eastAsia="Calibri" w:hAnsi="Arial" w:cs="Arial"/>
          <w:color w:val="000000" w:themeColor="text1"/>
          <w:sz w:val="20"/>
          <w:szCs w:val="20"/>
        </w:rPr>
      </w:pPr>
    </w:p>
    <w:p w14:paraId="2EB705BF" w14:textId="6B96BF12" w:rsidR="00571B84" w:rsidRPr="006F69FF" w:rsidRDefault="00571B84" w:rsidP="006F69FF">
      <w:pPr>
        <w:spacing w:after="120"/>
        <w:jc w:val="both"/>
        <w:rPr>
          <w:rFonts w:ascii="Arial" w:hAnsi="Arial" w:cs="Arial"/>
          <w:color w:val="000000" w:themeColor="text1"/>
          <w:sz w:val="20"/>
          <w:szCs w:val="20"/>
        </w:rPr>
      </w:pPr>
      <w:r>
        <w:rPr>
          <w:rFonts w:ascii="Arial" w:eastAsia="Calibri" w:hAnsi="Arial" w:cs="Arial"/>
          <w:color w:val="000000" w:themeColor="text1"/>
          <w:sz w:val="20"/>
          <w:szCs w:val="20"/>
        </w:rPr>
        <w:t xml:space="preserve">[…] </w:t>
      </w:r>
      <w:r w:rsidR="001F5820">
        <w:rPr>
          <w:rFonts w:ascii="Arial" w:eastAsia="Calibri" w:hAnsi="Arial" w:cs="Arial"/>
          <w:color w:val="000000" w:themeColor="text1"/>
          <w:sz w:val="20"/>
          <w:szCs w:val="20"/>
        </w:rPr>
        <w:t>e</w:t>
      </w:r>
      <w:r w:rsidR="000920F0" w:rsidRPr="00C052F3">
        <w:rPr>
          <w:rFonts w:ascii="Arial" w:eastAsia="Calibri" w:hAnsi="Arial" w:cs="Arial"/>
          <w:color w:val="000000" w:themeColor="text1"/>
          <w:sz w:val="20"/>
          <w:szCs w:val="20"/>
        </w:rPr>
        <w:t xml:space="preserve">l Decreto 103 de 2015 señala que los documentos que deberán publicar las entidades estatales, entre estas las empresas industriales y comerciales del Estado, son: i) las autorizaciones, requerimientos, aprobaciones o informes del supervisor o del interventor, que prueben la ejecución del contrato, ii) en relación con los procedimientos, lineamientos y políticas en materia de adquisición se deberán publicar los </w:t>
      </w:r>
      <w:r w:rsidR="000920F0" w:rsidRPr="006F69FF">
        <w:rPr>
          <w:rFonts w:ascii="Arial" w:hAnsi="Arial" w:cs="Arial"/>
          <w:color w:val="000000" w:themeColor="text1"/>
          <w:sz w:val="20"/>
          <w:szCs w:val="20"/>
        </w:rPr>
        <w:t>documentos previstos en el manual de contratación de la entidad y, finalmente, iii) el plan anual de adquisiciones.</w:t>
      </w:r>
    </w:p>
    <w:p w14:paraId="79FF26F7" w14:textId="3E644C8D" w:rsidR="000920F0" w:rsidRPr="00C052F3" w:rsidRDefault="000920F0" w:rsidP="00297398">
      <w:pPr>
        <w:jc w:val="both"/>
        <w:rPr>
          <w:rFonts w:ascii="Arial" w:eastAsia="Calibri" w:hAnsi="Arial" w:cs="Arial"/>
          <w:color w:val="000000" w:themeColor="text1"/>
          <w:sz w:val="20"/>
          <w:szCs w:val="20"/>
        </w:rPr>
      </w:pPr>
      <w:r w:rsidRPr="006F69FF">
        <w:rPr>
          <w:rFonts w:ascii="Arial" w:hAnsi="Arial" w:cs="Arial"/>
          <w:color w:val="000000" w:themeColor="text1"/>
          <w:sz w:val="20"/>
          <w:szCs w:val="20"/>
        </w:rPr>
        <w:t>Frente al segundo grupo de documentos, debido a que estas entidades están sometidas al derecho privado, y por lo tanto no celebran sus procesos</w:t>
      </w:r>
      <w:r w:rsidRPr="00C052F3">
        <w:rPr>
          <w:rFonts w:ascii="Arial" w:eastAsia="Calibri" w:hAnsi="Arial" w:cs="Arial"/>
          <w:color w:val="000000" w:themeColor="text1"/>
          <w:sz w:val="20"/>
          <w:szCs w:val="20"/>
        </w:rPr>
        <w:t xml:space="preserve"> de contratación con las modalidades de contratación previstas en la Ley 80 de 1993; cada una definirá en su manual de contratación el procedimiento para la contratación de sus bienes y servicios. </w:t>
      </w:r>
    </w:p>
    <w:p w14:paraId="400E7D01" w14:textId="3E36D1C0" w:rsidR="00297398" w:rsidRDefault="00297398" w:rsidP="00297398">
      <w:pPr>
        <w:pStyle w:val="Default"/>
        <w:rPr>
          <w:sz w:val="20"/>
          <w:szCs w:val="20"/>
        </w:rPr>
      </w:pPr>
    </w:p>
    <w:p w14:paraId="581992CF" w14:textId="77777777" w:rsidR="00297398" w:rsidRPr="00297398" w:rsidRDefault="00297398" w:rsidP="00297398">
      <w:pPr>
        <w:pStyle w:val="Default"/>
        <w:rPr>
          <w:sz w:val="20"/>
          <w:szCs w:val="20"/>
        </w:rPr>
      </w:pPr>
    </w:p>
    <w:p w14:paraId="06DE5CD8" w14:textId="377B8181" w:rsidR="00297398" w:rsidRDefault="00297398" w:rsidP="00297398">
      <w:pPr>
        <w:pStyle w:val="Default"/>
        <w:rPr>
          <w:sz w:val="22"/>
          <w:szCs w:val="22"/>
        </w:rPr>
      </w:pPr>
      <w:r>
        <w:rPr>
          <w:sz w:val="22"/>
          <w:szCs w:val="22"/>
        </w:rPr>
        <w:t xml:space="preserve">Bogotá D.C., </w:t>
      </w:r>
      <w:r>
        <w:rPr>
          <w:b/>
          <w:bCs/>
          <w:sz w:val="22"/>
          <w:szCs w:val="22"/>
        </w:rPr>
        <w:t xml:space="preserve">03/03/2020 Hora 14:40:32s </w:t>
      </w:r>
    </w:p>
    <w:p w14:paraId="3A0A0841" w14:textId="77777777" w:rsidR="00297398" w:rsidRPr="00186799" w:rsidRDefault="00297398" w:rsidP="00297398">
      <w:pPr>
        <w:tabs>
          <w:tab w:val="left" w:pos="3374"/>
        </w:tabs>
        <w:spacing w:line="276" w:lineRule="auto"/>
        <w:jc w:val="right"/>
        <w:rPr>
          <w:rFonts w:ascii="Arial" w:hAnsi="Arial" w:cs="Arial"/>
          <w:b/>
          <w:bCs/>
          <w:sz w:val="22"/>
        </w:rPr>
      </w:pPr>
      <w:r w:rsidRPr="00186799">
        <w:rPr>
          <w:rFonts w:ascii="Arial" w:hAnsi="Arial" w:cs="Arial"/>
          <w:b/>
          <w:bCs/>
          <w:sz w:val="22"/>
        </w:rPr>
        <w:t>N° Radicado: 2202013000001563</w:t>
      </w:r>
    </w:p>
    <w:p w14:paraId="06C9ADFA" w14:textId="18240CC1" w:rsidR="000920F0" w:rsidRPr="00C052F3" w:rsidRDefault="000920F0" w:rsidP="00297398">
      <w:pPr>
        <w:tabs>
          <w:tab w:val="left" w:pos="3374"/>
        </w:tabs>
        <w:spacing w:line="276" w:lineRule="auto"/>
        <w:jc w:val="right"/>
        <w:rPr>
          <w:rFonts w:ascii="Arial" w:eastAsia="Calibri" w:hAnsi="Arial" w:cs="Arial"/>
          <w:color w:val="000000" w:themeColor="text1"/>
          <w:sz w:val="22"/>
          <w:lang w:val="es-ES_tradnl"/>
        </w:rPr>
      </w:pPr>
      <w:r w:rsidRPr="00C052F3">
        <w:rPr>
          <w:rFonts w:ascii="Arial" w:eastAsia="Calibri" w:hAnsi="Arial" w:cs="Arial"/>
          <w:color w:val="000000" w:themeColor="text1"/>
          <w:sz w:val="22"/>
          <w:lang w:val="es-ES_tradnl"/>
        </w:rPr>
        <w:tab/>
      </w:r>
    </w:p>
    <w:p w14:paraId="0223F164" w14:textId="77777777" w:rsidR="000920F0" w:rsidRPr="00C052F3" w:rsidRDefault="000920F0" w:rsidP="000920F0">
      <w:pPr>
        <w:spacing w:line="276" w:lineRule="auto"/>
        <w:rPr>
          <w:rFonts w:ascii="Arial" w:eastAsia="Calibri" w:hAnsi="Arial" w:cs="Arial"/>
          <w:color w:val="000000" w:themeColor="text1"/>
          <w:sz w:val="22"/>
          <w:lang w:val="es-ES_tradnl"/>
        </w:rPr>
      </w:pPr>
      <w:r w:rsidRPr="00C052F3">
        <w:rPr>
          <w:rFonts w:ascii="Arial" w:eastAsia="Calibri" w:hAnsi="Arial" w:cs="Arial"/>
          <w:color w:val="000000" w:themeColor="text1"/>
          <w:sz w:val="22"/>
          <w:lang w:val="es-ES_tradnl"/>
        </w:rPr>
        <w:t>Señor</w:t>
      </w:r>
    </w:p>
    <w:p w14:paraId="37F04B31" w14:textId="77777777" w:rsidR="000920F0" w:rsidRPr="00C052F3" w:rsidRDefault="000920F0" w:rsidP="000920F0">
      <w:pPr>
        <w:spacing w:line="276" w:lineRule="auto"/>
        <w:rPr>
          <w:rFonts w:ascii="Arial" w:eastAsia="Calibri" w:hAnsi="Arial" w:cs="Arial"/>
          <w:b/>
          <w:color w:val="000000" w:themeColor="text1"/>
          <w:sz w:val="22"/>
          <w:lang w:val="es-ES_tradnl"/>
        </w:rPr>
      </w:pPr>
      <w:r w:rsidRPr="00C052F3">
        <w:rPr>
          <w:rFonts w:ascii="Arial" w:eastAsia="Calibri" w:hAnsi="Arial" w:cs="Arial"/>
          <w:b/>
          <w:color w:val="000000" w:themeColor="text1"/>
          <w:sz w:val="22"/>
          <w:lang w:val="es-ES_tradnl"/>
        </w:rPr>
        <w:t>Gabriel del Toro Toro</w:t>
      </w:r>
    </w:p>
    <w:p w14:paraId="188163AF" w14:textId="77777777" w:rsidR="000920F0" w:rsidRPr="00C052F3" w:rsidRDefault="000920F0" w:rsidP="000920F0">
      <w:pPr>
        <w:spacing w:line="276" w:lineRule="auto"/>
        <w:rPr>
          <w:rFonts w:ascii="Arial" w:eastAsia="Calibri" w:hAnsi="Arial" w:cs="Arial"/>
          <w:color w:val="000000" w:themeColor="text1"/>
          <w:sz w:val="22"/>
          <w:lang w:val="es-ES_tradnl"/>
        </w:rPr>
      </w:pPr>
      <w:r w:rsidRPr="00C052F3">
        <w:rPr>
          <w:rFonts w:ascii="Arial" w:eastAsia="Calibri" w:hAnsi="Arial" w:cs="Arial"/>
          <w:color w:val="000000" w:themeColor="text1"/>
          <w:sz w:val="22"/>
          <w:lang w:val="es-ES_tradnl"/>
        </w:rPr>
        <w:t>Ciudad</w:t>
      </w:r>
    </w:p>
    <w:p w14:paraId="36D9E2A1" w14:textId="77777777" w:rsidR="000920F0" w:rsidRPr="00C052F3" w:rsidRDefault="000920F0" w:rsidP="000920F0">
      <w:pPr>
        <w:spacing w:line="276" w:lineRule="auto"/>
        <w:jc w:val="center"/>
        <w:rPr>
          <w:rFonts w:ascii="Arial" w:eastAsia="Calibri" w:hAnsi="Arial" w:cs="Arial"/>
          <w:b/>
          <w:color w:val="000000" w:themeColor="text1"/>
          <w:sz w:val="22"/>
          <w:lang w:val="es-ES_tradnl"/>
        </w:rPr>
      </w:pPr>
      <w:r w:rsidRPr="00C052F3">
        <w:rPr>
          <w:rFonts w:ascii="Arial" w:eastAsia="Calibri" w:hAnsi="Arial" w:cs="Arial"/>
          <w:b/>
          <w:color w:val="000000" w:themeColor="text1"/>
          <w:sz w:val="22"/>
          <w:lang w:val="es-ES_tradnl"/>
        </w:rPr>
        <w:t>Concepto C ─ 088 de 2020</w:t>
      </w:r>
    </w:p>
    <w:p w14:paraId="5FD7FADA" w14:textId="77777777" w:rsidR="000920F0" w:rsidRPr="00C052F3" w:rsidRDefault="000920F0" w:rsidP="000920F0">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052F3" w:rsidRPr="00C052F3" w14:paraId="16CF89C4" w14:textId="77777777" w:rsidTr="006C2E14">
        <w:tc>
          <w:tcPr>
            <w:tcW w:w="2689" w:type="dxa"/>
            <w:hideMark/>
          </w:tcPr>
          <w:p w14:paraId="7BBF5828" w14:textId="77777777" w:rsidR="000920F0" w:rsidRPr="00C052F3" w:rsidRDefault="000920F0" w:rsidP="006C2E14">
            <w:pPr>
              <w:spacing w:line="276" w:lineRule="auto"/>
              <w:rPr>
                <w:rFonts w:ascii="Arial" w:eastAsia="Calibri" w:hAnsi="Arial" w:cs="Arial"/>
                <w:color w:val="000000" w:themeColor="text1"/>
                <w:sz w:val="22"/>
                <w:lang w:val="es-ES_tradnl"/>
              </w:rPr>
            </w:pPr>
            <w:r w:rsidRPr="00C052F3">
              <w:rPr>
                <w:rFonts w:ascii="Arial" w:eastAsia="Calibri" w:hAnsi="Arial" w:cs="Arial"/>
                <w:b/>
                <w:color w:val="000000" w:themeColor="text1"/>
                <w:sz w:val="22"/>
                <w:lang w:val="es-ES_tradnl"/>
              </w:rPr>
              <w:t>Temas:</w:t>
            </w:r>
            <w:r w:rsidRPr="00C052F3">
              <w:rPr>
                <w:rFonts w:ascii="Arial" w:eastAsia="Calibri" w:hAnsi="Arial" w:cs="Arial"/>
                <w:color w:val="000000" w:themeColor="text1"/>
                <w:sz w:val="22"/>
                <w:lang w:val="es-ES_tradnl"/>
              </w:rPr>
              <w:t xml:space="preserve">           </w:t>
            </w:r>
          </w:p>
          <w:p w14:paraId="76A5E400" w14:textId="77777777" w:rsidR="000920F0" w:rsidRPr="00C052F3" w:rsidRDefault="000920F0" w:rsidP="006C2E14">
            <w:pPr>
              <w:spacing w:line="276" w:lineRule="auto"/>
              <w:rPr>
                <w:rFonts w:ascii="Arial" w:eastAsia="Calibri" w:hAnsi="Arial" w:cs="Arial"/>
                <w:color w:val="000000" w:themeColor="text1"/>
                <w:sz w:val="22"/>
                <w:lang w:val="es-ES_tradnl"/>
              </w:rPr>
            </w:pPr>
            <w:r w:rsidRPr="00C052F3">
              <w:rPr>
                <w:rFonts w:ascii="Arial" w:eastAsia="Calibri" w:hAnsi="Arial" w:cs="Arial"/>
                <w:color w:val="000000" w:themeColor="text1"/>
                <w:sz w:val="22"/>
                <w:lang w:val="es-ES_tradnl"/>
              </w:rPr>
              <w:t xml:space="preserve">                           </w:t>
            </w:r>
          </w:p>
        </w:tc>
        <w:tc>
          <w:tcPr>
            <w:tcW w:w="6237" w:type="dxa"/>
            <w:hideMark/>
          </w:tcPr>
          <w:p w14:paraId="5528BC60" w14:textId="4ECF4E74" w:rsidR="000920F0" w:rsidRPr="0049398E" w:rsidRDefault="000920F0" w:rsidP="0049398E">
            <w:pPr>
              <w:pStyle w:val="Prrafodelista"/>
              <w:ind w:left="0"/>
              <w:jc w:val="both"/>
              <w:rPr>
                <w:rFonts w:ascii="Arial" w:eastAsia="Calibri" w:hAnsi="Arial" w:cs="Arial"/>
                <w:color w:val="000000" w:themeColor="text1"/>
                <w:sz w:val="22"/>
                <w:lang w:val="es-ES_tradnl"/>
              </w:rPr>
            </w:pPr>
            <w:r w:rsidRPr="0049398E">
              <w:rPr>
                <w:rFonts w:ascii="Arial" w:eastAsia="Calibri" w:hAnsi="Arial" w:cs="Arial"/>
                <w:color w:val="000000" w:themeColor="text1"/>
                <w:sz w:val="22"/>
                <w:lang w:val="es-ES_tradnl"/>
              </w:rPr>
              <w:t>SECOP – Publicidad – Entidades de régimen especial – Reiteración de Concepto unificado CU-003</w:t>
            </w:r>
            <w:r w:rsidR="0049398E">
              <w:rPr>
                <w:rFonts w:ascii="Arial" w:eastAsia="Calibri" w:hAnsi="Arial" w:cs="Arial"/>
                <w:color w:val="000000" w:themeColor="text1"/>
                <w:sz w:val="22"/>
                <w:lang w:val="es-ES_tradnl"/>
              </w:rPr>
              <w:t xml:space="preserve"> de 2020 / </w:t>
            </w:r>
            <w:r w:rsidR="0049398E" w:rsidRPr="0049398E">
              <w:rPr>
                <w:rFonts w:ascii="Arial" w:eastAsia="Calibri" w:hAnsi="Arial" w:cs="Arial"/>
                <w:color w:val="000000" w:themeColor="text1"/>
                <w:sz w:val="22"/>
                <w:szCs w:val="20"/>
              </w:rPr>
              <w:t xml:space="preserve">SECOP – Publicidad </w:t>
            </w:r>
            <w:r w:rsidR="0049398E" w:rsidRPr="0049398E">
              <w:rPr>
                <w:rFonts w:ascii="Arial" w:eastAsia="Calibri" w:hAnsi="Arial" w:cs="Arial"/>
                <w:color w:val="000000" w:themeColor="text1"/>
                <w:sz w:val="22"/>
                <w:szCs w:val="20"/>
              </w:rPr>
              <w:softHyphen/>
              <w:t xml:space="preserve">– Documentos </w:t>
            </w:r>
          </w:p>
        </w:tc>
      </w:tr>
      <w:tr w:rsidR="000920F0" w:rsidRPr="00C052F3" w14:paraId="5C0B4203" w14:textId="77777777" w:rsidTr="006C2E14">
        <w:tc>
          <w:tcPr>
            <w:tcW w:w="2689" w:type="dxa"/>
          </w:tcPr>
          <w:p w14:paraId="32E4E458" w14:textId="77777777" w:rsidR="000920F0" w:rsidRPr="00C052F3" w:rsidRDefault="000920F0" w:rsidP="006C2E14">
            <w:pPr>
              <w:spacing w:line="276" w:lineRule="auto"/>
              <w:rPr>
                <w:rFonts w:ascii="Arial" w:eastAsia="Calibri" w:hAnsi="Arial" w:cs="Arial"/>
                <w:b/>
                <w:color w:val="000000" w:themeColor="text1"/>
                <w:sz w:val="22"/>
                <w:lang w:val="es-ES_tradnl"/>
              </w:rPr>
            </w:pPr>
            <w:r w:rsidRPr="00C052F3">
              <w:rPr>
                <w:rFonts w:ascii="Arial" w:eastAsia="Calibri" w:hAnsi="Arial" w:cs="Arial"/>
                <w:b/>
                <w:color w:val="000000" w:themeColor="text1"/>
                <w:sz w:val="22"/>
                <w:lang w:val="es-ES_tradnl"/>
              </w:rPr>
              <w:t>Radicación:</w:t>
            </w:r>
            <w:r w:rsidRPr="00C052F3">
              <w:rPr>
                <w:rFonts w:ascii="Arial" w:eastAsia="Calibri" w:hAnsi="Arial" w:cs="Arial"/>
                <w:color w:val="000000" w:themeColor="text1"/>
                <w:sz w:val="22"/>
                <w:lang w:val="es-ES_tradnl"/>
              </w:rPr>
              <w:t xml:space="preserve">                              </w:t>
            </w:r>
          </w:p>
        </w:tc>
        <w:tc>
          <w:tcPr>
            <w:tcW w:w="6237" w:type="dxa"/>
          </w:tcPr>
          <w:p w14:paraId="1218CA08" w14:textId="77777777" w:rsidR="000920F0" w:rsidRPr="00C052F3" w:rsidRDefault="000920F0" w:rsidP="006C2E14">
            <w:pPr>
              <w:spacing w:line="276" w:lineRule="auto"/>
              <w:jc w:val="both"/>
              <w:rPr>
                <w:rFonts w:ascii="Arial" w:eastAsia="Calibri" w:hAnsi="Arial" w:cs="Arial"/>
                <w:color w:val="000000" w:themeColor="text1"/>
                <w:sz w:val="22"/>
                <w:lang w:val="es-ES_tradnl"/>
              </w:rPr>
            </w:pPr>
            <w:r w:rsidRPr="00C052F3">
              <w:rPr>
                <w:rFonts w:ascii="Arial" w:eastAsia="Calibri" w:hAnsi="Arial" w:cs="Arial"/>
                <w:color w:val="000000" w:themeColor="text1"/>
                <w:sz w:val="22"/>
                <w:lang w:val="es-ES_tradnl"/>
              </w:rPr>
              <w:t xml:space="preserve">Respuesta a consulta # </w:t>
            </w:r>
            <w:r w:rsidRPr="00C052F3">
              <w:rPr>
                <w:rFonts w:ascii="Arial" w:hAnsi="Arial" w:cs="Arial"/>
                <w:color w:val="000000" w:themeColor="text1"/>
                <w:sz w:val="22"/>
                <w:lang w:val="es-ES_tradnl"/>
              </w:rPr>
              <w:t>4202012000000944</w:t>
            </w:r>
          </w:p>
        </w:tc>
      </w:tr>
    </w:tbl>
    <w:p w14:paraId="36F05444" w14:textId="77777777" w:rsidR="000920F0" w:rsidRPr="00C052F3" w:rsidRDefault="000920F0" w:rsidP="000920F0">
      <w:pPr>
        <w:spacing w:line="276" w:lineRule="auto"/>
        <w:jc w:val="both"/>
        <w:rPr>
          <w:rFonts w:ascii="Arial" w:eastAsia="Calibri" w:hAnsi="Arial" w:cs="Arial"/>
          <w:color w:val="000000" w:themeColor="text1"/>
          <w:sz w:val="22"/>
          <w:lang w:val="es-ES_tradnl"/>
        </w:rPr>
      </w:pPr>
    </w:p>
    <w:p w14:paraId="3CDD931D" w14:textId="77777777" w:rsidR="000920F0" w:rsidRPr="00C052F3" w:rsidRDefault="000920F0" w:rsidP="000920F0">
      <w:pPr>
        <w:spacing w:line="276" w:lineRule="auto"/>
        <w:rPr>
          <w:rFonts w:ascii="Arial" w:eastAsia="Calibri" w:hAnsi="Arial" w:cs="Arial"/>
          <w:color w:val="000000" w:themeColor="text1"/>
          <w:sz w:val="22"/>
          <w:lang w:val="es-ES_tradnl"/>
        </w:rPr>
      </w:pPr>
    </w:p>
    <w:p w14:paraId="1B619448" w14:textId="77777777" w:rsidR="000920F0" w:rsidRPr="00C052F3" w:rsidRDefault="000920F0" w:rsidP="000920F0">
      <w:pPr>
        <w:spacing w:line="276" w:lineRule="auto"/>
        <w:rPr>
          <w:rFonts w:ascii="Arial" w:eastAsia="Calibri" w:hAnsi="Arial" w:cs="Arial"/>
          <w:color w:val="000000" w:themeColor="text1"/>
          <w:sz w:val="22"/>
          <w:lang w:val="es-ES_tradnl"/>
        </w:rPr>
      </w:pPr>
      <w:r w:rsidRPr="00C052F3">
        <w:rPr>
          <w:rFonts w:ascii="Arial" w:eastAsia="Calibri" w:hAnsi="Arial" w:cs="Arial"/>
          <w:color w:val="000000" w:themeColor="text1"/>
          <w:sz w:val="22"/>
          <w:lang w:val="es-ES_tradnl"/>
        </w:rPr>
        <w:t>Estimado señor Toro,</w:t>
      </w:r>
    </w:p>
    <w:p w14:paraId="09825258" w14:textId="77777777" w:rsidR="000920F0" w:rsidRPr="00C052F3" w:rsidRDefault="000920F0" w:rsidP="000920F0">
      <w:pPr>
        <w:spacing w:line="276" w:lineRule="auto"/>
        <w:rPr>
          <w:rFonts w:ascii="Arial" w:eastAsia="Calibri" w:hAnsi="Arial" w:cs="Arial"/>
          <w:color w:val="000000" w:themeColor="text1"/>
          <w:sz w:val="22"/>
          <w:lang w:val="es-ES_tradnl"/>
        </w:rPr>
      </w:pPr>
    </w:p>
    <w:p w14:paraId="679DB8AF" w14:textId="77777777" w:rsidR="000920F0" w:rsidRPr="00C052F3" w:rsidRDefault="000920F0" w:rsidP="000920F0">
      <w:pPr>
        <w:tabs>
          <w:tab w:val="left" w:pos="426"/>
        </w:tabs>
        <w:spacing w:line="276" w:lineRule="auto"/>
        <w:jc w:val="both"/>
        <w:rPr>
          <w:rFonts w:ascii="Arial" w:eastAsia="Calibri" w:hAnsi="Arial" w:cs="Arial"/>
          <w:color w:val="000000" w:themeColor="text1"/>
          <w:sz w:val="22"/>
          <w:lang w:val="es-ES_tradnl"/>
        </w:rPr>
      </w:pPr>
      <w:r w:rsidRPr="00C052F3">
        <w:rPr>
          <w:rFonts w:ascii="Arial" w:eastAsia="Calibri" w:hAnsi="Arial" w:cs="Arial"/>
          <w:color w:val="000000" w:themeColor="text1"/>
          <w:sz w:val="22"/>
          <w:lang w:val="es-ES_tradnl"/>
        </w:rPr>
        <w:t>La Agencia Nacional de Contratación Pública ― Colombia Compra Eficiente responde su consulta del 10 de febrero de 2020, en ejercicio de la competencia otorgada por el numeral 8 del artículo 11 y el numeral 5 del artículo 3 del Decreto Ley 4170 de 2011.</w:t>
      </w:r>
    </w:p>
    <w:p w14:paraId="28C2ECB0" w14:textId="77777777" w:rsidR="000920F0" w:rsidRPr="00C052F3" w:rsidRDefault="000920F0" w:rsidP="000920F0">
      <w:pPr>
        <w:tabs>
          <w:tab w:val="left" w:pos="426"/>
        </w:tabs>
        <w:spacing w:line="276" w:lineRule="auto"/>
        <w:jc w:val="both"/>
        <w:rPr>
          <w:rFonts w:ascii="Arial" w:eastAsia="Calibri" w:hAnsi="Arial" w:cs="Arial"/>
          <w:color w:val="000000" w:themeColor="text1"/>
          <w:sz w:val="22"/>
          <w:lang w:val="es-ES_tradnl"/>
        </w:rPr>
      </w:pPr>
    </w:p>
    <w:p w14:paraId="58FEF0FB" w14:textId="77777777" w:rsidR="000920F0" w:rsidRPr="00C052F3" w:rsidRDefault="000920F0" w:rsidP="000920F0">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C052F3">
        <w:rPr>
          <w:rFonts w:ascii="Arial" w:eastAsia="Calibri" w:hAnsi="Arial" w:cs="Arial"/>
          <w:b/>
          <w:color w:val="000000" w:themeColor="text1"/>
          <w:sz w:val="22"/>
          <w:lang w:val="es-ES_tradnl"/>
        </w:rPr>
        <w:t xml:space="preserve">Problemas planteados </w:t>
      </w:r>
    </w:p>
    <w:p w14:paraId="476FAD3E" w14:textId="77777777" w:rsidR="000920F0" w:rsidRPr="00C052F3" w:rsidRDefault="000920F0" w:rsidP="000920F0">
      <w:pPr>
        <w:tabs>
          <w:tab w:val="left" w:pos="426"/>
        </w:tabs>
        <w:spacing w:line="276" w:lineRule="auto"/>
        <w:jc w:val="both"/>
        <w:rPr>
          <w:rFonts w:ascii="Arial" w:eastAsia="Calibri" w:hAnsi="Arial" w:cs="Arial"/>
          <w:b/>
          <w:color w:val="000000" w:themeColor="text1"/>
          <w:sz w:val="22"/>
          <w:lang w:val="es-ES_tradnl"/>
        </w:rPr>
      </w:pPr>
    </w:p>
    <w:p w14:paraId="2255F81F" w14:textId="77777777" w:rsidR="000920F0" w:rsidRPr="00C052F3" w:rsidRDefault="000920F0" w:rsidP="000920F0">
      <w:pPr>
        <w:tabs>
          <w:tab w:val="left" w:pos="426"/>
        </w:tabs>
        <w:spacing w:line="276" w:lineRule="auto"/>
        <w:jc w:val="both"/>
        <w:rPr>
          <w:rFonts w:ascii="Arial" w:eastAsia="Calibri" w:hAnsi="Arial" w:cs="Arial"/>
          <w:color w:val="000000" w:themeColor="text1"/>
          <w:sz w:val="22"/>
          <w:lang w:val="es-ES_tradnl"/>
        </w:rPr>
      </w:pPr>
      <w:r w:rsidRPr="00C052F3">
        <w:rPr>
          <w:rFonts w:ascii="Arial" w:eastAsia="Calibri" w:hAnsi="Arial" w:cs="Arial"/>
          <w:color w:val="000000" w:themeColor="text1"/>
          <w:sz w:val="22"/>
          <w:lang w:val="es-ES_tradnl"/>
        </w:rPr>
        <w:t>Usted realiza la siguiente pregunta: «¿INFOTIC S.A. ostenta el deber legal de publicar sus procesos contractuales en el Sistema Electrónico para la Contratación Pública – SECOP, teniendo en cuenta que INFOTIC es una sociedad de economía mixta con un capital público del cincuenta y un por ciento (51%), por lo tanto no se rige por el Estatuto General de Contratación Pública, sino que, cuenta con un régimen especial de contratación?». Ello en cuanto, según lo explica en la consulta, «INFOTIC S.A. es una sociedad de economía mixta, constituida con el cincuenta y un por ciento (51%) del capital público, aportado por el Instituto de Financiamiento, Promoción y Desarrollo de Manizales (INFI-MANIZALES), la cual, como indica el concepto emitido por el Departamento Administrativo de la Función Pública No. 20186000311921, rige sus relaciones laborales por el derecho privado de acuerdo con la Ley 489 de 1998, adicionalmente, aplicable al desarrollo de las actividades industriales o comerciales, en concordancia con el artículo 461 del Código de Comercio».</w:t>
      </w:r>
    </w:p>
    <w:p w14:paraId="571C7382" w14:textId="77777777" w:rsidR="000920F0" w:rsidRPr="00C052F3" w:rsidRDefault="000920F0" w:rsidP="000920F0">
      <w:pPr>
        <w:tabs>
          <w:tab w:val="left" w:pos="426"/>
        </w:tabs>
        <w:spacing w:line="276" w:lineRule="auto"/>
        <w:jc w:val="both"/>
        <w:rPr>
          <w:rFonts w:ascii="Arial" w:eastAsia="Calibri" w:hAnsi="Arial" w:cs="Arial"/>
          <w:color w:val="000000" w:themeColor="text1"/>
          <w:sz w:val="22"/>
          <w:lang w:val="es-ES_tradnl"/>
        </w:rPr>
      </w:pPr>
      <w:r w:rsidRPr="00C052F3">
        <w:rPr>
          <w:rFonts w:ascii="Arial" w:eastAsia="Calibri" w:hAnsi="Arial" w:cs="Arial"/>
          <w:color w:val="000000" w:themeColor="text1"/>
          <w:sz w:val="22"/>
          <w:lang w:val="es-ES_tradnl"/>
        </w:rPr>
        <w:t xml:space="preserve"> </w:t>
      </w:r>
    </w:p>
    <w:p w14:paraId="79882F8B" w14:textId="77777777" w:rsidR="000920F0" w:rsidRPr="00C052F3" w:rsidRDefault="000920F0" w:rsidP="000920F0">
      <w:pPr>
        <w:tabs>
          <w:tab w:val="left" w:pos="426"/>
        </w:tabs>
        <w:spacing w:line="276" w:lineRule="auto"/>
        <w:jc w:val="both"/>
        <w:rPr>
          <w:rFonts w:ascii="Arial" w:eastAsia="Calibri" w:hAnsi="Arial" w:cs="Arial"/>
          <w:b/>
          <w:color w:val="000000" w:themeColor="text1"/>
          <w:sz w:val="22"/>
          <w:lang w:val="es-ES_tradnl"/>
        </w:rPr>
      </w:pPr>
      <w:r w:rsidRPr="00E635A2">
        <w:rPr>
          <w:rFonts w:ascii="Arial" w:eastAsia="Calibri" w:hAnsi="Arial" w:cs="Arial"/>
          <w:b/>
          <w:color w:val="000000" w:themeColor="text1"/>
          <w:sz w:val="22"/>
          <w:lang w:val="es-ES_tradnl"/>
        </w:rPr>
        <w:t>2</w:t>
      </w:r>
      <w:r w:rsidRPr="00C052F3">
        <w:rPr>
          <w:rFonts w:ascii="Arial" w:eastAsia="Calibri" w:hAnsi="Arial" w:cs="Arial"/>
          <w:b/>
          <w:color w:val="000000" w:themeColor="text1"/>
          <w:sz w:val="22"/>
          <w:lang w:val="es-ES_tradnl"/>
        </w:rPr>
        <w:t>. Consideraciones</w:t>
      </w:r>
    </w:p>
    <w:bookmarkEnd w:id="0"/>
    <w:bookmarkEnd w:id="1"/>
    <w:p w14:paraId="7894E838" w14:textId="77777777" w:rsidR="000920F0" w:rsidRPr="00C052F3" w:rsidRDefault="000920F0" w:rsidP="000920F0">
      <w:pPr>
        <w:spacing w:line="276" w:lineRule="auto"/>
        <w:jc w:val="both"/>
        <w:rPr>
          <w:rFonts w:ascii="Arial" w:hAnsi="Arial" w:cs="Arial"/>
          <w:color w:val="000000" w:themeColor="text1"/>
          <w:sz w:val="22"/>
          <w:lang w:val="es-ES_tradnl"/>
        </w:rPr>
      </w:pPr>
    </w:p>
    <w:p w14:paraId="039DAEF3" w14:textId="77777777" w:rsidR="000920F0" w:rsidRPr="00C052F3" w:rsidRDefault="000920F0" w:rsidP="000920F0">
      <w:pPr>
        <w:spacing w:line="276" w:lineRule="auto"/>
        <w:jc w:val="both"/>
        <w:rPr>
          <w:rFonts w:ascii="Arial" w:hAnsi="Arial" w:cs="Arial"/>
          <w:color w:val="000000" w:themeColor="text1"/>
          <w:sz w:val="22"/>
          <w:lang w:val="es-ES_tradnl"/>
        </w:rPr>
      </w:pPr>
      <w:r w:rsidRPr="00C052F3">
        <w:rPr>
          <w:rFonts w:ascii="Arial" w:hAnsi="Arial" w:cs="Arial"/>
          <w:color w:val="000000" w:themeColor="text1"/>
          <w:sz w:val="22"/>
          <w:lang w:val="es-ES_tradnl"/>
        </w:rPr>
        <w:t xml:space="preserve">Para resolver esta consulta se hará un análisis de los siguientes temas: i) </w:t>
      </w:r>
      <w:r w:rsidRPr="00C052F3">
        <w:rPr>
          <w:rFonts w:ascii="Arial" w:eastAsia="Calibri" w:hAnsi="Arial" w:cs="Arial"/>
          <w:color w:val="000000" w:themeColor="text1"/>
          <w:sz w:val="22"/>
        </w:rPr>
        <w:t>el SECOP, como plataforma que las entidades deben utilizar para publicar la actividad contractual y ii) documentos contractuales que deben publicar las entidades exceptuadas de la aplicación del Estatuto General de Contratación de la Administración Pública, incluidas algunas sociedades de economía mixta, en el SECOP I, así como el momento de su publicación.</w:t>
      </w:r>
    </w:p>
    <w:p w14:paraId="534D4478" w14:textId="77777777" w:rsidR="000920F0" w:rsidRPr="00C052F3" w:rsidRDefault="000920F0" w:rsidP="000920F0">
      <w:pPr>
        <w:spacing w:line="276" w:lineRule="auto"/>
        <w:jc w:val="both"/>
        <w:rPr>
          <w:rFonts w:ascii="Arial" w:hAnsi="Arial" w:cs="Arial"/>
          <w:color w:val="000000" w:themeColor="text1"/>
          <w:sz w:val="22"/>
          <w:lang w:val="es-ES_tradnl"/>
        </w:rPr>
      </w:pPr>
    </w:p>
    <w:p w14:paraId="56487F2B" w14:textId="77777777" w:rsidR="000920F0" w:rsidRPr="00C052F3" w:rsidRDefault="000920F0" w:rsidP="000920F0">
      <w:pPr>
        <w:tabs>
          <w:tab w:val="left" w:pos="426"/>
        </w:tabs>
        <w:spacing w:line="276" w:lineRule="auto"/>
        <w:jc w:val="both"/>
        <w:rPr>
          <w:rFonts w:ascii="Arial" w:eastAsia="Calibri" w:hAnsi="Arial" w:cs="Arial"/>
          <w:b/>
          <w:color w:val="000000" w:themeColor="text1"/>
          <w:sz w:val="22"/>
        </w:rPr>
      </w:pPr>
      <w:r w:rsidRPr="00C052F3">
        <w:rPr>
          <w:rFonts w:ascii="Arial" w:eastAsia="Calibri" w:hAnsi="Arial" w:cs="Arial"/>
          <w:b/>
          <w:color w:val="000000" w:themeColor="text1"/>
          <w:sz w:val="22"/>
        </w:rPr>
        <w:t>2.1. Publicidad de la actividad contractual en el Sistema Electrónico de Contratación Pública –SECOP–</w:t>
      </w:r>
    </w:p>
    <w:p w14:paraId="36436AB7" w14:textId="77777777" w:rsidR="000920F0" w:rsidRPr="00C052F3" w:rsidRDefault="000920F0" w:rsidP="000920F0">
      <w:pPr>
        <w:pStyle w:val="Prrafodelista"/>
        <w:spacing w:line="276" w:lineRule="auto"/>
        <w:ind w:left="0" w:firstLine="709"/>
        <w:jc w:val="both"/>
        <w:rPr>
          <w:rFonts w:ascii="Arial" w:eastAsia="Calibri" w:hAnsi="Arial" w:cs="Arial"/>
          <w:b/>
          <w:color w:val="000000" w:themeColor="text1"/>
          <w:sz w:val="22"/>
        </w:rPr>
      </w:pPr>
    </w:p>
    <w:p w14:paraId="5361BD01" w14:textId="77777777" w:rsidR="000920F0" w:rsidRPr="00C052F3" w:rsidRDefault="000920F0" w:rsidP="000920F0">
      <w:pPr>
        <w:spacing w:line="276" w:lineRule="auto"/>
        <w:jc w:val="both"/>
        <w:rPr>
          <w:rFonts w:ascii="Arial" w:eastAsia="Calibri" w:hAnsi="Arial" w:cs="Arial"/>
          <w:bCs/>
          <w:color w:val="000000" w:themeColor="text1"/>
          <w:sz w:val="22"/>
        </w:rPr>
      </w:pPr>
      <w:r w:rsidRPr="00C052F3">
        <w:rPr>
          <w:rFonts w:ascii="Arial" w:eastAsia="Calibri" w:hAnsi="Arial" w:cs="Arial"/>
          <w:bCs/>
          <w:color w:val="000000" w:themeColor="text1"/>
          <w:sz w:val="22"/>
        </w:rPr>
        <w:t xml:space="preserve">La Agencia Nacional de Contratación Pública estudió por primera vez este tema en la consulta No. 4201913000005397 del 9 de agosto de 2019 y reiteró la posición en las siguientes consultas: 4201912000006611 del 25 de septiembre de 2019, 4201913000006847 del 4 de octubre de 2019, 4201912000007762 del 18 de noviembre de 2019 y 4201912000007828 del 13 de noviembre de 2019. Finalmente, en Concepto unificado C-003 de 2020 sostuvo la idea que se reitera a continuación: </w:t>
      </w:r>
    </w:p>
    <w:p w14:paraId="679CB6FD" w14:textId="77777777" w:rsidR="000920F0" w:rsidRPr="00C052F3" w:rsidRDefault="000920F0" w:rsidP="000920F0">
      <w:pPr>
        <w:spacing w:line="276" w:lineRule="auto"/>
        <w:ind w:firstLine="709"/>
        <w:jc w:val="both"/>
        <w:rPr>
          <w:rFonts w:ascii="Arial" w:eastAsia="Calibri" w:hAnsi="Arial" w:cs="Arial"/>
          <w:color w:val="000000" w:themeColor="text1"/>
          <w:sz w:val="22"/>
        </w:rPr>
      </w:pPr>
      <w:r w:rsidRPr="00C052F3">
        <w:rPr>
          <w:rFonts w:ascii="Arial" w:eastAsia="Calibri" w:hAnsi="Arial" w:cs="Arial"/>
          <w:color w:val="000000" w:themeColor="text1"/>
          <w:sz w:val="22"/>
        </w:rPr>
        <w:t xml:space="preserve">Para la Corte Constitucional, el principio de publicidad es la garantía que tienen las personas de conocer las actuaciones judiciales y administrativas y con base en ese conocimiento tener la posibilidad de exigir que se surtan conforme a la ley: </w:t>
      </w:r>
    </w:p>
    <w:p w14:paraId="0224E9C5" w14:textId="77777777" w:rsidR="000920F0" w:rsidRPr="00C052F3" w:rsidRDefault="000920F0" w:rsidP="000920F0">
      <w:pPr>
        <w:ind w:firstLine="709"/>
        <w:jc w:val="both"/>
        <w:rPr>
          <w:rFonts w:ascii="Arial" w:eastAsia="Calibri" w:hAnsi="Arial" w:cs="Arial"/>
          <w:color w:val="000000" w:themeColor="text1"/>
          <w:sz w:val="22"/>
        </w:rPr>
      </w:pPr>
    </w:p>
    <w:p w14:paraId="5D28E695" w14:textId="77777777" w:rsidR="000920F0" w:rsidRPr="00C052F3" w:rsidRDefault="000920F0" w:rsidP="000920F0">
      <w:pPr>
        <w:tabs>
          <w:tab w:val="left" w:pos="3885"/>
        </w:tabs>
        <w:ind w:left="709" w:right="709"/>
        <w:jc w:val="both"/>
        <w:rPr>
          <w:rFonts w:ascii="Arial" w:hAnsi="Arial" w:cs="Arial"/>
          <w:color w:val="000000" w:themeColor="text1"/>
          <w:sz w:val="21"/>
          <w:szCs w:val="21"/>
          <w:lang w:val="es-ES"/>
        </w:rPr>
      </w:pPr>
      <w:r w:rsidRPr="00C052F3">
        <w:rPr>
          <w:rFonts w:ascii="Arial" w:hAnsi="Arial" w:cs="Arial"/>
          <w:color w:val="000000" w:themeColor="text1"/>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0522CEEE" w14:textId="77777777" w:rsidR="000920F0" w:rsidRPr="00C052F3" w:rsidRDefault="000920F0" w:rsidP="000920F0">
      <w:pPr>
        <w:tabs>
          <w:tab w:val="left" w:pos="3885"/>
        </w:tabs>
        <w:ind w:left="709" w:right="709"/>
        <w:jc w:val="both"/>
        <w:rPr>
          <w:rFonts w:ascii="Arial" w:hAnsi="Arial" w:cs="Arial"/>
          <w:color w:val="000000" w:themeColor="text1"/>
          <w:sz w:val="21"/>
          <w:szCs w:val="21"/>
          <w:lang w:val="es-ES"/>
        </w:rPr>
      </w:pPr>
    </w:p>
    <w:p w14:paraId="2369410D" w14:textId="77777777" w:rsidR="000920F0" w:rsidRPr="00C052F3" w:rsidRDefault="000920F0" w:rsidP="000920F0">
      <w:pPr>
        <w:tabs>
          <w:tab w:val="left" w:pos="3885"/>
          <w:tab w:val="left" w:pos="8222"/>
        </w:tabs>
        <w:ind w:left="709" w:right="709"/>
        <w:jc w:val="both"/>
        <w:rPr>
          <w:rFonts w:ascii="Arial" w:hAnsi="Arial" w:cs="Arial"/>
          <w:color w:val="000000" w:themeColor="text1"/>
          <w:sz w:val="22"/>
          <w:lang w:val="es-ES"/>
        </w:rPr>
      </w:pPr>
      <w:r w:rsidRPr="00C052F3">
        <w:rPr>
          <w:rFonts w:ascii="Arial" w:hAnsi="Arial" w:cs="Arial"/>
          <w:color w:val="000000" w:themeColor="text1"/>
          <w:sz w:val="21"/>
          <w:szCs w:val="21"/>
          <w:lang w:val="es-ES"/>
        </w:rPr>
        <w:lastRenderedPageBreak/>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C052F3">
        <w:rPr>
          <w:rStyle w:val="Refdenotaalpie"/>
          <w:rFonts w:ascii="Arial" w:eastAsia="Calibri" w:hAnsi="Arial" w:cs="Arial"/>
          <w:color w:val="000000" w:themeColor="text1"/>
          <w:sz w:val="21"/>
          <w:szCs w:val="21"/>
        </w:rPr>
        <w:footnoteReference w:id="1"/>
      </w:r>
      <w:r w:rsidRPr="00C052F3">
        <w:rPr>
          <w:rFonts w:ascii="Arial" w:eastAsia="Calibri" w:hAnsi="Arial" w:cs="Arial"/>
          <w:color w:val="000000" w:themeColor="text1"/>
          <w:sz w:val="21"/>
          <w:szCs w:val="21"/>
        </w:rPr>
        <w:t>.</w:t>
      </w:r>
    </w:p>
    <w:p w14:paraId="17F1593B" w14:textId="77777777" w:rsidR="000920F0" w:rsidRPr="00C052F3" w:rsidRDefault="000920F0" w:rsidP="000920F0">
      <w:pPr>
        <w:spacing w:line="276" w:lineRule="auto"/>
        <w:ind w:right="709"/>
        <w:jc w:val="both"/>
        <w:rPr>
          <w:rFonts w:ascii="Arial" w:eastAsia="Calibri" w:hAnsi="Arial" w:cs="Arial"/>
          <w:color w:val="000000" w:themeColor="text1"/>
          <w:sz w:val="22"/>
        </w:rPr>
      </w:pPr>
    </w:p>
    <w:p w14:paraId="20F8E72E" w14:textId="77777777" w:rsidR="000920F0" w:rsidRPr="00C052F3" w:rsidRDefault="000920F0" w:rsidP="000920F0">
      <w:pPr>
        <w:spacing w:line="276" w:lineRule="auto"/>
        <w:ind w:firstLine="709"/>
        <w:jc w:val="both"/>
        <w:rPr>
          <w:rFonts w:ascii="Arial" w:eastAsia="Calibri" w:hAnsi="Arial" w:cs="Arial"/>
          <w:color w:val="000000" w:themeColor="text1"/>
          <w:sz w:val="22"/>
        </w:rPr>
      </w:pPr>
      <w:r w:rsidRPr="00C052F3">
        <w:rPr>
          <w:rFonts w:ascii="Arial" w:eastAsia="Calibri" w:hAnsi="Arial" w:cs="Arial"/>
          <w:color w:val="000000" w:themeColor="text1"/>
          <w:sz w:val="22"/>
        </w:rPr>
        <w:t xml:space="preserve">El principio de publicidad impone a las autoridades administrativas el deber de dar a conocer sus actos, contratos y decisiones, para que se divulguen y eventualmente se controlen las actuaciones. </w:t>
      </w:r>
    </w:p>
    <w:p w14:paraId="07C992C7" w14:textId="77777777" w:rsidR="000920F0" w:rsidRPr="00C052F3" w:rsidRDefault="000920F0" w:rsidP="000920F0">
      <w:pPr>
        <w:spacing w:line="276" w:lineRule="auto"/>
        <w:ind w:firstLine="709"/>
        <w:jc w:val="both"/>
        <w:rPr>
          <w:rFonts w:ascii="Arial" w:eastAsia="Calibri" w:hAnsi="Arial" w:cs="Arial"/>
          <w:color w:val="000000" w:themeColor="text1"/>
          <w:sz w:val="22"/>
        </w:rPr>
      </w:pPr>
      <w:r w:rsidRPr="00C052F3">
        <w:rPr>
          <w:rFonts w:ascii="Arial" w:eastAsia="Calibri" w:hAnsi="Arial" w:cs="Arial"/>
          <w:color w:val="000000" w:themeColor="text1"/>
          <w:sz w:val="22"/>
        </w:rPr>
        <w:t>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C052F3">
        <w:rPr>
          <w:rStyle w:val="Refdenotaalpie"/>
          <w:rFonts w:ascii="Arial" w:eastAsia="Calibri" w:hAnsi="Arial" w:cs="Arial"/>
          <w:color w:val="000000" w:themeColor="text1"/>
          <w:sz w:val="22"/>
        </w:rPr>
        <w:footnoteReference w:id="2"/>
      </w:r>
      <w:r w:rsidRPr="00C052F3">
        <w:rPr>
          <w:rFonts w:ascii="Arial" w:eastAsia="Calibri" w:hAnsi="Arial" w:cs="Arial"/>
          <w:color w:val="000000" w:themeColor="text1"/>
          <w:sz w:val="22"/>
        </w:rPr>
        <w:t xml:space="preserve">. </w:t>
      </w:r>
    </w:p>
    <w:p w14:paraId="5B107F35" w14:textId="77777777" w:rsidR="000920F0" w:rsidRPr="00C052F3" w:rsidRDefault="000920F0" w:rsidP="000920F0">
      <w:pPr>
        <w:spacing w:line="276" w:lineRule="auto"/>
        <w:ind w:firstLine="709"/>
        <w:jc w:val="both"/>
        <w:rPr>
          <w:rFonts w:ascii="Arial" w:eastAsia="Calibri" w:hAnsi="Arial" w:cs="Arial"/>
          <w:color w:val="000000" w:themeColor="text1"/>
          <w:sz w:val="22"/>
        </w:rPr>
      </w:pPr>
      <w:r w:rsidRPr="00C052F3">
        <w:rPr>
          <w:rFonts w:ascii="Arial" w:hAnsi="Arial" w:cs="Arial"/>
          <w:color w:val="000000" w:themeColor="text1"/>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C052F3">
        <w:rPr>
          <w:rStyle w:val="Refdenotaalpie"/>
          <w:rFonts w:ascii="Arial" w:hAnsi="Arial" w:cs="Arial"/>
          <w:color w:val="000000" w:themeColor="text1"/>
          <w:sz w:val="22"/>
        </w:rPr>
        <w:footnoteReference w:id="3"/>
      </w:r>
      <w:r w:rsidRPr="00C052F3">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22ED06D2" w14:textId="77777777" w:rsidR="000920F0" w:rsidRPr="00C052F3" w:rsidRDefault="000920F0" w:rsidP="000920F0">
      <w:pPr>
        <w:pStyle w:val="NormalWeb"/>
        <w:spacing w:before="0" w:beforeAutospacing="0" w:after="0" w:afterAutospacing="0" w:line="276" w:lineRule="auto"/>
        <w:ind w:firstLine="709"/>
        <w:jc w:val="both"/>
        <w:rPr>
          <w:rFonts w:ascii="Arial" w:eastAsiaTheme="minorHAnsi" w:hAnsi="Arial" w:cs="Arial"/>
          <w:color w:val="000000" w:themeColor="text1"/>
          <w:sz w:val="22"/>
          <w:szCs w:val="22"/>
          <w:lang w:val="es-MX" w:eastAsia="en-US"/>
        </w:rPr>
      </w:pPr>
      <w:r w:rsidRPr="00C052F3">
        <w:rPr>
          <w:rFonts w:ascii="Arial" w:eastAsiaTheme="minorHAnsi" w:hAnsi="Arial" w:cs="Arial"/>
          <w:color w:val="000000" w:themeColor="text1"/>
          <w:sz w:val="22"/>
          <w:szCs w:val="22"/>
          <w:lang w:val="es-MX" w:eastAsia="en-US"/>
        </w:rPr>
        <w:lastRenderedPageBreak/>
        <w:t>La ley citada establece, en el literal e) del artículo 9, que los sujetos obligados, que son todas las entidades públicas</w:t>
      </w:r>
      <w:r w:rsidRPr="00C052F3">
        <w:rPr>
          <w:rStyle w:val="Refdenotaalpie"/>
          <w:rFonts w:ascii="Arial" w:eastAsiaTheme="minorHAnsi" w:hAnsi="Arial" w:cs="Arial"/>
          <w:color w:val="000000" w:themeColor="text1"/>
          <w:sz w:val="22"/>
          <w:szCs w:val="22"/>
          <w:lang w:val="es-MX" w:eastAsia="en-US"/>
        </w:rPr>
        <w:footnoteReference w:id="4"/>
      </w:r>
      <w:r w:rsidRPr="00C052F3">
        <w:rPr>
          <w:rFonts w:ascii="Arial" w:eastAsiaTheme="minorHAnsi" w:hAnsi="Arial" w:cs="Arial"/>
          <w:color w:val="000000" w:themeColor="text1"/>
          <w:sz w:val="22"/>
          <w:szCs w:val="22"/>
          <w:lang w:val="es-MX" w:eastAsia="en-US"/>
        </w:rPr>
        <w:t>, deben publicar la información relativa a su contratación. Esta obligación fue desarrollada por el Decreto Único Reglamentario 1081 de 2015</w:t>
      </w:r>
      <w:r w:rsidRPr="00C052F3">
        <w:rPr>
          <w:rStyle w:val="Refdenotaalpie"/>
          <w:rFonts w:ascii="Arial" w:eastAsiaTheme="minorHAnsi" w:hAnsi="Arial" w:cs="Arial"/>
          <w:color w:val="000000" w:themeColor="text1"/>
          <w:sz w:val="22"/>
          <w:szCs w:val="22"/>
          <w:lang w:val="es-MX" w:eastAsia="en-US"/>
        </w:rPr>
        <w:footnoteReference w:id="5"/>
      </w:r>
      <w:r w:rsidRPr="00C052F3">
        <w:rPr>
          <w:rFonts w:ascii="Arial" w:eastAsiaTheme="minorHAnsi" w:hAnsi="Arial" w:cs="Arial"/>
          <w:color w:val="000000" w:themeColor="text1"/>
          <w:sz w:val="22"/>
          <w:szCs w:val="22"/>
          <w:lang w:val="es-MX" w:eastAsia="en-US"/>
        </w:rPr>
        <w:t>, el cual dispuso que la publicación de la información contractual de los sujetos obligados, que contratan con cargo a recursos públicos, debe hacerse en el Sistema Electrónico de Contratación Pública ─</w:t>
      </w:r>
      <w:r w:rsidRPr="00C052F3">
        <w:rPr>
          <w:rFonts w:ascii="Arial" w:eastAsiaTheme="minorHAnsi" w:hAnsi="Arial" w:cs="Arial"/>
          <w:color w:val="000000" w:themeColor="text1"/>
          <w:sz w:val="22"/>
          <w:szCs w:val="22"/>
          <w:lang w:val="es-MX" w:eastAsia="en-US"/>
        </w:rPr>
        <w:softHyphen/>
        <w:t xml:space="preserve"> </w:t>
      </w:r>
      <w:r w:rsidRPr="00C052F3">
        <w:rPr>
          <w:rFonts w:ascii="Arial" w:eastAsiaTheme="minorHAnsi" w:hAnsi="Arial" w:cs="Arial"/>
          <w:color w:val="000000" w:themeColor="text1"/>
          <w:sz w:val="22"/>
          <w:szCs w:val="22"/>
          <w:lang w:val="es-MX" w:eastAsia="en-US"/>
        </w:rPr>
        <w:softHyphen/>
        <w:t>SECOP.</w:t>
      </w:r>
    </w:p>
    <w:p w14:paraId="7A2B75B6" w14:textId="77777777" w:rsidR="000920F0" w:rsidRPr="00C052F3" w:rsidRDefault="000920F0" w:rsidP="000920F0">
      <w:pPr>
        <w:spacing w:line="276" w:lineRule="auto"/>
        <w:ind w:firstLine="709"/>
        <w:jc w:val="both"/>
        <w:rPr>
          <w:rFonts w:ascii="Arial" w:hAnsi="Arial" w:cs="Arial"/>
          <w:color w:val="000000" w:themeColor="text1"/>
          <w:sz w:val="22"/>
          <w:lang w:val="es-ES"/>
        </w:rPr>
      </w:pPr>
      <w:r w:rsidRPr="00C052F3">
        <w:rPr>
          <w:rFonts w:ascii="Arial" w:hAnsi="Arial" w:cs="Arial"/>
          <w:color w:val="000000" w:themeColor="text1"/>
          <w:sz w:val="22"/>
        </w:rPr>
        <w:t xml:space="preserve">Asimismo, de </w:t>
      </w:r>
      <w:r w:rsidRPr="00C052F3">
        <w:rPr>
          <w:rFonts w:ascii="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704FB5A2" w14:textId="77777777" w:rsidR="000920F0" w:rsidRPr="00C052F3" w:rsidRDefault="000920F0" w:rsidP="000920F0">
      <w:pPr>
        <w:spacing w:line="276" w:lineRule="auto"/>
        <w:ind w:firstLine="709"/>
        <w:jc w:val="both"/>
        <w:rPr>
          <w:rFonts w:ascii="Arial" w:eastAsia="Calibri" w:hAnsi="Arial" w:cs="Arial"/>
          <w:color w:val="000000" w:themeColor="text1"/>
          <w:sz w:val="22"/>
        </w:rPr>
      </w:pPr>
      <w:r w:rsidRPr="00C052F3">
        <w:rPr>
          <w:rFonts w:ascii="Arial" w:eastAsia="Calibri" w:hAnsi="Arial"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C052F3">
        <w:rPr>
          <w:rStyle w:val="Refdenotaalpie"/>
          <w:rFonts w:ascii="Arial" w:eastAsia="Calibri" w:hAnsi="Arial" w:cs="Arial"/>
          <w:color w:val="000000" w:themeColor="text1"/>
          <w:sz w:val="22"/>
        </w:rPr>
        <w:footnoteReference w:id="6"/>
      </w:r>
      <w:r w:rsidRPr="00C052F3">
        <w:rPr>
          <w:rFonts w:ascii="Arial" w:eastAsia="Calibri" w:hAnsi="Arial" w:cs="Arial"/>
          <w:color w:val="000000" w:themeColor="text1"/>
          <w:sz w:val="22"/>
        </w:rPr>
        <w:t>.</w:t>
      </w:r>
    </w:p>
    <w:p w14:paraId="3CF8050F" w14:textId="77777777" w:rsidR="000920F0" w:rsidRPr="00C052F3" w:rsidRDefault="000920F0" w:rsidP="000920F0">
      <w:pPr>
        <w:spacing w:line="276" w:lineRule="auto"/>
        <w:ind w:firstLine="709"/>
        <w:jc w:val="both"/>
        <w:rPr>
          <w:rFonts w:ascii="Arial" w:hAnsi="Arial" w:cs="Arial"/>
          <w:color w:val="000000" w:themeColor="text1"/>
          <w:sz w:val="22"/>
          <w:lang w:val="es-ES"/>
        </w:rPr>
      </w:pPr>
      <w:r w:rsidRPr="00C052F3">
        <w:rPr>
          <w:rFonts w:ascii="Arial" w:hAnsi="Arial" w:cs="Arial"/>
          <w:color w:val="000000" w:themeColor="text1"/>
          <w:sz w:val="22"/>
          <w:lang w:val="es-ES"/>
        </w:rPr>
        <w:t>Para el año 2013, la Agencia Nacional de Contratación Pública ─ Colombia Compra Eficiente, mediante la Circular Externa No 1 del</w:t>
      </w:r>
      <w:r w:rsidRPr="00C052F3">
        <w:rPr>
          <w:color w:val="000000" w:themeColor="text1"/>
          <w:sz w:val="22"/>
        </w:rPr>
        <w:t xml:space="preserve"> </w:t>
      </w:r>
      <w:r w:rsidRPr="00C052F3">
        <w:rPr>
          <w:rFonts w:ascii="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C052F3">
        <w:rPr>
          <w:rStyle w:val="Refdenotaalpie"/>
          <w:rFonts w:ascii="Arial" w:hAnsi="Arial" w:cs="Arial"/>
          <w:color w:val="000000" w:themeColor="text1"/>
          <w:sz w:val="22"/>
          <w:lang w:val="es-ES"/>
        </w:rPr>
        <w:footnoteReference w:id="7"/>
      </w:r>
      <w:r w:rsidRPr="00C052F3">
        <w:rPr>
          <w:rFonts w:ascii="Arial" w:hAnsi="Arial" w:cs="Arial"/>
          <w:color w:val="000000" w:themeColor="text1"/>
          <w:sz w:val="22"/>
          <w:lang w:val="es-ES"/>
        </w:rPr>
        <w:t xml:space="preserve">. Además, la Circular Externa Única, en el numeral 1.1., establece, de manera enunciativa, que deben publicar en el SECOP: «2. Las entidades del Estado que tienen un régimen especial de contratación, siempre y cuando el contrato ejecute o tenga como fuente de financiación </w:t>
      </w:r>
      <w:r w:rsidRPr="00C052F3">
        <w:rPr>
          <w:rFonts w:ascii="Arial" w:hAnsi="Arial" w:cs="Arial"/>
          <w:color w:val="000000" w:themeColor="text1"/>
          <w:sz w:val="22"/>
          <w:lang w:val="es-ES"/>
        </w:rPr>
        <w:lastRenderedPageBreak/>
        <w:t>dineros públicos, sin importar su proporción, a través del módulo [Régimen Especial], de acuerdo con lo establecido en su propio manual de contratación».</w:t>
      </w:r>
    </w:p>
    <w:p w14:paraId="11E6D802" w14:textId="77777777" w:rsidR="000920F0" w:rsidRPr="00C052F3" w:rsidRDefault="000920F0" w:rsidP="000920F0">
      <w:pPr>
        <w:spacing w:line="276" w:lineRule="auto"/>
        <w:ind w:firstLine="709"/>
        <w:jc w:val="both"/>
        <w:rPr>
          <w:rFonts w:ascii="Arial" w:hAnsi="Arial" w:cs="Arial"/>
          <w:color w:val="000000" w:themeColor="text1"/>
          <w:sz w:val="22"/>
          <w:lang w:val="es-ES"/>
        </w:rPr>
      </w:pPr>
      <w:r w:rsidRPr="00C052F3">
        <w:rPr>
          <w:rFonts w:ascii="Arial" w:hAnsi="Arial" w:cs="Arial"/>
          <w:color w:val="000000" w:themeColor="text1"/>
          <w:sz w:val="22"/>
          <w:lang w:val="es-ES"/>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5FF98A1C" w14:textId="77777777" w:rsidR="000920F0" w:rsidRPr="00C052F3" w:rsidRDefault="000920F0" w:rsidP="000920F0">
      <w:pPr>
        <w:spacing w:line="276" w:lineRule="auto"/>
        <w:jc w:val="both"/>
        <w:rPr>
          <w:rFonts w:ascii="Arial" w:hAnsi="Arial" w:cs="Arial"/>
          <w:color w:val="000000" w:themeColor="text1"/>
          <w:sz w:val="22"/>
          <w:lang w:val="es-ES"/>
        </w:rPr>
      </w:pPr>
    </w:p>
    <w:p w14:paraId="033435A8" w14:textId="77777777" w:rsidR="000920F0" w:rsidRPr="00C052F3" w:rsidRDefault="000920F0" w:rsidP="000920F0">
      <w:pPr>
        <w:tabs>
          <w:tab w:val="left" w:pos="3885"/>
        </w:tabs>
        <w:ind w:left="709" w:right="709"/>
        <w:jc w:val="both"/>
        <w:rPr>
          <w:rFonts w:ascii="Arial" w:hAnsi="Arial" w:cs="Arial"/>
          <w:color w:val="000000" w:themeColor="text1"/>
          <w:sz w:val="21"/>
          <w:szCs w:val="21"/>
          <w:lang w:val="es-ES"/>
        </w:rPr>
      </w:pPr>
      <w:r w:rsidRPr="00C052F3">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04FB2D93" w14:textId="77777777" w:rsidR="000920F0" w:rsidRPr="00C052F3" w:rsidRDefault="000920F0" w:rsidP="000920F0">
      <w:pPr>
        <w:tabs>
          <w:tab w:val="left" w:pos="3885"/>
        </w:tabs>
        <w:ind w:left="709" w:right="709"/>
        <w:jc w:val="both"/>
        <w:rPr>
          <w:rFonts w:ascii="Arial" w:hAnsi="Arial" w:cs="Arial"/>
          <w:color w:val="000000" w:themeColor="text1"/>
          <w:sz w:val="21"/>
          <w:szCs w:val="21"/>
          <w:lang w:val="es-ES"/>
        </w:rPr>
      </w:pPr>
    </w:p>
    <w:p w14:paraId="33101515" w14:textId="77777777" w:rsidR="000920F0" w:rsidRPr="00C052F3" w:rsidRDefault="000920F0" w:rsidP="000920F0">
      <w:pPr>
        <w:tabs>
          <w:tab w:val="left" w:pos="3885"/>
        </w:tabs>
        <w:ind w:left="709" w:right="709"/>
        <w:jc w:val="both"/>
        <w:rPr>
          <w:rFonts w:ascii="Arial" w:hAnsi="Arial" w:cs="Arial"/>
          <w:color w:val="000000" w:themeColor="text1"/>
          <w:sz w:val="21"/>
          <w:szCs w:val="21"/>
          <w:lang w:val="es-ES"/>
        </w:rPr>
      </w:pPr>
      <w:r w:rsidRPr="00C052F3">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0B058557" w14:textId="77777777" w:rsidR="000920F0" w:rsidRPr="00C052F3" w:rsidRDefault="000920F0" w:rsidP="000920F0">
      <w:pPr>
        <w:tabs>
          <w:tab w:val="left" w:pos="3885"/>
        </w:tabs>
        <w:ind w:left="709" w:right="709"/>
        <w:jc w:val="both"/>
        <w:rPr>
          <w:rFonts w:ascii="Arial" w:hAnsi="Arial" w:cs="Arial"/>
          <w:color w:val="000000" w:themeColor="text1"/>
          <w:sz w:val="21"/>
          <w:szCs w:val="21"/>
          <w:lang w:val="es-ES"/>
        </w:rPr>
      </w:pPr>
      <w:r w:rsidRPr="00C052F3">
        <w:rPr>
          <w:rFonts w:ascii="Arial" w:hAnsi="Arial" w:cs="Arial"/>
          <w:color w:val="000000" w:themeColor="text1"/>
          <w:sz w:val="21"/>
          <w:szCs w:val="21"/>
          <w:lang w:val="es-ES"/>
        </w:rPr>
        <w:t>[…]</w:t>
      </w:r>
    </w:p>
    <w:p w14:paraId="6DD9001B" w14:textId="77777777" w:rsidR="000920F0" w:rsidRPr="00C052F3" w:rsidRDefault="000920F0" w:rsidP="000920F0">
      <w:pPr>
        <w:tabs>
          <w:tab w:val="left" w:pos="3885"/>
        </w:tabs>
        <w:ind w:left="709" w:right="709"/>
        <w:jc w:val="both"/>
        <w:rPr>
          <w:rFonts w:ascii="Arial" w:hAnsi="Arial" w:cs="Arial"/>
          <w:color w:val="000000" w:themeColor="text1"/>
          <w:sz w:val="21"/>
          <w:szCs w:val="21"/>
          <w:lang w:val="es-ES"/>
        </w:rPr>
      </w:pPr>
    </w:p>
    <w:p w14:paraId="38E5F56C" w14:textId="77777777" w:rsidR="000920F0" w:rsidRPr="00C052F3" w:rsidRDefault="000920F0" w:rsidP="000920F0">
      <w:pPr>
        <w:tabs>
          <w:tab w:val="left" w:pos="3885"/>
        </w:tabs>
        <w:ind w:left="709" w:right="709"/>
        <w:jc w:val="both"/>
        <w:rPr>
          <w:rFonts w:ascii="Arial" w:hAnsi="Arial" w:cs="Arial"/>
          <w:color w:val="000000" w:themeColor="text1"/>
          <w:sz w:val="21"/>
          <w:szCs w:val="21"/>
          <w:lang w:val="es-ES"/>
        </w:rPr>
      </w:pPr>
      <w:r w:rsidRPr="00C052F3">
        <w:rPr>
          <w:rFonts w:ascii="Arial" w:hAnsi="Arial" w:cs="Arial"/>
          <w:color w:val="000000" w:themeColor="text1"/>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C052F3">
        <w:rPr>
          <w:rStyle w:val="Refdenotaalpie"/>
          <w:rFonts w:ascii="Arial" w:hAnsi="Arial" w:cs="Arial"/>
          <w:color w:val="000000" w:themeColor="text1"/>
          <w:sz w:val="21"/>
          <w:szCs w:val="21"/>
        </w:rPr>
        <w:footnoteReference w:id="8"/>
      </w:r>
      <w:r w:rsidRPr="00C052F3">
        <w:rPr>
          <w:rStyle w:val="Refdenotaalpie"/>
          <w:rFonts w:ascii="Arial" w:hAnsi="Arial" w:cs="Arial"/>
          <w:color w:val="000000" w:themeColor="text1"/>
          <w:sz w:val="21"/>
          <w:szCs w:val="21"/>
        </w:rPr>
        <w:t>.</w:t>
      </w:r>
    </w:p>
    <w:p w14:paraId="6904F7CA" w14:textId="77777777" w:rsidR="000920F0" w:rsidRPr="00C052F3" w:rsidRDefault="000920F0" w:rsidP="000920F0">
      <w:pPr>
        <w:tabs>
          <w:tab w:val="left" w:pos="3885"/>
        </w:tabs>
        <w:spacing w:line="276" w:lineRule="auto"/>
        <w:ind w:left="709" w:right="709"/>
        <w:jc w:val="both"/>
        <w:rPr>
          <w:rFonts w:ascii="Arial" w:eastAsia="Calibri" w:hAnsi="Arial" w:cs="Arial"/>
          <w:color w:val="000000" w:themeColor="text1"/>
          <w:sz w:val="22"/>
        </w:rPr>
      </w:pPr>
    </w:p>
    <w:p w14:paraId="7EA2EC20" w14:textId="77777777" w:rsidR="000920F0" w:rsidRPr="00C052F3" w:rsidRDefault="000920F0" w:rsidP="000920F0">
      <w:pPr>
        <w:spacing w:line="276" w:lineRule="auto"/>
        <w:ind w:firstLine="708"/>
        <w:jc w:val="both"/>
        <w:rPr>
          <w:rFonts w:ascii="Arial" w:hAnsi="Arial" w:cs="Arial"/>
          <w:color w:val="000000" w:themeColor="text1"/>
          <w:sz w:val="22"/>
          <w:lang w:val="es-ES"/>
        </w:rPr>
      </w:pPr>
      <w:r w:rsidRPr="00C052F3">
        <w:rPr>
          <w:rFonts w:ascii="Arial" w:hAnsi="Arial" w:cs="Arial"/>
          <w:color w:val="000000" w:themeColor="text1"/>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4B498F78" w14:textId="77777777" w:rsidR="000920F0" w:rsidRPr="00C052F3" w:rsidRDefault="000920F0" w:rsidP="000920F0">
      <w:pPr>
        <w:ind w:leftChars="709" w:left="1702" w:right="709" w:firstLine="2"/>
        <w:jc w:val="both"/>
        <w:rPr>
          <w:rFonts w:ascii="Arial" w:hAnsi="Arial" w:cs="Arial"/>
          <w:color w:val="000000" w:themeColor="text1"/>
          <w:sz w:val="21"/>
          <w:szCs w:val="21"/>
          <w:lang w:val="es-ES"/>
        </w:rPr>
      </w:pPr>
    </w:p>
    <w:p w14:paraId="6011D492" w14:textId="77777777" w:rsidR="000920F0" w:rsidRPr="00C052F3" w:rsidRDefault="000920F0" w:rsidP="000920F0">
      <w:pPr>
        <w:ind w:leftChars="295" w:left="708" w:right="709"/>
        <w:jc w:val="both"/>
        <w:rPr>
          <w:rFonts w:ascii="Arial" w:hAnsi="Arial" w:cs="Arial"/>
          <w:color w:val="000000" w:themeColor="text1"/>
          <w:sz w:val="21"/>
          <w:szCs w:val="21"/>
          <w:lang w:val="es-ES"/>
        </w:rPr>
      </w:pPr>
      <w:r w:rsidRPr="00C052F3">
        <w:rPr>
          <w:rFonts w:ascii="Arial" w:hAnsi="Arial" w:cs="Arial"/>
          <w:color w:val="000000" w:themeColor="text1"/>
          <w:sz w:val="21"/>
          <w:szCs w:val="21"/>
          <w:lang w:val="es-ES"/>
        </w:rPr>
        <w:t xml:space="preserve">Por consiguiente, otra conclusión natural de lo que se viene de decir es que la exigibilidad prevista en el literal c) del artículo 3° de la Ley 1150 de 2007 y </w:t>
      </w:r>
      <w:r w:rsidRPr="00C052F3">
        <w:rPr>
          <w:rFonts w:ascii="Arial" w:hAnsi="Arial" w:cs="Arial"/>
          <w:color w:val="000000" w:themeColor="text1"/>
          <w:sz w:val="21"/>
          <w:szCs w:val="21"/>
          <w:lang w:val="es-ES"/>
        </w:rPr>
        <w:lastRenderedPageBreak/>
        <w:t>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2714C70C" w14:textId="77777777" w:rsidR="000920F0" w:rsidRPr="00C052F3" w:rsidRDefault="000920F0" w:rsidP="000920F0">
      <w:pPr>
        <w:spacing w:line="276" w:lineRule="auto"/>
        <w:ind w:leftChars="709" w:left="1702" w:right="709"/>
        <w:jc w:val="both"/>
        <w:rPr>
          <w:rFonts w:ascii="Arial" w:hAnsi="Arial" w:cs="Arial"/>
          <w:color w:val="000000" w:themeColor="text1"/>
          <w:sz w:val="21"/>
          <w:szCs w:val="21"/>
          <w:lang w:val="es-ES"/>
        </w:rPr>
      </w:pPr>
    </w:p>
    <w:p w14:paraId="6324E150" w14:textId="77777777" w:rsidR="000920F0" w:rsidRPr="00C052F3" w:rsidRDefault="000920F0" w:rsidP="000920F0">
      <w:pPr>
        <w:spacing w:line="276" w:lineRule="auto"/>
        <w:ind w:firstLine="708"/>
        <w:jc w:val="both"/>
        <w:rPr>
          <w:rFonts w:ascii="Arial" w:hAnsi="Arial" w:cs="Arial"/>
          <w:color w:val="000000" w:themeColor="text1"/>
          <w:sz w:val="22"/>
          <w:lang w:val="es-ES"/>
        </w:rPr>
      </w:pPr>
      <w:r w:rsidRPr="00C052F3">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la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18E49E9E" w14:textId="77777777" w:rsidR="000920F0" w:rsidRPr="00C052F3" w:rsidRDefault="000920F0" w:rsidP="000920F0">
      <w:pPr>
        <w:spacing w:line="276" w:lineRule="auto"/>
        <w:jc w:val="both"/>
        <w:rPr>
          <w:rFonts w:ascii="Arial" w:hAnsi="Arial" w:cs="Arial"/>
          <w:color w:val="000000" w:themeColor="text1"/>
          <w:sz w:val="22"/>
          <w:lang w:val="es-ES"/>
        </w:rPr>
      </w:pPr>
    </w:p>
    <w:p w14:paraId="15A5E419" w14:textId="77777777" w:rsidR="000920F0" w:rsidRPr="00C052F3" w:rsidRDefault="000920F0" w:rsidP="000920F0">
      <w:pPr>
        <w:tabs>
          <w:tab w:val="left" w:pos="284"/>
          <w:tab w:val="left" w:pos="426"/>
        </w:tabs>
        <w:spacing w:line="276" w:lineRule="auto"/>
        <w:jc w:val="both"/>
        <w:rPr>
          <w:rFonts w:ascii="Arial" w:hAnsi="Arial" w:cs="Arial"/>
          <w:b/>
          <w:color w:val="000000" w:themeColor="text1"/>
          <w:sz w:val="22"/>
          <w:lang w:val="es-ES"/>
        </w:rPr>
      </w:pPr>
      <w:r w:rsidRPr="00C052F3">
        <w:rPr>
          <w:rFonts w:ascii="Arial" w:hAnsi="Arial" w:cs="Arial"/>
          <w:b/>
          <w:color w:val="000000" w:themeColor="text1"/>
          <w:sz w:val="22"/>
          <w:lang w:val="es-ES"/>
        </w:rPr>
        <w:t xml:space="preserve">2.2. Precedentes de Colombia Compra Eficiente sobre los documentos que deben publicar en el SECOP las entidades de régimen especial </w:t>
      </w:r>
    </w:p>
    <w:p w14:paraId="182C5E9D" w14:textId="77777777" w:rsidR="000920F0" w:rsidRPr="00C052F3" w:rsidRDefault="000920F0" w:rsidP="000920F0">
      <w:pPr>
        <w:pStyle w:val="Prrafodelista"/>
        <w:spacing w:line="276" w:lineRule="auto"/>
        <w:ind w:left="0"/>
        <w:jc w:val="both"/>
        <w:rPr>
          <w:rFonts w:ascii="Arial" w:hAnsi="Arial" w:cs="Arial"/>
          <w:b/>
          <w:color w:val="000000" w:themeColor="text1"/>
          <w:sz w:val="22"/>
          <w:lang w:val="es-ES"/>
        </w:rPr>
      </w:pPr>
    </w:p>
    <w:p w14:paraId="7936641B" w14:textId="77777777" w:rsidR="000920F0" w:rsidRPr="00C052F3" w:rsidRDefault="000920F0" w:rsidP="000920F0">
      <w:pPr>
        <w:pStyle w:val="Prrafodelista"/>
        <w:spacing w:line="276" w:lineRule="auto"/>
        <w:ind w:left="0"/>
        <w:jc w:val="both"/>
        <w:rPr>
          <w:rFonts w:ascii="Arial" w:eastAsia="Calibri" w:hAnsi="Arial" w:cs="Arial"/>
          <w:color w:val="000000" w:themeColor="text1"/>
          <w:sz w:val="22"/>
          <w:lang w:val="es-ES"/>
        </w:rPr>
      </w:pPr>
      <w:r w:rsidRPr="00C052F3">
        <w:rPr>
          <w:rFonts w:ascii="Arial" w:eastAsia="Calibri" w:hAnsi="Arial" w:cs="Arial"/>
          <w:color w:val="000000" w:themeColor="text1"/>
          <w:sz w:val="22"/>
          <w:lang w:val="es-ES"/>
        </w:rPr>
        <w:t>Determinada la obligación que tienen las entidades sujetas a un régimen especial de publicar su actividad contractual en el SECOP, a continuación se identificarán los documentos que deben publicar, n</w:t>
      </w:r>
      <w:r w:rsidRPr="00C052F3">
        <w:rPr>
          <w:rFonts w:ascii="Arial" w:hAnsi="Arial" w:cs="Arial"/>
          <w:bCs/>
          <w:color w:val="000000" w:themeColor="text1"/>
          <w:sz w:val="22"/>
          <w:lang w:val="es-ES"/>
        </w:rPr>
        <w:t>o sin antes explicar la posición que la Agencia Nacional de Contratación Pública ─ Colombia Compra Eficiente ha adoptado desde el 2016 hasta el 2019.</w:t>
      </w:r>
    </w:p>
    <w:p w14:paraId="36AB4D0E" w14:textId="77777777" w:rsidR="000920F0" w:rsidRPr="00C052F3" w:rsidRDefault="000920F0" w:rsidP="000920F0">
      <w:pPr>
        <w:pStyle w:val="Prrafodelista"/>
        <w:spacing w:line="276" w:lineRule="auto"/>
        <w:ind w:left="0" w:firstLine="709"/>
        <w:jc w:val="both"/>
        <w:rPr>
          <w:rFonts w:ascii="Arial" w:hAnsi="Arial" w:cs="Arial"/>
          <w:bCs/>
          <w:color w:val="000000" w:themeColor="text1"/>
          <w:sz w:val="22"/>
          <w:lang w:val="es-ES"/>
        </w:rPr>
      </w:pPr>
      <w:r w:rsidRPr="00C052F3">
        <w:rPr>
          <w:rFonts w:ascii="Arial" w:hAnsi="Arial" w:cs="Arial"/>
          <w:bCs/>
          <w:color w:val="000000" w:themeColor="text1"/>
          <w:sz w:val="22"/>
          <w:lang w:val="es-ES"/>
        </w:rPr>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C052F3">
        <w:rPr>
          <w:rStyle w:val="Refdenotaalpie"/>
          <w:rFonts w:ascii="Arial" w:hAnsi="Arial" w:cs="Arial"/>
          <w:bCs/>
          <w:color w:val="000000" w:themeColor="text1"/>
          <w:sz w:val="22"/>
          <w:lang w:val="es-ES"/>
        </w:rPr>
        <w:footnoteReference w:id="9"/>
      </w:r>
      <w:r w:rsidRPr="00C052F3">
        <w:rPr>
          <w:rFonts w:ascii="Arial" w:hAnsi="Arial" w:cs="Arial"/>
          <w:bCs/>
          <w:color w:val="000000" w:themeColor="text1"/>
          <w:sz w:val="22"/>
          <w:lang w:val="es-ES"/>
        </w:rPr>
        <w:t>.</w:t>
      </w:r>
    </w:p>
    <w:p w14:paraId="64B7E5A1" w14:textId="77777777" w:rsidR="000920F0" w:rsidRPr="00C052F3" w:rsidRDefault="000920F0" w:rsidP="000920F0">
      <w:pPr>
        <w:pStyle w:val="Prrafodelista"/>
        <w:spacing w:line="276" w:lineRule="auto"/>
        <w:ind w:left="0" w:firstLine="709"/>
        <w:jc w:val="both"/>
        <w:rPr>
          <w:rFonts w:ascii="Arial" w:eastAsia="Calibri" w:hAnsi="Arial" w:cs="Arial"/>
          <w:color w:val="000000" w:themeColor="text1"/>
          <w:sz w:val="22"/>
          <w:lang w:val="es-ES"/>
        </w:rPr>
      </w:pPr>
      <w:r w:rsidRPr="00C052F3">
        <w:rPr>
          <w:rFonts w:ascii="Arial" w:hAnsi="Arial" w:cs="Arial"/>
          <w:color w:val="000000" w:themeColor="text1"/>
          <w:sz w:val="22"/>
          <w:lang w:val="es-ES"/>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w:t>
      </w:r>
      <w:r w:rsidRPr="00C052F3">
        <w:rPr>
          <w:rFonts w:ascii="Arial" w:hAnsi="Arial" w:cs="Arial"/>
          <w:color w:val="000000" w:themeColor="text1"/>
          <w:sz w:val="22"/>
          <w:lang w:val="es-ES"/>
        </w:rPr>
        <w:lastRenderedPageBreak/>
        <w:t xml:space="preserve">a las entidades que se rigen por la Ley 80 de 1993, se enunciaron los </w:t>
      </w:r>
      <w:r w:rsidRPr="00C052F3">
        <w:rPr>
          <w:rFonts w:ascii="Arial" w:eastAsia="Calibri" w:hAnsi="Arial" w:cs="Arial"/>
          <w:color w:val="000000" w:themeColor="text1"/>
          <w:sz w:val="22"/>
          <w:lang w:val="es-ES"/>
        </w:rPr>
        <w:t xml:space="preserve">documentos del proceso que se debían publicar. </w:t>
      </w:r>
    </w:p>
    <w:p w14:paraId="7DF13FA1" w14:textId="77777777" w:rsidR="000920F0" w:rsidRPr="00C052F3" w:rsidRDefault="000920F0" w:rsidP="000920F0">
      <w:pPr>
        <w:pStyle w:val="Prrafodelista"/>
        <w:spacing w:line="276" w:lineRule="auto"/>
        <w:ind w:left="0" w:firstLine="709"/>
        <w:jc w:val="both"/>
        <w:rPr>
          <w:rFonts w:ascii="Arial" w:eastAsia="Calibri" w:hAnsi="Arial" w:cs="Arial"/>
          <w:color w:val="000000" w:themeColor="text1"/>
          <w:sz w:val="22"/>
          <w:lang w:val="es-ES"/>
        </w:rPr>
      </w:pPr>
      <w:r w:rsidRPr="00C052F3">
        <w:rPr>
          <w:rFonts w:ascii="Arial" w:eastAsia="Calibri" w:hAnsi="Arial" w:cs="Arial"/>
          <w:color w:val="000000" w:themeColor="text1"/>
          <w:sz w:val="22"/>
          <w:lang w:val="es-ES"/>
        </w:rPr>
        <w:t>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C052F3">
        <w:rPr>
          <w:rStyle w:val="Refdenotaalpie"/>
          <w:rFonts w:ascii="Arial" w:eastAsia="Calibri" w:hAnsi="Arial" w:cs="Arial"/>
          <w:color w:val="000000" w:themeColor="text1"/>
          <w:sz w:val="22"/>
          <w:lang w:val="es-ES"/>
        </w:rPr>
        <w:footnoteReference w:id="10"/>
      </w:r>
      <w:r w:rsidRPr="00C052F3">
        <w:rPr>
          <w:rFonts w:ascii="Arial" w:eastAsia="Calibri" w:hAnsi="Arial" w:cs="Arial"/>
          <w:color w:val="000000" w:themeColor="text1"/>
          <w:sz w:val="22"/>
          <w:lang w:val="es-ES"/>
        </w:rPr>
        <w:t xml:space="preserve">. </w:t>
      </w:r>
    </w:p>
    <w:p w14:paraId="2B230424" w14:textId="77777777" w:rsidR="000920F0" w:rsidRPr="00C052F3" w:rsidRDefault="000920F0" w:rsidP="000920F0">
      <w:pPr>
        <w:pStyle w:val="Prrafodelista"/>
        <w:spacing w:line="276" w:lineRule="auto"/>
        <w:ind w:left="0" w:firstLine="709"/>
        <w:jc w:val="both"/>
        <w:rPr>
          <w:rFonts w:ascii="Arial" w:eastAsia="Calibri" w:hAnsi="Arial" w:cs="Arial"/>
          <w:color w:val="000000" w:themeColor="text1"/>
          <w:sz w:val="22"/>
          <w:lang w:val="es-ES"/>
        </w:rPr>
      </w:pPr>
      <w:r w:rsidRPr="00C052F3">
        <w:rPr>
          <w:rFonts w:ascii="Arial" w:eastAsia="Calibri" w:hAnsi="Arial" w:cs="Arial"/>
          <w:color w:val="000000" w:themeColor="text1"/>
          <w:sz w:val="22"/>
          <w:lang w:val="es-ES"/>
        </w:rPr>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7962AE45" w14:textId="77777777" w:rsidR="000920F0" w:rsidRPr="00C052F3" w:rsidRDefault="000920F0" w:rsidP="000920F0">
      <w:pPr>
        <w:pStyle w:val="Prrafodelista"/>
        <w:spacing w:line="276" w:lineRule="auto"/>
        <w:ind w:left="0" w:firstLine="709"/>
        <w:jc w:val="both"/>
        <w:rPr>
          <w:rFonts w:ascii="Arial" w:eastAsia="Calibri" w:hAnsi="Arial" w:cs="Arial"/>
          <w:color w:val="000000" w:themeColor="text1"/>
          <w:sz w:val="22"/>
        </w:rPr>
      </w:pPr>
      <w:r w:rsidRPr="00C052F3">
        <w:rPr>
          <w:rFonts w:ascii="Arial" w:eastAsia="Calibri" w:hAnsi="Arial" w:cs="Arial"/>
          <w:color w:val="000000" w:themeColor="text1"/>
          <w:sz w:val="22"/>
        </w:rPr>
        <w:t xml:space="preserve">En efecto, la Ley 1712 de 2014, normativa que creó la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59C47B0F" w14:textId="77777777" w:rsidR="000920F0" w:rsidRPr="00C052F3" w:rsidRDefault="000920F0" w:rsidP="000920F0">
      <w:pPr>
        <w:pStyle w:val="Prrafodelista"/>
        <w:spacing w:line="276" w:lineRule="auto"/>
        <w:ind w:left="0" w:firstLine="709"/>
        <w:jc w:val="both"/>
        <w:rPr>
          <w:rFonts w:ascii="Arial" w:eastAsia="Calibri" w:hAnsi="Arial" w:cs="Arial"/>
          <w:color w:val="000000" w:themeColor="text1"/>
          <w:sz w:val="22"/>
        </w:rPr>
      </w:pPr>
      <w:r w:rsidRPr="00C052F3">
        <w:rPr>
          <w:rFonts w:ascii="Arial" w:eastAsia="Calibri" w:hAnsi="Arial" w:cs="Arial"/>
          <w:color w:val="000000" w:themeColor="text1"/>
          <w:sz w:val="22"/>
        </w:rPr>
        <w:t xml:space="preserve">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w:t>
      </w:r>
      <w:r w:rsidRPr="00C052F3">
        <w:rPr>
          <w:rFonts w:ascii="Arial" w:eastAsia="Calibri" w:hAnsi="Arial" w:cs="Arial"/>
          <w:color w:val="000000" w:themeColor="text1"/>
          <w:sz w:val="22"/>
        </w:rPr>
        <w:lastRenderedPageBreak/>
        <w:t>o interventor, que aprueben la ejecución del contrato</w:t>
      </w:r>
      <w:r w:rsidRPr="00C052F3">
        <w:rPr>
          <w:rStyle w:val="Refdenotaalpie"/>
          <w:rFonts w:ascii="Arial" w:eastAsia="Calibri" w:hAnsi="Arial" w:cs="Arial"/>
          <w:color w:val="000000" w:themeColor="text1"/>
          <w:sz w:val="22"/>
        </w:rPr>
        <w:footnoteReference w:id="11"/>
      </w:r>
      <w:r w:rsidRPr="00C052F3">
        <w:rPr>
          <w:rFonts w:ascii="Arial" w:eastAsia="Calibri" w:hAnsi="Arial" w:cs="Arial"/>
          <w:color w:val="000000" w:themeColor="text1"/>
          <w:sz w:val="22"/>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C052F3">
        <w:rPr>
          <w:rStyle w:val="Refdenotaalpie"/>
          <w:rFonts w:ascii="Arial" w:eastAsia="Calibri" w:hAnsi="Arial" w:cs="Arial"/>
          <w:color w:val="000000" w:themeColor="text1"/>
          <w:sz w:val="22"/>
        </w:rPr>
        <w:footnoteReference w:id="12"/>
      </w:r>
      <w:r w:rsidRPr="00C052F3">
        <w:rPr>
          <w:rFonts w:ascii="Arial" w:eastAsia="Calibri" w:hAnsi="Arial" w:cs="Arial"/>
          <w:color w:val="000000" w:themeColor="text1"/>
          <w:sz w:val="22"/>
        </w:rPr>
        <w:t>. Finalmente, el artículo 10 establece la obligación que tienen las entidades de publicar en el SECOP el Plan Anual de Adquisiciones</w:t>
      </w:r>
      <w:r w:rsidRPr="00C052F3">
        <w:rPr>
          <w:rStyle w:val="Refdenotaalpie"/>
          <w:rFonts w:ascii="Arial" w:eastAsia="Calibri" w:hAnsi="Arial" w:cs="Arial"/>
          <w:color w:val="000000" w:themeColor="text1"/>
          <w:sz w:val="22"/>
        </w:rPr>
        <w:footnoteReference w:id="13"/>
      </w:r>
      <w:r w:rsidRPr="00C052F3">
        <w:rPr>
          <w:rFonts w:ascii="Arial" w:eastAsia="Calibri" w:hAnsi="Arial" w:cs="Arial"/>
          <w:color w:val="000000" w:themeColor="text1"/>
          <w:sz w:val="22"/>
        </w:rPr>
        <w:t xml:space="preserve">.  </w:t>
      </w:r>
    </w:p>
    <w:p w14:paraId="61B1E12A" w14:textId="77777777" w:rsidR="000920F0" w:rsidRPr="00C052F3" w:rsidRDefault="000920F0" w:rsidP="000920F0">
      <w:pPr>
        <w:pStyle w:val="Prrafodelista"/>
        <w:spacing w:line="276" w:lineRule="auto"/>
        <w:ind w:left="0" w:firstLine="709"/>
        <w:jc w:val="both"/>
        <w:rPr>
          <w:rFonts w:ascii="Arial" w:eastAsia="Calibri" w:hAnsi="Arial" w:cs="Arial"/>
          <w:color w:val="000000" w:themeColor="text1"/>
          <w:sz w:val="22"/>
        </w:rPr>
      </w:pPr>
      <w:r w:rsidRPr="00C052F3">
        <w:rPr>
          <w:rFonts w:ascii="Arial" w:eastAsia="Calibri" w:hAnsi="Arial" w:cs="Arial"/>
          <w:color w:val="000000" w:themeColor="text1"/>
          <w:sz w:val="22"/>
        </w:rPr>
        <w:t xml:space="preserve">De conformidad con lo anterior, el Decreto 103 de 2015 señala que los documentos que deben publicar las entidades estatales, entre estas las sociedades de economía mixta exceptuadas, independientemente de su régimen contractual aplicable,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w:t>
      </w:r>
    </w:p>
    <w:p w14:paraId="0017E59F" w14:textId="77777777" w:rsidR="000920F0" w:rsidRPr="00C052F3" w:rsidRDefault="000920F0" w:rsidP="000920F0">
      <w:pPr>
        <w:pStyle w:val="Prrafodelista"/>
        <w:spacing w:line="276" w:lineRule="auto"/>
        <w:ind w:left="0" w:firstLine="709"/>
        <w:jc w:val="both"/>
        <w:rPr>
          <w:rFonts w:ascii="Arial" w:eastAsia="Calibri" w:hAnsi="Arial" w:cs="Arial"/>
          <w:color w:val="000000" w:themeColor="text1"/>
          <w:sz w:val="22"/>
        </w:rPr>
      </w:pPr>
      <w:r w:rsidRPr="00C052F3">
        <w:rPr>
          <w:rFonts w:ascii="Arial" w:eastAsia="Calibri" w:hAnsi="Arial" w:cs="Arial"/>
          <w:color w:val="000000" w:themeColor="text1"/>
          <w:sz w:val="22"/>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14:paraId="2FD0C4AD" w14:textId="77777777" w:rsidR="000920F0" w:rsidRPr="00C052F3" w:rsidRDefault="000920F0" w:rsidP="000920F0">
      <w:pPr>
        <w:pStyle w:val="Prrafodelista"/>
        <w:spacing w:line="276" w:lineRule="auto"/>
        <w:ind w:left="0" w:firstLine="709"/>
        <w:jc w:val="both"/>
        <w:rPr>
          <w:rFonts w:ascii="Arial" w:eastAsia="Calibri" w:hAnsi="Arial" w:cs="Arial"/>
          <w:color w:val="000000" w:themeColor="text1"/>
          <w:sz w:val="22"/>
        </w:rPr>
      </w:pPr>
      <w:r w:rsidRPr="00C052F3">
        <w:rPr>
          <w:rFonts w:ascii="Arial" w:eastAsia="Calibri" w:hAnsi="Arial" w:cs="Arial"/>
          <w:color w:val="000000" w:themeColor="text1"/>
          <w:sz w:val="22"/>
        </w:rPr>
        <w:t xml:space="preserve">En este sentido, la entidad lo hará ya sea por medio de un procedimiento público, mediante el cual se realice una convocatoria y una evaluación para seleccionar la oferta más favorable; o a través de una contratación directa, cuando no es necesario realizar un </w:t>
      </w:r>
      <w:r w:rsidRPr="00C052F3">
        <w:rPr>
          <w:rFonts w:ascii="Arial" w:eastAsia="Calibri" w:hAnsi="Arial" w:cs="Arial"/>
          <w:color w:val="000000" w:themeColor="text1"/>
          <w:sz w:val="22"/>
        </w:rPr>
        <w:lastRenderedPageBreak/>
        <w:t xml:space="preserve">proceso competitivo. En estos casos, el manual definirá las etapas y los documentos que forman parte del procedimiento, que realicen; y se publicarán en la plataforma del SECOP para cada procedimiento de contratación que se adelante, incluido el acto de adjudicación, por expresa disposición del literal g) del artículo 11 de la Ley 1712 de 2014. </w:t>
      </w:r>
    </w:p>
    <w:p w14:paraId="7715F85D" w14:textId="77777777" w:rsidR="000920F0" w:rsidRPr="00C052F3" w:rsidRDefault="000920F0" w:rsidP="000920F0">
      <w:pPr>
        <w:shd w:val="clear" w:color="auto" w:fill="FFFFFF"/>
        <w:spacing w:line="276" w:lineRule="auto"/>
        <w:ind w:firstLine="709"/>
        <w:jc w:val="both"/>
        <w:rPr>
          <w:rFonts w:ascii="Arial" w:hAnsi="Arial" w:cs="Arial"/>
          <w:color w:val="000000" w:themeColor="text1"/>
          <w:sz w:val="22"/>
          <w:lang w:eastAsia="es-CO"/>
        </w:rPr>
      </w:pPr>
      <w:r w:rsidRPr="00C052F3">
        <w:rPr>
          <w:rFonts w:ascii="Arial" w:eastAsia="Calibri" w:hAnsi="Arial" w:cs="Arial"/>
          <w:color w:val="000000" w:themeColor="text1"/>
          <w:sz w:val="22"/>
        </w:rPr>
        <w:t>Por lo tanto, en estos casos aplica la Ley 1712 de 2014 y el Decreto 103 de 2015, no el Decreto 1082 de 2015, porque esta última norma rige a las entidades sometidas al Estatuto General de Contratación de la Administración Pública, y, por lo tanto, no aplica a las sociedades de economía mixta con capital público igual o inferior al 50% o con capital público superior al 50%, pero que actúan en competencia o en mercados regulados; ya que en tales casos se rigen por el derecho privado</w:t>
      </w:r>
      <w:r w:rsidRPr="00C052F3">
        <w:rPr>
          <w:rStyle w:val="Refdenotaalpie"/>
          <w:rFonts w:ascii="Arial" w:eastAsia="Calibri" w:hAnsi="Arial" w:cs="Arial"/>
          <w:color w:val="000000" w:themeColor="text1"/>
          <w:sz w:val="22"/>
        </w:rPr>
        <w:footnoteReference w:id="14"/>
      </w:r>
      <w:r w:rsidRPr="00C052F3">
        <w:rPr>
          <w:rFonts w:ascii="Arial" w:eastAsia="Calibri" w:hAnsi="Arial" w:cs="Arial"/>
          <w:color w:val="000000" w:themeColor="text1"/>
          <w:sz w:val="22"/>
        </w:rPr>
        <w:t>. Por su parte, la Ley 1712 de 2014 y el Decreto reglamentario 103 de 2015 rigen a cualquier entidad pública, incluyendo</w:t>
      </w:r>
      <w:r w:rsidRPr="00C052F3">
        <w:rPr>
          <w:rFonts w:ascii="Arial" w:hAnsi="Arial" w:cs="Arial"/>
          <w:color w:val="000000" w:themeColor="text1"/>
          <w:sz w:val="22"/>
        </w:rPr>
        <w:t xml:space="preserve"> </w:t>
      </w:r>
      <w:r w:rsidRPr="00C052F3">
        <w:rPr>
          <w:rFonts w:ascii="Arial" w:hAnsi="Arial" w:cs="Arial"/>
          <w:color w:val="000000" w:themeColor="text1"/>
          <w:sz w:val="22"/>
          <w:lang w:eastAsia="es-CO"/>
        </w:rPr>
        <w:t>las pertenecientes a todas las Ramas del Poder Público, en todos los niveles de la estructura estatal, central o descentralizada por servicios o territorialmente, en los órdenes nacional, departamental, municipal y distrital.</w:t>
      </w:r>
    </w:p>
    <w:p w14:paraId="20E5F542" w14:textId="77777777" w:rsidR="000920F0" w:rsidRPr="00C052F3" w:rsidRDefault="000920F0" w:rsidP="000920F0">
      <w:pPr>
        <w:pStyle w:val="Prrafodelista"/>
        <w:spacing w:line="276" w:lineRule="auto"/>
        <w:ind w:left="0" w:firstLine="709"/>
        <w:jc w:val="both"/>
        <w:rPr>
          <w:rFonts w:ascii="Arial" w:eastAsia="Calibri" w:hAnsi="Arial" w:cs="Arial"/>
          <w:color w:val="000000" w:themeColor="text1"/>
          <w:sz w:val="22"/>
        </w:rPr>
      </w:pPr>
      <w:r w:rsidRPr="00C052F3">
        <w:rPr>
          <w:rFonts w:ascii="Arial" w:eastAsia="Calibri" w:hAnsi="Arial" w:cs="Arial"/>
          <w:color w:val="000000" w:themeColor="text1"/>
          <w:sz w:val="22"/>
        </w:rPr>
        <w:t xml:space="preserve">Identificados los documentos que deben publicar las entidades de régimen especial y su fundamento normativo, a continuación se explicará cuando se deben publicar, no sin antes explicar la posición que Colombia Compra Eficiente ha tenido en relación con este asunto. </w:t>
      </w:r>
    </w:p>
    <w:p w14:paraId="30FEA6FD" w14:textId="77777777" w:rsidR="000920F0" w:rsidRPr="00C052F3" w:rsidRDefault="000920F0" w:rsidP="000920F0">
      <w:pPr>
        <w:pStyle w:val="Prrafodelista"/>
        <w:spacing w:line="276" w:lineRule="auto"/>
        <w:ind w:left="0" w:firstLine="709"/>
        <w:jc w:val="both"/>
        <w:rPr>
          <w:rFonts w:ascii="Arial" w:eastAsia="Calibri" w:hAnsi="Arial" w:cs="Arial"/>
          <w:color w:val="000000" w:themeColor="text1"/>
          <w:sz w:val="22"/>
        </w:rPr>
      </w:pPr>
      <w:r w:rsidRPr="00C052F3">
        <w:rPr>
          <w:rFonts w:ascii="Arial" w:eastAsia="Calibri" w:hAnsi="Arial" w:cs="Arial"/>
          <w:color w:val="000000" w:themeColor="text1"/>
          <w:sz w:val="22"/>
        </w:rPr>
        <w:t>En el año 2017, en la consulta con radicado No. 4201713000005390 se prevé que: el plazo para publicar por parte de las entidades de régimen especial es el que se fije en el manual de contratación de la entidad»</w:t>
      </w:r>
      <w:r w:rsidRPr="00C052F3">
        <w:rPr>
          <w:rStyle w:val="Refdenotaalpie"/>
          <w:rFonts w:ascii="Arial" w:eastAsia="Calibri" w:hAnsi="Arial" w:cs="Arial"/>
          <w:color w:val="000000" w:themeColor="text1"/>
          <w:sz w:val="22"/>
        </w:rPr>
        <w:footnoteReference w:id="15"/>
      </w:r>
      <w:r w:rsidRPr="00C052F3">
        <w:rPr>
          <w:rFonts w:ascii="Arial" w:eastAsia="Calibri" w:hAnsi="Arial" w:cs="Arial"/>
          <w:color w:val="000000" w:themeColor="text1"/>
          <w:sz w:val="22"/>
        </w:rPr>
        <w:t xml:space="preserve">. Por su parte, en el año 2018, con la expedición de la Circular Externa Única, se cambió la postura y se indica: «las entidades que aun utilizan el SECOP I están obligadas a publicar los documentos del proceso dentro de los </w:t>
      </w:r>
      <w:r w:rsidRPr="00C052F3">
        <w:rPr>
          <w:rFonts w:ascii="Arial" w:eastAsia="Calibri" w:hAnsi="Arial" w:cs="Arial"/>
          <w:color w:val="000000" w:themeColor="text1"/>
          <w:sz w:val="22"/>
        </w:rPr>
        <w:lastRenderedPageBreak/>
        <w:t>tres (3) días siguientes a su expedición</w:t>
      </w:r>
      <w:r w:rsidRPr="00C052F3">
        <w:rPr>
          <w:rStyle w:val="Refdenotaalpie"/>
          <w:rFonts w:ascii="Arial" w:eastAsia="Calibri" w:hAnsi="Arial" w:cs="Arial"/>
          <w:color w:val="000000" w:themeColor="text1"/>
          <w:sz w:val="22"/>
        </w:rPr>
        <w:footnoteReference w:id="16"/>
      </w:r>
      <w:r w:rsidRPr="00C052F3">
        <w:rPr>
          <w:rFonts w:ascii="Arial" w:eastAsia="Calibri" w:hAnsi="Arial" w:cs="Arial"/>
          <w:color w:val="000000" w:themeColor="text1"/>
          <w:sz w:val="22"/>
        </w:rPr>
        <w:t xml:space="preserve"> […]». De lo regulado en la Circular Externa Única se infiere que se otorga un tratamiento igualitario a las entidades, independientemente de su régimen de contratación, por lo tanto, aplica el artículo 2.2.1.1.1.7.1. del Decreto 1082 de 2015. </w:t>
      </w:r>
    </w:p>
    <w:p w14:paraId="345912B9" w14:textId="77777777" w:rsidR="000920F0" w:rsidRPr="00C052F3" w:rsidRDefault="000920F0" w:rsidP="000920F0">
      <w:pPr>
        <w:pStyle w:val="Prrafodelista"/>
        <w:spacing w:line="276" w:lineRule="auto"/>
        <w:ind w:left="0" w:firstLine="709"/>
        <w:jc w:val="both"/>
        <w:rPr>
          <w:rFonts w:ascii="Arial" w:eastAsia="Calibri" w:hAnsi="Arial" w:cs="Arial"/>
          <w:color w:val="000000" w:themeColor="text1"/>
          <w:sz w:val="22"/>
        </w:rPr>
      </w:pPr>
      <w:r w:rsidRPr="00C052F3">
        <w:rPr>
          <w:rFonts w:ascii="Arial" w:eastAsia="Calibri" w:hAnsi="Arial" w:cs="Arial"/>
          <w:color w:val="000000" w:themeColor="text1"/>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14:paraId="583022BD" w14:textId="77777777" w:rsidR="000920F0" w:rsidRPr="00C052F3" w:rsidRDefault="000920F0" w:rsidP="000920F0">
      <w:pPr>
        <w:pStyle w:val="Prrafodelista"/>
        <w:spacing w:line="276" w:lineRule="auto"/>
        <w:ind w:left="0" w:firstLine="709"/>
        <w:jc w:val="both"/>
        <w:rPr>
          <w:rFonts w:ascii="Arial" w:eastAsia="Calibri" w:hAnsi="Arial" w:cs="Arial"/>
          <w:color w:val="000000" w:themeColor="text1"/>
          <w:sz w:val="22"/>
        </w:rPr>
      </w:pPr>
      <w:r w:rsidRPr="00C052F3">
        <w:rPr>
          <w:rFonts w:ascii="Arial" w:eastAsia="Calibri" w:hAnsi="Arial" w:cs="Arial"/>
          <w:color w:val="000000" w:themeColor="text1"/>
          <w:sz w:val="22"/>
        </w:rPr>
        <w:t>La Ley 1712 de 2014 y el Decreto reglamentario 103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w:t>
      </w:r>
      <w:r w:rsidRPr="00C052F3">
        <w:rPr>
          <w:rFonts w:ascii="Arial" w:eastAsia="Calibri" w:hAnsi="Arial" w:cs="Arial"/>
          <w:i/>
          <w:color w:val="000000" w:themeColor="text1"/>
          <w:sz w:val="22"/>
        </w:rPr>
        <w:t xml:space="preserve"> </w:t>
      </w:r>
      <w:r w:rsidRPr="00C052F3">
        <w:rPr>
          <w:rFonts w:ascii="Arial" w:eastAsia="Calibri" w:hAnsi="Arial" w:cs="Arial"/>
          <w:color w:val="000000" w:themeColor="text1"/>
          <w:sz w:val="22"/>
        </w:rPr>
        <w:t>razón de ser de la norma»</w:t>
      </w:r>
      <w:r w:rsidRPr="00C052F3">
        <w:rPr>
          <w:rStyle w:val="Refdenotaalpie"/>
          <w:rFonts w:ascii="Arial" w:eastAsia="Calibri" w:hAnsi="Arial" w:cs="Arial"/>
          <w:color w:val="000000" w:themeColor="text1"/>
          <w:sz w:val="22"/>
        </w:rPr>
        <w:footnoteReference w:id="17"/>
      </w:r>
      <w:r w:rsidRPr="00C052F3">
        <w:rPr>
          <w:rFonts w:ascii="Arial" w:eastAsia="Calibri" w:hAnsi="Arial" w:cs="Arial"/>
          <w:color w:val="000000" w:themeColor="text1"/>
          <w:sz w:val="22"/>
        </w:rPr>
        <w:t xml:space="preserve">. En este sentido, el juez razona por analogía, cuando aplica una ley frente una situación no contemplada explícitamente en ella, a partir del estudio de situaciones fácticas que fueron tratadas por el legislador y guardan similitud con el asunto tratado. </w:t>
      </w:r>
    </w:p>
    <w:p w14:paraId="49B19D34" w14:textId="77777777" w:rsidR="000920F0" w:rsidRPr="00C052F3" w:rsidRDefault="000920F0" w:rsidP="000920F0">
      <w:pPr>
        <w:pStyle w:val="Prrafodelista"/>
        <w:spacing w:line="276" w:lineRule="auto"/>
        <w:ind w:left="0" w:firstLine="709"/>
        <w:jc w:val="both"/>
        <w:rPr>
          <w:rFonts w:ascii="Arial" w:eastAsia="Calibri" w:hAnsi="Arial" w:cs="Arial"/>
          <w:color w:val="000000" w:themeColor="text1"/>
          <w:sz w:val="22"/>
        </w:rPr>
      </w:pPr>
      <w:r w:rsidRPr="00C052F3">
        <w:rPr>
          <w:rFonts w:ascii="Arial" w:eastAsia="Calibri" w:hAnsi="Arial" w:cs="Arial"/>
          <w:color w:val="000000" w:themeColor="text1"/>
          <w:sz w:val="22"/>
        </w:rPr>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C052F3">
        <w:rPr>
          <w:rStyle w:val="Refdenotaalpie"/>
          <w:rFonts w:ascii="Arial" w:eastAsia="Calibri" w:hAnsi="Arial" w:cs="Arial"/>
          <w:color w:val="000000" w:themeColor="text1"/>
          <w:sz w:val="22"/>
        </w:rPr>
        <w:footnoteReference w:id="18"/>
      </w:r>
      <w:r w:rsidRPr="00C052F3">
        <w:rPr>
          <w:rFonts w:ascii="Arial" w:eastAsia="Calibri" w:hAnsi="Arial" w:cs="Arial"/>
          <w:color w:val="000000" w:themeColor="text1"/>
          <w:sz w:val="22"/>
        </w:rPr>
        <w:t xml:space="preserve">. En este sentido, las entidades </w:t>
      </w:r>
      <w:r w:rsidRPr="00C052F3">
        <w:rPr>
          <w:rFonts w:ascii="Arial" w:eastAsia="Calibri" w:hAnsi="Arial" w:cs="Arial"/>
          <w:color w:val="000000" w:themeColor="text1"/>
          <w:sz w:val="22"/>
        </w:rPr>
        <w:lastRenderedPageBreak/>
        <w:t xml:space="preserve">sometidas al régimen de contratación de Ley 80 de 1993 publicarán en el SECOP sus documentos dentro de los 3 días siguientes a su expedición. </w:t>
      </w:r>
    </w:p>
    <w:p w14:paraId="3DE8A6FD" w14:textId="77777777" w:rsidR="000920F0" w:rsidRPr="00C052F3" w:rsidRDefault="000920F0" w:rsidP="000920F0">
      <w:pPr>
        <w:pStyle w:val="Prrafodelista"/>
        <w:spacing w:line="276" w:lineRule="auto"/>
        <w:ind w:left="0" w:firstLine="709"/>
        <w:jc w:val="both"/>
        <w:rPr>
          <w:rFonts w:ascii="Arial" w:eastAsia="Calibri" w:hAnsi="Arial" w:cs="Arial"/>
          <w:color w:val="000000" w:themeColor="text1"/>
          <w:sz w:val="22"/>
        </w:rPr>
      </w:pPr>
      <w:r w:rsidRPr="00C052F3">
        <w:rPr>
          <w:rFonts w:ascii="Arial" w:eastAsia="Calibri" w:hAnsi="Arial" w:cs="Arial"/>
          <w:color w:val="000000" w:themeColor="text1"/>
          <w:sz w:val="22"/>
        </w:rPr>
        <w:t xml:space="preserve">Si bien, como se mencionó en el acápite anterior, el Decreto 1082 de 2015 no aplica a las sociedades de economía mixta con capital público mayoritario pero que actúen en competencia o en mercados regulados, porque su régimen de contratación es el derecho privado, será posible aplicarle esta norma en virtud de la analogía. Lo anterior, debido a que esta norma guarda similitud con el asunto tratado ya que regula la publicidad de los documentos del SECOP y, por lo tanto, es viable aplicarle la consecuencia jurídica de esta norma a las entidades de régimen especial. </w:t>
      </w:r>
    </w:p>
    <w:p w14:paraId="215AFC3F" w14:textId="77777777" w:rsidR="000920F0" w:rsidRPr="00C052F3" w:rsidRDefault="000920F0" w:rsidP="000920F0">
      <w:pPr>
        <w:pStyle w:val="Prrafodelista"/>
        <w:spacing w:line="276" w:lineRule="auto"/>
        <w:ind w:left="0"/>
        <w:jc w:val="both"/>
        <w:rPr>
          <w:rFonts w:ascii="Arial" w:eastAsia="Calibri" w:hAnsi="Arial" w:cs="Arial"/>
          <w:color w:val="000000" w:themeColor="text1"/>
          <w:sz w:val="22"/>
        </w:rPr>
      </w:pPr>
      <w:r w:rsidRPr="00C052F3">
        <w:rPr>
          <w:rFonts w:ascii="Arial" w:eastAsia="Calibri" w:hAnsi="Arial" w:cs="Arial"/>
          <w:color w:val="000000" w:themeColor="text1"/>
          <w:sz w:val="22"/>
        </w:rPr>
        <w:tab/>
        <w:t xml:space="preserve">A su vez, no es posible que las entidades definan el momento en el cual publicarán sus documentos contractuales en su manual de contratación, porque este es un asunto que debe definir el legislador o el gobierno por medio de un Decreto reglamentario. </w:t>
      </w:r>
    </w:p>
    <w:p w14:paraId="3A8BC98A" w14:textId="77777777" w:rsidR="000920F0" w:rsidRPr="00C052F3" w:rsidRDefault="000920F0" w:rsidP="000920F0">
      <w:pPr>
        <w:pStyle w:val="Prrafodelista"/>
        <w:spacing w:line="276" w:lineRule="auto"/>
        <w:ind w:left="0"/>
        <w:jc w:val="both"/>
        <w:rPr>
          <w:rFonts w:ascii="Arial" w:eastAsia="Calibri" w:hAnsi="Arial" w:cs="Arial"/>
          <w:color w:val="000000" w:themeColor="text1"/>
          <w:sz w:val="22"/>
        </w:rPr>
      </w:pPr>
      <w:r w:rsidRPr="00C052F3">
        <w:rPr>
          <w:rFonts w:ascii="Arial" w:eastAsia="Calibri" w:hAnsi="Arial" w:cs="Arial"/>
          <w:color w:val="000000" w:themeColor="text1"/>
          <w:sz w:val="22"/>
        </w:rPr>
        <w:tab/>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1FBF8601" w14:textId="77777777" w:rsidR="000920F0" w:rsidRPr="00C052F3" w:rsidRDefault="000920F0" w:rsidP="000920F0">
      <w:pPr>
        <w:pStyle w:val="Prrafodelista"/>
        <w:spacing w:line="276" w:lineRule="auto"/>
        <w:ind w:left="0"/>
        <w:jc w:val="both"/>
        <w:rPr>
          <w:rFonts w:ascii="Arial" w:eastAsia="Calibri" w:hAnsi="Arial" w:cs="Arial"/>
          <w:color w:val="000000" w:themeColor="text1"/>
          <w:sz w:val="22"/>
        </w:rPr>
      </w:pPr>
      <w:r w:rsidRPr="00C052F3">
        <w:rPr>
          <w:rFonts w:ascii="Arial" w:eastAsia="Calibri" w:hAnsi="Arial" w:cs="Arial"/>
          <w:color w:val="000000" w:themeColor="text1"/>
          <w:sz w:val="22"/>
        </w:rPr>
        <w:tab/>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se aplicaría el artículo 2.2.1.1.1.7.1. </w:t>
      </w:r>
    </w:p>
    <w:p w14:paraId="1184AA29" w14:textId="77777777" w:rsidR="000920F0" w:rsidRPr="00C052F3" w:rsidRDefault="000920F0" w:rsidP="000920F0">
      <w:pPr>
        <w:spacing w:line="276" w:lineRule="auto"/>
        <w:jc w:val="both"/>
        <w:rPr>
          <w:rFonts w:ascii="Arial" w:hAnsi="Arial" w:cs="Arial"/>
          <w:color w:val="000000" w:themeColor="text1"/>
          <w:sz w:val="22"/>
        </w:rPr>
      </w:pPr>
    </w:p>
    <w:p w14:paraId="2980998C" w14:textId="77777777" w:rsidR="000920F0" w:rsidRPr="00C052F3" w:rsidRDefault="000920F0" w:rsidP="000920F0">
      <w:pPr>
        <w:pStyle w:val="Prrafodelista"/>
        <w:tabs>
          <w:tab w:val="left" w:pos="284"/>
        </w:tabs>
        <w:spacing w:line="276" w:lineRule="auto"/>
        <w:ind w:left="0"/>
        <w:jc w:val="both"/>
        <w:rPr>
          <w:rFonts w:ascii="Arial" w:eastAsia="Calibri" w:hAnsi="Arial" w:cs="Arial"/>
          <w:color w:val="000000" w:themeColor="text1"/>
          <w:sz w:val="22"/>
          <w:lang w:val="es-ES_tradnl"/>
        </w:rPr>
      </w:pPr>
      <w:r w:rsidRPr="00C052F3">
        <w:rPr>
          <w:rFonts w:ascii="Arial" w:eastAsia="Calibri" w:hAnsi="Arial" w:cs="Arial"/>
          <w:b/>
          <w:color w:val="000000" w:themeColor="text1"/>
          <w:sz w:val="22"/>
          <w:lang w:val="es-ES_tradnl"/>
        </w:rPr>
        <w:t>3. Respuesta</w:t>
      </w:r>
    </w:p>
    <w:p w14:paraId="458F619B" w14:textId="77777777" w:rsidR="000920F0" w:rsidRPr="00C052F3" w:rsidRDefault="000920F0" w:rsidP="000920F0">
      <w:pPr>
        <w:spacing w:line="276" w:lineRule="auto"/>
        <w:ind w:left="709" w:right="709"/>
        <w:jc w:val="both"/>
        <w:rPr>
          <w:rFonts w:ascii="Arial" w:eastAsia="Calibri" w:hAnsi="Arial" w:cs="Arial"/>
          <w:i/>
          <w:color w:val="000000" w:themeColor="text1"/>
          <w:sz w:val="22"/>
          <w:lang w:val="es-ES_tradnl"/>
        </w:rPr>
      </w:pPr>
    </w:p>
    <w:p w14:paraId="28A057AB" w14:textId="77777777" w:rsidR="000920F0" w:rsidRPr="00C052F3" w:rsidRDefault="000920F0" w:rsidP="000920F0">
      <w:pPr>
        <w:spacing w:line="276" w:lineRule="auto"/>
        <w:ind w:left="708" w:right="709"/>
        <w:jc w:val="both"/>
        <w:rPr>
          <w:rFonts w:ascii="Arial" w:eastAsia="Calibri" w:hAnsi="Arial" w:cs="Arial"/>
          <w:color w:val="000000" w:themeColor="text1"/>
          <w:sz w:val="22"/>
          <w:lang w:val="es-ES_tradnl"/>
        </w:rPr>
      </w:pPr>
      <w:r w:rsidRPr="00C052F3">
        <w:rPr>
          <w:rFonts w:ascii="Arial" w:eastAsia="Calibri" w:hAnsi="Arial" w:cs="Arial"/>
          <w:color w:val="000000" w:themeColor="text1"/>
          <w:sz w:val="22"/>
          <w:lang w:val="es-ES_tradnl"/>
        </w:rPr>
        <w:t>«¿INFOTIC S.A. ostenta el deber legal de publicar sus procesos contractuales en el Sistema Electrónico para la Contratación Pública – SECOP, teniendo en cuenta que INFOTIC es una sociedad de economía mixta con un capital público del cincuenta y un por ciento (51%), por lo tanto no se rige por el Estatuto General de Contratación Pública, sino que, cuenta con un régimen especial de contratación?»</w:t>
      </w:r>
    </w:p>
    <w:p w14:paraId="2A50053A" w14:textId="77777777" w:rsidR="000920F0" w:rsidRPr="00C052F3" w:rsidRDefault="000920F0" w:rsidP="000920F0">
      <w:pPr>
        <w:spacing w:line="276" w:lineRule="auto"/>
        <w:jc w:val="both"/>
        <w:rPr>
          <w:rFonts w:ascii="Arial" w:eastAsia="Calibri" w:hAnsi="Arial" w:cs="Arial"/>
          <w:color w:val="000000" w:themeColor="text1"/>
          <w:sz w:val="22"/>
          <w:lang w:val="es-ES_tradnl"/>
        </w:rPr>
      </w:pPr>
    </w:p>
    <w:p w14:paraId="5AE54E32" w14:textId="77777777" w:rsidR="000920F0" w:rsidRPr="00C052F3" w:rsidRDefault="000920F0" w:rsidP="000920F0">
      <w:pPr>
        <w:spacing w:line="276" w:lineRule="auto"/>
        <w:ind w:firstLine="709"/>
        <w:jc w:val="both"/>
        <w:rPr>
          <w:rFonts w:ascii="Arial" w:eastAsia="Calibri" w:hAnsi="Arial" w:cs="Arial"/>
          <w:color w:val="000000" w:themeColor="text1"/>
          <w:sz w:val="22"/>
          <w:lang w:val="es-ES_tradnl"/>
        </w:rPr>
      </w:pPr>
      <w:r w:rsidRPr="00C052F3">
        <w:rPr>
          <w:rFonts w:ascii="Arial" w:eastAsia="Calibri" w:hAnsi="Arial" w:cs="Arial"/>
          <w:color w:val="000000" w:themeColor="text1"/>
          <w:sz w:val="22"/>
          <w:lang w:val="es-ES_tradnl"/>
        </w:rPr>
        <w:t xml:space="preserve">Al ser una entidad pública que hace parte de la rama ejecutiva–según lo dispone el artículo 38, numeral 2º, literal f) de la Ley 489 de 1998–, ingresa dentro de la categoría de </w:t>
      </w:r>
      <w:r w:rsidRPr="00C052F3">
        <w:rPr>
          <w:rFonts w:ascii="Arial" w:eastAsia="Calibri" w:hAnsi="Arial" w:cs="Arial"/>
          <w:i/>
          <w:iCs/>
          <w:color w:val="000000" w:themeColor="text1"/>
          <w:sz w:val="22"/>
          <w:lang w:val="es-ES_tradnl"/>
        </w:rPr>
        <w:lastRenderedPageBreak/>
        <w:t>sujeto obligado</w:t>
      </w:r>
      <w:r w:rsidRPr="00C052F3">
        <w:rPr>
          <w:rFonts w:ascii="Arial" w:eastAsia="Calibri" w:hAnsi="Arial" w:cs="Arial"/>
          <w:color w:val="000000" w:themeColor="text1"/>
          <w:sz w:val="22"/>
          <w:lang w:val="es-ES_tradnl"/>
        </w:rPr>
        <w:t xml:space="preserve"> prevista en el artículo 9 de la Ley 1712 de 2014 y en consecuencia debe publicar la información relativa a su contratación en el SECOP, pues como lo señaló esta Subdirección en el Concepto unificado CU-003 de 2020, este es un deber de las entidades estatales que contratan con recursos públicos, independientemente del régimen jurídico aplicable a dicha actividad contractual.</w:t>
      </w:r>
    </w:p>
    <w:p w14:paraId="29F5C2FC" w14:textId="77777777" w:rsidR="000920F0" w:rsidRPr="00C052F3" w:rsidRDefault="000920F0" w:rsidP="000920F0">
      <w:pPr>
        <w:spacing w:line="276" w:lineRule="auto"/>
        <w:jc w:val="both"/>
        <w:rPr>
          <w:rFonts w:ascii="Arial" w:eastAsia="Calibri" w:hAnsi="Arial" w:cs="Arial"/>
          <w:color w:val="000000" w:themeColor="text1"/>
          <w:sz w:val="22"/>
          <w:lang w:val="es-ES_tradnl"/>
        </w:rPr>
      </w:pPr>
    </w:p>
    <w:p w14:paraId="544609D3" w14:textId="77777777" w:rsidR="000920F0" w:rsidRPr="00C052F3" w:rsidRDefault="000920F0" w:rsidP="000920F0">
      <w:pPr>
        <w:spacing w:line="276" w:lineRule="auto"/>
        <w:jc w:val="both"/>
        <w:rPr>
          <w:rFonts w:ascii="Arial" w:eastAsia="Calibri" w:hAnsi="Arial" w:cs="Arial"/>
          <w:color w:val="000000" w:themeColor="text1"/>
          <w:sz w:val="22"/>
          <w:lang w:val="es-ES_tradnl"/>
        </w:rPr>
      </w:pPr>
      <w:r w:rsidRPr="00C052F3">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1DF3BA0C" w14:textId="77777777" w:rsidR="000920F0" w:rsidRPr="00C052F3" w:rsidRDefault="000920F0" w:rsidP="000920F0">
      <w:pPr>
        <w:spacing w:line="276" w:lineRule="auto"/>
        <w:jc w:val="both"/>
        <w:rPr>
          <w:rFonts w:ascii="Arial" w:eastAsia="Calibri" w:hAnsi="Arial" w:cs="Arial"/>
          <w:color w:val="000000" w:themeColor="text1"/>
          <w:sz w:val="22"/>
          <w:lang w:val="es-ES_tradnl"/>
        </w:rPr>
      </w:pPr>
    </w:p>
    <w:p w14:paraId="2A352265" w14:textId="77777777" w:rsidR="000920F0" w:rsidRPr="00C052F3" w:rsidRDefault="000920F0" w:rsidP="000920F0">
      <w:pPr>
        <w:spacing w:line="276" w:lineRule="auto"/>
        <w:jc w:val="both"/>
        <w:rPr>
          <w:rFonts w:ascii="Arial" w:eastAsia="Calibri" w:hAnsi="Arial" w:cs="Arial"/>
          <w:color w:val="000000" w:themeColor="text1"/>
          <w:sz w:val="22"/>
          <w:lang w:val="es-ES_tradnl"/>
        </w:rPr>
      </w:pPr>
      <w:r w:rsidRPr="00C052F3">
        <w:rPr>
          <w:noProof/>
          <w:color w:val="000000" w:themeColor="text1"/>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718B75A"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537553D5" w14:textId="77777777" w:rsidR="000920F0" w:rsidRPr="00C052F3" w:rsidRDefault="000920F0" w:rsidP="000920F0">
      <w:pPr>
        <w:spacing w:line="276" w:lineRule="auto"/>
        <w:rPr>
          <w:rFonts w:ascii="Arial" w:hAnsi="Arial" w:cs="Arial"/>
          <w:color w:val="000000" w:themeColor="text1"/>
          <w:sz w:val="22"/>
          <w:lang w:val="es-ES_tradnl" w:eastAsia="es-CO"/>
        </w:rPr>
      </w:pPr>
      <w:r w:rsidRPr="00C052F3">
        <w:rPr>
          <w:rFonts w:ascii="Arial" w:hAnsi="Arial" w:cs="Arial"/>
          <w:color w:val="000000" w:themeColor="text1"/>
          <w:sz w:val="22"/>
          <w:lang w:val="es-ES_tradnl" w:eastAsia="es-CO"/>
        </w:rPr>
        <w:t>Atentamente,</w:t>
      </w:r>
    </w:p>
    <w:p w14:paraId="571DF5BC" w14:textId="1D1B51CD" w:rsidR="000920F0" w:rsidRPr="00C052F3" w:rsidRDefault="00553E06" w:rsidP="000920F0">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3C1DE649" wp14:editId="62185CED">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052F3" w:rsidRPr="00C052F3" w14:paraId="5F526272" w14:textId="77777777" w:rsidTr="006C2E14">
        <w:trPr>
          <w:trHeight w:val="315"/>
        </w:trPr>
        <w:tc>
          <w:tcPr>
            <w:tcW w:w="812" w:type="dxa"/>
            <w:vAlign w:val="center"/>
            <w:hideMark/>
          </w:tcPr>
          <w:p w14:paraId="33690198" w14:textId="77777777" w:rsidR="000920F0" w:rsidRPr="00C052F3" w:rsidRDefault="000920F0" w:rsidP="006C2E14">
            <w:pPr>
              <w:spacing w:line="276" w:lineRule="auto"/>
              <w:rPr>
                <w:rFonts w:ascii="Arial" w:hAnsi="Arial" w:cs="Arial"/>
                <w:color w:val="000000" w:themeColor="text1"/>
                <w:sz w:val="16"/>
                <w:szCs w:val="16"/>
                <w:lang w:val="es-ES_tradnl" w:eastAsia="es-ES"/>
              </w:rPr>
            </w:pPr>
            <w:r w:rsidRPr="00C052F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E6EE4F5" w14:textId="77777777" w:rsidR="000920F0" w:rsidRPr="00C052F3" w:rsidRDefault="000920F0" w:rsidP="006C2E14">
            <w:pPr>
              <w:spacing w:line="276" w:lineRule="auto"/>
              <w:rPr>
                <w:rFonts w:ascii="Arial" w:hAnsi="Arial" w:cs="Arial"/>
                <w:color w:val="000000" w:themeColor="text1"/>
                <w:sz w:val="16"/>
                <w:szCs w:val="16"/>
                <w:lang w:val="es-ES_tradnl" w:eastAsia="es-ES"/>
              </w:rPr>
            </w:pPr>
            <w:r w:rsidRPr="00C052F3">
              <w:rPr>
                <w:rFonts w:ascii="Arial" w:hAnsi="Arial" w:cs="Arial"/>
                <w:color w:val="000000" w:themeColor="text1"/>
                <w:sz w:val="16"/>
                <w:szCs w:val="16"/>
                <w:lang w:val="es-ES_tradnl" w:eastAsia="es-ES"/>
              </w:rPr>
              <w:t>Cristian Andrés Díaz Díez</w:t>
            </w:r>
          </w:p>
        </w:tc>
      </w:tr>
      <w:tr w:rsidR="00C052F3" w:rsidRPr="00C052F3" w14:paraId="0C137F1C" w14:textId="77777777" w:rsidTr="006C2E14">
        <w:trPr>
          <w:trHeight w:val="330"/>
        </w:trPr>
        <w:tc>
          <w:tcPr>
            <w:tcW w:w="812" w:type="dxa"/>
            <w:vAlign w:val="center"/>
            <w:hideMark/>
          </w:tcPr>
          <w:p w14:paraId="76978847" w14:textId="77777777" w:rsidR="000920F0" w:rsidRPr="00C052F3" w:rsidRDefault="000920F0" w:rsidP="006C2E14">
            <w:pPr>
              <w:spacing w:line="276" w:lineRule="auto"/>
              <w:rPr>
                <w:rFonts w:ascii="Arial" w:hAnsi="Arial" w:cs="Arial"/>
                <w:color w:val="000000" w:themeColor="text1"/>
                <w:sz w:val="16"/>
                <w:szCs w:val="16"/>
                <w:lang w:val="es-ES_tradnl" w:eastAsia="es-ES"/>
              </w:rPr>
            </w:pPr>
            <w:r w:rsidRPr="00C052F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53F5F8" w14:textId="77777777" w:rsidR="000920F0" w:rsidRPr="00C052F3" w:rsidRDefault="000920F0" w:rsidP="006C2E14">
            <w:pPr>
              <w:spacing w:line="276" w:lineRule="auto"/>
              <w:rPr>
                <w:rFonts w:ascii="Arial" w:hAnsi="Arial" w:cs="Arial"/>
                <w:color w:val="000000" w:themeColor="text1"/>
                <w:sz w:val="16"/>
                <w:szCs w:val="16"/>
                <w:lang w:val="es-ES_tradnl" w:eastAsia="es-ES"/>
              </w:rPr>
            </w:pPr>
            <w:r w:rsidRPr="00C052F3">
              <w:rPr>
                <w:rFonts w:ascii="Arial" w:hAnsi="Arial" w:cs="Arial"/>
                <w:color w:val="000000" w:themeColor="text1"/>
                <w:sz w:val="16"/>
                <w:szCs w:val="16"/>
                <w:lang w:val="es-ES_tradnl" w:eastAsia="es-ES"/>
              </w:rPr>
              <w:t>Fabián Gonzalo Marín Cortés</w:t>
            </w:r>
          </w:p>
          <w:p w14:paraId="660FED67" w14:textId="77777777" w:rsidR="000920F0" w:rsidRPr="00C052F3" w:rsidRDefault="000920F0" w:rsidP="006C2E14">
            <w:pPr>
              <w:spacing w:line="276" w:lineRule="auto"/>
              <w:rPr>
                <w:rFonts w:ascii="Arial" w:hAnsi="Arial" w:cs="Arial"/>
                <w:color w:val="000000" w:themeColor="text1"/>
                <w:sz w:val="16"/>
                <w:szCs w:val="16"/>
                <w:lang w:val="es-ES_tradnl" w:eastAsia="es-ES"/>
              </w:rPr>
            </w:pPr>
            <w:r w:rsidRPr="00C052F3">
              <w:rPr>
                <w:rFonts w:ascii="Arial" w:hAnsi="Arial" w:cs="Arial"/>
                <w:color w:val="000000" w:themeColor="text1"/>
                <w:sz w:val="16"/>
                <w:szCs w:val="16"/>
                <w:lang w:val="es-ES_tradnl" w:eastAsia="es-ES"/>
              </w:rPr>
              <w:t>Subdirector de Gestión Contractual</w:t>
            </w:r>
          </w:p>
        </w:tc>
      </w:tr>
      <w:tr w:rsidR="000920F0" w:rsidRPr="00C052F3" w14:paraId="59D3F9A5" w14:textId="77777777" w:rsidTr="006C2E14">
        <w:trPr>
          <w:trHeight w:val="300"/>
        </w:trPr>
        <w:tc>
          <w:tcPr>
            <w:tcW w:w="812" w:type="dxa"/>
            <w:vAlign w:val="center"/>
            <w:hideMark/>
          </w:tcPr>
          <w:p w14:paraId="62FFFDDB" w14:textId="77777777" w:rsidR="000920F0" w:rsidRPr="00C052F3" w:rsidRDefault="000920F0" w:rsidP="006C2E14">
            <w:pPr>
              <w:spacing w:line="276" w:lineRule="auto"/>
              <w:rPr>
                <w:rFonts w:ascii="Arial" w:hAnsi="Arial" w:cs="Arial"/>
                <w:color w:val="000000" w:themeColor="text1"/>
                <w:sz w:val="16"/>
                <w:szCs w:val="16"/>
                <w:lang w:val="es-ES_tradnl" w:eastAsia="es-ES"/>
              </w:rPr>
            </w:pPr>
            <w:r w:rsidRPr="00C052F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AAC9A" w14:textId="77777777" w:rsidR="000920F0" w:rsidRPr="00C052F3" w:rsidRDefault="000920F0" w:rsidP="006C2E14">
            <w:pPr>
              <w:spacing w:line="276" w:lineRule="auto"/>
              <w:rPr>
                <w:rFonts w:ascii="Arial" w:hAnsi="Arial" w:cs="Arial"/>
                <w:color w:val="000000" w:themeColor="text1"/>
                <w:sz w:val="16"/>
                <w:szCs w:val="16"/>
                <w:lang w:val="es-ES_tradnl" w:eastAsia="es-ES"/>
              </w:rPr>
            </w:pPr>
            <w:r w:rsidRPr="00C052F3">
              <w:rPr>
                <w:rFonts w:ascii="Arial" w:hAnsi="Arial" w:cs="Arial"/>
                <w:color w:val="000000" w:themeColor="text1"/>
                <w:sz w:val="16"/>
                <w:szCs w:val="16"/>
                <w:lang w:val="es-ES_tradnl" w:eastAsia="es-ES"/>
              </w:rPr>
              <w:t>Fabián Gonzalo Marín Cortés</w:t>
            </w:r>
          </w:p>
          <w:p w14:paraId="417C54F4" w14:textId="77777777" w:rsidR="000920F0" w:rsidRPr="00C052F3" w:rsidRDefault="000920F0" w:rsidP="006C2E14">
            <w:pPr>
              <w:spacing w:line="276" w:lineRule="auto"/>
              <w:rPr>
                <w:rFonts w:ascii="Arial" w:hAnsi="Arial" w:cs="Arial"/>
                <w:color w:val="000000" w:themeColor="text1"/>
                <w:sz w:val="16"/>
                <w:szCs w:val="16"/>
                <w:lang w:val="es-ES_tradnl" w:eastAsia="es-ES"/>
              </w:rPr>
            </w:pPr>
            <w:r w:rsidRPr="00C052F3">
              <w:rPr>
                <w:rFonts w:ascii="Arial" w:hAnsi="Arial" w:cs="Arial"/>
                <w:color w:val="000000" w:themeColor="text1"/>
                <w:sz w:val="16"/>
                <w:szCs w:val="16"/>
                <w:lang w:val="es-ES_tradnl" w:eastAsia="es-ES"/>
              </w:rPr>
              <w:t>Subdirector de Gestión Contractual</w:t>
            </w:r>
          </w:p>
        </w:tc>
      </w:tr>
    </w:tbl>
    <w:p w14:paraId="341D0316" w14:textId="77777777" w:rsidR="000920F0" w:rsidRPr="00C052F3" w:rsidRDefault="000920F0" w:rsidP="000920F0">
      <w:pPr>
        <w:spacing w:line="276" w:lineRule="auto"/>
        <w:rPr>
          <w:rFonts w:ascii="Arial" w:hAnsi="Arial" w:cs="Arial"/>
          <w:color w:val="000000" w:themeColor="text1"/>
          <w:sz w:val="16"/>
          <w:szCs w:val="16"/>
          <w:lang w:val="es-ES_tradnl" w:eastAsia="es-ES"/>
        </w:rPr>
      </w:pPr>
    </w:p>
    <w:bookmarkEnd w:id="2"/>
    <w:p w14:paraId="7EBF297E" w14:textId="77777777" w:rsidR="007B0854" w:rsidRPr="00C052F3" w:rsidRDefault="007B0854" w:rsidP="000920F0">
      <w:pPr>
        <w:rPr>
          <w:color w:val="000000" w:themeColor="text1"/>
          <w:lang w:val="es-ES_tradnl"/>
        </w:rPr>
      </w:pPr>
    </w:p>
    <w:sectPr w:rsidR="007B0854" w:rsidRPr="00C052F3" w:rsidSect="004A34D2">
      <w:headerReference w:type="even" r:id="rId12"/>
      <w:headerReference w:type="default" r:id="rId13"/>
      <w:footerReference w:type="even" r:id="rId14"/>
      <w:footerReference w:type="default" r:id="rId15"/>
      <w:headerReference w:type="first" r:id="rId16"/>
      <w:footerReference w:type="first" r:id="rId17"/>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CAC316" w14:textId="77777777" w:rsidR="00E70B65" w:rsidRDefault="00E70B65">
      <w:r>
        <w:separator/>
      </w:r>
    </w:p>
  </w:endnote>
  <w:endnote w:type="continuationSeparator" w:id="0">
    <w:p w14:paraId="31E3D4E5" w14:textId="77777777" w:rsidR="00E70B65" w:rsidRDefault="00E70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CA8BD" w14:textId="77777777" w:rsidR="00C71686" w:rsidRDefault="00C7168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Default="004A34D2" w:rsidP="007B0854">
    <w:pPr>
      <w:pStyle w:val="Sinespaciado"/>
      <w:jc w:val="center"/>
      <w:rPr>
        <w:rFonts w:ascii="Arial" w:hAnsi="Arial" w:cs="Arial"/>
        <w:sz w:val="18"/>
        <w:szCs w:val="18"/>
      </w:rPr>
    </w:pPr>
  </w:p>
  <w:p w14:paraId="312C4A14" w14:textId="1BDE7EF1" w:rsidR="007B0854" w:rsidRDefault="007B0854"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8A18E1">
      <w:rPr>
        <w:rFonts w:ascii="Arial" w:hAnsi="Arial" w:cs="Arial"/>
        <w:noProof/>
        <w:sz w:val="18"/>
        <w:szCs w:val="18"/>
      </w:rPr>
      <w:t>1</w:t>
    </w:r>
    <w:r w:rsidRPr="00D04413">
      <w:rPr>
        <w:rFonts w:ascii="Arial" w:hAnsi="Arial" w:cs="Arial"/>
        <w:sz w:val="18"/>
        <w:szCs w:val="18"/>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07859" w14:textId="77777777" w:rsidR="00C71686" w:rsidRDefault="00C7168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5A9A87" w14:textId="77777777" w:rsidR="00E70B65" w:rsidRDefault="00E70B65">
      <w:r>
        <w:separator/>
      </w:r>
    </w:p>
  </w:footnote>
  <w:footnote w:type="continuationSeparator" w:id="0">
    <w:p w14:paraId="2E47BA8B" w14:textId="77777777" w:rsidR="00E70B65" w:rsidRDefault="00E70B65">
      <w:r>
        <w:continuationSeparator/>
      </w:r>
    </w:p>
  </w:footnote>
  <w:footnote w:id="1">
    <w:p w14:paraId="30441946"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Style w:val="Refdenotaalpie"/>
          <w:rFonts w:ascii="Arial" w:hAnsi="Arial" w:cs="Arial"/>
          <w:color w:val="000000" w:themeColor="text1"/>
          <w:sz w:val="19"/>
          <w:szCs w:val="19"/>
        </w:rPr>
        <w:footnoteRef/>
      </w:r>
      <w:r w:rsidRPr="00C052F3">
        <w:rPr>
          <w:rFonts w:ascii="Arial" w:hAnsi="Arial" w:cs="Arial"/>
          <w:color w:val="000000" w:themeColor="text1"/>
          <w:sz w:val="19"/>
          <w:szCs w:val="19"/>
        </w:rPr>
        <w:t xml:space="preserve"> Corte Constitucional. Sentencia C- 341 del 4 de junio de 2014. M. P. Mauricio González Cuervo.</w:t>
      </w:r>
    </w:p>
    <w:p w14:paraId="3F8A580A" w14:textId="77777777" w:rsidR="000920F0" w:rsidRPr="00C052F3" w:rsidRDefault="000920F0" w:rsidP="000920F0">
      <w:pPr>
        <w:pStyle w:val="Textonotapie"/>
        <w:ind w:firstLine="709"/>
        <w:jc w:val="both"/>
        <w:rPr>
          <w:rFonts w:ascii="Arial" w:hAnsi="Arial" w:cs="Arial"/>
          <w:color w:val="000000" w:themeColor="text1"/>
          <w:sz w:val="19"/>
          <w:szCs w:val="19"/>
        </w:rPr>
      </w:pPr>
    </w:p>
  </w:footnote>
  <w:footnote w:id="2">
    <w:p w14:paraId="396047A8"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Style w:val="Refdenotaalpie"/>
          <w:rFonts w:ascii="Arial" w:hAnsi="Arial" w:cs="Arial"/>
          <w:color w:val="000000" w:themeColor="text1"/>
          <w:sz w:val="19"/>
          <w:szCs w:val="19"/>
        </w:rPr>
        <w:footnoteRef/>
      </w:r>
      <w:r w:rsidRPr="00C052F3">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DA9D192"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Fonts w:ascii="Arial" w:hAnsi="Arial" w:cs="Arial"/>
          <w:color w:val="000000" w:themeColor="text1"/>
          <w:sz w:val="19"/>
          <w:szCs w:val="19"/>
        </w:rPr>
        <w:t>»Lo anterior, sin perjuicio de las publicaciones previstas en el numeral 3 del artículo 30 de la Ley 80 de 1993.</w:t>
      </w:r>
    </w:p>
    <w:p w14:paraId="36D9AA34"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57635066"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Fonts w:ascii="Arial" w:hAnsi="Arial" w:cs="Arial"/>
          <w:color w:val="000000" w:themeColor="text1"/>
          <w:sz w:val="19"/>
          <w:szCs w:val="19"/>
        </w:rPr>
        <w:t>[…]</w:t>
      </w:r>
    </w:p>
    <w:p w14:paraId="18104C26"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44460148" w14:textId="77777777" w:rsidR="000920F0" w:rsidRPr="00C052F3" w:rsidRDefault="000920F0" w:rsidP="000920F0">
      <w:pPr>
        <w:pStyle w:val="Textonotapie"/>
        <w:ind w:firstLine="709"/>
        <w:jc w:val="both"/>
        <w:rPr>
          <w:rFonts w:ascii="Arial" w:hAnsi="Arial" w:cs="Arial"/>
          <w:color w:val="000000" w:themeColor="text1"/>
          <w:sz w:val="19"/>
          <w:szCs w:val="19"/>
        </w:rPr>
      </w:pPr>
    </w:p>
  </w:footnote>
  <w:footnote w:id="3">
    <w:p w14:paraId="4CABF8D4"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Style w:val="Refdenotaalpie"/>
          <w:rFonts w:ascii="Arial" w:hAnsi="Arial" w:cs="Arial"/>
          <w:color w:val="000000" w:themeColor="text1"/>
          <w:sz w:val="19"/>
          <w:szCs w:val="19"/>
        </w:rPr>
        <w:footnoteRef/>
      </w:r>
      <w:r w:rsidRPr="00C052F3">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7C75B667" w14:textId="77777777" w:rsidR="000920F0" w:rsidRPr="00C052F3" w:rsidRDefault="000920F0" w:rsidP="000920F0">
      <w:pPr>
        <w:pStyle w:val="Textonotapie"/>
        <w:ind w:firstLine="709"/>
        <w:jc w:val="both"/>
        <w:rPr>
          <w:rFonts w:ascii="Arial" w:hAnsi="Arial" w:cs="Arial"/>
          <w:color w:val="000000" w:themeColor="text1"/>
          <w:sz w:val="19"/>
          <w:szCs w:val="19"/>
        </w:rPr>
      </w:pPr>
    </w:p>
  </w:footnote>
  <w:footnote w:id="4">
    <w:p w14:paraId="4AE38202"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Style w:val="Refdenotaalpie"/>
          <w:rFonts w:ascii="Arial" w:hAnsi="Arial" w:cs="Arial"/>
          <w:color w:val="000000" w:themeColor="text1"/>
          <w:sz w:val="19"/>
          <w:szCs w:val="19"/>
        </w:rPr>
        <w:footnoteRef/>
      </w:r>
      <w:r w:rsidRPr="00C052F3">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14FF527B"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220C04AA" w14:textId="77777777" w:rsidR="000920F0" w:rsidRPr="00C052F3" w:rsidRDefault="000920F0" w:rsidP="000920F0">
      <w:pPr>
        <w:pStyle w:val="Textonotapie"/>
        <w:ind w:firstLine="709"/>
        <w:jc w:val="both"/>
        <w:rPr>
          <w:rFonts w:ascii="Arial" w:hAnsi="Arial" w:cs="Arial"/>
          <w:color w:val="000000" w:themeColor="text1"/>
          <w:sz w:val="19"/>
          <w:szCs w:val="19"/>
        </w:rPr>
      </w:pPr>
    </w:p>
  </w:footnote>
  <w:footnote w:id="5">
    <w:p w14:paraId="421BA847"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Fonts w:ascii="Arial" w:hAnsi="Arial" w:cs="Arial"/>
          <w:color w:val="000000" w:themeColor="text1"/>
          <w:sz w:val="19"/>
          <w:szCs w:val="19"/>
          <w:vertAlign w:val="superscript"/>
          <w:lang w:val="es-ES" w:eastAsia="es-ES"/>
        </w:rPr>
        <w:footnoteRef/>
      </w:r>
      <w:r w:rsidRPr="00C052F3">
        <w:rPr>
          <w:rFonts w:ascii="Arial" w:hAnsi="Arial" w:cs="Arial"/>
          <w:color w:val="000000" w:themeColor="text1"/>
          <w:sz w:val="19"/>
          <w:szCs w:val="19"/>
          <w:vertAlign w:val="superscript"/>
          <w:lang w:val="es-ES" w:eastAsia="es-ES"/>
        </w:rPr>
        <w:t xml:space="preserve"> </w:t>
      </w:r>
      <w:r w:rsidRPr="00C052F3">
        <w:rPr>
          <w:rFonts w:ascii="Arial" w:hAnsi="Arial" w:cs="Arial"/>
          <w:color w:val="000000" w:themeColor="text1"/>
          <w:sz w:val="19"/>
          <w:szCs w:val="19"/>
          <w:lang w:val="es-ES" w:eastAsia="es-ES"/>
        </w:rPr>
        <w:t>«</w:t>
      </w:r>
      <w:r w:rsidRPr="00C052F3">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A138050" w14:textId="77777777" w:rsidR="000920F0" w:rsidRPr="00C052F3" w:rsidRDefault="000920F0" w:rsidP="000920F0">
      <w:pPr>
        <w:pStyle w:val="Textonotapie"/>
        <w:ind w:firstLine="709"/>
        <w:jc w:val="both"/>
        <w:rPr>
          <w:rFonts w:ascii="Arial" w:hAnsi="Arial" w:cs="Arial"/>
          <w:color w:val="000000" w:themeColor="text1"/>
          <w:sz w:val="19"/>
          <w:szCs w:val="19"/>
          <w:lang w:val="es-ES" w:eastAsia="es-ES"/>
        </w:rPr>
      </w:pPr>
      <w:r w:rsidRPr="00C052F3">
        <w:rPr>
          <w:rFonts w:ascii="Arial" w:hAnsi="Arial" w:cs="Arial"/>
          <w:color w:val="000000" w:themeColor="text1"/>
          <w:sz w:val="19"/>
          <w:szCs w:val="19"/>
        </w:rPr>
        <w:t>[…].</w:t>
      </w:r>
    </w:p>
    <w:p w14:paraId="192E52B5" w14:textId="77777777" w:rsidR="000920F0" w:rsidRPr="00C052F3" w:rsidRDefault="000920F0" w:rsidP="000920F0">
      <w:pPr>
        <w:pStyle w:val="Textonotapie"/>
        <w:ind w:firstLine="709"/>
        <w:jc w:val="both"/>
        <w:rPr>
          <w:rFonts w:ascii="Arial" w:hAnsi="Arial" w:cs="Arial"/>
          <w:color w:val="000000" w:themeColor="text1"/>
          <w:sz w:val="19"/>
          <w:szCs w:val="19"/>
          <w:lang w:val="es-ES" w:eastAsia="es-ES"/>
        </w:rPr>
      </w:pPr>
      <w:r w:rsidRPr="00C052F3">
        <w:rPr>
          <w:rFonts w:ascii="Arial"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2127B4D6" w14:textId="77777777" w:rsidR="000920F0" w:rsidRPr="00C052F3" w:rsidRDefault="000920F0" w:rsidP="000920F0">
      <w:pPr>
        <w:pStyle w:val="Textonotapie"/>
        <w:ind w:firstLine="709"/>
        <w:jc w:val="both"/>
        <w:rPr>
          <w:rFonts w:ascii="Arial" w:hAnsi="Arial" w:cs="Arial"/>
          <w:color w:val="000000" w:themeColor="text1"/>
          <w:sz w:val="19"/>
          <w:szCs w:val="19"/>
          <w:lang w:val="es-ES" w:eastAsia="es-ES"/>
        </w:rPr>
      </w:pPr>
    </w:p>
  </w:footnote>
  <w:footnote w:id="6">
    <w:p w14:paraId="0B51295F"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Style w:val="Refdenotaalpie"/>
          <w:rFonts w:ascii="Arial" w:hAnsi="Arial" w:cs="Arial"/>
          <w:color w:val="000000" w:themeColor="text1"/>
          <w:sz w:val="19"/>
          <w:szCs w:val="19"/>
        </w:rPr>
        <w:footnoteRef/>
      </w:r>
      <w:r w:rsidRPr="00C052F3">
        <w:rPr>
          <w:rFonts w:ascii="Arial" w:hAnsi="Arial" w:cs="Arial"/>
          <w:color w:val="000000" w:themeColor="text1"/>
          <w:sz w:val="19"/>
          <w:szCs w:val="19"/>
        </w:rPr>
        <w:t xml:space="preserve"> C</w:t>
      </w:r>
      <w:r w:rsidRPr="00C052F3">
        <w:rPr>
          <w:rFonts w:ascii="Arial" w:hAnsi="Arial" w:cs="Arial"/>
          <w:color w:val="000000" w:themeColor="text1"/>
          <w:sz w:val="19"/>
          <w:szCs w:val="19"/>
          <w:lang w:val="es-ES" w:eastAsia="es-ES"/>
        </w:rPr>
        <w:t xml:space="preserve">orte Constitucional. Sentencia C-274 de 9 de mayo de 2013. M.P. María Victoria Calle Correa. </w:t>
      </w:r>
    </w:p>
    <w:p w14:paraId="43ACDAC2" w14:textId="77777777" w:rsidR="000920F0" w:rsidRPr="00C052F3" w:rsidRDefault="000920F0" w:rsidP="000920F0">
      <w:pPr>
        <w:pStyle w:val="Textonotapie"/>
        <w:ind w:firstLine="709"/>
        <w:jc w:val="both"/>
        <w:rPr>
          <w:rFonts w:ascii="Arial" w:hAnsi="Arial" w:cs="Arial"/>
          <w:color w:val="000000" w:themeColor="text1"/>
          <w:sz w:val="19"/>
          <w:szCs w:val="19"/>
        </w:rPr>
      </w:pPr>
    </w:p>
  </w:footnote>
  <w:footnote w:id="7">
    <w:p w14:paraId="5951159F"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Style w:val="Refdenotaalpie"/>
          <w:rFonts w:ascii="Arial" w:hAnsi="Arial" w:cs="Arial"/>
          <w:color w:val="000000" w:themeColor="text1"/>
          <w:sz w:val="19"/>
          <w:szCs w:val="19"/>
        </w:rPr>
        <w:footnoteRef/>
      </w:r>
      <w:r w:rsidRPr="00C052F3">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16B76A1A" w14:textId="77777777" w:rsidR="000920F0" w:rsidRPr="00C052F3" w:rsidRDefault="000920F0" w:rsidP="000920F0">
      <w:pPr>
        <w:pStyle w:val="Textonotapie"/>
        <w:ind w:firstLine="709"/>
        <w:jc w:val="both"/>
        <w:rPr>
          <w:rFonts w:ascii="Arial" w:hAnsi="Arial" w:cs="Arial"/>
          <w:color w:val="000000" w:themeColor="text1"/>
          <w:sz w:val="19"/>
          <w:szCs w:val="19"/>
        </w:rPr>
      </w:pPr>
    </w:p>
  </w:footnote>
  <w:footnote w:id="8">
    <w:p w14:paraId="156E2C28"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Style w:val="Refdenotaalpie"/>
          <w:rFonts w:ascii="Arial" w:hAnsi="Arial" w:cs="Arial"/>
          <w:color w:val="000000" w:themeColor="text1"/>
          <w:sz w:val="19"/>
          <w:szCs w:val="19"/>
        </w:rPr>
        <w:footnoteRef/>
      </w:r>
      <w:r w:rsidRPr="00C052F3">
        <w:rPr>
          <w:rFonts w:ascii="Arial" w:hAnsi="Arial" w:cs="Arial"/>
          <w:color w:val="000000" w:themeColor="text1"/>
          <w:sz w:val="19"/>
          <w:szCs w:val="19"/>
        </w:rPr>
        <w:t xml:space="preserve"> Consejo de Estado. Sección Tercera. Subsección C. Auto del 14 de agosto de 2017. Exp. 58.820. C.P. Jaime Orlando Santofimio Gamboa. </w:t>
      </w:r>
    </w:p>
    <w:p w14:paraId="3EA0C3A9" w14:textId="77777777" w:rsidR="000920F0" w:rsidRPr="00C052F3" w:rsidRDefault="000920F0" w:rsidP="000920F0">
      <w:pPr>
        <w:pStyle w:val="Textonotapie"/>
        <w:ind w:firstLine="709"/>
        <w:jc w:val="both"/>
        <w:rPr>
          <w:rFonts w:ascii="Arial" w:hAnsi="Arial" w:cs="Arial"/>
          <w:color w:val="000000" w:themeColor="text1"/>
          <w:sz w:val="19"/>
          <w:szCs w:val="19"/>
        </w:rPr>
      </w:pPr>
    </w:p>
  </w:footnote>
  <w:footnote w:id="9">
    <w:p w14:paraId="387F0F06" w14:textId="77777777" w:rsidR="000920F0" w:rsidRPr="00C052F3" w:rsidRDefault="000920F0" w:rsidP="000920F0">
      <w:pPr>
        <w:pStyle w:val="Prrafodelista"/>
        <w:ind w:left="0" w:firstLine="709"/>
        <w:jc w:val="both"/>
        <w:rPr>
          <w:rFonts w:ascii="Arial" w:hAnsi="Arial" w:cs="Arial"/>
          <w:bCs/>
          <w:color w:val="000000" w:themeColor="text1"/>
          <w:sz w:val="19"/>
          <w:szCs w:val="19"/>
          <w:lang w:val="es-ES"/>
        </w:rPr>
      </w:pPr>
      <w:r w:rsidRPr="00C052F3">
        <w:rPr>
          <w:rStyle w:val="Refdenotaalpie"/>
          <w:rFonts w:ascii="Arial" w:hAnsi="Arial" w:cs="Arial"/>
          <w:color w:val="000000" w:themeColor="text1"/>
          <w:sz w:val="19"/>
          <w:szCs w:val="19"/>
        </w:rPr>
        <w:footnoteRef/>
      </w:r>
      <w:r w:rsidRPr="00C052F3">
        <w:rPr>
          <w:rFonts w:ascii="Arial" w:hAnsi="Arial" w:cs="Arial"/>
          <w:color w:val="000000" w:themeColor="text1"/>
          <w:sz w:val="19"/>
          <w:szCs w:val="19"/>
        </w:rPr>
        <w:t xml:space="preserve"> </w:t>
      </w:r>
      <w:r w:rsidRPr="00C052F3">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7D7030D8" w14:textId="77777777" w:rsidR="000920F0" w:rsidRPr="00C052F3" w:rsidRDefault="000920F0" w:rsidP="000920F0">
      <w:pPr>
        <w:pStyle w:val="Textonotapie"/>
        <w:ind w:firstLine="709"/>
        <w:jc w:val="both"/>
        <w:rPr>
          <w:rFonts w:ascii="Arial" w:hAnsi="Arial" w:cs="Arial"/>
          <w:color w:val="000000" w:themeColor="text1"/>
          <w:sz w:val="19"/>
          <w:szCs w:val="19"/>
          <w:lang w:val="es-ES"/>
        </w:rPr>
      </w:pPr>
    </w:p>
  </w:footnote>
  <w:footnote w:id="10">
    <w:p w14:paraId="540EBC3D"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Style w:val="Refdenotaalpie"/>
          <w:rFonts w:ascii="Arial" w:hAnsi="Arial" w:cs="Arial"/>
          <w:color w:val="000000" w:themeColor="text1"/>
          <w:sz w:val="19"/>
          <w:szCs w:val="19"/>
        </w:rPr>
        <w:footnoteRef/>
      </w:r>
      <w:r w:rsidRPr="00C052F3">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54584E0B"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5AB6ECB0" w14:textId="77777777" w:rsidR="000920F0" w:rsidRPr="00C052F3" w:rsidRDefault="000920F0" w:rsidP="000920F0">
      <w:pPr>
        <w:pStyle w:val="Textonotapie"/>
        <w:ind w:firstLine="709"/>
        <w:jc w:val="both"/>
        <w:rPr>
          <w:rFonts w:ascii="Arial" w:hAnsi="Arial" w:cs="Arial"/>
          <w:color w:val="000000" w:themeColor="text1"/>
          <w:sz w:val="19"/>
          <w:szCs w:val="19"/>
        </w:rPr>
      </w:pPr>
    </w:p>
  </w:footnote>
  <w:footnote w:id="11">
    <w:p w14:paraId="36A2FCF8"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Style w:val="Refdenotaalpie"/>
          <w:rFonts w:ascii="Arial" w:hAnsi="Arial" w:cs="Arial"/>
          <w:color w:val="000000" w:themeColor="text1"/>
          <w:sz w:val="19"/>
          <w:szCs w:val="19"/>
        </w:rPr>
        <w:footnoteRef/>
      </w:r>
      <w:r w:rsidRPr="00C052F3">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25CF988D" w14:textId="77777777" w:rsidR="000920F0" w:rsidRPr="00C052F3" w:rsidRDefault="000920F0" w:rsidP="000920F0">
      <w:pPr>
        <w:pStyle w:val="Textonotapie"/>
        <w:ind w:firstLine="709"/>
        <w:jc w:val="both"/>
        <w:rPr>
          <w:rFonts w:ascii="Arial" w:hAnsi="Arial" w:cs="Arial"/>
          <w:color w:val="000000" w:themeColor="text1"/>
          <w:sz w:val="19"/>
          <w:szCs w:val="19"/>
        </w:rPr>
      </w:pPr>
    </w:p>
  </w:footnote>
  <w:footnote w:id="12">
    <w:p w14:paraId="281C26A0"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Style w:val="Refdenotaalpie"/>
          <w:rFonts w:ascii="Arial" w:hAnsi="Arial" w:cs="Arial"/>
          <w:color w:val="000000" w:themeColor="text1"/>
          <w:sz w:val="19"/>
          <w:szCs w:val="19"/>
        </w:rPr>
        <w:footnoteRef/>
      </w:r>
      <w:r w:rsidRPr="00C052F3">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5B0293F3" w14:textId="77777777" w:rsidR="000920F0" w:rsidRPr="00C052F3" w:rsidRDefault="000920F0" w:rsidP="000920F0">
      <w:pPr>
        <w:pStyle w:val="Textonotapie"/>
        <w:ind w:firstLine="709"/>
        <w:jc w:val="both"/>
        <w:rPr>
          <w:rFonts w:ascii="Arial" w:hAnsi="Arial" w:cs="Arial"/>
          <w:color w:val="000000" w:themeColor="text1"/>
          <w:sz w:val="19"/>
          <w:szCs w:val="19"/>
        </w:rPr>
      </w:pPr>
    </w:p>
  </w:footnote>
  <w:footnote w:id="13">
    <w:p w14:paraId="0CF2CA97"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Style w:val="Refdenotaalpie"/>
          <w:rFonts w:ascii="Arial" w:hAnsi="Arial" w:cs="Arial"/>
          <w:color w:val="000000" w:themeColor="text1"/>
          <w:sz w:val="19"/>
          <w:szCs w:val="19"/>
        </w:rPr>
        <w:footnoteRef/>
      </w:r>
      <w:r w:rsidRPr="00C052F3">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5952B941"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Fonts w:ascii="Arial" w:hAnsi="Arial" w:cs="Arial"/>
          <w:color w:val="000000" w:themeColor="text1"/>
          <w:sz w:val="19"/>
          <w:szCs w:val="19"/>
        </w:rPr>
        <w:t>»Los sujetos obligados que no contratan con cargo a recursos públicos no están obligados a publicar su Plan Anual de Adquisiciones.</w:t>
      </w:r>
    </w:p>
    <w:p w14:paraId="5599C782"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Fonts w:ascii="Arial" w:hAnsi="Arial" w:cs="Arial"/>
          <w:color w:val="000000" w:themeColor="text1"/>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0787985A"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 w:id="14">
    <w:p w14:paraId="77EC6B2A"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Style w:val="Refdenotaalpie"/>
          <w:rFonts w:ascii="Arial" w:hAnsi="Arial" w:cs="Arial"/>
          <w:color w:val="000000" w:themeColor="text1"/>
          <w:sz w:val="19"/>
          <w:szCs w:val="19"/>
        </w:rPr>
        <w:footnoteRef/>
      </w:r>
      <w:r w:rsidRPr="00C052F3">
        <w:rPr>
          <w:rFonts w:ascii="Arial" w:hAnsi="Arial" w:cs="Arial"/>
          <w:color w:val="000000" w:themeColor="text1"/>
          <w:sz w:val="19"/>
          <w:szCs w:val="19"/>
        </w:rPr>
        <w:t xml:space="preserve"> Esto se deduce, por un lado, del artículo 2, numeral 1º, literal a) de la Ley 80 de 1993, que establece que el Estatuto General de Contratación de la Administración Pública aplica para las «las sociedades de economía mixta en las que el Estado tenga participación superior al cincuenta por ciento (50%)», y por otro, del artículo 14 de la Ley 1150 de 2007, modificado por el artículo 93 de la Ley 1474 de 2011, que dispone: «[…] las Sociedades de Economía Mixta en las que el Estado tenga participación superior al cincuenta por ciento (50%), […],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w:t>
      </w:r>
    </w:p>
    <w:p w14:paraId="43D82C7C" w14:textId="77777777" w:rsidR="000920F0" w:rsidRPr="00C052F3" w:rsidRDefault="000920F0" w:rsidP="000920F0">
      <w:pPr>
        <w:pStyle w:val="Textonotapie"/>
        <w:ind w:firstLine="709"/>
        <w:jc w:val="both"/>
        <w:rPr>
          <w:rFonts w:ascii="Arial" w:hAnsi="Arial" w:cs="Arial"/>
          <w:color w:val="000000" w:themeColor="text1"/>
          <w:sz w:val="19"/>
          <w:szCs w:val="19"/>
        </w:rPr>
      </w:pPr>
    </w:p>
  </w:footnote>
  <w:footnote w:id="15">
    <w:p w14:paraId="572F5F32"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Style w:val="Refdenotaalpie"/>
          <w:rFonts w:ascii="Arial" w:hAnsi="Arial" w:cs="Arial"/>
          <w:color w:val="000000" w:themeColor="text1"/>
          <w:sz w:val="19"/>
          <w:szCs w:val="19"/>
        </w:rPr>
        <w:footnoteRef/>
      </w:r>
      <w:r w:rsidRPr="00C052F3">
        <w:rPr>
          <w:rFonts w:ascii="Arial" w:hAnsi="Arial" w:cs="Arial"/>
          <w:color w:val="000000" w:themeColor="text1"/>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4F63EC50"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Fonts w:ascii="Arial" w:hAnsi="Arial" w:cs="Arial"/>
          <w:color w:val="000000" w:themeColor="text1"/>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476D8929" w14:textId="77777777" w:rsidR="000920F0" w:rsidRPr="00C052F3" w:rsidRDefault="000920F0" w:rsidP="000920F0">
      <w:pPr>
        <w:pStyle w:val="Textonotapie"/>
        <w:ind w:firstLine="709"/>
        <w:jc w:val="both"/>
        <w:rPr>
          <w:rFonts w:ascii="Arial" w:hAnsi="Arial" w:cs="Arial"/>
          <w:color w:val="000000" w:themeColor="text1"/>
          <w:sz w:val="19"/>
          <w:szCs w:val="19"/>
        </w:rPr>
      </w:pPr>
    </w:p>
  </w:footnote>
  <w:footnote w:id="16">
    <w:p w14:paraId="5033CA67"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Style w:val="Refdenotaalpie"/>
          <w:rFonts w:ascii="Arial" w:hAnsi="Arial" w:cs="Arial"/>
          <w:color w:val="000000" w:themeColor="text1"/>
          <w:sz w:val="19"/>
          <w:szCs w:val="19"/>
        </w:rPr>
        <w:footnoteRef/>
      </w:r>
      <w:r w:rsidRPr="00C052F3">
        <w:rPr>
          <w:rFonts w:ascii="Arial" w:hAnsi="Arial" w:cs="Arial"/>
          <w:color w:val="000000" w:themeColor="text1"/>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6DE8A975"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Fonts w:ascii="Arial" w:hAnsi="Arial" w:cs="Arial"/>
          <w:color w:val="000000" w:themeColor="text1"/>
          <w:sz w:val="19"/>
          <w:szCs w:val="19"/>
        </w:rPr>
        <w:t xml:space="preserve">»La información registrada por las Entidades en el SECOP II y en la Tienda Virtual del Estado Colombiano, está disponible en tiempo real en razón a que las actuaciones del Proceso de Contratación tienen lugar electrónicamente a través de dichas plataformas transaccionales. </w:t>
      </w:r>
    </w:p>
    <w:p w14:paraId="11B9D7C1"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Fonts w:ascii="Arial" w:hAnsi="Arial" w:cs="Arial"/>
          <w:color w:val="000000" w:themeColor="text1"/>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footnote>
  <w:footnote w:id="17">
    <w:p w14:paraId="2196D078"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Style w:val="Refdenotaalpie"/>
          <w:rFonts w:ascii="Arial" w:hAnsi="Arial" w:cs="Arial"/>
          <w:color w:val="000000" w:themeColor="text1"/>
          <w:sz w:val="19"/>
          <w:szCs w:val="19"/>
        </w:rPr>
        <w:footnoteRef/>
      </w:r>
      <w:r w:rsidRPr="00C052F3">
        <w:rPr>
          <w:rFonts w:ascii="Arial" w:hAnsi="Arial" w:cs="Arial"/>
          <w:color w:val="000000" w:themeColor="text1"/>
          <w:sz w:val="19"/>
          <w:szCs w:val="19"/>
        </w:rPr>
        <w:t xml:space="preserve"> Corte Constitucional. Sentencia C- 083 del 1 de marzo de 1995. M.P. Carlos Gaviria Díaz.</w:t>
      </w:r>
    </w:p>
    <w:p w14:paraId="31C85EC4" w14:textId="77777777" w:rsidR="000920F0" w:rsidRPr="00C052F3" w:rsidRDefault="000920F0" w:rsidP="000920F0">
      <w:pPr>
        <w:pStyle w:val="Textonotapie"/>
        <w:ind w:firstLine="709"/>
        <w:jc w:val="both"/>
        <w:rPr>
          <w:rFonts w:ascii="Arial" w:hAnsi="Arial" w:cs="Arial"/>
          <w:color w:val="000000" w:themeColor="text1"/>
          <w:sz w:val="19"/>
          <w:szCs w:val="19"/>
        </w:rPr>
      </w:pPr>
    </w:p>
  </w:footnote>
  <w:footnote w:id="18">
    <w:p w14:paraId="6EE85081"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Style w:val="Refdenotaalpie"/>
          <w:rFonts w:ascii="Arial" w:hAnsi="Arial" w:cs="Arial"/>
          <w:color w:val="000000" w:themeColor="text1"/>
          <w:sz w:val="19"/>
          <w:szCs w:val="19"/>
        </w:rPr>
        <w:footnoteRef/>
      </w:r>
      <w:r w:rsidRPr="00C052F3">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616553C1" w14:textId="77777777" w:rsidR="000920F0" w:rsidRPr="00C052F3" w:rsidRDefault="000920F0" w:rsidP="000920F0">
      <w:pPr>
        <w:pStyle w:val="Textonotapie"/>
        <w:ind w:firstLine="709"/>
        <w:jc w:val="both"/>
        <w:rPr>
          <w:rFonts w:ascii="Arial" w:hAnsi="Arial" w:cs="Arial"/>
          <w:color w:val="000000" w:themeColor="text1"/>
          <w:sz w:val="19"/>
          <w:szCs w:val="19"/>
        </w:rPr>
      </w:pPr>
      <w:r w:rsidRPr="00C052F3">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A6064" w14:textId="77777777" w:rsidR="00C71686" w:rsidRDefault="00C7168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7D499" w14:textId="77777777" w:rsidR="00C71686" w:rsidRDefault="00C7168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AAB20A3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920F0"/>
    <w:rsid w:val="000942EB"/>
    <w:rsid w:val="000B103F"/>
    <w:rsid w:val="000F14E8"/>
    <w:rsid w:val="00103915"/>
    <w:rsid w:val="00122B23"/>
    <w:rsid w:val="00137FFA"/>
    <w:rsid w:val="00186799"/>
    <w:rsid w:val="001F5820"/>
    <w:rsid w:val="00234B84"/>
    <w:rsid w:val="00297398"/>
    <w:rsid w:val="003033BA"/>
    <w:rsid w:val="0034680A"/>
    <w:rsid w:val="00386456"/>
    <w:rsid w:val="003A581E"/>
    <w:rsid w:val="004422D6"/>
    <w:rsid w:val="0049398E"/>
    <w:rsid w:val="004A34D2"/>
    <w:rsid w:val="0051074C"/>
    <w:rsid w:val="00513AF2"/>
    <w:rsid w:val="00541CDD"/>
    <w:rsid w:val="0054413A"/>
    <w:rsid w:val="00553E06"/>
    <w:rsid w:val="005564CA"/>
    <w:rsid w:val="00571B84"/>
    <w:rsid w:val="00655371"/>
    <w:rsid w:val="00697665"/>
    <w:rsid w:val="006A7FD0"/>
    <w:rsid w:val="006D7687"/>
    <w:rsid w:val="006E0572"/>
    <w:rsid w:val="006F69FF"/>
    <w:rsid w:val="00705631"/>
    <w:rsid w:val="00742DD2"/>
    <w:rsid w:val="0075647A"/>
    <w:rsid w:val="007634AD"/>
    <w:rsid w:val="0078122E"/>
    <w:rsid w:val="007B0854"/>
    <w:rsid w:val="007F72CB"/>
    <w:rsid w:val="00812B27"/>
    <w:rsid w:val="0083119B"/>
    <w:rsid w:val="00836EAB"/>
    <w:rsid w:val="0085092D"/>
    <w:rsid w:val="008A18E1"/>
    <w:rsid w:val="008E12EE"/>
    <w:rsid w:val="008E1C15"/>
    <w:rsid w:val="009047C5"/>
    <w:rsid w:val="0095385A"/>
    <w:rsid w:val="0095558C"/>
    <w:rsid w:val="00A24560"/>
    <w:rsid w:val="00A34538"/>
    <w:rsid w:val="00AA442B"/>
    <w:rsid w:val="00B22E22"/>
    <w:rsid w:val="00B525CB"/>
    <w:rsid w:val="00B63CB2"/>
    <w:rsid w:val="00BD78FE"/>
    <w:rsid w:val="00C052F3"/>
    <w:rsid w:val="00C71686"/>
    <w:rsid w:val="00CC00CD"/>
    <w:rsid w:val="00D16E39"/>
    <w:rsid w:val="00D72E9D"/>
    <w:rsid w:val="00D82CE5"/>
    <w:rsid w:val="00DA5AB1"/>
    <w:rsid w:val="00DC62E5"/>
    <w:rsid w:val="00DD735D"/>
    <w:rsid w:val="00DE3119"/>
    <w:rsid w:val="00DF236B"/>
    <w:rsid w:val="00E13AB8"/>
    <w:rsid w:val="00E33B62"/>
    <w:rsid w:val="00E635A2"/>
    <w:rsid w:val="00E70B65"/>
    <w:rsid w:val="00F84899"/>
    <w:rsid w:val="00F859F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paragraph" w:customStyle="1" w:styleId="Default">
    <w:name w:val="Default"/>
    <w:rsid w:val="0029739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BB10EF70-EF8A-49A8-8C73-9004B82B4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60D385-26E5-47B6-9997-C14D47025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12</Pages>
  <Words>3794</Words>
  <Characters>21631</Characters>
  <Application>Microsoft Office Word</Application>
  <DocSecurity>0</DocSecurity>
  <Lines>180</Lines>
  <Paragraphs>50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2020-08-06T22:23:00Z</dcterms:created>
  <dcterms:modified xsi:type="dcterms:W3CDTF">2020-08-06T22:23:00Z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