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D63422" w14:textId="77777777" w:rsidR="00B84284" w:rsidRDefault="00B84284" w:rsidP="00B84284">
      <w:pPr>
        <w:jc w:val="both"/>
        <w:rPr>
          <w:rFonts w:ascii="Arial" w:eastAsia="Calibri" w:hAnsi="Arial" w:cs="Arial"/>
          <w:b/>
          <w:bCs/>
          <w:sz w:val="22"/>
          <w:szCs w:val="22"/>
        </w:rPr>
      </w:pPr>
      <w:r w:rsidRPr="004A00BB">
        <w:rPr>
          <w:rFonts w:ascii="Arial" w:eastAsia="Calibri" w:hAnsi="Arial" w:cs="Arial"/>
          <w:b/>
          <w:bCs/>
          <w:sz w:val="22"/>
          <w:szCs w:val="22"/>
        </w:rPr>
        <w:t>PROMOCIÓN AL DESARROLLO – Ley 2069 de 2020 – Artículo 34</w:t>
      </w:r>
    </w:p>
    <w:p w14:paraId="739AD67D" w14:textId="77777777" w:rsidR="00B84284" w:rsidRPr="00781AC2" w:rsidRDefault="00B84284" w:rsidP="00B84284">
      <w:pPr>
        <w:jc w:val="both"/>
        <w:rPr>
          <w:rFonts w:ascii="Arial" w:eastAsiaTheme="minorHAnsi" w:hAnsi="Arial" w:cs="Arial"/>
          <w:bCs/>
          <w:sz w:val="20"/>
          <w:szCs w:val="20"/>
        </w:rPr>
      </w:pPr>
    </w:p>
    <w:p w14:paraId="162366F5" w14:textId="77777777" w:rsidR="00B84284" w:rsidRDefault="00B84284" w:rsidP="00B84284">
      <w:pPr>
        <w:jc w:val="both"/>
        <w:rPr>
          <w:rStyle w:val="eop"/>
          <w:rFonts w:ascii="Arial" w:hAnsi="Arial" w:cs="Arial"/>
          <w:color w:val="000000"/>
          <w:sz w:val="20"/>
          <w:szCs w:val="20"/>
          <w:shd w:val="clear" w:color="auto" w:fill="FFFFFF"/>
        </w:rPr>
      </w:pPr>
      <w:r>
        <w:rPr>
          <w:rStyle w:val="normaltextrun"/>
          <w:rFonts w:ascii="Arial" w:hAnsi="Arial" w:cs="Arial"/>
          <w:color w:val="000000"/>
          <w:sz w:val="20"/>
          <w:szCs w:val="20"/>
          <w:shd w:val="clear" w:color="auto" w:fill="FFFFFF"/>
          <w:lang w:val="es-ES"/>
        </w:rPr>
        <w:t xml:space="preserve">El artículo 34 de la Ley 2069 de 2020 dispone nuevas reglas sobre la promoción al desarrollo en la contratación estatal. Concretamente, modifica el contenido del artículo 12 de la Ley 1150 de 2007, regulación que se resume en los siguientes aspectos: i) Encomienda, con carácter imperativo, al gobierno nacional definir las condiciones y los montos para que las entidades estatales –cualquiera sea su régimen contractual–, los patrimonios autónomos constituidos por aquellas y los particulares que administren recursos públicos efectúen convocatorias limitadas a </w:t>
      </w:r>
      <w:proofErr w:type="spellStart"/>
      <w:r>
        <w:rPr>
          <w:rStyle w:val="normaltextrun"/>
          <w:rFonts w:ascii="Arial" w:hAnsi="Arial" w:cs="Arial"/>
          <w:color w:val="000000"/>
          <w:sz w:val="20"/>
          <w:szCs w:val="20"/>
          <w:shd w:val="clear" w:color="auto" w:fill="FFFFFF"/>
          <w:lang w:val="es-ES"/>
        </w:rPr>
        <w:t>Mipyme</w:t>
      </w:r>
      <w:proofErr w:type="spellEnd"/>
      <w:r>
        <w:rPr>
          <w:rStyle w:val="normaltextrun"/>
          <w:rFonts w:ascii="Arial" w:hAnsi="Arial" w:cs="Arial"/>
          <w:color w:val="000000"/>
          <w:sz w:val="20"/>
          <w:szCs w:val="20"/>
          <w:shd w:val="clear" w:color="auto" w:fill="FFFFFF"/>
          <w:lang w:val="es-ES"/>
        </w:rPr>
        <w:t xml:space="preserve"> en los procesos de contratación. Además, agrega que estas convocatorias se pueden realizar también en el ámbito municipal o departamental en el que se ejecute el contrato. </w:t>
      </w:r>
      <w:proofErr w:type="spellStart"/>
      <w:r>
        <w:rPr>
          <w:rStyle w:val="normaltextrun"/>
          <w:rFonts w:ascii="Arial" w:hAnsi="Arial" w:cs="Arial"/>
          <w:color w:val="000000"/>
          <w:sz w:val="20"/>
          <w:szCs w:val="20"/>
          <w:shd w:val="clear" w:color="auto" w:fill="FFFFFF"/>
          <w:lang w:val="es-ES"/>
        </w:rPr>
        <w:t>ii</w:t>
      </w:r>
      <w:proofErr w:type="spellEnd"/>
      <w:r>
        <w:rPr>
          <w:rStyle w:val="normaltextrun"/>
          <w:rFonts w:ascii="Arial" w:hAnsi="Arial" w:cs="Arial"/>
          <w:color w:val="000000"/>
          <w:sz w:val="20"/>
          <w:szCs w:val="20"/>
          <w:shd w:val="clear" w:color="auto" w:fill="FFFFFF"/>
          <w:lang w:val="es-ES"/>
        </w:rPr>
        <w:t xml:space="preserve">) Indica que dichas convocatorias se deben efectuar –y así lo deberá reglamentar el gobierno nacional– siempre y cuando, antes del acto administrativo de apertura del proceso de selección, por lo menos dos (2) </w:t>
      </w:r>
      <w:proofErr w:type="spellStart"/>
      <w:r>
        <w:rPr>
          <w:rStyle w:val="normaltextrun"/>
          <w:rFonts w:ascii="Arial" w:hAnsi="Arial" w:cs="Arial"/>
          <w:color w:val="000000"/>
          <w:sz w:val="20"/>
          <w:szCs w:val="20"/>
          <w:shd w:val="clear" w:color="auto" w:fill="FFFFFF"/>
          <w:lang w:val="es-ES"/>
        </w:rPr>
        <w:t>Mipyme</w:t>
      </w:r>
      <w:proofErr w:type="spellEnd"/>
      <w:r>
        <w:rPr>
          <w:rStyle w:val="normaltextrun"/>
          <w:rFonts w:ascii="Arial" w:hAnsi="Arial" w:cs="Arial"/>
          <w:color w:val="000000"/>
          <w:sz w:val="20"/>
          <w:szCs w:val="20"/>
          <w:shd w:val="clear" w:color="auto" w:fill="FFFFFF"/>
          <w:lang w:val="es-ES"/>
        </w:rPr>
        <w:t xml:space="preserve"> hayan manifestado su interés. […]</w:t>
      </w:r>
      <w:r>
        <w:rPr>
          <w:rStyle w:val="eop"/>
          <w:rFonts w:ascii="Arial" w:hAnsi="Arial" w:cs="Arial"/>
          <w:color w:val="000000"/>
          <w:sz w:val="20"/>
          <w:szCs w:val="20"/>
          <w:shd w:val="clear" w:color="auto" w:fill="FFFFFF"/>
        </w:rPr>
        <w:t> </w:t>
      </w:r>
    </w:p>
    <w:p w14:paraId="67318E0F" w14:textId="77777777" w:rsidR="00B84284" w:rsidRPr="0069552F" w:rsidRDefault="00B84284" w:rsidP="00B84284">
      <w:pPr>
        <w:jc w:val="both"/>
      </w:pPr>
    </w:p>
    <w:p w14:paraId="7323B31B" w14:textId="77777777" w:rsidR="00B84284" w:rsidRDefault="00B84284" w:rsidP="00B84284">
      <w:pPr>
        <w:jc w:val="both"/>
        <w:rPr>
          <w:rFonts w:ascii="Arial" w:eastAsia="Calibri" w:hAnsi="Arial" w:cs="Arial"/>
          <w:b/>
          <w:bCs/>
          <w:sz w:val="22"/>
          <w:szCs w:val="22"/>
        </w:rPr>
      </w:pPr>
      <w:r w:rsidRPr="006865EA">
        <w:rPr>
          <w:rFonts w:ascii="Arial" w:eastAsia="Calibri" w:hAnsi="Arial" w:cs="Arial"/>
          <w:b/>
          <w:bCs/>
          <w:sz w:val="22"/>
          <w:szCs w:val="22"/>
        </w:rPr>
        <w:t>CONVOCATORIAS LIMITADAS A MIPYMES NACIONALES – Requisitos</w:t>
      </w:r>
    </w:p>
    <w:p w14:paraId="3B9B14F6" w14:textId="77777777" w:rsidR="00B84284" w:rsidRPr="0069552F" w:rsidRDefault="00B84284" w:rsidP="00B84284">
      <w:pPr>
        <w:jc w:val="both"/>
      </w:pPr>
    </w:p>
    <w:p w14:paraId="477FE879" w14:textId="77777777" w:rsidR="00B84284" w:rsidRDefault="00B84284" w:rsidP="00B84284">
      <w:pPr>
        <w:pStyle w:val="paragraph"/>
        <w:spacing w:before="0" w:beforeAutospacing="0" w:after="0" w:afterAutospacing="0"/>
        <w:jc w:val="both"/>
        <w:textAlignment w:val="baseline"/>
        <w:rPr>
          <w:rStyle w:val="eop"/>
          <w:rFonts w:ascii="Arial" w:hAnsi="Arial" w:cs="Arial"/>
          <w:color w:val="000000"/>
          <w:sz w:val="20"/>
          <w:szCs w:val="20"/>
        </w:rPr>
      </w:pPr>
      <w:r>
        <w:rPr>
          <w:rStyle w:val="normaltextrun"/>
          <w:rFonts w:ascii="Arial" w:hAnsi="Arial" w:cs="Arial"/>
          <w:color w:val="000000"/>
          <w:sz w:val="20"/>
          <w:szCs w:val="20"/>
        </w:rPr>
        <w:t xml:space="preserve">El artículo 2.2.1.2.4.2.2. del Decreto 1082 de 2015 establece los requisitos que se deben acreditar en las «convocatorias limitadas a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El primer elemento delimitador del ámbito de aplicación de esta norma deriva del primer inciso en donde se estable que la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Pr>
          <w:rStyle w:val="normaltextrun"/>
          <w:rFonts w:ascii="Arial" w:hAnsi="Arial" w:cs="Arial"/>
          <w:color w:val="000000"/>
          <w:sz w:val="20"/>
          <w:szCs w:val="20"/>
        </w:rPr>
        <w:t>Mipyme</w:t>
      </w:r>
      <w:proofErr w:type="spellEnd"/>
      <w:r>
        <w:rPr>
          <w:rStyle w:val="normaltextrun"/>
          <w:rFonts w:ascii="Arial" w:hAnsi="Arial" w:cs="Arial"/>
          <w:color w:val="000000"/>
          <w:sz w:val="20"/>
          <w:szCs w:val="20"/>
        </w:rPr>
        <w:t xml:space="preserve"> colombianas con mínimo un (1) año de existencia […]». Esta redacción obedece a un cambio introducido por el Decreto 1860 de 2021, el cual solo permitía la limitación a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nacionales en los procedimientos de licitación pública, selección abreviada y concurso de méritos. </w:t>
      </w:r>
      <w:r>
        <w:rPr>
          <w:rStyle w:val="eop"/>
          <w:rFonts w:ascii="Arial" w:hAnsi="Arial" w:cs="Arial"/>
          <w:color w:val="000000"/>
        </w:rPr>
        <w:t> </w:t>
      </w:r>
    </w:p>
    <w:p w14:paraId="11065243" w14:textId="77777777" w:rsidR="00B84284" w:rsidRDefault="00B84284" w:rsidP="00B84284">
      <w:pPr>
        <w:pStyle w:val="paragraph"/>
        <w:spacing w:before="0" w:beforeAutospacing="0" w:after="0" w:afterAutospacing="0"/>
        <w:jc w:val="both"/>
        <w:textAlignment w:val="baseline"/>
        <w:rPr>
          <w:rFonts w:ascii="Segoe UI" w:hAnsi="Segoe UI" w:cs="Segoe UI"/>
          <w:sz w:val="18"/>
          <w:szCs w:val="18"/>
        </w:rPr>
      </w:pPr>
    </w:p>
    <w:p w14:paraId="3A8E81D2" w14:textId="77777777" w:rsidR="00B84284" w:rsidRDefault="00B84284" w:rsidP="00B84284">
      <w:pPr>
        <w:pStyle w:val="paragraph"/>
        <w:spacing w:before="0" w:beforeAutospacing="0" w:after="0" w:afterAutospacing="0"/>
        <w:jc w:val="both"/>
        <w:textAlignment w:val="baseline"/>
        <w:rPr>
          <w:rStyle w:val="normaltextrun"/>
          <w:rFonts w:ascii="Arial" w:hAnsi="Arial" w:cs="Arial"/>
          <w:color w:val="000000"/>
          <w:sz w:val="20"/>
          <w:szCs w:val="20"/>
        </w:rPr>
      </w:pPr>
      <w:r>
        <w:rPr>
          <w:rStyle w:val="normaltextrun"/>
          <w:rFonts w:ascii="Arial" w:hAnsi="Arial" w:cs="Arial"/>
          <w:color w:val="000000"/>
          <w:sz w:val="20"/>
          <w:szCs w:val="20"/>
        </w:rPr>
        <w:t xml:space="preserve">El numeral primero limita cuantitativamente los procesos contractuales en los que se puede hacer esa «convocatoria limitada a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en la medida en que el valor del proceso de contratación tendrá que ser «menor a ciento veinticinco mil dólares de los Estados Unidos de América». </w:t>
      </w:r>
    </w:p>
    <w:p w14:paraId="081738F3" w14:textId="77777777" w:rsidR="00B84284" w:rsidRDefault="00B84284" w:rsidP="00B84284">
      <w:pPr>
        <w:pStyle w:val="paragraph"/>
        <w:spacing w:before="0" w:beforeAutospacing="0" w:after="0" w:afterAutospacing="0"/>
        <w:jc w:val="both"/>
        <w:textAlignment w:val="baseline"/>
        <w:rPr>
          <w:rStyle w:val="normaltextrun"/>
          <w:rFonts w:ascii="Arial" w:hAnsi="Arial" w:cs="Arial"/>
          <w:color w:val="000000"/>
          <w:sz w:val="20"/>
          <w:szCs w:val="20"/>
        </w:rPr>
      </w:pPr>
    </w:p>
    <w:p w14:paraId="7DF065B7" w14:textId="77777777" w:rsidR="00B84284" w:rsidRDefault="00B84284" w:rsidP="00B84284">
      <w:pPr>
        <w:pStyle w:val="paragraph"/>
        <w:spacing w:before="0" w:beforeAutospacing="0" w:after="0" w:afterAutospacing="0"/>
        <w:jc w:val="both"/>
        <w:textAlignment w:val="baseline"/>
        <w:rPr>
          <w:rStyle w:val="normaltextrun"/>
          <w:rFonts w:ascii="Arial" w:hAnsi="Arial" w:cs="Arial"/>
          <w:color w:val="000000"/>
          <w:sz w:val="20"/>
          <w:szCs w:val="20"/>
        </w:rPr>
      </w:pPr>
      <w:r>
        <w:rPr>
          <w:rStyle w:val="normaltextrun"/>
          <w:rFonts w:ascii="Arial" w:hAnsi="Arial" w:cs="Arial"/>
          <w:color w:val="000000"/>
          <w:sz w:val="20"/>
          <w:szCs w:val="20"/>
        </w:rPr>
        <w:t>[…]</w:t>
      </w:r>
    </w:p>
    <w:p w14:paraId="0A7B1A77" w14:textId="77777777" w:rsidR="00B84284" w:rsidRDefault="00B84284" w:rsidP="00B8428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color w:val="000000"/>
        </w:rPr>
        <w:t> </w:t>
      </w:r>
    </w:p>
    <w:p w14:paraId="2FB2F9CF" w14:textId="77777777" w:rsidR="00B84284" w:rsidRDefault="00B84284" w:rsidP="00B8428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xml:space="preserve">El numeral segundo establece dos exigencias: por un lado, que al menos dos (2)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nacionales presenten a la entidad la solicitud formal de limitar el proceso contractual; y por el otro, que hagan la solicitud por lo menos un (1) día hábil antes de la expedición del acto administrativo de apertura, o el que haga sus veces de acuerdo con la normativa aplicable a cada Proceso de Contratación. Adicionalmente, el segundo inciso del numeral 2 de la norma indica que, tratándose de personas jurídicas, las solicitudes solo podrán realizar solicitudes las «[…] </w:t>
      </w:r>
      <w:proofErr w:type="spellStart"/>
      <w:r>
        <w:rPr>
          <w:rStyle w:val="normaltextrun"/>
          <w:rFonts w:ascii="Arial" w:hAnsi="Arial" w:cs="Arial"/>
          <w:color w:val="000000"/>
          <w:sz w:val="20"/>
          <w:szCs w:val="20"/>
        </w:rPr>
        <w:t>Mipyme</w:t>
      </w:r>
      <w:proofErr w:type="spellEnd"/>
      <w:r>
        <w:rPr>
          <w:rStyle w:val="normaltextrun"/>
          <w:rFonts w:ascii="Arial" w:hAnsi="Arial" w:cs="Arial"/>
          <w:color w:val="000000"/>
          <w:sz w:val="20"/>
          <w:szCs w:val="20"/>
        </w:rPr>
        <w:t>, cuyo objeto social les permita ejecutar el contrato relacionado con el proceso contractual».</w:t>
      </w:r>
      <w:r>
        <w:rPr>
          <w:rStyle w:val="eop"/>
          <w:rFonts w:ascii="Arial" w:hAnsi="Arial" w:cs="Arial"/>
          <w:color w:val="000000"/>
        </w:rPr>
        <w:t> </w:t>
      </w:r>
    </w:p>
    <w:p w14:paraId="002644FB" w14:textId="77777777" w:rsidR="00B84284" w:rsidRPr="0069552F" w:rsidRDefault="00B84284" w:rsidP="00B84284">
      <w:pPr>
        <w:jc w:val="both"/>
        <w:rPr>
          <w:rFonts w:ascii="Arial" w:eastAsia="Arial" w:hAnsi="Arial" w:cs="Arial"/>
          <w:sz w:val="20"/>
          <w:szCs w:val="20"/>
        </w:rPr>
      </w:pPr>
    </w:p>
    <w:p w14:paraId="57310F4C" w14:textId="77777777" w:rsidR="00B84284" w:rsidRDefault="00B84284" w:rsidP="00B84284">
      <w:pPr>
        <w:jc w:val="both"/>
        <w:rPr>
          <w:rStyle w:val="normaltextrun"/>
          <w:rFonts w:ascii="Arial" w:hAnsi="Arial" w:cs="Arial"/>
          <w:b/>
          <w:bCs/>
          <w:color w:val="000000"/>
          <w:sz w:val="20"/>
          <w:szCs w:val="20"/>
          <w:shd w:val="clear" w:color="auto" w:fill="FFFFFF"/>
        </w:rPr>
      </w:pPr>
      <w:r>
        <w:rPr>
          <w:rStyle w:val="normaltextrun"/>
          <w:rFonts w:ascii="Arial" w:hAnsi="Arial" w:cs="Arial"/>
          <w:b/>
          <w:bCs/>
          <w:color w:val="000000"/>
          <w:sz w:val="20"/>
          <w:szCs w:val="20"/>
          <w:shd w:val="clear" w:color="auto" w:fill="FFFFFF"/>
        </w:rPr>
        <w:t xml:space="preserve">CONVOCATORIAS LIMITADAS A MIPYMES </w:t>
      </w:r>
      <w:r>
        <w:rPr>
          <w:rStyle w:val="normaltextrun"/>
          <w:rFonts w:ascii="Arial" w:hAnsi="Arial" w:cs="Arial"/>
          <w:b/>
          <w:bCs/>
          <w:color w:val="000000"/>
          <w:sz w:val="20"/>
          <w:szCs w:val="20"/>
          <w:shd w:val="clear" w:color="auto" w:fill="FFFFFF"/>
          <w:lang w:val="es-ES"/>
        </w:rPr>
        <w:t xml:space="preserve">EN EL ÁMBITO </w:t>
      </w:r>
      <w:proofErr w:type="gramStart"/>
      <w:r>
        <w:rPr>
          <w:rStyle w:val="normaltextrun"/>
          <w:rFonts w:ascii="Arial" w:hAnsi="Arial" w:cs="Arial"/>
          <w:b/>
          <w:bCs/>
          <w:color w:val="000000"/>
          <w:sz w:val="20"/>
          <w:szCs w:val="20"/>
          <w:shd w:val="clear" w:color="auto" w:fill="FFFFFF"/>
          <w:lang w:val="es-ES"/>
        </w:rPr>
        <w:t>TERRITORIAL </w:t>
      </w:r>
      <w:r>
        <w:rPr>
          <w:rStyle w:val="normaltextrun"/>
          <w:rFonts w:ascii="Arial" w:hAnsi="Arial" w:cs="Arial"/>
          <w:b/>
          <w:bCs/>
          <w:color w:val="000000"/>
          <w:sz w:val="20"/>
          <w:szCs w:val="20"/>
          <w:shd w:val="clear" w:color="auto" w:fill="FFFFFF"/>
        </w:rPr>
        <w:t xml:space="preserve"> –</w:t>
      </w:r>
      <w:proofErr w:type="gramEnd"/>
      <w:r>
        <w:rPr>
          <w:rStyle w:val="normaltextrun"/>
          <w:rFonts w:ascii="Arial" w:hAnsi="Arial" w:cs="Arial"/>
          <w:b/>
          <w:bCs/>
          <w:color w:val="000000"/>
          <w:sz w:val="20"/>
          <w:szCs w:val="20"/>
          <w:shd w:val="clear" w:color="auto" w:fill="FFFFFF"/>
        </w:rPr>
        <w:t xml:space="preserve"> Limitación territorial – Facultad discrecional</w:t>
      </w:r>
    </w:p>
    <w:p w14:paraId="1024C6B5" w14:textId="77777777" w:rsidR="00B84284" w:rsidRPr="0069552F" w:rsidRDefault="00B84284" w:rsidP="00B84284">
      <w:pPr>
        <w:jc w:val="both"/>
      </w:pPr>
    </w:p>
    <w:p w14:paraId="6DE7C56C" w14:textId="77777777" w:rsidR="00B84284" w:rsidRDefault="00B84284" w:rsidP="00B84284">
      <w:pPr>
        <w:pStyle w:val="paragraph"/>
        <w:spacing w:before="0" w:beforeAutospacing="0" w:after="0" w:afterAutospacing="0"/>
        <w:jc w:val="both"/>
        <w:textAlignment w:val="baseline"/>
        <w:rPr>
          <w:rFonts w:ascii="Segoe UI" w:hAnsi="Segoe UI" w:cs="Segoe UI"/>
          <w:sz w:val="18"/>
          <w:szCs w:val="18"/>
        </w:rPr>
      </w:pPr>
      <w:r>
        <w:rPr>
          <w:rStyle w:val="normaltextrun"/>
          <w:rFonts w:ascii="Arial" w:hAnsi="Arial" w:cs="Arial"/>
          <w:color w:val="000000"/>
          <w:sz w:val="20"/>
          <w:szCs w:val="20"/>
        </w:rPr>
        <w:t xml:space="preserve">Cumplidos los dos requisitos del artículo 2.2.1.2.4.2.2. </w:t>
      </w:r>
      <w:r>
        <w:rPr>
          <w:rStyle w:val="normaltextrun"/>
          <w:rFonts w:ascii="Arial" w:hAnsi="Arial" w:cs="Arial"/>
          <w:i/>
          <w:iCs/>
          <w:color w:val="000000"/>
          <w:sz w:val="20"/>
          <w:szCs w:val="20"/>
        </w:rPr>
        <w:t>ibidem</w:t>
      </w:r>
      <w:r>
        <w:rPr>
          <w:rStyle w:val="normaltextrun"/>
          <w:rFonts w:ascii="Arial" w:hAnsi="Arial" w:cs="Arial"/>
          <w:color w:val="000000"/>
          <w:sz w:val="20"/>
          <w:szCs w:val="20"/>
        </w:rPr>
        <w:t xml:space="preserve">, la entidad puede ─no tiene que─ decidir si limita la convocatoria a las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nacionales domiciliadas en el municipio o departamento en el que se ejecutará el contrato</w:t>
      </w:r>
      <w:r>
        <w:rPr>
          <w:rStyle w:val="superscript"/>
          <w:rFonts w:ascii="Arial" w:hAnsi="Arial" w:cs="Arial"/>
          <w:color w:val="000000"/>
          <w:sz w:val="16"/>
          <w:szCs w:val="16"/>
          <w:vertAlign w:val="superscript"/>
        </w:rPr>
        <w:t>1</w:t>
      </w:r>
      <w:r>
        <w:rPr>
          <w:rStyle w:val="normaltextrun"/>
          <w:rFonts w:ascii="Arial" w:hAnsi="Arial" w:cs="Arial"/>
          <w:color w:val="000000"/>
          <w:sz w:val="20"/>
          <w:szCs w:val="20"/>
        </w:rPr>
        <w:t xml:space="preserve">. Esto de acuerdo con lo establecido en artículo 2.2.1.2.4.2.3. del Decreto 1082 de 2015, norma que se refiere a la facultad de la administración con el verbo infinitivo «poder», no «deber». En cualquier caso, Colombia Compra Eficiente ha sostenido que es discrecional la decisión de limitar territorialmente una convocatoria de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y ha precisado que, de todos modos, la decisión debe estar justificada en los correspondientes «estudios del sector». […] los artículos 2.2.1.2.4.2.2 y </w:t>
      </w:r>
      <w:r>
        <w:rPr>
          <w:rStyle w:val="normaltextrun"/>
          <w:rFonts w:ascii="Arial" w:hAnsi="Arial" w:cs="Arial"/>
          <w:color w:val="000000"/>
          <w:sz w:val="20"/>
          <w:szCs w:val="20"/>
        </w:rPr>
        <w:lastRenderedPageBreak/>
        <w:t xml:space="preserve">2.2.1.2.4.2.3  deben ser interpretados de manera armónica, comoquiera que para proceder a limitar hacer una limitación territoriales es indispensable que se cumplan, no solo el presupuestos establecidos en el artículo 2.2.1.2.4.2.3.–domicilio en el municipio o departamento de ejecución del contrato–, sino también los establecidos en el artículo 2.2.1.2.4.2.2 –valor del proceso de contratación en el rango indicado y solicitudes de al menos dos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presentadas oportunamente–. En ese sentido, para que proceda la limitación territorial es necesario que se presenten al menos dos solicitudes de </w:t>
      </w:r>
      <w:proofErr w:type="spellStart"/>
      <w:r>
        <w:rPr>
          <w:rStyle w:val="normaltextrun"/>
          <w:rFonts w:ascii="Arial" w:hAnsi="Arial" w:cs="Arial"/>
          <w:color w:val="000000"/>
          <w:sz w:val="20"/>
          <w:szCs w:val="20"/>
        </w:rPr>
        <w:t>mipymes</w:t>
      </w:r>
      <w:proofErr w:type="spellEnd"/>
      <w:r>
        <w:rPr>
          <w:rStyle w:val="normaltextrun"/>
          <w:rFonts w:ascii="Arial" w:hAnsi="Arial" w:cs="Arial"/>
          <w:color w:val="000000"/>
          <w:sz w:val="20"/>
          <w:szCs w:val="20"/>
        </w:rPr>
        <w:t xml:space="preserve"> domiciliadas en el departamento o municipio en donde se va a ejecutar el contrato.  Este entendimiento de la norma, sin embargo, da lugar a dos interpretaciones sobre las que se deben hacer unas precisiones.</w:t>
      </w:r>
      <w:r>
        <w:rPr>
          <w:rStyle w:val="eop"/>
          <w:rFonts w:ascii="Arial" w:hAnsi="Arial" w:cs="Arial"/>
          <w:color w:val="000000"/>
          <w:sz w:val="20"/>
          <w:szCs w:val="20"/>
        </w:rPr>
        <w:t> </w:t>
      </w:r>
    </w:p>
    <w:p w14:paraId="6F8DBEDC" w14:textId="77777777" w:rsidR="00B84284" w:rsidRDefault="00B84284" w:rsidP="00B84284">
      <w:pPr>
        <w:pStyle w:val="paragraph"/>
        <w:spacing w:before="0" w:beforeAutospacing="0" w:after="0" w:afterAutospacing="0"/>
        <w:jc w:val="both"/>
        <w:textAlignment w:val="baseline"/>
        <w:rPr>
          <w:rFonts w:ascii="Segoe UI" w:hAnsi="Segoe UI" w:cs="Segoe UI"/>
          <w:sz w:val="18"/>
          <w:szCs w:val="18"/>
        </w:rPr>
      </w:pPr>
      <w:r>
        <w:rPr>
          <w:rStyle w:val="eop"/>
          <w:rFonts w:ascii="Arial" w:hAnsi="Arial" w:cs="Arial"/>
          <w:sz w:val="22"/>
          <w:szCs w:val="22"/>
        </w:rPr>
        <w:t> </w:t>
      </w:r>
    </w:p>
    <w:p w14:paraId="2BDFFD3A" w14:textId="77777777" w:rsidR="00B84284" w:rsidRDefault="00B84284" w:rsidP="00B84284">
      <w:pPr>
        <w:jc w:val="both"/>
        <w:rPr>
          <w:rFonts w:ascii="Arial" w:eastAsia="Calibri" w:hAnsi="Arial" w:cs="Arial"/>
          <w:b/>
          <w:bCs/>
          <w:sz w:val="22"/>
          <w:szCs w:val="22"/>
        </w:rPr>
      </w:pPr>
      <w:r w:rsidRPr="00584116">
        <w:rPr>
          <w:rFonts w:ascii="Arial" w:eastAsia="Calibri" w:hAnsi="Arial" w:cs="Arial"/>
          <w:b/>
          <w:bCs/>
          <w:sz w:val="22"/>
          <w:szCs w:val="22"/>
        </w:rPr>
        <w:t>CONVOCATORIAS LIMITADAS A MIPYMES EN EL ÁMBITO TERRITORIAL – Presupuestos mínimos – Análisis del sector – Mecanismos de control</w:t>
      </w:r>
    </w:p>
    <w:p w14:paraId="4B0264EC" w14:textId="77777777" w:rsidR="00B84284" w:rsidRPr="0069552F" w:rsidRDefault="00B84284" w:rsidP="00B84284">
      <w:pPr>
        <w:jc w:val="both"/>
      </w:pPr>
    </w:p>
    <w:p w14:paraId="35E69D2F" w14:textId="77777777" w:rsidR="00B84284" w:rsidRDefault="00B84284" w:rsidP="00B84284">
      <w:pPr>
        <w:jc w:val="both"/>
        <w:rPr>
          <w:rFonts w:ascii="Arial" w:eastAsia="Arial" w:hAnsi="Arial" w:cs="Arial"/>
          <w:sz w:val="20"/>
          <w:szCs w:val="20"/>
        </w:rPr>
      </w:pPr>
      <w:r w:rsidRPr="002B78FD">
        <w:rPr>
          <w:rFonts w:ascii="Arial" w:eastAsia="Arial" w:hAnsi="Arial" w:cs="Arial"/>
          <w:sz w:val="20"/>
          <w:szCs w:val="20"/>
        </w:rPr>
        <w:t xml:space="preserve">Conforme a esto, el debido ejercicio de la referida potestad discrecional exige que converjan unos mínimos presupuestos de adecuación, para que resulte adecuada la decisión de limitar una convocatoria a la participación exclusiva de </w:t>
      </w:r>
      <w:proofErr w:type="spellStart"/>
      <w:r w:rsidRPr="002B78FD">
        <w:rPr>
          <w:rFonts w:ascii="Arial" w:eastAsia="Arial" w:hAnsi="Arial" w:cs="Arial"/>
          <w:sz w:val="20"/>
          <w:szCs w:val="20"/>
        </w:rPr>
        <w:t>mipymes</w:t>
      </w:r>
      <w:proofErr w:type="spellEnd"/>
      <w:r w:rsidRPr="002B78FD">
        <w:rPr>
          <w:rFonts w:ascii="Arial" w:eastAsia="Arial" w:hAnsi="Arial" w:cs="Arial"/>
          <w:sz w:val="20"/>
          <w:szCs w:val="20"/>
        </w:rPr>
        <w:t xml:space="preserve">. Es por esto por lo que la decisión de limitar territorialmente una convocatoria solo puede resultar razonable si la información recolectada en el marco del análisis del sector indica que en el lugar de ejecución del contrato existe un número significativo de </w:t>
      </w:r>
      <w:proofErr w:type="spellStart"/>
      <w:r w:rsidRPr="002B78FD">
        <w:rPr>
          <w:rFonts w:ascii="Arial" w:eastAsia="Arial" w:hAnsi="Arial" w:cs="Arial"/>
          <w:sz w:val="20"/>
          <w:szCs w:val="20"/>
        </w:rPr>
        <w:t>mipymes</w:t>
      </w:r>
      <w:proofErr w:type="spellEnd"/>
      <w:r w:rsidRPr="002B78FD">
        <w:rPr>
          <w:rFonts w:ascii="Arial" w:eastAsia="Arial" w:hAnsi="Arial" w:cs="Arial"/>
          <w:sz w:val="20"/>
          <w:szCs w:val="20"/>
        </w:rPr>
        <w:t xml:space="preserve"> allí domiciliadas, cuyo objeto social les permitiría desarrollar el contrato o que estén interesadas en participar en el respectivo proceso de contratación. Adicionalmente, se torna relevante determinar que tantas de esas </w:t>
      </w:r>
      <w:proofErr w:type="spellStart"/>
      <w:r w:rsidRPr="002B78FD">
        <w:rPr>
          <w:rFonts w:ascii="Arial" w:eastAsia="Arial" w:hAnsi="Arial" w:cs="Arial"/>
          <w:sz w:val="20"/>
          <w:szCs w:val="20"/>
        </w:rPr>
        <w:t>mipymes</w:t>
      </w:r>
      <w:proofErr w:type="spellEnd"/>
      <w:r w:rsidRPr="002B78FD">
        <w:rPr>
          <w:rFonts w:ascii="Arial" w:eastAsia="Arial" w:hAnsi="Arial" w:cs="Arial"/>
          <w:sz w:val="20"/>
          <w:szCs w:val="20"/>
        </w:rPr>
        <w:t xml:space="preserve">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w:t>
      </w:r>
      <w:proofErr w:type="spellStart"/>
      <w:r w:rsidRPr="002B78FD">
        <w:rPr>
          <w:rFonts w:ascii="Arial" w:eastAsia="Arial" w:hAnsi="Arial" w:cs="Arial"/>
          <w:sz w:val="20"/>
          <w:szCs w:val="20"/>
        </w:rPr>
        <w:t>mipymes</w:t>
      </w:r>
      <w:proofErr w:type="spellEnd"/>
      <w:r w:rsidRPr="002B78FD">
        <w:rPr>
          <w:rFonts w:ascii="Arial" w:eastAsia="Arial" w:hAnsi="Arial" w:cs="Arial"/>
          <w:sz w:val="20"/>
          <w:szCs w:val="20"/>
        </w:rPr>
        <w:t xml:space="preserve"> que estén en posición de participar en el respectivo proceso.</w:t>
      </w:r>
    </w:p>
    <w:p w14:paraId="6B28D9AE" w14:textId="77777777" w:rsidR="00B84284" w:rsidRPr="002B78FD" w:rsidRDefault="00B84284" w:rsidP="00B84284">
      <w:pPr>
        <w:jc w:val="both"/>
        <w:rPr>
          <w:rFonts w:ascii="Arial" w:eastAsia="Arial" w:hAnsi="Arial" w:cs="Arial"/>
          <w:sz w:val="20"/>
          <w:szCs w:val="20"/>
        </w:rPr>
      </w:pPr>
    </w:p>
    <w:p w14:paraId="1933DE9A" w14:textId="77777777" w:rsidR="00B84284" w:rsidRPr="002B78FD" w:rsidRDefault="00B84284" w:rsidP="00B84284">
      <w:pPr>
        <w:jc w:val="both"/>
        <w:rPr>
          <w:rFonts w:ascii="Arial" w:eastAsia="Arial" w:hAnsi="Arial" w:cs="Arial"/>
          <w:sz w:val="20"/>
          <w:szCs w:val="20"/>
        </w:rPr>
      </w:pPr>
      <w:r w:rsidRPr="002B78FD">
        <w:rPr>
          <w:rFonts w:ascii="Arial" w:eastAsia="Arial" w:hAnsi="Arial" w:cs="Arial"/>
          <w:sz w:val="20"/>
          <w:szCs w:val="20"/>
        </w:rPr>
        <w:t xml:space="preserve">En atención a lo anterior, situaciones en las que se presentan un ejercicio de la potestad de limitar a </w:t>
      </w:r>
      <w:proofErr w:type="spellStart"/>
      <w:r w:rsidRPr="002B78FD">
        <w:rPr>
          <w:rFonts w:ascii="Arial" w:eastAsia="Arial" w:hAnsi="Arial" w:cs="Arial"/>
          <w:sz w:val="20"/>
          <w:szCs w:val="20"/>
        </w:rPr>
        <w:t>mipymes</w:t>
      </w:r>
      <w:proofErr w:type="spellEnd"/>
      <w:r w:rsidRPr="002B78FD">
        <w:rPr>
          <w:rFonts w:ascii="Arial" w:eastAsia="Arial" w:hAnsi="Arial" w:cs="Arial"/>
          <w:sz w:val="20"/>
          <w:szCs w:val="20"/>
        </w:rPr>
        <w:t xml:space="preserve">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w:t>
      </w:r>
    </w:p>
    <w:p w14:paraId="75EF6D1E" w14:textId="77777777" w:rsidR="00B84284" w:rsidRDefault="00B84284" w:rsidP="00B84284">
      <w:pPr>
        <w:jc w:val="both"/>
        <w:rPr>
          <w:rFonts w:ascii="Arial" w:eastAsia="Calibri" w:hAnsi="Arial" w:cs="Arial"/>
          <w:b/>
          <w:bCs/>
          <w:sz w:val="22"/>
          <w:szCs w:val="22"/>
        </w:rPr>
      </w:pPr>
    </w:p>
    <w:p w14:paraId="7D3A1A6C" w14:textId="77777777" w:rsidR="00B84284" w:rsidRDefault="00B84284" w:rsidP="00B84284">
      <w:pPr>
        <w:jc w:val="both"/>
        <w:rPr>
          <w:rFonts w:ascii="Arial" w:eastAsia="Calibri" w:hAnsi="Arial" w:cs="Arial"/>
          <w:b/>
          <w:bCs/>
          <w:sz w:val="22"/>
          <w:szCs w:val="22"/>
        </w:rPr>
      </w:pPr>
    </w:p>
    <w:p w14:paraId="39148B42" w14:textId="77777777" w:rsidR="00B84284" w:rsidRDefault="00B84284" w:rsidP="00B84284">
      <w:pPr>
        <w:jc w:val="both"/>
        <w:rPr>
          <w:rFonts w:ascii="Arial" w:eastAsia="Calibri" w:hAnsi="Arial" w:cs="Arial"/>
          <w:b/>
          <w:bCs/>
          <w:sz w:val="22"/>
          <w:szCs w:val="22"/>
        </w:rPr>
      </w:pPr>
    </w:p>
    <w:p w14:paraId="642F3DB6" w14:textId="77777777" w:rsidR="00B84284" w:rsidRDefault="00B84284" w:rsidP="00B84284">
      <w:pPr>
        <w:jc w:val="both"/>
        <w:rPr>
          <w:rFonts w:ascii="Arial" w:eastAsia="Calibri" w:hAnsi="Arial" w:cs="Arial"/>
          <w:b/>
          <w:bCs/>
          <w:sz w:val="22"/>
          <w:szCs w:val="22"/>
        </w:rPr>
      </w:pPr>
    </w:p>
    <w:p w14:paraId="035F6E0D" w14:textId="77777777" w:rsidR="00B84284" w:rsidRDefault="00B84284" w:rsidP="00B84284">
      <w:pPr>
        <w:jc w:val="both"/>
        <w:rPr>
          <w:rFonts w:ascii="Arial" w:eastAsia="Calibri" w:hAnsi="Arial" w:cs="Arial"/>
          <w:b/>
          <w:bCs/>
          <w:sz w:val="22"/>
          <w:szCs w:val="22"/>
        </w:rPr>
      </w:pPr>
    </w:p>
    <w:p w14:paraId="7F0D90A8" w14:textId="77777777" w:rsidR="00B84284" w:rsidRDefault="00B84284" w:rsidP="00B84284">
      <w:pPr>
        <w:jc w:val="both"/>
        <w:rPr>
          <w:rFonts w:ascii="Arial" w:eastAsia="Calibri" w:hAnsi="Arial" w:cs="Arial"/>
          <w:b/>
          <w:bCs/>
          <w:sz w:val="22"/>
          <w:szCs w:val="22"/>
        </w:rPr>
      </w:pPr>
    </w:p>
    <w:p w14:paraId="4673761E" w14:textId="77777777" w:rsidR="00B84284" w:rsidRDefault="00B84284" w:rsidP="00B84284">
      <w:pPr>
        <w:jc w:val="both"/>
        <w:rPr>
          <w:rFonts w:ascii="Arial" w:eastAsia="Calibri" w:hAnsi="Arial" w:cs="Arial"/>
          <w:b/>
          <w:bCs/>
          <w:sz w:val="22"/>
          <w:szCs w:val="22"/>
        </w:rPr>
      </w:pPr>
    </w:p>
    <w:p w14:paraId="568724C1" w14:textId="77777777" w:rsidR="00B84284" w:rsidRDefault="00B84284" w:rsidP="00B84284">
      <w:pPr>
        <w:jc w:val="both"/>
        <w:rPr>
          <w:rFonts w:ascii="Arial" w:eastAsia="Calibri" w:hAnsi="Arial" w:cs="Arial"/>
          <w:b/>
          <w:bCs/>
          <w:sz w:val="22"/>
          <w:szCs w:val="22"/>
        </w:rPr>
      </w:pPr>
    </w:p>
    <w:p w14:paraId="1999E15F" w14:textId="77777777" w:rsidR="00B84284" w:rsidRDefault="00B84284" w:rsidP="00B84284">
      <w:pPr>
        <w:jc w:val="both"/>
        <w:rPr>
          <w:rFonts w:ascii="Arial" w:eastAsia="Calibri" w:hAnsi="Arial" w:cs="Arial"/>
          <w:b/>
          <w:bCs/>
          <w:sz w:val="22"/>
          <w:szCs w:val="22"/>
        </w:rPr>
      </w:pPr>
    </w:p>
    <w:p w14:paraId="3F67CA82" w14:textId="77777777" w:rsidR="00B84284" w:rsidRDefault="00B84284" w:rsidP="00B84284">
      <w:pPr>
        <w:jc w:val="both"/>
        <w:rPr>
          <w:rFonts w:ascii="Arial" w:eastAsia="Calibri" w:hAnsi="Arial" w:cs="Arial"/>
          <w:b/>
          <w:bCs/>
          <w:sz w:val="22"/>
          <w:szCs w:val="22"/>
        </w:rPr>
      </w:pPr>
    </w:p>
    <w:p w14:paraId="0BD0C4A2" w14:textId="77777777" w:rsidR="00B84284" w:rsidRDefault="00B84284" w:rsidP="00B84284">
      <w:pPr>
        <w:jc w:val="both"/>
        <w:rPr>
          <w:rFonts w:ascii="Arial" w:eastAsia="Calibri" w:hAnsi="Arial" w:cs="Arial"/>
          <w:b/>
          <w:bCs/>
          <w:sz w:val="22"/>
          <w:szCs w:val="22"/>
        </w:rPr>
      </w:pPr>
    </w:p>
    <w:p w14:paraId="63142170" w14:textId="77777777" w:rsidR="00B84284" w:rsidRDefault="00B84284" w:rsidP="00B84284">
      <w:pPr>
        <w:jc w:val="both"/>
        <w:rPr>
          <w:rFonts w:ascii="Arial" w:eastAsia="Calibri" w:hAnsi="Arial" w:cs="Arial"/>
          <w:b/>
          <w:bCs/>
          <w:sz w:val="22"/>
          <w:szCs w:val="22"/>
        </w:rPr>
      </w:pPr>
    </w:p>
    <w:p w14:paraId="1653B46F" w14:textId="77777777" w:rsidR="00B84284" w:rsidRDefault="00B84284" w:rsidP="00B84284">
      <w:pPr>
        <w:jc w:val="both"/>
        <w:rPr>
          <w:rFonts w:ascii="Arial" w:eastAsia="Calibri" w:hAnsi="Arial" w:cs="Arial"/>
          <w:b/>
          <w:bCs/>
          <w:sz w:val="22"/>
          <w:szCs w:val="22"/>
        </w:rPr>
      </w:pPr>
    </w:p>
    <w:p w14:paraId="243DCBA3" w14:textId="77777777" w:rsidR="00B84284" w:rsidRDefault="00B84284" w:rsidP="00B84284">
      <w:pPr>
        <w:jc w:val="both"/>
        <w:rPr>
          <w:rFonts w:ascii="Arial" w:eastAsia="Calibri" w:hAnsi="Arial" w:cs="Arial"/>
          <w:b/>
          <w:bCs/>
          <w:sz w:val="22"/>
          <w:szCs w:val="22"/>
        </w:rPr>
      </w:pPr>
    </w:p>
    <w:p w14:paraId="71B9E05D" w14:textId="77777777" w:rsidR="00B84284" w:rsidRDefault="00B84284" w:rsidP="00B84284">
      <w:pPr>
        <w:jc w:val="both"/>
        <w:rPr>
          <w:rFonts w:ascii="Arial" w:eastAsia="Calibri" w:hAnsi="Arial" w:cs="Arial"/>
          <w:b/>
          <w:bCs/>
          <w:sz w:val="22"/>
          <w:szCs w:val="22"/>
        </w:rPr>
      </w:pPr>
    </w:p>
    <w:p w14:paraId="02E139D0" w14:textId="77777777" w:rsidR="00B84284" w:rsidRDefault="00B84284" w:rsidP="00B84284">
      <w:pPr>
        <w:jc w:val="both"/>
        <w:rPr>
          <w:rFonts w:ascii="Arial" w:eastAsia="Calibri" w:hAnsi="Arial" w:cs="Arial"/>
          <w:b/>
          <w:bCs/>
          <w:sz w:val="22"/>
          <w:szCs w:val="22"/>
        </w:rPr>
      </w:pPr>
    </w:p>
    <w:p w14:paraId="157394F1" w14:textId="77777777" w:rsidR="00B84284" w:rsidRDefault="00B84284" w:rsidP="00B84284">
      <w:pPr>
        <w:spacing w:line="276" w:lineRule="auto"/>
        <w:jc w:val="both"/>
        <w:rPr>
          <w:rFonts w:ascii="Arial" w:eastAsia="Arial" w:hAnsi="Arial" w:cs="Arial"/>
          <w:sz w:val="22"/>
          <w:szCs w:val="22"/>
        </w:rPr>
      </w:pPr>
    </w:p>
    <w:p w14:paraId="0E2593C2" w14:textId="2409B665" w:rsidR="00B84284" w:rsidRPr="00781AC2" w:rsidRDefault="00B84284" w:rsidP="00B84284">
      <w:pPr>
        <w:spacing w:line="276" w:lineRule="auto"/>
        <w:jc w:val="both"/>
        <w:rPr>
          <w:rFonts w:ascii="Arial" w:hAnsi="Arial" w:cs="Arial"/>
          <w:sz w:val="22"/>
          <w:szCs w:val="22"/>
        </w:rPr>
      </w:pPr>
      <w:r w:rsidRPr="00CB0DD3">
        <w:rPr>
          <w:rFonts w:ascii="Arial" w:eastAsia="Arial" w:hAnsi="Arial" w:cs="Arial"/>
          <w:sz w:val="22"/>
          <w:szCs w:val="22"/>
        </w:rPr>
        <w:t>Bogotá D.C., </w:t>
      </w:r>
      <w:bookmarkStart w:id="0" w:name="_Hlk133595819"/>
      <w:r w:rsidR="00EC055B">
        <w:rPr>
          <w:rFonts w:ascii="Arial" w:eastAsia="Arial" w:hAnsi="Arial" w:cs="Arial"/>
          <w:sz w:val="22"/>
          <w:szCs w:val="22"/>
        </w:rPr>
        <w:t>28 de abril de</w:t>
      </w:r>
      <w:r w:rsidRPr="00CB0DD3">
        <w:rPr>
          <w:rFonts w:ascii="Arial" w:eastAsia="Arial" w:hAnsi="Arial" w:cs="Arial"/>
          <w:sz w:val="22"/>
          <w:szCs w:val="22"/>
        </w:rPr>
        <w:t xml:space="preserve"> </w:t>
      </w:r>
      <w:bookmarkEnd w:id="0"/>
      <w:r w:rsidRPr="00CB0DD3">
        <w:rPr>
          <w:rFonts w:ascii="Arial" w:eastAsia="Arial" w:hAnsi="Arial" w:cs="Arial"/>
          <w:sz w:val="22"/>
          <w:szCs w:val="22"/>
        </w:rPr>
        <w:t>[Año]</w:t>
      </w:r>
      <w:r w:rsidRPr="00CB0DD3">
        <w:rPr>
          <w:rFonts w:ascii="Arial" w:eastAsia="Arial" w:hAnsi="Arial" w:cs="Arial"/>
          <w:sz w:val="22"/>
          <w:szCs w:val="22"/>
        </w:rPr>
        <w:tab/>
      </w:r>
    </w:p>
    <w:p w14:paraId="52A2386A" w14:textId="5B7A92C9" w:rsidR="00B84284" w:rsidRPr="00781AC2" w:rsidRDefault="00F57AC1" w:rsidP="00F57AC1">
      <w:pPr>
        <w:spacing w:line="276" w:lineRule="auto"/>
        <w:jc w:val="right"/>
        <w:rPr>
          <w:rFonts w:ascii="Arial" w:hAnsi="Arial" w:cs="Arial"/>
          <w:noProof/>
          <w:sz w:val="22"/>
          <w:lang w:val="es-ES_tradnl"/>
        </w:rPr>
      </w:pPr>
      <w:r>
        <w:rPr>
          <w:noProof/>
          <w14:ligatures w14:val="standardContextual"/>
        </w:rPr>
        <w:drawing>
          <wp:inline distT="0" distB="0" distL="0" distR="0" wp14:anchorId="085E002A" wp14:editId="3428525E">
            <wp:extent cx="2785641" cy="732776"/>
            <wp:effectExtent l="0" t="0" r="0" b="0"/>
            <wp:docPr id="26357980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579809" name="Imagen 1" descr="Texto&#10;&#10;Descripción generada automáticamente"/>
                    <pic:cNvPicPr/>
                  </pic:nvPicPr>
                  <pic:blipFill rotWithShape="1">
                    <a:blip r:embed="rId7"/>
                    <a:srcRect l="33341" t="45923" r="19946" b="32220"/>
                    <a:stretch/>
                  </pic:blipFill>
                  <pic:spPr bwMode="auto">
                    <a:xfrm>
                      <a:off x="0" y="0"/>
                      <a:ext cx="2789452" cy="733779"/>
                    </a:xfrm>
                    <a:prstGeom prst="rect">
                      <a:avLst/>
                    </a:prstGeom>
                    <a:ln>
                      <a:noFill/>
                    </a:ln>
                    <a:extLst>
                      <a:ext uri="{53640926-AAD7-44D8-BBD7-CCE9431645EC}">
                        <a14:shadowObscured xmlns:a14="http://schemas.microsoft.com/office/drawing/2010/main"/>
                      </a:ext>
                    </a:extLst>
                  </pic:spPr>
                </pic:pic>
              </a:graphicData>
            </a:graphic>
          </wp:inline>
        </w:drawing>
      </w:r>
    </w:p>
    <w:p w14:paraId="345B2A87" w14:textId="77777777" w:rsidR="00B84284" w:rsidRDefault="00B84284" w:rsidP="00B84284">
      <w:pPr>
        <w:spacing w:line="276" w:lineRule="auto"/>
        <w:jc w:val="both"/>
        <w:rPr>
          <w:rFonts w:ascii="Arial" w:hAnsi="Arial" w:cs="Arial"/>
          <w:noProof/>
          <w:sz w:val="22"/>
          <w:lang w:val="es-ES_tradnl"/>
        </w:rPr>
      </w:pPr>
    </w:p>
    <w:p w14:paraId="1C2EAB64" w14:textId="77777777" w:rsidR="00B84284" w:rsidRPr="00781AC2" w:rsidRDefault="00B84284" w:rsidP="00B84284">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Señor</w:t>
      </w:r>
      <w:r>
        <w:rPr>
          <w:rFonts w:ascii="Arial" w:eastAsia="Calibri" w:hAnsi="Arial" w:cs="Arial"/>
          <w:sz w:val="22"/>
          <w:szCs w:val="22"/>
          <w:lang w:val="es-ES"/>
        </w:rPr>
        <w:t>a</w:t>
      </w:r>
    </w:p>
    <w:p w14:paraId="4571E55B" w14:textId="77777777" w:rsidR="00B84284" w:rsidRPr="00781AC2" w:rsidRDefault="00B84284" w:rsidP="00B84284">
      <w:pPr>
        <w:spacing w:line="276" w:lineRule="auto"/>
        <w:jc w:val="both"/>
        <w:rPr>
          <w:rFonts w:ascii="Arial" w:eastAsia="Calibri" w:hAnsi="Arial" w:cs="Arial"/>
          <w:b/>
          <w:bCs/>
          <w:sz w:val="22"/>
          <w:szCs w:val="22"/>
          <w:lang w:val="es-ES"/>
        </w:rPr>
      </w:pPr>
      <w:r>
        <w:rPr>
          <w:rFonts w:ascii="Arial" w:eastAsia="Calibri" w:hAnsi="Arial" w:cs="Arial"/>
          <w:b/>
          <w:bCs/>
          <w:sz w:val="22"/>
          <w:szCs w:val="22"/>
          <w:lang w:val="es-ES"/>
        </w:rPr>
        <w:t>Yudi Katherine Monroy Lozano</w:t>
      </w:r>
    </w:p>
    <w:p w14:paraId="3D78BF95" w14:textId="77777777" w:rsidR="00B84284" w:rsidRPr="00781AC2" w:rsidRDefault="00B84284" w:rsidP="00B84284">
      <w:pPr>
        <w:spacing w:line="276" w:lineRule="auto"/>
        <w:jc w:val="both"/>
        <w:rPr>
          <w:rFonts w:ascii="Arial" w:eastAsia="Calibri" w:hAnsi="Arial" w:cs="Arial"/>
          <w:sz w:val="22"/>
          <w:lang w:val="es-ES_tradnl"/>
        </w:rPr>
      </w:pPr>
      <w:r w:rsidRPr="00781AC2">
        <w:rPr>
          <w:rFonts w:ascii="Arial" w:eastAsia="Calibri" w:hAnsi="Arial" w:cs="Arial"/>
          <w:bCs/>
          <w:sz w:val="22"/>
          <w:lang w:val="es-ES_tradnl"/>
        </w:rPr>
        <w:t xml:space="preserve">San </w:t>
      </w:r>
      <w:r>
        <w:rPr>
          <w:rFonts w:ascii="Arial" w:eastAsia="Calibri" w:hAnsi="Arial" w:cs="Arial"/>
          <w:bCs/>
          <w:sz w:val="22"/>
          <w:lang w:val="es-ES_tradnl"/>
        </w:rPr>
        <w:t>José del Guaviare</w:t>
      </w:r>
      <w:r w:rsidRPr="00781AC2">
        <w:rPr>
          <w:rFonts w:ascii="Arial" w:eastAsia="Calibri" w:hAnsi="Arial" w:cs="Arial"/>
          <w:sz w:val="22"/>
          <w:lang w:val="es-ES_tradnl"/>
        </w:rPr>
        <w:t xml:space="preserve">, </w:t>
      </w:r>
      <w:r>
        <w:rPr>
          <w:rFonts w:ascii="Arial" w:eastAsia="Calibri" w:hAnsi="Arial" w:cs="Arial"/>
          <w:sz w:val="22"/>
          <w:lang w:val="es-ES_tradnl"/>
        </w:rPr>
        <w:t>Guaviare</w:t>
      </w:r>
      <w:r w:rsidRPr="00781AC2">
        <w:rPr>
          <w:rFonts w:ascii="Arial" w:eastAsia="Calibri" w:hAnsi="Arial" w:cs="Arial"/>
          <w:sz w:val="22"/>
          <w:lang w:val="es-ES_tradnl"/>
        </w:rPr>
        <w:t xml:space="preserve"> </w:t>
      </w:r>
    </w:p>
    <w:p w14:paraId="5C5A83B4" w14:textId="77777777" w:rsidR="00B84284" w:rsidRDefault="00B84284" w:rsidP="00B84284">
      <w:pPr>
        <w:spacing w:line="276" w:lineRule="auto"/>
        <w:jc w:val="both"/>
        <w:rPr>
          <w:rFonts w:ascii="Arial" w:eastAsia="Calibri" w:hAnsi="Arial" w:cs="Arial"/>
          <w:sz w:val="22"/>
          <w:lang w:val="es-ES_tradnl"/>
        </w:rPr>
      </w:pPr>
    </w:p>
    <w:p w14:paraId="177B82A9" w14:textId="77777777" w:rsidR="00B84284" w:rsidRPr="00781AC2" w:rsidRDefault="00B84284" w:rsidP="00B84284">
      <w:pPr>
        <w:spacing w:line="276" w:lineRule="auto"/>
        <w:jc w:val="both"/>
        <w:rPr>
          <w:rFonts w:ascii="Arial" w:eastAsia="Calibri" w:hAnsi="Arial" w:cs="Arial"/>
          <w:sz w:val="22"/>
          <w:lang w:val="es-ES_tradnl"/>
        </w:rPr>
      </w:pPr>
    </w:p>
    <w:p w14:paraId="785040F1" w14:textId="77777777" w:rsidR="00B84284" w:rsidRDefault="00B84284" w:rsidP="00B84284">
      <w:pPr>
        <w:spacing w:line="276" w:lineRule="auto"/>
        <w:ind w:left="3261" w:hanging="142"/>
        <w:jc w:val="both"/>
        <w:rPr>
          <w:rFonts w:ascii="Arial" w:eastAsia="Calibri" w:hAnsi="Arial" w:cs="Arial"/>
          <w:b/>
          <w:bCs/>
          <w:sz w:val="22"/>
          <w:szCs w:val="22"/>
          <w:lang w:val="es-ES"/>
        </w:rPr>
      </w:pPr>
      <w:r w:rsidRPr="00781AC2">
        <w:rPr>
          <w:rFonts w:ascii="Arial" w:eastAsia="Calibri" w:hAnsi="Arial" w:cs="Arial"/>
          <w:b/>
          <w:bCs/>
          <w:sz w:val="22"/>
          <w:szCs w:val="22"/>
          <w:lang w:val="es-ES"/>
        </w:rPr>
        <w:t>Concepto C</w:t>
      </w:r>
      <w:r>
        <w:rPr>
          <w:rFonts w:ascii="Arial" w:eastAsia="Calibri" w:hAnsi="Arial" w:cs="Arial"/>
          <w:b/>
          <w:bCs/>
          <w:sz w:val="22"/>
          <w:szCs w:val="22"/>
          <w:lang w:val="es-ES"/>
        </w:rPr>
        <w:t>–</w:t>
      </w:r>
      <w:r w:rsidRPr="00781AC2">
        <w:rPr>
          <w:rFonts w:ascii="Arial" w:eastAsia="Calibri" w:hAnsi="Arial" w:cs="Arial"/>
          <w:b/>
          <w:bCs/>
          <w:sz w:val="22"/>
          <w:szCs w:val="22"/>
          <w:lang w:val="es-ES"/>
        </w:rPr>
        <w:t>0</w:t>
      </w:r>
      <w:r>
        <w:rPr>
          <w:rFonts w:ascii="Arial" w:eastAsia="Calibri" w:hAnsi="Arial" w:cs="Arial"/>
          <w:b/>
          <w:bCs/>
          <w:sz w:val="22"/>
          <w:szCs w:val="22"/>
          <w:lang w:val="es-ES"/>
        </w:rPr>
        <w:t>89</w:t>
      </w:r>
      <w:r w:rsidRPr="00781AC2">
        <w:rPr>
          <w:rFonts w:ascii="Arial" w:eastAsia="Calibri" w:hAnsi="Arial" w:cs="Arial"/>
          <w:b/>
          <w:bCs/>
          <w:sz w:val="22"/>
          <w:szCs w:val="22"/>
          <w:lang w:val="es-ES"/>
        </w:rPr>
        <w:t xml:space="preserve"> de 2023</w:t>
      </w:r>
    </w:p>
    <w:p w14:paraId="39D85C8E" w14:textId="77777777" w:rsidR="00B84284" w:rsidRPr="00781AC2" w:rsidRDefault="00B84284" w:rsidP="00B84284">
      <w:pPr>
        <w:spacing w:line="276" w:lineRule="auto"/>
        <w:ind w:left="3261" w:hanging="142"/>
        <w:jc w:val="both"/>
        <w:rPr>
          <w:rFonts w:ascii="Arial" w:eastAsia="Calibri" w:hAnsi="Arial" w:cs="Arial"/>
          <w:b/>
          <w:bCs/>
          <w:sz w:val="22"/>
          <w:szCs w:val="22"/>
          <w:lang w:val="es-ES"/>
        </w:rPr>
      </w:pPr>
    </w:p>
    <w:p w14:paraId="3C6388EE" w14:textId="77777777" w:rsidR="00B84284" w:rsidRPr="00781AC2" w:rsidRDefault="00B84284" w:rsidP="00B84284">
      <w:pPr>
        <w:spacing w:line="276" w:lineRule="auto"/>
        <w:jc w:val="both"/>
        <w:rPr>
          <w:rFonts w:ascii="Arial" w:eastAsia="Calibri" w:hAnsi="Arial" w:cs="Arial"/>
          <w:sz w:val="22"/>
          <w:lang w:val="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B84284" w:rsidRPr="00781AC2" w14:paraId="31905A90" w14:textId="77777777" w:rsidTr="00330BDD">
        <w:trPr>
          <w:jc w:val="right"/>
        </w:trPr>
        <w:tc>
          <w:tcPr>
            <w:tcW w:w="1838" w:type="dxa"/>
          </w:tcPr>
          <w:p w14:paraId="5188E807" w14:textId="77777777" w:rsidR="00B84284" w:rsidRPr="00781AC2" w:rsidRDefault="00B84284" w:rsidP="00330BDD">
            <w:pPr>
              <w:spacing w:line="276" w:lineRule="auto"/>
              <w:jc w:val="both"/>
              <w:rPr>
                <w:rFonts w:ascii="Arial" w:eastAsia="Calibri" w:hAnsi="Arial" w:cs="Arial"/>
                <w:sz w:val="22"/>
                <w:lang w:val="es-ES_tradnl"/>
              </w:rPr>
            </w:pPr>
            <w:r w:rsidRPr="00781AC2">
              <w:rPr>
                <w:rFonts w:ascii="Arial" w:eastAsia="Calibri" w:hAnsi="Arial" w:cs="Arial"/>
                <w:b/>
                <w:sz w:val="22"/>
                <w:lang w:val="es-ES_tradnl"/>
              </w:rPr>
              <w:t>Temas:</w:t>
            </w:r>
          </w:p>
        </w:tc>
        <w:tc>
          <w:tcPr>
            <w:tcW w:w="6237" w:type="dxa"/>
          </w:tcPr>
          <w:p w14:paraId="0C3A3F05" w14:textId="77777777" w:rsidR="00B84284" w:rsidRPr="00781AC2" w:rsidRDefault="00B84284" w:rsidP="00330BDD">
            <w:pPr>
              <w:spacing w:line="276" w:lineRule="auto"/>
              <w:jc w:val="both"/>
              <w:rPr>
                <w:rFonts w:ascii="Arial" w:hAnsi="Arial" w:cs="Arial"/>
                <w:lang w:val="es-ES_tradnl"/>
              </w:rPr>
            </w:pPr>
            <w:r w:rsidRPr="009E1D4F">
              <w:rPr>
                <w:rFonts w:ascii="Arial" w:eastAsia="Calibri" w:hAnsi="Arial" w:cs="Arial"/>
                <w:bCs/>
                <w:lang w:val="es-ES_tradnl"/>
              </w:rPr>
              <w:t xml:space="preserve">PROMOCIÓN AL DESARROLLO – Ley 2069 de 2020 – Artículo 34 / </w:t>
            </w:r>
            <w:r w:rsidRPr="009E1D4F">
              <w:rPr>
                <w:rFonts w:ascii="Arial" w:eastAsia="Arial" w:hAnsi="Arial" w:cs="Arial"/>
                <w:bCs/>
                <w:color w:val="000000"/>
              </w:rPr>
              <w:t xml:space="preserve">CONVOCATORIAS LIMITADAS A MIPYMES NACIONALES – </w:t>
            </w:r>
            <w:r>
              <w:rPr>
                <w:rFonts w:ascii="Arial" w:eastAsia="Arial" w:hAnsi="Arial" w:cs="Arial"/>
                <w:bCs/>
                <w:color w:val="000000"/>
              </w:rPr>
              <w:t>Requisitos</w:t>
            </w:r>
            <w:r w:rsidRPr="009E1D4F">
              <w:rPr>
                <w:rFonts w:ascii="Arial" w:eastAsia="Arial" w:hAnsi="Arial" w:cs="Arial"/>
                <w:bCs/>
                <w:color w:val="000000"/>
              </w:rPr>
              <w:t xml:space="preserve"> / CONVOCATORIAS LIMITADAS A MIPYMES </w:t>
            </w:r>
            <w:r w:rsidRPr="004579E8">
              <w:rPr>
                <w:rFonts w:ascii="Arial" w:eastAsia="Calibri" w:hAnsi="Arial" w:cs="Arial"/>
                <w:lang w:val="es-ES_tradnl"/>
              </w:rPr>
              <w:t>EN EL ÁMBITO TERRITORIAL</w:t>
            </w:r>
            <w:r w:rsidRPr="009E1D4F">
              <w:rPr>
                <w:rFonts w:ascii="Arial" w:eastAsia="Arial" w:hAnsi="Arial" w:cs="Arial"/>
                <w:bCs/>
                <w:color w:val="000000"/>
              </w:rPr>
              <w:t xml:space="preserve"> – Limitación territorial – Facultad discrecional</w:t>
            </w:r>
            <w:r>
              <w:rPr>
                <w:rFonts w:ascii="Arial" w:eastAsia="Arial" w:hAnsi="Arial" w:cs="Arial"/>
                <w:sz w:val="22"/>
                <w:szCs w:val="22"/>
              </w:rPr>
              <w:t xml:space="preserve"> </w:t>
            </w:r>
            <w:r w:rsidRPr="009E1D4F">
              <w:rPr>
                <w:rFonts w:ascii="Arial" w:eastAsia="Arial" w:hAnsi="Arial" w:cs="Arial"/>
                <w:bCs/>
                <w:color w:val="000000"/>
              </w:rPr>
              <w:t xml:space="preserve">CONVOCATORIAS LIMITADAS A MIPYMES </w:t>
            </w:r>
            <w:r w:rsidRPr="004579E8">
              <w:rPr>
                <w:rFonts w:ascii="Arial" w:eastAsia="Calibri" w:hAnsi="Arial" w:cs="Arial"/>
                <w:lang w:val="es-ES_tradnl"/>
              </w:rPr>
              <w:t>EN EL ÁMBITO TERRITORIAL</w:t>
            </w:r>
            <w:r>
              <w:rPr>
                <w:rFonts w:ascii="Arial" w:eastAsia="Calibri" w:hAnsi="Arial" w:cs="Arial"/>
                <w:lang w:val="es-ES_tradnl"/>
              </w:rPr>
              <w:t xml:space="preserve"> – Presupuestos mínimos – Análisis del sector – Mecanismos de control</w:t>
            </w:r>
          </w:p>
        </w:tc>
      </w:tr>
      <w:tr w:rsidR="00B84284" w:rsidRPr="00781AC2" w14:paraId="71385E9F" w14:textId="77777777" w:rsidTr="00330BDD">
        <w:trPr>
          <w:jc w:val="right"/>
        </w:trPr>
        <w:tc>
          <w:tcPr>
            <w:tcW w:w="1838" w:type="dxa"/>
          </w:tcPr>
          <w:p w14:paraId="09EF258D" w14:textId="77777777" w:rsidR="00B84284" w:rsidRPr="00781AC2" w:rsidRDefault="00B84284" w:rsidP="00330BDD">
            <w:pPr>
              <w:spacing w:before="120" w:line="276" w:lineRule="auto"/>
              <w:jc w:val="both"/>
              <w:rPr>
                <w:rFonts w:ascii="Arial" w:eastAsia="Calibri" w:hAnsi="Arial" w:cs="Arial"/>
                <w:b/>
                <w:sz w:val="22"/>
                <w:szCs w:val="22"/>
                <w:lang w:val="es-ES"/>
              </w:rPr>
            </w:pPr>
            <w:r w:rsidRPr="00781AC2">
              <w:rPr>
                <w:rFonts w:ascii="Arial" w:eastAsia="Calibri" w:hAnsi="Arial" w:cs="Arial"/>
                <w:b/>
                <w:sz w:val="22"/>
                <w:szCs w:val="22"/>
                <w:lang w:val="es-ES"/>
              </w:rPr>
              <w:t>Radicación:</w:t>
            </w:r>
          </w:p>
        </w:tc>
        <w:tc>
          <w:tcPr>
            <w:tcW w:w="6237" w:type="dxa"/>
          </w:tcPr>
          <w:p w14:paraId="36804087" w14:textId="77777777" w:rsidR="00B84284" w:rsidRPr="00781AC2" w:rsidRDefault="00B84284" w:rsidP="00330BDD">
            <w:pPr>
              <w:spacing w:before="120" w:line="276" w:lineRule="auto"/>
              <w:jc w:val="both"/>
              <w:rPr>
                <w:rFonts w:ascii="Arial" w:eastAsia="Calibri" w:hAnsi="Arial" w:cs="Arial"/>
                <w:sz w:val="22"/>
                <w:szCs w:val="22"/>
                <w:lang w:val="es-ES"/>
              </w:rPr>
            </w:pPr>
            <w:r w:rsidRPr="00781AC2">
              <w:rPr>
                <w:rFonts w:ascii="Arial" w:eastAsia="Calibri" w:hAnsi="Arial" w:cs="Arial"/>
                <w:sz w:val="22"/>
                <w:szCs w:val="22"/>
                <w:lang w:val="es-ES"/>
              </w:rPr>
              <w:t xml:space="preserve">Respuesta a consulta </w:t>
            </w:r>
            <w:r w:rsidRPr="00094CB9">
              <w:rPr>
                <w:rFonts w:ascii="Arial" w:eastAsia="Calibri" w:hAnsi="Arial" w:cs="Arial"/>
                <w:sz w:val="22"/>
                <w:szCs w:val="22"/>
                <w:lang w:val="es-ES"/>
              </w:rPr>
              <w:t>P20230314002345</w:t>
            </w:r>
          </w:p>
        </w:tc>
      </w:tr>
    </w:tbl>
    <w:p w14:paraId="1A92E2F7" w14:textId="77777777" w:rsidR="00B84284" w:rsidRPr="00781AC2" w:rsidRDefault="00B84284" w:rsidP="00B84284">
      <w:pPr>
        <w:spacing w:line="276" w:lineRule="auto"/>
        <w:jc w:val="both"/>
        <w:rPr>
          <w:rFonts w:ascii="Arial" w:eastAsia="Calibri" w:hAnsi="Arial" w:cs="Arial"/>
          <w:sz w:val="22"/>
          <w:lang w:val="es-ES_tradnl"/>
        </w:rPr>
      </w:pPr>
    </w:p>
    <w:p w14:paraId="1019D21C" w14:textId="77777777" w:rsidR="00B84284" w:rsidRPr="00781AC2" w:rsidRDefault="00B84284" w:rsidP="00B84284">
      <w:pPr>
        <w:spacing w:line="276" w:lineRule="auto"/>
        <w:jc w:val="both"/>
        <w:rPr>
          <w:rFonts w:ascii="Arial" w:eastAsia="Calibri" w:hAnsi="Arial" w:cs="Arial"/>
          <w:sz w:val="22"/>
          <w:lang w:val="es-ES_tradnl"/>
        </w:rPr>
      </w:pPr>
    </w:p>
    <w:p w14:paraId="499E2E60" w14:textId="77777777" w:rsidR="00B84284" w:rsidRPr="00781AC2" w:rsidRDefault="00B84284" w:rsidP="00B84284">
      <w:pPr>
        <w:spacing w:line="276" w:lineRule="auto"/>
        <w:jc w:val="both"/>
        <w:rPr>
          <w:rFonts w:ascii="Arial" w:eastAsia="Calibri" w:hAnsi="Arial" w:cs="Arial"/>
          <w:bCs/>
          <w:sz w:val="22"/>
          <w:lang w:val="es-ES_tradnl"/>
        </w:rPr>
      </w:pPr>
      <w:r w:rsidRPr="00781AC2">
        <w:rPr>
          <w:rFonts w:ascii="Arial" w:eastAsia="Calibri" w:hAnsi="Arial" w:cs="Arial"/>
          <w:sz w:val="22"/>
          <w:lang w:val="es-ES_tradnl"/>
        </w:rPr>
        <w:t>Estimad</w:t>
      </w:r>
      <w:r>
        <w:rPr>
          <w:rFonts w:ascii="Arial" w:eastAsia="Calibri" w:hAnsi="Arial" w:cs="Arial"/>
          <w:sz w:val="22"/>
          <w:lang w:val="es-ES_tradnl"/>
        </w:rPr>
        <w:t>a</w:t>
      </w:r>
      <w:r w:rsidRPr="00781AC2">
        <w:rPr>
          <w:rFonts w:ascii="Arial" w:eastAsia="Calibri" w:hAnsi="Arial" w:cs="Arial"/>
          <w:sz w:val="22"/>
          <w:lang w:val="es-ES_tradnl"/>
        </w:rPr>
        <w:t xml:space="preserve"> señor</w:t>
      </w:r>
      <w:r>
        <w:rPr>
          <w:rFonts w:ascii="Arial" w:eastAsia="Calibri" w:hAnsi="Arial" w:cs="Arial"/>
          <w:sz w:val="22"/>
          <w:lang w:val="es-ES_tradnl"/>
        </w:rPr>
        <w:t>a</w:t>
      </w:r>
      <w:r w:rsidRPr="00781AC2">
        <w:rPr>
          <w:rFonts w:ascii="Arial" w:eastAsia="Calibri" w:hAnsi="Arial" w:cs="Arial"/>
          <w:sz w:val="22"/>
          <w:lang w:val="es-ES_tradnl"/>
        </w:rPr>
        <w:t xml:space="preserve"> </w:t>
      </w:r>
      <w:r>
        <w:rPr>
          <w:rFonts w:ascii="Arial" w:eastAsia="Calibri" w:hAnsi="Arial" w:cs="Arial"/>
          <w:sz w:val="22"/>
          <w:lang w:val="es-ES_tradnl"/>
        </w:rPr>
        <w:t>Monroy Lozano</w:t>
      </w:r>
      <w:r w:rsidRPr="00781AC2">
        <w:rPr>
          <w:rFonts w:ascii="Arial" w:eastAsia="Calibri" w:hAnsi="Arial" w:cs="Arial"/>
          <w:bCs/>
          <w:sz w:val="22"/>
          <w:lang w:val="es-ES_tradnl"/>
        </w:rPr>
        <w:t>:</w:t>
      </w:r>
    </w:p>
    <w:p w14:paraId="5465E72D" w14:textId="77777777" w:rsidR="00B84284" w:rsidRPr="00781AC2" w:rsidRDefault="00B84284" w:rsidP="00B84284">
      <w:pPr>
        <w:spacing w:line="276" w:lineRule="auto"/>
        <w:jc w:val="both"/>
        <w:rPr>
          <w:rFonts w:ascii="Arial" w:eastAsia="Calibri" w:hAnsi="Arial" w:cs="Arial"/>
          <w:sz w:val="22"/>
          <w:lang w:val="es-ES_tradnl"/>
        </w:rPr>
      </w:pPr>
    </w:p>
    <w:p w14:paraId="64627C11" w14:textId="77777777" w:rsidR="00B84284" w:rsidRPr="00781AC2" w:rsidRDefault="00B84284" w:rsidP="00B84284">
      <w:pPr>
        <w:spacing w:line="276" w:lineRule="auto"/>
        <w:jc w:val="both"/>
        <w:rPr>
          <w:rFonts w:ascii="Arial" w:eastAsia="Calibri" w:hAnsi="Arial" w:cs="Arial"/>
          <w:sz w:val="22"/>
          <w:szCs w:val="22"/>
          <w:lang w:val="es-ES"/>
        </w:rPr>
      </w:pPr>
      <w:r w:rsidRPr="00781AC2">
        <w:rPr>
          <w:rFonts w:ascii="Arial" w:eastAsia="Calibri" w:hAnsi="Arial" w:cs="Arial"/>
          <w:sz w:val="22"/>
          <w:szCs w:val="22"/>
          <w:lang w:val="es-ES"/>
        </w:rPr>
        <w:t xml:space="preserve">En ejercicio de la competencia otorgada por el numeral 8 del artículo 11 y el numeral 5 del artículo 3 del Decreto Ley 4170 de 2011, la Agencia Nacional de Contratación Pública ― Colombia Compra Eficiente responde su consulta del </w:t>
      </w:r>
      <w:r>
        <w:rPr>
          <w:rFonts w:ascii="Arial" w:eastAsia="Calibri" w:hAnsi="Arial" w:cs="Arial"/>
          <w:sz w:val="22"/>
          <w:szCs w:val="22"/>
          <w:lang w:val="es-ES"/>
        </w:rPr>
        <w:t>14</w:t>
      </w:r>
      <w:r w:rsidRPr="00781AC2">
        <w:rPr>
          <w:rFonts w:ascii="Arial" w:eastAsia="Calibri" w:hAnsi="Arial" w:cs="Arial"/>
          <w:sz w:val="22"/>
          <w:szCs w:val="22"/>
          <w:lang w:val="es-ES"/>
        </w:rPr>
        <w:t xml:space="preserve"> de </w:t>
      </w:r>
      <w:r>
        <w:rPr>
          <w:rFonts w:ascii="Arial" w:eastAsia="Calibri" w:hAnsi="Arial" w:cs="Arial"/>
          <w:sz w:val="22"/>
          <w:szCs w:val="22"/>
          <w:lang w:val="es-ES"/>
        </w:rPr>
        <w:t>marzo</w:t>
      </w:r>
      <w:r w:rsidRPr="00781AC2">
        <w:rPr>
          <w:rFonts w:ascii="Arial" w:eastAsia="Calibri" w:hAnsi="Arial" w:cs="Arial"/>
          <w:sz w:val="22"/>
          <w:szCs w:val="22"/>
          <w:lang w:val="es-ES"/>
        </w:rPr>
        <w:t xml:space="preserve"> de 202</w:t>
      </w:r>
      <w:r>
        <w:rPr>
          <w:rFonts w:ascii="Arial" w:eastAsia="Calibri" w:hAnsi="Arial" w:cs="Arial"/>
          <w:sz w:val="22"/>
          <w:szCs w:val="22"/>
          <w:lang w:val="es-ES"/>
        </w:rPr>
        <w:t>3</w:t>
      </w:r>
      <w:r w:rsidRPr="00781AC2">
        <w:rPr>
          <w:rFonts w:ascii="Arial" w:eastAsia="Calibri" w:hAnsi="Arial" w:cs="Arial"/>
          <w:sz w:val="22"/>
          <w:szCs w:val="22"/>
          <w:lang w:val="es-ES"/>
        </w:rPr>
        <w:t>.</w:t>
      </w:r>
    </w:p>
    <w:p w14:paraId="313E8666" w14:textId="77777777" w:rsidR="00B84284" w:rsidRPr="00781AC2" w:rsidRDefault="00B84284" w:rsidP="00B84284">
      <w:pPr>
        <w:spacing w:line="276" w:lineRule="auto"/>
        <w:jc w:val="both"/>
        <w:rPr>
          <w:rFonts w:ascii="Arial" w:eastAsia="Calibri" w:hAnsi="Arial" w:cs="Arial"/>
          <w:b/>
          <w:sz w:val="22"/>
          <w:lang w:val="es-ES_tradnl"/>
        </w:rPr>
      </w:pPr>
    </w:p>
    <w:p w14:paraId="46B6B1F3" w14:textId="77777777" w:rsidR="00B84284" w:rsidRPr="00781AC2" w:rsidRDefault="00B84284" w:rsidP="00B84284">
      <w:pPr>
        <w:pStyle w:val="Prrafodelista"/>
        <w:numPr>
          <w:ilvl w:val="0"/>
          <w:numId w:val="1"/>
        </w:numPr>
        <w:tabs>
          <w:tab w:val="left" w:pos="0"/>
          <w:tab w:val="left" w:pos="142"/>
          <w:tab w:val="left" w:pos="284"/>
        </w:tabs>
        <w:spacing w:line="276" w:lineRule="auto"/>
        <w:ind w:left="0" w:firstLine="0"/>
        <w:jc w:val="both"/>
        <w:rPr>
          <w:rFonts w:ascii="Arial" w:eastAsia="Calibri" w:hAnsi="Arial" w:cs="Arial"/>
          <w:b/>
          <w:sz w:val="22"/>
          <w:lang w:val="es-ES_tradnl"/>
        </w:rPr>
      </w:pPr>
      <w:r w:rsidRPr="00781AC2">
        <w:rPr>
          <w:rFonts w:ascii="Arial" w:eastAsia="Calibri" w:hAnsi="Arial" w:cs="Arial"/>
          <w:b/>
          <w:sz w:val="22"/>
          <w:lang w:val="es-ES_tradnl"/>
        </w:rPr>
        <w:t xml:space="preserve">Problema planteado </w:t>
      </w:r>
    </w:p>
    <w:p w14:paraId="69D58846" w14:textId="77777777" w:rsidR="00B84284" w:rsidRPr="00781AC2" w:rsidRDefault="00B84284" w:rsidP="00B84284">
      <w:pPr>
        <w:tabs>
          <w:tab w:val="left" w:pos="426"/>
        </w:tabs>
        <w:spacing w:line="276" w:lineRule="auto"/>
        <w:jc w:val="both"/>
        <w:rPr>
          <w:rFonts w:ascii="Arial" w:eastAsia="Calibri" w:hAnsi="Arial" w:cs="Arial"/>
          <w:b/>
          <w:sz w:val="22"/>
          <w:lang w:val="es-ES_tradnl"/>
        </w:rPr>
      </w:pPr>
    </w:p>
    <w:p w14:paraId="3FD9CCD5" w14:textId="77777777" w:rsidR="00B84284" w:rsidRDefault="00B84284" w:rsidP="00B84284">
      <w:pPr>
        <w:spacing w:line="276" w:lineRule="auto"/>
        <w:jc w:val="both"/>
        <w:rPr>
          <w:rFonts w:ascii="Arial" w:eastAsia="Arial" w:hAnsi="Arial" w:cs="Arial"/>
          <w:sz w:val="22"/>
          <w:szCs w:val="22"/>
        </w:rPr>
      </w:pPr>
      <w:bookmarkStart w:id="1" w:name="_Hlk95313578"/>
      <w:r w:rsidRPr="0069552F">
        <w:rPr>
          <w:rFonts w:ascii="Arial" w:eastAsia="Arial" w:hAnsi="Arial" w:cs="Arial"/>
          <w:sz w:val="22"/>
          <w:szCs w:val="22"/>
        </w:rPr>
        <w:t xml:space="preserve">Usted </w:t>
      </w:r>
      <w:r>
        <w:rPr>
          <w:rFonts w:ascii="Arial" w:eastAsia="Arial" w:hAnsi="Arial" w:cs="Arial"/>
          <w:sz w:val="22"/>
          <w:szCs w:val="22"/>
        </w:rPr>
        <w:t xml:space="preserve">plantea </w:t>
      </w:r>
      <w:r w:rsidRPr="0069552F">
        <w:rPr>
          <w:rFonts w:ascii="Arial" w:eastAsia="Arial" w:hAnsi="Arial" w:cs="Arial"/>
          <w:sz w:val="22"/>
          <w:szCs w:val="22"/>
        </w:rPr>
        <w:t>l</w:t>
      </w:r>
      <w:r>
        <w:rPr>
          <w:rFonts w:ascii="Arial" w:eastAsia="Arial" w:hAnsi="Arial" w:cs="Arial"/>
          <w:sz w:val="22"/>
          <w:szCs w:val="22"/>
        </w:rPr>
        <w:t>a siguiente consulta</w:t>
      </w:r>
      <w:r w:rsidRPr="0069552F">
        <w:rPr>
          <w:rFonts w:ascii="Arial" w:eastAsia="Arial" w:hAnsi="Arial" w:cs="Arial"/>
          <w:sz w:val="22"/>
          <w:szCs w:val="22"/>
        </w:rPr>
        <w:t xml:space="preserve"> </w:t>
      </w:r>
      <w:r>
        <w:rPr>
          <w:rFonts w:ascii="Arial" w:eastAsia="Arial" w:hAnsi="Arial" w:cs="Arial"/>
          <w:sz w:val="22"/>
          <w:szCs w:val="22"/>
        </w:rPr>
        <w:t>r</w:t>
      </w:r>
      <w:r w:rsidRPr="0069552F">
        <w:rPr>
          <w:rFonts w:ascii="Arial" w:eastAsia="Arial" w:hAnsi="Arial" w:cs="Arial"/>
          <w:sz w:val="22"/>
          <w:szCs w:val="22"/>
        </w:rPr>
        <w:t>elaci</w:t>
      </w:r>
      <w:r>
        <w:rPr>
          <w:rFonts w:ascii="Arial" w:eastAsia="Arial" w:hAnsi="Arial" w:cs="Arial"/>
          <w:sz w:val="22"/>
          <w:szCs w:val="22"/>
        </w:rPr>
        <w:t>onada</w:t>
      </w:r>
      <w:r w:rsidRPr="0069552F">
        <w:rPr>
          <w:rFonts w:ascii="Arial" w:eastAsia="Arial" w:hAnsi="Arial" w:cs="Arial"/>
          <w:sz w:val="22"/>
          <w:szCs w:val="22"/>
        </w:rPr>
        <w:t xml:space="preserve"> con</w:t>
      </w:r>
      <w:r>
        <w:rPr>
          <w:rFonts w:ascii="Arial" w:eastAsia="Arial" w:hAnsi="Arial" w:cs="Arial"/>
          <w:sz w:val="22"/>
          <w:szCs w:val="22"/>
        </w:rPr>
        <w:t xml:space="preserve"> la aplicación de lo dispuesto en el artículo </w:t>
      </w:r>
      <w:r w:rsidRPr="008F3209">
        <w:rPr>
          <w:rFonts w:ascii="Arial" w:eastAsia="Arial" w:hAnsi="Arial" w:cs="Arial"/>
          <w:sz w:val="22"/>
          <w:szCs w:val="22"/>
        </w:rPr>
        <w:t>2.2.1.2.4.2.3</w:t>
      </w:r>
      <w:r>
        <w:rPr>
          <w:rFonts w:ascii="Arial" w:eastAsia="Arial" w:hAnsi="Arial" w:cs="Arial"/>
          <w:sz w:val="22"/>
          <w:szCs w:val="22"/>
        </w:rPr>
        <w:t xml:space="preserve"> del Decreto 1082 de 2015 en procesos de contratación de mínima cuantía:</w:t>
      </w:r>
    </w:p>
    <w:p w14:paraId="2193D455" w14:textId="77777777" w:rsidR="00B84284" w:rsidRDefault="00B84284" w:rsidP="00B84284">
      <w:pPr>
        <w:spacing w:line="276" w:lineRule="auto"/>
        <w:jc w:val="both"/>
        <w:rPr>
          <w:rFonts w:ascii="Arial" w:eastAsia="Calibri" w:hAnsi="Arial" w:cs="Arial"/>
          <w:sz w:val="22"/>
          <w:szCs w:val="22"/>
          <w:lang w:val="es-ES"/>
        </w:rPr>
      </w:pPr>
    </w:p>
    <w:p w14:paraId="3F458943" w14:textId="77777777" w:rsidR="00B84284" w:rsidRPr="00D21305" w:rsidRDefault="00B84284" w:rsidP="00B84284">
      <w:pPr>
        <w:ind w:left="709" w:right="709"/>
        <w:jc w:val="both"/>
        <w:rPr>
          <w:rFonts w:ascii="Arial" w:hAnsi="Arial" w:cs="Arial"/>
          <w:sz w:val="21"/>
          <w:szCs w:val="21"/>
        </w:rPr>
      </w:pPr>
      <w:r>
        <w:rPr>
          <w:rFonts w:ascii="Arial" w:hAnsi="Arial" w:cs="Arial"/>
          <w:sz w:val="21"/>
          <w:szCs w:val="21"/>
        </w:rPr>
        <w:lastRenderedPageBreak/>
        <w:t>“</w:t>
      </w:r>
      <w:r w:rsidRPr="00D21305">
        <w:rPr>
          <w:rFonts w:ascii="Arial" w:hAnsi="Arial" w:cs="Arial"/>
          <w:sz w:val="21"/>
          <w:szCs w:val="21"/>
        </w:rPr>
        <w:t xml:space="preserve">[…] Tengo una duda respecto a los procesos de mínima cuantía que son cerrados a MiPymes municipales, resulta que desde que este decreto entro en vigencia, puede observarse en diferentes municipios del país, sobre todo los </w:t>
      </w:r>
      <w:proofErr w:type="spellStart"/>
      <w:r w:rsidRPr="00D21305">
        <w:rPr>
          <w:rFonts w:ascii="Arial" w:hAnsi="Arial" w:cs="Arial"/>
          <w:sz w:val="21"/>
          <w:szCs w:val="21"/>
        </w:rPr>
        <w:t>mas</w:t>
      </w:r>
      <w:proofErr w:type="spellEnd"/>
      <w:r w:rsidRPr="00D21305">
        <w:rPr>
          <w:rFonts w:ascii="Arial" w:hAnsi="Arial" w:cs="Arial"/>
          <w:sz w:val="21"/>
          <w:szCs w:val="21"/>
        </w:rPr>
        <w:t xml:space="preserve"> alejados como lo son ( calamar </w:t>
      </w:r>
      <w:proofErr w:type="spellStart"/>
      <w:r w:rsidRPr="00D21305">
        <w:rPr>
          <w:rFonts w:ascii="Arial" w:hAnsi="Arial" w:cs="Arial"/>
          <w:sz w:val="21"/>
          <w:szCs w:val="21"/>
        </w:rPr>
        <w:t>guaviare</w:t>
      </w:r>
      <w:proofErr w:type="spellEnd"/>
      <w:r w:rsidRPr="00D21305">
        <w:rPr>
          <w:rFonts w:ascii="Arial" w:hAnsi="Arial" w:cs="Arial"/>
          <w:sz w:val="21"/>
          <w:szCs w:val="21"/>
        </w:rPr>
        <w:t xml:space="preserve">, vichada, castilla la nueva-meta, mesetas meta y </w:t>
      </w:r>
      <w:proofErr w:type="spellStart"/>
      <w:r w:rsidRPr="00D21305">
        <w:rPr>
          <w:rFonts w:ascii="Arial" w:hAnsi="Arial" w:cs="Arial"/>
          <w:sz w:val="21"/>
          <w:szCs w:val="21"/>
        </w:rPr>
        <w:t>demas</w:t>
      </w:r>
      <w:proofErr w:type="spellEnd"/>
      <w:r w:rsidRPr="00D21305">
        <w:rPr>
          <w:rFonts w:ascii="Arial" w:hAnsi="Arial" w:cs="Arial"/>
          <w:sz w:val="21"/>
          <w:szCs w:val="21"/>
        </w:rPr>
        <w:t xml:space="preserve">) , que todos los procesos contractuales de mínima cuantía están siendo limitados, por solicitud de 2 o 3 MiPymes municipales, sin embargo; a la hora del cierre del proceso se presenta una sola persona y esa persona es la misma para cada uno de los procesos que la entidad celebra, no obstante con esto, los precios siempre van al tope, pues no hay competencia para ellos. lo que claramente </w:t>
      </w:r>
      <w:proofErr w:type="spellStart"/>
      <w:r w:rsidRPr="00D21305">
        <w:rPr>
          <w:rFonts w:ascii="Arial" w:hAnsi="Arial" w:cs="Arial"/>
          <w:sz w:val="21"/>
          <w:szCs w:val="21"/>
        </w:rPr>
        <w:t>esta</w:t>
      </w:r>
      <w:proofErr w:type="spellEnd"/>
      <w:r w:rsidRPr="00D21305">
        <w:rPr>
          <w:rFonts w:ascii="Arial" w:hAnsi="Arial" w:cs="Arial"/>
          <w:sz w:val="21"/>
          <w:szCs w:val="21"/>
        </w:rPr>
        <w:t xml:space="preserve"> haciendo que estos municipios adquieran todo lo contratado a un valor mucho </w:t>
      </w:r>
      <w:proofErr w:type="spellStart"/>
      <w:r w:rsidRPr="00D21305">
        <w:rPr>
          <w:rFonts w:ascii="Arial" w:hAnsi="Arial" w:cs="Arial"/>
          <w:sz w:val="21"/>
          <w:szCs w:val="21"/>
        </w:rPr>
        <w:t>mas</w:t>
      </w:r>
      <w:proofErr w:type="spellEnd"/>
      <w:r w:rsidRPr="00D21305">
        <w:rPr>
          <w:rFonts w:ascii="Arial" w:hAnsi="Arial" w:cs="Arial"/>
          <w:sz w:val="21"/>
          <w:szCs w:val="21"/>
        </w:rPr>
        <w:t xml:space="preserve"> alto que si existiera variedad de oferentes, esto da la sensación a los contratistas que los pliegos de estos municipios son pliegos lastres y que la libre competencia en materia contractual se ha acabado. bajo esta condición quisiera saber, si </w:t>
      </w:r>
      <w:r w:rsidRPr="00B431D7">
        <w:rPr>
          <w:rFonts w:ascii="Arial" w:hAnsi="Arial" w:cs="Arial"/>
          <w:i/>
          <w:iCs/>
          <w:sz w:val="21"/>
          <w:szCs w:val="21"/>
        </w:rPr>
        <w:t xml:space="preserve">las entidades están actuando bajo lo que indica la norma, </w:t>
      </w:r>
      <w:proofErr w:type="gramStart"/>
      <w:r w:rsidRPr="00B431D7">
        <w:rPr>
          <w:rFonts w:ascii="Arial" w:hAnsi="Arial" w:cs="Arial"/>
          <w:i/>
          <w:iCs/>
          <w:sz w:val="21"/>
          <w:szCs w:val="21"/>
        </w:rPr>
        <w:t>siguiendo limitando</w:t>
      </w:r>
      <w:proofErr w:type="gramEnd"/>
      <w:r w:rsidRPr="00B431D7">
        <w:rPr>
          <w:rFonts w:ascii="Arial" w:hAnsi="Arial" w:cs="Arial"/>
          <w:i/>
          <w:iCs/>
          <w:sz w:val="21"/>
          <w:szCs w:val="21"/>
        </w:rPr>
        <w:t xml:space="preserve"> los procesos de mínima cuantía, en condiciones, donde limitan 2 o 3 MiPymes y se presenta una sola persona o empresa con precios tope?</w:t>
      </w:r>
      <w:r w:rsidRPr="00D21305">
        <w:rPr>
          <w:rFonts w:ascii="Arial" w:hAnsi="Arial" w:cs="Arial"/>
          <w:sz w:val="21"/>
          <w:szCs w:val="21"/>
        </w:rPr>
        <w:t xml:space="preserve"> </w:t>
      </w:r>
      <w:r w:rsidRPr="00B431D7">
        <w:rPr>
          <w:rFonts w:ascii="Arial" w:hAnsi="Arial" w:cs="Arial"/>
          <w:i/>
          <w:iCs/>
          <w:sz w:val="21"/>
          <w:szCs w:val="21"/>
        </w:rPr>
        <w:t>¿Qué herramientas (normativas) tenemos los contratistas para evitar que esta situación siga sucediendo?</w:t>
      </w:r>
      <w:r w:rsidRPr="00D21305">
        <w:rPr>
          <w:rFonts w:ascii="Arial" w:hAnsi="Arial" w:cs="Arial"/>
          <w:sz w:val="21"/>
          <w:szCs w:val="21"/>
        </w:rPr>
        <w:t xml:space="preserve"> </w:t>
      </w:r>
      <w:r w:rsidRPr="00B431D7">
        <w:rPr>
          <w:rFonts w:ascii="Arial" w:hAnsi="Arial" w:cs="Arial"/>
          <w:i/>
          <w:iCs/>
          <w:sz w:val="21"/>
          <w:szCs w:val="21"/>
        </w:rPr>
        <w:t>¿esta situación debería dar a entender a pequeñas empresas que esperaban crecer con la ayuda de la contratación estatal, que solo debe limitarse a crecer en su municipio, por q los municipios aledaños ya tienen seleccionado su oferente? ¿si el decreto se aprobó con la intención de que las MiPymes en general crecieran, esto no se estaría viendo interrumpido al existir un único oferente y contratista por municipio?</w:t>
      </w:r>
      <w:r w:rsidRPr="00D21305">
        <w:rPr>
          <w:rFonts w:ascii="Arial" w:hAnsi="Arial" w:cs="Arial"/>
          <w:sz w:val="21"/>
          <w:szCs w:val="21"/>
        </w:rPr>
        <w:t xml:space="preserve">  […]</w:t>
      </w:r>
      <w:bookmarkEnd w:id="1"/>
      <w:r>
        <w:rPr>
          <w:rFonts w:ascii="Arial" w:hAnsi="Arial" w:cs="Arial"/>
          <w:sz w:val="21"/>
          <w:szCs w:val="21"/>
        </w:rPr>
        <w:t xml:space="preserve"> (SIC)”</w:t>
      </w:r>
      <w:r w:rsidRPr="00D21305">
        <w:rPr>
          <w:rFonts w:ascii="Arial" w:hAnsi="Arial" w:cs="Arial"/>
          <w:sz w:val="21"/>
          <w:szCs w:val="21"/>
        </w:rPr>
        <w:t>.</w:t>
      </w:r>
      <w:r>
        <w:rPr>
          <w:rFonts w:ascii="Arial" w:hAnsi="Arial" w:cs="Arial"/>
          <w:sz w:val="21"/>
          <w:szCs w:val="21"/>
        </w:rPr>
        <w:t xml:space="preserve"> [Cursiva por fuera del texto original]</w:t>
      </w:r>
    </w:p>
    <w:p w14:paraId="69AF94A5" w14:textId="77777777" w:rsidR="00B84284" w:rsidRPr="00D352CC" w:rsidRDefault="00B84284" w:rsidP="00B84284">
      <w:pPr>
        <w:spacing w:line="276" w:lineRule="auto"/>
        <w:jc w:val="both"/>
        <w:rPr>
          <w:rFonts w:ascii="Arial" w:hAnsi="Arial" w:cs="Arial"/>
          <w:sz w:val="18"/>
          <w:szCs w:val="18"/>
          <w:lang w:val="es-ES_tradnl"/>
        </w:rPr>
      </w:pPr>
    </w:p>
    <w:p w14:paraId="0FE67ED2" w14:textId="77777777" w:rsidR="00B84284" w:rsidRPr="0069552F" w:rsidRDefault="00B84284" w:rsidP="00B84284">
      <w:pPr>
        <w:tabs>
          <w:tab w:val="left" w:pos="284"/>
        </w:tabs>
        <w:spacing w:line="276" w:lineRule="auto"/>
        <w:jc w:val="both"/>
        <w:rPr>
          <w:rFonts w:ascii="Arial" w:eastAsia="Arial" w:hAnsi="Arial" w:cs="Arial"/>
          <w:b/>
          <w:sz w:val="22"/>
          <w:szCs w:val="22"/>
        </w:rPr>
      </w:pPr>
      <w:bookmarkStart w:id="2" w:name="_Hlk117695077"/>
      <w:r w:rsidRPr="0069552F">
        <w:rPr>
          <w:rFonts w:ascii="Arial" w:eastAsia="Arial" w:hAnsi="Arial" w:cs="Arial"/>
          <w:b/>
          <w:sz w:val="22"/>
          <w:szCs w:val="22"/>
        </w:rPr>
        <w:t>2. Consideraciones</w:t>
      </w:r>
    </w:p>
    <w:p w14:paraId="189C01F4" w14:textId="77777777" w:rsidR="00B84284" w:rsidRPr="0069552F" w:rsidRDefault="00B84284" w:rsidP="00B84284">
      <w:pPr>
        <w:tabs>
          <w:tab w:val="left" w:pos="426"/>
        </w:tabs>
        <w:ind w:firstLine="709"/>
        <w:jc w:val="both"/>
        <w:rPr>
          <w:rFonts w:ascii="Arial" w:eastAsia="Arial" w:hAnsi="Arial" w:cs="Arial"/>
          <w:sz w:val="22"/>
          <w:szCs w:val="22"/>
        </w:rPr>
      </w:pPr>
    </w:p>
    <w:p w14:paraId="3403A1F1" w14:textId="77777777" w:rsidR="00B84284" w:rsidRPr="00162BC5" w:rsidRDefault="00B84284" w:rsidP="00B84284">
      <w:pPr>
        <w:spacing w:after="120" w:line="276" w:lineRule="auto"/>
        <w:jc w:val="both"/>
        <w:rPr>
          <w:rFonts w:ascii="Arial" w:hAnsi="Arial" w:cs="Arial"/>
          <w:sz w:val="22"/>
          <w:lang w:val="es-ES"/>
        </w:rPr>
      </w:pPr>
      <w:r w:rsidRPr="0069552F">
        <w:rPr>
          <w:rFonts w:ascii="Arial" w:eastAsia="Arial" w:hAnsi="Arial" w:cs="Arial"/>
          <w:sz w:val="22"/>
          <w:szCs w:val="22"/>
        </w:rPr>
        <w:t>En ejercicio de las competencias establecidas en los artículos 3</w:t>
      </w:r>
      <w:r>
        <w:rPr>
          <w:rFonts w:ascii="Arial" w:eastAsia="Arial" w:hAnsi="Arial" w:cs="Arial"/>
          <w:sz w:val="22"/>
          <w:szCs w:val="22"/>
        </w:rPr>
        <w:t xml:space="preserve">, numeral </w:t>
      </w:r>
      <w:r w:rsidRPr="0069552F">
        <w:rPr>
          <w:rFonts w:ascii="Arial" w:eastAsia="Arial" w:hAnsi="Arial" w:cs="Arial"/>
          <w:sz w:val="22"/>
          <w:szCs w:val="22"/>
        </w:rPr>
        <w:t>5</w:t>
      </w:r>
      <w:r>
        <w:rPr>
          <w:rFonts w:ascii="Arial" w:eastAsia="Arial" w:hAnsi="Arial" w:cs="Arial"/>
          <w:sz w:val="22"/>
          <w:szCs w:val="22"/>
        </w:rPr>
        <w:t>°</w:t>
      </w:r>
      <w:r w:rsidRPr="0069552F">
        <w:rPr>
          <w:rFonts w:ascii="Arial" w:eastAsia="Arial" w:hAnsi="Arial" w:cs="Arial"/>
          <w:sz w:val="22"/>
          <w:szCs w:val="22"/>
        </w:rPr>
        <w:t xml:space="preserve"> y 11</w:t>
      </w:r>
      <w:r>
        <w:rPr>
          <w:rFonts w:ascii="Arial" w:eastAsia="Arial" w:hAnsi="Arial" w:cs="Arial"/>
          <w:sz w:val="22"/>
          <w:szCs w:val="22"/>
        </w:rPr>
        <w:t xml:space="preserve">, numeral </w:t>
      </w:r>
      <w:r w:rsidRPr="0069552F">
        <w:rPr>
          <w:rFonts w:ascii="Arial" w:eastAsia="Arial" w:hAnsi="Arial" w:cs="Arial"/>
          <w:sz w:val="22"/>
          <w:szCs w:val="22"/>
        </w:rPr>
        <w:t>8</w:t>
      </w:r>
      <w:r>
        <w:rPr>
          <w:rFonts w:ascii="Arial" w:eastAsia="Arial" w:hAnsi="Arial" w:cs="Arial"/>
          <w:sz w:val="22"/>
          <w:szCs w:val="22"/>
        </w:rPr>
        <w:t>°</w:t>
      </w:r>
      <w:r w:rsidRPr="0069552F">
        <w:rPr>
          <w:rFonts w:ascii="Arial" w:eastAsia="Arial" w:hAnsi="Arial" w:cs="Arial"/>
          <w:sz w:val="22"/>
          <w:szCs w:val="22"/>
        </w:rPr>
        <w:t xml:space="preserve">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69552F">
        <w:rPr>
          <w:rFonts w:ascii="Arial" w:eastAsia="Arial" w:hAnsi="Arial" w:cs="Arial"/>
          <w:sz w:val="22"/>
          <w:szCs w:val="22"/>
          <w:vertAlign w:val="superscript"/>
        </w:rPr>
        <w:footnoteReference w:id="1"/>
      </w:r>
      <w:r w:rsidRPr="0069552F">
        <w:rPr>
          <w:rFonts w:ascii="Arial" w:eastAsia="Arial" w:hAnsi="Arial" w:cs="Arial"/>
          <w:sz w:val="22"/>
          <w:szCs w:val="22"/>
        </w:rPr>
        <w:t>.</w:t>
      </w:r>
      <w:bookmarkStart w:id="4" w:name="_1fob9te" w:colFirst="0" w:colLast="0"/>
      <w:bookmarkStart w:id="5" w:name="_Hlk61701014"/>
      <w:bookmarkStart w:id="6" w:name="_Hlk62136649"/>
      <w:bookmarkEnd w:id="4"/>
      <w:r>
        <w:rPr>
          <w:rFonts w:ascii="Arial" w:hAnsi="Arial" w:cs="Arial"/>
          <w:sz w:val="22"/>
          <w:lang w:val="es-ES"/>
        </w:rPr>
        <w:t xml:space="preserve"> E</w:t>
      </w:r>
      <w:r w:rsidRPr="00162BC5">
        <w:rPr>
          <w:rFonts w:ascii="Arial" w:hAnsi="Arial" w:cs="Arial"/>
          <w:sz w:val="22"/>
          <w:lang w:val="es-ES"/>
        </w:rPr>
        <w:t xml:space="preserve">s necesario tener en cuenta que </w:t>
      </w:r>
      <w:bookmarkStart w:id="7" w:name="_Hlk61026958"/>
      <w:r w:rsidRPr="00162BC5">
        <w:rPr>
          <w:rFonts w:ascii="Arial" w:hAnsi="Arial" w:cs="Arial"/>
          <w:sz w:val="22"/>
          <w:lang w:val="es-ES"/>
        </w:rPr>
        <w:t xml:space="preserve">esta </w:t>
      </w:r>
      <w:r>
        <w:rPr>
          <w:rFonts w:ascii="Arial" w:hAnsi="Arial" w:cs="Arial"/>
          <w:sz w:val="22"/>
          <w:lang w:val="es-ES"/>
        </w:rPr>
        <w:t>e</w:t>
      </w:r>
      <w:r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0A686C27" w14:textId="77777777" w:rsidR="00B84284" w:rsidRDefault="00B84284" w:rsidP="00B84284">
      <w:pPr>
        <w:spacing w:after="120" w:line="276" w:lineRule="auto"/>
        <w:ind w:firstLine="708"/>
        <w:jc w:val="both"/>
        <w:rPr>
          <w:rFonts w:ascii="Arial" w:hAnsi="Arial" w:cs="Arial"/>
          <w:sz w:val="22"/>
          <w:lang w:val="es-ES"/>
        </w:rPr>
      </w:pPr>
      <w:r w:rsidRPr="00162BC5">
        <w:rPr>
          <w:rFonts w:ascii="Arial" w:hAnsi="Arial" w:cs="Arial"/>
          <w:sz w:val="22"/>
          <w:lang w:val="es-ES"/>
        </w:rPr>
        <w:t xml:space="preserve">La competencia de esta entidad se fija con límites claros, con el objeto de evitar que la Agencia actúe como una instancia de validación de las actuaciones de las entidades sujetas a la </w:t>
      </w:r>
      <w:r w:rsidRPr="00162BC5">
        <w:rPr>
          <w:rFonts w:ascii="Arial" w:hAnsi="Arial" w:cs="Arial"/>
          <w:sz w:val="22"/>
          <w:lang w:val="es-ES"/>
        </w:rPr>
        <w:lastRenderedPageBreak/>
        <w:t xml:space="preserve">Ley 80 de 1993 o de los demás participantes de la contratación pública. Esta 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que, para resolver una consulta de carácter particular, además de conocer un sinnúmero de detalles de la actuación administrativa, es necesario acceder al expediente y a los documentos del procedimiento contractual donde surge la inquietud</w:t>
      </w:r>
      <w:bookmarkEnd w:id="7"/>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bookmarkEnd w:id="5"/>
    </w:p>
    <w:bookmarkEnd w:id="6"/>
    <w:p w14:paraId="6309C039" w14:textId="77777777" w:rsidR="00B84284" w:rsidRDefault="00B84284" w:rsidP="00B84284">
      <w:pPr>
        <w:spacing w:after="120" w:line="276" w:lineRule="auto"/>
        <w:ind w:firstLine="708"/>
        <w:jc w:val="both"/>
        <w:rPr>
          <w:rFonts w:ascii="Arial" w:eastAsia="Arial" w:hAnsi="Arial" w:cs="Arial"/>
          <w:sz w:val="22"/>
          <w:szCs w:val="22"/>
        </w:rPr>
      </w:pPr>
      <w:r w:rsidRPr="0069552F">
        <w:rPr>
          <w:rFonts w:ascii="Arial" w:eastAsia="Arial" w:hAnsi="Arial" w:cs="Arial"/>
          <w:sz w:val="22"/>
          <w:szCs w:val="22"/>
        </w:rPr>
        <w:t>Por ello, esta Subdirección –dentro de los límites de sus atribuciones</w:t>
      </w:r>
      <w:r w:rsidRPr="0069552F">
        <w:rPr>
          <w:rFonts w:ascii="Arial" w:eastAsia="Arial" w:hAnsi="Arial" w:cs="Arial"/>
          <w:sz w:val="22"/>
          <w:szCs w:val="22"/>
          <w:vertAlign w:val="superscript"/>
        </w:rPr>
        <w:footnoteReference w:id="2"/>
      </w:r>
      <w:r w:rsidRPr="0069552F">
        <w:rPr>
          <w:rFonts w:ascii="Arial" w:eastAsia="Arial" w:hAnsi="Arial" w:cs="Arial"/>
          <w:sz w:val="22"/>
          <w:szCs w:val="22"/>
        </w:rPr>
        <w:t xml:space="preserve">– resolverá la consulta conforme a las normas generales en materia de contratación estatal. Con este objetivo se analizarán los siguientes temas: i) vigencia, objeto y finalidad de la Ley de Emprendimiento, </w:t>
      </w:r>
      <w:proofErr w:type="spellStart"/>
      <w:r w:rsidRPr="0069552F">
        <w:rPr>
          <w:rFonts w:ascii="Arial" w:eastAsia="Arial" w:hAnsi="Arial" w:cs="Arial"/>
          <w:sz w:val="22"/>
          <w:szCs w:val="22"/>
        </w:rPr>
        <w:t>ii</w:t>
      </w:r>
      <w:proofErr w:type="spellEnd"/>
      <w:r w:rsidRPr="0069552F">
        <w:rPr>
          <w:rFonts w:ascii="Arial" w:eastAsia="Arial" w:hAnsi="Arial" w:cs="Arial"/>
          <w:sz w:val="22"/>
          <w:szCs w:val="22"/>
        </w:rPr>
        <w:t xml:space="preserve">) </w:t>
      </w:r>
      <w:r>
        <w:rPr>
          <w:rFonts w:ascii="Arial" w:eastAsia="Arial" w:hAnsi="Arial" w:cs="Arial"/>
          <w:sz w:val="22"/>
          <w:szCs w:val="22"/>
        </w:rPr>
        <w:t>C</w:t>
      </w:r>
      <w:r w:rsidRPr="00170F77">
        <w:rPr>
          <w:rFonts w:ascii="Arial" w:eastAsia="Arial" w:hAnsi="Arial" w:cs="Arial"/>
          <w:sz w:val="22"/>
          <w:szCs w:val="22"/>
        </w:rPr>
        <w:t xml:space="preserve">onvocatorias limitadas a </w:t>
      </w:r>
      <w:proofErr w:type="spellStart"/>
      <w:r w:rsidRPr="00170F77">
        <w:rPr>
          <w:rFonts w:ascii="Arial" w:eastAsia="Arial" w:hAnsi="Arial" w:cs="Arial"/>
          <w:sz w:val="22"/>
          <w:szCs w:val="22"/>
        </w:rPr>
        <w:t>mipymes</w:t>
      </w:r>
      <w:proofErr w:type="spellEnd"/>
      <w:r w:rsidRPr="00170F77">
        <w:rPr>
          <w:rFonts w:ascii="Arial" w:eastAsia="Arial" w:hAnsi="Arial" w:cs="Arial"/>
          <w:sz w:val="22"/>
          <w:szCs w:val="22"/>
        </w:rPr>
        <w:t xml:space="preserve"> en el ámbito territorial de conformidad con el Decreto 1860 de 2021</w:t>
      </w:r>
      <w:r>
        <w:rPr>
          <w:rFonts w:ascii="Arial" w:eastAsia="Arial" w:hAnsi="Arial" w:cs="Arial"/>
          <w:sz w:val="22"/>
          <w:szCs w:val="22"/>
        </w:rPr>
        <w:t>,</w:t>
      </w:r>
    </w:p>
    <w:p w14:paraId="0820436C" w14:textId="77777777" w:rsidR="00B84284" w:rsidRPr="00316462" w:rsidRDefault="00B84284" w:rsidP="00B84284">
      <w:pPr>
        <w:pStyle w:val="Textoindependiente"/>
        <w:spacing w:before="120" w:line="276" w:lineRule="auto"/>
        <w:ind w:right="48" w:firstLine="590"/>
        <w:jc w:val="both"/>
        <w:rPr>
          <w:rFonts w:ascii="Arial" w:hAnsi="Arial" w:cs="Arial"/>
        </w:rPr>
      </w:pPr>
      <w:r w:rsidRPr="00316462">
        <w:rPr>
          <w:rFonts w:ascii="Arial" w:hAnsi="Arial" w:cs="Arial"/>
        </w:rPr>
        <w:t>La Agencia Nacional de Contratación Pública – Colombia Compra Eficiente se pronunció</w:t>
      </w:r>
      <w:r w:rsidRPr="00316462">
        <w:rPr>
          <w:rFonts w:ascii="Arial" w:hAnsi="Arial" w:cs="Arial"/>
          <w:spacing w:val="-59"/>
        </w:rPr>
        <w:t xml:space="preserve"> </w:t>
      </w:r>
      <w:r w:rsidRPr="00316462">
        <w:rPr>
          <w:rFonts w:ascii="Arial" w:hAnsi="Arial" w:cs="Arial"/>
        </w:rPr>
        <w:t>sobre la nueva regulación de la promoción del desarrollo en la contratación estatal contenida en</w:t>
      </w:r>
      <w:r w:rsidRPr="00316462">
        <w:rPr>
          <w:rFonts w:ascii="Arial" w:hAnsi="Arial" w:cs="Arial"/>
          <w:spacing w:val="-59"/>
        </w:rPr>
        <w:t xml:space="preserve"> </w:t>
      </w:r>
      <w:r w:rsidRPr="00316462">
        <w:rPr>
          <w:rFonts w:ascii="Arial" w:hAnsi="Arial" w:cs="Arial"/>
        </w:rPr>
        <w:t>el artículo 34 de la Ley 2069 de 2020 en los conceptos C-043 del 09 de febrero de 2021, C-005</w:t>
      </w:r>
      <w:r w:rsidRPr="00316462">
        <w:rPr>
          <w:rFonts w:ascii="Arial" w:hAnsi="Arial" w:cs="Arial"/>
          <w:spacing w:val="1"/>
        </w:rPr>
        <w:t xml:space="preserve"> </w:t>
      </w:r>
      <w:r w:rsidRPr="00316462">
        <w:rPr>
          <w:rFonts w:ascii="Arial" w:hAnsi="Arial" w:cs="Arial"/>
        </w:rPr>
        <w:t>del</w:t>
      </w:r>
      <w:r w:rsidRPr="00316462">
        <w:rPr>
          <w:rFonts w:ascii="Arial" w:hAnsi="Arial" w:cs="Arial"/>
          <w:spacing w:val="-7"/>
        </w:rPr>
        <w:t xml:space="preserve"> </w:t>
      </w:r>
      <w:r w:rsidRPr="00316462">
        <w:rPr>
          <w:rFonts w:ascii="Arial" w:hAnsi="Arial" w:cs="Arial"/>
        </w:rPr>
        <w:t>16</w:t>
      </w:r>
      <w:r w:rsidRPr="00316462">
        <w:rPr>
          <w:rFonts w:ascii="Arial" w:hAnsi="Arial" w:cs="Arial"/>
          <w:spacing w:val="-7"/>
        </w:rPr>
        <w:t xml:space="preserve"> </w:t>
      </w:r>
      <w:r w:rsidRPr="00316462">
        <w:rPr>
          <w:rFonts w:ascii="Arial" w:hAnsi="Arial" w:cs="Arial"/>
        </w:rPr>
        <w:t>de</w:t>
      </w:r>
      <w:r w:rsidRPr="00316462">
        <w:rPr>
          <w:rFonts w:ascii="Arial" w:hAnsi="Arial" w:cs="Arial"/>
          <w:spacing w:val="-6"/>
        </w:rPr>
        <w:t xml:space="preserve"> </w:t>
      </w:r>
      <w:r w:rsidRPr="00316462">
        <w:rPr>
          <w:rFonts w:ascii="Arial" w:hAnsi="Arial" w:cs="Arial"/>
        </w:rPr>
        <w:t>febrero</w:t>
      </w:r>
      <w:r w:rsidRPr="00316462">
        <w:rPr>
          <w:rFonts w:ascii="Arial" w:hAnsi="Arial" w:cs="Arial"/>
          <w:spacing w:val="-6"/>
        </w:rPr>
        <w:t xml:space="preserve"> </w:t>
      </w:r>
      <w:r w:rsidRPr="00316462">
        <w:rPr>
          <w:rFonts w:ascii="Arial" w:hAnsi="Arial" w:cs="Arial"/>
        </w:rPr>
        <w:t>de</w:t>
      </w:r>
      <w:r w:rsidRPr="00316462">
        <w:rPr>
          <w:rFonts w:ascii="Arial" w:hAnsi="Arial" w:cs="Arial"/>
          <w:spacing w:val="-7"/>
        </w:rPr>
        <w:t xml:space="preserve"> </w:t>
      </w:r>
      <w:r w:rsidRPr="00316462">
        <w:rPr>
          <w:rFonts w:ascii="Arial" w:hAnsi="Arial" w:cs="Arial"/>
        </w:rPr>
        <w:t>2021,</w:t>
      </w:r>
      <w:r w:rsidRPr="00316462">
        <w:rPr>
          <w:rFonts w:ascii="Arial" w:hAnsi="Arial" w:cs="Arial"/>
          <w:spacing w:val="-6"/>
        </w:rPr>
        <w:t xml:space="preserve"> </w:t>
      </w:r>
      <w:r w:rsidRPr="00316462">
        <w:rPr>
          <w:rFonts w:ascii="Arial" w:hAnsi="Arial" w:cs="Arial"/>
        </w:rPr>
        <w:t>C-081</w:t>
      </w:r>
      <w:r w:rsidRPr="00316462">
        <w:rPr>
          <w:rFonts w:ascii="Arial" w:hAnsi="Arial" w:cs="Arial"/>
          <w:spacing w:val="-7"/>
        </w:rPr>
        <w:t xml:space="preserve"> </w:t>
      </w:r>
      <w:r w:rsidRPr="00316462">
        <w:rPr>
          <w:rFonts w:ascii="Arial" w:hAnsi="Arial" w:cs="Arial"/>
        </w:rPr>
        <w:t>del</w:t>
      </w:r>
      <w:r w:rsidRPr="00316462">
        <w:rPr>
          <w:rFonts w:ascii="Arial" w:hAnsi="Arial" w:cs="Arial"/>
          <w:spacing w:val="-6"/>
        </w:rPr>
        <w:t xml:space="preserve"> </w:t>
      </w:r>
      <w:r w:rsidRPr="00316462">
        <w:rPr>
          <w:rFonts w:ascii="Arial" w:hAnsi="Arial" w:cs="Arial"/>
        </w:rPr>
        <w:t>23</w:t>
      </w:r>
      <w:r w:rsidRPr="00316462">
        <w:rPr>
          <w:rFonts w:ascii="Arial" w:hAnsi="Arial" w:cs="Arial"/>
          <w:spacing w:val="-7"/>
        </w:rPr>
        <w:t xml:space="preserve"> </w:t>
      </w:r>
      <w:r w:rsidRPr="00316462">
        <w:rPr>
          <w:rFonts w:ascii="Arial" w:hAnsi="Arial" w:cs="Arial"/>
        </w:rPr>
        <w:t>de</w:t>
      </w:r>
      <w:r w:rsidRPr="00316462">
        <w:rPr>
          <w:rFonts w:ascii="Arial" w:hAnsi="Arial" w:cs="Arial"/>
          <w:spacing w:val="-7"/>
        </w:rPr>
        <w:t xml:space="preserve"> </w:t>
      </w:r>
      <w:r w:rsidRPr="00316462">
        <w:rPr>
          <w:rFonts w:ascii="Arial" w:hAnsi="Arial" w:cs="Arial"/>
        </w:rPr>
        <w:t>febrero</w:t>
      </w:r>
      <w:r w:rsidRPr="00316462">
        <w:rPr>
          <w:rFonts w:ascii="Arial" w:hAnsi="Arial" w:cs="Arial"/>
          <w:spacing w:val="-5"/>
        </w:rPr>
        <w:t xml:space="preserve"> </w:t>
      </w:r>
      <w:r w:rsidRPr="00316462">
        <w:rPr>
          <w:rFonts w:ascii="Arial" w:hAnsi="Arial" w:cs="Arial"/>
        </w:rPr>
        <w:t>de</w:t>
      </w:r>
      <w:r w:rsidRPr="00316462">
        <w:rPr>
          <w:rFonts w:ascii="Arial" w:hAnsi="Arial" w:cs="Arial"/>
          <w:spacing w:val="-7"/>
        </w:rPr>
        <w:t xml:space="preserve"> </w:t>
      </w:r>
      <w:r w:rsidRPr="00316462">
        <w:rPr>
          <w:rFonts w:ascii="Arial" w:hAnsi="Arial" w:cs="Arial"/>
        </w:rPr>
        <w:t>2021,</w:t>
      </w:r>
      <w:r w:rsidRPr="00316462">
        <w:rPr>
          <w:rFonts w:ascii="Arial" w:hAnsi="Arial" w:cs="Arial"/>
          <w:spacing w:val="-6"/>
        </w:rPr>
        <w:t xml:space="preserve"> </w:t>
      </w:r>
      <w:r w:rsidRPr="00316462">
        <w:rPr>
          <w:rFonts w:ascii="Arial" w:hAnsi="Arial" w:cs="Arial"/>
        </w:rPr>
        <w:t>C-087</w:t>
      </w:r>
      <w:r w:rsidRPr="00316462">
        <w:rPr>
          <w:rFonts w:ascii="Arial" w:hAnsi="Arial" w:cs="Arial"/>
          <w:spacing w:val="-7"/>
        </w:rPr>
        <w:t xml:space="preserve"> </w:t>
      </w:r>
      <w:r w:rsidRPr="00316462">
        <w:rPr>
          <w:rFonts w:ascii="Arial" w:hAnsi="Arial" w:cs="Arial"/>
        </w:rPr>
        <w:t>del</w:t>
      </w:r>
      <w:r w:rsidRPr="00316462">
        <w:rPr>
          <w:rFonts w:ascii="Arial" w:hAnsi="Arial" w:cs="Arial"/>
          <w:spacing w:val="-7"/>
        </w:rPr>
        <w:t xml:space="preserve"> </w:t>
      </w:r>
      <w:r w:rsidRPr="00316462">
        <w:rPr>
          <w:rFonts w:ascii="Arial" w:hAnsi="Arial" w:cs="Arial"/>
        </w:rPr>
        <w:t>23</w:t>
      </w:r>
      <w:r w:rsidRPr="00316462">
        <w:rPr>
          <w:rFonts w:ascii="Arial" w:hAnsi="Arial" w:cs="Arial"/>
          <w:spacing w:val="-6"/>
        </w:rPr>
        <w:t xml:space="preserve"> </w:t>
      </w:r>
      <w:r w:rsidRPr="00316462">
        <w:rPr>
          <w:rFonts w:ascii="Arial" w:hAnsi="Arial" w:cs="Arial"/>
        </w:rPr>
        <w:t>de</w:t>
      </w:r>
      <w:r w:rsidRPr="00316462">
        <w:rPr>
          <w:rFonts w:ascii="Arial" w:hAnsi="Arial" w:cs="Arial"/>
          <w:spacing w:val="-7"/>
        </w:rPr>
        <w:t xml:space="preserve"> </w:t>
      </w:r>
      <w:r w:rsidRPr="00316462">
        <w:rPr>
          <w:rFonts w:ascii="Arial" w:hAnsi="Arial" w:cs="Arial"/>
        </w:rPr>
        <w:t>febrero</w:t>
      </w:r>
      <w:r w:rsidRPr="00316462">
        <w:rPr>
          <w:rFonts w:ascii="Arial" w:hAnsi="Arial" w:cs="Arial"/>
          <w:spacing w:val="-6"/>
        </w:rPr>
        <w:t xml:space="preserve"> </w:t>
      </w:r>
      <w:r w:rsidRPr="00316462">
        <w:rPr>
          <w:rFonts w:ascii="Arial" w:hAnsi="Arial" w:cs="Arial"/>
        </w:rPr>
        <w:t>de</w:t>
      </w:r>
      <w:r w:rsidRPr="00316462">
        <w:rPr>
          <w:rFonts w:ascii="Arial" w:hAnsi="Arial" w:cs="Arial"/>
          <w:spacing w:val="-6"/>
        </w:rPr>
        <w:t xml:space="preserve"> </w:t>
      </w:r>
      <w:r w:rsidRPr="00316462">
        <w:rPr>
          <w:rFonts w:ascii="Arial" w:hAnsi="Arial" w:cs="Arial"/>
        </w:rPr>
        <w:t>2021,</w:t>
      </w:r>
      <w:r w:rsidRPr="00316462">
        <w:rPr>
          <w:rFonts w:ascii="Arial" w:hAnsi="Arial" w:cs="Arial"/>
          <w:spacing w:val="-7"/>
        </w:rPr>
        <w:t xml:space="preserve"> </w:t>
      </w:r>
      <w:r w:rsidRPr="00316462">
        <w:rPr>
          <w:rFonts w:ascii="Arial" w:hAnsi="Arial" w:cs="Arial"/>
        </w:rPr>
        <w:t>C-</w:t>
      </w:r>
      <w:r w:rsidRPr="00316462">
        <w:rPr>
          <w:rFonts w:ascii="Arial" w:hAnsi="Arial" w:cs="Arial"/>
          <w:spacing w:val="-59"/>
        </w:rPr>
        <w:t xml:space="preserve"> </w:t>
      </w:r>
      <w:r w:rsidRPr="00316462">
        <w:rPr>
          <w:rFonts w:ascii="Arial" w:hAnsi="Arial" w:cs="Arial"/>
        </w:rPr>
        <w:t>025</w:t>
      </w:r>
      <w:r w:rsidRPr="00316462">
        <w:rPr>
          <w:rFonts w:ascii="Arial" w:hAnsi="Arial" w:cs="Arial"/>
          <w:spacing w:val="-10"/>
        </w:rPr>
        <w:t xml:space="preserve"> </w:t>
      </w:r>
      <w:r w:rsidRPr="00316462">
        <w:rPr>
          <w:rFonts w:ascii="Arial" w:hAnsi="Arial" w:cs="Arial"/>
        </w:rPr>
        <w:t>del</w:t>
      </w:r>
      <w:r w:rsidRPr="00316462">
        <w:rPr>
          <w:rFonts w:ascii="Arial" w:hAnsi="Arial" w:cs="Arial"/>
          <w:spacing w:val="-9"/>
        </w:rPr>
        <w:t xml:space="preserve"> </w:t>
      </w:r>
      <w:r w:rsidRPr="00316462">
        <w:rPr>
          <w:rFonts w:ascii="Arial" w:hAnsi="Arial" w:cs="Arial"/>
        </w:rPr>
        <w:t>25</w:t>
      </w:r>
      <w:r w:rsidRPr="00316462">
        <w:rPr>
          <w:rFonts w:ascii="Arial" w:hAnsi="Arial" w:cs="Arial"/>
          <w:spacing w:val="-10"/>
        </w:rPr>
        <w:t xml:space="preserve"> </w:t>
      </w:r>
      <w:r w:rsidRPr="00316462">
        <w:rPr>
          <w:rFonts w:ascii="Arial" w:hAnsi="Arial" w:cs="Arial"/>
        </w:rPr>
        <w:t>de</w:t>
      </w:r>
      <w:r w:rsidRPr="00316462">
        <w:rPr>
          <w:rFonts w:ascii="Arial" w:hAnsi="Arial" w:cs="Arial"/>
          <w:spacing w:val="-9"/>
        </w:rPr>
        <w:t xml:space="preserve"> </w:t>
      </w:r>
      <w:r w:rsidRPr="00316462">
        <w:rPr>
          <w:rFonts w:ascii="Arial" w:hAnsi="Arial" w:cs="Arial"/>
        </w:rPr>
        <w:t>febrero</w:t>
      </w:r>
      <w:r w:rsidRPr="00316462">
        <w:rPr>
          <w:rFonts w:ascii="Arial" w:hAnsi="Arial" w:cs="Arial"/>
          <w:spacing w:val="-8"/>
        </w:rPr>
        <w:t xml:space="preserve"> </w:t>
      </w:r>
      <w:r w:rsidRPr="00316462">
        <w:rPr>
          <w:rFonts w:ascii="Arial" w:hAnsi="Arial" w:cs="Arial"/>
        </w:rPr>
        <w:t>de</w:t>
      </w:r>
      <w:r w:rsidRPr="00316462">
        <w:rPr>
          <w:rFonts w:ascii="Arial" w:hAnsi="Arial" w:cs="Arial"/>
          <w:spacing w:val="-10"/>
        </w:rPr>
        <w:t xml:space="preserve"> </w:t>
      </w:r>
      <w:r w:rsidRPr="00316462">
        <w:rPr>
          <w:rFonts w:ascii="Arial" w:hAnsi="Arial" w:cs="Arial"/>
        </w:rPr>
        <w:t>2021,</w:t>
      </w:r>
      <w:r w:rsidRPr="00316462">
        <w:rPr>
          <w:rFonts w:ascii="Arial" w:hAnsi="Arial" w:cs="Arial"/>
          <w:spacing w:val="-9"/>
        </w:rPr>
        <w:t xml:space="preserve"> </w:t>
      </w:r>
      <w:r w:rsidRPr="00316462">
        <w:rPr>
          <w:rFonts w:ascii="Arial" w:hAnsi="Arial" w:cs="Arial"/>
        </w:rPr>
        <w:t>C-037</w:t>
      </w:r>
      <w:r w:rsidRPr="00316462">
        <w:rPr>
          <w:rFonts w:ascii="Arial" w:hAnsi="Arial" w:cs="Arial"/>
          <w:spacing w:val="-9"/>
        </w:rPr>
        <w:t xml:space="preserve"> </w:t>
      </w:r>
      <w:r w:rsidRPr="00316462">
        <w:rPr>
          <w:rFonts w:ascii="Arial" w:hAnsi="Arial" w:cs="Arial"/>
        </w:rPr>
        <w:t>del</w:t>
      </w:r>
      <w:r w:rsidRPr="00316462">
        <w:rPr>
          <w:rFonts w:ascii="Arial" w:hAnsi="Arial" w:cs="Arial"/>
          <w:spacing w:val="-10"/>
        </w:rPr>
        <w:t xml:space="preserve"> </w:t>
      </w:r>
      <w:r w:rsidRPr="00316462">
        <w:rPr>
          <w:rFonts w:ascii="Arial" w:hAnsi="Arial" w:cs="Arial"/>
        </w:rPr>
        <w:t>26</w:t>
      </w:r>
      <w:r w:rsidRPr="00316462">
        <w:rPr>
          <w:rFonts w:ascii="Arial" w:hAnsi="Arial" w:cs="Arial"/>
          <w:spacing w:val="-9"/>
        </w:rPr>
        <w:t xml:space="preserve"> </w:t>
      </w:r>
      <w:r w:rsidRPr="00316462">
        <w:rPr>
          <w:rFonts w:ascii="Arial" w:hAnsi="Arial" w:cs="Arial"/>
        </w:rPr>
        <w:t>de</w:t>
      </w:r>
      <w:r w:rsidRPr="00316462">
        <w:rPr>
          <w:rFonts w:ascii="Arial" w:hAnsi="Arial" w:cs="Arial"/>
          <w:spacing w:val="-9"/>
        </w:rPr>
        <w:t xml:space="preserve"> </w:t>
      </w:r>
      <w:r w:rsidRPr="00316462">
        <w:rPr>
          <w:rFonts w:ascii="Arial" w:hAnsi="Arial" w:cs="Arial"/>
        </w:rPr>
        <w:t>febrero</w:t>
      </w:r>
      <w:r w:rsidRPr="00316462">
        <w:rPr>
          <w:rFonts w:ascii="Arial" w:hAnsi="Arial" w:cs="Arial"/>
          <w:spacing w:val="-9"/>
        </w:rPr>
        <w:t xml:space="preserve"> </w:t>
      </w:r>
      <w:r w:rsidRPr="00316462">
        <w:rPr>
          <w:rFonts w:ascii="Arial" w:hAnsi="Arial" w:cs="Arial"/>
        </w:rPr>
        <w:t>de</w:t>
      </w:r>
      <w:r w:rsidRPr="00316462">
        <w:rPr>
          <w:rFonts w:ascii="Arial" w:hAnsi="Arial" w:cs="Arial"/>
          <w:spacing w:val="-9"/>
        </w:rPr>
        <w:t xml:space="preserve"> </w:t>
      </w:r>
      <w:r w:rsidRPr="00316462">
        <w:rPr>
          <w:rFonts w:ascii="Arial" w:hAnsi="Arial" w:cs="Arial"/>
        </w:rPr>
        <w:t>2021,</w:t>
      </w:r>
      <w:r w:rsidRPr="00316462">
        <w:rPr>
          <w:rFonts w:ascii="Arial" w:hAnsi="Arial" w:cs="Arial"/>
          <w:spacing w:val="-10"/>
        </w:rPr>
        <w:t xml:space="preserve"> </w:t>
      </w:r>
      <w:r w:rsidRPr="00316462">
        <w:rPr>
          <w:rFonts w:ascii="Arial" w:hAnsi="Arial" w:cs="Arial"/>
        </w:rPr>
        <w:t>C-035</w:t>
      </w:r>
      <w:r w:rsidRPr="00316462">
        <w:rPr>
          <w:rFonts w:ascii="Arial" w:hAnsi="Arial" w:cs="Arial"/>
          <w:spacing w:val="-9"/>
        </w:rPr>
        <w:t xml:space="preserve"> </w:t>
      </w:r>
      <w:r w:rsidRPr="00316462">
        <w:rPr>
          <w:rFonts w:ascii="Arial" w:hAnsi="Arial" w:cs="Arial"/>
        </w:rPr>
        <w:t>del</w:t>
      </w:r>
      <w:r w:rsidRPr="00316462">
        <w:rPr>
          <w:rFonts w:ascii="Arial" w:hAnsi="Arial" w:cs="Arial"/>
          <w:spacing w:val="-9"/>
        </w:rPr>
        <w:t xml:space="preserve"> </w:t>
      </w:r>
      <w:r w:rsidRPr="00316462">
        <w:rPr>
          <w:rFonts w:ascii="Arial" w:hAnsi="Arial" w:cs="Arial"/>
        </w:rPr>
        <w:t>02</w:t>
      </w:r>
      <w:r w:rsidRPr="00316462">
        <w:rPr>
          <w:rFonts w:ascii="Arial" w:hAnsi="Arial" w:cs="Arial"/>
          <w:spacing w:val="-10"/>
        </w:rPr>
        <w:t xml:space="preserve"> </w:t>
      </w:r>
      <w:r w:rsidRPr="00316462">
        <w:rPr>
          <w:rFonts w:ascii="Arial" w:hAnsi="Arial" w:cs="Arial"/>
        </w:rPr>
        <w:t>de</w:t>
      </w:r>
      <w:r w:rsidRPr="00316462">
        <w:rPr>
          <w:rFonts w:ascii="Arial" w:hAnsi="Arial" w:cs="Arial"/>
          <w:spacing w:val="-9"/>
        </w:rPr>
        <w:t xml:space="preserve"> </w:t>
      </w:r>
      <w:r w:rsidRPr="00316462">
        <w:rPr>
          <w:rFonts w:ascii="Arial" w:hAnsi="Arial" w:cs="Arial"/>
        </w:rPr>
        <w:t>marzo</w:t>
      </w:r>
      <w:r w:rsidRPr="00316462">
        <w:rPr>
          <w:rFonts w:ascii="Arial" w:hAnsi="Arial" w:cs="Arial"/>
          <w:spacing w:val="-9"/>
        </w:rPr>
        <w:t xml:space="preserve"> </w:t>
      </w:r>
      <w:r w:rsidRPr="00316462">
        <w:rPr>
          <w:rFonts w:ascii="Arial" w:hAnsi="Arial" w:cs="Arial"/>
        </w:rPr>
        <w:t>de</w:t>
      </w:r>
      <w:r w:rsidRPr="00316462">
        <w:rPr>
          <w:rFonts w:ascii="Arial" w:hAnsi="Arial" w:cs="Arial"/>
          <w:spacing w:val="-10"/>
        </w:rPr>
        <w:t xml:space="preserve"> </w:t>
      </w:r>
      <w:r w:rsidRPr="00316462">
        <w:rPr>
          <w:rFonts w:ascii="Arial" w:hAnsi="Arial" w:cs="Arial"/>
        </w:rPr>
        <w:t>2021,</w:t>
      </w:r>
      <w:r w:rsidRPr="00316462">
        <w:rPr>
          <w:rFonts w:ascii="Arial" w:hAnsi="Arial" w:cs="Arial"/>
          <w:spacing w:val="1"/>
        </w:rPr>
        <w:t xml:space="preserve"> </w:t>
      </w:r>
      <w:r w:rsidRPr="00316462">
        <w:rPr>
          <w:rFonts w:ascii="Arial" w:hAnsi="Arial" w:cs="Arial"/>
        </w:rPr>
        <w:t>C-040</w:t>
      </w:r>
      <w:r w:rsidRPr="00316462">
        <w:rPr>
          <w:rFonts w:ascii="Arial" w:hAnsi="Arial" w:cs="Arial"/>
          <w:spacing w:val="-12"/>
        </w:rPr>
        <w:t xml:space="preserve"> </w:t>
      </w:r>
      <w:r w:rsidRPr="00316462">
        <w:rPr>
          <w:rFonts w:ascii="Arial" w:hAnsi="Arial" w:cs="Arial"/>
        </w:rPr>
        <w:t>del</w:t>
      </w:r>
      <w:r w:rsidRPr="00316462">
        <w:rPr>
          <w:rFonts w:ascii="Arial" w:hAnsi="Arial" w:cs="Arial"/>
          <w:spacing w:val="-12"/>
        </w:rPr>
        <w:t xml:space="preserve"> </w:t>
      </w:r>
      <w:r w:rsidRPr="00316462">
        <w:rPr>
          <w:rFonts w:ascii="Arial" w:hAnsi="Arial" w:cs="Arial"/>
        </w:rPr>
        <w:t>02</w:t>
      </w:r>
      <w:r w:rsidRPr="00316462">
        <w:rPr>
          <w:rFonts w:ascii="Arial" w:hAnsi="Arial" w:cs="Arial"/>
          <w:spacing w:val="-12"/>
        </w:rPr>
        <w:t xml:space="preserve"> </w:t>
      </w:r>
      <w:r w:rsidRPr="00316462">
        <w:rPr>
          <w:rFonts w:ascii="Arial" w:hAnsi="Arial" w:cs="Arial"/>
        </w:rPr>
        <w:t>de</w:t>
      </w:r>
      <w:r w:rsidRPr="00316462">
        <w:rPr>
          <w:rFonts w:ascii="Arial" w:hAnsi="Arial" w:cs="Arial"/>
          <w:spacing w:val="-12"/>
        </w:rPr>
        <w:t xml:space="preserve"> </w:t>
      </w:r>
      <w:r w:rsidRPr="00316462">
        <w:rPr>
          <w:rFonts w:ascii="Arial" w:hAnsi="Arial" w:cs="Arial"/>
        </w:rPr>
        <w:t>marzo</w:t>
      </w:r>
      <w:r w:rsidRPr="00316462">
        <w:rPr>
          <w:rFonts w:ascii="Arial" w:hAnsi="Arial" w:cs="Arial"/>
          <w:spacing w:val="-12"/>
        </w:rPr>
        <w:t xml:space="preserve"> </w:t>
      </w:r>
      <w:r w:rsidRPr="00316462">
        <w:rPr>
          <w:rFonts w:ascii="Arial" w:hAnsi="Arial" w:cs="Arial"/>
        </w:rPr>
        <w:t>de</w:t>
      </w:r>
      <w:r w:rsidRPr="00316462">
        <w:rPr>
          <w:rFonts w:ascii="Arial" w:hAnsi="Arial" w:cs="Arial"/>
          <w:spacing w:val="-12"/>
        </w:rPr>
        <w:t xml:space="preserve"> </w:t>
      </w:r>
      <w:r w:rsidRPr="00316462">
        <w:rPr>
          <w:rFonts w:ascii="Arial" w:hAnsi="Arial" w:cs="Arial"/>
        </w:rPr>
        <w:t>2021,</w:t>
      </w:r>
      <w:r w:rsidRPr="00316462">
        <w:rPr>
          <w:rFonts w:ascii="Arial" w:hAnsi="Arial" w:cs="Arial"/>
          <w:spacing w:val="-12"/>
        </w:rPr>
        <w:t xml:space="preserve"> </w:t>
      </w:r>
      <w:r w:rsidRPr="00316462">
        <w:rPr>
          <w:rFonts w:ascii="Arial" w:hAnsi="Arial" w:cs="Arial"/>
        </w:rPr>
        <w:t>C-044</w:t>
      </w:r>
      <w:r w:rsidRPr="00316462">
        <w:rPr>
          <w:rFonts w:ascii="Arial" w:hAnsi="Arial" w:cs="Arial"/>
          <w:spacing w:val="-12"/>
        </w:rPr>
        <w:t xml:space="preserve"> </w:t>
      </w:r>
      <w:r w:rsidRPr="00316462">
        <w:rPr>
          <w:rFonts w:ascii="Arial" w:hAnsi="Arial" w:cs="Arial"/>
        </w:rPr>
        <w:t>del</w:t>
      </w:r>
      <w:r w:rsidRPr="00316462">
        <w:rPr>
          <w:rFonts w:ascii="Arial" w:hAnsi="Arial" w:cs="Arial"/>
          <w:spacing w:val="-12"/>
        </w:rPr>
        <w:t xml:space="preserve"> </w:t>
      </w:r>
      <w:r w:rsidRPr="00316462">
        <w:rPr>
          <w:rFonts w:ascii="Arial" w:hAnsi="Arial" w:cs="Arial"/>
        </w:rPr>
        <w:t>03</w:t>
      </w:r>
      <w:r w:rsidRPr="00316462">
        <w:rPr>
          <w:rFonts w:ascii="Arial" w:hAnsi="Arial" w:cs="Arial"/>
          <w:spacing w:val="-11"/>
        </w:rPr>
        <w:t xml:space="preserve"> </w:t>
      </w:r>
      <w:r w:rsidRPr="00316462">
        <w:rPr>
          <w:rFonts w:ascii="Arial" w:hAnsi="Arial" w:cs="Arial"/>
        </w:rPr>
        <w:t>de</w:t>
      </w:r>
      <w:r w:rsidRPr="00316462">
        <w:rPr>
          <w:rFonts w:ascii="Arial" w:hAnsi="Arial" w:cs="Arial"/>
          <w:spacing w:val="-12"/>
        </w:rPr>
        <w:t xml:space="preserve"> </w:t>
      </w:r>
      <w:r w:rsidRPr="00316462">
        <w:rPr>
          <w:rFonts w:ascii="Arial" w:hAnsi="Arial" w:cs="Arial"/>
        </w:rPr>
        <w:t>marzo</w:t>
      </w:r>
      <w:r w:rsidRPr="00316462">
        <w:rPr>
          <w:rFonts w:ascii="Arial" w:hAnsi="Arial" w:cs="Arial"/>
          <w:spacing w:val="-12"/>
        </w:rPr>
        <w:t xml:space="preserve"> </w:t>
      </w:r>
      <w:r w:rsidRPr="00316462">
        <w:rPr>
          <w:rFonts w:ascii="Arial" w:hAnsi="Arial" w:cs="Arial"/>
        </w:rPr>
        <w:t>de</w:t>
      </w:r>
      <w:r w:rsidRPr="00316462">
        <w:rPr>
          <w:rFonts w:ascii="Arial" w:hAnsi="Arial" w:cs="Arial"/>
          <w:spacing w:val="-12"/>
        </w:rPr>
        <w:t xml:space="preserve"> </w:t>
      </w:r>
      <w:r w:rsidRPr="00316462">
        <w:rPr>
          <w:rFonts w:ascii="Arial" w:hAnsi="Arial" w:cs="Arial"/>
        </w:rPr>
        <w:t>2021,</w:t>
      </w:r>
      <w:r w:rsidRPr="00316462">
        <w:rPr>
          <w:rFonts w:ascii="Arial" w:hAnsi="Arial" w:cs="Arial"/>
          <w:spacing w:val="-12"/>
        </w:rPr>
        <w:t xml:space="preserve"> </w:t>
      </w:r>
      <w:r w:rsidRPr="00316462">
        <w:rPr>
          <w:rFonts w:ascii="Arial" w:hAnsi="Arial" w:cs="Arial"/>
        </w:rPr>
        <w:t>C-102</w:t>
      </w:r>
      <w:r w:rsidRPr="00316462">
        <w:rPr>
          <w:rFonts w:ascii="Arial" w:hAnsi="Arial" w:cs="Arial"/>
          <w:spacing w:val="-12"/>
        </w:rPr>
        <w:t xml:space="preserve"> </w:t>
      </w:r>
      <w:r w:rsidRPr="00316462">
        <w:rPr>
          <w:rFonts w:ascii="Arial" w:hAnsi="Arial" w:cs="Arial"/>
        </w:rPr>
        <w:t>del</w:t>
      </w:r>
      <w:r w:rsidRPr="00316462">
        <w:rPr>
          <w:rFonts w:ascii="Arial" w:hAnsi="Arial" w:cs="Arial"/>
          <w:spacing w:val="-12"/>
        </w:rPr>
        <w:t xml:space="preserve"> </w:t>
      </w:r>
      <w:r w:rsidRPr="00316462">
        <w:rPr>
          <w:rFonts w:ascii="Arial" w:hAnsi="Arial" w:cs="Arial"/>
        </w:rPr>
        <w:t>25</w:t>
      </w:r>
      <w:r w:rsidRPr="00316462">
        <w:rPr>
          <w:rFonts w:ascii="Arial" w:hAnsi="Arial" w:cs="Arial"/>
          <w:spacing w:val="-12"/>
        </w:rPr>
        <w:t xml:space="preserve"> </w:t>
      </w:r>
      <w:r w:rsidRPr="00316462">
        <w:rPr>
          <w:rFonts w:ascii="Arial" w:hAnsi="Arial" w:cs="Arial"/>
        </w:rPr>
        <w:t>de</w:t>
      </w:r>
      <w:r w:rsidRPr="00316462">
        <w:rPr>
          <w:rFonts w:ascii="Arial" w:hAnsi="Arial" w:cs="Arial"/>
          <w:spacing w:val="-12"/>
        </w:rPr>
        <w:t xml:space="preserve"> </w:t>
      </w:r>
      <w:r w:rsidRPr="00316462">
        <w:rPr>
          <w:rFonts w:ascii="Arial" w:hAnsi="Arial" w:cs="Arial"/>
        </w:rPr>
        <w:t>marzo</w:t>
      </w:r>
      <w:r w:rsidRPr="00316462">
        <w:rPr>
          <w:rFonts w:ascii="Arial" w:hAnsi="Arial" w:cs="Arial"/>
          <w:spacing w:val="-11"/>
        </w:rPr>
        <w:t xml:space="preserve"> </w:t>
      </w:r>
      <w:r w:rsidRPr="00316462">
        <w:rPr>
          <w:rFonts w:ascii="Arial" w:hAnsi="Arial" w:cs="Arial"/>
        </w:rPr>
        <w:t>de</w:t>
      </w:r>
      <w:r w:rsidRPr="00316462">
        <w:rPr>
          <w:rFonts w:ascii="Arial" w:hAnsi="Arial" w:cs="Arial"/>
          <w:spacing w:val="-12"/>
        </w:rPr>
        <w:t xml:space="preserve"> </w:t>
      </w:r>
      <w:r w:rsidRPr="00316462">
        <w:rPr>
          <w:rFonts w:ascii="Arial" w:hAnsi="Arial" w:cs="Arial"/>
        </w:rPr>
        <w:t>2021,</w:t>
      </w:r>
      <w:r w:rsidRPr="00316462">
        <w:rPr>
          <w:rFonts w:ascii="Arial" w:hAnsi="Arial" w:cs="Arial"/>
          <w:spacing w:val="-59"/>
        </w:rPr>
        <w:t xml:space="preserve"> </w:t>
      </w:r>
      <w:r w:rsidRPr="00316462">
        <w:rPr>
          <w:rFonts w:ascii="Arial" w:hAnsi="Arial" w:cs="Arial"/>
        </w:rPr>
        <w:t>C-125 del 05 de abril de 2021, C-127 del 06 de abril de 2021,</w:t>
      </w:r>
      <w:r w:rsidRPr="00316462">
        <w:rPr>
          <w:rFonts w:ascii="Arial" w:hAnsi="Arial" w:cs="Arial"/>
          <w:spacing w:val="1"/>
        </w:rPr>
        <w:t xml:space="preserve"> </w:t>
      </w:r>
      <w:r w:rsidRPr="00316462">
        <w:rPr>
          <w:rFonts w:ascii="Arial" w:hAnsi="Arial" w:cs="Arial"/>
        </w:rPr>
        <w:t>C-130 del 07 de abril de 2021, C-</w:t>
      </w:r>
      <w:r w:rsidRPr="00316462">
        <w:rPr>
          <w:rFonts w:ascii="Arial" w:hAnsi="Arial" w:cs="Arial"/>
          <w:spacing w:val="-59"/>
        </w:rPr>
        <w:t xml:space="preserve"> </w:t>
      </w:r>
      <w:r w:rsidRPr="00316462">
        <w:rPr>
          <w:rFonts w:ascii="Arial" w:hAnsi="Arial" w:cs="Arial"/>
        </w:rPr>
        <w:t>144</w:t>
      </w:r>
      <w:r w:rsidRPr="00316462">
        <w:rPr>
          <w:rFonts w:ascii="Arial" w:hAnsi="Arial" w:cs="Arial"/>
          <w:spacing w:val="-11"/>
        </w:rPr>
        <w:t xml:space="preserve"> </w:t>
      </w:r>
      <w:r w:rsidRPr="00316462">
        <w:rPr>
          <w:rFonts w:ascii="Arial" w:hAnsi="Arial" w:cs="Arial"/>
        </w:rPr>
        <w:t>del</w:t>
      </w:r>
      <w:r w:rsidRPr="00316462">
        <w:rPr>
          <w:rFonts w:ascii="Arial" w:hAnsi="Arial" w:cs="Arial"/>
          <w:spacing w:val="-11"/>
        </w:rPr>
        <w:t xml:space="preserve"> </w:t>
      </w:r>
      <w:r w:rsidRPr="00316462">
        <w:rPr>
          <w:rFonts w:ascii="Arial" w:hAnsi="Arial" w:cs="Arial"/>
        </w:rPr>
        <w:t>07</w:t>
      </w:r>
      <w:r w:rsidRPr="00316462">
        <w:rPr>
          <w:rFonts w:ascii="Arial" w:hAnsi="Arial" w:cs="Arial"/>
          <w:spacing w:val="-10"/>
        </w:rPr>
        <w:t xml:space="preserve"> </w:t>
      </w:r>
      <w:r w:rsidRPr="00316462">
        <w:rPr>
          <w:rFonts w:ascii="Arial" w:hAnsi="Arial" w:cs="Arial"/>
        </w:rPr>
        <w:t>de</w:t>
      </w:r>
      <w:r w:rsidRPr="00316462">
        <w:rPr>
          <w:rFonts w:ascii="Arial" w:hAnsi="Arial" w:cs="Arial"/>
          <w:spacing w:val="-11"/>
        </w:rPr>
        <w:t xml:space="preserve"> </w:t>
      </w:r>
      <w:r w:rsidRPr="00316462">
        <w:rPr>
          <w:rFonts w:ascii="Arial" w:hAnsi="Arial" w:cs="Arial"/>
        </w:rPr>
        <w:t>abril</w:t>
      </w:r>
      <w:r w:rsidRPr="00316462">
        <w:rPr>
          <w:rFonts w:ascii="Arial" w:hAnsi="Arial" w:cs="Arial"/>
          <w:spacing w:val="-11"/>
        </w:rPr>
        <w:t xml:space="preserve"> </w:t>
      </w:r>
      <w:r w:rsidRPr="00316462">
        <w:rPr>
          <w:rFonts w:ascii="Arial" w:hAnsi="Arial" w:cs="Arial"/>
        </w:rPr>
        <w:t>de</w:t>
      </w:r>
      <w:r w:rsidRPr="00316462">
        <w:rPr>
          <w:rFonts w:ascii="Arial" w:hAnsi="Arial" w:cs="Arial"/>
          <w:spacing w:val="-10"/>
        </w:rPr>
        <w:t xml:space="preserve"> </w:t>
      </w:r>
      <w:r w:rsidRPr="00316462">
        <w:rPr>
          <w:rFonts w:ascii="Arial" w:hAnsi="Arial" w:cs="Arial"/>
        </w:rPr>
        <w:t>2021,</w:t>
      </w:r>
      <w:r w:rsidRPr="00316462">
        <w:rPr>
          <w:rFonts w:ascii="Arial" w:hAnsi="Arial" w:cs="Arial"/>
          <w:spacing w:val="-11"/>
        </w:rPr>
        <w:t xml:space="preserve"> </w:t>
      </w:r>
      <w:r w:rsidRPr="00316462">
        <w:rPr>
          <w:rFonts w:ascii="Arial" w:hAnsi="Arial" w:cs="Arial"/>
        </w:rPr>
        <w:t>C-141</w:t>
      </w:r>
      <w:r w:rsidRPr="00316462">
        <w:rPr>
          <w:rFonts w:ascii="Arial" w:hAnsi="Arial" w:cs="Arial"/>
          <w:spacing w:val="-10"/>
        </w:rPr>
        <w:t xml:space="preserve"> </w:t>
      </w:r>
      <w:r w:rsidRPr="00316462">
        <w:rPr>
          <w:rFonts w:ascii="Arial" w:hAnsi="Arial" w:cs="Arial"/>
        </w:rPr>
        <w:t>del</w:t>
      </w:r>
      <w:r w:rsidRPr="00316462">
        <w:rPr>
          <w:rFonts w:ascii="Arial" w:hAnsi="Arial" w:cs="Arial"/>
          <w:spacing w:val="-11"/>
        </w:rPr>
        <w:t xml:space="preserve"> </w:t>
      </w:r>
      <w:r w:rsidRPr="00316462">
        <w:rPr>
          <w:rFonts w:ascii="Arial" w:hAnsi="Arial" w:cs="Arial"/>
        </w:rPr>
        <w:t>08</w:t>
      </w:r>
      <w:r w:rsidRPr="00316462">
        <w:rPr>
          <w:rFonts w:ascii="Arial" w:hAnsi="Arial" w:cs="Arial"/>
          <w:spacing w:val="-11"/>
        </w:rPr>
        <w:t xml:space="preserve"> </w:t>
      </w:r>
      <w:r w:rsidRPr="00316462">
        <w:rPr>
          <w:rFonts w:ascii="Arial" w:hAnsi="Arial" w:cs="Arial"/>
        </w:rPr>
        <w:t>de</w:t>
      </w:r>
      <w:r w:rsidRPr="00316462">
        <w:rPr>
          <w:rFonts w:ascii="Arial" w:hAnsi="Arial" w:cs="Arial"/>
          <w:spacing w:val="-10"/>
        </w:rPr>
        <w:t xml:space="preserve"> </w:t>
      </w:r>
      <w:r w:rsidRPr="00316462">
        <w:rPr>
          <w:rFonts w:ascii="Arial" w:hAnsi="Arial" w:cs="Arial"/>
        </w:rPr>
        <w:t>abril</w:t>
      </w:r>
      <w:r w:rsidRPr="00316462">
        <w:rPr>
          <w:rFonts w:ascii="Arial" w:hAnsi="Arial" w:cs="Arial"/>
          <w:spacing w:val="-11"/>
        </w:rPr>
        <w:t xml:space="preserve"> </w:t>
      </w:r>
      <w:r w:rsidRPr="00316462">
        <w:rPr>
          <w:rFonts w:ascii="Arial" w:hAnsi="Arial" w:cs="Arial"/>
        </w:rPr>
        <w:t>de</w:t>
      </w:r>
      <w:r w:rsidRPr="00316462">
        <w:rPr>
          <w:rFonts w:ascii="Arial" w:hAnsi="Arial" w:cs="Arial"/>
          <w:spacing w:val="-10"/>
        </w:rPr>
        <w:t xml:space="preserve"> </w:t>
      </w:r>
      <w:r w:rsidRPr="00316462">
        <w:rPr>
          <w:rFonts w:ascii="Arial" w:hAnsi="Arial" w:cs="Arial"/>
        </w:rPr>
        <w:t>2021,</w:t>
      </w:r>
      <w:r w:rsidRPr="00316462">
        <w:rPr>
          <w:rFonts w:ascii="Arial" w:hAnsi="Arial" w:cs="Arial"/>
          <w:spacing w:val="-11"/>
        </w:rPr>
        <w:t xml:space="preserve"> </w:t>
      </w:r>
      <w:r w:rsidRPr="00316462">
        <w:rPr>
          <w:rFonts w:ascii="Arial" w:hAnsi="Arial" w:cs="Arial"/>
        </w:rPr>
        <w:t>C-114</w:t>
      </w:r>
      <w:r w:rsidRPr="00316462">
        <w:rPr>
          <w:rFonts w:ascii="Arial" w:hAnsi="Arial" w:cs="Arial"/>
          <w:spacing w:val="-11"/>
        </w:rPr>
        <w:t xml:space="preserve"> </w:t>
      </w:r>
      <w:r w:rsidRPr="00316462">
        <w:rPr>
          <w:rFonts w:ascii="Arial" w:hAnsi="Arial" w:cs="Arial"/>
        </w:rPr>
        <w:t>del</w:t>
      </w:r>
      <w:r w:rsidRPr="00316462">
        <w:rPr>
          <w:rFonts w:ascii="Arial" w:hAnsi="Arial" w:cs="Arial"/>
          <w:spacing w:val="-10"/>
        </w:rPr>
        <w:t xml:space="preserve"> </w:t>
      </w:r>
      <w:r w:rsidRPr="00316462">
        <w:rPr>
          <w:rFonts w:ascii="Arial" w:hAnsi="Arial" w:cs="Arial"/>
        </w:rPr>
        <w:t>13</w:t>
      </w:r>
      <w:r w:rsidRPr="00316462">
        <w:rPr>
          <w:rFonts w:ascii="Arial" w:hAnsi="Arial" w:cs="Arial"/>
          <w:spacing w:val="-11"/>
        </w:rPr>
        <w:t xml:space="preserve"> </w:t>
      </w:r>
      <w:r w:rsidRPr="00316462">
        <w:rPr>
          <w:rFonts w:ascii="Arial" w:hAnsi="Arial" w:cs="Arial"/>
        </w:rPr>
        <w:t>de</w:t>
      </w:r>
      <w:r w:rsidRPr="00316462">
        <w:rPr>
          <w:rFonts w:ascii="Arial" w:hAnsi="Arial" w:cs="Arial"/>
          <w:spacing w:val="-10"/>
        </w:rPr>
        <w:t xml:space="preserve"> </w:t>
      </w:r>
      <w:r w:rsidRPr="00316462">
        <w:rPr>
          <w:rFonts w:ascii="Arial" w:hAnsi="Arial" w:cs="Arial"/>
        </w:rPr>
        <w:t>abril</w:t>
      </w:r>
      <w:r w:rsidRPr="00316462">
        <w:rPr>
          <w:rFonts w:ascii="Arial" w:hAnsi="Arial" w:cs="Arial"/>
          <w:spacing w:val="-11"/>
        </w:rPr>
        <w:t xml:space="preserve"> </w:t>
      </w:r>
      <w:r w:rsidRPr="00316462">
        <w:rPr>
          <w:rFonts w:ascii="Arial" w:hAnsi="Arial" w:cs="Arial"/>
        </w:rPr>
        <w:t>de</w:t>
      </w:r>
      <w:r w:rsidRPr="00316462">
        <w:rPr>
          <w:rFonts w:ascii="Arial" w:hAnsi="Arial" w:cs="Arial"/>
          <w:spacing w:val="-11"/>
        </w:rPr>
        <w:t xml:space="preserve"> </w:t>
      </w:r>
      <w:r w:rsidRPr="00316462">
        <w:rPr>
          <w:rFonts w:ascii="Arial" w:hAnsi="Arial" w:cs="Arial"/>
        </w:rPr>
        <w:t>2021,</w:t>
      </w:r>
      <w:r w:rsidRPr="00316462">
        <w:rPr>
          <w:rFonts w:ascii="Arial" w:hAnsi="Arial" w:cs="Arial"/>
          <w:spacing w:val="-10"/>
        </w:rPr>
        <w:t xml:space="preserve"> </w:t>
      </w:r>
      <w:r w:rsidRPr="00316462">
        <w:rPr>
          <w:rFonts w:ascii="Arial" w:hAnsi="Arial" w:cs="Arial"/>
        </w:rPr>
        <w:t>C−151</w:t>
      </w:r>
      <w:r w:rsidRPr="00316462">
        <w:rPr>
          <w:rFonts w:ascii="Arial" w:hAnsi="Arial" w:cs="Arial"/>
          <w:spacing w:val="-59"/>
        </w:rPr>
        <w:t xml:space="preserve"> </w:t>
      </w:r>
      <w:r w:rsidRPr="00316462">
        <w:rPr>
          <w:rFonts w:ascii="Arial" w:hAnsi="Arial" w:cs="Arial"/>
        </w:rPr>
        <w:t>del 12 de abril de 2021,</w:t>
      </w:r>
      <w:r w:rsidRPr="00316462">
        <w:rPr>
          <w:rFonts w:ascii="Arial" w:hAnsi="Arial" w:cs="Arial"/>
          <w:spacing w:val="1"/>
        </w:rPr>
        <w:t xml:space="preserve"> </w:t>
      </w:r>
      <w:r w:rsidRPr="00316462">
        <w:rPr>
          <w:rFonts w:ascii="Arial" w:hAnsi="Arial" w:cs="Arial"/>
        </w:rPr>
        <w:t>C-160 del 20 de abril de 2021,</w:t>
      </w:r>
      <w:r w:rsidRPr="00316462">
        <w:rPr>
          <w:rFonts w:ascii="Arial" w:hAnsi="Arial" w:cs="Arial"/>
          <w:spacing w:val="1"/>
        </w:rPr>
        <w:t xml:space="preserve"> </w:t>
      </w:r>
      <w:r w:rsidRPr="00316462">
        <w:rPr>
          <w:rFonts w:ascii="Arial" w:hAnsi="Arial" w:cs="Arial"/>
        </w:rPr>
        <w:t>C−189 del 26 de abril de 2021, C-206</w:t>
      </w:r>
      <w:r w:rsidRPr="00316462">
        <w:rPr>
          <w:rFonts w:ascii="Arial" w:hAnsi="Arial" w:cs="Arial"/>
          <w:spacing w:val="1"/>
        </w:rPr>
        <w:t xml:space="preserve"> </w:t>
      </w:r>
      <w:r w:rsidRPr="00316462">
        <w:rPr>
          <w:rFonts w:ascii="Arial" w:hAnsi="Arial" w:cs="Arial"/>
        </w:rPr>
        <w:t>del 3 de mayo de 2021, C-208 del 10 de mayo de 2021, C-211 del 11 de mayo de 2021, C-234</w:t>
      </w:r>
      <w:r w:rsidRPr="00316462">
        <w:rPr>
          <w:rFonts w:ascii="Arial" w:hAnsi="Arial" w:cs="Arial"/>
          <w:spacing w:val="1"/>
        </w:rPr>
        <w:t xml:space="preserve"> </w:t>
      </w:r>
      <w:r w:rsidRPr="00316462">
        <w:rPr>
          <w:rFonts w:ascii="Arial" w:hAnsi="Arial" w:cs="Arial"/>
        </w:rPr>
        <w:t>del</w:t>
      </w:r>
      <w:r w:rsidRPr="00316462">
        <w:rPr>
          <w:rFonts w:ascii="Arial" w:hAnsi="Arial" w:cs="Arial"/>
          <w:spacing w:val="-6"/>
        </w:rPr>
        <w:t xml:space="preserve"> </w:t>
      </w:r>
      <w:r w:rsidRPr="00316462">
        <w:rPr>
          <w:rFonts w:ascii="Arial" w:hAnsi="Arial" w:cs="Arial"/>
        </w:rPr>
        <w:t>24</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mayo</w:t>
      </w:r>
      <w:r w:rsidRPr="00316462">
        <w:rPr>
          <w:rFonts w:ascii="Arial" w:hAnsi="Arial" w:cs="Arial"/>
          <w:spacing w:val="-5"/>
        </w:rPr>
        <w:t xml:space="preserve"> </w:t>
      </w:r>
      <w:r w:rsidRPr="00316462">
        <w:rPr>
          <w:rFonts w:ascii="Arial" w:hAnsi="Arial" w:cs="Arial"/>
        </w:rPr>
        <w:t>de</w:t>
      </w:r>
      <w:r w:rsidRPr="00316462">
        <w:rPr>
          <w:rFonts w:ascii="Arial" w:hAnsi="Arial" w:cs="Arial"/>
          <w:spacing w:val="-6"/>
        </w:rPr>
        <w:t xml:space="preserve"> </w:t>
      </w:r>
      <w:r w:rsidRPr="00316462">
        <w:rPr>
          <w:rFonts w:ascii="Arial" w:hAnsi="Arial" w:cs="Arial"/>
        </w:rPr>
        <w:t>2021,</w:t>
      </w:r>
      <w:r w:rsidRPr="00316462">
        <w:rPr>
          <w:rFonts w:ascii="Arial" w:hAnsi="Arial" w:cs="Arial"/>
          <w:spacing w:val="-5"/>
        </w:rPr>
        <w:t xml:space="preserve"> </w:t>
      </w:r>
      <w:r w:rsidRPr="00316462">
        <w:rPr>
          <w:rFonts w:ascii="Arial" w:hAnsi="Arial" w:cs="Arial"/>
        </w:rPr>
        <w:t>C-271</w:t>
      </w:r>
      <w:r w:rsidRPr="00316462">
        <w:rPr>
          <w:rFonts w:ascii="Arial" w:hAnsi="Arial" w:cs="Arial"/>
          <w:spacing w:val="-5"/>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9</w:t>
      </w:r>
      <w:r w:rsidRPr="00316462">
        <w:rPr>
          <w:rFonts w:ascii="Arial" w:hAnsi="Arial" w:cs="Arial"/>
          <w:spacing w:val="-5"/>
        </w:rPr>
        <w:t xml:space="preserve"> </w:t>
      </w:r>
      <w:r w:rsidRPr="00316462">
        <w:rPr>
          <w:rFonts w:ascii="Arial" w:hAnsi="Arial" w:cs="Arial"/>
        </w:rPr>
        <w:t>de</w:t>
      </w:r>
      <w:r w:rsidRPr="00316462">
        <w:rPr>
          <w:rFonts w:ascii="Arial" w:hAnsi="Arial" w:cs="Arial"/>
          <w:spacing w:val="-6"/>
        </w:rPr>
        <w:t xml:space="preserve"> </w:t>
      </w:r>
      <w:r w:rsidRPr="00316462">
        <w:rPr>
          <w:rFonts w:ascii="Arial" w:hAnsi="Arial" w:cs="Arial"/>
        </w:rPr>
        <w:t>junio</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2021,</w:t>
      </w:r>
      <w:r w:rsidRPr="00316462">
        <w:rPr>
          <w:rFonts w:ascii="Arial" w:hAnsi="Arial" w:cs="Arial"/>
          <w:spacing w:val="-5"/>
        </w:rPr>
        <w:t xml:space="preserve"> </w:t>
      </w:r>
      <w:r w:rsidRPr="00316462">
        <w:rPr>
          <w:rFonts w:ascii="Arial" w:hAnsi="Arial" w:cs="Arial"/>
        </w:rPr>
        <w:t>C-306</w:t>
      </w:r>
      <w:r w:rsidRPr="00316462">
        <w:rPr>
          <w:rFonts w:ascii="Arial" w:hAnsi="Arial" w:cs="Arial"/>
          <w:spacing w:val="-6"/>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28</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junio</w:t>
      </w:r>
      <w:r w:rsidRPr="00316462">
        <w:rPr>
          <w:rFonts w:ascii="Arial" w:hAnsi="Arial" w:cs="Arial"/>
          <w:spacing w:val="-5"/>
        </w:rPr>
        <w:t xml:space="preserve"> </w:t>
      </w:r>
      <w:r w:rsidRPr="00316462">
        <w:rPr>
          <w:rFonts w:ascii="Arial" w:hAnsi="Arial" w:cs="Arial"/>
        </w:rPr>
        <w:t>de</w:t>
      </w:r>
      <w:r w:rsidRPr="00316462">
        <w:rPr>
          <w:rFonts w:ascii="Arial" w:hAnsi="Arial" w:cs="Arial"/>
          <w:spacing w:val="-6"/>
        </w:rPr>
        <w:t xml:space="preserve"> </w:t>
      </w:r>
      <w:r w:rsidRPr="00316462">
        <w:rPr>
          <w:rFonts w:ascii="Arial" w:hAnsi="Arial" w:cs="Arial"/>
        </w:rPr>
        <w:t>2021,</w:t>
      </w:r>
      <w:r w:rsidRPr="00316462">
        <w:rPr>
          <w:rFonts w:ascii="Arial" w:hAnsi="Arial" w:cs="Arial"/>
          <w:spacing w:val="-5"/>
        </w:rPr>
        <w:t xml:space="preserve"> </w:t>
      </w:r>
      <w:r w:rsidRPr="00316462">
        <w:rPr>
          <w:rFonts w:ascii="Arial" w:hAnsi="Arial" w:cs="Arial"/>
        </w:rPr>
        <w:t>C-426</w:t>
      </w:r>
      <w:r w:rsidRPr="00316462">
        <w:rPr>
          <w:rFonts w:ascii="Arial" w:hAnsi="Arial" w:cs="Arial"/>
          <w:spacing w:val="-5"/>
        </w:rPr>
        <w:t xml:space="preserve"> </w:t>
      </w:r>
      <w:r w:rsidRPr="00316462">
        <w:rPr>
          <w:rFonts w:ascii="Arial" w:hAnsi="Arial" w:cs="Arial"/>
        </w:rPr>
        <w:t>del</w:t>
      </w:r>
      <w:r w:rsidRPr="00316462">
        <w:rPr>
          <w:rFonts w:ascii="Arial" w:hAnsi="Arial" w:cs="Arial"/>
          <w:spacing w:val="1"/>
        </w:rPr>
        <w:t xml:space="preserve"> </w:t>
      </w:r>
      <w:r w:rsidRPr="00316462">
        <w:rPr>
          <w:rFonts w:ascii="Arial" w:hAnsi="Arial" w:cs="Arial"/>
        </w:rPr>
        <w:t>18</w:t>
      </w:r>
      <w:r w:rsidRPr="00316462">
        <w:rPr>
          <w:rFonts w:ascii="Arial" w:hAnsi="Arial" w:cs="Arial"/>
          <w:spacing w:val="-7"/>
        </w:rPr>
        <w:t xml:space="preserve"> </w:t>
      </w:r>
      <w:r w:rsidRPr="00316462">
        <w:rPr>
          <w:rFonts w:ascii="Arial" w:hAnsi="Arial" w:cs="Arial"/>
        </w:rPr>
        <w:t>de</w:t>
      </w:r>
      <w:r w:rsidRPr="00316462">
        <w:rPr>
          <w:rFonts w:ascii="Arial" w:hAnsi="Arial" w:cs="Arial"/>
          <w:spacing w:val="-6"/>
        </w:rPr>
        <w:t xml:space="preserve"> </w:t>
      </w:r>
      <w:r w:rsidRPr="00316462">
        <w:rPr>
          <w:rFonts w:ascii="Arial" w:hAnsi="Arial" w:cs="Arial"/>
        </w:rPr>
        <w:t>agosto</w:t>
      </w:r>
      <w:r w:rsidRPr="00316462">
        <w:rPr>
          <w:rFonts w:ascii="Arial" w:hAnsi="Arial" w:cs="Arial"/>
          <w:spacing w:val="-7"/>
        </w:rPr>
        <w:t xml:space="preserve"> </w:t>
      </w:r>
      <w:r w:rsidRPr="00316462">
        <w:rPr>
          <w:rFonts w:ascii="Arial" w:hAnsi="Arial" w:cs="Arial"/>
        </w:rPr>
        <w:t>de</w:t>
      </w:r>
      <w:r w:rsidRPr="00316462">
        <w:rPr>
          <w:rFonts w:ascii="Arial" w:hAnsi="Arial" w:cs="Arial"/>
          <w:spacing w:val="-6"/>
        </w:rPr>
        <w:t xml:space="preserve"> </w:t>
      </w:r>
      <w:r w:rsidRPr="00316462">
        <w:rPr>
          <w:rFonts w:ascii="Arial" w:hAnsi="Arial" w:cs="Arial"/>
        </w:rPr>
        <w:t>2021,</w:t>
      </w:r>
      <w:r w:rsidRPr="00316462">
        <w:rPr>
          <w:rFonts w:ascii="Arial" w:hAnsi="Arial" w:cs="Arial"/>
          <w:spacing w:val="-7"/>
        </w:rPr>
        <w:t xml:space="preserve"> </w:t>
      </w:r>
      <w:r w:rsidRPr="00316462">
        <w:rPr>
          <w:rFonts w:ascii="Arial" w:hAnsi="Arial" w:cs="Arial"/>
        </w:rPr>
        <w:t>C-309</w:t>
      </w:r>
      <w:r w:rsidRPr="00316462">
        <w:rPr>
          <w:rFonts w:ascii="Arial" w:hAnsi="Arial" w:cs="Arial"/>
          <w:spacing w:val="-6"/>
        </w:rPr>
        <w:t xml:space="preserve"> </w:t>
      </w:r>
      <w:r w:rsidRPr="00316462">
        <w:rPr>
          <w:rFonts w:ascii="Arial" w:hAnsi="Arial" w:cs="Arial"/>
        </w:rPr>
        <w:t>del</w:t>
      </w:r>
      <w:r w:rsidRPr="00316462">
        <w:rPr>
          <w:rFonts w:ascii="Arial" w:hAnsi="Arial" w:cs="Arial"/>
          <w:spacing w:val="-7"/>
        </w:rPr>
        <w:t xml:space="preserve"> </w:t>
      </w:r>
      <w:r w:rsidRPr="00316462">
        <w:rPr>
          <w:rFonts w:ascii="Arial" w:hAnsi="Arial" w:cs="Arial"/>
        </w:rPr>
        <w:t>24</w:t>
      </w:r>
      <w:r w:rsidRPr="00316462">
        <w:rPr>
          <w:rFonts w:ascii="Arial" w:hAnsi="Arial" w:cs="Arial"/>
          <w:spacing w:val="-6"/>
        </w:rPr>
        <w:t xml:space="preserve"> </w:t>
      </w:r>
      <w:r w:rsidRPr="00316462">
        <w:rPr>
          <w:rFonts w:ascii="Arial" w:hAnsi="Arial" w:cs="Arial"/>
        </w:rPr>
        <w:t>de</w:t>
      </w:r>
      <w:r w:rsidRPr="00316462">
        <w:rPr>
          <w:rFonts w:ascii="Arial" w:hAnsi="Arial" w:cs="Arial"/>
          <w:spacing w:val="-7"/>
        </w:rPr>
        <w:t xml:space="preserve"> </w:t>
      </w:r>
      <w:r w:rsidRPr="00316462">
        <w:rPr>
          <w:rFonts w:ascii="Arial" w:hAnsi="Arial" w:cs="Arial"/>
        </w:rPr>
        <w:t>agosto</w:t>
      </w:r>
      <w:r w:rsidRPr="00316462">
        <w:rPr>
          <w:rFonts w:ascii="Arial" w:hAnsi="Arial" w:cs="Arial"/>
          <w:spacing w:val="-6"/>
        </w:rPr>
        <w:t xml:space="preserve"> </w:t>
      </w:r>
      <w:r w:rsidRPr="00316462">
        <w:rPr>
          <w:rFonts w:ascii="Arial" w:hAnsi="Arial" w:cs="Arial"/>
        </w:rPr>
        <w:t>de</w:t>
      </w:r>
      <w:r w:rsidRPr="00316462">
        <w:rPr>
          <w:rFonts w:ascii="Arial" w:hAnsi="Arial" w:cs="Arial"/>
          <w:spacing w:val="-7"/>
        </w:rPr>
        <w:t xml:space="preserve"> </w:t>
      </w:r>
      <w:r w:rsidRPr="00316462">
        <w:rPr>
          <w:rFonts w:ascii="Arial" w:hAnsi="Arial" w:cs="Arial"/>
        </w:rPr>
        <w:t>2021</w:t>
      </w:r>
      <w:r w:rsidRPr="00316462">
        <w:rPr>
          <w:rFonts w:ascii="Arial" w:hAnsi="Arial" w:cs="Arial"/>
          <w:spacing w:val="-6"/>
        </w:rPr>
        <w:t xml:space="preserve"> </w:t>
      </w:r>
      <w:r w:rsidRPr="00316462">
        <w:rPr>
          <w:rFonts w:ascii="Arial" w:hAnsi="Arial" w:cs="Arial"/>
        </w:rPr>
        <w:t>y</w:t>
      </w:r>
      <w:r w:rsidRPr="00316462">
        <w:rPr>
          <w:rFonts w:ascii="Arial" w:hAnsi="Arial" w:cs="Arial"/>
          <w:spacing w:val="-7"/>
        </w:rPr>
        <w:t xml:space="preserve"> </w:t>
      </w:r>
      <w:r w:rsidRPr="00316462">
        <w:rPr>
          <w:rFonts w:ascii="Arial" w:hAnsi="Arial" w:cs="Arial"/>
        </w:rPr>
        <w:t>C-455</w:t>
      </w:r>
      <w:r w:rsidRPr="00316462">
        <w:rPr>
          <w:rFonts w:ascii="Arial" w:hAnsi="Arial" w:cs="Arial"/>
          <w:spacing w:val="-6"/>
        </w:rPr>
        <w:t xml:space="preserve"> </w:t>
      </w:r>
      <w:r w:rsidRPr="00316462">
        <w:rPr>
          <w:rFonts w:ascii="Arial" w:hAnsi="Arial" w:cs="Arial"/>
        </w:rPr>
        <w:t>del</w:t>
      </w:r>
      <w:r w:rsidRPr="00316462">
        <w:rPr>
          <w:rFonts w:ascii="Arial" w:hAnsi="Arial" w:cs="Arial"/>
          <w:spacing w:val="-7"/>
        </w:rPr>
        <w:t xml:space="preserve"> </w:t>
      </w:r>
      <w:r w:rsidRPr="00316462">
        <w:rPr>
          <w:rFonts w:ascii="Arial" w:hAnsi="Arial" w:cs="Arial"/>
        </w:rPr>
        <w:t>31</w:t>
      </w:r>
      <w:r w:rsidRPr="00316462">
        <w:rPr>
          <w:rFonts w:ascii="Arial" w:hAnsi="Arial" w:cs="Arial"/>
          <w:spacing w:val="-6"/>
        </w:rPr>
        <w:t xml:space="preserve"> </w:t>
      </w:r>
      <w:r w:rsidRPr="00316462">
        <w:rPr>
          <w:rFonts w:ascii="Arial" w:hAnsi="Arial" w:cs="Arial"/>
        </w:rPr>
        <w:t>de</w:t>
      </w:r>
      <w:r w:rsidRPr="00316462">
        <w:rPr>
          <w:rFonts w:ascii="Arial" w:hAnsi="Arial" w:cs="Arial"/>
          <w:spacing w:val="-7"/>
        </w:rPr>
        <w:t xml:space="preserve"> </w:t>
      </w:r>
      <w:r w:rsidRPr="00316462">
        <w:rPr>
          <w:rFonts w:ascii="Arial" w:hAnsi="Arial" w:cs="Arial"/>
        </w:rPr>
        <w:t>agosto</w:t>
      </w:r>
      <w:r w:rsidRPr="00316462">
        <w:rPr>
          <w:rFonts w:ascii="Arial" w:hAnsi="Arial" w:cs="Arial"/>
          <w:spacing w:val="-6"/>
        </w:rPr>
        <w:t xml:space="preserve"> </w:t>
      </w:r>
      <w:r w:rsidRPr="00316462">
        <w:rPr>
          <w:rFonts w:ascii="Arial" w:hAnsi="Arial" w:cs="Arial"/>
        </w:rPr>
        <w:t>de</w:t>
      </w:r>
      <w:r w:rsidRPr="00316462">
        <w:rPr>
          <w:rFonts w:ascii="Arial" w:hAnsi="Arial" w:cs="Arial"/>
          <w:spacing w:val="-6"/>
        </w:rPr>
        <w:t xml:space="preserve"> </w:t>
      </w:r>
      <w:r w:rsidRPr="00316462">
        <w:rPr>
          <w:rFonts w:ascii="Arial" w:hAnsi="Arial" w:cs="Arial"/>
        </w:rPr>
        <w:t>2021.</w:t>
      </w:r>
      <w:r w:rsidRPr="00316462">
        <w:rPr>
          <w:rFonts w:ascii="Arial" w:hAnsi="Arial" w:cs="Arial"/>
          <w:spacing w:val="-7"/>
        </w:rPr>
        <w:t xml:space="preserve"> </w:t>
      </w:r>
      <w:r w:rsidRPr="00316462">
        <w:rPr>
          <w:rFonts w:ascii="Arial" w:hAnsi="Arial" w:cs="Arial"/>
        </w:rPr>
        <w:t>Sobre</w:t>
      </w:r>
      <w:r w:rsidRPr="00316462">
        <w:rPr>
          <w:rFonts w:ascii="Arial" w:hAnsi="Arial" w:cs="Arial"/>
          <w:spacing w:val="-59"/>
        </w:rPr>
        <w:t xml:space="preserve"> </w:t>
      </w:r>
      <w:r w:rsidRPr="00316462">
        <w:rPr>
          <w:rFonts w:ascii="Arial" w:hAnsi="Arial" w:cs="Arial"/>
        </w:rPr>
        <w:t xml:space="preserve">las limitaciones territoriales de convocatorias a </w:t>
      </w:r>
      <w:proofErr w:type="spellStart"/>
      <w:r w:rsidRPr="00316462">
        <w:rPr>
          <w:rFonts w:ascii="Arial" w:hAnsi="Arial" w:cs="Arial"/>
        </w:rPr>
        <w:t>Mipyme</w:t>
      </w:r>
      <w:proofErr w:type="spellEnd"/>
      <w:r w:rsidRPr="00316462">
        <w:rPr>
          <w:rFonts w:ascii="Arial" w:hAnsi="Arial" w:cs="Arial"/>
        </w:rPr>
        <w:t xml:space="preserve"> se pronunció en el </w:t>
      </w:r>
      <w:r>
        <w:rPr>
          <w:rFonts w:ascii="Arial" w:hAnsi="Arial" w:cs="Arial"/>
        </w:rPr>
        <w:t>c</w:t>
      </w:r>
      <w:r w:rsidRPr="00316462">
        <w:rPr>
          <w:rFonts w:ascii="Arial" w:hAnsi="Arial" w:cs="Arial"/>
        </w:rPr>
        <w:t>oncepto C-705 de 7</w:t>
      </w:r>
      <w:r w:rsidRPr="00316462">
        <w:rPr>
          <w:rFonts w:ascii="Arial" w:hAnsi="Arial" w:cs="Arial"/>
          <w:spacing w:val="-59"/>
        </w:rPr>
        <w:t xml:space="preserve"> </w:t>
      </w:r>
      <w:r w:rsidRPr="00316462">
        <w:rPr>
          <w:rFonts w:ascii="Arial" w:hAnsi="Arial" w:cs="Arial"/>
        </w:rPr>
        <w:t>de diciembre de 2020, C-523 del 11 de agosto de 2020, C-438 de 27 de septiembre de 2021, C-</w:t>
      </w:r>
      <w:r w:rsidRPr="00316462">
        <w:rPr>
          <w:rFonts w:ascii="Arial" w:hAnsi="Arial" w:cs="Arial"/>
          <w:spacing w:val="-59"/>
        </w:rPr>
        <w:t xml:space="preserve"> </w:t>
      </w:r>
      <w:r w:rsidRPr="00316462">
        <w:rPr>
          <w:rFonts w:ascii="Arial" w:hAnsi="Arial" w:cs="Arial"/>
        </w:rPr>
        <w:t>041</w:t>
      </w:r>
      <w:r w:rsidRPr="00316462">
        <w:rPr>
          <w:rFonts w:ascii="Arial" w:hAnsi="Arial" w:cs="Arial"/>
          <w:spacing w:val="-6"/>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2</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marzo</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2022</w:t>
      </w:r>
      <w:r w:rsidRPr="00316462">
        <w:rPr>
          <w:rFonts w:ascii="Arial" w:hAnsi="Arial" w:cs="Arial"/>
          <w:spacing w:val="-5"/>
        </w:rPr>
        <w:t xml:space="preserve"> </w:t>
      </w:r>
      <w:r w:rsidRPr="00316462">
        <w:rPr>
          <w:rFonts w:ascii="Arial" w:hAnsi="Arial" w:cs="Arial"/>
        </w:rPr>
        <w:t>y</w:t>
      </w:r>
      <w:r w:rsidRPr="00316462">
        <w:rPr>
          <w:rFonts w:ascii="Arial" w:hAnsi="Arial" w:cs="Arial"/>
          <w:spacing w:val="-5"/>
        </w:rPr>
        <w:t xml:space="preserve"> </w:t>
      </w:r>
      <w:r w:rsidRPr="00316462">
        <w:rPr>
          <w:rFonts w:ascii="Arial" w:hAnsi="Arial" w:cs="Arial"/>
        </w:rPr>
        <w:t>C-460</w:t>
      </w:r>
      <w:r w:rsidRPr="00316462">
        <w:rPr>
          <w:rFonts w:ascii="Arial" w:hAnsi="Arial" w:cs="Arial"/>
          <w:spacing w:val="-5"/>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18</w:t>
      </w:r>
      <w:r w:rsidRPr="00316462">
        <w:rPr>
          <w:rFonts w:ascii="Arial" w:hAnsi="Arial" w:cs="Arial"/>
          <w:spacing w:val="-5"/>
        </w:rPr>
        <w:t xml:space="preserve"> </w:t>
      </w:r>
      <w:r w:rsidRPr="00316462">
        <w:rPr>
          <w:rFonts w:ascii="Arial" w:hAnsi="Arial" w:cs="Arial"/>
        </w:rPr>
        <w:t>de</w:t>
      </w:r>
      <w:r w:rsidRPr="00316462">
        <w:rPr>
          <w:rFonts w:ascii="Arial" w:hAnsi="Arial" w:cs="Arial"/>
          <w:spacing w:val="-6"/>
        </w:rPr>
        <w:t xml:space="preserve"> </w:t>
      </w:r>
      <w:r w:rsidRPr="00316462">
        <w:rPr>
          <w:rFonts w:ascii="Arial" w:hAnsi="Arial" w:cs="Arial"/>
        </w:rPr>
        <w:t>julio</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2022,</w:t>
      </w:r>
      <w:r w:rsidRPr="00316462">
        <w:rPr>
          <w:rFonts w:ascii="Arial" w:hAnsi="Arial" w:cs="Arial"/>
          <w:spacing w:val="-5"/>
        </w:rPr>
        <w:t xml:space="preserve"> </w:t>
      </w:r>
      <w:r w:rsidRPr="00316462">
        <w:rPr>
          <w:rFonts w:ascii="Arial" w:hAnsi="Arial" w:cs="Arial"/>
        </w:rPr>
        <w:t>C-523</w:t>
      </w:r>
      <w:r w:rsidRPr="00316462">
        <w:rPr>
          <w:rFonts w:ascii="Arial" w:hAnsi="Arial" w:cs="Arial"/>
          <w:spacing w:val="-5"/>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16</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agosto</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2022,</w:t>
      </w:r>
      <w:r w:rsidRPr="00316462">
        <w:rPr>
          <w:rFonts w:ascii="Arial" w:hAnsi="Arial" w:cs="Arial"/>
          <w:spacing w:val="-5"/>
        </w:rPr>
        <w:t xml:space="preserve"> </w:t>
      </w:r>
      <w:r w:rsidRPr="00316462">
        <w:rPr>
          <w:rFonts w:ascii="Arial" w:hAnsi="Arial" w:cs="Arial"/>
        </w:rPr>
        <w:t>C- 539</w:t>
      </w:r>
      <w:r w:rsidRPr="00316462">
        <w:rPr>
          <w:rFonts w:ascii="Arial" w:hAnsi="Arial" w:cs="Arial"/>
          <w:spacing w:val="-6"/>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29</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agosto</w:t>
      </w:r>
      <w:r w:rsidRPr="00316462">
        <w:rPr>
          <w:rFonts w:ascii="Arial" w:hAnsi="Arial" w:cs="Arial"/>
          <w:spacing w:val="-4"/>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2022,</w:t>
      </w:r>
      <w:r w:rsidRPr="00316462">
        <w:rPr>
          <w:rFonts w:ascii="Arial" w:hAnsi="Arial" w:cs="Arial"/>
          <w:spacing w:val="-4"/>
        </w:rPr>
        <w:t xml:space="preserve"> </w:t>
      </w:r>
      <w:r w:rsidRPr="00316462">
        <w:rPr>
          <w:rFonts w:ascii="Arial" w:hAnsi="Arial" w:cs="Arial"/>
        </w:rPr>
        <w:t>C-585</w:t>
      </w:r>
      <w:r w:rsidRPr="00316462">
        <w:rPr>
          <w:rFonts w:ascii="Arial" w:hAnsi="Arial" w:cs="Arial"/>
          <w:spacing w:val="-4"/>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19</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septiembre</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2022,</w:t>
      </w:r>
      <w:r w:rsidRPr="00316462">
        <w:rPr>
          <w:rFonts w:ascii="Arial" w:hAnsi="Arial" w:cs="Arial"/>
          <w:spacing w:val="-4"/>
        </w:rPr>
        <w:t xml:space="preserve"> </w:t>
      </w:r>
      <w:r w:rsidRPr="00316462">
        <w:rPr>
          <w:rFonts w:ascii="Arial" w:hAnsi="Arial" w:cs="Arial"/>
        </w:rPr>
        <w:t>C-587</w:t>
      </w:r>
      <w:r w:rsidRPr="00316462">
        <w:rPr>
          <w:rFonts w:ascii="Arial" w:hAnsi="Arial" w:cs="Arial"/>
          <w:spacing w:val="-4"/>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21</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septiembre de</w:t>
      </w:r>
      <w:r w:rsidRPr="00316462">
        <w:rPr>
          <w:rFonts w:ascii="Arial" w:hAnsi="Arial" w:cs="Arial"/>
          <w:spacing w:val="-5"/>
        </w:rPr>
        <w:t xml:space="preserve"> </w:t>
      </w:r>
      <w:r w:rsidRPr="00316462">
        <w:rPr>
          <w:rFonts w:ascii="Arial" w:hAnsi="Arial" w:cs="Arial"/>
        </w:rPr>
        <w:t>2022,</w:t>
      </w:r>
      <w:r w:rsidRPr="00316462">
        <w:rPr>
          <w:rFonts w:ascii="Arial" w:hAnsi="Arial" w:cs="Arial"/>
          <w:spacing w:val="-5"/>
        </w:rPr>
        <w:t xml:space="preserve"> </w:t>
      </w:r>
      <w:r w:rsidRPr="00316462">
        <w:rPr>
          <w:rFonts w:ascii="Arial" w:hAnsi="Arial" w:cs="Arial"/>
        </w:rPr>
        <w:t>C-597</w:t>
      </w:r>
      <w:r w:rsidRPr="00316462">
        <w:rPr>
          <w:rFonts w:ascii="Arial" w:hAnsi="Arial" w:cs="Arial"/>
          <w:spacing w:val="-4"/>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9</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septiembre</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2022,</w:t>
      </w:r>
      <w:r w:rsidRPr="00316462">
        <w:rPr>
          <w:rFonts w:ascii="Arial" w:hAnsi="Arial" w:cs="Arial"/>
          <w:spacing w:val="-4"/>
        </w:rPr>
        <w:t xml:space="preserve"> </w:t>
      </w:r>
      <w:r w:rsidRPr="00316462">
        <w:rPr>
          <w:rFonts w:ascii="Arial" w:hAnsi="Arial" w:cs="Arial"/>
        </w:rPr>
        <w:t>C-627</w:t>
      </w:r>
      <w:r w:rsidRPr="00316462">
        <w:rPr>
          <w:rFonts w:ascii="Arial" w:hAnsi="Arial" w:cs="Arial"/>
          <w:spacing w:val="-4"/>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12</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septiembre</w:t>
      </w:r>
      <w:r w:rsidRPr="00316462">
        <w:rPr>
          <w:rFonts w:ascii="Arial" w:hAnsi="Arial" w:cs="Arial"/>
          <w:spacing w:val="-5"/>
        </w:rPr>
        <w:t xml:space="preserve"> </w:t>
      </w:r>
      <w:r w:rsidRPr="00316462">
        <w:rPr>
          <w:rFonts w:ascii="Arial" w:hAnsi="Arial" w:cs="Arial"/>
        </w:rPr>
        <w:t>de</w:t>
      </w:r>
      <w:r w:rsidRPr="00316462">
        <w:rPr>
          <w:rFonts w:ascii="Arial" w:hAnsi="Arial" w:cs="Arial"/>
          <w:spacing w:val="-5"/>
        </w:rPr>
        <w:t xml:space="preserve"> </w:t>
      </w:r>
      <w:r w:rsidRPr="00316462">
        <w:rPr>
          <w:rFonts w:ascii="Arial" w:hAnsi="Arial" w:cs="Arial"/>
        </w:rPr>
        <w:t>2022,</w:t>
      </w:r>
      <w:r w:rsidRPr="00316462">
        <w:rPr>
          <w:rFonts w:ascii="Arial" w:hAnsi="Arial" w:cs="Arial"/>
          <w:spacing w:val="-4"/>
        </w:rPr>
        <w:t xml:space="preserve"> </w:t>
      </w:r>
      <w:r w:rsidRPr="00316462">
        <w:rPr>
          <w:rFonts w:ascii="Arial" w:hAnsi="Arial" w:cs="Arial"/>
        </w:rPr>
        <w:t>C-643</w:t>
      </w:r>
      <w:r w:rsidRPr="00316462">
        <w:rPr>
          <w:rFonts w:ascii="Arial" w:hAnsi="Arial" w:cs="Arial"/>
          <w:spacing w:val="-4"/>
        </w:rPr>
        <w:t xml:space="preserve"> </w:t>
      </w:r>
      <w:r w:rsidRPr="00316462">
        <w:rPr>
          <w:rFonts w:ascii="Arial" w:hAnsi="Arial" w:cs="Arial"/>
        </w:rPr>
        <w:t>del</w:t>
      </w:r>
      <w:r w:rsidRPr="00316462">
        <w:rPr>
          <w:rFonts w:ascii="Arial" w:hAnsi="Arial" w:cs="Arial"/>
          <w:spacing w:val="-5"/>
        </w:rPr>
        <w:t xml:space="preserve"> </w:t>
      </w:r>
      <w:r w:rsidRPr="00316462">
        <w:rPr>
          <w:rFonts w:ascii="Arial" w:hAnsi="Arial" w:cs="Arial"/>
        </w:rPr>
        <w:t>10</w:t>
      </w:r>
      <w:r w:rsidRPr="00316462">
        <w:rPr>
          <w:rFonts w:ascii="Arial" w:hAnsi="Arial" w:cs="Arial"/>
          <w:spacing w:val="-58"/>
        </w:rPr>
        <w:t xml:space="preserve"> </w:t>
      </w:r>
      <w:r w:rsidRPr="00316462">
        <w:rPr>
          <w:rFonts w:ascii="Arial" w:hAnsi="Arial" w:cs="Arial"/>
        </w:rPr>
        <w:t>de octubre de 2022, C-662 del 13 de octubre de 2022, C-699 del 25 de octubre de 2022, C-744</w:t>
      </w:r>
      <w:r w:rsidRPr="00316462">
        <w:rPr>
          <w:rFonts w:ascii="Arial" w:hAnsi="Arial" w:cs="Arial"/>
          <w:spacing w:val="1"/>
        </w:rPr>
        <w:t xml:space="preserve"> </w:t>
      </w:r>
      <w:r w:rsidRPr="00316462">
        <w:rPr>
          <w:rFonts w:ascii="Arial" w:hAnsi="Arial" w:cs="Arial"/>
        </w:rPr>
        <w:t>del</w:t>
      </w:r>
      <w:r w:rsidRPr="00316462">
        <w:rPr>
          <w:rFonts w:ascii="Arial" w:hAnsi="Arial" w:cs="Arial"/>
          <w:spacing w:val="1"/>
        </w:rPr>
        <w:t xml:space="preserve"> </w:t>
      </w:r>
      <w:r w:rsidRPr="00316462">
        <w:rPr>
          <w:rFonts w:ascii="Arial" w:hAnsi="Arial" w:cs="Arial"/>
        </w:rPr>
        <w:t>08</w:t>
      </w:r>
      <w:r w:rsidRPr="00316462">
        <w:rPr>
          <w:rFonts w:ascii="Arial" w:hAnsi="Arial" w:cs="Arial"/>
          <w:spacing w:val="1"/>
        </w:rPr>
        <w:t xml:space="preserve"> </w:t>
      </w:r>
      <w:r w:rsidRPr="00316462">
        <w:rPr>
          <w:rFonts w:ascii="Arial" w:hAnsi="Arial" w:cs="Arial"/>
        </w:rPr>
        <w:t>de</w:t>
      </w:r>
      <w:r w:rsidRPr="00316462">
        <w:rPr>
          <w:rFonts w:ascii="Arial" w:hAnsi="Arial" w:cs="Arial"/>
          <w:spacing w:val="1"/>
        </w:rPr>
        <w:t xml:space="preserve"> </w:t>
      </w:r>
      <w:r w:rsidRPr="00316462">
        <w:rPr>
          <w:rFonts w:ascii="Arial" w:hAnsi="Arial" w:cs="Arial"/>
        </w:rPr>
        <w:t>noviembre</w:t>
      </w:r>
      <w:r w:rsidRPr="00316462">
        <w:rPr>
          <w:rFonts w:ascii="Arial" w:hAnsi="Arial" w:cs="Arial"/>
          <w:spacing w:val="1"/>
        </w:rPr>
        <w:t xml:space="preserve"> </w:t>
      </w:r>
      <w:r w:rsidRPr="00316462">
        <w:rPr>
          <w:rFonts w:ascii="Arial" w:hAnsi="Arial" w:cs="Arial"/>
        </w:rPr>
        <w:t>de</w:t>
      </w:r>
      <w:r w:rsidRPr="00316462">
        <w:rPr>
          <w:rFonts w:ascii="Arial" w:hAnsi="Arial" w:cs="Arial"/>
          <w:spacing w:val="1"/>
        </w:rPr>
        <w:t xml:space="preserve"> </w:t>
      </w:r>
      <w:r w:rsidRPr="00316462">
        <w:rPr>
          <w:rFonts w:ascii="Arial" w:hAnsi="Arial" w:cs="Arial"/>
        </w:rPr>
        <w:t>2022</w:t>
      </w:r>
      <w:r w:rsidRPr="00316462">
        <w:rPr>
          <w:rFonts w:ascii="Arial" w:hAnsi="Arial" w:cs="Arial"/>
          <w:spacing w:val="1"/>
        </w:rPr>
        <w:t xml:space="preserve"> </w:t>
      </w:r>
      <w:r w:rsidRPr="00316462">
        <w:rPr>
          <w:rFonts w:ascii="Arial" w:hAnsi="Arial" w:cs="Arial"/>
        </w:rPr>
        <w:t>y</w:t>
      </w:r>
      <w:r w:rsidRPr="00316462">
        <w:rPr>
          <w:rFonts w:ascii="Arial" w:hAnsi="Arial" w:cs="Arial"/>
          <w:spacing w:val="1"/>
        </w:rPr>
        <w:t xml:space="preserve"> </w:t>
      </w:r>
      <w:r w:rsidRPr="00316462">
        <w:rPr>
          <w:rFonts w:ascii="Arial" w:hAnsi="Arial" w:cs="Arial"/>
        </w:rPr>
        <w:t>C-758</w:t>
      </w:r>
      <w:r w:rsidRPr="00316462">
        <w:rPr>
          <w:rFonts w:ascii="Arial" w:hAnsi="Arial" w:cs="Arial"/>
          <w:spacing w:val="1"/>
        </w:rPr>
        <w:t xml:space="preserve"> </w:t>
      </w:r>
      <w:r w:rsidRPr="00316462">
        <w:rPr>
          <w:rFonts w:ascii="Arial" w:hAnsi="Arial" w:cs="Arial"/>
        </w:rPr>
        <w:t>del</w:t>
      </w:r>
      <w:r w:rsidRPr="00316462">
        <w:rPr>
          <w:rFonts w:ascii="Arial" w:hAnsi="Arial" w:cs="Arial"/>
          <w:spacing w:val="1"/>
        </w:rPr>
        <w:t xml:space="preserve"> </w:t>
      </w:r>
      <w:r w:rsidRPr="00316462">
        <w:rPr>
          <w:rFonts w:ascii="Arial" w:hAnsi="Arial" w:cs="Arial"/>
        </w:rPr>
        <w:t>10</w:t>
      </w:r>
      <w:r w:rsidRPr="00316462">
        <w:rPr>
          <w:rFonts w:ascii="Arial" w:hAnsi="Arial" w:cs="Arial"/>
          <w:spacing w:val="1"/>
        </w:rPr>
        <w:t xml:space="preserve"> </w:t>
      </w:r>
      <w:r w:rsidRPr="00316462">
        <w:rPr>
          <w:rFonts w:ascii="Arial" w:hAnsi="Arial" w:cs="Arial"/>
        </w:rPr>
        <w:t>de</w:t>
      </w:r>
      <w:r w:rsidRPr="00316462">
        <w:rPr>
          <w:rFonts w:ascii="Arial" w:hAnsi="Arial" w:cs="Arial"/>
          <w:spacing w:val="1"/>
        </w:rPr>
        <w:t xml:space="preserve"> </w:t>
      </w:r>
      <w:r w:rsidRPr="00316462">
        <w:rPr>
          <w:rFonts w:ascii="Arial" w:hAnsi="Arial" w:cs="Arial"/>
        </w:rPr>
        <w:t>noviembre</w:t>
      </w:r>
      <w:r w:rsidRPr="00316462">
        <w:rPr>
          <w:rFonts w:ascii="Arial" w:hAnsi="Arial" w:cs="Arial"/>
          <w:spacing w:val="1"/>
        </w:rPr>
        <w:t xml:space="preserve"> </w:t>
      </w:r>
      <w:r w:rsidRPr="00316462">
        <w:rPr>
          <w:rFonts w:ascii="Arial" w:hAnsi="Arial" w:cs="Arial"/>
        </w:rPr>
        <w:t>de</w:t>
      </w:r>
      <w:r w:rsidRPr="00316462">
        <w:rPr>
          <w:rFonts w:ascii="Arial" w:hAnsi="Arial" w:cs="Arial"/>
          <w:spacing w:val="1"/>
        </w:rPr>
        <w:t xml:space="preserve"> </w:t>
      </w:r>
      <w:r w:rsidRPr="00316462">
        <w:rPr>
          <w:rFonts w:ascii="Arial" w:hAnsi="Arial" w:cs="Arial"/>
        </w:rPr>
        <w:t>2022,</w:t>
      </w:r>
      <w:r w:rsidRPr="00316462">
        <w:rPr>
          <w:rFonts w:ascii="Arial" w:hAnsi="Arial" w:cs="Arial"/>
          <w:spacing w:val="1"/>
        </w:rPr>
        <w:t xml:space="preserve"> </w:t>
      </w:r>
      <w:r w:rsidRPr="00316462">
        <w:rPr>
          <w:rFonts w:ascii="Arial" w:hAnsi="Arial" w:cs="Arial"/>
        </w:rPr>
        <w:t>entre</w:t>
      </w:r>
      <w:r w:rsidRPr="00316462">
        <w:rPr>
          <w:rFonts w:ascii="Arial" w:hAnsi="Arial" w:cs="Arial"/>
          <w:spacing w:val="1"/>
        </w:rPr>
        <w:t xml:space="preserve"> </w:t>
      </w:r>
      <w:r w:rsidRPr="00316462">
        <w:rPr>
          <w:rFonts w:ascii="Arial" w:hAnsi="Arial" w:cs="Arial"/>
        </w:rPr>
        <w:t>otros</w:t>
      </w:r>
      <w:r w:rsidRPr="00316462">
        <w:rPr>
          <w:rStyle w:val="Refdenotaalpie"/>
          <w:rFonts w:ascii="Arial" w:hAnsi="Arial" w:cs="Arial"/>
        </w:rPr>
        <w:footnoteReference w:id="3"/>
      </w:r>
      <w:r w:rsidRPr="00316462">
        <w:rPr>
          <w:rFonts w:ascii="Arial" w:hAnsi="Arial" w:cs="Arial"/>
        </w:rPr>
        <w:t>.</w:t>
      </w:r>
      <w:r w:rsidRPr="00316462">
        <w:rPr>
          <w:rFonts w:ascii="Arial" w:hAnsi="Arial" w:cs="Arial"/>
          <w:spacing w:val="1"/>
        </w:rPr>
        <w:t xml:space="preserve"> </w:t>
      </w:r>
      <w:r w:rsidRPr="00316462">
        <w:rPr>
          <w:rFonts w:ascii="Arial" w:hAnsi="Arial" w:cs="Arial"/>
        </w:rPr>
        <w:t>Las</w:t>
      </w:r>
      <w:r w:rsidRPr="00316462">
        <w:rPr>
          <w:rFonts w:ascii="Arial" w:hAnsi="Arial" w:cs="Arial"/>
          <w:spacing w:val="1"/>
        </w:rPr>
        <w:t xml:space="preserve"> </w:t>
      </w:r>
      <w:r w:rsidRPr="00316462">
        <w:rPr>
          <w:rFonts w:ascii="Arial" w:hAnsi="Arial" w:cs="Arial"/>
        </w:rPr>
        <w:lastRenderedPageBreak/>
        <w:t>consideraciones</w:t>
      </w:r>
      <w:r w:rsidRPr="00316462">
        <w:rPr>
          <w:rFonts w:ascii="Arial" w:hAnsi="Arial" w:cs="Arial"/>
          <w:spacing w:val="-2"/>
        </w:rPr>
        <w:t xml:space="preserve"> </w:t>
      </w:r>
      <w:r w:rsidRPr="00316462">
        <w:rPr>
          <w:rFonts w:ascii="Arial" w:hAnsi="Arial" w:cs="Arial"/>
        </w:rPr>
        <w:t>de</w:t>
      </w:r>
      <w:r w:rsidRPr="00316462">
        <w:rPr>
          <w:rFonts w:ascii="Arial" w:hAnsi="Arial" w:cs="Arial"/>
          <w:spacing w:val="-1"/>
        </w:rPr>
        <w:t xml:space="preserve"> </w:t>
      </w:r>
      <w:r w:rsidRPr="00316462">
        <w:rPr>
          <w:rFonts w:ascii="Arial" w:hAnsi="Arial" w:cs="Arial"/>
        </w:rPr>
        <w:t>estos</w:t>
      </w:r>
      <w:r w:rsidRPr="00316462">
        <w:rPr>
          <w:rFonts w:ascii="Arial" w:hAnsi="Arial" w:cs="Arial"/>
          <w:spacing w:val="-1"/>
        </w:rPr>
        <w:t xml:space="preserve"> </w:t>
      </w:r>
      <w:r w:rsidRPr="00316462">
        <w:rPr>
          <w:rFonts w:ascii="Arial" w:hAnsi="Arial" w:cs="Arial"/>
        </w:rPr>
        <w:t>conceptos</w:t>
      </w:r>
      <w:r w:rsidRPr="00316462">
        <w:rPr>
          <w:rFonts w:ascii="Arial" w:hAnsi="Arial" w:cs="Arial"/>
          <w:spacing w:val="-1"/>
        </w:rPr>
        <w:t xml:space="preserve"> </w:t>
      </w:r>
      <w:r w:rsidRPr="00316462">
        <w:rPr>
          <w:rFonts w:ascii="Arial" w:hAnsi="Arial" w:cs="Arial"/>
        </w:rPr>
        <w:t>se</w:t>
      </w:r>
      <w:r w:rsidRPr="00316462">
        <w:rPr>
          <w:rFonts w:ascii="Arial" w:hAnsi="Arial" w:cs="Arial"/>
          <w:spacing w:val="-1"/>
        </w:rPr>
        <w:t xml:space="preserve"> </w:t>
      </w:r>
      <w:r w:rsidRPr="00316462">
        <w:rPr>
          <w:rFonts w:ascii="Arial" w:hAnsi="Arial" w:cs="Arial"/>
        </w:rPr>
        <w:t>reiteran</w:t>
      </w:r>
      <w:r w:rsidRPr="00316462">
        <w:rPr>
          <w:rFonts w:ascii="Arial" w:hAnsi="Arial" w:cs="Arial"/>
          <w:spacing w:val="-1"/>
        </w:rPr>
        <w:t xml:space="preserve"> </w:t>
      </w:r>
      <w:r w:rsidRPr="00316462">
        <w:rPr>
          <w:rFonts w:ascii="Arial" w:hAnsi="Arial" w:cs="Arial"/>
        </w:rPr>
        <w:t>a</w:t>
      </w:r>
      <w:r w:rsidRPr="00316462">
        <w:rPr>
          <w:rFonts w:ascii="Arial" w:hAnsi="Arial" w:cs="Arial"/>
          <w:spacing w:val="-1"/>
        </w:rPr>
        <w:t xml:space="preserve"> </w:t>
      </w:r>
      <w:r w:rsidRPr="00316462">
        <w:rPr>
          <w:rFonts w:ascii="Arial" w:hAnsi="Arial" w:cs="Arial"/>
        </w:rPr>
        <w:t>continuación.</w:t>
      </w:r>
    </w:p>
    <w:p w14:paraId="58C72B3F" w14:textId="77777777" w:rsidR="00B84284" w:rsidRPr="0069552F" w:rsidRDefault="00B84284" w:rsidP="00B84284">
      <w:pPr>
        <w:tabs>
          <w:tab w:val="left" w:pos="426"/>
        </w:tabs>
        <w:spacing w:line="276" w:lineRule="auto"/>
        <w:ind w:firstLine="709"/>
        <w:jc w:val="both"/>
        <w:rPr>
          <w:rFonts w:ascii="Arial" w:eastAsia="Arial" w:hAnsi="Arial" w:cs="Arial"/>
          <w:sz w:val="22"/>
          <w:szCs w:val="22"/>
        </w:rPr>
      </w:pPr>
    </w:p>
    <w:p w14:paraId="6BD305BF" w14:textId="77777777" w:rsidR="00B84284" w:rsidRPr="0069552F" w:rsidRDefault="00B84284" w:rsidP="00B84284">
      <w:pPr>
        <w:spacing w:line="276" w:lineRule="auto"/>
        <w:jc w:val="both"/>
        <w:rPr>
          <w:rFonts w:ascii="Arial" w:eastAsia="Arial" w:hAnsi="Arial" w:cs="Arial"/>
          <w:b/>
          <w:sz w:val="22"/>
          <w:szCs w:val="22"/>
        </w:rPr>
      </w:pPr>
      <w:bookmarkStart w:id="9" w:name="_3znysh7" w:colFirst="0" w:colLast="0"/>
      <w:bookmarkEnd w:id="9"/>
      <w:r w:rsidRPr="0069552F">
        <w:rPr>
          <w:rFonts w:ascii="Arial" w:eastAsia="Arial" w:hAnsi="Arial" w:cs="Arial"/>
          <w:b/>
          <w:sz w:val="22"/>
          <w:szCs w:val="22"/>
        </w:rPr>
        <w:t>2.1. Vigencia, objeto y finalidad de la Ley 2069 de 2020: impacto sobre la contratación estatal</w:t>
      </w:r>
    </w:p>
    <w:p w14:paraId="199065E0" w14:textId="77777777" w:rsidR="00B84284" w:rsidRPr="0069552F" w:rsidRDefault="00B84284" w:rsidP="00B84284">
      <w:pPr>
        <w:spacing w:line="276" w:lineRule="auto"/>
        <w:jc w:val="both"/>
        <w:rPr>
          <w:rFonts w:ascii="Arial" w:eastAsia="Arial" w:hAnsi="Arial" w:cs="Arial"/>
          <w:b/>
          <w:sz w:val="22"/>
          <w:szCs w:val="22"/>
        </w:rPr>
      </w:pPr>
    </w:p>
    <w:p w14:paraId="53A11505" w14:textId="77777777" w:rsidR="00B84284" w:rsidRPr="0069552F" w:rsidRDefault="00B84284" w:rsidP="00B84284">
      <w:pPr>
        <w:spacing w:after="120" w:line="276" w:lineRule="auto"/>
        <w:jc w:val="both"/>
      </w:pPr>
      <w:r w:rsidRPr="0069552F">
        <w:rPr>
          <w:rFonts w:ascii="Arial" w:eastAsia="Arial" w:hAnsi="Arial" w:cs="Arial"/>
          <w:sz w:val="22"/>
          <w:szCs w:val="22"/>
        </w:rPr>
        <w:t xml:space="preserve">El 31 de diciembre de 2020 se promulgó la Ley 2069, </w:t>
      </w:r>
      <w:r>
        <w:rPr>
          <w:rFonts w:ascii="Arial" w:eastAsia="Arial" w:hAnsi="Arial" w:cs="Arial"/>
          <w:sz w:val="22"/>
          <w:szCs w:val="22"/>
        </w:rPr>
        <w:t>“</w:t>
      </w:r>
      <w:r w:rsidRPr="0069552F">
        <w:rPr>
          <w:rFonts w:ascii="Arial" w:eastAsia="Arial" w:hAnsi="Arial" w:cs="Arial"/>
          <w:sz w:val="22"/>
          <w:szCs w:val="22"/>
        </w:rPr>
        <w:t>Por medio de la cual se impulsa el emprendimiento en Colombia</w:t>
      </w:r>
      <w:r>
        <w:rPr>
          <w:rFonts w:ascii="Arial" w:eastAsia="Arial" w:hAnsi="Arial" w:cs="Arial"/>
          <w:sz w:val="22"/>
          <w:szCs w:val="22"/>
        </w:rPr>
        <w:t>”</w:t>
      </w:r>
      <w:r w:rsidRPr="0069552F">
        <w:rPr>
          <w:rFonts w:ascii="Arial" w:eastAsia="Arial" w:hAnsi="Arial" w:cs="Arial"/>
          <w:sz w:val="22"/>
          <w:szCs w:val="22"/>
        </w:rPr>
        <w:t>. De acuerdo con el artículo 84 de esta Ley, su vigencia comenzó desde el momento en que fue promulgada, motivo por el cual es obligatoria para sus destinatarios desde esa fecha.</w:t>
      </w:r>
    </w:p>
    <w:p w14:paraId="65B04811" w14:textId="77777777" w:rsidR="00B84284" w:rsidRPr="0069552F" w:rsidRDefault="00B84284" w:rsidP="00B84284">
      <w:pPr>
        <w:tabs>
          <w:tab w:val="left" w:pos="426"/>
        </w:tabs>
        <w:spacing w:after="120" w:line="276" w:lineRule="auto"/>
        <w:ind w:firstLine="709"/>
        <w:jc w:val="both"/>
      </w:pPr>
      <w:r w:rsidRPr="0069552F">
        <w:rPr>
          <w:rFonts w:ascii="Arial" w:eastAsia="Arial" w:hAnsi="Arial" w:cs="Arial"/>
          <w:sz w:val="22"/>
          <w:szCs w:val="22"/>
        </w:rPr>
        <w:t xml:space="preserve">Conforme con lo previsto en su artículo 1, esta norma se expidió con el fin de </w:t>
      </w:r>
      <w:r>
        <w:rPr>
          <w:rFonts w:ascii="Arial" w:eastAsia="Arial" w:hAnsi="Arial" w:cs="Arial"/>
          <w:sz w:val="22"/>
          <w:szCs w:val="22"/>
        </w:rPr>
        <w:t>“</w:t>
      </w:r>
      <w:r w:rsidRPr="0069552F">
        <w:rPr>
          <w:rFonts w:ascii="Arial" w:eastAsia="Arial" w:hAnsi="Arial" w:cs="Arial"/>
          <w:sz w:val="22"/>
          <w:szCs w:val="22"/>
        </w:rPr>
        <w:t>establecer un marco regulatorio que propicie el emprendimiento y el crecimiento, consolidación y sostenibilidad de las empresas, con el fin de aumentar el bienestar social y generar equidad</w:t>
      </w:r>
      <w:r>
        <w:rPr>
          <w:rFonts w:ascii="Arial" w:eastAsia="Arial" w:hAnsi="Arial" w:cs="Arial"/>
          <w:sz w:val="22"/>
          <w:szCs w:val="22"/>
        </w:rPr>
        <w:t>”</w:t>
      </w:r>
      <w:r w:rsidRPr="0069552F">
        <w:rPr>
          <w:rFonts w:ascii="Arial" w:eastAsia="Arial" w:hAnsi="Arial" w:cs="Arial"/>
          <w:sz w:val="22"/>
          <w:szCs w:val="22"/>
        </w:rPr>
        <w:t xml:space="preserve">, para lo cual se deberá tener en cuenta </w:t>
      </w:r>
      <w:r>
        <w:rPr>
          <w:rFonts w:ascii="Arial" w:eastAsia="Arial" w:hAnsi="Arial" w:cs="Arial"/>
          <w:sz w:val="22"/>
          <w:szCs w:val="22"/>
        </w:rPr>
        <w:t>“</w:t>
      </w:r>
      <w:r w:rsidRPr="0069552F">
        <w:rPr>
          <w:rFonts w:ascii="Arial" w:eastAsia="Arial" w:hAnsi="Arial" w:cs="Arial"/>
          <w:sz w:val="22"/>
          <w:szCs w:val="22"/>
        </w:rPr>
        <w:t xml:space="preserve">[…] un enfoque regionalizado de acuerdo </w:t>
      </w:r>
      <w:r>
        <w:rPr>
          <w:rFonts w:ascii="Arial" w:eastAsia="Arial" w:hAnsi="Arial" w:cs="Arial"/>
          <w:sz w:val="22"/>
          <w:szCs w:val="22"/>
        </w:rPr>
        <w:t>con</w:t>
      </w:r>
      <w:r w:rsidRPr="0069552F">
        <w:rPr>
          <w:rFonts w:ascii="Arial" w:eastAsia="Arial" w:hAnsi="Arial" w:cs="Arial"/>
          <w:sz w:val="22"/>
          <w:szCs w:val="22"/>
        </w:rPr>
        <w:t xml:space="preserve"> las realidades socioeconómicas de cada región</w:t>
      </w:r>
      <w:r>
        <w:rPr>
          <w:rFonts w:ascii="Arial" w:eastAsia="Arial" w:hAnsi="Arial" w:cs="Arial"/>
          <w:sz w:val="22"/>
          <w:szCs w:val="22"/>
        </w:rPr>
        <w:t>”</w:t>
      </w:r>
      <w:r w:rsidRPr="0069552F">
        <w:rPr>
          <w:rFonts w:ascii="Arial" w:eastAsia="Arial" w:hAnsi="Arial" w:cs="Arial"/>
          <w:sz w:val="22"/>
          <w:szCs w:val="22"/>
        </w:rPr>
        <w:t xml:space="preserve">. </w:t>
      </w:r>
    </w:p>
    <w:p w14:paraId="36C9998E" w14:textId="77777777" w:rsidR="00B84284" w:rsidRPr="0069552F" w:rsidRDefault="00B84284" w:rsidP="00B84284">
      <w:pPr>
        <w:tabs>
          <w:tab w:val="left" w:pos="426"/>
        </w:tabs>
        <w:spacing w:after="120" w:line="276" w:lineRule="auto"/>
        <w:ind w:firstLine="709"/>
        <w:jc w:val="both"/>
      </w:pPr>
      <w:r w:rsidRPr="0069552F">
        <w:rPr>
          <w:rFonts w:ascii="Arial" w:eastAsia="Arial" w:hAnsi="Arial" w:cs="Arial"/>
          <w:sz w:val="22"/>
          <w:szCs w:val="22"/>
        </w:rPr>
        <w:t>En ese contexto, la Ley 2069 del 2020 consagra medidas de apoyo para las micro, pequeñas y medianas empresas –</w:t>
      </w:r>
      <w:proofErr w:type="spellStart"/>
      <w:r w:rsidRPr="0069552F">
        <w:rPr>
          <w:rFonts w:ascii="Arial" w:eastAsia="Arial" w:hAnsi="Arial" w:cs="Arial"/>
          <w:sz w:val="22"/>
          <w:szCs w:val="22"/>
        </w:rPr>
        <w:t>Mipymes</w:t>
      </w:r>
      <w:proofErr w:type="spellEnd"/>
      <w:r w:rsidRPr="0069552F">
        <w:rPr>
          <w:rFonts w:ascii="Arial" w:eastAsia="Arial" w:hAnsi="Arial" w:cs="Arial"/>
          <w:sz w:val="22"/>
          <w:szCs w:val="22"/>
        </w:rPr>
        <w:t>–, mediante la racionalización y simplificación de los trámites y tarifas</w:t>
      </w:r>
      <w:r w:rsidRPr="0069552F">
        <w:rPr>
          <w:rFonts w:ascii="Arial" w:eastAsia="Arial" w:hAnsi="Arial" w:cs="Arial"/>
          <w:sz w:val="22"/>
          <w:szCs w:val="22"/>
          <w:vertAlign w:val="superscript"/>
        </w:rPr>
        <w:footnoteReference w:id="4"/>
      </w:r>
      <w:r w:rsidRPr="0069552F">
        <w:rPr>
          <w:rFonts w:ascii="Arial" w:eastAsia="Arial" w:hAnsi="Arial" w:cs="Arial"/>
          <w:sz w:val="22"/>
          <w:szCs w:val="22"/>
        </w:rPr>
        <w:t>, así como incentivos a favor de aquellas dentro del sistema de compras y contratación pública</w:t>
      </w:r>
      <w:r w:rsidRPr="0069552F">
        <w:rPr>
          <w:rFonts w:ascii="Arial" w:eastAsia="Arial" w:hAnsi="Arial" w:cs="Arial"/>
          <w:sz w:val="22"/>
          <w:szCs w:val="22"/>
          <w:vertAlign w:val="superscript"/>
        </w:rPr>
        <w:footnoteReference w:id="5"/>
      </w:r>
      <w:r w:rsidRPr="0069552F">
        <w:rPr>
          <w:rFonts w:ascii="Arial" w:eastAsia="Arial" w:hAnsi="Arial" w:cs="Arial"/>
          <w:sz w:val="22"/>
          <w:szCs w:val="22"/>
        </w:rPr>
        <w:t>. También se consagran mecanismos de acceso al financiamiento</w:t>
      </w:r>
      <w:r w:rsidRPr="0069552F">
        <w:rPr>
          <w:rFonts w:ascii="Arial" w:eastAsia="Arial" w:hAnsi="Arial" w:cs="Arial"/>
          <w:sz w:val="22"/>
          <w:szCs w:val="22"/>
          <w:vertAlign w:val="superscript"/>
        </w:rPr>
        <w:footnoteReference w:id="6"/>
      </w:r>
      <w:r w:rsidRPr="0069552F">
        <w:rPr>
          <w:rFonts w:ascii="Arial" w:eastAsia="Arial" w:hAnsi="Arial" w:cs="Arial"/>
          <w:sz w:val="22"/>
          <w:szCs w:val="22"/>
        </w:rPr>
        <w:t>, se unifican las fuentes de emprendimiento y de desarrollo empresarial, para fortalecer y promover los distintos sectores de la economía</w:t>
      </w:r>
      <w:r w:rsidRPr="0069552F">
        <w:rPr>
          <w:rFonts w:ascii="Arial" w:eastAsia="Arial" w:hAnsi="Arial" w:cs="Arial"/>
          <w:sz w:val="22"/>
          <w:szCs w:val="22"/>
          <w:vertAlign w:val="superscript"/>
        </w:rPr>
        <w:footnoteReference w:id="7"/>
      </w:r>
      <w:r w:rsidRPr="0069552F">
        <w:rPr>
          <w:rFonts w:ascii="Arial" w:eastAsia="Arial" w:hAnsi="Arial" w:cs="Arial"/>
          <w:sz w:val="22"/>
          <w:szCs w:val="22"/>
        </w:rPr>
        <w:t xml:space="preserve"> y se prevén medidas de educación para el emprendimiento y la innovación</w:t>
      </w:r>
      <w:r w:rsidRPr="0069552F">
        <w:rPr>
          <w:rFonts w:ascii="Arial" w:eastAsia="Arial" w:hAnsi="Arial" w:cs="Arial"/>
          <w:sz w:val="22"/>
          <w:szCs w:val="22"/>
          <w:vertAlign w:val="superscript"/>
        </w:rPr>
        <w:footnoteReference w:id="8"/>
      </w:r>
      <w:r w:rsidRPr="0069552F">
        <w:rPr>
          <w:rFonts w:ascii="Arial" w:eastAsia="Arial" w:hAnsi="Arial" w:cs="Arial"/>
          <w:sz w:val="22"/>
          <w:szCs w:val="22"/>
        </w:rPr>
        <w:t xml:space="preserve">. </w:t>
      </w:r>
    </w:p>
    <w:p w14:paraId="6F14AD35" w14:textId="77777777" w:rsidR="00B84284" w:rsidRPr="0069552F" w:rsidRDefault="00B84284" w:rsidP="00B84284">
      <w:pPr>
        <w:spacing w:after="120" w:line="276" w:lineRule="auto"/>
        <w:jc w:val="both"/>
        <w:rPr>
          <w:sz w:val="22"/>
          <w:szCs w:val="22"/>
        </w:rPr>
      </w:pPr>
      <w:r w:rsidRPr="0069552F">
        <w:rPr>
          <w:rFonts w:ascii="Arial" w:eastAsia="Arial" w:hAnsi="Arial" w:cs="Arial"/>
          <w:sz w:val="22"/>
          <w:szCs w:val="22"/>
        </w:rPr>
        <w:tab/>
        <w:t>Sobre su propósito y el contexto que motivó su expedición, esta Agencia expuso lo</w:t>
      </w:r>
      <w:r>
        <w:rPr>
          <w:rFonts w:ascii="Arial" w:eastAsia="Arial" w:hAnsi="Arial" w:cs="Arial"/>
          <w:sz w:val="22"/>
          <w:szCs w:val="22"/>
        </w:rPr>
        <w:t xml:space="preserve"> </w:t>
      </w:r>
      <w:r w:rsidRPr="0069552F">
        <w:rPr>
          <w:rFonts w:ascii="Arial" w:eastAsia="Arial" w:hAnsi="Arial" w:cs="Arial"/>
          <w:sz w:val="22"/>
          <w:szCs w:val="22"/>
        </w:rPr>
        <w:t xml:space="preserve">siguiente en el concepto C-673 del 5 de enero del 2022 que a Ley 2069 de 2020 guarda congruencia con el </w:t>
      </w:r>
      <w:r>
        <w:rPr>
          <w:rFonts w:ascii="Arial" w:eastAsia="Arial" w:hAnsi="Arial" w:cs="Arial"/>
          <w:sz w:val="22"/>
          <w:szCs w:val="22"/>
        </w:rPr>
        <w:t>“</w:t>
      </w:r>
      <w:r w:rsidRPr="0069552F">
        <w:rPr>
          <w:rFonts w:ascii="Arial" w:eastAsia="Arial" w:hAnsi="Arial" w:cs="Arial"/>
          <w:sz w:val="22"/>
          <w:szCs w:val="22"/>
        </w:rPr>
        <w:t>Pacto por el emprendimiento, la formalización y la productividad</w:t>
      </w:r>
      <w:r>
        <w:rPr>
          <w:rFonts w:ascii="Arial" w:eastAsia="Arial" w:hAnsi="Arial" w:cs="Arial"/>
          <w:sz w:val="22"/>
          <w:szCs w:val="22"/>
        </w:rPr>
        <w:t>”</w:t>
      </w:r>
      <w:r w:rsidRPr="0069552F">
        <w:rPr>
          <w:rFonts w:ascii="Arial" w:eastAsia="Arial" w:hAnsi="Arial" w:cs="Arial"/>
          <w:sz w:val="22"/>
          <w:szCs w:val="22"/>
        </w:rPr>
        <w:t xml:space="preserve"> del Plan Nacional de Desarrollo 2018-2022, pues busca impulsar el nacimiento de nuevas empresas que incentiven la generación de empleo en el país. En tal sentido, su finalidad principal es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w:t>
      </w:r>
      <w:r w:rsidRPr="0069552F">
        <w:rPr>
          <w:rFonts w:ascii="Arial" w:eastAsia="Arial" w:hAnsi="Arial" w:cs="Arial"/>
          <w:sz w:val="22"/>
          <w:szCs w:val="22"/>
        </w:rPr>
        <w:lastRenderedPageBreak/>
        <w:t xml:space="preserve">la productividad como en la competitividad. De esta manera, la ley en comento también concreta la </w:t>
      </w:r>
      <w:r>
        <w:rPr>
          <w:rFonts w:ascii="Arial" w:eastAsia="Arial" w:hAnsi="Arial" w:cs="Arial"/>
          <w:sz w:val="22"/>
          <w:szCs w:val="22"/>
        </w:rPr>
        <w:t>“</w:t>
      </w:r>
      <w:r w:rsidRPr="0069552F">
        <w:rPr>
          <w:rFonts w:ascii="Arial" w:eastAsia="Arial" w:hAnsi="Arial" w:cs="Arial"/>
          <w:sz w:val="22"/>
          <w:szCs w:val="22"/>
        </w:rPr>
        <w:t>Política de formalización empresarial</w:t>
      </w:r>
      <w:r>
        <w:rPr>
          <w:rFonts w:ascii="Arial" w:eastAsia="Arial" w:hAnsi="Arial" w:cs="Arial"/>
          <w:sz w:val="22"/>
          <w:szCs w:val="22"/>
        </w:rPr>
        <w:t>”</w:t>
      </w:r>
      <w:r w:rsidRPr="0069552F">
        <w:rPr>
          <w:rFonts w:ascii="Arial" w:eastAsia="Arial" w:hAnsi="Arial" w:cs="Arial"/>
          <w:sz w:val="22"/>
          <w:szCs w:val="22"/>
        </w:rPr>
        <w:t xml:space="preserve"> del Documento CONPES 3956 del 8 de enero de 2019</w:t>
      </w:r>
      <w:r w:rsidRPr="0069552F">
        <w:rPr>
          <w:rFonts w:ascii="Arial" w:eastAsia="Arial" w:hAnsi="Arial" w:cs="Arial"/>
          <w:sz w:val="16"/>
          <w:szCs w:val="16"/>
          <w:vertAlign w:val="superscript"/>
        </w:rPr>
        <w:footnoteReference w:id="9"/>
      </w:r>
      <w:r w:rsidRPr="0069552F">
        <w:rPr>
          <w:rFonts w:ascii="Arial" w:eastAsia="Arial" w:hAnsi="Arial" w:cs="Arial"/>
          <w:sz w:val="22"/>
          <w:szCs w:val="22"/>
        </w:rPr>
        <w:t>.</w:t>
      </w:r>
    </w:p>
    <w:p w14:paraId="0745B52E" w14:textId="77777777" w:rsidR="00B84284" w:rsidRPr="004312EC" w:rsidRDefault="00B84284" w:rsidP="00B84284">
      <w:pPr>
        <w:spacing w:after="120" w:line="276" w:lineRule="auto"/>
        <w:jc w:val="both"/>
        <w:rPr>
          <w:sz w:val="22"/>
          <w:szCs w:val="22"/>
        </w:rPr>
      </w:pPr>
      <w:r w:rsidRPr="0069552F">
        <w:rPr>
          <w:rFonts w:ascii="Arial" w:eastAsia="Arial" w:hAnsi="Arial" w:cs="Arial"/>
          <w:sz w:val="21"/>
          <w:szCs w:val="21"/>
        </w:rPr>
        <w:tab/>
      </w:r>
      <w:r w:rsidRPr="004312EC">
        <w:rPr>
          <w:rFonts w:ascii="Arial" w:eastAsia="Arial" w:hAnsi="Arial" w:cs="Arial"/>
          <w:sz w:val="22"/>
          <w:szCs w:val="22"/>
        </w:rPr>
        <w:t xml:space="preserve">Por ello, la ley impulsa medidas para: i) reducir cargas y trámites para los emprendedores del país, </w:t>
      </w:r>
      <w:proofErr w:type="spellStart"/>
      <w:r w:rsidRPr="004312EC">
        <w:rPr>
          <w:rFonts w:ascii="Arial" w:eastAsia="Arial" w:hAnsi="Arial" w:cs="Arial"/>
          <w:sz w:val="22"/>
          <w:szCs w:val="22"/>
        </w:rPr>
        <w:t>ii</w:t>
      </w:r>
      <w:proofErr w:type="spellEnd"/>
      <w:r w:rsidRPr="004312EC">
        <w:rPr>
          <w:rFonts w:ascii="Arial" w:eastAsia="Arial" w:hAnsi="Arial" w:cs="Arial"/>
          <w:sz w:val="22"/>
          <w:szCs w:val="22"/>
        </w:rPr>
        <w:t xml:space="preserve">) facilitar su acceso al sistema de compras y contratación pública, </w:t>
      </w:r>
      <w:proofErr w:type="spellStart"/>
      <w:r w:rsidRPr="004312EC">
        <w:rPr>
          <w:rFonts w:ascii="Arial" w:eastAsia="Arial" w:hAnsi="Arial" w:cs="Arial"/>
          <w:sz w:val="22"/>
          <w:szCs w:val="22"/>
        </w:rPr>
        <w:t>iii</w:t>
      </w:r>
      <w:proofErr w:type="spellEnd"/>
      <w:r w:rsidRPr="004312EC">
        <w:rPr>
          <w:rFonts w:ascii="Arial" w:eastAsia="Arial" w:hAnsi="Arial" w:cs="Arial"/>
          <w:sz w:val="22"/>
          <w:szCs w:val="22"/>
        </w:rPr>
        <w:t xml:space="preserve">) incentivar el crecimiento económico con la llegada de más actores al ecosistema de inversión y financiación, </w:t>
      </w:r>
      <w:proofErr w:type="spellStart"/>
      <w:r w:rsidRPr="004312EC">
        <w:rPr>
          <w:rFonts w:ascii="Arial" w:eastAsia="Arial" w:hAnsi="Arial" w:cs="Arial"/>
          <w:sz w:val="22"/>
          <w:szCs w:val="22"/>
        </w:rPr>
        <w:t>iv</w:t>
      </w:r>
      <w:proofErr w:type="spellEnd"/>
      <w:r w:rsidRPr="004312EC">
        <w:rPr>
          <w:rFonts w:ascii="Arial" w:eastAsia="Arial" w:hAnsi="Arial" w:cs="Arial"/>
          <w:sz w:val="22"/>
          <w:szCs w:val="22"/>
        </w:rPr>
        <w:t>) focalizar esfuerzos, optimizar la gestión de recursos e incentivar una visión integral del desarrollo productivo a través del fortalecimiento institucional, v) facilitar la apropiación del emprendimiento y la cultura emprendedora en la juventud colombiana, así como vi) otorgar beneficios para emprendedores, especialmente, estableciendo un enfoque diferencial respecto a los miembros de las poblaciones más vulnerables, que les permita avanzar en su actividad y desarrollar sus iniciativas</w:t>
      </w:r>
      <w:r w:rsidRPr="004312EC">
        <w:rPr>
          <w:rFonts w:ascii="Arial" w:eastAsia="Arial" w:hAnsi="Arial" w:cs="Arial"/>
          <w:sz w:val="22"/>
          <w:szCs w:val="22"/>
          <w:vertAlign w:val="superscript"/>
        </w:rPr>
        <w:footnoteReference w:id="10"/>
      </w:r>
      <w:r w:rsidRPr="004312EC">
        <w:rPr>
          <w:rFonts w:ascii="Arial" w:eastAsia="Arial" w:hAnsi="Arial" w:cs="Arial"/>
          <w:sz w:val="22"/>
          <w:szCs w:val="22"/>
          <w:vertAlign w:val="superscript"/>
        </w:rPr>
        <w:t>.</w:t>
      </w:r>
    </w:p>
    <w:p w14:paraId="184460FB" w14:textId="77777777" w:rsidR="00B84284" w:rsidRDefault="00B84284" w:rsidP="00B84284">
      <w:pPr>
        <w:spacing w:line="276" w:lineRule="auto"/>
        <w:jc w:val="both"/>
        <w:rPr>
          <w:rFonts w:ascii="Arial" w:eastAsia="Arial" w:hAnsi="Arial" w:cs="Arial"/>
          <w:sz w:val="22"/>
          <w:szCs w:val="22"/>
        </w:rPr>
      </w:pPr>
      <w:r w:rsidRPr="004312EC">
        <w:rPr>
          <w:rFonts w:ascii="Arial" w:eastAsia="Arial" w:hAnsi="Arial" w:cs="Arial"/>
          <w:sz w:val="22"/>
          <w:szCs w:val="22"/>
        </w:rPr>
        <w:tab/>
        <w:t xml:space="preserve">Además, 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w:t>
      </w:r>
      <w:proofErr w:type="spellStart"/>
      <w:r w:rsidRPr="004312EC">
        <w:rPr>
          <w:rFonts w:ascii="Arial" w:eastAsia="Arial" w:hAnsi="Arial" w:cs="Arial"/>
          <w:sz w:val="22"/>
          <w:szCs w:val="22"/>
        </w:rPr>
        <w:t>ii</w:t>
      </w:r>
      <w:proofErr w:type="spellEnd"/>
      <w:r w:rsidRPr="004312EC">
        <w:rPr>
          <w:rFonts w:ascii="Arial" w:eastAsia="Arial" w:hAnsi="Arial" w:cs="Arial"/>
          <w:sz w:val="22"/>
          <w:szCs w:val="22"/>
        </w:rPr>
        <w:t xml:space="preserve">) criterios diferenciales para MiPymes en el sistema de compras públicas, </w:t>
      </w:r>
      <w:proofErr w:type="spellStart"/>
      <w:r w:rsidRPr="004312EC">
        <w:rPr>
          <w:rFonts w:ascii="Arial" w:eastAsia="Arial" w:hAnsi="Arial" w:cs="Arial"/>
          <w:sz w:val="22"/>
          <w:szCs w:val="22"/>
        </w:rPr>
        <w:t>iii</w:t>
      </w:r>
      <w:proofErr w:type="spellEnd"/>
      <w:r w:rsidRPr="004312EC">
        <w:rPr>
          <w:rFonts w:ascii="Arial" w:eastAsia="Arial" w:hAnsi="Arial" w:cs="Arial"/>
          <w:sz w:val="22"/>
          <w:szCs w:val="22"/>
        </w:rPr>
        <w:t xml:space="preserve">) criterios diferenciales para emprendimientos y empresas de mujeres en el sistema de compras públicas, </w:t>
      </w:r>
      <w:proofErr w:type="spellStart"/>
      <w:r w:rsidRPr="004312EC">
        <w:rPr>
          <w:rFonts w:ascii="Arial" w:eastAsia="Arial" w:hAnsi="Arial" w:cs="Arial"/>
          <w:sz w:val="22"/>
          <w:szCs w:val="22"/>
        </w:rPr>
        <w:t>iv</w:t>
      </w:r>
      <w:proofErr w:type="spellEnd"/>
      <w:r w:rsidRPr="004312EC">
        <w:rPr>
          <w:rFonts w:ascii="Arial" w:eastAsia="Arial" w:hAnsi="Arial" w:cs="Arial"/>
          <w:sz w:val="22"/>
          <w:szCs w:val="22"/>
        </w:rPr>
        <w:t>)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w:t>
      </w:r>
    </w:p>
    <w:p w14:paraId="12494AAA" w14:textId="77777777" w:rsidR="00B84284" w:rsidRPr="00D352CC" w:rsidRDefault="00B84284" w:rsidP="00B84284">
      <w:pPr>
        <w:spacing w:line="276" w:lineRule="auto"/>
        <w:jc w:val="both"/>
        <w:rPr>
          <w:rFonts w:ascii="Arial" w:hAnsi="Arial" w:cs="Arial"/>
          <w:sz w:val="22"/>
          <w:szCs w:val="22"/>
        </w:rPr>
      </w:pPr>
    </w:p>
    <w:p w14:paraId="20C20831" w14:textId="77777777" w:rsidR="00B84284" w:rsidRPr="0095005A" w:rsidRDefault="00B84284" w:rsidP="00B84284">
      <w:pPr>
        <w:spacing w:line="276" w:lineRule="auto"/>
        <w:jc w:val="both"/>
        <w:rPr>
          <w:rFonts w:ascii="Arial" w:eastAsia="Calibri" w:hAnsi="Arial" w:cs="Arial"/>
          <w:b/>
          <w:bCs/>
          <w:sz w:val="22"/>
          <w:szCs w:val="22"/>
          <w:lang w:val="es-ES_tradnl"/>
        </w:rPr>
      </w:pPr>
      <w:bookmarkStart w:id="11" w:name="_2et92p0" w:colFirst="0" w:colLast="0"/>
      <w:bookmarkEnd w:id="11"/>
      <w:r w:rsidRPr="0095005A">
        <w:rPr>
          <w:rFonts w:ascii="Arial" w:eastAsia="Calibri" w:hAnsi="Arial" w:cs="Arial"/>
          <w:b/>
          <w:bCs/>
          <w:sz w:val="22"/>
          <w:szCs w:val="22"/>
          <w:lang w:val="es-ES_tradnl"/>
        </w:rPr>
        <w:t xml:space="preserve">2.2. Convocatorias limitadas a </w:t>
      </w:r>
      <w:proofErr w:type="spellStart"/>
      <w:r w:rsidRPr="0095005A">
        <w:rPr>
          <w:rFonts w:ascii="Arial" w:eastAsia="Calibri" w:hAnsi="Arial" w:cs="Arial"/>
          <w:b/>
          <w:bCs/>
          <w:sz w:val="22"/>
          <w:szCs w:val="22"/>
          <w:lang w:val="es-ES_tradnl"/>
        </w:rPr>
        <w:t>mipymes</w:t>
      </w:r>
      <w:proofErr w:type="spellEnd"/>
      <w:r w:rsidRPr="0095005A">
        <w:rPr>
          <w:rFonts w:ascii="Arial" w:eastAsia="Calibri" w:hAnsi="Arial" w:cs="Arial"/>
          <w:b/>
          <w:bCs/>
          <w:sz w:val="22"/>
          <w:szCs w:val="22"/>
          <w:lang w:val="es-ES_tradnl"/>
        </w:rPr>
        <w:t xml:space="preserve"> en el ámbito territorial</w:t>
      </w:r>
      <w:r w:rsidRPr="00D352CC">
        <w:rPr>
          <w:rStyle w:val="normaltextrun"/>
          <w:rFonts w:ascii="Arial" w:eastAsia="Arial" w:hAnsi="Arial" w:cs="Arial"/>
          <w:b/>
          <w:bCs/>
          <w:color w:val="000000"/>
          <w:sz w:val="22"/>
          <w:szCs w:val="22"/>
        </w:rPr>
        <w:t xml:space="preserve"> de conformidad con el Decreto 1860 de 2021</w:t>
      </w:r>
      <w:r>
        <w:rPr>
          <w:rStyle w:val="normaltextrun"/>
          <w:rFonts w:ascii="Arial" w:eastAsia="Arial" w:hAnsi="Arial" w:cs="Arial"/>
          <w:b/>
          <w:bCs/>
          <w:color w:val="000000"/>
          <w:sz w:val="22"/>
          <w:szCs w:val="22"/>
        </w:rPr>
        <w:t xml:space="preserve">: Presupuestos mínimos </w:t>
      </w:r>
      <w:proofErr w:type="gramStart"/>
      <w:r>
        <w:rPr>
          <w:rStyle w:val="normaltextrun"/>
          <w:rFonts w:ascii="Arial" w:eastAsia="Arial" w:hAnsi="Arial" w:cs="Arial"/>
          <w:b/>
          <w:bCs/>
          <w:color w:val="000000"/>
          <w:sz w:val="22"/>
          <w:szCs w:val="22"/>
        </w:rPr>
        <w:t>para  el</w:t>
      </w:r>
      <w:proofErr w:type="gramEnd"/>
      <w:r>
        <w:rPr>
          <w:rStyle w:val="normaltextrun"/>
          <w:rFonts w:ascii="Arial" w:eastAsia="Arial" w:hAnsi="Arial" w:cs="Arial"/>
          <w:b/>
          <w:bCs/>
          <w:color w:val="000000"/>
          <w:sz w:val="22"/>
          <w:szCs w:val="22"/>
        </w:rPr>
        <w:t xml:space="preserve"> adecuado ejercicio de la potestad discrecional </w:t>
      </w:r>
    </w:p>
    <w:p w14:paraId="4EC10EA0" w14:textId="77777777" w:rsidR="00B84284" w:rsidRDefault="00B84284" w:rsidP="00B84284">
      <w:pPr>
        <w:ind w:firstLine="709"/>
        <w:jc w:val="both"/>
        <w:rPr>
          <w:rFonts w:ascii="Arial" w:eastAsia="Calibri" w:hAnsi="Arial" w:cs="Arial"/>
          <w:sz w:val="22"/>
          <w:szCs w:val="22"/>
          <w:lang w:val="es-ES_tradnl"/>
        </w:rPr>
      </w:pPr>
    </w:p>
    <w:p w14:paraId="5F5AED42" w14:textId="77777777" w:rsidR="00B84284" w:rsidRPr="00C5626D" w:rsidRDefault="00B84284" w:rsidP="00B84284">
      <w:pPr>
        <w:spacing w:line="276" w:lineRule="auto"/>
        <w:jc w:val="both"/>
        <w:rPr>
          <w:rFonts w:ascii="Arial" w:hAnsi="Arial" w:cs="Arial"/>
          <w:bCs/>
          <w:sz w:val="22"/>
          <w:szCs w:val="22"/>
          <w:lang w:val="es-ES_tradnl" w:eastAsia="es-ES"/>
        </w:rPr>
      </w:pPr>
      <w:r w:rsidRPr="00C5626D">
        <w:rPr>
          <w:rFonts w:ascii="Arial" w:hAnsi="Arial" w:cs="Arial"/>
          <w:bCs/>
          <w:sz w:val="22"/>
          <w:szCs w:val="22"/>
          <w:lang w:val="es-ES_tradnl" w:eastAsia="es-ES"/>
        </w:rPr>
        <w:t xml:space="preserve">En desarrollo de la Ley 2069 de 2021, el Gobierno Nacional expidió el Decreto 1860 de 2021, </w:t>
      </w:r>
      <w:r>
        <w:rPr>
          <w:rFonts w:ascii="Arial" w:hAnsi="Arial" w:cs="Arial"/>
          <w:bCs/>
          <w:sz w:val="22"/>
          <w:szCs w:val="22"/>
          <w:lang w:val="es-ES_tradnl" w:eastAsia="es-ES"/>
        </w:rPr>
        <w:t>“</w:t>
      </w:r>
      <w:r w:rsidRPr="00C5626D">
        <w:rPr>
          <w:rFonts w:ascii="Arial" w:hAnsi="Arial" w:cs="Arial"/>
          <w:bCs/>
          <w:sz w:val="22"/>
          <w:szCs w:val="22"/>
          <w:lang w:val="es-ES_tradnl" w:eastAsia="es-ES"/>
        </w:rPr>
        <w:t xml:space="preserve">Por el cual se modifica y adiciona el Decreto 1082 de 2015, Único Reglamentario del Sector Administrativo de Planeación Nacional, con el fin de reglamentar los artículos 30, 31, 32, 34 y 35 </w:t>
      </w:r>
      <w:r w:rsidRPr="00C5626D">
        <w:rPr>
          <w:rFonts w:ascii="Arial" w:hAnsi="Arial" w:cs="Arial"/>
          <w:bCs/>
          <w:sz w:val="22"/>
          <w:szCs w:val="22"/>
          <w:lang w:val="es-ES_tradnl" w:eastAsia="es-ES"/>
        </w:rPr>
        <w:lastRenderedPageBreak/>
        <w:t>de la Ley 2069 de 2020, en lo relativo al sistema de compras públicas y se dictan otras disposiciones</w:t>
      </w:r>
      <w:r>
        <w:rPr>
          <w:rFonts w:ascii="Arial" w:hAnsi="Arial" w:cs="Arial"/>
          <w:bCs/>
          <w:sz w:val="22"/>
          <w:szCs w:val="22"/>
          <w:lang w:val="es-ES_tradnl" w:eastAsia="es-ES"/>
        </w:rPr>
        <w:t>”</w:t>
      </w:r>
      <w:r w:rsidRPr="00C5626D">
        <w:rPr>
          <w:rFonts w:ascii="Arial" w:hAnsi="Arial" w:cs="Arial"/>
          <w:bCs/>
          <w:sz w:val="22"/>
          <w:szCs w:val="22"/>
          <w:lang w:val="es-ES_tradnl" w:eastAsia="es-ES"/>
        </w:rPr>
        <w:t xml:space="preserve">. Entre los aspectos reglamentados por el decreto indicado se encuentran las convocatorias limitadas a </w:t>
      </w:r>
      <w:proofErr w:type="spellStart"/>
      <w:r w:rsidRPr="00C5626D">
        <w:rPr>
          <w:rFonts w:ascii="Arial" w:hAnsi="Arial" w:cs="Arial"/>
          <w:bCs/>
          <w:sz w:val="22"/>
          <w:szCs w:val="22"/>
          <w:lang w:val="es-ES_tradnl" w:eastAsia="es-ES"/>
        </w:rPr>
        <w:t>Mipyme</w:t>
      </w:r>
      <w:proofErr w:type="spellEnd"/>
      <w:r w:rsidRPr="00C5626D">
        <w:rPr>
          <w:rFonts w:ascii="Arial" w:hAnsi="Arial" w:cs="Arial"/>
          <w:bCs/>
          <w:sz w:val="22"/>
          <w:szCs w:val="22"/>
          <w:lang w:val="es-ES_tradnl" w:eastAsia="es-ES"/>
        </w:rPr>
        <w:t xml:space="preserve">. De esta manera, el artículo 5 modifica </w:t>
      </w:r>
      <w:r w:rsidRPr="00C5626D">
        <w:rPr>
          <w:rFonts w:ascii="Arial" w:hAnsi="Arial" w:cs="Arial"/>
          <w:bCs/>
          <w:sz w:val="22"/>
          <w:szCs w:val="22"/>
          <w:lang w:eastAsia="es-ES"/>
        </w:rPr>
        <w:t>los artículos 2.2.1.2.4.2.2</w:t>
      </w:r>
      <w:r>
        <w:rPr>
          <w:rStyle w:val="Refdenotaalpie"/>
          <w:rFonts w:ascii="Arial" w:hAnsi="Arial" w:cs="Arial"/>
          <w:bCs/>
          <w:sz w:val="22"/>
          <w:szCs w:val="22"/>
          <w:lang w:eastAsia="es-ES"/>
        </w:rPr>
        <w:footnoteReference w:id="11"/>
      </w:r>
      <w:r w:rsidRPr="00C5626D">
        <w:rPr>
          <w:rFonts w:ascii="Arial" w:hAnsi="Arial" w:cs="Arial"/>
          <w:bCs/>
          <w:sz w:val="22"/>
          <w:szCs w:val="22"/>
          <w:lang w:eastAsia="es-ES"/>
        </w:rPr>
        <w:t>., 2.2.1.2.4.2.3</w:t>
      </w:r>
      <w:r>
        <w:rPr>
          <w:rStyle w:val="Refdenotaalpie"/>
          <w:rFonts w:ascii="Arial" w:hAnsi="Arial" w:cs="Arial"/>
          <w:bCs/>
          <w:sz w:val="22"/>
          <w:szCs w:val="22"/>
          <w:lang w:eastAsia="es-ES"/>
        </w:rPr>
        <w:footnoteReference w:id="12"/>
      </w:r>
      <w:r w:rsidRPr="00C5626D">
        <w:rPr>
          <w:rFonts w:ascii="Arial" w:hAnsi="Arial" w:cs="Arial"/>
          <w:bCs/>
          <w:sz w:val="22"/>
          <w:szCs w:val="22"/>
          <w:lang w:eastAsia="es-ES"/>
        </w:rPr>
        <w:t>. y 2.2.1.2.4.2.4</w:t>
      </w:r>
      <w:r>
        <w:rPr>
          <w:rStyle w:val="Refdenotaalpie"/>
          <w:rFonts w:ascii="Arial" w:hAnsi="Arial" w:cs="Arial"/>
          <w:bCs/>
          <w:sz w:val="22"/>
          <w:szCs w:val="22"/>
          <w:lang w:eastAsia="es-ES"/>
        </w:rPr>
        <w:footnoteReference w:id="13"/>
      </w:r>
      <w:r w:rsidRPr="00C5626D">
        <w:rPr>
          <w:rFonts w:ascii="Arial" w:hAnsi="Arial" w:cs="Arial"/>
          <w:bCs/>
          <w:sz w:val="22"/>
          <w:szCs w:val="22"/>
          <w:lang w:eastAsia="es-ES"/>
        </w:rPr>
        <w:t>. de la Subsección 2 de la Sección 4 del Capítulo 2 del Título 1 de la Parte 2 del Libro 2 del Decreto 1082 de 2015,</w:t>
      </w:r>
      <w:r w:rsidRPr="00C5626D">
        <w:rPr>
          <w:rFonts w:ascii="Arial" w:hAnsi="Arial" w:cs="Arial"/>
          <w:bCs/>
          <w:sz w:val="22"/>
          <w:szCs w:val="22"/>
          <w:lang w:val="es-ES_tradnl" w:eastAsia="es-ES"/>
        </w:rPr>
        <w:t xml:space="preserve"> por lo que reglamenta este asunto con fundamento en lo establecido en el artículo 34 de la Ley 2069 de 2020.</w:t>
      </w:r>
    </w:p>
    <w:p w14:paraId="3E4CF4B6" w14:textId="77777777" w:rsidR="00B84284" w:rsidRDefault="00B84284" w:rsidP="00B84284">
      <w:pPr>
        <w:spacing w:before="120" w:line="276" w:lineRule="auto"/>
        <w:ind w:firstLine="709"/>
        <w:jc w:val="both"/>
        <w:rPr>
          <w:rFonts w:ascii="Arial" w:eastAsia="Calibri" w:hAnsi="Arial" w:cs="Arial"/>
          <w:sz w:val="22"/>
          <w:szCs w:val="22"/>
          <w:lang w:val="es-ES_tradnl"/>
        </w:rPr>
      </w:pPr>
      <w:r w:rsidRPr="00C5626D">
        <w:rPr>
          <w:rFonts w:ascii="Arial" w:hAnsi="Arial" w:cs="Arial"/>
          <w:bCs/>
          <w:sz w:val="22"/>
          <w:szCs w:val="22"/>
          <w:lang w:val="es-ES_tradnl" w:eastAsia="es-ES"/>
        </w:rPr>
        <w:lastRenderedPageBreak/>
        <w:t xml:space="preserve">Teniendo en cuenta lo anterior, esta nueva Subsección 2 contempla los siguientes aspectos: i) requisitos para limitar la convocatoria de los </w:t>
      </w:r>
      <w:r w:rsidRPr="00C5626D">
        <w:rPr>
          <w:rFonts w:ascii="Arial" w:hAnsi="Arial" w:cs="Arial"/>
          <w:bCs/>
          <w:sz w:val="22"/>
          <w:szCs w:val="22"/>
          <w:lang w:eastAsia="es-ES"/>
        </w:rPr>
        <w:t>procesos de contratación con pluralidad de oferentes</w:t>
      </w:r>
      <w:r w:rsidRPr="00C5626D">
        <w:rPr>
          <w:rFonts w:ascii="Arial" w:hAnsi="Arial" w:cs="Arial"/>
          <w:bCs/>
          <w:sz w:val="22"/>
          <w:szCs w:val="22"/>
          <w:lang w:val="es-ES_tradnl" w:eastAsia="es-ES"/>
        </w:rPr>
        <w:t xml:space="preserve"> a las </w:t>
      </w:r>
      <w:proofErr w:type="spellStart"/>
      <w:r w:rsidRPr="00C5626D">
        <w:rPr>
          <w:rFonts w:ascii="Arial" w:hAnsi="Arial" w:cs="Arial"/>
          <w:bCs/>
          <w:sz w:val="22"/>
          <w:szCs w:val="22"/>
          <w:lang w:val="es-ES_tradnl" w:eastAsia="es-ES"/>
        </w:rPr>
        <w:t>Mipyme</w:t>
      </w:r>
      <w:proofErr w:type="spellEnd"/>
      <w:r w:rsidRPr="00C5626D">
        <w:rPr>
          <w:rFonts w:ascii="Arial" w:hAnsi="Arial" w:cs="Arial"/>
          <w:bCs/>
          <w:sz w:val="22"/>
          <w:szCs w:val="22"/>
          <w:lang w:val="es-ES_tradnl" w:eastAsia="es-ES"/>
        </w:rPr>
        <w:t xml:space="preserve"> colombianas con mínimo un (1) año de existencia – artículo </w:t>
      </w:r>
      <w:r w:rsidRPr="00C5626D">
        <w:rPr>
          <w:rFonts w:ascii="Arial" w:hAnsi="Arial" w:cs="Arial"/>
          <w:bCs/>
          <w:sz w:val="22"/>
          <w:szCs w:val="22"/>
          <w:lang w:eastAsia="es-ES"/>
        </w:rPr>
        <w:t>2.2.1.2.4.2.2</w:t>
      </w:r>
      <w:r w:rsidRPr="00C5626D">
        <w:rPr>
          <w:rFonts w:ascii="Arial" w:hAnsi="Arial" w:cs="Arial"/>
          <w:bCs/>
          <w:sz w:val="22"/>
          <w:szCs w:val="22"/>
          <w:lang w:val="es-ES_tradnl" w:eastAsia="es-ES"/>
        </w:rPr>
        <w:t xml:space="preserve">–, </w:t>
      </w:r>
      <w:proofErr w:type="spellStart"/>
      <w:r w:rsidRPr="00C5626D">
        <w:rPr>
          <w:rFonts w:ascii="Arial" w:hAnsi="Arial" w:cs="Arial"/>
          <w:bCs/>
          <w:sz w:val="22"/>
          <w:szCs w:val="22"/>
          <w:lang w:val="es-ES_tradnl" w:eastAsia="es-ES"/>
        </w:rPr>
        <w:t>ii</w:t>
      </w:r>
      <w:proofErr w:type="spellEnd"/>
      <w:r w:rsidRPr="00C5626D">
        <w:rPr>
          <w:rFonts w:ascii="Arial" w:hAnsi="Arial" w:cs="Arial"/>
          <w:bCs/>
          <w:sz w:val="22"/>
          <w:szCs w:val="22"/>
          <w:lang w:val="es-ES_tradnl" w:eastAsia="es-ES"/>
        </w:rPr>
        <w:t xml:space="preserve">) desarrolla las </w:t>
      </w:r>
      <w:r w:rsidRPr="00C5626D">
        <w:rPr>
          <w:rFonts w:ascii="Arial" w:hAnsi="Arial" w:cs="Arial"/>
          <w:bCs/>
          <w:sz w:val="22"/>
          <w:szCs w:val="22"/>
          <w:lang w:eastAsia="es-ES"/>
        </w:rPr>
        <w:t xml:space="preserve">convocatorias limitadas a </w:t>
      </w:r>
      <w:proofErr w:type="spellStart"/>
      <w:r w:rsidRPr="00C5626D">
        <w:rPr>
          <w:rFonts w:ascii="Arial" w:hAnsi="Arial" w:cs="Arial"/>
          <w:bCs/>
          <w:sz w:val="22"/>
          <w:szCs w:val="22"/>
          <w:lang w:eastAsia="es-ES"/>
        </w:rPr>
        <w:t>Mipyme</w:t>
      </w:r>
      <w:proofErr w:type="spellEnd"/>
      <w:r w:rsidRPr="00C5626D">
        <w:rPr>
          <w:rFonts w:ascii="Arial" w:hAnsi="Arial" w:cs="Arial"/>
          <w:bCs/>
          <w:sz w:val="22"/>
          <w:szCs w:val="22"/>
          <w:lang w:eastAsia="es-ES"/>
        </w:rPr>
        <w:t xml:space="preserve"> colombianas que tengan domicilio en los departamentos o municipios en donde se va a ejecutar el contrato –artículo 2.2.1.2.4.2.3–,</w:t>
      </w:r>
      <w:r w:rsidRPr="00C5626D">
        <w:rPr>
          <w:rFonts w:ascii="Arial" w:hAnsi="Arial" w:cs="Arial"/>
          <w:bCs/>
          <w:sz w:val="22"/>
          <w:szCs w:val="22"/>
          <w:lang w:val="es-ES_tradnl" w:eastAsia="es-ES"/>
        </w:rPr>
        <w:t xml:space="preserve"> y </w:t>
      </w:r>
      <w:proofErr w:type="spellStart"/>
      <w:r w:rsidRPr="00C5626D">
        <w:rPr>
          <w:rFonts w:ascii="Arial" w:hAnsi="Arial" w:cs="Arial"/>
          <w:bCs/>
          <w:sz w:val="22"/>
          <w:szCs w:val="22"/>
          <w:lang w:val="es-ES_tradnl" w:eastAsia="es-ES"/>
        </w:rPr>
        <w:t>iii</w:t>
      </w:r>
      <w:proofErr w:type="spellEnd"/>
      <w:r w:rsidRPr="00C5626D">
        <w:rPr>
          <w:rFonts w:ascii="Arial" w:hAnsi="Arial" w:cs="Arial"/>
          <w:bCs/>
          <w:sz w:val="22"/>
          <w:szCs w:val="22"/>
          <w:lang w:val="es-ES_tradnl" w:eastAsia="es-ES"/>
        </w:rPr>
        <w:t xml:space="preserve">) </w:t>
      </w:r>
      <w:r w:rsidRPr="00C5626D">
        <w:rPr>
          <w:rFonts w:ascii="Arial" w:hAnsi="Arial" w:cs="Arial"/>
          <w:bCs/>
          <w:sz w:val="22"/>
          <w:szCs w:val="22"/>
          <w:lang w:eastAsia="es-ES"/>
        </w:rPr>
        <w:t>regula la acreditación de requisitos para participar en convocatorias limitadas –artículo 2.2.1.2.4.2.4</w:t>
      </w:r>
      <w:r w:rsidRPr="00C5626D">
        <w:rPr>
          <w:rFonts w:ascii="Arial" w:hAnsi="Arial" w:cs="Arial"/>
          <w:bCs/>
          <w:sz w:val="22"/>
          <w:szCs w:val="22"/>
          <w:lang w:val="es-ES_tradnl" w:eastAsia="es-ES"/>
        </w:rPr>
        <w:t xml:space="preserve">–.De esta manera, el artículo 5 del Decreto 1860 de 2021, que modifica el Decreto 1082 de 2015 en los artículos citados, constituye la nueva reglamentación del artículo 34 de la Ley 2069 de 2020, al desarrollar las reglas aplicables a las convocatorias limitadas a </w:t>
      </w:r>
      <w:proofErr w:type="spellStart"/>
      <w:r w:rsidRPr="00C5626D">
        <w:rPr>
          <w:rFonts w:ascii="Arial" w:hAnsi="Arial" w:cs="Arial"/>
          <w:bCs/>
          <w:sz w:val="22"/>
          <w:szCs w:val="22"/>
          <w:lang w:val="es-ES_tradnl" w:eastAsia="es-ES"/>
        </w:rPr>
        <w:t>Mipyme</w:t>
      </w:r>
      <w:proofErr w:type="spellEnd"/>
      <w:r w:rsidRPr="00C5626D">
        <w:rPr>
          <w:rFonts w:ascii="Arial" w:hAnsi="Arial" w:cs="Arial"/>
          <w:bCs/>
          <w:sz w:val="22"/>
          <w:szCs w:val="22"/>
          <w:lang w:val="es-ES_tradnl" w:eastAsia="es-ES"/>
        </w:rPr>
        <w:t>. Esta</w:t>
      </w:r>
      <w:r w:rsidRPr="00C5626D">
        <w:rPr>
          <w:rFonts w:ascii="Arial" w:eastAsia="Calibri" w:hAnsi="Arial" w:cs="Arial"/>
          <w:sz w:val="22"/>
          <w:szCs w:val="22"/>
          <w:lang w:val="es-ES_tradnl"/>
        </w:rPr>
        <w:t xml:space="preserve"> </w:t>
      </w:r>
      <w:r w:rsidRPr="00C5626D">
        <w:rPr>
          <w:rFonts w:ascii="Arial" w:hAnsi="Arial" w:cs="Arial"/>
          <w:bCs/>
          <w:sz w:val="22"/>
          <w:szCs w:val="22"/>
          <w:lang w:val="es-ES_tradnl" w:eastAsia="es-ES"/>
        </w:rPr>
        <w:t xml:space="preserve">disposición entró a regir desde el pasado 24 de marzo de 2022, pues </w:t>
      </w:r>
      <w:r w:rsidRPr="00C5626D">
        <w:rPr>
          <w:rFonts w:ascii="Arial" w:eastAsia="Calibri" w:hAnsi="Arial" w:cs="Arial"/>
          <w:sz w:val="22"/>
          <w:szCs w:val="22"/>
          <w:lang w:val="es-ES_tradnl"/>
        </w:rPr>
        <w:t>el artículo 8 de dicho decreto sometió su vigencia a un periodo de 3 meses siguientes a su expedición.</w:t>
      </w:r>
    </w:p>
    <w:p w14:paraId="2954CE00" w14:textId="77777777" w:rsidR="00B84284" w:rsidRDefault="00B84284" w:rsidP="00B84284">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Puede decirse, entonces, que el Decreto 1082 de 2015</w:t>
      </w:r>
      <w:r>
        <w:rPr>
          <w:rFonts w:ascii="Arial" w:hAnsi="Arial" w:cs="Arial"/>
          <w:color w:val="000000" w:themeColor="text1"/>
          <w:sz w:val="22"/>
        </w:rPr>
        <w:t>, modificado por el Decreto 1860 de 2021,</w:t>
      </w:r>
      <w:r w:rsidRPr="00BD58C9">
        <w:rPr>
          <w:rFonts w:ascii="Arial" w:hAnsi="Arial" w:cs="Arial"/>
          <w:color w:val="000000" w:themeColor="text1"/>
          <w:sz w:val="22"/>
        </w:rPr>
        <w:t xml:space="preserve"> regula la limitación de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dos normas distintas, las cuales, sin embargo, deben leerse conjunta y armónicamente. Por un lado, </w:t>
      </w:r>
      <w:r>
        <w:rPr>
          <w:rFonts w:ascii="Arial" w:hAnsi="Arial" w:cs="Arial"/>
          <w:color w:val="000000" w:themeColor="text1"/>
          <w:sz w:val="22"/>
        </w:rPr>
        <w:t>una disposición</w:t>
      </w:r>
      <w:r w:rsidRPr="00BD58C9">
        <w:rPr>
          <w:rFonts w:ascii="Arial" w:hAnsi="Arial" w:cs="Arial"/>
          <w:color w:val="000000" w:themeColor="text1"/>
          <w:sz w:val="22"/>
        </w:rPr>
        <w:t xml:space="preserve"> prevé los requisitos generales para que la entidad limite sus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w:t>
      </w:r>
      <w:r>
        <w:rPr>
          <w:rFonts w:ascii="Arial" w:hAnsi="Arial" w:cs="Arial"/>
          <w:color w:val="000000" w:themeColor="text1"/>
          <w:sz w:val="22"/>
        </w:rPr>
        <w:t>“</w:t>
      </w:r>
      <w:r w:rsidRPr="00BD58C9">
        <w:rPr>
          <w:rFonts w:ascii="Arial" w:hAnsi="Arial" w:cs="Arial"/>
          <w:i/>
          <w:iCs/>
          <w:color w:val="000000" w:themeColor="text1"/>
          <w:sz w:val="22"/>
        </w:rPr>
        <w:t>infra</w:t>
      </w:r>
      <w:r w:rsidRPr="00BD58C9">
        <w:rPr>
          <w:rFonts w:ascii="Arial" w:hAnsi="Arial" w:cs="Arial"/>
          <w:color w:val="000000" w:themeColor="text1"/>
          <w:sz w:val="22"/>
        </w:rPr>
        <w:t xml:space="preserve"> literal a</w:t>
      </w:r>
      <w:r>
        <w:rPr>
          <w:rFonts w:ascii="Arial" w:hAnsi="Arial" w:cs="Arial"/>
          <w:color w:val="000000" w:themeColor="text1"/>
          <w:sz w:val="22"/>
        </w:rPr>
        <w:t>”</w:t>
      </w:r>
      <w:r w:rsidRPr="00BD58C9">
        <w:rPr>
          <w:rFonts w:ascii="Arial" w:hAnsi="Arial" w:cs="Arial"/>
          <w:color w:val="000000" w:themeColor="text1"/>
          <w:sz w:val="22"/>
        </w:rPr>
        <w:t xml:space="preserve"> y, por el otro, la </w:t>
      </w:r>
      <w:r>
        <w:rPr>
          <w:rFonts w:ascii="Arial" w:hAnsi="Arial" w:cs="Arial"/>
          <w:color w:val="000000" w:themeColor="text1"/>
          <w:sz w:val="22"/>
        </w:rPr>
        <w:t>otra</w:t>
      </w:r>
      <w:r w:rsidRPr="00BD58C9">
        <w:rPr>
          <w:rFonts w:ascii="Arial" w:hAnsi="Arial" w:cs="Arial"/>
          <w:color w:val="000000" w:themeColor="text1"/>
          <w:sz w:val="22"/>
        </w:rPr>
        <w:t xml:space="preserve"> establece la posibilidad de regular la convocatoria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w:t>
      </w:r>
      <w:r>
        <w:rPr>
          <w:rFonts w:ascii="Arial" w:hAnsi="Arial" w:cs="Arial"/>
          <w:color w:val="000000" w:themeColor="text1"/>
          <w:sz w:val="22"/>
        </w:rPr>
        <w:t>“</w:t>
      </w:r>
      <w:r w:rsidRPr="00BD58C9">
        <w:rPr>
          <w:rFonts w:ascii="Arial" w:hAnsi="Arial" w:cs="Arial"/>
          <w:i/>
          <w:iCs/>
          <w:color w:val="000000" w:themeColor="text1"/>
          <w:sz w:val="22"/>
        </w:rPr>
        <w:t xml:space="preserve">infra </w:t>
      </w:r>
      <w:r w:rsidRPr="00BD58C9">
        <w:rPr>
          <w:rFonts w:ascii="Arial" w:hAnsi="Arial" w:cs="Arial"/>
          <w:color w:val="000000" w:themeColor="text1"/>
          <w:sz w:val="22"/>
        </w:rPr>
        <w:t>literal b</w:t>
      </w:r>
      <w:r>
        <w:rPr>
          <w:rFonts w:ascii="Arial" w:hAnsi="Arial" w:cs="Arial"/>
          <w:color w:val="000000" w:themeColor="text1"/>
          <w:sz w:val="22"/>
        </w:rPr>
        <w:t>”</w:t>
      </w:r>
      <w:r w:rsidRPr="00BD58C9">
        <w:rPr>
          <w:rFonts w:ascii="Arial" w:hAnsi="Arial" w:cs="Arial"/>
          <w:color w:val="000000" w:themeColor="text1"/>
          <w:sz w:val="22"/>
        </w:rPr>
        <w:t xml:space="preserve">. </w:t>
      </w:r>
    </w:p>
    <w:p w14:paraId="356F8E59" w14:textId="77777777" w:rsidR="00B84284" w:rsidRPr="00BD58C9" w:rsidRDefault="00B84284" w:rsidP="00B84284">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Es de resaltar que estas normas se refieren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genéricamente y, particularmente, a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w:t>
      </w:r>
      <w:r>
        <w:rPr>
          <w:rFonts w:ascii="Arial" w:hAnsi="Arial" w:cs="Arial"/>
          <w:color w:val="000000" w:themeColor="text1"/>
          <w:sz w:val="22"/>
        </w:rPr>
        <w:t>“</w:t>
      </w:r>
      <w:r w:rsidRPr="00BD58C9">
        <w:rPr>
          <w:rFonts w:ascii="Arial" w:hAnsi="Arial" w:cs="Arial"/>
          <w:color w:val="000000" w:themeColor="text1"/>
          <w:sz w:val="22"/>
        </w:rPr>
        <w:t>domiciliadas en los departamentos o municipios en donde se va a ejecutar el contrato</w:t>
      </w:r>
      <w:r>
        <w:rPr>
          <w:rFonts w:ascii="Arial" w:hAnsi="Arial" w:cs="Arial"/>
          <w:color w:val="000000" w:themeColor="text1"/>
          <w:sz w:val="22"/>
        </w:rPr>
        <w:t>”</w:t>
      </w:r>
      <w:r w:rsidRPr="00BD58C9">
        <w:rPr>
          <w:rFonts w:ascii="Arial" w:hAnsi="Arial" w:cs="Arial"/>
          <w:color w:val="000000" w:themeColor="text1"/>
          <w:sz w:val="22"/>
        </w:rPr>
        <w:t xml:space="preserve">. En ambos casos se refiere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distinguiéndolas de las empresas extranjeras. Del artículo 2.2.1.2.4.2.3. del Decreto 1082 de 2015 no se deriva que existan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del orden territorial. Esta categoría no existe en el ordenamiento jurídico. En ese sentido, toda empresa constituida bajo las leyes colombianas o que tenga su domicilio principal en el territorio colombiano y, además, cumpla los criterios previstos por la Ley 590 de 2000 y el Decreto 957 de 2019, será considerada </w:t>
      </w:r>
      <w:proofErr w:type="spellStart"/>
      <w:r w:rsidRPr="00BD58C9">
        <w:rPr>
          <w:rFonts w:ascii="Arial" w:hAnsi="Arial" w:cs="Arial"/>
          <w:color w:val="000000" w:themeColor="text1"/>
          <w:sz w:val="22"/>
        </w:rPr>
        <w:t>Mipyme</w:t>
      </w:r>
      <w:proofErr w:type="spellEnd"/>
      <w:r w:rsidRPr="00BD58C9">
        <w:rPr>
          <w:rFonts w:ascii="Arial" w:hAnsi="Arial" w:cs="Arial"/>
          <w:color w:val="000000" w:themeColor="text1"/>
          <w:sz w:val="22"/>
        </w:rPr>
        <w:t xml:space="preserve"> del orden nacional. Otra cosa es que las normas de contratación permitan que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con </w:t>
      </w:r>
      <w:r>
        <w:rPr>
          <w:rFonts w:ascii="Arial" w:hAnsi="Arial" w:cs="Arial"/>
          <w:color w:val="000000" w:themeColor="text1"/>
          <w:sz w:val="22"/>
        </w:rPr>
        <w:t>“</w:t>
      </w:r>
      <w:r w:rsidRPr="00BD58C9">
        <w:rPr>
          <w:rFonts w:ascii="Arial" w:hAnsi="Arial" w:cs="Arial"/>
          <w:color w:val="000000" w:themeColor="text1"/>
          <w:sz w:val="22"/>
        </w:rPr>
        <w:t>domicilio</w:t>
      </w:r>
      <w:r>
        <w:rPr>
          <w:rFonts w:ascii="Arial" w:hAnsi="Arial" w:cs="Arial"/>
          <w:color w:val="000000" w:themeColor="text1"/>
          <w:sz w:val="22"/>
        </w:rPr>
        <w:t>”</w:t>
      </w:r>
      <w:r w:rsidRPr="00BD58C9">
        <w:rPr>
          <w:rFonts w:ascii="Arial" w:hAnsi="Arial" w:cs="Arial"/>
          <w:color w:val="000000" w:themeColor="text1"/>
          <w:sz w:val="22"/>
        </w:rPr>
        <w:t xml:space="preserve"> en un municipio o departamento puedan beneficiarse </w:t>
      </w:r>
      <w:r>
        <w:rPr>
          <w:rFonts w:ascii="Arial" w:hAnsi="Arial" w:cs="Arial"/>
          <w:color w:val="000000" w:themeColor="text1"/>
          <w:sz w:val="22"/>
        </w:rPr>
        <w:t>para ejecutar un contrato en dichos municipios o departamentos</w:t>
      </w:r>
      <w:r w:rsidRPr="00BD58C9">
        <w:rPr>
          <w:rFonts w:ascii="Arial" w:hAnsi="Arial" w:cs="Arial"/>
          <w:color w:val="000000" w:themeColor="text1"/>
          <w:sz w:val="22"/>
        </w:rPr>
        <w:t xml:space="preserve">. De todos modos, las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domiciliadas en un municipio o departamento son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En consecuencia, no es procedente distinguir entre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y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municipales o departamentales, habida cuenta que estas últimas no existen como categoría dentro del ordenamiento normativo.</w:t>
      </w:r>
    </w:p>
    <w:p w14:paraId="13B4B697" w14:textId="77777777" w:rsidR="00B84284" w:rsidRPr="004F460F" w:rsidRDefault="00B84284" w:rsidP="00B84284">
      <w:pPr>
        <w:spacing w:before="120" w:line="276" w:lineRule="auto"/>
        <w:ind w:firstLine="709"/>
        <w:jc w:val="both"/>
        <w:rPr>
          <w:rFonts w:ascii="Arial" w:hAnsi="Arial" w:cs="Arial"/>
          <w:color w:val="000000" w:themeColor="text1"/>
          <w:sz w:val="22"/>
          <w:szCs w:val="22"/>
        </w:rPr>
      </w:pPr>
      <w:r w:rsidRPr="004F460F">
        <w:rPr>
          <w:rFonts w:ascii="Arial" w:hAnsi="Arial" w:cs="Arial"/>
          <w:bCs/>
          <w:color w:val="000000" w:themeColor="text1"/>
          <w:sz w:val="22"/>
          <w:szCs w:val="22"/>
        </w:rPr>
        <w:t>a)</w:t>
      </w:r>
      <w:r w:rsidRPr="004F460F">
        <w:rPr>
          <w:rFonts w:ascii="Arial" w:hAnsi="Arial" w:cs="Arial"/>
          <w:color w:val="000000" w:themeColor="text1"/>
          <w:sz w:val="22"/>
          <w:szCs w:val="22"/>
        </w:rPr>
        <w:t xml:space="preserve"> El artículo 2.2.1.2.4.2.2. del Decreto 1082 de 2015 establece los requisitos que se deben acreditar en las </w:t>
      </w:r>
      <w:r>
        <w:rPr>
          <w:rFonts w:ascii="Arial" w:hAnsi="Arial" w:cs="Arial"/>
          <w:color w:val="000000" w:themeColor="text1"/>
          <w:sz w:val="22"/>
          <w:szCs w:val="22"/>
        </w:rPr>
        <w:t>“</w:t>
      </w:r>
      <w:r w:rsidRPr="004F460F">
        <w:rPr>
          <w:rFonts w:ascii="Arial" w:hAnsi="Arial" w:cs="Arial"/>
          <w:color w:val="000000" w:themeColor="text1"/>
          <w:sz w:val="22"/>
          <w:szCs w:val="22"/>
        </w:rPr>
        <w:t xml:space="preserve">convocatorias limitadas a </w:t>
      </w:r>
      <w:proofErr w:type="spellStart"/>
      <w:r w:rsidRPr="004F460F">
        <w:rPr>
          <w:rFonts w:ascii="Arial" w:hAnsi="Arial" w:cs="Arial"/>
          <w:color w:val="000000" w:themeColor="text1"/>
          <w:sz w:val="22"/>
          <w:szCs w:val="22"/>
        </w:rPr>
        <w:t>Mipymes</w:t>
      </w:r>
      <w:proofErr w:type="spellEnd"/>
      <w:r>
        <w:rPr>
          <w:rFonts w:ascii="Arial" w:hAnsi="Arial" w:cs="Arial"/>
          <w:color w:val="000000" w:themeColor="text1"/>
          <w:sz w:val="22"/>
          <w:szCs w:val="22"/>
        </w:rPr>
        <w:t>”</w:t>
      </w:r>
      <w:r w:rsidRPr="004F460F">
        <w:rPr>
          <w:rFonts w:ascii="Arial" w:hAnsi="Arial" w:cs="Arial"/>
          <w:color w:val="000000" w:themeColor="text1"/>
          <w:sz w:val="22"/>
          <w:szCs w:val="22"/>
        </w:rPr>
        <w:t xml:space="preserve">. El primer elemento delimitador del ámbito de aplicación de esta norma deriva del primer inciso en donde se estable que </w:t>
      </w:r>
      <w:r>
        <w:rPr>
          <w:rFonts w:ascii="Arial" w:hAnsi="Arial" w:cs="Arial"/>
          <w:color w:val="000000" w:themeColor="text1"/>
          <w:sz w:val="22"/>
          <w:szCs w:val="22"/>
        </w:rPr>
        <w:t>“</w:t>
      </w:r>
      <w:r w:rsidRPr="0052190F">
        <w:rPr>
          <w:rFonts w:ascii="Arial" w:hAnsi="Arial" w:cs="Arial"/>
          <w:color w:val="000000"/>
          <w:sz w:val="22"/>
          <w:szCs w:val="22"/>
        </w:rPr>
        <w:t>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w:t>
      </w:r>
      <w:r w:rsidRPr="00D74131">
        <w:rPr>
          <w:rFonts w:ascii="Arial" w:hAnsi="Arial" w:cs="Arial"/>
          <w:color w:val="000000"/>
          <w:sz w:val="22"/>
          <w:szCs w:val="22"/>
        </w:rPr>
        <w:t xml:space="preserve"> a las </w:t>
      </w:r>
      <w:proofErr w:type="spellStart"/>
      <w:r w:rsidRPr="00D74131">
        <w:rPr>
          <w:rFonts w:ascii="Arial" w:hAnsi="Arial" w:cs="Arial"/>
          <w:color w:val="000000"/>
          <w:sz w:val="22"/>
          <w:szCs w:val="22"/>
        </w:rPr>
        <w:t>Mipyme</w:t>
      </w:r>
      <w:proofErr w:type="spellEnd"/>
      <w:r w:rsidRPr="00D74131">
        <w:rPr>
          <w:rFonts w:ascii="Arial" w:hAnsi="Arial" w:cs="Arial"/>
          <w:color w:val="000000"/>
          <w:sz w:val="22"/>
          <w:szCs w:val="22"/>
        </w:rPr>
        <w:t xml:space="preserve"> colombianas con mínimo un (1) año de existencia</w:t>
      </w:r>
      <w:r w:rsidRPr="0052190F">
        <w:rPr>
          <w:rFonts w:ascii="Arial" w:hAnsi="Arial" w:cs="Arial"/>
          <w:color w:val="000000"/>
          <w:sz w:val="22"/>
          <w:szCs w:val="22"/>
        </w:rPr>
        <w:t xml:space="preserve"> […]</w:t>
      </w:r>
      <w:r>
        <w:rPr>
          <w:rFonts w:ascii="Arial" w:hAnsi="Arial" w:cs="Arial"/>
          <w:color w:val="000000"/>
          <w:sz w:val="22"/>
          <w:szCs w:val="22"/>
        </w:rPr>
        <w:t>”</w:t>
      </w:r>
      <w:r w:rsidRPr="00721EA7">
        <w:rPr>
          <w:rFonts w:ascii="Arial" w:hAnsi="Arial" w:cs="Arial"/>
          <w:color w:val="000000"/>
          <w:sz w:val="22"/>
          <w:szCs w:val="22"/>
        </w:rPr>
        <w:t xml:space="preserve">. Esta redacción obedece a un </w:t>
      </w:r>
      <w:r w:rsidRPr="00721EA7">
        <w:rPr>
          <w:rFonts w:ascii="Arial" w:hAnsi="Arial" w:cs="Arial"/>
          <w:color w:val="000000"/>
          <w:sz w:val="22"/>
          <w:szCs w:val="22"/>
        </w:rPr>
        <w:lastRenderedPageBreak/>
        <w:t xml:space="preserve">cambio introducido por el Decreto 1860 de 2021, el cual solo permitía la limitación a </w:t>
      </w:r>
      <w:proofErr w:type="spellStart"/>
      <w:r w:rsidRPr="00721EA7">
        <w:rPr>
          <w:rFonts w:ascii="Arial" w:hAnsi="Arial" w:cs="Arial"/>
          <w:color w:val="000000"/>
          <w:sz w:val="22"/>
          <w:szCs w:val="22"/>
        </w:rPr>
        <w:t>mipymes</w:t>
      </w:r>
      <w:proofErr w:type="spellEnd"/>
      <w:r w:rsidRPr="00721EA7">
        <w:rPr>
          <w:rFonts w:ascii="Arial" w:hAnsi="Arial" w:cs="Arial"/>
          <w:color w:val="000000"/>
          <w:sz w:val="22"/>
          <w:szCs w:val="22"/>
        </w:rPr>
        <w:t xml:space="preserve"> nacionales en los procedimientos de l</w:t>
      </w:r>
      <w:r w:rsidRPr="00D74131">
        <w:rPr>
          <w:rFonts w:ascii="Arial" w:hAnsi="Arial" w:cs="Arial"/>
          <w:color w:val="000000"/>
          <w:sz w:val="22"/>
          <w:szCs w:val="22"/>
        </w:rPr>
        <w:t>icitación pública, selección abreviada y concurso de méritos.</w:t>
      </w:r>
      <w:r w:rsidRPr="004F460F">
        <w:rPr>
          <w:rFonts w:ascii="Arial" w:hAnsi="Arial" w:cs="Arial"/>
          <w:color w:val="000000" w:themeColor="text1"/>
          <w:sz w:val="22"/>
          <w:szCs w:val="22"/>
        </w:rPr>
        <w:t xml:space="preserve"> </w:t>
      </w:r>
    </w:p>
    <w:p w14:paraId="16CD728F" w14:textId="77777777" w:rsidR="00B84284" w:rsidRPr="00BD58C9" w:rsidRDefault="00B84284" w:rsidP="00B84284">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El numeral primero limita cuantitativamente los procesos contractuales en los que se puede hacer esa </w:t>
      </w:r>
      <w:r>
        <w:rPr>
          <w:rFonts w:ascii="Arial" w:hAnsi="Arial" w:cs="Arial"/>
          <w:color w:val="000000" w:themeColor="text1"/>
          <w:sz w:val="22"/>
        </w:rPr>
        <w:t>“</w:t>
      </w:r>
      <w:r w:rsidRPr="00BD58C9">
        <w:rPr>
          <w:rFonts w:ascii="Arial" w:hAnsi="Arial" w:cs="Arial"/>
          <w:color w:val="000000" w:themeColor="text1"/>
          <w:sz w:val="22"/>
        </w:rPr>
        <w:t xml:space="preserve">convocatoria limitada a </w:t>
      </w:r>
      <w:proofErr w:type="spellStart"/>
      <w:r w:rsidRPr="00BD58C9">
        <w:rPr>
          <w:rFonts w:ascii="Arial" w:hAnsi="Arial" w:cs="Arial"/>
          <w:color w:val="000000" w:themeColor="text1"/>
          <w:sz w:val="22"/>
        </w:rPr>
        <w:t>Mipymes</w:t>
      </w:r>
      <w:proofErr w:type="spellEnd"/>
      <w:r>
        <w:rPr>
          <w:rFonts w:ascii="Arial" w:hAnsi="Arial" w:cs="Arial"/>
          <w:color w:val="000000" w:themeColor="text1"/>
          <w:sz w:val="22"/>
        </w:rPr>
        <w:t>”</w:t>
      </w:r>
      <w:r w:rsidRPr="00BD58C9">
        <w:rPr>
          <w:rFonts w:ascii="Arial" w:hAnsi="Arial" w:cs="Arial"/>
          <w:color w:val="000000" w:themeColor="text1"/>
          <w:sz w:val="22"/>
        </w:rPr>
        <w:t xml:space="preserve">, en la medida en que el valor del proceso de contratación tendrá que ser </w:t>
      </w:r>
      <w:r>
        <w:rPr>
          <w:rFonts w:ascii="Arial" w:hAnsi="Arial" w:cs="Arial"/>
          <w:color w:val="000000" w:themeColor="text1"/>
          <w:sz w:val="22"/>
        </w:rPr>
        <w:t>“</w:t>
      </w:r>
      <w:r w:rsidRPr="00BD58C9">
        <w:rPr>
          <w:rFonts w:ascii="Arial" w:hAnsi="Arial" w:cs="Arial"/>
          <w:color w:val="000000" w:themeColor="text1"/>
          <w:sz w:val="22"/>
        </w:rPr>
        <w:t>menor a ciento veinticinco mil dólares de los Estados Unidos de América</w:t>
      </w:r>
      <w:r>
        <w:rPr>
          <w:rFonts w:ascii="Arial" w:hAnsi="Arial" w:cs="Arial"/>
          <w:color w:val="000000" w:themeColor="text1"/>
          <w:sz w:val="22"/>
        </w:rPr>
        <w:t>”</w:t>
      </w:r>
      <w:r w:rsidRPr="00BD58C9">
        <w:rPr>
          <w:rFonts w:ascii="Arial" w:hAnsi="Arial" w:cs="Arial"/>
          <w:color w:val="000000" w:themeColor="text1"/>
          <w:sz w:val="22"/>
        </w:rPr>
        <w:t xml:space="preserve">. Esta limitante, valga la pena aclarar, es establecida de acuerdo con la tasa que, para el efecto, determine cada dos años el Ministerio de Comercio, Industria y Turismo. Nótese que la norma no hace referencia a la tasa de cambio representativa del mercado </w:t>
      </w:r>
      <w:r>
        <w:rPr>
          <w:rFonts w:ascii="Arial" w:hAnsi="Arial" w:cs="Arial"/>
          <w:color w:val="000000" w:themeColor="text1"/>
          <w:sz w:val="22"/>
        </w:rPr>
        <w:t>–</w:t>
      </w:r>
      <w:r w:rsidRPr="00BD58C9">
        <w:rPr>
          <w:rFonts w:ascii="Arial" w:hAnsi="Arial" w:cs="Arial"/>
          <w:color w:val="000000" w:themeColor="text1"/>
          <w:sz w:val="22"/>
        </w:rPr>
        <w:t>TRM</w:t>
      </w:r>
      <w:r w:rsidRPr="00BD58C9">
        <w:rPr>
          <w:rStyle w:val="Refdenotaalpie"/>
          <w:rFonts w:ascii="Arial" w:hAnsi="Arial" w:cs="Arial"/>
          <w:color w:val="000000" w:themeColor="text1"/>
          <w:sz w:val="22"/>
        </w:rPr>
        <w:footnoteReference w:id="14"/>
      </w:r>
      <w:r>
        <w:rPr>
          <w:rFonts w:ascii="Arial" w:hAnsi="Arial" w:cs="Arial"/>
          <w:color w:val="000000" w:themeColor="text1"/>
          <w:sz w:val="22"/>
        </w:rPr>
        <w:t>–</w:t>
      </w:r>
      <w:r w:rsidRPr="00BD58C9">
        <w:rPr>
          <w:rFonts w:ascii="Arial" w:hAnsi="Arial" w:cs="Arial"/>
          <w:color w:val="000000" w:themeColor="text1"/>
          <w:sz w:val="22"/>
        </w:rPr>
        <w:t>, establecida diariamente por la Superintendencia Financiera de Colombia, según lo que establece el artículo 40 de la Resolución Externa No. 1 de 2018 y la Circular Reglamentaria Externa- DODM-146, ambas expedidas por el Banco de la República.</w:t>
      </w:r>
    </w:p>
    <w:p w14:paraId="62B09829" w14:textId="77777777" w:rsidR="00B84284" w:rsidRDefault="00B84284" w:rsidP="00B84284">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Para establecer dicha tasa, el Ministerio toma en cuenta como parámetros, por un lado, el promedio de la TRM</w:t>
      </w:r>
      <w:r w:rsidRPr="00BD58C9">
        <w:rPr>
          <w:rStyle w:val="Refdenotaalpie"/>
          <w:rFonts w:ascii="Arial" w:hAnsi="Arial" w:cs="Arial"/>
          <w:color w:val="000000" w:themeColor="text1"/>
          <w:sz w:val="22"/>
        </w:rPr>
        <w:footnoteReference w:id="15"/>
      </w:r>
      <w:r w:rsidRPr="00BD58C9">
        <w:rPr>
          <w:rFonts w:ascii="Arial" w:hAnsi="Arial" w:cs="Arial"/>
          <w:color w:val="000000" w:themeColor="text1"/>
          <w:sz w:val="22"/>
        </w:rPr>
        <w:t xml:space="preserve"> de los dos años anteriores al periodo a calcular y, por el otro, los </w:t>
      </w:r>
      <w:r>
        <w:rPr>
          <w:rFonts w:ascii="Arial" w:hAnsi="Arial" w:cs="Arial"/>
          <w:color w:val="000000" w:themeColor="text1"/>
          <w:sz w:val="22"/>
        </w:rPr>
        <w:t>“</w:t>
      </w:r>
      <w:r w:rsidRPr="00BD58C9">
        <w:rPr>
          <w:rFonts w:ascii="Arial" w:hAnsi="Arial" w:cs="Arial"/>
          <w:color w:val="000000" w:themeColor="text1"/>
          <w:sz w:val="22"/>
        </w:rPr>
        <w:t>veinticinco mil dólares de los Estados Unidos de América</w:t>
      </w:r>
      <w:r>
        <w:rPr>
          <w:rFonts w:ascii="Arial" w:hAnsi="Arial" w:cs="Arial"/>
          <w:color w:val="000000" w:themeColor="text1"/>
          <w:sz w:val="22"/>
        </w:rPr>
        <w:t>”</w:t>
      </w:r>
      <w:r w:rsidRPr="00BD58C9">
        <w:rPr>
          <w:rFonts w:ascii="Arial" w:hAnsi="Arial" w:cs="Arial"/>
          <w:color w:val="000000" w:themeColor="text1"/>
          <w:sz w:val="22"/>
        </w:rPr>
        <w:t xml:space="preserve"> a los que se refiere el numeral 1º del artículo 2.2.1.2.4.2.2. del Decreto 1082 de 2015. Así lo ha hecho para los periodos 2015</w:t>
      </w:r>
      <w:r w:rsidRPr="00BD58C9">
        <w:rPr>
          <w:rStyle w:val="Refdenotaalpie"/>
          <w:rFonts w:ascii="Arial" w:hAnsi="Arial" w:cs="Arial"/>
          <w:color w:val="000000" w:themeColor="text1"/>
          <w:sz w:val="22"/>
        </w:rPr>
        <w:footnoteReference w:id="16"/>
      </w:r>
      <w:r w:rsidRPr="00BD58C9">
        <w:rPr>
          <w:rFonts w:ascii="Arial" w:hAnsi="Arial" w:cs="Arial"/>
          <w:color w:val="000000" w:themeColor="text1"/>
          <w:sz w:val="22"/>
        </w:rPr>
        <w:t>-2017, 2018-2019 y 2020-2021 (vigente)</w:t>
      </w:r>
      <w:r w:rsidRPr="00BD58C9">
        <w:rPr>
          <w:rStyle w:val="Refdenotaalpie"/>
          <w:rFonts w:ascii="Arial" w:hAnsi="Arial" w:cs="Arial"/>
          <w:color w:val="000000" w:themeColor="text1"/>
          <w:sz w:val="22"/>
        </w:rPr>
        <w:footnoteReference w:id="17"/>
      </w:r>
      <w:r w:rsidRPr="00BD58C9">
        <w:rPr>
          <w:rFonts w:ascii="Arial" w:hAnsi="Arial" w:cs="Arial"/>
          <w:color w:val="000000" w:themeColor="text1"/>
          <w:sz w:val="22"/>
        </w:rPr>
        <w:t xml:space="preserve">. Esta entidad, por otro lado, en ejercicio de sus competencias legales y reglamentarias, está encargada de la publicación de la información en su portal Web: </w:t>
      </w:r>
      <w:hyperlink r:id="rId8" w:history="1">
        <w:r w:rsidRPr="00CB0154">
          <w:rPr>
            <w:rStyle w:val="Hipervnculo"/>
            <w:rFonts w:ascii="Arial" w:hAnsi="Arial" w:cs="Arial"/>
            <w:sz w:val="22"/>
          </w:rPr>
          <w:t>https://www.colombiacompra.gov.co/</w:t>
        </w:r>
      </w:hyperlink>
      <w:r w:rsidRPr="00BD58C9">
        <w:rPr>
          <w:rFonts w:ascii="Arial" w:hAnsi="Arial" w:cs="Arial"/>
          <w:color w:val="000000" w:themeColor="text1"/>
          <w:sz w:val="22"/>
        </w:rPr>
        <w:t>.</w:t>
      </w:r>
    </w:p>
    <w:p w14:paraId="2BCA5049" w14:textId="77777777" w:rsidR="00B84284" w:rsidRPr="00BD58C9" w:rsidRDefault="00B84284" w:rsidP="00B84284">
      <w:pPr>
        <w:spacing w:before="120" w:line="276" w:lineRule="auto"/>
        <w:ind w:firstLine="709"/>
        <w:jc w:val="both"/>
        <w:rPr>
          <w:rFonts w:ascii="Arial" w:hAnsi="Arial" w:cs="Arial"/>
          <w:color w:val="000000" w:themeColor="text1"/>
          <w:sz w:val="22"/>
        </w:rPr>
      </w:pPr>
      <w:r w:rsidRPr="00BD58C9">
        <w:rPr>
          <w:rFonts w:ascii="Arial" w:hAnsi="Arial" w:cs="Arial"/>
          <w:color w:val="000000" w:themeColor="text1"/>
          <w:sz w:val="22"/>
        </w:rPr>
        <w:t xml:space="preserve">El numeral segundo establece dos exigencias: por un lado, que al menos </w:t>
      </w:r>
      <w:r>
        <w:rPr>
          <w:rFonts w:ascii="Arial" w:hAnsi="Arial" w:cs="Arial"/>
          <w:color w:val="000000" w:themeColor="text1"/>
          <w:sz w:val="22"/>
        </w:rPr>
        <w:t>dos</w:t>
      </w:r>
      <w:r w:rsidRPr="00BD58C9">
        <w:rPr>
          <w:rFonts w:ascii="Arial" w:hAnsi="Arial" w:cs="Arial"/>
          <w:color w:val="000000" w:themeColor="text1"/>
          <w:sz w:val="22"/>
        </w:rPr>
        <w:t xml:space="preserve"> (</w:t>
      </w:r>
      <w:r>
        <w:rPr>
          <w:rFonts w:ascii="Arial" w:hAnsi="Arial" w:cs="Arial"/>
          <w:color w:val="000000" w:themeColor="text1"/>
          <w:sz w:val="22"/>
        </w:rPr>
        <w:t>2</w:t>
      </w:r>
      <w:r w:rsidRPr="00BD58C9">
        <w:rPr>
          <w:rFonts w:ascii="Arial" w:hAnsi="Arial" w:cs="Arial"/>
          <w:color w:val="000000" w:themeColor="text1"/>
          <w:sz w:val="22"/>
        </w:rPr>
        <w:t xml:space="preserve">)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presenten a la entidad la solicitud formal de limitar el proceso contractual; y por el otro, que hagan la solicitud </w:t>
      </w:r>
      <w:r w:rsidRPr="00767C7D">
        <w:rPr>
          <w:rFonts w:ascii="Arial" w:hAnsi="Arial" w:cs="Arial"/>
          <w:color w:val="000000" w:themeColor="text1"/>
          <w:sz w:val="22"/>
        </w:rPr>
        <w:t>por lo menos un (1) día hábil antes de la expedición del acto administrativo de apertura, o el que haga sus veces de acuerdo con la normativa aplicable a cada Proceso de Contratación.</w:t>
      </w:r>
      <w:r>
        <w:rPr>
          <w:rFonts w:ascii="Arial" w:hAnsi="Arial" w:cs="Arial"/>
          <w:color w:val="000000" w:themeColor="text1"/>
          <w:sz w:val="22"/>
        </w:rPr>
        <w:t xml:space="preserve"> Adicionalmente, el segundo inciso del numeral 2 de la norma indica que, t</w:t>
      </w:r>
      <w:r w:rsidRPr="00D77650">
        <w:rPr>
          <w:rFonts w:ascii="Arial" w:hAnsi="Arial" w:cs="Arial"/>
          <w:color w:val="000000" w:themeColor="text1"/>
          <w:sz w:val="22"/>
        </w:rPr>
        <w:t>ratándose de personas jurídicas, las solicitudes solo podrán realizar</w:t>
      </w:r>
      <w:r>
        <w:rPr>
          <w:rFonts w:ascii="Arial" w:hAnsi="Arial" w:cs="Arial"/>
          <w:color w:val="000000" w:themeColor="text1"/>
          <w:sz w:val="22"/>
        </w:rPr>
        <w:t>la las</w:t>
      </w:r>
      <w:r w:rsidRPr="00D77650">
        <w:rPr>
          <w:rFonts w:ascii="Arial" w:hAnsi="Arial" w:cs="Arial"/>
          <w:color w:val="000000" w:themeColor="text1"/>
          <w:sz w:val="22"/>
        </w:rPr>
        <w:t xml:space="preserve"> </w:t>
      </w:r>
      <w:r>
        <w:rPr>
          <w:rFonts w:ascii="Arial" w:hAnsi="Arial" w:cs="Arial"/>
          <w:color w:val="000000" w:themeColor="text1"/>
          <w:sz w:val="22"/>
        </w:rPr>
        <w:t xml:space="preserve">“[…] </w:t>
      </w:r>
      <w:proofErr w:type="spellStart"/>
      <w:r w:rsidRPr="00D77650">
        <w:rPr>
          <w:rFonts w:ascii="Arial" w:hAnsi="Arial" w:cs="Arial"/>
          <w:color w:val="000000" w:themeColor="text1"/>
          <w:sz w:val="22"/>
        </w:rPr>
        <w:t>Mipyme</w:t>
      </w:r>
      <w:proofErr w:type="spellEnd"/>
      <w:r w:rsidRPr="00D77650">
        <w:rPr>
          <w:rFonts w:ascii="Arial" w:hAnsi="Arial" w:cs="Arial"/>
          <w:color w:val="000000" w:themeColor="text1"/>
          <w:sz w:val="22"/>
        </w:rPr>
        <w:t>, cuyo objeto social les permita ejecutar el contrato relacionado con el proceso contractual</w:t>
      </w:r>
      <w:r>
        <w:rPr>
          <w:rFonts w:ascii="Arial" w:hAnsi="Arial" w:cs="Arial"/>
          <w:color w:val="000000" w:themeColor="text1"/>
          <w:sz w:val="22"/>
        </w:rPr>
        <w:t>”</w:t>
      </w:r>
      <w:r w:rsidRPr="00D77650">
        <w:rPr>
          <w:rFonts w:ascii="Arial" w:hAnsi="Arial" w:cs="Arial"/>
          <w:color w:val="000000" w:themeColor="text1"/>
          <w:sz w:val="22"/>
        </w:rPr>
        <w:t>.</w:t>
      </w:r>
    </w:p>
    <w:p w14:paraId="0B76CFDF" w14:textId="77777777" w:rsidR="00B84284" w:rsidRDefault="00B84284" w:rsidP="00B84284">
      <w:pPr>
        <w:spacing w:before="120" w:line="276" w:lineRule="auto"/>
        <w:ind w:firstLine="708"/>
        <w:jc w:val="both"/>
        <w:rPr>
          <w:rFonts w:ascii="Arial" w:hAnsi="Arial" w:cs="Arial"/>
          <w:color w:val="000000" w:themeColor="text1"/>
          <w:sz w:val="22"/>
        </w:rPr>
      </w:pPr>
      <w:r w:rsidRPr="00B00AA2">
        <w:rPr>
          <w:rFonts w:ascii="Arial" w:hAnsi="Arial" w:cs="Arial"/>
          <w:color w:val="000000" w:themeColor="text1"/>
          <w:sz w:val="22"/>
        </w:rPr>
        <w:t xml:space="preserve">b) Cumplidos los dos requisitos del artículo 2.2.1.2.4.2.2. </w:t>
      </w:r>
      <w:r w:rsidRPr="00B00AA2">
        <w:rPr>
          <w:rFonts w:ascii="Arial" w:hAnsi="Arial" w:cs="Arial"/>
          <w:i/>
          <w:iCs/>
          <w:color w:val="000000" w:themeColor="text1"/>
          <w:sz w:val="22"/>
        </w:rPr>
        <w:t>ibidem</w:t>
      </w:r>
      <w:r w:rsidRPr="00B00AA2">
        <w:rPr>
          <w:rFonts w:ascii="Arial" w:hAnsi="Arial" w:cs="Arial"/>
          <w:color w:val="000000" w:themeColor="text1"/>
          <w:sz w:val="22"/>
        </w:rPr>
        <w:t xml:space="preserve">, la entidad puede ─no tiene que─ decidir si limita la convocatoria a las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domiciliadas en el municipio o departamento en el que se ejecutará el contrato</w:t>
      </w:r>
      <w:r w:rsidRPr="00B00AA2">
        <w:rPr>
          <w:rFonts w:ascii="Arial" w:hAnsi="Arial" w:cs="Arial"/>
          <w:color w:val="000000" w:themeColor="text1"/>
          <w:sz w:val="22"/>
          <w:vertAlign w:val="superscript"/>
        </w:rPr>
        <w:footnoteReference w:id="18"/>
      </w:r>
      <w:r w:rsidRPr="00B00AA2">
        <w:rPr>
          <w:rFonts w:ascii="Arial" w:hAnsi="Arial" w:cs="Arial"/>
          <w:color w:val="000000" w:themeColor="text1"/>
          <w:sz w:val="22"/>
        </w:rPr>
        <w:t xml:space="preserve">. Esto de acuerdo con lo establecido en artículo </w:t>
      </w:r>
      <w:r w:rsidRPr="00B00AA2">
        <w:rPr>
          <w:rFonts w:ascii="Arial" w:hAnsi="Arial" w:cs="Arial"/>
          <w:color w:val="000000" w:themeColor="text1"/>
          <w:sz w:val="22"/>
        </w:rPr>
        <w:lastRenderedPageBreak/>
        <w:t xml:space="preserve">2.2.1.2.4.2.3. del Decreto 1082 de 2015, norma que se refiere a la facultad de la administración con el verbo infinitivo </w:t>
      </w:r>
      <w:r>
        <w:rPr>
          <w:rFonts w:ascii="Arial" w:hAnsi="Arial" w:cs="Arial"/>
          <w:color w:val="000000" w:themeColor="text1"/>
          <w:sz w:val="22"/>
        </w:rPr>
        <w:t>“</w:t>
      </w:r>
      <w:r w:rsidRPr="00B00AA2">
        <w:rPr>
          <w:rFonts w:ascii="Arial" w:hAnsi="Arial" w:cs="Arial"/>
          <w:color w:val="000000" w:themeColor="text1"/>
          <w:sz w:val="22"/>
        </w:rPr>
        <w:t>poder</w:t>
      </w:r>
      <w:r>
        <w:rPr>
          <w:rFonts w:ascii="Arial" w:hAnsi="Arial" w:cs="Arial"/>
          <w:color w:val="000000" w:themeColor="text1"/>
          <w:sz w:val="22"/>
        </w:rPr>
        <w:t>”</w:t>
      </w:r>
      <w:r w:rsidRPr="00B00AA2">
        <w:rPr>
          <w:rFonts w:ascii="Arial" w:hAnsi="Arial" w:cs="Arial"/>
          <w:color w:val="000000" w:themeColor="text1"/>
          <w:sz w:val="22"/>
        </w:rPr>
        <w:t xml:space="preserve">, no </w:t>
      </w:r>
      <w:r>
        <w:rPr>
          <w:rFonts w:ascii="Arial" w:hAnsi="Arial" w:cs="Arial"/>
          <w:color w:val="000000" w:themeColor="text1"/>
          <w:sz w:val="22"/>
        </w:rPr>
        <w:t>“</w:t>
      </w:r>
      <w:r w:rsidRPr="00B00AA2">
        <w:rPr>
          <w:rFonts w:ascii="Arial" w:hAnsi="Arial" w:cs="Arial"/>
          <w:color w:val="000000" w:themeColor="text1"/>
          <w:sz w:val="22"/>
        </w:rPr>
        <w:t>deber</w:t>
      </w:r>
      <w:r>
        <w:rPr>
          <w:rFonts w:ascii="Arial" w:hAnsi="Arial" w:cs="Arial"/>
          <w:color w:val="000000" w:themeColor="text1"/>
          <w:sz w:val="22"/>
        </w:rPr>
        <w:t>”</w:t>
      </w:r>
      <w:r w:rsidRPr="00B00AA2">
        <w:rPr>
          <w:rFonts w:ascii="Arial" w:hAnsi="Arial" w:cs="Arial"/>
          <w:color w:val="000000" w:themeColor="text1"/>
          <w:sz w:val="22"/>
        </w:rPr>
        <w:t xml:space="preserve">. </w:t>
      </w:r>
      <w:r>
        <w:rPr>
          <w:rFonts w:ascii="Arial" w:hAnsi="Arial" w:cs="Arial"/>
          <w:color w:val="000000" w:themeColor="text1"/>
          <w:sz w:val="22"/>
        </w:rPr>
        <w:t xml:space="preserve">En cualquier caso, </w:t>
      </w:r>
      <w:r w:rsidRPr="00B00AA2">
        <w:rPr>
          <w:rFonts w:ascii="Arial" w:eastAsia="Calibri" w:hAnsi="Arial" w:cs="Arial"/>
          <w:color w:val="000000" w:themeColor="text1"/>
          <w:sz w:val="22"/>
        </w:rPr>
        <w:t xml:space="preserve">Colombia Compra Eficiente ha sostenido que es discrecional la decisión de limitar territorialmente una convocatoria de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y ha precisado que, de todos modos, la decisión debe estar justificada en los correspondientes </w:t>
      </w:r>
      <w:r>
        <w:rPr>
          <w:rFonts w:ascii="Arial" w:eastAsia="Calibri" w:hAnsi="Arial" w:cs="Arial"/>
          <w:color w:val="000000" w:themeColor="text1"/>
          <w:sz w:val="22"/>
        </w:rPr>
        <w:t>“</w:t>
      </w:r>
      <w:r w:rsidRPr="00B00AA2">
        <w:rPr>
          <w:rFonts w:ascii="Arial" w:eastAsia="Calibri" w:hAnsi="Arial" w:cs="Arial"/>
          <w:color w:val="000000" w:themeColor="text1"/>
          <w:sz w:val="22"/>
        </w:rPr>
        <w:t>estudios del sector</w:t>
      </w:r>
      <w:r>
        <w:rPr>
          <w:rFonts w:ascii="Arial" w:eastAsia="Calibri" w:hAnsi="Arial" w:cs="Arial"/>
          <w:color w:val="000000" w:themeColor="text1"/>
          <w:sz w:val="22"/>
        </w:rPr>
        <w:t>”</w:t>
      </w:r>
      <w:r w:rsidRPr="00B00AA2">
        <w:rPr>
          <w:rFonts w:ascii="Arial" w:eastAsia="Calibri" w:hAnsi="Arial" w:cs="Arial"/>
          <w:color w:val="000000" w:themeColor="text1"/>
          <w:sz w:val="22"/>
        </w:rPr>
        <w:t>.</w:t>
      </w:r>
      <w:r w:rsidRPr="00E156D6">
        <w:rPr>
          <w:rFonts w:ascii="Arial" w:eastAsia="Calibri" w:hAnsi="Arial" w:cs="Arial"/>
          <w:color w:val="000000" w:themeColor="text1"/>
          <w:sz w:val="22"/>
        </w:rPr>
        <w:t xml:space="preserve"> </w:t>
      </w:r>
      <w:r w:rsidRPr="00B00AA2">
        <w:rPr>
          <w:rFonts w:ascii="Arial" w:eastAsia="Calibri" w:hAnsi="Arial" w:cs="Arial"/>
          <w:color w:val="000000" w:themeColor="text1"/>
          <w:sz w:val="22"/>
        </w:rPr>
        <w:t xml:space="preserve">Así lo consideró en la consulta No. 216130003241, resuelta el 30 de junio de 2016. Igualmente, en la consulta resuelta en el radicado No. 2201813000008184, del 7 de septiembre de 2018, se dijo que, de acuerdo con el </w:t>
      </w:r>
      <w:r w:rsidRPr="00B00AA2">
        <w:rPr>
          <w:rFonts w:ascii="Arial" w:hAnsi="Arial" w:cs="Arial"/>
          <w:color w:val="000000" w:themeColor="text1"/>
          <w:sz w:val="22"/>
        </w:rPr>
        <w:t>artículo 2.2.1.2.4.2.3. del Decreto 1082 de 2015,</w:t>
      </w:r>
      <w:r w:rsidRPr="00B00AA2">
        <w:rPr>
          <w:rFonts w:ascii="Arial" w:eastAsia="Calibri" w:hAnsi="Arial" w:cs="Arial"/>
          <w:color w:val="000000" w:themeColor="text1"/>
          <w:sz w:val="22"/>
        </w:rPr>
        <w:t xml:space="preserve"> las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beneficiadas deben tener su domicilio principal en el municipio o departamento donde se ejecutará el contrato para poder participar en una convocatoria limitada territorialmente</w:t>
      </w:r>
      <w:r w:rsidRPr="00B00AA2">
        <w:rPr>
          <w:rStyle w:val="Refdenotaalpie"/>
          <w:rFonts w:ascii="Arial" w:hAnsi="Arial" w:cs="Arial"/>
          <w:color w:val="000000" w:themeColor="text1"/>
          <w:sz w:val="22"/>
        </w:rPr>
        <w:footnoteReference w:id="19"/>
      </w:r>
      <w:r w:rsidRPr="00B00AA2">
        <w:rPr>
          <w:rFonts w:ascii="Arial" w:hAnsi="Arial" w:cs="Arial"/>
          <w:color w:val="000000" w:themeColor="text1"/>
          <w:sz w:val="22"/>
        </w:rPr>
        <w:t>.</w:t>
      </w:r>
    </w:p>
    <w:p w14:paraId="68115F32" w14:textId="77777777" w:rsidR="00B84284" w:rsidRDefault="00B84284" w:rsidP="00B84284">
      <w:pPr>
        <w:spacing w:before="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 xml:space="preserve">Conforme se mencionó antes, los artículos </w:t>
      </w:r>
      <w:r w:rsidRPr="00B00AA2">
        <w:rPr>
          <w:rFonts w:ascii="Arial" w:hAnsi="Arial" w:cs="Arial"/>
          <w:color w:val="000000" w:themeColor="text1"/>
          <w:sz w:val="22"/>
        </w:rPr>
        <w:t>2.2.1.2.4.2.2</w:t>
      </w:r>
      <w:r>
        <w:rPr>
          <w:rFonts w:ascii="Arial" w:hAnsi="Arial" w:cs="Arial"/>
          <w:color w:val="000000" w:themeColor="text1"/>
          <w:sz w:val="22"/>
        </w:rPr>
        <w:t xml:space="preserve"> y </w:t>
      </w:r>
      <w:r w:rsidRPr="00B00AA2">
        <w:rPr>
          <w:rFonts w:ascii="Arial" w:hAnsi="Arial" w:cs="Arial"/>
          <w:color w:val="000000" w:themeColor="text1"/>
          <w:sz w:val="22"/>
        </w:rPr>
        <w:t>2.2.1.2.4.2.</w:t>
      </w:r>
      <w:r>
        <w:rPr>
          <w:rFonts w:ascii="Arial" w:hAnsi="Arial" w:cs="Arial"/>
          <w:color w:val="000000" w:themeColor="text1"/>
          <w:sz w:val="22"/>
        </w:rPr>
        <w:t>3</w:t>
      </w:r>
      <w:r>
        <w:rPr>
          <w:rFonts w:ascii="Arial" w:eastAsia="Calibri" w:hAnsi="Arial" w:cs="Arial"/>
          <w:color w:val="000000" w:themeColor="text1"/>
          <w:sz w:val="22"/>
        </w:rPr>
        <w:t xml:space="preserve">  deben ser interpretados de manera armónica, comoquiera que para proceder </w:t>
      </w:r>
      <w:r w:rsidRPr="00B00AA2">
        <w:rPr>
          <w:rFonts w:ascii="Arial" w:eastAsia="Calibri" w:hAnsi="Arial" w:cs="Arial"/>
          <w:color w:val="000000" w:themeColor="text1"/>
          <w:sz w:val="22"/>
        </w:rPr>
        <w:t>a</w:t>
      </w:r>
      <w:r>
        <w:rPr>
          <w:rFonts w:ascii="Arial" w:eastAsia="Calibri" w:hAnsi="Arial" w:cs="Arial"/>
          <w:color w:val="000000" w:themeColor="text1"/>
          <w:sz w:val="22"/>
        </w:rPr>
        <w:t xml:space="preserve"> </w:t>
      </w:r>
      <w:r w:rsidRPr="00B00AA2">
        <w:rPr>
          <w:rFonts w:ascii="Arial" w:eastAsia="Calibri" w:hAnsi="Arial" w:cs="Arial"/>
          <w:color w:val="000000" w:themeColor="text1"/>
          <w:sz w:val="22"/>
        </w:rPr>
        <w:t>limitar</w:t>
      </w:r>
      <w:r>
        <w:rPr>
          <w:rFonts w:ascii="Arial" w:eastAsia="Calibri" w:hAnsi="Arial" w:cs="Arial"/>
          <w:color w:val="000000" w:themeColor="text1"/>
          <w:sz w:val="22"/>
        </w:rPr>
        <w:t xml:space="preserve"> hacer una limitación </w:t>
      </w:r>
      <w:r w:rsidRPr="00B00AA2">
        <w:rPr>
          <w:rFonts w:ascii="Arial" w:eastAsia="Calibri" w:hAnsi="Arial" w:cs="Arial"/>
          <w:color w:val="000000" w:themeColor="text1"/>
          <w:sz w:val="22"/>
        </w:rPr>
        <w:t>territoriales</w:t>
      </w:r>
      <w:r>
        <w:rPr>
          <w:rFonts w:ascii="Arial" w:eastAsia="Calibri" w:hAnsi="Arial" w:cs="Arial"/>
          <w:color w:val="000000" w:themeColor="text1"/>
          <w:sz w:val="22"/>
        </w:rPr>
        <w:t xml:space="preserve"> es indispensable que se cumplan, no solo el presupuestos establecidos en el artículo </w:t>
      </w:r>
      <w:r w:rsidRPr="00B00AA2">
        <w:rPr>
          <w:rFonts w:ascii="Arial" w:hAnsi="Arial" w:cs="Arial"/>
          <w:color w:val="000000" w:themeColor="text1"/>
          <w:sz w:val="22"/>
        </w:rPr>
        <w:t>2.2.1.2.4.2.3.</w:t>
      </w:r>
      <w:r>
        <w:rPr>
          <w:rFonts w:ascii="Arial" w:hAnsi="Arial" w:cs="Arial"/>
          <w:color w:val="000000" w:themeColor="text1"/>
          <w:sz w:val="22"/>
        </w:rPr>
        <w:t xml:space="preserve">–domicilio en el municipio o departamento de ejecución del contrato–, sino también los establecidos en el artículo </w:t>
      </w:r>
      <w:r w:rsidRPr="00B00AA2">
        <w:rPr>
          <w:rFonts w:ascii="Arial" w:eastAsia="Calibri" w:hAnsi="Arial" w:cs="Arial"/>
          <w:color w:val="000000" w:themeColor="text1"/>
          <w:sz w:val="22"/>
        </w:rPr>
        <w:t>2.2.1.2.4.2.2</w:t>
      </w:r>
      <w:r>
        <w:rPr>
          <w:rFonts w:ascii="Arial" w:eastAsia="Calibri" w:hAnsi="Arial" w:cs="Arial"/>
          <w:color w:val="000000" w:themeColor="text1"/>
          <w:sz w:val="22"/>
        </w:rPr>
        <w:t xml:space="preserve"> –valor del proceso de contratación en el rango indicado y solicitudes de al menos dos </w:t>
      </w:r>
      <w:proofErr w:type="spellStart"/>
      <w:r>
        <w:rPr>
          <w:rFonts w:ascii="Arial" w:eastAsia="Calibri" w:hAnsi="Arial" w:cs="Arial"/>
          <w:color w:val="000000" w:themeColor="text1"/>
          <w:sz w:val="22"/>
        </w:rPr>
        <w:t>mipymes</w:t>
      </w:r>
      <w:proofErr w:type="spellEnd"/>
      <w:r>
        <w:rPr>
          <w:rFonts w:ascii="Arial" w:eastAsia="Calibri" w:hAnsi="Arial" w:cs="Arial"/>
          <w:color w:val="000000" w:themeColor="text1"/>
          <w:sz w:val="22"/>
        </w:rPr>
        <w:t xml:space="preserve"> presentadas oportunamente–. En ese sentido, para que proceda la limitación territorial es necesario que se presenten al menos dos solicitudes de </w:t>
      </w:r>
      <w:proofErr w:type="spellStart"/>
      <w:r>
        <w:rPr>
          <w:rFonts w:ascii="Arial" w:eastAsia="Calibri" w:hAnsi="Arial" w:cs="Arial"/>
          <w:color w:val="000000" w:themeColor="text1"/>
          <w:sz w:val="22"/>
        </w:rPr>
        <w:t>mipymes</w:t>
      </w:r>
      <w:proofErr w:type="spellEnd"/>
      <w:r>
        <w:rPr>
          <w:rFonts w:ascii="Arial" w:eastAsia="Calibri" w:hAnsi="Arial" w:cs="Arial"/>
          <w:color w:val="000000" w:themeColor="text1"/>
          <w:sz w:val="22"/>
        </w:rPr>
        <w:t xml:space="preserve"> </w:t>
      </w:r>
      <w:r w:rsidRPr="00B00AA2">
        <w:rPr>
          <w:rFonts w:ascii="Arial" w:eastAsia="Calibri" w:hAnsi="Arial" w:cs="Arial"/>
          <w:color w:val="000000" w:themeColor="text1"/>
          <w:sz w:val="22"/>
        </w:rPr>
        <w:t>domiciliadas en el departamento o municipio</w:t>
      </w:r>
      <w:r>
        <w:rPr>
          <w:rFonts w:ascii="Arial" w:eastAsia="Calibri" w:hAnsi="Arial" w:cs="Arial"/>
          <w:color w:val="000000" w:themeColor="text1"/>
          <w:sz w:val="22"/>
        </w:rPr>
        <w:t xml:space="preserve"> en donde se va a ejecutar el contrato. </w:t>
      </w:r>
      <w:r w:rsidRPr="00B00AA2">
        <w:rPr>
          <w:rFonts w:ascii="Arial" w:eastAsia="Calibri" w:hAnsi="Arial" w:cs="Arial"/>
          <w:color w:val="000000" w:themeColor="text1"/>
          <w:sz w:val="22"/>
        </w:rPr>
        <w:t xml:space="preserve"> Este entendimiento de la norma, sin embargo, da lugar a dos interpretaciones sobre las que se deben hacer unas precisiones.</w:t>
      </w:r>
    </w:p>
    <w:p w14:paraId="7D7E0269" w14:textId="77777777" w:rsidR="00B84284" w:rsidRPr="00B00AA2" w:rsidRDefault="00B84284" w:rsidP="00B84284">
      <w:pPr>
        <w:spacing w:before="120" w:line="276" w:lineRule="auto"/>
        <w:ind w:firstLine="709"/>
        <w:jc w:val="both"/>
        <w:rPr>
          <w:rFonts w:ascii="Arial" w:eastAsia="Calibri" w:hAnsi="Arial" w:cs="Arial"/>
          <w:color w:val="000000" w:themeColor="text1"/>
          <w:sz w:val="22"/>
        </w:rPr>
      </w:pPr>
      <w:r w:rsidRPr="00D352CC">
        <w:rPr>
          <w:rFonts w:ascii="Arial" w:eastAsia="Calibri" w:hAnsi="Arial" w:cs="Arial"/>
          <w:color w:val="000000" w:themeColor="text1"/>
          <w:sz w:val="22"/>
        </w:rPr>
        <w:t>Por un lado</w:t>
      </w:r>
      <w:r w:rsidRPr="00B00AA2">
        <w:rPr>
          <w:rFonts w:ascii="Arial" w:eastAsia="Calibri" w:hAnsi="Arial" w:cs="Arial"/>
          <w:color w:val="000000" w:themeColor="text1"/>
          <w:sz w:val="22"/>
        </w:rPr>
        <w:t xml:space="preserve">, supone que la decisión de limitar territorialmente la convocatoria opera de pleno derecho, cuando lo solicitan </w:t>
      </w:r>
      <w:r>
        <w:rPr>
          <w:rFonts w:ascii="Arial" w:eastAsia="Calibri" w:hAnsi="Arial" w:cs="Arial"/>
          <w:color w:val="000000" w:themeColor="text1"/>
          <w:sz w:val="22"/>
        </w:rPr>
        <w:t>dos</w:t>
      </w:r>
      <w:r w:rsidRPr="00B00AA2">
        <w:rPr>
          <w:rFonts w:ascii="Arial" w:eastAsia="Calibri" w:hAnsi="Arial" w:cs="Arial"/>
          <w:color w:val="000000" w:themeColor="text1"/>
          <w:sz w:val="22"/>
        </w:rPr>
        <w:t xml:space="preserve">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nacionales domiciliadas en el municipio o en el departamento en el que se va a ejecutar el contrato. Sin embargo, se debe tener presente que lo que sucede de pleno derecho es la limitación a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nacionales a la que se refiere el artículo 2.2.1.2.4.2.2. del Decreto 1082 de 2015, pero no la </w:t>
      </w:r>
      <w:r>
        <w:rPr>
          <w:rFonts w:ascii="Arial" w:eastAsia="Calibri" w:hAnsi="Arial" w:cs="Arial"/>
          <w:color w:val="000000" w:themeColor="text1"/>
          <w:sz w:val="22"/>
        </w:rPr>
        <w:t>“</w:t>
      </w:r>
      <w:r w:rsidRPr="00B00AA2">
        <w:rPr>
          <w:rFonts w:ascii="Arial" w:eastAsia="Calibri" w:hAnsi="Arial" w:cs="Arial"/>
          <w:color w:val="000000" w:themeColor="text1"/>
          <w:sz w:val="22"/>
        </w:rPr>
        <w:t>limitación territorial</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referida en el artículo 2.2.1.2.4.2.3. </w:t>
      </w:r>
      <w:proofErr w:type="spellStart"/>
      <w:r w:rsidRPr="00B00AA2">
        <w:rPr>
          <w:rFonts w:ascii="Arial" w:eastAsia="Calibri" w:hAnsi="Arial" w:cs="Arial"/>
          <w:i/>
          <w:iCs/>
          <w:color w:val="000000" w:themeColor="text1"/>
          <w:sz w:val="22"/>
        </w:rPr>
        <w:t>ibídem</w:t>
      </w:r>
      <w:proofErr w:type="spellEnd"/>
      <w:r w:rsidRPr="00B00AA2">
        <w:rPr>
          <w:rFonts w:ascii="Arial" w:eastAsia="Calibri" w:hAnsi="Arial" w:cs="Arial"/>
          <w:color w:val="000000" w:themeColor="text1"/>
          <w:sz w:val="22"/>
        </w:rPr>
        <w:t xml:space="preserve">, pues esta, como ya se dijo, es facultativa para la entidad. Las únicas exigencias son que la convocatoria esté limitada a las </w:t>
      </w:r>
      <w:proofErr w:type="spellStart"/>
      <w:r w:rsidRPr="00B00AA2">
        <w:rPr>
          <w:rFonts w:ascii="Arial" w:eastAsia="Calibri" w:hAnsi="Arial" w:cs="Arial"/>
          <w:color w:val="000000" w:themeColor="text1"/>
          <w:sz w:val="22"/>
        </w:rPr>
        <w:t>Mipyme</w:t>
      </w:r>
      <w:proofErr w:type="spellEnd"/>
      <w:r w:rsidRPr="00B00AA2">
        <w:rPr>
          <w:rFonts w:ascii="Arial" w:eastAsia="Calibri" w:hAnsi="Arial" w:cs="Arial"/>
          <w:color w:val="000000" w:themeColor="text1"/>
          <w:sz w:val="22"/>
        </w:rPr>
        <w:t xml:space="preserve"> nacionales </w:t>
      </w:r>
      <w:r>
        <w:rPr>
          <w:rFonts w:ascii="Arial" w:eastAsia="Calibri" w:hAnsi="Arial" w:cs="Arial"/>
          <w:color w:val="000000" w:themeColor="text1"/>
          <w:sz w:val="22"/>
        </w:rPr>
        <w:t>“</w:t>
      </w:r>
      <w:r w:rsidRPr="00B00AA2">
        <w:rPr>
          <w:rFonts w:ascii="Arial" w:eastAsia="Calibri" w:hAnsi="Arial" w:cs="Arial"/>
          <w:color w:val="000000" w:themeColor="text1"/>
          <w:sz w:val="22"/>
        </w:rPr>
        <w:t>domiciliadas en los departamentos o municipios en donde se va a ejecutar el contrato</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y que la entidad justifique su decisión en los </w:t>
      </w:r>
      <w:r>
        <w:rPr>
          <w:rFonts w:ascii="Arial" w:eastAsia="Calibri" w:hAnsi="Arial" w:cs="Arial"/>
          <w:color w:val="000000" w:themeColor="text1"/>
          <w:sz w:val="22"/>
        </w:rPr>
        <w:t>“</w:t>
      </w:r>
      <w:r w:rsidRPr="00B00AA2">
        <w:rPr>
          <w:rFonts w:ascii="Arial" w:eastAsia="Calibri" w:hAnsi="Arial" w:cs="Arial"/>
          <w:color w:val="000000" w:themeColor="text1"/>
          <w:sz w:val="22"/>
        </w:rPr>
        <w:t>estudios del sector</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No es procedente, entonces, que sean las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las que soliciten la </w:t>
      </w:r>
      <w:r>
        <w:rPr>
          <w:rFonts w:ascii="Arial" w:eastAsia="Calibri" w:hAnsi="Arial" w:cs="Arial"/>
          <w:color w:val="000000" w:themeColor="text1"/>
          <w:sz w:val="22"/>
        </w:rPr>
        <w:t>“</w:t>
      </w:r>
      <w:r w:rsidRPr="00B00AA2">
        <w:rPr>
          <w:rFonts w:ascii="Arial" w:eastAsia="Calibri" w:hAnsi="Arial" w:cs="Arial"/>
          <w:color w:val="000000" w:themeColor="text1"/>
          <w:sz w:val="22"/>
        </w:rPr>
        <w:t>limitación territorial</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a la que se refiere el artículo 2.2.1.2.4.2.3. del Decreto 1082 de 2015.</w:t>
      </w:r>
    </w:p>
    <w:p w14:paraId="662F8302" w14:textId="77777777" w:rsidR="00B84284" w:rsidRPr="00B00AA2" w:rsidRDefault="00B84284" w:rsidP="00B84284">
      <w:pPr>
        <w:spacing w:before="120" w:line="276" w:lineRule="auto"/>
        <w:ind w:firstLine="709"/>
        <w:jc w:val="both"/>
        <w:rPr>
          <w:rFonts w:ascii="Arial" w:eastAsia="Calibri" w:hAnsi="Arial" w:cs="Arial"/>
          <w:color w:val="000000" w:themeColor="text1"/>
          <w:sz w:val="22"/>
        </w:rPr>
      </w:pPr>
      <w:r w:rsidRPr="00B00AA2">
        <w:rPr>
          <w:rFonts w:ascii="Arial" w:eastAsia="Calibri" w:hAnsi="Arial" w:cs="Arial"/>
          <w:color w:val="000000" w:themeColor="text1"/>
          <w:sz w:val="22"/>
        </w:rPr>
        <w:t xml:space="preserve">Es del caso insistir en que si la entidad ejerce la facultad que le confiere el artículo 2.2.1.2.4.2.3. del Decreto 1082 de 2015, tendrá que justificar dicha decisión, acudiendo a criterios técnicos y económicos, y en todo caso, explicando concretamente las razones que justifican tal determinación. También se debe reiterar que el origen de las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que solicitan la </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limitación </w:t>
      </w:r>
      <w:r w:rsidRPr="00B00AA2">
        <w:rPr>
          <w:rFonts w:ascii="Arial" w:eastAsia="Calibri" w:hAnsi="Arial" w:cs="Arial"/>
          <w:color w:val="000000" w:themeColor="text1"/>
          <w:sz w:val="22"/>
        </w:rPr>
        <w:lastRenderedPageBreak/>
        <w:t>territorial</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no es relevante frente a dicha decisión, por dos razones. Primero, porque las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no están habilitadas para pedir la </w:t>
      </w:r>
      <w:r>
        <w:rPr>
          <w:rFonts w:ascii="Arial" w:eastAsia="Calibri" w:hAnsi="Arial" w:cs="Arial"/>
          <w:color w:val="000000" w:themeColor="text1"/>
          <w:sz w:val="22"/>
        </w:rPr>
        <w:t>“</w:t>
      </w:r>
      <w:r w:rsidRPr="00B00AA2">
        <w:rPr>
          <w:rFonts w:ascii="Arial" w:eastAsia="Calibri" w:hAnsi="Arial" w:cs="Arial"/>
          <w:color w:val="000000" w:themeColor="text1"/>
          <w:sz w:val="22"/>
        </w:rPr>
        <w:t>limitación territorial</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lo están para pedir la </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convocatoria limitada a </w:t>
      </w:r>
      <w:proofErr w:type="spellStart"/>
      <w:r w:rsidRPr="00B00AA2">
        <w:rPr>
          <w:rFonts w:ascii="Arial" w:eastAsia="Calibri" w:hAnsi="Arial" w:cs="Arial"/>
          <w:color w:val="000000" w:themeColor="text1"/>
          <w:sz w:val="22"/>
        </w:rPr>
        <w:t>Mipymes</w:t>
      </w:r>
      <w:proofErr w:type="spellEnd"/>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y, segundo, porque el único criterio </w:t>
      </w:r>
      <w:proofErr w:type="gramStart"/>
      <w:r w:rsidRPr="00B00AA2">
        <w:rPr>
          <w:rFonts w:ascii="Arial" w:eastAsia="Calibri" w:hAnsi="Arial" w:cs="Arial"/>
          <w:color w:val="000000" w:themeColor="text1"/>
          <w:sz w:val="22"/>
        </w:rPr>
        <w:t>a</w:t>
      </w:r>
      <w:proofErr w:type="gramEnd"/>
      <w:r w:rsidRPr="00B00AA2">
        <w:rPr>
          <w:rFonts w:ascii="Arial" w:eastAsia="Calibri" w:hAnsi="Arial" w:cs="Arial"/>
          <w:color w:val="000000" w:themeColor="text1"/>
          <w:sz w:val="22"/>
        </w:rPr>
        <w:t xml:space="preserve"> tener en cuenta, una vez se ha decidido justificadamente limitar territorialmente la convocatoria previamente limitada a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es el lugar donde se va a ejecutar el contrato.</w:t>
      </w:r>
    </w:p>
    <w:p w14:paraId="47C1D026" w14:textId="77777777" w:rsidR="00B84284" w:rsidRDefault="00B84284" w:rsidP="00B84284">
      <w:pPr>
        <w:spacing w:before="120" w:line="276" w:lineRule="auto"/>
        <w:ind w:firstLine="709"/>
        <w:jc w:val="both"/>
        <w:rPr>
          <w:rFonts w:ascii="Arial" w:eastAsia="Calibri" w:hAnsi="Arial" w:cs="Arial"/>
          <w:color w:val="000000" w:themeColor="text1"/>
          <w:sz w:val="22"/>
        </w:rPr>
      </w:pPr>
      <w:r w:rsidRPr="00D352CC">
        <w:rPr>
          <w:rFonts w:ascii="Arial" w:eastAsia="Calibri" w:hAnsi="Arial" w:cs="Arial"/>
          <w:color w:val="000000" w:themeColor="text1"/>
          <w:sz w:val="22"/>
        </w:rPr>
        <w:t>Por otro lado</w:t>
      </w:r>
      <w:r w:rsidRPr="00B00AA2">
        <w:rPr>
          <w:rFonts w:ascii="Arial" w:eastAsia="Calibri" w:hAnsi="Arial" w:cs="Arial"/>
          <w:color w:val="000000" w:themeColor="text1"/>
          <w:sz w:val="22"/>
        </w:rPr>
        <w:t xml:space="preserve">, supone que la decisión de la entidad únicamente puede darse si la solicitud provino de </w:t>
      </w:r>
      <w:r>
        <w:rPr>
          <w:rFonts w:ascii="Arial" w:eastAsia="Calibri" w:hAnsi="Arial" w:cs="Arial"/>
          <w:color w:val="000000" w:themeColor="text1"/>
          <w:sz w:val="22"/>
        </w:rPr>
        <w:t>dos</w:t>
      </w:r>
      <w:r w:rsidRPr="00B00AA2">
        <w:rPr>
          <w:rFonts w:ascii="Arial" w:eastAsia="Calibri" w:hAnsi="Arial" w:cs="Arial"/>
          <w:color w:val="000000" w:themeColor="text1"/>
          <w:sz w:val="22"/>
        </w:rPr>
        <w:t xml:space="preserve"> o más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domiciliadas en el municipio o departamento en donde se va a ejecutar el contrato. Sin embargo, una vez se verifican los requisitos de los numerales 1 y 2 del artículo 2.2.1.2.4.2.2. del Decreto 1082 de 2015,</w:t>
      </w:r>
      <w:r>
        <w:rPr>
          <w:rFonts w:ascii="Arial" w:eastAsia="Calibri" w:hAnsi="Arial" w:cs="Arial"/>
          <w:color w:val="000000" w:themeColor="text1"/>
          <w:sz w:val="22"/>
        </w:rPr>
        <w:t xml:space="preserve"> modificado por el Decreto 1860 de 2021,</w:t>
      </w:r>
      <w:r w:rsidRPr="00B00AA2">
        <w:rPr>
          <w:rFonts w:ascii="Arial" w:eastAsia="Calibri" w:hAnsi="Arial" w:cs="Arial"/>
          <w:color w:val="000000" w:themeColor="text1"/>
          <w:sz w:val="22"/>
        </w:rPr>
        <w:t xml:space="preserve"> la entidad queda habilitada para decidir si limita o no la convocatoria </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a </w:t>
      </w:r>
      <w:proofErr w:type="spellStart"/>
      <w:r w:rsidRPr="00B00AA2">
        <w:rPr>
          <w:rFonts w:ascii="Arial" w:eastAsia="Calibri" w:hAnsi="Arial" w:cs="Arial"/>
          <w:color w:val="000000" w:themeColor="text1"/>
          <w:sz w:val="22"/>
        </w:rPr>
        <w:t>Mipyme</w:t>
      </w:r>
      <w:proofErr w:type="spellEnd"/>
      <w:r w:rsidRPr="00B00AA2">
        <w:rPr>
          <w:rFonts w:ascii="Arial" w:eastAsia="Calibri" w:hAnsi="Arial" w:cs="Arial"/>
          <w:color w:val="000000" w:themeColor="text1"/>
          <w:sz w:val="22"/>
        </w:rPr>
        <w:t xml:space="preserve"> nacionales domiciliadas en los departamentos o municipios en donde se va a ejecutar el contrato</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sin que sea relevante el </w:t>
      </w:r>
      <w:r>
        <w:rPr>
          <w:rFonts w:ascii="Arial" w:eastAsia="Calibri" w:hAnsi="Arial" w:cs="Arial"/>
          <w:color w:val="000000" w:themeColor="text1"/>
          <w:sz w:val="22"/>
        </w:rPr>
        <w:t>“</w:t>
      </w:r>
      <w:r w:rsidRPr="00B00AA2">
        <w:rPr>
          <w:rFonts w:ascii="Arial" w:eastAsia="Calibri" w:hAnsi="Arial" w:cs="Arial"/>
          <w:color w:val="000000" w:themeColor="text1"/>
          <w:sz w:val="22"/>
        </w:rPr>
        <w:t>domicilio</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de las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nacionales que solicitaron limitar la convocatoria.</w:t>
      </w:r>
    </w:p>
    <w:p w14:paraId="715B1546" w14:textId="77777777" w:rsidR="00B84284" w:rsidRPr="00B00AA2" w:rsidRDefault="00B84284" w:rsidP="00B84284">
      <w:pPr>
        <w:spacing w:before="120" w:line="276" w:lineRule="auto"/>
        <w:ind w:firstLine="709"/>
        <w:jc w:val="both"/>
        <w:rPr>
          <w:rFonts w:ascii="Arial" w:eastAsia="Calibri" w:hAnsi="Arial" w:cs="Arial"/>
          <w:color w:val="000000" w:themeColor="text1"/>
          <w:sz w:val="22"/>
        </w:rPr>
      </w:pPr>
      <w:r w:rsidRPr="00B00AA2">
        <w:rPr>
          <w:rFonts w:ascii="Arial" w:eastAsia="Calibri" w:hAnsi="Arial" w:cs="Arial"/>
          <w:color w:val="000000" w:themeColor="text1"/>
          <w:sz w:val="22"/>
        </w:rPr>
        <w:t xml:space="preserve">Puede pasar, por ejemplo, que </w:t>
      </w:r>
      <w:r>
        <w:rPr>
          <w:rFonts w:ascii="Arial" w:eastAsia="Calibri" w:hAnsi="Arial" w:cs="Arial"/>
          <w:color w:val="000000" w:themeColor="text1"/>
          <w:sz w:val="22"/>
        </w:rPr>
        <w:t>dos</w:t>
      </w:r>
      <w:r w:rsidRPr="00B00AA2">
        <w:rPr>
          <w:rFonts w:ascii="Arial" w:eastAsia="Calibri" w:hAnsi="Arial" w:cs="Arial"/>
          <w:color w:val="000000" w:themeColor="text1"/>
          <w:sz w:val="22"/>
        </w:rPr>
        <w:t xml:space="preserve">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nacionales domiciliadas en la capital de la República soliciten la limitación de un proceso contractual iniciado por el Distrito de Bogotá, para un contrato a ejecutar allí mismo. En ese caso, la entidad tendría que limitar el proceso a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nacionales, claro está, siempre que se cumplan los requisitos legales, pero se reservaría la posibilidad de limitar el proceso contractual a las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nacionales domiciliadas en Bogotá o Cundinamarca, por ser el lugar de ejecución del contrato. Pero también puede acontecer que aquellas le soliciten al municipio de Medellín que limite un trámite adelantado en esa entidad territorial. En este caso, si se cumplen las exigencias del artículo 2.2.1.2.4.2.2. del Decreto 1082 de 2015, el municipio tendrá que limitar el proceso a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nacionales y puede decidir si, además, lo limita territorialmente. En este último evento es irrelevante que las solicitantes tengan su domicilio en Bogotá o, incluso, que lo tuvieran en diferentes lugares del país. De todos modos, el municipio de Medellín solo podrá limitar </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a </w:t>
      </w:r>
      <w:proofErr w:type="spellStart"/>
      <w:r w:rsidRPr="00B00AA2">
        <w:rPr>
          <w:rFonts w:ascii="Arial" w:eastAsia="Calibri" w:hAnsi="Arial" w:cs="Arial"/>
          <w:color w:val="000000" w:themeColor="text1"/>
          <w:sz w:val="22"/>
        </w:rPr>
        <w:t>Mipyme</w:t>
      </w:r>
      <w:proofErr w:type="spellEnd"/>
      <w:r w:rsidRPr="00B00AA2">
        <w:rPr>
          <w:rFonts w:ascii="Arial" w:eastAsia="Calibri" w:hAnsi="Arial" w:cs="Arial"/>
          <w:color w:val="000000" w:themeColor="text1"/>
          <w:sz w:val="22"/>
        </w:rPr>
        <w:t xml:space="preserve"> nacionales domiciliadas en los departamentos o municipios en donde se va a ejecutar el contrato</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esto es, para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nacionales cuyo domicilio sea en Medellín o en el departamento de Antioquia. A la misma conclusión habría que llegar, incluso, si la entidad contratante es del orden nacional, se itera, porque lo relevante aquí es el lugar de ejecución del contrato a limitar.</w:t>
      </w:r>
    </w:p>
    <w:p w14:paraId="4E4C059B" w14:textId="77777777" w:rsidR="00B84284" w:rsidRPr="00B00AA2" w:rsidRDefault="00B84284" w:rsidP="00B84284">
      <w:pPr>
        <w:spacing w:before="120" w:line="276" w:lineRule="auto"/>
        <w:ind w:firstLine="709"/>
        <w:jc w:val="both"/>
        <w:rPr>
          <w:rFonts w:ascii="Arial" w:eastAsia="Calibri" w:hAnsi="Arial" w:cs="Arial"/>
          <w:color w:val="000000" w:themeColor="text1"/>
          <w:sz w:val="22"/>
        </w:rPr>
      </w:pPr>
      <w:r w:rsidRPr="00B00AA2">
        <w:rPr>
          <w:rFonts w:ascii="Arial" w:eastAsia="Calibri" w:hAnsi="Arial" w:cs="Arial"/>
          <w:color w:val="000000" w:themeColor="text1"/>
          <w:sz w:val="22"/>
        </w:rPr>
        <w:t>Ahora bien, en este último caso puede pasar que el contrato se vaya a ejecutar en varios municipios o departamentos. En estos eventos la entidad pública tendría que limitarlo a todos los municipios o departamentos en los que se vaya a ejecutar el contrato, siempre que decida ejercer la facultad de limitar territorialmente la convocatoria. Esto es así porque el ejercicio de la facultad a la que se refiere el artículo 2.2.1.2.4.2.</w:t>
      </w:r>
      <w:r>
        <w:rPr>
          <w:rFonts w:ascii="Arial" w:eastAsia="Calibri" w:hAnsi="Arial" w:cs="Arial"/>
          <w:color w:val="000000" w:themeColor="text1"/>
          <w:sz w:val="22"/>
        </w:rPr>
        <w:t>3</w:t>
      </w:r>
      <w:r w:rsidRPr="00B00AA2">
        <w:rPr>
          <w:rFonts w:ascii="Arial" w:eastAsia="Calibri" w:hAnsi="Arial" w:cs="Arial"/>
          <w:color w:val="000000" w:themeColor="text1"/>
          <w:sz w:val="22"/>
        </w:rPr>
        <w:t xml:space="preserve">. del Decreto 1082 de 2015 debe hacerse dentro del ordenamiento jurídico, eso es, atendiendo la regla que, para esos efectos, establece el referido artículo, el cual, valga la pena decirlo, se refiere a </w:t>
      </w:r>
      <w:r>
        <w:rPr>
          <w:rFonts w:ascii="Arial" w:eastAsia="Calibri" w:hAnsi="Arial" w:cs="Arial"/>
          <w:color w:val="000000" w:themeColor="text1"/>
          <w:sz w:val="22"/>
        </w:rPr>
        <w:t>“</w:t>
      </w:r>
      <w:r w:rsidRPr="00B00AA2">
        <w:rPr>
          <w:rFonts w:ascii="Arial" w:eastAsia="Calibri" w:hAnsi="Arial" w:cs="Arial"/>
          <w:color w:val="000000" w:themeColor="text1"/>
          <w:sz w:val="22"/>
        </w:rPr>
        <w:t>los municipios o departamentos</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en plural y no a un municipio o a un departamento ─en singular─.</w:t>
      </w:r>
    </w:p>
    <w:p w14:paraId="557FE9CB" w14:textId="77777777" w:rsidR="00B84284" w:rsidRPr="00B00AA2" w:rsidRDefault="00B84284" w:rsidP="00B84284">
      <w:pPr>
        <w:spacing w:before="120" w:line="276" w:lineRule="auto"/>
        <w:ind w:firstLine="709"/>
        <w:jc w:val="both"/>
        <w:rPr>
          <w:rFonts w:ascii="Arial" w:eastAsia="Calibri" w:hAnsi="Arial" w:cs="Arial"/>
          <w:color w:val="000000" w:themeColor="text1"/>
          <w:sz w:val="22"/>
        </w:rPr>
      </w:pPr>
      <w:r w:rsidRPr="00B00AA2">
        <w:rPr>
          <w:rFonts w:ascii="Arial" w:eastAsia="Calibri" w:hAnsi="Arial" w:cs="Arial"/>
          <w:color w:val="000000" w:themeColor="text1"/>
          <w:sz w:val="22"/>
        </w:rPr>
        <w:t xml:space="preserve">Sin perjuicio de lo anterior, no puede perderse de vista que la decisión de limitar </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a </w:t>
      </w:r>
      <w:proofErr w:type="spellStart"/>
      <w:r w:rsidRPr="00B00AA2">
        <w:rPr>
          <w:rFonts w:ascii="Arial" w:eastAsia="Calibri" w:hAnsi="Arial" w:cs="Arial"/>
          <w:color w:val="000000" w:themeColor="text1"/>
          <w:sz w:val="22"/>
        </w:rPr>
        <w:t>Mipyme</w:t>
      </w:r>
      <w:proofErr w:type="spellEnd"/>
      <w:r w:rsidRPr="00B00AA2">
        <w:rPr>
          <w:rFonts w:ascii="Arial" w:eastAsia="Calibri" w:hAnsi="Arial" w:cs="Arial"/>
          <w:color w:val="000000" w:themeColor="text1"/>
          <w:sz w:val="22"/>
        </w:rPr>
        <w:t xml:space="preserve"> nacionales domiciliadas en los departamentos o municipios en donde se va a ejecutar el contrato</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w:t>
      </w:r>
      <w:r w:rsidRPr="00B00AA2">
        <w:rPr>
          <w:rFonts w:ascii="Arial" w:eastAsia="Calibri" w:hAnsi="Arial" w:cs="Arial"/>
          <w:color w:val="000000" w:themeColor="text1"/>
          <w:sz w:val="22"/>
        </w:rPr>
        <w:lastRenderedPageBreak/>
        <w:t xml:space="preserve">aunque es facultativa de la entidad, está supeditada a que se verifiquen los requisitos establecidos en los numerales 1 y 2 del artículo 2.2.1.2.4.2.2. del Decreto 1082 de 2015. En ese sentido, si la entidad no recibió las solicitudes para limitar la convocatoria a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no puede </w:t>
      </w:r>
      <w:proofErr w:type="gramStart"/>
      <w:r w:rsidRPr="00B00AA2">
        <w:rPr>
          <w:rFonts w:ascii="Arial" w:eastAsia="Calibri" w:hAnsi="Arial" w:cs="Arial"/>
          <w:i/>
          <w:iCs/>
          <w:color w:val="000000" w:themeColor="text1"/>
          <w:sz w:val="22"/>
        </w:rPr>
        <w:t>motu propio</w:t>
      </w:r>
      <w:proofErr w:type="gramEnd"/>
      <w:r w:rsidRPr="00B00AA2">
        <w:rPr>
          <w:rFonts w:ascii="Arial" w:eastAsia="Calibri" w:hAnsi="Arial" w:cs="Arial"/>
          <w:i/>
          <w:iCs/>
          <w:color w:val="000000" w:themeColor="text1"/>
          <w:sz w:val="22"/>
        </w:rPr>
        <w:t xml:space="preserve"> </w:t>
      </w:r>
      <w:r w:rsidRPr="00B00AA2">
        <w:rPr>
          <w:rFonts w:ascii="Arial" w:eastAsia="Calibri" w:hAnsi="Arial" w:cs="Arial"/>
          <w:color w:val="000000" w:themeColor="text1"/>
          <w:sz w:val="22"/>
        </w:rPr>
        <w:t xml:space="preserve">hacer la </w:t>
      </w:r>
      <w:r>
        <w:rPr>
          <w:rFonts w:ascii="Arial" w:eastAsia="Calibri" w:hAnsi="Arial" w:cs="Arial"/>
          <w:color w:val="000000" w:themeColor="text1"/>
          <w:sz w:val="22"/>
        </w:rPr>
        <w:t>“</w:t>
      </w:r>
      <w:r w:rsidRPr="00B00AA2">
        <w:rPr>
          <w:rFonts w:ascii="Arial" w:eastAsia="Calibri" w:hAnsi="Arial" w:cs="Arial"/>
          <w:color w:val="000000" w:themeColor="text1"/>
          <w:sz w:val="22"/>
        </w:rPr>
        <w:t>limitación territorial</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 de que trata el artículo 2.2.1.2.4.2.3. del Decreto 1082 de 2015, ya que el ejercicio de esta facultad solo puede darse ante </w:t>
      </w:r>
      <w:r>
        <w:rPr>
          <w:rFonts w:ascii="Arial" w:eastAsia="Calibri" w:hAnsi="Arial" w:cs="Arial"/>
          <w:color w:val="000000" w:themeColor="text1"/>
          <w:sz w:val="22"/>
        </w:rPr>
        <w:t>“</w:t>
      </w:r>
      <w:r w:rsidRPr="00B00AA2">
        <w:rPr>
          <w:rFonts w:ascii="Arial" w:eastAsia="Calibri" w:hAnsi="Arial" w:cs="Arial"/>
          <w:color w:val="000000" w:themeColor="text1"/>
          <w:sz w:val="22"/>
        </w:rPr>
        <w:t xml:space="preserve">limitación a </w:t>
      </w:r>
      <w:proofErr w:type="spellStart"/>
      <w:r w:rsidRPr="00B00AA2">
        <w:rPr>
          <w:rFonts w:ascii="Arial" w:eastAsia="Calibri" w:hAnsi="Arial" w:cs="Arial"/>
          <w:color w:val="000000" w:themeColor="text1"/>
          <w:sz w:val="22"/>
        </w:rPr>
        <w:t>Mipymes</w:t>
      </w:r>
      <w:proofErr w:type="spellEnd"/>
      <w:r w:rsidRPr="00B00AA2">
        <w:rPr>
          <w:rFonts w:ascii="Arial" w:eastAsia="Calibri" w:hAnsi="Arial" w:cs="Arial"/>
          <w:color w:val="000000" w:themeColor="text1"/>
          <w:sz w:val="22"/>
        </w:rPr>
        <w:t xml:space="preserve"> nacionales</w:t>
      </w:r>
      <w:r>
        <w:rPr>
          <w:rFonts w:ascii="Arial" w:eastAsia="Calibri" w:hAnsi="Arial" w:cs="Arial"/>
          <w:color w:val="000000" w:themeColor="text1"/>
          <w:sz w:val="22"/>
        </w:rPr>
        <w:t>”</w:t>
      </w:r>
      <w:r w:rsidRPr="00B00AA2">
        <w:rPr>
          <w:rFonts w:ascii="Arial" w:eastAsia="Calibri" w:hAnsi="Arial" w:cs="Arial"/>
          <w:color w:val="000000" w:themeColor="text1"/>
          <w:sz w:val="22"/>
        </w:rPr>
        <w:t>, lo cual supone la verificación de los supuestos legales establecidos en los mencionados numerales.</w:t>
      </w:r>
    </w:p>
    <w:p w14:paraId="2738EC76" w14:textId="77777777" w:rsidR="00B84284" w:rsidRPr="00B00AA2" w:rsidRDefault="00B84284" w:rsidP="00B84284">
      <w:pPr>
        <w:spacing w:before="120" w:line="276" w:lineRule="auto"/>
        <w:ind w:firstLine="709"/>
        <w:jc w:val="both"/>
        <w:rPr>
          <w:rFonts w:ascii="Arial" w:eastAsia="Calibri" w:hAnsi="Arial" w:cs="Arial"/>
          <w:color w:val="000000" w:themeColor="text1"/>
          <w:sz w:val="22"/>
        </w:rPr>
      </w:pPr>
      <w:r w:rsidRPr="00B00AA2">
        <w:rPr>
          <w:rFonts w:ascii="Arial" w:eastAsia="Calibri" w:hAnsi="Arial" w:cs="Arial"/>
          <w:color w:val="000000" w:themeColor="text1"/>
          <w:sz w:val="22"/>
        </w:rPr>
        <w:t>En suma, e</w:t>
      </w:r>
      <w:r w:rsidRPr="00B00AA2">
        <w:rPr>
          <w:rFonts w:ascii="Arial" w:hAnsi="Arial" w:cs="Arial"/>
          <w:color w:val="000000" w:themeColor="text1"/>
          <w:sz w:val="22"/>
        </w:rPr>
        <w:t>l Decreto 1082 de 2015</w:t>
      </w:r>
      <w:r>
        <w:rPr>
          <w:rFonts w:ascii="Arial" w:hAnsi="Arial" w:cs="Arial"/>
          <w:color w:val="000000" w:themeColor="text1"/>
          <w:sz w:val="22"/>
        </w:rPr>
        <w:t>, modificado por el Decreto 1860 de 2021</w:t>
      </w:r>
      <w:r w:rsidRPr="00B00AA2">
        <w:rPr>
          <w:rFonts w:ascii="Arial" w:hAnsi="Arial" w:cs="Arial"/>
          <w:color w:val="000000" w:themeColor="text1"/>
          <w:sz w:val="22"/>
        </w:rPr>
        <w:t xml:space="preserve"> regula la limitación de convocatorias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en dos normas distintas que deben leerse conjunta y armónicamente. Por un lado, el artículo </w:t>
      </w:r>
      <w:r w:rsidRPr="00B00AA2">
        <w:rPr>
          <w:rFonts w:ascii="Arial" w:eastAsia="Calibri" w:hAnsi="Arial" w:cs="Arial"/>
          <w:color w:val="000000" w:themeColor="text1"/>
          <w:sz w:val="22"/>
        </w:rPr>
        <w:t xml:space="preserve">2.2.1.2.4.2.2. </w:t>
      </w:r>
      <w:r w:rsidRPr="00B00AA2">
        <w:rPr>
          <w:rFonts w:ascii="Arial" w:hAnsi="Arial" w:cs="Arial"/>
          <w:color w:val="000000" w:themeColor="text1"/>
          <w:sz w:val="22"/>
        </w:rPr>
        <w:t xml:space="preserve">prevé los requisitos generales para que la entidad limite sus convocatorias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Por el otro, el artículo </w:t>
      </w:r>
      <w:r w:rsidRPr="00B00AA2">
        <w:rPr>
          <w:rFonts w:ascii="Arial" w:eastAsia="Calibri" w:hAnsi="Arial" w:cs="Arial"/>
          <w:color w:val="000000" w:themeColor="text1"/>
          <w:sz w:val="22"/>
        </w:rPr>
        <w:t xml:space="preserve">2.2.1.2.4.2.3. </w:t>
      </w:r>
      <w:r w:rsidRPr="00B00AA2">
        <w:rPr>
          <w:rFonts w:ascii="Arial" w:hAnsi="Arial" w:cs="Arial"/>
          <w:color w:val="000000" w:themeColor="text1"/>
          <w:sz w:val="22"/>
        </w:rPr>
        <w:t xml:space="preserve">establece la posibilidad de limitar la convocatoria a </w:t>
      </w:r>
      <w:proofErr w:type="spellStart"/>
      <w:r w:rsidRPr="00B00AA2">
        <w:rPr>
          <w:rFonts w:ascii="Arial" w:hAnsi="Arial" w:cs="Arial"/>
          <w:color w:val="000000" w:themeColor="text1"/>
          <w:sz w:val="22"/>
        </w:rPr>
        <w:t>Mipymes</w:t>
      </w:r>
      <w:proofErr w:type="spellEnd"/>
      <w:r w:rsidRPr="00B00AA2">
        <w:rPr>
          <w:rFonts w:ascii="Arial" w:hAnsi="Arial" w:cs="Arial"/>
          <w:color w:val="000000" w:themeColor="text1"/>
          <w:sz w:val="22"/>
        </w:rPr>
        <w:t xml:space="preserve"> nacionales domiciliadas en los departamentos o municipios en donde se va a ejecutar el contrato, por supuesto, siempre que la entidad así lo decida y solo si se cumplen las exigencias del artículo </w:t>
      </w:r>
      <w:r w:rsidRPr="00B00AA2">
        <w:rPr>
          <w:rFonts w:ascii="Arial" w:eastAsia="Calibri" w:hAnsi="Arial" w:cs="Arial"/>
          <w:color w:val="000000" w:themeColor="text1"/>
          <w:sz w:val="22"/>
        </w:rPr>
        <w:t>2.2.1.2.4.2.2.</w:t>
      </w:r>
    </w:p>
    <w:p w14:paraId="4DD42AEE" w14:textId="77777777" w:rsidR="00B84284" w:rsidRPr="0052190F" w:rsidRDefault="00B84284" w:rsidP="00B84284">
      <w:pPr>
        <w:spacing w:before="120" w:line="276" w:lineRule="auto"/>
        <w:ind w:firstLine="709"/>
        <w:jc w:val="both"/>
        <w:rPr>
          <w:rFonts w:ascii="Arial" w:eastAsia="Calibri" w:hAnsi="Arial" w:cs="Arial"/>
          <w:sz w:val="22"/>
        </w:rPr>
      </w:pPr>
      <w:r w:rsidRPr="0052190F">
        <w:rPr>
          <w:rFonts w:ascii="Arial" w:eastAsia="Calibri" w:hAnsi="Arial" w:cs="Arial"/>
          <w:sz w:val="22"/>
        </w:rPr>
        <w:t xml:space="preserve">Sin perjuicio de lo anterior, la Agencia Nacional de Contratación Pública – Colombia Compra Eficiente considera que lo recomendable es que las entidades establezcan </w:t>
      </w:r>
      <w:r w:rsidRPr="0052190F">
        <w:rPr>
          <w:rFonts w:ascii="Arial" w:eastAsia="Calibri" w:hAnsi="Arial" w:cs="Arial"/>
          <w:i/>
          <w:iCs/>
          <w:sz w:val="22"/>
        </w:rPr>
        <w:t xml:space="preserve">ex ante </w:t>
      </w:r>
      <w:r w:rsidRPr="0052190F">
        <w:rPr>
          <w:rFonts w:ascii="Arial" w:eastAsia="Calibri" w:hAnsi="Arial" w:cs="Arial"/>
          <w:sz w:val="22"/>
        </w:rPr>
        <w:t xml:space="preserve">las condiciones en las que, eventualmente, harían la </w:t>
      </w:r>
      <w:r>
        <w:rPr>
          <w:rFonts w:ascii="Arial" w:eastAsia="Calibri" w:hAnsi="Arial" w:cs="Arial"/>
          <w:sz w:val="22"/>
        </w:rPr>
        <w:t>“</w:t>
      </w:r>
      <w:r w:rsidRPr="0052190F">
        <w:rPr>
          <w:rFonts w:ascii="Arial" w:eastAsia="Calibri" w:hAnsi="Arial" w:cs="Arial"/>
          <w:sz w:val="22"/>
        </w:rPr>
        <w:t>limitación territorial</w:t>
      </w:r>
      <w:r>
        <w:rPr>
          <w:rFonts w:ascii="Arial" w:eastAsia="Calibri" w:hAnsi="Arial" w:cs="Arial"/>
          <w:sz w:val="22"/>
        </w:rPr>
        <w:t>”</w:t>
      </w:r>
      <w:r w:rsidRPr="0052190F">
        <w:rPr>
          <w:rFonts w:ascii="Arial" w:eastAsia="Calibri" w:hAnsi="Arial" w:cs="Arial"/>
          <w:sz w:val="22"/>
        </w:rPr>
        <w:t xml:space="preserve">.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cumplan los presupuestos para ser limitada a </w:t>
      </w:r>
      <w:proofErr w:type="spellStart"/>
      <w:r w:rsidRPr="0052190F">
        <w:rPr>
          <w:rFonts w:ascii="Arial" w:eastAsia="Calibri" w:hAnsi="Arial" w:cs="Arial"/>
          <w:sz w:val="22"/>
        </w:rPr>
        <w:t>Mipymes</w:t>
      </w:r>
      <w:proofErr w:type="spellEnd"/>
      <w:r w:rsidRPr="0052190F">
        <w:rPr>
          <w:rFonts w:ascii="Arial" w:eastAsia="Calibri" w:hAnsi="Arial" w:cs="Arial"/>
          <w:sz w:val="22"/>
        </w:rPr>
        <w:t xml:space="preserve">, </w:t>
      </w:r>
      <w:proofErr w:type="gramStart"/>
      <w:r w:rsidRPr="0052190F">
        <w:rPr>
          <w:rFonts w:ascii="Arial" w:eastAsia="Calibri" w:hAnsi="Arial" w:cs="Arial"/>
          <w:sz w:val="22"/>
        </w:rPr>
        <w:t>como</w:t>
      </w:r>
      <w:proofErr w:type="gramEnd"/>
      <w:r w:rsidRPr="0052190F">
        <w:rPr>
          <w:rFonts w:ascii="Arial" w:eastAsia="Calibri" w:hAnsi="Arial" w:cs="Arial"/>
          <w:sz w:val="22"/>
        </w:rPr>
        <w:t xml:space="preserve"> por ejemplo, en relación con cuál o cuáles municipios o departamentos harían la limitación territorial de que trata el artículo 2.2.1.2.4.2.3. del Decreto 1082 de 2015.</w:t>
      </w:r>
    </w:p>
    <w:p w14:paraId="5F7FD1EA" w14:textId="77777777" w:rsidR="00B84284" w:rsidRDefault="00B84284" w:rsidP="00B84284">
      <w:pPr>
        <w:spacing w:before="120" w:line="276" w:lineRule="auto"/>
        <w:ind w:firstLine="709"/>
        <w:jc w:val="both"/>
        <w:rPr>
          <w:rFonts w:ascii="Arial" w:eastAsia="Arial" w:hAnsi="Arial" w:cs="Arial"/>
          <w:sz w:val="22"/>
          <w:szCs w:val="22"/>
          <w:lang w:val="es-MX" w:eastAsia="en-US"/>
        </w:rPr>
      </w:pPr>
      <w:r>
        <w:rPr>
          <w:rFonts w:ascii="Arial" w:eastAsia="Arial" w:hAnsi="Arial" w:cs="Arial"/>
          <w:sz w:val="22"/>
          <w:szCs w:val="22"/>
          <w:lang w:val="es-MX" w:eastAsia="en-US"/>
        </w:rPr>
        <w:t>De otra parte</w:t>
      </w:r>
      <w:r w:rsidRPr="0052190F">
        <w:rPr>
          <w:rFonts w:ascii="Arial" w:eastAsia="Arial" w:hAnsi="Arial" w:cs="Arial"/>
          <w:sz w:val="22"/>
          <w:szCs w:val="22"/>
          <w:lang w:val="es-MX" w:eastAsia="en-US"/>
        </w:rPr>
        <w:t xml:space="preserve">, resta </w:t>
      </w:r>
      <w:proofErr w:type="gramStart"/>
      <w:r w:rsidRPr="0052190F">
        <w:rPr>
          <w:rFonts w:ascii="Arial" w:eastAsia="Arial" w:hAnsi="Arial" w:cs="Arial"/>
          <w:sz w:val="22"/>
          <w:szCs w:val="22"/>
          <w:lang w:val="es-MX" w:eastAsia="en-US"/>
        </w:rPr>
        <w:t>precisar</w:t>
      </w:r>
      <w:proofErr w:type="gramEnd"/>
      <w:r w:rsidRPr="0052190F">
        <w:rPr>
          <w:rFonts w:ascii="Arial" w:eastAsia="Arial" w:hAnsi="Arial" w:cs="Arial"/>
          <w:sz w:val="22"/>
          <w:szCs w:val="22"/>
          <w:lang w:val="es-MX" w:eastAsia="en-US"/>
        </w:rPr>
        <w:t xml:space="preserve"> que el domicilio de la </w:t>
      </w:r>
      <w:proofErr w:type="spellStart"/>
      <w:r w:rsidRPr="0052190F">
        <w:rPr>
          <w:rFonts w:ascii="Arial" w:eastAsia="Arial" w:hAnsi="Arial" w:cs="Arial"/>
          <w:sz w:val="22"/>
          <w:szCs w:val="22"/>
          <w:lang w:val="es-MX" w:eastAsia="en-US"/>
        </w:rPr>
        <w:t>mipymes</w:t>
      </w:r>
      <w:proofErr w:type="spellEnd"/>
      <w:r w:rsidRPr="0052190F">
        <w:rPr>
          <w:rFonts w:ascii="Arial" w:eastAsia="Arial" w:hAnsi="Arial" w:cs="Arial"/>
          <w:sz w:val="22"/>
          <w:szCs w:val="22"/>
          <w:lang w:val="es-MX" w:eastAsia="en-US"/>
        </w:rPr>
        <w:t xml:space="preserve"> que quiera participar en una convocatoria limitada territorialmente se acredita con los documentos definidos en el artículo 2.2.1.2.4.2.4. del Decreto 1082 de 2015, modificado por el Decreto 1860 de 2021. En consecuencia, el requisito podrá acreditarse con una certificación acompañada, ya sea, de una copia del registro mercantil –persona natural–, del certificado de existencia y representación legal –persona jurídica– o del Registro Único de Proponentes – RUP, en donde conste el domicilio </w:t>
      </w:r>
      <w:r>
        <w:rPr>
          <w:rFonts w:ascii="Arial" w:eastAsia="Arial" w:hAnsi="Arial" w:cs="Arial"/>
          <w:sz w:val="22"/>
          <w:szCs w:val="22"/>
          <w:lang w:val="es-MX" w:eastAsia="en-US"/>
        </w:rPr>
        <w:t xml:space="preserve">principal </w:t>
      </w:r>
      <w:r w:rsidRPr="0052190F">
        <w:rPr>
          <w:rFonts w:ascii="Arial" w:eastAsia="Arial" w:hAnsi="Arial" w:cs="Arial"/>
          <w:sz w:val="22"/>
          <w:szCs w:val="22"/>
          <w:lang w:val="es-MX" w:eastAsia="en-US"/>
        </w:rPr>
        <w:t xml:space="preserve">de la </w:t>
      </w:r>
      <w:proofErr w:type="spellStart"/>
      <w:r w:rsidRPr="0052190F">
        <w:rPr>
          <w:rFonts w:ascii="Arial" w:eastAsia="Arial" w:hAnsi="Arial" w:cs="Arial"/>
          <w:sz w:val="22"/>
          <w:szCs w:val="22"/>
          <w:lang w:val="es-MX" w:eastAsia="en-US"/>
        </w:rPr>
        <w:t>mipyme</w:t>
      </w:r>
      <w:proofErr w:type="spellEnd"/>
      <w:r w:rsidRPr="0052190F">
        <w:rPr>
          <w:rFonts w:ascii="Arial" w:eastAsia="Arial" w:hAnsi="Arial" w:cs="Arial"/>
          <w:sz w:val="22"/>
          <w:szCs w:val="22"/>
          <w:lang w:val="es-MX" w:eastAsia="en-US"/>
        </w:rPr>
        <w:t xml:space="preserve"> interesada en la limitación territorial de la convocatoria pública para celebrar el contrato, que corresponda con el lugar de ejecución </w:t>
      </w:r>
      <w:proofErr w:type="gramStart"/>
      <w:r w:rsidRPr="0052190F">
        <w:rPr>
          <w:rFonts w:ascii="Arial" w:eastAsia="Arial" w:hAnsi="Arial" w:cs="Arial"/>
          <w:sz w:val="22"/>
          <w:szCs w:val="22"/>
          <w:lang w:val="es-MX" w:eastAsia="en-US"/>
        </w:rPr>
        <w:t>del mismo</w:t>
      </w:r>
      <w:proofErr w:type="gramEnd"/>
      <w:r w:rsidRPr="0052190F">
        <w:rPr>
          <w:rFonts w:ascii="Arial" w:eastAsia="Arial" w:hAnsi="Arial" w:cs="Arial"/>
          <w:sz w:val="22"/>
          <w:szCs w:val="22"/>
          <w:lang w:val="es-MX" w:eastAsia="en-US"/>
        </w:rPr>
        <w:t xml:space="preserve">, ya sea departamento o municipio.  </w:t>
      </w:r>
    </w:p>
    <w:p w14:paraId="45A4D599" w14:textId="77777777" w:rsidR="00B84284" w:rsidRDefault="00B84284" w:rsidP="00B84284">
      <w:pPr>
        <w:spacing w:before="120" w:line="276" w:lineRule="auto"/>
        <w:ind w:firstLine="709"/>
        <w:jc w:val="both"/>
        <w:rPr>
          <w:rFonts w:ascii="Arial" w:eastAsia="Calibri" w:hAnsi="Arial" w:cs="Arial"/>
          <w:sz w:val="22"/>
        </w:rPr>
      </w:pPr>
      <w:r>
        <w:rPr>
          <w:rFonts w:ascii="Arial" w:eastAsia="Arial" w:hAnsi="Arial" w:cs="Arial"/>
          <w:sz w:val="22"/>
          <w:szCs w:val="22"/>
          <w:lang w:val="es-MX" w:eastAsia="en-US"/>
        </w:rPr>
        <w:t xml:space="preserve">Con todo, debe advertirse que el hecho de la limitación territorial opere de manera discrecional implica que la misma no debe ser de forma caprichosa o arbitraría o de manera que desconozca los fines de la norma. En ese sentido, es necesario tener en cuenta que la regulación establecida en el artículo </w:t>
      </w:r>
      <w:r w:rsidRPr="0052190F">
        <w:rPr>
          <w:rFonts w:ascii="Arial" w:eastAsia="Calibri" w:hAnsi="Arial" w:cs="Arial"/>
          <w:sz w:val="22"/>
        </w:rPr>
        <w:t>2.2.1.2.4.2.3</w:t>
      </w:r>
      <w:r>
        <w:rPr>
          <w:rFonts w:ascii="Arial" w:eastAsia="Calibri" w:hAnsi="Arial" w:cs="Arial"/>
          <w:sz w:val="22"/>
        </w:rPr>
        <w:t xml:space="preserve"> del Decreto 1082 de 2015 apunta a realizar una promoción de los </w:t>
      </w:r>
      <w:proofErr w:type="spellStart"/>
      <w:r>
        <w:rPr>
          <w:rFonts w:ascii="Arial" w:eastAsia="Calibri" w:hAnsi="Arial" w:cs="Arial"/>
          <w:sz w:val="22"/>
        </w:rPr>
        <w:t>mipymes</w:t>
      </w:r>
      <w:proofErr w:type="spellEnd"/>
      <w:r>
        <w:rPr>
          <w:rFonts w:ascii="Arial" w:eastAsia="Calibri" w:hAnsi="Arial" w:cs="Arial"/>
          <w:sz w:val="22"/>
        </w:rPr>
        <w:t xml:space="preserve">, privilegiando la participación de aquellas domiciliadas en el lugar de ejecución del contrato, de tal manera que los recursos de la contratación pública contribuyan al desarrollo </w:t>
      </w:r>
      <w:r>
        <w:rPr>
          <w:rFonts w:ascii="Arial" w:eastAsia="Calibri" w:hAnsi="Arial" w:cs="Arial"/>
          <w:sz w:val="22"/>
        </w:rPr>
        <w:lastRenderedPageBreak/>
        <w:t xml:space="preserve">empresarial en el territorio. Es claro que el fin de la norma no es el de establecer proveedores únicos en los municipios y/o departamentos sino permitir que en determinados procesos la selección de las ofertas se realice exclusivamente con la participación exclusiva de tales </w:t>
      </w:r>
      <w:proofErr w:type="spellStart"/>
      <w:r>
        <w:rPr>
          <w:rFonts w:ascii="Arial" w:eastAsia="Calibri" w:hAnsi="Arial" w:cs="Arial"/>
          <w:sz w:val="22"/>
        </w:rPr>
        <w:t>mipymes</w:t>
      </w:r>
      <w:proofErr w:type="spellEnd"/>
      <w:r>
        <w:rPr>
          <w:rFonts w:ascii="Arial" w:eastAsia="Calibri" w:hAnsi="Arial" w:cs="Arial"/>
          <w:sz w:val="22"/>
        </w:rPr>
        <w:t xml:space="preserve">. </w:t>
      </w:r>
    </w:p>
    <w:p w14:paraId="5FA33562" w14:textId="77777777" w:rsidR="00B84284" w:rsidRDefault="00B84284" w:rsidP="00B84284">
      <w:pPr>
        <w:spacing w:before="120" w:after="120" w:line="276" w:lineRule="auto"/>
        <w:ind w:firstLine="709"/>
        <w:jc w:val="both"/>
        <w:rPr>
          <w:rFonts w:ascii="Arial" w:eastAsia="Calibri" w:hAnsi="Arial" w:cs="Arial"/>
          <w:sz w:val="22"/>
        </w:rPr>
      </w:pPr>
      <w:r>
        <w:rPr>
          <w:rFonts w:ascii="Arial" w:eastAsia="Calibri" w:hAnsi="Arial" w:cs="Arial"/>
          <w:sz w:val="22"/>
        </w:rPr>
        <w:t xml:space="preserve">Conforme a esto, el debido ejercicio de la referida potestad discrecional exige que converjan unos mínimos presupuestos de adecuación, para que resulte adecuada la decisión de limitar una convocatoria a la participación exclusiva de </w:t>
      </w:r>
      <w:proofErr w:type="spellStart"/>
      <w:r>
        <w:rPr>
          <w:rFonts w:ascii="Arial" w:eastAsia="Calibri" w:hAnsi="Arial" w:cs="Arial"/>
          <w:sz w:val="22"/>
        </w:rPr>
        <w:t>mipymes</w:t>
      </w:r>
      <w:proofErr w:type="spellEnd"/>
      <w:r>
        <w:rPr>
          <w:rFonts w:ascii="Arial" w:eastAsia="Calibri" w:hAnsi="Arial" w:cs="Arial"/>
          <w:sz w:val="22"/>
        </w:rPr>
        <w:t xml:space="preserve">. Es por esto por lo que la decisión de limitar territorialmente una convocatoria solo puede resultar razonable si la información recolectada en el marco del análisis del sector indica que en el lugar de ejecución del contrato existe un número significativo de </w:t>
      </w:r>
      <w:proofErr w:type="spellStart"/>
      <w:r>
        <w:rPr>
          <w:rFonts w:ascii="Arial" w:eastAsia="Calibri" w:hAnsi="Arial" w:cs="Arial"/>
          <w:sz w:val="22"/>
        </w:rPr>
        <w:t>mipymes</w:t>
      </w:r>
      <w:proofErr w:type="spellEnd"/>
      <w:r>
        <w:rPr>
          <w:rFonts w:ascii="Arial" w:eastAsia="Calibri" w:hAnsi="Arial" w:cs="Arial"/>
          <w:sz w:val="22"/>
        </w:rPr>
        <w:t xml:space="preserve"> allí domiciliadas, cuyo objeto social les permitiría desarrollar el contrato o que estén interesadas en participar en el respectivo proceso de contratación. Adicionalmente, se torna relevante determinar que tantas de esas </w:t>
      </w:r>
      <w:proofErr w:type="spellStart"/>
      <w:r>
        <w:rPr>
          <w:rFonts w:ascii="Arial" w:eastAsia="Calibri" w:hAnsi="Arial" w:cs="Arial"/>
          <w:sz w:val="22"/>
        </w:rPr>
        <w:t>mipymes</w:t>
      </w:r>
      <w:proofErr w:type="spellEnd"/>
      <w:r>
        <w:rPr>
          <w:rFonts w:ascii="Arial" w:eastAsia="Calibri" w:hAnsi="Arial" w:cs="Arial"/>
          <w:sz w:val="22"/>
        </w:rPr>
        <w:t xml:space="preserve"> tendrían la posibilidad de participar en el respectivo proceso de contratación en consideración en atención a las aptitudes e idoneidad requerida.  De acuerdo con lo anterior, difícilmente podría entenderse adecuada la decisión de limitar una convocatoria por el referido factor territorial, si dentro del estudio del sector no se identifican una pluralidad de </w:t>
      </w:r>
      <w:proofErr w:type="spellStart"/>
      <w:r>
        <w:rPr>
          <w:rFonts w:ascii="Arial" w:eastAsia="Calibri" w:hAnsi="Arial" w:cs="Arial"/>
          <w:sz w:val="22"/>
        </w:rPr>
        <w:t>mipymes</w:t>
      </w:r>
      <w:proofErr w:type="spellEnd"/>
      <w:r>
        <w:rPr>
          <w:rFonts w:ascii="Arial" w:eastAsia="Calibri" w:hAnsi="Arial" w:cs="Arial"/>
          <w:sz w:val="22"/>
        </w:rPr>
        <w:t xml:space="preserve"> que estén en posición de participar en el respectivo proceso.</w:t>
      </w:r>
    </w:p>
    <w:p w14:paraId="1343D289" w14:textId="77777777" w:rsidR="00B84284" w:rsidRDefault="00B84284" w:rsidP="00B84284">
      <w:pPr>
        <w:spacing w:before="120" w:line="276" w:lineRule="auto"/>
        <w:ind w:firstLine="709"/>
        <w:jc w:val="both"/>
        <w:rPr>
          <w:rFonts w:ascii="Arial" w:eastAsia="Calibri" w:hAnsi="Arial" w:cs="Arial"/>
          <w:sz w:val="22"/>
        </w:rPr>
      </w:pPr>
      <w:r>
        <w:rPr>
          <w:rFonts w:ascii="Arial" w:eastAsia="Calibri" w:hAnsi="Arial" w:cs="Arial"/>
          <w:sz w:val="22"/>
        </w:rPr>
        <w:t xml:space="preserve">En atención a lo anterior, situaciones en las que se presentan un ejercicio de la potestad de limitar a </w:t>
      </w:r>
      <w:proofErr w:type="spellStart"/>
      <w:r>
        <w:rPr>
          <w:rFonts w:ascii="Arial" w:eastAsia="Calibri" w:hAnsi="Arial" w:cs="Arial"/>
          <w:sz w:val="22"/>
        </w:rPr>
        <w:t>mipymes</w:t>
      </w:r>
      <w:proofErr w:type="spellEnd"/>
      <w:r>
        <w:rPr>
          <w:rFonts w:ascii="Arial" w:eastAsia="Calibri" w:hAnsi="Arial" w:cs="Arial"/>
          <w:sz w:val="22"/>
        </w:rPr>
        <w:t xml:space="preserve"> desconociendo los anteriores presupuestos mínimos, bien podrían ser cuestionadas por los proponentes, veedores y ciudadanía en general ya sea a través de observaciones, en el ejercicio del derecho fundamental de petición ante la respectiva entidad estatal o la presentación de denuncias antes las autoridades competentes en el caso de que se evidencien prácticas restrictivas a la competencia, o con relevancia penal o disciplinaria. Así mismo, en atención al interés general que revisten los procesos de contratación, cualquier ciudadano podría también solicitar el control judicial del respectivo pliego de condiciones –o invitación en los procesos de mínima cuantía–, cuando encuentre que estos contravienen el marco legal que les aplica. </w:t>
      </w:r>
    </w:p>
    <w:p w14:paraId="2BF094C2" w14:textId="77777777" w:rsidR="00B84284" w:rsidRDefault="00B84284" w:rsidP="00B84284">
      <w:pPr>
        <w:spacing w:before="120" w:line="276" w:lineRule="auto"/>
        <w:ind w:firstLine="709"/>
        <w:jc w:val="both"/>
        <w:rPr>
          <w:rFonts w:ascii="Arial" w:eastAsia="Calibri" w:hAnsi="Arial" w:cs="Arial"/>
          <w:sz w:val="22"/>
        </w:rPr>
      </w:pPr>
    </w:p>
    <w:p w14:paraId="478798CA" w14:textId="77777777" w:rsidR="00B84284" w:rsidRPr="0069552F" w:rsidRDefault="00B84284" w:rsidP="00B84284">
      <w:pPr>
        <w:tabs>
          <w:tab w:val="left" w:pos="284"/>
        </w:tabs>
        <w:spacing w:line="276" w:lineRule="auto"/>
        <w:jc w:val="both"/>
        <w:rPr>
          <w:rFonts w:ascii="Arial" w:eastAsia="Arial" w:hAnsi="Arial" w:cs="Arial"/>
          <w:b/>
          <w:sz w:val="22"/>
          <w:szCs w:val="22"/>
        </w:rPr>
      </w:pPr>
      <w:r w:rsidRPr="0069552F">
        <w:rPr>
          <w:rFonts w:ascii="Arial" w:eastAsia="Arial" w:hAnsi="Arial" w:cs="Arial"/>
          <w:b/>
          <w:sz w:val="22"/>
          <w:szCs w:val="22"/>
        </w:rPr>
        <w:t>3. Respuesta</w:t>
      </w:r>
    </w:p>
    <w:p w14:paraId="37FD4DB5" w14:textId="77777777" w:rsidR="00B84284" w:rsidRDefault="00B84284" w:rsidP="00B84284">
      <w:pPr>
        <w:tabs>
          <w:tab w:val="left" w:pos="284"/>
        </w:tabs>
        <w:spacing w:line="276" w:lineRule="auto"/>
        <w:jc w:val="both"/>
        <w:rPr>
          <w:rFonts w:ascii="Arial" w:eastAsia="Arial" w:hAnsi="Arial" w:cs="Arial"/>
          <w:b/>
          <w:sz w:val="22"/>
          <w:szCs w:val="22"/>
        </w:rPr>
      </w:pPr>
    </w:p>
    <w:p w14:paraId="0B9AE7CF" w14:textId="77777777" w:rsidR="00B84284" w:rsidRPr="00D21305" w:rsidRDefault="00B84284" w:rsidP="00B84284">
      <w:pPr>
        <w:ind w:left="709" w:right="709"/>
        <w:jc w:val="both"/>
        <w:rPr>
          <w:rFonts w:ascii="Arial" w:hAnsi="Arial" w:cs="Arial"/>
          <w:sz w:val="21"/>
          <w:szCs w:val="21"/>
        </w:rPr>
      </w:pPr>
      <w:r>
        <w:rPr>
          <w:rFonts w:ascii="Arial" w:hAnsi="Arial" w:cs="Arial"/>
          <w:sz w:val="21"/>
          <w:szCs w:val="21"/>
        </w:rPr>
        <w:t>“</w:t>
      </w:r>
      <w:r w:rsidRPr="00D21305">
        <w:rPr>
          <w:rFonts w:ascii="Arial" w:hAnsi="Arial" w:cs="Arial"/>
          <w:sz w:val="21"/>
          <w:szCs w:val="21"/>
        </w:rPr>
        <w:t xml:space="preserve">[…] Tengo una duda respecto a los procesos de mínima cuantía que son cerrados a MiPymes municipales, resulta que desde que este decreto entro en vigencia, puede observarse en diferentes municipios del país, sobre todo los </w:t>
      </w:r>
      <w:proofErr w:type="spellStart"/>
      <w:r w:rsidRPr="00D21305">
        <w:rPr>
          <w:rFonts w:ascii="Arial" w:hAnsi="Arial" w:cs="Arial"/>
          <w:sz w:val="21"/>
          <w:szCs w:val="21"/>
        </w:rPr>
        <w:t>mas</w:t>
      </w:r>
      <w:proofErr w:type="spellEnd"/>
      <w:r w:rsidRPr="00D21305">
        <w:rPr>
          <w:rFonts w:ascii="Arial" w:hAnsi="Arial" w:cs="Arial"/>
          <w:sz w:val="21"/>
          <w:szCs w:val="21"/>
        </w:rPr>
        <w:t xml:space="preserve"> alejados como lo son ( calamar </w:t>
      </w:r>
      <w:proofErr w:type="spellStart"/>
      <w:r w:rsidRPr="00D21305">
        <w:rPr>
          <w:rFonts w:ascii="Arial" w:hAnsi="Arial" w:cs="Arial"/>
          <w:sz w:val="21"/>
          <w:szCs w:val="21"/>
        </w:rPr>
        <w:t>guaviare</w:t>
      </w:r>
      <w:proofErr w:type="spellEnd"/>
      <w:r w:rsidRPr="00D21305">
        <w:rPr>
          <w:rFonts w:ascii="Arial" w:hAnsi="Arial" w:cs="Arial"/>
          <w:sz w:val="21"/>
          <w:szCs w:val="21"/>
        </w:rPr>
        <w:t xml:space="preserve">, vichada, castilla la nueva-meta, mesetas meta y </w:t>
      </w:r>
      <w:proofErr w:type="spellStart"/>
      <w:r w:rsidRPr="00D21305">
        <w:rPr>
          <w:rFonts w:ascii="Arial" w:hAnsi="Arial" w:cs="Arial"/>
          <w:sz w:val="21"/>
          <w:szCs w:val="21"/>
        </w:rPr>
        <w:t>demas</w:t>
      </w:r>
      <w:proofErr w:type="spellEnd"/>
      <w:r w:rsidRPr="00D21305">
        <w:rPr>
          <w:rFonts w:ascii="Arial" w:hAnsi="Arial" w:cs="Arial"/>
          <w:sz w:val="21"/>
          <w:szCs w:val="21"/>
        </w:rPr>
        <w:t xml:space="preserve">) , que todos los procesos contractuales de mínima cuantía están siendo limitados, por solicitud de 2 o 3 MiPymes municipales, sin embargo; a la hora del cierre del proceso se presenta una sola persona y esa persona es la misma para cada uno de los procesos que la entidad celebra, no obstante con esto, los precios siempre van al tope, pues no hay competencia para ellos. lo que claramente </w:t>
      </w:r>
      <w:proofErr w:type="spellStart"/>
      <w:r w:rsidRPr="00D21305">
        <w:rPr>
          <w:rFonts w:ascii="Arial" w:hAnsi="Arial" w:cs="Arial"/>
          <w:sz w:val="21"/>
          <w:szCs w:val="21"/>
        </w:rPr>
        <w:t>esta</w:t>
      </w:r>
      <w:proofErr w:type="spellEnd"/>
      <w:r w:rsidRPr="00D21305">
        <w:rPr>
          <w:rFonts w:ascii="Arial" w:hAnsi="Arial" w:cs="Arial"/>
          <w:sz w:val="21"/>
          <w:szCs w:val="21"/>
        </w:rPr>
        <w:t xml:space="preserve"> haciendo que estos municipios adquieran todo lo contratado a un valor mucho </w:t>
      </w:r>
      <w:proofErr w:type="spellStart"/>
      <w:r w:rsidRPr="00D21305">
        <w:rPr>
          <w:rFonts w:ascii="Arial" w:hAnsi="Arial" w:cs="Arial"/>
          <w:sz w:val="21"/>
          <w:szCs w:val="21"/>
        </w:rPr>
        <w:t>mas</w:t>
      </w:r>
      <w:proofErr w:type="spellEnd"/>
      <w:r w:rsidRPr="00D21305">
        <w:rPr>
          <w:rFonts w:ascii="Arial" w:hAnsi="Arial" w:cs="Arial"/>
          <w:sz w:val="21"/>
          <w:szCs w:val="21"/>
        </w:rPr>
        <w:t xml:space="preserve"> alto que si existiera </w:t>
      </w:r>
      <w:r w:rsidRPr="00D21305">
        <w:rPr>
          <w:rFonts w:ascii="Arial" w:hAnsi="Arial" w:cs="Arial"/>
          <w:sz w:val="21"/>
          <w:szCs w:val="21"/>
        </w:rPr>
        <w:lastRenderedPageBreak/>
        <w:t xml:space="preserve">variedad de oferentes, esto da la sensación a los contratistas que los pliegos de estos municipios son pliegos lastres y que la libre competencia en materia contractual se ha acabado. bajo esta condición quisiera saber, si </w:t>
      </w:r>
      <w:r w:rsidRPr="00B431D7">
        <w:rPr>
          <w:rFonts w:ascii="Arial" w:hAnsi="Arial" w:cs="Arial"/>
          <w:i/>
          <w:iCs/>
          <w:sz w:val="21"/>
          <w:szCs w:val="21"/>
        </w:rPr>
        <w:t xml:space="preserve">las entidades están actuando bajo lo que indica la norma, </w:t>
      </w:r>
      <w:proofErr w:type="gramStart"/>
      <w:r w:rsidRPr="00B431D7">
        <w:rPr>
          <w:rFonts w:ascii="Arial" w:hAnsi="Arial" w:cs="Arial"/>
          <w:i/>
          <w:iCs/>
          <w:sz w:val="21"/>
          <w:szCs w:val="21"/>
        </w:rPr>
        <w:t>siguiendo limitando</w:t>
      </w:r>
      <w:proofErr w:type="gramEnd"/>
      <w:r w:rsidRPr="00B431D7">
        <w:rPr>
          <w:rFonts w:ascii="Arial" w:hAnsi="Arial" w:cs="Arial"/>
          <w:i/>
          <w:iCs/>
          <w:sz w:val="21"/>
          <w:szCs w:val="21"/>
        </w:rPr>
        <w:t xml:space="preserve"> los procesos de mínima cuantía, en condiciones, donde limitan 2 o 3 MiPymes y se presenta una sola persona o empresa con precios tope?</w:t>
      </w:r>
      <w:r w:rsidRPr="00D21305">
        <w:rPr>
          <w:rFonts w:ascii="Arial" w:hAnsi="Arial" w:cs="Arial"/>
          <w:sz w:val="21"/>
          <w:szCs w:val="21"/>
        </w:rPr>
        <w:t xml:space="preserve"> </w:t>
      </w:r>
      <w:r w:rsidRPr="00B431D7">
        <w:rPr>
          <w:rFonts w:ascii="Arial" w:hAnsi="Arial" w:cs="Arial"/>
          <w:i/>
          <w:iCs/>
          <w:sz w:val="21"/>
          <w:szCs w:val="21"/>
        </w:rPr>
        <w:t>¿Qué herramientas (normativas) tenemos los contratistas para evitar que esta situación siga sucediendo?</w:t>
      </w:r>
      <w:r w:rsidRPr="00D21305">
        <w:rPr>
          <w:rFonts w:ascii="Arial" w:hAnsi="Arial" w:cs="Arial"/>
          <w:sz w:val="21"/>
          <w:szCs w:val="21"/>
        </w:rPr>
        <w:t xml:space="preserve"> </w:t>
      </w:r>
      <w:r w:rsidRPr="00B431D7">
        <w:rPr>
          <w:rFonts w:ascii="Arial" w:hAnsi="Arial" w:cs="Arial"/>
          <w:i/>
          <w:iCs/>
          <w:sz w:val="21"/>
          <w:szCs w:val="21"/>
        </w:rPr>
        <w:t>¿esta situación debería dar a entender a pequeñas empresas que esperaban crecer con la ayuda de la contratación estatal, que solo debe limitarse a crecer en su municipio, por q los municipios aledaños ya tienen seleccionado su oferente? ¿si el decreto se aprobó con la intención de que las MiPymes en general crecieran, esto no se estaría viendo interrumpido al existir un único oferente y contratista por municipio?</w:t>
      </w:r>
      <w:r w:rsidRPr="00D21305">
        <w:rPr>
          <w:rFonts w:ascii="Arial" w:hAnsi="Arial" w:cs="Arial"/>
          <w:sz w:val="21"/>
          <w:szCs w:val="21"/>
        </w:rPr>
        <w:t xml:space="preserve">  […]</w:t>
      </w:r>
      <w:r>
        <w:rPr>
          <w:rFonts w:ascii="Arial" w:hAnsi="Arial" w:cs="Arial"/>
          <w:sz w:val="21"/>
          <w:szCs w:val="21"/>
        </w:rPr>
        <w:t xml:space="preserve"> (SIC)”</w:t>
      </w:r>
      <w:r w:rsidRPr="00D21305">
        <w:rPr>
          <w:rFonts w:ascii="Arial" w:hAnsi="Arial" w:cs="Arial"/>
          <w:sz w:val="21"/>
          <w:szCs w:val="21"/>
        </w:rPr>
        <w:t>.</w:t>
      </w:r>
      <w:r>
        <w:rPr>
          <w:rFonts w:ascii="Arial" w:hAnsi="Arial" w:cs="Arial"/>
          <w:sz w:val="21"/>
          <w:szCs w:val="21"/>
        </w:rPr>
        <w:t xml:space="preserve"> [Cursiva por fuera del texto original]</w:t>
      </w:r>
    </w:p>
    <w:p w14:paraId="50BB9583" w14:textId="77777777" w:rsidR="00B84284" w:rsidRDefault="00B84284" w:rsidP="00B84284">
      <w:pPr>
        <w:tabs>
          <w:tab w:val="left" w:pos="284"/>
        </w:tabs>
        <w:spacing w:line="276" w:lineRule="auto"/>
        <w:jc w:val="both"/>
        <w:rPr>
          <w:rFonts w:ascii="Arial" w:eastAsia="Arial" w:hAnsi="Arial" w:cs="Arial"/>
          <w:b/>
          <w:sz w:val="22"/>
          <w:szCs w:val="22"/>
        </w:rPr>
      </w:pPr>
    </w:p>
    <w:p w14:paraId="4763ADF6" w14:textId="77777777" w:rsidR="00B84284" w:rsidRPr="00162BC5" w:rsidRDefault="00B84284" w:rsidP="00B84284">
      <w:pPr>
        <w:spacing w:after="120" w:line="276" w:lineRule="auto"/>
        <w:jc w:val="both"/>
        <w:rPr>
          <w:rFonts w:ascii="Arial" w:hAnsi="Arial" w:cs="Arial"/>
          <w:sz w:val="22"/>
          <w:lang w:val="es-ES"/>
        </w:rPr>
      </w:pPr>
      <w:r>
        <w:rPr>
          <w:rFonts w:ascii="Arial" w:eastAsia="Arial" w:hAnsi="Arial" w:cs="Arial"/>
          <w:sz w:val="22"/>
          <w:szCs w:val="22"/>
        </w:rPr>
        <w:t xml:space="preserve">Conforme a lo explicado </w:t>
      </w:r>
      <w:r w:rsidRPr="00D352CC">
        <w:rPr>
          <w:rFonts w:ascii="Arial" w:eastAsia="Arial" w:hAnsi="Arial" w:cs="Arial"/>
          <w:i/>
          <w:iCs/>
          <w:sz w:val="22"/>
          <w:szCs w:val="22"/>
        </w:rPr>
        <w:t>ut supra</w:t>
      </w:r>
      <w:r>
        <w:rPr>
          <w:rFonts w:ascii="Arial" w:eastAsia="Arial" w:hAnsi="Arial" w:cs="Arial"/>
          <w:sz w:val="22"/>
          <w:szCs w:val="22"/>
        </w:rPr>
        <w:t>, en</w:t>
      </w:r>
      <w:r w:rsidRPr="0069552F">
        <w:rPr>
          <w:rFonts w:ascii="Arial" w:eastAsia="Arial" w:hAnsi="Arial" w:cs="Arial"/>
          <w:sz w:val="22"/>
          <w:szCs w:val="22"/>
        </w:rPr>
        <w:t xml:space="preserve"> ejercicio de las competencias establecidas en los artículos 3</w:t>
      </w:r>
      <w:r>
        <w:rPr>
          <w:rFonts w:ascii="Arial" w:eastAsia="Arial" w:hAnsi="Arial" w:cs="Arial"/>
          <w:sz w:val="22"/>
          <w:szCs w:val="22"/>
        </w:rPr>
        <w:t xml:space="preserve">, numeral </w:t>
      </w:r>
      <w:r w:rsidRPr="0069552F">
        <w:rPr>
          <w:rFonts w:ascii="Arial" w:eastAsia="Arial" w:hAnsi="Arial" w:cs="Arial"/>
          <w:sz w:val="22"/>
          <w:szCs w:val="22"/>
        </w:rPr>
        <w:t>5</w:t>
      </w:r>
      <w:r>
        <w:rPr>
          <w:rFonts w:ascii="Arial" w:eastAsia="Arial" w:hAnsi="Arial" w:cs="Arial"/>
          <w:sz w:val="22"/>
          <w:szCs w:val="22"/>
        </w:rPr>
        <w:t>°</w:t>
      </w:r>
      <w:r w:rsidRPr="0069552F">
        <w:rPr>
          <w:rFonts w:ascii="Arial" w:eastAsia="Arial" w:hAnsi="Arial" w:cs="Arial"/>
          <w:sz w:val="22"/>
          <w:szCs w:val="22"/>
        </w:rPr>
        <w:t xml:space="preserve"> y 11</w:t>
      </w:r>
      <w:r>
        <w:rPr>
          <w:rFonts w:ascii="Arial" w:eastAsia="Arial" w:hAnsi="Arial" w:cs="Arial"/>
          <w:sz w:val="22"/>
          <w:szCs w:val="22"/>
        </w:rPr>
        <w:t xml:space="preserve">, numeral </w:t>
      </w:r>
      <w:r w:rsidRPr="0069552F">
        <w:rPr>
          <w:rFonts w:ascii="Arial" w:eastAsia="Arial" w:hAnsi="Arial" w:cs="Arial"/>
          <w:sz w:val="22"/>
          <w:szCs w:val="22"/>
        </w:rPr>
        <w:t>8</w:t>
      </w:r>
      <w:r>
        <w:rPr>
          <w:rFonts w:ascii="Arial" w:eastAsia="Arial" w:hAnsi="Arial" w:cs="Arial"/>
          <w:sz w:val="22"/>
          <w:szCs w:val="22"/>
        </w:rPr>
        <w:t>°</w:t>
      </w:r>
      <w:r w:rsidRPr="0069552F">
        <w:rPr>
          <w:rFonts w:ascii="Arial" w:eastAsia="Arial" w:hAnsi="Arial" w:cs="Arial"/>
          <w:sz w:val="22"/>
          <w:szCs w:val="22"/>
        </w:rPr>
        <w:t xml:space="preserve"> del Decreto 4170 de 2011, la Agencia Nacional de Contratación Pública – Colombia Compra Eficiente resuelve las consultas sobre los asuntos de su competencia, esto es, sobre las temáticas </w:t>
      </w:r>
      <w:r>
        <w:rPr>
          <w:rFonts w:ascii="Arial" w:eastAsia="Arial" w:hAnsi="Arial" w:cs="Arial"/>
          <w:sz w:val="22"/>
          <w:szCs w:val="22"/>
        </w:rPr>
        <w:t>asociadas a</w:t>
      </w:r>
      <w:r w:rsidRPr="0069552F">
        <w:rPr>
          <w:rFonts w:ascii="Arial" w:eastAsia="Arial" w:hAnsi="Arial" w:cs="Arial"/>
          <w:sz w:val="22"/>
          <w:szCs w:val="22"/>
        </w:rPr>
        <w:t xml:space="preserve"> la contratación estatal</w:t>
      </w:r>
      <w:r>
        <w:rPr>
          <w:rFonts w:ascii="Arial" w:eastAsia="Arial" w:hAnsi="Arial" w:cs="Arial"/>
          <w:sz w:val="22"/>
          <w:szCs w:val="22"/>
        </w:rPr>
        <w:t xml:space="preserve"> y la compra pública</w:t>
      </w:r>
      <w:r w:rsidRPr="0069552F">
        <w:rPr>
          <w:rFonts w:ascii="Arial" w:eastAsia="Arial" w:hAnsi="Arial" w:cs="Arial"/>
          <w:sz w:val="22"/>
          <w:szCs w:val="22"/>
        </w:rPr>
        <w:t>.</w:t>
      </w:r>
      <w:r>
        <w:rPr>
          <w:rFonts w:ascii="Arial" w:hAnsi="Arial" w:cs="Arial"/>
          <w:sz w:val="22"/>
          <w:lang w:val="es-ES"/>
        </w:rPr>
        <w:t xml:space="preserve"> Dicha competencia no se extiende a la </w:t>
      </w:r>
      <w:r w:rsidRPr="00162BC5">
        <w:rPr>
          <w:rFonts w:ascii="Arial" w:hAnsi="Arial" w:cs="Arial"/>
          <w:sz w:val="22"/>
          <w:lang w:val="es-ES"/>
        </w:rPr>
        <w:t>resol</w:t>
      </w:r>
      <w:r>
        <w:rPr>
          <w:rFonts w:ascii="Arial" w:hAnsi="Arial" w:cs="Arial"/>
          <w:sz w:val="22"/>
          <w:lang w:val="es-ES"/>
        </w:rPr>
        <w:t>ución de</w:t>
      </w:r>
      <w:r w:rsidRPr="00162BC5">
        <w:rPr>
          <w:rFonts w:ascii="Arial" w:hAnsi="Arial" w:cs="Arial"/>
          <w:sz w:val="22"/>
          <w:lang w:val="es-ES"/>
        </w:rPr>
        <w:t xml:space="preserve"> casos particulares</w:t>
      </w:r>
      <w:r>
        <w:rPr>
          <w:rFonts w:ascii="Arial" w:hAnsi="Arial" w:cs="Arial"/>
          <w:sz w:val="22"/>
          <w:lang w:val="es-ES"/>
        </w:rPr>
        <w:t xml:space="preserve"> o la posibilidad de que esta Agencia entre calificar actuaciones de otras Entidades Estatales en el marco de los Procesos de Contratación que adelanta, comoquiera que ello</w:t>
      </w:r>
      <w:r w:rsidRPr="00162BC5">
        <w:rPr>
          <w:rFonts w:ascii="Arial" w:hAnsi="Arial" w:cs="Arial"/>
          <w:sz w:val="22"/>
          <w:lang w:val="es-ES"/>
        </w:rPr>
        <w:t xml:space="preserve"> desborda las atribuciones asignada</w:t>
      </w:r>
      <w:r>
        <w:rPr>
          <w:rFonts w:ascii="Arial" w:hAnsi="Arial" w:cs="Arial"/>
          <w:sz w:val="22"/>
          <w:lang w:val="es-ES"/>
        </w:rPr>
        <w:t>s</w:t>
      </w:r>
      <w:r w:rsidRPr="00162BC5">
        <w:rPr>
          <w:rFonts w:ascii="Arial" w:hAnsi="Arial" w:cs="Arial"/>
          <w:sz w:val="22"/>
          <w:lang w:val="es-ES"/>
        </w:rPr>
        <w:t xml:space="preserve"> por el legislador extraordinario, que no concibió a Colombia Compra Eficiente como una autoridad para solucionar problemas jurídicos particulares</w:t>
      </w:r>
      <w:r>
        <w:rPr>
          <w:rFonts w:ascii="Arial" w:hAnsi="Arial" w:cs="Arial"/>
          <w:bCs/>
          <w:sz w:val="22"/>
        </w:rPr>
        <w:t xml:space="preserve"> de todos los partícipes de la contratación estatal.</w:t>
      </w:r>
    </w:p>
    <w:p w14:paraId="56159B5F" w14:textId="77777777" w:rsidR="00B84284" w:rsidRDefault="00B84284" w:rsidP="00B84284">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Sin perjuicio de lo anterior, de acuerdo con las consideraciones expuestas, en respuesta a su consulta resulta valido afirmar que e</w:t>
      </w:r>
      <w:r w:rsidRPr="00BD58C9">
        <w:rPr>
          <w:rFonts w:ascii="Arial" w:hAnsi="Arial" w:cs="Arial"/>
          <w:color w:val="000000" w:themeColor="text1"/>
          <w:sz w:val="22"/>
        </w:rPr>
        <w:t>l</w:t>
      </w:r>
      <w:r>
        <w:rPr>
          <w:rFonts w:ascii="Arial" w:hAnsi="Arial" w:cs="Arial"/>
          <w:color w:val="000000" w:themeColor="text1"/>
          <w:sz w:val="22"/>
        </w:rPr>
        <w:t xml:space="preserve"> artículo 34 de la Ley 2069 de 2020 y</w:t>
      </w:r>
      <w:r w:rsidRPr="00BD58C9">
        <w:rPr>
          <w:rFonts w:ascii="Arial" w:hAnsi="Arial" w:cs="Arial"/>
          <w:color w:val="000000" w:themeColor="text1"/>
          <w:sz w:val="22"/>
        </w:rPr>
        <w:t xml:space="preserve"> Decreto 1082 de 2015</w:t>
      </w:r>
      <w:r>
        <w:rPr>
          <w:rFonts w:ascii="Arial" w:hAnsi="Arial" w:cs="Arial"/>
          <w:color w:val="000000" w:themeColor="text1"/>
          <w:sz w:val="22"/>
        </w:rPr>
        <w:t>, modificado por el Decreto 1860 de 2021</w:t>
      </w:r>
      <w:r w:rsidRPr="00BD58C9">
        <w:rPr>
          <w:rFonts w:ascii="Arial" w:hAnsi="Arial" w:cs="Arial"/>
          <w:color w:val="000000" w:themeColor="text1"/>
          <w:sz w:val="22"/>
        </w:rPr>
        <w:t xml:space="preserve"> regula</w:t>
      </w:r>
      <w:r>
        <w:rPr>
          <w:rFonts w:ascii="Arial" w:hAnsi="Arial" w:cs="Arial"/>
          <w:color w:val="000000" w:themeColor="text1"/>
          <w:sz w:val="22"/>
        </w:rPr>
        <w:t>n</w:t>
      </w:r>
      <w:r w:rsidRPr="00BD58C9">
        <w:rPr>
          <w:rFonts w:ascii="Arial" w:hAnsi="Arial" w:cs="Arial"/>
          <w:color w:val="000000" w:themeColor="text1"/>
          <w:sz w:val="22"/>
        </w:rPr>
        <w:t xml:space="preserve"> la limitación de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en dos normas distintas que deben leerse conjunta y armónicamente. Por un lado, el artículo </w:t>
      </w:r>
      <w:r w:rsidRPr="00BD58C9">
        <w:rPr>
          <w:rFonts w:ascii="Arial" w:eastAsia="Calibri" w:hAnsi="Arial" w:cs="Arial"/>
          <w:color w:val="000000" w:themeColor="text1"/>
          <w:sz w:val="22"/>
        </w:rPr>
        <w:t xml:space="preserve">2.2.1.2.4.2.2. </w:t>
      </w:r>
      <w:r w:rsidRPr="00BD58C9">
        <w:rPr>
          <w:rFonts w:ascii="Arial" w:hAnsi="Arial" w:cs="Arial"/>
          <w:color w:val="000000" w:themeColor="text1"/>
          <w:sz w:val="22"/>
        </w:rPr>
        <w:t>prevé los requisitos generales</w:t>
      </w:r>
      <w:r>
        <w:rPr>
          <w:rFonts w:ascii="Arial" w:hAnsi="Arial" w:cs="Arial"/>
          <w:color w:val="000000" w:themeColor="text1"/>
          <w:sz w:val="22"/>
        </w:rPr>
        <w:t xml:space="preserve"> ante los cuales la entidad debe</w:t>
      </w:r>
      <w:r w:rsidRPr="00BD58C9">
        <w:rPr>
          <w:rFonts w:ascii="Arial" w:hAnsi="Arial" w:cs="Arial"/>
          <w:color w:val="000000" w:themeColor="text1"/>
          <w:sz w:val="22"/>
        </w:rPr>
        <w:t xml:space="preserve"> </w:t>
      </w:r>
      <w:r>
        <w:rPr>
          <w:rFonts w:ascii="Arial" w:hAnsi="Arial" w:cs="Arial"/>
          <w:color w:val="000000" w:themeColor="text1"/>
          <w:sz w:val="22"/>
        </w:rPr>
        <w:t>limitar</w:t>
      </w:r>
      <w:r w:rsidRPr="00BD58C9">
        <w:rPr>
          <w:rFonts w:ascii="Arial" w:hAnsi="Arial" w:cs="Arial"/>
          <w:color w:val="000000" w:themeColor="text1"/>
          <w:sz w:val="22"/>
        </w:rPr>
        <w:t xml:space="preserve"> sus convocatorias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Por el otro, el artículo </w:t>
      </w:r>
      <w:r w:rsidRPr="00BD58C9">
        <w:rPr>
          <w:rFonts w:ascii="Arial" w:eastAsia="Calibri" w:hAnsi="Arial" w:cs="Arial"/>
          <w:color w:val="000000" w:themeColor="text1"/>
          <w:sz w:val="22"/>
        </w:rPr>
        <w:t xml:space="preserve">2.2.1.2.4.2.3. </w:t>
      </w:r>
      <w:r w:rsidRPr="00BD58C9">
        <w:rPr>
          <w:rFonts w:ascii="Arial" w:hAnsi="Arial" w:cs="Arial"/>
          <w:color w:val="000000" w:themeColor="text1"/>
          <w:sz w:val="22"/>
        </w:rPr>
        <w:t xml:space="preserve">establece la posibilidad de limitar la convocatoria a </w:t>
      </w:r>
      <w:proofErr w:type="spellStart"/>
      <w:r w:rsidRPr="00BD58C9">
        <w:rPr>
          <w:rFonts w:ascii="Arial" w:hAnsi="Arial" w:cs="Arial"/>
          <w:color w:val="000000" w:themeColor="text1"/>
          <w:sz w:val="22"/>
        </w:rPr>
        <w:t>Mipymes</w:t>
      </w:r>
      <w:proofErr w:type="spellEnd"/>
      <w:r w:rsidRPr="00BD58C9">
        <w:rPr>
          <w:rFonts w:ascii="Arial" w:hAnsi="Arial" w:cs="Arial"/>
          <w:color w:val="000000" w:themeColor="text1"/>
          <w:sz w:val="22"/>
        </w:rPr>
        <w:t xml:space="preserve"> nacionales domiciliadas en los departamentos o municipios en donde se va a ejecutar el contrato, por supuesto, siempre que la entidad así lo decida y solo si se cumplen las exigencias del artículo </w:t>
      </w:r>
      <w:r w:rsidRPr="00BD58C9">
        <w:rPr>
          <w:rFonts w:ascii="Arial" w:eastAsia="Calibri" w:hAnsi="Arial" w:cs="Arial"/>
          <w:color w:val="000000" w:themeColor="text1"/>
          <w:sz w:val="22"/>
        </w:rPr>
        <w:t>2.2.1.2.4.2.2.</w:t>
      </w:r>
    </w:p>
    <w:p w14:paraId="15F65FA9" w14:textId="77777777" w:rsidR="00B84284" w:rsidRPr="00BD58C9" w:rsidRDefault="00B84284" w:rsidP="00B84284">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Esta Agencia considera que l</w:t>
      </w:r>
      <w:r w:rsidRPr="00BD58C9">
        <w:rPr>
          <w:rFonts w:ascii="Arial" w:eastAsia="Calibri" w:hAnsi="Arial" w:cs="Arial"/>
          <w:color w:val="000000" w:themeColor="text1"/>
          <w:sz w:val="22"/>
        </w:rPr>
        <w:t xml:space="preserve">a decisión de limitar </w:t>
      </w:r>
      <w:r w:rsidRPr="00B83979">
        <w:rPr>
          <w:rFonts w:ascii="Arial" w:eastAsia="Calibri" w:hAnsi="Arial" w:cs="Arial"/>
          <w:i/>
          <w:iCs/>
          <w:color w:val="000000" w:themeColor="text1"/>
          <w:sz w:val="22"/>
        </w:rPr>
        <w:t>territorialmente</w:t>
      </w:r>
      <w:r w:rsidRPr="00BD58C9">
        <w:rPr>
          <w:rFonts w:ascii="Arial" w:eastAsia="Calibri" w:hAnsi="Arial" w:cs="Arial"/>
          <w:color w:val="000000" w:themeColor="text1"/>
          <w:sz w:val="22"/>
        </w:rPr>
        <w:t xml:space="preserve"> una convocatoria </w:t>
      </w:r>
      <w:r>
        <w:rPr>
          <w:rFonts w:ascii="Arial" w:eastAsia="Calibri" w:hAnsi="Arial" w:cs="Arial"/>
          <w:color w:val="000000" w:themeColor="text1"/>
          <w:sz w:val="22"/>
        </w:rPr>
        <w:t>a</w:t>
      </w:r>
      <w:r w:rsidRPr="00BD58C9">
        <w:rPr>
          <w:rFonts w:ascii="Arial" w:eastAsia="Calibri" w:hAnsi="Arial" w:cs="Arial"/>
          <w:color w:val="000000" w:themeColor="text1"/>
          <w:sz w:val="22"/>
        </w:rPr>
        <w:t xml:space="preserve"> </w:t>
      </w:r>
      <w:proofErr w:type="spellStart"/>
      <w:r w:rsidRPr="00BD58C9">
        <w:rPr>
          <w:rFonts w:ascii="Arial" w:eastAsia="Calibri" w:hAnsi="Arial" w:cs="Arial"/>
          <w:color w:val="000000" w:themeColor="text1"/>
          <w:sz w:val="22"/>
        </w:rPr>
        <w:t>Mipymes</w:t>
      </w:r>
      <w:proofErr w:type="spellEnd"/>
      <w:r>
        <w:rPr>
          <w:rFonts w:ascii="Arial" w:eastAsia="Calibri" w:hAnsi="Arial" w:cs="Arial"/>
          <w:color w:val="000000" w:themeColor="text1"/>
          <w:sz w:val="22"/>
        </w:rPr>
        <w:t xml:space="preserve"> </w:t>
      </w:r>
      <w:r w:rsidRPr="00BD58C9">
        <w:rPr>
          <w:rFonts w:ascii="Arial" w:eastAsia="Calibri" w:hAnsi="Arial" w:cs="Arial"/>
          <w:color w:val="000000" w:themeColor="text1"/>
          <w:sz w:val="22"/>
        </w:rPr>
        <w:t xml:space="preserve">es </w:t>
      </w:r>
      <w:r w:rsidRPr="00B83979">
        <w:rPr>
          <w:rFonts w:ascii="Arial" w:eastAsia="Calibri" w:hAnsi="Arial" w:cs="Arial"/>
          <w:i/>
          <w:iCs/>
          <w:color w:val="000000" w:themeColor="text1"/>
          <w:sz w:val="22"/>
        </w:rPr>
        <w:t>discrecional</w:t>
      </w:r>
      <w:r w:rsidRPr="00BD58C9">
        <w:rPr>
          <w:rFonts w:ascii="Arial" w:eastAsia="Calibri" w:hAnsi="Arial" w:cs="Arial"/>
          <w:color w:val="000000" w:themeColor="text1"/>
          <w:sz w:val="22"/>
        </w:rPr>
        <w:t xml:space="preserve">, </w:t>
      </w:r>
      <w:r>
        <w:rPr>
          <w:rFonts w:ascii="Arial" w:eastAsia="Calibri" w:hAnsi="Arial" w:cs="Arial"/>
          <w:color w:val="000000" w:themeColor="text1"/>
          <w:sz w:val="22"/>
        </w:rPr>
        <w:t>independientemente del</w:t>
      </w:r>
      <w:r w:rsidRPr="00BD58C9">
        <w:rPr>
          <w:rFonts w:ascii="Arial" w:eastAsia="Calibri" w:hAnsi="Arial" w:cs="Arial"/>
          <w:color w:val="000000" w:themeColor="text1"/>
          <w:sz w:val="22"/>
        </w:rPr>
        <w:t xml:space="preserve"> </w:t>
      </w:r>
      <w:r>
        <w:rPr>
          <w:rFonts w:ascii="Arial" w:eastAsia="Calibri" w:hAnsi="Arial" w:cs="Arial"/>
          <w:color w:val="000000" w:themeColor="text1"/>
          <w:sz w:val="22"/>
        </w:rPr>
        <w:t>“</w:t>
      </w:r>
      <w:r w:rsidRPr="00BD58C9">
        <w:rPr>
          <w:rFonts w:ascii="Arial" w:eastAsia="Calibri" w:hAnsi="Arial" w:cs="Arial"/>
          <w:color w:val="000000" w:themeColor="text1"/>
          <w:sz w:val="22"/>
        </w:rPr>
        <w:t>domicilio</w:t>
      </w:r>
      <w:r>
        <w:rPr>
          <w:rFonts w:ascii="Arial" w:eastAsia="Calibri" w:hAnsi="Arial" w:cs="Arial"/>
          <w:color w:val="000000" w:themeColor="text1"/>
          <w:sz w:val="22"/>
        </w:rPr>
        <w:t>”</w:t>
      </w:r>
      <w:r w:rsidRPr="00BD58C9">
        <w:rPr>
          <w:rFonts w:ascii="Arial" w:eastAsia="Calibri" w:hAnsi="Arial" w:cs="Arial"/>
          <w:color w:val="000000" w:themeColor="text1"/>
          <w:sz w:val="22"/>
        </w:rPr>
        <w:t xml:space="preserve"> de las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nacionales que solicitaron limitar la convocatoria</w:t>
      </w:r>
      <w:r>
        <w:rPr>
          <w:rFonts w:ascii="Arial" w:eastAsia="Calibri" w:hAnsi="Arial" w:cs="Arial"/>
          <w:color w:val="000000" w:themeColor="text1"/>
          <w:sz w:val="22"/>
        </w:rPr>
        <w:t xml:space="preserve"> –aunque dicha circunstancia podría servir de motivación para la limitación territorial–, </w:t>
      </w:r>
      <w:r w:rsidRPr="00BD58C9">
        <w:rPr>
          <w:rFonts w:ascii="Arial" w:eastAsia="Calibri" w:hAnsi="Arial" w:cs="Arial"/>
          <w:color w:val="000000" w:themeColor="text1"/>
          <w:sz w:val="22"/>
        </w:rPr>
        <w:t xml:space="preserve">y ha precisado que, de todos modos, la decisión debe estar justificada en los correspondientes </w:t>
      </w:r>
      <w:r>
        <w:rPr>
          <w:rFonts w:ascii="Arial" w:eastAsia="Calibri" w:hAnsi="Arial" w:cs="Arial"/>
          <w:color w:val="000000" w:themeColor="text1"/>
          <w:sz w:val="22"/>
        </w:rPr>
        <w:t>“</w:t>
      </w:r>
      <w:r w:rsidRPr="00BD58C9">
        <w:rPr>
          <w:rFonts w:ascii="Arial" w:eastAsia="Calibri" w:hAnsi="Arial" w:cs="Arial"/>
          <w:color w:val="000000" w:themeColor="text1"/>
          <w:sz w:val="22"/>
        </w:rPr>
        <w:t>estudios del sector</w:t>
      </w:r>
      <w:r>
        <w:rPr>
          <w:rFonts w:ascii="Arial" w:eastAsia="Calibri" w:hAnsi="Arial" w:cs="Arial"/>
          <w:color w:val="000000" w:themeColor="text1"/>
          <w:sz w:val="22"/>
        </w:rPr>
        <w:t>”</w:t>
      </w:r>
      <w:r w:rsidRPr="00BD58C9">
        <w:rPr>
          <w:rFonts w:ascii="Arial" w:eastAsia="Calibri" w:hAnsi="Arial" w:cs="Arial"/>
          <w:color w:val="000000" w:themeColor="text1"/>
          <w:sz w:val="22"/>
        </w:rPr>
        <w:t>.</w:t>
      </w:r>
      <w:r>
        <w:rPr>
          <w:rFonts w:ascii="Arial" w:eastAsia="Calibri" w:hAnsi="Arial" w:cs="Arial"/>
          <w:color w:val="000000" w:themeColor="text1"/>
          <w:sz w:val="22"/>
        </w:rPr>
        <w:t xml:space="preserve"> Por ello, </w:t>
      </w:r>
      <w:r w:rsidRPr="00BD58C9">
        <w:rPr>
          <w:rFonts w:ascii="Arial" w:eastAsia="Calibri" w:hAnsi="Arial" w:cs="Arial"/>
          <w:color w:val="000000" w:themeColor="text1"/>
          <w:sz w:val="22"/>
        </w:rPr>
        <w:t xml:space="preserve">lo </w:t>
      </w:r>
      <w:r w:rsidRPr="00B83979">
        <w:rPr>
          <w:rFonts w:ascii="Arial" w:eastAsia="Calibri" w:hAnsi="Arial" w:cs="Arial"/>
          <w:i/>
          <w:iCs/>
          <w:color w:val="000000" w:themeColor="text1"/>
          <w:sz w:val="22"/>
        </w:rPr>
        <w:t>recomendable</w:t>
      </w:r>
      <w:r w:rsidRPr="00BD58C9">
        <w:rPr>
          <w:rFonts w:ascii="Arial" w:eastAsia="Calibri" w:hAnsi="Arial" w:cs="Arial"/>
          <w:color w:val="000000" w:themeColor="text1"/>
          <w:sz w:val="22"/>
        </w:rPr>
        <w:t xml:space="preserve"> es que las entidades establezcan </w:t>
      </w:r>
      <w:r w:rsidRPr="00BD58C9">
        <w:rPr>
          <w:rFonts w:ascii="Arial" w:eastAsia="Calibri" w:hAnsi="Arial" w:cs="Arial"/>
          <w:i/>
          <w:iCs/>
          <w:color w:val="000000" w:themeColor="text1"/>
          <w:sz w:val="22"/>
        </w:rPr>
        <w:t xml:space="preserve">ex ante </w:t>
      </w:r>
      <w:r w:rsidRPr="00BD58C9">
        <w:rPr>
          <w:rFonts w:ascii="Arial" w:eastAsia="Calibri" w:hAnsi="Arial" w:cs="Arial"/>
          <w:color w:val="000000" w:themeColor="text1"/>
          <w:sz w:val="22"/>
        </w:rPr>
        <w:t xml:space="preserve">las condiciones en las que, eventualmente, harían la </w:t>
      </w:r>
      <w:r>
        <w:rPr>
          <w:rFonts w:ascii="Arial" w:eastAsia="Calibri" w:hAnsi="Arial" w:cs="Arial"/>
          <w:color w:val="000000" w:themeColor="text1"/>
          <w:sz w:val="22"/>
        </w:rPr>
        <w:t>“</w:t>
      </w:r>
      <w:r w:rsidRPr="00BD58C9">
        <w:rPr>
          <w:rFonts w:ascii="Arial" w:eastAsia="Calibri" w:hAnsi="Arial" w:cs="Arial"/>
          <w:color w:val="000000" w:themeColor="text1"/>
          <w:sz w:val="22"/>
        </w:rPr>
        <w:t>limitación territorial</w:t>
      </w:r>
      <w:r>
        <w:rPr>
          <w:rFonts w:ascii="Arial" w:eastAsia="Calibri" w:hAnsi="Arial" w:cs="Arial"/>
          <w:color w:val="000000" w:themeColor="text1"/>
          <w:sz w:val="22"/>
        </w:rPr>
        <w:t>”</w:t>
      </w:r>
      <w:r w:rsidRPr="00BD58C9">
        <w:rPr>
          <w:rFonts w:ascii="Arial" w:eastAsia="Calibri" w:hAnsi="Arial" w:cs="Arial"/>
          <w:color w:val="000000" w:themeColor="text1"/>
          <w:sz w:val="22"/>
        </w:rPr>
        <w:t xml:space="preserve">. Para tales fines, en el proyecto de pliego de condiciones podrían establecer claramente los términos de dicha limitación, los supuestos que darían lugar a su aplicación y, sobre todo, la forma como procedería la entidad si decide optar por limitar territorialmente la convocatoria en que se </w:t>
      </w:r>
      <w:r w:rsidRPr="00BD58C9">
        <w:rPr>
          <w:rFonts w:ascii="Arial" w:eastAsia="Calibri" w:hAnsi="Arial" w:cs="Arial"/>
          <w:color w:val="000000" w:themeColor="text1"/>
          <w:sz w:val="22"/>
        </w:rPr>
        <w:lastRenderedPageBreak/>
        <w:t xml:space="preserve">cumplan los presupuestos para ser limitada a </w:t>
      </w:r>
      <w:proofErr w:type="spellStart"/>
      <w:r w:rsidRPr="00BD58C9">
        <w:rPr>
          <w:rFonts w:ascii="Arial" w:eastAsia="Calibri" w:hAnsi="Arial" w:cs="Arial"/>
          <w:color w:val="000000" w:themeColor="text1"/>
          <w:sz w:val="22"/>
        </w:rPr>
        <w:t>Mipymes</w:t>
      </w:r>
      <w:proofErr w:type="spellEnd"/>
      <w:r w:rsidRPr="00BD58C9">
        <w:rPr>
          <w:rFonts w:ascii="Arial" w:eastAsia="Calibri" w:hAnsi="Arial" w:cs="Arial"/>
          <w:color w:val="000000" w:themeColor="text1"/>
          <w:sz w:val="22"/>
        </w:rPr>
        <w:t xml:space="preserve">, como, por ejemplo, </w:t>
      </w:r>
      <w:r>
        <w:rPr>
          <w:rFonts w:ascii="Arial" w:eastAsia="Calibri" w:hAnsi="Arial" w:cs="Arial"/>
          <w:color w:val="000000" w:themeColor="text1"/>
          <w:sz w:val="22"/>
        </w:rPr>
        <w:t>hacer explícito en</w:t>
      </w:r>
      <w:r w:rsidRPr="00BD58C9">
        <w:rPr>
          <w:rFonts w:ascii="Arial" w:eastAsia="Calibri" w:hAnsi="Arial" w:cs="Arial"/>
          <w:color w:val="000000" w:themeColor="text1"/>
          <w:sz w:val="22"/>
        </w:rPr>
        <w:t xml:space="preserve"> cuál o cuáles municipios o departamentos harían la limitación territorial de que trata el artículo 2.2.1.2.4.2.3. del Decreto 1082 de 2015.</w:t>
      </w:r>
    </w:p>
    <w:p w14:paraId="27C08933" w14:textId="77777777" w:rsidR="00B84284" w:rsidRPr="00621C87" w:rsidRDefault="00B84284" w:rsidP="00B84284">
      <w:pPr>
        <w:spacing w:before="120" w:line="276" w:lineRule="auto"/>
        <w:ind w:firstLine="709"/>
        <w:jc w:val="both"/>
        <w:rPr>
          <w:rFonts w:ascii="Arial" w:eastAsia="Arial" w:hAnsi="Arial" w:cs="Arial"/>
          <w:color w:val="000000"/>
          <w:sz w:val="22"/>
          <w:lang w:val="es-MX"/>
        </w:rPr>
      </w:pPr>
      <w:r>
        <w:rPr>
          <w:rFonts w:ascii="Arial" w:eastAsia="Calibri" w:hAnsi="Arial" w:cs="Arial"/>
          <w:sz w:val="22"/>
          <w:szCs w:val="22"/>
        </w:rPr>
        <w:t xml:space="preserve">En todo caso, </w:t>
      </w:r>
      <w:r w:rsidRPr="00621C87">
        <w:rPr>
          <w:rFonts w:ascii="Arial" w:eastAsia="Arial" w:hAnsi="Arial" w:cs="Arial"/>
          <w:color w:val="000000"/>
          <w:sz w:val="22"/>
          <w:szCs w:val="22"/>
          <w:lang w:val="es-MX" w:eastAsia="en-US"/>
        </w:rPr>
        <w:t xml:space="preserve">la decisión de limitar </w:t>
      </w:r>
      <w:r>
        <w:rPr>
          <w:rFonts w:ascii="Arial" w:eastAsia="Arial" w:hAnsi="Arial" w:cs="Arial"/>
          <w:color w:val="000000"/>
          <w:sz w:val="22"/>
          <w:szCs w:val="22"/>
          <w:lang w:val="es-MX" w:eastAsia="en-US"/>
        </w:rPr>
        <w:t>procesos de contratación “</w:t>
      </w:r>
      <w:r w:rsidRPr="00621C87">
        <w:rPr>
          <w:rFonts w:ascii="Arial" w:eastAsia="Arial" w:hAnsi="Arial" w:cs="Arial"/>
          <w:color w:val="000000"/>
          <w:sz w:val="22"/>
          <w:szCs w:val="22"/>
          <w:lang w:val="es-MX" w:eastAsia="en-US"/>
        </w:rPr>
        <w:t xml:space="preserve">a </w:t>
      </w:r>
      <w:proofErr w:type="spellStart"/>
      <w:r w:rsidRPr="00621C87">
        <w:rPr>
          <w:rFonts w:ascii="Arial" w:eastAsia="Arial" w:hAnsi="Arial" w:cs="Arial"/>
          <w:color w:val="000000"/>
          <w:sz w:val="22"/>
          <w:szCs w:val="22"/>
          <w:lang w:val="es-MX" w:eastAsia="en-US"/>
        </w:rPr>
        <w:t>Mipyme</w:t>
      </w:r>
      <w:proofErr w:type="spellEnd"/>
      <w:r w:rsidRPr="00621C87">
        <w:rPr>
          <w:rFonts w:ascii="Arial" w:eastAsia="Arial" w:hAnsi="Arial" w:cs="Arial"/>
          <w:color w:val="000000"/>
          <w:sz w:val="22"/>
          <w:szCs w:val="22"/>
          <w:lang w:val="es-MX" w:eastAsia="en-US"/>
        </w:rPr>
        <w:t xml:space="preserve"> colombianas que tengan domicilio en los departamentos o municipios en donde se va a ejecutar el contrato</w:t>
      </w:r>
      <w:r>
        <w:rPr>
          <w:rFonts w:ascii="Arial" w:eastAsia="Arial" w:hAnsi="Arial" w:cs="Arial"/>
          <w:color w:val="000000"/>
          <w:sz w:val="22"/>
          <w:szCs w:val="22"/>
          <w:lang w:val="es-MX" w:eastAsia="en-US"/>
        </w:rPr>
        <w:t>”</w:t>
      </w:r>
      <w:r w:rsidRPr="00621C87">
        <w:rPr>
          <w:rFonts w:ascii="Arial" w:eastAsia="Arial" w:hAnsi="Arial" w:cs="Arial"/>
          <w:color w:val="000000"/>
          <w:sz w:val="22"/>
          <w:szCs w:val="22"/>
          <w:lang w:val="es-MX" w:eastAsia="en-US"/>
        </w:rPr>
        <w:t xml:space="preserve">, aunque es facultativa de la entidad, está supeditada a que se verifiquen los requisitos establecidos en los numerales 1 y 2 del artículo 2.2.1.2.4.2.2. del Decreto 1082 de 2015, modificado por el Decreto 1860 de 2021. En ese sentido, si la entidad no recibió las solicitudes para limitar la convocatoria a </w:t>
      </w:r>
      <w:proofErr w:type="spellStart"/>
      <w:r w:rsidRPr="00621C87">
        <w:rPr>
          <w:rFonts w:ascii="Arial" w:eastAsia="Arial" w:hAnsi="Arial" w:cs="Arial"/>
          <w:color w:val="000000"/>
          <w:sz w:val="22"/>
          <w:szCs w:val="22"/>
          <w:lang w:val="es-MX" w:eastAsia="en-US"/>
        </w:rPr>
        <w:t>Mipymes</w:t>
      </w:r>
      <w:proofErr w:type="spellEnd"/>
      <w:r w:rsidRPr="00621C87">
        <w:rPr>
          <w:rFonts w:ascii="Arial" w:eastAsia="Arial" w:hAnsi="Arial" w:cs="Arial"/>
          <w:color w:val="000000"/>
          <w:sz w:val="22"/>
          <w:szCs w:val="22"/>
          <w:lang w:val="es-MX" w:eastAsia="en-US"/>
        </w:rPr>
        <w:t xml:space="preserve">, no puede </w:t>
      </w:r>
      <w:proofErr w:type="gramStart"/>
      <w:r w:rsidRPr="00621C87">
        <w:rPr>
          <w:rFonts w:ascii="Arial" w:eastAsia="Arial" w:hAnsi="Arial" w:cs="Arial"/>
          <w:i/>
          <w:color w:val="000000"/>
          <w:sz w:val="22"/>
          <w:szCs w:val="22"/>
          <w:lang w:val="es-MX" w:eastAsia="en-US"/>
        </w:rPr>
        <w:t>motu propio</w:t>
      </w:r>
      <w:proofErr w:type="gramEnd"/>
      <w:r w:rsidRPr="00621C87">
        <w:rPr>
          <w:rFonts w:ascii="Arial" w:eastAsia="Arial" w:hAnsi="Arial" w:cs="Arial"/>
          <w:i/>
          <w:color w:val="000000"/>
          <w:sz w:val="22"/>
          <w:szCs w:val="22"/>
          <w:lang w:val="es-MX" w:eastAsia="en-US"/>
        </w:rPr>
        <w:t xml:space="preserve"> </w:t>
      </w:r>
      <w:r w:rsidRPr="00621C87">
        <w:rPr>
          <w:rFonts w:ascii="Arial" w:eastAsia="Arial" w:hAnsi="Arial" w:cs="Arial"/>
          <w:color w:val="000000"/>
          <w:sz w:val="22"/>
          <w:szCs w:val="22"/>
          <w:lang w:val="es-MX" w:eastAsia="en-US"/>
        </w:rPr>
        <w:t xml:space="preserve">proceder con la </w:t>
      </w:r>
      <w:r>
        <w:rPr>
          <w:rFonts w:ascii="Arial" w:eastAsia="Arial" w:hAnsi="Arial" w:cs="Arial"/>
          <w:color w:val="000000"/>
          <w:sz w:val="22"/>
          <w:szCs w:val="22"/>
          <w:lang w:val="es-MX" w:eastAsia="en-US"/>
        </w:rPr>
        <w:t>“</w:t>
      </w:r>
      <w:r w:rsidRPr="00621C87">
        <w:rPr>
          <w:rFonts w:ascii="Arial" w:eastAsia="Arial" w:hAnsi="Arial" w:cs="Arial"/>
          <w:color w:val="000000"/>
          <w:sz w:val="22"/>
          <w:szCs w:val="22"/>
          <w:lang w:val="es-MX" w:eastAsia="en-US"/>
        </w:rPr>
        <w:t>limitación territorial</w:t>
      </w:r>
      <w:r>
        <w:rPr>
          <w:rFonts w:ascii="Arial" w:eastAsia="Arial" w:hAnsi="Arial" w:cs="Arial"/>
          <w:color w:val="000000"/>
          <w:sz w:val="22"/>
          <w:szCs w:val="22"/>
          <w:lang w:val="es-MX" w:eastAsia="en-US"/>
        </w:rPr>
        <w:t>”</w:t>
      </w:r>
      <w:r w:rsidRPr="00621C87">
        <w:rPr>
          <w:rFonts w:ascii="Arial" w:eastAsia="Arial" w:hAnsi="Arial" w:cs="Arial"/>
          <w:color w:val="000000"/>
          <w:sz w:val="22"/>
          <w:szCs w:val="22"/>
          <w:lang w:val="es-MX" w:eastAsia="en-US"/>
        </w:rPr>
        <w:t xml:space="preserve"> de que trata el artículo 2.2.1.2.4.2.3. del Decreto 1082 de 2015. Esto debido a que el ejercicio de esta facultad solo puede darse ante la </w:t>
      </w:r>
      <w:r>
        <w:rPr>
          <w:rFonts w:ascii="Arial" w:eastAsia="Arial" w:hAnsi="Arial" w:cs="Arial"/>
          <w:color w:val="000000"/>
          <w:sz w:val="22"/>
          <w:szCs w:val="22"/>
          <w:lang w:val="es-MX" w:eastAsia="en-US"/>
        </w:rPr>
        <w:t>“</w:t>
      </w:r>
      <w:r w:rsidRPr="00621C87">
        <w:rPr>
          <w:rFonts w:ascii="Arial" w:eastAsia="Arial" w:hAnsi="Arial" w:cs="Arial"/>
          <w:color w:val="000000"/>
          <w:sz w:val="22"/>
          <w:szCs w:val="22"/>
          <w:lang w:val="es-MX" w:eastAsia="en-US"/>
        </w:rPr>
        <w:t xml:space="preserve">limitación a </w:t>
      </w:r>
      <w:proofErr w:type="spellStart"/>
      <w:r w:rsidRPr="00621C87">
        <w:rPr>
          <w:rFonts w:ascii="Arial" w:eastAsia="Arial" w:hAnsi="Arial" w:cs="Arial"/>
          <w:color w:val="000000"/>
          <w:sz w:val="22"/>
          <w:szCs w:val="22"/>
          <w:lang w:val="es-MX" w:eastAsia="en-US"/>
        </w:rPr>
        <w:t>Mipymes</w:t>
      </w:r>
      <w:proofErr w:type="spellEnd"/>
      <w:r w:rsidRPr="00621C87">
        <w:rPr>
          <w:rFonts w:ascii="Arial" w:eastAsia="Arial" w:hAnsi="Arial" w:cs="Arial"/>
          <w:color w:val="000000"/>
          <w:sz w:val="22"/>
          <w:szCs w:val="22"/>
          <w:lang w:val="es-MX" w:eastAsia="en-US"/>
        </w:rPr>
        <w:t xml:space="preserve"> colombianas</w:t>
      </w:r>
      <w:r>
        <w:rPr>
          <w:rFonts w:ascii="Arial" w:eastAsia="Arial" w:hAnsi="Arial" w:cs="Arial"/>
          <w:color w:val="000000"/>
          <w:sz w:val="22"/>
          <w:szCs w:val="22"/>
          <w:lang w:val="es-MX" w:eastAsia="en-US"/>
        </w:rPr>
        <w:t>”</w:t>
      </w:r>
      <w:r w:rsidRPr="00621C87">
        <w:rPr>
          <w:rFonts w:ascii="Arial" w:eastAsia="Arial" w:hAnsi="Arial" w:cs="Arial"/>
          <w:color w:val="000000"/>
          <w:sz w:val="22"/>
          <w:szCs w:val="22"/>
          <w:lang w:val="es-MX" w:eastAsia="en-US"/>
        </w:rPr>
        <w:t>, lo cual supone verificar los supuestos legales establecidos en los mencionados numerales.</w:t>
      </w:r>
    </w:p>
    <w:p w14:paraId="205C22DA" w14:textId="77777777" w:rsidR="00B84284" w:rsidRDefault="00B84284" w:rsidP="00B84284">
      <w:pPr>
        <w:spacing w:before="120" w:after="120" w:line="276" w:lineRule="auto"/>
        <w:ind w:firstLine="708"/>
        <w:jc w:val="both"/>
        <w:rPr>
          <w:rFonts w:ascii="Arial" w:eastAsia="Calibri" w:hAnsi="Arial" w:cs="Arial"/>
          <w:sz w:val="22"/>
        </w:rPr>
      </w:pPr>
      <w:r>
        <w:rPr>
          <w:rFonts w:ascii="Arial" w:eastAsia="Calibri" w:hAnsi="Arial" w:cs="Arial"/>
          <w:sz w:val="22"/>
        </w:rPr>
        <w:t xml:space="preserve">En todo caso, el hecho que la limitación territorial sea una facultad discrecional supone que a su ejercicio asistan unos mínimos presupuestos de proporcionalidad y adecuación respecto de los fines de la norma, que no es otro que contribuir al desarrollo económico territorial beneficiando a los </w:t>
      </w:r>
      <w:proofErr w:type="spellStart"/>
      <w:r>
        <w:rPr>
          <w:rFonts w:ascii="Arial" w:eastAsia="Calibri" w:hAnsi="Arial" w:cs="Arial"/>
          <w:sz w:val="22"/>
        </w:rPr>
        <w:t>mipymes</w:t>
      </w:r>
      <w:proofErr w:type="spellEnd"/>
      <w:r>
        <w:rPr>
          <w:rFonts w:ascii="Arial" w:eastAsia="Calibri" w:hAnsi="Arial" w:cs="Arial"/>
          <w:sz w:val="22"/>
        </w:rPr>
        <w:t xml:space="preserve"> domiciliadas en el lugar de ejecución del contrato, sin desconocer la libre concurrencia. De esta manera, el debido ejercicio de esta potestad exige que en el análisis del sector se identifiquen un número significativo de </w:t>
      </w:r>
      <w:proofErr w:type="spellStart"/>
      <w:r>
        <w:rPr>
          <w:rFonts w:ascii="Arial" w:eastAsia="Calibri" w:hAnsi="Arial" w:cs="Arial"/>
          <w:sz w:val="22"/>
        </w:rPr>
        <w:t>mipymes</w:t>
      </w:r>
      <w:proofErr w:type="spellEnd"/>
      <w:r>
        <w:rPr>
          <w:rFonts w:ascii="Arial" w:eastAsia="Calibri" w:hAnsi="Arial" w:cs="Arial"/>
          <w:sz w:val="22"/>
        </w:rPr>
        <w:t xml:space="preserve"> que tengan su domicilio en el respectivo ámbito territorial de ejecución del contrato, cuyo objeto social les permita ejecutar el contrato y que estén en posición de cumplir con los requisitos de participación del respectivo Proceso de Contratación. De acuerdo con esto, situaciones en las que se ejerce la facultad de limitar convocatorias a </w:t>
      </w:r>
      <w:proofErr w:type="spellStart"/>
      <w:r>
        <w:rPr>
          <w:rFonts w:ascii="Arial" w:eastAsia="Calibri" w:hAnsi="Arial" w:cs="Arial"/>
          <w:sz w:val="22"/>
        </w:rPr>
        <w:t>mipymes</w:t>
      </w:r>
      <w:proofErr w:type="spellEnd"/>
      <w:r>
        <w:rPr>
          <w:rFonts w:ascii="Arial" w:eastAsia="Calibri" w:hAnsi="Arial" w:cs="Arial"/>
          <w:sz w:val="22"/>
        </w:rPr>
        <w:t xml:space="preserve"> desconociendo estos presupuestos mínimos, no solo implican un ejercicio incorrecto de la referida potestad, sino que además pueden suponer una práctica restrictiva a la competencia.  </w:t>
      </w:r>
    </w:p>
    <w:p w14:paraId="09B1B6F4" w14:textId="77777777" w:rsidR="00B84284" w:rsidRDefault="00B84284" w:rsidP="00B84284">
      <w:pPr>
        <w:spacing w:before="120" w:after="120" w:line="276" w:lineRule="auto"/>
        <w:ind w:firstLine="709"/>
        <w:jc w:val="both"/>
        <w:rPr>
          <w:rFonts w:ascii="Arial" w:eastAsia="Calibri" w:hAnsi="Arial" w:cs="Arial"/>
          <w:sz w:val="22"/>
        </w:rPr>
      </w:pPr>
      <w:r>
        <w:rPr>
          <w:rFonts w:ascii="Arial" w:eastAsia="Calibri" w:hAnsi="Arial" w:cs="Arial"/>
          <w:sz w:val="22"/>
        </w:rPr>
        <w:t xml:space="preserve">En consideración a lo anterior, los proponentes y la ciudadanía en general están legitimados para cuestionar estas situaciones a través de mecanismos como la presentación de observaciones al pliego de condiciones, el ejercicio del derecho fundamental de petición ante la respectiva entidad estatal o la presentación de denuncias antes las autoridades competentes en el caso de que se evidencien prácticas restrictivas a la competencia con relevancia penal o disciplinaria. Del mismo modo, cualquier ciudadano bien podría solicitar el control judicial del respectivo pliego de condiciones –o invitación en los procesos de mínima cuantía–, cuando encuentren que estos contravienen el marco legal en el que deben enmarcarse.  </w:t>
      </w:r>
    </w:p>
    <w:p w14:paraId="01C45323" w14:textId="77777777" w:rsidR="00B84284" w:rsidRDefault="00B84284" w:rsidP="00B84284">
      <w:pPr>
        <w:spacing w:line="276" w:lineRule="auto"/>
        <w:jc w:val="both"/>
        <w:rPr>
          <w:rFonts w:ascii="Arial" w:hAnsi="Arial" w:cs="Arial"/>
          <w:sz w:val="22"/>
          <w:szCs w:val="22"/>
          <w:lang w:val="es-ES_tradnl"/>
        </w:rPr>
      </w:pPr>
    </w:p>
    <w:p w14:paraId="63B6046F" w14:textId="77777777" w:rsidR="00B84284" w:rsidRPr="00781AC2" w:rsidRDefault="00B84284" w:rsidP="00B84284">
      <w:pPr>
        <w:spacing w:line="276" w:lineRule="auto"/>
        <w:jc w:val="both"/>
        <w:rPr>
          <w:rFonts w:ascii="Arial" w:hAnsi="Arial" w:cs="Arial"/>
          <w:sz w:val="22"/>
          <w:szCs w:val="22"/>
          <w:lang w:val="es-ES_tradnl"/>
        </w:rPr>
      </w:pPr>
      <w:r w:rsidRPr="00781AC2">
        <w:rPr>
          <w:rFonts w:ascii="Arial" w:hAnsi="Arial" w:cs="Arial"/>
          <w:sz w:val="22"/>
          <w:szCs w:val="22"/>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58D5024C" w14:textId="77777777" w:rsidR="00B84284" w:rsidRPr="00781AC2" w:rsidRDefault="00B84284" w:rsidP="00B84284">
      <w:pPr>
        <w:pStyle w:val="NormalWeb"/>
        <w:spacing w:before="0" w:beforeAutospacing="0" w:after="0" w:afterAutospacing="0" w:line="276" w:lineRule="auto"/>
        <w:jc w:val="both"/>
        <w:rPr>
          <w:rFonts w:ascii="Arial" w:hAnsi="Arial" w:cs="Arial"/>
          <w:sz w:val="22"/>
          <w:szCs w:val="22"/>
          <w:lang w:val="es-ES_tradnl"/>
        </w:rPr>
      </w:pPr>
    </w:p>
    <w:p w14:paraId="7EC604A2" w14:textId="77777777" w:rsidR="00B84284" w:rsidRPr="00781AC2" w:rsidRDefault="00B84284" w:rsidP="00B84284">
      <w:pPr>
        <w:pStyle w:val="NormalWeb"/>
        <w:spacing w:before="0" w:beforeAutospacing="0" w:after="0" w:afterAutospacing="0" w:line="276" w:lineRule="auto"/>
        <w:jc w:val="both"/>
        <w:rPr>
          <w:rFonts w:ascii="Arial" w:hAnsi="Arial" w:cs="Arial"/>
          <w:sz w:val="22"/>
          <w:szCs w:val="22"/>
          <w:lang w:val="es-ES_tradnl"/>
        </w:rPr>
      </w:pPr>
      <w:r w:rsidRPr="00781AC2">
        <w:rPr>
          <w:rFonts w:ascii="Arial" w:hAnsi="Arial" w:cs="Arial"/>
          <w:sz w:val="22"/>
          <w:szCs w:val="22"/>
          <w:lang w:val="es-ES_tradnl"/>
        </w:rPr>
        <w:lastRenderedPageBreak/>
        <w:t>Atentamente,</w:t>
      </w:r>
    </w:p>
    <w:p w14:paraId="0DACB1B1" w14:textId="2DD44C29" w:rsidR="00B84284" w:rsidRPr="00781AC2" w:rsidRDefault="00F57AC1" w:rsidP="00B84284">
      <w:pPr>
        <w:spacing w:before="240" w:after="120" w:line="276" w:lineRule="auto"/>
        <w:jc w:val="center"/>
        <w:rPr>
          <w:rFonts w:ascii="Arial" w:eastAsia="Calibri" w:hAnsi="Arial" w:cs="Arial"/>
        </w:rPr>
      </w:pPr>
      <w:r>
        <w:rPr>
          <w:rFonts w:ascii="Arial" w:hAnsi="Arial" w:cs="Arial"/>
          <w:noProof/>
          <w:color w:val="000000"/>
          <w:sz w:val="18"/>
          <w:szCs w:val="18"/>
          <w:shd w:val="clear" w:color="auto" w:fill="FFFFFF"/>
        </w:rPr>
        <w:drawing>
          <wp:inline distT="0" distB="0" distL="0" distR="0" wp14:anchorId="5DD3E437" wp14:editId="012872E0">
            <wp:extent cx="3157855" cy="1212215"/>
            <wp:effectExtent l="0" t="0" r="4445" b="6985"/>
            <wp:docPr id="188705853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57855" cy="1212215"/>
                    </a:xfrm>
                    <a:prstGeom prst="rect">
                      <a:avLst/>
                    </a:prstGeom>
                    <a:noFill/>
                    <a:ln>
                      <a:noFill/>
                    </a:ln>
                  </pic:spPr>
                </pic:pic>
              </a:graphicData>
            </a:graphic>
          </wp:inline>
        </w:drawing>
      </w:r>
      <w:r>
        <w:rPr>
          <w:rFonts w:ascii="Arial" w:hAnsi="Arial" w:cs="Arial"/>
          <w:color w:val="000000"/>
          <w:sz w:val="18"/>
          <w:szCs w:val="18"/>
          <w:shd w:val="clear" w:color="auto" w:fill="FFFFFF"/>
        </w:rPr>
        <w:br/>
      </w: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B84284" w:rsidRPr="00781AC2" w14:paraId="447A6C66" w14:textId="77777777" w:rsidTr="00330BDD">
        <w:trPr>
          <w:trHeight w:val="286"/>
        </w:trPr>
        <w:tc>
          <w:tcPr>
            <w:tcW w:w="817" w:type="dxa"/>
            <w:vAlign w:val="center"/>
          </w:tcPr>
          <w:p w14:paraId="35298A13" w14:textId="77777777" w:rsidR="00B84284" w:rsidRPr="00781AC2" w:rsidRDefault="00B84284" w:rsidP="00330BDD">
            <w:pPr>
              <w:spacing w:line="276" w:lineRule="auto"/>
              <w:rPr>
                <w:rFonts w:ascii="Arial" w:hAnsi="Arial" w:cs="Arial"/>
                <w:sz w:val="16"/>
                <w:szCs w:val="16"/>
              </w:rPr>
            </w:pPr>
            <w:r w:rsidRPr="00781AC2">
              <w:rPr>
                <w:rFonts w:ascii="Arial" w:hAnsi="Arial" w:cs="Arial"/>
                <w:sz w:val="16"/>
                <w:szCs w:val="16"/>
              </w:rPr>
              <w:t>Elaboró:</w:t>
            </w:r>
          </w:p>
        </w:tc>
        <w:tc>
          <w:tcPr>
            <w:tcW w:w="4445" w:type="dxa"/>
            <w:tcBorders>
              <w:bottom w:val="dotted" w:sz="4" w:space="0" w:color="7F7F7F"/>
            </w:tcBorders>
            <w:vAlign w:val="center"/>
          </w:tcPr>
          <w:p w14:paraId="21837D50" w14:textId="77777777" w:rsidR="00B84284" w:rsidRPr="00781AC2" w:rsidRDefault="00B84284" w:rsidP="00330BDD">
            <w:pPr>
              <w:spacing w:line="276" w:lineRule="auto"/>
              <w:rPr>
                <w:rFonts w:ascii="Arial" w:hAnsi="Arial" w:cs="Arial"/>
                <w:sz w:val="16"/>
                <w:szCs w:val="16"/>
              </w:rPr>
            </w:pPr>
            <w:r>
              <w:rPr>
                <w:rFonts w:ascii="Arial" w:hAnsi="Arial" w:cs="Arial"/>
                <w:sz w:val="16"/>
                <w:szCs w:val="16"/>
              </w:rPr>
              <w:t>Sergio Enrique Caballero Lesmes</w:t>
            </w:r>
          </w:p>
          <w:p w14:paraId="4C6B1E68" w14:textId="77777777" w:rsidR="00B84284" w:rsidRPr="00781AC2" w:rsidRDefault="00B84284" w:rsidP="00330BDD">
            <w:pPr>
              <w:spacing w:line="276" w:lineRule="auto"/>
              <w:rPr>
                <w:rFonts w:ascii="Arial" w:hAnsi="Arial" w:cs="Arial"/>
                <w:sz w:val="16"/>
                <w:szCs w:val="16"/>
              </w:rPr>
            </w:pPr>
            <w:r w:rsidRPr="00D352CC">
              <w:rPr>
                <w:rFonts w:ascii="Arial" w:hAnsi="Arial" w:cs="Arial"/>
                <w:sz w:val="16"/>
                <w:szCs w:val="16"/>
              </w:rPr>
              <w:t xml:space="preserve">Analista T2-1 </w:t>
            </w:r>
            <w:r w:rsidRPr="00781AC2">
              <w:rPr>
                <w:rFonts w:ascii="Arial" w:hAnsi="Arial" w:cs="Arial"/>
                <w:sz w:val="16"/>
                <w:szCs w:val="16"/>
              </w:rPr>
              <w:t>de la Subdirección de Gestión Contractual</w:t>
            </w:r>
          </w:p>
        </w:tc>
      </w:tr>
      <w:tr w:rsidR="00B84284" w:rsidRPr="00781AC2" w14:paraId="0B06EEAF" w14:textId="77777777" w:rsidTr="00330BDD">
        <w:trPr>
          <w:trHeight w:val="286"/>
        </w:trPr>
        <w:tc>
          <w:tcPr>
            <w:tcW w:w="817" w:type="dxa"/>
            <w:vAlign w:val="center"/>
          </w:tcPr>
          <w:p w14:paraId="279D5F1F" w14:textId="77777777" w:rsidR="00B84284" w:rsidRPr="00781AC2" w:rsidRDefault="00B84284" w:rsidP="00330BDD">
            <w:pPr>
              <w:spacing w:line="276" w:lineRule="auto"/>
              <w:rPr>
                <w:rFonts w:ascii="Arial" w:hAnsi="Arial" w:cs="Arial"/>
                <w:sz w:val="16"/>
                <w:szCs w:val="16"/>
              </w:rPr>
            </w:pPr>
            <w:r w:rsidRPr="00781AC2">
              <w:rPr>
                <w:rFonts w:ascii="Arial" w:hAnsi="Arial" w:cs="Arial"/>
                <w:sz w:val="16"/>
                <w:szCs w:val="16"/>
              </w:rPr>
              <w:t>Revisó:</w:t>
            </w:r>
          </w:p>
        </w:tc>
        <w:tc>
          <w:tcPr>
            <w:tcW w:w="4445" w:type="dxa"/>
            <w:tcBorders>
              <w:bottom w:val="dotted" w:sz="4" w:space="0" w:color="7F7F7F"/>
            </w:tcBorders>
            <w:vAlign w:val="center"/>
          </w:tcPr>
          <w:p w14:paraId="5B56E879" w14:textId="77777777" w:rsidR="00B84284" w:rsidRPr="00781AC2" w:rsidRDefault="00B84284" w:rsidP="00330BDD">
            <w:pPr>
              <w:spacing w:line="276" w:lineRule="auto"/>
              <w:rPr>
                <w:rFonts w:ascii="Arial" w:hAnsi="Arial" w:cs="Arial"/>
                <w:sz w:val="16"/>
                <w:szCs w:val="16"/>
              </w:rPr>
            </w:pPr>
            <w:r w:rsidRPr="00D352CC">
              <w:rPr>
                <w:rFonts w:ascii="Arial" w:hAnsi="Arial" w:cs="Arial"/>
                <w:sz w:val="16"/>
                <w:szCs w:val="16"/>
              </w:rPr>
              <w:t>Alejandro Sarmiento Cantillo</w:t>
            </w:r>
          </w:p>
          <w:p w14:paraId="30215D59" w14:textId="77777777" w:rsidR="00B84284" w:rsidRPr="00781AC2" w:rsidRDefault="00B84284" w:rsidP="00330BDD">
            <w:pPr>
              <w:spacing w:line="276" w:lineRule="auto"/>
              <w:rPr>
                <w:rFonts w:ascii="Arial" w:hAnsi="Arial" w:cs="Arial"/>
                <w:sz w:val="16"/>
                <w:szCs w:val="16"/>
              </w:rPr>
            </w:pPr>
            <w:r w:rsidRPr="00D352CC">
              <w:rPr>
                <w:rFonts w:ascii="Arial" w:hAnsi="Arial" w:cs="Arial"/>
                <w:sz w:val="16"/>
                <w:szCs w:val="16"/>
              </w:rPr>
              <w:t xml:space="preserve">Gestor T1-15 </w:t>
            </w:r>
            <w:r w:rsidRPr="00781AC2">
              <w:rPr>
                <w:rFonts w:ascii="Arial" w:hAnsi="Arial" w:cs="Arial"/>
                <w:sz w:val="16"/>
                <w:szCs w:val="16"/>
              </w:rPr>
              <w:t>de la Subdirección de Gestión Contractual</w:t>
            </w:r>
          </w:p>
        </w:tc>
      </w:tr>
      <w:tr w:rsidR="00B84284" w:rsidRPr="00F304EA" w14:paraId="2AD0A7F6" w14:textId="77777777" w:rsidTr="00330BDD">
        <w:trPr>
          <w:trHeight w:val="299"/>
        </w:trPr>
        <w:tc>
          <w:tcPr>
            <w:tcW w:w="817" w:type="dxa"/>
            <w:vAlign w:val="center"/>
          </w:tcPr>
          <w:p w14:paraId="23FF70C4" w14:textId="77777777" w:rsidR="00B84284" w:rsidRPr="00781AC2" w:rsidRDefault="00B84284" w:rsidP="00330BDD">
            <w:pPr>
              <w:spacing w:line="276" w:lineRule="auto"/>
              <w:rPr>
                <w:rFonts w:ascii="Arial" w:hAnsi="Arial" w:cs="Arial"/>
                <w:sz w:val="16"/>
                <w:szCs w:val="16"/>
              </w:rPr>
            </w:pPr>
            <w:r w:rsidRPr="00781AC2">
              <w:rPr>
                <w:rFonts w:ascii="Arial" w:hAnsi="Arial" w:cs="Arial"/>
                <w:sz w:val="16"/>
                <w:szCs w:val="16"/>
              </w:rPr>
              <w:t>Aprobó:</w:t>
            </w:r>
          </w:p>
        </w:tc>
        <w:tc>
          <w:tcPr>
            <w:tcW w:w="4445" w:type="dxa"/>
            <w:tcBorders>
              <w:top w:val="dotted" w:sz="4" w:space="0" w:color="7F7F7F"/>
              <w:bottom w:val="dotted" w:sz="4" w:space="0" w:color="7F7F7F"/>
            </w:tcBorders>
            <w:vAlign w:val="center"/>
          </w:tcPr>
          <w:p w14:paraId="1995C3BB" w14:textId="77777777" w:rsidR="00B84284" w:rsidRPr="00781AC2" w:rsidRDefault="00B84284" w:rsidP="00330BDD">
            <w:pPr>
              <w:spacing w:line="276" w:lineRule="auto"/>
              <w:rPr>
                <w:rFonts w:ascii="Arial" w:hAnsi="Arial" w:cs="Arial"/>
                <w:sz w:val="16"/>
                <w:szCs w:val="16"/>
              </w:rPr>
            </w:pPr>
            <w:r w:rsidRPr="00D352CC">
              <w:rPr>
                <w:rFonts w:ascii="Arial" w:hAnsi="Arial" w:cs="Arial"/>
                <w:sz w:val="16"/>
                <w:szCs w:val="16"/>
              </w:rPr>
              <w:t>Nohelia Del Carmen Zawady Palacio</w:t>
            </w:r>
          </w:p>
          <w:p w14:paraId="21829D13" w14:textId="77777777" w:rsidR="00B84284" w:rsidRPr="00F304EA" w:rsidRDefault="00B84284" w:rsidP="00330BDD">
            <w:pPr>
              <w:spacing w:line="276" w:lineRule="auto"/>
              <w:rPr>
                <w:rFonts w:ascii="Arial" w:hAnsi="Arial" w:cs="Arial"/>
                <w:sz w:val="16"/>
                <w:szCs w:val="16"/>
              </w:rPr>
            </w:pPr>
            <w:r w:rsidRPr="00D352CC">
              <w:rPr>
                <w:rFonts w:ascii="Arial" w:hAnsi="Arial" w:cs="Arial"/>
                <w:sz w:val="16"/>
                <w:szCs w:val="16"/>
              </w:rPr>
              <w:t xml:space="preserve">Subdirectora de Gestión Contractual ANCP – CCE </w:t>
            </w:r>
          </w:p>
        </w:tc>
      </w:tr>
    </w:tbl>
    <w:p w14:paraId="21C85BD7" w14:textId="77777777" w:rsidR="00B84284" w:rsidRPr="00F304EA" w:rsidRDefault="00B84284" w:rsidP="00B84284">
      <w:pPr>
        <w:tabs>
          <w:tab w:val="left" w:pos="3795"/>
        </w:tabs>
        <w:spacing w:line="276" w:lineRule="auto"/>
        <w:jc w:val="both"/>
        <w:rPr>
          <w:rFonts w:ascii="Arial" w:hAnsi="Arial" w:cs="Arial"/>
          <w:lang w:val="es-ES_tradnl"/>
        </w:rPr>
      </w:pPr>
    </w:p>
    <w:p w14:paraId="1E7807EC" w14:textId="77777777" w:rsidR="00B84284" w:rsidRPr="00F304EA" w:rsidRDefault="00B84284" w:rsidP="00B84284">
      <w:pPr>
        <w:spacing w:line="276" w:lineRule="auto"/>
        <w:jc w:val="both"/>
        <w:rPr>
          <w:rFonts w:ascii="Arial" w:hAnsi="Arial" w:cs="Arial"/>
        </w:rPr>
      </w:pPr>
    </w:p>
    <w:bookmarkEnd w:id="2"/>
    <w:p w14:paraId="7DD4A0C7" w14:textId="77777777" w:rsidR="00B84284" w:rsidRPr="00F304EA" w:rsidRDefault="00B84284" w:rsidP="00B84284">
      <w:pPr>
        <w:spacing w:line="276" w:lineRule="auto"/>
        <w:jc w:val="both"/>
        <w:rPr>
          <w:rFonts w:ascii="Arial" w:hAnsi="Arial" w:cs="Arial"/>
        </w:rPr>
      </w:pPr>
    </w:p>
    <w:p w14:paraId="6128ED66" w14:textId="77777777" w:rsidR="00B84284" w:rsidRPr="00560845" w:rsidRDefault="00B84284" w:rsidP="00B84284">
      <w:pPr>
        <w:spacing w:line="276" w:lineRule="auto"/>
        <w:jc w:val="both"/>
      </w:pPr>
    </w:p>
    <w:p w14:paraId="25600203" w14:textId="77777777" w:rsidR="00B84284" w:rsidRDefault="00B84284"/>
    <w:sectPr w:rsidR="00B84284" w:rsidSect="0039439C">
      <w:headerReference w:type="default" r:id="rId10"/>
      <w:footerReference w:type="default" r:id="rId11"/>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EC8BDE" w14:textId="77777777" w:rsidR="008A4887" w:rsidRDefault="008A4887" w:rsidP="00B84284">
      <w:r>
        <w:separator/>
      </w:r>
    </w:p>
  </w:endnote>
  <w:endnote w:type="continuationSeparator" w:id="0">
    <w:p w14:paraId="3283D55D" w14:textId="77777777" w:rsidR="008A4887" w:rsidRDefault="008A4887" w:rsidP="00B8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Arial MT">
    <w:altName w:val="Arial"/>
    <w:charset w:val="01"/>
    <w:family w:val="swiss"/>
    <w:pitch w:val="variable"/>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E0FC4" w14:textId="77777777" w:rsidR="004A1847" w:rsidRDefault="00000000" w:rsidP="008614E5">
    <w:pPr>
      <w:pStyle w:val="Piedepgina"/>
    </w:pPr>
    <w:r>
      <w:rPr>
        <w:noProof/>
      </w:rPr>
      <w:drawing>
        <wp:inline distT="0" distB="0" distL="0" distR="0" wp14:anchorId="7B841882" wp14:editId="15AD1D1A">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476C08B"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39FA6F2" w14:textId="77777777" w:rsidR="006219F8" w:rsidRPr="00080DA3" w:rsidRDefault="00000000"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ED47C76" w14:textId="77777777" w:rsidR="006219F8" w:rsidRPr="00080DA3" w:rsidRDefault="00000000" w:rsidP="00A07532">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8B79FF3" w14:textId="77777777" w:rsidR="006219F8" w:rsidRPr="00080DA3" w:rsidRDefault="00000000"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577FE207" w14:textId="77777777" w:rsidR="006219F8" w:rsidRPr="004B6B0E" w:rsidRDefault="00000000"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600EFB96" w14:textId="77777777" w:rsidR="006219F8" w:rsidRPr="00080DA3" w:rsidRDefault="00000000"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39D6898D" w14:textId="77777777" w:rsidR="00A07532" w:rsidRPr="00080DA3" w:rsidRDefault="00000000" w:rsidP="00A07532">
          <w:pPr>
            <w:pStyle w:val="Piedepgina"/>
            <w:jc w:val="center"/>
            <w:rPr>
              <w:rFonts w:ascii="Geomanist Light" w:hAnsi="Geomanist Light"/>
              <w:sz w:val="18"/>
              <w:szCs w:val="18"/>
            </w:rPr>
          </w:pPr>
          <w:r>
            <w:rPr>
              <w:rFonts w:ascii="Geomanist Light" w:hAnsi="Geomanist Light"/>
              <w:sz w:val="18"/>
              <w:szCs w:val="18"/>
            </w:rPr>
            <w:t>28</w:t>
          </w:r>
          <w:r w:rsidRPr="00080DA3">
            <w:rPr>
              <w:rFonts w:ascii="Geomanist Light" w:hAnsi="Geomanist Light"/>
              <w:sz w:val="18"/>
              <w:szCs w:val="18"/>
            </w:rPr>
            <w:t xml:space="preserve"> de </w:t>
          </w:r>
          <w:r>
            <w:rPr>
              <w:rFonts w:ascii="Geomanist Light" w:hAnsi="Geomanist Light"/>
              <w:sz w:val="18"/>
              <w:szCs w:val="18"/>
            </w:rPr>
            <w:t>septiembre</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667BAD0" w14:textId="77777777" w:rsidR="006219F8" w:rsidRPr="00080DA3" w:rsidRDefault="00000000"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5AC53517" w14:textId="77777777" w:rsidR="006219F8" w:rsidRDefault="00000000"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DD26B0" w14:textId="77777777" w:rsidR="008A4887" w:rsidRDefault="008A4887" w:rsidP="00B84284">
      <w:r>
        <w:separator/>
      </w:r>
    </w:p>
  </w:footnote>
  <w:footnote w:type="continuationSeparator" w:id="0">
    <w:p w14:paraId="0EDF227F" w14:textId="77777777" w:rsidR="008A4887" w:rsidRDefault="008A4887" w:rsidP="00B84284">
      <w:r>
        <w:continuationSeparator/>
      </w:r>
    </w:p>
  </w:footnote>
  <w:footnote w:id="1">
    <w:p w14:paraId="1A1B4C56"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8B28CF">
        <w:rPr>
          <w:rFonts w:ascii="Arial" w:eastAsia="Arial" w:hAnsi="Arial" w:cs="Arial"/>
          <w:i/>
          <w:color w:val="000000"/>
          <w:sz w:val="16"/>
          <w:szCs w:val="16"/>
        </w:rPr>
        <w:t xml:space="preserve">ibidem </w:t>
      </w:r>
      <w:r w:rsidRPr="008B28CF">
        <w:rPr>
          <w:rFonts w:ascii="Arial" w:eastAsia="Arial" w:hAnsi="Arial" w:cs="Arial"/>
          <w:color w:val="000000"/>
          <w:sz w:val="16"/>
          <w:szCs w:val="16"/>
        </w:rPr>
        <w:t xml:space="preserve">señala, de manera precisa, las funciones de Colombia Compra Eficiente. Concretamente, el numeral 5º de este artículo establece que le corresponde a esta entidad: </w:t>
      </w:r>
      <w:r>
        <w:rPr>
          <w:rFonts w:ascii="Arial" w:eastAsia="Arial" w:hAnsi="Arial" w:cs="Arial"/>
          <w:color w:val="000000"/>
          <w:sz w:val="16"/>
          <w:szCs w:val="16"/>
        </w:rPr>
        <w:t>“</w:t>
      </w:r>
      <w:r w:rsidRPr="008B28CF">
        <w:rPr>
          <w:rFonts w:ascii="Arial" w:eastAsia="Arial" w:hAnsi="Arial" w:cs="Arial"/>
          <w:color w:val="000000"/>
          <w:sz w:val="16"/>
          <w:szCs w:val="16"/>
        </w:rPr>
        <w:t>[a]</w:t>
      </w:r>
      <w:proofErr w:type="spellStart"/>
      <w:r w:rsidRPr="008B28CF">
        <w:rPr>
          <w:rFonts w:ascii="Arial" w:eastAsia="Arial" w:hAnsi="Arial" w:cs="Arial"/>
          <w:color w:val="000000"/>
          <w:sz w:val="16"/>
          <w:szCs w:val="16"/>
        </w:rPr>
        <w:t>bsolver</w:t>
      </w:r>
      <w:proofErr w:type="spellEnd"/>
      <w:r w:rsidRPr="008B28CF">
        <w:rPr>
          <w:rFonts w:ascii="Arial" w:eastAsia="Arial" w:hAnsi="Arial" w:cs="Arial"/>
          <w:color w:val="000000"/>
          <w:sz w:val="16"/>
          <w:szCs w:val="16"/>
        </w:rPr>
        <w:t xml:space="preserve"> consultas sobre la aplicación de normas de carácter general y expedir circulares externas en materia de compras y contratación pública</w:t>
      </w:r>
      <w:r>
        <w:rPr>
          <w:rFonts w:ascii="Arial" w:eastAsia="Arial" w:hAnsi="Arial" w:cs="Arial"/>
          <w:color w:val="000000"/>
          <w:sz w:val="16"/>
          <w:szCs w:val="16"/>
        </w:rPr>
        <w:t>”</w:t>
      </w:r>
      <w:r w:rsidRPr="008B28CF">
        <w:rPr>
          <w:rFonts w:ascii="Arial" w:eastAsia="Arial" w:hAnsi="Arial" w:cs="Arial"/>
          <w:color w:val="000000"/>
          <w:sz w:val="16"/>
          <w:szCs w:val="16"/>
        </w:rPr>
        <w:t>. Esta se fija con límites claros, con el objeto de evitar que la Agencia actúe como una instancia de validación de las actuaciones de las entidades sujetas a la Ley 80 de 1993 o de los demás participantes de la contratación pública.</w:t>
      </w:r>
    </w:p>
    <w:bookmarkStart w:id="3" w:name="_3dy6vkm" w:colFirst="0" w:colLast="0"/>
    <w:bookmarkEnd w:id="3"/>
  </w:footnote>
  <w:footnote w:id="2">
    <w:p w14:paraId="244C3C50"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bookmarkStart w:id="8" w:name="_3dy6vkm" w:colFirst="0" w:colLast="0"/>
      <w:bookmarkEnd w:id="8"/>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Seguidamente, el numeral 8º del artículo 11 Decreto Ley 4170 de 2011 señala que es función de la Subdirección de Gestión Contractual</w:t>
      </w:r>
      <w:proofErr w:type="gramStart"/>
      <w:r w:rsidRPr="008B28CF">
        <w:rPr>
          <w:rFonts w:ascii="Arial" w:eastAsia="Arial" w:hAnsi="Arial" w:cs="Arial"/>
          <w:color w:val="000000"/>
          <w:sz w:val="16"/>
          <w:szCs w:val="16"/>
        </w:rPr>
        <w:t xml:space="preserve">: </w:t>
      </w:r>
      <w:r>
        <w:rPr>
          <w:rFonts w:ascii="Arial" w:eastAsia="Arial" w:hAnsi="Arial" w:cs="Arial"/>
          <w:color w:val="000000"/>
          <w:sz w:val="16"/>
          <w:szCs w:val="16"/>
        </w:rPr>
        <w:t>”</w:t>
      </w:r>
      <w:proofErr w:type="gramEnd"/>
      <w:r w:rsidRPr="008B28CF">
        <w:rPr>
          <w:rFonts w:ascii="Arial" w:eastAsia="Arial" w:hAnsi="Arial" w:cs="Arial"/>
          <w:color w:val="000000"/>
          <w:sz w:val="16"/>
          <w:szCs w:val="16"/>
        </w:rPr>
        <w:t>[a]</w:t>
      </w:r>
      <w:proofErr w:type="spellStart"/>
      <w:r w:rsidRPr="008B28CF">
        <w:rPr>
          <w:rFonts w:ascii="Arial" w:eastAsia="Arial" w:hAnsi="Arial" w:cs="Arial"/>
          <w:color w:val="000000"/>
          <w:sz w:val="16"/>
          <w:szCs w:val="16"/>
        </w:rPr>
        <w:t>bsolver</w:t>
      </w:r>
      <w:proofErr w:type="spellEnd"/>
      <w:r w:rsidRPr="008B28CF">
        <w:rPr>
          <w:rFonts w:ascii="Arial" w:eastAsia="Arial" w:hAnsi="Arial" w:cs="Arial"/>
          <w:color w:val="000000"/>
          <w:sz w:val="16"/>
          <w:szCs w:val="16"/>
        </w:rPr>
        <w:t xml:space="preserve"> consultas sobre la aplicación de normas de carácter general</w:t>
      </w:r>
      <w:r>
        <w:rPr>
          <w:rFonts w:ascii="Arial" w:eastAsia="Arial" w:hAnsi="Arial" w:cs="Arial"/>
          <w:color w:val="000000"/>
          <w:sz w:val="16"/>
          <w:szCs w:val="16"/>
        </w:rPr>
        <w:t>”</w:t>
      </w:r>
      <w:r w:rsidRPr="008B28CF">
        <w:rPr>
          <w:rFonts w:ascii="Arial" w:eastAsia="Arial" w:hAnsi="Arial" w:cs="Arial"/>
          <w:color w:val="000000"/>
          <w:sz w:val="16"/>
          <w:szCs w:val="16"/>
        </w:rPr>
        <w:t>. Es necesario tener en cuenta que esta entidad solo tiene competencia para responder solicitudes sobre la aplicación de normas de carácter general en materia de compras y contratación pública.</w:t>
      </w:r>
    </w:p>
  </w:footnote>
  <w:footnote w:id="3">
    <w:p w14:paraId="1BB27DF7" w14:textId="77777777" w:rsidR="00B84284" w:rsidRDefault="00B84284" w:rsidP="00B84284">
      <w:pPr>
        <w:ind w:firstLine="708"/>
        <w:rPr>
          <w:rFonts w:ascii="Arial" w:hAnsi="Arial" w:cs="Arial"/>
          <w:sz w:val="20"/>
          <w:szCs w:val="20"/>
        </w:rPr>
      </w:pPr>
    </w:p>
    <w:p w14:paraId="29972959" w14:textId="77777777" w:rsidR="00B84284" w:rsidRPr="009827AD" w:rsidRDefault="00B84284" w:rsidP="00B84284">
      <w:pPr>
        <w:ind w:firstLine="708"/>
        <w:rPr>
          <w:rFonts w:ascii="Arial" w:hAnsi="Arial" w:cs="Arial"/>
          <w:sz w:val="16"/>
          <w:szCs w:val="16"/>
        </w:rPr>
      </w:pPr>
      <w:r w:rsidRPr="009827AD">
        <w:rPr>
          <w:rStyle w:val="Refdenotaalpie"/>
          <w:rFonts w:ascii="Arial" w:eastAsiaTheme="majorEastAsia" w:hAnsi="Arial" w:cs="Arial"/>
          <w:sz w:val="20"/>
          <w:szCs w:val="20"/>
        </w:rPr>
        <w:footnoteRef/>
      </w:r>
      <w:r w:rsidRPr="009827AD">
        <w:rPr>
          <w:rFonts w:ascii="Arial" w:hAnsi="Arial" w:cs="Arial"/>
          <w:sz w:val="20"/>
          <w:szCs w:val="20"/>
        </w:rPr>
        <w:t xml:space="preserve"> </w:t>
      </w:r>
      <w:r w:rsidRPr="009827AD">
        <w:rPr>
          <w:rFonts w:ascii="Arial" w:hAnsi="Arial" w:cs="Arial"/>
          <w:sz w:val="16"/>
          <w:szCs w:val="16"/>
        </w:rPr>
        <w:t>Estos</w:t>
      </w:r>
      <w:r w:rsidRPr="009827AD">
        <w:rPr>
          <w:rFonts w:ascii="Arial" w:hAnsi="Arial" w:cs="Arial"/>
          <w:sz w:val="16"/>
          <w:szCs w:val="16"/>
        </w:rPr>
        <w:tab/>
        <w:t>conceptos</w:t>
      </w:r>
      <w:r>
        <w:rPr>
          <w:rFonts w:ascii="Arial" w:hAnsi="Arial" w:cs="Arial"/>
          <w:sz w:val="16"/>
          <w:szCs w:val="16"/>
        </w:rPr>
        <w:t xml:space="preserve"> </w:t>
      </w:r>
      <w:r w:rsidRPr="009827AD">
        <w:rPr>
          <w:rFonts w:ascii="Arial" w:hAnsi="Arial" w:cs="Arial"/>
          <w:sz w:val="16"/>
          <w:szCs w:val="16"/>
        </w:rPr>
        <w:t>pueden</w:t>
      </w:r>
      <w:r w:rsidRPr="009827AD">
        <w:rPr>
          <w:rFonts w:ascii="Arial" w:hAnsi="Arial" w:cs="Arial"/>
          <w:sz w:val="16"/>
          <w:szCs w:val="16"/>
        </w:rPr>
        <w:tab/>
        <w:t>ser</w:t>
      </w:r>
      <w:r>
        <w:rPr>
          <w:rFonts w:ascii="Arial" w:hAnsi="Arial" w:cs="Arial"/>
          <w:sz w:val="16"/>
          <w:szCs w:val="16"/>
        </w:rPr>
        <w:t xml:space="preserve"> </w:t>
      </w:r>
      <w:r w:rsidRPr="009827AD">
        <w:rPr>
          <w:rFonts w:ascii="Arial" w:hAnsi="Arial" w:cs="Arial"/>
          <w:sz w:val="16"/>
          <w:szCs w:val="16"/>
        </w:rPr>
        <w:t>consultados</w:t>
      </w:r>
      <w:r w:rsidRPr="009827AD">
        <w:rPr>
          <w:rFonts w:ascii="Arial" w:hAnsi="Arial" w:cs="Arial"/>
          <w:sz w:val="16"/>
          <w:szCs w:val="16"/>
        </w:rPr>
        <w:tab/>
        <w:t>en:</w:t>
      </w:r>
    </w:p>
    <w:p w14:paraId="271A1326" w14:textId="77777777" w:rsidR="00B84284" w:rsidRPr="009827AD" w:rsidRDefault="00000000" w:rsidP="00B84284">
      <w:pPr>
        <w:rPr>
          <w:rFonts w:ascii="Arial" w:hAnsi="Arial" w:cs="Arial"/>
          <w:sz w:val="16"/>
          <w:szCs w:val="16"/>
        </w:rPr>
      </w:pPr>
      <w:hyperlink r:id="rId1" w:history="1">
        <w:r w:rsidR="00B84284" w:rsidRPr="009827AD">
          <w:rPr>
            <w:rStyle w:val="Hipervnculo"/>
            <w:rFonts w:ascii="Arial" w:hAnsi="Arial" w:cs="Arial"/>
            <w:sz w:val="16"/>
            <w:szCs w:val="16"/>
          </w:rPr>
          <w:t>https://relatoria.colombiacompra.gov.co/busqueda/conceptos#</w:t>
        </w:r>
      </w:hyperlink>
    </w:p>
    <w:p w14:paraId="2E5D6E26" w14:textId="77777777" w:rsidR="00B84284" w:rsidRDefault="00B84284" w:rsidP="00B84284">
      <w:pPr>
        <w:pStyle w:val="Textonotapie"/>
      </w:pPr>
    </w:p>
  </w:footnote>
  <w:footnote w:id="4">
    <w:p w14:paraId="51577D5F"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2 al 29.</w:t>
      </w:r>
    </w:p>
    <w:p w14:paraId="24718FFD"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p>
  </w:footnote>
  <w:footnote w:id="5">
    <w:p w14:paraId="33AD94A8"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30 al 36.</w:t>
      </w:r>
    </w:p>
    <w:p w14:paraId="252CD044"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p>
  </w:footnote>
  <w:footnote w:id="6">
    <w:p w14:paraId="433E955F"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37 al 45.</w:t>
      </w:r>
    </w:p>
    <w:p w14:paraId="52F54117"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p>
  </w:footnote>
  <w:footnote w:id="7">
    <w:p w14:paraId="25CEF88F"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46 al 73.</w:t>
      </w:r>
    </w:p>
    <w:p w14:paraId="10223A54"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p>
  </w:footnote>
  <w:footnote w:id="8">
    <w:p w14:paraId="0C245AB9"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Artículos 74 al 83.</w:t>
      </w:r>
    </w:p>
    <w:p w14:paraId="69B91324"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p>
  </w:footnote>
  <w:footnote w:id="9">
    <w:p w14:paraId="7C204529"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Esta política se justifica en la medida que: </w:t>
      </w:r>
      <w:r>
        <w:rPr>
          <w:rFonts w:ascii="Arial" w:eastAsia="Arial" w:hAnsi="Arial" w:cs="Arial"/>
          <w:color w:val="000000"/>
          <w:sz w:val="16"/>
          <w:szCs w:val="16"/>
        </w:rPr>
        <w:t>“</w:t>
      </w:r>
      <w:r w:rsidRPr="008B28CF">
        <w:rPr>
          <w:rFonts w:ascii="Arial" w:eastAsia="Arial" w:hAnsi="Arial" w:cs="Arial"/>
          <w:color w:val="000000"/>
          <w:sz w:val="16"/>
          <w:szCs w:val="16"/>
        </w:rPr>
        <w:t>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w:t>
      </w:r>
      <w:r>
        <w:rPr>
          <w:rFonts w:ascii="Arial" w:eastAsia="Arial" w:hAnsi="Arial" w:cs="Arial"/>
          <w:color w:val="000000"/>
          <w:sz w:val="16"/>
          <w:szCs w:val="16"/>
        </w:rPr>
        <w:t>”</w:t>
      </w:r>
      <w:r w:rsidRPr="008B28CF">
        <w:rPr>
          <w:rFonts w:ascii="Arial" w:eastAsia="Arial" w:hAnsi="Arial" w:cs="Arial"/>
          <w:color w:val="000000"/>
          <w:sz w:val="16"/>
          <w:szCs w:val="16"/>
        </w:rPr>
        <w:t xml:space="preserve"> (Cfr. CONSEJO NACIONAL DE POLÍTICA ECONÓMICA Y SOCIAL. Documento 3956 del 8 de enero de 2019: </w:t>
      </w:r>
      <w:r>
        <w:rPr>
          <w:rFonts w:ascii="Arial" w:eastAsia="Arial" w:hAnsi="Arial" w:cs="Arial"/>
          <w:color w:val="000000"/>
          <w:sz w:val="16"/>
          <w:szCs w:val="16"/>
        </w:rPr>
        <w:t>“</w:t>
      </w:r>
      <w:r w:rsidRPr="008B28CF">
        <w:rPr>
          <w:rFonts w:ascii="Arial" w:eastAsia="Arial" w:hAnsi="Arial" w:cs="Arial"/>
          <w:color w:val="000000"/>
          <w:sz w:val="16"/>
          <w:szCs w:val="16"/>
        </w:rPr>
        <w:t>Política de formalización empresarial</w:t>
      </w:r>
      <w:r>
        <w:rPr>
          <w:rFonts w:ascii="Arial" w:eastAsia="Arial" w:hAnsi="Arial" w:cs="Arial"/>
          <w:color w:val="000000"/>
          <w:sz w:val="16"/>
          <w:szCs w:val="16"/>
        </w:rPr>
        <w:t>”</w:t>
      </w:r>
      <w:r w:rsidRPr="008B28CF">
        <w:rPr>
          <w:rFonts w:ascii="Arial" w:eastAsia="Arial" w:hAnsi="Arial" w:cs="Arial"/>
          <w:color w:val="000000"/>
          <w:sz w:val="16"/>
          <w:szCs w:val="16"/>
        </w:rPr>
        <w:t xml:space="preserve">. Archivo consultado el 8 de febrero de 2021 en la página web </w:t>
      </w:r>
      <w:hyperlink r:id="rId2">
        <w:r w:rsidRPr="008B28CF">
          <w:rPr>
            <w:rFonts w:ascii="Arial" w:eastAsia="Arial" w:hAnsi="Arial" w:cs="Arial"/>
            <w:color w:val="000000"/>
            <w:sz w:val="16"/>
            <w:szCs w:val="16"/>
            <w:u w:val="single"/>
          </w:rPr>
          <w:t>https://colaboracion.dnp.gov.co/CDT/Conpes/Econ%C3%B3micos/3956.pdf</w:t>
        </w:r>
      </w:hyperlink>
      <w:r w:rsidRPr="008B28CF">
        <w:rPr>
          <w:rFonts w:ascii="Arial" w:eastAsia="Arial" w:hAnsi="Arial" w:cs="Arial"/>
          <w:color w:val="000000"/>
          <w:sz w:val="16"/>
          <w:szCs w:val="16"/>
        </w:rPr>
        <w:t xml:space="preserve">). </w:t>
      </w:r>
    </w:p>
    <w:p w14:paraId="7D0A241C"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p>
  </w:footnote>
  <w:footnote w:id="10">
    <w:p w14:paraId="09184DDF"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r w:rsidRPr="008B28CF">
        <w:rPr>
          <w:rFonts w:ascii="Arial" w:hAnsi="Arial" w:cs="Arial"/>
          <w:sz w:val="16"/>
          <w:szCs w:val="16"/>
          <w:vertAlign w:val="superscript"/>
        </w:rPr>
        <w:footnoteRef/>
      </w:r>
      <w:r w:rsidRPr="008B28CF">
        <w:rPr>
          <w:rFonts w:ascii="Arial" w:eastAsia="Arial" w:hAnsi="Arial" w:cs="Arial"/>
          <w:color w:val="000000"/>
          <w:sz w:val="16"/>
          <w:szCs w:val="16"/>
        </w:rPr>
        <w:t xml:space="preserve"> CONGRESO DE LA REPÚBLICA. Gaceta No. 670 del 11 de agosto de 2020. Exposición de motivos del Proyecto de Ley No. 122 de 2020 Cámara. p. 13. </w:t>
      </w:r>
    </w:p>
    <w:p w14:paraId="047015B1" w14:textId="77777777" w:rsidR="00B84284" w:rsidRPr="008B28CF" w:rsidRDefault="00B84284" w:rsidP="00B84284">
      <w:pPr>
        <w:pBdr>
          <w:top w:val="nil"/>
          <w:left w:val="nil"/>
          <w:bottom w:val="nil"/>
          <w:right w:val="nil"/>
          <w:between w:val="nil"/>
        </w:pBdr>
        <w:ind w:firstLine="709"/>
        <w:jc w:val="both"/>
        <w:rPr>
          <w:rFonts w:ascii="Arial" w:eastAsia="Arial" w:hAnsi="Arial" w:cs="Arial"/>
          <w:color w:val="000000"/>
          <w:sz w:val="16"/>
          <w:szCs w:val="16"/>
        </w:rPr>
      </w:pPr>
    </w:p>
    <w:bookmarkStart w:id="10" w:name="1t3h5sf" w:colFirst="0" w:colLast="0"/>
    <w:bookmarkEnd w:id="10"/>
  </w:footnote>
  <w:footnote w:id="11">
    <w:p w14:paraId="5AFCEB2F" w14:textId="77777777" w:rsidR="00B84284" w:rsidRPr="003D5B15" w:rsidRDefault="00B84284" w:rsidP="00B84284">
      <w:pPr>
        <w:pStyle w:val="Textonotapie"/>
        <w:ind w:firstLine="708"/>
        <w:jc w:val="both"/>
        <w:rPr>
          <w:rFonts w:ascii="Arial" w:hAnsi="Arial" w:cs="Arial"/>
          <w:sz w:val="18"/>
          <w:szCs w:val="18"/>
        </w:rPr>
      </w:pPr>
      <w:bookmarkStart w:id="12" w:name="1t3h5sf" w:colFirst="0" w:colLast="0"/>
      <w:bookmarkEnd w:id="12"/>
      <w:r w:rsidRPr="003D5B15">
        <w:rPr>
          <w:rStyle w:val="Refdenotaalpie"/>
          <w:rFonts w:ascii="Arial" w:hAnsi="Arial" w:cs="Arial"/>
          <w:sz w:val="18"/>
          <w:szCs w:val="18"/>
        </w:rPr>
        <w:footnoteRef/>
      </w:r>
      <w:r w:rsidRPr="003D5B15">
        <w:rPr>
          <w:rFonts w:ascii="Arial" w:hAnsi="Arial" w:cs="Arial"/>
          <w:sz w:val="18"/>
          <w:szCs w:val="18"/>
        </w:rPr>
        <w:t xml:space="preserve"> </w:t>
      </w:r>
      <w:r>
        <w:rPr>
          <w:rFonts w:ascii="Arial" w:hAnsi="Arial" w:cs="Arial"/>
          <w:sz w:val="18"/>
          <w:szCs w:val="18"/>
        </w:rPr>
        <w:t>“</w:t>
      </w:r>
      <w:r w:rsidRPr="003D5B15">
        <w:rPr>
          <w:rFonts w:ascii="Arial" w:hAnsi="Arial" w:cs="Arial"/>
          <w:sz w:val="18"/>
          <w:szCs w:val="18"/>
        </w:rPr>
        <w:t xml:space="preserve">Artículo 2.2.1.2.4.2.2. </w:t>
      </w:r>
      <w:proofErr w:type="spellStart"/>
      <w:r w:rsidRPr="003D5B15">
        <w:rPr>
          <w:rFonts w:ascii="Arial" w:hAnsi="Arial" w:cs="Arial"/>
          <w:sz w:val="18"/>
          <w:szCs w:val="18"/>
        </w:rPr>
        <w:t>Convocatorías</w:t>
      </w:r>
      <w:proofErr w:type="spellEnd"/>
      <w:r w:rsidRPr="003D5B15">
        <w:rPr>
          <w:rFonts w:ascii="Arial" w:hAnsi="Arial" w:cs="Arial"/>
          <w:sz w:val="18"/>
          <w:szCs w:val="18"/>
        </w:rPr>
        <w:t xml:space="preserve"> </w:t>
      </w:r>
      <w:proofErr w:type="spellStart"/>
      <w:r w:rsidRPr="003D5B15">
        <w:rPr>
          <w:rFonts w:ascii="Arial" w:hAnsi="Arial" w:cs="Arial"/>
          <w:sz w:val="18"/>
          <w:szCs w:val="18"/>
        </w:rPr>
        <w:t>Iímítadas</w:t>
      </w:r>
      <w:proofErr w:type="spellEnd"/>
      <w:r w:rsidRPr="003D5B15">
        <w:rPr>
          <w:rFonts w:ascii="Arial" w:hAnsi="Arial" w:cs="Arial"/>
          <w:sz w:val="18"/>
          <w:szCs w:val="18"/>
        </w:rPr>
        <w:t xml:space="preserve"> a </w:t>
      </w:r>
      <w:proofErr w:type="spellStart"/>
      <w:r w:rsidRPr="003D5B15">
        <w:rPr>
          <w:rFonts w:ascii="Arial" w:hAnsi="Arial" w:cs="Arial"/>
          <w:sz w:val="18"/>
          <w:szCs w:val="18"/>
        </w:rPr>
        <w:t>Mípyme</w:t>
      </w:r>
      <w:proofErr w:type="spellEnd"/>
      <w:r w:rsidRPr="003D5B15">
        <w:rPr>
          <w:rFonts w:ascii="Arial" w:hAnsi="Arial" w:cs="Arial"/>
          <w:sz w:val="18"/>
          <w:szCs w:val="18"/>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3D5B15">
        <w:rPr>
          <w:rFonts w:ascii="Arial" w:hAnsi="Arial" w:cs="Arial"/>
          <w:sz w:val="18"/>
          <w:szCs w:val="18"/>
        </w:rPr>
        <w:t>Mipyme</w:t>
      </w:r>
      <w:proofErr w:type="spellEnd"/>
      <w:r w:rsidRPr="003D5B15">
        <w:rPr>
          <w:rFonts w:ascii="Arial" w:hAnsi="Arial" w:cs="Arial"/>
          <w:sz w:val="18"/>
          <w:szCs w:val="18"/>
        </w:rPr>
        <w:t xml:space="preserve"> colombianas con mínimo un (1) año de existencia, cuando concurran los siguientes requisitos:</w:t>
      </w:r>
    </w:p>
    <w:p w14:paraId="33D759A5"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1. El valor del Proceso de Contratación sea menor a ciento veinticinco mil dólares de los Estados Unidos de América (US$125.000), liquidados con la tasa de cambio que para el efecto determina cada dos años el Ministerio de Comercio, Industria y Turismo.</w:t>
      </w:r>
    </w:p>
    <w:p w14:paraId="6796D42C" w14:textId="77777777" w:rsidR="00B84284" w:rsidRPr="003D5B15" w:rsidRDefault="00B84284" w:rsidP="00B84284">
      <w:pPr>
        <w:pStyle w:val="Textonotapie"/>
        <w:jc w:val="both"/>
        <w:rPr>
          <w:rFonts w:ascii="Arial" w:hAnsi="Arial" w:cs="Arial"/>
          <w:sz w:val="18"/>
          <w:szCs w:val="18"/>
        </w:rPr>
      </w:pPr>
      <w:r w:rsidRPr="003D5B15">
        <w:rPr>
          <w:rFonts w:ascii="Arial" w:hAnsi="Arial" w:cs="Arial"/>
          <w:sz w:val="18"/>
          <w:szCs w:val="18"/>
        </w:rPr>
        <w:tab/>
        <w:t xml:space="preserve">2. Se hayan recibido solicitudes de por lo menos dos (2) </w:t>
      </w:r>
      <w:proofErr w:type="spellStart"/>
      <w:r w:rsidRPr="003D5B15">
        <w:rPr>
          <w:rFonts w:ascii="Arial" w:hAnsi="Arial" w:cs="Arial"/>
          <w:sz w:val="18"/>
          <w:szCs w:val="18"/>
        </w:rPr>
        <w:t>Mipyme</w:t>
      </w:r>
      <w:proofErr w:type="spellEnd"/>
      <w:r w:rsidRPr="003D5B15">
        <w:rPr>
          <w:rFonts w:ascii="Arial" w:hAnsi="Arial" w:cs="Arial"/>
          <w:sz w:val="18"/>
          <w:szCs w:val="18"/>
        </w:rPr>
        <w:t xml:space="preserve"> colombianas para limitar la convocatoria a </w:t>
      </w:r>
      <w:proofErr w:type="spellStart"/>
      <w:r w:rsidRPr="003D5B15">
        <w:rPr>
          <w:rFonts w:ascii="Arial" w:hAnsi="Arial" w:cs="Arial"/>
          <w:sz w:val="18"/>
          <w:szCs w:val="18"/>
        </w:rPr>
        <w:t>Mipyme</w:t>
      </w:r>
      <w:proofErr w:type="spellEnd"/>
      <w:r w:rsidRPr="003D5B15">
        <w:rPr>
          <w:rFonts w:ascii="Arial" w:hAnsi="Arial" w:cs="Arial"/>
          <w:sz w:val="18"/>
          <w:szCs w:val="18"/>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205695E5"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 xml:space="preserve">Tratándose de personas jurídicas, las solicitudes solo las podrán realizar </w:t>
      </w:r>
      <w:proofErr w:type="spellStart"/>
      <w:r w:rsidRPr="003D5B15">
        <w:rPr>
          <w:rFonts w:ascii="Arial" w:hAnsi="Arial" w:cs="Arial"/>
          <w:sz w:val="18"/>
          <w:szCs w:val="18"/>
        </w:rPr>
        <w:t>Mipyme</w:t>
      </w:r>
      <w:proofErr w:type="spellEnd"/>
      <w:r w:rsidRPr="003D5B15">
        <w:rPr>
          <w:rFonts w:ascii="Arial" w:hAnsi="Arial" w:cs="Arial"/>
          <w:sz w:val="18"/>
          <w:szCs w:val="18"/>
        </w:rPr>
        <w:t>, cuyo objeto social les permita ejecutar el contrato relacionado con el proceso contractual.</w:t>
      </w:r>
    </w:p>
    <w:p w14:paraId="34C139F9"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 xml:space="preserve">Parágrafo. Las cooperativas y demás entidades de economía solidaria, siempre que tengan la calidad de </w:t>
      </w:r>
      <w:proofErr w:type="spellStart"/>
      <w:r w:rsidRPr="003D5B15">
        <w:rPr>
          <w:rFonts w:ascii="Arial" w:hAnsi="Arial" w:cs="Arial"/>
          <w:sz w:val="18"/>
          <w:szCs w:val="18"/>
        </w:rPr>
        <w:t>Mipyme</w:t>
      </w:r>
      <w:proofErr w:type="spellEnd"/>
      <w:r w:rsidRPr="003D5B15">
        <w:rPr>
          <w:rFonts w:ascii="Arial" w:hAnsi="Arial" w:cs="Arial"/>
          <w:sz w:val="18"/>
          <w:szCs w:val="18"/>
        </w:rPr>
        <w:t>, podrán solicitar y participar en las convocatorias limitadas en las mismas condiciones dispuestas en el presente artículo</w:t>
      </w:r>
      <w:r>
        <w:rPr>
          <w:rFonts w:ascii="Arial" w:hAnsi="Arial" w:cs="Arial"/>
          <w:sz w:val="18"/>
          <w:szCs w:val="18"/>
        </w:rPr>
        <w:t>”</w:t>
      </w:r>
      <w:r w:rsidRPr="003D5B15">
        <w:rPr>
          <w:rFonts w:ascii="Arial" w:hAnsi="Arial" w:cs="Arial"/>
          <w:sz w:val="18"/>
          <w:szCs w:val="18"/>
        </w:rPr>
        <w:t>.</w:t>
      </w:r>
    </w:p>
  </w:footnote>
  <w:footnote w:id="12">
    <w:p w14:paraId="73D9DFBE" w14:textId="77777777" w:rsidR="00B84284" w:rsidRPr="003D5B15" w:rsidRDefault="00B84284" w:rsidP="00B84284">
      <w:pPr>
        <w:pStyle w:val="Textonotapie"/>
        <w:ind w:firstLine="708"/>
        <w:jc w:val="both"/>
        <w:rPr>
          <w:rFonts w:ascii="Arial" w:hAnsi="Arial" w:cs="Arial"/>
          <w:sz w:val="18"/>
          <w:szCs w:val="18"/>
        </w:rPr>
      </w:pPr>
    </w:p>
    <w:p w14:paraId="08697782" w14:textId="77777777" w:rsidR="00B84284" w:rsidRPr="003D5B15" w:rsidRDefault="00B84284" w:rsidP="00B84284">
      <w:pPr>
        <w:pStyle w:val="Textonotapie"/>
        <w:ind w:firstLine="708"/>
        <w:jc w:val="both"/>
        <w:rPr>
          <w:rFonts w:ascii="Arial" w:hAnsi="Arial" w:cs="Arial"/>
          <w:sz w:val="18"/>
          <w:szCs w:val="18"/>
        </w:rPr>
      </w:pPr>
      <w:r w:rsidRPr="003D5B15">
        <w:rPr>
          <w:rStyle w:val="Refdenotaalpie"/>
          <w:rFonts w:ascii="Arial" w:hAnsi="Arial" w:cs="Arial"/>
          <w:sz w:val="18"/>
          <w:szCs w:val="18"/>
        </w:rPr>
        <w:footnoteRef/>
      </w:r>
      <w:r w:rsidRPr="003D5B15">
        <w:rPr>
          <w:rFonts w:ascii="Arial" w:hAnsi="Arial" w:cs="Arial"/>
          <w:sz w:val="18"/>
          <w:szCs w:val="18"/>
        </w:rPr>
        <w:t xml:space="preserve"> </w:t>
      </w:r>
      <w:r>
        <w:rPr>
          <w:rFonts w:ascii="Arial" w:hAnsi="Arial" w:cs="Arial"/>
          <w:sz w:val="18"/>
          <w:szCs w:val="18"/>
        </w:rPr>
        <w:t>“</w:t>
      </w:r>
      <w:r w:rsidRPr="003D5B15">
        <w:rPr>
          <w:rFonts w:ascii="Arial" w:hAnsi="Arial" w:cs="Arial"/>
          <w:sz w:val="18"/>
          <w:szCs w:val="18"/>
        </w:rPr>
        <w:t xml:space="preserve">Artículo 2.2.1.2.4.2.3. Limitaciones territoriales. De conformidad con el parágrafo 1 del artículo 12 de la Ley 1150 de 2007, las Entidades Estatales, independientemente de su régimen de contratación, los patrimonios autónomos constituidos por Entidades Estatales y los particulares que ejecuten recursos públicos, pueden realizar convocatorias limitadas a </w:t>
      </w:r>
      <w:proofErr w:type="spellStart"/>
      <w:r w:rsidRPr="003D5B15">
        <w:rPr>
          <w:rFonts w:ascii="Arial" w:hAnsi="Arial" w:cs="Arial"/>
          <w:sz w:val="18"/>
          <w:szCs w:val="18"/>
        </w:rPr>
        <w:t>Mipyme</w:t>
      </w:r>
      <w:proofErr w:type="spellEnd"/>
      <w:r w:rsidRPr="003D5B15">
        <w:rPr>
          <w:rFonts w:ascii="Arial" w:hAnsi="Arial" w:cs="Arial"/>
          <w:sz w:val="18"/>
          <w:szCs w:val="18"/>
        </w:rPr>
        <w:t xml:space="preserve"> colombianas que tengan domicilio en los departamentos o municipios en donde se va a ejecutar el contrato. Cada </w:t>
      </w:r>
      <w:proofErr w:type="spellStart"/>
      <w:r w:rsidRPr="003D5B15">
        <w:rPr>
          <w:rFonts w:ascii="Arial" w:hAnsi="Arial" w:cs="Arial"/>
          <w:sz w:val="18"/>
          <w:szCs w:val="18"/>
        </w:rPr>
        <w:t>Mipyme</w:t>
      </w:r>
      <w:proofErr w:type="spellEnd"/>
      <w:r w:rsidRPr="003D5B15">
        <w:rPr>
          <w:rFonts w:ascii="Arial" w:hAnsi="Arial" w:cs="Arial"/>
          <w:sz w:val="18"/>
          <w:szCs w:val="18"/>
        </w:rPr>
        <w:t xml:space="preserve"> deberá acreditar su domicilio con los documentos a los que se refiere el siguiente artículo</w:t>
      </w:r>
      <w:r>
        <w:rPr>
          <w:rFonts w:ascii="Arial" w:hAnsi="Arial" w:cs="Arial"/>
          <w:sz w:val="18"/>
          <w:szCs w:val="18"/>
        </w:rPr>
        <w:t>”</w:t>
      </w:r>
      <w:r w:rsidRPr="003D5B15">
        <w:rPr>
          <w:rFonts w:ascii="Arial" w:hAnsi="Arial" w:cs="Arial"/>
          <w:sz w:val="18"/>
          <w:szCs w:val="18"/>
        </w:rPr>
        <w:t>.</w:t>
      </w:r>
    </w:p>
    <w:p w14:paraId="511A76E4" w14:textId="77777777" w:rsidR="00B84284" w:rsidRPr="003D5B15" w:rsidRDefault="00B84284" w:rsidP="00B84284">
      <w:pPr>
        <w:pStyle w:val="Textonotapie"/>
        <w:ind w:firstLine="708"/>
        <w:jc w:val="both"/>
        <w:rPr>
          <w:rFonts w:ascii="Arial" w:hAnsi="Arial" w:cs="Arial"/>
          <w:sz w:val="18"/>
          <w:szCs w:val="18"/>
        </w:rPr>
      </w:pPr>
    </w:p>
  </w:footnote>
  <w:footnote w:id="13">
    <w:p w14:paraId="7F4FD94C" w14:textId="77777777" w:rsidR="00B84284" w:rsidRPr="003D5B15" w:rsidRDefault="00B84284" w:rsidP="00B84284">
      <w:pPr>
        <w:pStyle w:val="Textonotapie"/>
        <w:ind w:firstLine="708"/>
        <w:jc w:val="both"/>
        <w:rPr>
          <w:rFonts w:ascii="Arial" w:hAnsi="Arial" w:cs="Arial"/>
          <w:sz w:val="18"/>
          <w:szCs w:val="18"/>
        </w:rPr>
      </w:pPr>
      <w:r w:rsidRPr="003D5B15">
        <w:rPr>
          <w:rStyle w:val="Refdenotaalpie"/>
          <w:rFonts w:ascii="Arial" w:hAnsi="Arial" w:cs="Arial"/>
          <w:sz w:val="18"/>
          <w:szCs w:val="18"/>
        </w:rPr>
        <w:footnoteRef/>
      </w:r>
      <w:r w:rsidRPr="003D5B15">
        <w:rPr>
          <w:rFonts w:ascii="Arial" w:hAnsi="Arial" w:cs="Arial"/>
          <w:sz w:val="18"/>
          <w:szCs w:val="18"/>
        </w:rPr>
        <w:t xml:space="preserve"> </w:t>
      </w:r>
      <w:r>
        <w:rPr>
          <w:rFonts w:ascii="Arial" w:hAnsi="Arial" w:cs="Arial"/>
          <w:sz w:val="18"/>
          <w:szCs w:val="18"/>
        </w:rPr>
        <w:t>“</w:t>
      </w:r>
      <w:r w:rsidRPr="003D5B15">
        <w:rPr>
          <w:rFonts w:ascii="Arial" w:hAnsi="Arial" w:cs="Arial"/>
          <w:sz w:val="18"/>
          <w:szCs w:val="18"/>
        </w:rPr>
        <w:t xml:space="preserve">Artículo 2.2.1.2.4.2.4. Acreditación de requisitos para participar en convocatorias limitadas. La </w:t>
      </w:r>
      <w:proofErr w:type="spellStart"/>
      <w:r w:rsidRPr="003D5B15">
        <w:rPr>
          <w:rFonts w:ascii="Arial" w:hAnsi="Arial" w:cs="Arial"/>
          <w:sz w:val="18"/>
          <w:szCs w:val="18"/>
        </w:rPr>
        <w:t>Mipyme</w:t>
      </w:r>
      <w:proofErr w:type="spellEnd"/>
      <w:r w:rsidRPr="003D5B15">
        <w:rPr>
          <w:rFonts w:ascii="Arial" w:hAnsi="Arial" w:cs="Arial"/>
          <w:sz w:val="18"/>
          <w:szCs w:val="18"/>
        </w:rPr>
        <w:t xml:space="preserve"> colombianas deben acreditar que tiene el tamaño empresarial establecido por la ley de la siguiente manera:</w:t>
      </w:r>
    </w:p>
    <w:p w14:paraId="35503BF6"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1. Las personas naturales mediante certificación expedida por ellos y un contador público, adjuntando copia del registro mercantil.</w:t>
      </w:r>
    </w:p>
    <w:p w14:paraId="62190FE0"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2. Las personas jurídicas mediante certificación expedida por el representante legal y el contador o revisor fiscal, si están obligados a tenerlo, adjuntando copia del certificado de existencia y representación legal expedido por la Cámara de Comercio o por la autoridad competente para expedir dicha certificación.</w:t>
      </w:r>
    </w:p>
    <w:p w14:paraId="7682F776"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Para la acreditación deberán observarse los rangos de clasificación empresarial establecidos de conformidad con la Ley 590 de 2000 y el Decreto 1074 de 2015, o las normas que lo modifiquen, sustituyan o complementen.</w:t>
      </w:r>
    </w:p>
    <w:p w14:paraId="195C6A12"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 xml:space="preserve">Parágrafo 1. En todo caso, las </w:t>
      </w:r>
      <w:proofErr w:type="spellStart"/>
      <w:r w:rsidRPr="003D5B15">
        <w:rPr>
          <w:rFonts w:ascii="Arial" w:hAnsi="Arial" w:cs="Arial"/>
          <w:sz w:val="18"/>
          <w:szCs w:val="18"/>
        </w:rPr>
        <w:t>Mipyme</w:t>
      </w:r>
      <w:proofErr w:type="spellEnd"/>
      <w:r w:rsidRPr="003D5B15">
        <w:rPr>
          <w:rFonts w:ascii="Arial" w:hAnsi="Arial" w:cs="Arial"/>
          <w:sz w:val="18"/>
          <w:szCs w:val="18"/>
        </w:rPr>
        <w:t xml:space="preserve"> también podrán acreditar esta condición con la copia del certificado del Registro Único de Proponentes, el cual deberá encontrarse vigente y en firme al momento de su presentación.</w:t>
      </w:r>
    </w:p>
    <w:p w14:paraId="095E064A"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 xml:space="preserve">Parágrafo 2. Para efectos de la limitación a </w:t>
      </w:r>
      <w:proofErr w:type="spellStart"/>
      <w:r w:rsidRPr="003D5B15">
        <w:rPr>
          <w:rFonts w:ascii="Arial" w:hAnsi="Arial" w:cs="Arial"/>
          <w:sz w:val="18"/>
          <w:szCs w:val="18"/>
        </w:rPr>
        <w:t>Mipyme</w:t>
      </w:r>
      <w:proofErr w:type="spellEnd"/>
      <w:r w:rsidRPr="003D5B15">
        <w:rPr>
          <w:rFonts w:ascii="Arial" w:hAnsi="Arial" w:cs="Arial"/>
          <w:sz w:val="18"/>
          <w:szCs w:val="18"/>
        </w:rPr>
        <w:t>, los proponentes aportarán la copia del registro mercantil, del certificado de existencia y representación legal o del Registro Único de Proponentes, según corresponda conforme a las reglas precedentes, con una fecha de máximo sesenta (60) días calendario anteriores a la prevista en el cronograma del Proceso de Contratación para el inicio del plazo para solicitar la convocatoria limitada.</w:t>
      </w:r>
    </w:p>
    <w:p w14:paraId="7723FEE0"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 xml:space="preserve">Parágrafo 3. En las convocatorias limitadas, las Entidades Estatales independientemente de su régimen de contratación, los patrimonios autónomos constituidos por Entidades Estatales y los </w:t>
      </w:r>
      <w:proofErr w:type="spellStart"/>
      <w:r w:rsidRPr="003D5B15">
        <w:rPr>
          <w:rFonts w:ascii="Arial" w:hAnsi="Arial" w:cs="Arial"/>
          <w:sz w:val="18"/>
          <w:szCs w:val="18"/>
        </w:rPr>
        <w:t>parliculares</w:t>
      </w:r>
      <w:proofErr w:type="spellEnd"/>
      <w:r w:rsidRPr="003D5B15">
        <w:rPr>
          <w:rFonts w:ascii="Arial" w:hAnsi="Arial" w:cs="Arial"/>
          <w:sz w:val="18"/>
          <w:szCs w:val="18"/>
        </w:rPr>
        <w:t xml:space="preserve"> que ejecuten recursos públicos, solo deberán aceptar las ofertas de </w:t>
      </w:r>
      <w:proofErr w:type="spellStart"/>
      <w:r w:rsidRPr="003D5B15">
        <w:rPr>
          <w:rFonts w:ascii="Arial" w:hAnsi="Arial" w:cs="Arial"/>
          <w:sz w:val="18"/>
          <w:szCs w:val="18"/>
        </w:rPr>
        <w:t>Mipyme</w:t>
      </w:r>
      <w:proofErr w:type="spellEnd"/>
      <w:r w:rsidRPr="003D5B15">
        <w:rPr>
          <w:rFonts w:ascii="Arial" w:hAnsi="Arial" w:cs="Arial"/>
          <w:sz w:val="18"/>
          <w:szCs w:val="18"/>
        </w:rPr>
        <w:t xml:space="preserve"> o de proponentes plurales integrados únicamente por </w:t>
      </w:r>
      <w:proofErr w:type="spellStart"/>
      <w:r w:rsidRPr="003D5B15">
        <w:rPr>
          <w:rFonts w:ascii="Arial" w:hAnsi="Arial" w:cs="Arial"/>
          <w:sz w:val="18"/>
          <w:szCs w:val="18"/>
        </w:rPr>
        <w:t>Mipyme</w:t>
      </w:r>
      <w:proofErr w:type="spellEnd"/>
      <w:r w:rsidRPr="003D5B15">
        <w:rPr>
          <w:rFonts w:ascii="Arial" w:hAnsi="Arial" w:cs="Arial"/>
          <w:sz w:val="18"/>
          <w:szCs w:val="18"/>
        </w:rPr>
        <w:t>.</w:t>
      </w:r>
    </w:p>
    <w:p w14:paraId="3AF5C7D8" w14:textId="77777777" w:rsidR="00B84284" w:rsidRPr="003D5B15" w:rsidRDefault="00B84284" w:rsidP="00B84284">
      <w:pPr>
        <w:pStyle w:val="Textonotapie"/>
        <w:ind w:firstLine="708"/>
        <w:jc w:val="both"/>
        <w:rPr>
          <w:rFonts w:ascii="Arial" w:hAnsi="Arial" w:cs="Arial"/>
          <w:sz w:val="18"/>
          <w:szCs w:val="18"/>
        </w:rPr>
      </w:pPr>
      <w:r w:rsidRPr="003D5B15">
        <w:rPr>
          <w:rFonts w:ascii="Arial" w:hAnsi="Arial" w:cs="Arial"/>
          <w:sz w:val="18"/>
          <w:szCs w:val="18"/>
        </w:rPr>
        <w:t>Parágrafo 4. Los incentivos previstos en los artículos 2.2.1.2.4.2.2 y 2.2.1.2.4.2.3 de este Decreto no excluyen la aplicación de los criterios diferenciales para los emprendimientos y empresas de mujeres en el sistema de compras públicas</w:t>
      </w:r>
      <w:r>
        <w:rPr>
          <w:rFonts w:ascii="Arial" w:hAnsi="Arial" w:cs="Arial"/>
          <w:sz w:val="18"/>
          <w:szCs w:val="18"/>
        </w:rPr>
        <w:t>”.</w:t>
      </w:r>
      <w:r w:rsidRPr="003D5B15">
        <w:rPr>
          <w:rFonts w:ascii="Arial" w:hAnsi="Arial" w:cs="Arial"/>
          <w:sz w:val="18"/>
          <w:szCs w:val="18"/>
        </w:rPr>
        <w:t xml:space="preserve"> </w:t>
      </w:r>
    </w:p>
  </w:footnote>
  <w:footnote w:id="14">
    <w:p w14:paraId="020075AD" w14:textId="77777777" w:rsidR="00B84284" w:rsidRDefault="00B84284" w:rsidP="00B84284">
      <w:pPr>
        <w:pStyle w:val="Textonotapie"/>
        <w:ind w:firstLine="708"/>
        <w:jc w:val="both"/>
        <w:rPr>
          <w:rFonts w:ascii="Arial" w:hAnsi="Arial" w:cs="Arial"/>
          <w:color w:val="000000" w:themeColor="text1"/>
          <w:sz w:val="18"/>
          <w:szCs w:val="18"/>
        </w:rPr>
      </w:pPr>
      <w:r w:rsidRPr="0052190F">
        <w:rPr>
          <w:rStyle w:val="Refdenotaalpie"/>
          <w:rFonts w:ascii="Arial" w:hAnsi="Arial" w:cs="Arial"/>
          <w:color w:val="000000" w:themeColor="text1"/>
          <w:sz w:val="18"/>
          <w:szCs w:val="18"/>
        </w:rPr>
        <w:footnoteRef/>
      </w:r>
      <w:r w:rsidRPr="0052190F">
        <w:rPr>
          <w:rFonts w:ascii="Arial" w:hAnsi="Arial" w:cs="Arial"/>
          <w:color w:val="000000" w:themeColor="text1"/>
          <w:sz w:val="18"/>
          <w:szCs w:val="18"/>
        </w:rPr>
        <w:t xml:space="preserve"> Es el promedio ponderado por monto de las operaciones de compra y venta de dólares de los Estados Unidos de América a cambio de moneda legal colombiana, pactadas para cumplimiento en ambas monedas el mismo día de su negociación, efectuadas por los Intermediarios del Mercado Cambiario entre las 7:30 a.m. y la 1:00 p.m.</w:t>
      </w:r>
    </w:p>
    <w:p w14:paraId="66AF16E8" w14:textId="77777777" w:rsidR="00B84284" w:rsidRPr="0052190F" w:rsidRDefault="00B84284" w:rsidP="00B84284">
      <w:pPr>
        <w:pStyle w:val="Textonotapie"/>
        <w:ind w:firstLine="708"/>
        <w:jc w:val="both"/>
        <w:rPr>
          <w:rFonts w:ascii="Arial" w:hAnsi="Arial" w:cs="Arial"/>
          <w:color w:val="000000" w:themeColor="text1"/>
          <w:sz w:val="18"/>
          <w:szCs w:val="18"/>
        </w:rPr>
      </w:pPr>
    </w:p>
  </w:footnote>
  <w:footnote w:id="15">
    <w:p w14:paraId="660EB0CD" w14:textId="77777777" w:rsidR="00B84284" w:rsidRPr="0052190F" w:rsidRDefault="00B84284" w:rsidP="00B84284">
      <w:pPr>
        <w:pStyle w:val="Textonotapie"/>
        <w:ind w:firstLine="708"/>
        <w:jc w:val="both"/>
        <w:rPr>
          <w:rFonts w:ascii="Arial" w:hAnsi="Arial" w:cs="Arial"/>
          <w:color w:val="000000" w:themeColor="text1"/>
          <w:sz w:val="18"/>
          <w:szCs w:val="18"/>
        </w:rPr>
      </w:pPr>
      <w:r w:rsidRPr="0052190F">
        <w:rPr>
          <w:rStyle w:val="Refdenotaalpie"/>
          <w:rFonts w:ascii="Arial" w:hAnsi="Arial" w:cs="Arial"/>
          <w:color w:val="000000" w:themeColor="text1"/>
          <w:sz w:val="18"/>
          <w:szCs w:val="18"/>
        </w:rPr>
        <w:footnoteRef/>
      </w:r>
      <w:r w:rsidRPr="0052190F">
        <w:rPr>
          <w:rFonts w:ascii="Arial" w:hAnsi="Arial" w:cs="Arial"/>
          <w:color w:val="000000" w:themeColor="text1"/>
          <w:sz w:val="18"/>
          <w:szCs w:val="18"/>
        </w:rPr>
        <w:t xml:space="preserve"> La TRM diaria se puede consultar en </w:t>
      </w:r>
      <w:hyperlink r:id="rId3" w:history="1">
        <w:r w:rsidRPr="0052190F">
          <w:rPr>
            <w:rStyle w:val="Hipervnculo"/>
            <w:rFonts w:ascii="Arial" w:hAnsi="Arial" w:cs="Arial"/>
            <w:color w:val="000000" w:themeColor="text1"/>
            <w:sz w:val="18"/>
            <w:szCs w:val="18"/>
          </w:rPr>
          <w:t>https://www.banrep.gov.co/es/estadisticas/trm</w:t>
        </w:r>
      </w:hyperlink>
      <w:r w:rsidRPr="0052190F">
        <w:rPr>
          <w:rFonts w:ascii="Arial" w:hAnsi="Arial" w:cs="Arial"/>
          <w:color w:val="000000" w:themeColor="text1"/>
          <w:sz w:val="18"/>
          <w:szCs w:val="18"/>
        </w:rPr>
        <w:t>.</w:t>
      </w:r>
    </w:p>
  </w:footnote>
  <w:footnote w:id="16">
    <w:p w14:paraId="5CA1963E" w14:textId="77777777" w:rsidR="00B84284" w:rsidRDefault="00B84284" w:rsidP="00B84284">
      <w:pPr>
        <w:pStyle w:val="Textonotapie"/>
        <w:ind w:firstLine="708"/>
        <w:jc w:val="both"/>
        <w:rPr>
          <w:rFonts w:ascii="Arial" w:hAnsi="Arial" w:cs="Arial"/>
          <w:color w:val="000000" w:themeColor="text1"/>
          <w:sz w:val="18"/>
          <w:szCs w:val="18"/>
        </w:rPr>
      </w:pPr>
    </w:p>
    <w:p w14:paraId="3E0DA656" w14:textId="77777777" w:rsidR="00B84284" w:rsidRPr="0052190F" w:rsidRDefault="00B84284" w:rsidP="00B84284">
      <w:pPr>
        <w:pStyle w:val="Textonotapie"/>
        <w:ind w:firstLine="708"/>
        <w:jc w:val="both"/>
        <w:rPr>
          <w:rFonts w:ascii="Arial" w:hAnsi="Arial" w:cs="Arial"/>
          <w:color w:val="000000" w:themeColor="text1"/>
          <w:sz w:val="18"/>
          <w:szCs w:val="18"/>
          <w:lang w:val="es-ES"/>
        </w:rPr>
      </w:pPr>
      <w:r w:rsidRPr="0052190F">
        <w:rPr>
          <w:rStyle w:val="Refdenotaalpie"/>
          <w:rFonts w:ascii="Arial" w:hAnsi="Arial" w:cs="Arial"/>
          <w:color w:val="000000" w:themeColor="text1"/>
          <w:sz w:val="18"/>
          <w:szCs w:val="18"/>
        </w:rPr>
        <w:footnoteRef/>
      </w:r>
      <w:r w:rsidRPr="0052190F">
        <w:rPr>
          <w:rFonts w:ascii="Arial" w:hAnsi="Arial" w:cs="Arial"/>
          <w:color w:val="000000" w:themeColor="text1"/>
          <w:sz w:val="18"/>
          <w:szCs w:val="18"/>
        </w:rPr>
        <w:t xml:space="preserve"> </w:t>
      </w:r>
      <w:r w:rsidRPr="0052190F">
        <w:rPr>
          <w:rFonts w:ascii="Arial" w:hAnsi="Arial" w:cs="Arial"/>
          <w:color w:val="000000" w:themeColor="text1"/>
          <w:sz w:val="18"/>
          <w:szCs w:val="18"/>
          <w:lang w:val="es-ES"/>
        </w:rPr>
        <w:t xml:space="preserve">Fecha de expedición del Decreto 1082. </w:t>
      </w:r>
    </w:p>
  </w:footnote>
  <w:footnote w:id="17">
    <w:p w14:paraId="2CB2F49B" w14:textId="77777777" w:rsidR="00B84284" w:rsidRDefault="00B84284" w:rsidP="00B84284">
      <w:pPr>
        <w:pStyle w:val="Textonotapie"/>
        <w:ind w:firstLine="708"/>
        <w:jc w:val="both"/>
        <w:rPr>
          <w:rFonts w:ascii="Arial" w:hAnsi="Arial" w:cs="Arial"/>
          <w:color w:val="000000" w:themeColor="text1"/>
          <w:sz w:val="18"/>
          <w:szCs w:val="18"/>
        </w:rPr>
      </w:pPr>
    </w:p>
    <w:p w14:paraId="685E9D19" w14:textId="77777777" w:rsidR="00B84284" w:rsidRPr="0052190F" w:rsidRDefault="00B84284" w:rsidP="00B84284">
      <w:pPr>
        <w:pStyle w:val="Textonotapie"/>
        <w:ind w:firstLine="708"/>
        <w:jc w:val="both"/>
        <w:rPr>
          <w:rFonts w:ascii="Arial" w:hAnsi="Arial" w:cs="Arial"/>
          <w:color w:val="000000" w:themeColor="text1"/>
          <w:sz w:val="18"/>
          <w:szCs w:val="18"/>
          <w:u w:val="single"/>
        </w:rPr>
      </w:pPr>
      <w:r w:rsidRPr="0052190F">
        <w:rPr>
          <w:rStyle w:val="Refdenotaalpie"/>
          <w:rFonts w:ascii="Arial" w:hAnsi="Arial" w:cs="Arial"/>
          <w:color w:val="000000" w:themeColor="text1"/>
          <w:sz w:val="18"/>
          <w:szCs w:val="18"/>
        </w:rPr>
        <w:footnoteRef/>
      </w:r>
      <w:r w:rsidRPr="0052190F">
        <w:rPr>
          <w:rFonts w:ascii="Arial" w:hAnsi="Arial" w:cs="Arial"/>
          <w:color w:val="000000" w:themeColor="text1"/>
          <w:sz w:val="18"/>
          <w:szCs w:val="18"/>
        </w:rPr>
        <w:t xml:space="preserve"> </w:t>
      </w:r>
      <w:hyperlink r:id="rId4" w:history="1">
        <w:r w:rsidRPr="0052190F">
          <w:rPr>
            <w:rFonts w:ascii="Arial" w:hAnsi="Arial" w:cs="Arial"/>
            <w:sz w:val="18"/>
            <w:szCs w:val="18"/>
            <w:lang w:val="es-ES"/>
          </w:rPr>
          <w:t>https://www.colombiacompra.gov.co/sites/cce_public/files/cce_documentos/umbrales_2020_-_2021.pdf</w:t>
        </w:r>
      </w:hyperlink>
    </w:p>
  </w:footnote>
  <w:footnote w:id="18">
    <w:p w14:paraId="10BDAA2B" w14:textId="77777777" w:rsidR="00B84284" w:rsidRPr="0052190F" w:rsidRDefault="00B84284" w:rsidP="00B84284">
      <w:pPr>
        <w:pStyle w:val="Textonotapie"/>
        <w:ind w:firstLine="708"/>
        <w:jc w:val="both"/>
        <w:rPr>
          <w:rFonts w:ascii="Arial" w:hAnsi="Arial" w:cs="Arial"/>
          <w:sz w:val="18"/>
          <w:szCs w:val="18"/>
        </w:rPr>
      </w:pPr>
    </w:p>
    <w:p w14:paraId="5735DE2E" w14:textId="77777777" w:rsidR="00B84284" w:rsidRPr="0052190F" w:rsidRDefault="00B84284" w:rsidP="00B84284">
      <w:pPr>
        <w:pStyle w:val="Textonotapie"/>
        <w:ind w:firstLine="708"/>
        <w:jc w:val="both"/>
        <w:rPr>
          <w:rFonts w:ascii="Arial" w:hAnsi="Arial" w:cs="Arial"/>
          <w:sz w:val="18"/>
          <w:szCs w:val="18"/>
        </w:rPr>
      </w:pPr>
      <w:r w:rsidRPr="0052190F">
        <w:rPr>
          <w:rStyle w:val="Refdenotaalpie"/>
          <w:rFonts w:ascii="Arial" w:hAnsi="Arial" w:cs="Arial"/>
          <w:sz w:val="18"/>
          <w:szCs w:val="18"/>
        </w:rPr>
        <w:footnoteRef/>
      </w:r>
      <w:r w:rsidRPr="0052190F">
        <w:rPr>
          <w:rFonts w:ascii="Arial" w:hAnsi="Arial" w:cs="Arial"/>
          <w:sz w:val="18"/>
          <w:szCs w:val="18"/>
        </w:rPr>
        <w:t xml:space="preserve">Ley 1450 de 2011: </w:t>
      </w:r>
      <w:r>
        <w:rPr>
          <w:rFonts w:ascii="Arial" w:hAnsi="Arial" w:cs="Arial"/>
          <w:sz w:val="18"/>
          <w:szCs w:val="18"/>
        </w:rPr>
        <w:t>“</w:t>
      </w:r>
      <w:r w:rsidRPr="0052190F">
        <w:rPr>
          <w:rFonts w:ascii="Arial" w:hAnsi="Arial" w:cs="Arial"/>
          <w:sz w:val="18"/>
          <w:szCs w:val="18"/>
        </w:rPr>
        <w:t xml:space="preserve">Artículo 32. Parágrafo 1°: En los procesos de selección que se desarrollen con base en el primer inciso, las entidades podrán realizar las convocatorias limitadas que beneficien a las </w:t>
      </w:r>
      <w:proofErr w:type="spellStart"/>
      <w:r w:rsidRPr="0052190F">
        <w:rPr>
          <w:rFonts w:ascii="Arial" w:hAnsi="Arial" w:cs="Arial"/>
          <w:sz w:val="18"/>
          <w:szCs w:val="18"/>
        </w:rPr>
        <w:t>Mipymes</w:t>
      </w:r>
      <w:proofErr w:type="spellEnd"/>
      <w:r w:rsidRPr="0052190F">
        <w:rPr>
          <w:rFonts w:ascii="Arial" w:hAnsi="Arial" w:cs="Arial"/>
          <w:sz w:val="18"/>
          <w:szCs w:val="18"/>
        </w:rPr>
        <w:t xml:space="preserve"> del ámbito municipal o departamental correspondiente al de la ejecución del contrato</w:t>
      </w:r>
      <w:r>
        <w:rPr>
          <w:rFonts w:ascii="Arial" w:hAnsi="Arial" w:cs="Arial"/>
          <w:sz w:val="18"/>
          <w:szCs w:val="18"/>
        </w:rPr>
        <w:t>”</w:t>
      </w:r>
      <w:r w:rsidRPr="0052190F">
        <w:rPr>
          <w:rFonts w:ascii="Arial" w:hAnsi="Arial" w:cs="Arial"/>
          <w:sz w:val="18"/>
          <w:szCs w:val="18"/>
        </w:rPr>
        <w:t>.</w:t>
      </w:r>
    </w:p>
    <w:p w14:paraId="48996B25" w14:textId="77777777" w:rsidR="00B84284" w:rsidRPr="0052190F" w:rsidRDefault="00B84284" w:rsidP="00B84284">
      <w:pPr>
        <w:pStyle w:val="Textonotapie"/>
        <w:ind w:firstLine="708"/>
        <w:jc w:val="both"/>
        <w:rPr>
          <w:rFonts w:ascii="Arial" w:hAnsi="Arial" w:cs="Arial"/>
          <w:sz w:val="18"/>
          <w:szCs w:val="18"/>
        </w:rPr>
      </w:pPr>
    </w:p>
  </w:footnote>
  <w:footnote w:id="19">
    <w:p w14:paraId="40B03B84" w14:textId="77777777" w:rsidR="00B84284" w:rsidRPr="0052190F" w:rsidRDefault="00B84284" w:rsidP="00B84284">
      <w:pPr>
        <w:pStyle w:val="Textonotapie"/>
        <w:ind w:firstLine="708"/>
        <w:jc w:val="both"/>
        <w:rPr>
          <w:rFonts w:ascii="Arial" w:hAnsi="Arial" w:cs="Arial"/>
          <w:sz w:val="18"/>
          <w:szCs w:val="18"/>
        </w:rPr>
      </w:pPr>
      <w:r w:rsidRPr="0052190F">
        <w:rPr>
          <w:rStyle w:val="Refdenotaalpie"/>
          <w:rFonts w:ascii="Arial" w:hAnsi="Arial" w:cs="Arial"/>
          <w:sz w:val="18"/>
          <w:szCs w:val="18"/>
        </w:rPr>
        <w:footnoteRef/>
      </w:r>
      <w:r w:rsidRPr="0052190F">
        <w:rPr>
          <w:rFonts w:ascii="Arial" w:hAnsi="Arial" w:cs="Arial"/>
          <w:sz w:val="18"/>
          <w:szCs w:val="18"/>
        </w:rPr>
        <w:t xml:space="preserve"> Cfr. Concepto emitido en el radicado 4201913000005674, dictado el 27 de septiembre de 2019.</w:t>
      </w:r>
    </w:p>
    <w:p w14:paraId="43E7FEF6" w14:textId="77777777" w:rsidR="00B84284" w:rsidRPr="0052190F" w:rsidRDefault="00B84284" w:rsidP="00B84284">
      <w:pPr>
        <w:pStyle w:val="Textonotapie"/>
        <w:ind w:firstLine="708"/>
        <w:jc w:val="both"/>
        <w:rPr>
          <w:rFonts w:ascii="Arial" w:hAnsi="Arial" w:cs="Arial"/>
          <w:sz w:val="18"/>
          <w:szCs w:val="18"/>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CEC33" w14:textId="77777777" w:rsidR="00906B3C" w:rsidRPr="007566FE" w:rsidRDefault="00000000" w:rsidP="008614E5">
    <w:pPr>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9264" behindDoc="1" locked="0" layoutInCell="1" hidden="0" allowOverlap="1" wp14:anchorId="4353A7EE" wp14:editId="7B5E385D">
          <wp:simplePos x="0" y="0"/>
          <wp:positionH relativeFrom="margin">
            <wp:align>right</wp:align>
          </wp:positionH>
          <wp:positionV relativeFrom="paragraph">
            <wp:posOffset>-80564</wp:posOffset>
          </wp:positionV>
          <wp:extent cx="1657350" cy="676275"/>
          <wp:effectExtent l="0" t="0" r="0" b="9525"/>
          <wp:wrapNone/>
          <wp:docPr id="25" name="Imagen 25"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hAnsi="Geomanist Light"/>
        <w:color w:val="002060"/>
        <w:sz w:val="16"/>
        <w:szCs w:val="16"/>
      </w:rPr>
      <w:t>FORMATO PQRSD</w:t>
    </w:r>
  </w:p>
  <w:p w14:paraId="746E2948" w14:textId="77777777" w:rsidR="007566FE" w:rsidRPr="007566FE" w:rsidRDefault="00000000" w:rsidP="00793403">
    <w:pPr>
      <w:pBdr>
        <w:top w:val="nil"/>
        <w:left w:val="nil"/>
        <w:bottom w:val="nil"/>
        <w:right w:val="nil"/>
        <w:between w:val="nil"/>
      </w:pBdr>
      <w:tabs>
        <w:tab w:val="center" w:pos="4419"/>
        <w:tab w:val="right" w:pos="8838"/>
        <w:tab w:val="center" w:pos="5400"/>
      </w:tabs>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4132974F" w14:textId="77777777" w:rsidR="00793403" w:rsidRDefault="00000000" w:rsidP="008614E5">
    <w:pPr>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60288" behindDoc="1" locked="0" layoutInCell="1" allowOverlap="1" wp14:anchorId="68A53EFE" wp14:editId="266E962E">
          <wp:simplePos x="0" y="0"/>
          <wp:positionH relativeFrom="margin">
            <wp:align>left</wp:align>
          </wp:positionH>
          <wp:positionV relativeFrom="paragraph">
            <wp:posOffset>141605</wp:posOffset>
          </wp:positionV>
          <wp:extent cx="3238500" cy="76200"/>
          <wp:effectExtent l="0" t="0" r="0" b="0"/>
          <wp:wrapNone/>
          <wp:docPr id="26" name="Imagen 2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Pr="007566FE">
      <w:rPr>
        <w:rFonts w:ascii="Geomanist Light" w:eastAsia="Geo" w:hAnsi="Geomanist Light" w:cs="Geo"/>
        <w:b/>
        <w:color w:val="000000"/>
        <w:sz w:val="16"/>
        <w:szCs w:val="16"/>
        <w:lang w:eastAsia="es-CO"/>
      </w:rPr>
      <w:t>Versión</w:t>
    </w:r>
    <w:r w:rsidRPr="007566FE">
      <w:rPr>
        <w:rFonts w:ascii="Geomanist Light" w:eastAsia="Arial Nova" w:hAnsi="Geomanist Light" w:cs="Arial Nova"/>
        <w:b/>
        <w:color w:val="000000"/>
        <w:sz w:val="16"/>
        <w:szCs w:val="16"/>
        <w:lang w:eastAsia="es-CO"/>
      </w:rPr>
      <w:t xml:space="preserve">: </w:t>
    </w:r>
    <w:r w:rsidRPr="007566FE">
      <w:rPr>
        <w:rFonts w:ascii="Geomanist Light" w:eastAsia="Geo" w:hAnsi="Geomanist Light" w:cs="Geo"/>
        <w:sz w:val="16"/>
        <w:szCs w:val="16"/>
        <w:lang w:eastAsia="es-CO"/>
      </w:rPr>
      <w:t>0</w:t>
    </w:r>
    <w:r>
      <w:rPr>
        <w:rFonts w:ascii="Geomanist Light" w:eastAsia="Geo" w:hAnsi="Geomanist Light" w:cs="Geo"/>
        <w:sz w:val="16"/>
        <w:szCs w:val="16"/>
        <w:lang w:eastAsia="es-CO"/>
      </w:rPr>
      <w:t>2</w:t>
    </w:r>
    <w:r w:rsidRPr="007566FE">
      <w:rPr>
        <w:rFonts w:ascii="Geomanist Light" w:eastAsia="Geo" w:hAnsi="Geomanist Light" w:cs="Geo"/>
        <w:sz w:val="16"/>
        <w:szCs w:val="16"/>
        <w:lang w:eastAsia="es-CO"/>
      </w:rPr>
      <w:t xml:space="preserve"> DEL </w:t>
    </w:r>
    <w:r>
      <w:rPr>
        <w:rFonts w:ascii="Geomanist Light" w:eastAsia="Geo" w:hAnsi="Geomanist Light" w:cs="Geo"/>
        <w:sz w:val="16"/>
        <w:szCs w:val="16"/>
        <w:lang w:eastAsia="es-CO"/>
      </w:rPr>
      <w:t>28</w:t>
    </w:r>
    <w:r w:rsidRPr="007566FE">
      <w:rPr>
        <w:rFonts w:ascii="Geomanist Light" w:eastAsia="Geo" w:hAnsi="Geomanist Light" w:cs="Geo"/>
        <w:sz w:val="16"/>
        <w:szCs w:val="16"/>
        <w:lang w:eastAsia="es-CO"/>
      </w:rPr>
      <w:t xml:space="preserve"> DE </w:t>
    </w:r>
    <w:r>
      <w:rPr>
        <w:rFonts w:ascii="Geomanist Light" w:eastAsia="Geo" w:hAnsi="Geomanist Light" w:cs="Geo"/>
        <w:sz w:val="16"/>
        <w:szCs w:val="16"/>
        <w:lang w:eastAsia="es-CO"/>
      </w:rPr>
      <w:t>SEPTIEMBRE</w:t>
    </w:r>
    <w:r w:rsidRPr="007566FE">
      <w:rPr>
        <w:rFonts w:ascii="Geomanist Light" w:eastAsia="Geo" w:hAnsi="Geomanist Light" w:cs="Geo"/>
        <w:sz w:val="16"/>
        <w:szCs w:val="16"/>
        <w:lang w:eastAsia="es-CO"/>
      </w:rPr>
      <w:t xml:space="preserve"> DE 2022</w:t>
    </w:r>
  </w:p>
  <w:p w14:paraId="4CE377C2" w14:textId="77777777" w:rsidR="00793403" w:rsidRPr="007566FE" w:rsidRDefault="00000000" w:rsidP="008614E5">
    <w:pPr>
      <w:rPr>
        <w:rFonts w:ascii="Geomanist Light" w:hAnsi="Geomanist Light"/>
        <w:color w:val="002060"/>
        <w:sz w:val="16"/>
        <w:szCs w:val="16"/>
      </w:rPr>
    </w:pPr>
  </w:p>
  <w:p w14:paraId="4D7620F2" w14:textId="77777777" w:rsidR="004A1847" w:rsidRPr="00906B3C" w:rsidRDefault="00000000"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16cid:durableId="759259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84"/>
    <w:rsid w:val="005925B0"/>
    <w:rsid w:val="008A4887"/>
    <w:rsid w:val="00B84284"/>
    <w:rsid w:val="00EC055B"/>
    <w:rsid w:val="00F57AC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414D0"/>
  <w15:chartTrackingRefBased/>
  <w15:docId w15:val="{383B56EC-EC25-4716-AA06-E8AFC2247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284"/>
    <w:pPr>
      <w:spacing w:after="0" w:line="240" w:lineRule="auto"/>
    </w:pPr>
    <w:rPr>
      <w:rFonts w:ascii="Times New Roman" w:eastAsia="Times New Roman" w:hAnsi="Times New Roman" w:cs="Times New Roman"/>
      <w:kern w:val="0"/>
      <w:sz w:val="24"/>
      <w:szCs w:val="24"/>
      <w:lang w:eastAsia="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84284"/>
    <w:pPr>
      <w:tabs>
        <w:tab w:val="center" w:pos="4419"/>
        <w:tab w:val="right" w:pos="8838"/>
      </w:tabs>
    </w:pPr>
  </w:style>
  <w:style w:type="character" w:customStyle="1" w:styleId="EncabezadoCar">
    <w:name w:val="Encabezado Car"/>
    <w:basedOn w:val="Fuentedeprrafopredeter"/>
    <w:link w:val="Encabezado"/>
    <w:uiPriority w:val="99"/>
    <w:rsid w:val="00B84284"/>
    <w:rPr>
      <w:rFonts w:ascii="Times New Roman" w:eastAsia="Times New Roman" w:hAnsi="Times New Roman" w:cs="Times New Roman"/>
      <w:kern w:val="0"/>
      <w:sz w:val="24"/>
      <w:szCs w:val="24"/>
      <w:lang w:eastAsia="es-ES_tradnl"/>
      <w14:ligatures w14:val="none"/>
    </w:rPr>
  </w:style>
  <w:style w:type="paragraph" w:styleId="Piedepgina">
    <w:name w:val="footer"/>
    <w:basedOn w:val="Normal"/>
    <w:link w:val="PiedepginaCar"/>
    <w:uiPriority w:val="99"/>
    <w:unhideWhenUsed/>
    <w:rsid w:val="00B84284"/>
    <w:pPr>
      <w:tabs>
        <w:tab w:val="center" w:pos="4419"/>
        <w:tab w:val="right" w:pos="8838"/>
      </w:tabs>
    </w:pPr>
  </w:style>
  <w:style w:type="character" w:customStyle="1" w:styleId="PiedepginaCar">
    <w:name w:val="Pie de página Car"/>
    <w:basedOn w:val="Fuentedeprrafopredeter"/>
    <w:link w:val="Piedepgina"/>
    <w:uiPriority w:val="99"/>
    <w:rsid w:val="00B84284"/>
    <w:rPr>
      <w:rFonts w:ascii="Times New Roman" w:eastAsia="Times New Roman" w:hAnsi="Times New Roman" w:cs="Times New Roman"/>
      <w:kern w:val="0"/>
      <w:sz w:val="24"/>
      <w:szCs w:val="24"/>
      <w:lang w:eastAsia="es-ES_tradnl"/>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8428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84284"/>
    <w:rPr>
      <w:rFonts w:asciiTheme="minorHAnsi" w:eastAsiaTheme="minorHAnsi" w:hAnsiTheme="minorHAnsi" w:cstheme="minorBidi"/>
      <w:kern w:val="2"/>
      <w:sz w:val="20"/>
      <w:szCs w:val="20"/>
      <w:lang w:val="es-MX" w:eastAsia="en-US"/>
      <w14:ligatures w14:val="standardContextual"/>
    </w:rPr>
  </w:style>
  <w:style w:type="character" w:customStyle="1" w:styleId="TextonotapieCar1">
    <w:name w:val="Texto nota pie Car1"/>
    <w:basedOn w:val="Fuentedeprrafopredeter"/>
    <w:uiPriority w:val="99"/>
    <w:semiHidden/>
    <w:rsid w:val="00B84284"/>
    <w:rPr>
      <w:rFonts w:ascii="Times New Roman" w:eastAsia="Times New Roman" w:hAnsi="Times New Roman" w:cs="Times New Roman"/>
      <w:kern w:val="0"/>
      <w:sz w:val="20"/>
      <w:szCs w:val="20"/>
      <w:lang w:eastAsia="es-ES_tradnl"/>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84284"/>
    <w:rPr>
      <w:vertAlign w:val="superscript"/>
    </w:rPr>
  </w:style>
  <w:style w:type="character" w:customStyle="1" w:styleId="normaltextrun">
    <w:name w:val="normaltextrun"/>
    <w:basedOn w:val="Fuentedeprrafopredeter"/>
    <w:rsid w:val="00B84284"/>
  </w:style>
  <w:style w:type="table" w:styleId="Tablaconcuadrcula">
    <w:name w:val="Table Grid"/>
    <w:basedOn w:val="Tablanormal"/>
    <w:uiPriority w:val="59"/>
    <w:rsid w:val="00B8428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B84284"/>
    <w:pPr>
      <w:ind w:left="720"/>
      <w:contextualSpacing/>
    </w:pPr>
    <w:rPr>
      <w:rFonts w:ascii="Geomanist Light" w:hAnsi="Geomanist Light"/>
      <w:lang w:val="es-ES"/>
    </w:rPr>
  </w:style>
  <w:style w:type="character" w:styleId="Hipervnculo">
    <w:name w:val="Hyperlink"/>
    <w:basedOn w:val="Fuentedeprrafopredeter"/>
    <w:uiPriority w:val="99"/>
    <w:unhideWhenUsed/>
    <w:rsid w:val="00B84284"/>
    <w:rPr>
      <w:color w:val="0563C1" w:themeColor="hyperlink"/>
      <w:u w:val="single"/>
    </w:rPr>
  </w:style>
  <w:style w:type="paragraph" w:styleId="NormalWeb">
    <w:name w:val="Normal (Web)"/>
    <w:basedOn w:val="Normal"/>
    <w:link w:val="NormalWebCar"/>
    <w:uiPriority w:val="99"/>
    <w:unhideWhenUsed/>
    <w:rsid w:val="00B84284"/>
    <w:pPr>
      <w:spacing w:before="100" w:beforeAutospacing="1" w:after="100" w:afterAutospacing="1"/>
    </w:pPr>
    <w:rPr>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84284"/>
    <w:rPr>
      <w:rFonts w:ascii="Geomanist Light" w:eastAsia="Times New Roman" w:hAnsi="Geomanist Light" w:cs="Times New Roman"/>
      <w:kern w:val="0"/>
      <w:sz w:val="24"/>
      <w:szCs w:val="24"/>
      <w:lang w:val="es-ES" w:eastAsia="es-ES_tradnl"/>
      <w14:ligatures w14:val="none"/>
    </w:rPr>
  </w:style>
  <w:style w:type="table" w:customStyle="1" w:styleId="Tablaconcuadrcula1">
    <w:name w:val="Tabla con cuadrícula1"/>
    <w:basedOn w:val="Tablanormal"/>
    <w:next w:val="Tablaconcuadrcula"/>
    <w:uiPriority w:val="59"/>
    <w:rsid w:val="00B84284"/>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B84284"/>
    <w:pPr>
      <w:spacing w:after="160" w:line="240" w:lineRule="exact"/>
    </w:pPr>
    <w:rPr>
      <w:rFonts w:asciiTheme="minorHAnsi" w:eastAsiaTheme="minorHAnsi" w:hAnsiTheme="minorHAnsi" w:cstheme="minorBidi"/>
      <w:kern w:val="2"/>
      <w:sz w:val="22"/>
      <w:szCs w:val="22"/>
      <w:vertAlign w:val="superscript"/>
      <w:lang w:eastAsia="en-US"/>
      <w14:ligatures w14:val="standardContextual"/>
    </w:rPr>
  </w:style>
  <w:style w:type="character" w:customStyle="1" w:styleId="NormalWebCar">
    <w:name w:val="Normal (Web) Car"/>
    <w:link w:val="NormalWeb"/>
    <w:uiPriority w:val="99"/>
    <w:rsid w:val="00B84284"/>
    <w:rPr>
      <w:rFonts w:ascii="Times New Roman" w:eastAsia="Times New Roman" w:hAnsi="Times New Roman" w:cs="Times New Roman"/>
      <w:kern w:val="0"/>
      <w:sz w:val="24"/>
      <w:szCs w:val="24"/>
      <w:lang w:eastAsia="es-CO"/>
      <w14:ligatures w14:val="none"/>
    </w:rPr>
  </w:style>
  <w:style w:type="paragraph" w:styleId="Textoindependiente">
    <w:name w:val="Body Text"/>
    <w:basedOn w:val="Normal"/>
    <w:link w:val="TextoindependienteCar"/>
    <w:uiPriority w:val="1"/>
    <w:qFormat/>
    <w:rsid w:val="00B84284"/>
    <w:pPr>
      <w:widowControl w:val="0"/>
      <w:autoSpaceDE w:val="0"/>
      <w:autoSpaceDN w:val="0"/>
    </w:pPr>
    <w:rPr>
      <w:rFonts w:ascii="Arial MT" w:eastAsia="Arial MT" w:hAnsi="Arial MT" w:cs="Arial MT"/>
      <w:sz w:val="22"/>
      <w:szCs w:val="22"/>
      <w:lang w:val="es-ES" w:eastAsia="en-US"/>
    </w:rPr>
  </w:style>
  <w:style w:type="character" w:customStyle="1" w:styleId="TextoindependienteCar">
    <w:name w:val="Texto independiente Car"/>
    <w:basedOn w:val="Fuentedeprrafopredeter"/>
    <w:link w:val="Textoindependiente"/>
    <w:uiPriority w:val="1"/>
    <w:rsid w:val="00B84284"/>
    <w:rPr>
      <w:rFonts w:ascii="Arial MT" w:eastAsia="Arial MT" w:hAnsi="Arial MT" w:cs="Arial MT"/>
      <w:kern w:val="0"/>
      <w:lang w:val="es-ES"/>
      <w14:ligatures w14:val="none"/>
    </w:rPr>
  </w:style>
  <w:style w:type="character" w:customStyle="1" w:styleId="eop">
    <w:name w:val="eop"/>
    <w:basedOn w:val="Fuentedeprrafopredeter"/>
    <w:rsid w:val="00B84284"/>
  </w:style>
  <w:style w:type="paragraph" w:customStyle="1" w:styleId="paragraph">
    <w:name w:val="paragraph"/>
    <w:basedOn w:val="Normal"/>
    <w:rsid w:val="00B84284"/>
    <w:pPr>
      <w:spacing w:before="100" w:beforeAutospacing="1" w:after="100" w:afterAutospacing="1"/>
    </w:pPr>
    <w:rPr>
      <w:lang w:eastAsia="es-CO"/>
    </w:rPr>
  </w:style>
  <w:style w:type="character" w:customStyle="1" w:styleId="superscript">
    <w:name w:val="superscript"/>
    <w:basedOn w:val="Fuentedeprrafopredeter"/>
    <w:rsid w:val="00B842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lombiacompra.gov.c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www.banrep.gov.co/es/estadisticas/trm" TargetMode="External"/><Relationship Id="rId2" Type="http://schemas.openxmlformats.org/officeDocument/2006/relationships/hyperlink" Target="https://colaboracion.dnp.gov.co/CDT/Conpes/Econ%C3%B3micos/3956.pdf" TargetMode="External"/><Relationship Id="rId1" Type="http://schemas.openxmlformats.org/officeDocument/2006/relationships/hyperlink" Target="https://relatoria.colombiacompra.gov.co/busqueda/conceptos" TargetMode="External"/><Relationship Id="rId4" Type="http://schemas.openxmlformats.org/officeDocument/2006/relationships/hyperlink" Target="https://www.colombiacompra.gov.co/sites/cce_public/files/cce_documentos/umbrales_2020_-_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documentManagement>
</p:properties>
</file>

<file path=customXml/itemProps1.xml><?xml version="1.0" encoding="utf-8"?>
<ds:datastoreItem xmlns:ds="http://schemas.openxmlformats.org/officeDocument/2006/customXml" ds:itemID="{717B8168-205C-4B8C-B9FD-836097B92677}"/>
</file>

<file path=customXml/itemProps2.xml><?xml version="1.0" encoding="utf-8"?>
<ds:datastoreItem xmlns:ds="http://schemas.openxmlformats.org/officeDocument/2006/customXml" ds:itemID="{992E3951-2EFE-470E-9539-48ADF52D8858}"/>
</file>

<file path=customXml/itemProps3.xml><?xml version="1.0" encoding="utf-8"?>
<ds:datastoreItem xmlns:ds="http://schemas.openxmlformats.org/officeDocument/2006/customXml" ds:itemID="{CEC4CC70-779E-4E42-B442-864870063852}"/>
</file>

<file path=docProps/app.xml><?xml version="1.0" encoding="utf-8"?>
<Properties xmlns="http://schemas.openxmlformats.org/officeDocument/2006/extended-properties" xmlns:vt="http://schemas.openxmlformats.org/officeDocument/2006/docPropsVTypes">
  <Template>Normal.dotm</Template>
  <TotalTime>11</TotalTime>
  <Pages>17</Pages>
  <Words>6867</Words>
  <Characters>37773</Characters>
  <Application>Microsoft Office Word</Application>
  <DocSecurity>0</DocSecurity>
  <Lines>314</Lines>
  <Paragraphs>89</Paragraphs>
  <ScaleCrop>false</ScaleCrop>
  <Company/>
  <LinksUpToDate>false</LinksUpToDate>
  <CharactersWithSpaces>44551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3</cp:revision>
  <dcterms:created xsi:type="dcterms:W3CDTF">2023-04-28T22:31:00Z</dcterms:created>
  <dcterms:modified xsi:type="dcterms:W3CDTF">2023-05-12T15:23:00Z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