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B8F63" w14:textId="77777777" w:rsidR="00EA470B" w:rsidRPr="002011F9" w:rsidRDefault="00EA470B" w:rsidP="00EA470B">
      <w:pPr>
        <w:spacing w:after="0" w:line="240" w:lineRule="auto"/>
        <w:jc w:val="both"/>
        <w:rPr>
          <w:rFonts w:ascii="Verdana" w:eastAsia="Times New Roman" w:hAnsi="Verdana" w:cs="Arial"/>
          <w:b/>
          <w:lang w:eastAsia="es-ES_tradnl"/>
        </w:rPr>
      </w:pPr>
      <w:bookmarkStart w:id="0" w:name="_Hlk143780582"/>
      <w:r w:rsidRPr="002011F9">
        <w:rPr>
          <w:rFonts w:ascii="Verdana" w:eastAsia="Calibri" w:hAnsi="Verdana" w:cs="Arial"/>
          <w:b/>
        </w:rPr>
        <w:t xml:space="preserve">SOCIEDAD DE ECONOMÍA MIXTA </w:t>
      </w:r>
      <w:r w:rsidRPr="002011F9">
        <w:rPr>
          <w:rFonts w:ascii="Verdana" w:eastAsia="Times New Roman" w:hAnsi="Verdana" w:cs="Arial"/>
          <w:b/>
          <w:lang w:val="es-MX" w:eastAsia="es-ES_tradnl"/>
        </w:rPr>
        <w:t>– Naturaleza Jurídica –</w:t>
      </w:r>
      <w:r w:rsidRPr="002011F9">
        <w:rPr>
          <w:rFonts w:ascii="Verdana" w:eastAsia="Times New Roman" w:hAnsi="Verdana" w:cs="Arial"/>
          <w:b/>
          <w:lang w:eastAsia="es-ES_tradnl"/>
        </w:rPr>
        <w:t xml:space="preserve"> </w:t>
      </w:r>
      <w:r w:rsidRPr="002011F9">
        <w:rPr>
          <w:rFonts w:ascii="Verdana" w:eastAsia="Times New Roman" w:hAnsi="Verdana" w:cs="Arial"/>
          <w:b/>
          <w:lang w:val="es-MX" w:eastAsia="es-ES_tradnl"/>
        </w:rPr>
        <w:t>Régimen de contratación</w:t>
      </w:r>
      <w:r w:rsidRPr="002011F9">
        <w:rPr>
          <w:rFonts w:ascii="Verdana" w:eastAsia="Times New Roman" w:hAnsi="Verdana" w:cs="Arial"/>
          <w:b/>
          <w:lang w:eastAsia="es-ES_tradnl"/>
        </w:rPr>
        <w:t xml:space="preserve"> </w:t>
      </w:r>
    </w:p>
    <w:p w14:paraId="59D8A1E7" w14:textId="77777777" w:rsidR="00EA470B" w:rsidRPr="002011F9" w:rsidRDefault="00EA470B" w:rsidP="00EA470B">
      <w:pPr>
        <w:spacing w:after="0" w:line="240" w:lineRule="auto"/>
        <w:jc w:val="both"/>
        <w:rPr>
          <w:rFonts w:ascii="Verdana" w:eastAsia="Times New Roman" w:hAnsi="Verdana" w:cs="Arial"/>
          <w:b/>
          <w:sz w:val="20"/>
          <w:szCs w:val="20"/>
          <w:lang w:eastAsia="es-ES_tradnl"/>
        </w:rPr>
      </w:pPr>
    </w:p>
    <w:p w14:paraId="66C80C0F" w14:textId="77777777" w:rsidR="00EA470B" w:rsidRPr="002011F9" w:rsidRDefault="00EA470B" w:rsidP="00EA470B">
      <w:pPr>
        <w:spacing w:after="0" w:line="240" w:lineRule="auto"/>
        <w:jc w:val="both"/>
        <w:rPr>
          <w:rFonts w:ascii="Verdana" w:hAnsi="Verdana" w:cs="Arial"/>
          <w:sz w:val="20"/>
          <w:szCs w:val="20"/>
          <w:lang w:val="es-ES_tradnl" w:eastAsia="es-MX"/>
        </w:rPr>
      </w:pPr>
      <w:r w:rsidRPr="002011F9">
        <w:rPr>
          <w:rFonts w:ascii="Verdana" w:hAnsi="Verdana" w:cs="Arial"/>
          <w:color w:val="000000" w:themeColor="text1"/>
          <w:sz w:val="20"/>
          <w:szCs w:val="20"/>
          <w:lang w:val="es-ES_tradnl"/>
        </w:rPr>
        <w:t>En nuestro ordenamiento jurídico, el</w:t>
      </w:r>
      <w:r w:rsidRPr="002011F9">
        <w:rPr>
          <w:rFonts w:ascii="Verdana" w:hAnsi="Verdana" w:cs="Arial"/>
          <w:sz w:val="20"/>
          <w:szCs w:val="20"/>
          <w:lang w:val="es-ES_tradnl"/>
        </w:rPr>
        <w:t xml:space="preserve"> artículo 97 de la Ley 489 de 1998, al cual se presume hace referencia en su consulta dado que no se especificó el número de la norma,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 </w:t>
      </w:r>
      <w:r w:rsidRPr="002011F9">
        <w:rPr>
          <w:rFonts w:ascii="Verdana" w:hAnsi="Verdana" w:cs="Arial"/>
          <w:sz w:val="20"/>
          <w:szCs w:val="20"/>
          <w:lang w:val="es-ES_tradnl" w:eastAsia="es-MX"/>
        </w:rPr>
        <w:t xml:space="preserve">En este sentido, la misma Ley, en los artículos 38 y 68, clasifica a las sociedades de economía mixta como entidades descentralizadas por servicios, con personería jurídica, autonomía administrativa y patrimonio propio, que pueden ser del orden nacional, departamental o municipal, según su órgano de creación. </w:t>
      </w:r>
    </w:p>
    <w:p w14:paraId="23837FEE" w14:textId="77777777" w:rsidR="00EA470B" w:rsidRPr="002011F9" w:rsidRDefault="00EA470B" w:rsidP="00EA470B">
      <w:pPr>
        <w:spacing w:after="0" w:line="240" w:lineRule="auto"/>
        <w:jc w:val="both"/>
        <w:rPr>
          <w:rFonts w:ascii="Verdana" w:hAnsi="Verdana" w:cs="Arial"/>
          <w:sz w:val="20"/>
          <w:szCs w:val="20"/>
          <w:lang w:val="es-ES_tradnl" w:eastAsia="es-MX"/>
        </w:rPr>
      </w:pPr>
    </w:p>
    <w:p w14:paraId="06CF9732" w14:textId="77777777" w:rsidR="00EA470B" w:rsidRPr="002011F9" w:rsidRDefault="00EA470B" w:rsidP="00EA470B">
      <w:pPr>
        <w:spacing w:after="0" w:line="240" w:lineRule="auto"/>
        <w:jc w:val="both"/>
        <w:rPr>
          <w:rFonts w:ascii="Verdana" w:hAnsi="Verdana" w:cs="Arial"/>
          <w:sz w:val="20"/>
          <w:szCs w:val="20"/>
          <w:lang w:val="es-ES_tradnl" w:eastAsia="es-MX"/>
        </w:rPr>
      </w:pPr>
      <w:r w:rsidRPr="002011F9">
        <w:rPr>
          <w:rFonts w:ascii="Verdana" w:hAnsi="Verdana" w:cs="Arial"/>
          <w:sz w:val="20"/>
          <w:szCs w:val="20"/>
          <w:lang w:val="es-ES_tradnl" w:eastAsia="es-MX"/>
        </w:rPr>
        <w:t>[…]</w:t>
      </w:r>
    </w:p>
    <w:p w14:paraId="64E80273" w14:textId="77777777" w:rsidR="00EA470B" w:rsidRPr="002011F9" w:rsidRDefault="00EA470B" w:rsidP="00EA470B">
      <w:pPr>
        <w:pStyle w:val="NormalWeb"/>
        <w:spacing w:before="0" w:beforeAutospacing="0" w:after="0" w:afterAutospacing="0"/>
        <w:jc w:val="both"/>
        <w:rPr>
          <w:rFonts w:ascii="Verdana" w:hAnsi="Verdana" w:cs="Arial"/>
          <w:sz w:val="20"/>
          <w:szCs w:val="20"/>
          <w:lang w:eastAsia="es-MX"/>
        </w:rPr>
      </w:pPr>
    </w:p>
    <w:p w14:paraId="33B2D2D7" w14:textId="77777777" w:rsidR="00EA470B" w:rsidRPr="002011F9" w:rsidRDefault="00EA470B" w:rsidP="00EA470B">
      <w:pPr>
        <w:pStyle w:val="NormalWeb"/>
        <w:spacing w:before="0" w:beforeAutospacing="0" w:after="0" w:afterAutospacing="0"/>
        <w:jc w:val="both"/>
        <w:rPr>
          <w:rFonts w:ascii="Verdana" w:hAnsi="Verdana" w:cs="Arial"/>
          <w:sz w:val="20"/>
          <w:szCs w:val="20"/>
          <w:lang w:val="es-ES_tradnl" w:eastAsia="es-MX"/>
        </w:rPr>
      </w:pPr>
      <w:r w:rsidRPr="002011F9">
        <w:rPr>
          <w:rFonts w:ascii="Verdana" w:hAnsi="Verdana" w:cs="Arial"/>
          <w:sz w:val="20"/>
          <w:szCs w:val="20"/>
          <w:lang w:eastAsia="es-MX"/>
        </w:rPr>
        <w:t xml:space="preserve">De lo expuesto, se concluye que, </w:t>
      </w:r>
      <w:r w:rsidRPr="002011F9">
        <w:rPr>
          <w:rFonts w:ascii="Verdana" w:hAnsi="Verdana" w:cs="Arial"/>
          <w:sz w:val="20"/>
          <w:szCs w:val="20"/>
          <w:lang w:val="es-ES_tradnl"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aquellas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 La misma conclusión se aplica para aquellas en las que el capital estatal sea mayor al noventa por ciento (90%). </w:t>
      </w:r>
    </w:p>
    <w:p w14:paraId="6E4F4C82" w14:textId="77777777" w:rsidR="00EA470B" w:rsidRPr="002011F9" w:rsidRDefault="00EA470B" w:rsidP="00EA470B">
      <w:pPr>
        <w:spacing w:after="0" w:line="240" w:lineRule="auto"/>
        <w:jc w:val="both"/>
        <w:rPr>
          <w:rFonts w:ascii="Verdana" w:eastAsia="Times New Roman" w:hAnsi="Verdana" w:cs="Arial"/>
          <w:b/>
          <w:sz w:val="20"/>
          <w:szCs w:val="20"/>
          <w:lang w:val="es-ES_tradnl" w:eastAsia="es-ES_tradnl"/>
        </w:rPr>
      </w:pPr>
    </w:p>
    <w:p w14:paraId="7336FF39" w14:textId="77777777" w:rsidR="00EA470B" w:rsidRPr="002011F9" w:rsidRDefault="00EA470B" w:rsidP="00EA470B">
      <w:pPr>
        <w:spacing w:after="0" w:line="240" w:lineRule="auto"/>
        <w:jc w:val="both"/>
        <w:rPr>
          <w:rFonts w:ascii="Verdana" w:eastAsia="Calibri" w:hAnsi="Verdana" w:cs="Arial"/>
          <w:b/>
        </w:rPr>
      </w:pPr>
      <w:r w:rsidRPr="002011F9">
        <w:rPr>
          <w:rFonts w:ascii="Verdana" w:eastAsia="Calibri" w:hAnsi="Verdana" w:cs="Arial"/>
          <w:b/>
        </w:rPr>
        <w:t>CONTRATOS Y CONVENIOS INTERADMINISTRATIVOS – Definición – Sujetos</w:t>
      </w:r>
    </w:p>
    <w:p w14:paraId="1FEA3268" w14:textId="77777777" w:rsidR="00EA470B" w:rsidRPr="002011F9" w:rsidRDefault="00EA470B" w:rsidP="00EA470B">
      <w:pPr>
        <w:spacing w:after="0" w:line="240" w:lineRule="auto"/>
        <w:jc w:val="both"/>
        <w:rPr>
          <w:rFonts w:ascii="Verdana" w:eastAsia="Calibri" w:hAnsi="Verdana" w:cs="Arial"/>
          <w:color w:val="000000" w:themeColor="text1"/>
          <w:sz w:val="20"/>
          <w:szCs w:val="20"/>
        </w:rPr>
      </w:pPr>
    </w:p>
    <w:p w14:paraId="769C8DA1" w14:textId="77777777" w:rsidR="00EA470B" w:rsidRPr="002011F9" w:rsidRDefault="00EA470B" w:rsidP="00EA470B">
      <w:pPr>
        <w:spacing w:after="0" w:line="240" w:lineRule="auto"/>
        <w:jc w:val="both"/>
        <w:rPr>
          <w:rFonts w:ascii="Verdana" w:eastAsia="Calibri" w:hAnsi="Verdana" w:cs="Arial"/>
          <w:color w:val="000000" w:themeColor="text1"/>
          <w:sz w:val="20"/>
          <w:szCs w:val="20"/>
        </w:rPr>
      </w:pPr>
      <w:r w:rsidRPr="002011F9">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6EF24F20" w14:textId="77777777" w:rsidR="00EA470B" w:rsidRPr="002011F9" w:rsidRDefault="00EA470B" w:rsidP="00EA470B">
      <w:pPr>
        <w:spacing w:after="0" w:line="240" w:lineRule="auto"/>
        <w:jc w:val="both"/>
        <w:rPr>
          <w:rFonts w:ascii="Verdana" w:eastAsia="Calibri" w:hAnsi="Verdana" w:cs="Arial"/>
          <w:color w:val="000000" w:themeColor="text1"/>
          <w:sz w:val="20"/>
          <w:szCs w:val="20"/>
          <w:lang w:val="es-ES_tradnl"/>
        </w:rPr>
      </w:pPr>
    </w:p>
    <w:p w14:paraId="60D25F5B" w14:textId="77777777" w:rsidR="00EA470B" w:rsidRPr="002011F9" w:rsidRDefault="00EA470B" w:rsidP="00EA470B">
      <w:pPr>
        <w:spacing w:after="0" w:line="240" w:lineRule="auto"/>
        <w:jc w:val="both"/>
        <w:rPr>
          <w:rFonts w:ascii="Verdana" w:hAnsi="Verdana" w:cs="Arial"/>
          <w:color w:val="000000" w:themeColor="text1"/>
          <w:sz w:val="20"/>
          <w:szCs w:val="20"/>
          <w:lang w:val="es-ES_tradnl"/>
        </w:rPr>
      </w:pPr>
      <w:r w:rsidRPr="002011F9">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01A11315" w14:textId="77777777" w:rsidR="00EA470B" w:rsidRPr="002011F9" w:rsidRDefault="00EA470B" w:rsidP="00EA470B">
      <w:pPr>
        <w:spacing w:after="0" w:line="240" w:lineRule="auto"/>
        <w:jc w:val="both"/>
        <w:rPr>
          <w:rFonts w:ascii="Verdana" w:eastAsia="Calibri" w:hAnsi="Verdana" w:cs="Arial"/>
          <w:b/>
          <w:sz w:val="20"/>
          <w:szCs w:val="20"/>
        </w:rPr>
      </w:pPr>
    </w:p>
    <w:p w14:paraId="1B65CB1F" w14:textId="77777777" w:rsidR="00EA470B" w:rsidRPr="002011F9" w:rsidRDefault="00EA470B" w:rsidP="00EA470B">
      <w:pPr>
        <w:spacing w:after="0" w:line="240" w:lineRule="auto"/>
        <w:jc w:val="both"/>
        <w:rPr>
          <w:rFonts w:ascii="Verdana" w:eastAsia="Times New Roman" w:hAnsi="Verdana" w:cs="Arial"/>
          <w:b/>
          <w:lang w:val="es-MX" w:eastAsia="es-ES_tradnl"/>
        </w:rPr>
      </w:pPr>
      <w:r w:rsidRPr="002011F9">
        <w:rPr>
          <w:rFonts w:ascii="Verdana" w:eastAsia="Times New Roman" w:hAnsi="Verdana" w:cs="Arial"/>
          <w:b/>
          <w:lang w:val="es-MX" w:eastAsia="es-ES_tradnl"/>
        </w:rPr>
        <w:lastRenderedPageBreak/>
        <w:t xml:space="preserve">CONTRATO INTERADMINISTRATIVO – Modalidad de selección </w:t>
      </w:r>
    </w:p>
    <w:p w14:paraId="2B2E2A79" w14:textId="77777777" w:rsidR="00EA470B" w:rsidRPr="002011F9" w:rsidRDefault="00EA470B" w:rsidP="00EA470B">
      <w:pPr>
        <w:spacing w:after="0" w:line="240" w:lineRule="auto"/>
        <w:jc w:val="both"/>
        <w:rPr>
          <w:rFonts w:ascii="Verdana" w:hAnsi="Verdana" w:cs="Arial"/>
          <w:sz w:val="20"/>
          <w:szCs w:val="20"/>
        </w:rPr>
      </w:pPr>
    </w:p>
    <w:p w14:paraId="25202A81" w14:textId="77777777" w:rsidR="00EA470B" w:rsidRPr="002011F9" w:rsidRDefault="00EA470B" w:rsidP="00EA470B">
      <w:pPr>
        <w:spacing w:after="0" w:line="240" w:lineRule="auto"/>
        <w:jc w:val="both"/>
        <w:rPr>
          <w:rFonts w:ascii="Verdana" w:eastAsia="Calibri" w:hAnsi="Verdana" w:cs="Arial"/>
          <w:color w:val="000000" w:themeColor="text1"/>
          <w:sz w:val="20"/>
          <w:szCs w:val="20"/>
        </w:rPr>
      </w:pPr>
      <w:r w:rsidRPr="002011F9">
        <w:rPr>
          <w:rFonts w:ascii="Verdana" w:hAnsi="Verdana" w:cs="Arial"/>
          <w:sz w:val="20"/>
          <w:szCs w:val="20"/>
        </w:rPr>
        <w:t>Ahora bien, debe señalarse, e</w:t>
      </w:r>
      <w:r w:rsidRPr="002011F9">
        <w:rPr>
          <w:rFonts w:ascii="Verdana" w:eastAsia="Calibri" w:hAnsi="Verdana" w:cs="Arial"/>
          <w:color w:val="000000" w:themeColor="text1"/>
          <w:sz w:val="20"/>
          <w:szCs w:val="20"/>
        </w:rPr>
        <w:t xml:space="preserve">n relación con la modalidad de selección aplicable a la celebración de contratos interadministrativos, que la Ley 1150 de 2007 establece que las Entidades Estatales pueden suscribirlos de manera directa, siempre que las obligaciones derivadas de los mismos tengan relación con el objeto de la entidad ejecutora. En ese sentido, atendiendo a su consulta, se resalta la importancia de que el convenio o contrato interadministrativo a celebrar tenga relación con el objeto de la entidad que lo va a ejecutar para que proceda su celebración bajo la modalidad de contratación directa. </w:t>
      </w:r>
    </w:p>
    <w:p w14:paraId="5E0B5E15" w14:textId="77777777" w:rsidR="00EA470B" w:rsidRPr="002011F9" w:rsidRDefault="00EA470B" w:rsidP="00EA470B">
      <w:pPr>
        <w:spacing w:after="0" w:line="240" w:lineRule="auto"/>
        <w:jc w:val="both"/>
        <w:rPr>
          <w:rFonts w:ascii="Verdana" w:eastAsia="Times New Roman" w:hAnsi="Verdana" w:cs="Arial"/>
          <w:b/>
          <w:sz w:val="20"/>
          <w:szCs w:val="20"/>
          <w:lang w:eastAsia="es-ES_tradnl"/>
        </w:rPr>
      </w:pPr>
    </w:p>
    <w:p w14:paraId="75252B32" w14:textId="77777777" w:rsidR="00EA470B" w:rsidRPr="002011F9" w:rsidRDefault="00EA470B" w:rsidP="00EA470B">
      <w:pPr>
        <w:spacing w:after="0" w:line="240" w:lineRule="auto"/>
        <w:jc w:val="both"/>
        <w:rPr>
          <w:rFonts w:ascii="Verdana" w:eastAsia="Calibri" w:hAnsi="Verdana" w:cs="Arial"/>
          <w:b/>
          <w:lang w:val="es-ES" w:eastAsia="es-ES"/>
        </w:rPr>
      </w:pPr>
      <w:r w:rsidRPr="002011F9">
        <w:rPr>
          <w:rFonts w:ascii="Verdana" w:eastAsia="Times New Roman" w:hAnsi="Verdana" w:cs="Arial"/>
          <w:b/>
          <w:lang w:val="es-MX" w:eastAsia="es-ES_tradnl"/>
        </w:rPr>
        <w:t xml:space="preserve">CONTRATO INTERADMINISTRATIVO – Modalidad de selección – Excepciones </w:t>
      </w:r>
      <w:r w:rsidRPr="002011F9">
        <w:rPr>
          <w:rFonts w:ascii="Verdana" w:eastAsia="Calibri" w:hAnsi="Verdana" w:cs="Arial"/>
          <w:b/>
          <w:lang w:val="es-ES_tradnl"/>
        </w:rPr>
        <w:t>– Contrato de Obra</w:t>
      </w:r>
      <w:r w:rsidRPr="002011F9">
        <w:rPr>
          <w:rFonts w:ascii="Verdana" w:eastAsia="Calibri" w:hAnsi="Verdana" w:cs="Arial"/>
          <w:b/>
          <w:lang w:val="es-ES" w:eastAsia="es-ES"/>
        </w:rPr>
        <w:t xml:space="preserve"> – </w:t>
      </w:r>
      <w:r w:rsidRPr="002011F9">
        <w:rPr>
          <w:rFonts w:ascii="Verdana" w:eastAsia="Calibri" w:hAnsi="Verdana" w:cs="Arial"/>
          <w:b/>
        </w:rPr>
        <w:t>Sociedad de Economía Mixta</w:t>
      </w:r>
    </w:p>
    <w:p w14:paraId="2DF72456" w14:textId="77777777" w:rsidR="00EA470B" w:rsidRPr="002011F9" w:rsidRDefault="00EA470B" w:rsidP="00EA470B">
      <w:pPr>
        <w:spacing w:after="0" w:line="240" w:lineRule="auto"/>
        <w:jc w:val="both"/>
        <w:rPr>
          <w:rFonts w:ascii="Verdana" w:hAnsi="Verdana" w:cs="Arial"/>
          <w:sz w:val="20"/>
          <w:szCs w:val="20"/>
          <w:lang w:val="es-ES_tradnl" w:eastAsia="es-MX"/>
        </w:rPr>
      </w:pPr>
    </w:p>
    <w:p w14:paraId="7D39C4CA" w14:textId="77777777" w:rsidR="00EA470B" w:rsidRPr="002011F9" w:rsidRDefault="00EA470B" w:rsidP="00EA470B">
      <w:pPr>
        <w:spacing w:after="0" w:line="240" w:lineRule="auto"/>
        <w:jc w:val="both"/>
        <w:rPr>
          <w:rFonts w:ascii="Verdana" w:hAnsi="Verdana" w:cs="Arial"/>
          <w:sz w:val="20"/>
          <w:szCs w:val="20"/>
          <w:lang w:val="es-ES_tradnl" w:eastAsia="es-MX"/>
        </w:rPr>
      </w:pPr>
      <w:r w:rsidRPr="002011F9">
        <w:rPr>
          <w:rFonts w:ascii="Verdana" w:hAnsi="Verdana" w:cs="Arial"/>
          <w:sz w:val="20"/>
          <w:szCs w:val="20"/>
          <w:lang w:val="es-ES_tradnl" w:eastAsia="es-MX"/>
        </w:rPr>
        <w:t xml:space="preserve">[…] </w:t>
      </w:r>
      <w:r w:rsidRPr="002011F9">
        <w:rPr>
          <w:rFonts w:ascii="Verdana" w:eastAsia="Calibri" w:hAnsi="Verdana" w:cs="Arial"/>
          <w:color w:val="000000" w:themeColor="text1"/>
          <w:sz w:val="20"/>
          <w:szCs w:val="20"/>
          <w:lang w:val="es-ES_tradnl"/>
        </w:rPr>
        <w:t xml:space="preserve">el inciso segundo establece una limitación a la contratación directa mediante la causal del literal c) – transcrito anteriormente – dirigido a las “instituciones de educación superior públicas o </w:t>
      </w:r>
      <w:r w:rsidRPr="002011F9">
        <w:rPr>
          <w:rFonts w:ascii="Verdana" w:eastAsia="Calibri" w:hAnsi="Verdana" w:cs="Arial"/>
          <w:i/>
          <w:iCs/>
          <w:color w:val="000000" w:themeColor="text1"/>
          <w:sz w:val="20"/>
          <w:szCs w:val="20"/>
          <w:lang w:val="es-ES_tradnl"/>
        </w:rPr>
        <w:t>las Sociedades de Economía Mixta con participación mayoritaria del Estado</w:t>
      </w:r>
      <w:r w:rsidRPr="002011F9">
        <w:rPr>
          <w:rFonts w:ascii="Verdana" w:eastAsia="Calibri" w:hAnsi="Verdana" w:cs="Arial"/>
          <w:color w:val="000000" w:themeColor="text1"/>
          <w:sz w:val="20"/>
          <w:szCs w:val="20"/>
          <w:lang w:val="es-ES_tradnl"/>
        </w:rPr>
        <w:t>,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w:t>
      </w:r>
      <w:r w:rsidRPr="002011F9">
        <w:rPr>
          <w:rFonts w:ascii="Verdana" w:eastAsia="Calibri" w:hAnsi="Verdana" w:cs="Arial"/>
          <w:i/>
          <w:iCs/>
          <w:color w:val="000000" w:themeColor="text1"/>
          <w:sz w:val="20"/>
          <w:szCs w:val="20"/>
          <w:lang w:val="es-ES_tradnl"/>
        </w:rPr>
        <w:t>contratos de obra</w:t>
      </w:r>
      <w:r w:rsidRPr="002011F9">
        <w:rPr>
          <w:rFonts w:ascii="Verdana" w:eastAsia="Calibri" w:hAnsi="Verdana" w:cs="Arial"/>
          <w:color w:val="000000" w:themeColor="text1"/>
          <w:sz w:val="20"/>
          <w:szCs w:val="20"/>
          <w:lang w:val="es-ES_tradnl"/>
        </w:rPr>
        <w:t>, suministro, prestación de servicios de evaluación de conformidad respecto de las normas o reglamentos técnicos, encargos fiduciarios y fiducia pública”, los primeros a los cuales se refiere en su escrito.</w:t>
      </w:r>
    </w:p>
    <w:p w14:paraId="2C3F7983" w14:textId="77777777" w:rsidR="00EA470B" w:rsidRPr="002011F9" w:rsidRDefault="00EA470B" w:rsidP="00EA470B">
      <w:pPr>
        <w:spacing w:after="0" w:line="240" w:lineRule="auto"/>
        <w:jc w:val="both"/>
        <w:rPr>
          <w:rFonts w:ascii="Verdana" w:eastAsia="Calibri" w:hAnsi="Verdana" w:cs="Arial"/>
          <w:color w:val="000000" w:themeColor="text1"/>
          <w:sz w:val="20"/>
          <w:szCs w:val="20"/>
        </w:rPr>
      </w:pPr>
    </w:p>
    <w:p w14:paraId="1A256172" w14:textId="77777777" w:rsidR="00EA470B" w:rsidRPr="002011F9" w:rsidRDefault="00EA470B" w:rsidP="00EA470B">
      <w:pPr>
        <w:spacing w:after="0" w:line="240" w:lineRule="auto"/>
        <w:jc w:val="both"/>
        <w:rPr>
          <w:rFonts w:ascii="Verdana" w:eastAsia="Calibri" w:hAnsi="Verdana" w:cs="Arial"/>
          <w:color w:val="000000" w:themeColor="text1"/>
          <w:sz w:val="20"/>
          <w:szCs w:val="20"/>
        </w:rPr>
      </w:pPr>
      <w:r w:rsidRPr="002011F9">
        <w:rPr>
          <w:rFonts w:ascii="Verdana" w:eastAsia="Calibri" w:hAnsi="Verdana" w:cs="Arial"/>
          <w:color w:val="000000" w:themeColor="text1"/>
          <w:sz w:val="20"/>
          <w:szCs w:val="20"/>
        </w:rPr>
        <w:t xml:space="preserve">Conviene señalar que la excepción contenida en la norma mencionada – concretamente en el inciso segundo – determina de manera explícita los sujetos a los cuales les es aplicable la restricción contenida en dicho artículo, que incluye la celebración de contratos o convenios interadministrativos cuando se trate, entre otros, de un contrato de obra. Esta disposición exceptuó celebrar de manera directa contratos o convenios interadministrativos cuando se trate de un contrato de obra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223DE589" w14:textId="77777777" w:rsidR="00EA470B" w:rsidRDefault="00EA470B">
      <w:pPr>
        <w:rPr>
          <w:rFonts w:ascii="Verdana" w:hAnsi="Verdana"/>
        </w:rPr>
      </w:pPr>
      <w:r>
        <w:rPr>
          <w:rFonts w:ascii="Verdana" w:hAnsi="Verdana"/>
        </w:rPr>
        <w:br w:type="page"/>
      </w:r>
    </w:p>
    <w:p w14:paraId="1EA49FBE" w14:textId="474AF8F7" w:rsidR="00E76DFE" w:rsidRDefault="00E245AB" w:rsidP="00E245AB">
      <w:pPr>
        <w:spacing w:after="0"/>
        <w:rPr>
          <w:rFonts w:ascii="Verdana" w:hAnsi="Verdana"/>
        </w:rPr>
      </w:pPr>
      <w:r w:rsidRPr="00740A82">
        <w:rPr>
          <w:rFonts w:ascii="Verdana" w:hAnsi="Verdana"/>
        </w:rPr>
        <w:lastRenderedPageBreak/>
        <w:t xml:space="preserve">Bogotá D.C., </w:t>
      </w:r>
      <w:r w:rsidR="00E76DFE">
        <w:rPr>
          <w:rFonts w:ascii="Verdana" w:hAnsi="Verdana"/>
        </w:rPr>
        <w:t>10 de marzo de 2025.</w:t>
      </w:r>
    </w:p>
    <w:p w14:paraId="2D6F4A0A" w14:textId="115D306F" w:rsidR="00E245AB" w:rsidRPr="00740A82" w:rsidRDefault="00AA2559" w:rsidP="00AA2559">
      <w:pPr>
        <w:spacing w:after="0"/>
        <w:jc w:val="right"/>
        <w:rPr>
          <w:rFonts w:ascii="Verdana" w:hAnsi="Verdana"/>
        </w:rPr>
      </w:pPr>
      <w:r w:rsidRPr="00AA2559">
        <w:rPr>
          <w:rFonts w:ascii="Verdana" w:hAnsi="Verdana"/>
        </w:rPr>
        <w:drawing>
          <wp:inline distT="0" distB="0" distL="0" distR="0" wp14:anchorId="3F17BDA2" wp14:editId="5BD7EAAF">
            <wp:extent cx="2901315" cy="902090"/>
            <wp:effectExtent l="0" t="0" r="0" b="0"/>
            <wp:docPr id="221357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57425" name=""/>
                    <pic:cNvPicPr/>
                  </pic:nvPicPr>
                  <pic:blipFill>
                    <a:blip r:embed="rId10"/>
                    <a:stretch>
                      <a:fillRect/>
                    </a:stretch>
                  </pic:blipFill>
                  <pic:spPr>
                    <a:xfrm>
                      <a:off x="0" y="0"/>
                      <a:ext cx="2907763" cy="904095"/>
                    </a:xfrm>
                    <a:prstGeom prst="rect">
                      <a:avLst/>
                    </a:prstGeom>
                  </pic:spPr>
                </pic:pic>
              </a:graphicData>
            </a:graphic>
          </wp:inline>
        </w:drawing>
      </w:r>
      <w:r w:rsidR="00891928" w:rsidRPr="00740A82">
        <w:rPr>
          <w:rFonts w:ascii="Verdana" w:hAnsi="Verdana"/>
        </w:rPr>
        <w:tab/>
      </w:r>
    </w:p>
    <w:p w14:paraId="1BE4CA43" w14:textId="77777777" w:rsidR="00BC5C61" w:rsidRPr="00740A82" w:rsidRDefault="00BC5C61" w:rsidP="00BC5C61">
      <w:pPr>
        <w:spacing w:after="0" w:line="240" w:lineRule="auto"/>
        <w:jc w:val="both"/>
        <w:rPr>
          <w:rFonts w:ascii="Verdana" w:eastAsia="Calibri" w:hAnsi="Verdana" w:cs="Arial"/>
          <w:lang w:val="es-ES" w:eastAsia="es-ES"/>
        </w:rPr>
      </w:pPr>
      <w:r w:rsidRPr="00740A82">
        <w:rPr>
          <w:rFonts w:ascii="Verdana" w:eastAsia="Calibri" w:hAnsi="Verdana" w:cs="Arial"/>
          <w:lang w:val="es-ES" w:eastAsia="es-ES"/>
        </w:rPr>
        <w:t>Señor</w:t>
      </w:r>
    </w:p>
    <w:p w14:paraId="33302C54" w14:textId="77777777" w:rsidR="00BC5C61" w:rsidRPr="00740A82" w:rsidRDefault="00BC5C61" w:rsidP="00BC5C61">
      <w:pPr>
        <w:spacing w:after="0" w:line="240" w:lineRule="auto"/>
        <w:rPr>
          <w:rFonts w:ascii="Verdana" w:eastAsia="Calibri" w:hAnsi="Verdana" w:cs="Arial"/>
          <w:b/>
          <w:lang w:eastAsia="es-ES_tradnl"/>
        </w:rPr>
      </w:pPr>
      <w:r w:rsidRPr="00740A82">
        <w:rPr>
          <w:rFonts w:ascii="Verdana" w:eastAsia="Calibri" w:hAnsi="Verdana" w:cs="Arial"/>
          <w:b/>
          <w:lang w:eastAsia="es-ES_tradnl"/>
        </w:rPr>
        <w:t>Juan Esteban Arboleda Jimenez</w:t>
      </w:r>
    </w:p>
    <w:p w14:paraId="5A217100" w14:textId="77777777" w:rsidR="00BC5C61" w:rsidRPr="00740A82" w:rsidRDefault="00BC5C61" w:rsidP="00BC5C61">
      <w:pPr>
        <w:spacing w:after="0" w:line="240" w:lineRule="auto"/>
        <w:rPr>
          <w:rFonts w:ascii="Verdana" w:eastAsia="Calibri" w:hAnsi="Verdana" w:cs="Arial"/>
          <w:bCs/>
          <w:lang w:eastAsia="es-ES_tradnl"/>
        </w:rPr>
      </w:pPr>
      <w:hyperlink r:id="rId11" w:history="1">
        <w:r w:rsidRPr="00740A82">
          <w:rPr>
            <w:rStyle w:val="Hipervnculo"/>
            <w:rFonts w:ascii="Verdana" w:eastAsia="Calibri" w:hAnsi="Verdana" w:cs="Arial"/>
            <w:bCs/>
            <w:lang w:eastAsia="es-ES_tradnl"/>
          </w:rPr>
          <w:t>juan.arboledaji@gmail.com</w:t>
        </w:r>
      </w:hyperlink>
      <w:r w:rsidRPr="00740A82">
        <w:rPr>
          <w:rFonts w:ascii="Verdana" w:eastAsia="Calibri" w:hAnsi="Verdana" w:cs="Arial"/>
          <w:bCs/>
          <w:lang w:eastAsia="es-ES_tradnl"/>
        </w:rPr>
        <w:t xml:space="preserve"> </w:t>
      </w:r>
    </w:p>
    <w:p w14:paraId="4FF8E8B6" w14:textId="77777777" w:rsidR="00BC5C61" w:rsidRPr="00740A82" w:rsidRDefault="00BC5C61" w:rsidP="00BC5C61">
      <w:pPr>
        <w:spacing w:after="0" w:line="240" w:lineRule="auto"/>
        <w:rPr>
          <w:rFonts w:ascii="Verdana" w:eastAsia="Calibri" w:hAnsi="Verdana" w:cs="Arial"/>
          <w:bCs/>
          <w:lang w:eastAsia="es-ES_tradnl"/>
        </w:rPr>
      </w:pPr>
      <w:r w:rsidRPr="00740A82">
        <w:rPr>
          <w:rFonts w:ascii="Verdana" w:eastAsia="Calibri" w:hAnsi="Verdana" w:cs="Arial"/>
          <w:bCs/>
          <w:lang w:eastAsia="es-ES_tradnl"/>
        </w:rPr>
        <w:t>Envigado, Antioquia</w:t>
      </w:r>
    </w:p>
    <w:p w14:paraId="1B04748C" w14:textId="77777777" w:rsidR="00BC5C61" w:rsidRPr="00740A82" w:rsidRDefault="00BC5C61" w:rsidP="00BC5C61">
      <w:pPr>
        <w:spacing w:after="0" w:line="240" w:lineRule="auto"/>
        <w:rPr>
          <w:rFonts w:ascii="Verdana" w:eastAsia="Calibri" w:hAnsi="Verdana" w:cs="Arial"/>
          <w:bCs/>
          <w:lang w:eastAsia="es-ES_tradnl"/>
        </w:rPr>
      </w:pPr>
    </w:p>
    <w:p w14:paraId="14F7DDF4" w14:textId="77777777" w:rsidR="00BC5C61" w:rsidRPr="00740A82" w:rsidRDefault="00BC5C61" w:rsidP="00BC5C61">
      <w:pPr>
        <w:spacing w:after="0" w:line="240" w:lineRule="auto"/>
        <w:rPr>
          <w:rFonts w:ascii="Verdana" w:eastAsia="Calibri" w:hAnsi="Verdana" w:cs="Arial"/>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C5C61" w:rsidRPr="00740A82" w14:paraId="7D6A071A" w14:textId="77777777" w:rsidTr="00EF1581">
        <w:trPr>
          <w:trHeight w:val="407"/>
        </w:trPr>
        <w:tc>
          <w:tcPr>
            <w:tcW w:w="2689" w:type="dxa"/>
          </w:tcPr>
          <w:p w14:paraId="040A8ADF" w14:textId="77777777" w:rsidR="00BC5C61" w:rsidRPr="00740A82" w:rsidRDefault="00BC5C61" w:rsidP="00EF1581">
            <w:pPr>
              <w:jc w:val="both"/>
              <w:rPr>
                <w:rFonts w:ascii="Verdana" w:eastAsia="Calibri" w:hAnsi="Verdana" w:cs="Arial"/>
                <w:b/>
                <w:bCs/>
                <w:lang w:val="es-ES_tradnl" w:eastAsia="es-ES_tradnl"/>
              </w:rPr>
            </w:pPr>
          </w:p>
        </w:tc>
        <w:tc>
          <w:tcPr>
            <w:tcW w:w="6100" w:type="dxa"/>
          </w:tcPr>
          <w:p w14:paraId="237E4D74" w14:textId="77777777" w:rsidR="00BC5C61" w:rsidRPr="00740A82" w:rsidRDefault="00BC5C61" w:rsidP="00EF1581">
            <w:pPr>
              <w:jc w:val="both"/>
              <w:rPr>
                <w:rFonts w:ascii="Verdana" w:eastAsia="Calibri" w:hAnsi="Verdana" w:cs="Arial"/>
                <w:b/>
                <w:bCs/>
                <w:lang w:val="es-ES" w:eastAsia="es-ES"/>
              </w:rPr>
            </w:pPr>
            <w:r w:rsidRPr="00740A82">
              <w:rPr>
                <w:rFonts w:ascii="Verdana" w:eastAsia="Calibri" w:hAnsi="Verdana" w:cs="Arial"/>
                <w:b/>
                <w:bCs/>
                <w:lang w:val="es-ES" w:eastAsia="es-ES"/>
              </w:rPr>
              <w:t>Concepto C-089 de 2025</w:t>
            </w:r>
          </w:p>
          <w:p w14:paraId="3F6E16B5" w14:textId="77777777" w:rsidR="00BC5C61" w:rsidRPr="00740A82" w:rsidRDefault="00BC5C61" w:rsidP="00EF1581">
            <w:pPr>
              <w:jc w:val="both"/>
              <w:rPr>
                <w:rFonts w:ascii="Verdana" w:eastAsia="Calibri" w:hAnsi="Verdana" w:cs="Arial"/>
                <w:b/>
                <w:bCs/>
                <w:lang w:val="es-ES" w:eastAsia="es-ES"/>
              </w:rPr>
            </w:pPr>
          </w:p>
        </w:tc>
      </w:tr>
      <w:tr w:rsidR="00BC5C61" w:rsidRPr="00740A82" w14:paraId="6FCA2910" w14:textId="77777777" w:rsidTr="00EF1581">
        <w:trPr>
          <w:trHeight w:val="884"/>
        </w:trPr>
        <w:tc>
          <w:tcPr>
            <w:tcW w:w="2689" w:type="dxa"/>
          </w:tcPr>
          <w:p w14:paraId="679F591E" w14:textId="77777777" w:rsidR="00BC5C61" w:rsidRPr="00740A82" w:rsidRDefault="00BC5C61" w:rsidP="00EF1581">
            <w:pPr>
              <w:jc w:val="both"/>
              <w:rPr>
                <w:rFonts w:ascii="Verdana" w:eastAsia="Calibri" w:hAnsi="Verdana" w:cs="Arial"/>
                <w:lang w:val="es-ES_tradnl" w:eastAsia="es-ES_tradnl"/>
              </w:rPr>
            </w:pPr>
            <w:r w:rsidRPr="00740A82">
              <w:rPr>
                <w:rFonts w:ascii="Verdana" w:eastAsia="Calibri" w:hAnsi="Verdana" w:cs="Arial"/>
                <w:b/>
                <w:lang w:val="es-ES_tradnl" w:eastAsia="es-ES_tradnl"/>
              </w:rPr>
              <w:t>Temas:</w:t>
            </w:r>
            <w:r w:rsidRPr="00740A82">
              <w:rPr>
                <w:rFonts w:ascii="Verdana" w:eastAsia="Calibri" w:hAnsi="Verdana" w:cs="Arial"/>
                <w:lang w:val="es-ES_tradnl" w:eastAsia="es-ES_tradnl"/>
              </w:rPr>
              <w:t xml:space="preserve">                   </w:t>
            </w:r>
          </w:p>
        </w:tc>
        <w:tc>
          <w:tcPr>
            <w:tcW w:w="6100" w:type="dxa"/>
          </w:tcPr>
          <w:p w14:paraId="672ACAA8" w14:textId="77777777" w:rsidR="00BC5C61" w:rsidRPr="00740A82" w:rsidRDefault="00BC5C61" w:rsidP="00EF1581">
            <w:pPr>
              <w:jc w:val="both"/>
              <w:rPr>
                <w:rFonts w:ascii="Verdana" w:eastAsia="Calibri" w:hAnsi="Verdana" w:cs="Arial"/>
                <w:lang w:val="es-ES" w:eastAsia="es-ES"/>
              </w:rPr>
            </w:pPr>
            <w:r w:rsidRPr="00740A82">
              <w:rPr>
                <w:rFonts w:ascii="Verdana" w:eastAsia="Calibri" w:hAnsi="Verdana" w:cs="Arial"/>
                <w:bCs/>
              </w:rPr>
              <w:t xml:space="preserve">SOCIEDAD DE ECONOMÍA MIXTA </w:t>
            </w:r>
            <w:r w:rsidRPr="00740A82">
              <w:rPr>
                <w:rFonts w:ascii="Verdana" w:eastAsia="Times New Roman" w:hAnsi="Verdana" w:cs="Arial"/>
                <w:bCs/>
                <w:lang w:val="es-MX" w:eastAsia="es-ES_tradnl"/>
              </w:rPr>
              <w:t>– Naturaleza Jurídica –</w:t>
            </w:r>
            <w:r w:rsidRPr="00740A82">
              <w:rPr>
                <w:rFonts w:ascii="Verdana" w:eastAsia="Times New Roman" w:hAnsi="Verdana" w:cs="Arial"/>
                <w:bCs/>
                <w:lang w:eastAsia="es-ES_tradnl"/>
              </w:rPr>
              <w:t xml:space="preserve"> </w:t>
            </w:r>
            <w:r w:rsidRPr="00740A82">
              <w:rPr>
                <w:rFonts w:ascii="Verdana" w:eastAsia="Times New Roman" w:hAnsi="Verdana" w:cs="Arial"/>
                <w:bCs/>
                <w:lang w:val="es-MX" w:eastAsia="es-ES_tradnl"/>
              </w:rPr>
              <w:t>Régimen de contratación</w:t>
            </w:r>
            <w:r w:rsidRPr="00740A82">
              <w:rPr>
                <w:rFonts w:ascii="Verdana" w:eastAsia="Times New Roman" w:hAnsi="Verdana" w:cs="Arial"/>
                <w:bCs/>
                <w:lang w:eastAsia="es-ES_tradnl"/>
              </w:rPr>
              <w:t xml:space="preserve"> </w:t>
            </w:r>
            <w:r w:rsidRPr="00740A82">
              <w:rPr>
                <w:rFonts w:ascii="Verdana" w:eastAsia="Times New Roman" w:hAnsi="Verdana" w:cs="Arial"/>
                <w:bCs/>
                <w:lang w:val="es-MX" w:eastAsia="es-ES_tradnl"/>
              </w:rPr>
              <w:t>/</w:t>
            </w:r>
            <w:r w:rsidRPr="00740A82">
              <w:rPr>
                <w:rFonts w:ascii="Verdana" w:eastAsia="Times New Roman" w:hAnsi="Verdana" w:cs="Arial"/>
                <w:bCs/>
                <w:lang w:eastAsia="es-ES_tradnl"/>
              </w:rPr>
              <w:t xml:space="preserve"> </w:t>
            </w:r>
            <w:r w:rsidRPr="00740A82">
              <w:rPr>
                <w:rFonts w:ascii="Verdana" w:eastAsia="Calibri" w:hAnsi="Verdana" w:cs="Arial"/>
                <w:bCs/>
              </w:rPr>
              <w:t xml:space="preserve">CONTRATOS Y CONVENIOS INTERADMINISTRATIVOS – Definición – Sujetos / </w:t>
            </w:r>
            <w:r w:rsidRPr="00740A82">
              <w:rPr>
                <w:rFonts w:ascii="Verdana" w:eastAsia="Times New Roman" w:hAnsi="Verdana" w:cs="Arial"/>
                <w:lang w:val="es-MX" w:eastAsia="es-ES_tradnl"/>
              </w:rPr>
              <w:t xml:space="preserve">CONTRATO INTERADMINISTRATIVO – Modalidad de selección </w:t>
            </w:r>
            <w:r w:rsidRPr="00740A82">
              <w:rPr>
                <w:rFonts w:ascii="Verdana" w:eastAsia="Times New Roman" w:hAnsi="Verdana" w:cs="Arial"/>
                <w:bCs/>
                <w:lang w:val="es-MX" w:eastAsia="es-ES_tradnl"/>
              </w:rPr>
              <w:t>/</w:t>
            </w:r>
            <w:r w:rsidRPr="00740A82">
              <w:rPr>
                <w:rFonts w:ascii="Verdana" w:eastAsia="Times New Roman" w:hAnsi="Verdana" w:cs="Arial"/>
                <w:bCs/>
                <w:lang w:eastAsia="es-ES_tradnl"/>
              </w:rPr>
              <w:t xml:space="preserve"> </w:t>
            </w:r>
            <w:r w:rsidRPr="00740A82">
              <w:rPr>
                <w:rFonts w:ascii="Verdana" w:eastAsia="Times New Roman" w:hAnsi="Verdana" w:cs="Arial"/>
                <w:lang w:val="es-MX" w:eastAsia="es-ES_tradnl"/>
              </w:rPr>
              <w:t xml:space="preserve">CONTRATO INTERADMINISTRATIVO – Modalidad de selección – Excepciones </w:t>
            </w:r>
            <w:r w:rsidRPr="00740A82">
              <w:rPr>
                <w:rFonts w:ascii="Verdana" w:eastAsia="Calibri" w:hAnsi="Verdana" w:cs="Arial"/>
                <w:lang w:val="es-ES_tradnl"/>
              </w:rPr>
              <w:t>– Contrato de Obra</w:t>
            </w:r>
            <w:r w:rsidRPr="00740A82">
              <w:rPr>
                <w:rFonts w:ascii="Verdana" w:eastAsia="Calibri" w:hAnsi="Verdana" w:cs="Arial"/>
                <w:lang w:val="es-ES" w:eastAsia="es-ES"/>
              </w:rPr>
              <w:t xml:space="preserve"> – </w:t>
            </w:r>
            <w:r w:rsidRPr="00740A82">
              <w:rPr>
                <w:rFonts w:ascii="Verdana" w:eastAsia="Calibri" w:hAnsi="Verdana" w:cs="Arial"/>
                <w:bCs/>
              </w:rPr>
              <w:t>Sociedad de Economía Mixta</w:t>
            </w:r>
          </w:p>
          <w:p w14:paraId="6FAD8B69" w14:textId="77777777" w:rsidR="00BC5C61" w:rsidRPr="00740A82" w:rsidRDefault="00BC5C61" w:rsidP="00EF1581">
            <w:pPr>
              <w:jc w:val="both"/>
              <w:rPr>
                <w:rFonts w:ascii="Verdana" w:eastAsia="Calibri" w:hAnsi="Verdana" w:cs="Arial"/>
                <w:lang w:val="es-ES" w:eastAsia="es-ES"/>
              </w:rPr>
            </w:pPr>
          </w:p>
        </w:tc>
      </w:tr>
      <w:tr w:rsidR="00BC5C61" w:rsidRPr="00740A82" w14:paraId="6365C49F" w14:textId="77777777" w:rsidTr="00EF1581">
        <w:tc>
          <w:tcPr>
            <w:tcW w:w="2689" w:type="dxa"/>
          </w:tcPr>
          <w:p w14:paraId="399636A3" w14:textId="77777777" w:rsidR="00BC5C61" w:rsidRPr="00740A82" w:rsidRDefault="00BC5C61" w:rsidP="00EF1581">
            <w:pPr>
              <w:jc w:val="both"/>
              <w:rPr>
                <w:rFonts w:ascii="Verdana" w:eastAsia="Calibri" w:hAnsi="Verdana" w:cs="Arial"/>
                <w:b/>
                <w:lang w:val="es-ES_tradnl" w:eastAsia="es-ES_tradnl"/>
              </w:rPr>
            </w:pPr>
            <w:r w:rsidRPr="00740A82">
              <w:rPr>
                <w:rFonts w:ascii="Verdana" w:eastAsia="Calibri" w:hAnsi="Verdana" w:cs="Arial"/>
                <w:b/>
                <w:lang w:val="es-ES_tradnl" w:eastAsia="es-ES_tradnl"/>
              </w:rPr>
              <w:t>Radicación:</w:t>
            </w:r>
            <w:r w:rsidRPr="00740A82">
              <w:rPr>
                <w:rFonts w:ascii="Verdana" w:eastAsia="Calibri" w:hAnsi="Verdana" w:cs="Arial"/>
                <w:lang w:val="es-ES_tradnl" w:eastAsia="es-ES_tradnl"/>
              </w:rPr>
              <w:t xml:space="preserve">               </w:t>
            </w:r>
          </w:p>
        </w:tc>
        <w:tc>
          <w:tcPr>
            <w:tcW w:w="6100" w:type="dxa"/>
          </w:tcPr>
          <w:p w14:paraId="52BACD60" w14:textId="77777777" w:rsidR="00BC5C61" w:rsidRPr="00740A82" w:rsidRDefault="00BC5C61" w:rsidP="00EF1581">
            <w:pPr>
              <w:jc w:val="both"/>
              <w:rPr>
                <w:rFonts w:ascii="Verdana" w:eastAsia="Calibri" w:hAnsi="Verdana" w:cs="Arial"/>
                <w:lang w:val="es-ES_tradnl" w:eastAsia="es-ES_tradnl"/>
              </w:rPr>
            </w:pPr>
            <w:r w:rsidRPr="00740A82">
              <w:rPr>
                <w:rFonts w:ascii="Verdana" w:eastAsia="Calibri" w:hAnsi="Verdana" w:cs="Arial"/>
                <w:lang w:val="es-ES_tradnl" w:eastAsia="es-ES_tradnl"/>
              </w:rPr>
              <w:t>Respuesta a consulta con radicado No. P20250128000742</w:t>
            </w:r>
          </w:p>
        </w:tc>
      </w:tr>
    </w:tbl>
    <w:p w14:paraId="5235056A" w14:textId="77777777" w:rsidR="00BC5C61" w:rsidRPr="00740A82" w:rsidRDefault="00BC5C61" w:rsidP="00BC5C61">
      <w:pPr>
        <w:spacing w:after="0" w:line="240" w:lineRule="auto"/>
        <w:jc w:val="both"/>
        <w:rPr>
          <w:rFonts w:ascii="Verdana" w:eastAsia="Calibri" w:hAnsi="Verdana" w:cs="Arial"/>
          <w:lang w:val="es-ES_tradnl" w:eastAsia="es-ES_tradnl"/>
        </w:rPr>
      </w:pPr>
    </w:p>
    <w:p w14:paraId="571DA4CC" w14:textId="77777777" w:rsidR="00BC5C61" w:rsidRPr="00740A82" w:rsidRDefault="00BC5C61" w:rsidP="00BC5C61">
      <w:pPr>
        <w:spacing w:after="0" w:line="240" w:lineRule="auto"/>
        <w:jc w:val="both"/>
        <w:rPr>
          <w:rFonts w:ascii="Verdana" w:eastAsia="Calibri" w:hAnsi="Verdana" w:cs="Arial"/>
          <w:lang w:val="es-ES_tradnl" w:eastAsia="es-ES_tradnl"/>
        </w:rPr>
      </w:pPr>
    </w:p>
    <w:p w14:paraId="27481887" w14:textId="77777777" w:rsidR="00BC5C61" w:rsidRPr="00740A82" w:rsidRDefault="00BC5C61" w:rsidP="00BC5C61">
      <w:pPr>
        <w:spacing w:after="0" w:line="276" w:lineRule="auto"/>
        <w:jc w:val="both"/>
        <w:rPr>
          <w:rFonts w:ascii="Verdana" w:eastAsia="Calibri" w:hAnsi="Verdana" w:cs="Arial"/>
          <w:lang w:val="es-ES" w:eastAsia="es-ES"/>
        </w:rPr>
      </w:pPr>
      <w:r w:rsidRPr="00740A82">
        <w:rPr>
          <w:rFonts w:ascii="Verdana" w:eastAsia="Calibri" w:hAnsi="Verdana" w:cs="Arial"/>
          <w:lang w:val="es-ES" w:eastAsia="es-ES"/>
        </w:rPr>
        <w:t xml:space="preserve">Estimado señor Arboleda: </w:t>
      </w:r>
    </w:p>
    <w:p w14:paraId="13E1B489" w14:textId="77777777" w:rsidR="00BC5C61" w:rsidRPr="00740A82" w:rsidRDefault="00BC5C61" w:rsidP="00BC5C61">
      <w:pPr>
        <w:tabs>
          <w:tab w:val="left" w:pos="3768"/>
        </w:tabs>
        <w:spacing w:after="0" w:line="276" w:lineRule="auto"/>
        <w:jc w:val="both"/>
        <w:rPr>
          <w:rFonts w:ascii="Verdana" w:eastAsia="Calibri" w:hAnsi="Verdana" w:cs="Arial"/>
          <w:lang w:val="es-ES" w:eastAsia="es-ES"/>
        </w:rPr>
      </w:pPr>
      <w:r w:rsidRPr="00740A82">
        <w:rPr>
          <w:rFonts w:ascii="Verdana" w:eastAsia="Calibri" w:hAnsi="Verdana" w:cs="Arial"/>
          <w:lang w:val="es-ES" w:eastAsia="es-ES"/>
        </w:rPr>
        <w:tab/>
      </w:r>
    </w:p>
    <w:p w14:paraId="54D795CE" w14:textId="77777777" w:rsidR="00BC5C61" w:rsidRPr="00740A82" w:rsidRDefault="00BC5C61" w:rsidP="00BC5C61">
      <w:pPr>
        <w:spacing w:after="0" w:line="276" w:lineRule="auto"/>
        <w:jc w:val="both"/>
        <w:rPr>
          <w:rFonts w:ascii="Verdana" w:eastAsia="Calibri" w:hAnsi="Verdana" w:cs="Arial"/>
          <w:lang w:val="es-ES" w:eastAsia="es-ES"/>
        </w:rPr>
      </w:pPr>
      <w:r w:rsidRPr="00740A82">
        <w:rPr>
          <w:rFonts w:ascii="Verdana" w:eastAsia="Calibri" w:hAnsi="Verdana" w:cs="Arial"/>
          <w:lang w:val="es-ES" w:eastAsia="es-ES"/>
        </w:rPr>
        <w:t>En ejercicio de la competencia otorgada por los artículos 3, numeral 5º, y 11, numeral 8º, del Decreto Ley 4170 de 2011,</w:t>
      </w:r>
      <w:r w:rsidRPr="00740A82">
        <w:rPr>
          <w:rFonts w:ascii="Verdana" w:eastAsia="Arial MT" w:hAnsi="Verdana" w:cs="Arial MT"/>
          <w:lang w:val="es-ES" w:eastAsia="es-ES"/>
        </w:rPr>
        <w:t xml:space="preserve"> </w:t>
      </w:r>
      <w:r w:rsidRPr="00740A82">
        <w:rPr>
          <w:rFonts w:ascii="Verdana" w:hAnsi="Verdana" w:cs="Arial"/>
        </w:rPr>
        <w:t xml:space="preserve">así como lo establecido en el artículo 4 de la Resolución 1707 de 2018 expedida por esta Entidad, </w:t>
      </w:r>
      <w:r w:rsidRPr="00740A82">
        <w:rPr>
          <w:rFonts w:ascii="Verdana" w:eastAsia="Calibri" w:hAnsi="Verdana" w:cs="Arial"/>
          <w:lang w:val="es-ES" w:eastAsia="es-ES"/>
        </w:rPr>
        <w:t xml:space="preserve">la Agencia Nacional de Contratación Pública – Colombia Compra Eficiente– responde su solicitud de consulta de fecha 28 de enero de 2025, en la cual manifiesta lo siguiente: </w:t>
      </w:r>
    </w:p>
    <w:p w14:paraId="6D9AD5DA" w14:textId="77777777" w:rsidR="00BC5C61" w:rsidRPr="00740A82" w:rsidRDefault="00BC5C61" w:rsidP="00BC5C6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80AFA1D" w14:textId="77777777" w:rsidR="00BC5C61" w:rsidRPr="00740A82" w:rsidRDefault="00BC5C61" w:rsidP="00BC5C61">
      <w:pPr>
        <w:spacing w:after="0" w:line="240" w:lineRule="auto"/>
        <w:ind w:left="709" w:right="709"/>
        <w:jc w:val="both"/>
        <w:rPr>
          <w:rFonts w:ascii="Verdana" w:eastAsia="Century Gothic" w:hAnsi="Verdana" w:cs="Century Gothic"/>
          <w:sz w:val="20"/>
          <w:szCs w:val="20"/>
          <w:lang w:val="es-ES"/>
        </w:rPr>
      </w:pPr>
      <w:bookmarkStart w:id="1" w:name="_Hlk95313578"/>
      <w:r w:rsidRPr="00740A82">
        <w:rPr>
          <w:rFonts w:ascii="Verdana" w:eastAsia="Century Gothic" w:hAnsi="Verdana" w:cs="Century Gothic"/>
          <w:sz w:val="20"/>
          <w:szCs w:val="20"/>
          <w:lang w:val="es-ES"/>
        </w:rPr>
        <w:t xml:space="preserve">“1. le es aplicable en materia contractual el Articulo 97 </w:t>
      </w:r>
      <w:proofErr w:type="spellStart"/>
      <w:r w:rsidRPr="00740A82">
        <w:rPr>
          <w:rFonts w:ascii="Verdana" w:eastAsia="Century Gothic" w:hAnsi="Verdana" w:cs="Century Gothic"/>
          <w:sz w:val="20"/>
          <w:szCs w:val="20"/>
          <w:lang w:val="es-ES"/>
        </w:rPr>
        <w:t>paragrafo</w:t>
      </w:r>
      <w:proofErr w:type="spellEnd"/>
      <w:r w:rsidRPr="00740A82">
        <w:rPr>
          <w:rFonts w:ascii="Verdana" w:eastAsia="Century Gothic" w:hAnsi="Verdana" w:cs="Century Gothic"/>
          <w:sz w:val="20"/>
          <w:szCs w:val="20"/>
          <w:lang w:val="es-ES"/>
        </w:rPr>
        <w:t xml:space="preserve"> único a una entidad mixta con una participación inferior al 1% por parte de entidades privadas</w:t>
      </w:r>
    </w:p>
    <w:p w14:paraId="082A165C" w14:textId="77777777" w:rsidR="00BC5C61" w:rsidRPr="00740A82" w:rsidRDefault="00BC5C61" w:rsidP="00BC5C61">
      <w:pPr>
        <w:spacing w:after="0" w:line="240" w:lineRule="auto"/>
        <w:ind w:left="709" w:right="709"/>
        <w:jc w:val="both"/>
        <w:rPr>
          <w:rFonts w:ascii="Verdana" w:eastAsia="Century Gothic" w:hAnsi="Verdana" w:cs="Century Gothic"/>
          <w:sz w:val="20"/>
          <w:szCs w:val="20"/>
          <w:lang w:val="es-ES"/>
        </w:rPr>
      </w:pPr>
    </w:p>
    <w:p w14:paraId="51A88982" w14:textId="77777777" w:rsidR="00BC5C61" w:rsidRPr="00740A82" w:rsidRDefault="00BC5C61" w:rsidP="00BC5C61">
      <w:pPr>
        <w:spacing w:after="0" w:line="240" w:lineRule="auto"/>
        <w:ind w:left="709" w:right="709"/>
        <w:jc w:val="both"/>
        <w:rPr>
          <w:rFonts w:ascii="Verdana" w:eastAsia="Century Gothic" w:hAnsi="Verdana" w:cs="Century Gothic"/>
          <w:sz w:val="20"/>
          <w:szCs w:val="20"/>
          <w:lang w:val="es-ES"/>
        </w:rPr>
      </w:pPr>
      <w:r w:rsidRPr="00740A82">
        <w:rPr>
          <w:rFonts w:ascii="Verdana" w:eastAsia="Century Gothic" w:hAnsi="Verdana" w:cs="Century Gothic"/>
          <w:sz w:val="20"/>
          <w:szCs w:val="20"/>
          <w:lang w:val="es-ES"/>
        </w:rPr>
        <w:t>2. se pueden celebrar convenios y contratos interadministrativos con dichas sociedades de economía mixta, para el desarrollo del objeto social y con ello realizar obras de mantenimiento de redes de acueducto”</w:t>
      </w:r>
      <w:bookmarkEnd w:id="1"/>
      <w:r w:rsidRPr="00740A82">
        <w:rPr>
          <w:rFonts w:ascii="Verdana" w:eastAsia="Century Gothic" w:hAnsi="Verdana" w:cs="Century Gothic"/>
          <w:sz w:val="20"/>
          <w:szCs w:val="20"/>
          <w:lang w:val="es-ES"/>
        </w:rPr>
        <w:t xml:space="preserve"> [SIC].</w:t>
      </w:r>
    </w:p>
    <w:p w14:paraId="49B02202" w14:textId="77777777" w:rsidR="00BC5C61" w:rsidRPr="00740A82" w:rsidRDefault="00BC5C61" w:rsidP="00BC5C6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5158225" w14:textId="77777777" w:rsidR="00BC5C61" w:rsidRPr="00740A82" w:rsidRDefault="00BC5C61" w:rsidP="00BC5C61">
      <w:pPr>
        <w:spacing w:after="120" w:line="276" w:lineRule="auto"/>
        <w:ind w:firstLine="708"/>
        <w:jc w:val="both"/>
        <w:rPr>
          <w:rFonts w:ascii="Verdana" w:eastAsia="Calibri" w:hAnsi="Verdana" w:cs="Arial"/>
          <w:lang w:val="es-ES_tradnl" w:eastAsia="es-ES_tradnl"/>
        </w:rPr>
      </w:pPr>
      <w:r w:rsidRPr="00740A8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40A82">
        <w:rPr>
          <w:rFonts w:ascii="Verdana" w:eastAsia="Calibri" w:hAnsi="Verdana" w:cs="Arial"/>
          <w:lang w:val="es-ES_tradnl" w:eastAsia="es-ES_tradnl"/>
        </w:rPr>
        <w:tab/>
      </w:r>
    </w:p>
    <w:p w14:paraId="252E69A2" w14:textId="77777777" w:rsidR="00BC5C61" w:rsidRPr="00740A82" w:rsidRDefault="00BC5C61" w:rsidP="00BC5C61">
      <w:pPr>
        <w:spacing w:after="0" w:line="276" w:lineRule="auto"/>
        <w:ind w:firstLine="708"/>
        <w:jc w:val="both"/>
        <w:rPr>
          <w:rFonts w:ascii="Verdana" w:eastAsia="Calibri" w:hAnsi="Verdana" w:cs="Arial"/>
          <w:lang w:val="es-ES" w:eastAsia="es-ES"/>
        </w:rPr>
      </w:pPr>
      <w:r w:rsidRPr="00740A8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algunas consideraciones sobre las normas generales relacionadas con los problemas jurídicos de su consulta. </w:t>
      </w:r>
    </w:p>
    <w:p w14:paraId="00973B6E" w14:textId="77777777" w:rsidR="00BC5C61" w:rsidRPr="00740A82" w:rsidRDefault="00BC5C61" w:rsidP="00BC5C61">
      <w:pPr>
        <w:spacing w:after="0" w:line="276" w:lineRule="auto"/>
        <w:ind w:firstLine="709"/>
        <w:jc w:val="both"/>
        <w:rPr>
          <w:rFonts w:ascii="Verdana" w:eastAsia="Calibri" w:hAnsi="Verdana" w:cs="Arial"/>
          <w:lang w:val="es-ES" w:eastAsia="es-ES"/>
        </w:rPr>
      </w:pPr>
    </w:p>
    <w:p w14:paraId="44CF9AB1" w14:textId="77777777" w:rsidR="00BC5C61" w:rsidRPr="00740A82" w:rsidRDefault="00BC5C61" w:rsidP="00BC5C61">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Problema planteado:</w:t>
      </w:r>
    </w:p>
    <w:p w14:paraId="6B6E46D3" w14:textId="77777777" w:rsidR="00BC5C61" w:rsidRPr="00740A82" w:rsidRDefault="00BC5C61" w:rsidP="00BC5C61">
      <w:pPr>
        <w:tabs>
          <w:tab w:val="left" w:pos="426"/>
        </w:tabs>
        <w:spacing w:after="0" w:line="276" w:lineRule="auto"/>
        <w:jc w:val="both"/>
        <w:rPr>
          <w:rFonts w:ascii="Verdana" w:eastAsia="Century Gothic" w:hAnsi="Verdana" w:cs="Century Gothic"/>
          <w:lang w:val="es-ES"/>
        </w:rPr>
      </w:pPr>
    </w:p>
    <w:p w14:paraId="009FFFBF" w14:textId="0D122DE4" w:rsidR="00BC5C61" w:rsidRPr="00740A82" w:rsidRDefault="00BC5C61" w:rsidP="00BC5C61">
      <w:pPr>
        <w:spacing w:after="0" w:line="276" w:lineRule="auto"/>
        <w:jc w:val="both"/>
        <w:rPr>
          <w:rFonts w:ascii="Verdana" w:eastAsia="Century Gothic" w:hAnsi="Verdana" w:cs="Century Gothic"/>
        </w:rPr>
      </w:pPr>
      <w:r w:rsidRPr="00740A82">
        <w:rPr>
          <w:rFonts w:ascii="Verdana" w:eastAsia="Century Gothic" w:hAnsi="Verdana" w:cs="Century Gothic"/>
        </w:rPr>
        <w:t xml:space="preserve">De acuerdo con el contenido de su solicitud, esta Agencia resolverá los siguientes problemas jurídicos: i) ¿Cuál es el régimen jurídico aplicable a los contratos celebrados por una </w:t>
      </w:r>
      <w:r w:rsidR="00665199" w:rsidRPr="00740A82">
        <w:rPr>
          <w:rFonts w:ascii="Verdana" w:eastAsia="Century Gothic" w:hAnsi="Verdana" w:cs="Century Gothic"/>
        </w:rPr>
        <w:t xml:space="preserve">sociedad de economía mixta </w:t>
      </w:r>
      <w:r w:rsidRPr="00740A82">
        <w:rPr>
          <w:rFonts w:ascii="Verdana" w:eastAsia="Century Gothic" w:hAnsi="Verdana" w:cs="Century Gothic"/>
        </w:rPr>
        <w:t xml:space="preserve">cuya participación </w:t>
      </w:r>
      <w:r w:rsidR="00DC27ED" w:rsidRPr="00740A82">
        <w:rPr>
          <w:rFonts w:ascii="Verdana" w:eastAsia="Century Gothic" w:hAnsi="Verdana" w:cs="Century Gothic"/>
        </w:rPr>
        <w:t>proveniente d</w:t>
      </w:r>
      <w:r w:rsidR="001F0AED" w:rsidRPr="00740A82">
        <w:rPr>
          <w:rFonts w:ascii="Verdana" w:eastAsia="Century Gothic" w:hAnsi="Verdana" w:cs="Century Gothic"/>
        </w:rPr>
        <w:t xml:space="preserve">el Estado </w:t>
      </w:r>
      <w:r w:rsidRPr="00740A82">
        <w:rPr>
          <w:rFonts w:ascii="Verdana" w:eastAsia="Century Gothic" w:hAnsi="Verdana" w:cs="Century Gothic"/>
        </w:rPr>
        <w:t xml:space="preserve">es mayor al noventa por ciento (90%)? </w:t>
      </w:r>
      <w:proofErr w:type="spellStart"/>
      <w:r w:rsidRPr="00740A82">
        <w:rPr>
          <w:rFonts w:ascii="Verdana" w:eastAsia="Century Gothic" w:hAnsi="Verdana" w:cs="Century Gothic"/>
        </w:rPr>
        <w:t>ii</w:t>
      </w:r>
      <w:proofErr w:type="spellEnd"/>
      <w:r w:rsidRPr="00740A82">
        <w:rPr>
          <w:rFonts w:ascii="Verdana" w:eastAsia="Century Gothic" w:hAnsi="Verdana" w:cs="Century Gothic"/>
        </w:rPr>
        <w:t xml:space="preserve">) </w:t>
      </w:r>
      <w:r w:rsidRPr="00740A82">
        <w:rPr>
          <w:rFonts w:ascii="Verdana" w:hAnsi="Verdana" w:cs="Arial"/>
          <w:shd w:val="clear" w:color="auto" w:fill="FFFFFF"/>
        </w:rPr>
        <w:t xml:space="preserve">¿Una </w:t>
      </w:r>
      <w:r w:rsidR="0040116A" w:rsidRPr="00740A82">
        <w:rPr>
          <w:rFonts w:ascii="Verdana" w:hAnsi="Verdana" w:cs="Arial"/>
          <w:shd w:val="clear" w:color="auto" w:fill="FFFFFF"/>
        </w:rPr>
        <w:t xml:space="preserve">sociedad de economía mixta </w:t>
      </w:r>
      <w:r w:rsidRPr="00740A82">
        <w:rPr>
          <w:rFonts w:ascii="Verdana" w:hAnsi="Verdana" w:cs="Arial"/>
          <w:shd w:val="clear" w:color="auto" w:fill="FFFFFF"/>
        </w:rPr>
        <w:t xml:space="preserve">sometida al Estatuto General de la Contratación de la Administración Pública – en adelante EGCAP </w:t>
      </w:r>
      <w:bookmarkStart w:id="2" w:name="_Hlk175514630"/>
      <w:r w:rsidRPr="00740A82">
        <w:rPr>
          <w:rFonts w:ascii="Verdana" w:hAnsi="Verdana" w:cs="Arial"/>
          <w:shd w:val="clear" w:color="auto" w:fill="FFFFFF"/>
        </w:rPr>
        <w:t>–</w:t>
      </w:r>
      <w:bookmarkEnd w:id="2"/>
      <w:r w:rsidRPr="00740A82">
        <w:rPr>
          <w:rFonts w:ascii="Verdana" w:hAnsi="Verdana" w:cs="Arial"/>
          <w:shd w:val="clear" w:color="auto" w:fill="FFFFFF"/>
        </w:rPr>
        <w:t xml:space="preserve"> puede celebrar contratos y convenios interadministrativo para la ejecución y mantenimiento de obras? </w:t>
      </w:r>
    </w:p>
    <w:p w14:paraId="1522F5DE" w14:textId="77777777" w:rsidR="00BC5C61" w:rsidRPr="00740A82" w:rsidRDefault="00BC5C61" w:rsidP="00BC5C61">
      <w:pPr>
        <w:spacing w:after="0" w:line="276" w:lineRule="auto"/>
        <w:jc w:val="both"/>
        <w:rPr>
          <w:rFonts w:ascii="Verdana" w:eastAsia="Calibri" w:hAnsi="Verdana" w:cs="Arial"/>
        </w:rPr>
      </w:pPr>
    </w:p>
    <w:p w14:paraId="793EF0F4" w14:textId="77777777" w:rsidR="00BC5C61" w:rsidRPr="00740A82" w:rsidRDefault="00BC5C61" w:rsidP="00BC5C61">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Respuesta:</w:t>
      </w:r>
    </w:p>
    <w:p w14:paraId="7EAECBE4" w14:textId="77777777" w:rsidR="00BC5C61" w:rsidRPr="00740A82" w:rsidRDefault="00BC5C61" w:rsidP="00BC5C6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5C61" w:rsidRPr="00740A82" w14:paraId="27FA13E4" w14:textId="77777777" w:rsidTr="00EF1581">
        <w:tc>
          <w:tcPr>
            <w:tcW w:w="8828" w:type="dxa"/>
            <w:shd w:val="clear" w:color="auto" w:fill="auto"/>
          </w:tcPr>
          <w:p w14:paraId="12D0ED2E" w14:textId="77777777" w:rsidR="00BC5C61" w:rsidRPr="00740A82" w:rsidRDefault="00BC5C61" w:rsidP="00EF1581">
            <w:pPr>
              <w:spacing w:line="276" w:lineRule="auto"/>
              <w:jc w:val="both"/>
              <w:rPr>
                <w:rFonts w:ascii="Verdana" w:hAnsi="Verdana" w:cs="Arial"/>
                <w:bCs/>
              </w:rPr>
            </w:pPr>
            <w:r w:rsidRPr="00740A82">
              <w:rPr>
                <w:rFonts w:ascii="Verdana" w:hAnsi="Verdana" w:cs="Arial"/>
                <w:bCs/>
              </w:rPr>
              <w:t>En respuesta a los interrogantes planteados, la Subdirección de Gestión Contractual manifiesta:</w:t>
            </w:r>
          </w:p>
          <w:p w14:paraId="7427C138" w14:textId="77777777" w:rsidR="00BC5C61" w:rsidRPr="00740A82" w:rsidRDefault="00BC5C61" w:rsidP="00EF1581">
            <w:pPr>
              <w:autoSpaceDE w:val="0"/>
              <w:autoSpaceDN w:val="0"/>
              <w:adjustRightInd w:val="0"/>
              <w:spacing w:line="276" w:lineRule="auto"/>
              <w:jc w:val="both"/>
              <w:rPr>
                <w:rFonts w:ascii="Verdana" w:hAnsi="Verdana"/>
                <w:lang w:val="es-MX"/>
              </w:rPr>
            </w:pPr>
          </w:p>
          <w:p w14:paraId="342C746F" w14:textId="24BCEAF8" w:rsidR="00BC5C61" w:rsidRPr="00740A82" w:rsidRDefault="00BC5C61" w:rsidP="00EF1581">
            <w:pPr>
              <w:spacing w:after="120" w:line="276" w:lineRule="auto"/>
              <w:ind w:firstLine="708"/>
              <w:jc w:val="both"/>
              <w:textAlignment w:val="baseline"/>
              <w:rPr>
                <w:rFonts w:ascii="Verdana" w:hAnsi="Verdana" w:cs="Arial"/>
                <w:lang w:val="es-ES" w:eastAsia="es-MX"/>
              </w:rPr>
            </w:pPr>
            <w:r w:rsidRPr="00740A82">
              <w:rPr>
                <w:rFonts w:ascii="Verdana" w:eastAsia="Times New Roman" w:hAnsi="Verdana" w:cs="Arial"/>
                <w:lang w:val="es-ES" w:eastAsia="es-MX"/>
              </w:rPr>
              <w:t>i) E</w:t>
            </w:r>
            <w:r w:rsidRPr="00740A82">
              <w:rPr>
                <w:rFonts w:ascii="Verdana" w:hAnsi="Verdana" w:cs="Arial"/>
                <w:lang w:val="es-ES" w:eastAsia="es-MX"/>
              </w:rPr>
              <w:t xml:space="preserve">l artículo 14 de la Ley 1150 de 2007 – </w:t>
            </w:r>
            <w:r w:rsidRPr="00740A82">
              <w:rPr>
                <w:rFonts w:ascii="Verdana" w:eastAsia="Times New Roman" w:hAnsi="Verdana" w:cs="Arial"/>
                <w:lang w:val="es-ES" w:eastAsia="es-MX"/>
              </w:rPr>
              <w:t xml:space="preserve">modificado por el artículo 93 de la Ley 1474 de 2011 – </w:t>
            </w:r>
            <w:r w:rsidR="00E556F7" w:rsidRPr="00740A82">
              <w:rPr>
                <w:rFonts w:ascii="Verdana" w:eastAsia="Times New Roman" w:hAnsi="Verdana" w:cs="Arial"/>
                <w:lang w:val="es-ES" w:eastAsia="es-MX"/>
              </w:rPr>
              <w:t>dispone</w:t>
            </w:r>
            <w:r w:rsidRPr="00740A82">
              <w:rPr>
                <w:rFonts w:ascii="Verdana" w:hAnsi="Verdana" w:cs="Arial"/>
                <w:lang w:val="es-ES" w:eastAsia="es-MX"/>
              </w:rPr>
              <w:t xml:space="preserve"> que las sociedades de economía mixta en las que el Estado tenga participación superior al cincuenta por ciento (50%) y </w:t>
            </w:r>
            <w:r w:rsidRPr="00740A82">
              <w:rPr>
                <w:rFonts w:ascii="Verdana" w:hAnsi="Verdana" w:cs="Arial"/>
                <w:lang w:val="es-ES" w:eastAsia="es-MX"/>
              </w:rPr>
              <w:lastRenderedPageBreak/>
              <w:t xml:space="preserve">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w:t>
            </w:r>
          </w:p>
          <w:p w14:paraId="287BA02A" w14:textId="0AFDBC9B" w:rsidR="00BC5C61" w:rsidRPr="00740A82" w:rsidRDefault="00BC5C61" w:rsidP="00EF1581">
            <w:pPr>
              <w:pStyle w:val="NormalWeb"/>
              <w:spacing w:before="0" w:beforeAutospacing="0" w:after="120" w:afterAutospacing="0" w:line="276" w:lineRule="auto"/>
              <w:ind w:firstLine="709"/>
              <w:jc w:val="both"/>
              <w:rPr>
                <w:rFonts w:ascii="Verdana" w:eastAsia="Calibri" w:hAnsi="Verdana" w:cs="Arial"/>
                <w:color w:val="000000"/>
                <w:sz w:val="22"/>
                <w:szCs w:val="22"/>
                <w:lang w:val="es-ES_tradnl" w:eastAsia="es-ES_tradnl"/>
              </w:rPr>
            </w:pPr>
            <w:r w:rsidRPr="00740A82">
              <w:rPr>
                <w:rFonts w:ascii="Verdana" w:eastAsia="Calibri" w:hAnsi="Verdana" w:cs="Arial"/>
                <w:color w:val="000000"/>
                <w:sz w:val="22"/>
                <w:szCs w:val="22"/>
                <w:lang w:val="es-ES_tradnl" w:eastAsia="es-ES_tradnl"/>
              </w:rPr>
              <w:t>Ahora bien, el parágrafo único del artículo 97 de la Ley 489 de 1998, al cual se refiere en su consulta, señala</w:t>
            </w:r>
            <w:r w:rsidR="001B04E8">
              <w:rPr>
                <w:rFonts w:ascii="Verdana" w:eastAsia="Calibri" w:hAnsi="Verdana" w:cs="Arial"/>
                <w:color w:val="000000"/>
                <w:sz w:val="22"/>
                <w:szCs w:val="22"/>
                <w:lang w:val="es-ES_tradnl" w:eastAsia="es-ES_tradnl"/>
              </w:rPr>
              <w:t xml:space="preserve"> que</w:t>
            </w:r>
            <w:r w:rsidRPr="00740A82">
              <w:rPr>
                <w:rFonts w:ascii="Verdana" w:eastAsia="Calibri" w:hAnsi="Verdana" w:cs="Arial"/>
                <w:color w:val="000000"/>
                <w:sz w:val="22"/>
                <w:szCs w:val="22"/>
                <w:lang w:val="es-ES_tradnl" w:eastAsia="es-ES_tradnl"/>
              </w:rPr>
              <w:t>: “</w:t>
            </w:r>
            <w:r w:rsidRPr="00740A82">
              <w:rPr>
                <w:rFonts w:ascii="Verdana" w:hAnsi="Verdana" w:cs="Arial"/>
                <w:sz w:val="22"/>
                <w:szCs w:val="22"/>
                <w:lang w:eastAsia="es-MX"/>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Sobre el particular, a juicio de esta Agencia,</w:t>
            </w:r>
            <w:r w:rsidRPr="00740A82">
              <w:rPr>
                <w:rFonts w:ascii="Verdana" w:eastAsia="Calibri" w:hAnsi="Verdana" w:cs="Arial"/>
                <w:color w:val="000000"/>
                <w:sz w:val="22"/>
                <w:szCs w:val="22"/>
                <w:lang w:val="es-ES_tradnl" w:eastAsia="es-ES_tradnl"/>
              </w:rPr>
              <w:t xml:space="preserve"> el artículo 14 de la Ley 1150 de 2007, en el cual se establece el régimen contractual de las sociedades de economía mixta se complementa, sin entrar en contradicción alguna, con lo dispuesto en el parágrafo del artículo 97 de la Ley 489 de 1998. </w:t>
            </w:r>
          </w:p>
          <w:p w14:paraId="29BC3CEE" w14:textId="77777777" w:rsidR="00BC5C61" w:rsidRPr="00740A82" w:rsidRDefault="00BC5C61" w:rsidP="00EF1581">
            <w:pPr>
              <w:pStyle w:val="NormalWeb"/>
              <w:spacing w:before="0" w:beforeAutospacing="0" w:after="120" w:afterAutospacing="0" w:line="276" w:lineRule="auto"/>
              <w:ind w:firstLine="709"/>
              <w:jc w:val="both"/>
              <w:rPr>
                <w:rFonts w:ascii="Verdana" w:hAnsi="Verdana" w:cs="Arial"/>
                <w:sz w:val="22"/>
                <w:szCs w:val="22"/>
                <w:lang w:eastAsia="es-MX"/>
              </w:rPr>
            </w:pPr>
            <w:r w:rsidRPr="00740A82">
              <w:rPr>
                <w:rFonts w:ascii="Verdana" w:eastAsia="Calibri" w:hAnsi="Verdana" w:cs="Arial"/>
                <w:color w:val="000000"/>
                <w:sz w:val="22"/>
                <w:szCs w:val="22"/>
                <w:lang w:val="es-ES_tradnl" w:eastAsia="es-ES_tradnl"/>
              </w:rPr>
              <w:t xml:space="preserve">Lo anterior, en la medida que el parágrafo citado remite al régimen de las actividades y los servidores públicos de las empresas industriales y comerciales en aquellos eventos en los que </w:t>
            </w:r>
            <w:r w:rsidRPr="00740A82">
              <w:rPr>
                <w:rFonts w:ascii="Verdana" w:hAnsi="Verdana" w:cs="Arial"/>
                <w:sz w:val="22"/>
                <w:szCs w:val="22"/>
                <w:lang w:eastAsia="es-MX"/>
              </w:rPr>
              <w:t>las sociedades de economía mixta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empresas industriales y comerciales del Estado como para sociedades de economía mixta en las que el Estado tenga una participación mayor al cincuenta por ciento (50%).</w:t>
            </w:r>
          </w:p>
          <w:p w14:paraId="357A4FDA" w14:textId="77777777" w:rsidR="00BC5C61" w:rsidRPr="00740A82" w:rsidRDefault="00BC5C61" w:rsidP="00EF1581">
            <w:pPr>
              <w:pStyle w:val="NormalWeb"/>
              <w:spacing w:before="0" w:beforeAutospacing="0" w:after="120" w:afterAutospacing="0" w:line="276" w:lineRule="auto"/>
              <w:ind w:firstLine="709"/>
              <w:jc w:val="both"/>
              <w:rPr>
                <w:rFonts w:ascii="Verdana" w:hAnsi="Verdana" w:cs="Arial"/>
                <w:sz w:val="22"/>
                <w:szCs w:val="22"/>
                <w:lang w:val="es-ES_tradnl" w:eastAsia="es-MX"/>
              </w:rPr>
            </w:pPr>
            <w:r w:rsidRPr="00740A82">
              <w:rPr>
                <w:rFonts w:ascii="Verdana" w:hAnsi="Verdana" w:cs="Arial"/>
                <w:sz w:val="22"/>
                <w:szCs w:val="22"/>
                <w:lang w:eastAsia="es-MX"/>
              </w:rPr>
              <w:t xml:space="preserve">De lo expuesto, se concluye que, </w:t>
            </w:r>
            <w:r w:rsidRPr="00740A82">
              <w:rPr>
                <w:rFonts w:ascii="Verdana" w:hAnsi="Verdana" w:cs="Arial"/>
                <w:sz w:val="22"/>
                <w:szCs w:val="22"/>
                <w:lang w:val="es-ES_tradnl"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aquellas que desarrollan actividades comerciales en competencia con el sector privado y/o público, nacional o internacional, o en mercados regulados se regirán por las disposiciones legales y reglamentarias aplicables a sus actividades económicas y comerciales, lo que </w:t>
            </w:r>
            <w:r w:rsidRPr="00740A82">
              <w:rPr>
                <w:rFonts w:ascii="Verdana" w:hAnsi="Verdana" w:cs="Arial"/>
                <w:sz w:val="22"/>
                <w:szCs w:val="22"/>
                <w:lang w:val="es-ES_tradnl" w:eastAsia="es-MX"/>
              </w:rPr>
              <w:lastRenderedPageBreak/>
              <w:t xml:space="preserve">implica acudir usualmente al derecho privado. La misma conclusión se aplica para aquellas en las que el capital estatal sea mayor al noventa por ciento (90%). </w:t>
            </w:r>
          </w:p>
          <w:p w14:paraId="30562C6C" w14:textId="77777777" w:rsidR="00BC5C61" w:rsidRPr="00740A82" w:rsidRDefault="00BC5C61" w:rsidP="00EF1581">
            <w:pPr>
              <w:spacing w:after="120" w:line="276" w:lineRule="auto"/>
              <w:ind w:firstLine="709"/>
              <w:jc w:val="both"/>
              <w:rPr>
                <w:rFonts w:ascii="Verdana" w:eastAsia="Calibri" w:hAnsi="Verdana" w:cs="Arial"/>
                <w:color w:val="000000" w:themeColor="text1"/>
              </w:rPr>
            </w:pPr>
            <w:proofErr w:type="spellStart"/>
            <w:r w:rsidRPr="00740A82">
              <w:rPr>
                <w:rFonts w:ascii="Verdana" w:eastAsia="Calibri" w:hAnsi="Verdana" w:cs="Arial"/>
                <w:color w:val="000000" w:themeColor="text1"/>
              </w:rPr>
              <w:t>ii</w:t>
            </w:r>
            <w:proofErr w:type="spellEnd"/>
            <w:r w:rsidRPr="00740A82">
              <w:rPr>
                <w:rFonts w:ascii="Verdana" w:eastAsia="Calibri" w:hAnsi="Verdana" w:cs="Arial"/>
                <w:color w:val="000000" w:themeColor="text1"/>
              </w:rPr>
              <w:t>) El Decreto 1082 de 2015, “Por medio del cual se expide el Decreto único reglamentario del sector administrativo de planeación nacional”, califica a los convenios o contratos interadministrativos como aquella contratación entre Entidades Estatales.</w:t>
            </w:r>
            <w:r w:rsidRPr="00740A82">
              <w:rPr>
                <w:rFonts w:ascii="Verdana" w:hAnsi="Verdana" w:cs="Arial"/>
                <w:color w:val="000000" w:themeColor="text1"/>
              </w:rPr>
              <w:t xml:space="preserve"> </w:t>
            </w:r>
            <w:r w:rsidRPr="00740A82">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w:t>
            </w:r>
          </w:p>
          <w:p w14:paraId="6C418A69" w14:textId="77777777" w:rsidR="00E14EC2" w:rsidRDefault="00BC5C61" w:rsidP="00EF1581">
            <w:pPr>
              <w:spacing w:after="120" w:line="276" w:lineRule="auto"/>
              <w:ind w:firstLine="709"/>
              <w:jc w:val="both"/>
              <w:rPr>
                <w:rFonts w:ascii="Verdana" w:eastAsia="Calibri" w:hAnsi="Verdana" w:cs="Arial"/>
                <w:color w:val="000000" w:themeColor="text1"/>
                <w:lang w:val="es-ES_tradnl"/>
              </w:rPr>
            </w:pPr>
            <w:r w:rsidRPr="00740A82">
              <w:rPr>
                <w:rFonts w:ascii="Verdana" w:hAnsi="Verdana" w:cs="Arial"/>
              </w:rPr>
              <w:t>Si bien los contratos o convenios interadministrativos están previstos en la Ley 80 de 1993, en la Ley 1150 de 2007 y en el Decreto 1082 de 2015, no quiere decir que solo puedan</w:t>
            </w:r>
            <w:r w:rsidRPr="00740A82">
              <w:rPr>
                <w:rFonts w:ascii="Verdana" w:eastAsia="Calibri" w:hAnsi="Verdana" w:cs="Arial"/>
                <w:color w:val="000000" w:themeColor="text1"/>
                <w:lang w:val="es-ES_tradnl"/>
              </w:rPr>
              <w:t xml:space="preserve">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 </w:t>
            </w:r>
          </w:p>
          <w:p w14:paraId="74F2F6FC" w14:textId="3F81A91D" w:rsidR="00BC5C61" w:rsidRPr="00740A82" w:rsidRDefault="00BC5C61" w:rsidP="00EF1581">
            <w:pPr>
              <w:spacing w:after="120" w:line="276" w:lineRule="auto"/>
              <w:ind w:firstLine="709"/>
              <w:jc w:val="both"/>
              <w:rPr>
                <w:rFonts w:ascii="Verdana" w:eastAsia="Calibri" w:hAnsi="Verdana" w:cs="Arial"/>
                <w:color w:val="000000" w:themeColor="text1"/>
              </w:rPr>
            </w:pPr>
            <w:r w:rsidRPr="00740A82">
              <w:rPr>
                <w:rFonts w:ascii="Verdana" w:eastAsia="Calibri" w:hAnsi="Verdana" w:cs="Arial"/>
                <w:color w:val="000000" w:themeColor="text1"/>
                <w:lang w:val="es-ES_tradnl"/>
              </w:rPr>
              <w:t xml:space="preserve">En ese contexto, se concluye que una sociedad de economía mixta, independientemente del régimen contractual que aplique, esto es el EGCAP o el derecho privado – de acuerdo con la participación que el Estado tenga – pueden celebrar convenios y/o contratos interadministrativos. En todo caso, esta Agencia recomienda que, si la sociedad de economía mixta actúa como ejecutora, el objeto contractual a desarrollar se relacione con su objeto social y las funciones que le han sido encomendadas, </w:t>
            </w:r>
            <w:r w:rsidRPr="00740A82">
              <w:rPr>
                <w:rFonts w:ascii="Verdana" w:hAnsi="Verdana" w:cs="Arial"/>
              </w:rPr>
              <w:t>a efectos de constatar que el ejecutante cuente con la capacidad jurídica para contraer las obligaciones establecidas en el contrato, así como la idoneidad para ejecutarlo.</w:t>
            </w:r>
          </w:p>
        </w:tc>
      </w:tr>
    </w:tbl>
    <w:p w14:paraId="3FD9CC7F" w14:textId="77777777" w:rsidR="00BC5C61" w:rsidRPr="00740A82" w:rsidRDefault="00BC5C61" w:rsidP="00BC5C61">
      <w:pPr>
        <w:tabs>
          <w:tab w:val="left" w:pos="142"/>
          <w:tab w:val="left" w:pos="284"/>
        </w:tabs>
        <w:spacing w:after="0" w:line="276" w:lineRule="auto"/>
        <w:jc w:val="both"/>
        <w:rPr>
          <w:rFonts w:ascii="Verdana" w:eastAsia="Century Gothic" w:hAnsi="Verdana" w:cs="Century Gothic"/>
          <w:b/>
          <w:bCs/>
          <w:lang w:val="es-ES"/>
        </w:rPr>
      </w:pPr>
    </w:p>
    <w:p w14:paraId="21870698" w14:textId="77777777" w:rsidR="00BC5C61" w:rsidRPr="00740A82" w:rsidRDefault="00BC5C61" w:rsidP="00BC5C61">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Razones de la respuesta:</w:t>
      </w:r>
    </w:p>
    <w:p w14:paraId="5414C29E" w14:textId="77777777" w:rsidR="00BC5C61" w:rsidRPr="00740A82" w:rsidRDefault="00BC5C61" w:rsidP="00BC5C61">
      <w:pPr>
        <w:spacing w:after="0" w:line="276" w:lineRule="auto"/>
        <w:jc w:val="both"/>
        <w:rPr>
          <w:rFonts w:ascii="Verdana" w:eastAsia="Calibri" w:hAnsi="Verdana" w:cs="Arial"/>
          <w:lang w:val="es-ES"/>
        </w:rPr>
      </w:pPr>
    </w:p>
    <w:p w14:paraId="3B7B1997" w14:textId="77777777" w:rsidR="00BC5C61" w:rsidRPr="00740A82" w:rsidRDefault="00BC5C61" w:rsidP="00BC5C61">
      <w:pPr>
        <w:spacing w:after="0" w:line="276" w:lineRule="auto"/>
        <w:jc w:val="both"/>
        <w:rPr>
          <w:rFonts w:ascii="Verdana" w:eastAsia="Calibri" w:hAnsi="Verdana" w:cs="Arial"/>
          <w:lang w:val="es-ES"/>
        </w:rPr>
      </w:pPr>
      <w:r w:rsidRPr="00740A82">
        <w:rPr>
          <w:rFonts w:ascii="Verdana" w:eastAsia="Calibri" w:hAnsi="Verdana" w:cs="Arial"/>
          <w:lang w:val="es-ES"/>
        </w:rPr>
        <w:t xml:space="preserve">Lo anterior se sustenta en las siguientes consideraciones: </w:t>
      </w:r>
    </w:p>
    <w:p w14:paraId="7C9188CC" w14:textId="77777777" w:rsidR="00BC5C61" w:rsidRPr="00740A82" w:rsidRDefault="00BC5C61" w:rsidP="00BC5C61">
      <w:pPr>
        <w:spacing w:after="0" w:line="276" w:lineRule="auto"/>
        <w:jc w:val="both"/>
        <w:rPr>
          <w:rFonts w:ascii="Verdana" w:eastAsia="Calibri" w:hAnsi="Verdana" w:cs="Arial"/>
          <w:lang w:val="es-ES"/>
        </w:rPr>
      </w:pPr>
    </w:p>
    <w:p w14:paraId="7639FD3B" w14:textId="77777777" w:rsidR="00BC5C61" w:rsidRPr="00740A82" w:rsidRDefault="00BC5C61" w:rsidP="00BC5C61">
      <w:pPr>
        <w:autoSpaceDE w:val="0"/>
        <w:autoSpaceDN w:val="0"/>
        <w:adjustRightInd w:val="0"/>
        <w:spacing w:after="120" w:line="276" w:lineRule="auto"/>
        <w:jc w:val="both"/>
        <w:rPr>
          <w:rFonts w:ascii="Verdana" w:hAnsi="Verdana" w:cs="Arial"/>
          <w:lang w:val="es-ES_tradnl" w:eastAsia="es-MX"/>
        </w:rPr>
      </w:pPr>
      <w:r w:rsidRPr="00740A82">
        <w:rPr>
          <w:rFonts w:ascii="Verdana" w:hAnsi="Verdana" w:cs="Arial"/>
          <w:color w:val="000000" w:themeColor="text1"/>
          <w:lang w:val="es-ES_tradnl"/>
        </w:rPr>
        <w:t>i) En nuestro ordenamiento jurídico, el</w:t>
      </w:r>
      <w:r w:rsidRPr="00740A82">
        <w:rPr>
          <w:rFonts w:ascii="Verdana" w:hAnsi="Verdana" w:cs="Arial"/>
          <w:lang w:val="es-ES_tradnl"/>
        </w:rPr>
        <w:t xml:space="preserve"> artículo 97 de la Ley 489 de 1998, al cual se presume hace referencia en su consulta dado que no se especificó el número de la norma, define a las sociedades de economía mixta como organismos autorizados por la ley, constituidos como sociedades comerciales, con aportes de capital público y privado, que desarrollan actividades de naturaleza industrial </w:t>
      </w:r>
      <w:r w:rsidRPr="00740A82">
        <w:rPr>
          <w:rFonts w:ascii="Verdana" w:hAnsi="Verdana" w:cs="Arial"/>
          <w:lang w:val="es-ES_tradnl"/>
        </w:rPr>
        <w:lastRenderedPageBreak/>
        <w:t xml:space="preserve">o comercial conforme a las reglas del derecho privado, salvo las excepciones que consagra la ley. </w:t>
      </w:r>
      <w:r w:rsidRPr="00740A82">
        <w:rPr>
          <w:rFonts w:ascii="Verdana" w:hAnsi="Verdana" w:cs="Arial"/>
          <w:lang w:val="es-ES_tradnl" w:eastAsia="es-MX"/>
        </w:rPr>
        <w:t>En este sentido, la misma Ley, en los artículos 38 y 68, clasifica a las sociedades de economía mixta como entidades descentralizadas por servicios, con personería jurídica, autonomía administrativa y patrimonio propio</w:t>
      </w:r>
      <w:r w:rsidRPr="00740A82">
        <w:rPr>
          <w:rStyle w:val="Refdenotaalpie"/>
          <w:rFonts w:ascii="Verdana" w:hAnsi="Verdana" w:cs="Arial"/>
          <w:lang w:val="es-ES_tradnl" w:eastAsia="es-MX"/>
        </w:rPr>
        <w:footnoteReference w:id="2"/>
      </w:r>
      <w:r w:rsidRPr="00740A82">
        <w:rPr>
          <w:rFonts w:ascii="Verdana" w:hAnsi="Verdana" w:cs="Arial"/>
          <w:lang w:val="es-ES_tradnl" w:eastAsia="es-MX"/>
        </w:rPr>
        <w:t>, que pueden ser del orden nacional, departamental o municipal, según su órgano de creación</w:t>
      </w:r>
      <w:r w:rsidRPr="00740A82">
        <w:rPr>
          <w:rStyle w:val="Refdenotaalpie"/>
          <w:rFonts w:ascii="Verdana" w:hAnsi="Verdana" w:cs="Arial"/>
          <w:lang w:val="es-ES_tradnl" w:eastAsia="es-MX"/>
        </w:rPr>
        <w:footnoteReference w:id="3"/>
      </w:r>
      <w:r w:rsidRPr="00740A82">
        <w:rPr>
          <w:rFonts w:ascii="Verdana" w:hAnsi="Verdana" w:cs="Arial"/>
          <w:lang w:val="es-ES_tradnl" w:eastAsia="es-MX"/>
        </w:rPr>
        <w:t xml:space="preserve">. </w:t>
      </w:r>
    </w:p>
    <w:p w14:paraId="29B4BBD8" w14:textId="77777777" w:rsidR="00BC5C61" w:rsidRPr="00740A82" w:rsidRDefault="00BC5C61" w:rsidP="00BC5C61">
      <w:pPr>
        <w:autoSpaceDE w:val="0"/>
        <w:autoSpaceDN w:val="0"/>
        <w:adjustRightInd w:val="0"/>
        <w:spacing w:after="120" w:line="276" w:lineRule="auto"/>
        <w:ind w:firstLine="708"/>
        <w:jc w:val="both"/>
        <w:rPr>
          <w:rFonts w:ascii="Verdana" w:hAnsi="Verdana" w:cs="Arial"/>
          <w:lang w:val="es-ES" w:eastAsia="es-MX"/>
        </w:rPr>
      </w:pPr>
      <w:r w:rsidRPr="00740A82">
        <w:rPr>
          <w:rFonts w:ascii="Verdana" w:hAnsi="Verdana" w:cs="Arial"/>
          <w:lang w:val="es-ES" w:eastAsia="es-MX"/>
        </w:rPr>
        <w:t xml:space="preserve">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740A82">
        <w:rPr>
          <w:rFonts w:ascii="Verdana" w:hAnsi="Verdana" w:cs="Arial"/>
          <w:lang w:val="es-ES" w:eastAsia="es-MX"/>
        </w:rPr>
        <w:t>ii</w:t>
      </w:r>
      <w:proofErr w:type="spellEnd"/>
      <w:r w:rsidRPr="00740A82">
        <w:rPr>
          <w:rFonts w:ascii="Verdana" w:hAnsi="Verdana" w:cs="Arial"/>
          <w:lang w:val="es-ES" w:eastAsia="es-MX"/>
        </w:rPr>
        <w:t xml:space="preserve">) están sujetas al control fiscal, financiero, de gestión y de resultados en cabeza de la Contraloría General de la República. Por otra parte, </w:t>
      </w:r>
      <w:proofErr w:type="spellStart"/>
      <w:r w:rsidRPr="00740A82">
        <w:rPr>
          <w:rFonts w:ascii="Verdana" w:hAnsi="Verdana" w:cs="Arial"/>
          <w:lang w:val="es-ES" w:eastAsia="es-MX"/>
        </w:rPr>
        <w:t>iii</w:t>
      </w:r>
      <w:proofErr w:type="spellEnd"/>
      <w:r w:rsidRPr="00740A82">
        <w:rPr>
          <w:rFonts w:ascii="Verdana" w:hAnsi="Verdana" w:cs="Arial"/>
          <w:lang w:val="es-ES" w:eastAsia="es-MX"/>
        </w:rPr>
        <w:t xml:space="preserve">) se someten al control político, que ejerce directamente el Congreso de la República. Además, </w:t>
      </w:r>
      <w:proofErr w:type="spellStart"/>
      <w:r w:rsidRPr="00740A82">
        <w:rPr>
          <w:rFonts w:ascii="Verdana" w:hAnsi="Verdana" w:cs="Arial"/>
          <w:lang w:val="es-ES" w:eastAsia="es-MX"/>
        </w:rPr>
        <w:t>iv</w:t>
      </w:r>
      <w:proofErr w:type="spellEnd"/>
      <w:r w:rsidRPr="00740A82">
        <w:rPr>
          <w:rFonts w:ascii="Verdana" w:hAnsi="Verdana" w:cs="Arial"/>
          <w:lang w:val="es-ES"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740A82">
        <w:rPr>
          <w:rFonts w:ascii="Verdana" w:hAnsi="Verdana" w:cs="Arial"/>
          <w:lang w:val="es-ES" w:eastAsia="es-MX"/>
        </w:rPr>
        <w:t>vii</w:t>
      </w:r>
      <w:proofErr w:type="spellEnd"/>
      <w:r w:rsidRPr="00740A82">
        <w:rPr>
          <w:rFonts w:ascii="Verdana" w:hAnsi="Verdana" w:cs="Arial"/>
          <w:lang w:val="es-ES" w:eastAsia="es-MX"/>
        </w:rPr>
        <w:t xml:space="preserve">) en materia presupuestal, las sociedades de economía mixta quedan sujetas a las reglas de la ley orgánica del presupuesto. De otro lado, </w:t>
      </w:r>
      <w:proofErr w:type="spellStart"/>
      <w:r w:rsidRPr="00740A82">
        <w:rPr>
          <w:rFonts w:ascii="Verdana" w:hAnsi="Verdana" w:cs="Arial"/>
          <w:lang w:val="es-ES" w:eastAsia="es-MX"/>
        </w:rPr>
        <w:t>viii</w:t>
      </w:r>
      <w:proofErr w:type="spellEnd"/>
      <w:r w:rsidRPr="00740A82">
        <w:rPr>
          <w:rFonts w:ascii="Verdana" w:hAnsi="Verdana" w:cs="Arial"/>
          <w:lang w:val="es-ES" w:eastAsia="es-MX"/>
        </w:rPr>
        <w:t xml:space="preserve">) en materia contable, quedan vinculadas a las reglas de contabilidad oficial. Finalmente, </w:t>
      </w:r>
      <w:proofErr w:type="spellStart"/>
      <w:r w:rsidRPr="00740A82">
        <w:rPr>
          <w:rFonts w:ascii="Verdana" w:hAnsi="Verdana" w:cs="Arial"/>
          <w:lang w:val="es-ES" w:eastAsia="es-MX"/>
        </w:rPr>
        <w:t>ix</w:t>
      </w:r>
      <w:proofErr w:type="spellEnd"/>
      <w:r w:rsidRPr="00740A82">
        <w:rPr>
          <w:rFonts w:ascii="Verdana" w:hAnsi="Verdana" w:cs="Arial"/>
          <w:lang w:val="es-ES" w:eastAsia="es-MX"/>
        </w:rPr>
        <w:t>) se rigen por el derecho privado, en virtud de la naturaleza de las actividades que desarrollan.</w:t>
      </w:r>
    </w:p>
    <w:p w14:paraId="1597073E" w14:textId="77777777" w:rsidR="00BC5C61" w:rsidRPr="00740A82" w:rsidRDefault="00BC5C61" w:rsidP="00BC5C61">
      <w:pPr>
        <w:spacing w:after="120" w:line="276" w:lineRule="auto"/>
        <w:ind w:firstLine="709"/>
        <w:jc w:val="both"/>
        <w:textAlignment w:val="baseline"/>
        <w:rPr>
          <w:rFonts w:ascii="Verdana" w:hAnsi="Verdana" w:cs="Arial"/>
          <w:lang w:val="es-ES_tradnl" w:eastAsia="es-MX"/>
        </w:rPr>
      </w:pPr>
      <w:r w:rsidRPr="00740A82">
        <w:rPr>
          <w:rFonts w:ascii="Verdana" w:hAnsi="Verdana" w:cs="Arial"/>
          <w:lang w:val="es-ES_tradnl" w:eastAsia="es-MX"/>
        </w:rPr>
        <w:lastRenderedPageBreak/>
        <w:t>Así mismo,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740A82">
        <w:rPr>
          <w:rStyle w:val="Refdenotaalpie"/>
          <w:rFonts w:ascii="Verdana" w:hAnsi="Verdana" w:cs="Arial"/>
          <w:lang w:val="es-ES_tradnl" w:eastAsia="es-MX"/>
        </w:rPr>
        <w:footnoteReference w:id="4"/>
      </w:r>
      <w:r w:rsidRPr="00740A82">
        <w:rPr>
          <w:rFonts w:ascii="Verdana" w:hAnsi="Verdana" w:cs="Arial"/>
          <w:lang w:val="es-ES_tradnl" w:eastAsia="es-MX"/>
        </w:rPr>
        <w:t>, más precisamente de la función administrativa</w:t>
      </w:r>
      <w:r w:rsidRPr="00740A82">
        <w:rPr>
          <w:rStyle w:val="Refdenotaalpie"/>
          <w:rFonts w:ascii="Verdana" w:hAnsi="Verdana" w:cs="Arial"/>
          <w:lang w:val="es-ES_tradnl" w:eastAsia="es-MX"/>
        </w:rPr>
        <w:footnoteReference w:id="5"/>
      </w:r>
      <w:r w:rsidRPr="00740A82">
        <w:rPr>
          <w:rFonts w:ascii="Verdana" w:hAnsi="Verdana" w:cs="Arial"/>
          <w:lang w:val="es-ES_tradnl" w:eastAsia="es-MX"/>
        </w:rPr>
        <w:t>, en virtud del aporte público en la constitución del capital social y la consiguiente pertenencia a la administración pública, en la condición de entidades descentralizadas.</w:t>
      </w:r>
    </w:p>
    <w:p w14:paraId="5DFD8AB9" w14:textId="77777777" w:rsidR="00BC5C61" w:rsidRPr="00740A82" w:rsidRDefault="00BC5C61" w:rsidP="00BC5C61">
      <w:pPr>
        <w:spacing w:line="276" w:lineRule="auto"/>
        <w:ind w:firstLine="709"/>
        <w:jc w:val="both"/>
        <w:textAlignment w:val="baseline"/>
        <w:rPr>
          <w:rFonts w:ascii="Verdana" w:hAnsi="Verdana" w:cs="Arial"/>
          <w:lang w:val="es-ES_tradnl" w:eastAsia="es-MX"/>
        </w:rPr>
      </w:pPr>
      <w:r w:rsidRPr="00740A82">
        <w:rPr>
          <w:rFonts w:ascii="Verdana" w:hAnsi="Verdana" w:cs="Arial"/>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14:paraId="62BFB3B2" w14:textId="77777777" w:rsidR="00BC5C61" w:rsidRPr="00740A82" w:rsidRDefault="00BC5C61" w:rsidP="00BC5C61">
      <w:pPr>
        <w:spacing w:before="120" w:after="120" w:line="276" w:lineRule="auto"/>
        <w:ind w:firstLine="709"/>
        <w:jc w:val="both"/>
        <w:textAlignment w:val="baseline"/>
        <w:rPr>
          <w:rFonts w:ascii="Verdana" w:hAnsi="Verdana" w:cs="Arial"/>
          <w:lang w:val="es-ES_tradnl" w:eastAsia="es-MX"/>
        </w:rPr>
      </w:pPr>
      <w:r w:rsidRPr="00740A82">
        <w:rPr>
          <w:rFonts w:ascii="Verdana" w:hAnsi="Verdana" w:cs="Arial"/>
          <w:lang w:val="es-ES_tradnl" w:eastAsia="es-MX"/>
        </w:rPr>
        <w:t>Ahora bien, en atención al primer problema jurídico planteado,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740A82">
        <w:rPr>
          <w:rStyle w:val="Refdenotaalpie"/>
          <w:rFonts w:ascii="Verdana" w:hAnsi="Verdana" w:cs="Arial"/>
          <w:lang w:val="es-ES_tradnl" w:eastAsia="es-MX"/>
        </w:rPr>
        <w:footnoteReference w:id="6"/>
      </w:r>
      <w:r w:rsidRPr="00740A82">
        <w:rPr>
          <w:rFonts w:ascii="Verdana" w:hAnsi="Verdana" w:cs="Arial"/>
          <w:lang w:val="es-ES_tradnl" w:eastAsia="es-MX"/>
        </w:rPr>
        <w:t xml:space="preserve">. Esto significa </w:t>
      </w:r>
      <w:r w:rsidRPr="00740A82">
        <w:rPr>
          <w:rFonts w:ascii="Verdana" w:hAnsi="Verdana" w:cs="Arial"/>
          <w:lang w:val="es-ES_tradnl" w:eastAsia="es-MX"/>
        </w:rPr>
        <w:lastRenderedPageBreak/>
        <w:t xml:space="preserve">que el legislador, en el año 1993, estableció que las sociedades de economía mixta donde el Estado tenga participación superior al cincuenta por ciento (50%) están sujetos al EGCAP. </w:t>
      </w:r>
    </w:p>
    <w:p w14:paraId="6F5DA15B" w14:textId="77777777" w:rsidR="00BC5C61" w:rsidRPr="00740A82" w:rsidRDefault="00BC5C61" w:rsidP="00BC5C61">
      <w:pPr>
        <w:spacing w:before="120" w:after="120" w:line="276" w:lineRule="auto"/>
        <w:ind w:firstLine="709"/>
        <w:jc w:val="both"/>
        <w:textAlignment w:val="baseline"/>
        <w:rPr>
          <w:rFonts w:ascii="Verdana" w:hAnsi="Verdana" w:cs="Arial"/>
          <w:lang w:val="es-ES_tradnl" w:eastAsia="es-MX"/>
        </w:rPr>
      </w:pPr>
      <w:r w:rsidRPr="00740A82">
        <w:rPr>
          <w:rFonts w:ascii="Verdana" w:hAnsi="Verdana" w:cs="Arial"/>
          <w:lang w:val="es-ES_tradnl" w:eastAsia="es-MX"/>
        </w:rPr>
        <w:t>Frente al particular, el Consejo de Estado, en el concepto 1127 del 10 de 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Pr="00740A82">
        <w:rPr>
          <w:rStyle w:val="Refdenotaalpie"/>
          <w:rFonts w:ascii="Verdana" w:hAnsi="Verdana" w:cs="Arial"/>
          <w:lang w:val="es-ES_tradnl" w:eastAsia="es-MX"/>
        </w:rPr>
        <w:footnoteReference w:id="7"/>
      </w:r>
      <w:r w:rsidRPr="00740A82">
        <w:rPr>
          <w:rFonts w:ascii="Verdana" w:hAnsi="Verdana" w:cs="Arial"/>
          <w:lang w:val="es-ES_tradnl" w:eastAsia="es-MX"/>
        </w:rPr>
        <w:t xml:space="preserve">. Es claro, entonces, que las sociedades de economía mixta con participación estatal superior al cincuenta por ciento (50%) se rigen en materia contractual por la Ley 80 de 1993, de acuerdo con la libertad de configuración del legislador en la materia. </w:t>
      </w:r>
    </w:p>
    <w:p w14:paraId="76041D43" w14:textId="77777777" w:rsidR="00BC5C61" w:rsidRPr="00740A82" w:rsidRDefault="00BC5C61" w:rsidP="00BC5C61">
      <w:pPr>
        <w:spacing w:before="120" w:after="0" w:line="276" w:lineRule="auto"/>
        <w:ind w:firstLine="709"/>
        <w:jc w:val="both"/>
        <w:textAlignment w:val="baseline"/>
        <w:rPr>
          <w:rFonts w:ascii="Verdana" w:eastAsia="Times New Roman" w:hAnsi="Verdana" w:cs="Arial"/>
          <w:lang w:val="es-ES" w:eastAsia="es-MX"/>
        </w:rPr>
      </w:pPr>
      <w:r w:rsidRPr="00740A82">
        <w:rPr>
          <w:rFonts w:ascii="Verdana" w:hAnsi="Verdana" w:cs="Arial"/>
          <w:lang w:val="es-ES" w:eastAsia="es-MX"/>
        </w:rPr>
        <w:t xml:space="preserve">No </w:t>
      </w:r>
      <w:proofErr w:type="gramStart"/>
      <w:r w:rsidRPr="00740A82">
        <w:rPr>
          <w:rFonts w:ascii="Verdana" w:hAnsi="Verdana" w:cs="Arial"/>
          <w:lang w:val="es-ES" w:eastAsia="es-MX"/>
        </w:rPr>
        <w:t>obstante</w:t>
      </w:r>
      <w:proofErr w:type="gramEnd"/>
      <w:r w:rsidRPr="00740A82">
        <w:rPr>
          <w:rFonts w:ascii="Verdana" w:hAnsi="Verdana" w:cs="Arial"/>
          <w:lang w:val="es-ES" w:eastAsia="es-MX"/>
        </w:rPr>
        <w:t xml:space="preserve"> lo anterior, actualmente, el artículo 14 de la Ley 1150 de 2007 – </w:t>
      </w:r>
      <w:r w:rsidRPr="00740A82">
        <w:rPr>
          <w:rFonts w:ascii="Verdana" w:eastAsia="Times New Roman" w:hAnsi="Verdana" w:cs="Arial"/>
          <w:lang w:val="es-ES" w:eastAsia="es-MX"/>
        </w:rPr>
        <w:t xml:space="preserve">modificado por el artículo 93 de la Ley 1474 de 2011 – establece el régimen contractual de las sociedades de economía mixta, en las que el Estado tenga participación superior al cincuenta por ciento (50%), señalando que: </w:t>
      </w:r>
    </w:p>
    <w:p w14:paraId="16E38143" w14:textId="77777777" w:rsidR="00BC5C61" w:rsidRPr="00740A82" w:rsidRDefault="00BC5C61" w:rsidP="00BC5C61">
      <w:pPr>
        <w:spacing w:after="0" w:line="276" w:lineRule="auto"/>
        <w:ind w:firstLine="709"/>
        <w:jc w:val="both"/>
        <w:textAlignment w:val="baseline"/>
        <w:rPr>
          <w:rFonts w:ascii="Verdana" w:eastAsia="Times New Roman" w:hAnsi="Verdana" w:cs="Arial"/>
          <w:lang w:val="es-ES_tradnl" w:eastAsia="es-MX"/>
        </w:rPr>
      </w:pPr>
    </w:p>
    <w:p w14:paraId="30E2ACCD" w14:textId="77777777" w:rsidR="00BC5C61" w:rsidRPr="00740A82" w:rsidRDefault="00BC5C61" w:rsidP="00BC5C61">
      <w:pPr>
        <w:spacing w:after="0" w:line="240" w:lineRule="auto"/>
        <w:ind w:left="709" w:right="709"/>
        <w:jc w:val="both"/>
        <w:textAlignment w:val="baseline"/>
        <w:rPr>
          <w:rFonts w:ascii="Verdana" w:eastAsia="Times New Roman" w:hAnsi="Verdana" w:cs="Arial"/>
          <w:sz w:val="20"/>
          <w:szCs w:val="20"/>
          <w:lang w:val="es-ES_tradnl" w:eastAsia="es-MX"/>
        </w:rPr>
      </w:pPr>
      <w:r w:rsidRPr="0022606C">
        <w:rPr>
          <w:rFonts w:ascii="Verdana" w:eastAsia="Times New Roman" w:hAnsi="Verdana" w:cs="Arial"/>
          <w:sz w:val="20"/>
          <w:szCs w:val="20"/>
          <w:lang w:val="es-ES_tradnl" w:eastAsia="es-MX"/>
        </w:rPr>
        <w:t>“Artículo 14. Del régimen contractual de las empresas industriales y comerciales del estado, las sociedades de economía mixta, sus filiales y empresas con participación mayoritaria del estado.</w:t>
      </w:r>
      <w:r w:rsidRPr="00740A82">
        <w:rPr>
          <w:rFonts w:ascii="Verdana" w:eastAsia="Times New Roman" w:hAnsi="Verdana" w:cs="Arial"/>
          <w:b/>
          <w:bCs/>
          <w:sz w:val="20"/>
          <w:szCs w:val="20"/>
          <w:lang w:val="es-ES_tradnl" w:eastAsia="es-MX"/>
        </w:rPr>
        <w:t xml:space="preserve"> </w:t>
      </w:r>
      <w:r w:rsidRPr="00740A82">
        <w:rPr>
          <w:rFonts w:ascii="Verdana" w:eastAsia="Times New Roman" w:hAnsi="Verdana" w:cs="Arial"/>
          <w:sz w:val="20"/>
          <w:szCs w:val="20"/>
          <w:lang w:val="es-ES_tradnl" w:eastAsia="es-MX"/>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030BF690" w14:textId="77777777" w:rsidR="00BC5C61" w:rsidRPr="00740A82" w:rsidRDefault="00BC5C61" w:rsidP="00BC5C61">
      <w:pPr>
        <w:spacing w:after="0" w:line="276" w:lineRule="auto"/>
        <w:ind w:firstLine="709"/>
        <w:jc w:val="both"/>
        <w:textAlignment w:val="baseline"/>
        <w:rPr>
          <w:rFonts w:ascii="Verdana" w:hAnsi="Verdana" w:cs="Arial"/>
          <w:lang w:val="es-ES_tradnl" w:eastAsia="es-MX"/>
        </w:rPr>
      </w:pPr>
    </w:p>
    <w:p w14:paraId="7CFEADBA" w14:textId="77777777" w:rsidR="00BC5C61" w:rsidRPr="00740A82" w:rsidRDefault="00BC5C61" w:rsidP="00BC5C61">
      <w:pPr>
        <w:spacing w:after="120" w:line="276" w:lineRule="auto"/>
        <w:ind w:firstLine="709"/>
        <w:jc w:val="both"/>
        <w:textAlignment w:val="baseline"/>
        <w:rPr>
          <w:rFonts w:ascii="Verdana" w:hAnsi="Verdana" w:cs="Arial"/>
          <w:lang w:val="es-ES_tradnl" w:eastAsia="es-MX"/>
        </w:rPr>
      </w:pPr>
      <w:r w:rsidRPr="00740A82">
        <w:rPr>
          <w:rFonts w:ascii="Verdana" w:hAnsi="Verdana" w:cs="Arial"/>
          <w:lang w:val="es-ES_tradnl" w:eastAsia="es-MX"/>
        </w:rPr>
        <w:t xml:space="preserve">El citado artículo, previó que las sociedades de economía mixta en las que el Estado tenga participación superior al cincuenta por ciento (50%) y sus filiales </w:t>
      </w:r>
      <w:r w:rsidRPr="00740A82">
        <w:rPr>
          <w:rFonts w:ascii="Verdana" w:hAnsi="Verdana" w:cs="Arial"/>
          <w:lang w:val="es-ES_tradnl" w:eastAsia="es-MX"/>
        </w:rPr>
        <w:lastRenderedPageBreak/>
        <w:t>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740A82">
        <w:rPr>
          <w:rStyle w:val="Refdenotaalpie"/>
          <w:rFonts w:ascii="Verdana" w:hAnsi="Verdana" w:cs="Arial"/>
          <w:lang w:val="es-ES_tradnl" w:eastAsia="es-MX"/>
        </w:rPr>
        <w:footnoteReference w:id="8"/>
      </w:r>
      <w:r w:rsidRPr="00740A82">
        <w:rPr>
          <w:rFonts w:ascii="Verdana" w:hAnsi="Verdana"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515BBA59" w14:textId="77777777" w:rsidR="00BC5C61" w:rsidRPr="00740A82" w:rsidRDefault="00BC5C61" w:rsidP="00BC5C61">
      <w:pPr>
        <w:pStyle w:val="NormalWeb"/>
        <w:spacing w:before="0" w:beforeAutospacing="0" w:after="120" w:afterAutospacing="0" w:line="276" w:lineRule="auto"/>
        <w:ind w:firstLine="709"/>
        <w:jc w:val="both"/>
        <w:rPr>
          <w:rFonts w:ascii="Verdana" w:eastAsia="Calibri" w:hAnsi="Verdana" w:cs="Arial"/>
          <w:color w:val="000000"/>
          <w:sz w:val="22"/>
          <w:szCs w:val="22"/>
          <w:lang w:val="es-ES_tradnl" w:eastAsia="es-ES_tradnl"/>
        </w:rPr>
      </w:pPr>
      <w:r w:rsidRPr="00740A82">
        <w:rPr>
          <w:rFonts w:ascii="Verdana" w:eastAsia="Calibri" w:hAnsi="Verdana" w:cs="Arial"/>
          <w:color w:val="000000"/>
          <w:sz w:val="22"/>
          <w:szCs w:val="22"/>
          <w:lang w:val="es-ES_tradnl" w:eastAsia="es-ES_tradnl"/>
        </w:rPr>
        <w:t>Ahora bien, con el fin de atender el objeto de su consulta, es necesario analizar lo dispuesto en el parágrafo único del artículo 97 de la Ley 489 de 1998, el cual señala: “</w:t>
      </w:r>
      <w:r w:rsidRPr="00740A82">
        <w:rPr>
          <w:rFonts w:ascii="Verdana" w:hAnsi="Verdana" w:cs="Arial"/>
          <w:sz w:val="22"/>
          <w:szCs w:val="22"/>
          <w:lang w:eastAsia="es-MX"/>
        </w:rPr>
        <w:t xml:space="preserve">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Sobre </w:t>
      </w:r>
      <w:proofErr w:type="spellStart"/>
      <w:r w:rsidRPr="00740A82">
        <w:rPr>
          <w:rFonts w:ascii="Verdana" w:hAnsi="Verdana" w:cs="Arial"/>
          <w:sz w:val="22"/>
          <w:szCs w:val="22"/>
          <w:lang w:eastAsia="es-MX"/>
        </w:rPr>
        <w:t>le</w:t>
      </w:r>
      <w:proofErr w:type="spellEnd"/>
      <w:r w:rsidRPr="00740A82">
        <w:rPr>
          <w:rFonts w:ascii="Verdana" w:hAnsi="Verdana" w:cs="Arial"/>
          <w:sz w:val="22"/>
          <w:szCs w:val="22"/>
          <w:lang w:eastAsia="es-MX"/>
        </w:rPr>
        <w:t xml:space="preserve"> particular, debe señalarse que, a juicio de esta Agencia,</w:t>
      </w:r>
      <w:r w:rsidRPr="00740A82">
        <w:rPr>
          <w:rFonts w:ascii="Verdana" w:eastAsia="Calibri" w:hAnsi="Verdana" w:cs="Arial"/>
          <w:color w:val="000000"/>
          <w:sz w:val="22"/>
          <w:szCs w:val="22"/>
          <w:lang w:val="es-ES_tradnl" w:eastAsia="es-ES_tradnl"/>
        </w:rPr>
        <w:t xml:space="preserve"> el artículo 14 de la Ley 1150 de 2007, en el cual se establece el régimen contractual de las sociedades de economía mixta se complementa, sin entrar en contradicción alguna, con lo dispuesto en el parágrafo del artículo 97 de la Ley 489 de 1998. </w:t>
      </w:r>
    </w:p>
    <w:p w14:paraId="4708C9F7" w14:textId="77777777" w:rsidR="00BC5C61" w:rsidRPr="00740A82" w:rsidRDefault="00BC5C61" w:rsidP="00BC5C61">
      <w:pPr>
        <w:pStyle w:val="NormalWeb"/>
        <w:spacing w:before="0" w:beforeAutospacing="0" w:after="120" w:afterAutospacing="0" w:line="276" w:lineRule="auto"/>
        <w:ind w:firstLine="709"/>
        <w:jc w:val="both"/>
        <w:rPr>
          <w:rFonts w:ascii="Verdana" w:hAnsi="Verdana" w:cs="Arial"/>
          <w:sz w:val="22"/>
          <w:szCs w:val="22"/>
          <w:lang w:eastAsia="es-MX"/>
        </w:rPr>
      </w:pPr>
      <w:r w:rsidRPr="00740A82">
        <w:rPr>
          <w:rFonts w:ascii="Verdana" w:eastAsia="Calibri" w:hAnsi="Verdana" w:cs="Arial"/>
          <w:color w:val="000000"/>
          <w:sz w:val="22"/>
          <w:szCs w:val="22"/>
          <w:lang w:val="es-ES_tradnl" w:eastAsia="es-ES_tradnl"/>
        </w:rPr>
        <w:t xml:space="preserve">Lo anterior, en la medida que el parágrafo citado remite al régimen de las actividades y los servidores públicos de las empresas industriales y comerciales en aquellos eventos en los que </w:t>
      </w:r>
      <w:r w:rsidRPr="00740A82">
        <w:rPr>
          <w:rFonts w:ascii="Verdana" w:hAnsi="Verdana" w:cs="Arial"/>
          <w:sz w:val="22"/>
          <w:szCs w:val="22"/>
          <w:lang w:eastAsia="es-MX"/>
        </w:rPr>
        <w:t xml:space="preserve">las sociedades de economía mixta tienen un aporte de la Nación, de entidades territoriales y de entidades descentralizadas, igual o superior al noventa (90%) del capital social. Tal como se infiere del artículo 14 de la Ley 1150 de 2007 tratándose del régimen jurídico aplicable en materia de contratos aplican las mismas reglas tanto para empresas industriales </w:t>
      </w:r>
      <w:r w:rsidRPr="00740A82">
        <w:rPr>
          <w:rFonts w:ascii="Verdana" w:hAnsi="Verdana" w:cs="Arial"/>
          <w:sz w:val="22"/>
          <w:szCs w:val="22"/>
          <w:lang w:eastAsia="es-MX"/>
        </w:rPr>
        <w:lastRenderedPageBreak/>
        <w:t>y comerciales del Estado como para sociedades de economía mixta en las que el Estado tenga una participación mayor al cincuenta por ciento (50%).</w:t>
      </w:r>
    </w:p>
    <w:p w14:paraId="3738D635" w14:textId="77777777" w:rsidR="00BC5C61" w:rsidRPr="00740A82" w:rsidRDefault="00BC5C61" w:rsidP="00BC5C61">
      <w:pPr>
        <w:pStyle w:val="NormalWeb"/>
        <w:spacing w:before="0" w:beforeAutospacing="0" w:after="120" w:afterAutospacing="0" w:line="276" w:lineRule="auto"/>
        <w:ind w:firstLine="709"/>
        <w:jc w:val="both"/>
        <w:rPr>
          <w:rFonts w:ascii="Verdana" w:hAnsi="Verdana" w:cs="Arial"/>
          <w:sz w:val="22"/>
          <w:szCs w:val="22"/>
          <w:lang w:val="es-ES_tradnl" w:eastAsia="es-MX"/>
        </w:rPr>
      </w:pPr>
      <w:r w:rsidRPr="00740A82">
        <w:rPr>
          <w:rFonts w:ascii="Verdana" w:hAnsi="Verdana" w:cs="Arial"/>
          <w:sz w:val="22"/>
          <w:szCs w:val="22"/>
          <w:lang w:eastAsia="es-MX"/>
        </w:rPr>
        <w:t xml:space="preserve">De lo expuesto, se concluye que, </w:t>
      </w:r>
      <w:r w:rsidRPr="00740A82">
        <w:rPr>
          <w:rFonts w:ascii="Verdana" w:hAnsi="Verdana" w:cs="Arial"/>
          <w:sz w:val="22"/>
          <w:szCs w:val="22"/>
          <w:lang w:val="es-ES_tradnl" w:eastAsia="es-MX"/>
        </w:rPr>
        <w:t xml:space="preserve">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aquellas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 La misma conclusión se aplica para aquellas en las que el capital estatal sea mayor al noventa por ciento (90%). </w:t>
      </w:r>
    </w:p>
    <w:p w14:paraId="1A7E820D" w14:textId="77777777" w:rsidR="00BC5C61" w:rsidRPr="00740A82" w:rsidRDefault="00BC5C61" w:rsidP="00BC5C61">
      <w:pPr>
        <w:pStyle w:val="NormalWeb"/>
        <w:spacing w:before="0" w:beforeAutospacing="0" w:after="120" w:afterAutospacing="0" w:line="276" w:lineRule="auto"/>
        <w:ind w:firstLine="709"/>
        <w:jc w:val="both"/>
        <w:rPr>
          <w:rFonts w:ascii="Verdana" w:hAnsi="Verdana" w:cs="Arial"/>
          <w:sz w:val="22"/>
          <w:szCs w:val="22"/>
        </w:rPr>
      </w:pPr>
      <w:r w:rsidRPr="00740A82">
        <w:rPr>
          <w:rFonts w:ascii="Verdana" w:eastAsia="Calibri" w:hAnsi="Verdana" w:cs="Arial"/>
          <w:color w:val="000000"/>
          <w:sz w:val="22"/>
          <w:szCs w:val="22"/>
          <w:lang w:val="es-ES_tradnl" w:eastAsia="es-ES_tradnl"/>
        </w:rPr>
        <w:t>Analizada la naturaleza</w:t>
      </w:r>
      <w:r w:rsidRPr="00740A82">
        <w:rPr>
          <w:rFonts w:ascii="Verdana" w:hAnsi="Verdana" w:cs="Arial"/>
          <w:color w:val="1A1A1A"/>
          <w:sz w:val="22"/>
          <w:szCs w:val="22"/>
          <w:lang w:eastAsia="es-ES_tradnl"/>
        </w:rPr>
        <w:t xml:space="preserve"> jurídica y régimen contractual de las sociedades de economía mixta, corresponde entrar a estudiar </w:t>
      </w:r>
      <w:r w:rsidRPr="00740A82">
        <w:rPr>
          <w:rFonts w:ascii="Verdana" w:eastAsia="Calibri" w:hAnsi="Verdana" w:cs="Arial"/>
          <w:color w:val="000000"/>
          <w:sz w:val="22"/>
          <w:szCs w:val="22"/>
          <w:lang w:val="es-ES_tradnl" w:eastAsia="es-ES_tradnl"/>
        </w:rPr>
        <w:t xml:space="preserve">posibilidad que estás celebren contratos o convenios interadministrativos para ejecutar obras y si estos pueden celebrarse de manera directa, con el fin de dar respuesta a los problemas jurídicos planteados. </w:t>
      </w:r>
    </w:p>
    <w:p w14:paraId="024FFB8D" w14:textId="77777777" w:rsidR="00BC5C61" w:rsidRPr="00740A82" w:rsidRDefault="00BC5C61" w:rsidP="00BC5C61">
      <w:pPr>
        <w:spacing w:after="120" w:line="276" w:lineRule="auto"/>
        <w:ind w:firstLine="709"/>
        <w:jc w:val="both"/>
        <w:rPr>
          <w:rFonts w:ascii="Verdana" w:eastAsia="Calibri" w:hAnsi="Verdana" w:cs="Arial"/>
          <w:color w:val="000000" w:themeColor="text1"/>
        </w:rPr>
      </w:pPr>
      <w:proofErr w:type="spellStart"/>
      <w:r w:rsidRPr="00740A82">
        <w:rPr>
          <w:rFonts w:ascii="Verdana" w:eastAsia="Calibri" w:hAnsi="Verdana" w:cs="Arial"/>
          <w:color w:val="000000" w:themeColor="text1"/>
        </w:rPr>
        <w:t>ii</w:t>
      </w:r>
      <w:proofErr w:type="spellEnd"/>
      <w:r w:rsidRPr="00740A82">
        <w:rPr>
          <w:rFonts w:ascii="Verdana" w:eastAsia="Calibri" w:hAnsi="Verdana" w:cs="Arial"/>
          <w:color w:val="000000" w:themeColor="text1"/>
        </w:rPr>
        <w:t>) Sobre la tipología de convenio o contrato interadministrativo, conviene señalar que este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40A82">
        <w:rPr>
          <w:rStyle w:val="Refdenotaalpie"/>
          <w:rFonts w:ascii="Verdana" w:eastAsia="Calibri" w:hAnsi="Verdana" w:cs="Arial"/>
          <w:color w:val="000000" w:themeColor="text1"/>
        </w:rPr>
        <w:footnoteReference w:id="9"/>
      </w:r>
      <w:r w:rsidRPr="00740A82">
        <w:rPr>
          <w:rFonts w:ascii="Verdana" w:eastAsia="Calibri" w:hAnsi="Verdana" w:cs="Arial"/>
          <w:color w:val="000000" w:themeColor="text1"/>
        </w:rPr>
        <w:t>.</w:t>
      </w:r>
      <w:r w:rsidRPr="00740A82">
        <w:rPr>
          <w:rFonts w:ascii="Verdana" w:hAnsi="Verdana" w:cs="Arial"/>
          <w:color w:val="000000" w:themeColor="text1"/>
        </w:rPr>
        <w:t xml:space="preserve"> </w:t>
      </w:r>
      <w:r w:rsidRPr="00740A82">
        <w:rPr>
          <w:rFonts w:ascii="Verdana" w:eastAsia="Calibri" w:hAnsi="Verdana" w:cs="Arial"/>
          <w:color w:val="000000" w:themeColor="text1"/>
        </w:rPr>
        <w:t xml:space="preserve">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w:t>
      </w:r>
      <w:r w:rsidRPr="00740A82">
        <w:rPr>
          <w:rFonts w:ascii="Verdana" w:eastAsia="Calibri" w:hAnsi="Verdana" w:cs="Arial"/>
          <w:color w:val="000000" w:themeColor="text1"/>
        </w:rPr>
        <w:lastRenderedPageBreak/>
        <w:t>extremos de la relación contractual sean Entidades Estatales con competencia para celebrar contratos.</w:t>
      </w:r>
    </w:p>
    <w:p w14:paraId="517206FF" w14:textId="77777777" w:rsidR="00BC5C61" w:rsidRPr="00740A82" w:rsidRDefault="00BC5C61" w:rsidP="00BC5C61">
      <w:pPr>
        <w:spacing w:after="120" w:line="276" w:lineRule="auto"/>
        <w:ind w:firstLine="709"/>
        <w:jc w:val="both"/>
        <w:rPr>
          <w:rFonts w:ascii="Verdana" w:hAnsi="Verdana" w:cs="Arial"/>
          <w:color w:val="000000" w:themeColor="text1"/>
          <w:lang w:val="es-ES_tradnl"/>
        </w:rPr>
      </w:pPr>
      <w:r w:rsidRPr="00740A82">
        <w:rPr>
          <w:rFonts w:ascii="Verdana" w:eastAsia="Calibri"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1E833603" w14:textId="77777777" w:rsidR="00BC5C61" w:rsidRPr="00740A82" w:rsidRDefault="00BC5C61" w:rsidP="00BC5C61">
      <w:pPr>
        <w:spacing w:after="120" w:line="276" w:lineRule="auto"/>
        <w:ind w:firstLine="709"/>
        <w:jc w:val="both"/>
        <w:rPr>
          <w:rFonts w:ascii="Verdana" w:eastAsia="Calibri" w:hAnsi="Verdana" w:cs="Arial"/>
          <w:color w:val="000000" w:themeColor="text1"/>
          <w:lang w:val="es-ES_tradnl"/>
        </w:rPr>
      </w:pPr>
      <w:r w:rsidRPr="00740A82">
        <w:rPr>
          <w:rFonts w:ascii="Verdana" w:eastAsia="Calibri" w:hAnsi="Verdana" w:cs="Arial"/>
          <w:color w:val="000000" w:themeColor="text1"/>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 las cuales se analizarán más adelante – deba adelantarse un procedimiento susceptible de pluralidad de oferentes</w:t>
      </w:r>
      <w:r w:rsidRPr="00740A82">
        <w:rPr>
          <w:rStyle w:val="Refdenotaalpie"/>
          <w:rFonts w:ascii="Verdana" w:eastAsia="Calibri" w:hAnsi="Verdana" w:cs="Arial"/>
          <w:color w:val="000000" w:themeColor="text1"/>
          <w:lang w:val="es-ES_tradnl"/>
        </w:rPr>
        <w:footnoteReference w:id="10"/>
      </w:r>
      <w:r w:rsidRPr="00740A82">
        <w:rPr>
          <w:rFonts w:ascii="Verdana" w:eastAsia="Calibri" w:hAnsi="Verdana" w:cs="Arial"/>
          <w:color w:val="000000" w:themeColor="text1"/>
          <w:lang w:val="es-ES_tradnl"/>
        </w:rPr>
        <w:t>. Nótese que, en este caso, lo que cambia es la modalidad de selección y no la naturaleza de contrato interadministrativo.</w:t>
      </w:r>
    </w:p>
    <w:p w14:paraId="2ABBE59C" w14:textId="77777777" w:rsidR="00BC5C61" w:rsidRPr="00740A82" w:rsidRDefault="00BC5C61" w:rsidP="00BC5C61">
      <w:pPr>
        <w:spacing w:after="120" w:line="276" w:lineRule="auto"/>
        <w:ind w:firstLine="709"/>
        <w:jc w:val="both"/>
        <w:rPr>
          <w:rFonts w:ascii="Verdana" w:eastAsia="Calibri" w:hAnsi="Verdana" w:cs="Arial"/>
          <w:color w:val="000000" w:themeColor="text1"/>
          <w:lang w:val="es-ES_tradnl"/>
        </w:rPr>
      </w:pPr>
      <w:r w:rsidRPr="00740A82">
        <w:rPr>
          <w:rFonts w:ascii="Verdana" w:eastAsia="Calibri" w:hAnsi="Verdana" w:cs="Arial"/>
          <w:color w:val="000000" w:themeColor="text1"/>
          <w:lang w:val="es-ES_tradnl"/>
        </w:rPr>
        <w:t>Así las cosas, atendiendo a la literalidad de las normas enunciadas, no cabe una interpretación diferente</w:t>
      </w:r>
      <w:r w:rsidRPr="00740A82">
        <w:rPr>
          <w:rStyle w:val="Refdenotaalpie"/>
          <w:rFonts w:ascii="Verdana" w:hAnsi="Verdana" w:cs="Arial"/>
          <w:color w:val="000000" w:themeColor="text1"/>
          <w:lang w:val="es-ES_tradnl"/>
        </w:rPr>
        <w:footnoteReference w:id="11"/>
      </w:r>
      <w:r w:rsidRPr="00740A82">
        <w:rPr>
          <w:rFonts w:ascii="Verdana" w:eastAsia="Calibri" w:hAnsi="Verdana" w:cs="Arial"/>
          <w:color w:val="000000" w:themeColor="text1"/>
          <w:lang w:val="es-ES_tradnl"/>
        </w:rPr>
        <w:t xml:space="preserve">,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w:t>
      </w:r>
    </w:p>
    <w:p w14:paraId="05646752" w14:textId="77777777" w:rsidR="00BC5C61" w:rsidRPr="00740A82" w:rsidRDefault="00BC5C61" w:rsidP="00BC5C61">
      <w:pPr>
        <w:spacing w:after="120" w:line="276" w:lineRule="auto"/>
        <w:jc w:val="both"/>
        <w:rPr>
          <w:rFonts w:ascii="Verdana" w:eastAsia="Calibri" w:hAnsi="Verdana" w:cs="Arial"/>
          <w:color w:val="000000" w:themeColor="text1"/>
        </w:rPr>
      </w:pPr>
      <w:r w:rsidRPr="00740A82">
        <w:rPr>
          <w:rFonts w:ascii="Verdana" w:hAnsi="Verdana" w:cs="Arial"/>
        </w:rPr>
        <w:tab/>
        <w:t>Ahora bien, debe señalarse, e</w:t>
      </w:r>
      <w:r w:rsidRPr="00740A82">
        <w:rPr>
          <w:rFonts w:ascii="Verdana" w:eastAsia="Calibri" w:hAnsi="Verdana" w:cs="Arial"/>
          <w:color w:val="000000" w:themeColor="text1"/>
        </w:rPr>
        <w:t xml:space="preserve">n relación con la modalidad de selección aplicable a la celebración de contratos interadministrativos, que la Ley 1150 de 2007 establece que las Entidades Estatales pueden suscribirlos de manera </w:t>
      </w:r>
      <w:r w:rsidRPr="00740A82">
        <w:rPr>
          <w:rFonts w:ascii="Verdana" w:eastAsia="Calibri" w:hAnsi="Verdana" w:cs="Arial"/>
          <w:color w:val="000000" w:themeColor="text1"/>
        </w:rPr>
        <w:lastRenderedPageBreak/>
        <w:t xml:space="preserve">directa, siempre que las obligaciones derivadas de los mismos tengan relación con el objeto de la entidad ejecutora. En ese sentido, atendiendo a su consulta, se resalta la importancia de que el convenio o contrato interadministrativo a celebrar tenga relación con el objeto de la entidad que lo va a ejecutar para que proceda su celebración bajo la modalidad de contratación directa. </w:t>
      </w:r>
    </w:p>
    <w:p w14:paraId="77DC5980" w14:textId="77777777" w:rsidR="00BC5C61" w:rsidRPr="00740A82" w:rsidRDefault="00BC5C61" w:rsidP="00BC5C61">
      <w:pPr>
        <w:spacing w:after="0" w:line="276" w:lineRule="auto"/>
        <w:ind w:firstLine="708"/>
        <w:jc w:val="both"/>
        <w:rPr>
          <w:rFonts w:ascii="Verdana" w:eastAsia="Calibri" w:hAnsi="Verdana" w:cs="Arial"/>
          <w:color w:val="000000" w:themeColor="text1"/>
          <w:lang w:val="es-ES_tradnl"/>
        </w:rPr>
      </w:pPr>
      <w:r w:rsidRPr="00740A82">
        <w:rPr>
          <w:rFonts w:ascii="Verdana" w:eastAsia="Calibri" w:hAnsi="Verdana" w:cs="Arial"/>
          <w:color w:val="000000" w:themeColor="text1"/>
        </w:rPr>
        <w:t xml:space="preserve">Sin embargo, esa misma ley establece excepciones concretas a esta facultad, aplicable a los supuestos en que ciertas tipologías contractuales sean ejecutadas por alguna de las Entidades Estatales enlistadas en dicha restricción. De esta manera, el </w:t>
      </w:r>
      <w:bookmarkStart w:id="4" w:name="_Hlk175506473"/>
      <w:r w:rsidRPr="00740A82">
        <w:rPr>
          <w:rFonts w:ascii="Verdana" w:eastAsia="Calibri" w:hAnsi="Verdana" w:cs="Arial"/>
          <w:color w:val="000000" w:themeColor="text1"/>
        </w:rPr>
        <w:t xml:space="preserve">artículo 2, numeral 4, literal c), de la mencionada ley – modificado por el artículo 92 de la Ley 1474 de 2011 </w:t>
      </w:r>
      <w:bookmarkEnd w:id="4"/>
      <w:r w:rsidRPr="00740A82">
        <w:rPr>
          <w:rFonts w:ascii="Verdana" w:eastAsia="Calibri" w:hAnsi="Verdana" w:cs="Arial"/>
          <w:color w:val="000000" w:themeColor="text1"/>
        </w:rPr>
        <w:t>– estableció lo siguiente:</w:t>
      </w:r>
    </w:p>
    <w:p w14:paraId="5B6283DA" w14:textId="77777777" w:rsidR="00BC5C61" w:rsidRPr="00740A82" w:rsidRDefault="00BC5C61" w:rsidP="00BC5C61">
      <w:pPr>
        <w:pStyle w:val="Prrafodelista"/>
        <w:spacing w:after="0" w:line="276" w:lineRule="auto"/>
        <w:contextualSpacing w:val="0"/>
        <w:rPr>
          <w:rFonts w:ascii="Verdana" w:eastAsia="Calibri" w:hAnsi="Verdana" w:cs="Arial"/>
          <w:color w:val="000000" w:themeColor="text1"/>
          <w:lang w:val="es-ES_tradnl"/>
        </w:rPr>
      </w:pPr>
    </w:p>
    <w:p w14:paraId="6D6921E0" w14:textId="77777777" w:rsidR="00BC5C61" w:rsidRPr="00740A82" w:rsidRDefault="00BC5C61" w:rsidP="00BC5C61">
      <w:pPr>
        <w:pStyle w:val="NormalWeb"/>
        <w:spacing w:before="0" w:beforeAutospacing="0" w:after="0" w:afterAutospacing="0"/>
        <w:ind w:left="709" w:right="709"/>
        <w:jc w:val="both"/>
        <w:rPr>
          <w:rFonts w:ascii="Verdana" w:hAnsi="Verdana" w:cs="Arial"/>
          <w:sz w:val="20"/>
          <w:szCs w:val="20"/>
        </w:rPr>
      </w:pPr>
      <w:bookmarkStart w:id="5" w:name="92"/>
      <w:r w:rsidRPr="00740A82">
        <w:rPr>
          <w:rFonts w:ascii="Verdana" w:hAnsi="Verdana" w:cs="Arial"/>
          <w:sz w:val="20"/>
          <w:szCs w:val="20"/>
        </w:rPr>
        <w:t>“Artículo 92. Contratos interadministrativos.</w:t>
      </w:r>
      <w:bookmarkEnd w:id="5"/>
      <w:r w:rsidRPr="00740A82">
        <w:rPr>
          <w:rFonts w:ascii="Verdana" w:hAnsi="Verdana" w:cs="Arial"/>
          <w:sz w:val="20"/>
          <w:szCs w:val="20"/>
        </w:rPr>
        <w:t xml:space="preserve"> Modificase el inciso primero del literal c) del numeral 4 del artículo </w:t>
      </w:r>
      <w:hyperlink r:id="rId12" w:anchor="2" w:history="1">
        <w:r w:rsidRPr="00740A82">
          <w:rPr>
            <w:rStyle w:val="Hipervnculo"/>
            <w:rFonts w:ascii="Verdana" w:eastAsiaTheme="majorEastAsia" w:hAnsi="Verdana" w:cs="Arial"/>
            <w:color w:val="auto"/>
            <w:sz w:val="20"/>
            <w:szCs w:val="20"/>
            <w:u w:val="none"/>
          </w:rPr>
          <w:t>2</w:t>
        </w:r>
      </w:hyperlink>
      <w:r w:rsidRPr="00740A82">
        <w:rPr>
          <w:rFonts w:ascii="Verdana" w:hAnsi="Verdana" w:cs="Arial"/>
          <w:sz w:val="20"/>
          <w:szCs w:val="20"/>
        </w:rPr>
        <w:t>o de la Ley 1150 de 2007, el cual quedará así:</w:t>
      </w:r>
    </w:p>
    <w:p w14:paraId="75458CDA" w14:textId="77777777" w:rsidR="00BC5C61" w:rsidRPr="00740A82" w:rsidRDefault="00BC5C61" w:rsidP="00BC5C61">
      <w:pPr>
        <w:pStyle w:val="NormalWeb"/>
        <w:spacing w:before="0" w:beforeAutospacing="0" w:after="0" w:afterAutospacing="0"/>
        <w:ind w:left="709" w:right="709"/>
        <w:jc w:val="both"/>
        <w:rPr>
          <w:rFonts w:ascii="Verdana" w:hAnsi="Verdana" w:cs="Arial"/>
          <w:sz w:val="20"/>
          <w:szCs w:val="20"/>
        </w:rPr>
      </w:pPr>
    </w:p>
    <w:p w14:paraId="0839786A" w14:textId="77777777" w:rsidR="00BC5C61" w:rsidRPr="00740A82" w:rsidRDefault="00BC5C61" w:rsidP="00BC5C61">
      <w:pPr>
        <w:pStyle w:val="NormalWeb"/>
        <w:spacing w:before="0" w:beforeAutospacing="0" w:after="0" w:afterAutospacing="0"/>
        <w:ind w:left="709" w:right="709"/>
        <w:jc w:val="both"/>
        <w:rPr>
          <w:rFonts w:ascii="Verdana" w:hAnsi="Verdana" w:cs="Arial"/>
          <w:sz w:val="20"/>
          <w:szCs w:val="20"/>
        </w:rPr>
      </w:pPr>
      <w:r w:rsidRPr="00740A82">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1FCD3FAB" w14:textId="77777777" w:rsidR="00BC5C61" w:rsidRPr="00740A82" w:rsidRDefault="00BC5C61" w:rsidP="00BC5C61">
      <w:pPr>
        <w:pStyle w:val="NormalWeb"/>
        <w:spacing w:before="0" w:beforeAutospacing="0" w:after="0" w:afterAutospacing="0"/>
        <w:ind w:left="709" w:right="709"/>
        <w:jc w:val="both"/>
        <w:rPr>
          <w:rFonts w:ascii="Verdana" w:hAnsi="Verdana" w:cs="Arial"/>
          <w:sz w:val="20"/>
          <w:szCs w:val="20"/>
        </w:rPr>
      </w:pPr>
    </w:p>
    <w:p w14:paraId="20104FB3" w14:textId="77777777" w:rsidR="00BC5C61" w:rsidRPr="00740A82" w:rsidRDefault="00BC5C61" w:rsidP="00BC5C61">
      <w:pPr>
        <w:pStyle w:val="NormalWeb"/>
        <w:spacing w:before="0" w:beforeAutospacing="0" w:after="0" w:afterAutospacing="0"/>
        <w:ind w:left="709" w:right="709"/>
        <w:jc w:val="both"/>
        <w:rPr>
          <w:rFonts w:ascii="Verdana" w:hAnsi="Verdana" w:cs="Arial"/>
          <w:sz w:val="20"/>
          <w:szCs w:val="20"/>
        </w:rPr>
      </w:pPr>
      <w:r w:rsidRPr="00740A82">
        <w:rPr>
          <w:rFonts w:ascii="Verdana" w:hAnsi="Verdana" w:cs="Arial"/>
          <w:sz w:val="20"/>
          <w:szCs w:val="20"/>
        </w:rPr>
        <w:t xml:space="preserve">Se exceptúan los </w:t>
      </w:r>
      <w:r w:rsidRPr="00740A82">
        <w:rPr>
          <w:rFonts w:ascii="Verdana" w:hAnsi="Verdana" w:cs="Arial"/>
          <w:i/>
          <w:iCs/>
          <w:sz w:val="20"/>
          <w:szCs w:val="20"/>
        </w:rPr>
        <w:t>contratos de obra</w:t>
      </w:r>
      <w:r w:rsidRPr="00740A82">
        <w:rPr>
          <w:rFonts w:ascii="Verdana" w:hAnsi="Verdana" w:cs="Arial"/>
          <w:sz w:val="20"/>
          <w:szCs w:val="20"/>
        </w:rPr>
        <w:t xml:space="preserve">, suministro, prestación de servicios de evaluación de conformidad respecto de las normas o reglamentos técnicos, encargos fiduciarios y fiducia pública cuando las instituciones de educación superior públicas o las </w:t>
      </w:r>
      <w:r w:rsidRPr="00740A82">
        <w:rPr>
          <w:rFonts w:ascii="Verdana" w:hAnsi="Verdana" w:cs="Arial"/>
          <w:i/>
          <w:iCs/>
          <w:sz w:val="20"/>
          <w:szCs w:val="20"/>
        </w:rPr>
        <w:t>Sociedades de Economía Mixta con participación mayoritaria del Estado</w:t>
      </w:r>
      <w:r w:rsidRPr="00740A82">
        <w:rPr>
          <w:rFonts w:ascii="Verdana" w:hAnsi="Verdana" w:cs="Arial"/>
          <w:sz w:val="20"/>
          <w:szCs w:val="20"/>
        </w:rPr>
        <w:t>,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[Énfasis fuera del texto original].</w:t>
      </w:r>
    </w:p>
    <w:p w14:paraId="2CCE51EE" w14:textId="77777777" w:rsidR="00BC5C61" w:rsidRPr="00740A82" w:rsidRDefault="00BC5C61" w:rsidP="00BC5C61">
      <w:pPr>
        <w:pStyle w:val="NormalWeb"/>
        <w:spacing w:before="0" w:beforeAutospacing="0" w:after="0" w:afterAutospacing="0" w:line="276" w:lineRule="auto"/>
        <w:ind w:left="346"/>
        <w:jc w:val="both"/>
        <w:rPr>
          <w:rFonts w:ascii="Verdana" w:hAnsi="Verdana" w:cs="Arial"/>
          <w:sz w:val="22"/>
          <w:szCs w:val="22"/>
        </w:rPr>
      </w:pPr>
    </w:p>
    <w:p w14:paraId="0229F161" w14:textId="77777777" w:rsidR="00BC5C61" w:rsidRPr="00740A82" w:rsidRDefault="00BC5C61" w:rsidP="00BC5C61">
      <w:pPr>
        <w:spacing w:after="120" w:line="276" w:lineRule="auto"/>
        <w:ind w:firstLine="709"/>
        <w:jc w:val="both"/>
        <w:rPr>
          <w:rFonts w:ascii="Verdana" w:eastAsia="Calibri" w:hAnsi="Verdana" w:cs="Arial"/>
          <w:color w:val="000000" w:themeColor="text1"/>
          <w:lang w:val="es-ES_tradnl"/>
        </w:rPr>
      </w:pPr>
      <w:bookmarkStart w:id="6" w:name="_Hlk175506461"/>
      <w:r w:rsidRPr="00740A82">
        <w:rPr>
          <w:rFonts w:ascii="Verdana" w:eastAsia="Calibri" w:hAnsi="Verdana" w:cs="Arial"/>
          <w:color w:val="000000" w:themeColor="text1"/>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bookmarkEnd w:id="6"/>
    <w:p w14:paraId="1E1DC884" w14:textId="77777777" w:rsidR="00BC5C61" w:rsidRPr="00740A82" w:rsidRDefault="00BC5C61" w:rsidP="00BC5C61">
      <w:pPr>
        <w:spacing w:after="120" w:line="276" w:lineRule="auto"/>
        <w:ind w:firstLine="709"/>
        <w:jc w:val="both"/>
        <w:rPr>
          <w:rFonts w:ascii="Verdana" w:eastAsia="Calibri" w:hAnsi="Verdana" w:cs="Arial"/>
          <w:color w:val="000000" w:themeColor="text1"/>
          <w:lang w:val="es-ES_tradnl"/>
        </w:rPr>
      </w:pPr>
      <w:r w:rsidRPr="00740A82">
        <w:rPr>
          <w:rFonts w:ascii="Verdana" w:eastAsia="Calibri" w:hAnsi="Verdana" w:cs="Arial"/>
          <w:color w:val="000000" w:themeColor="text1"/>
          <w:lang w:val="es-ES_tradnl"/>
        </w:rPr>
        <w:t xml:space="preserve">De otro lado, para efectos de responder su consulta, se encuentra que el inciso segundo establece una limitación a la contratación directa mediante la </w:t>
      </w:r>
      <w:r w:rsidRPr="00740A82">
        <w:rPr>
          <w:rFonts w:ascii="Verdana" w:eastAsia="Calibri" w:hAnsi="Verdana" w:cs="Arial"/>
          <w:color w:val="000000" w:themeColor="text1"/>
          <w:lang w:val="es-ES_tradnl"/>
        </w:rPr>
        <w:lastRenderedPageBreak/>
        <w:t xml:space="preserve">causal del literal c) – transcrito anteriormente – dirigido a las “instituciones de educación superior públicas o </w:t>
      </w:r>
      <w:r w:rsidRPr="00740A82">
        <w:rPr>
          <w:rFonts w:ascii="Verdana" w:eastAsia="Calibri" w:hAnsi="Verdana" w:cs="Arial"/>
          <w:i/>
          <w:iCs/>
          <w:color w:val="000000" w:themeColor="text1"/>
          <w:lang w:val="es-ES_tradnl"/>
        </w:rPr>
        <w:t>las Sociedades de Economía Mixta con participación mayoritaria del Estado</w:t>
      </w:r>
      <w:r w:rsidRPr="00740A82">
        <w:rPr>
          <w:rFonts w:ascii="Verdana" w:eastAsia="Calibri" w:hAnsi="Verdana" w:cs="Arial"/>
          <w:color w:val="000000" w:themeColor="text1"/>
          <w:lang w:val="es-ES_tradnl"/>
        </w:rPr>
        <w:t>,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w:t>
      </w:r>
      <w:r w:rsidRPr="00740A82">
        <w:rPr>
          <w:rFonts w:ascii="Verdana" w:eastAsia="Calibri" w:hAnsi="Verdana" w:cs="Arial"/>
          <w:i/>
          <w:iCs/>
          <w:color w:val="000000" w:themeColor="text1"/>
          <w:lang w:val="es-ES_tradnl"/>
        </w:rPr>
        <w:t>contratos de obra</w:t>
      </w:r>
      <w:r w:rsidRPr="00740A82">
        <w:rPr>
          <w:rFonts w:ascii="Verdana" w:eastAsia="Calibri" w:hAnsi="Verdana" w:cs="Arial"/>
          <w:color w:val="000000" w:themeColor="text1"/>
          <w:lang w:val="es-ES_tradnl"/>
        </w:rPr>
        <w:t>, suministro, prestación de servicios de evaluación de conformidad respecto de las normas o reglamentos técnicos, encargos fiduciarios y fiducia pública”, los primeros a los cuales se refiere en su escrito.</w:t>
      </w:r>
    </w:p>
    <w:p w14:paraId="77A24539" w14:textId="4D33D9A8" w:rsidR="00BC5C61" w:rsidRPr="00740A82" w:rsidRDefault="00BC5C61" w:rsidP="00BC5C61">
      <w:pPr>
        <w:spacing w:after="120" w:line="276" w:lineRule="auto"/>
        <w:ind w:firstLine="708"/>
        <w:jc w:val="both"/>
        <w:rPr>
          <w:rFonts w:ascii="Verdana" w:eastAsia="Calibri" w:hAnsi="Verdana" w:cs="Arial"/>
          <w:color w:val="000000" w:themeColor="text1"/>
        </w:rPr>
      </w:pPr>
      <w:r w:rsidRPr="00740A82">
        <w:rPr>
          <w:rFonts w:ascii="Verdana" w:eastAsia="Calibri" w:hAnsi="Verdana" w:cs="Arial"/>
          <w:color w:val="000000" w:themeColor="text1"/>
        </w:rPr>
        <w:t xml:space="preserve">Conviene señalar que la excepción contenida en la norma mencionada – concretamente en el inciso segundo – determina de manera explícita los sujetos a los cuales les es aplicable la restricción contenida en dicho artículo, que incluye la celebración de contratos o convenios interadministrativos cuando se trate, entre otros, de un contrato de obra. Esta disposición exceptuó celebrar de manera directa contratos o convenios interadministrativos cuando se trate de un contrato de obra cuya entidad ejecutora sea una institución de educación superior pública o una sociedad de economía </w:t>
      </w:r>
      <w:r w:rsidR="00121D23" w:rsidRPr="00740A82">
        <w:rPr>
          <w:rFonts w:ascii="Verdana" w:eastAsia="Calibri" w:hAnsi="Verdana" w:cs="Arial"/>
          <w:color w:val="000000" w:themeColor="text1"/>
        </w:rPr>
        <w:t xml:space="preserve">mixta </w:t>
      </w:r>
      <w:r w:rsidRPr="00740A82">
        <w:rPr>
          <w:rFonts w:ascii="Verdana" w:eastAsia="Calibri" w:hAnsi="Verdana" w:cs="Arial"/>
          <w:color w:val="000000" w:themeColor="text1"/>
        </w:rPr>
        <w:t xml:space="preserve">con participación mayoritaria del Estado, o una persona jurídica sin ánimo de lucro conformada por la asociación de Entidades Públicas, o una federación de entidades territoriales. </w:t>
      </w:r>
    </w:p>
    <w:p w14:paraId="27468150" w14:textId="77777777" w:rsidR="00BC5C61" w:rsidRPr="00740A82" w:rsidRDefault="00BC5C61" w:rsidP="00BC5C61">
      <w:pPr>
        <w:spacing w:after="0" w:line="276" w:lineRule="auto"/>
        <w:ind w:firstLine="709"/>
        <w:jc w:val="both"/>
        <w:rPr>
          <w:rFonts w:ascii="Verdana" w:eastAsia="Calibri" w:hAnsi="Verdana" w:cs="Arial"/>
          <w:color w:val="000000" w:themeColor="text1"/>
          <w:lang w:val="es-ES_tradnl"/>
        </w:rPr>
      </w:pPr>
      <w:r w:rsidRPr="00740A82">
        <w:rPr>
          <w:rFonts w:ascii="Verdana" w:eastAsia="Calibri" w:hAnsi="Verdana" w:cs="Arial"/>
          <w:color w:val="000000" w:themeColor="text1"/>
          <w:lang w:val="es-ES_tradnl"/>
        </w:rPr>
        <w:t>En esta línea, la Sala de Consulta y Servicio Civil</w:t>
      </w:r>
      <w:r w:rsidRPr="00740A82">
        <w:rPr>
          <w:rStyle w:val="Refdenotaalpie"/>
          <w:rFonts w:ascii="Verdana" w:eastAsia="Calibri" w:hAnsi="Verdana" w:cs="Arial"/>
          <w:color w:val="000000" w:themeColor="text1"/>
          <w:lang w:val="es-ES_tradnl"/>
        </w:rPr>
        <w:footnoteReference w:id="12"/>
      </w:r>
      <w:r w:rsidRPr="00740A82">
        <w:rPr>
          <w:rFonts w:ascii="Verdana" w:eastAsia="Calibri" w:hAnsi="Verdana" w:cs="Arial"/>
          <w:color w:val="000000" w:themeColor="text1"/>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56DB993A" w14:textId="77777777" w:rsidR="00BC5C61" w:rsidRPr="00740A82" w:rsidRDefault="00BC5C61" w:rsidP="00BC5C61">
      <w:pPr>
        <w:pStyle w:val="Textoindependiente"/>
        <w:spacing w:line="276" w:lineRule="auto"/>
        <w:rPr>
          <w:rFonts w:ascii="Verdana" w:hAnsi="Verdana"/>
          <w:sz w:val="22"/>
          <w:szCs w:val="22"/>
        </w:rPr>
      </w:pPr>
    </w:p>
    <w:p w14:paraId="419224A1" w14:textId="77777777" w:rsidR="00BC5C61" w:rsidRPr="00740A82" w:rsidRDefault="00BC5C61" w:rsidP="00BC5C61">
      <w:pPr>
        <w:pStyle w:val="Textoindependiente"/>
        <w:ind w:left="709" w:right="709"/>
        <w:jc w:val="both"/>
        <w:rPr>
          <w:rFonts w:ascii="Verdana" w:hAnsi="Verdana"/>
        </w:rPr>
      </w:pPr>
      <w:r w:rsidRPr="00740A82">
        <w:rPr>
          <w:rFonts w:ascii="Verdana" w:hAnsi="Verdana"/>
        </w:rPr>
        <w:t xml:space="preserve">“[..] La suscripción de contratos interadministrativos </w:t>
      </w:r>
      <w:r w:rsidRPr="00740A82">
        <w:rPr>
          <w:rFonts w:ascii="Verdana" w:eastAsia="Calibri" w:hAnsi="Verdana"/>
          <w:color w:val="000000" w:themeColor="text1"/>
          <w:lang w:val="es-ES_tradnl"/>
        </w:rPr>
        <w:t>«</w:t>
      </w:r>
      <w:r w:rsidRPr="00740A82">
        <w:rPr>
          <w:rFonts w:ascii="Verdana" w:hAnsi="Verdana"/>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740A82">
        <w:rPr>
          <w:rFonts w:ascii="Verdana" w:eastAsia="Calibri" w:hAnsi="Verdana"/>
          <w:color w:val="000000" w:themeColor="text1"/>
          <w:lang w:val="es-ES_tradnl"/>
        </w:rPr>
        <w:t>»</w:t>
      </w:r>
      <w:r w:rsidRPr="00740A82">
        <w:rPr>
          <w:rFonts w:ascii="Verdana" w:hAnsi="Verdana"/>
        </w:rPr>
        <w:t>, debe estar precedida de licitación pública o selección abreviada; solamente en los demás casos, podrá acudirse al sistema de contratación directa (literal c, inciso 2).</w:t>
      </w:r>
    </w:p>
    <w:p w14:paraId="1E94172C" w14:textId="77777777" w:rsidR="00BC5C61" w:rsidRPr="00740A82" w:rsidRDefault="00BC5C61" w:rsidP="00BC5C61">
      <w:pPr>
        <w:pStyle w:val="Textoindependiente"/>
        <w:ind w:left="709" w:right="709"/>
        <w:jc w:val="both"/>
        <w:rPr>
          <w:rFonts w:ascii="Verdana" w:hAnsi="Verdana"/>
        </w:rPr>
      </w:pPr>
    </w:p>
    <w:p w14:paraId="3249AEEE" w14:textId="77777777" w:rsidR="00BC5C61" w:rsidRPr="00740A82" w:rsidRDefault="00BC5C61" w:rsidP="00BC5C61">
      <w:pPr>
        <w:pStyle w:val="Textoindependiente"/>
        <w:ind w:left="709" w:right="709"/>
        <w:jc w:val="both"/>
        <w:rPr>
          <w:rFonts w:ascii="Verdana" w:hAnsi="Verdana"/>
        </w:rPr>
      </w:pPr>
      <w:r w:rsidRPr="00740A82">
        <w:rPr>
          <w:rFonts w:ascii="Verdana" w:hAnsi="Verdana"/>
        </w:rPr>
        <w:lastRenderedPageBreak/>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740A82">
        <w:rPr>
          <w:rFonts w:ascii="Verdana" w:hAnsi="Verdana"/>
        </w:rPr>
        <w:t>cita,</w:t>
      </w:r>
      <w:proofErr w:type="gramEnd"/>
      <w:r w:rsidRPr="00740A82">
        <w:rPr>
          <w:rFonts w:ascii="Verdana" w:hAnsi="Verdana"/>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740A82">
        <w:rPr>
          <w:rFonts w:ascii="Verdana" w:hAnsi="Verdana"/>
        </w:rPr>
        <w:t>directa</w:t>
      </w:r>
      <w:proofErr w:type="gramEnd"/>
      <w:r w:rsidRPr="00740A82">
        <w:rPr>
          <w:rFonts w:ascii="Verdana" w:hAnsi="Verdana"/>
        </w:rPr>
        <w:t xml:space="preserve"> sino que requieren agotar un proceso previo de licitación pública o selección abreviada”.</w:t>
      </w:r>
    </w:p>
    <w:p w14:paraId="4FC89FED" w14:textId="77777777" w:rsidR="00BC5C61" w:rsidRPr="00740A82" w:rsidRDefault="00BC5C61" w:rsidP="00BC5C61">
      <w:pPr>
        <w:spacing w:after="0" w:line="276" w:lineRule="auto"/>
        <w:jc w:val="both"/>
        <w:rPr>
          <w:rFonts w:ascii="Verdana" w:eastAsia="Calibri" w:hAnsi="Verdana" w:cs="Arial"/>
          <w:color w:val="000000" w:themeColor="text1"/>
          <w:lang w:val="es-ES_tradnl"/>
        </w:rPr>
      </w:pPr>
    </w:p>
    <w:p w14:paraId="5EAC1B2A" w14:textId="77777777" w:rsidR="00BC5C61" w:rsidRPr="00740A82" w:rsidRDefault="00BC5C61" w:rsidP="00BC5C61">
      <w:pPr>
        <w:spacing w:after="120" w:line="276" w:lineRule="auto"/>
        <w:ind w:firstLine="709"/>
        <w:jc w:val="both"/>
        <w:rPr>
          <w:rFonts w:ascii="Verdana" w:eastAsia="Calibri" w:hAnsi="Verdana" w:cs="Arial"/>
          <w:color w:val="000000" w:themeColor="text1"/>
        </w:rPr>
      </w:pPr>
      <w:r w:rsidRPr="00740A82">
        <w:rPr>
          <w:rFonts w:ascii="Verdana" w:eastAsia="Calibri" w:hAnsi="Verdana" w:cs="Arial"/>
          <w:color w:val="000000" w:themeColor="text1"/>
        </w:rPr>
        <w:t xml:space="preserve">Así las cosas, de conformidad con lo establecido por el artículo 92 de la Ley 1474 de 2011, mediante el cual se modificó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dentro de las cuales se encuentran las sociedades de economía mixta con participación mayoritaria del Estado, cuando sean las ejecutoras, no podrán celebrar bajo la modalidad de contratación directa la suscripción de los contratos interadministrativos mencionados en ella, entre ellos, el contrato de obra. Esto, sin perjuicio de que dichas entidades participen y, eventualmente, celebren dichos contratos luego de ser seleccionados a través de modalidades como la licitación pública o selección abreviada, según corresponda. </w:t>
      </w:r>
    </w:p>
    <w:p w14:paraId="0B9B12D2" w14:textId="77777777" w:rsidR="00BC5C61" w:rsidRPr="00740A82" w:rsidRDefault="00BC5C61" w:rsidP="00717398">
      <w:pPr>
        <w:spacing w:after="0" w:line="276" w:lineRule="auto"/>
        <w:ind w:firstLine="708"/>
        <w:jc w:val="both"/>
        <w:rPr>
          <w:rFonts w:ascii="Verdana" w:eastAsia="Calibri" w:hAnsi="Verdana" w:cs="Arial"/>
          <w:color w:val="000000" w:themeColor="text1"/>
          <w:lang w:val="es-ES_tradnl"/>
        </w:rPr>
      </w:pPr>
      <w:r w:rsidRPr="00740A82">
        <w:rPr>
          <w:rFonts w:ascii="Verdana" w:eastAsia="Calibri" w:hAnsi="Verdana" w:cs="Arial"/>
          <w:color w:val="000000" w:themeColor="text1"/>
          <w:lang w:val="es-ES_tradnl"/>
        </w:rPr>
        <w:t>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572DBFBB" w14:textId="77777777" w:rsidR="00BC5C61" w:rsidRPr="00740A82" w:rsidRDefault="00BC5C61" w:rsidP="00BC5C61">
      <w:pPr>
        <w:widowControl w:val="0"/>
        <w:autoSpaceDE w:val="0"/>
        <w:autoSpaceDN w:val="0"/>
        <w:spacing w:after="0" w:line="276" w:lineRule="auto"/>
        <w:jc w:val="both"/>
        <w:rPr>
          <w:rFonts w:ascii="Verdana" w:hAnsi="Verdana" w:cs="Arial"/>
        </w:rPr>
      </w:pPr>
    </w:p>
    <w:p w14:paraId="112140AE" w14:textId="77777777" w:rsidR="00BC5C61" w:rsidRPr="00740A82" w:rsidRDefault="00BC5C61" w:rsidP="00BC5C61">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740A82">
        <w:rPr>
          <w:rFonts w:ascii="Verdana" w:eastAsia="Century Gothic" w:hAnsi="Verdana" w:cs="Century Gothic"/>
          <w:b/>
          <w:bCs/>
        </w:rPr>
        <w:t>Referencias normativas, jurisprudenciales y otras fuentes:</w:t>
      </w:r>
    </w:p>
    <w:p w14:paraId="43BAFB39" w14:textId="77777777" w:rsidR="00BC5C61" w:rsidRPr="00740A82" w:rsidRDefault="00BC5C61" w:rsidP="00BC5C6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C5C61" w:rsidRPr="00740A82" w14:paraId="089433EB" w14:textId="77777777" w:rsidTr="00EF1581">
        <w:trPr>
          <w:trHeight w:val="870"/>
        </w:trPr>
        <w:tc>
          <w:tcPr>
            <w:tcW w:w="8647" w:type="dxa"/>
          </w:tcPr>
          <w:p w14:paraId="77449365" w14:textId="77777777" w:rsidR="00BC5C61" w:rsidRPr="00740A82" w:rsidRDefault="00BC5C61" w:rsidP="00BC5C61">
            <w:pPr>
              <w:pStyle w:val="Prrafodelista"/>
              <w:numPr>
                <w:ilvl w:val="0"/>
                <w:numId w:val="17"/>
              </w:numPr>
              <w:spacing w:line="276" w:lineRule="auto"/>
              <w:ind w:left="360"/>
              <w:jc w:val="both"/>
              <w:rPr>
                <w:rFonts w:ascii="Verdana" w:eastAsia="Calibri" w:hAnsi="Verdana" w:cs="Arial"/>
                <w:color w:val="000000" w:themeColor="text1"/>
                <w:lang w:val="es-ES_tradnl"/>
              </w:rPr>
            </w:pPr>
            <w:r w:rsidRPr="00740A82">
              <w:rPr>
                <w:rFonts w:ascii="Verdana" w:eastAsia="Calibri" w:hAnsi="Verdana" w:cs="Arial"/>
                <w:color w:val="000000" w:themeColor="text1"/>
                <w:lang w:val="es-ES_tradnl"/>
              </w:rPr>
              <w:t>Ley 489 de 1998: Artículo 97.</w:t>
            </w:r>
          </w:p>
          <w:p w14:paraId="1CD773CB" w14:textId="77777777" w:rsidR="00BC5C61" w:rsidRPr="00740A82" w:rsidRDefault="00BC5C61" w:rsidP="00EF1581">
            <w:pPr>
              <w:pStyle w:val="Prrafodelista"/>
              <w:spacing w:line="276" w:lineRule="auto"/>
              <w:ind w:left="360"/>
              <w:jc w:val="both"/>
              <w:rPr>
                <w:rFonts w:ascii="Verdana" w:eastAsia="Calibri" w:hAnsi="Verdana" w:cs="Arial"/>
                <w:color w:val="000000" w:themeColor="text1"/>
                <w:lang w:val="es-ES_tradnl"/>
              </w:rPr>
            </w:pPr>
          </w:p>
          <w:p w14:paraId="1081EE05" w14:textId="77777777" w:rsidR="00BC5C61" w:rsidRPr="00740A82" w:rsidRDefault="00BC5C61" w:rsidP="00BC5C61">
            <w:pPr>
              <w:pStyle w:val="Prrafodelista"/>
              <w:numPr>
                <w:ilvl w:val="0"/>
                <w:numId w:val="17"/>
              </w:numPr>
              <w:spacing w:line="276" w:lineRule="auto"/>
              <w:ind w:left="360"/>
              <w:jc w:val="both"/>
              <w:rPr>
                <w:rFonts w:ascii="Verdana" w:eastAsia="Calibri" w:hAnsi="Verdana" w:cs="Arial"/>
                <w:color w:val="000000" w:themeColor="text1"/>
                <w:lang w:val="es-ES_tradnl"/>
              </w:rPr>
            </w:pPr>
            <w:r w:rsidRPr="00740A82">
              <w:rPr>
                <w:rFonts w:ascii="Verdana" w:eastAsia="Calibri" w:hAnsi="Verdana" w:cs="Arial"/>
                <w:color w:val="000000" w:themeColor="text1"/>
              </w:rPr>
              <w:lastRenderedPageBreak/>
              <w:t xml:space="preserve">Ley 1150 de 2007: Artículo 2, numeral 4, literal c)– modificado por el artículo 92 de la Ley 1474 de 2011. </w:t>
            </w:r>
          </w:p>
          <w:p w14:paraId="6394DCED" w14:textId="77777777" w:rsidR="00BC5C61" w:rsidRPr="00740A82" w:rsidRDefault="00BC5C61" w:rsidP="00EF1581">
            <w:pPr>
              <w:spacing w:line="276" w:lineRule="auto"/>
              <w:jc w:val="both"/>
              <w:rPr>
                <w:rFonts w:ascii="Verdana" w:hAnsi="Verdana" w:cs="Arial"/>
              </w:rPr>
            </w:pPr>
          </w:p>
          <w:p w14:paraId="60EC6941" w14:textId="77777777" w:rsidR="00BC5C61" w:rsidRPr="00740A82" w:rsidRDefault="00BC5C61" w:rsidP="00BC5C61">
            <w:pPr>
              <w:pStyle w:val="Prrafodelista"/>
              <w:numPr>
                <w:ilvl w:val="0"/>
                <w:numId w:val="17"/>
              </w:numPr>
              <w:spacing w:line="276" w:lineRule="auto"/>
              <w:ind w:left="360"/>
              <w:jc w:val="both"/>
              <w:rPr>
                <w:rFonts w:ascii="Verdana" w:hAnsi="Verdana" w:cs="Arial"/>
              </w:rPr>
            </w:pPr>
            <w:r w:rsidRPr="00740A82">
              <w:rPr>
                <w:rFonts w:ascii="Verdana" w:hAnsi="Verdana" w:cs="Arial"/>
              </w:rPr>
              <w:t>Ley 1150 de 2007: Artículo 14 – modificado por el artículo 93 de la Ley 1474 de 2011.</w:t>
            </w:r>
          </w:p>
          <w:p w14:paraId="688ED7CD" w14:textId="77777777" w:rsidR="00BC5C61" w:rsidRPr="00740A82" w:rsidRDefault="00BC5C61" w:rsidP="00EF1581">
            <w:pPr>
              <w:spacing w:line="276" w:lineRule="auto"/>
              <w:jc w:val="both"/>
              <w:rPr>
                <w:rFonts w:ascii="Verdana" w:hAnsi="Verdana" w:cs="Arial"/>
              </w:rPr>
            </w:pPr>
          </w:p>
          <w:p w14:paraId="4AF9B09C" w14:textId="77777777" w:rsidR="00BC5C61" w:rsidRPr="00740A82" w:rsidRDefault="00BC5C61" w:rsidP="00BC5C61">
            <w:pPr>
              <w:pStyle w:val="Prrafodelista"/>
              <w:numPr>
                <w:ilvl w:val="0"/>
                <w:numId w:val="17"/>
              </w:numPr>
              <w:spacing w:line="276" w:lineRule="auto"/>
              <w:ind w:left="360"/>
              <w:jc w:val="both"/>
              <w:rPr>
                <w:rFonts w:ascii="Verdana" w:hAnsi="Verdana" w:cs="Arial"/>
              </w:rPr>
            </w:pPr>
            <w:r w:rsidRPr="00740A82">
              <w:rPr>
                <w:rFonts w:ascii="Verdana" w:hAnsi="Verdana" w:cs="Arial"/>
                <w:color w:val="000000" w:themeColor="text1"/>
              </w:rPr>
              <w:t>Decreto 1082 de 2015: Artículo 2.2.1.2.1.4.4.</w:t>
            </w:r>
          </w:p>
          <w:p w14:paraId="67F9220B" w14:textId="77777777" w:rsidR="00BC5C61" w:rsidRPr="00740A82" w:rsidRDefault="00BC5C61" w:rsidP="00EF1581">
            <w:pPr>
              <w:pStyle w:val="Prrafodelista"/>
              <w:rPr>
                <w:rFonts w:ascii="Verdana" w:hAnsi="Verdana" w:cs="Arial"/>
              </w:rPr>
            </w:pPr>
          </w:p>
          <w:p w14:paraId="5B9BE3E0" w14:textId="77777777" w:rsidR="00BC5C61" w:rsidRPr="00740A82" w:rsidRDefault="00BC5C61" w:rsidP="00BC5C61">
            <w:pPr>
              <w:pStyle w:val="Prrafodelista"/>
              <w:numPr>
                <w:ilvl w:val="0"/>
                <w:numId w:val="17"/>
              </w:numPr>
              <w:spacing w:line="276" w:lineRule="auto"/>
              <w:ind w:left="360"/>
              <w:jc w:val="both"/>
              <w:rPr>
                <w:rFonts w:ascii="Verdana" w:hAnsi="Verdana" w:cs="Arial"/>
              </w:rPr>
            </w:pPr>
            <w:r w:rsidRPr="00740A82">
              <w:rPr>
                <w:rFonts w:ascii="Verdana" w:hAnsi="Verdana" w:cs="Arial"/>
              </w:rPr>
              <w:t xml:space="preserve">Consejo de Estado. Sala de la Contencioso Administrativo. Sección Tercera. Sentencia del 19 de agosto de 2004 </w:t>
            </w:r>
            <w:proofErr w:type="spellStart"/>
            <w:r w:rsidRPr="00740A82">
              <w:rPr>
                <w:rFonts w:ascii="Verdana" w:hAnsi="Verdana" w:cs="Arial"/>
              </w:rPr>
              <w:t>Exp</w:t>
            </w:r>
            <w:proofErr w:type="spellEnd"/>
            <w:r w:rsidRPr="00740A82">
              <w:rPr>
                <w:rFonts w:ascii="Verdana" w:hAnsi="Verdana" w:cs="Arial"/>
              </w:rPr>
              <w:t xml:space="preserve">. 12.342, reiterada en sentencia de 6 de febrero de 2006, </w:t>
            </w:r>
            <w:proofErr w:type="spellStart"/>
            <w:r w:rsidRPr="00740A82">
              <w:rPr>
                <w:rFonts w:ascii="Verdana" w:hAnsi="Verdana" w:cs="Arial"/>
              </w:rPr>
              <w:t>Exp</w:t>
            </w:r>
            <w:proofErr w:type="spellEnd"/>
            <w:r w:rsidRPr="00740A82">
              <w:rPr>
                <w:rFonts w:ascii="Verdana" w:hAnsi="Verdana" w:cs="Arial"/>
              </w:rPr>
              <w:t>. 13.414.</w:t>
            </w:r>
          </w:p>
          <w:p w14:paraId="0681E717" w14:textId="77777777" w:rsidR="00BC5C61" w:rsidRPr="00740A82" w:rsidRDefault="00BC5C61" w:rsidP="00EF1581">
            <w:pPr>
              <w:pStyle w:val="Prrafodelista"/>
              <w:rPr>
                <w:rFonts w:ascii="Verdana" w:hAnsi="Verdana" w:cs="Arial"/>
              </w:rPr>
            </w:pPr>
          </w:p>
          <w:p w14:paraId="408B013F" w14:textId="77777777" w:rsidR="00BC5C61" w:rsidRPr="00740A82" w:rsidRDefault="00BC5C61" w:rsidP="00BC5C61">
            <w:pPr>
              <w:pStyle w:val="Prrafodelista"/>
              <w:numPr>
                <w:ilvl w:val="0"/>
                <w:numId w:val="17"/>
              </w:numPr>
              <w:spacing w:line="276" w:lineRule="auto"/>
              <w:ind w:left="360"/>
              <w:jc w:val="both"/>
              <w:rPr>
                <w:rFonts w:ascii="Verdana" w:hAnsi="Verdana" w:cs="Arial"/>
              </w:rPr>
            </w:pPr>
            <w:r w:rsidRPr="00740A82">
              <w:rPr>
                <w:rFonts w:ascii="Verdana" w:hAnsi="Verdana" w:cs="Arial"/>
              </w:rPr>
              <w:t xml:space="preserve">Consejo de Estado, Sala de Consulta y Servicio Civil, Concepto 1127 del 10 de diciembre de 2004. M.P. Enrique José Arboleda Perdomo </w:t>
            </w:r>
          </w:p>
          <w:p w14:paraId="2FBBA7F4" w14:textId="77777777" w:rsidR="00BC5C61" w:rsidRPr="00740A82" w:rsidRDefault="00BC5C61" w:rsidP="00EF1581">
            <w:pPr>
              <w:pStyle w:val="Prrafodelista"/>
              <w:rPr>
                <w:rFonts w:ascii="Verdana" w:hAnsi="Verdana" w:cs="Arial"/>
              </w:rPr>
            </w:pPr>
          </w:p>
          <w:p w14:paraId="4D26FBDB" w14:textId="77777777" w:rsidR="00BC5C61" w:rsidRPr="00740A82" w:rsidRDefault="00BC5C61" w:rsidP="00BC5C61">
            <w:pPr>
              <w:pStyle w:val="Prrafodelista"/>
              <w:numPr>
                <w:ilvl w:val="0"/>
                <w:numId w:val="17"/>
              </w:numPr>
              <w:spacing w:line="276" w:lineRule="auto"/>
              <w:ind w:left="360"/>
              <w:jc w:val="both"/>
              <w:rPr>
                <w:rFonts w:ascii="Verdana" w:hAnsi="Verdana"/>
              </w:rPr>
            </w:pPr>
            <w:r w:rsidRPr="00740A82">
              <w:rPr>
                <w:rFonts w:ascii="Verdana" w:hAnsi="Verdana" w:cs="Arial"/>
              </w:rPr>
              <w:t>Consejo de Estado. Sala de Consulta y Servicio Civil. Concepto de 28 de junio de 2012. Rad: 11001-03-06-000-2012-00016-00(2092). Consejero Ponente: William Zambrano Cetina.</w:t>
            </w:r>
          </w:p>
          <w:p w14:paraId="6B98CD95" w14:textId="77777777" w:rsidR="00BC5C61" w:rsidRPr="00740A82" w:rsidRDefault="00BC5C61" w:rsidP="00EF1581">
            <w:pPr>
              <w:pStyle w:val="Prrafodelista"/>
              <w:rPr>
                <w:rFonts w:ascii="Verdana" w:hAnsi="Verdana" w:cs="Arial"/>
              </w:rPr>
            </w:pPr>
          </w:p>
          <w:p w14:paraId="6013C2D7" w14:textId="77777777" w:rsidR="00BC5C61" w:rsidRPr="00740A82" w:rsidRDefault="00BC5C61" w:rsidP="00BC5C61">
            <w:pPr>
              <w:pStyle w:val="Prrafodelista"/>
              <w:numPr>
                <w:ilvl w:val="0"/>
                <w:numId w:val="17"/>
              </w:numPr>
              <w:spacing w:line="276" w:lineRule="auto"/>
              <w:ind w:left="360"/>
              <w:jc w:val="both"/>
              <w:rPr>
                <w:rFonts w:ascii="Verdana" w:hAnsi="Verdana"/>
              </w:rPr>
            </w:pPr>
            <w:r w:rsidRPr="00740A82">
              <w:rPr>
                <w:rFonts w:ascii="Verdana" w:hAnsi="Verdana" w:cs="Arial"/>
              </w:rPr>
              <w:t xml:space="preserve">RINCÓN CÓRDOBA, Jorge Iván. Teoría de la organización administrativa en Colombia, Bogotá: Universidad Externado de Colombia, 2019. </w:t>
            </w:r>
          </w:p>
          <w:p w14:paraId="712699BB" w14:textId="77777777" w:rsidR="00BC5C61" w:rsidRPr="00740A82" w:rsidRDefault="00BC5C61" w:rsidP="00EF1581">
            <w:pPr>
              <w:pStyle w:val="Prrafodelista"/>
              <w:rPr>
                <w:rFonts w:ascii="Verdana" w:hAnsi="Verdana" w:cs="Arial"/>
              </w:rPr>
            </w:pPr>
          </w:p>
          <w:p w14:paraId="70E47CCA" w14:textId="77777777" w:rsidR="00BC5C61" w:rsidRPr="00740A82" w:rsidRDefault="00BC5C61" w:rsidP="00BC5C61">
            <w:pPr>
              <w:pStyle w:val="Prrafodelista"/>
              <w:numPr>
                <w:ilvl w:val="0"/>
                <w:numId w:val="17"/>
              </w:numPr>
              <w:spacing w:line="276" w:lineRule="auto"/>
              <w:ind w:left="360"/>
              <w:jc w:val="both"/>
              <w:rPr>
                <w:rFonts w:ascii="Verdana" w:hAnsi="Verdana"/>
                <w:lang w:val="es-CO"/>
              </w:rPr>
            </w:pPr>
            <w:r w:rsidRPr="00740A82">
              <w:rPr>
                <w:rFonts w:ascii="Verdana" w:hAnsi="Verdana" w:cs="Arial"/>
              </w:rPr>
              <w:t>MONTAÑA PLATA, Alberto. Fundamentos de derecho administrativo. Bogotá: Universidad Externado de Colombia, 2010.</w:t>
            </w:r>
          </w:p>
        </w:tc>
      </w:tr>
    </w:tbl>
    <w:p w14:paraId="38986C74" w14:textId="77777777" w:rsidR="00BC5C61" w:rsidRPr="00E66E2D" w:rsidRDefault="00BC5C61" w:rsidP="00BC5C61">
      <w:pPr>
        <w:widowControl w:val="0"/>
        <w:autoSpaceDE w:val="0"/>
        <w:autoSpaceDN w:val="0"/>
        <w:spacing w:after="0" w:line="276" w:lineRule="auto"/>
        <w:jc w:val="both"/>
        <w:rPr>
          <w:rFonts w:ascii="Verdana" w:hAnsi="Verdana" w:cs="Arial"/>
        </w:rPr>
      </w:pPr>
    </w:p>
    <w:p w14:paraId="4A856CD1" w14:textId="77777777" w:rsidR="00BC5C61" w:rsidRPr="00E66E2D" w:rsidRDefault="00BC5C61" w:rsidP="00BC5C61">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E66E2D">
        <w:rPr>
          <w:rFonts w:ascii="Verdana" w:eastAsia="Century Gothic" w:hAnsi="Verdana" w:cs="Century Gothic"/>
          <w:b/>
          <w:bCs/>
        </w:rPr>
        <w:t>Doctrina de la Agencia Nacional de Contratación Pública:</w:t>
      </w:r>
    </w:p>
    <w:p w14:paraId="7BAC5D1F" w14:textId="77777777" w:rsidR="00BC5C61" w:rsidRPr="00E66E2D" w:rsidRDefault="00BC5C61" w:rsidP="00BC5C61">
      <w:pPr>
        <w:widowControl w:val="0"/>
        <w:autoSpaceDE w:val="0"/>
        <w:autoSpaceDN w:val="0"/>
        <w:spacing w:after="0" w:line="276" w:lineRule="auto"/>
        <w:jc w:val="both"/>
        <w:rPr>
          <w:rFonts w:ascii="Verdana" w:hAnsi="Verdana" w:cs="Arial"/>
        </w:rPr>
      </w:pPr>
    </w:p>
    <w:p w14:paraId="1E7D6E3E" w14:textId="77777777" w:rsidR="00BC5C61" w:rsidRPr="00E66E2D" w:rsidRDefault="00BC5C61" w:rsidP="00BC5C61">
      <w:pPr>
        <w:widowControl w:val="0"/>
        <w:autoSpaceDE w:val="0"/>
        <w:autoSpaceDN w:val="0"/>
        <w:spacing w:after="0" w:line="276" w:lineRule="auto"/>
        <w:jc w:val="both"/>
        <w:rPr>
          <w:rFonts w:ascii="Verdana" w:eastAsia="Times New Roman" w:hAnsi="Verdana" w:cs="Arial"/>
          <w:bCs/>
          <w:color w:val="000000"/>
          <w:shd w:val="clear" w:color="auto" w:fill="FFFFFF"/>
          <w:lang w:val="es-MX" w:eastAsia="es-ES_tradnl"/>
        </w:rPr>
      </w:pPr>
      <w:r w:rsidRPr="00E66E2D">
        <w:rPr>
          <w:rFonts w:ascii="Verdana" w:eastAsia="Calibri" w:hAnsi="Verdana" w:cs="Arial"/>
          <w:color w:val="000000" w:themeColor="text1"/>
          <w:lang w:eastAsia="es-ES_tradnl"/>
        </w:rPr>
        <w:t xml:space="preserve">La Agencia Nacional de Contratación Pública – Colombia Compra Eficiente </w:t>
      </w:r>
      <w:r w:rsidRPr="00E66E2D">
        <w:rPr>
          <w:rFonts w:ascii="Verdana" w:eastAsia="Times New Roman" w:hAnsi="Verdana" w:cs="Arial"/>
          <w:color w:val="000000"/>
          <w:shd w:val="clear" w:color="auto" w:fill="FFFFFF"/>
          <w:lang w:val="es-MX" w:eastAsia="es-ES_tradnl"/>
        </w:rPr>
        <w:t xml:space="preserve">se ha referido previamente al régimen contractual </w:t>
      </w:r>
      <w:r w:rsidRPr="00E66E2D">
        <w:rPr>
          <w:rFonts w:ascii="Verdana" w:hAnsi="Verdana" w:cs="Arial"/>
          <w:noProof/>
          <w:lang w:val="es-ES_tradnl"/>
        </w:rPr>
        <w:t xml:space="preserve">de las sociedades de economía mixta en los conceptos C- 762 del 6 de enero de 2020, C-089 del 22 de marzo de 2022, </w:t>
      </w:r>
      <w:r w:rsidRPr="00E66E2D">
        <w:rPr>
          <w:rFonts w:ascii="Verdana" w:eastAsia="Calibri" w:hAnsi="Verdana" w:cs="Arial"/>
          <w:bCs/>
        </w:rPr>
        <w:t>C-458 del 15 de julio de 2022, entre otros.</w:t>
      </w:r>
    </w:p>
    <w:p w14:paraId="4CFAFD4A" w14:textId="77777777" w:rsidR="00BC5C61" w:rsidRPr="00E66E2D" w:rsidRDefault="00BC5C61" w:rsidP="00BC5C61">
      <w:pPr>
        <w:widowControl w:val="0"/>
        <w:autoSpaceDE w:val="0"/>
        <w:autoSpaceDN w:val="0"/>
        <w:spacing w:after="0" w:line="276" w:lineRule="auto"/>
        <w:jc w:val="both"/>
        <w:rPr>
          <w:rFonts w:ascii="Verdana" w:eastAsia="Calibri" w:hAnsi="Verdana" w:cs="Arial"/>
          <w:color w:val="000000" w:themeColor="text1"/>
          <w:lang w:eastAsia="es-ES_tradnl"/>
        </w:rPr>
      </w:pPr>
    </w:p>
    <w:p w14:paraId="53D3E5A2" w14:textId="77777777" w:rsidR="00BC5C61" w:rsidRPr="00E66E2D" w:rsidRDefault="00BC5C61" w:rsidP="00BC5C61">
      <w:pPr>
        <w:widowControl w:val="0"/>
        <w:autoSpaceDE w:val="0"/>
        <w:autoSpaceDN w:val="0"/>
        <w:spacing w:after="0" w:line="276" w:lineRule="auto"/>
        <w:jc w:val="both"/>
        <w:rPr>
          <w:rFonts w:ascii="Verdana" w:eastAsia="Calibri" w:hAnsi="Verdana" w:cs="Arial"/>
          <w:color w:val="000000" w:themeColor="text1"/>
          <w:lang w:eastAsia="es-ES_tradnl"/>
        </w:rPr>
      </w:pPr>
      <w:r w:rsidRPr="00E66E2D">
        <w:rPr>
          <w:rFonts w:ascii="Verdana" w:eastAsia="Times New Roman" w:hAnsi="Verdana" w:cs="Arial"/>
          <w:color w:val="000000"/>
          <w:shd w:val="clear" w:color="auto" w:fill="FFFFFF"/>
          <w:lang w:eastAsia="es-ES_tradnl"/>
        </w:rPr>
        <w:t xml:space="preserve">Igualmente, </w:t>
      </w:r>
      <w:r w:rsidRPr="00E66E2D">
        <w:rPr>
          <w:rFonts w:ascii="Verdana" w:eastAsia="Arial" w:hAnsi="Verdana" w:cs="Arial"/>
          <w:lang w:val="es-MX" w:eastAsia="es-ES_tradnl"/>
        </w:rPr>
        <w:t xml:space="preserve">ha analizado diferentes aspectos </w:t>
      </w:r>
      <w:r w:rsidRPr="00E66E2D">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E66E2D">
        <w:rPr>
          <w:rFonts w:ascii="Verdana" w:eastAsia="Calibri" w:hAnsi="Verdana"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w:t>
      </w:r>
      <w:r w:rsidRPr="00E66E2D">
        <w:rPr>
          <w:rFonts w:ascii="Verdana" w:eastAsia="Calibri" w:hAnsi="Verdana" w:cs="Arial"/>
          <w:color w:val="000000" w:themeColor="text1"/>
          <w:lang w:eastAsia="es-ES_tradnl"/>
        </w:rPr>
        <w:lastRenderedPageBreak/>
        <w:t xml:space="preserve">diciembre de 2022, C-147 del 25 de julio de 2023, C-369 del 12 de septiembre de 2022. </w:t>
      </w:r>
    </w:p>
    <w:p w14:paraId="031D6B52" w14:textId="77777777" w:rsidR="00BC5C61" w:rsidRPr="00E66E2D" w:rsidRDefault="00BC5C61" w:rsidP="00BC5C61">
      <w:pPr>
        <w:widowControl w:val="0"/>
        <w:autoSpaceDE w:val="0"/>
        <w:autoSpaceDN w:val="0"/>
        <w:spacing w:after="0" w:line="276" w:lineRule="auto"/>
        <w:jc w:val="both"/>
        <w:rPr>
          <w:rFonts w:ascii="Verdana" w:eastAsia="Calibri" w:hAnsi="Verdana" w:cs="Arial"/>
          <w:color w:val="000000" w:themeColor="text1"/>
          <w:lang w:eastAsia="es-ES_tradnl"/>
        </w:rPr>
      </w:pPr>
    </w:p>
    <w:p w14:paraId="1AAAD8BF" w14:textId="77777777" w:rsidR="00BC5C61" w:rsidRPr="00E66E2D" w:rsidRDefault="00BC5C61" w:rsidP="00BC5C61">
      <w:pPr>
        <w:widowControl w:val="0"/>
        <w:autoSpaceDE w:val="0"/>
        <w:autoSpaceDN w:val="0"/>
        <w:spacing w:after="0" w:line="276" w:lineRule="auto"/>
        <w:jc w:val="both"/>
        <w:rPr>
          <w:rFonts w:ascii="Verdana" w:eastAsia="Times New Roman" w:hAnsi="Verdana" w:cs="Arial"/>
          <w:color w:val="000000"/>
          <w:shd w:val="clear" w:color="auto" w:fill="FFFFFF"/>
          <w:lang w:val="es-MX" w:eastAsia="es-ES_tradnl"/>
        </w:rPr>
      </w:pPr>
      <w:r w:rsidRPr="00E66E2D">
        <w:rPr>
          <w:rFonts w:ascii="Verdana" w:eastAsia="Calibri" w:hAnsi="Verdana" w:cs="Arial"/>
          <w:color w:val="000000" w:themeColor="text1"/>
          <w:lang w:eastAsia="es-ES_tradnl"/>
        </w:rPr>
        <w:t xml:space="preserve">Sobre la excepción de celebrar contratos y convenios interadministrativos de forma directa establecida en el inciso segundo </w:t>
      </w:r>
      <w:r w:rsidRPr="00E66E2D">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sidRPr="00E66E2D">
        <w:rPr>
          <w:rFonts w:ascii="Verdana" w:eastAsia="Times New Roman" w:hAnsi="Verdana" w:cs="Arial"/>
          <w:color w:val="000000"/>
          <w:shd w:val="clear" w:color="auto" w:fill="FFFFFF"/>
          <w:lang w:eastAsia="es-ES_tradnl"/>
        </w:rPr>
        <w:t xml:space="preserve"> </w:t>
      </w:r>
    </w:p>
    <w:p w14:paraId="56685868" w14:textId="77777777" w:rsidR="00BC5C61" w:rsidRPr="00E66E2D" w:rsidRDefault="00BC5C61" w:rsidP="00BC5C61">
      <w:pPr>
        <w:widowControl w:val="0"/>
        <w:autoSpaceDE w:val="0"/>
        <w:autoSpaceDN w:val="0"/>
        <w:spacing w:after="0" w:line="276" w:lineRule="auto"/>
        <w:jc w:val="both"/>
        <w:rPr>
          <w:rFonts w:ascii="Verdana" w:eastAsia="Times New Roman" w:hAnsi="Verdana" w:cs="Arial"/>
          <w:color w:val="000000"/>
          <w:shd w:val="clear" w:color="auto" w:fill="FFFFFF"/>
          <w:lang w:val="es-MX" w:eastAsia="es-ES_tradnl"/>
        </w:rPr>
      </w:pPr>
    </w:p>
    <w:p w14:paraId="7C1467B1" w14:textId="77777777" w:rsidR="00BC5C61" w:rsidRPr="00E66E2D" w:rsidRDefault="00BC5C61" w:rsidP="00BC5C61">
      <w:pPr>
        <w:widowControl w:val="0"/>
        <w:autoSpaceDE w:val="0"/>
        <w:autoSpaceDN w:val="0"/>
        <w:spacing w:after="0" w:line="276" w:lineRule="auto"/>
        <w:jc w:val="both"/>
        <w:rPr>
          <w:rStyle w:val="normaltextrun"/>
          <w:rFonts w:ascii="Verdana" w:hAnsi="Verdana"/>
          <w:color w:val="FF0000"/>
          <w:shd w:val="clear" w:color="auto" w:fill="FFFFFF"/>
        </w:rPr>
      </w:pPr>
      <w:r w:rsidRPr="00E66E2D">
        <w:rPr>
          <w:rStyle w:val="normaltextrun"/>
          <w:rFonts w:ascii="Verdana" w:hAnsi="Verdana"/>
          <w:shd w:val="clear" w:color="auto" w:fill="FFFFFF"/>
        </w:rPr>
        <w:t>Es</w:t>
      </w:r>
      <w:r w:rsidRPr="00E66E2D">
        <w:rPr>
          <w:rFonts w:ascii="Verdana" w:hAnsi="Verdana"/>
        </w:rPr>
        <w:t>tos y otros conceptos se encuentran disponibles para consulta en el Sistema de relatoría de la Agencia, al cual se puede acceder a través del siguiente enlace:</w:t>
      </w:r>
      <w:r w:rsidRPr="00E66E2D">
        <w:rPr>
          <w:rStyle w:val="normaltextrun"/>
          <w:rFonts w:ascii="Verdana" w:hAnsi="Verdana"/>
          <w:shd w:val="clear" w:color="auto" w:fill="FFFFFF"/>
        </w:rPr>
        <w:t xml:space="preserve"> </w:t>
      </w:r>
      <w:hyperlink r:id="rId13" w:history="1">
        <w:r w:rsidRPr="00E66E2D">
          <w:rPr>
            <w:rStyle w:val="Hipervnculo"/>
            <w:rFonts w:ascii="Verdana" w:hAnsi="Verdana" w:cs="Arial"/>
            <w:shd w:val="clear" w:color="auto" w:fill="FFFFFF"/>
            <w:lang w:val="es-ES"/>
          </w:rPr>
          <w:t>https://relatoria.colombiacompra.gov.co/busqueda/conceptos</w:t>
        </w:r>
      </w:hyperlink>
      <w:r w:rsidRPr="00E66E2D">
        <w:rPr>
          <w:rStyle w:val="normaltextrun"/>
          <w:rFonts w:ascii="Verdana" w:hAnsi="Verdana"/>
          <w:color w:val="FF0000"/>
          <w:shd w:val="clear" w:color="auto" w:fill="FFFFFF"/>
        </w:rPr>
        <w:t xml:space="preserve">. </w:t>
      </w:r>
    </w:p>
    <w:p w14:paraId="35DAF04E" w14:textId="77777777" w:rsidR="00BC5C61" w:rsidRPr="00E66E2D" w:rsidRDefault="00BC5C61" w:rsidP="00BC5C61">
      <w:pPr>
        <w:widowControl w:val="0"/>
        <w:autoSpaceDE w:val="0"/>
        <w:autoSpaceDN w:val="0"/>
        <w:spacing w:after="0" w:line="276" w:lineRule="auto"/>
        <w:jc w:val="both"/>
        <w:rPr>
          <w:rFonts w:ascii="Verdana" w:hAnsi="Verdana" w:cs="Arial"/>
        </w:rPr>
      </w:pPr>
    </w:p>
    <w:p w14:paraId="2B41B5AE" w14:textId="77777777" w:rsidR="00BC5C61" w:rsidRPr="00E66E2D" w:rsidRDefault="00BC5C61" w:rsidP="00BC5C61">
      <w:pPr>
        <w:widowControl w:val="0"/>
        <w:autoSpaceDE w:val="0"/>
        <w:autoSpaceDN w:val="0"/>
        <w:spacing w:after="0" w:line="276" w:lineRule="auto"/>
        <w:jc w:val="both"/>
        <w:rPr>
          <w:rFonts w:ascii="Verdana" w:hAnsi="Verdana" w:cs="Arial"/>
          <w:lang w:val="es-ES_tradnl"/>
        </w:rPr>
      </w:pPr>
      <w:r w:rsidRPr="00E66E2D">
        <w:rPr>
          <w:rFonts w:ascii="Verdana" w:hAnsi="Verdana" w:cs="Arial"/>
        </w:rPr>
        <w:t xml:space="preserve">Este concepto tiene el alcance previsto en el artículo 28 del Código de Procedimiento Administrativo y de lo Contencioso Administrativo </w:t>
      </w:r>
      <w:r w:rsidRPr="00E66E2D">
        <w:rPr>
          <w:rFonts w:ascii="Verdana" w:hAnsi="Verdana" w:cs="Arial"/>
          <w:lang w:val="es-ES_tradnl"/>
        </w:rPr>
        <w:t>y las expresiones aquí utilizadas con mayúscula inicial deben ser entendidas con el significado que les otorga el artículo 2.2.1.1.1.3.1. del Decreto 1082 de 2015.</w:t>
      </w:r>
    </w:p>
    <w:p w14:paraId="12E3A9C8" w14:textId="77777777" w:rsidR="00BC5C61" w:rsidRPr="00E66E2D" w:rsidRDefault="00BC5C61" w:rsidP="004F2789">
      <w:pPr>
        <w:widowControl w:val="0"/>
        <w:autoSpaceDE w:val="0"/>
        <w:autoSpaceDN w:val="0"/>
        <w:spacing w:after="0" w:line="276" w:lineRule="auto"/>
        <w:contextualSpacing/>
        <w:jc w:val="both"/>
        <w:rPr>
          <w:rFonts w:ascii="Verdana" w:hAnsi="Verdana" w:cs="Arial"/>
        </w:rPr>
      </w:pPr>
    </w:p>
    <w:p w14:paraId="42F521C4" w14:textId="77777777" w:rsidR="00BC5C61" w:rsidRPr="00740A82" w:rsidRDefault="00BC5C61" w:rsidP="004F2789">
      <w:pPr>
        <w:spacing w:after="0" w:line="240" w:lineRule="auto"/>
        <w:contextualSpacing/>
        <w:rPr>
          <w:rFonts w:ascii="Verdana" w:hAnsi="Verdana" w:cs="Arial"/>
          <w:lang w:eastAsia="es-CO"/>
        </w:rPr>
      </w:pPr>
      <w:r w:rsidRPr="00740A82">
        <w:rPr>
          <w:rFonts w:ascii="Verdana" w:eastAsia="Times New Roman" w:hAnsi="Verdana" w:cs="Arial"/>
          <w:lang w:eastAsia="es-CO"/>
        </w:rPr>
        <w:t>Atentamente,</w:t>
      </w:r>
      <w:r w:rsidRPr="00740A82">
        <w:rPr>
          <w:rFonts w:ascii="Verdana" w:hAnsi="Verdana" w:cs="Arial"/>
          <w:lang w:eastAsia="es-CO"/>
        </w:rPr>
        <w:t xml:space="preserve"> </w:t>
      </w:r>
    </w:p>
    <w:p w14:paraId="511D3A50" w14:textId="3B48625B" w:rsidR="00BC5C61" w:rsidRPr="00740A82" w:rsidRDefault="00227458" w:rsidP="004F2789">
      <w:pPr>
        <w:spacing w:after="0" w:line="276" w:lineRule="auto"/>
        <w:contextualSpacing/>
        <w:jc w:val="center"/>
        <w:rPr>
          <w:rFonts w:ascii="Verdana" w:eastAsia="Times New Roman" w:hAnsi="Verdana" w:cs="Arial"/>
          <w:sz w:val="24"/>
          <w:szCs w:val="24"/>
          <w:lang w:eastAsia="es-ES"/>
        </w:rPr>
      </w:pPr>
      <w:r>
        <w:rPr>
          <w:noProof/>
        </w:rPr>
        <w:drawing>
          <wp:inline distT="0" distB="0" distL="0" distR="0" wp14:anchorId="2B40744D" wp14:editId="7222C765">
            <wp:extent cx="3629025" cy="1019175"/>
            <wp:effectExtent l="0" t="0" r="9525" b="9525"/>
            <wp:docPr id="21429319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29025" cy="1019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5C61" w:rsidRPr="00740A82" w14:paraId="629BCEB6" w14:textId="77777777" w:rsidTr="00EF1581">
        <w:trPr>
          <w:trHeight w:val="315"/>
        </w:trPr>
        <w:tc>
          <w:tcPr>
            <w:tcW w:w="893" w:type="dxa"/>
            <w:vAlign w:val="center"/>
            <w:hideMark/>
          </w:tcPr>
          <w:p w14:paraId="6952EE4B" w14:textId="77777777" w:rsidR="00BC5C61" w:rsidRPr="00740A82" w:rsidRDefault="00BC5C61" w:rsidP="004F2789">
            <w:pPr>
              <w:contextualSpacing/>
              <w:rPr>
                <w:rFonts w:ascii="Verdana" w:hAnsi="Verdana" w:cs="Arial"/>
                <w:sz w:val="16"/>
                <w:szCs w:val="16"/>
                <w:lang w:val="es-ES" w:eastAsia="es-ES"/>
              </w:rPr>
            </w:pPr>
            <w:r w:rsidRPr="00740A8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8CAE48" w14:textId="77777777" w:rsidR="00BC5C61" w:rsidRPr="00740A82" w:rsidRDefault="00BC5C61" w:rsidP="004F2789">
            <w:pPr>
              <w:contextualSpacing/>
              <w:rPr>
                <w:rFonts w:ascii="Verdana" w:eastAsia="Arial" w:hAnsi="Verdana" w:cs="Arial"/>
                <w:sz w:val="16"/>
                <w:szCs w:val="16"/>
              </w:rPr>
            </w:pPr>
            <w:r w:rsidRPr="00740A82">
              <w:rPr>
                <w:rFonts w:ascii="Verdana" w:eastAsia="Arial" w:hAnsi="Verdana" w:cs="Arial"/>
                <w:sz w:val="16"/>
                <w:szCs w:val="16"/>
              </w:rPr>
              <w:t>Diana Lucia Saavedra Castañeda </w:t>
            </w:r>
          </w:p>
          <w:p w14:paraId="0906BD60" w14:textId="77777777" w:rsidR="00BC5C61" w:rsidRPr="00740A82" w:rsidRDefault="00BC5C61" w:rsidP="004F2789">
            <w:pPr>
              <w:contextualSpacing/>
              <w:rPr>
                <w:rFonts w:ascii="Verdana" w:eastAsia="Arial" w:hAnsi="Verdana" w:cs="Arial"/>
                <w:sz w:val="16"/>
                <w:szCs w:val="16"/>
              </w:rPr>
            </w:pPr>
            <w:r w:rsidRPr="00740A82">
              <w:rPr>
                <w:rFonts w:ascii="Verdana" w:eastAsia="Arial" w:hAnsi="Verdana" w:cs="Arial"/>
                <w:sz w:val="16"/>
                <w:szCs w:val="16"/>
              </w:rPr>
              <w:t>Contratista de la Subdirección de Gestión Contractual</w:t>
            </w:r>
          </w:p>
        </w:tc>
      </w:tr>
      <w:tr w:rsidR="00BC5C61" w:rsidRPr="00740A82" w14:paraId="228533D2" w14:textId="77777777" w:rsidTr="00EF1581">
        <w:trPr>
          <w:trHeight w:val="330"/>
        </w:trPr>
        <w:tc>
          <w:tcPr>
            <w:tcW w:w="893" w:type="dxa"/>
            <w:vAlign w:val="center"/>
            <w:hideMark/>
          </w:tcPr>
          <w:p w14:paraId="0E55F6DC" w14:textId="77777777" w:rsidR="00BC5C61" w:rsidRPr="00740A82" w:rsidRDefault="00BC5C61" w:rsidP="004F2789">
            <w:pPr>
              <w:contextualSpacing/>
              <w:rPr>
                <w:rFonts w:ascii="Verdana" w:hAnsi="Verdana" w:cs="Arial"/>
                <w:sz w:val="16"/>
                <w:szCs w:val="16"/>
                <w:lang w:val="es-ES" w:eastAsia="es-ES"/>
              </w:rPr>
            </w:pPr>
            <w:r w:rsidRPr="00740A8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EC0820" w14:textId="77777777" w:rsidR="00BC5C61" w:rsidRPr="00740A82" w:rsidRDefault="00BC5C61" w:rsidP="004F2789">
            <w:pPr>
              <w:pStyle w:val="paragraph"/>
              <w:spacing w:before="0" w:beforeAutospacing="0" w:after="0" w:afterAutospacing="0"/>
              <w:contextualSpacing/>
              <w:textAlignment w:val="baseline"/>
              <w:rPr>
                <w:rFonts w:ascii="Verdana" w:hAnsi="Verdana" w:cs="Segoe UI"/>
                <w:sz w:val="16"/>
                <w:szCs w:val="16"/>
              </w:rPr>
            </w:pPr>
            <w:r w:rsidRPr="00740A82">
              <w:rPr>
                <w:rFonts w:ascii="Verdana" w:hAnsi="Verdana" w:cs="Segoe UI"/>
                <w:sz w:val="16"/>
                <w:szCs w:val="16"/>
              </w:rPr>
              <w:t>Juan David Cardenas Cabezas</w:t>
            </w:r>
          </w:p>
          <w:p w14:paraId="040081EE" w14:textId="77777777" w:rsidR="00BC5C61" w:rsidRPr="00740A82" w:rsidRDefault="00BC5C61" w:rsidP="004F2789">
            <w:pPr>
              <w:pStyle w:val="paragraph"/>
              <w:spacing w:before="0" w:beforeAutospacing="0" w:after="0" w:afterAutospacing="0"/>
              <w:contextualSpacing/>
              <w:textAlignment w:val="baseline"/>
              <w:rPr>
                <w:rFonts w:ascii="Verdana" w:hAnsi="Verdana" w:cs="Segoe UI"/>
                <w:sz w:val="16"/>
                <w:szCs w:val="16"/>
              </w:rPr>
            </w:pPr>
            <w:r w:rsidRPr="00740A82">
              <w:rPr>
                <w:rFonts w:ascii="Verdana" w:hAnsi="Verdana" w:cs="Segoe UI"/>
                <w:sz w:val="16"/>
                <w:szCs w:val="16"/>
              </w:rPr>
              <w:t xml:space="preserve">Contratista </w:t>
            </w:r>
            <w:r w:rsidRPr="00740A82">
              <w:rPr>
                <w:rFonts w:ascii="Verdana" w:eastAsia="Arial" w:hAnsi="Verdana" w:cs="Arial"/>
                <w:sz w:val="16"/>
                <w:szCs w:val="16"/>
              </w:rPr>
              <w:t>de la Subdirección de Gestión Contractual </w:t>
            </w:r>
          </w:p>
        </w:tc>
      </w:tr>
      <w:tr w:rsidR="00BC5C61" w:rsidRPr="00E93771" w14:paraId="4A25D052" w14:textId="77777777" w:rsidTr="00EF1581">
        <w:trPr>
          <w:trHeight w:val="300"/>
        </w:trPr>
        <w:tc>
          <w:tcPr>
            <w:tcW w:w="893" w:type="dxa"/>
            <w:vAlign w:val="center"/>
          </w:tcPr>
          <w:p w14:paraId="6B21C725" w14:textId="77777777" w:rsidR="00BC5C61" w:rsidRPr="00740A82" w:rsidRDefault="00BC5C61" w:rsidP="004F2789">
            <w:pPr>
              <w:contextualSpacing/>
              <w:rPr>
                <w:rFonts w:ascii="Verdana" w:hAnsi="Verdana" w:cs="Arial"/>
                <w:sz w:val="16"/>
                <w:szCs w:val="16"/>
                <w:lang w:val="es-ES" w:eastAsia="es-ES"/>
              </w:rPr>
            </w:pPr>
            <w:r w:rsidRPr="00740A8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9E1B7B4" w14:textId="77777777" w:rsidR="00BC5C61" w:rsidRPr="00740A82" w:rsidRDefault="00BC5C61" w:rsidP="004F2789">
            <w:pPr>
              <w:contextualSpacing/>
              <w:rPr>
                <w:rFonts w:ascii="Verdana" w:eastAsia="Calibri" w:hAnsi="Verdana" w:cs="Arial"/>
                <w:sz w:val="16"/>
                <w:szCs w:val="16"/>
                <w:lang w:val="pt-BR" w:eastAsia="es-ES"/>
              </w:rPr>
            </w:pPr>
            <w:r w:rsidRPr="00740A82">
              <w:rPr>
                <w:rFonts w:ascii="Verdana" w:eastAsia="Calibri" w:hAnsi="Verdana" w:cs="Arial"/>
                <w:sz w:val="16"/>
                <w:szCs w:val="16"/>
                <w:lang w:val="pt-BR" w:eastAsia="es-ES"/>
              </w:rPr>
              <w:t>Carolina Quintero Gacharná</w:t>
            </w:r>
          </w:p>
          <w:p w14:paraId="33511F2D" w14:textId="77777777" w:rsidR="00BC5C61" w:rsidRPr="00E93771" w:rsidRDefault="00BC5C61" w:rsidP="004F2789">
            <w:pPr>
              <w:contextualSpacing/>
              <w:rPr>
                <w:rFonts w:ascii="Verdana" w:eastAsia="Calibri" w:hAnsi="Verdana" w:cs="Arial"/>
                <w:sz w:val="16"/>
                <w:szCs w:val="16"/>
                <w:lang w:val="pt-BR" w:eastAsia="es-ES"/>
              </w:rPr>
            </w:pPr>
            <w:r w:rsidRPr="00740A82">
              <w:rPr>
                <w:rFonts w:ascii="Verdana" w:eastAsia="Calibri" w:hAnsi="Verdana" w:cs="Arial"/>
                <w:sz w:val="16"/>
                <w:szCs w:val="16"/>
                <w:lang w:eastAsia="es-ES"/>
              </w:rPr>
              <w:t>Subdirectora</w:t>
            </w:r>
            <w:r w:rsidRPr="00740A82">
              <w:rPr>
                <w:rFonts w:ascii="Verdana" w:eastAsia="Calibri" w:hAnsi="Verdana" w:cs="Arial"/>
                <w:sz w:val="16"/>
                <w:szCs w:val="16"/>
                <w:lang w:val="pt-BR" w:eastAsia="es-ES"/>
              </w:rPr>
              <w:t xml:space="preserve"> de Gestión Contractual ANCP – CCE</w:t>
            </w:r>
          </w:p>
        </w:tc>
      </w:tr>
    </w:tbl>
    <w:p w14:paraId="27B5C4DD" w14:textId="77777777" w:rsidR="00BC5C61" w:rsidRPr="0044528D" w:rsidRDefault="00BC5C61" w:rsidP="004F2789">
      <w:pPr>
        <w:spacing w:after="0"/>
        <w:contextualSpacing/>
        <w:rPr>
          <w:rFonts w:ascii="Verdana" w:hAnsi="Verdana"/>
        </w:rPr>
      </w:pPr>
    </w:p>
    <w:bookmarkEnd w:id="0"/>
    <w:sectPr w:rsidR="00BC5C61"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4AA48" w14:textId="77777777" w:rsidR="00ED7384" w:rsidRDefault="00ED7384" w:rsidP="004A1847">
      <w:pPr>
        <w:spacing w:after="0" w:line="240" w:lineRule="auto"/>
      </w:pPr>
      <w:r>
        <w:separator/>
      </w:r>
    </w:p>
  </w:endnote>
  <w:endnote w:type="continuationSeparator" w:id="0">
    <w:p w14:paraId="5261E1C5" w14:textId="77777777" w:rsidR="00ED7384" w:rsidRDefault="00ED7384" w:rsidP="004A1847">
      <w:pPr>
        <w:spacing w:after="0" w:line="240" w:lineRule="auto"/>
      </w:pPr>
      <w:r>
        <w:continuationSeparator/>
      </w:r>
    </w:p>
  </w:endnote>
  <w:endnote w:type="continuationNotice" w:id="1">
    <w:p w14:paraId="082C8F81" w14:textId="77777777" w:rsidR="00352E10" w:rsidRDefault="00352E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5E92" w14:textId="77777777" w:rsidR="004A1847" w:rsidRDefault="004A1847">
    <w:pPr>
      <w:pStyle w:val="Piedepgina"/>
    </w:pPr>
  </w:p>
  <w:p w14:paraId="30B70C6A"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963FE4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C1E8D03"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B146DF5"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0ED2" w14:textId="77777777" w:rsidR="00ED7384" w:rsidRDefault="00ED7384" w:rsidP="004A1847">
      <w:pPr>
        <w:spacing w:after="0" w:line="240" w:lineRule="auto"/>
      </w:pPr>
      <w:r>
        <w:separator/>
      </w:r>
    </w:p>
  </w:footnote>
  <w:footnote w:type="continuationSeparator" w:id="0">
    <w:p w14:paraId="04A6FECE" w14:textId="77777777" w:rsidR="00ED7384" w:rsidRDefault="00ED7384" w:rsidP="004A1847">
      <w:pPr>
        <w:spacing w:after="0" w:line="240" w:lineRule="auto"/>
      </w:pPr>
      <w:r>
        <w:continuationSeparator/>
      </w:r>
    </w:p>
  </w:footnote>
  <w:footnote w:type="continuationNotice" w:id="1">
    <w:p w14:paraId="1A27A002" w14:textId="77777777" w:rsidR="00352E10" w:rsidRDefault="00352E10">
      <w:pPr>
        <w:spacing w:after="0" w:line="240" w:lineRule="auto"/>
      </w:pPr>
    </w:p>
  </w:footnote>
  <w:footnote w:id="2">
    <w:p w14:paraId="034E1B6B" w14:textId="77777777" w:rsidR="00BC5C61" w:rsidRDefault="00BC5C61" w:rsidP="00BC5C61">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rPr>
        <w:t xml:space="preserve"> </w:t>
      </w:r>
      <w:r w:rsidRPr="009F301B">
        <w:rPr>
          <w:rFonts w:ascii="Verdana" w:hAnsi="Verdana" w:cs="Arial"/>
          <w:color w:val="000000" w:themeColor="text1"/>
          <w:sz w:val="16"/>
          <w:szCs w:val="16"/>
          <w:lang w:val="es-ES"/>
        </w:rPr>
        <w:t xml:space="preserve">Ley 489 de 1998, artículo 38, numeral 2, literal f, y artículo 68, numeral 2: </w:t>
      </w:r>
      <w:r>
        <w:rPr>
          <w:rFonts w:ascii="Verdana" w:hAnsi="Verdana" w:cs="Arial"/>
          <w:color w:val="000000" w:themeColor="text1"/>
          <w:sz w:val="16"/>
          <w:szCs w:val="16"/>
          <w:lang w:val="es-ES"/>
        </w:rPr>
        <w:t>“</w:t>
      </w:r>
      <w:r w:rsidRPr="009F301B">
        <w:rPr>
          <w:rFonts w:ascii="Verdana" w:hAnsi="Verdana" w:cs="Arial"/>
          <w:color w:val="000000" w:themeColor="text1"/>
          <w:sz w:val="16"/>
          <w:szCs w:val="16"/>
          <w:lang w:val="es-ES"/>
        </w:rPr>
        <w:t>Son entidades descentralizadas del orden nacional, los establecimientos públicos, las empresas industriales y comerciales del Estado, las sociedades públicas y las sociedades de economía mixta, las superintendencias y las unidades administrativas especiales</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con</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w:t>
      </w:r>
      <w:r>
        <w:rPr>
          <w:rFonts w:ascii="Verdana" w:hAnsi="Verdana" w:cs="Arial"/>
          <w:color w:val="000000" w:themeColor="text1"/>
          <w:sz w:val="16"/>
          <w:szCs w:val="16"/>
          <w:lang w:val="es-ES"/>
        </w:rPr>
        <w:t xml:space="preserve"> </w:t>
      </w:r>
      <w:r w:rsidRPr="009F301B">
        <w:rPr>
          <w:rFonts w:ascii="Verdana" w:hAnsi="Verdana" w:cs="Arial"/>
          <w:color w:val="000000" w:themeColor="text1"/>
          <w:sz w:val="16"/>
          <w:szCs w:val="16"/>
          <w:lang w:val="es-ES"/>
        </w:rPr>
        <w:t>adscritas</w:t>
      </w:r>
      <w:r>
        <w:rPr>
          <w:rFonts w:ascii="Verdana" w:hAnsi="Verdana" w:cs="Arial"/>
          <w:color w:val="000000" w:themeColor="text1"/>
          <w:sz w:val="16"/>
          <w:szCs w:val="16"/>
          <w:lang w:val="es-ES"/>
        </w:rPr>
        <w:t>”</w:t>
      </w:r>
      <w:r w:rsidRPr="009F301B">
        <w:rPr>
          <w:rFonts w:ascii="Verdana" w:hAnsi="Verdana" w:cs="Arial"/>
          <w:color w:val="000000" w:themeColor="text1"/>
          <w:sz w:val="16"/>
          <w:szCs w:val="16"/>
          <w:lang w:val="es-ES"/>
        </w:rPr>
        <w:t>.</w:t>
      </w:r>
    </w:p>
    <w:p w14:paraId="667E9622" w14:textId="77777777" w:rsidR="00BC5C61" w:rsidRPr="009F301B" w:rsidRDefault="00BC5C61" w:rsidP="00BC5C61">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p>
  </w:footnote>
  <w:footnote w:id="3">
    <w:p w14:paraId="21529463" w14:textId="77777777" w:rsidR="00BC5C61" w:rsidRPr="009F301B" w:rsidRDefault="00BC5C61" w:rsidP="00BC5C61">
      <w:pPr>
        <w:spacing w:after="0" w:line="240" w:lineRule="auto"/>
        <w:ind w:firstLine="709"/>
        <w:contextualSpacing/>
        <w:jc w:val="both"/>
        <w:rPr>
          <w:rFonts w:ascii="Verdana" w:hAnsi="Verdana" w:cs="Arial"/>
          <w:color w:val="000000" w:themeColor="text1"/>
          <w:sz w:val="16"/>
          <w:szCs w:val="16"/>
          <w:lang w:eastAsia="es-MX"/>
        </w:rPr>
      </w:pPr>
      <w:r w:rsidRPr="009F301B">
        <w:rPr>
          <w:rFonts w:ascii="Verdana" w:hAnsi="Verdana" w:cs="Arial"/>
          <w:color w:val="000000" w:themeColor="text1"/>
          <w:sz w:val="16"/>
          <w:szCs w:val="16"/>
          <w:lang w:val="es-ES" w:eastAsia="es-MX"/>
        </w:rPr>
        <w:t xml:space="preserve"> </w:t>
      </w: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lang w:val="es-ES" w:eastAsia="es-MX"/>
        </w:rPr>
        <w:t xml:space="preserve"> Así lo establece la Constitución</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Política, en el 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150,</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7, así como en el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300,</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7</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y</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en el artículo</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313,</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numeral</w:t>
      </w:r>
      <w:r>
        <w:rPr>
          <w:rFonts w:ascii="Verdana" w:hAnsi="Verdana" w:cs="Arial"/>
          <w:color w:val="000000" w:themeColor="text1"/>
          <w:sz w:val="16"/>
          <w:szCs w:val="16"/>
          <w:lang w:val="es-ES" w:eastAsia="es-MX"/>
        </w:rPr>
        <w:t xml:space="preserve"> </w:t>
      </w:r>
      <w:r w:rsidRPr="009F301B">
        <w:rPr>
          <w:rFonts w:ascii="Verdana" w:hAnsi="Verdana" w:cs="Arial"/>
          <w:color w:val="000000" w:themeColor="text1"/>
          <w:sz w:val="16"/>
          <w:szCs w:val="16"/>
          <w:lang w:val="es-ES" w:eastAsia="es-MX"/>
        </w:rPr>
        <w:t>6.</w:t>
      </w:r>
    </w:p>
    <w:p w14:paraId="78135202" w14:textId="77777777" w:rsidR="00BC5C61" w:rsidRPr="009F301B" w:rsidRDefault="00BC5C61" w:rsidP="00BC5C61">
      <w:pPr>
        <w:pStyle w:val="Textonotapie"/>
        <w:ind w:firstLine="709"/>
        <w:contextualSpacing/>
        <w:jc w:val="both"/>
        <w:rPr>
          <w:rFonts w:ascii="Verdana" w:hAnsi="Verdana" w:cs="Arial"/>
          <w:sz w:val="16"/>
          <w:szCs w:val="16"/>
          <w:lang w:val="es-ES"/>
        </w:rPr>
      </w:pPr>
    </w:p>
  </w:footnote>
  <w:footnote w:id="4">
    <w:p w14:paraId="183E11D6" w14:textId="77777777" w:rsidR="00BC5C61" w:rsidRPr="009F301B" w:rsidRDefault="00BC5C61" w:rsidP="00BC5C61">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Las sociedades de economía mixta son una clara manifestación organizacional de la función administrativa. Al respecto, la doctrina colombiana ha considerado que </w:t>
      </w:r>
      <w:r>
        <w:rPr>
          <w:rFonts w:ascii="Verdana" w:hAnsi="Verdana" w:cs="Arial"/>
          <w:sz w:val="16"/>
          <w:szCs w:val="16"/>
        </w:rPr>
        <w:t>“</w:t>
      </w:r>
      <w:r w:rsidRPr="009F301B">
        <w:rPr>
          <w:rFonts w:ascii="Verdana" w:hAnsi="Verdana" w:cs="Arial"/>
          <w:sz w:val="16"/>
          <w:szCs w:val="16"/>
        </w:rPr>
        <w:t>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w:t>
      </w:r>
      <w:r>
        <w:rPr>
          <w:rFonts w:ascii="Verdana" w:hAnsi="Verdana" w:cs="Arial"/>
          <w:sz w:val="16"/>
          <w:szCs w:val="16"/>
        </w:rPr>
        <w:t>”</w:t>
      </w:r>
      <w:r w:rsidRPr="009F301B">
        <w:rPr>
          <w:rFonts w:ascii="Verdana" w:hAnsi="Verdana" w:cs="Arial"/>
          <w:sz w:val="16"/>
          <w:szCs w:val="16"/>
        </w:rPr>
        <w:t xml:space="preserve"> (RINCÓN CÓRDOBA, Jorge Iván. Teoría de la organización administrativa en Colombia, Bogotá: Universidad Externado de Colombia, 2019, pp. 31-32). </w:t>
      </w:r>
    </w:p>
    <w:p w14:paraId="203F0301" w14:textId="77777777" w:rsidR="00BC5C61" w:rsidRPr="009F301B" w:rsidRDefault="00BC5C61" w:rsidP="00BC5C61">
      <w:pPr>
        <w:pStyle w:val="Textonotapie"/>
        <w:ind w:firstLine="709"/>
        <w:contextualSpacing/>
        <w:jc w:val="both"/>
        <w:rPr>
          <w:rFonts w:ascii="Verdana" w:hAnsi="Verdana" w:cs="Arial"/>
          <w:sz w:val="16"/>
          <w:szCs w:val="16"/>
        </w:rPr>
      </w:pPr>
    </w:p>
  </w:footnote>
  <w:footnote w:id="5">
    <w:p w14:paraId="2C63030C" w14:textId="77777777" w:rsidR="00BC5C61" w:rsidRPr="009F301B" w:rsidRDefault="00BC5C61" w:rsidP="00BC5C61">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w:t>
      </w:r>
      <w:r>
        <w:rPr>
          <w:rFonts w:ascii="Verdana" w:hAnsi="Verdana" w:cs="Arial"/>
          <w:sz w:val="16"/>
          <w:szCs w:val="16"/>
        </w:rPr>
        <w:t>“</w:t>
      </w:r>
      <w:r w:rsidRPr="009F301B">
        <w:rPr>
          <w:rFonts w:ascii="Verdana" w:hAnsi="Verdana" w:cs="Arial"/>
          <w:sz w:val="16"/>
          <w:szCs w:val="16"/>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w:t>
      </w:r>
      <w:r>
        <w:rPr>
          <w:rFonts w:ascii="Verdana" w:hAnsi="Verdana" w:cs="Arial"/>
          <w:sz w:val="16"/>
          <w:szCs w:val="16"/>
        </w:rPr>
        <w:t>”</w:t>
      </w:r>
      <w:r w:rsidRPr="009F301B">
        <w:rPr>
          <w:rFonts w:ascii="Verdana" w:hAnsi="Verdana" w:cs="Arial"/>
          <w:sz w:val="16"/>
          <w:szCs w:val="16"/>
        </w:rPr>
        <w:t xml:space="preserve"> (MONTAÑA PLATA, Alberto. Fundamentos de derecho administrativo. Bogotá: Universidad Externado de Colombia, 2010, p. 124).</w:t>
      </w:r>
    </w:p>
    <w:p w14:paraId="6D78BA59" w14:textId="77777777" w:rsidR="00BC5C61" w:rsidRPr="009F301B" w:rsidRDefault="00BC5C61" w:rsidP="00BC5C61">
      <w:pPr>
        <w:pStyle w:val="Textonotapie"/>
        <w:ind w:firstLine="709"/>
        <w:contextualSpacing/>
        <w:jc w:val="both"/>
        <w:rPr>
          <w:rFonts w:ascii="Verdana" w:hAnsi="Verdana" w:cs="Arial"/>
          <w:sz w:val="16"/>
          <w:szCs w:val="16"/>
          <w:lang w:val="es-CO"/>
        </w:rPr>
      </w:pPr>
    </w:p>
  </w:footnote>
  <w:footnote w:id="6">
    <w:p w14:paraId="4B91E41D" w14:textId="77777777" w:rsidR="00BC5C61" w:rsidRPr="009F301B" w:rsidRDefault="00BC5C61" w:rsidP="00BC5C61">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Ley 80 de 1993, artículo 2, literal a):</w:t>
      </w:r>
      <w:bookmarkStart w:id="3" w:name="2"/>
      <w:r w:rsidRPr="009F301B">
        <w:rPr>
          <w:rFonts w:ascii="Verdana" w:hAnsi="Verdana" w:cs="Arial"/>
          <w:sz w:val="16"/>
          <w:szCs w:val="16"/>
        </w:rPr>
        <w:t xml:space="preserve"> </w:t>
      </w:r>
      <w:r>
        <w:rPr>
          <w:rFonts w:ascii="Verdana" w:hAnsi="Verdana" w:cs="Arial"/>
          <w:sz w:val="16"/>
          <w:szCs w:val="16"/>
        </w:rPr>
        <w:t>“</w:t>
      </w:r>
      <w:r w:rsidRPr="009F301B">
        <w:rPr>
          <w:rFonts w:ascii="Verdana" w:hAnsi="Verdana" w:cs="Arial"/>
          <w:sz w:val="16"/>
          <w:szCs w:val="16"/>
        </w:rPr>
        <w:t>Artículo 2o. de la definición de entidades, servidores y servicios públicos.</w:t>
      </w:r>
      <w:bookmarkEnd w:id="3"/>
      <w:r>
        <w:rPr>
          <w:rFonts w:ascii="Verdana" w:hAnsi="Verdana" w:cs="Arial"/>
          <w:sz w:val="16"/>
          <w:szCs w:val="16"/>
        </w:rPr>
        <w:t xml:space="preserve"> </w:t>
      </w:r>
      <w:r w:rsidRPr="009F301B">
        <w:rPr>
          <w:rFonts w:ascii="Verdana" w:hAnsi="Verdana" w:cs="Arial"/>
          <w:sz w:val="16"/>
          <w:szCs w:val="16"/>
        </w:rPr>
        <w:t>Para los solos efectos de esta ley:</w:t>
      </w:r>
    </w:p>
    <w:p w14:paraId="36E90913" w14:textId="77777777" w:rsidR="00BC5C61" w:rsidRPr="009F301B" w:rsidRDefault="00BC5C61" w:rsidP="00BC5C61">
      <w:pPr>
        <w:pStyle w:val="Textonotapie"/>
        <w:ind w:firstLine="708"/>
        <w:contextualSpacing/>
        <w:jc w:val="both"/>
        <w:rPr>
          <w:rFonts w:ascii="Verdana" w:hAnsi="Verdana" w:cs="Arial"/>
          <w:sz w:val="16"/>
          <w:szCs w:val="16"/>
        </w:rPr>
      </w:pPr>
      <w:r w:rsidRPr="009F301B">
        <w:rPr>
          <w:rFonts w:ascii="Verdana" w:hAnsi="Verdana" w:cs="Arial"/>
          <w:sz w:val="16"/>
          <w:szCs w:val="16"/>
        </w:rPr>
        <w:t>1o. Se denominan entidades estatales:</w:t>
      </w:r>
    </w:p>
    <w:p w14:paraId="250DDDE5" w14:textId="77777777" w:rsidR="00BC5C61" w:rsidRPr="009F301B" w:rsidRDefault="00BC5C61" w:rsidP="00BC5C61">
      <w:pPr>
        <w:pStyle w:val="Textonotapie"/>
        <w:ind w:firstLine="708"/>
        <w:contextualSpacing/>
        <w:jc w:val="both"/>
        <w:rPr>
          <w:rFonts w:ascii="Verdana" w:hAnsi="Verdana" w:cs="Arial"/>
          <w:sz w:val="16"/>
          <w:szCs w:val="16"/>
        </w:rPr>
      </w:pPr>
      <w:r w:rsidRPr="009F301B">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w:t>
      </w:r>
      <w:r>
        <w:rPr>
          <w:rFonts w:ascii="Verdana" w:hAnsi="Verdana" w:cs="Arial"/>
          <w:sz w:val="16"/>
          <w:szCs w:val="16"/>
        </w:rPr>
        <w:t xml:space="preserve"> </w:t>
      </w:r>
      <w:r w:rsidRPr="009F301B">
        <w:rPr>
          <w:rFonts w:ascii="Verdana" w:hAnsi="Verdana" w:cs="Arial"/>
          <w:sz w:val="16"/>
          <w:szCs w:val="16"/>
        </w:rPr>
        <w:t>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0065251" w14:textId="77777777" w:rsidR="00BC5C61" w:rsidRDefault="00BC5C61" w:rsidP="00BC5C61">
      <w:pPr>
        <w:pStyle w:val="Textonotapie"/>
        <w:ind w:firstLine="708"/>
        <w:contextualSpacing/>
        <w:jc w:val="both"/>
        <w:rPr>
          <w:rFonts w:ascii="Verdana" w:hAnsi="Verdana" w:cs="Arial"/>
          <w:sz w:val="16"/>
          <w:szCs w:val="16"/>
        </w:rPr>
      </w:pPr>
      <w:r w:rsidRPr="009F301B">
        <w:rPr>
          <w:rFonts w:ascii="Verdana" w:hAnsi="Verdana" w:cs="Arial"/>
          <w:sz w:val="16"/>
          <w:szCs w:val="16"/>
        </w:rPr>
        <w:t>[…]</w:t>
      </w:r>
      <w:r>
        <w:rPr>
          <w:rFonts w:ascii="Verdana" w:hAnsi="Verdana" w:cs="Arial"/>
          <w:sz w:val="16"/>
          <w:szCs w:val="16"/>
        </w:rPr>
        <w:t>”</w:t>
      </w:r>
      <w:r w:rsidRPr="009F301B">
        <w:rPr>
          <w:rFonts w:ascii="Verdana" w:hAnsi="Verdana" w:cs="Arial"/>
          <w:sz w:val="16"/>
          <w:szCs w:val="16"/>
        </w:rPr>
        <w:t>.</w:t>
      </w:r>
    </w:p>
    <w:p w14:paraId="2D90A2C7" w14:textId="77777777" w:rsidR="00BC5C61" w:rsidRPr="009F301B" w:rsidRDefault="00BC5C61" w:rsidP="00BC5C61">
      <w:pPr>
        <w:pStyle w:val="Textonotapie"/>
        <w:ind w:firstLine="708"/>
        <w:contextualSpacing/>
        <w:jc w:val="both"/>
        <w:rPr>
          <w:rFonts w:ascii="Verdana" w:hAnsi="Verdana" w:cs="Arial"/>
          <w:sz w:val="16"/>
          <w:szCs w:val="16"/>
        </w:rPr>
      </w:pPr>
    </w:p>
  </w:footnote>
  <w:footnote w:id="7">
    <w:p w14:paraId="20C16C5C" w14:textId="77777777" w:rsidR="00BC5C61" w:rsidRDefault="00BC5C61" w:rsidP="00BC5C61">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Consejo de Estado, Sala de Consulta y Servicio Civil, Concepto 1127 del 10 de diciembre de 2004. M.P. Enrique José Arboleda Perdomo </w:t>
      </w:r>
    </w:p>
    <w:p w14:paraId="3766C483" w14:textId="77777777" w:rsidR="00BC5C61" w:rsidRPr="009F301B" w:rsidRDefault="00BC5C61" w:rsidP="00BC5C61">
      <w:pPr>
        <w:pStyle w:val="Textonotapie"/>
        <w:ind w:firstLine="708"/>
        <w:contextualSpacing/>
        <w:jc w:val="both"/>
        <w:rPr>
          <w:rFonts w:ascii="Verdana" w:hAnsi="Verdana" w:cs="Arial"/>
          <w:sz w:val="16"/>
          <w:szCs w:val="16"/>
        </w:rPr>
      </w:pPr>
    </w:p>
  </w:footnote>
  <w:footnote w:id="8">
    <w:p w14:paraId="7C8DAD2D" w14:textId="77777777" w:rsidR="00BC5C61" w:rsidRDefault="00BC5C61" w:rsidP="00BC5C61">
      <w:pPr>
        <w:pStyle w:val="Textonotapie"/>
        <w:ind w:firstLine="708"/>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Ley 1150 de 2007, artículo 14: </w:t>
      </w:r>
      <w:r>
        <w:rPr>
          <w:rFonts w:ascii="Verdana" w:hAnsi="Verdana" w:cs="Arial"/>
          <w:sz w:val="16"/>
          <w:szCs w:val="16"/>
        </w:rPr>
        <w:t>“</w:t>
      </w:r>
      <w:r w:rsidRPr="009F301B">
        <w:rPr>
          <w:rFonts w:ascii="Verdana" w:hAnsi="Verdana" w:cs="Arial"/>
          <w:sz w:val="16"/>
          <w:szCs w:val="16"/>
        </w:rPr>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hAnsi="Verdana" w:cs="Arial"/>
          <w:sz w:val="16"/>
          <w:szCs w:val="16"/>
        </w:rPr>
        <w:t>”</w:t>
      </w:r>
      <w:r w:rsidRPr="009F301B">
        <w:rPr>
          <w:rFonts w:ascii="Verdana" w:hAnsi="Verdana" w:cs="Arial"/>
          <w:sz w:val="16"/>
          <w:szCs w:val="16"/>
        </w:rPr>
        <w:t>.</w:t>
      </w:r>
    </w:p>
    <w:p w14:paraId="6239A483" w14:textId="77777777" w:rsidR="00BC5C61" w:rsidRPr="009F301B" w:rsidRDefault="00BC5C61" w:rsidP="00BC5C61">
      <w:pPr>
        <w:pStyle w:val="Textonotapie"/>
        <w:ind w:firstLine="708"/>
        <w:contextualSpacing/>
        <w:jc w:val="both"/>
        <w:rPr>
          <w:rFonts w:ascii="Verdana" w:hAnsi="Verdana" w:cs="Arial"/>
          <w:sz w:val="16"/>
          <w:szCs w:val="16"/>
        </w:rPr>
      </w:pPr>
    </w:p>
  </w:footnote>
  <w:footnote w:id="9">
    <w:p w14:paraId="58691785" w14:textId="77777777" w:rsidR="00BC5C61" w:rsidRPr="009F301B" w:rsidRDefault="00BC5C61" w:rsidP="00BC5C61">
      <w:pPr>
        <w:pStyle w:val="Textonotapie"/>
        <w:ind w:firstLine="709"/>
        <w:contextualSpacing/>
        <w:jc w:val="both"/>
        <w:rPr>
          <w:rFonts w:ascii="Verdana" w:hAnsi="Verdana" w:cs="Arial"/>
          <w:color w:val="000000" w:themeColor="text1"/>
          <w:sz w:val="16"/>
          <w:szCs w:val="16"/>
        </w:rPr>
      </w:pP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w:t>
      </w:r>
      <w:proofErr w:type="gramStart"/>
      <w:r w:rsidRPr="009F301B">
        <w:rPr>
          <w:rFonts w:ascii="Verdana" w:hAnsi="Verdana" w:cs="Arial"/>
          <w:color w:val="000000" w:themeColor="text1"/>
          <w:sz w:val="16"/>
          <w:szCs w:val="16"/>
        </w:rPr>
        <w:t>y</w:t>
      </w:r>
      <w:proofErr w:type="gramEnd"/>
      <w:r w:rsidRPr="009F301B">
        <w:rPr>
          <w:rFonts w:ascii="Verdana" w:hAnsi="Verdana" w:cs="Arial"/>
          <w:color w:val="000000" w:themeColor="text1"/>
          <w:sz w:val="16"/>
          <w:szCs w:val="16"/>
        </w:rPr>
        <w:t xml:space="preserve"> en consecuencia, le es aplicable lo establecido en el artículo 2.2.1.2.1.4.1 del presente decreto.</w:t>
      </w:r>
    </w:p>
    <w:p w14:paraId="52B832AA" w14:textId="77777777" w:rsidR="00BC5C61" w:rsidRPr="009F301B" w:rsidRDefault="00BC5C61" w:rsidP="00BC5C61">
      <w:pPr>
        <w:pStyle w:val="Textonotapie"/>
        <w:ind w:firstLine="709"/>
        <w:contextualSpacing/>
        <w:jc w:val="both"/>
        <w:rPr>
          <w:rFonts w:ascii="Verdana" w:hAnsi="Verdana" w:cs="Arial"/>
          <w:color w:val="000000" w:themeColor="text1"/>
          <w:sz w:val="16"/>
          <w:szCs w:val="16"/>
        </w:rPr>
      </w:pPr>
      <w:r w:rsidRPr="009F301B">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F7C8C6E" w14:textId="77777777" w:rsidR="00BC5C61" w:rsidRPr="009F301B" w:rsidRDefault="00BC5C61" w:rsidP="00BC5C61">
      <w:pPr>
        <w:pStyle w:val="Textonotapie"/>
        <w:ind w:firstLine="709"/>
        <w:contextualSpacing/>
        <w:jc w:val="both"/>
        <w:rPr>
          <w:rFonts w:ascii="Verdana" w:hAnsi="Verdana" w:cs="Arial"/>
          <w:color w:val="000000" w:themeColor="text1"/>
          <w:sz w:val="16"/>
          <w:szCs w:val="16"/>
        </w:rPr>
      </w:pPr>
    </w:p>
  </w:footnote>
  <w:footnote w:id="10">
    <w:p w14:paraId="68244EA5" w14:textId="77777777" w:rsidR="00BC5C61" w:rsidRPr="009F301B" w:rsidRDefault="00BC5C61" w:rsidP="00BC5C61">
      <w:pPr>
        <w:spacing w:after="0" w:line="240" w:lineRule="auto"/>
        <w:ind w:firstLine="709"/>
        <w:contextualSpacing/>
        <w:jc w:val="both"/>
        <w:rPr>
          <w:rFonts w:ascii="Verdana" w:hAnsi="Verdana" w:cs="Arial"/>
          <w:color w:val="000000" w:themeColor="text1"/>
          <w:sz w:val="16"/>
          <w:szCs w:val="16"/>
        </w:rPr>
      </w:pPr>
      <w:r w:rsidRPr="009F301B">
        <w:rPr>
          <w:rStyle w:val="Refdenotaalpie"/>
          <w:rFonts w:ascii="Verdana" w:hAnsi="Verdana" w:cs="Arial"/>
          <w:color w:val="000000" w:themeColor="text1"/>
          <w:sz w:val="16"/>
          <w:szCs w:val="16"/>
        </w:rPr>
        <w:footnoteRef/>
      </w:r>
      <w:r w:rsidRPr="009F301B">
        <w:rPr>
          <w:rStyle w:val="Refdenotaalpie"/>
          <w:rFonts w:ascii="Verdana" w:hAnsi="Verdana" w:cs="Arial"/>
          <w:color w:val="000000" w:themeColor="text1"/>
          <w:sz w:val="16"/>
          <w:szCs w:val="16"/>
        </w:rPr>
        <w:t xml:space="preserve"> </w:t>
      </w:r>
      <w:r w:rsidRPr="009F301B">
        <w:rPr>
          <w:rFonts w:ascii="Verdana" w:hAnsi="Verdana" w:cs="Arial"/>
          <w:color w:val="000000" w:themeColor="text1"/>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3EA055A" w14:textId="77777777" w:rsidR="00BC5C61" w:rsidRPr="009F301B" w:rsidRDefault="00BC5C61" w:rsidP="00BC5C61">
      <w:pPr>
        <w:spacing w:after="0" w:line="240" w:lineRule="auto"/>
        <w:ind w:firstLine="709"/>
        <w:contextualSpacing/>
        <w:jc w:val="both"/>
        <w:rPr>
          <w:rFonts w:ascii="Verdana" w:hAnsi="Verdana" w:cs="Arial"/>
          <w:color w:val="000000" w:themeColor="text1"/>
          <w:sz w:val="16"/>
          <w:szCs w:val="16"/>
        </w:rPr>
      </w:pPr>
    </w:p>
  </w:footnote>
  <w:footnote w:id="11">
    <w:p w14:paraId="53DC3FBC" w14:textId="77777777" w:rsidR="00BC5C61" w:rsidRPr="009F301B" w:rsidRDefault="00BC5C61" w:rsidP="00BC5C61">
      <w:pPr>
        <w:pStyle w:val="Textonotapie"/>
        <w:ind w:firstLine="709"/>
        <w:contextualSpacing/>
        <w:jc w:val="both"/>
        <w:rPr>
          <w:rFonts w:ascii="Verdana" w:hAnsi="Verdana" w:cs="Arial"/>
          <w:color w:val="000000" w:themeColor="text1"/>
          <w:sz w:val="16"/>
          <w:szCs w:val="16"/>
        </w:rPr>
      </w:pPr>
      <w:r w:rsidRPr="009F301B">
        <w:rPr>
          <w:rStyle w:val="Refdenotaalpie"/>
          <w:rFonts w:ascii="Verdana" w:hAnsi="Verdana" w:cs="Arial"/>
          <w:color w:val="000000" w:themeColor="text1"/>
          <w:sz w:val="16"/>
          <w:szCs w:val="16"/>
        </w:rPr>
        <w:footnoteRef/>
      </w:r>
      <w:r w:rsidRPr="009F301B">
        <w:rPr>
          <w:rFonts w:ascii="Verdana" w:hAnsi="Verdana" w:cs="Arial"/>
          <w:color w:val="000000" w:themeColor="text1"/>
          <w:sz w:val="16"/>
          <w:szCs w:val="16"/>
        </w:rPr>
        <w:t xml:space="preserve"> Código Civil: “Artículo 27. Cuando el sentido de la ley sea claro, no se desatenderá su tenor a pretexto de consultar su espíritu”.</w:t>
      </w:r>
    </w:p>
    <w:p w14:paraId="4385FAAB" w14:textId="77777777" w:rsidR="00BC5C61" w:rsidRPr="009F301B" w:rsidRDefault="00BC5C61" w:rsidP="00BC5C61">
      <w:pPr>
        <w:pStyle w:val="Textonotapie"/>
        <w:ind w:firstLine="709"/>
        <w:contextualSpacing/>
        <w:jc w:val="both"/>
        <w:rPr>
          <w:rFonts w:ascii="Verdana" w:hAnsi="Verdana" w:cs="Arial"/>
          <w:color w:val="000000" w:themeColor="text1"/>
          <w:sz w:val="16"/>
          <w:szCs w:val="16"/>
        </w:rPr>
      </w:pPr>
    </w:p>
  </w:footnote>
  <w:footnote w:id="12">
    <w:p w14:paraId="05EE5721" w14:textId="77777777" w:rsidR="00BC5C61" w:rsidRPr="009F301B" w:rsidRDefault="00BC5C61" w:rsidP="00BC5C61">
      <w:pPr>
        <w:pStyle w:val="Textonotapie"/>
        <w:ind w:firstLine="709"/>
        <w:contextualSpacing/>
        <w:jc w:val="both"/>
        <w:rPr>
          <w:rFonts w:ascii="Verdana" w:hAnsi="Verdana" w:cs="Arial"/>
          <w:sz w:val="16"/>
          <w:szCs w:val="16"/>
        </w:rPr>
      </w:pPr>
      <w:r w:rsidRPr="009F301B">
        <w:rPr>
          <w:rStyle w:val="Refdenotaalpie"/>
          <w:rFonts w:ascii="Verdana" w:hAnsi="Verdana" w:cs="Arial"/>
          <w:sz w:val="16"/>
          <w:szCs w:val="16"/>
        </w:rPr>
        <w:footnoteRef/>
      </w:r>
      <w:r w:rsidRPr="009F301B">
        <w:rPr>
          <w:rFonts w:ascii="Verdana" w:hAnsi="Verdana" w:cs="Arial"/>
          <w:sz w:val="16"/>
          <w:szCs w:val="16"/>
        </w:rPr>
        <w:t xml:space="preserve"> Consejo de Estado. Sala de Consulta y Servicio Civil. Concepto de 28 de junio de 2012. Rad: 11001-03-06-000-2012-00016-00(2092). CP: William Zambrano Cetina. </w:t>
      </w:r>
    </w:p>
    <w:p w14:paraId="23913AC6" w14:textId="77777777" w:rsidR="00BC5C61" w:rsidRPr="009F301B" w:rsidRDefault="00BC5C61" w:rsidP="00BC5C61">
      <w:pPr>
        <w:pStyle w:val="Textonotapie"/>
        <w:ind w:firstLine="709"/>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70BC"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E59959E" w14:textId="77777777" w:rsidR="00756841" w:rsidRDefault="00756841">
    <w:pPr>
      <w:pStyle w:val="Encabezado"/>
    </w:pPr>
  </w:p>
  <w:p w14:paraId="3DCDA684" w14:textId="77777777" w:rsidR="00DC39FC" w:rsidRDefault="00DC39FC" w:rsidP="004A305D">
    <w:pPr>
      <w:spacing w:after="0"/>
      <w:rPr>
        <w:rFonts w:ascii="Verdana" w:hAnsi="Verdana"/>
        <w:b/>
        <w:bCs/>
      </w:rPr>
    </w:pPr>
  </w:p>
  <w:p w14:paraId="1579E0CF" w14:textId="77777777" w:rsidR="004A305D" w:rsidRPr="00DC39FC" w:rsidRDefault="004A305D" w:rsidP="004A305D">
    <w:pPr>
      <w:spacing w:after="0"/>
      <w:rPr>
        <w:rFonts w:ascii="Verdana" w:hAnsi="Verdana"/>
        <w:b/>
        <w:bCs/>
      </w:rPr>
    </w:pPr>
    <w:r w:rsidRPr="00DC39FC">
      <w:rPr>
        <w:rFonts w:ascii="Verdana" w:hAnsi="Verdana"/>
        <w:b/>
        <w:bCs/>
      </w:rPr>
      <w:t>FORMATO PQRSD</w:t>
    </w:r>
  </w:p>
  <w:p w14:paraId="7FB22A48" w14:textId="77777777" w:rsidR="004A305D" w:rsidRPr="004A305D" w:rsidRDefault="004A305D" w:rsidP="00B01B1A">
    <w:pPr>
      <w:spacing w:after="0" w:line="120" w:lineRule="auto"/>
      <w:rPr>
        <w:rFonts w:ascii="Century Gothic" w:eastAsia="Geo" w:hAnsi="Century Gothic" w:cs="Geo"/>
        <w:sz w:val="16"/>
        <w:szCs w:val="16"/>
        <w:lang w:eastAsia="es-CO"/>
      </w:rPr>
    </w:pPr>
  </w:p>
  <w:p w14:paraId="710CF820"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B7255C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6150041" o:spid="_x0000_i1025" type="#_x0000_t75" style="width:11.25pt;height:11.25pt;visibility:visible;mso-wrap-style:square">
            <v:imagedata r:id="rId1" o:title=""/>
          </v:shape>
        </w:pict>
      </mc:Choice>
      <mc:Fallback>
        <w:drawing>
          <wp:inline distT="0" distB="0" distL="0" distR="0" wp14:anchorId="68DCA24F" wp14:editId="734B9553">
            <wp:extent cx="142875" cy="142875"/>
            <wp:effectExtent l="0" t="0" r="0" b="0"/>
            <wp:docPr id="226150041" name="Imagen 22615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748528177">
    <w:abstractNumId w:val="9"/>
  </w:num>
  <w:num w:numId="17" w16cid:durableId="1246694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7A05"/>
    <w:rsid w:val="00082362"/>
    <w:rsid w:val="000A683E"/>
    <w:rsid w:val="000B19B9"/>
    <w:rsid w:val="000C5A13"/>
    <w:rsid w:val="000D0334"/>
    <w:rsid w:val="000F6486"/>
    <w:rsid w:val="001152B1"/>
    <w:rsid w:val="00121D23"/>
    <w:rsid w:val="00125105"/>
    <w:rsid w:val="00127233"/>
    <w:rsid w:val="001511A0"/>
    <w:rsid w:val="001B04E8"/>
    <w:rsid w:val="001E4177"/>
    <w:rsid w:val="001F0AED"/>
    <w:rsid w:val="001F7DC6"/>
    <w:rsid w:val="0022606C"/>
    <w:rsid w:val="00227458"/>
    <w:rsid w:val="002421BB"/>
    <w:rsid w:val="0025796E"/>
    <w:rsid w:val="002707A2"/>
    <w:rsid w:val="002951A0"/>
    <w:rsid w:val="002962BC"/>
    <w:rsid w:val="002A093D"/>
    <w:rsid w:val="002A0DD0"/>
    <w:rsid w:val="002A49AC"/>
    <w:rsid w:val="002A64FD"/>
    <w:rsid w:val="002C7A84"/>
    <w:rsid w:val="002E24D1"/>
    <w:rsid w:val="002E4FD9"/>
    <w:rsid w:val="00322A85"/>
    <w:rsid w:val="00324168"/>
    <w:rsid w:val="003448F4"/>
    <w:rsid w:val="00352E10"/>
    <w:rsid w:val="00374F5E"/>
    <w:rsid w:val="00377E3E"/>
    <w:rsid w:val="003A779E"/>
    <w:rsid w:val="003D0F4D"/>
    <w:rsid w:val="003D29C8"/>
    <w:rsid w:val="003D5B0D"/>
    <w:rsid w:val="003E0499"/>
    <w:rsid w:val="003F3941"/>
    <w:rsid w:val="0040116A"/>
    <w:rsid w:val="00406575"/>
    <w:rsid w:val="00414C74"/>
    <w:rsid w:val="0042722E"/>
    <w:rsid w:val="0044528D"/>
    <w:rsid w:val="004A1847"/>
    <w:rsid w:val="004A305D"/>
    <w:rsid w:val="004F21C4"/>
    <w:rsid w:val="004F2789"/>
    <w:rsid w:val="004F685F"/>
    <w:rsid w:val="005566E8"/>
    <w:rsid w:val="00574867"/>
    <w:rsid w:val="00591460"/>
    <w:rsid w:val="005B3816"/>
    <w:rsid w:val="005C3777"/>
    <w:rsid w:val="005C5CDC"/>
    <w:rsid w:val="005D476C"/>
    <w:rsid w:val="00615621"/>
    <w:rsid w:val="006219F8"/>
    <w:rsid w:val="00665199"/>
    <w:rsid w:val="00665D70"/>
    <w:rsid w:val="006900D9"/>
    <w:rsid w:val="006E47E3"/>
    <w:rsid w:val="00706C16"/>
    <w:rsid w:val="00717398"/>
    <w:rsid w:val="00740A82"/>
    <w:rsid w:val="00756841"/>
    <w:rsid w:val="007649AB"/>
    <w:rsid w:val="00771D0C"/>
    <w:rsid w:val="007833AC"/>
    <w:rsid w:val="007B268C"/>
    <w:rsid w:val="007B7171"/>
    <w:rsid w:val="007C0C0F"/>
    <w:rsid w:val="007C3DC2"/>
    <w:rsid w:val="007C7ADB"/>
    <w:rsid w:val="007E4D93"/>
    <w:rsid w:val="007E5497"/>
    <w:rsid w:val="00806F5F"/>
    <w:rsid w:val="00820278"/>
    <w:rsid w:val="00867F95"/>
    <w:rsid w:val="008843B6"/>
    <w:rsid w:val="00891928"/>
    <w:rsid w:val="008A446D"/>
    <w:rsid w:val="008D180B"/>
    <w:rsid w:val="008F0BCD"/>
    <w:rsid w:val="008F0EA7"/>
    <w:rsid w:val="00915FF6"/>
    <w:rsid w:val="00923EEF"/>
    <w:rsid w:val="009419F9"/>
    <w:rsid w:val="0095685E"/>
    <w:rsid w:val="00961B09"/>
    <w:rsid w:val="00965334"/>
    <w:rsid w:val="0097093E"/>
    <w:rsid w:val="00986AC5"/>
    <w:rsid w:val="009A0DFA"/>
    <w:rsid w:val="009B2D26"/>
    <w:rsid w:val="009C71FA"/>
    <w:rsid w:val="009C72E7"/>
    <w:rsid w:val="009C7A9A"/>
    <w:rsid w:val="009D3058"/>
    <w:rsid w:val="009F3A13"/>
    <w:rsid w:val="00A122D3"/>
    <w:rsid w:val="00A17F13"/>
    <w:rsid w:val="00A20739"/>
    <w:rsid w:val="00A33C78"/>
    <w:rsid w:val="00A40D04"/>
    <w:rsid w:val="00A75DAA"/>
    <w:rsid w:val="00AA2559"/>
    <w:rsid w:val="00AB0ADB"/>
    <w:rsid w:val="00B01B1A"/>
    <w:rsid w:val="00B66319"/>
    <w:rsid w:val="00B72CD3"/>
    <w:rsid w:val="00B72FFF"/>
    <w:rsid w:val="00B77219"/>
    <w:rsid w:val="00BC3D36"/>
    <w:rsid w:val="00BC5C61"/>
    <w:rsid w:val="00BD7F72"/>
    <w:rsid w:val="00C04FB3"/>
    <w:rsid w:val="00C330EB"/>
    <w:rsid w:val="00C41061"/>
    <w:rsid w:val="00C754BE"/>
    <w:rsid w:val="00C76B1C"/>
    <w:rsid w:val="00CB6357"/>
    <w:rsid w:val="00CC1B26"/>
    <w:rsid w:val="00D423A2"/>
    <w:rsid w:val="00D520D8"/>
    <w:rsid w:val="00D63AC2"/>
    <w:rsid w:val="00D7383B"/>
    <w:rsid w:val="00DA231B"/>
    <w:rsid w:val="00DC27ED"/>
    <w:rsid w:val="00DC39FC"/>
    <w:rsid w:val="00DF5254"/>
    <w:rsid w:val="00E14EC2"/>
    <w:rsid w:val="00E16408"/>
    <w:rsid w:val="00E20894"/>
    <w:rsid w:val="00E245AB"/>
    <w:rsid w:val="00E2764C"/>
    <w:rsid w:val="00E27F2E"/>
    <w:rsid w:val="00E50AFE"/>
    <w:rsid w:val="00E556F7"/>
    <w:rsid w:val="00E64B88"/>
    <w:rsid w:val="00E66E2D"/>
    <w:rsid w:val="00E75C92"/>
    <w:rsid w:val="00E76DFE"/>
    <w:rsid w:val="00E771DC"/>
    <w:rsid w:val="00E8772A"/>
    <w:rsid w:val="00E90F6B"/>
    <w:rsid w:val="00E92C27"/>
    <w:rsid w:val="00EA0E3D"/>
    <w:rsid w:val="00EA470B"/>
    <w:rsid w:val="00EC38A7"/>
    <w:rsid w:val="00ED7384"/>
    <w:rsid w:val="00EE1AA8"/>
    <w:rsid w:val="00F31EDC"/>
    <w:rsid w:val="00F462B3"/>
    <w:rsid w:val="00F5664F"/>
    <w:rsid w:val="00F666C4"/>
    <w:rsid w:val="00F76AFC"/>
    <w:rsid w:val="00FA47C0"/>
    <w:rsid w:val="00FB5DD1"/>
    <w:rsid w:val="00FC2B5D"/>
    <w:rsid w:val="00FF1449"/>
    <w:rsid w:val="17E199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C5C6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C5C61"/>
    <w:rPr>
      <w:rFonts w:ascii="Geomanist Light" w:hAnsi="Geomanist Light"/>
      <w:lang w:val="es-ES"/>
    </w:rPr>
  </w:style>
  <w:style w:type="character" w:customStyle="1" w:styleId="NormalWebCar">
    <w:name w:val="Normal (Web) Car"/>
    <w:link w:val="NormalWeb"/>
    <w:uiPriority w:val="99"/>
    <w:rsid w:val="00BC5C61"/>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BC5C61"/>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C5C61"/>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arboledaji@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8ae15d26-076e-464e-81a7-6f76a0fb3917"/>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b531b13d-89bf-4629-be1e-22fdf3dd34d4"/>
    <ds:schemaRef ds:uri="http://purl.org/dc/elements/1.1/"/>
  </ds:schemaRefs>
</ds:datastoreItem>
</file>

<file path=customXml/itemProps2.xml><?xml version="1.0" encoding="utf-8"?>
<ds:datastoreItem xmlns:ds="http://schemas.openxmlformats.org/officeDocument/2006/customXml" ds:itemID="{CCDC7FC7-619B-45DC-A975-236C5BFC0D7E}"/>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5636</Words>
  <Characters>31004</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36567</CharactersWithSpaces>
  <SharedDoc>false</SharedDoc>
  <HLinks>
    <vt:vector size="18" baseType="variant">
      <vt:variant>
        <vt:i4>7471218</vt:i4>
      </vt:variant>
      <vt:variant>
        <vt:i4>6</vt:i4>
      </vt:variant>
      <vt:variant>
        <vt:i4>0</vt:i4>
      </vt:variant>
      <vt:variant>
        <vt:i4>5</vt:i4>
      </vt:variant>
      <vt:variant>
        <vt:lpwstr>https://relatoria.colombiacompra.gov.co/busqueda/conceptos</vt:lpwstr>
      </vt:variant>
      <vt:variant>
        <vt:lpwstr/>
      </vt:variant>
      <vt:variant>
        <vt:i4>3276821</vt:i4>
      </vt:variant>
      <vt:variant>
        <vt:i4>3</vt:i4>
      </vt:variant>
      <vt:variant>
        <vt:i4>0</vt:i4>
      </vt:variant>
      <vt:variant>
        <vt:i4>5</vt:i4>
      </vt:variant>
      <vt:variant>
        <vt:lpwstr>http://www.secretariasenado.gov.co/senado/basedoc/ley_1150_2007.html</vt:lpwstr>
      </vt:variant>
      <vt:variant>
        <vt:lpwstr>2</vt:lpwstr>
      </vt:variant>
      <vt:variant>
        <vt:i4>5439541</vt:i4>
      </vt:variant>
      <vt:variant>
        <vt:i4>0</vt:i4>
      </vt:variant>
      <vt:variant>
        <vt:i4>0</vt:i4>
      </vt:variant>
      <vt:variant>
        <vt:i4>5</vt:i4>
      </vt:variant>
      <vt:variant>
        <vt:lpwstr>mailto:juan.arboledaji@gmail.com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2025-03-10T22:55:00Z</dcterms:created>
  <dcterms:modified xsi:type="dcterms:W3CDTF">2025-03-10T22:55:00Z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