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E656E" w14:textId="77777777" w:rsidR="00B06E0C" w:rsidRPr="00F95886" w:rsidRDefault="00B06E0C" w:rsidP="00B06E0C">
      <w:pPr>
        <w:jc w:val="right"/>
        <w:rPr>
          <w:rFonts w:ascii="Arial" w:hAnsi="Arial" w:cs="Arial"/>
          <w:b/>
          <w:color w:val="000000" w:themeColor="text1"/>
          <w:sz w:val="16"/>
          <w:szCs w:val="16"/>
          <w:lang w:eastAsia="es-ES"/>
        </w:rPr>
      </w:pPr>
      <w:bookmarkStart w:id="0" w:name="_Hlk28946138"/>
      <w:bookmarkStart w:id="1" w:name="_Hlk29548183"/>
      <w:r w:rsidRPr="00F95886">
        <w:rPr>
          <w:rFonts w:ascii="Arial" w:hAnsi="Arial" w:cs="Arial"/>
          <w:b/>
          <w:color w:val="000000" w:themeColor="text1"/>
          <w:sz w:val="21"/>
          <w:szCs w:val="21"/>
          <w:lang w:eastAsia="es-ES"/>
        </w:rPr>
        <w:tab/>
      </w:r>
      <w:r w:rsidRPr="00F95886">
        <w:rPr>
          <w:rFonts w:ascii="Arial" w:hAnsi="Arial" w:cs="Arial"/>
          <w:b/>
          <w:color w:val="000000" w:themeColor="text1"/>
          <w:sz w:val="16"/>
          <w:szCs w:val="16"/>
          <w:lang w:eastAsia="es-ES"/>
        </w:rPr>
        <w:t>CCE-DES-FM-17</w:t>
      </w:r>
    </w:p>
    <w:p w14:paraId="2925D5F3" w14:textId="77777777" w:rsidR="00B06E0C" w:rsidRPr="00685238" w:rsidRDefault="00B06E0C" w:rsidP="00B06E0C">
      <w:pPr>
        <w:jc w:val="both"/>
        <w:rPr>
          <w:rFonts w:ascii="Arial" w:eastAsia="Calibri" w:hAnsi="Arial" w:cs="Arial"/>
          <w:b/>
          <w:color w:val="000000" w:themeColor="text1"/>
          <w:sz w:val="16"/>
          <w:szCs w:val="16"/>
        </w:rPr>
      </w:pPr>
    </w:p>
    <w:p w14:paraId="2B8D8C78" w14:textId="77777777" w:rsidR="00B06E0C" w:rsidRPr="00F95886" w:rsidRDefault="00B06E0C" w:rsidP="00B06E0C">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REGIMEN DE </w:t>
      </w:r>
      <w:r w:rsidRPr="00F95886">
        <w:rPr>
          <w:rFonts w:ascii="Arial" w:eastAsia="Calibri" w:hAnsi="Arial" w:cs="Arial"/>
          <w:b/>
          <w:bCs/>
          <w:color w:val="000000" w:themeColor="text1"/>
          <w:sz w:val="22"/>
          <w:lang w:val="es-ES_tradnl"/>
        </w:rPr>
        <w:t xml:space="preserve">INHABILIDADES E INCOMPATIBILIDADES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Concepto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Principio de legalidad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Interpretación restrictiva</w:t>
      </w:r>
    </w:p>
    <w:p w14:paraId="70529A81" w14:textId="77777777" w:rsidR="00B06E0C" w:rsidRPr="00F95886" w:rsidRDefault="00B06E0C" w:rsidP="00B06E0C">
      <w:pPr>
        <w:jc w:val="both"/>
        <w:rPr>
          <w:rFonts w:ascii="Arial" w:eastAsia="Calibri" w:hAnsi="Arial" w:cs="Arial"/>
          <w:b/>
          <w:bCs/>
          <w:color w:val="000000" w:themeColor="text1"/>
          <w:sz w:val="20"/>
          <w:szCs w:val="20"/>
          <w:lang w:val="es-ES_tradnl"/>
        </w:rPr>
      </w:pPr>
    </w:p>
    <w:p w14:paraId="2BFE2892" w14:textId="77777777" w:rsidR="00B06E0C" w:rsidRDefault="00B06E0C" w:rsidP="00B06E0C">
      <w:pPr>
        <w:spacing w:after="120"/>
        <w:jc w:val="both"/>
        <w:rPr>
          <w:rFonts w:ascii="Arial" w:eastAsia="Calibri" w:hAnsi="Arial" w:cs="Arial"/>
          <w:color w:val="000000" w:themeColor="text1"/>
          <w:sz w:val="20"/>
          <w:szCs w:val="20"/>
          <w:lang w:val="es-ES_tradnl"/>
        </w:rPr>
      </w:pPr>
      <w:r w:rsidRPr="00F95886">
        <w:rPr>
          <w:rFonts w:ascii="Arial" w:eastAsia="Calibri" w:hAnsi="Arial" w:cs="Arial"/>
          <w:color w:val="000000" w:themeColor="text1"/>
          <w:sz w:val="20"/>
          <w:szCs w:val="20"/>
          <w:lang w:val="es-ES_tradnl"/>
        </w:rPr>
        <w:t xml:space="preserve">El régimen de inhabilidades e incompatibilidades opera como un límite o restricción a la capacidad para presentar ofertas en los procedimientos de selección y para celebrar contratos estatales, que busca salvaguardar principios como la probidad y la transparencia en la actividad de adquisición de bienes y servicios por parte de las entidades públicas. </w:t>
      </w:r>
    </w:p>
    <w:p w14:paraId="50673D7C" w14:textId="77777777" w:rsidR="00B06E0C" w:rsidRDefault="00B06E0C" w:rsidP="00B06E0C">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23AE8CB9" w14:textId="77777777" w:rsidR="00B06E0C" w:rsidRDefault="00B06E0C" w:rsidP="00B06E0C">
      <w:pPr>
        <w:spacing w:after="120"/>
        <w:jc w:val="both"/>
        <w:rPr>
          <w:rFonts w:ascii="Arial" w:eastAsia="Calibri" w:hAnsi="Arial" w:cs="Arial"/>
          <w:color w:val="000000" w:themeColor="text1"/>
          <w:sz w:val="20"/>
          <w:szCs w:val="20"/>
          <w:lang w:val="es-ES_tradnl"/>
        </w:rPr>
      </w:pPr>
      <w:r w:rsidRPr="00F95886">
        <w:rPr>
          <w:rFonts w:ascii="Arial" w:eastAsia="Calibri" w:hAnsi="Arial" w:cs="Arial"/>
          <w:color w:val="000000" w:themeColor="text1"/>
          <w:sz w:val="20"/>
          <w:szCs w:val="20"/>
          <w:lang w:val="es-ES_tradnl"/>
        </w:rPr>
        <w:t xml:space="preserve">Las </w:t>
      </w:r>
      <w:r w:rsidRPr="00F95886">
        <w:rPr>
          <w:rFonts w:ascii="Arial" w:eastAsia="Calibri" w:hAnsi="Arial" w:cs="Arial"/>
          <w:i/>
          <w:iCs/>
          <w:color w:val="000000" w:themeColor="text1"/>
          <w:sz w:val="20"/>
          <w:szCs w:val="20"/>
          <w:lang w:val="es-ES_tradnl"/>
        </w:rPr>
        <w:t>inhabilidades</w:t>
      </w:r>
      <w:r w:rsidRPr="00F95886">
        <w:rPr>
          <w:rFonts w:ascii="Arial" w:eastAsia="Calibri" w:hAnsi="Arial" w:cs="Arial"/>
          <w:color w:val="000000" w:themeColor="text1"/>
          <w:sz w:val="20"/>
          <w:szCs w:val="20"/>
          <w:lang w:val="es-ES_tradnl"/>
        </w:rPr>
        <w:t xml:space="preserve">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w:t>
      </w:r>
      <w:r w:rsidRPr="00F95886">
        <w:rPr>
          <w:rFonts w:ascii="Arial" w:eastAsia="Calibri" w:hAnsi="Arial" w:cs="Arial"/>
          <w:i/>
          <w:iCs/>
          <w:color w:val="000000" w:themeColor="text1"/>
          <w:sz w:val="20"/>
          <w:szCs w:val="20"/>
          <w:lang w:val="es-ES_tradnl"/>
        </w:rPr>
        <w:t>incompatibilidades</w:t>
      </w:r>
      <w:r w:rsidRPr="00F95886">
        <w:rPr>
          <w:rFonts w:ascii="Arial" w:eastAsia="Calibri" w:hAnsi="Arial"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7A596467" w14:textId="77777777" w:rsidR="00B06E0C" w:rsidRDefault="00B06E0C" w:rsidP="00B06E0C">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526DC365" w14:textId="77777777" w:rsidR="00B06E0C" w:rsidRPr="00F95886" w:rsidRDefault="00B06E0C" w:rsidP="00B06E0C">
      <w:pPr>
        <w:jc w:val="both"/>
        <w:rPr>
          <w:rFonts w:ascii="Arial" w:eastAsia="Calibri" w:hAnsi="Arial" w:cs="Arial"/>
          <w:color w:val="000000" w:themeColor="text1"/>
          <w:sz w:val="20"/>
          <w:szCs w:val="20"/>
          <w:lang w:val="es-ES_tradnl"/>
        </w:rPr>
      </w:pPr>
      <w:r w:rsidRPr="00F95886">
        <w:rPr>
          <w:rFonts w:ascii="Arial" w:eastAsia="Calibri" w:hAnsi="Arial" w:cs="Arial"/>
          <w:color w:val="000000" w:themeColor="text1"/>
          <w:sz w:val="20"/>
          <w:szCs w:val="20"/>
          <w:lang w:val="es-ES_tradn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57EDDCD2" w14:textId="77777777" w:rsidR="00B06E0C" w:rsidRPr="00F95886" w:rsidRDefault="00B06E0C" w:rsidP="00B06E0C">
      <w:pPr>
        <w:jc w:val="both"/>
        <w:rPr>
          <w:rFonts w:ascii="Arial" w:eastAsia="Calibri" w:hAnsi="Arial" w:cs="Arial"/>
          <w:color w:val="000000" w:themeColor="text1"/>
          <w:sz w:val="20"/>
          <w:szCs w:val="20"/>
          <w:lang w:val="es-ES_tradnl"/>
        </w:rPr>
      </w:pPr>
    </w:p>
    <w:p w14:paraId="5B3D4A0A" w14:textId="0D17B960" w:rsidR="00B06E0C" w:rsidRPr="00F95886" w:rsidRDefault="00B06E0C" w:rsidP="00B06E0C">
      <w:pPr>
        <w:jc w:val="both"/>
        <w:rPr>
          <w:rFonts w:ascii="Arial" w:hAnsi="Arial" w:cs="Arial"/>
          <w:b/>
          <w:bCs/>
          <w:color w:val="000000" w:themeColor="text1"/>
          <w:sz w:val="22"/>
          <w:lang w:val="es-ES_tradnl"/>
        </w:rPr>
      </w:pPr>
      <w:r w:rsidRPr="00F95886">
        <w:rPr>
          <w:rFonts w:ascii="Arial" w:hAnsi="Arial" w:cs="Arial"/>
          <w:b/>
          <w:bCs/>
          <w:color w:val="000000" w:themeColor="text1"/>
          <w:sz w:val="22"/>
          <w:lang w:val="es-ES_tradnl"/>
        </w:rPr>
        <w:t xml:space="preserve">CONTRATO DE PRESTACIÓN DE SERVICIOS PROFESIONALES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Concepto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w:t>
      </w:r>
      <w:r w:rsidR="00692B02">
        <w:rPr>
          <w:rFonts w:ascii="Arial" w:hAnsi="Arial" w:cs="Arial"/>
          <w:b/>
          <w:bCs/>
          <w:color w:val="000000" w:themeColor="text1"/>
          <w:sz w:val="22"/>
          <w:lang w:val="es-ES_tradnl"/>
        </w:rPr>
        <w:t xml:space="preserve">Celebración </w:t>
      </w:r>
      <w:r w:rsidR="00692B02" w:rsidRPr="00F95886">
        <w:rPr>
          <w:rFonts w:ascii="Arial" w:eastAsia="Calibri" w:hAnsi="Arial" w:cs="Arial"/>
          <w:b/>
          <w:color w:val="000000" w:themeColor="text1"/>
          <w:sz w:val="22"/>
        </w:rPr>
        <w:t>–</w:t>
      </w:r>
      <w:r w:rsidR="00692B02">
        <w:rPr>
          <w:rFonts w:ascii="Arial" w:eastAsia="Calibri" w:hAnsi="Arial" w:cs="Arial"/>
          <w:b/>
          <w:color w:val="000000" w:themeColor="text1"/>
          <w:sz w:val="22"/>
        </w:rPr>
        <w:t xml:space="preserve"> </w:t>
      </w:r>
      <w:r w:rsidR="00692B02">
        <w:rPr>
          <w:rFonts w:ascii="Arial" w:hAnsi="Arial" w:cs="Arial"/>
          <w:b/>
          <w:bCs/>
          <w:color w:val="000000" w:themeColor="text1"/>
          <w:sz w:val="22"/>
          <w:lang w:val="es-ES_tradnl"/>
        </w:rPr>
        <w:t xml:space="preserve">Requisitos </w:t>
      </w:r>
      <w:r w:rsidR="00692B02" w:rsidRPr="00F95886">
        <w:rPr>
          <w:rFonts w:ascii="Arial" w:eastAsia="Calibri" w:hAnsi="Arial" w:cs="Arial"/>
          <w:b/>
          <w:color w:val="000000" w:themeColor="text1"/>
          <w:sz w:val="22"/>
        </w:rPr>
        <w:t>–</w:t>
      </w:r>
      <w:r w:rsidR="00692B02">
        <w:rPr>
          <w:rFonts w:ascii="Arial" w:eastAsia="Calibri" w:hAnsi="Arial" w:cs="Arial"/>
          <w:b/>
          <w:color w:val="000000" w:themeColor="text1"/>
          <w:sz w:val="22"/>
        </w:rPr>
        <w:t xml:space="preserve"> L</w:t>
      </w:r>
      <w:bookmarkStart w:id="2" w:name="_GoBack"/>
      <w:bookmarkEnd w:id="2"/>
      <w:r w:rsidRPr="00F95886">
        <w:rPr>
          <w:rFonts w:ascii="Arial" w:hAnsi="Arial" w:cs="Arial"/>
          <w:b/>
          <w:bCs/>
          <w:color w:val="000000" w:themeColor="text1"/>
          <w:sz w:val="22"/>
          <w:lang w:val="es-ES_tradnl"/>
        </w:rPr>
        <w:t xml:space="preserve">ímites </w:t>
      </w:r>
    </w:p>
    <w:p w14:paraId="594E5519" w14:textId="77777777" w:rsidR="00B06E0C" w:rsidRPr="00F95886" w:rsidRDefault="00B06E0C" w:rsidP="00B06E0C">
      <w:pPr>
        <w:jc w:val="both"/>
        <w:rPr>
          <w:rFonts w:ascii="Arial" w:hAnsi="Arial" w:cs="Arial"/>
          <w:color w:val="000000" w:themeColor="text1"/>
          <w:sz w:val="20"/>
          <w:szCs w:val="20"/>
          <w:lang w:val="es-ES_tradnl"/>
        </w:rPr>
      </w:pPr>
    </w:p>
    <w:p w14:paraId="2D237667" w14:textId="77777777" w:rsidR="00B06E0C" w:rsidRDefault="00B06E0C" w:rsidP="00B06E0C">
      <w:pPr>
        <w:spacing w:after="120"/>
        <w:jc w:val="both"/>
        <w:rPr>
          <w:rFonts w:ascii="Arial" w:eastAsia="Calibri" w:hAnsi="Arial" w:cs="Arial"/>
          <w:color w:val="000000" w:themeColor="text1"/>
          <w:sz w:val="20"/>
          <w:szCs w:val="20"/>
          <w:lang w:val="es-ES_tradnl"/>
        </w:rPr>
      </w:pPr>
      <w:r w:rsidRPr="003C24CD">
        <w:rPr>
          <w:rFonts w:ascii="Arial" w:eastAsia="Calibri" w:hAnsi="Arial" w:cs="Arial"/>
          <w:color w:val="000000" w:themeColor="text1"/>
          <w:sz w:val="20"/>
          <w:szCs w:val="20"/>
          <w:lang w:val="es-ES_tradnl"/>
        </w:rPr>
        <w:t xml:space="preserve">El contrato de prestación de servicios profesionales es uno de los tipos contractuales consagrados en el Estatuto General de Contratación de la Administración Pública, que pueden celebrar las entidades estatales. </w:t>
      </w:r>
    </w:p>
    <w:p w14:paraId="44820A7C" w14:textId="77777777" w:rsidR="00B06E0C" w:rsidRPr="003C24CD" w:rsidRDefault="00B06E0C" w:rsidP="00B06E0C">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4BD9124F" w14:textId="77777777" w:rsidR="00B06E0C" w:rsidRPr="00F95886" w:rsidRDefault="00B06E0C" w:rsidP="00B06E0C">
      <w:pPr>
        <w:jc w:val="both"/>
        <w:rPr>
          <w:rFonts w:ascii="Arial" w:eastAsia="Calibri" w:hAnsi="Arial" w:cs="Arial"/>
          <w:color w:val="000000" w:themeColor="text1"/>
          <w:sz w:val="20"/>
          <w:szCs w:val="20"/>
          <w:lang w:val="es-ES_tradnl"/>
        </w:rPr>
      </w:pPr>
      <w:r w:rsidRPr="003C24CD">
        <w:rPr>
          <w:rFonts w:ascii="Arial" w:eastAsia="Calibri" w:hAnsi="Arial" w:cs="Arial"/>
          <w:color w:val="000000" w:themeColor="text1"/>
          <w:sz w:val="20"/>
          <w:szCs w:val="20"/>
          <w:lang w:val="es-ES_tradnl"/>
        </w:rPr>
        <w:t>En tal sentido, se trata de un contrato típico, ya que se encuentra definido en la ley. Sus principales características son: i)</w:t>
      </w:r>
      <w:r w:rsidRPr="00F95886">
        <w:rPr>
          <w:rFonts w:ascii="Arial" w:hAnsi="Arial" w:cs="Arial"/>
          <w:color w:val="000000" w:themeColor="text1"/>
          <w:sz w:val="20"/>
          <w:szCs w:val="20"/>
          <w:lang w:val="es-ES_tradnl"/>
        </w:rPr>
        <w:t xml:space="preserve">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F95886">
        <w:rPr>
          <w:rFonts w:ascii="Arial" w:hAnsi="Arial" w:cs="Arial"/>
          <w:i/>
          <w:color w:val="000000" w:themeColor="text1"/>
          <w:sz w:val="20"/>
          <w:szCs w:val="20"/>
          <w:lang w:val="es-ES_tradnl"/>
        </w:rPr>
        <w:t>subordinación y dependencia</w:t>
      </w:r>
      <w:r w:rsidRPr="00F95886">
        <w:rPr>
          <w:rFonts w:ascii="Arial" w:hAnsi="Arial" w:cs="Arial"/>
          <w:color w:val="000000" w:themeColor="text1"/>
          <w:sz w:val="20"/>
          <w:szCs w:val="20"/>
          <w:lang w:val="es-ES_tradnl"/>
        </w:rPr>
        <w:t xml:space="preserve"> que es uno de los elementos constitutivos del vínculo laboral; iv) debe ser temporal; v) hacen parte del género denominado </w:t>
      </w:r>
      <w:r w:rsidRPr="00F95886">
        <w:rPr>
          <w:rFonts w:ascii="Arial" w:hAnsi="Arial" w:cs="Arial"/>
          <w:i/>
          <w:color w:val="000000" w:themeColor="text1"/>
          <w:sz w:val="20"/>
          <w:szCs w:val="20"/>
          <w:lang w:val="es-ES_tradnl"/>
        </w:rPr>
        <w:t>contratos de prestación de servicios</w:t>
      </w:r>
      <w:r w:rsidRPr="00F95886">
        <w:rPr>
          <w:rFonts w:ascii="Arial" w:hAnsi="Arial" w:cs="Arial"/>
          <w:color w:val="000000" w:themeColor="text1"/>
          <w:sz w:val="20"/>
          <w:szCs w:val="20"/>
          <w:lang w:val="es-ES_tradnl"/>
        </w:rPr>
        <w:t xml:space="preserve">, dentro del cual también se ubican, como especies, los contratos de prestación de servicios de apoyo a la gestión y los contratos de prestación de servicios artísticos; vi) su celebración debe realizarse a través de la modalidad de </w:t>
      </w:r>
      <w:r w:rsidRPr="00F95886">
        <w:rPr>
          <w:rFonts w:ascii="Arial" w:hAnsi="Arial" w:cs="Arial"/>
          <w:color w:val="000000" w:themeColor="text1"/>
          <w:sz w:val="20"/>
          <w:szCs w:val="20"/>
          <w:lang w:val="es-ES_tradnl"/>
        </w:rPr>
        <w:lastRenderedPageBreak/>
        <w:t>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61A043AE" w14:textId="77777777" w:rsidR="00B06E0C" w:rsidRPr="00F95886" w:rsidRDefault="00B06E0C" w:rsidP="00B06E0C">
      <w:pPr>
        <w:jc w:val="both"/>
        <w:rPr>
          <w:rFonts w:ascii="Arial" w:hAnsi="Arial" w:cs="Arial"/>
          <w:color w:val="000000" w:themeColor="text1"/>
          <w:sz w:val="20"/>
          <w:szCs w:val="20"/>
          <w:lang w:val="es-ES_tradnl"/>
        </w:rPr>
      </w:pPr>
    </w:p>
    <w:p w14:paraId="5C514207" w14:textId="77777777" w:rsidR="00B06E0C" w:rsidRPr="00F95886" w:rsidRDefault="00B06E0C" w:rsidP="00B06E0C">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PRESTACION DE SERVICIOS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hAnsi="Arial" w:cs="Arial"/>
          <w:b/>
          <w:bCs/>
          <w:color w:val="000000" w:themeColor="text1"/>
          <w:sz w:val="22"/>
          <w:lang w:val="es-ES_tradnl"/>
        </w:rPr>
        <w:t xml:space="preserve">Celebración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hAnsi="Arial" w:cs="Arial"/>
          <w:b/>
          <w:bCs/>
          <w:color w:val="000000" w:themeColor="text1"/>
          <w:sz w:val="22"/>
          <w:lang w:val="es-ES_tradnl"/>
        </w:rPr>
        <w:t xml:space="preserve">Simultaneidad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Posibilidad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Ausencia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I</w:t>
      </w:r>
      <w:r w:rsidRPr="00F95886">
        <w:rPr>
          <w:rFonts w:ascii="Arial" w:hAnsi="Arial" w:cs="Arial"/>
          <w:b/>
          <w:bCs/>
          <w:color w:val="000000" w:themeColor="text1"/>
          <w:sz w:val="22"/>
          <w:lang w:val="es-ES_tradnl"/>
        </w:rPr>
        <w:t>nhabilidad e incompatibilidad</w:t>
      </w:r>
    </w:p>
    <w:p w14:paraId="345EDBE3" w14:textId="77777777" w:rsidR="00B06E0C" w:rsidRPr="00F95886" w:rsidRDefault="00B06E0C" w:rsidP="00B06E0C">
      <w:pPr>
        <w:jc w:val="both"/>
        <w:rPr>
          <w:rFonts w:ascii="Arial" w:hAnsi="Arial" w:cs="Arial"/>
          <w:color w:val="000000" w:themeColor="text1"/>
          <w:sz w:val="20"/>
          <w:szCs w:val="20"/>
          <w:lang w:val="es-ES_tradnl"/>
        </w:rPr>
      </w:pPr>
    </w:p>
    <w:p w14:paraId="36266909" w14:textId="77777777" w:rsidR="00B06E0C" w:rsidRDefault="00B06E0C" w:rsidP="00B06E0C">
      <w:pPr>
        <w:spacing w:after="120"/>
        <w:jc w:val="both"/>
        <w:rPr>
          <w:rFonts w:ascii="Arial" w:hAnsi="Arial" w:cs="Arial"/>
          <w:color w:val="000000" w:themeColor="text1"/>
          <w:sz w:val="20"/>
          <w:szCs w:val="20"/>
          <w:lang w:val="es-ES_tradnl"/>
        </w:rPr>
      </w:pPr>
      <w:r w:rsidRPr="00F95886">
        <w:rPr>
          <w:rFonts w:ascii="Arial" w:hAnsi="Arial" w:cs="Arial"/>
          <w:color w:val="000000" w:themeColor="text1"/>
          <w:sz w:val="20"/>
          <w:szCs w:val="20"/>
          <w:lang w:val="es-ES_tradnl"/>
        </w:rPr>
        <w:t xml:space="preserve">Una vez analizado el régimen de inhabilidades e incompatibilidades previsto para la contratación estatal, así como los requisitos y límites de los contratos de prestación de servicios profesionales, se concluye que no existe una inhabilidad, incompatibilidad o prohibición de otra naturaleza, para que una entidad estatal celebre dos o más contratos de prestación de servicios profesionales con una misma persona, así dichos contratos coexistan en el tiempo. </w:t>
      </w:r>
    </w:p>
    <w:p w14:paraId="7A984260" w14:textId="77777777" w:rsidR="00B06E0C" w:rsidRDefault="00B06E0C" w:rsidP="00B06E0C">
      <w:pPr>
        <w:spacing w:after="120"/>
        <w:jc w:val="both"/>
        <w:rPr>
          <w:rFonts w:ascii="Arial" w:hAnsi="Arial" w:cs="Arial"/>
          <w:color w:val="000000" w:themeColor="text1"/>
          <w:sz w:val="20"/>
          <w:szCs w:val="20"/>
          <w:lang w:val="es-ES_tradnl"/>
        </w:rPr>
      </w:pPr>
      <w:r w:rsidRPr="00F95886">
        <w:rPr>
          <w:rFonts w:ascii="Arial" w:hAnsi="Arial" w:cs="Arial"/>
          <w:color w:val="000000" w:themeColor="text1"/>
          <w:sz w:val="20"/>
          <w:szCs w:val="20"/>
          <w:lang w:val="es-ES_tradnl"/>
        </w:rPr>
        <w:t xml:space="preserve">La anterior conclusión se apoya en la idea de que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Y, precisamente, al leer las causales previstas en la Constitución, así como en el artículo 8 de la Ley 80 de 1993 y en otras disposiciones complementarias, no se observa una prohibición para que una misma persona natural preste sus servicios profesionales a una entidad, a través de contratos distintos y concomitantes. </w:t>
      </w:r>
    </w:p>
    <w:p w14:paraId="3E376159" w14:textId="77777777" w:rsidR="00B06E0C" w:rsidRPr="00F95886" w:rsidRDefault="00B06E0C" w:rsidP="00B06E0C">
      <w:pPr>
        <w:jc w:val="both"/>
        <w:rPr>
          <w:rFonts w:ascii="Arial" w:hAnsi="Arial" w:cs="Arial"/>
          <w:color w:val="000000" w:themeColor="text1"/>
          <w:sz w:val="20"/>
          <w:szCs w:val="20"/>
          <w:lang w:val="es-ES_tradnl"/>
        </w:rPr>
      </w:pPr>
      <w:r w:rsidRPr="00F95886">
        <w:rPr>
          <w:rFonts w:ascii="Arial" w:hAnsi="Arial" w:cs="Arial"/>
          <w:color w:val="000000" w:themeColor="text1"/>
          <w:sz w:val="20"/>
          <w:szCs w:val="20"/>
          <w:lang w:val="es-ES_tradnl"/>
        </w:rPr>
        <w:t xml:space="preserve">Sin embargo, el hecho de que no haya una causal de inhabilidad o de incompatibilidad para que una persona celebre dos o más contratos de prestación de servicios profesionales con una entidad, no significa, necesariamente, que aquello se pueda. En otras palabras, es posible que no se cumplan los requisitos a los que se hizo referencia en el numeral 2.2. de este concepto, y que, por tanto, dicha concurrencia de contratos esté proscrita en un caso concreto. </w:t>
      </w:r>
    </w:p>
    <w:p w14:paraId="6D9E7290" w14:textId="77777777" w:rsidR="00B06E0C" w:rsidRPr="00F95886" w:rsidRDefault="00B06E0C" w:rsidP="00B06E0C">
      <w:pPr>
        <w:spacing w:line="276" w:lineRule="auto"/>
        <w:jc w:val="both"/>
        <w:rPr>
          <w:rFonts w:ascii="Arial" w:hAnsi="Arial" w:cs="Arial"/>
          <w:color w:val="000000" w:themeColor="text1"/>
          <w:sz w:val="20"/>
          <w:szCs w:val="20"/>
          <w:lang w:val="es-ES_tradnl"/>
        </w:rPr>
      </w:pPr>
    </w:p>
    <w:p w14:paraId="729DF958" w14:textId="77777777" w:rsidR="00B06E0C" w:rsidRPr="00F95886" w:rsidRDefault="00B06E0C" w:rsidP="00B06E0C">
      <w:pPr>
        <w:spacing w:line="276" w:lineRule="auto"/>
        <w:jc w:val="both"/>
        <w:rPr>
          <w:rFonts w:ascii="Arial" w:hAnsi="Arial" w:cs="Arial"/>
          <w:color w:val="000000" w:themeColor="text1"/>
          <w:sz w:val="20"/>
          <w:szCs w:val="20"/>
          <w:lang w:val="es-ES_tradnl"/>
        </w:rPr>
      </w:pPr>
    </w:p>
    <w:p w14:paraId="317388B3" w14:textId="77777777" w:rsidR="00B06E0C" w:rsidRPr="00D50465" w:rsidRDefault="00B06E0C" w:rsidP="00B06E0C">
      <w:pPr>
        <w:pStyle w:val="Default"/>
        <w:rPr>
          <w:color w:val="000000" w:themeColor="text1"/>
          <w:sz w:val="22"/>
          <w:szCs w:val="22"/>
        </w:rPr>
      </w:pPr>
      <w:r w:rsidRPr="00D50465">
        <w:rPr>
          <w:color w:val="000000" w:themeColor="text1"/>
          <w:sz w:val="22"/>
          <w:szCs w:val="22"/>
        </w:rPr>
        <w:t xml:space="preserve">Bogotá D.C., </w:t>
      </w:r>
      <w:r w:rsidRPr="00D50465">
        <w:rPr>
          <w:b/>
          <w:bCs/>
          <w:color w:val="000000" w:themeColor="text1"/>
          <w:sz w:val="22"/>
          <w:szCs w:val="22"/>
        </w:rPr>
        <w:t xml:space="preserve">24/02/2020 Hora 11:40:42s </w:t>
      </w:r>
    </w:p>
    <w:p w14:paraId="38500BE0" w14:textId="77777777" w:rsidR="00B06E0C" w:rsidRPr="00D50465" w:rsidRDefault="00B06E0C" w:rsidP="00B06E0C">
      <w:pPr>
        <w:spacing w:line="276" w:lineRule="auto"/>
        <w:jc w:val="right"/>
        <w:rPr>
          <w:rFonts w:ascii="Arial" w:hAnsi="Arial" w:cs="Arial"/>
          <w:b/>
          <w:color w:val="000000" w:themeColor="text1"/>
          <w:sz w:val="22"/>
        </w:rPr>
      </w:pPr>
      <w:r w:rsidRPr="00D50465">
        <w:rPr>
          <w:rFonts w:ascii="Arial" w:hAnsi="Arial" w:cs="Arial"/>
          <w:b/>
          <w:bCs/>
          <w:color w:val="000000" w:themeColor="text1"/>
          <w:sz w:val="22"/>
        </w:rPr>
        <w:t>N° Radicado: 2202013000001192</w:t>
      </w:r>
    </w:p>
    <w:p w14:paraId="71E469D6" w14:textId="77777777" w:rsidR="00B06E0C" w:rsidRDefault="00B06E0C" w:rsidP="00B06E0C">
      <w:pPr>
        <w:tabs>
          <w:tab w:val="left" w:pos="3374"/>
        </w:tabs>
        <w:spacing w:line="276" w:lineRule="auto"/>
        <w:rPr>
          <w:rFonts w:ascii="Arial" w:eastAsia="Calibri" w:hAnsi="Arial" w:cs="Arial"/>
          <w:color w:val="000000" w:themeColor="text1"/>
          <w:sz w:val="22"/>
        </w:rPr>
      </w:pPr>
    </w:p>
    <w:p w14:paraId="62BD324C" w14:textId="77777777" w:rsidR="00B06E0C" w:rsidRPr="00F95886" w:rsidRDefault="00B06E0C" w:rsidP="00B06E0C">
      <w:pPr>
        <w:rPr>
          <w:rFonts w:ascii="Arial" w:eastAsia="Calibri" w:hAnsi="Arial" w:cs="Arial"/>
          <w:color w:val="000000" w:themeColor="text1"/>
          <w:sz w:val="22"/>
          <w:szCs w:val="20"/>
          <w:lang w:val="es-ES_tradnl"/>
        </w:rPr>
      </w:pPr>
      <w:r w:rsidRPr="00F95886">
        <w:rPr>
          <w:rFonts w:ascii="Arial" w:eastAsia="Calibri" w:hAnsi="Arial" w:cs="Arial"/>
          <w:color w:val="000000" w:themeColor="text1"/>
          <w:sz w:val="22"/>
          <w:szCs w:val="20"/>
          <w:lang w:val="es-ES_tradnl"/>
        </w:rPr>
        <w:t>Señora</w:t>
      </w:r>
    </w:p>
    <w:p w14:paraId="0F3F7BAF" w14:textId="77777777" w:rsidR="00B06E0C" w:rsidRPr="00F95886" w:rsidRDefault="00B06E0C" w:rsidP="00B06E0C">
      <w:pPr>
        <w:rPr>
          <w:rFonts w:ascii="Arial" w:eastAsia="Calibri" w:hAnsi="Arial" w:cs="Arial"/>
          <w:b/>
          <w:color w:val="000000" w:themeColor="text1"/>
          <w:sz w:val="22"/>
          <w:szCs w:val="20"/>
          <w:lang w:val="es-ES_tradnl"/>
        </w:rPr>
      </w:pPr>
      <w:r w:rsidRPr="00F95886">
        <w:rPr>
          <w:rFonts w:ascii="Arial" w:eastAsia="Calibri" w:hAnsi="Arial" w:cs="Arial"/>
          <w:b/>
          <w:color w:val="000000" w:themeColor="text1"/>
          <w:sz w:val="22"/>
          <w:szCs w:val="20"/>
          <w:lang w:val="es-ES_tradnl"/>
        </w:rPr>
        <w:t>Angie Méndez Morales Morales</w:t>
      </w:r>
    </w:p>
    <w:p w14:paraId="11789589" w14:textId="77777777" w:rsidR="00B06E0C" w:rsidRPr="00F95886" w:rsidRDefault="00B06E0C" w:rsidP="00B06E0C">
      <w:pPr>
        <w:rPr>
          <w:rFonts w:ascii="Arial" w:eastAsia="Calibri" w:hAnsi="Arial" w:cs="Arial"/>
          <w:b/>
          <w:color w:val="000000" w:themeColor="text1"/>
          <w:sz w:val="22"/>
          <w:szCs w:val="20"/>
          <w:lang w:val="es-ES_tradnl"/>
        </w:rPr>
      </w:pPr>
      <w:r w:rsidRPr="00F95886">
        <w:rPr>
          <w:rFonts w:ascii="Arial" w:eastAsia="Calibri" w:hAnsi="Arial" w:cs="Arial"/>
          <w:color w:val="000000" w:themeColor="text1"/>
          <w:sz w:val="22"/>
          <w:szCs w:val="20"/>
          <w:lang w:val="es-ES_tradnl"/>
        </w:rPr>
        <w:t>Ciudad</w:t>
      </w:r>
    </w:p>
    <w:p w14:paraId="5A0D5BA5" w14:textId="77777777" w:rsidR="00B06E0C" w:rsidRDefault="00B06E0C" w:rsidP="00B06E0C">
      <w:pPr>
        <w:jc w:val="center"/>
        <w:rPr>
          <w:rFonts w:ascii="Arial" w:eastAsia="Calibri" w:hAnsi="Arial" w:cs="Arial"/>
          <w:b/>
          <w:color w:val="000000" w:themeColor="text1"/>
          <w:sz w:val="22"/>
          <w:lang w:val="es-ES_tradnl"/>
        </w:rPr>
      </w:pPr>
    </w:p>
    <w:p w14:paraId="4D81AF98" w14:textId="77777777" w:rsidR="00B06E0C" w:rsidRPr="00F95886" w:rsidRDefault="00B06E0C" w:rsidP="00B06E0C">
      <w:pPr>
        <w:jc w:val="center"/>
        <w:rPr>
          <w:rFonts w:ascii="Arial" w:eastAsia="Calibri" w:hAnsi="Arial" w:cs="Arial"/>
          <w:b/>
          <w:color w:val="000000" w:themeColor="text1"/>
          <w:sz w:val="22"/>
          <w:lang w:val="es-ES_tradnl"/>
        </w:rPr>
      </w:pPr>
    </w:p>
    <w:p w14:paraId="033A2E38" w14:textId="77777777" w:rsidR="00B06E0C" w:rsidRDefault="00B06E0C" w:rsidP="00B06E0C">
      <w:pPr>
        <w:jc w:val="center"/>
        <w:rPr>
          <w:rFonts w:ascii="Arial" w:eastAsia="Calibri" w:hAnsi="Arial" w:cs="Arial"/>
          <w:b/>
          <w:color w:val="000000" w:themeColor="text1"/>
          <w:sz w:val="22"/>
          <w:lang w:val="es-ES_tradnl"/>
        </w:rPr>
      </w:pPr>
      <w:r w:rsidRPr="00F95886">
        <w:rPr>
          <w:rFonts w:ascii="Arial" w:eastAsia="Calibri" w:hAnsi="Arial" w:cs="Arial"/>
          <w:b/>
          <w:color w:val="000000" w:themeColor="text1"/>
          <w:sz w:val="22"/>
          <w:lang w:val="es-ES_tradnl"/>
        </w:rPr>
        <w:t>Concepto C ─ 090 de 2020</w:t>
      </w:r>
    </w:p>
    <w:p w14:paraId="6A0BBF35" w14:textId="77777777" w:rsidR="00B06E0C" w:rsidRPr="00F95886" w:rsidRDefault="00B06E0C" w:rsidP="00B06E0C">
      <w:pPr>
        <w:jc w:val="center"/>
        <w:rPr>
          <w:rFonts w:ascii="Arial" w:eastAsia="Calibri" w:hAnsi="Arial" w:cs="Arial"/>
          <w:b/>
          <w:color w:val="000000" w:themeColor="text1"/>
          <w:sz w:val="22"/>
          <w:lang w:val="es-ES_tradnl"/>
        </w:rPr>
      </w:pPr>
    </w:p>
    <w:p w14:paraId="5FB33C2E" w14:textId="77777777" w:rsidR="00B06E0C" w:rsidRPr="00F95886" w:rsidRDefault="00B06E0C" w:rsidP="00B06E0C">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6E0C" w:rsidRPr="00F95886" w14:paraId="3ACAEFEA" w14:textId="77777777" w:rsidTr="00C55DCF">
        <w:tc>
          <w:tcPr>
            <w:tcW w:w="2689" w:type="dxa"/>
            <w:hideMark/>
          </w:tcPr>
          <w:p w14:paraId="7A189F14" w14:textId="77777777" w:rsidR="00B06E0C" w:rsidRPr="00F95886" w:rsidRDefault="00B06E0C" w:rsidP="00C55DCF">
            <w:pPr>
              <w:rPr>
                <w:rFonts w:ascii="Arial" w:eastAsia="Calibri" w:hAnsi="Arial" w:cs="Arial"/>
                <w:color w:val="000000" w:themeColor="text1"/>
                <w:sz w:val="22"/>
                <w:lang w:val="es-ES_tradnl"/>
              </w:rPr>
            </w:pPr>
            <w:r w:rsidRPr="00F95886">
              <w:rPr>
                <w:rFonts w:ascii="Arial" w:eastAsia="Calibri" w:hAnsi="Arial" w:cs="Arial"/>
                <w:b/>
                <w:color w:val="000000" w:themeColor="text1"/>
                <w:sz w:val="22"/>
                <w:lang w:val="es-ES_tradnl"/>
              </w:rPr>
              <w:t>Temas:</w:t>
            </w:r>
            <w:r w:rsidRPr="00F95886">
              <w:rPr>
                <w:rFonts w:ascii="Arial" w:eastAsia="Calibri" w:hAnsi="Arial" w:cs="Arial"/>
                <w:color w:val="000000" w:themeColor="text1"/>
                <w:sz w:val="22"/>
                <w:lang w:val="es-ES_tradnl"/>
              </w:rPr>
              <w:t xml:space="preserve">           </w:t>
            </w:r>
          </w:p>
          <w:p w14:paraId="1D9BB176" w14:textId="77777777" w:rsidR="00B06E0C" w:rsidRPr="00F95886" w:rsidRDefault="00B06E0C" w:rsidP="00C55DCF">
            <w:pPr>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                           </w:t>
            </w:r>
          </w:p>
        </w:tc>
        <w:tc>
          <w:tcPr>
            <w:tcW w:w="6237" w:type="dxa"/>
            <w:hideMark/>
          </w:tcPr>
          <w:p w14:paraId="78F3C49F" w14:textId="77777777" w:rsidR="00B06E0C" w:rsidRPr="00F95886" w:rsidRDefault="00B06E0C" w:rsidP="00C55DCF">
            <w:pPr>
              <w:jc w:val="both"/>
              <w:rPr>
                <w:rFonts w:ascii="Arial" w:eastAsia="Calibri" w:hAnsi="Arial" w:cs="Arial"/>
                <w:color w:val="000000" w:themeColor="text1"/>
                <w:sz w:val="22"/>
                <w:lang w:val="es-ES_tradnl"/>
              </w:rPr>
            </w:pPr>
            <w:r>
              <w:rPr>
                <w:rFonts w:ascii="Arial" w:hAnsi="Arial" w:cs="Arial"/>
                <w:color w:val="000000" w:themeColor="text1"/>
                <w:sz w:val="22"/>
                <w:lang w:val="es-ES_tradnl"/>
              </w:rPr>
              <w:t xml:space="preserve">REGIMEN DE </w:t>
            </w:r>
            <w:r w:rsidRPr="00F95886">
              <w:rPr>
                <w:rFonts w:ascii="Arial" w:hAnsi="Arial" w:cs="Arial"/>
                <w:color w:val="000000" w:themeColor="text1"/>
                <w:sz w:val="22"/>
                <w:lang w:val="es-ES_tradnl"/>
              </w:rPr>
              <w:t>INHABILIDADES E INCOMPATIBILIDADES ― Concepto ― Principio de legalidad ― Interpretación restrictiva / CONTRATO DE PRESTACIÓN DE SERVICIOS PROFESIONALES ― Concepto ― Requisitos y límites para su celebración /</w:t>
            </w:r>
            <w:r w:rsidRPr="00F95886">
              <w:rPr>
                <w:color w:val="000000" w:themeColor="text1"/>
              </w:rPr>
              <w:t xml:space="preserve"> </w:t>
            </w:r>
            <w:r w:rsidRPr="00705F07">
              <w:rPr>
                <w:rFonts w:ascii="Arial" w:hAnsi="Arial" w:cs="Arial"/>
                <w:color w:val="000000" w:themeColor="text1"/>
                <w:sz w:val="22"/>
                <w:lang w:val="es-ES_tradnl"/>
              </w:rPr>
              <w:t>CONTRATO DE PRESTACION DE SERVICIOS – Celebración – Simultaneidad – Posibilidad – Ausencia – Inhabilidad e incompatibilidad</w:t>
            </w:r>
          </w:p>
        </w:tc>
      </w:tr>
      <w:tr w:rsidR="00B06E0C" w:rsidRPr="00F95886" w14:paraId="78CE9E1D" w14:textId="77777777" w:rsidTr="00C55DCF">
        <w:tc>
          <w:tcPr>
            <w:tcW w:w="2689" w:type="dxa"/>
          </w:tcPr>
          <w:p w14:paraId="1662AA12" w14:textId="77777777" w:rsidR="00B06E0C" w:rsidRPr="00F95886" w:rsidRDefault="00B06E0C" w:rsidP="00C55DCF">
            <w:pPr>
              <w:rPr>
                <w:rFonts w:ascii="Arial" w:eastAsia="Calibri" w:hAnsi="Arial" w:cs="Arial"/>
                <w:b/>
                <w:color w:val="000000" w:themeColor="text1"/>
                <w:sz w:val="22"/>
                <w:lang w:val="es-ES_tradnl"/>
              </w:rPr>
            </w:pPr>
            <w:r w:rsidRPr="00F95886">
              <w:rPr>
                <w:rFonts w:ascii="Arial" w:eastAsia="Calibri" w:hAnsi="Arial" w:cs="Arial"/>
                <w:b/>
                <w:color w:val="000000" w:themeColor="text1"/>
                <w:sz w:val="22"/>
                <w:lang w:val="es-ES_tradnl"/>
              </w:rPr>
              <w:lastRenderedPageBreak/>
              <w:t>Radicación:</w:t>
            </w:r>
            <w:r w:rsidRPr="00F95886">
              <w:rPr>
                <w:rFonts w:ascii="Arial" w:eastAsia="Calibri" w:hAnsi="Arial" w:cs="Arial"/>
                <w:color w:val="000000" w:themeColor="text1"/>
                <w:sz w:val="22"/>
                <w:lang w:val="es-ES_tradnl"/>
              </w:rPr>
              <w:t xml:space="preserve">                              </w:t>
            </w:r>
          </w:p>
        </w:tc>
        <w:tc>
          <w:tcPr>
            <w:tcW w:w="6237" w:type="dxa"/>
          </w:tcPr>
          <w:p w14:paraId="622321A5" w14:textId="77777777" w:rsidR="00B06E0C" w:rsidRPr="00F95886" w:rsidRDefault="00B06E0C" w:rsidP="00C55DCF">
            <w:pPr>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Respuesta a consulta # 4202012000000669</w:t>
            </w:r>
          </w:p>
        </w:tc>
      </w:tr>
    </w:tbl>
    <w:p w14:paraId="2994C34F" w14:textId="77777777" w:rsidR="00B06E0C" w:rsidRPr="00F95886" w:rsidRDefault="00B06E0C" w:rsidP="00B06E0C">
      <w:pPr>
        <w:jc w:val="both"/>
        <w:rPr>
          <w:rFonts w:ascii="Arial" w:eastAsia="Calibri" w:hAnsi="Arial" w:cs="Arial"/>
          <w:color w:val="000000" w:themeColor="text1"/>
          <w:sz w:val="22"/>
          <w:lang w:val="es-ES_tradnl"/>
        </w:rPr>
      </w:pPr>
    </w:p>
    <w:p w14:paraId="4B158271" w14:textId="77777777" w:rsidR="00B06E0C" w:rsidRPr="00F95886" w:rsidRDefault="00B06E0C" w:rsidP="00B06E0C">
      <w:pPr>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Estimada señora Angie Méndez,</w:t>
      </w:r>
    </w:p>
    <w:p w14:paraId="133A139A" w14:textId="77777777" w:rsidR="00B06E0C" w:rsidRPr="00F95886" w:rsidRDefault="00B06E0C" w:rsidP="00B06E0C">
      <w:pPr>
        <w:rPr>
          <w:rFonts w:ascii="Arial" w:eastAsia="Calibri" w:hAnsi="Arial" w:cs="Arial"/>
          <w:color w:val="000000" w:themeColor="text1"/>
          <w:sz w:val="22"/>
          <w:lang w:val="es-ES_tradnl"/>
        </w:rPr>
      </w:pPr>
    </w:p>
    <w:p w14:paraId="360EB9A9" w14:textId="77777777" w:rsidR="00B06E0C" w:rsidRPr="00F95886" w:rsidRDefault="00B06E0C" w:rsidP="00B06E0C">
      <w:pPr>
        <w:spacing w:line="276" w:lineRule="auto"/>
        <w:ind w:right="4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La Agencia Nacional de Contratación Pública ― Colombia Compra Eficiente responde su consulta del 30 de enero de 2020, en ejercicio de la competencia otorgada por el numeral 8 del artículo 11 y el numeral 5 del artículo 3 del Decreto Ley 4170 de 2011. </w:t>
      </w:r>
    </w:p>
    <w:p w14:paraId="6DF56381" w14:textId="77777777" w:rsidR="00B06E0C" w:rsidRPr="00F95886" w:rsidRDefault="00B06E0C" w:rsidP="00B06E0C">
      <w:pPr>
        <w:spacing w:line="276" w:lineRule="auto"/>
        <w:jc w:val="both"/>
        <w:rPr>
          <w:rFonts w:ascii="Arial" w:eastAsia="Calibri" w:hAnsi="Arial" w:cs="Arial"/>
          <w:color w:val="000000" w:themeColor="text1"/>
          <w:sz w:val="22"/>
          <w:lang w:val="es-ES_tradnl"/>
        </w:rPr>
      </w:pPr>
    </w:p>
    <w:p w14:paraId="79F74744" w14:textId="77777777" w:rsidR="00B06E0C" w:rsidRPr="00F95886" w:rsidRDefault="00B06E0C" w:rsidP="00B06E0C">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F95886">
        <w:rPr>
          <w:rFonts w:ascii="Arial" w:eastAsia="Calibri" w:hAnsi="Arial" w:cs="Arial"/>
          <w:b/>
          <w:color w:val="000000" w:themeColor="text1"/>
          <w:sz w:val="22"/>
        </w:rPr>
        <w:t xml:space="preserve">Problemas planteados </w:t>
      </w:r>
    </w:p>
    <w:p w14:paraId="1E760234" w14:textId="77777777" w:rsidR="00B06E0C" w:rsidRPr="00F95886" w:rsidRDefault="00B06E0C" w:rsidP="00B06E0C">
      <w:pPr>
        <w:tabs>
          <w:tab w:val="left" w:pos="426"/>
        </w:tabs>
        <w:spacing w:line="276" w:lineRule="auto"/>
        <w:jc w:val="both"/>
        <w:rPr>
          <w:rFonts w:ascii="Arial" w:eastAsia="Calibri" w:hAnsi="Arial" w:cs="Arial"/>
          <w:b/>
          <w:color w:val="000000" w:themeColor="text1"/>
          <w:sz w:val="22"/>
        </w:rPr>
      </w:pPr>
    </w:p>
    <w:p w14:paraId="303F3A2A" w14:textId="77777777" w:rsidR="00B06E0C" w:rsidRPr="00F95886" w:rsidRDefault="00B06E0C" w:rsidP="00B06E0C">
      <w:pPr>
        <w:tabs>
          <w:tab w:val="left" w:pos="426"/>
        </w:tabs>
        <w:spacing w:line="276" w:lineRule="auto"/>
        <w:jc w:val="both"/>
        <w:rPr>
          <w:rFonts w:ascii="Arial" w:eastAsia="Calibri" w:hAnsi="Arial" w:cs="Arial"/>
          <w:color w:val="000000" w:themeColor="text1"/>
          <w:sz w:val="22"/>
        </w:rPr>
      </w:pPr>
      <w:r w:rsidRPr="00F95886">
        <w:rPr>
          <w:rFonts w:ascii="Arial" w:eastAsia="Calibri" w:hAnsi="Arial" w:cs="Arial"/>
          <w:color w:val="000000" w:themeColor="text1"/>
          <w:sz w:val="22"/>
        </w:rPr>
        <w:t xml:space="preserve">Usted realiza la siguiente pregunta: ¿puede alguien celebrar dos contratos de prestación de servicios profesionales, que coexistan, con la misma entidad territorial? Para explicar su pregunta, indica: «Ejemplo: suscribir contrato de prestación de servicios con la secretaria de prensa como profesional del 01 de febrero al 06 de junio de 2020 y otro contrato con la secretaria de gobierno como profesional del 3 de marzo al 3 de diciembre de 2020 del mismo departamento (sic)».  </w:t>
      </w:r>
    </w:p>
    <w:p w14:paraId="04A73CB8" w14:textId="77777777" w:rsidR="00B06E0C" w:rsidRPr="00F95886" w:rsidRDefault="00B06E0C" w:rsidP="00B06E0C">
      <w:pPr>
        <w:tabs>
          <w:tab w:val="left" w:pos="426"/>
        </w:tabs>
        <w:spacing w:line="276" w:lineRule="auto"/>
        <w:jc w:val="both"/>
        <w:rPr>
          <w:rFonts w:ascii="Arial" w:eastAsia="Calibri" w:hAnsi="Arial" w:cs="Arial"/>
          <w:color w:val="000000" w:themeColor="text1"/>
          <w:sz w:val="22"/>
        </w:rPr>
      </w:pPr>
    </w:p>
    <w:p w14:paraId="1ED1220F" w14:textId="77777777" w:rsidR="00B06E0C" w:rsidRPr="00F95886" w:rsidRDefault="00B06E0C" w:rsidP="00B06E0C">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F95886">
        <w:rPr>
          <w:rFonts w:ascii="Arial" w:eastAsia="Calibri" w:hAnsi="Arial" w:cs="Arial"/>
          <w:b/>
          <w:color w:val="000000" w:themeColor="text1"/>
          <w:sz w:val="22"/>
        </w:rPr>
        <w:t>Consideraciones</w:t>
      </w:r>
    </w:p>
    <w:bookmarkEnd w:id="0"/>
    <w:bookmarkEnd w:id="1"/>
    <w:p w14:paraId="58144A4D" w14:textId="77777777" w:rsidR="00B06E0C" w:rsidRPr="00F95886" w:rsidRDefault="00B06E0C" w:rsidP="00B06E0C">
      <w:pPr>
        <w:spacing w:line="276" w:lineRule="auto"/>
        <w:jc w:val="both"/>
        <w:rPr>
          <w:rFonts w:ascii="Arial" w:hAnsi="Arial" w:cs="Arial"/>
          <w:color w:val="000000" w:themeColor="text1"/>
          <w:sz w:val="22"/>
          <w:lang w:val="es-ES_tradnl"/>
        </w:rPr>
      </w:pPr>
    </w:p>
    <w:p w14:paraId="1D73564C" w14:textId="77777777" w:rsidR="00B06E0C" w:rsidRPr="00F95886" w:rsidRDefault="00B06E0C" w:rsidP="00B06E0C">
      <w:pPr>
        <w:spacing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Para desarrollar el problema planteado, en primer lugar, se explicarán las características del régimen de inhabilidades e incompatibilidades en la contratación estatal, como límite a la capacidad para participar en procedimientos de selección y para celebrar contratos estatales. De manera especial, se sustentará la idea de que la interpretación restrictiva es un criterio hermenéutico que debe aplicarse, al tratar de desentrañar el sentido de las disposiciones que integran dicho régimen. En segundo lugar, se analizará el concepto, así como los requisitos y límites del contrato de prestación de servicios profesionales. En tercer lugar, se abordará la cuestión de si una entidad estatal puede celebrar dos o más contratos de prestación de servicios profesionales con alguien y si dichos contratos pueden coexistir.</w:t>
      </w:r>
    </w:p>
    <w:p w14:paraId="6CC271C8" w14:textId="77777777" w:rsidR="00B06E0C" w:rsidRPr="00F95886" w:rsidRDefault="00B06E0C" w:rsidP="00B06E0C">
      <w:pPr>
        <w:spacing w:line="276" w:lineRule="auto"/>
        <w:jc w:val="both"/>
        <w:rPr>
          <w:rFonts w:ascii="Arial" w:hAnsi="Arial" w:cs="Arial"/>
          <w:color w:val="000000" w:themeColor="text1"/>
          <w:sz w:val="22"/>
          <w:lang w:val="es-ES_tradnl"/>
        </w:rPr>
      </w:pPr>
    </w:p>
    <w:p w14:paraId="7A93ED21" w14:textId="77777777" w:rsidR="00B06E0C" w:rsidRPr="00F95886" w:rsidRDefault="00B06E0C" w:rsidP="00B06E0C">
      <w:pPr>
        <w:tabs>
          <w:tab w:val="left" w:pos="426"/>
        </w:tabs>
        <w:spacing w:line="276" w:lineRule="auto"/>
        <w:jc w:val="both"/>
        <w:rPr>
          <w:rFonts w:ascii="Arial" w:eastAsia="Calibri" w:hAnsi="Arial" w:cs="Arial"/>
          <w:b/>
          <w:color w:val="000000" w:themeColor="text1"/>
          <w:sz w:val="22"/>
          <w:lang w:val="es-ES_tradnl"/>
        </w:rPr>
      </w:pPr>
      <w:r w:rsidRPr="00F95886">
        <w:rPr>
          <w:rFonts w:ascii="Arial" w:eastAsia="Calibri" w:hAnsi="Arial" w:cs="Arial"/>
          <w:b/>
          <w:color w:val="000000" w:themeColor="text1"/>
          <w:sz w:val="22"/>
          <w:lang w:val="es-ES_tradnl"/>
        </w:rPr>
        <w:t xml:space="preserve">2.1. Régimen de inhabilidades e incompatibilidades en la contratación estatal: un límite a la capacidad contractual. La interpretación restrictiva como criterio hermenéutico de los enunciados normativos gravosos </w:t>
      </w:r>
    </w:p>
    <w:p w14:paraId="17FD0559" w14:textId="77777777" w:rsidR="00B06E0C" w:rsidRPr="00F95886" w:rsidRDefault="00B06E0C" w:rsidP="00B06E0C">
      <w:pPr>
        <w:spacing w:line="276" w:lineRule="auto"/>
        <w:jc w:val="both"/>
        <w:rPr>
          <w:rFonts w:ascii="Arial" w:eastAsia="Calibri" w:hAnsi="Arial" w:cs="Arial"/>
          <w:color w:val="000000" w:themeColor="text1"/>
          <w:sz w:val="22"/>
          <w:lang w:val="es-ES_tradnl"/>
        </w:rPr>
      </w:pPr>
    </w:p>
    <w:p w14:paraId="60C2F2A2" w14:textId="77777777" w:rsidR="00B06E0C" w:rsidRPr="00F95886" w:rsidRDefault="00B06E0C" w:rsidP="00B06E0C">
      <w:pPr>
        <w:spacing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En la contratación estatal, la </w:t>
      </w:r>
      <w:r w:rsidRPr="00F95886">
        <w:rPr>
          <w:rFonts w:ascii="Arial" w:eastAsia="Calibri" w:hAnsi="Arial" w:cs="Arial"/>
          <w:i/>
          <w:iCs/>
          <w:color w:val="000000" w:themeColor="text1"/>
          <w:sz w:val="22"/>
          <w:lang w:val="es-ES_tradnl"/>
        </w:rPr>
        <w:t>capacidad</w:t>
      </w:r>
      <w:r w:rsidRPr="00F95886">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w:t>
      </w:r>
      <w:r w:rsidRPr="00F95886">
        <w:rPr>
          <w:rFonts w:ascii="Arial" w:eastAsia="Calibri" w:hAnsi="Arial" w:cs="Arial"/>
          <w:color w:val="000000" w:themeColor="text1"/>
          <w:sz w:val="22"/>
          <w:lang w:val="es-ES_tradnl"/>
        </w:rPr>
        <w:lastRenderedPageBreak/>
        <w:t>Administración Pública</w:t>
      </w:r>
      <w:r w:rsidRPr="00F95886">
        <w:rPr>
          <w:rFonts w:ascii="Arial" w:eastAsia="Calibri" w:hAnsi="Arial" w:cs="Arial"/>
          <w:color w:val="000000" w:themeColor="text1"/>
          <w:sz w:val="22"/>
          <w:vertAlign w:val="superscript"/>
          <w:lang w:val="es-ES_tradnl"/>
        </w:rPr>
        <w:footnoteReference w:id="1"/>
      </w:r>
      <w:r w:rsidRPr="00F95886">
        <w:rPr>
          <w:rFonts w:ascii="Arial" w:eastAsia="Calibri" w:hAnsi="Arial" w:cs="Arial"/>
          <w:color w:val="000000" w:themeColor="text1"/>
          <w:sz w:val="22"/>
          <w:lang w:val="es-ES_tradnl"/>
        </w:rPr>
        <w:t xml:space="preserve"> como en el de las entidades exceptuadas de aquel</w:t>
      </w:r>
      <w:r w:rsidRPr="00F95886">
        <w:rPr>
          <w:rFonts w:ascii="Arial" w:eastAsia="Calibri" w:hAnsi="Arial" w:cs="Arial"/>
          <w:color w:val="000000" w:themeColor="text1"/>
          <w:sz w:val="22"/>
          <w:vertAlign w:val="superscript"/>
          <w:lang w:val="es-ES_tradnl"/>
        </w:rPr>
        <w:footnoteReference w:id="2"/>
      </w:r>
      <w:r w:rsidRPr="00F95886">
        <w:rPr>
          <w:rFonts w:ascii="Arial" w:eastAsia="Calibri" w:hAnsi="Arial"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F95886">
        <w:rPr>
          <w:rFonts w:ascii="Arial" w:eastAsia="Calibri" w:hAnsi="Arial" w:cs="Arial"/>
          <w:color w:val="000000" w:themeColor="text1"/>
          <w:sz w:val="22"/>
          <w:vertAlign w:val="superscript"/>
          <w:lang w:val="es-ES_tradnl"/>
        </w:rPr>
        <w:footnoteReference w:id="3"/>
      </w:r>
      <w:r w:rsidRPr="00F95886">
        <w:rPr>
          <w:rFonts w:ascii="Arial" w:eastAsia="Calibri" w:hAnsi="Arial" w:cs="Arial"/>
          <w:color w:val="000000" w:themeColor="text1"/>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F95886">
        <w:rPr>
          <w:rFonts w:ascii="Arial" w:eastAsia="Calibri" w:hAnsi="Arial" w:cs="Arial"/>
          <w:color w:val="000000" w:themeColor="text1"/>
          <w:sz w:val="22"/>
          <w:vertAlign w:val="superscript"/>
          <w:lang w:val="es-ES_tradnl"/>
        </w:rPr>
        <w:footnoteReference w:id="4"/>
      </w:r>
      <w:r w:rsidRPr="00F95886">
        <w:rPr>
          <w:rFonts w:ascii="Arial" w:eastAsia="Calibri" w:hAnsi="Arial" w:cs="Arial"/>
          <w:color w:val="000000" w:themeColor="text1"/>
          <w:sz w:val="22"/>
          <w:lang w:val="es-ES_tradnl"/>
        </w:rPr>
        <w:t>.</w:t>
      </w:r>
    </w:p>
    <w:p w14:paraId="31E31FBF"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F95886">
        <w:rPr>
          <w:rFonts w:ascii="Arial" w:eastAsia="Calibri" w:hAnsi="Arial" w:cs="Arial"/>
          <w:color w:val="000000" w:themeColor="text1"/>
          <w:sz w:val="22"/>
          <w:vertAlign w:val="superscript"/>
          <w:lang w:val="es-ES_tradnl"/>
        </w:rPr>
        <w:footnoteReference w:id="5"/>
      </w:r>
      <w:r w:rsidRPr="00F95886">
        <w:rPr>
          <w:rFonts w:ascii="Arial" w:eastAsia="Calibri" w:hAnsi="Arial" w:cs="Arial"/>
          <w:color w:val="000000" w:themeColor="text1"/>
          <w:sz w:val="22"/>
          <w:lang w:val="es-ES_tradnl"/>
        </w:rPr>
        <w:t xml:space="preserve">, ii) de vínculos personales relativos </w:t>
      </w:r>
      <w:r w:rsidRPr="00F95886">
        <w:rPr>
          <w:rFonts w:ascii="Arial" w:eastAsia="Calibri" w:hAnsi="Arial" w:cs="Arial"/>
          <w:color w:val="000000" w:themeColor="text1"/>
          <w:sz w:val="22"/>
          <w:lang w:val="es-ES_tradnl"/>
        </w:rPr>
        <w:lastRenderedPageBreak/>
        <w:t>al parentesco o al estado civil</w:t>
      </w:r>
      <w:r w:rsidRPr="00F95886">
        <w:rPr>
          <w:rFonts w:ascii="Arial" w:eastAsia="Calibri" w:hAnsi="Arial" w:cs="Arial"/>
          <w:color w:val="000000" w:themeColor="text1"/>
          <w:sz w:val="22"/>
          <w:vertAlign w:val="superscript"/>
          <w:lang w:val="es-ES_tradnl"/>
        </w:rPr>
        <w:footnoteReference w:id="6"/>
      </w:r>
      <w:r w:rsidRPr="00F95886">
        <w:rPr>
          <w:rFonts w:ascii="Arial" w:eastAsia="Calibri" w:hAnsi="Arial" w:cs="Arial"/>
          <w:color w:val="000000" w:themeColor="text1"/>
          <w:sz w:val="22"/>
          <w:lang w:val="es-ES_tradnl"/>
        </w:rPr>
        <w:t xml:space="preserve"> o iii) de una actividad u oficio que se desempeñó en el pasado</w:t>
      </w:r>
      <w:r w:rsidRPr="00F95886">
        <w:rPr>
          <w:rFonts w:ascii="Arial" w:eastAsia="Calibri" w:hAnsi="Arial" w:cs="Arial"/>
          <w:color w:val="000000" w:themeColor="text1"/>
          <w:sz w:val="22"/>
          <w:vertAlign w:val="superscript"/>
          <w:lang w:val="es-ES_tradnl"/>
        </w:rPr>
        <w:footnoteReference w:id="7"/>
      </w:r>
      <w:r w:rsidRPr="00F95886">
        <w:rPr>
          <w:rFonts w:ascii="Arial" w:eastAsia="Calibri" w:hAnsi="Arial" w:cs="Arial"/>
          <w:color w:val="000000" w:themeColor="text1"/>
          <w:sz w:val="22"/>
          <w:lang w:val="es-ES_tradnl"/>
        </w:rPr>
        <w:t xml:space="preserve">. De otro lado, las incompatibilidades son prohibiciones para participar en los </w:t>
      </w:r>
      <w:r w:rsidRPr="00F95886">
        <w:rPr>
          <w:rFonts w:ascii="Arial" w:eastAsia="Calibri" w:hAnsi="Arial" w:cs="Arial"/>
          <w:color w:val="000000" w:themeColor="text1"/>
          <w:sz w:val="22"/>
          <w:lang w:val="es-ES_tradnl"/>
        </w:rPr>
        <w:lastRenderedPageBreak/>
        <w:t>procedimientos de selección y para celebrar contratos estatales, fundadas en la presencia de una calidad que ostenta el sujeto interesado en realizar alguna de dichas actividades, que no puede coexistir con su calidad de proponente o contratista del Estado</w:t>
      </w:r>
      <w:r w:rsidRPr="00F95886">
        <w:rPr>
          <w:rFonts w:ascii="Arial" w:eastAsia="Calibri" w:hAnsi="Arial" w:cs="Arial"/>
          <w:color w:val="000000" w:themeColor="text1"/>
          <w:sz w:val="22"/>
          <w:vertAlign w:val="superscript"/>
          <w:lang w:val="es-ES_tradnl"/>
        </w:rPr>
        <w:footnoteReference w:id="8"/>
      </w:r>
      <w:r w:rsidRPr="00F95886">
        <w:rPr>
          <w:rFonts w:ascii="Arial" w:eastAsia="Calibri" w:hAnsi="Arial" w:cs="Arial"/>
          <w:color w:val="000000" w:themeColor="text1"/>
          <w:sz w:val="22"/>
          <w:lang w:val="es-ES_tradnl"/>
        </w:rPr>
        <w:t xml:space="preserve">. </w:t>
      </w:r>
    </w:p>
    <w:p w14:paraId="7145B5A1"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«neopunitivo»</w:t>
      </w:r>
      <w:r w:rsidRPr="00F95886">
        <w:rPr>
          <w:rFonts w:ascii="Arial" w:eastAsia="Calibri" w:hAnsi="Arial" w:cs="Arial"/>
          <w:color w:val="000000" w:themeColor="text1"/>
          <w:sz w:val="22"/>
          <w:vertAlign w:val="superscript"/>
          <w:lang w:val="es-ES_tradnl"/>
        </w:rPr>
        <w:footnoteReference w:id="9"/>
      </w:r>
      <w:r w:rsidRPr="00F95886">
        <w:rPr>
          <w:rFonts w:ascii="Arial" w:eastAsia="Calibri" w:hAnsi="Arial" w:cs="Arial"/>
          <w:color w:val="000000" w:themeColor="text1"/>
          <w:sz w:val="22"/>
          <w:lang w:val="es-ES_tradnl"/>
        </w:rPr>
        <w:t xml:space="preserve">.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w:t>
      </w:r>
      <w:r w:rsidRPr="00F95886">
        <w:rPr>
          <w:rFonts w:ascii="Arial" w:eastAsia="Calibri" w:hAnsi="Arial" w:cs="Arial"/>
          <w:color w:val="000000" w:themeColor="text1"/>
          <w:sz w:val="22"/>
          <w:lang w:val="es-ES_tradnl"/>
        </w:rPr>
        <w:lastRenderedPageBreak/>
        <w:t>restricciones a la capacidad contractual, dirigidas a prevenir este tipo de situaciones o a sancionar tales conductas.</w:t>
      </w:r>
    </w:p>
    <w:p w14:paraId="1A55DA20"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F95886">
        <w:rPr>
          <w:rFonts w:ascii="Arial" w:eastAsia="Calibri" w:hAnsi="Arial" w:cs="Arial"/>
          <w:i/>
          <w:iCs/>
          <w:color w:val="000000" w:themeColor="text1"/>
          <w:sz w:val="22"/>
          <w:lang w:val="es-ES_tradnl"/>
        </w:rPr>
        <w:t>restrictiva</w:t>
      </w:r>
      <w:r w:rsidRPr="00F95886">
        <w:rPr>
          <w:rFonts w:ascii="Arial" w:eastAsia="Calibri" w:hAnsi="Arial" w:cs="Arial"/>
          <w:color w:val="000000" w:themeColor="text1"/>
          <w:sz w:val="22"/>
          <w:vertAlign w:val="superscript"/>
          <w:lang w:val="es-ES_tradnl"/>
        </w:rPr>
        <w:footnoteReference w:id="10"/>
      </w:r>
      <w:r w:rsidRPr="00F95886">
        <w:rPr>
          <w:rFonts w:ascii="Arial" w:eastAsia="Calibri" w:hAnsi="Arial"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6A9DC22F"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F95886">
        <w:rPr>
          <w:rFonts w:ascii="Arial" w:eastAsia="Calibri" w:hAnsi="Arial" w:cs="Arial"/>
          <w:color w:val="000000" w:themeColor="text1"/>
          <w:sz w:val="22"/>
          <w:vertAlign w:val="superscript"/>
          <w:lang w:val="es-ES_tradnl"/>
        </w:rPr>
        <w:footnoteReference w:id="11"/>
      </w:r>
      <w:r w:rsidRPr="00F95886">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F95886">
        <w:rPr>
          <w:rFonts w:ascii="Arial" w:eastAsia="Calibri" w:hAnsi="Arial" w:cs="Arial"/>
          <w:color w:val="000000" w:themeColor="text1"/>
          <w:sz w:val="22"/>
          <w:vertAlign w:val="superscript"/>
          <w:lang w:val="es-ES_tradnl"/>
        </w:rPr>
        <w:footnoteReference w:id="12"/>
      </w:r>
      <w:r w:rsidRPr="00F95886">
        <w:rPr>
          <w:rFonts w:ascii="Arial" w:eastAsia="Calibri" w:hAnsi="Arial" w:cs="Arial"/>
          <w:color w:val="000000" w:themeColor="text1"/>
          <w:sz w:val="22"/>
          <w:lang w:val="es-ES_tradnl"/>
        </w:rPr>
        <w:t>. En tal sentido, la Sección Tercera ha señalado que:</w:t>
      </w:r>
    </w:p>
    <w:p w14:paraId="412F66A2"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p>
    <w:p w14:paraId="52811B5C"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F95886">
        <w:rPr>
          <w:rFonts w:ascii="Arial" w:hAnsi="Arial" w:cs="Arial"/>
          <w:color w:val="000000" w:themeColor="text1"/>
          <w:sz w:val="21"/>
          <w:szCs w:val="21"/>
          <w:vertAlign w:val="superscript"/>
          <w:lang w:val="es-ES_tradnl"/>
        </w:rPr>
        <w:footnoteReference w:id="13"/>
      </w:r>
      <w:r w:rsidRPr="00F95886">
        <w:rPr>
          <w:rFonts w:ascii="Arial" w:hAnsi="Arial" w:cs="Arial"/>
          <w:color w:val="000000" w:themeColor="text1"/>
          <w:sz w:val="21"/>
          <w:szCs w:val="21"/>
          <w:lang w:val="es-ES_tradnl"/>
        </w:rPr>
        <w:t>.</w:t>
      </w:r>
    </w:p>
    <w:p w14:paraId="3E036F57" w14:textId="77777777" w:rsidR="00B06E0C" w:rsidRPr="00F95886" w:rsidRDefault="00B06E0C" w:rsidP="00B06E0C">
      <w:pPr>
        <w:ind w:left="709" w:right="709"/>
        <w:jc w:val="both"/>
        <w:rPr>
          <w:rFonts w:ascii="Arial" w:hAnsi="Arial" w:cs="Arial"/>
          <w:bCs/>
          <w:color w:val="000000" w:themeColor="text1"/>
          <w:sz w:val="21"/>
          <w:szCs w:val="21"/>
          <w:lang w:val="es-ES_tradnl"/>
        </w:rPr>
      </w:pPr>
    </w:p>
    <w:p w14:paraId="24D32B0F"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También ha dicho que:</w:t>
      </w:r>
    </w:p>
    <w:p w14:paraId="542798BE" w14:textId="77777777" w:rsidR="00B06E0C" w:rsidRPr="00F95886" w:rsidRDefault="00B06E0C" w:rsidP="00B06E0C">
      <w:pPr>
        <w:ind w:firstLine="709"/>
        <w:jc w:val="both"/>
        <w:rPr>
          <w:rFonts w:ascii="Arial" w:eastAsia="Calibri" w:hAnsi="Arial" w:cs="Arial"/>
          <w:color w:val="000000" w:themeColor="text1"/>
          <w:sz w:val="21"/>
          <w:szCs w:val="21"/>
          <w:lang w:val="es-ES_tradnl"/>
        </w:rPr>
      </w:pPr>
    </w:p>
    <w:p w14:paraId="0E1B9701"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F95886">
        <w:rPr>
          <w:rFonts w:ascii="Arial" w:hAnsi="Arial" w:cs="Arial"/>
          <w:i/>
          <w:iCs/>
          <w:color w:val="000000" w:themeColor="text1"/>
          <w:sz w:val="21"/>
          <w:szCs w:val="21"/>
          <w:lang w:val="es-ES_tradnl"/>
        </w:rPr>
        <w:t>pro libertate</w:t>
      </w:r>
      <w:r w:rsidRPr="00F95886">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F95886">
        <w:rPr>
          <w:rFonts w:ascii="Arial" w:hAnsi="Arial" w:cs="Arial"/>
          <w:color w:val="000000" w:themeColor="text1"/>
          <w:sz w:val="21"/>
          <w:szCs w:val="21"/>
          <w:vertAlign w:val="superscript"/>
          <w:lang w:val="es-ES_tradnl"/>
        </w:rPr>
        <w:footnoteReference w:id="14"/>
      </w:r>
      <w:r w:rsidRPr="00F95886">
        <w:rPr>
          <w:rFonts w:ascii="Arial" w:hAnsi="Arial" w:cs="Arial"/>
          <w:color w:val="000000" w:themeColor="text1"/>
          <w:sz w:val="21"/>
          <w:szCs w:val="21"/>
          <w:lang w:val="es-ES_tradnl"/>
        </w:rPr>
        <w:t>.</w:t>
      </w:r>
    </w:p>
    <w:p w14:paraId="537CBD01" w14:textId="77777777" w:rsidR="00B06E0C" w:rsidRPr="00F95886" w:rsidRDefault="00B06E0C" w:rsidP="00B06E0C">
      <w:pPr>
        <w:spacing w:line="276" w:lineRule="auto"/>
        <w:ind w:left="709" w:right="709"/>
        <w:jc w:val="both"/>
        <w:rPr>
          <w:rFonts w:ascii="Arial" w:hAnsi="Arial" w:cs="Arial"/>
          <w:color w:val="000000" w:themeColor="text1"/>
          <w:sz w:val="21"/>
          <w:szCs w:val="21"/>
          <w:lang w:val="es-ES_tradnl"/>
        </w:rPr>
      </w:pPr>
    </w:p>
    <w:p w14:paraId="736BBFAE"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Como se aprecia, el principio </w:t>
      </w:r>
      <w:r w:rsidRPr="00F95886">
        <w:rPr>
          <w:rFonts w:ascii="Arial" w:eastAsia="Calibri" w:hAnsi="Arial" w:cs="Arial"/>
          <w:i/>
          <w:iCs/>
          <w:color w:val="000000" w:themeColor="text1"/>
          <w:sz w:val="22"/>
          <w:lang w:val="es-ES_tradnl"/>
        </w:rPr>
        <w:t>pro libertate</w:t>
      </w:r>
      <w:r w:rsidRPr="00F95886">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07A55AC5" w14:textId="77777777" w:rsidR="00B06E0C" w:rsidRPr="00F95886" w:rsidRDefault="00B06E0C" w:rsidP="00B06E0C">
      <w:pPr>
        <w:spacing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 </w:t>
      </w:r>
    </w:p>
    <w:p w14:paraId="6D97E20C" w14:textId="77777777" w:rsidR="00B06E0C" w:rsidRPr="00F95886" w:rsidRDefault="00B06E0C" w:rsidP="00B06E0C">
      <w:pPr>
        <w:spacing w:line="276" w:lineRule="auto"/>
        <w:jc w:val="both"/>
        <w:rPr>
          <w:rFonts w:ascii="Arial" w:eastAsia="Calibri" w:hAnsi="Arial" w:cs="Arial"/>
          <w:b/>
          <w:bCs/>
          <w:color w:val="000000" w:themeColor="text1"/>
          <w:sz w:val="22"/>
          <w:lang w:val="es-ES_tradnl"/>
        </w:rPr>
      </w:pPr>
      <w:r w:rsidRPr="00F95886">
        <w:rPr>
          <w:rFonts w:ascii="Arial" w:eastAsia="Calibri" w:hAnsi="Arial" w:cs="Arial"/>
          <w:b/>
          <w:bCs/>
          <w:color w:val="000000" w:themeColor="text1"/>
          <w:sz w:val="22"/>
          <w:lang w:val="es-ES_tradnl"/>
        </w:rPr>
        <w:t>2.2. Contrato de prestación de servicios profesionales. Requisitos y límites para su celebración</w:t>
      </w:r>
    </w:p>
    <w:p w14:paraId="76C7E62F" w14:textId="77777777" w:rsidR="00B06E0C" w:rsidRPr="00F95886" w:rsidRDefault="00B06E0C" w:rsidP="00B06E0C">
      <w:pPr>
        <w:spacing w:line="276" w:lineRule="auto"/>
        <w:jc w:val="both"/>
        <w:rPr>
          <w:rFonts w:ascii="Arial" w:eastAsia="Calibri" w:hAnsi="Arial" w:cs="Arial"/>
          <w:color w:val="000000" w:themeColor="text1"/>
          <w:sz w:val="22"/>
          <w:lang w:val="es-ES_tradnl"/>
        </w:rPr>
      </w:pPr>
    </w:p>
    <w:p w14:paraId="6DD694C7" w14:textId="77777777" w:rsidR="00B06E0C" w:rsidRPr="00F95886" w:rsidRDefault="00B06E0C" w:rsidP="00B06E0C">
      <w:pPr>
        <w:spacing w:line="276" w:lineRule="auto"/>
        <w:jc w:val="both"/>
        <w:rPr>
          <w:rFonts w:ascii="Arial" w:hAnsi="Arial" w:cs="Arial"/>
          <w:color w:val="000000" w:themeColor="text1"/>
          <w:sz w:val="22"/>
          <w:lang w:val="es-ES_tradnl"/>
        </w:rPr>
      </w:pPr>
      <w:r w:rsidRPr="00F95886">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C16924C" w14:textId="77777777" w:rsidR="00B06E0C" w:rsidRPr="00F95886" w:rsidRDefault="00B06E0C" w:rsidP="00B06E0C">
      <w:pPr>
        <w:spacing w:line="276" w:lineRule="auto"/>
        <w:jc w:val="both"/>
        <w:rPr>
          <w:rFonts w:ascii="Arial" w:hAnsi="Arial" w:cs="Arial"/>
          <w:color w:val="000000" w:themeColor="text1"/>
          <w:sz w:val="22"/>
          <w:lang w:val="es-ES_tradnl"/>
        </w:rPr>
      </w:pPr>
    </w:p>
    <w:p w14:paraId="68F75F20"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r w:rsidRPr="00F95886">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5092F94"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p>
    <w:p w14:paraId="7C73429D"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r w:rsidRPr="00F95886">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6CCF78FE" w14:textId="77777777" w:rsidR="00B06E0C" w:rsidRPr="00F95886" w:rsidRDefault="00B06E0C" w:rsidP="00B06E0C">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6E61A121"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326F6EBE"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77F83D52"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r w:rsidRPr="00F95886">
        <w:rPr>
          <w:rFonts w:ascii="Arial" w:eastAsia="Calibri" w:hAnsi="Arial" w:cs="Arial"/>
          <w:color w:val="000000" w:themeColor="text1"/>
          <w:sz w:val="21"/>
          <w:szCs w:val="21"/>
          <w:lang w:val="es-ES_tradnl"/>
        </w:rPr>
        <w:lastRenderedPageBreak/>
        <w:t>[…]</w:t>
      </w:r>
    </w:p>
    <w:p w14:paraId="09556BE0"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r w:rsidRPr="00F95886">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2D18383C"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p>
    <w:p w14:paraId="153210B2"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r w:rsidRPr="00F95886">
        <w:rPr>
          <w:rFonts w:ascii="Arial" w:eastAsia="Calibri" w:hAnsi="Arial" w:cs="Arial"/>
          <w:color w:val="000000" w:themeColor="text1"/>
          <w:sz w:val="21"/>
          <w:szCs w:val="21"/>
          <w:lang w:val="es-ES_tradnl"/>
        </w:rPr>
        <w:t>[…]</w:t>
      </w:r>
    </w:p>
    <w:p w14:paraId="3CB7274C" w14:textId="77777777" w:rsidR="00B06E0C" w:rsidRPr="00F95886" w:rsidRDefault="00B06E0C" w:rsidP="00B06E0C">
      <w:pPr>
        <w:ind w:left="709" w:right="709"/>
        <w:jc w:val="both"/>
        <w:rPr>
          <w:rFonts w:ascii="Arial" w:eastAsia="Calibri" w:hAnsi="Arial" w:cs="Arial"/>
          <w:color w:val="000000" w:themeColor="text1"/>
          <w:sz w:val="21"/>
          <w:szCs w:val="21"/>
          <w:lang w:val="es-ES_tradnl"/>
        </w:rPr>
      </w:pPr>
      <w:r w:rsidRPr="00F95886">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596B7602" w14:textId="77777777" w:rsidR="00B06E0C" w:rsidRPr="00F95886" w:rsidRDefault="00B06E0C" w:rsidP="00B06E0C">
      <w:pPr>
        <w:ind w:right="709"/>
        <w:jc w:val="both"/>
        <w:rPr>
          <w:rFonts w:ascii="Arial" w:eastAsia="Calibri" w:hAnsi="Arial" w:cs="Arial"/>
          <w:color w:val="000000" w:themeColor="text1"/>
          <w:sz w:val="22"/>
          <w:lang w:val="es-ES_tradnl"/>
        </w:rPr>
      </w:pPr>
    </w:p>
    <w:p w14:paraId="0A9B1E0B"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7BDC5460"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4E9DD28C"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17A31F73"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iii) Si bien se celebran para obtener la prestación personal de un servicio, se diferencian del contrato de trabajo</w:t>
      </w:r>
      <w:r w:rsidRPr="00F95886">
        <w:rPr>
          <w:rStyle w:val="Refdenotaalpie"/>
          <w:rFonts w:ascii="Arial" w:hAnsi="Arial" w:cs="Arial"/>
          <w:color w:val="000000" w:themeColor="text1"/>
          <w:sz w:val="22"/>
          <w:lang w:val="es-ES_tradnl"/>
        </w:rPr>
        <w:footnoteReference w:id="15"/>
      </w:r>
      <w:r w:rsidRPr="00F95886">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F95886">
        <w:rPr>
          <w:rFonts w:ascii="Arial" w:hAnsi="Arial" w:cs="Arial"/>
          <w:i/>
          <w:color w:val="000000" w:themeColor="text1"/>
          <w:sz w:val="22"/>
          <w:lang w:val="es-ES_tradnl"/>
        </w:rPr>
        <w:t>subordinación y dependencia</w:t>
      </w:r>
      <w:r w:rsidRPr="00F95886">
        <w:rPr>
          <w:rFonts w:ascii="Arial" w:hAnsi="Arial" w:cs="Arial"/>
          <w:iCs/>
          <w:color w:val="000000" w:themeColor="text1"/>
          <w:sz w:val="22"/>
          <w:lang w:val="es-ES_tradnl"/>
        </w:rPr>
        <w:t>,</w:t>
      </w:r>
      <w:r w:rsidRPr="00F95886">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F95886">
        <w:rPr>
          <w:rFonts w:ascii="Arial" w:hAnsi="Arial" w:cs="Arial"/>
          <w:i/>
          <w:color w:val="000000" w:themeColor="text1"/>
          <w:sz w:val="22"/>
          <w:lang w:val="es-ES_tradnl"/>
        </w:rPr>
        <w:t>no pueden</w:t>
      </w:r>
      <w:r w:rsidRPr="00F95886">
        <w:rPr>
          <w:rFonts w:ascii="Arial" w:hAnsi="Arial" w:cs="Arial"/>
          <w:color w:val="000000" w:themeColor="text1"/>
          <w:sz w:val="22"/>
          <w:lang w:val="es-ES_tradnl"/>
        </w:rPr>
        <w:t xml:space="preserve"> generar relación laboral, ni dar lugar a que las entidades </w:t>
      </w:r>
      <w:r w:rsidRPr="00F95886">
        <w:rPr>
          <w:rFonts w:ascii="Arial" w:hAnsi="Arial" w:cs="Arial"/>
          <w:color w:val="000000" w:themeColor="text1"/>
          <w:sz w:val="22"/>
          <w:lang w:val="es-ES_tradnl"/>
        </w:rPr>
        <w:lastRenderedPageBreak/>
        <w:t>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F95886">
        <w:rPr>
          <w:rStyle w:val="Refdenotaalpie"/>
          <w:rFonts w:ascii="Arial" w:hAnsi="Arial" w:cs="Arial"/>
          <w:color w:val="000000" w:themeColor="text1"/>
          <w:sz w:val="22"/>
          <w:lang w:val="es-ES_tradnl"/>
        </w:rPr>
        <w:footnoteReference w:id="16"/>
      </w:r>
      <w:r w:rsidRPr="00F95886">
        <w:rPr>
          <w:rFonts w:ascii="Arial" w:hAnsi="Arial" w:cs="Arial"/>
          <w:color w:val="000000" w:themeColor="text1"/>
          <w:sz w:val="22"/>
          <w:lang w:val="es-ES_tradnl"/>
        </w:rPr>
        <w:t xml:space="preserve">. Pero es posible que, a pesar de este mandato deontológico, en la práctica surja la relación laboral, pues, como se sabe, el contrato de trabajo es un </w:t>
      </w:r>
      <w:r w:rsidRPr="00F95886">
        <w:rPr>
          <w:rFonts w:ascii="Arial" w:hAnsi="Arial" w:cs="Arial"/>
          <w:i/>
          <w:color w:val="000000" w:themeColor="text1"/>
          <w:sz w:val="22"/>
          <w:lang w:val="es-ES_tradnl"/>
        </w:rPr>
        <w:t>contrato realidad</w:t>
      </w:r>
      <w:r w:rsidRPr="00F95886">
        <w:rPr>
          <w:rFonts w:ascii="Arial" w:hAnsi="Arial" w:cs="Arial"/>
          <w:color w:val="000000" w:themeColor="text1"/>
          <w:sz w:val="22"/>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F95886">
        <w:rPr>
          <w:rStyle w:val="Refdenotaalpie"/>
          <w:rFonts w:ascii="Arial" w:hAnsi="Arial" w:cs="Arial"/>
          <w:color w:val="000000" w:themeColor="text1"/>
          <w:sz w:val="22"/>
          <w:lang w:val="es-ES_tradnl"/>
        </w:rPr>
        <w:footnoteReference w:id="17"/>
      </w:r>
      <w:r w:rsidRPr="00F95886">
        <w:rPr>
          <w:rFonts w:ascii="Arial" w:hAnsi="Arial" w:cs="Arial"/>
          <w:color w:val="000000" w:themeColor="text1"/>
          <w:sz w:val="22"/>
          <w:lang w:val="es-ES_tradnl"/>
        </w:rPr>
        <w:t>.</w:t>
      </w:r>
    </w:p>
    <w:p w14:paraId="67FA4967"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iv) Deben ser temporales. Así lo señaló la Corte Constitucional en la misma providencia a la que se aludió previamente, expresando que:</w:t>
      </w:r>
    </w:p>
    <w:p w14:paraId="07DEF154"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0EDCCF21"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F95886">
        <w:rPr>
          <w:rStyle w:val="Refdenotaalpie"/>
          <w:rFonts w:ascii="Arial" w:hAnsi="Arial" w:cs="Arial"/>
          <w:color w:val="000000" w:themeColor="text1"/>
          <w:sz w:val="21"/>
          <w:szCs w:val="21"/>
          <w:lang w:val="es-ES_tradnl"/>
        </w:rPr>
        <w:footnoteReference w:id="18"/>
      </w:r>
      <w:r w:rsidRPr="00F95886">
        <w:rPr>
          <w:rFonts w:ascii="Arial" w:hAnsi="Arial" w:cs="Arial"/>
          <w:color w:val="000000" w:themeColor="text1"/>
          <w:sz w:val="21"/>
          <w:szCs w:val="21"/>
          <w:lang w:val="es-ES_tradnl"/>
        </w:rPr>
        <w:t>.</w:t>
      </w:r>
    </w:p>
    <w:p w14:paraId="4802CD86"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2E9371C9"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v) Los contratos de prestación de servicios profesionales hacen parte del género denominado </w:t>
      </w:r>
      <w:r w:rsidRPr="00F95886">
        <w:rPr>
          <w:rFonts w:ascii="Arial" w:hAnsi="Arial" w:cs="Arial"/>
          <w:i/>
          <w:color w:val="000000" w:themeColor="text1"/>
          <w:sz w:val="22"/>
          <w:lang w:val="es-ES_tradnl"/>
        </w:rPr>
        <w:t>contratos de prestación de servicios</w:t>
      </w:r>
      <w:r w:rsidRPr="00F95886">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F95886">
        <w:rPr>
          <w:rStyle w:val="Refdenotaalpie"/>
          <w:rFonts w:ascii="Arial" w:hAnsi="Arial" w:cs="Arial"/>
          <w:color w:val="000000" w:themeColor="text1"/>
          <w:sz w:val="22"/>
          <w:lang w:val="es-ES_tradnl"/>
        </w:rPr>
        <w:footnoteReference w:id="19"/>
      </w:r>
      <w:r w:rsidRPr="00F95886">
        <w:rPr>
          <w:rFonts w:ascii="Arial" w:hAnsi="Arial" w:cs="Arial"/>
          <w:color w:val="000000" w:themeColor="text1"/>
          <w:sz w:val="22"/>
          <w:lang w:val="es-ES_tradnl"/>
        </w:rPr>
        <w:t xml:space="preserve">. La diferencia entre el contrato de prestación de servicios </w:t>
      </w:r>
      <w:r w:rsidRPr="00F95886">
        <w:rPr>
          <w:rFonts w:ascii="Arial" w:hAnsi="Arial" w:cs="Arial"/>
          <w:i/>
          <w:color w:val="000000" w:themeColor="text1"/>
          <w:sz w:val="22"/>
          <w:lang w:val="es-ES_tradnl"/>
        </w:rPr>
        <w:t>profesionales</w:t>
      </w:r>
      <w:r w:rsidRPr="00F95886">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980F945"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13E7B053"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F95886">
        <w:rPr>
          <w:rStyle w:val="Refdenotaalpie"/>
          <w:rFonts w:ascii="Arial" w:hAnsi="Arial" w:cs="Arial"/>
          <w:color w:val="000000" w:themeColor="text1"/>
          <w:sz w:val="21"/>
          <w:szCs w:val="21"/>
          <w:lang w:val="es-ES_tradnl"/>
        </w:rPr>
        <w:footnoteReference w:id="20"/>
      </w:r>
      <w:r w:rsidRPr="00F95886">
        <w:rPr>
          <w:rFonts w:ascii="Arial" w:hAnsi="Arial" w:cs="Arial"/>
          <w:color w:val="000000" w:themeColor="text1"/>
          <w:sz w:val="21"/>
          <w:szCs w:val="21"/>
          <w:lang w:val="es-ES_tradnl"/>
        </w:rPr>
        <w:t>.</w:t>
      </w:r>
    </w:p>
    <w:p w14:paraId="3A6414FA"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2C8596D5"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Objeto que, según la sentencia que se cita, se diferencia del objeto del contrato de prestación de servicios de apoyo a la gestión, porque en este:</w:t>
      </w:r>
    </w:p>
    <w:p w14:paraId="1BF84552"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1E880966"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lastRenderedPageBreak/>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3DD40C7"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3A0B115F"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5A645BF"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66CEA13A"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200C1D0B"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0BC2E2DA"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F95886">
        <w:rPr>
          <w:rStyle w:val="Refdenotaalpie"/>
          <w:rFonts w:ascii="Arial" w:hAnsi="Arial" w:cs="Arial"/>
          <w:color w:val="000000" w:themeColor="text1"/>
          <w:sz w:val="21"/>
          <w:szCs w:val="21"/>
          <w:lang w:val="es-ES_tradnl"/>
        </w:rPr>
        <w:footnoteReference w:id="21"/>
      </w:r>
      <w:r w:rsidRPr="00F95886">
        <w:rPr>
          <w:rFonts w:ascii="Arial" w:hAnsi="Arial" w:cs="Arial"/>
          <w:color w:val="000000" w:themeColor="text1"/>
          <w:sz w:val="21"/>
          <w:szCs w:val="21"/>
          <w:lang w:val="es-ES_tradnl"/>
        </w:rPr>
        <w:t>.</w:t>
      </w:r>
    </w:p>
    <w:p w14:paraId="4E856CFB"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p>
    <w:p w14:paraId="6FB2C454"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En relación con el contrato de prestación de servicios artísticos que solo pueden encomendarse a determinadas personas naturales, señala el mencionado fallo que:</w:t>
      </w:r>
    </w:p>
    <w:p w14:paraId="3822C0FA"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28521768" w14:textId="77777777" w:rsidR="00B06E0C" w:rsidRPr="00F95886" w:rsidRDefault="00B06E0C" w:rsidP="00B06E0C">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F95886">
        <w:rPr>
          <w:rStyle w:val="Refdenotaalpie"/>
          <w:rFonts w:ascii="Arial" w:hAnsi="Arial" w:cs="Arial"/>
          <w:color w:val="000000" w:themeColor="text1"/>
          <w:sz w:val="21"/>
          <w:szCs w:val="21"/>
          <w:lang w:val="es-ES_tradnl"/>
        </w:rPr>
        <w:footnoteReference w:id="22"/>
      </w:r>
      <w:r w:rsidRPr="00F95886">
        <w:rPr>
          <w:rFonts w:ascii="Arial" w:hAnsi="Arial" w:cs="Arial"/>
          <w:color w:val="000000" w:themeColor="text1"/>
          <w:sz w:val="21"/>
          <w:szCs w:val="21"/>
          <w:lang w:val="es-ES_tradnl"/>
        </w:rPr>
        <w:t>.</w:t>
      </w:r>
    </w:p>
    <w:p w14:paraId="7058A96D"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1468A0BA"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F95886">
        <w:rPr>
          <w:rStyle w:val="Refdenotaalpie"/>
          <w:rFonts w:ascii="Arial" w:hAnsi="Arial" w:cs="Arial"/>
          <w:color w:val="000000" w:themeColor="text1"/>
          <w:sz w:val="22"/>
          <w:lang w:val="es-ES_tradnl"/>
        </w:rPr>
        <w:footnoteReference w:id="23"/>
      </w:r>
      <w:r w:rsidRPr="00F95886">
        <w:rPr>
          <w:rFonts w:ascii="Arial" w:hAnsi="Arial" w:cs="Arial"/>
          <w:color w:val="000000" w:themeColor="text1"/>
          <w:sz w:val="22"/>
          <w:lang w:val="es-ES_tradnl"/>
        </w:rPr>
        <w:t xml:space="preserve">. Pero, tampoco puede suscribirse un contrato de prestación de servicios </w:t>
      </w:r>
      <w:r w:rsidRPr="00F95886">
        <w:rPr>
          <w:rFonts w:ascii="Arial" w:hAnsi="Arial" w:cs="Arial"/>
          <w:color w:val="000000" w:themeColor="text1"/>
          <w:sz w:val="22"/>
          <w:lang w:val="es-ES_tradnl"/>
        </w:rPr>
        <w:lastRenderedPageBreak/>
        <w:t>profesionales para que el contratista ejecute labores que se enmarcan dentro de los otros contratos tipificados en el artículo 32 de la Ley 80 de 1993, como, por ejemplo, para que el contratista de prestación de servicios construya una obra.</w:t>
      </w:r>
    </w:p>
    <w:p w14:paraId="0CEAC93A"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vii) Para su celebración no se requiere la expedición del acto administrativo de justificación de la contratación directa</w:t>
      </w:r>
      <w:r w:rsidRPr="00F95886">
        <w:rPr>
          <w:rStyle w:val="Refdenotaalpie"/>
          <w:rFonts w:ascii="Arial" w:hAnsi="Arial" w:cs="Arial"/>
          <w:color w:val="000000" w:themeColor="text1"/>
          <w:sz w:val="22"/>
          <w:lang w:val="es-ES_tradnl"/>
        </w:rPr>
        <w:footnoteReference w:id="24"/>
      </w:r>
      <w:r w:rsidRPr="00F95886">
        <w:rPr>
          <w:rFonts w:ascii="Arial" w:hAnsi="Arial" w:cs="Arial"/>
          <w:color w:val="000000" w:themeColor="text1"/>
          <w:sz w:val="22"/>
          <w:lang w:val="es-ES_tradnl"/>
        </w:rPr>
        <w:t xml:space="preserve">. </w:t>
      </w:r>
    </w:p>
    <w:p w14:paraId="26367EC1"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viii)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F95886">
        <w:rPr>
          <w:rStyle w:val="Refdenotaalpie"/>
          <w:rFonts w:ascii="Arial" w:hAnsi="Arial" w:cs="Arial"/>
          <w:color w:val="000000" w:themeColor="text1"/>
          <w:sz w:val="22"/>
          <w:lang w:val="es-ES_tradnl"/>
        </w:rPr>
        <w:footnoteReference w:id="25"/>
      </w:r>
      <w:r w:rsidRPr="00F95886">
        <w:rPr>
          <w:rFonts w:ascii="Arial" w:hAnsi="Arial" w:cs="Arial"/>
          <w:color w:val="000000" w:themeColor="text1"/>
          <w:sz w:val="22"/>
          <w:lang w:val="es-ES_tradnl"/>
        </w:rPr>
        <w:t>.</w:t>
      </w:r>
    </w:p>
    <w:p w14:paraId="13A96CEF"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ix) En ellos no es obligatoria la liquidación, pues así lo estableció el artículo 217 del Decreto 019 de 2012, que modificó el artículo 60 de la Ley 80 de 1993</w:t>
      </w:r>
      <w:r w:rsidRPr="00F95886">
        <w:rPr>
          <w:rStyle w:val="Refdenotaalpie"/>
          <w:rFonts w:ascii="Arial" w:hAnsi="Arial" w:cs="Arial"/>
          <w:color w:val="000000" w:themeColor="text1"/>
          <w:sz w:val="22"/>
          <w:lang w:val="es-ES_tradnl"/>
        </w:rPr>
        <w:footnoteReference w:id="26"/>
      </w:r>
      <w:r w:rsidRPr="00F95886">
        <w:rPr>
          <w:rFonts w:ascii="Arial" w:hAnsi="Arial" w:cs="Arial"/>
          <w:color w:val="000000" w:themeColor="text1"/>
          <w:sz w:val="22"/>
          <w:lang w:val="es-ES_tradnl"/>
        </w:rPr>
        <w:t>.</w:t>
      </w:r>
    </w:p>
    <w:p w14:paraId="65C4D6DA"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lastRenderedPageBreak/>
        <w:t>x) Para su celebración no se requiere inscripción en el Registro Único de Proponentes (RUP), según lo prevé el artículo 6 de la Ley 1150 de 2007</w:t>
      </w:r>
      <w:r w:rsidRPr="00F95886">
        <w:rPr>
          <w:rStyle w:val="Refdenotaalpie"/>
          <w:rFonts w:ascii="Arial" w:hAnsi="Arial" w:cs="Arial"/>
          <w:color w:val="000000" w:themeColor="text1"/>
          <w:sz w:val="22"/>
          <w:lang w:val="es-ES_tradnl"/>
        </w:rPr>
        <w:footnoteReference w:id="27"/>
      </w:r>
      <w:r w:rsidRPr="00F95886">
        <w:rPr>
          <w:rFonts w:ascii="Arial" w:hAnsi="Arial" w:cs="Arial"/>
          <w:color w:val="000000" w:themeColor="text1"/>
          <w:sz w:val="22"/>
          <w:lang w:val="es-ES_tradnl"/>
        </w:rPr>
        <w:t>.</w:t>
      </w:r>
    </w:p>
    <w:p w14:paraId="4B7354B8"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xi) En ellos no son necesarias las garantías</w:t>
      </w:r>
      <w:r w:rsidRPr="00F95886">
        <w:rPr>
          <w:rStyle w:val="Refdenotaalpie"/>
          <w:rFonts w:ascii="Arial" w:hAnsi="Arial" w:cs="Arial"/>
          <w:color w:val="000000" w:themeColor="text1"/>
          <w:sz w:val="22"/>
          <w:lang w:val="es-ES_tradnl"/>
        </w:rPr>
        <w:footnoteReference w:id="28"/>
      </w:r>
      <w:r w:rsidRPr="00F95886">
        <w:rPr>
          <w:rFonts w:ascii="Arial" w:hAnsi="Arial" w:cs="Arial"/>
          <w:color w:val="000000" w:themeColor="text1"/>
          <w:sz w:val="22"/>
          <w:lang w:val="es-ES_tradnl"/>
        </w:rPr>
        <w:t>.</w:t>
      </w:r>
    </w:p>
    <w:p w14:paraId="2285E36C" w14:textId="77777777" w:rsidR="00B06E0C" w:rsidRDefault="00B06E0C" w:rsidP="00B06E0C">
      <w:pPr>
        <w:ind w:left="709" w:right="709"/>
        <w:jc w:val="both"/>
        <w:rPr>
          <w:rFonts w:ascii="Arial" w:hAnsi="Arial" w:cs="Arial"/>
          <w:color w:val="000000" w:themeColor="text1"/>
          <w:sz w:val="21"/>
          <w:szCs w:val="21"/>
          <w:lang w:val="es-ES_tradnl"/>
        </w:rPr>
      </w:pPr>
    </w:p>
    <w:p w14:paraId="05727224"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129182A2"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Teniendo en cuenta las anteriores características del contrato de prestación de servicios profesionales, así como el régimen de inhabilidades e incompatibilidades previsto para la contratación estatal, se abordará a continuación la inquietud formulada en la consulta.</w:t>
      </w:r>
    </w:p>
    <w:p w14:paraId="734D3320" w14:textId="77777777" w:rsidR="00B06E0C" w:rsidRPr="00F95886" w:rsidRDefault="00B06E0C" w:rsidP="00B06E0C">
      <w:pPr>
        <w:ind w:left="709" w:right="709"/>
        <w:jc w:val="both"/>
        <w:rPr>
          <w:rFonts w:ascii="Arial" w:hAnsi="Arial" w:cs="Arial"/>
          <w:color w:val="000000" w:themeColor="text1"/>
          <w:sz w:val="21"/>
          <w:szCs w:val="21"/>
          <w:lang w:val="es-ES_tradnl"/>
        </w:rPr>
      </w:pPr>
    </w:p>
    <w:p w14:paraId="73AF4E41" w14:textId="77777777" w:rsidR="00B06E0C" w:rsidRPr="00F95886" w:rsidRDefault="00B06E0C" w:rsidP="00B06E0C">
      <w:pPr>
        <w:spacing w:line="276" w:lineRule="auto"/>
        <w:jc w:val="both"/>
        <w:rPr>
          <w:rFonts w:ascii="Arial" w:eastAsia="Calibri" w:hAnsi="Arial" w:cs="Arial"/>
          <w:b/>
          <w:bCs/>
          <w:color w:val="000000" w:themeColor="text1"/>
          <w:sz w:val="22"/>
          <w:lang w:val="es-ES_tradnl"/>
        </w:rPr>
      </w:pPr>
      <w:r w:rsidRPr="00F95886">
        <w:rPr>
          <w:rFonts w:ascii="Arial" w:eastAsia="Calibri" w:hAnsi="Arial" w:cs="Arial"/>
          <w:b/>
          <w:bCs/>
          <w:color w:val="000000" w:themeColor="text1"/>
          <w:sz w:val="22"/>
          <w:lang w:val="es-ES_tradnl"/>
        </w:rPr>
        <w:t>2.3. Posibilidad de celebrar dos contratos de prestación de servicios profesionales con la misma entidad, y que además coexistan</w:t>
      </w:r>
    </w:p>
    <w:p w14:paraId="275A08BA" w14:textId="77777777" w:rsidR="00B06E0C" w:rsidRPr="00F95886" w:rsidRDefault="00B06E0C" w:rsidP="00B06E0C">
      <w:pPr>
        <w:spacing w:line="276" w:lineRule="auto"/>
        <w:jc w:val="both"/>
        <w:rPr>
          <w:rFonts w:ascii="Arial" w:hAnsi="Arial" w:cs="Arial"/>
          <w:color w:val="000000" w:themeColor="text1"/>
          <w:sz w:val="22"/>
          <w:lang w:val="es-ES_tradnl"/>
        </w:rPr>
      </w:pPr>
    </w:p>
    <w:p w14:paraId="440D9DD0" w14:textId="77777777" w:rsidR="00B06E0C" w:rsidRPr="00F95886" w:rsidRDefault="00B06E0C" w:rsidP="00B06E0C">
      <w:pPr>
        <w:spacing w:line="276" w:lineRule="auto"/>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Analizado el régimen de inhabilidades e incompatibilidades previsto para la contratación estatal, así como los requisitos y límites de los contratos de prestación de servicios profesionales, se concluye que no existe una inhabilidad, incompatibilidad o prohibición de otra naturaleza para que una entidad estatal celebre dos o más contratos de prestación de servicios profesionales con una misma persona, así dichos contratos coexistan en el tiempo. </w:t>
      </w:r>
    </w:p>
    <w:p w14:paraId="596C1106"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La anterior conclusión se apoya en la idea de que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w:t>
      </w:r>
      <w:r w:rsidRPr="00F95886">
        <w:rPr>
          <w:rFonts w:ascii="Arial" w:hAnsi="Arial" w:cs="Arial"/>
          <w:color w:val="000000" w:themeColor="text1"/>
          <w:sz w:val="22"/>
          <w:lang w:val="es-ES_tradnl"/>
        </w:rPr>
        <w:lastRenderedPageBreak/>
        <w:t xml:space="preserve">causales previstas en la Constitución, así como en el artículo 8 de la Ley 80 de 1993 y en otras disposiciones complementarias, no se observa una prohibición para que una misma persona natural preste sus servicios profesionales a una entidad, a través de contratos distintos y concomitantes. </w:t>
      </w:r>
    </w:p>
    <w:p w14:paraId="21D5F291"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Sin embargo, el hecho de que no haya una causal de inhabilidad o de incompatibilidad no significa que siempre se pueda celebrar el contrato de prestación de servicios profesionales. Para que ello sea viable, deben cumplirse los requisitos a los que se hizo referencia en el numeral 2.2. de este concepto, pues se recuerda que la celebración del contrato de prestación de servicios profesionales con una persona natural es </w:t>
      </w:r>
      <w:r w:rsidRPr="00F95886">
        <w:rPr>
          <w:rFonts w:ascii="Arial" w:hAnsi="Arial" w:cs="Arial"/>
          <w:i/>
          <w:iCs/>
          <w:color w:val="000000" w:themeColor="text1"/>
          <w:sz w:val="22"/>
          <w:lang w:val="es-ES_tradnl"/>
        </w:rPr>
        <w:t>excepcional</w:t>
      </w:r>
      <w:r w:rsidRPr="00F95886">
        <w:rPr>
          <w:rFonts w:ascii="Arial" w:hAnsi="Arial" w:cs="Arial"/>
          <w:color w:val="000000" w:themeColor="text1"/>
          <w:sz w:val="22"/>
          <w:lang w:val="es-ES_tradnl"/>
        </w:rPr>
        <w:t xml:space="preserve">, ya que solo es admisible cuando las «actividades no puedan realizarse con personal de planta o requieran conocimientos especializados», lo cual debe justificarse satisfactoriamente en los estudios previos. Además, dicho contrato debe ser </w:t>
      </w:r>
      <w:r w:rsidRPr="00F95886">
        <w:rPr>
          <w:rFonts w:ascii="Arial" w:hAnsi="Arial" w:cs="Arial"/>
          <w:i/>
          <w:iCs/>
          <w:color w:val="000000" w:themeColor="text1"/>
          <w:sz w:val="22"/>
          <w:lang w:val="es-ES_tradnl"/>
        </w:rPr>
        <w:t>temporal</w:t>
      </w:r>
      <w:r w:rsidRPr="00F95886">
        <w:rPr>
          <w:rFonts w:ascii="Arial" w:hAnsi="Arial" w:cs="Arial"/>
          <w:color w:val="000000" w:themeColor="text1"/>
          <w:sz w:val="22"/>
          <w:lang w:val="es-ES_tradnl"/>
        </w:rPr>
        <w:t xml:space="preserve"> y no puede servir para la creación de nóminas paralelas</w:t>
      </w:r>
      <w:r w:rsidRPr="00F95886">
        <w:rPr>
          <w:rStyle w:val="Refdenotaalpie"/>
          <w:rFonts w:ascii="Arial" w:hAnsi="Arial" w:cs="Arial"/>
          <w:color w:val="000000" w:themeColor="text1"/>
          <w:sz w:val="22"/>
          <w:lang w:val="es-ES_tradnl"/>
        </w:rPr>
        <w:footnoteReference w:id="29"/>
      </w:r>
      <w:r w:rsidRPr="00F95886">
        <w:rPr>
          <w:rFonts w:ascii="Arial" w:hAnsi="Arial" w:cs="Arial"/>
          <w:color w:val="000000" w:themeColor="text1"/>
          <w:sz w:val="22"/>
          <w:lang w:val="es-ES_tradnl"/>
        </w:rPr>
        <w:t xml:space="preserve">. </w:t>
      </w:r>
    </w:p>
    <w:p w14:paraId="27C760EC" w14:textId="77777777" w:rsidR="00B06E0C" w:rsidRPr="00F95886" w:rsidRDefault="00B06E0C" w:rsidP="00B06E0C">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con la misma entidad, así sea en otra dependencia. Si tales factores no se tienen en cuenta, existe el riesgo de que el contratista termine incumpliendo sus obligaciones, por la sobrecarga de actividades.   </w:t>
      </w:r>
    </w:p>
    <w:p w14:paraId="26DDF2B6" w14:textId="77777777" w:rsidR="00B06E0C" w:rsidRPr="00F95886" w:rsidRDefault="00B06E0C" w:rsidP="00B06E0C">
      <w:pPr>
        <w:spacing w:line="276" w:lineRule="auto"/>
        <w:ind w:firstLine="709"/>
        <w:jc w:val="both"/>
        <w:rPr>
          <w:rFonts w:ascii="Arial" w:hAnsi="Arial" w:cs="Arial"/>
          <w:bCs/>
          <w:color w:val="000000" w:themeColor="text1"/>
          <w:sz w:val="22"/>
          <w:lang w:val="es-ES_tradnl"/>
        </w:rPr>
      </w:pPr>
    </w:p>
    <w:p w14:paraId="2BB4F3B4" w14:textId="77777777" w:rsidR="00B06E0C" w:rsidRPr="00F95886" w:rsidRDefault="00B06E0C" w:rsidP="00B06E0C">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F95886">
        <w:rPr>
          <w:rFonts w:ascii="Arial" w:eastAsia="Calibri" w:hAnsi="Arial" w:cs="Arial"/>
          <w:b/>
          <w:color w:val="000000" w:themeColor="text1"/>
          <w:sz w:val="22"/>
        </w:rPr>
        <w:t>Respuestas</w:t>
      </w:r>
    </w:p>
    <w:p w14:paraId="57F61416" w14:textId="77777777" w:rsidR="00B06E0C" w:rsidRPr="00F95886" w:rsidRDefault="00B06E0C" w:rsidP="00B06E0C">
      <w:pPr>
        <w:spacing w:line="276" w:lineRule="auto"/>
        <w:ind w:left="709" w:right="709"/>
        <w:jc w:val="both"/>
        <w:rPr>
          <w:rFonts w:ascii="Arial" w:eastAsia="Calibri" w:hAnsi="Arial" w:cs="Arial"/>
          <w:i/>
          <w:color w:val="000000" w:themeColor="text1"/>
          <w:sz w:val="22"/>
        </w:rPr>
      </w:pPr>
    </w:p>
    <w:p w14:paraId="166D65B7" w14:textId="77777777" w:rsidR="00B06E0C" w:rsidRDefault="00B06E0C" w:rsidP="00B06E0C">
      <w:pPr>
        <w:spacing w:line="276" w:lineRule="auto"/>
        <w:ind w:left="708" w:right="709"/>
        <w:jc w:val="both"/>
        <w:rPr>
          <w:rFonts w:ascii="Arial" w:eastAsia="Calibri" w:hAnsi="Arial" w:cs="Arial"/>
          <w:color w:val="000000" w:themeColor="text1"/>
          <w:sz w:val="22"/>
        </w:rPr>
      </w:pPr>
      <w:r w:rsidRPr="00F95886">
        <w:rPr>
          <w:rFonts w:ascii="Arial" w:eastAsia="Calibri" w:hAnsi="Arial" w:cs="Arial"/>
          <w:color w:val="000000" w:themeColor="text1"/>
          <w:sz w:val="22"/>
        </w:rPr>
        <w:t>¿Puede alguien celebrar dos contratos de prestación de servicios profesionales, que coexistan, con la misma entidad territorial? «Ejemplo: suscribir contrato de prestación de servicios con la secretaria de prensa como profesional del 01 de febrero al 06 de junio de 2020 y otro contrato con la secretaria de gobierno como profesional del 3 de marzo al 3 de diciembre de 2020 del mismo departamento (sic)».</w:t>
      </w:r>
    </w:p>
    <w:p w14:paraId="7DE3C929" w14:textId="77777777" w:rsidR="00B06E0C" w:rsidRPr="00F95886" w:rsidRDefault="00B06E0C" w:rsidP="00B06E0C">
      <w:pPr>
        <w:spacing w:line="276" w:lineRule="auto"/>
        <w:ind w:left="708" w:right="709"/>
        <w:jc w:val="both"/>
        <w:rPr>
          <w:rFonts w:ascii="Arial" w:eastAsia="Calibri" w:hAnsi="Arial" w:cs="Arial"/>
          <w:color w:val="000000" w:themeColor="text1"/>
          <w:sz w:val="22"/>
          <w:lang w:val="es-ES_tradnl"/>
        </w:rPr>
      </w:pPr>
    </w:p>
    <w:p w14:paraId="26A92621" w14:textId="77777777" w:rsidR="00B06E0C" w:rsidRPr="00F95886" w:rsidRDefault="00B06E0C" w:rsidP="00B06E0C">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lastRenderedPageBreak/>
        <w:t>No existe una causal de inhabilidad o incompatibilidad que lo prohíba. Sin embargo, las entidades estatales deben ser cuidadosas, en el sentido de verificar que se cumplan los requisitos legales, reglamentarios y jurisprudenciales, dispuestos para los contratos de prestación de servicios profesionales. Adicionalmente, deben analizar en los estudios previos la complejidad y el alcance de las actividades a contratar, de manera que se cercioren de que la persona natural con la cual se celebrarán ambos contratos tendrá la capacidad técnica, jurídica y económica para ejecutarlos satisfactoriamente.</w:t>
      </w:r>
    </w:p>
    <w:p w14:paraId="422879C2" w14:textId="77777777" w:rsidR="00B06E0C" w:rsidRDefault="00B06E0C" w:rsidP="00B06E0C">
      <w:pPr>
        <w:spacing w:line="276" w:lineRule="auto"/>
        <w:jc w:val="both"/>
        <w:rPr>
          <w:rFonts w:ascii="Arial" w:eastAsia="Calibri" w:hAnsi="Arial" w:cs="Arial"/>
          <w:color w:val="000000" w:themeColor="text1"/>
          <w:sz w:val="22"/>
        </w:rPr>
      </w:pPr>
    </w:p>
    <w:p w14:paraId="25D3E30A" w14:textId="77777777" w:rsidR="00B06E0C" w:rsidRPr="00F95886" w:rsidRDefault="00B06E0C" w:rsidP="00B06E0C">
      <w:pPr>
        <w:spacing w:line="276" w:lineRule="auto"/>
        <w:jc w:val="both"/>
        <w:rPr>
          <w:rFonts w:ascii="Arial" w:eastAsia="Calibri" w:hAnsi="Arial" w:cs="Arial"/>
          <w:color w:val="000000" w:themeColor="text1"/>
          <w:sz w:val="22"/>
        </w:rPr>
      </w:pPr>
      <w:r w:rsidRPr="00F95886">
        <w:rPr>
          <w:rFonts w:ascii="Arial" w:eastAsia="Calibri" w:hAnsi="Arial" w:cs="Arial"/>
          <w:color w:val="000000" w:themeColor="text1"/>
          <w:sz w:val="22"/>
        </w:rPr>
        <w:t>Este concepto tiene el alcance previsto en el artículo 28 del Código de Procedimiento Administrativo y de lo Contencioso Administrativo.</w:t>
      </w:r>
    </w:p>
    <w:p w14:paraId="4CB9CF1F" w14:textId="77777777" w:rsidR="00B06E0C" w:rsidRPr="00F95886" w:rsidRDefault="00B06E0C" w:rsidP="00B06E0C">
      <w:pPr>
        <w:spacing w:line="276" w:lineRule="auto"/>
        <w:jc w:val="both"/>
        <w:rPr>
          <w:rFonts w:ascii="Arial" w:eastAsia="Calibri" w:hAnsi="Arial" w:cs="Arial"/>
          <w:color w:val="000000" w:themeColor="text1"/>
          <w:sz w:val="22"/>
        </w:rPr>
      </w:pPr>
    </w:p>
    <w:p w14:paraId="0F4BC5F6" w14:textId="77777777" w:rsidR="00B06E0C" w:rsidRPr="00F95886" w:rsidRDefault="00B06E0C" w:rsidP="00B06E0C">
      <w:pPr>
        <w:spacing w:line="276" w:lineRule="auto"/>
        <w:jc w:val="both"/>
        <w:rPr>
          <w:rFonts w:ascii="Arial" w:eastAsia="Calibri" w:hAnsi="Arial" w:cs="Arial"/>
          <w:color w:val="000000" w:themeColor="text1"/>
          <w:sz w:val="22"/>
        </w:rPr>
      </w:pPr>
      <w:r w:rsidRPr="00F95886">
        <w:rPr>
          <w:noProof/>
          <w:color w:val="000000" w:themeColor="text1"/>
          <w:lang w:val="en-US"/>
        </w:rPr>
        <mc:AlternateContent>
          <mc:Choice Requires="wps">
            <w:drawing>
              <wp:anchor distT="0" distB="0" distL="114300" distR="114300" simplePos="0" relativeHeight="251659264" behindDoc="0" locked="0" layoutInCell="1" allowOverlap="1" wp14:anchorId="3F87CF5D" wp14:editId="582AFEB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2C20E3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8F61ED8" w14:textId="77777777" w:rsidR="00B06E0C" w:rsidRPr="00F95886" w:rsidRDefault="00B06E0C" w:rsidP="00B06E0C">
      <w:pPr>
        <w:spacing w:line="276" w:lineRule="auto"/>
        <w:rPr>
          <w:rFonts w:ascii="Arial" w:eastAsia="Times New Roman" w:hAnsi="Arial" w:cs="Arial"/>
          <w:color w:val="000000" w:themeColor="text1"/>
          <w:sz w:val="22"/>
          <w:lang w:eastAsia="es-CO"/>
        </w:rPr>
      </w:pPr>
      <w:r w:rsidRPr="00F95886">
        <w:rPr>
          <w:rFonts w:ascii="Arial" w:eastAsia="Times New Roman" w:hAnsi="Arial" w:cs="Arial"/>
          <w:color w:val="000000" w:themeColor="text1"/>
          <w:sz w:val="22"/>
          <w:lang w:eastAsia="es-CO"/>
        </w:rPr>
        <w:t>Atentamente,</w:t>
      </w:r>
    </w:p>
    <w:p w14:paraId="450A3250" w14:textId="77777777" w:rsidR="00B06E0C" w:rsidRPr="00F95886" w:rsidRDefault="00B06E0C" w:rsidP="00B06E0C">
      <w:pPr>
        <w:spacing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047AD42E" wp14:editId="772A9B6F">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06E0C" w:rsidRPr="00F95886" w14:paraId="52E975B7" w14:textId="77777777" w:rsidTr="00C55DCF">
        <w:trPr>
          <w:trHeight w:val="315"/>
        </w:trPr>
        <w:tc>
          <w:tcPr>
            <w:tcW w:w="812" w:type="dxa"/>
            <w:vAlign w:val="center"/>
            <w:hideMark/>
          </w:tcPr>
          <w:p w14:paraId="33390BD8"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E881CB6"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Cristian Andrés Díaz Díez</w:t>
            </w:r>
          </w:p>
          <w:p w14:paraId="36C23148"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Contratista</w:t>
            </w:r>
          </w:p>
        </w:tc>
      </w:tr>
      <w:tr w:rsidR="00B06E0C" w:rsidRPr="00F95886" w14:paraId="66552820" w14:textId="77777777" w:rsidTr="00C55DCF">
        <w:trPr>
          <w:trHeight w:val="330"/>
        </w:trPr>
        <w:tc>
          <w:tcPr>
            <w:tcW w:w="812" w:type="dxa"/>
            <w:vAlign w:val="center"/>
            <w:hideMark/>
          </w:tcPr>
          <w:p w14:paraId="6155D029"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1F9734"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Fabián Gonzalo Marín Cortés</w:t>
            </w:r>
          </w:p>
          <w:p w14:paraId="3AF8655B"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Subdirector de Gestión Contractual</w:t>
            </w:r>
          </w:p>
        </w:tc>
      </w:tr>
      <w:tr w:rsidR="00B06E0C" w:rsidRPr="00F95886" w14:paraId="32B58A0F" w14:textId="77777777" w:rsidTr="00C55DCF">
        <w:trPr>
          <w:trHeight w:val="300"/>
        </w:trPr>
        <w:tc>
          <w:tcPr>
            <w:tcW w:w="812" w:type="dxa"/>
            <w:vAlign w:val="center"/>
            <w:hideMark/>
          </w:tcPr>
          <w:p w14:paraId="6BF14C2F"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048AE1"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Fabián Gonzalo Marín Cortés</w:t>
            </w:r>
          </w:p>
          <w:p w14:paraId="0050B17C" w14:textId="77777777" w:rsidR="00B06E0C" w:rsidRPr="00F95886" w:rsidRDefault="00B06E0C" w:rsidP="00C55DCF">
            <w:pPr>
              <w:spacing w:line="276" w:lineRule="auto"/>
              <w:rPr>
                <w:rFonts w:ascii="Arial" w:eastAsia="Times New Roman" w:hAnsi="Arial" w:cs="Arial"/>
                <w:color w:val="000000" w:themeColor="text1"/>
                <w:sz w:val="16"/>
                <w:szCs w:val="16"/>
                <w:lang w:eastAsia="es-ES"/>
              </w:rPr>
            </w:pPr>
            <w:r w:rsidRPr="00F95886">
              <w:rPr>
                <w:rFonts w:ascii="Arial" w:eastAsia="Times New Roman" w:hAnsi="Arial" w:cs="Arial"/>
                <w:color w:val="000000" w:themeColor="text1"/>
                <w:sz w:val="16"/>
                <w:szCs w:val="16"/>
                <w:lang w:eastAsia="es-ES"/>
              </w:rPr>
              <w:t>Subdirector de Gestión Contractual</w:t>
            </w:r>
          </w:p>
        </w:tc>
      </w:tr>
    </w:tbl>
    <w:p w14:paraId="797E3B23" w14:textId="77777777" w:rsidR="00B06E0C" w:rsidRPr="00F95886" w:rsidRDefault="00B06E0C" w:rsidP="00B06E0C">
      <w:pPr>
        <w:spacing w:line="276" w:lineRule="auto"/>
        <w:rPr>
          <w:rFonts w:ascii="Arial" w:eastAsia="Times New Roman" w:hAnsi="Arial" w:cs="Arial"/>
          <w:color w:val="000000" w:themeColor="text1"/>
          <w:sz w:val="16"/>
          <w:szCs w:val="16"/>
          <w:lang w:eastAsia="es-ES"/>
        </w:rPr>
      </w:pPr>
    </w:p>
    <w:p w14:paraId="7AAFA632" w14:textId="77777777" w:rsidR="00B06E0C" w:rsidRPr="00E419C7" w:rsidRDefault="00B06E0C" w:rsidP="00B06E0C"/>
    <w:p w14:paraId="35B56F46" w14:textId="77777777" w:rsidR="00746E08" w:rsidRPr="00602113" w:rsidRDefault="00746E08" w:rsidP="00602113"/>
    <w:sectPr w:rsidR="00746E08" w:rsidRPr="0060211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68C2F" w14:textId="77777777" w:rsidR="00932596" w:rsidRDefault="00932596">
      <w:r>
        <w:separator/>
      </w:r>
    </w:p>
  </w:endnote>
  <w:endnote w:type="continuationSeparator" w:id="0">
    <w:p w14:paraId="003088D2" w14:textId="77777777" w:rsidR="00932596" w:rsidRDefault="0093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EEEF958" w:rsidR="008217B7" w:rsidRDefault="008217B7" w:rsidP="00322937">
    <w:pPr>
      <w:pStyle w:val="Sinespaciado"/>
      <w:jc w:val="right"/>
      <w:rPr>
        <w:rFonts w:ascii="Arial" w:hAnsi="Arial" w:cs="Arial"/>
        <w:sz w:val="18"/>
        <w:szCs w:val="18"/>
      </w:rPr>
    </w:pPr>
  </w:p>
  <w:p w14:paraId="30E0A459" w14:textId="77777777" w:rsidR="00F95886" w:rsidRDefault="00F95886" w:rsidP="00322937">
    <w:pPr>
      <w:pStyle w:val="Sinespaciado"/>
      <w:jc w:val="right"/>
      <w:rPr>
        <w:rFonts w:ascii="Arial" w:hAnsi="Arial" w:cs="Arial"/>
        <w:sz w:val="18"/>
        <w:szCs w:val="18"/>
      </w:rPr>
    </w:pPr>
  </w:p>
  <w:p w14:paraId="7A3785F3" w14:textId="2A897BD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692B02">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692B02">
      <w:rPr>
        <w:rFonts w:ascii="Arial" w:hAnsi="Arial" w:cs="Arial"/>
        <w:b/>
        <w:bCs/>
        <w:noProof/>
        <w:color w:val="7F7F7F" w:themeColor="text1" w:themeTint="80"/>
        <w:sz w:val="16"/>
        <w:szCs w:val="16"/>
      </w:rPr>
      <w:t>16</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571D3" w14:textId="77777777" w:rsidR="00932596" w:rsidRDefault="00932596">
      <w:r>
        <w:separator/>
      </w:r>
    </w:p>
  </w:footnote>
  <w:footnote w:type="continuationSeparator" w:id="0">
    <w:p w14:paraId="1541AB4D" w14:textId="77777777" w:rsidR="00932596" w:rsidRDefault="00932596">
      <w:r>
        <w:continuationSeparator/>
      </w:r>
    </w:p>
  </w:footnote>
  <w:footnote w:id="1">
    <w:p w14:paraId="3899F067"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04A87BA9"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»Las personas jurídicas nacionales y extranjeras deberán acreditar que su duración no será inferior a la del plazo del contrato y un año más».</w:t>
      </w:r>
    </w:p>
    <w:p w14:paraId="4E9CA682" w14:textId="77777777" w:rsidR="00B06E0C" w:rsidRPr="007C17EA" w:rsidRDefault="00B06E0C" w:rsidP="00B06E0C">
      <w:pPr>
        <w:pStyle w:val="Textonotapie"/>
        <w:ind w:firstLine="709"/>
        <w:jc w:val="both"/>
        <w:rPr>
          <w:rFonts w:ascii="Arial" w:hAnsi="Arial" w:cs="Arial"/>
          <w:color w:val="000000" w:themeColor="text1"/>
          <w:sz w:val="19"/>
          <w:szCs w:val="19"/>
        </w:rPr>
      </w:pPr>
    </w:p>
  </w:footnote>
  <w:footnote w:id="2">
    <w:p w14:paraId="6AACB831"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7F233060"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»1o.) que sea legalmente capaz.</w:t>
      </w:r>
    </w:p>
    <w:p w14:paraId="0403C764"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w:t>
      </w:r>
    </w:p>
    <w:p w14:paraId="20050C31"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»La capacidad legal de una persona consiste en poderse obligar por sí misma, sin el ministerio o la autorización de otra».</w:t>
      </w:r>
    </w:p>
    <w:p w14:paraId="7CB16480" w14:textId="77777777" w:rsidR="00B06E0C" w:rsidRPr="007C17EA" w:rsidRDefault="00B06E0C" w:rsidP="00B06E0C">
      <w:pPr>
        <w:pStyle w:val="Textonotapie"/>
        <w:ind w:firstLine="709"/>
        <w:jc w:val="both"/>
        <w:rPr>
          <w:rFonts w:ascii="Arial" w:hAnsi="Arial" w:cs="Arial"/>
          <w:color w:val="000000" w:themeColor="text1"/>
          <w:sz w:val="19"/>
          <w:szCs w:val="19"/>
          <w:lang w:val="es-CO"/>
        </w:rPr>
      </w:pPr>
    </w:p>
  </w:footnote>
  <w:footnote w:id="3">
    <w:p w14:paraId="3C698540"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Los incisos 1 y 2 de dicho artículo disponen: </w:t>
      </w:r>
      <w:r w:rsidRPr="007C17EA">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729C0BE"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7D4005B" w14:textId="77777777" w:rsidR="00B06E0C" w:rsidRPr="007C17EA" w:rsidRDefault="00B06E0C" w:rsidP="00B06E0C">
      <w:pPr>
        <w:pStyle w:val="Textonotapie"/>
        <w:ind w:firstLine="709"/>
        <w:jc w:val="both"/>
        <w:rPr>
          <w:rFonts w:ascii="Arial" w:hAnsi="Arial" w:cs="Arial"/>
          <w:color w:val="000000" w:themeColor="text1"/>
          <w:sz w:val="19"/>
          <w:szCs w:val="19"/>
          <w:lang w:val="es-CO"/>
        </w:rPr>
      </w:pPr>
    </w:p>
  </w:footnote>
  <w:footnote w:id="4">
    <w:p w14:paraId="7B1E79E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7C17EA">
        <w:rPr>
          <w:rFonts w:ascii="Arial" w:hAnsi="Arial" w:cs="Arial"/>
          <w:i/>
          <w:iCs/>
          <w:color w:val="000000" w:themeColor="text1"/>
          <w:sz w:val="19"/>
          <w:szCs w:val="19"/>
          <w:lang w:val="es-ES"/>
        </w:rPr>
        <w:t>el régimen de inhabilidades e incompatibilidades</w:t>
      </w:r>
      <w:r w:rsidRPr="007C17EA">
        <w:rPr>
          <w:rFonts w:ascii="Arial" w:hAnsi="Arial" w:cs="Arial"/>
          <w:color w:val="000000" w:themeColor="text1"/>
          <w:sz w:val="19"/>
          <w:szCs w:val="19"/>
          <w:lang w:val="es-ES"/>
        </w:rPr>
        <w:t xml:space="preserve"> (1) y la obligación de ciertos proponentes de inscribirse en el </w:t>
      </w:r>
      <w:r w:rsidRPr="007C17EA">
        <w:rPr>
          <w:rFonts w:ascii="Arial" w:hAnsi="Arial" w:cs="Arial"/>
          <w:i/>
          <w:iCs/>
          <w:color w:val="000000" w:themeColor="text1"/>
          <w:sz w:val="19"/>
          <w:szCs w:val="19"/>
          <w:lang w:val="es-ES"/>
        </w:rPr>
        <w:t>registro único</w:t>
      </w:r>
      <w:r w:rsidRPr="007C17EA">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5B375A6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5">
    <w:p w14:paraId="7593DFFB" w14:textId="77777777" w:rsidR="00B06E0C" w:rsidRPr="007C17EA" w:rsidRDefault="00B06E0C" w:rsidP="00B06E0C">
      <w:pPr>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450493B9" w14:textId="77777777" w:rsidR="00B06E0C" w:rsidRPr="007C17EA" w:rsidRDefault="00B06E0C" w:rsidP="00B06E0C">
      <w:pPr>
        <w:ind w:firstLine="709"/>
        <w:jc w:val="both"/>
        <w:rPr>
          <w:rFonts w:ascii="Arial" w:hAnsi="Arial" w:cs="Arial"/>
          <w:color w:val="000000" w:themeColor="text1"/>
          <w:sz w:val="19"/>
          <w:szCs w:val="19"/>
          <w:lang w:val="es-ES"/>
        </w:rPr>
      </w:pPr>
    </w:p>
  </w:footnote>
  <w:footnote w:id="6">
    <w:p w14:paraId="5BA3FDA4"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3D4669D3" w14:textId="77777777" w:rsidR="00B06E0C" w:rsidRPr="007C17EA" w:rsidRDefault="00B06E0C" w:rsidP="00B06E0C">
      <w:pPr>
        <w:pStyle w:val="Textonotapie"/>
        <w:ind w:firstLine="709"/>
        <w:jc w:val="both"/>
        <w:rPr>
          <w:rFonts w:ascii="Arial" w:hAnsi="Arial" w:cs="Arial"/>
          <w:color w:val="000000" w:themeColor="text1"/>
          <w:sz w:val="19"/>
          <w:szCs w:val="19"/>
          <w:lang w:val="es-CO"/>
        </w:rPr>
      </w:pPr>
    </w:p>
  </w:footnote>
  <w:footnote w:id="7">
    <w:p w14:paraId="5156970C"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01ED8792" w14:textId="77777777" w:rsidR="00B06E0C" w:rsidRPr="007C17EA" w:rsidRDefault="00B06E0C" w:rsidP="00B06E0C">
      <w:pPr>
        <w:pStyle w:val="Textonotapie"/>
        <w:ind w:firstLine="709"/>
        <w:jc w:val="both"/>
        <w:rPr>
          <w:rFonts w:ascii="Arial" w:hAnsi="Arial" w:cs="Arial"/>
          <w:color w:val="000000" w:themeColor="text1"/>
          <w:sz w:val="19"/>
          <w:szCs w:val="19"/>
          <w:lang w:val="es-CO"/>
        </w:rPr>
      </w:pPr>
      <w:r w:rsidRPr="007C17EA">
        <w:rPr>
          <w:rFonts w:ascii="Arial" w:hAnsi="Arial" w:cs="Arial"/>
          <w:color w:val="000000" w:themeColor="text1"/>
          <w:sz w:val="19"/>
          <w:szCs w:val="19"/>
          <w:lang w:val="es-ES"/>
        </w:rPr>
        <w:t xml:space="preserve">  </w:t>
      </w:r>
    </w:p>
  </w:footnote>
  <w:footnote w:id="8">
    <w:p w14:paraId="1076A836" w14:textId="77777777" w:rsidR="00B06E0C" w:rsidRPr="007C17EA" w:rsidRDefault="00B06E0C" w:rsidP="00B06E0C">
      <w:pPr>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331FCDA0" w14:textId="77777777" w:rsidR="00B06E0C" w:rsidRPr="007C17EA" w:rsidRDefault="00B06E0C" w:rsidP="00B06E0C">
      <w:pPr>
        <w:ind w:firstLine="709"/>
        <w:jc w:val="both"/>
        <w:rPr>
          <w:rFonts w:ascii="Arial" w:hAnsi="Arial" w:cs="Arial"/>
          <w:color w:val="000000" w:themeColor="text1"/>
          <w:sz w:val="19"/>
          <w:szCs w:val="19"/>
          <w:lang w:val="es-ES"/>
        </w:rPr>
      </w:pPr>
    </w:p>
  </w:footnote>
  <w:footnote w:id="9">
    <w:p w14:paraId="662051D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00F04900"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0">
    <w:p w14:paraId="1D2D38B4"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Ibíd., p. 69.</w:t>
      </w:r>
    </w:p>
    <w:p w14:paraId="6AE5119A"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1">
    <w:p w14:paraId="70E13FD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0C5AD2C8"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2">
    <w:p w14:paraId="1354F4A3"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3D39CA9C"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3">
    <w:p w14:paraId="6D1EA1C1"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4B30563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4">
    <w:p w14:paraId="18681B14"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6CE3905A"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5">
    <w:p w14:paraId="7125AE79"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DA359CF"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0EB92BCD"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6">
    <w:p w14:paraId="70D20387"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3DE4AC1"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1E69991"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»El Gobierno nacional reglamentará el mecanismo para realizar la mensualización de que trata el presente artículo.</w:t>
      </w:r>
    </w:p>
    <w:p w14:paraId="469E262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w:t>
      </w:r>
    </w:p>
    <w:p w14:paraId="3C2A2472"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7">
    <w:p w14:paraId="37C4FC6F"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Corte Constitucional. Sentencia C-154 de 1997. Magistrado Ponente: Hernando Herrera Vergara.</w:t>
      </w:r>
    </w:p>
    <w:p w14:paraId="1B15120E"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8">
    <w:p w14:paraId="126273DD"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Ibíd.</w:t>
      </w:r>
    </w:p>
    <w:p w14:paraId="6603916A"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19">
    <w:p w14:paraId="31EE8F30"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7F7EBB2"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p w14:paraId="6D19DB89"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40808BD"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p w14:paraId="1343F8C7"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0">
    <w:p w14:paraId="31ABB40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232619D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1">
    <w:p w14:paraId="07B9B71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Ibíd.</w:t>
      </w:r>
    </w:p>
    <w:p w14:paraId="7AB144AB"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2">
    <w:p w14:paraId="7DA43C1E"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Ibíd.</w:t>
      </w:r>
    </w:p>
    <w:p w14:paraId="20A34F99"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3">
    <w:p w14:paraId="34316E6F"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7666799"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5EA1392A"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A1ADF44"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4">
    <w:p w14:paraId="23F419D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668FC9F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»1. La causal que invoca para contratar directamente.</w:t>
      </w:r>
    </w:p>
    <w:p w14:paraId="3543A415"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»2. El objeto del contrato.</w:t>
      </w:r>
    </w:p>
    <w:p w14:paraId="7EFA7891"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»3. El presupuesto para la contratación y las condiciones que exigirá al contratista.</w:t>
      </w:r>
    </w:p>
    <w:p w14:paraId="69F042B1"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»4. El lugar en el cual los interesados pueden consultar los estudios y documentos previos.</w:t>
      </w:r>
    </w:p>
    <w:p w14:paraId="413B6F6B"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202E440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5">
    <w:p w14:paraId="29F46017"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Esta norma expresa: «</w:t>
      </w:r>
      <w:r w:rsidRPr="007C17EA">
        <w:rPr>
          <w:rFonts w:ascii="Arial" w:hAnsi="Arial" w:cs="Arial"/>
          <w:color w:val="000000" w:themeColor="text1"/>
          <w:sz w:val="19"/>
          <w:szCs w:val="19"/>
        </w:rPr>
        <w:t>P</w:t>
      </w:r>
      <w:r w:rsidRPr="007C17EA">
        <w:rPr>
          <w:rFonts w:ascii="Arial" w:hAnsi="Arial" w:cs="Arial"/>
          <w:color w:val="000000" w:themeColor="text1"/>
          <w:sz w:val="19"/>
          <w:szCs w:val="19"/>
          <w:lang w:val="es-ES"/>
        </w:rPr>
        <w:t>ara el cumplimiento de los fines de la contratación, las entidades estatales al celebrar un contrato:</w:t>
      </w:r>
    </w:p>
    <w:p w14:paraId="1F1717E4"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w:t>
      </w:r>
    </w:p>
    <w:p w14:paraId="53FC4EE2"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16B11C4"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»Las entidades estatales podrán pactar estas cláusulas en los contratos de suministro y de prestación de servicios.</w:t>
      </w:r>
    </w:p>
    <w:p w14:paraId="539541A0"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w:t>
      </w:r>
    </w:p>
    <w:p w14:paraId="2003848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6">
    <w:p w14:paraId="41FFC3A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0C018F46"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7">
    <w:p w14:paraId="32E22D59"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9F27CA9"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6A52441" w14:textId="77777777" w:rsidR="00B06E0C" w:rsidRPr="007C17EA" w:rsidRDefault="00B06E0C" w:rsidP="00B06E0C">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w:t>
      </w:r>
    </w:p>
    <w:p w14:paraId="186CA8AF"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8">
    <w:p w14:paraId="1B8FF79A"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D1A80FE"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p>
  </w:footnote>
  <w:footnote w:id="29">
    <w:p w14:paraId="7CD39D5C" w14:textId="77777777" w:rsidR="00B06E0C" w:rsidRPr="007C17EA" w:rsidRDefault="00B06E0C" w:rsidP="00B06E0C">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Así lo ha reconocido la doctrina: «Por otra parte, la reglamentación de la prestación de servicios comprende una paleta normativa que busca limitar la tergiversación de este tipo de contratos en beneficio de las </w:t>
      </w:r>
      <w:r w:rsidRPr="007C17EA">
        <w:rPr>
          <w:rFonts w:ascii="Arial" w:hAnsi="Arial" w:cs="Arial"/>
          <w:i/>
          <w:color w:val="000000" w:themeColor="text1"/>
          <w:sz w:val="19"/>
          <w:szCs w:val="19"/>
          <w:lang w:val="es-ES"/>
        </w:rPr>
        <w:t>nóminas paralelas</w:t>
      </w:r>
      <w:r w:rsidRPr="007C17EA">
        <w:rPr>
          <w:rFonts w:ascii="Arial" w:hAnsi="Arial" w:cs="Arial"/>
          <w:color w:val="000000" w:themeColor="text1"/>
          <w:sz w:val="19"/>
          <w:szCs w:val="19"/>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A69ACB2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AF8"/>
    <w:rsid w:val="00027C8A"/>
    <w:rsid w:val="00052E6D"/>
    <w:rsid w:val="00061CA6"/>
    <w:rsid w:val="00062363"/>
    <w:rsid w:val="000668F2"/>
    <w:rsid w:val="00083BF8"/>
    <w:rsid w:val="00084AA0"/>
    <w:rsid w:val="00084B97"/>
    <w:rsid w:val="00085147"/>
    <w:rsid w:val="000921C6"/>
    <w:rsid w:val="000942EB"/>
    <w:rsid w:val="00096EE0"/>
    <w:rsid w:val="000B103F"/>
    <w:rsid w:val="000B6F0F"/>
    <w:rsid w:val="000B71E4"/>
    <w:rsid w:val="000C0D40"/>
    <w:rsid w:val="000E3936"/>
    <w:rsid w:val="000F14E8"/>
    <w:rsid w:val="00103915"/>
    <w:rsid w:val="00122B23"/>
    <w:rsid w:val="00137FFA"/>
    <w:rsid w:val="00150BAE"/>
    <w:rsid w:val="00155152"/>
    <w:rsid w:val="00157A04"/>
    <w:rsid w:val="001659D9"/>
    <w:rsid w:val="001704FF"/>
    <w:rsid w:val="00170956"/>
    <w:rsid w:val="00172D04"/>
    <w:rsid w:val="00181317"/>
    <w:rsid w:val="00191592"/>
    <w:rsid w:val="001A7081"/>
    <w:rsid w:val="001B0444"/>
    <w:rsid w:val="001E60CB"/>
    <w:rsid w:val="001F34D4"/>
    <w:rsid w:val="001F71C5"/>
    <w:rsid w:val="001F7D57"/>
    <w:rsid w:val="0020632A"/>
    <w:rsid w:val="002110EB"/>
    <w:rsid w:val="00211338"/>
    <w:rsid w:val="002233B1"/>
    <w:rsid w:val="00234B84"/>
    <w:rsid w:val="00260F08"/>
    <w:rsid w:val="002A11F2"/>
    <w:rsid w:val="002B24F0"/>
    <w:rsid w:val="002C4C0C"/>
    <w:rsid w:val="002C7F9C"/>
    <w:rsid w:val="002D6C6B"/>
    <w:rsid w:val="002F1A14"/>
    <w:rsid w:val="002F454C"/>
    <w:rsid w:val="00301184"/>
    <w:rsid w:val="003033BA"/>
    <w:rsid w:val="003074AE"/>
    <w:rsid w:val="00314F59"/>
    <w:rsid w:val="00322937"/>
    <w:rsid w:val="00325E6F"/>
    <w:rsid w:val="00336972"/>
    <w:rsid w:val="0034177C"/>
    <w:rsid w:val="0034677C"/>
    <w:rsid w:val="0034680A"/>
    <w:rsid w:val="00353DD5"/>
    <w:rsid w:val="00386456"/>
    <w:rsid w:val="00396FE0"/>
    <w:rsid w:val="003A0878"/>
    <w:rsid w:val="003A2753"/>
    <w:rsid w:val="003A581E"/>
    <w:rsid w:val="003C24CD"/>
    <w:rsid w:val="003C63A9"/>
    <w:rsid w:val="003D000D"/>
    <w:rsid w:val="003D2E2C"/>
    <w:rsid w:val="00412C63"/>
    <w:rsid w:val="00423F9F"/>
    <w:rsid w:val="00427331"/>
    <w:rsid w:val="004422D6"/>
    <w:rsid w:val="004569DB"/>
    <w:rsid w:val="004644A2"/>
    <w:rsid w:val="00473979"/>
    <w:rsid w:val="0048136F"/>
    <w:rsid w:val="0049094E"/>
    <w:rsid w:val="0049241A"/>
    <w:rsid w:val="004A34D2"/>
    <w:rsid w:val="004E2176"/>
    <w:rsid w:val="004E5EAC"/>
    <w:rsid w:val="0051074C"/>
    <w:rsid w:val="00513AF2"/>
    <w:rsid w:val="005178B0"/>
    <w:rsid w:val="0054413A"/>
    <w:rsid w:val="005564CA"/>
    <w:rsid w:val="0056182B"/>
    <w:rsid w:val="005756AA"/>
    <w:rsid w:val="00596405"/>
    <w:rsid w:val="005C0573"/>
    <w:rsid w:val="005D0F03"/>
    <w:rsid w:val="005D3341"/>
    <w:rsid w:val="005D51FA"/>
    <w:rsid w:val="005D791B"/>
    <w:rsid w:val="006010F7"/>
    <w:rsid w:val="00602113"/>
    <w:rsid w:val="00611B77"/>
    <w:rsid w:val="00614817"/>
    <w:rsid w:val="00617FF2"/>
    <w:rsid w:val="00633DBF"/>
    <w:rsid w:val="006344B7"/>
    <w:rsid w:val="00640AEF"/>
    <w:rsid w:val="006426BC"/>
    <w:rsid w:val="00644C0A"/>
    <w:rsid w:val="00655371"/>
    <w:rsid w:val="00660B1A"/>
    <w:rsid w:val="006636B5"/>
    <w:rsid w:val="00665AA7"/>
    <w:rsid w:val="00685238"/>
    <w:rsid w:val="006911AD"/>
    <w:rsid w:val="00692B02"/>
    <w:rsid w:val="006967F3"/>
    <w:rsid w:val="00697665"/>
    <w:rsid w:val="006A7CB5"/>
    <w:rsid w:val="006A7FD0"/>
    <w:rsid w:val="006B3FCA"/>
    <w:rsid w:val="006B60C8"/>
    <w:rsid w:val="006C1C9E"/>
    <w:rsid w:val="006D687F"/>
    <w:rsid w:val="006D7687"/>
    <w:rsid w:val="006E0572"/>
    <w:rsid w:val="006F2A69"/>
    <w:rsid w:val="00705631"/>
    <w:rsid w:val="00705F07"/>
    <w:rsid w:val="00715EAA"/>
    <w:rsid w:val="0072288F"/>
    <w:rsid w:val="00742DD2"/>
    <w:rsid w:val="00746E08"/>
    <w:rsid w:val="00747C96"/>
    <w:rsid w:val="0075094E"/>
    <w:rsid w:val="00751504"/>
    <w:rsid w:val="007522E8"/>
    <w:rsid w:val="0075647A"/>
    <w:rsid w:val="007634AD"/>
    <w:rsid w:val="0078122E"/>
    <w:rsid w:val="00790122"/>
    <w:rsid w:val="00795647"/>
    <w:rsid w:val="007A4609"/>
    <w:rsid w:val="007B0854"/>
    <w:rsid w:val="007B6F1D"/>
    <w:rsid w:val="007C17EA"/>
    <w:rsid w:val="007C3F63"/>
    <w:rsid w:val="007D7BD9"/>
    <w:rsid w:val="007F4562"/>
    <w:rsid w:val="007F6B46"/>
    <w:rsid w:val="007F72CB"/>
    <w:rsid w:val="00811CB5"/>
    <w:rsid w:val="0081537B"/>
    <w:rsid w:val="008217B7"/>
    <w:rsid w:val="0083119B"/>
    <w:rsid w:val="00836EAB"/>
    <w:rsid w:val="0085092D"/>
    <w:rsid w:val="00850F79"/>
    <w:rsid w:val="00854CFC"/>
    <w:rsid w:val="00870F20"/>
    <w:rsid w:val="00871FD2"/>
    <w:rsid w:val="0089774F"/>
    <w:rsid w:val="008A55BC"/>
    <w:rsid w:val="008B5B04"/>
    <w:rsid w:val="008C6F27"/>
    <w:rsid w:val="008D6DE0"/>
    <w:rsid w:val="008D7994"/>
    <w:rsid w:val="008E09CF"/>
    <w:rsid w:val="008E1C15"/>
    <w:rsid w:val="008F538E"/>
    <w:rsid w:val="008F6999"/>
    <w:rsid w:val="009047C5"/>
    <w:rsid w:val="009058E3"/>
    <w:rsid w:val="00905DDA"/>
    <w:rsid w:val="00923BCA"/>
    <w:rsid w:val="009256D5"/>
    <w:rsid w:val="00932596"/>
    <w:rsid w:val="0094362D"/>
    <w:rsid w:val="0095385A"/>
    <w:rsid w:val="00953E0F"/>
    <w:rsid w:val="00960D5C"/>
    <w:rsid w:val="009616AF"/>
    <w:rsid w:val="00962E23"/>
    <w:rsid w:val="0096318D"/>
    <w:rsid w:val="00985EFB"/>
    <w:rsid w:val="0099575F"/>
    <w:rsid w:val="009A7824"/>
    <w:rsid w:val="009D0BBF"/>
    <w:rsid w:val="009E1BE1"/>
    <w:rsid w:val="009F0BB6"/>
    <w:rsid w:val="009F59C2"/>
    <w:rsid w:val="009F5D34"/>
    <w:rsid w:val="00A0570C"/>
    <w:rsid w:val="00A114A5"/>
    <w:rsid w:val="00A114CB"/>
    <w:rsid w:val="00A24560"/>
    <w:rsid w:val="00A278BD"/>
    <w:rsid w:val="00A34004"/>
    <w:rsid w:val="00A34538"/>
    <w:rsid w:val="00A346CD"/>
    <w:rsid w:val="00A37FB6"/>
    <w:rsid w:val="00A754E3"/>
    <w:rsid w:val="00A85C07"/>
    <w:rsid w:val="00A910CB"/>
    <w:rsid w:val="00A97D21"/>
    <w:rsid w:val="00AA08E7"/>
    <w:rsid w:val="00AA442B"/>
    <w:rsid w:val="00AA669D"/>
    <w:rsid w:val="00AC7720"/>
    <w:rsid w:val="00AE6036"/>
    <w:rsid w:val="00AE70B1"/>
    <w:rsid w:val="00AF6DAE"/>
    <w:rsid w:val="00B030B1"/>
    <w:rsid w:val="00B05A55"/>
    <w:rsid w:val="00B06E0C"/>
    <w:rsid w:val="00B073F3"/>
    <w:rsid w:val="00B13EC0"/>
    <w:rsid w:val="00B22024"/>
    <w:rsid w:val="00B22E22"/>
    <w:rsid w:val="00B23041"/>
    <w:rsid w:val="00B25ADA"/>
    <w:rsid w:val="00B460E5"/>
    <w:rsid w:val="00B525CB"/>
    <w:rsid w:val="00B6189A"/>
    <w:rsid w:val="00B63872"/>
    <w:rsid w:val="00B63CB2"/>
    <w:rsid w:val="00B64EDB"/>
    <w:rsid w:val="00B7315F"/>
    <w:rsid w:val="00B75A9B"/>
    <w:rsid w:val="00B91B8E"/>
    <w:rsid w:val="00B92156"/>
    <w:rsid w:val="00BA1266"/>
    <w:rsid w:val="00BD2DDD"/>
    <w:rsid w:val="00BD3394"/>
    <w:rsid w:val="00BD3D51"/>
    <w:rsid w:val="00BD78FE"/>
    <w:rsid w:val="00BD7ABD"/>
    <w:rsid w:val="00BE194E"/>
    <w:rsid w:val="00BE33E3"/>
    <w:rsid w:val="00BE5842"/>
    <w:rsid w:val="00BF4D87"/>
    <w:rsid w:val="00C40E3E"/>
    <w:rsid w:val="00C60414"/>
    <w:rsid w:val="00C61D16"/>
    <w:rsid w:val="00C634EA"/>
    <w:rsid w:val="00C653AC"/>
    <w:rsid w:val="00C707CB"/>
    <w:rsid w:val="00C91FB2"/>
    <w:rsid w:val="00C93443"/>
    <w:rsid w:val="00CA3543"/>
    <w:rsid w:val="00CA4C54"/>
    <w:rsid w:val="00CC00CD"/>
    <w:rsid w:val="00CD078A"/>
    <w:rsid w:val="00CF3B21"/>
    <w:rsid w:val="00D01760"/>
    <w:rsid w:val="00D1044A"/>
    <w:rsid w:val="00D16E39"/>
    <w:rsid w:val="00D16FA8"/>
    <w:rsid w:val="00D20AD0"/>
    <w:rsid w:val="00D223B6"/>
    <w:rsid w:val="00D26A74"/>
    <w:rsid w:val="00D361BF"/>
    <w:rsid w:val="00D45313"/>
    <w:rsid w:val="00D4557E"/>
    <w:rsid w:val="00D50465"/>
    <w:rsid w:val="00D60327"/>
    <w:rsid w:val="00D66CC3"/>
    <w:rsid w:val="00D72E9D"/>
    <w:rsid w:val="00D746FD"/>
    <w:rsid w:val="00D82CE5"/>
    <w:rsid w:val="00D91951"/>
    <w:rsid w:val="00D94962"/>
    <w:rsid w:val="00DA5AB1"/>
    <w:rsid w:val="00DB04D4"/>
    <w:rsid w:val="00DB6633"/>
    <w:rsid w:val="00DC06A6"/>
    <w:rsid w:val="00DC62E5"/>
    <w:rsid w:val="00DD6ABE"/>
    <w:rsid w:val="00DD735D"/>
    <w:rsid w:val="00DE3119"/>
    <w:rsid w:val="00DE6E0C"/>
    <w:rsid w:val="00DE74A8"/>
    <w:rsid w:val="00DF236B"/>
    <w:rsid w:val="00E04179"/>
    <w:rsid w:val="00E10A7E"/>
    <w:rsid w:val="00E11C35"/>
    <w:rsid w:val="00E11ED6"/>
    <w:rsid w:val="00E13AB8"/>
    <w:rsid w:val="00E22816"/>
    <w:rsid w:val="00E25CB3"/>
    <w:rsid w:val="00E33B62"/>
    <w:rsid w:val="00E4143A"/>
    <w:rsid w:val="00E6039E"/>
    <w:rsid w:val="00E61AEE"/>
    <w:rsid w:val="00EA0B3F"/>
    <w:rsid w:val="00EB06A4"/>
    <w:rsid w:val="00EC6C6C"/>
    <w:rsid w:val="00ED069A"/>
    <w:rsid w:val="00EE59B5"/>
    <w:rsid w:val="00F132C2"/>
    <w:rsid w:val="00F23E3A"/>
    <w:rsid w:val="00F31A6E"/>
    <w:rsid w:val="00F431BE"/>
    <w:rsid w:val="00F5291B"/>
    <w:rsid w:val="00F603CC"/>
    <w:rsid w:val="00F72043"/>
    <w:rsid w:val="00F84899"/>
    <w:rsid w:val="00F859F0"/>
    <w:rsid w:val="00F95886"/>
    <w:rsid w:val="00FA039C"/>
    <w:rsid w:val="00FA19FB"/>
    <w:rsid w:val="00FB1417"/>
    <w:rsid w:val="00FB7FA5"/>
    <w:rsid w:val="00FC1D2E"/>
    <w:rsid w:val="00FC53F2"/>
    <w:rsid w:val="00FE141E"/>
    <w:rsid w:val="00FE180D"/>
    <w:rsid w:val="00FE36B6"/>
    <w:rsid w:val="00FE42ED"/>
    <w:rsid w:val="00FE5201"/>
    <w:rsid w:val="00FF0706"/>
    <w:rsid w:val="00FF711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paragraph" w:customStyle="1" w:styleId="Default">
    <w:name w:val="Default"/>
    <w:rsid w:val="007C3F6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B655760-4F8F-46AA-94C3-A2CC0F8B219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12531EE-BC84-484B-8494-4EA6E9AF0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A10314-1352-4074-8CBB-21627E395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4306</Words>
  <Characters>24549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2020-08-06T19:17:00Z</dcterms:created>
  <dcterms:modified xsi:type="dcterms:W3CDTF">2020-08-06T19:17:00Z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