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C5698" w14:textId="77777777" w:rsidR="00A5509B" w:rsidRDefault="006B6BB0" w:rsidP="006B6BB0">
      <w:pPr>
        <w:spacing w:before="120" w:after="120" w:line="276" w:lineRule="auto"/>
        <w:contextualSpacing/>
        <w:jc w:val="both"/>
        <w:rPr>
          <w:rFonts w:ascii="Verdana" w:eastAsia="Arial" w:hAnsi="Verdana"/>
          <w:b/>
          <w:bCs/>
          <w:lang w:val="es-ES" w:eastAsia="es-ES_tradnl"/>
        </w:rPr>
      </w:pPr>
      <w:r w:rsidRPr="00414B0D">
        <w:rPr>
          <w:rFonts w:ascii="Verdana" w:eastAsia="Arial" w:hAnsi="Verdana"/>
          <w:b/>
          <w:bCs/>
          <w:lang w:val="es-ES" w:eastAsia="es-ES_tradnl"/>
        </w:rPr>
        <w:t>CONTRATO DE MANDATO- Representación</w:t>
      </w:r>
    </w:p>
    <w:p w14:paraId="0A0EC5B1" w14:textId="66CD0D83" w:rsidR="006B6BB0" w:rsidRPr="00414B0D" w:rsidRDefault="006B6BB0" w:rsidP="006B6BB0">
      <w:pPr>
        <w:spacing w:before="120" w:after="120" w:line="276" w:lineRule="auto"/>
        <w:contextualSpacing/>
        <w:jc w:val="both"/>
        <w:rPr>
          <w:rFonts w:ascii="Verdana" w:eastAsia="Arial" w:hAnsi="Verdana"/>
          <w:b/>
          <w:bCs/>
          <w:lang w:val="es-ES" w:eastAsia="es-ES_tradnl"/>
        </w:rPr>
      </w:pPr>
      <w:r w:rsidRPr="00414B0D">
        <w:rPr>
          <w:rFonts w:ascii="Verdana" w:eastAsia="Arial" w:hAnsi="Verdana"/>
          <w:b/>
          <w:bCs/>
          <w:lang w:val="es-ES" w:eastAsia="es-ES_tradnl"/>
        </w:rPr>
        <w:t xml:space="preserve"> </w:t>
      </w:r>
    </w:p>
    <w:p w14:paraId="73C2C1B5" w14:textId="77777777" w:rsidR="006B6BB0" w:rsidRPr="00414B0D" w:rsidRDefault="006B6BB0" w:rsidP="006B6BB0">
      <w:pPr>
        <w:widowControl w:val="0"/>
        <w:autoSpaceDE w:val="0"/>
        <w:autoSpaceDN w:val="0"/>
        <w:spacing w:after="0" w:line="240" w:lineRule="auto"/>
        <w:contextualSpacing/>
        <w:jc w:val="both"/>
        <w:rPr>
          <w:rFonts w:ascii="Verdana" w:eastAsia="Arial" w:hAnsi="Verdana" w:cs="Arial"/>
          <w:color w:val="000000" w:themeColor="text1"/>
          <w:sz w:val="20"/>
          <w:szCs w:val="20"/>
          <w:lang w:val="es-ES_tradnl" w:eastAsia="es-ES_tradnl"/>
        </w:rPr>
      </w:pPr>
      <w:r w:rsidRPr="00414B0D">
        <w:rPr>
          <w:rFonts w:ascii="Verdana" w:eastAsia="Arial" w:hAnsi="Verdana" w:cs="Arial"/>
          <w:color w:val="000000" w:themeColor="text1"/>
          <w:sz w:val="20"/>
          <w:szCs w:val="20"/>
          <w:lang w:val="es-ES_tradnl" w:eastAsia="es-ES_tradnl"/>
        </w:rPr>
        <w:t xml:space="preserve">De acuerdo con el artículo 2142 del Código Civil, el mandato es </w:t>
      </w:r>
      <w:r>
        <w:rPr>
          <w:rFonts w:ascii="Verdana" w:eastAsia="Arial" w:hAnsi="Verdana" w:cs="Arial"/>
          <w:color w:val="000000" w:themeColor="text1"/>
          <w:sz w:val="20"/>
          <w:szCs w:val="20"/>
          <w:lang w:val="es-ES_tradnl" w:eastAsia="es-ES_tradnl"/>
        </w:rPr>
        <w:t>“</w:t>
      </w:r>
      <w:r w:rsidRPr="00414B0D">
        <w:rPr>
          <w:rFonts w:ascii="Verdana" w:eastAsia="Arial" w:hAnsi="Verdana" w:cs="Arial"/>
          <w:color w:val="000000" w:themeColor="text1"/>
          <w:sz w:val="20"/>
          <w:szCs w:val="20"/>
          <w:lang w:val="es-ES_tradnl" w:eastAsia="es-ES_tradnl"/>
        </w:rPr>
        <w:t>un contrato en que una persona confía la gestión de uno o más negocios a otra, que se hace cargo de ellos por cuenta y riesgo de la primera</w:t>
      </w:r>
      <w:r>
        <w:rPr>
          <w:rFonts w:ascii="Verdana" w:eastAsia="Arial" w:hAnsi="Verdana" w:cs="Arial"/>
          <w:color w:val="000000" w:themeColor="text1"/>
          <w:sz w:val="20"/>
          <w:szCs w:val="20"/>
          <w:lang w:val="es-ES_tradnl" w:eastAsia="es-ES_tradnl"/>
        </w:rPr>
        <w:t>”</w:t>
      </w:r>
      <w:r w:rsidRPr="00414B0D">
        <w:rPr>
          <w:rFonts w:ascii="Verdana" w:eastAsia="Arial" w:hAnsi="Verdana" w:cs="Arial"/>
          <w:color w:val="000000" w:themeColor="text1"/>
          <w:sz w:val="20"/>
          <w:szCs w:val="20"/>
          <w:lang w:val="es-ES_tradnl" w:eastAsia="es-ES_tradnl"/>
        </w:rPr>
        <w:footnoteReference w:id="2"/>
      </w:r>
      <w:r w:rsidRPr="00414B0D">
        <w:rPr>
          <w:rFonts w:ascii="Verdana" w:eastAsia="Arial" w:hAnsi="Verdana" w:cs="Arial"/>
          <w:color w:val="000000" w:themeColor="text1"/>
          <w:sz w:val="20"/>
          <w:szCs w:val="20"/>
          <w:lang w:val="es-ES_tradnl" w:eastAsia="es-ES_tradnl"/>
        </w:rPr>
        <w:t xml:space="preserve">. Por su parte, el Código de Comercio también establece su propia regulación del contrato de mandato cuando este tiene una naturaleza comercial. El artículo 1262 de este cuerpo normativo define al mandato como el </w:t>
      </w:r>
      <w:r>
        <w:rPr>
          <w:rFonts w:ascii="Verdana" w:eastAsia="Arial" w:hAnsi="Verdana" w:cs="Arial"/>
          <w:color w:val="000000" w:themeColor="text1"/>
          <w:sz w:val="20"/>
          <w:szCs w:val="20"/>
          <w:lang w:val="es-ES_tradnl" w:eastAsia="es-ES_tradnl"/>
        </w:rPr>
        <w:t>“</w:t>
      </w:r>
      <w:r w:rsidRPr="00414B0D">
        <w:rPr>
          <w:rFonts w:ascii="Verdana" w:eastAsia="Arial" w:hAnsi="Verdana" w:cs="Arial"/>
          <w:color w:val="000000" w:themeColor="text1"/>
          <w:sz w:val="20"/>
          <w:szCs w:val="20"/>
          <w:lang w:val="es-ES_tradnl" w:eastAsia="es-ES_tradnl"/>
        </w:rPr>
        <w:t>[…] contrato por el cual una parte se obliga a celebrar o ejecutar uno o más actos de comercio por cuenta de otra</w:t>
      </w:r>
      <w:r>
        <w:rPr>
          <w:rFonts w:ascii="Verdana" w:eastAsia="Arial" w:hAnsi="Verdana" w:cs="Arial"/>
          <w:color w:val="000000" w:themeColor="text1"/>
          <w:sz w:val="20"/>
          <w:szCs w:val="20"/>
          <w:lang w:val="es-ES_tradnl" w:eastAsia="es-ES_tradnl"/>
        </w:rPr>
        <w:t>”</w:t>
      </w:r>
      <w:r w:rsidRPr="00414B0D">
        <w:rPr>
          <w:rFonts w:ascii="Verdana" w:eastAsia="Arial" w:hAnsi="Verdana" w:cs="Arial"/>
          <w:color w:val="000000" w:themeColor="text1"/>
          <w:sz w:val="20"/>
          <w:szCs w:val="20"/>
          <w:lang w:val="es-ES_tradnl" w:eastAsia="es-ES_tradnl"/>
        </w:rPr>
        <w:t>.</w:t>
      </w:r>
    </w:p>
    <w:p w14:paraId="118E359E" w14:textId="77777777" w:rsidR="006B6BB0" w:rsidRPr="00414B0D" w:rsidRDefault="006B6BB0" w:rsidP="006B6BB0">
      <w:pPr>
        <w:spacing w:after="0" w:line="240" w:lineRule="auto"/>
        <w:rPr>
          <w:rFonts w:ascii="Verdana" w:eastAsia="Geomanist Light" w:hAnsi="Verdana" w:cs="Arial"/>
          <w:color w:val="000000" w:themeColor="text1"/>
          <w:lang w:val="es-MX"/>
        </w:rPr>
      </w:pPr>
    </w:p>
    <w:p w14:paraId="17ABA16D" w14:textId="77777777" w:rsidR="006B6BB0" w:rsidRPr="00414B0D" w:rsidRDefault="006B6BB0" w:rsidP="006B6BB0">
      <w:pPr>
        <w:spacing w:before="120" w:after="120" w:line="276" w:lineRule="auto"/>
        <w:contextualSpacing/>
        <w:jc w:val="both"/>
        <w:rPr>
          <w:rFonts w:ascii="Verdana" w:eastAsia="Arial" w:hAnsi="Verdana"/>
          <w:b/>
          <w:bCs/>
          <w:lang w:val="es-ES" w:eastAsia="es-ES_tradnl"/>
        </w:rPr>
      </w:pPr>
      <w:r w:rsidRPr="00414B0D">
        <w:rPr>
          <w:rFonts w:ascii="Verdana" w:eastAsia="Arial" w:hAnsi="Verdana"/>
          <w:b/>
          <w:bCs/>
          <w:lang w:val="es-ES" w:eastAsia="es-ES_tradnl"/>
        </w:rPr>
        <w:t xml:space="preserve">CONTRATO – Definición </w:t>
      </w:r>
    </w:p>
    <w:p w14:paraId="2E5CA0D3" w14:textId="77777777" w:rsidR="006B6BB0" w:rsidRPr="0051568E" w:rsidRDefault="006B6BB0" w:rsidP="006B6BB0">
      <w:pPr>
        <w:widowControl w:val="0"/>
        <w:autoSpaceDE w:val="0"/>
        <w:autoSpaceDN w:val="0"/>
        <w:spacing w:after="0" w:line="240" w:lineRule="auto"/>
        <w:contextualSpacing/>
        <w:jc w:val="both"/>
        <w:rPr>
          <w:rFonts w:ascii="Verdana" w:eastAsia="Arial" w:hAnsi="Verdana" w:cs="Arial"/>
          <w:color w:val="000000" w:themeColor="text1"/>
          <w:sz w:val="20"/>
          <w:szCs w:val="20"/>
          <w:lang w:val="es-ES" w:eastAsia="es-ES"/>
        </w:rPr>
      </w:pPr>
      <w:r w:rsidRPr="0B7668A6">
        <w:rPr>
          <w:rFonts w:ascii="Verdana" w:eastAsia="Arial" w:hAnsi="Verdana" w:cs="Arial"/>
          <w:color w:val="000000" w:themeColor="text1"/>
          <w:sz w:val="20"/>
          <w:szCs w:val="20"/>
          <w:lang w:val="es-ES" w:eastAsia="es-ES"/>
        </w:rPr>
        <w:t xml:space="preserve">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 </w:t>
      </w:r>
    </w:p>
    <w:p w14:paraId="32928A68" w14:textId="77777777" w:rsidR="006B6BB0" w:rsidRPr="0051568E" w:rsidRDefault="006B6BB0" w:rsidP="006B6BB0">
      <w:pPr>
        <w:spacing w:after="0" w:line="240" w:lineRule="auto"/>
        <w:contextualSpacing/>
        <w:jc w:val="both"/>
        <w:rPr>
          <w:rFonts w:ascii="Verdana" w:eastAsia="Arial" w:hAnsi="Verdana"/>
          <w:b/>
          <w:bCs/>
          <w:sz w:val="20"/>
          <w:szCs w:val="20"/>
          <w:lang w:val="es-ES" w:eastAsia="es-ES_tradnl"/>
        </w:rPr>
      </w:pPr>
    </w:p>
    <w:p w14:paraId="3AD483C2" w14:textId="77777777" w:rsidR="006B6BB0" w:rsidRPr="00414B0D" w:rsidRDefault="006B6BB0" w:rsidP="006B6BB0">
      <w:pPr>
        <w:spacing w:before="120" w:after="120" w:line="276" w:lineRule="auto"/>
        <w:contextualSpacing/>
        <w:jc w:val="both"/>
        <w:rPr>
          <w:rFonts w:ascii="Verdana" w:eastAsia="Arial" w:hAnsi="Verdana"/>
          <w:b/>
          <w:bCs/>
          <w:lang w:val="es-ES" w:eastAsia="es-ES_tradnl"/>
        </w:rPr>
      </w:pPr>
      <w:r w:rsidRPr="0051568E">
        <w:rPr>
          <w:rFonts w:ascii="Verdana" w:eastAsia="Arial" w:hAnsi="Verdana"/>
          <w:b/>
          <w:bCs/>
          <w:lang w:val="es-ES" w:eastAsia="es-ES_tradnl"/>
        </w:rPr>
        <w:t xml:space="preserve">CONTRATO ESTATAL – Definición </w:t>
      </w:r>
    </w:p>
    <w:p w14:paraId="05CF8A5D" w14:textId="77777777" w:rsidR="006B6BB0" w:rsidRDefault="006B6BB0" w:rsidP="006B6BB0">
      <w:pPr>
        <w:widowControl w:val="0"/>
        <w:autoSpaceDE w:val="0"/>
        <w:autoSpaceDN w:val="0"/>
        <w:spacing w:after="0" w:line="240" w:lineRule="auto"/>
        <w:contextualSpacing/>
        <w:jc w:val="both"/>
        <w:rPr>
          <w:rFonts w:ascii="Verdana" w:eastAsia="Arial" w:hAnsi="Verdana" w:cs="Arial"/>
          <w:color w:val="000000" w:themeColor="text1"/>
          <w:sz w:val="20"/>
          <w:szCs w:val="20"/>
          <w:lang w:val="es-ES_tradnl" w:eastAsia="es-ES_tradnl"/>
        </w:rPr>
      </w:pPr>
      <w:r w:rsidRPr="0051568E">
        <w:rPr>
          <w:rFonts w:ascii="Verdana" w:eastAsia="Arial" w:hAnsi="Verdana" w:cs="Arial"/>
          <w:color w:val="000000" w:themeColor="text1"/>
          <w:sz w:val="20"/>
          <w:szCs w:val="20"/>
          <w:lang w:val="es-ES_tradnl" w:eastAsia="es-ES_tradnl"/>
        </w:rPr>
        <w:t>[…]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14:paraId="05FBBFF2" w14:textId="77777777" w:rsidR="006B6BB0" w:rsidRPr="0051568E" w:rsidRDefault="006B6BB0" w:rsidP="006B6BB0">
      <w:pPr>
        <w:widowControl w:val="0"/>
        <w:autoSpaceDE w:val="0"/>
        <w:autoSpaceDN w:val="0"/>
        <w:spacing w:after="0" w:line="240" w:lineRule="auto"/>
        <w:contextualSpacing/>
        <w:jc w:val="both"/>
        <w:rPr>
          <w:rFonts w:ascii="Verdana" w:eastAsia="Arial" w:hAnsi="Verdana" w:cs="Arial"/>
          <w:color w:val="000000" w:themeColor="text1"/>
          <w:sz w:val="20"/>
          <w:szCs w:val="20"/>
          <w:lang w:val="es-ES_tradnl" w:eastAsia="es-ES_tradnl"/>
        </w:rPr>
      </w:pPr>
    </w:p>
    <w:p w14:paraId="25FF5632" w14:textId="77777777" w:rsidR="006B6BB0" w:rsidRDefault="006B6BB0" w:rsidP="006B6BB0">
      <w:pPr>
        <w:spacing w:after="0" w:line="240" w:lineRule="auto"/>
        <w:contextualSpacing/>
        <w:jc w:val="both"/>
        <w:rPr>
          <w:rFonts w:ascii="Verdana" w:eastAsia="Geomanist Light" w:hAnsi="Verdana" w:cs="Arial"/>
          <w:color w:val="000000" w:themeColor="text1"/>
          <w:lang w:val="es-MX"/>
        </w:rPr>
      </w:pPr>
      <w:r w:rsidRPr="0051568E">
        <w:rPr>
          <w:rFonts w:ascii="Verdana" w:eastAsia="Arial" w:hAnsi="Verdana" w:cs="Arial"/>
          <w:color w:val="000000" w:themeColor="text1"/>
          <w:sz w:val="20"/>
          <w:szCs w:val="20"/>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51568E">
        <w:rPr>
          <w:rFonts w:ascii="Verdana" w:eastAsia="Arial" w:hAnsi="Verdana" w:cs="Arial"/>
          <w:sz w:val="20"/>
          <w:szCs w:val="20"/>
          <w:lang w:eastAsia="es-ES_tradnl"/>
        </w:rPr>
        <w:t xml:space="preserve"> </w:t>
      </w:r>
      <w:r w:rsidRPr="0051568E">
        <w:rPr>
          <w:rFonts w:ascii="Verdana" w:eastAsia="Arial" w:hAnsi="Verdana" w:cs="Arial"/>
          <w:color w:val="000000" w:themeColor="text1"/>
          <w:sz w:val="20"/>
          <w:szCs w:val="20"/>
          <w:lang w:eastAsia="es-ES_tradnl"/>
        </w:rPr>
        <w:t>bajo la égida del contrato estatal, caracterizado por tener un régimen jurídico mixto, integrado por normas de derecho público y derecho privado”.</w:t>
      </w:r>
      <w:r>
        <w:rPr>
          <w:rFonts w:ascii="Verdana" w:eastAsia="Geomanist Light" w:hAnsi="Verdana" w:cs="Arial"/>
          <w:color w:val="000000" w:themeColor="text1"/>
          <w:lang w:val="es-MX"/>
        </w:rPr>
        <w:br w:type="page"/>
      </w:r>
    </w:p>
    <w:p w14:paraId="4F9A873E" w14:textId="62439C67" w:rsidR="006B6BB0" w:rsidRPr="000D6AE3" w:rsidRDefault="00E46D38" w:rsidP="006B6BB0">
      <w:pPr>
        <w:spacing w:after="0" w:line="240" w:lineRule="auto"/>
        <w:rPr>
          <w:rFonts w:ascii="Verdana" w:eastAsia="Geomanist Light" w:hAnsi="Verdana" w:cs="Arial"/>
          <w:color w:val="000000" w:themeColor="text1"/>
          <w:lang w:val="es-MX"/>
        </w:rPr>
      </w:pPr>
      <w:r w:rsidRPr="00E46D38">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4D49C0D4" wp14:editId="5BCE9A7D">
            <wp:simplePos x="0" y="0"/>
            <wp:positionH relativeFrom="column">
              <wp:posOffset>2872740</wp:posOffset>
            </wp:positionH>
            <wp:positionV relativeFrom="paragraph">
              <wp:posOffset>8890</wp:posOffset>
            </wp:positionV>
            <wp:extent cx="3286125" cy="942975"/>
            <wp:effectExtent l="0" t="0" r="9525" b="9525"/>
            <wp:wrapNone/>
            <wp:docPr id="862051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51006" name=""/>
                    <pic:cNvPicPr/>
                  </pic:nvPicPr>
                  <pic:blipFill>
                    <a:blip r:embed="rId10">
                      <a:extLst>
                        <a:ext uri="{28A0092B-C50C-407E-A947-70E740481C1C}">
                          <a14:useLocalDpi xmlns:a14="http://schemas.microsoft.com/office/drawing/2010/main" val="0"/>
                        </a:ext>
                      </a:extLst>
                    </a:blip>
                    <a:stretch>
                      <a:fillRect/>
                    </a:stretch>
                  </pic:blipFill>
                  <pic:spPr>
                    <a:xfrm>
                      <a:off x="0" y="0"/>
                      <a:ext cx="3286125" cy="942975"/>
                    </a:xfrm>
                    <a:prstGeom prst="rect">
                      <a:avLst/>
                    </a:prstGeom>
                  </pic:spPr>
                </pic:pic>
              </a:graphicData>
            </a:graphic>
          </wp:anchor>
        </w:drawing>
      </w:r>
      <w:r w:rsidR="006B6BB0">
        <w:rPr>
          <w:rFonts w:ascii="Verdana" w:eastAsia="Geomanist Light" w:hAnsi="Verdana" w:cs="Arial"/>
          <w:color w:val="000000" w:themeColor="text1"/>
          <w:lang w:val="es-MX"/>
        </w:rPr>
        <w:t>B</w:t>
      </w:r>
      <w:r w:rsidR="006B6BB0" w:rsidRPr="00593A5F">
        <w:rPr>
          <w:rFonts w:ascii="Verdana" w:eastAsia="Geomanist Light" w:hAnsi="Verdana" w:cs="Arial"/>
          <w:color w:val="000000" w:themeColor="text1"/>
          <w:lang w:val="es-MX"/>
        </w:rPr>
        <w:t>ogotá D.C., </w:t>
      </w:r>
      <w:r>
        <w:rPr>
          <w:rFonts w:ascii="Verdana" w:eastAsia="Geomanist Light" w:hAnsi="Verdana" w:cs="Arial"/>
          <w:color w:val="201F1E"/>
          <w:lang w:val="es-MX"/>
        </w:rPr>
        <w:t>7 de marzo de 2025</w:t>
      </w:r>
    </w:p>
    <w:p w14:paraId="76432F82" w14:textId="77777777" w:rsidR="006B6BB0" w:rsidRPr="00593A5F" w:rsidRDefault="006B6BB0" w:rsidP="006B6BB0">
      <w:pPr>
        <w:spacing w:after="0" w:line="240" w:lineRule="auto"/>
        <w:jc w:val="both"/>
        <w:rPr>
          <w:rFonts w:ascii="Verdana" w:eastAsia="Calibri" w:hAnsi="Verdana" w:cs="Arial"/>
          <w:color w:val="000000"/>
          <w:lang w:val="es-ES"/>
        </w:rPr>
      </w:pPr>
    </w:p>
    <w:p w14:paraId="0A829434" w14:textId="77777777" w:rsidR="006B6BB0" w:rsidRPr="00B96799" w:rsidRDefault="006B6BB0" w:rsidP="006B6BB0">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4E7C39AD" w14:textId="77777777" w:rsidR="006B6BB0" w:rsidRPr="00B96799" w:rsidRDefault="006B6BB0" w:rsidP="006B6BB0">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Leidy </w:t>
      </w:r>
      <w:r w:rsidRPr="00B96799">
        <w:rPr>
          <w:rFonts w:ascii="Verdana" w:eastAsia="Calibri" w:hAnsi="Verdana" w:cs="Arial"/>
          <w:b/>
          <w:lang w:val="es-ES_tradnl" w:eastAsia="es-ES_tradnl"/>
        </w:rPr>
        <w:t>Pérez</w:t>
      </w:r>
    </w:p>
    <w:p w14:paraId="0EBD70D3" w14:textId="77777777" w:rsidR="006B6BB0" w:rsidRDefault="006B6BB0" w:rsidP="006B6BB0">
      <w:pPr>
        <w:spacing w:after="0" w:line="240" w:lineRule="auto"/>
        <w:rPr>
          <w:rFonts w:ascii="Verdana" w:eastAsia="Calibri" w:hAnsi="Verdana" w:cs="Arial"/>
          <w:u w:val="single"/>
          <w:lang w:val="es-ES" w:eastAsia="es-ES"/>
        </w:rPr>
      </w:pPr>
      <w:hyperlink r:id="rId11" w:history="1">
        <w:r w:rsidRPr="00563CFF">
          <w:rPr>
            <w:rStyle w:val="Hipervnculo"/>
            <w:rFonts w:ascii="Verdana" w:eastAsia="Calibri" w:hAnsi="Verdana" w:cs="Arial"/>
            <w:lang w:val="es-ES" w:eastAsia="es-ES"/>
          </w:rPr>
          <w:t>leidyperez1@hotmail.com</w:t>
        </w:r>
      </w:hyperlink>
    </w:p>
    <w:p w14:paraId="149E135D" w14:textId="77777777" w:rsidR="006B6BB0" w:rsidRPr="00B96799" w:rsidRDefault="006B6BB0" w:rsidP="006B6BB0">
      <w:pPr>
        <w:spacing w:after="0" w:line="240" w:lineRule="auto"/>
        <w:rPr>
          <w:rFonts w:ascii="Verdana" w:eastAsia="Calibri" w:hAnsi="Verdana" w:cs="Arial"/>
          <w:b/>
          <w:bCs/>
          <w:lang w:val="es-ES" w:eastAsia="es-ES"/>
        </w:rPr>
      </w:pPr>
      <w:r>
        <w:rPr>
          <w:rFonts w:ascii="Verdana" w:eastAsia="Calibri" w:hAnsi="Verdana" w:cs="Arial"/>
          <w:lang w:val="es-ES" w:eastAsia="es-ES"/>
        </w:rPr>
        <w:t>Rionegro</w:t>
      </w:r>
      <w:r w:rsidRPr="00B96799">
        <w:rPr>
          <w:rFonts w:ascii="Verdana" w:eastAsia="Calibri" w:hAnsi="Verdana" w:cs="Arial"/>
          <w:lang w:val="es-ES" w:eastAsia="es-ES"/>
        </w:rPr>
        <w:t xml:space="preserve">, </w:t>
      </w:r>
      <w:r>
        <w:rPr>
          <w:rFonts w:ascii="Verdana" w:eastAsia="Calibri" w:hAnsi="Verdana" w:cs="Arial"/>
          <w:lang w:val="es-ES" w:eastAsia="es-ES"/>
        </w:rPr>
        <w:t>Antioquia</w:t>
      </w:r>
    </w:p>
    <w:p w14:paraId="0F599FEB" w14:textId="77777777" w:rsidR="006B6BB0" w:rsidRPr="00593A5F" w:rsidRDefault="006B6BB0" w:rsidP="006B6BB0">
      <w:pPr>
        <w:spacing w:after="0" w:line="240" w:lineRule="auto"/>
        <w:rPr>
          <w:rFonts w:ascii="Verdana" w:eastAsia="Calibri" w:hAnsi="Verdana" w:cs="Arial"/>
          <w:b/>
          <w:bCs/>
          <w:color w:val="000000"/>
          <w:lang w:val="es-ES_tradnl" w:eastAsia="es-ES_tradnl"/>
        </w:rPr>
      </w:pPr>
    </w:p>
    <w:p w14:paraId="7C58B8A2" w14:textId="77777777" w:rsidR="006B6BB0" w:rsidRPr="00593A5F" w:rsidRDefault="006B6BB0" w:rsidP="006B6BB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B6BB0" w:rsidRPr="00593A5F" w14:paraId="5C8805DA" w14:textId="77777777" w:rsidTr="00CA3958">
        <w:trPr>
          <w:trHeight w:val="884"/>
        </w:trPr>
        <w:tc>
          <w:tcPr>
            <w:tcW w:w="2689" w:type="dxa"/>
          </w:tcPr>
          <w:p w14:paraId="72B01CE1" w14:textId="77777777" w:rsidR="006B6BB0" w:rsidRPr="00C00976" w:rsidRDefault="006B6BB0" w:rsidP="00CA3958">
            <w:pPr>
              <w:jc w:val="both"/>
              <w:rPr>
                <w:rFonts w:ascii="Verdana" w:eastAsia="Calibri" w:hAnsi="Verdana" w:cs="Arial"/>
                <w:b/>
                <w:bCs/>
                <w:color w:val="7030A0"/>
                <w:lang w:val="es-ES_tradnl" w:eastAsia="es-ES_tradnl"/>
              </w:rPr>
            </w:pPr>
          </w:p>
        </w:tc>
        <w:tc>
          <w:tcPr>
            <w:tcW w:w="6100" w:type="dxa"/>
          </w:tcPr>
          <w:p w14:paraId="6950D1A8" w14:textId="77777777" w:rsidR="006B6BB0" w:rsidRPr="00C00976" w:rsidRDefault="006B6BB0" w:rsidP="00CA3958">
            <w:pPr>
              <w:jc w:val="both"/>
              <w:rPr>
                <w:rFonts w:ascii="Verdana" w:eastAsia="Calibri" w:hAnsi="Verdana" w:cs="Arial"/>
                <w:b/>
                <w:bCs/>
                <w:color w:val="7030A0"/>
                <w:lang w:val="es-ES" w:eastAsia="es-ES"/>
              </w:rPr>
            </w:pPr>
            <w:r w:rsidRPr="00064E7C">
              <w:rPr>
                <w:rFonts w:ascii="Verdana" w:eastAsia="Calibri" w:hAnsi="Verdana" w:cs="Arial"/>
                <w:b/>
                <w:bCs/>
                <w:lang w:val="es-ES" w:eastAsia="es-ES"/>
              </w:rPr>
              <w:t>Concepto C-090 de 2025</w:t>
            </w:r>
          </w:p>
        </w:tc>
      </w:tr>
      <w:tr w:rsidR="006B6BB0" w:rsidRPr="00593A5F" w14:paraId="689B0950" w14:textId="77777777" w:rsidTr="00CA3958">
        <w:trPr>
          <w:trHeight w:val="884"/>
        </w:trPr>
        <w:tc>
          <w:tcPr>
            <w:tcW w:w="2689" w:type="dxa"/>
          </w:tcPr>
          <w:p w14:paraId="695564A5" w14:textId="77777777" w:rsidR="006B6BB0" w:rsidRPr="00593A5F" w:rsidRDefault="006B6BB0" w:rsidP="00CA395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C02EFBA" w14:textId="77777777" w:rsidR="006B6BB0" w:rsidRPr="00414B0D" w:rsidRDefault="006B6BB0" w:rsidP="00CA3958">
            <w:pPr>
              <w:spacing w:line="276" w:lineRule="auto"/>
              <w:jc w:val="both"/>
              <w:rPr>
                <w:rFonts w:ascii="Verdana" w:eastAsia="Calibri" w:hAnsi="Verdana" w:cs="Arial"/>
                <w:lang w:val="es-ES" w:eastAsia="es-ES"/>
              </w:rPr>
            </w:pPr>
            <w:r w:rsidRPr="00414B0D">
              <w:rPr>
                <w:rFonts w:ascii="Verdana" w:eastAsia="Calibri" w:hAnsi="Verdana" w:cs="Arial"/>
                <w:lang w:val="es-ES" w:eastAsia="es-ES"/>
              </w:rPr>
              <w:t>CONTRATO DE MANDATO</w:t>
            </w:r>
            <w:r>
              <w:rPr>
                <w:rFonts w:ascii="Verdana" w:eastAsia="Calibri" w:hAnsi="Verdana" w:cs="Arial"/>
                <w:lang w:val="es-ES" w:eastAsia="es-ES"/>
              </w:rPr>
              <w:t xml:space="preserve"> </w:t>
            </w:r>
            <w:r w:rsidRPr="00414B0D">
              <w:rPr>
                <w:rFonts w:ascii="Verdana" w:eastAsia="Calibri" w:hAnsi="Verdana" w:cs="Arial"/>
                <w:lang w:val="es-ES" w:eastAsia="es-ES"/>
              </w:rPr>
              <w:t xml:space="preserve">- Representación / CONTRATO – Definición / CONTRATO ESTATAL – Definición </w:t>
            </w:r>
          </w:p>
          <w:p w14:paraId="67B3679E" w14:textId="77777777" w:rsidR="006B6BB0" w:rsidRPr="00593A5F" w:rsidRDefault="006B6BB0" w:rsidP="00CA3958">
            <w:pPr>
              <w:spacing w:line="276" w:lineRule="auto"/>
              <w:jc w:val="both"/>
              <w:rPr>
                <w:rFonts w:ascii="Verdana" w:eastAsia="Calibri" w:hAnsi="Verdana" w:cs="Arial"/>
                <w:lang w:val="es-ES" w:eastAsia="es-ES"/>
              </w:rPr>
            </w:pPr>
          </w:p>
        </w:tc>
      </w:tr>
      <w:tr w:rsidR="006B6BB0" w:rsidRPr="00064E7C" w14:paraId="6A8B1D3E" w14:textId="77777777" w:rsidTr="00CA3958">
        <w:tc>
          <w:tcPr>
            <w:tcW w:w="2689" w:type="dxa"/>
          </w:tcPr>
          <w:p w14:paraId="1EC13801" w14:textId="77777777" w:rsidR="006B6BB0" w:rsidRPr="00064E7C" w:rsidRDefault="006B6BB0" w:rsidP="00CA3958">
            <w:pPr>
              <w:jc w:val="both"/>
              <w:rPr>
                <w:rFonts w:ascii="Verdana" w:eastAsia="Calibri" w:hAnsi="Verdana" w:cs="Arial"/>
                <w:b/>
                <w:lang w:val="es-ES_tradnl" w:eastAsia="es-ES_tradnl"/>
              </w:rPr>
            </w:pPr>
            <w:r w:rsidRPr="00064E7C">
              <w:rPr>
                <w:rFonts w:ascii="Verdana" w:eastAsia="Calibri" w:hAnsi="Verdana" w:cs="Arial"/>
                <w:b/>
                <w:lang w:val="es-ES_tradnl" w:eastAsia="es-ES_tradnl"/>
              </w:rPr>
              <w:t>Radicación:</w:t>
            </w:r>
            <w:r w:rsidRPr="00064E7C">
              <w:rPr>
                <w:rFonts w:ascii="Verdana" w:eastAsia="Calibri" w:hAnsi="Verdana" w:cs="Arial"/>
                <w:lang w:val="es-ES_tradnl" w:eastAsia="es-ES_tradnl"/>
              </w:rPr>
              <w:t xml:space="preserve">               </w:t>
            </w:r>
          </w:p>
        </w:tc>
        <w:tc>
          <w:tcPr>
            <w:tcW w:w="6100" w:type="dxa"/>
          </w:tcPr>
          <w:p w14:paraId="758E2E17" w14:textId="77777777" w:rsidR="006B6BB0" w:rsidRPr="00064E7C" w:rsidRDefault="006B6BB0" w:rsidP="00CA3958">
            <w:pPr>
              <w:jc w:val="both"/>
              <w:rPr>
                <w:rFonts w:ascii="Verdana" w:eastAsia="Calibri" w:hAnsi="Verdana" w:cs="Arial"/>
                <w:lang w:val="es-ES_tradnl" w:eastAsia="es-ES_tradnl"/>
              </w:rPr>
            </w:pPr>
            <w:r w:rsidRPr="00064E7C">
              <w:rPr>
                <w:rFonts w:ascii="Verdana" w:eastAsia="Calibri" w:hAnsi="Verdana" w:cs="Arial"/>
                <w:lang w:val="es-ES_tradnl" w:eastAsia="es-ES_tradnl"/>
              </w:rPr>
              <w:t>Respuesta a consulta con radicado No. P20250128000754</w:t>
            </w:r>
          </w:p>
        </w:tc>
      </w:tr>
    </w:tbl>
    <w:p w14:paraId="75EDBB25" w14:textId="77777777" w:rsidR="006B6BB0" w:rsidRPr="00064E7C" w:rsidRDefault="006B6BB0" w:rsidP="006B6BB0">
      <w:pPr>
        <w:spacing w:after="0" w:line="240" w:lineRule="auto"/>
        <w:jc w:val="both"/>
        <w:rPr>
          <w:rFonts w:ascii="Verdana" w:eastAsia="Calibri" w:hAnsi="Verdana" w:cs="Arial"/>
          <w:lang w:val="es-ES_tradnl" w:eastAsia="es-ES_tradnl"/>
        </w:rPr>
      </w:pPr>
    </w:p>
    <w:p w14:paraId="3C3182A9" w14:textId="77777777" w:rsidR="006B6BB0" w:rsidRPr="00064E7C" w:rsidRDefault="006B6BB0" w:rsidP="006B6BB0">
      <w:pPr>
        <w:spacing w:after="0" w:line="240" w:lineRule="auto"/>
        <w:jc w:val="both"/>
        <w:rPr>
          <w:rFonts w:ascii="Verdana" w:eastAsia="Calibri" w:hAnsi="Verdana" w:cs="Arial"/>
          <w:lang w:val="es-ES_tradnl" w:eastAsia="es-ES_tradnl"/>
        </w:rPr>
      </w:pPr>
    </w:p>
    <w:p w14:paraId="526E6FED" w14:textId="77777777" w:rsidR="006B6BB0" w:rsidRPr="00064E7C" w:rsidRDefault="006B6BB0" w:rsidP="006B6BB0">
      <w:pPr>
        <w:spacing w:after="0" w:line="276" w:lineRule="auto"/>
        <w:jc w:val="both"/>
        <w:rPr>
          <w:rFonts w:ascii="Verdana" w:eastAsia="Calibri" w:hAnsi="Verdana" w:cs="Arial"/>
          <w:lang w:val="es-ES" w:eastAsia="es-ES"/>
        </w:rPr>
      </w:pPr>
      <w:r w:rsidRPr="00064E7C">
        <w:rPr>
          <w:rFonts w:ascii="Verdana" w:eastAsia="Calibri" w:hAnsi="Verdana" w:cs="Arial"/>
          <w:lang w:val="es-ES" w:eastAsia="es-ES"/>
        </w:rPr>
        <w:t xml:space="preserve">Estimada señora Pérez: </w:t>
      </w:r>
    </w:p>
    <w:p w14:paraId="71C8AB77" w14:textId="77777777" w:rsidR="006B6BB0" w:rsidRPr="00064E7C" w:rsidRDefault="006B6BB0" w:rsidP="006B6BB0">
      <w:pPr>
        <w:tabs>
          <w:tab w:val="left" w:pos="3768"/>
        </w:tabs>
        <w:spacing w:after="0" w:line="276" w:lineRule="auto"/>
        <w:jc w:val="both"/>
        <w:rPr>
          <w:rFonts w:ascii="Verdana" w:eastAsia="Calibri" w:hAnsi="Verdana" w:cs="Arial"/>
          <w:lang w:val="es-ES" w:eastAsia="es-ES"/>
        </w:rPr>
      </w:pPr>
      <w:r w:rsidRPr="00064E7C">
        <w:rPr>
          <w:rFonts w:ascii="Verdana" w:eastAsia="Calibri" w:hAnsi="Verdana" w:cs="Arial"/>
          <w:lang w:val="es-ES" w:eastAsia="es-ES"/>
        </w:rPr>
        <w:tab/>
      </w:r>
    </w:p>
    <w:p w14:paraId="3A66E24D" w14:textId="77777777" w:rsidR="006B6BB0" w:rsidRPr="00064E7C" w:rsidRDefault="006B6BB0" w:rsidP="006B6BB0">
      <w:pPr>
        <w:spacing w:after="0" w:line="276" w:lineRule="auto"/>
        <w:jc w:val="both"/>
        <w:rPr>
          <w:rFonts w:ascii="Verdana" w:eastAsia="Calibri" w:hAnsi="Verdana" w:cs="Arial"/>
          <w:lang w:val="es-ES" w:eastAsia="es-ES"/>
        </w:rPr>
      </w:pPr>
      <w:r w:rsidRPr="00064E7C">
        <w:rPr>
          <w:rFonts w:ascii="Verdana" w:eastAsia="Calibri" w:hAnsi="Verdana" w:cs="Arial"/>
          <w:lang w:val="es-ES" w:eastAsia="es-ES"/>
        </w:rPr>
        <w:t>En ejercicio de la competencia otorgada por los artículos 3, numeral 5º, y 11, numeral 8º, del Decreto Ley 4170 de 2011,</w:t>
      </w:r>
      <w:r w:rsidRPr="00064E7C">
        <w:rPr>
          <w:rFonts w:ascii="Verdana" w:eastAsia="Arial MT" w:hAnsi="Verdana" w:cs="Arial MT"/>
          <w:lang w:val="es-ES" w:eastAsia="es-ES"/>
        </w:rPr>
        <w:t xml:space="preserve"> </w:t>
      </w:r>
      <w:r w:rsidRPr="00064E7C">
        <w:rPr>
          <w:rFonts w:ascii="Verdana" w:hAnsi="Verdana" w:cs="Arial"/>
        </w:rPr>
        <w:t xml:space="preserve">así como lo establecido en el artículo 4 de la Resolución 1707 de 2018 expedida por esta Entidad, </w:t>
      </w:r>
      <w:r w:rsidRPr="00064E7C">
        <w:rPr>
          <w:rFonts w:ascii="Verdana" w:eastAsia="Calibri" w:hAnsi="Verdana" w:cs="Arial"/>
          <w:lang w:val="es-ES" w:eastAsia="es-ES"/>
        </w:rPr>
        <w:t xml:space="preserve">la Agencia Nacional de Contratación Pública – Colombia Compra Eficiente– responde su solicitud de consulta de fecha 28 de enero de 2025, en la cual manifiesta lo siguiente: </w:t>
      </w:r>
    </w:p>
    <w:p w14:paraId="1804775F" w14:textId="77777777" w:rsidR="006B6BB0" w:rsidRPr="00414B0D" w:rsidRDefault="006B6BB0" w:rsidP="006B6BB0">
      <w:pPr>
        <w:pStyle w:val="Prrafodelista"/>
        <w:tabs>
          <w:tab w:val="left" w:pos="142"/>
          <w:tab w:val="left" w:pos="284"/>
        </w:tabs>
        <w:spacing w:line="276" w:lineRule="auto"/>
        <w:ind w:left="0"/>
        <w:jc w:val="both"/>
        <w:rPr>
          <w:rFonts w:ascii="Verdana" w:eastAsia="Century Gothic" w:hAnsi="Verdana" w:cs="Century Gothic"/>
          <w:b/>
          <w:bCs/>
        </w:rPr>
      </w:pPr>
    </w:p>
    <w:p w14:paraId="7E64315A" w14:textId="77777777" w:rsidR="006B6BB0" w:rsidRPr="00414B0D" w:rsidRDefault="006B6BB0" w:rsidP="006B6BB0">
      <w:pPr>
        <w:spacing w:after="0" w:line="240" w:lineRule="auto"/>
        <w:ind w:left="709" w:right="709"/>
        <w:jc w:val="both"/>
        <w:rPr>
          <w:rFonts w:ascii="Verdana" w:eastAsia="Century Gothic" w:hAnsi="Verdana" w:cs="Century Gothic"/>
          <w:sz w:val="20"/>
          <w:szCs w:val="20"/>
          <w:lang w:val="es-ES"/>
        </w:rPr>
      </w:pPr>
      <w:bookmarkStart w:id="0" w:name="_Hlk95313578"/>
      <w:r w:rsidRPr="00414B0D">
        <w:rPr>
          <w:rFonts w:ascii="Verdana" w:eastAsia="Century Gothic" w:hAnsi="Verdana" w:cs="Century Gothic"/>
          <w:sz w:val="20"/>
          <w:szCs w:val="20"/>
          <w:lang w:val="es-ES"/>
        </w:rPr>
        <w:t>“</w:t>
      </w:r>
      <w:r w:rsidRPr="00414B0D">
        <w:rPr>
          <w:rFonts w:ascii="Verdana" w:hAnsi="Verdana" w:cs="Arial"/>
          <w:sz w:val="20"/>
          <w:szCs w:val="20"/>
          <w:shd w:val="clear" w:color="auto" w:fill="FFFFFF"/>
        </w:rPr>
        <w:t>CONTRATO DE MANDATO EN EL ESTATUTO GENERAL DE CONTRATACIÓN PUBLICA: Colombia Compra eficiente, elevo mi consulta para determinar si existe un contrato de mandato regulado en el estatuto general de contratación pública. Entiendo que existe contrato de mandato estipulado en el código civil y en el código de comercio; pero este mismo contrato puede mutar a la contratación pública, en caso afirmativo en que especie de contrato mutaría. Agradezco su ayuda</w:t>
      </w:r>
      <w:r w:rsidRPr="00414B0D">
        <w:rPr>
          <w:rFonts w:ascii="Verdana" w:eastAsia="Century Gothic" w:hAnsi="Verdana" w:cs="Century Gothic"/>
          <w:sz w:val="20"/>
          <w:szCs w:val="20"/>
          <w:lang w:val="es-ES"/>
        </w:rPr>
        <w:t>”</w:t>
      </w:r>
      <w:bookmarkEnd w:id="0"/>
      <w:r w:rsidRPr="00414B0D">
        <w:rPr>
          <w:rFonts w:ascii="Verdana" w:eastAsia="Century Gothic" w:hAnsi="Verdana" w:cs="Century Gothic"/>
          <w:sz w:val="20"/>
          <w:szCs w:val="20"/>
          <w:lang w:val="es-ES"/>
        </w:rPr>
        <w:t>.</w:t>
      </w:r>
    </w:p>
    <w:p w14:paraId="64C65296" w14:textId="77777777" w:rsidR="006B6BB0" w:rsidRPr="00593A5F" w:rsidRDefault="006B6BB0" w:rsidP="006B6BB0">
      <w:pPr>
        <w:pStyle w:val="Prrafodelista"/>
        <w:tabs>
          <w:tab w:val="left" w:pos="142"/>
          <w:tab w:val="left" w:pos="284"/>
        </w:tabs>
        <w:spacing w:line="276" w:lineRule="auto"/>
        <w:ind w:left="0"/>
        <w:jc w:val="both"/>
        <w:rPr>
          <w:rFonts w:ascii="Verdana" w:eastAsia="Century Gothic" w:hAnsi="Verdana" w:cs="Century Gothic"/>
          <w:b/>
          <w:bCs/>
        </w:rPr>
      </w:pPr>
    </w:p>
    <w:p w14:paraId="275B3F4D" w14:textId="77777777" w:rsidR="006B6BB0" w:rsidRDefault="006B6BB0" w:rsidP="006B6BB0">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593A5F">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2983BA5" w14:textId="77777777" w:rsidR="006B6BB0" w:rsidRDefault="006B6BB0" w:rsidP="006B6BB0">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5351E81" w14:textId="77777777" w:rsidR="006B6BB0" w:rsidRPr="00593A5F" w:rsidRDefault="006B6BB0" w:rsidP="006B6BB0">
      <w:pPr>
        <w:spacing w:after="0" w:line="276" w:lineRule="auto"/>
        <w:ind w:firstLine="709"/>
        <w:jc w:val="both"/>
        <w:rPr>
          <w:rFonts w:ascii="Verdana" w:eastAsia="Calibri" w:hAnsi="Verdana" w:cs="Arial"/>
          <w:color w:val="000000"/>
          <w:lang w:val="es-ES" w:eastAsia="es-ES"/>
        </w:rPr>
      </w:pPr>
    </w:p>
    <w:p w14:paraId="71E0148D" w14:textId="77777777" w:rsidR="006B6BB0" w:rsidRPr="00593A5F" w:rsidRDefault="006B6BB0" w:rsidP="006B6BB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C814F52" w14:textId="77777777" w:rsidR="006B6BB0" w:rsidRPr="00593A5F" w:rsidRDefault="006B6BB0" w:rsidP="006B6BB0">
      <w:pPr>
        <w:tabs>
          <w:tab w:val="left" w:pos="426"/>
        </w:tabs>
        <w:spacing w:after="0" w:line="276" w:lineRule="auto"/>
        <w:jc w:val="both"/>
        <w:rPr>
          <w:rFonts w:ascii="Verdana" w:eastAsia="Century Gothic" w:hAnsi="Verdana" w:cs="Century Gothic"/>
          <w:lang w:val="es-ES"/>
        </w:rPr>
      </w:pPr>
    </w:p>
    <w:p w14:paraId="47CCDE6C" w14:textId="77777777" w:rsidR="006B6BB0" w:rsidRPr="00593A5F" w:rsidRDefault="006B6BB0" w:rsidP="006B6BB0">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w:t>
      </w:r>
      <w:r w:rsidRPr="0087636B">
        <w:rPr>
          <w:rFonts w:ascii="Verdana" w:eastAsia="Century Gothic" w:hAnsi="Verdana" w:cs="Century Gothic"/>
        </w:rPr>
        <w:t xml:space="preserve">ico: ¿Es posible celebrar un contrato de mandato regulado por el EGCAP? </w:t>
      </w:r>
    </w:p>
    <w:p w14:paraId="197DA2B7" w14:textId="77777777" w:rsidR="006B6BB0" w:rsidRPr="00593A5F" w:rsidRDefault="006B6BB0" w:rsidP="006B6BB0">
      <w:pPr>
        <w:spacing w:after="0" w:line="276" w:lineRule="auto"/>
        <w:jc w:val="both"/>
        <w:rPr>
          <w:rFonts w:ascii="Verdana" w:eastAsia="Calibri" w:hAnsi="Verdana" w:cs="Arial"/>
          <w:color w:val="7030A0"/>
          <w:lang w:val="es-ES"/>
        </w:rPr>
      </w:pPr>
    </w:p>
    <w:p w14:paraId="03D7F2EB" w14:textId="77777777" w:rsidR="006B6BB0" w:rsidRPr="00593A5F" w:rsidRDefault="006B6BB0" w:rsidP="006B6BB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E8EC9D6" w14:textId="77777777" w:rsidR="006B6BB0" w:rsidRPr="00593A5F" w:rsidRDefault="006B6BB0" w:rsidP="006B6BB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B6BB0" w:rsidRPr="00593A5F" w14:paraId="6B49DE08" w14:textId="77777777" w:rsidTr="00CA3958">
        <w:tc>
          <w:tcPr>
            <w:tcW w:w="8828" w:type="dxa"/>
            <w:shd w:val="clear" w:color="auto" w:fill="auto"/>
          </w:tcPr>
          <w:p w14:paraId="16E1CD85" w14:textId="09B090F1" w:rsidR="006B6BB0" w:rsidRPr="004027CC" w:rsidRDefault="006B6BB0" w:rsidP="00CA3958">
            <w:pPr>
              <w:spacing w:before="120" w:after="120" w:line="276" w:lineRule="auto"/>
              <w:jc w:val="both"/>
              <w:rPr>
                <w:rFonts w:ascii="Verdana" w:eastAsia="Arial" w:hAnsi="Verdana" w:cs="Arial"/>
                <w:lang w:eastAsia="es-ES_tradnl"/>
              </w:rPr>
            </w:pPr>
            <w:r w:rsidRPr="004027CC">
              <w:rPr>
                <w:rFonts w:ascii="Verdana" w:eastAsia="Arial" w:hAnsi="Verdana" w:cs="Arial"/>
                <w:lang w:val="es-ES_tradnl" w:eastAsia="es-ES_tradnl"/>
              </w:rPr>
              <w:t>Teniendo en cuenta que el contrato estatal, sea sujeto al ámbito del EGCAP o por fuera de él, es un acuerdo de voluntades celebrado por una Entidad Estatal con un particular u otra entidad que genera, extingue o modifica obligaciones para quienes lo</w:t>
            </w:r>
            <w:r w:rsidRPr="004027CC">
              <w:rPr>
                <w:rFonts w:ascii="Verdana" w:eastAsia="Arial" w:hAnsi="Verdana" w:cs="Arial"/>
                <w:spacing w:val="-5"/>
                <w:lang w:val="es-ES_tradnl" w:eastAsia="es-ES_tradnl"/>
              </w:rPr>
              <w:t xml:space="preserve"> </w:t>
            </w:r>
            <w:r w:rsidRPr="004027CC">
              <w:rPr>
                <w:rFonts w:ascii="Verdana" w:eastAsia="Arial" w:hAnsi="Verdana" w:cs="Arial"/>
                <w:lang w:val="es-ES_tradnl" w:eastAsia="es-ES_tradnl"/>
              </w:rPr>
              <w:t xml:space="preserve">suscriben, regida por un </w:t>
            </w:r>
            <w:r w:rsidRPr="004027CC">
              <w:rPr>
                <w:rFonts w:ascii="Verdana" w:eastAsia="Arial" w:hAnsi="Verdana" w:cs="Arial"/>
                <w:u w:val="single"/>
                <w:lang w:val="es-ES_tradnl" w:eastAsia="es-ES_tradnl"/>
              </w:rPr>
              <w:t>derecho mixto</w:t>
            </w:r>
            <w:r w:rsidRPr="004027CC">
              <w:rPr>
                <w:rFonts w:ascii="Verdana" w:eastAsia="Arial" w:hAnsi="Verdana" w:cs="Arial"/>
                <w:lang w:val="es-ES_tradnl" w:eastAsia="es-ES_tradnl"/>
              </w:rPr>
              <w:t xml:space="preserve">, en los términos </w:t>
            </w:r>
            <w:r w:rsidR="00333FCA">
              <w:rPr>
                <w:rFonts w:ascii="Verdana" w:eastAsia="Arial" w:hAnsi="Verdana" w:cs="Arial"/>
                <w:lang w:val="es-ES_tradnl" w:eastAsia="es-ES_tradnl"/>
              </w:rPr>
              <w:t>que se e</w:t>
            </w:r>
            <w:r w:rsidRPr="004027CC">
              <w:rPr>
                <w:rFonts w:ascii="Verdana" w:eastAsia="Arial" w:hAnsi="Verdana" w:cs="Arial"/>
                <w:lang w:val="es-ES_tradnl" w:eastAsia="es-ES_tradnl"/>
              </w:rPr>
              <w:t>xplica</w:t>
            </w:r>
            <w:r w:rsidR="00333FCA">
              <w:rPr>
                <w:rFonts w:ascii="Verdana" w:eastAsia="Arial" w:hAnsi="Verdana" w:cs="Arial"/>
                <w:lang w:val="es-ES_tradnl" w:eastAsia="es-ES_tradnl"/>
              </w:rPr>
              <w:t>n más adelante</w:t>
            </w:r>
            <w:r w:rsidRPr="004027CC">
              <w:rPr>
                <w:rFonts w:ascii="Verdana" w:eastAsia="Arial" w:hAnsi="Verdana" w:cs="Arial"/>
                <w:lang w:val="es-ES_tradnl" w:eastAsia="es-ES_tradnl"/>
              </w:rPr>
              <w:t>. Por ende, según l</w:t>
            </w:r>
            <w:r w:rsidR="00333FCA">
              <w:rPr>
                <w:rFonts w:ascii="Verdana" w:eastAsia="Arial" w:hAnsi="Verdana" w:cs="Arial"/>
                <w:lang w:val="es-ES_tradnl" w:eastAsia="es-ES_tradnl"/>
              </w:rPr>
              <w:t>as razones que motivan</w:t>
            </w:r>
            <w:r w:rsidRPr="004027CC">
              <w:rPr>
                <w:rFonts w:ascii="Verdana" w:eastAsia="Arial" w:hAnsi="Verdana" w:cs="Arial"/>
                <w:lang w:val="es-ES_tradnl" w:eastAsia="es-ES_tradnl"/>
              </w:rPr>
              <w:t xml:space="preserve"> el presente concepto, el contrato de mandato, en principio, al no contar con tipicidad expresa en el EGCAP, en atención a los artículos 13 y 40 de la Ley 80 de 1993 los cuales integran al derecho contractual estatal “las disposiciones comerciales y civiles pertinentes”, deberá remitirse a dichas disposiciones. Esto debido a que </w:t>
            </w:r>
            <w:r w:rsidRPr="004027CC">
              <w:rPr>
                <w:rFonts w:ascii="Verdana" w:eastAsia="Arial" w:hAnsi="Verdana" w:cs="Arial"/>
                <w:lang w:eastAsia="es-ES_tradnl"/>
              </w:rPr>
              <w:t xml:space="preserve">“mediante la Ley 80, se pretendió que la actividad contractual del Estado quedará bajo la égida del contrato estatal, caracterizado </w:t>
            </w:r>
            <w:r w:rsidRPr="004027CC">
              <w:rPr>
                <w:rFonts w:ascii="Verdana" w:eastAsia="Arial" w:hAnsi="Verdana" w:cs="Arial"/>
                <w:lang w:eastAsia="es-ES_tradnl"/>
              </w:rPr>
              <w:lastRenderedPageBreak/>
              <w:t>por tener un régimen jurídico mixto, integrado por normas de derecho público y derecho privado”</w:t>
            </w:r>
            <w:r w:rsidRPr="004027CC">
              <w:rPr>
                <w:rFonts w:ascii="Verdana" w:eastAsia="Arial" w:hAnsi="Verdana" w:cs="Arial"/>
                <w:vertAlign w:val="superscript"/>
                <w:lang w:eastAsia="es-ES_tradnl"/>
              </w:rPr>
              <w:footnoteReference w:id="3"/>
            </w:r>
            <w:r w:rsidRPr="004027CC">
              <w:rPr>
                <w:rFonts w:ascii="Verdana" w:eastAsia="Arial" w:hAnsi="Verdana" w:cs="Arial"/>
                <w:lang w:eastAsia="es-ES_tradnl"/>
              </w:rPr>
              <w:t xml:space="preserve">. </w:t>
            </w:r>
          </w:p>
          <w:p w14:paraId="6F961253" w14:textId="77777777" w:rsidR="006B6BB0" w:rsidRPr="00593A5F" w:rsidRDefault="006B6BB0" w:rsidP="00CA3958">
            <w:pPr>
              <w:spacing w:before="120" w:after="120" w:line="276" w:lineRule="auto"/>
              <w:jc w:val="both"/>
              <w:rPr>
                <w:rFonts w:ascii="Verdana" w:eastAsia="Calibri" w:hAnsi="Verdana" w:cs="Arial"/>
                <w:color w:val="7030A0"/>
                <w:lang w:val="es-ES"/>
              </w:rPr>
            </w:pPr>
            <w:r w:rsidRPr="004027CC">
              <w:rPr>
                <w:rFonts w:ascii="Verdana" w:eastAsia="Calibri" w:hAnsi="Verdana" w:cs="Arial"/>
                <w:lang w:val="es-ES"/>
              </w:rPr>
              <w:t>En síntesis, en la contratación estatal se podrá celebrar un contrato de mandato sin que sea necesaria su reglamentación en el EGCAP ya que este estatuto dispone que se remitirá a las normas civiles y comerciales en los casos que sea necesario, en virtud de la autonomía privada de la cual gozan las entidades estatales y siempre y cuando esta celebración atienda al cumplimiento de sus necesidades y al cumplimiento de los fines del estado.</w:t>
            </w:r>
          </w:p>
        </w:tc>
      </w:tr>
    </w:tbl>
    <w:p w14:paraId="0BD7B7B2" w14:textId="77777777" w:rsidR="006B6BB0" w:rsidRPr="00593A5F" w:rsidRDefault="006B6BB0" w:rsidP="006B6BB0">
      <w:pPr>
        <w:tabs>
          <w:tab w:val="left" w:pos="142"/>
          <w:tab w:val="left" w:pos="284"/>
        </w:tabs>
        <w:spacing w:after="0" w:line="276" w:lineRule="auto"/>
        <w:jc w:val="both"/>
        <w:rPr>
          <w:rFonts w:ascii="Verdana" w:eastAsia="Century Gothic" w:hAnsi="Verdana" w:cs="Century Gothic"/>
          <w:b/>
          <w:bCs/>
          <w:lang w:val="es-ES"/>
        </w:rPr>
      </w:pPr>
    </w:p>
    <w:p w14:paraId="6DAED298" w14:textId="77777777" w:rsidR="006B6BB0" w:rsidRPr="00593A5F" w:rsidRDefault="006B6BB0" w:rsidP="006B6BB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6D2147E" w14:textId="77777777" w:rsidR="006B6BB0" w:rsidRPr="00593A5F" w:rsidRDefault="006B6BB0" w:rsidP="006B6BB0">
      <w:pPr>
        <w:spacing w:after="0" w:line="276" w:lineRule="auto"/>
        <w:jc w:val="both"/>
        <w:rPr>
          <w:rFonts w:ascii="Verdana" w:eastAsia="Calibri" w:hAnsi="Verdana" w:cs="Arial"/>
          <w:color w:val="7030A0"/>
          <w:lang w:val="es-ES"/>
        </w:rPr>
      </w:pPr>
    </w:p>
    <w:p w14:paraId="2469089B" w14:textId="77777777" w:rsidR="006B6BB0" w:rsidRPr="00B96799" w:rsidRDefault="006B6BB0" w:rsidP="006B6BB0">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C7BEC2F" w14:textId="77777777" w:rsidR="006B6BB0" w:rsidRPr="004027CC" w:rsidRDefault="006B6BB0" w:rsidP="006B6BB0">
      <w:pPr>
        <w:tabs>
          <w:tab w:val="left" w:pos="426"/>
        </w:tabs>
        <w:spacing w:after="120" w:line="276" w:lineRule="auto"/>
        <w:jc w:val="both"/>
        <w:rPr>
          <w:rFonts w:ascii="Verdana" w:hAnsi="Verdana" w:cs="Arial"/>
          <w:b/>
          <w:bCs/>
          <w:lang w:val="es-ES"/>
        </w:rPr>
      </w:pPr>
    </w:p>
    <w:p w14:paraId="6920CB05" w14:textId="77777777" w:rsidR="006B6BB0" w:rsidRPr="004027CC" w:rsidRDefault="006B6BB0" w:rsidP="006B6BB0">
      <w:pPr>
        <w:tabs>
          <w:tab w:val="left" w:pos="426"/>
        </w:tabs>
        <w:spacing w:after="120" w:line="276" w:lineRule="auto"/>
        <w:jc w:val="both"/>
        <w:rPr>
          <w:rFonts w:ascii="Verdana" w:hAnsi="Verdana" w:cs="Arial"/>
          <w:lang w:val="es-ES"/>
        </w:rPr>
      </w:pPr>
      <w:r w:rsidRPr="004027CC">
        <w:rPr>
          <w:rFonts w:ascii="Verdana" w:hAnsi="Verdana" w:cs="Arial"/>
          <w:lang w:val="es-ES"/>
        </w:rPr>
        <w:t>Por lo general, las personas que concurren a la celebración de un negocio o un contrato suelen ser quienes materialmente, y en la práctica, fungen como partes del correspondiente acuerdo, es decir, quienes se obligan en virtud de este. No obstante, ello no siempre es así, pues también es frecuente que personas, actuando en representación de otras, celebren acuerdos de voluntades que producen efectos respecto de las personas que representan, conforme a lo establecido en el artículo 1505 del Código Civil</w:t>
      </w:r>
      <w:r w:rsidRPr="004027CC">
        <w:rPr>
          <w:rFonts w:ascii="Verdana" w:hAnsi="Verdana" w:cs="Arial"/>
          <w:vertAlign w:val="superscript"/>
        </w:rPr>
        <w:footnoteReference w:id="4"/>
      </w:r>
      <w:r w:rsidRPr="004027CC">
        <w:rPr>
          <w:rFonts w:ascii="Verdana" w:hAnsi="Verdana" w:cs="Arial"/>
          <w:lang w:val="es-ES"/>
        </w:rPr>
        <w:t xml:space="preserve">. Esto sucede, por ejemplo, en las figuras en las que de manera voluntaria se acuerda tal representación, como el contrato de mandato. </w:t>
      </w:r>
    </w:p>
    <w:p w14:paraId="2A197A13" w14:textId="77777777" w:rsidR="006B6BB0" w:rsidRPr="004027CC" w:rsidRDefault="006B6BB0" w:rsidP="006B6BB0">
      <w:pPr>
        <w:tabs>
          <w:tab w:val="left" w:pos="426"/>
        </w:tabs>
        <w:spacing w:after="120" w:line="276" w:lineRule="auto"/>
        <w:jc w:val="both"/>
        <w:rPr>
          <w:rFonts w:ascii="Verdana" w:hAnsi="Verdana" w:cs="Arial"/>
          <w:lang w:val="es-ES"/>
        </w:rPr>
      </w:pPr>
      <w:r w:rsidRPr="004027CC">
        <w:rPr>
          <w:rFonts w:ascii="Verdana" w:hAnsi="Verdana" w:cs="Arial"/>
          <w:lang w:val="es-ES"/>
        </w:rPr>
        <w:tab/>
        <w:t xml:space="preserve"> De acuerdo con el artículo 2142 del Código Civil, el mandato es “un contrato en que una persona confía la gestión de uno o más negocios a otra, que se hace cargo de ellos por cuenta y riesgo de la primera”</w:t>
      </w:r>
      <w:r w:rsidRPr="004027CC">
        <w:rPr>
          <w:rFonts w:ascii="Verdana" w:hAnsi="Verdana" w:cs="Arial"/>
          <w:vertAlign w:val="superscript"/>
          <w:lang w:val="es-ES"/>
        </w:rPr>
        <w:footnoteReference w:id="5"/>
      </w:r>
      <w:r w:rsidRPr="004027CC">
        <w:rPr>
          <w:rFonts w:ascii="Verdana" w:hAnsi="Verdana" w:cs="Arial"/>
          <w:lang w:val="es-ES"/>
        </w:rPr>
        <w:t>. Por su parte, el Código de Comercio también establece su propia regulación del contrato de mandato cuando este tiene una naturaleza comercial. El artículo 1262 de este cuerpo normativo define al mandato como el “[…] contrato por el cual una parte se obliga a celebrar o ejecutar uno o más actos de comercio por cuenta de otra”.</w:t>
      </w:r>
    </w:p>
    <w:p w14:paraId="2E6CFD06" w14:textId="77777777" w:rsidR="006B6BB0" w:rsidRPr="004027CC" w:rsidRDefault="006B6BB0" w:rsidP="006B6BB0">
      <w:pPr>
        <w:tabs>
          <w:tab w:val="left" w:pos="426"/>
        </w:tabs>
        <w:spacing w:after="120" w:line="276" w:lineRule="auto"/>
        <w:jc w:val="both"/>
        <w:rPr>
          <w:rFonts w:ascii="Verdana" w:hAnsi="Verdana" w:cs="Arial"/>
        </w:rPr>
      </w:pPr>
      <w:r w:rsidRPr="004027CC">
        <w:rPr>
          <w:rFonts w:ascii="Verdana" w:hAnsi="Verdana" w:cs="Arial"/>
          <w:lang w:val="es-ES"/>
        </w:rPr>
        <w:lastRenderedPageBreak/>
        <w:tab/>
      </w:r>
      <w:r w:rsidRPr="004027CC">
        <w:rPr>
          <w:rFonts w:ascii="Verdana" w:hAnsi="Verdana" w:cs="Arial"/>
          <w:lang w:val="es-ES"/>
        </w:rPr>
        <w:tab/>
        <w:t xml:space="preserve">Por su parte, </w:t>
      </w:r>
      <w:r w:rsidRPr="004027CC">
        <w:rPr>
          <w:rFonts w:ascii="Verdana" w:hAnsi="Verdana" w:cs="Arial"/>
        </w:rPr>
        <w:t xml:space="preserve">el artículo 2177 del Código Civil establece que el </w:t>
      </w:r>
      <w:r w:rsidRPr="004027CC">
        <w:rPr>
          <w:rFonts w:ascii="Verdana" w:hAnsi="Verdana" w:cs="Arial"/>
          <w:lang w:val="es-ES"/>
        </w:rPr>
        <w:t xml:space="preserve">“El mandatario puede, en el ejercicio de su cargo, contestar a su propio nombre o al del mandante; si contrata a su propio nombre no obliga respecto de terceros al mandante”, lo que significa que el mandatario </w:t>
      </w:r>
      <w:r w:rsidRPr="004027CC">
        <w:rPr>
          <w:rFonts w:ascii="Verdana" w:hAnsi="Verdana" w:cs="Arial"/>
        </w:rPr>
        <w:t xml:space="preserve">puede actuar con o sin representación y, que si contrata a su propio nombre –caso del mandato sin representación–, no obliga, respecto de terceros, al mandante. Del mismo modo, el artículo 1262 del Código de Comercio establece que el </w:t>
      </w:r>
      <w:r w:rsidRPr="004027CC">
        <w:rPr>
          <w:rFonts w:ascii="Verdana" w:hAnsi="Verdana" w:cs="Arial"/>
          <w:lang w:val="es-ES"/>
        </w:rPr>
        <w:t>mandato “[…] puede conllevar o no la representación del mandante”</w:t>
      </w:r>
      <w:r w:rsidRPr="004027CC">
        <w:rPr>
          <w:rFonts w:ascii="Verdana" w:hAnsi="Verdana" w:cs="Arial"/>
        </w:rPr>
        <w:t xml:space="preserve">, y que, si efectivamente la involucra, se aplicarán las normas establecidas en los artículos 832 y siguientes del estatuto comercial. Dichas normas indican, entre otras, que los negocios jurídicos propuestos o concluidos por el representante en nombre del representado, dentro del límite de sus poderes, producirán directamente efectos en relación con este. </w:t>
      </w:r>
    </w:p>
    <w:p w14:paraId="2633AC05" w14:textId="77777777" w:rsidR="006B6BB0" w:rsidRPr="004027CC" w:rsidRDefault="006B6BB0" w:rsidP="006B6BB0">
      <w:pPr>
        <w:tabs>
          <w:tab w:val="left" w:pos="426"/>
        </w:tabs>
        <w:spacing w:after="120" w:line="276" w:lineRule="auto"/>
        <w:jc w:val="both"/>
        <w:rPr>
          <w:rFonts w:ascii="Verdana" w:hAnsi="Verdana" w:cs="Arial"/>
        </w:rPr>
      </w:pPr>
      <w:r w:rsidRPr="004027CC">
        <w:rPr>
          <w:rFonts w:ascii="Verdana" w:hAnsi="Verdana" w:cs="Arial"/>
        </w:rPr>
        <w:tab/>
      </w:r>
      <w:r w:rsidRPr="004027CC">
        <w:rPr>
          <w:rFonts w:ascii="Verdana" w:hAnsi="Verdana" w:cs="Arial"/>
        </w:rPr>
        <w:tab/>
        <w:t xml:space="preserve">Conforme a esto, la representación es un efecto que confiere o limita el hecho de que el mandante –frente a terceros– asuma las consecuencias jurídicas de los actos o contratos celebrados o ejecutados por el mandatario. Esto en la medida en que, según las disposiciones citadas, cuando el mandatario actúa en virtud de un contrato de mandato con representación, los efectos de su actuación –frente a terceros– siempre habrán de radicarse en cabeza del mandante.  Por el contrario, si el mandatario actúa en virtud de un contrato de mandato sin representación, los efectos de este frente a terceros se radicarán en su propia esfera. </w:t>
      </w:r>
    </w:p>
    <w:p w14:paraId="275AF151" w14:textId="77777777" w:rsidR="006B6BB0" w:rsidRPr="004027CC" w:rsidRDefault="006B6BB0" w:rsidP="006B6BB0">
      <w:pPr>
        <w:widowControl w:val="0"/>
        <w:autoSpaceDE w:val="0"/>
        <w:autoSpaceDN w:val="0"/>
        <w:spacing w:after="120" w:line="276" w:lineRule="auto"/>
        <w:jc w:val="both"/>
        <w:rPr>
          <w:rFonts w:ascii="Verdana" w:eastAsia="Arial" w:hAnsi="Verdana" w:cs="Arial"/>
          <w:color w:val="000000" w:themeColor="text1"/>
          <w:lang w:val="es-ES_tradnl" w:eastAsia="es-ES_tradnl"/>
        </w:rPr>
      </w:pPr>
      <w:r w:rsidRPr="004027CC">
        <w:rPr>
          <w:rFonts w:ascii="Verdana" w:hAnsi="Verdana" w:cs="Arial"/>
        </w:rPr>
        <w:t>Ahora bien, en relación con su consulta es importante definir que, e</w:t>
      </w:r>
      <w:r w:rsidRPr="004027CC">
        <w:rPr>
          <w:rFonts w:ascii="Verdana" w:eastAsia="Arial" w:hAnsi="Verdana" w:cs="Arial"/>
          <w:color w:val="000000" w:themeColor="text1"/>
          <w:lang w:val="es-ES_tradnl" w:eastAsia="es-ES_tradnl"/>
        </w:rPr>
        <w:t>l contrato es un “acto jurídico voluntario, una declaración de voluntad, que tiene por objeto establecer una relación jurídica entre dos personas, obligando a la una para con otra a determinada prestación”</w:t>
      </w:r>
      <w:r w:rsidRPr="004027CC">
        <w:rPr>
          <w:rFonts w:ascii="Verdana" w:eastAsia="Arial" w:hAnsi="Verdana" w:cs="Arial"/>
          <w:color w:val="000000" w:themeColor="text1"/>
          <w:vertAlign w:val="superscript"/>
          <w:lang w:val="es-ES_tradnl" w:eastAsia="es-ES_tradnl"/>
        </w:rPr>
        <w:footnoteReference w:id="6"/>
      </w:r>
      <w:r w:rsidRPr="004027CC">
        <w:rPr>
          <w:rFonts w:ascii="Verdana" w:eastAsia="Arial" w:hAnsi="Verdana"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4027CC">
        <w:rPr>
          <w:rFonts w:ascii="Verdana" w:eastAsia="Arial" w:hAnsi="Verdana" w:cs="Arial"/>
          <w:color w:val="000000" w:themeColor="text1"/>
          <w:vertAlign w:val="superscript"/>
          <w:lang w:val="es-ES_tradnl" w:eastAsia="es-ES_tradnl"/>
        </w:rPr>
        <w:footnoteReference w:id="7"/>
      </w:r>
      <w:r w:rsidRPr="004027CC">
        <w:rPr>
          <w:rFonts w:ascii="Verdana" w:eastAsia="Arial" w:hAnsi="Verdana" w:cs="Arial"/>
          <w:color w:val="000000" w:themeColor="text1"/>
          <w:lang w:val="es-ES_tradnl" w:eastAsia="es-ES_tradnl"/>
        </w:rPr>
        <w:t xml:space="preserve">. </w:t>
      </w:r>
    </w:p>
    <w:p w14:paraId="66E87E6D" w14:textId="77777777" w:rsidR="006B6BB0" w:rsidRPr="004027CC" w:rsidRDefault="006B6BB0" w:rsidP="006B6BB0">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0B7668A6">
        <w:rPr>
          <w:rFonts w:ascii="Verdana" w:eastAsia="Arial" w:hAnsi="Verdana" w:cs="Arial"/>
          <w:color w:val="000000" w:themeColor="text1"/>
          <w:lang w:val="es-ES" w:eastAsia="es-ES"/>
        </w:rPr>
        <w:lastRenderedPageBreak/>
        <w:t>En efecto, el artículo 1495 del Código Civil establece que el “[c]</w:t>
      </w:r>
      <w:proofErr w:type="spellStart"/>
      <w:r w:rsidRPr="0B7668A6">
        <w:rPr>
          <w:rFonts w:ascii="Verdana" w:eastAsia="Arial" w:hAnsi="Verdana" w:cs="Arial"/>
          <w:color w:val="000000" w:themeColor="text1"/>
          <w:lang w:val="es-ES" w:eastAsia="es-ES"/>
        </w:rPr>
        <w:t>ontrato</w:t>
      </w:r>
      <w:proofErr w:type="spellEnd"/>
      <w:r w:rsidRPr="0B7668A6">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0046F8D0" w14:textId="77777777" w:rsidR="006B6BB0" w:rsidRPr="004027CC" w:rsidRDefault="006B6BB0" w:rsidP="006B6BB0">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4027CC">
        <w:rPr>
          <w:rFonts w:ascii="Verdana" w:eastAsia="Arial" w:hAnsi="Verdana"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4027CC">
        <w:rPr>
          <w:rFonts w:ascii="Verdana" w:eastAsia="Arial" w:hAnsi="Verdana" w:cs="Arial"/>
          <w:i/>
          <w:iCs/>
          <w:color w:val="000000" w:themeColor="text1"/>
          <w:lang w:val="es-ES_tradnl" w:eastAsia="es-ES_tradnl"/>
        </w:rPr>
        <w:t>ibidem</w:t>
      </w:r>
      <w:r w:rsidRPr="004027CC">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3DC3F58A" w14:textId="77777777" w:rsidR="006B6BB0" w:rsidRPr="004027CC" w:rsidRDefault="006B6BB0" w:rsidP="006B6BB0">
      <w:pPr>
        <w:widowControl w:val="0"/>
        <w:autoSpaceDE w:val="0"/>
        <w:autoSpaceDN w:val="0"/>
        <w:spacing w:after="0" w:line="276" w:lineRule="auto"/>
        <w:ind w:firstLine="709"/>
        <w:jc w:val="both"/>
        <w:rPr>
          <w:rFonts w:ascii="Verdana" w:eastAsia="Arial" w:hAnsi="Verdana" w:cs="Arial"/>
          <w:color w:val="000000" w:themeColor="text1"/>
          <w:lang w:val="es-ES_tradnl" w:eastAsia="es-ES_tradnl"/>
        </w:rPr>
      </w:pPr>
      <w:r w:rsidRPr="004027CC">
        <w:rPr>
          <w:rFonts w:ascii="Verdana" w:eastAsia="Arial" w:hAnsi="Verdana" w:cs="Arial"/>
          <w:color w:val="000000" w:themeColor="text1"/>
          <w:lang w:val="es-ES_tradnl" w:eastAsia="es-ES_tradnl"/>
        </w:rPr>
        <w:t xml:space="preserve">De acuerdo con lo anterior, </w:t>
      </w:r>
      <w:bookmarkStart w:id="1" w:name="_Hlk150759794"/>
      <w:r w:rsidRPr="004027CC">
        <w:rPr>
          <w:rFonts w:ascii="Verdana" w:eastAsia="Arial" w:hAnsi="Verdana" w:cs="Arial"/>
          <w:color w:val="000000" w:themeColor="text1"/>
          <w:lang w:val="es-ES_tradnl" w:eastAsia="es-ES_tradnl"/>
        </w:rPr>
        <w:t>para la definición de contrato estatal basta con que una de las entidades que enumera el artículo 2º de la Ley 80 de 1993</w:t>
      </w:r>
      <w:r w:rsidRPr="004027CC">
        <w:rPr>
          <w:rFonts w:ascii="Verdana" w:eastAsia="Arial" w:hAnsi="Verdana" w:cs="Arial"/>
          <w:color w:val="000000" w:themeColor="text1"/>
          <w:vertAlign w:val="superscript"/>
          <w:lang w:val="es-ES_tradnl" w:eastAsia="es-ES_tradnl"/>
        </w:rPr>
        <w:footnoteReference w:id="8"/>
      </w:r>
      <w:r w:rsidRPr="004027CC">
        <w:rPr>
          <w:rFonts w:ascii="Verdana" w:eastAsia="Arial" w:hAnsi="Verdana" w:cs="Arial"/>
          <w:color w:val="000000" w:themeColor="text1"/>
          <w:lang w:val="es-ES_tradnl" w:eastAsia="es-ES_tradnl"/>
        </w:rPr>
        <w:t xml:space="preserve"> sea una de las partes, sin importar el extremo de la relación jurídico negocial que</w:t>
      </w:r>
      <w:r w:rsidRPr="004027CC">
        <w:rPr>
          <w:rFonts w:ascii="Verdana" w:eastAsia="Arial" w:hAnsi="Verdana" w:cs="Arial"/>
          <w:color w:val="000000" w:themeColor="text1"/>
          <w:spacing w:val="-14"/>
          <w:lang w:val="es-ES_tradnl" w:eastAsia="es-ES_tradnl"/>
        </w:rPr>
        <w:t xml:space="preserve"> </w:t>
      </w:r>
      <w:r w:rsidRPr="004027CC">
        <w:rPr>
          <w:rFonts w:ascii="Verdana" w:eastAsia="Arial" w:hAnsi="Verdana" w:cs="Arial"/>
          <w:color w:val="000000" w:themeColor="text1"/>
          <w:lang w:val="es-ES_tradnl" w:eastAsia="es-ES_tradnl"/>
        </w:rPr>
        <w:t>asuma. Al respecto, el Consejo de Estado ha sostenido que el criterio definitorio de un contrato estatal es que haya sido celebrado por una Entidad Estatal</w:t>
      </w:r>
      <w:bookmarkEnd w:id="1"/>
      <w:r w:rsidRPr="004027CC">
        <w:rPr>
          <w:rFonts w:ascii="Verdana" w:eastAsia="Arial" w:hAnsi="Verdana" w:cs="Arial"/>
          <w:color w:val="000000" w:themeColor="text1"/>
          <w:lang w:val="es-ES_tradnl" w:eastAsia="es-ES_tradnl"/>
        </w:rPr>
        <w:t>:</w:t>
      </w:r>
    </w:p>
    <w:p w14:paraId="21AF8EE5" w14:textId="77777777" w:rsidR="006B6BB0" w:rsidRPr="004027CC" w:rsidRDefault="006B6BB0" w:rsidP="006B6BB0">
      <w:pPr>
        <w:widowControl w:val="0"/>
        <w:autoSpaceDE w:val="0"/>
        <w:autoSpaceDN w:val="0"/>
        <w:spacing w:after="0" w:line="276" w:lineRule="auto"/>
        <w:ind w:firstLine="261"/>
        <w:contextualSpacing/>
        <w:jc w:val="both"/>
        <w:rPr>
          <w:rFonts w:ascii="Verdana" w:eastAsia="Arial" w:hAnsi="Verdana" w:cs="Arial"/>
          <w:color w:val="000000" w:themeColor="text1"/>
          <w:lang w:val="es-ES_tradnl" w:eastAsia="es-ES_tradnl"/>
        </w:rPr>
      </w:pPr>
    </w:p>
    <w:p w14:paraId="6709AE4C" w14:textId="77777777" w:rsidR="006B6BB0" w:rsidRPr="004027CC" w:rsidRDefault="006B6BB0" w:rsidP="006B6BB0">
      <w:pPr>
        <w:widowControl w:val="0"/>
        <w:tabs>
          <w:tab w:val="left" w:pos="7797"/>
        </w:tabs>
        <w:autoSpaceDE w:val="0"/>
        <w:autoSpaceDN w:val="0"/>
        <w:spacing w:after="0" w:line="240" w:lineRule="auto"/>
        <w:ind w:left="709" w:right="709"/>
        <w:contextualSpacing/>
        <w:jc w:val="both"/>
        <w:rPr>
          <w:rFonts w:ascii="Verdana" w:eastAsia="Arial" w:hAnsi="Verdana" w:cs="Arial"/>
          <w:color w:val="000000" w:themeColor="text1"/>
          <w:sz w:val="20"/>
          <w:szCs w:val="20"/>
          <w:lang w:val="es-ES_tradnl" w:eastAsia="es-ES_tradnl"/>
        </w:rPr>
      </w:pPr>
      <w:r w:rsidRPr="004027CC">
        <w:rPr>
          <w:rFonts w:ascii="Verdana" w:eastAsia="Arial" w:hAnsi="Verdana" w:cs="Arial"/>
          <w:color w:val="000000" w:themeColor="text1"/>
          <w:sz w:val="20"/>
          <w:szCs w:val="20"/>
          <w:lang w:val="es-ES_tradnl"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4027CC">
        <w:rPr>
          <w:rFonts w:ascii="Verdana" w:eastAsia="Arial" w:hAnsi="Verdana" w:cs="Arial"/>
          <w:color w:val="000000" w:themeColor="text1"/>
          <w:spacing w:val="-4"/>
          <w:sz w:val="20"/>
          <w:szCs w:val="20"/>
          <w:lang w:val="es-ES_tradnl" w:eastAsia="es-ES_tradnl"/>
        </w:rPr>
        <w:t xml:space="preserve"> </w:t>
      </w:r>
      <w:r w:rsidRPr="004027CC">
        <w:rPr>
          <w:rFonts w:ascii="Verdana" w:eastAsia="Arial" w:hAnsi="Verdana" w:cs="Arial"/>
          <w:color w:val="000000" w:themeColor="text1"/>
          <w:sz w:val="20"/>
          <w:szCs w:val="20"/>
          <w:lang w:val="es-ES_tradnl" w:eastAsia="es-ES_tradnl"/>
        </w:rPr>
        <w:t>públicas”</w:t>
      </w:r>
      <w:r w:rsidRPr="004027CC">
        <w:rPr>
          <w:rFonts w:ascii="Verdana" w:eastAsia="Arial" w:hAnsi="Verdana" w:cs="Arial"/>
          <w:color w:val="000000" w:themeColor="text1"/>
          <w:sz w:val="20"/>
          <w:szCs w:val="20"/>
          <w:vertAlign w:val="superscript"/>
          <w:lang w:val="es-ES_tradnl" w:eastAsia="es-ES_tradnl"/>
        </w:rPr>
        <w:footnoteReference w:id="9"/>
      </w:r>
      <w:r w:rsidRPr="004027CC">
        <w:rPr>
          <w:rFonts w:ascii="Verdana" w:eastAsia="Arial" w:hAnsi="Verdana" w:cs="Arial"/>
          <w:color w:val="000000" w:themeColor="text1"/>
          <w:sz w:val="20"/>
          <w:szCs w:val="20"/>
          <w:lang w:val="es-ES_tradnl" w:eastAsia="es-ES_tradnl"/>
        </w:rPr>
        <w:t>.</w:t>
      </w:r>
    </w:p>
    <w:p w14:paraId="797081E8" w14:textId="77777777" w:rsidR="006B6BB0" w:rsidRPr="004027CC" w:rsidRDefault="006B6BB0" w:rsidP="006B6BB0">
      <w:pPr>
        <w:widowControl w:val="0"/>
        <w:autoSpaceDE w:val="0"/>
        <w:autoSpaceDN w:val="0"/>
        <w:spacing w:after="0" w:line="276" w:lineRule="auto"/>
        <w:contextualSpacing/>
        <w:jc w:val="both"/>
        <w:rPr>
          <w:rFonts w:ascii="Verdana" w:eastAsia="Arial" w:hAnsi="Verdana" w:cs="Arial"/>
          <w:color w:val="000000" w:themeColor="text1"/>
          <w:lang w:val="es-ES_tradnl" w:eastAsia="es-ES_tradnl"/>
        </w:rPr>
      </w:pPr>
    </w:p>
    <w:p w14:paraId="6C349B7D" w14:textId="77777777" w:rsidR="006B6BB0" w:rsidRPr="004027CC" w:rsidRDefault="006B6BB0" w:rsidP="006B6BB0">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4027CC">
        <w:rPr>
          <w:rFonts w:ascii="Verdana" w:eastAsia="Arial" w:hAnsi="Verdana" w:cs="Arial"/>
          <w:color w:val="000000" w:themeColor="text1"/>
          <w:lang w:val="es-ES_tradnl" w:eastAsia="es-ES_tradnl"/>
        </w:rPr>
        <w:lastRenderedPageBreak/>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id="2" w:name="_Hlk150759930"/>
      <w:r w:rsidRPr="004027CC">
        <w:rPr>
          <w:rFonts w:ascii="Verdana" w:eastAsia="Arial" w:hAnsi="Verdana" w:cs="Arial"/>
          <w:color w:val="000000" w:themeColor="text1"/>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4027CC">
        <w:rPr>
          <w:rFonts w:ascii="Verdana" w:eastAsia="Arial" w:hAnsi="Verdana" w:cs="Arial"/>
          <w:color w:val="000000" w:themeColor="text1"/>
          <w:vertAlign w:val="superscript"/>
          <w:lang w:val="es-ES_tradnl" w:eastAsia="es-ES_tradnl"/>
        </w:rPr>
        <w:footnoteReference w:id="10"/>
      </w:r>
      <w:r w:rsidRPr="004027CC">
        <w:rPr>
          <w:rFonts w:ascii="Verdana" w:eastAsia="Arial" w:hAnsi="Verdana" w:cs="Arial"/>
          <w:color w:val="000000" w:themeColor="text1"/>
          <w:lang w:val="es-ES_tradnl" w:eastAsia="es-ES_tradnl"/>
        </w:rPr>
        <w:t>, con independencia del régimen de derecho aplicable.</w:t>
      </w:r>
    </w:p>
    <w:bookmarkEnd w:id="2"/>
    <w:p w14:paraId="393DEE24" w14:textId="77777777" w:rsidR="006B6BB0" w:rsidRPr="004027CC" w:rsidRDefault="006B6BB0" w:rsidP="006B6BB0">
      <w:pPr>
        <w:widowControl w:val="0"/>
        <w:autoSpaceDE w:val="0"/>
        <w:autoSpaceDN w:val="0"/>
        <w:spacing w:after="0" w:line="276" w:lineRule="auto"/>
        <w:ind w:firstLine="607"/>
        <w:jc w:val="both"/>
        <w:rPr>
          <w:rFonts w:ascii="Verdana" w:eastAsia="Arial" w:hAnsi="Verdana" w:cs="Arial"/>
          <w:color w:val="000000" w:themeColor="text1"/>
          <w:lang w:eastAsia="es-ES_tradnl"/>
        </w:rPr>
      </w:pPr>
      <w:r w:rsidRPr="004027CC">
        <w:rPr>
          <w:rFonts w:ascii="Verdana" w:eastAsia="Arial" w:hAnsi="Verdana" w:cs="Arial"/>
          <w:color w:val="000000" w:themeColor="text1"/>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4027CC">
        <w:rPr>
          <w:rFonts w:ascii="Verdana" w:eastAsia="Arial" w:hAnsi="Verdana" w:cs="Arial"/>
          <w:lang w:eastAsia="es-ES_tradnl"/>
        </w:rPr>
        <w:t xml:space="preserve"> </w:t>
      </w:r>
      <w:r w:rsidRPr="004027CC">
        <w:rPr>
          <w:rFonts w:ascii="Verdana" w:eastAsia="Arial" w:hAnsi="Verdana" w:cs="Arial"/>
          <w:color w:val="000000" w:themeColor="text1"/>
          <w:lang w:eastAsia="es-ES_tradnl"/>
        </w:rPr>
        <w:t>bajo la égida del contrato estatal, caracterizado por tener un régimen jurídico mixto, integrado por normas de derecho público y derecho privado”</w:t>
      </w:r>
      <w:r w:rsidRPr="004027CC">
        <w:rPr>
          <w:rFonts w:ascii="Verdana" w:eastAsia="Arial" w:hAnsi="Verdana" w:cs="Arial"/>
          <w:color w:val="000000" w:themeColor="text1"/>
          <w:vertAlign w:val="superscript"/>
          <w:lang w:eastAsia="es-ES_tradnl"/>
        </w:rPr>
        <w:footnoteReference w:id="11"/>
      </w:r>
      <w:r w:rsidRPr="004027CC">
        <w:rPr>
          <w:rFonts w:ascii="Verdana" w:eastAsia="Arial" w:hAnsi="Verdana" w:cs="Arial"/>
          <w:color w:val="000000" w:themeColor="text1"/>
          <w:lang w:eastAsia="es-ES_tradnl"/>
        </w:rPr>
        <w:t xml:space="preserve">. En armonía con lo anterior, la Sala de Consulta y Servicio Civil del Consejo de Estado, expresó que, </w:t>
      </w:r>
      <w:r w:rsidRPr="004027CC">
        <w:rPr>
          <w:rFonts w:ascii="Verdana" w:eastAsia="Arial" w:hAnsi="Verdana" w:cs="Arial"/>
          <w:iCs/>
          <w:color w:val="000000" w:themeColor="text1"/>
          <w:lang w:eastAsia="es-ES_tradnl"/>
        </w:rPr>
        <w:t>en tal virtud, p</w:t>
      </w:r>
      <w:r w:rsidRPr="004027CC">
        <w:rPr>
          <w:rFonts w:ascii="Verdana" w:eastAsia="Arial" w:hAnsi="Verdana" w:cs="Arial"/>
          <w:color w:val="000000" w:themeColor="text1"/>
          <w:lang w:eastAsia="es-ES_tradnl"/>
        </w:rPr>
        <w:t>or regla general:</w:t>
      </w:r>
    </w:p>
    <w:p w14:paraId="17E5ABEE" w14:textId="77777777" w:rsidR="006B6BB0" w:rsidRPr="004027CC" w:rsidRDefault="006B6BB0" w:rsidP="006B6BB0">
      <w:pPr>
        <w:widowControl w:val="0"/>
        <w:autoSpaceDE w:val="0"/>
        <w:autoSpaceDN w:val="0"/>
        <w:spacing w:after="0" w:line="276" w:lineRule="auto"/>
        <w:ind w:firstLine="607"/>
        <w:jc w:val="both"/>
        <w:rPr>
          <w:rFonts w:ascii="Verdana" w:eastAsia="Arial" w:hAnsi="Verdana" w:cs="Arial"/>
          <w:color w:val="000000" w:themeColor="text1"/>
          <w:lang w:eastAsia="es-ES_tradnl"/>
        </w:rPr>
      </w:pPr>
    </w:p>
    <w:p w14:paraId="61017C8F" w14:textId="77777777" w:rsidR="006B6BB0" w:rsidRPr="004027CC" w:rsidRDefault="006B6BB0" w:rsidP="006B6BB0">
      <w:pPr>
        <w:widowControl w:val="0"/>
        <w:autoSpaceDE w:val="0"/>
        <w:autoSpaceDN w:val="0"/>
        <w:spacing w:after="0" w:line="240" w:lineRule="auto"/>
        <w:ind w:left="709" w:right="709"/>
        <w:contextualSpacing/>
        <w:jc w:val="both"/>
        <w:rPr>
          <w:rFonts w:ascii="Verdana" w:eastAsia="Arial" w:hAnsi="Verdana" w:cs="Arial"/>
          <w:b/>
          <w:color w:val="000000" w:themeColor="text1"/>
          <w:sz w:val="20"/>
          <w:szCs w:val="20"/>
          <w:lang w:eastAsia="es-ES_tradnl"/>
        </w:rPr>
      </w:pPr>
      <w:r w:rsidRPr="004027CC">
        <w:rPr>
          <w:rFonts w:ascii="Verdana" w:eastAsia="Arial" w:hAnsi="Verdana" w:cs="Arial"/>
          <w:color w:val="000000" w:themeColor="text1"/>
          <w:sz w:val="20"/>
          <w:szCs w:val="20"/>
          <w:lang w:eastAsia="es-ES_tradnl"/>
        </w:rPr>
        <w:t xml:space="preserve">“[…]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w:t>
      </w:r>
      <w:r w:rsidRPr="004027CC">
        <w:rPr>
          <w:rFonts w:ascii="Verdana" w:eastAsia="Arial" w:hAnsi="Verdana" w:cs="Arial"/>
          <w:color w:val="000000" w:themeColor="text1"/>
          <w:sz w:val="20"/>
          <w:szCs w:val="20"/>
          <w:lang w:eastAsia="es-ES_tradnl"/>
        </w:rPr>
        <w:lastRenderedPageBreak/>
        <w:t>administrativo positivo, la liquidación del contrato, entre otras”</w:t>
      </w:r>
      <w:r w:rsidRPr="004027CC">
        <w:rPr>
          <w:rFonts w:ascii="Verdana" w:eastAsia="Arial" w:hAnsi="Verdana" w:cs="Arial"/>
          <w:color w:val="000000" w:themeColor="text1"/>
          <w:sz w:val="20"/>
          <w:szCs w:val="20"/>
          <w:vertAlign w:val="superscript"/>
          <w:lang w:eastAsia="es-ES_tradnl"/>
        </w:rPr>
        <w:footnoteReference w:id="12"/>
      </w:r>
      <w:r w:rsidRPr="004027CC">
        <w:rPr>
          <w:rFonts w:ascii="Verdana" w:eastAsia="Arial" w:hAnsi="Verdana" w:cs="Arial"/>
          <w:color w:val="000000" w:themeColor="text1"/>
          <w:sz w:val="20"/>
          <w:szCs w:val="20"/>
          <w:lang w:eastAsia="es-ES_tradnl"/>
        </w:rPr>
        <w:t>.</w:t>
      </w:r>
      <w:r w:rsidRPr="004027CC">
        <w:rPr>
          <w:rFonts w:ascii="Verdana" w:eastAsia="Arial" w:hAnsi="Verdana" w:cs="Arial"/>
          <w:b/>
          <w:color w:val="000000" w:themeColor="text1"/>
          <w:sz w:val="20"/>
          <w:szCs w:val="20"/>
          <w:lang w:eastAsia="es-ES_tradnl"/>
        </w:rPr>
        <w:t xml:space="preserve"> </w:t>
      </w:r>
    </w:p>
    <w:p w14:paraId="11147582" w14:textId="77777777" w:rsidR="006B6BB0" w:rsidRPr="004027CC" w:rsidRDefault="006B6BB0" w:rsidP="006B6BB0">
      <w:pPr>
        <w:widowControl w:val="0"/>
        <w:autoSpaceDE w:val="0"/>
        <w:autoSpaceDN w:val="0"/>
        <w:spacing w:after="0" w:line="276" w:lineRule="auto"/>
        <w:ind w:left="709" w:right="709"/>
        <w:jc w:val="both"/>
        <w:rPr>
          <w:rFonts w:ascii="Verdana" w:eastAsia="Arial" w:hAnsi="Verdana" w:cs="Arial"/>
          <w:b/>
          <w:color w:val="000000" w:themeColor="text1"/>
          <w:lang w:eastAsia="es-ES_tradnl"/>
        </w:rPr>
      </w:pPr>
    </w:p>
    <w:p w14:paraId="58ECC3DB" w14:textId="77777777" w:rsidR="006B6BB0" w:rsidRPr="004027CC" w:rsidRDefault="006B6BB0" w:rsidP="006B6BB0">
      <w:pPr>
        <w:widowControl w:val="0"/>
        <w:autoSpaceDE w:val="0"/>
        <w:autoSpaceDN w:val="0"/>
        <w:spacing w:after="120" w:line="276" w:lineRule="auto"/>
        <w:ind w:firstLine="607"/>
        <w:jc w:val="both"/>
        <w:rPr>
          <w:rFonts w:ascii="Verdana" w:eastAsia="Arial" w:hAnsi="Verdana" w:cs="Arial"/>
          <w:iCs/>
          <w:color w:val="000000" w:themeColor="text1"/>
          <w:lang w:eastAsia="es-ES_tradnl"/>
        </w:rPr>
      </w:pPr>
      <w:bookmarkStart w:id="3" w:name="_Hlk170973098"/>
      <w:r w:rsidRPr="004027CC">
        <w:rPr>
          <w:rFonts w:ascii="Verdana" w:eastAsia="Arial" w:hAnsi="Verdana" w:cs="Arial"/>
          <w:iCs/>
          <w:color w:val="000000" w:themeColor="text1"/>
          <w:lang w:eastAsia="es-ES_tradnl"/>
        </w:rPr>
        <w:t xml:space="preserve">De otra parte, las Entidades Estatales, sujetas a la Ley 80 de 1993, para seleccionar a sus contratistas y la oferta más favorable para sus intereses no se encuentran en una posición de libertad absoluta, pues están sujetas a los procedimientos preestablecidos en las leyes y reglamentos. </w:t>
      </w:r>
      <w:bookmarkStart w:id="4" w:name="_Hlk170973355"/>
      <w:bookmarkEnd w:id="3"/>
      <w:r w:rsidRPr="004027CC">
        <w:rPr>
          <w:rFonts w:ascii="Verdana" w:eastAsia="Arial" w:hAnsi="Verdana" w:cs="Arial"/>
          <w:iCs/>
          <w:color w:val="000000" w:themeColor="text1"/>
          <w:lang w:eastAsia="es-ES_tradnl"/>
        </w:rPr>
        <w:t>La preparación, adjudicación y perfeccionamiento de sus contratos es eminentemente reglado, fijado por el orden jurídico, bajo precisos principios que garantizan el derecho a la igualdad de los oferentes, la libertad de participación y el cumplimiento de los fines estatales perseguidos con esta actividad. Por eso,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 -1. Licitación pública. 2. Selección abreviada. 3. Concurso de méritos, 4. Contratación directa y 5. Mínima cuantía, artículos 24 de la Ley 80 de 1993 y 2 de la Ley 1150 de 2007-. 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bookmarkEnd w:id="4"/>
    <w:p w14:paraId="0E229B47" w14:textId="77777777" w:rsidR="006B6BB0" w:rsidRPr="004027CC" w:rsidRDefault="006B6BB0" w:rsidP="006B6BB0">
      <w:pPr>
        <w:widowControl w:val="0"/>
        <w:autoSpaceDE w:val="0"/>
        <w:autoSpaceDN w:val="0"/>
        <w:spacing w:after="0" w:line="276" w:lineRule="auto"/>
        <w:ind w:firstLine="607"/>
        <w:jc w:val="both"/>
        <w:rPr>
          <w:rFonts w:ascii="Verdana" w:eastAsia="Arial" w:hAnsi="Verdana" w:cs="Arial"/>
          <w:color w:val="000000" w:themeColor="text1"/>
          <w:lang w:val="es-ES" w:eastAsia="es-ES"/>
        </w:rPr>
      </w:pPr>
      <w:r w:rsidRPr="0B7668A6">
        <w:rPr>
          <w:rFonts w:ascii="Verdana" w:eastAsia="Arial" w:hAnsi="Verdana" w:cs="Arial"/>
          <w:color w:val="000000" w:themeColor="text1"/>
          <w:lang w:val="es-ES" w:eastAsia="es-ES"/>
        </w:rPr>
        <w:t xml:space="preserve">Ahora bien, como 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w:t>
      </w:r>
      <w:proofErr w:type="gramStart"/>
      <w:r w:rsidRPr="0B7668A6">
        <w:rPr>
          <w:rFonts w:ascii="Verdana" w:eastAsia="Arial" w:hAnsi="Verdana" w:cs="Arial"/>
          <w:color w:val="000000" w:themeColor="text1"/>
          <w:lang w:val="es-ES" w:eastAsia="es-ES"/>
        </w:rPr>
        <w:t>del mismo</w:t>
      </w:r>
      <w:proofErr w:type="gramEnd"/>
      <w:r w:rsidRPr="0B7668A6">
        <w:rPr>
          <w:rFonts w:ascii="Verdana" w:eastAsia="Arial" w:hAnsi="Verdana" w:cs="Arial"/>
          <w:color w:val="000000" w:themeColor="text1"/>
          <w:lang w:val="es-ES" w:eastAsia="es-ES"/>
        </w:rPr>
        <w:t>:</w:t>
      </w:r>
    </w:p>
    <w:p w14:paraId="60ABA9CA" w14:textId="77777777" w:rsidR="006B6BB0" w:rsidRPr="004027CC" w:rsidRDefault="006B6BB0" w:rsidP="006B6BB0">
      <w:pPr>
        <w:widowControl w:val="0"/>
        <w:autoSpaceDE w:val="0"/>
        <w:autoSpaceDN w:val="0"/>
        <w:spacing w:after="0" w:line="276" w:lineRule="auto"/>
        <w:ind w:firstLine="607"/>
        <w:jc w:val="both"/>
        <w:rPr>
          <w:rFonts w:ascii="Verdana" w:eastAsia="Arial" w:hAnsi="Verdana" w:cs="Arial"/>
          <w:color w:val="000000" w:themeColor="text1"/>
          <w:lang w:val="es-ES_tradnl" w:eastAsia="es-ES_tradnl"/>
        </w:rPr>
      </w:pPr>
    </w:p>
    <w:p w14:paraId="349D90A9" w14:textId="77777777" w:rsidR="006B6BB0" w:rsidRPr="004027CC" w:rsidRDefault="006B6BB0" w:rsidP="006B6BB0">
      <w:pPr>
        <w:widowControl w:val="0"/>
        <w:autoSpaceDE w:val="0"/>
        <w:autoSpaceDN w:val="0"/>
        <w:spacing w:after="0" w:line="240" w:lineRule="auto"/>
        <w:ind w:left="709" w:right="709"/>
        <w:jc w:val="both"/>
        <w:rPr>
          <w:rFonts w:ascii="Verdana" w:eastAsia="Arial" w:hAnsi="Verdana" w:cs="Arial"/>
          <w:color w:val="000000" w:themeColor="text1"/>
          <w:sz w:val="20"/>
          <w:szCs w:val="20"/>
          <w:lang w:val="es-ES_tradnl" w:eastAsia="es-ES_tradnl"/>
        </w:rPr>
      </w:pPr>
      <w:r w:rsidRPr="004027CC">
        <w:rPr>
          <w:rFonts w:ascii="Verdana" w:eastAsia="Arial" w:hAnsi="Verdana" w:cs="Arial"/>
          <w:color w:val="000000" w:themeColor="text1"/>
          <w:sz w:val="20"/>
          <w:szCs w:val="20"/>
          <w:lang w:val="es-ES_tradnl" w:eastAsia="es-ES_tradnl"/>
        </w:rPr>
        <w:t xml:space="preserve">“[L]a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w:t>
      </w:r>
      <w:r w:rsidRPr="004027CC">
        <w:rPr>
          <w:rFonts w:ascii="Verdana" w:eastAsia="Arial" w:hAnsi="Verdana" w:cs="Arial"/>
          <w:color w:val="000000" w:themeColor="text1"/>
          <w:sz w:val="20"/>
          <w:szCs w:val="20"/>
          <w:lang w:val="es-ES_tradnl" w:eastAsia="es-ES_tradnl"/>
        </w:rPr>
        <w:lastRenderedPageBreak/>
        <w:t>Estado, ya sea que se regulen por el Estatuto General de Contratación Administrativa o que estén sujetos a regímenes especiales’”.</w:t>
      </w:r>
      <w:r w:rsidRPr="004027CC">
        <w:rPr>
          <w:rFonts w:ascii="Verdana" w:eastAsia="Arial" w:hAnsi="Verdana" w:cs="Arial"/>
          <w:color w:val="000000" w:themeColor="text1"/>
          <w:sz w:val="20"/>
          <w:szCs w:val="20"/>
          <w:vertAlign w:val="superscript"/>
          <w:lang w:val="es-ES_tradnl" w:eastAsia="es-ES_tradnl"/>
        </w:rPr>
        <w:footnoteReference w:id="13"/>
      </w:r>
    </w:p>
    <w:p w14:paraId="1BC37AEA" w14:textId="77777777" w:rsidR="006B6BB0" w:rsidRPr="004027CC" w:rsidRDefault="006B6BB0" w:rsidP="006B6BB0">
      <w:pPr>
        <w:widowControl w:val="0"/>
        <w:autoSpaceDE w:val="0"/>
        <w:autoSpaceDN w:val="0"/>
        <w:spacing w:after="0" w:line="276" w:lineRule="auto"/>
        <w:ind w:firstLine="608"/>
        <w:jc w:val="both"/>
        <w:rPr>
          <w:rFonts w:ascii="Verdana" w:eastAsia="Arial" w:hAnsi="Verdana" w:cs="Arial"/>
          <w:color w:val="000000" w:themeColor="text1"/>
          <w:lang w:val="es-ES_tradnl" w:eastAsia="es-ES_tradnl"/>
        </w:rPr>
      </w:pPr>
      <w:r w:rsidRPr="004027CC">
        <w:rPr>
          <w:rFonts w:ascii="Verdana" w:eastAsia="Arial" w:hAnsi="Verdana" w:cs="Arial"/>
          <w:color w:val="000000" w:themeColor="text1"/>
          <w:lang w:val="es-ES_tradnl" w:eastAsia="es-ES_tradnl"/>
        </w:rPr>
        <w:t xml:space="preserve"> </w:t>
      </w:r>
    </w:p>
    <w:p w14:paraId="354F1C7B" w14:textId="77777777" w:rsidR="006B6BB0" w:rsidRPr="004027CC" w:rsidRDefault="006B6BB0" w:rsidP="006B6BB0">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4027CC">
        <w:rPr>
          <w:rFonts w:ascii="Verdana" w:eastAsia="Arial" w:hAnsi="Verdana" w:cs="Arial"/>
          <w:color w:val="000000" w:themeColor="text1"/>
          <w:lang w:val="es-ES_tradnl" w:eastAsia="es-ES_tradnl"/>
        </w:rPr>
        <w:t>De todos modos, sin perjuicio del régimen normativo que aplique al negocio jurídico estatal, la Entidad Pública exceptuada y con régimen especial de contratación debe observar y acatar los principios consagrados en los artículos 209 y 267 de la Constitución Política, aplicar las mismas inhabilidades e incompatibilidades del régimen general de la contratación estatal y cumplir con el deber de publicidad, según mandato expreso del artículo 13 de la Ley 1150 de 2007, sin perjuicio, de la aplicación de otras disposiciones que aplican de forma transversal a los contratos celebrados por Entidades Públicas.</w:t>
      </w:r>
    </w:p>
    <w:p w14:paraId="37045A60" w14:textId="77777777" w:rsidR="006B6BB0" w:rsidRPr="004027CC" w:rsidRDefault="006B6BB0" w:rsidP="006B6BB0">
      <w:pPr>
        <w:spacing w:after="120" w:line="276" w:lineRule="auto"/>
        <w:ind w:firstLine="709"/>
        <w:jc w:val="both"/>
        <w:rPr>
          <w:rFonts w:ascii="Verdana" w:eastAsia="Calibri" w:hAnsi="Verdana" w:cs="Arial"/>
          <w:lang w:eastAsia="es-ES_tradnl"/>
        </w:rPr>
      </w:pPr>
      <w:bookmarkStart w:id="5" w:name="_Hlk121750642"/>
      <w:r w:rsidRPr="004027CC">
        <w:rPr>
          <w:rFonts w:ascii="Verdana" w:eastAsia="Times New Roman" w:hAnsi="Verdana" w:cs="Arial"/>
          <w:color w:val="000000" w:themeColor="text1"/>
          <w:lang w:eastAsia="es-ES_tradnl"/>
        </w:rPr>
        <w:t xml:space="preserve">Ahora bien, teniendo en cuenta el objeto de su consulta, es preciso mencionar que las </w:t>
      </w:r>
      <w:r w:rsidRPr="004027CC">
        <w:rPr>
          <w:rFonts w:ascii="Verdana" w:eastAsia="Calibri" w:hAnsi="Verdana" w:cs="Arial"/>
          <w:lang w:eastAsia="es-ES_tradnl"/>
        </w:rPr>
        <w:t xml:space="preserve">Entidades Estatales regidas por el EGCAP están habilitadas para celebrar los contratos que suelen celebrar los particulares entre sí – como el de mandato al que se refiere en su pregunta – en ejercicio de la autonomía de la voluntad privada. En ese sentido, puede ocurrir que dentro de la gestión ordinaria de sus competencias las entidades tengan necesidades que deban ser satisfechas a través de contratos como el mandato, en los que además de las disposiciones del EGCAP deberán aplicarse en su mayoría normas de derecho privado, lo que de ninguna manera desvirtúa la calidad de estatal de dichos contratos. </w:t>
      </w:r>
    </w:p>
    <w:bookmarkEnd w:id="5"/>
    <w:p w14:paraId="3D0BD77D" w14:textId="77777777" w:rsidR="006B6BB0" w:rsidRPr="004027CC" w:rsidRDefault="006B6BB0" w:rsidP="006B6BB0">
      <w:pPr>
        <w:spacing w:after="120" w:line="276" w:lineRule="auto"/>
        <w:ind w:firstLine="709"/>
        <w:jc w:val="both"/>
        <w:rPr>
          <w:rFonts w:ascii="Verdana" w:eastAsia="Calibri" w:hAnsi="Verdana" w:cs="Arial"/>
          <w:lang w:eastAsia="es-ES_tradnl"/>
        </w:rPr>
      </w:pPr>
      <w:r w:rsidRPr="004027CC">
        <w:rPr>
          <w:rFonts w:ascii="Verdana" w:eastAsia="Calibri" w:hAnsi="Verdana" w:cs="Arial"/>
          <w:lang w:eastAsia="es-ES_tradnl"/>
        </w:rPr>
        <w:t xml:space="preserve">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0A569C3F" w14:textId="77777777" w:rsidR="006B6BB0" w:rsidRPr="004027CC" w:rsidRDefault="006B6BB0" w:rsidP="006B6BB0">
      <w:pPr>
        <w:widowControl w:val="0"/>
        <w:autoSpaceDE w:val="0"/>
        <w:autoSpaceDN w:val="0"/>
        <w:spacing w:after="120" w:line="276" w:lineRule="auto"/>
        <w:ind w:firstLine="709"/>
        <w:jc w:val="both"/>
        <w:rPr>
          <w:rFonts w:ascii="Verdana" w:eastAsia="Arial" w:hAnsi="Verdana" w:cs="Arial"/>
          <w:color w:val="000000"/>
          <w:szCs w:val="24"/>
          <w:lang w:val="es-ES" w:eastAsia="es-ES_tradnl"/>
        </w:rPr>
      </w:pPr>
      <w:r w:rsidRPr="004027CC">
        <w:rPr>
          <w:rFonts w:ascii="Verdana" w:eastAsia="Arial" w:hAnsi="Verdana" w:cs="Arial"/>
          <w:color w:val="000000"/>
          <w:szCs w:val="24"/>
          <w:lang w:val="es-ES" w:eastAsia="es-ES_tradnl"/>
        </w:rPr>
        <w:lastRenderedPageBreak/>
        <w:t>Finalmente, 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funciones. En este caso también estaremos en presencia de un contrato estatal.</w:t>
      </w:r>
    </w:p>
    <w:p w14:paraId="37B4DB74" w14:textId="77777777" w:rsidR="006B6BB0" w:rsidRPr="004027CC" w:rsidRDefault="006B6BB0" w:rsidP="006B6BB0">
      <w:pPr>
        <w:widowControl w:val="0"/>
        <w:autoSpaceDE w:val="0"/>
        <w:autoSpaceDN w:val="0"/>
        <w:spacing w:after="0" w:line="276" w:lineRule="auto"/>
        <w:ind w:firstLine="607"/>
        <w:jc w:val="both"/>
        <w:rPr>
          <w:rFonts w:ascii="Verdana" w:eastAsia="Arial" w:hAnsi="Verdana" w:cs="Arial"/>
          <w:color w:val="000000" w:themeColor="text1"/>
          <w:lang w:val="es-ES_tradnl" w:eastAsia="es-ES_tradnl"/>
        </w:rPr>
      </w:pPr>
      <w:r w:rsidRPr="004027CC">
        <w:rPr>
          <w:rFonts w:ascii="Verdana" w:eastAsia="Arial" w:hAnsi="Verdana" w:cs="Arial"/>
          <w:color w:val="000000" w:themeColor="text1"/>
          <w:lang w:val="es-ES_tradnl" w:eastAsia="es-ES_tradnl"/>
        </w:rPr>
        <w:t>En atención a lo expuesto, se concluye que, el contrato estatal, sea sujeto al ámbito del EGCAP o por fuera de él, es un acuerdo de voluntades celebrado por una Entidad Estatal con un particular u otra entidad que genera, extingue o modifica obligaciones para quienes lo</w:t>
      </w:r>
      <w:r w:rsidRPr="004027CC">
        <w:rPr>
          <w:rFonts w:ascii="Verdana" w:eastAsia="Arial" w:hAnsi="Verdana" w:cs="Arial"/>
          <w:color w:val="000000" w:themeColor="text1"/>
          <w:spacing w:val="-5"/>
          <w:lang w:val="es-ES_tradnl" w:eastAsia="es-ES_tradnl"/>
        </w:rPr>
        <w:t xml:space="preserve"> </w:t>
      </w:r>
      <w:r w:rsidRPr="004027CC">
        <w:rPr>
          <w:rFonts w:ascii="Verdana" w:eastAsia="Arial" w:hAnsi="Verdana" w:cs="Arial"/>
          <w:color w:val="000000" w:themeColor="text1"/>
          <w:lang w:val="es-ES_tradnl" w:eastAsia="es-ES_tradnl"/>
        </w:rPr>
        <w:t xml:space="preserve">suscriben, regida por un derecho mixto, en los términos explicados. </w:t>
      </w:r>
    </w:p>
    <w:p w14:paraId="3053BE51" w14:textId="77777777" w:rsidR="006B6BB0" w:rsidRDefault="006B6BB0" w:rsidP="006B6BB0">
      <w:pPr>
        <w:widowControl w:val="0"/>
        <w:autoSpaceDE w:val="0"/>
        <w:autoSpaceDN w:val="0"/>
        <w:spacing w:after="0" w:line="276" w:lineRule="auto"/>
        <w:jc w:val="both"/>
        <w:rPr>
          <w:rFonts w:ascii="Verdana" w:hAnsi="Verdana" w:cs="Arial"/>
        </w:rPr>
      </w:pPr>
    </w:p>
    <w:p w14:paraId="17B906B7" w14:textId="77777777" w:rsidR="006B6BB0" w:rsidRPr="00593A5F" w:rsidRDefault="006B6BB0" w:rsidP="006B6BB0">
      <w:pPr>
        <w:widowControl w:val="0"/>
        <w:autoSpaceDE w:val="0"/>
        <w:autoSpaceDN w:val="0"/>
        <w:spacing w:after="0" w:line="276" w:lineRule="auto"/>
        <w:jc w:val="both"/>
        <w:rPr>
          <w:rFonts w:ascii="Verdana" w:hAnsi="Verdana" w:cs="Arial"/>
        </w:rPr>
      </w:pPr>
    </w:p>
    <w:p w14:paraId="3043536D" w14:textId="77777777" w:rsidR="006B6BB0" w:rsidRPr="00593A5F" w:rsidRDefault="006B6BB0" w:rsidP="006B6BB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1E4583D" w14:textId="77777777" w:rsidR="006B6BB0" w:rsidRPr="00593A5F" w:rsidRDefault="006B6BB0" w:rsidP="006B6BB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B6BB0" w:rsidRPr="00593A5F" w14:paraId="4F9A20FE" w14:textId="77777777" w:rsidTr="00CA3958">
        <w:trPr>
          <w:trHeight w:val="870"/>
        </w:trPr>
        <w:tc>
          <w:tcPr>
            <w:tcW w:w="8647" w:type="dxa"/>
          </w:tcPr>
          <w:p w14:paraId="5019D541" w14:textId="77777777" w:rsidR="006B6BB0" w:rsidRPr="004027CC" w:rsidRDefault="006B6BB0" w:rsidP="006B6BB0">
            <w:pPr>
              <w:pStyle w:val="Prrafodelista"/>
              <w:widowControl w:val="0"/>
              <w:numPr>
                <w:ilvl w:val="0"/>
                <w:numId w:val="17"/>
              </w:numPr>
              <w:autoSpaceDE w:val="0"/>
              <w:autoSpaceDN w:val="0"/>
              <w:spacing w:after="120" w:line="276" w:lineRule="auto"/>
              <w:jc w:val="both"/>
              <w:rPr>
                <w:rFonts w:ascii="Verdana" w:hAnsi="Verdana" w:cs="Arial"/>
                <w:lang w:val="es-CO"/>
              </w:rPr>
            </w:pPr>
            <w:r w:rsidRPr="004027CC">
              <w:rPr>
                <w:rFonts w:ascii="Verdana" w:hAnsi="Verdana" w:cs="Arial"/>
              </w:rPr>
              <w:t>Código Civil</w:t>
            </w:r>
            <w:r>
              <w:rPr>
                <w:rFonts w:ascii="Verdana" w:hAnsi="Verdana" w:cs="Arial"/>
              </w:rPr>
              <w:t>:</w:t>
            </w:r>
            <w:r w:rsidRPr="004027CC">
              <w:rPr>
                <w:rFonts w:ascii="Verdana" w:hAnsi="Verdana" w:cs="Arial"/>
              </w:rPr>
              <w:t xml:space="preserve"> artículo</w:t>
            </w:r>
            <w:r>
              <w:rPr>
                <w:rFonts w:ascii="Verdana" w:hAnsi="Verdana" w:cs="Arial"/>
              </w:rPr>
              <w:t>s</w:t>
            </w:r>
            <w:r w:rsidRPr="004027CC">
              <w:rPr>
                <w:rFonts w:ascii="Verdana" w:hAnsi="Verdana" w:cs="Arial"/>
              </w:rPr>
              <w:t xml:space="preserve"> </w:t>
            </w:r>
            <w:r w:rsidRPr="0017025D">
              <w:rPr>
                <w:rFonts w:ascii="Verdana" w:hAnsi="Verdana" w:cs="Arial"/>
                <w:lang w:val="es-ES_tradnl"/>
              </w:rPr>
              <w:t>1495</w:t>
            </w:r>
            <w:r>
              <w:rPr>
                <w:rFonts w:ascii="Verdana" w:hAnsi="Verdana" w:cs="Arial"/>
                <w:lang w:val="es-ES_tradnl"/>
              </w:rPr>
              <w:t xml:space="preserve">, </w:t>
            </w:r>
            <w:r w:rsidRPr="0017025D">
              <w:rPr>
                <w:rFonts w:ascii="Verdana" w:hAnsi="Verdana" w:cs="Arial"/>
              </w:rPr>
              <w:t>1505</w:t>
            </w:r>
            <w:r>
              <w:rPr>
                <w:rFonts w:ascii="Verdana" w:hAnsi="Verdana" w:cs="Arial"/>
              </w:rPr>
              <w:t xml:space="preserve">, </w:t>
            </w:r>
            <w:r w:rsidRPr="004027CC">
              <w:rPr>
                <w:rFonts w:ascii="Verdana" w:hAnsi="Verdana" w:cs="Arial"/>
              </w:rPr>
              <w:t>2177</w:t>
            </w:r>
            <w:r>
              <w:rPr>
                <w:rFonts w:ascii="Verdana" w:hAnsi="Verdana" w:cs="Arial"/>
              </w:rPr>
              <w:t xml:space="preserve">, y </w:t>
            </w:r>
            <w:r w:rsidRPr="004027CC">
              <w:rPr>
                <w:rFonts w:ascii="Verdana" w:hAnsi="Verdana" w:cs="Arial"/>
              </w:rPr>
              <w:t>2142</w:t>
            </w:r>
            <w:r>
              <w:rPr>
                <w:rFonts w:ascii="Verdana" w:hAnsi="Verdana" w:cs="Arial"/>
              </w:rPr>
              <w:t>.</w:t>
            </w:r>
          </w:p>
          <w:p w14:paraId="0A170831" w14:textId="77777777" w:rsidR="006B6BB0" w:rsidRDefault="006B6BB0" w:rsidP="006B6BB0">
            <w:pPr>
              <w:pStyle w:val="Prrafodelista"/>
              <w:widowControl w:val="0"/>
              <w:numPr>
                <w:ilvl w:val="0"/>
                <w:numId w:val="17"/>
              </w:numPr>
              <w:autoSpaceDE w:val="0"/>
              <w:autoSpaceDN w:val="0"/>
              <w:spacing w:after="120" w:line="276" w:lineRule="auto"/>
              <w:jc w:val="both"/>
              <w:rPr>
                <w:rFonts w:ascii="Verdana" w:hAnsi="Verdana" w:cs="Arial"/>
              </w:rPr>
            </w:pPr>
            <w:r w:rsidRPr="0017025D">
              <w:rPr>
                <w:rFonts w:ascii="Verdana" w:hAnsi="Verdana" w:cs="Arial"/>
              </w:rPr>
              <w:t>Código de Comercio</w:t>
            </w:r>
            <w:r>
              <w:rPr>
                <w:rFonts w:ascii="Verdana" w:hAnsi="Verdana" w:cs="Arial"/>
              </w:rPr>
              <w:t>:</w:t>
            </w:r>
            <w:r w:rsidRPr="0017025D">
              <w:rPr>
                <w:rFonts w:ascii="Verdana" w:hAnsi="Verdana" w:cs="Arial"/>
              </w:rPr>
              <w:t xml:space="preserve"> artículo 1262</w:t>
            </w:r>
            <w:r>
              <w:rPr>
                <w:rFonts w:ascii="Verdana" w:hAnsi="Verdana" w:cs="Arial"/>
              </w:rPr>
              <w:t>.</w:t>
            </w:r>
          </w:p>
          <w:p w14:paraId="30A1F0A8" w14:textId="77777777" w:rsidR="006B6BB0" w:rsidRPr="0017025D" w:rsidRDefault="006B6BB0" w:rsidP="006B6BB0">
            <w:pPr>
              <w:pStyle w:val="Prrafodelista"/>
              <w:widowControl w:val="0"/>
              <w:numPr>
                <w:ilvl w:val="0"/>
                <w:numId w:val="17"/>
              </w:numPr>
              <w:autoSpaceDE w:val="0"/>
              <w:autoSpaceDN w:val="0"/>
              <w:spacing w:after="120" w:line="276" w:lineRule="auto"/>
              <w:jc w:val="both"/>
              <w:rPr>
                <w:rFonts w:ascii="Verdana" w:hAnsi="Verdana" w:cs="Arial"/>
              </w:rPr>
            </w:pPr>
            <w:r w:rsidRPr="0017025D">
              <w:rPr>
                <w:rFonts w:ascii="Verdana" w:hAnsi="Verdana" w:cs="Arial"/>
                <w:lang w:val="es-ES_tradnl"/>
              </w:rPr>
              <w:t>Ley 80 de 1993</w:t>
            </w:r>
            <w:r>
              <w:rPr>
                <w:rFonts w:ascii="Verdana" w:hAnsi="Verdana" w:cs="Arial"/>
                <w:lang w:val="es-ES_tradnl"/>
              </w:rPr>
              <w:t>:</w:t>
            </w:r>
            <w:r w:rsidRPr="0017025D">
              <w:rPr>
                <w:rFonts w:ascii="Verdana" w:hAnsi="Verdana" w:cs="Arial"/>
                <w:lang w:val="es-ES_tradnl"/>
              </w:rPr>
              <w:t xml:space="preserve"> artículo</w:t>
            </w:r>
            <w:r>
              <w:rPr>
                <w:rFonts w:ascii="Verdana" w:hAnsi="Verdana" w:cs="Arial"/>
                <w:lang w:val="es-ES_tradnl"/>
              </w:rPr>
              <w:t>s</w:t>
            </w:r>
            <w:r w:rsidRPr="0017025D">
              <w:rPr>
                <w:rFonts w:ascii="Verdana" w:hAnsi="Verdana" w:cs="Arial"/>
                <w:lang w:val="es-ES_tradnl"/>
              </w:rPr>
              <w:t xml:space="preserve"> 2</w:t>
            </w:r>
            <w:r>
              <w:rPr>
                <w:rFonts w:ascii="Verdana" w:hAnsi="Verdana" w:cs="Arial"/>
                <w:lang w:val="es-ES_tradnl"/>
              </w:rPr>
              <w:t>, 13, 32, y 40.</w:t>
            </w:r>
          </w:p>
        </w:tc>
      </w:tr>
    </w:tbl>
    <w:p w14:paraId="66F08072" w14:textId="77777777" w:rsidR="006B6BB0" w:rsidRPr="00593A5F" w:rsidRDefault="006B6BB0" w:rsidP="006B6BB0">
      <w:pPr>
        <w:widowControl w:val="0"/>
        <w:autoSpaceDE w:val="0"/>
        <w:autoSpaceDN w:val="0"/>
        <w:spacing w:after="0" w:line="276" w:lineRule="auto"/>
        <w:jc w:val="both"/>
        <w:rPr>
          <w:rFonts w:ascii="Verdana" w:hAnsi="Verdana" w:cs="Arial"/>
        </w:rPr>
      </w:pPr>
    </w:p>
    <w:p w14:paraId="337C7CE4" w14:textId="77777777" w:rsidR="006B6BB0" w:rsidRPr="00593A5F" w:rsidRDefault="006B6BB0" w:rsidP="006B6BB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9D00ABF" w14:textId="77777777" w:rsidR="006B6BB0" w:rsidRPr="00593A5F" w:rsidRDefault="006B6BB0" w:rsidP="006B6BB0">
      <w:pPr>
        <w:widowControl w:val="0"/>
        <w:autoSpaceDE w:val="0"/>
        <w:autoSpaceDN w:val="0"/>
        <w:spacing w:after="0" w:line="276" w:lineRule="auto"/>
        <w:jc w:val="both"/>
        <w:rPr>
          <w:rFonts w:ascii="Verdana" w:hAnsi="Verdana" w:cs="Arial"/>
        </w:rPr>
      </w:pPr>
    </w:p>
    <w:p w14:paraId="4D392C02" w14:textId="77777777" w:rsidR="006B6BB0" w:rsidRDefault="006B6BB0" w:rsidP="006B6BB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801EBC">
        <w:rPr>
          <w:rStyle w:val="normaltextrun"/>
          <w:rFonts w:ascii="Verdana" w:hAnsi="Verdana" w:cs="Arial"/>
          <w:color w:val="000000" w:themeColor="text1"/>
          <w:shd w:val="clear" w:color="auto" w:fill="FFFFFF"/>
          <w:lang w:val="es-ES"/>
        </w:rPr>
        <w:t>Sobre el contrato de mandato se pronunció esta Subdirección en los conceptos</w:t>
      </w:r>
      <w:r w:rsidRPr="00801EBC">
        <w:rPr>
          <w:rStyle w:val="normaltextrun"/>
          <w:rFonts w:ascii="Verdana" w:hAnsi="Verdana" w:cs="Calibri"/>
          <w:color w:val="000000" w:themeColor="text1"/>
          <w:shd w:val="clear" w:color="auto" w:fill="FFFFFF"/>
        </w:rPr>
        <w:t xml:space="preserve"> </w:t>
      </w:r>
      <w:r w:rsidRPr="00801EBC">
        <w:rPr>
          <w:rStyle w:val="normaltextrun"/>
          <w:rFonts w:ascii="Verdana" w:hAnsi="Verdana" w:cs="Arial"/>
          <w:color w:val="000000" w:themeColor="text1"/>
          <w:shd w:val="clear" w:color="auto" w:fill="FFFFFF"/>
          <w:lang w:val="es-ES"/>
        </w:rPr>
        <w:t xml:space="preserve">C-953 del 25 de enero de 2023 y C-966 del 1 de febrero de 2023. Igualmente, sobre el alcance de la definición del contrato estatal en los conceptos 4201912000006493 del 15 de noviembre de 2019, 4201912000006710 del 19 de noviembre de 2019, C-466 del 21 de julio de 2022, C-604 del 23 de septiembre de 2022, C-823 del 21 de diciembre de 2022, y C-043 del 4 de julio de 2024, entre otros.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55A34C6" w14:textId="77777777" w:rsidR="006B6BB0" w:rsidRDefault="006B6BB0" w:rsidP="006B6BB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0A766ED" w14:textId="77777777" w:rsidR="006B6BB0" w:rsidRDefault="006B6BB0" w:rsidP="006B6BB0">
      <w:pPr>
        <w:widowControl w:val="0"/>
        <w:autoSpaceDE w:val="0"/>
        <w:autoSpaceDN w:val="0"/>
        <w:spacing w:after="0" w:line="276" w:lineRule="auto"/>
        <w:jc w:val="both"/>
        <w:rPr>
          <w:rFonts w:ascii="Verdana" w:hAnsi="Verdana" w:cs="Arial"/>
          <w:color w:val="000000" w:themeColor="text1"/>
          <w:shd w:val="clear" w:color="auto" w:fill="FFFFFF"/>
          <w:lang w:val="es-ES"/>
        </w:rPr>
      </w:pPr>
      <w:r w:rsidRPr="004027CC">
        <w:rPr>
          <w:rFonts w:ascii="Verdana" w:hAnsi="Verdana" w:cs="Arial"/>
          <w:color w:val="000000" w:themeColor="text1"/>
          <w:shd w:val="clear" w:color="auto" w:fill="FFFFFF"/>
        </w:rPr>
        <w:t>Te informamos que ya se encuentra disponible la </w:t>
      </w:r>
      <w:r w:rsidRPr="004027CC">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4027CC">
        <w:rPr>
          <w:rFonts w:ascii="Verdana" w:hAnsi="Verdana" w:cs="Arial"/>
          <w:color w:val="000000" w:themeColor="text1"/>
          <w:shd w:val="clear" w:color="auto" w:fill="FFFFFF"/>
        </w:rPr>
        <w:t xml:space="preserve"> Esta cartilla es una apuesta de la Agencia Nacional de Contratación Pública – Colombia Compra Eficiente, para </w:t>
      </w:r>
      <w:r w:rsidRPr="004027CC">
        <w:rPr>
          <w:rFonts w:ascii="Verdana" w:hAnsi="Verdana" w:cs="Arial"/>
          <w:color w:val="000000" w:themeColor="text1"/>
          <w:shd w:val="clear" w:color="auto" w:fill="FFFFFF"/>
        </w:rPr>
        <w:lastRenderedPageBreak/>
        <w:t>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4027CC">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01244128" w14:textId="77777777" w:rsidR="006B6BB0" w:rsidRPr="004027CC" w:rsidRDefault="006B6BB0" w:rsidP="006B6BB0">
      <w:pPr>
        <w:widowControl w:val="0"/>
        <w:autoSpaceDE w:val="0"/>
        <w:autoSpaceDN w:val="0"/>
        <w:spacing w:after="0" w:line="276" w:lineRule="auto"/>
        <w:jc w:val="both"/>
        <w:rPr>
          <w:rFonts w:ascii="Verdana" w:hAnsi="Verdana" w:cs="Arial"/>
          <w:color w:val="000000" w:themeColor="text1"/>
          <w:shd w:val="clear" w:color="auto" w:fill="FFFFFF"/>
        </w:rPr>
      </w:pPr>
    </w:p>
    <w:p w14:paraId="66E451B4" w14:textId="77777777" w:rsidR="006B6BB0" w:rsidRDefault="006B6BB0" w:rsidP="006B6BB0">
      <w:pPr>
        <w:widowControl w:val="0"/>
        <w:autoSpaceDE w:val="0"/>
        <w:autoSpaceDN w:val="0"/>
        <w:spacing w:after="0" w:line="276" w:lineRule="auto"/>
        <w:jc w:val="both"/>
        <w:rPr>
          <w:rFonts w:ascii="Verdana" w:hAnsi="Verdana" w:cs="Arial"/>
          <w:color w:val="000000" w:themeColor="text1"/>
          <w:shd w:val="clear" w:color="auto" w:fill="FFFFFF"/>
          <w:lang w:val="es-ES"/>
        </w:rPr>
      </w:pPr>
      <w:r w:rsidRPr="004027CC">
        <w:rPr>
          <w:rFonts w:ascii="Verdana" w:hAnsi="Verdana" w:cs="Arial"/>
          <w:color w:val="000000" w:themeColor="text1"/>
          <w:shd w:val="clear" w:color="auto" w:fill="FFFFFF"/>
        </w:rPr>
        <w:t>De otra parte, te informamos que, con el objetivo de garantizar un conocimiento adecuado de las </w:t>
      </w:r>
      <w:r w:rsidRPr="004027CC">
        <w:rPr>
          <w:rFonts w:ascii="Verdana" w:hAnsi="Verdana" w:cs="Arial"/>
          <w:b/>
          <w:bCs/>
          <w:color w:val="000000" w:themeColor="text1"/>
          <w:shd w:val="clear" w:color="auto" w:fill="FFFFFF"/>
        </w:rPr>
        <w:t>modificaciones y/o actualizaciones realizadas a los Documentos Tipo</w:t>
      </w:r>
      <w:r w:rsidRPr="004027CC">
        <w:rPr>
          <w:rFonts w:ascii="Verdana" w:hAnsi="Verdana" w:cs="Arial"/>
          <w:color w:val="000000" w:themeColor="text1"/>
          <w:shd w:val="clear" w:color="auto" w:fill="FFFFFF"/>
        </w:rPr>
        <w:t>, hemos programado una serie de </w:t>
      </w:r>
      <w:r w:rsidRPr="004027CC">
        <w:rPr>
          <w:rFonts w:ascii="Verdana" w:hAnsi="Verdana" w:cs="Arial"/>
          <w:b/>
          <w:bCs/>
          <w:color w:val="000000" w:themeColor="text1"/>
          <w:shd w:val="clear" w:color="auto" w:fill="FFFFFF"/>
        </w:rPr>
        <w:t>capacitaciones </w:t>
      </w:r>
      <w:r w:rsidRPr="004027CC">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4027CC">
          <w:rPr>
            <w:rStyle w:val="Hipervnculo"/>
            <w:rFonts w:ascii="Verdana" w:hAnsi="Verdana" w:cs="Arial"/>
            <w:shd w:val="clear" w:color="auto" w:fill="FFFFFF"/>
          </w:rPr>
          <w:t>Calendario | Colombia Compra Eficiente | Agencia Nacional de Contratación Pública</w:t>
        </w:r>
      </w:hyperlink>
    </w:p>
    <w:p w14:paraId="601F4CBE" w14:textId="77777777" w:rsidR="006B6BB0" w:rsidRPr="004027CC" w:rsidRDefault="006B6BB0" w:rsidP="006B6BB0">
      <w:pPr>
        <w:widowControl w:val="0"/>
        <w:autoSpaceDE w:val="0"/>
        <w:autoSpaceDN w:val="0"/>
        <w:spacing w:after="0" w:line="276" w:lineRule="auto"/>
        <w:jc w:val="both"/>
        <w:rPr>
          <w:rFonts w:ascii="Verdana" w:hAnsi="Verdana" w:cs="Arial"/>
          <w:color w:val="000000" w:themeColor="text1"/>
          <w:shd w:val="clear" w:color="auto" w:fill="FFFFFF"/>
        </w:rPr>
      </w:pPr>
    </w:p>
    <w:p w14:paraId="2BCFFEF9" w14:textId="77777777" w:rsidR="006B6BB0" w:rsidRPr="004027CC" w:rsidRDefault="006B6BB0" w:rsidP="006B6BB0">
      <w:pPr>
        <w:widowControl w:val="0"/>
        <w:autoSpaceDE w:val="0"/>
        <w:autoSpaceDN w:val="0"/>
        <w:spacing w:after="0" w:line="276" w:lineRule="auto"/>
        <w:jc w:val="both"/>
        <w:rPr>
          <w:rFonts w:ascii="Verdana" w:hAnsi="Verdana" w:cs="Arial"/>
          <w:color w:val="000000" w:themeColor="text1"/>
          <w:shd w:val="clear" w:color="auto" w:fill="FFFFFF"/>
        </w:rPr>
      </w:pPr>
      <w:r w:rsidRPr="004027CC">
        <w:rPr>
          <w:rFonts w:ascii="Verdana" w:hAnsi="Verdana" w:cs="Arial"/>
          <w:color w:val="000000" w:themeColor="text1"/>
          <w:shd w:val="clear" w:color="auto" w:fill="FFFFFF"/>
        </w:rPr>
        <w:t>También, te contamos que ya publicamos </w:t>
      </w:r>
      <w:r w:rsidRPr="004027CC">
        <w:rPr>
          <w:rFonts w:ascii="Verdana" w:hAnsi="Verdana" w:cs="Arial"/>
          <w:b/>
          <w:bCs/>
          <w:color w:val="000000" w:themeColor="text1"/>
          <w:shd w:val="clear" w:color="auto" w:fill="FFFFFF"/>
        </w:rPr>
        <w:t>la nueva Guía de Contratación Pública Sostenible y Socialmente Responsable</w:t>
      </w:r>
      <w:r w:rsidRPr="004027CC">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4027CC">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65756A26" w14:textId="77777777" w:rsidR="006B6BB0" w:rsidRDefault="006B6BB0" w:rsidP="006B6BB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color w:val="FF0000"/>
          <w:shd w:val="clear" w:color="auto" w:fill="FFFFFF"/>
          <w:lang w:val="es-ES"/>
        </w:rPr>
        <w:t xml:space="preserve">    </w:t>
      </w:r>
    </w:p>
    <w:p w14:paraId="64762FE2" w14:textId="77777777" w:rsidR="006B6BB0" w:rsidRPr="003E2460" w:rsidRDefault="006B6BB0" w:rsidP="006B6BB0">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517E983" w14:textId="77777777" w:rsidR="006B6BB0" w:rsidRPr="003E2460" w:rsidRDefault="006B6BB0" w:rsidP="006B6BB0">
      <w:pPr>
        <w:spacing w:after="0" w:line="240" w:lineRule="auto"/>
        <w:jc w:val="both"/>
        <w:rPr>
          <w:rFonts w:ascii="Verdana" w:hAnsi="Verdana"/>
        </w:rPr>
      </w:pPr>
    </w:p>
    <w:p w14:paraId="21661C76" w14:textId="77777777" w:rsidR="006B6BB0" w:rsidRPr="003E2460" w:rsidRDefault="006B6BB0" w:rsidP="006B6BB0">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655E947C" w14:textId="77777777" w:rsidR="006B6BB0" w:rsidRPr="003E2460" w:rsidRDefault="006B6BB0" w:rsidP="006B6BB0">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78734D08" w14:textId="77777777" w:rsidR="006B6BB0" w:rsidRPr="003E2460" w:rsidRDefault="006B6BB0" w:rsidP="006B6BB0">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A5F3300" w14:textId="77777777" w:rsidR="006B6BB0" w:rsidRPr="00593A5F" w:rsidRDefault="006B6BB0" w:rsidP="006B6BB0">
      <w:pPr>
        <w:widowControl w:val="0"/>
        <w:autoSpaceDE w:val="0"/>
        <w:autoSpaceDN w:val="0"/>
        <w:spacing w:after="0" w:line="276" w:lineRule="auto"/>
        <w:jc w:val="both"/>
        <w:rPr>
          <w:rFonts w:ascii="Verdana" w:hAnsi="Verdana" w:cs="Arial"/>
        </w:rPr>
      </w:pPr>
    </w:p>
    <w:p w14:paraId="31347406" w14:textId="77777777" w:rsidR="006B6BB0" w:rsidRPr="00593A5F" w:rsidRDefault="006B6BB0" w:rsidP="006B6BB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453C8BF" w14:textId="77777777" w:rsidR="006B6BB0" w:rsidRPr="00593A5F" w:rsidRDefault="006B6BB0" w:rsidP="006B6BB0">
      <w:pPr>
        <w:widowControl w:val="0"/>
        <w:autoSpaceDE w:val="0"/>
        <w:autoSpaceDN w:val="0"/>
        <w:spacing w:after="0" w:line="276" w:lineRule="auto"/>
        <w:jc w:val="both"/>
        <w:rPr>
          <w:rFonts w:ascii="Verdana" w:hAnsi="Verdana" w:cs="Arial"/>
        </w:rPr>
      </w:pPr>
    </w:p>
    <w:p w14:paraId="5D491490" w14:textId="77777777" w:rsidR="006B6BB0" w:rsidRPr="00593A5F" w:rsidRDefault="006B6BB0" w:rsidP="006B6BB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7A6B599" w14:textId="6F1E2C81" w:rsidR="006B6BB0" w:rsidRPr="00064E7C" w:rsidRDefault="00E46D38" w:rsidP="006B6BB0">
      <w:pPr>
        <w:spacing w:line="276" w:lineRule="auto"/>
        <w:jc w:val="center"/>
        <w:rPr>
          <w:rFonts w:ascii="Verdana" w:hAnsi="Verdana" w:cs="Arial"/>
          <w:lang w:val="es-ES_tradnl" w:eastAsia="es-CO"/>
        </w:rPr>
      </w:pPr>
      <w:r>
        <w:rPr>
          <w:noProof/>
        </w:rPr>
        <w:lastRenderedPageBreak/>
        <w:drawing>
          <wp:inline distT="0" distB="0" distL="0" distR="0" wp14:anchorId="224F393D" wp14:editId="502B2A04">
            <wp:extent cx="3771429" cy="1400000"/>
            <wp:effectExtent l="0" t="0" r="635" b="0"/>
            <wp:docPr id="102993447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934479" name="Imagen 1" descr="Texto&#10;&#10;El contenido generado por IA puede ser incorrecto."/>
                    <pic:cNvPicPr/>
                  </pic:nvPicPr>
                  <pic:blipFill>
                    <a:blip r:embed="rId16"/>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B6BB0" w:rsidRPr="00064E7C" w14:paraId="72602482" w14:textId="77777777" w:rsidTr="00CA3958">
        <w:trPr>
          <w:trHeight w:val="315"/>
        </w:trPr>
        <w:tc>
          <w:tcPr>
            <w:tcW w:w="893" w:type="dxa"/>
            <w:vAlign w:val="center"/>
            <w:hideMark/>
          </w:tcPr>
          <w:p w14:paraId="31918DE4" w14:textId="77777777" w:rsidR="006B6BB0" w:rsidRPr="00064E7C" w:rsidRDefault="006B6BB0" w:rsidP="00CA3958">
            <w:pPr>
              <w:contextualSpacing/>
              <w:rPr>
                <w:rFonts w:ascii="Verdana" w:hAnsi="Verdana" w:cs="Arial"/>
                <w:sz w:val="16"/>
                <w:szCs w:val="16"/>
                <w:lang w:val="es-ES" w:eastAsia="es-ES"/>
              </w:rPr>
            </w:pPr>
            <w:r w:rsidRPr="00064E7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7FD3F77" w14:textId="77777777" w:rsidR="006B6BB0" w:rsidRPr="00064E7C" w:rsidRDefault="006B6BB0" w:rsidP="00CA3958">
            <w:pPr>
              <w:contextualSpacing/>
              <w:rPr>
                <w:rStyle w:val="normaltextrun"/>
                <w:rFonts w:ascii="Verdana" w:hAnsi="Verdana"/>
                <w:sz w:val="16"/>
                <w:szCs w:val="16"/>
              </w:rPr>
            </w:pPr>
            <w:r w:rsidRPr="00064E7C">
              <w:rPr>
                <w:rStyle w:val="normaltextrun"/>
                <w:rFonts w:ascii="Verdana" w:hAnsi="Verdana"/>
                <w:sz w:val="16"/>
                <w:szCs w:val="16"/>
              </w:rPr>
              <w:t>Santiago Alberto Herrera Morillo</w:t>
            </w:r>
          </w:p>
          <w:p w14:paraId="097897B1" w14:textId="77777777" w:rsidR="006B6BB0" w:rsidRPr="00064E7C" w:rsidRDefault="006B6BB0" w:rsidP="00CA3958">
            <w:pPr>
              <w:contextualSpacing/>
              <w:rPr>
                <w:rFonts w:ascii="Verdana" w:eastAsia="Arial" w:hAnsi="Verdana" w:cs="Arial"/>
                <w:sz w:val="16"/>
                <w:szCs w:val="16"/>
              </w:rPr>
            </w:pPr>
            <w:r w:rsidRPr="00064E7C">
              <w:rPr>
                <w:rStyle w:val="normaltextrun"/>
                <w:rFonts w:ascii="Verdana" w:hAnsi="Verdana"/>
                <w:sz w:val="16"/>
                <w:szCs w:val="16"/>
              </w:rPr>
              <w:t xml:space="preserve">Analista T2-02 </w:t>
            </w:r>
            <w:r w:rsidRPr="00064E7C">
              <w:rPr>
                <w:rStyle w:val="normaltextrun"/>
                <w:rFonts w:ascii="Verdana" w:eastAsia="Arial" w:hAnsi="Verdana" w:cs="Arial"/>
                <w:sz w:val="16"/>
                <w:szCs w:val="16"/>
              </w:rPr>
              <w:t>de la Subdirección de Gestión Contractual</w:t>
            </w:r>
          </w:p>
        </w:tc>
      </w:tr>
      <w:tr w:rsidR="006B6BB0" w:rsidRPr="00064E7C" w14:paraId="3D74E199" w14:textId="77777777" w:rsidTr="00CA3958">
        <w:trPr>
          <w:trHeight w:val="330"/>
        </w:trPr>
        <w:tc>
          <w:tcPr>
            <w:tcW w:w="893" w:type="dxa"/>
            <w:vAlign w:val="center"/>
            <w:hideMark/>
          </w:tcPr>
          <w:p w14:paraId="6D658CCE" w14:textId="77777777" w:rsidR="006B6BB0" w:rsidRPr="00064E7C" w:rsidRDefault="006B6BB0" w:rsidP="00CA3958">
            <w:pPr>
              <w:contextualSpacing/>
              <w:rPr>
                <w:rFonts w:ascii="Verdana" w:hAnsi="Verdana" w:cs="Arial"/>
                <w:sz w:val="16"/>
                <w:szCs w:val="16"/>
                <w:lang w:val="es-ES" w:eastAsia="es-ES"/>
              </w:rPr>
            </w:pPr>
            <w:r w:rsidRPr="00064E7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D7A528" w14:textId="77777777" w:rsidR="006B6BB0" w:rsidRPr="00064E7C" w:rsidRDefault="006B6BB0" w:rsidP="00CA3958">
            <w:pPr>
              <w:pStyle w:val="paragraph"/>
              <w:spacing w:before="0" w:beforeAutospacing="0" w:after="0" w:afterAutospacing="0"/>
              <w:contextualSpacing/>
              <w:textAlignment w:val="baseline"/>
              <w:rPr>
                <w:rStyle w:val="normaltextrun"/>
                <w:rFonts w:ascii="Verdana" w:hAnsi="Verdana" w:cs="Arial"/>
                <w:sz w:val="16"/>
                <w:szCs w:val="16"/>
                <w:lang w:val="es-ES"/>
              </w:rPr>
            </w:pPr>
            <w:r w:rsidRPr="00064E7C">
              <w:rPr>
                <w:rStyle w:val="normaltextrun"/>
                <w:rFonts w:ascii="Verdana" w:hAnsi="Verdana" w:cs="Arial"/>
                <w:sz w:val="16"/>
                <w:szCs w:val="16"/>
                <w:lang w:val="es-ES"/>
              </w:rPr>
              <w:t>Juan David Cárdenas Cabeza</w:t>
            </w:r>
          </w:p>
          <w:p w14:paraId="4AE7E624" w14:textId="77777777" w:rsidR="006B6BB0" w:rsidRPr="00064E7C" w:rsidRDefault="006B6BB0" w:rsidP="00CA3958">
            <w:pPr>
              <w:pStyle w:val="paragraph"/>
              <w:spacing w:before="0" w:beforeAutospacing="0" w:after="0" w:afterAutospacing="0"/>
              <w:contextualSpacing/>
              <w:textAlignment w:val="baseline"/>
              <w:rPr>
                <w:rFonts w:ascii="Verdana" w:hAnsi="Verdana" w:cs="Segoe UI"/>
                <w:sz w:val="16"/>
                <w:szCs w:val="16"/>
              </w:rPr>
            </w:pPr>
            <w:r w:rsidRPr="00064E7C">
              <w:rPr>
                <w:rStyle w:val="normaltextrun"/>
                <w:rFonts w:ascii="Verdana" w:hAnsi="Verdana" w:cs="Arial"/>
                <w:sz w:val="16"/>
                <w:szCs w:val="16"/>
                <w:lang w:val="es-ES"/>
              </w:rPr>
              <w:t>Contratista de la Subdirección de Gestión Contractual</w:t>
            </w:r>
            <w:r w:rsidRPr="00064E7C">
              <w:rPr>
                <w:rStyle w:val="eop"/>
                <w:rFonts w:ascii="Verdana" w:hAnsi="Verdana" w:cs="Arial"/>
                <w:sz w:val="16"/>
                <w:szCs w:val="16"/>
              </w:rPr>
              <w:t> </w:t>
            </w:r>
          </w:p>
        </w:tc>
      </w:tr>
      <w:tr w:rsidR="006B6BB0" w:rsidRPr="00064E7C" w14:paraId="0B6A5966" w14:textId="77777777" w:rsidTr="00CA3958">
        <w:trPr>
          <w:trHeight w:val="300"/>
        </w:trPr>
        <w:tc>
          <w:tcPr>
            <w:tcW w:w="893" w:type="dxa"/>
            <w:vAlign w:val="center"/>
          </w:tcPr>
          <w:p w14:paraId="47FF8159" w14:textId="77777777" w:rsidR="006B6BB0" w:rsidRPr="00064E7C" w:rsidRDefault="006B6BB0" w:rsidP="00CA3958">
            <w:pPr>
              <w:contextualSpacing/>
              <w:rPr>
                <w:rFonts w:ascii="Verdana" w:hAnsi="Verdana" w:cs="Arial"/>
                <w:sz w:val="16"/>
                <w:szCs w:val="16"/>
                <w:lang w:val="es-ES" w:eastAsia="es-ES"/>
              </w:rPr>
            </w:pPr>
            <w:r w:rsidRPr="00064E7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0121A36" w14:textId="77777777" w:rsidR="006B6BB0" w:rsidRPr="00064E7C" w:rsidRDefault="006B6BB0" w:rsidP="00CA3958">
            <w:pPr>
              <w:contextualSpacing/>
              <w:rPr>
                <w:rFonts w:ascii="Verdana" w:eastAsia="Calibri" w:hAnsi="Verdana" w:cs="Arial"/>
                <w:sz w:val="16"/>
                <w:szCs w:val="16"/>
                <w:lang w:val="pt-BR" w:eastAsia="es-ES"/>
              </w:rPr>
            </w:pPr>
            <w:r w:rsidRPr="00064E7C">
              <w:rPr>
                <w:rFonts w:ascii="Verdana" w:eastAsia="Calibri" w:hAnsi="Verdana" w:cs="Arial"/>
                <w:sz w:val="16"/>
                <w:szCs w:val="16"/>
                <w:lang w:val="pt-BR" w:eastAsia="es-ES"/>
              </w:rPr>
              <w:t>Carolina Quintero Gacharná</w:t>
            </w:r>
          </w:p>
          <w:p w14:paraId="41844C27" w14:textId="77777777" w:rsidR="006B6BB0" w:rsidRPr="00064E7C" w:rsidRDefault="006B6BB0" w:rsidP="00CA3958">
            <w:pPr>
              <w:contextualSpacing/>
              <w:rPr>
                <w:rFonts w:ascii="Verdana" w:eastAsia="Calibri" w:hAnsi="Verdana" w:cs="Arial"/>
                <w:sz w:val="16"/>
                <w:szCs w:val="16"/>
                <w:lang w:val="pt-BR" w:eastAsia="es-ES"/>
              </w:rPr>
            </w:pPr>
            <w:r w:rsidRPr="00064E7C">
              <w:rPr>
                <w:rFonts w:ascii="Verdana" w:eastAsia="Calibri" w:hAnsi="Verdana" w:cs="Arial"/>
                <w:sz w:val="16"/>
                <w:szCs w:val="16"/>
                <w:lang w:eastAsia="es-ES"/>
              </w:rPr>
              <w:t>Subdirectora</w:t>
            </w:r>
            <w:r w:rsidRPr="00064E7C">
              <w:rPr>
                <w:rFonts w:ascii="Verdana" w:eastAsia="Calibri" w:hAnsi="Verdana" w:cs="Arial"/>
                <w:sz w:val="16"/>
                <w:szCs w:val="16"/>
                <w:lang w:val="pt-BR" w:eastAsia="es-ES"/>
              </w:rPr>
              <w:t xml:space="preserve"> de Gestión Contractual ANCP – CCE</w:t>
            </w:r>
          </w:p>
        </w:tc>
      </w:tr>
    </w:tbl>
    <w:p w14:paraId="09F460BF" w14:textId="77777777" w:rsidR="006B6BB0" w:rsidRPr="00064E7C" w:rsidRDefault="006B6BB0" w:rsidP="006B6BB0">
      <w:pPr>
        <w:spacing w:after="0" w:line="240" w:lineRule="auto"/>
        <w:rPr>
          <w:rFonts w:ascii="Verdana" w:eastAsia="Times New Roman" w:hAnsi="Verdana" w:cs="Arial"/>
          <w:sz w:val="24"/>
          <w:szCs w:val="24"/>
          <w:lang w:eastAsia="es-ES"/>
        </w:rPr>
      </w:pPr>
    </w:p>
    <w:p w14:paraId="7F3025D2" w14:textId="77777777" w:rsidR="006B6BB0" w:rsidRPr="00871B59" w:rsidRDefault="006B6BB0" w:rsidP="006B6BB0"/>
    <w:p w14:paraId="3900974D" w14:textId="77777777" w:rsidR="003D5B0D" w:rsidRPr="006B6BB0" w:rsidRDefault="003D5B0D" w:rsidP="006B6BB0"/>
    <w:sectPr w:rsidR="003D5B0D" w:rsidRPr="006B6BB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94666" w14:textId="77777777" w:rsidR="00AB20F8" w:rsidRDefault="00AB20F8" w:rsidP="004A1847">
      <w:pPr>
        <w:spacing w:after="0" w:line="240" w:lineRule="auto"/>
      </w:pPr>
      <w:r>
        <w:separator/>
      </w:r>
    </w:p>
  </w:endnote>
  <w:endnote w:type="continuationSeparator" w:id="0">
    <w:p w14:paraId="085AEE28" w14:textId="77777777" w:rsidR="00AB20F8" w:rsidRDefault="00AB20F8" w:rsidP="004A1847">
      <w:pPr>
        <w:spacing w:after="0" w:line="240" w:lineRule="auto"/>
      </w:pPr>
      <w:r>
        <w:continuationSeparator/>
      </w:r>
    </w:p>
  </w:endnote>
  <w:endnote w:type="continuationNotice" w:id="1">
    <w:p w14:paraId="7864BD28" w14:textId="77777777" w:rsidR="00AB20F8" w:rsidRDefault="00AB2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3C9EC" w14:textId="77777777" w:rsidR="00AB20F8" w:rsidRDefault="00AB20F8" w:rsidP="004A1847">
      <w:pPr>
        <w:spacing w:after="0" w:line="240" w:lineRule="auto"/>
      </w:pPr>
      <w:r>
        <w:separator/>
      </w:r>
    </w:p>
  </w:footnote>
  <w:footnote w:type="continuationSeparator" w:id="0">
    <w:p w14:paraId="1CDEE124" w14:textId="77777777" w:rsidR="00AB20F8" w:rsidRDefault="00AB20F8" w:rsidP="004A1847">
      <w:pPr>
        <w:spacing w:after="0" w:line="240" w:lineRule="auto"/>
      </w:pPr>
      <w:r>
        <w:continuationSeparator/>
      </w:r>
    </w:p>
  </w:footnote>
  <w:footnote w:type="continuationNotice" w:id="1">
    <w:p w14:paraId="38184679" w14:textId="77777777" w:rsidR="00AB20F8" w:rsidRDefault="00AB20F8">
      <w:pPr>
        <w:spacing w:after="0" w:line="240" w:lineRule="auto"/>
      </w:pPr>
    </w:p>
  </w:footnote>
  <w:footnote w:id="2">
    <w:p w14:paraId="04235EB7" w14:textId="77777777" w:rsidR="006B6BB0" w:rsidRPr="00682EB0" w:rsidRDefault="006B6BB0" w:rsidP="006B6BB0">
      <w:pPr>
        <w:spacing w:after="0" w:line="240" w:lineRule="auto"/>
        <w:ind w:firstLine="709"/>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Código Civil «Artículo 2142. El mandato es un contrato en que una persona confía la gestión de uno o más negocios a otra, que se hace cargo de ellos por cuenta y riesgo de la primera.</w:t>
      </w:r>
    </w:p>
    <w:p w14:paraId="5BF53DCA" w14:textId="77777777" w:rsidR="006B6BB0" w:rsidRPr="00682EB0" w:rsidRDefault="006B6BB0" w:rsidP="006B6BB0">
      <w:pPr>
        <w:spacing w:after="0" w:line="240" w:lineRule="auto"/>
        <w:ind w:firstLine="424"/>
        <w:jc w:val="both"/>
        <w:rPr>
          <w:rFonts w:ascii="Verdana" w:hAnsi="Verdana" w:cs="Arial"/>
          <w:sz w:val="16"/>
          <w:szCs w:val="16"/>
        </w:rPr>
      </w:pPr>
      <w:r w:rsidRPr="00682EB0">
        <w:rPr>
          <w:rFonts w:ascii="Verdana" w:hAnsi="Verdana" w:cs="Arial"/>
          <w:sz w:val="16"/>
          <w:szCs w:val="16"/>
        </w:rPr>
        <w:t>»La persona que concede el encargo se llama comitente o mandante, y la que lo acepta apoderado, procurador, y en general mandatario».</w:t>
      </w:r>
    </w:p>
  </w:footnote>
  <w:footnote w:id="3">
    <w:p w14:paraId="6A5047C5" w14:textId="77777777" w:rsidR="006B6BB0" w:rsidRPr="00682EB0" w:rsidRDefault="006B6BB0" w:rsidP="006B6BB0">
      <w:pPr>
        <w:spacing w:after="0" w:line="240" w:lineRule="auto"/>
        <w:ind w:firstLine="707"/>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CONSEJO DE ESTADO, Sección Tercera. Sentencia de 23 de septiembre de 1997, Rad. S-701.</w:t>
      </w:r>
    </w:p>
  </w:footnote>
  <w:footnote w:id="4">
    <w:p w14:paraId="24DE4528" w14:textId="77777777" w:rsidR="006B6BB0" w:rsidRPr="00682EB0" w:rsidRDefault="006B6BB0" w:rsidP="006B6BB0">
      <w:pPr>
        <w:pStyle w:val="Textonotapie"/>
        <w:ind w:firstLine="708"/>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«Art. 1505. Lo que una persona ejecuta a nombre de otra, estando facultada por ella o por la ley para representarla, produce respecto del representado iguales efectos que si hubiese contratado él mismo».</w:t>
      </w:r>
    </w:p>
    <w:p w14:paraId="7E0FDB48" w14:textId="77777777" w:rsidR="006B6BB0" w:rsidRPr="00682EB0" w:rsidRDefault="006B6BB0" w:rsidP="006B6BB0">
      <w:pPr>
        <w:pStyle w:val="Textonotapie"/>
        <w:ind w:firstLine="708"/>
        <w:jc w:val="both"/>
        <w:rPr>
          <w:rFonts w:ascii="Verdana" w:hAnsi="Verdana" w:cs="Arial"/>
          <w:sz w:val="16"/>
          <w:szCs w:val="16"/>
        </w:rPr>
      </w:pPr>
    </w:p>
  </w:footnote>
  <w:footnote w:id="5">
    <w:p w14:paraId="415C4B7F" w14:textId="77777777" w:rsidR="006B6BB0" w:rsidRPr="00682EB0" w:rsidRDefault="006B6BB0" w:rsidP="006B6BB0">
      <w:pPr>
        <w:spacing w:after="0" w:line="240" w:lineRule="auto"/>
        <w:ind w:firstLine="709"/>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Código Civil «Artículo 2142. El mandato es un contrato en que una persona confía la gestión de uno o más negocios a otra, que se hace cargo de ellos por cuenta y riesgo de la primera.</w:t>
      </w:r>
    </w:p>
    <w:p w14:paraId="0CC9282C" w14:textId="77777777" w:rsidR="006B6BB0" w:rsidRPr="00682EB0" w:rsidRDefault="006B6BB0" w:rsidP="006B6BB0">
      <w:pPr>
        <w:spacing w:after="0" w:line="240" w:lineRule="auto"/>
        <w:ind w:firstLine="424"/>
        <w:jc w:val="both"/>
        <w:rPr>
          <w:rFonts w:ascii="Verdana" w:hAnsi="Verdana" w:cs="Arial"/>
          <w:sz w:val="16"/>
          <w:szCs w:val="16"/>
        </w:rPr>
      </w:pPr>
      <w:r w:rsidRPr="00682EB0">
        <w:rPr>
          <w:rFonts w:ascii="Verdana" w:hAnsi="Verdana" w:cs="Arial"/>
          <w:sz w:val="16"/>
          <w:szCs w:val="16"/>
        </w:rPr>
        <w:t>»La persona que concede el encargo se llama comitente o mandante, y la que lo acepta apoderado, procurador, y en general mandatario».</w:t>
      </w:r>
    </w:p>
  </w:footnote>
  <w:footnote w:id="6">
    <w:p w14:paraId="1C16DC14" w14:textId="77777777" w:rsidR="006B6BB0" w:rsidRPr="00682EB0" w:rsidRDefault="006B6BB0" w:rsidP="006B6BB0">
      <w:pPr>
        <w:pStyle w:val="Textonotapie"/>
        <w:ind w:firstLine="708"/>
        <w:contextualSpacing/>
        <w:jc w:val="both"/>
        <w:rPr>
          <w:rFonts w:ascii="Verdana" w:hAnsi="Verdana" w:cs="Arial"/>
          <w:sz w:val="16"/>
          <w:szCs w:val="16"/>
          <w:lang w:val="es-CO"/>
        </w:rPr>
      </w:pPr>
      <w:r w:rsidRPr="00682EB0">
        <w:rPr>
          <w:rStyle w:val="Refdenotaalpie"/>
          <w:rFonts w:ascii="Verdana" w:hAnsi="Verdana" w:cs="Arial"/>
          <w:sz w:val="16"/>
          <w:szCs w:val="16"/>
        </w:rPr>
        <w:footnoteRef/>
      </w:r>
      <w:r w:rsidRPr="00682EB0">
        <w:rPr>
          <w:rFonts w:ascii="Verdana" w:hAnsi="Verdana" w:cs="Arial"/>
          <w:sz w:val="16"/>
          <w:szCs w:val="16"/>
        </w:rPr>
        <w:t xml:space="preserve"> </w:t>
      </w:r>
      <w:r w:rsidRPr="00682EB0">
        <w:rPr>
          <w:rFonts w:ascii="Verdana" w:hAnsi="Verdana" w:cs="Arial"/>
          <w:sz w:val="16"/>
          <w:szCs w:val="16"/>
          <w:lang w:val="es-CO"/>
        </w:rPr>
        <w:t xml:space="preserve">CLARO SOLAR, Luis. Explicaciones de derecho civil chileno y comparado. Tomo Décimo – Obligaciones y contratos 1. Santiago de Chile, Nascimiento, 1936. </w:t>
      </w:r>
    </w:p>
  </w:footnote>
  <w:footnote w:id="7">
    <w:p w14:paraId="3405B8AB" w14:textId="77777777" w:rsidR="006B6BB0" w:rsidRPr="00682EB0" w:rsidRDefault="006B6BB0" w:rsidP="006B6BB0">
      <w:pPr>
        <w:pStyle w:val="Textoindependiente"/>
        <w:spacing w:after="0" w:line="240" w:lineRule="auto"/>
        <w:ind w:firstLine="708"/>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682EB0">
        <w:rPr>
          <w:rFonts w:ascii="Verdana" w:hAnsi="Verdana" w:cs="Arial"/>
          <w:i/>
          <w:sz w:val="16"/>
          <w:szCs w:val="16"/>
        </w:rPr>
        <w:t>El Negocio Jurídico</w:t>
      </w:r>
      <w:r w:rsidRPr="00682EB0">
        <w:rPr>
          <w:rFonts w:ascii="Verdana" w:hAnsi="Verdana" w:cs="Arial"/>
          <w:sz w:val="16"/>
          <w:szCs w:val="16"/>
        </w:rPr>
        <w:t>, Volumen I, Universidad Externado de Colombia, Bogotá, 2015, pág. 107).</w:t>
      </w:r>
    </w:p>
  </w:footnote>
  <w:footnote w:id="8">
    <w:p w14:paraId="5A8A43F2" w14:textId="77777777" w:rsidR="006B6BB0" w:rsidRPr="00682EB0" w:rsidRDefault="006B6BB0" w:rsidP="006B6BB0">
      <w:pPr>
        <w:pStyle w:val="Textoindependiente"/>
        <w:spacing w:after="0" w:line="240" w:lineRule="auto"/>
        <w:ind w:firstLine="708"/>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w:t>
      </w:r>
      <w:r w:rsidRPr="00682EB0">
        <w:rPr>
          <w:rFonts w:ascii="Verdana" w:hAnsi="Verdana" w:cs="Arial"/>
          <w:sz w:val="16"/>
          <w:szCs w:val="16"/>
          <w:lang w:val="es-ES_tradnl"/>
        </w:rPr>
        <w:t xml:space="preserve">El artículo 2º define, para los efectos del ámbito de sujeción del estatuto, que se denominan entidades estatales: a) </w:t>
      </w:r>
      <w:r w:rsidRPr="00682EB0">
        <w:rPr>
          <w:rFonts w:ascii="Verdana" w:hAnsi="Verdana" w:cs="Arial"/>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9">
    <w:p w14:paraId="055D943A" w14:textId="77777777" w:rsidR="006B6BB0" w:rsidRPr="00682EB0" w:rsidRDefault="006B6BB0" w:rsidP="006B6BB0">
      <w:pPr>
        <w:pStyle w:val="Textonotapie"/>
        <w:ind w:firstLine="720"/>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Consejo de Estado. Sección Tercera. Sentencia del 4 de abril de 2002, M.P. Alier E. Hernández Enríquez. Rad. 1999-0290-01 (17.244).</w:t>
      </w:r>
    </w:p>
  </w:footnote>
  <w:footnote w:id="10">
    <w:p w14:paraId="720C2B77" w14:textId="77777777" w:rsidR="006B6BB0" w:rsidRPr="00682EB0" w:rsidRDefault="006B6BB0" w:rsidP="006B6BB0">
      <w:pPr>
        <w:spacing w:after="0" w:line="240" w:lineRule="auto"/>
        <w:ind w:firstLine="707"/>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CONSEJO DE ESTADO. Sección Tercera, Auto del 30 de enero de 2008. Rad. 32.867, M.P. Mauricio Fajardo Gómez.</w:t>
      </w:r>
    </w:p>
  </w:footnote>
  <w:footnote w:id="11">
    <w:p w14:paraId="57EC6F7D" w14:textId="77777777" w:rsidR="006B6BB0" w:rsidRPr="00682EB0" w:rsidRDefault="006B6BB0" w:rsidP="006B6BB0">
      <w:pPr>
        <w:spacing w:after="0" w:line="240" w:lineRule="auto"/>
        <w:ind w:firstLine="707"/>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CONSEJO DE ESTADO, Sección Tercera. Sentencia de 23 de septiembre de 1997, Rad. S-701.</w:t>
      </w:r>
    </w:p>
  </w:footnote>
  <w:footnote w:id="12">
    <w:p w14:paraId="247DE09C" w14:textId="77777777" w:rsidR="006B6BB0" w:rsidRPr="00682EB0" w:rsidRDefault="006B6BB0" w:rsidP="006B6BB0">
      <w:pPr>
        <w:spacing w:after="0" w:line="240" w:lineRule="auto"/>
        <w:ind w:firstLine="707"/>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CONSEJO DE ESTADO, Sala de Consulta y Servicio Civil. Concepto de 15 de mayo de 2018, Rad. 2335.</w:t>
      </w:r>
    </w:p>
  </w:footnote>
  <w:footnote w:id="13">
    <w:p w14:paraId="0C1E7E1E" w14:textId="77777777" w:rsidR="006B6BB0" w:rsidRPr="00682EB0" w:rsidRDefault="006B6BB0" w:rsidP="006B6BB0">
      <w:pPr>
        <w:spacing w:after="0" w:line="240" w:lineRule="auto"/>
        <w:ind w:firstLine="707"/>
        <w:contextualSpacing/>
        <w:jc w:val="both"/>
        <w:rPr>
          <w:rFonts w:ascii="Verdana" w:hAnsi="Verdana" w:cs="Arial"/>
          <w:sz w:val="16"/>
          <w:szCs w:val="16"/>
        </w:rPr>
      </w:pPr>
      <w:r w:rsidRPr="00682EB0">
        <w:rPr>
          <w:rStyle w:val="Refdenotaalpie"/>
          <w:rFonts w:ascii="Verdana" w:hAnsi="Verdana" w:cs="Arial"/>
          <w:sz w:val="16"/>
          <w:szCs w:val="16"/>
        </w:rPr>
        <w:footnoteRef/>
      </w:r>
      <w:r w:rsidRPr="00682EB0">
        <w:rPr>
          <w:rFonts w:ascii="Verdana" w:hAnsi="Verdana" w:cs="Arial"/>
          <w:sz w:val="16"/>
          <w:szCs w:val="16"/>
        </w:rPr>
        <w:t xml:space="preserve"> CONSEJO DE ESTADO, Sección Tercera, Subsección A, Sentencia de 31 de marzo de 2011, Rad. 16246, M.P.</w:t>
      </w:r>
      <w:r w:rsidRPr="00682EB0">
        <w:rPr>
          <w:rFonts w:ascii="Verdana" w:eastAsiaTheme="majorEastAsia" w:hAnsi="Verdana" w:cs="Arial"/>
          <w:sz w:val="16"/>
          <w:szCs w:val="16"/>
        </w:rPr>
        <w:t xml:space="preserve"> </w:t>
      </w:r>
      <w:r w:rsidRPr="00682EB0">
        <w:rPr>
          <w:rFonts w:ascii="Verdana" w:hAnsi="Verdana" w:cs="Arial"/>
          <w:sz w:val="16"/>
          <w:szCs w:val="16"/>
        </w:rPr>
        <w:t>Hernán Andrade Rincón. Al adoptar un criterio orgánico o subjetivo, en el que la sola presencia de una entidad estatal como parte del mismo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En igual sentido, auto de 20 de agosto de 1998, Rad. 14.202; auto de 7 de octubre de 2004, Rad.2675 y sentencia de 20 de abril de 2005, Rad. 14519, entre otras providencias.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6BC38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72333877" o:spid="_x0000_i1025" type="#_x0000_t75" style="width:11.25pt;height:11.25pt;visibility:visible;mso-wrap-style:square">
            <v:imagedata r:id="rId1" o:title=""/>
          </v:shape>
        </w:pict>
      </mc:Choice>
      <mc:Fallback>
        <w:drawing>
          <wp:inline distT="0" distB="0" distL="0" distR="0" wp14:anchorId="69FC4D56" wp14:editId="0F2FCA3D">
            <wp:extent cx="142875" cy="142875"/>
            <wp:effectExtent l="0" t="0" r="0" b="0"/>
            <wp:docPr id="1472333877" name="Imagen 1472333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A74FE"/>
    <w:rsid w:val="000B19B9"/>
    <w:rsid w:val="000C72AE"/>
    <w:rsid w:val="000D0334"/>
    <w:rsid w:val="000F6486"/>
    <w:rsid w:val="00125105"/>
    <w:rsid w:val="00127233"/>
    <w:rsid w:val="001511A0"/>
    <w:rsid w:val="00174552"/>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3FCA"/>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E319A"/>
    <w:rsid w:val="004F21C4"/>
    <w:rsid w:val="004F685F"/>
    <w:rsid w:val="005566E8"/>
    <w:rsid w:val="00574867"/>
    <w:rsid w:val="00591460"/>
    <w:rsid w:val="005B3816"/>
    <w:rsid w:val="005C3777"/>
    <w:rsid w:val="005C5CDC"/>
    <w:rsid w:val="005D476C"/>
    <w:rsid w:val="00616C0D"/>
    <w:rsid w:val="006219F8"/>
    <w:rsid w:val="00657FD5"/>
    <w:rsid w:val="00665D70"/>
    <w:rsid w:val="006900D9"/>
    <w:rsid w:val="006B6BB0"/>
    <w:rsid w:val="00706C16"/>
    <w:rsid w:val="00756841"/>
    <w:rsid w:val="007649AB"/>
    <w:rsid w:val="00771D0C"/>
    <w:rsid w:val="007833AC"/>
    <w:rsid w:val="007A1F38"/>
    <w:rsid w:val="007B268C"/>
    <w:rsid w:val="007B7171"/>
    <w:rsid w:val="007C0C0F"/>
    <w:rsid w:val="007C3DC2"/>
    <w:rsid w:val="007E5497"/>
    <w:rsid w:val="00806F5F"/>
    <w:rsid w:val="00820278"/>
    <w:rsid w:val="00867F95"/>
    <w:rsid w:val="008843B6"/>
    <w:rsid w:val="00891928"/>
    <w:rsid w:val="00892887"/>
    <w:rsid w:val="008A446D"/>
    <w:rsid w:val="008C7BAD"/>
    <w:rsid w:val="008D180B"/>
    <w:rsid w:val="008F0EA7"/>
    <w:rsid w:val="00923EEF"/>
    <w:rsid w:val="009419F9"/>
    <w:rsid w:val="0095685E"/>
    <w:rsid w:val="00961B09"/>
    <w:rsid w:val="00965334"/>
    <w:rsid w:val="00966441"/>
    <w:rsid w:val="0097093E"/>
    <w:rsid w:val="00986AC5"/>
    <w:rsid w:val="009A0DFA"/>
    <w:rsid w:val="009B2D26"/>
    <w:rsid w:val="009C71FA"/>
    <w:rsid w:val="009C72E7"/>
    <w:rsid w:val="009D3058"/>
    <w:rsid w:val="009F3A13"/>
    <w:rsid w:val="00A0747F"/>
    <w:rsid w:val="00A122D3"/>
    <w:rsid w:val="00A17F13"/>
    <w:rsid w:val="00A20739"/>
    <w:rsid w:val="00A33C78"/>
    <w:rsid w:val="00A5509B"/>
    <w:rsid w:val="00AB0ADB"/>
    <w:rsid w:val="00AB20F8"/>
    <w:rsid w:val="00B01B1A"/>
    <w:rsid w:val="00B66319"/>
    <w:rsid w:val="00B72CD3"/>
    <w:rsid w:val="00B72FFF"/>
    <w:rsid w:val="00BC3D36"/>
    <w:rsid w:val="00BD7F72"/>
    <w:rsid w:val="00BE25CF"/>
    <w:rsid w:val="00C04FB3"/>
    <w:rsid w:val="00C330EB"/>
    <w:rsid w:val="00C41061"/>
    <w:rsid w:val="00C754BE"/>
    <w:rsid w:val="00C76B1C"/>
    <w:rsid w:val="00C856D4"/>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46D38"/>
    <w:rsid w:val="00E50AFE"/>
    <w:rsid w:val="00E75C92"/>
    <w:rsid w:val="00E771DC"/>
    <w:rsid w:val="00E8772A"/>
    <w:rsid w:val="00E90F6B"/>
    <w:rsid w:val="00E92C27"/>
    <w:rsid w:val="00EA0E3D"/>
    <w:rsid w:val="00EA2D53"/>
    <w:rsid w:val="00EC38A7"/>
    <w:rsid w:val="00ED7384"/>
    <w:rsid w:val="00EE1AA8"/>
    <w:rsid w:val="00F31EDC"/>
    <w:rsid w:val="00F462B3"/>
    <w:rsid w:val="00F5664F"/>
    <w:rsid w:val="00F666C4"/>
    <w:rsid w:val="00F76AFC"/>
    <w:rsid w:val="00FA47C0"/>
    <w:rsid w:val="00FB5DD1"/>
    <w:rsid w:val="00FC2B5D"/>
    <w:rsid w:val="00FF1449"/>
    <w:rsid w:val="0B7668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B6BB0"/>
    <w:pPr>
      <w:spacing w:line="240" w:lineRule="exact"/>
    </w:pPr>
    <w:rPr>
      <w:vertAlign w:val="superscript"/>
    </w:rPr>
  </w:style>
  <w:style w:type="paragraph" w:styleId="Textoindependiente">
    <w:name w:val="Body Text"/>
    <w:basedOn w:val="Normal"/>
    <w:link w:val="TextoindependienteCar"/>
    <w:uiPriority w:val="99"/>
    <w:unhideWhenUsed/>
    <w:qFormat/>
    <w:rsid w:val="006B6BB0"/>
    <w:pPr>
      <w:spacing w:after="120"/>
    </w:pPr>
  </w:style>
  <w:style w:type="character" w:customStyle="1" w:styleId="TextoindependienteCar">
    <w:name w:val="Texto independiente Car"/>
    <w:basedOn w:val="Fuentedeprrafopredeter"/>
    <w:link w:val="Textoindependiente"/>
    <w:uiPriority w:val="99"/>
    <w:rsid w:val="006B6BB0"/>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B6BB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santiago.herrera%40colombiacompra.gov.co%7Ceb0fd05604104aa4d3bc08dd4c4ad35e%7C7b09041e245149d08cb179d5e3d8c1be%7C0%7C0%7C638750606446139140%7CUnknown%7CTWFpbGZsb3d8eyJFbXB0eU1hcGkiOnRydWUsIlYiOiIwLjAuMDAwMCIsIlAiOiJXaW4zMiIsIkFOIjoiTWFpbCIsIldUIjoyfQ%3D%3D%7C0%7C%7C%7C&amp;sdata=KxTGDnwqMAr1Tiny1RYnBI1%2BPUB3YV4ivlvXtJoUF7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idyperez1@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eb0fd05604104aa4d3bc08dd4c4ad35e%7C7b09041e245149d08cb179d5e3d8c1be%7C0%7C0%7C638750606446177660%7CUnknown%7CTWFpbGZsb3d8eyJFbXB0eU1hcGkiOnRydWUsIlYiOiIwLjAuMDAwMCIsIlAiOiJXaW4zMiIsIkFOIjoiTWFpbCIsIldUIjoyfQ%3D%3D%7C0%7C%7C%7C&amp;sdata=K9fGEvMQQb5JMmzyWrMHhWOzxpxjKcN%2B7XxhOsxZEw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santiago.herrera%40colombiacompra.gov.co%7Ceb0fd05604104aa4d3bc08dd4c4ad35e%7C7b09041e245149d08cb179d5e3d8c1be%7C0%7C0%7C638750606446161131%7CUnknown%7CTWFpbGZsb3d8eyJFbXB0eU1hcGkiOnRydWUsIlYiOiIwLjAuMDAwMCIsIlAiOiJXaW4zMiIsIkFOIjoiTWFpbCIsIldUIjoyfQ%3D%3D%7C0%7C%7C%7C&amp;sdata=k2oGE1ZhXRCG0WmpxnB5F6qDDfDsWeKH4Pnq6DccM3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1D3160B-09CC-4F9C-AD4C-56EDDF1E9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3929</Words>
  <Characters>21613</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2025-03-06T21:54:00Z</dcterms:created>
  <dcterms:modified xsi:type="dcterms:W3CDTF">2025-03-10T14:00:00Z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