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DD645" w14:textId="77777777" w:rsidR="00D859A4" w:rsidRPr="00D859A4" w:rsidRDefault="00D859A4" w:rsidP="00D859A4">
      <w:pPr>
        <w:spacing w:after="0" w:line="240" w:lineRule="auto"/>
        <w:contextualSpacing/>
        <w:jc w:val="both"/>
        <w:rPr>
          <w:rFonts w:ascii="Century Gothic" w:eastAsia="Calibri" w:hAnsi="Century Gothic" w:cs="Arial"/>
          <w:b/>
          <w:kern w:val="2"/>
          <w:lang w:val="es-ES_tradnl" w:eastAsia="es-ES_tradnl"/>
          <w14:ligatures w14:val="standardContextual"/>
        </w:rPr>
      </w:pPr>
      <w:bookmarkStart w:id="0" w:name="_Hlk143780582"/>
      <w:r w:rsidRPr="00D859A4">
        <w:rPr>
          <w:rFonts w:ascii="Century Gothic" w:eastAsia="Calibri" w:hAnsi="Century Gothic" w:cs="Arial"/>
          <w:b/>
          <w:kern w:val="2"/>
          <w:lang w:val="es-ES_tradnl" w:eastAsia="es-ES_tradnl"/>
          <w14:ligatures w14:val="standardContextual"/>
        </w:rPr>
        <w:t xml:space="preserve">DOCUMENTOS TIPO – Fundamento normativo – Ley 2022 de 2020 </w:t>
      </w:r>
    </w:p>
    <w:p w14:paraId="0582126D" w14:textId="77777777" w:rsidR="00D859A4" w:rsidRPr="00D859A4" w:rsidRDefault="00D859A4" w:rsidP="00D859A4">
      <w:pPr>
        <w:spacing w:after="0" w:line="240" w:lineRule="auto"/>
        <w:contextualSpacing/>
        <w:jc w:val="both"/>
        <w:rPr>
          <w:rFonts w:ascii="Century Gothic" w:eastAsia="Calibri" w:hAnsi="Century Gothic" w:cs="Arial"/>
          <w:kern w:val="2"/>
          <w:lang w:val="es-ES_tradnl" w:eastAsia="es-ES"/>
          <w14:ligatures w14:val="standardContextual"/>
        </w:rPr>
      </w:pPr>
    </w:p>
    <w:p w14:paraId="6A098EBA" w14:textId="355F08D3" w:rsidR="00D859A4" w:rsidRPr="00D859A4" w:rsidRDefault="00C24B4A" w:rsidP="00D859A4">
      <w:pPr>
        <w:spacing w:after="0" w:line="240" w:lineRule="auto"/>
        <w:contextualSpacing/>
        <w:jc w:val="both"/>
        <w:rPr>
          <w:rFonts w:ascii="Century Gothic" w:eastAsia="Calibri" w:hAnsi="Century Gothic" w:cs="Arial"/>
          <w:kern w:val="2"/>
          <w:sz w:val="20"/>
          <w:szCs w:val="20"/>
          <w:lang w:val="es-ES"/>
          <w14:ligatures w14:val="standardContextual"/>
        </w:rPr>
      </w:pPr>
      <w:r w:rsidRPr="00C24B4A">
        <w:rPr>
          <w:rFonts w:ascii="Century Gothic" w:eastAsia="Calibri" w:hAnsi="Century Gothic" w:cs="Arial"/>
          <w:kern w:val="2"/>
          <w:sz w:val="20"/>
          <w:szCs w:val="20"/>
          <w:lang w:val="es-ES" w:eastAsia="es-ES"/>
          <w14:ligatures w14:val="standardContextual"/>
        </w:rPr>
        <w:t xml:space="preserve">Por otra parte, debe tenerse en cuenta que la Ley 2022 de 2020 fue sancionada por el </w:t>
      </w:r>
      <w:proofErr w:type="gramStart"/>
      <w:r w:rsidRPr="00C24B4A">
        <w:rPr>
          <w:rFonts w:ascii="Century Gothic" w:eastAsia="Calibri" w:hAnsi="Century Gothic" w:cs="Arial"/>
          <w:kern w:val="2"/>
          <w:sz w:val="20"/>
          <w:szCs w:val="20"/>
          <w:lang w:val="es-ES" w:eastAsia="es-ES"/>
          <w14:ligatures w14:val="standardContextual"/>
        </w:rPr>
        <w:t>Presidente</w:t>
      </w:r>
      <w:proofErr w:type="gramEnd"/>
      <w:r w:rsidRPr="00C24B4A">
        <w:rPr>
          <w:rFonts w:ascii="Century Gothic" w:eastAsia="Calibri" w:hAnsi="Century Gothic" w:cs="Arial"/>
          <w:kern w:val="2"/>
          <w:sz w:val="20"/>
          <w:szCs w:val="20"/>
          <w:lang w:val="es-ES" w:eastAsia="es-ES"/>
          <w14:ligatures w14:val="standardContextual"/>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0BB55914" w14:textId="77777777" w:rsidR="00D859A4" w:rsidRPr="00D859A4" w:rsidRDefault="00D859A4" w:rsidP="00D859A4">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47271022" w14:textId="77777777" w:rsidR="00D859A4" w:rsidRPr="00D859A4" w:rsidRDefault="00D859A4" w:rsidP="00D859A4">
      <w:pPr>
        <w:tabs>
          <w:tab w:val="left" w:pos="0"/>
        </w:tabs>
        <w:spacing w:after="0" w:line="240" w:lineRule="auto"/>
        <w:ind w:left="11"/>
        <w:jc w:val="both"/>
        <w:rPr>
          <w:rFonts w:ascii="Century Gothic" w:eastAsia="Aptos" w:hAnsi="Century Gothic" w:cs="Arial"/>
          <w:b/>
          <w:bCs/>
          <w:color w:val="000000"/>
          <w:kern w:val="2"/>
          <w:lang w:val="es-ES_tradnl"/>
          <w14:ligatures w14:val="standardContextual"/>
        </w:rPr>
      </w:pPr>
      <w:r w:rsidRPr="00D859A4">
        <w:rPr>
          <w:rFonts w:ascii="Century Gothic" w:eastAsia="Aptos" w:hAnsi="Century Gothic" w:cs="Arial"/>
          <w:b/>
          <w:bCs/>
          <w:color w:val="000000"/>
          <w:kern w:val="2"/>
          <w:lang w:val="es-ES_tradnl"/>
          <w14:ligatures w14:val="standardContextual"/>
        </w:rPr>
        <w:t>EXPERIENCIA – Acreditación − Documentos tipo − Licitación de obra pública de infraestructura de transporte – Inalterabilidad</w:t>
      </w:r>
    </w:p>
    <w:p w14:paraId="40A2C736" w14:textId="77777777" w:rsidR="00D859A4" w:rsidRPr="00D859A4" w:rsidRDefault="00D859A4" w:rsidP="00D859A4">
      <w:pPr>
        <w:tabs>
          <w:tab w:val="left" w:pos="0"/>
        </w:tabs>
        <w:spacing w:after="0" w:line="240" w:lineRule="auto"/>
        <w:ind w:left="11"/>
        <w:jc w:val="both"/>
        <w:rPr>
          <w:rFonts w:ascii="Century Gothic" w:eastAsia="Aptos" w:hAnsi="Century Gothic" w:cs="Arial"/>
          <w:b/>
          <w:bCs/>
          <w:color w:val="000000"/>
          <w:kern w:val="2"/>
          <w:lang w:val="es-ES_tradnl"/>
          <w14:ligatures w14:val="standardContextual"/>
        </w:rPr>
      </w:pPr>
    </w:p>
    <w:p w14:paraId="60357B77" w14:textId="77777777" w:rsidR="00663B46" w:rsidRPr="00663B46" w:rsidRDefault="00D859A4" w:rsidP="00663B46">
      <w:pPr>
        <w:spacing w:after="0" w:line="240" w:lineRule="auto"/>
        <w:jc w:val="both"/>
        <w:rPr>
          <w:rFonts w:ascii="Century Gothic" w:eastAsia="Aptos" w:hAnsi="Century Gothic" w:cs="Arial"/>
          <w:kern w:val="2"/>
          <w:sz w:val="20"/>
          <w:szCs w:val="20"/>
          <w:lang w:val="es-MX"/>
          <w14:ligatures w14:val="standardContextual"/>
        </w:rPr>
      </w:pPr>
      <w:r w:rsidRPr="00D859A4">
        <w:rPr>
          <w:rFonts w:ascii="Century Gothic" w:eastAsia="Aptos" w:hAnsi="Century Gothic" w:cs="Arial"/>
          <w:kern w:val="2"/>
          <w:sz w:val="20"/>
          <w:szCs w:val="20"/>
          <w:lang w:val="es-MX"/>
          <w14:ligatures w14:val="standardContextual"/>
        </w:rPr>
        <w:t xml:space="preserve">La </w:t>
      </w:r>
      <w:r w:rsidR="00663B46" w:rsidRPr="00663B46">
        <w:rPr>
          <w:rFonts w:ascii="Century Gothic" w:eastAsia="Aptos" w:hAnsi="Century Gothic" w:cs="Arial"/>
          <w:kern w:val="2"/>
          <w:sz w:val="20"/>
          <w:szCs w:val="20"/>
          <w:lang w:val="es-MX"/>
          <w14:ligatures w14:val="standardContextual"/>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 .</w:t>
      </w:r>
    </w:p>
    <w:p w14:paraId="21266329" w14:textId="77777777" w:rsidR="00BA0ACF" w:rsidRDefault="00BA0ACF" w:rsidP="00663B46">
      <w:pPr>
        <w:spacing w:after="0" w:line="240" w:lineRule="auto"/>
        <w:jc w:val="both"/>
        <w:rPr>
          <w:rFonts w:ascii="Century Gothic" w:eastAsia="Aptos" w:hAnsi="Century Gothic" w:cs="Arial"/>
          <w:kern w:val="2"/>
          <w:sz w:val="20"/>
          <w:szCs w:val="20"/>
          <w:lang w:val="es-MX"/>
          <w14:ligatures w14:val="standardContextual"/>
        </w:rPr>
      </w:pPr>
    </w:p>
    <w:p w14:paraId="1BBA1B0C" w14:textId="4E07ED46" w:rsidR="00D859A4" w:rsidRPr="00D859A4" w:rsidRDefault="00663B46" w:rsidP="00663B46">
      <w:pPr>
        <w:spacing w:after="0" w:line="240" w:lineRule="auto"/>
        <w:jc w:val="both"/>
        <w:rPr>
          <w:rFonts w:ascii="Century Gothic" w:eastAsia="Aptos" w:hAnsi="Century Gothic" w:cs="Arial"/>
          <w:color w:val="000000"/>
          <w:kern w:val="2"/>
          <w:sz w:val="20"/>
          <w:szCs w:val="20"/>
          <w:lang w:val="es-ES"/>
          <w14:ligatures w14:val="standardContextual"/>
        </w:rPr>
      </w:pPr>
      <w:r w:rsidRPr="00663B46">
        <w:rPr>
          <w:rFonts w:ascii="Century Gothic" w:eastAsia="Aptos" w:hAnsi="Century Gothic" w:cs="Arial"/>
          <w:kern w:val="2"/>
          <w:sz w:val="20"/>
          <w:szCs w:val="20"/>
          <w:lang w:val="es-MX"/>
          <w14:ligatures w14:val="standardContextual"/>
        </w:rPr>
        <w:t>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14:paraId="4DAC6324" w14:textId="77777777" w:rsidR="00D859A4" w:rsidRPr="00D859A4" w:rsidRDefault="00D859A4" w:rsidP="00D859A4">
      <w:pPr>
        <w:spacing w:after="0"/>
        <w:rPr>
          <w:rFonts w:ascii="Century Gothic" w:eastAsia="Calibri" w:hAnsi="Century Gothic" w:cs="Arial"/>
        </w:rPr>
      </w:pPr>
      <w:r w:rsidRPr="00D859A4">
        <w:rPr>
          <w:rFonts w:ascii="Century Gothic" w:eastAsia="Calibri" w:hAnsi="Century Gothic" w:cs="Arial"/>
        </w:rPr>
        <w:t>[…]</w:t>
      </w:r>
    </w:p>
    <w:p w14:paraId="6964365D" w14:textId="19AF4CBA" w:rsidR="00D859A4" w:rsidRDefault="00BA0ACF" w:rsidP="00D859A4">
      <w:pPr>
        <w:spacing w:after="0"/>
        <w:jc w:val="both"/>
        <w:rPr>
          <w:rFonts w:ascii="Century Gothic" w:eastAsia="Calibri" w:hAnsi="Century Gothic" w:cs="Arial"/>
          <w:sz w:val="20"/>
          <w:szCs w:val="20"/>
        </w:rPr>
      </w:pPr>
      <w:r w:rsidRPr="00BA0ACF">
        <w:rPr>
          <w:rFonts w:ascii="Century Gothic" w:eastAsia="Calibri" w:hAnsi="Century Gothic" w:cs="Arial"/>
          <w:sz w:val="20"/>
          <w:szCs w:val="2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BA0ACF">
        <w:rPr>
          <w:rFonts w:ascii="Century Gothic" w:eastAsia="Calibri" w:hAnsi="Century Gothic" w:cs="Arial"/>
          <w:sz w:val="20"/>
          <w:szCs w:val="20"/>
        </w:rPr>
        <w:t>ii</w:t>
      </w:r>
      <w:proofErr w:type="spellEnd"/>
      <w:r w:rsidRPr="00BA0ACF">
        <w:rPr>
          <w:rFonts w:ascii="Century Gothic" w:eastAsia="Calibri" w:hAnsi="Century Gothic" w:cs="Arial"/>
          <w:sz w:val="20"/>
          <w:szCs w:val="20"/>
        </w:rPr>
        <w:t xml:space="preserve">) la actividad a contratar, y </w:t>
      </w:r>
      <w:proofErr w:type="spellStart"/>
      <w:r w:rsidRPr="00BA0ACF">
        <w:rPr>
          <w:rFonts w:ascii="Century Gothic" w:eastAsia="Calibri" w:hAnsi="Century Gothic" w:cs="Arial"/>
          <w:sz w:val="20"/>
          <w:szCs w:val="20"/>
        </w:rPr>
        <w:t>iii</w:t>
      </w:r>
      <w:proofErr w:type="spellEnd"/>
      <w:r w:rsidRPr="00BA0ACF">
        <w:rPr>
          <w:rFonts w:ascii="Century Gothic" w:eastAsia="Calibri" w:hAnsi="Century Gothic" w:cs="Arial"/>
          <w:sz w:val="20"/>
          <w:szCs w:val="20"/>
        </w:rPr>
        <w:t>) la cuantía del Proceso de Contratación. No podrán exigirse actividades o cantidades distintas a las previstas en la Matriz de Experiencia.</w:t>
      </w:r>
    </w:p>
    <w:p w14:paraId="695E3AF6" w14:textId="5869FA8E" w:rsidR="00BA0ACF" w:rsidRDefault="00BA0ACF" w:rsidP="00D859A4">
      <w:pPr>
        <w:spacing w:after="0"/>
        <w:jc w:val="both"/>
        <w:rPr>
          <w:rFonts w:ascii="Century Gothic" w:eastAsia="Calibri" w:hAnsi="Century Gothic" w:cs="Arial"/>
          <w:sz w:val="20"/>
          <w:szCs w:val="20"/>
        </w:rPr>
      </w:pPr>
      <w:r>
        <w:rPr>
          <w:rFonts w:ascii="Century Gothic" w:eastAsia="Calibri" w:hAnsi="Century Gothic" w:cs="Arial"/>
          <w:sz w:val="20"/>
          <w:szCs w:val="20"/>
        </w:rPr>
        <w:lastRenderedPageBreak/>
        <w:t>[…]</w:t>
      </w:r>
    </w:p>
    <w:p w14:paraId="373EA21D" w14:textId="7F60C27B" w:rsidR="00BA0ACF" w:rsidRPr="00D859A4" w:rsidRDefault="00BA0ACF" w:rsidP="00D859A4">
      <w:pPr>
        <w:spacing w:after="0"/>
        <w:jc w:val="both"/>
        <w:rPr>
          <w:rFonts w:ascii="Century Gothic" w:eastAsia="Calibri" w:hAnsi="Century Gothic" w:cs="Arial"/>
          <w:sz w:val="20"/>
          <w:szCs w:val="20"/>
        </w:rPr>
      </w:pPr>
      <w:r w:rsidRPr="00BA0ACF">
        <w:rPr>
          <w:rFonts w:ascii="Century Gothic" w:eastAsia="Calibri" w:hAnsi="Century Gothic" w:cs="Arial"/>
          <w:sz w:val="20"/>
          <w:szCs w:val="20"/>
        </w:rPr>
        <w:t xml:space="preserve">Es importante destacar que, 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Asimismo, este principio impone el deber de respetar de manera integral el contenido de la Matriz de Experiencia, tanto en lo relativo a las características de los contratos que deben aportarse, como las notas incluidas en la misma y que se relacionan con aclaraciones o aspectos que complementan la acreditación de la experiencia exigida. De esta manera, no podrán alterarse, adicionarse o eliminarse aspectos de la Matriz que estén señalados en dicho documento.  </w:t>
      </w:r>
    </w:p>
    <w:p w14:paraId="44868944" w14:textId="77777777" w:rsidR="00D859A4" w:rsidRPr="00D859A4" w:rsidRDefault="00D859A4" w:rsidP="00D859A4">
      <w:pPr>
        <w:spacing w:after="0"/>
        <w:rPr>
          <w:rFonts w:ascii="Century Gothic" w:eastAsia="Calibri" w:hAnsi="Century Gothic" w:cs="Times New Roman"/>
        </w:rPr>
      </w:pPr>
    </w:p>
    <w:p w14:paraId="784CDCBA" w14:textId="77777777" w:rsidR="00D859A4" w:rsidRPr="00D859A4" w:rsidRDefault="00D859A4" w:rsidP="00D859A4">
      <w:pPr>
        <w:spacing w:after="0"/>
        <w:rPr>
          <w:rFonts w:ascii="Century Gothic" w:eastAsia="Calibri" w:hAnsi="Century Gothic" w:cs="Times New Roman"/>
        </w:rPr>
      </w:pPr>
    </w:p>
    <w:p w14:paraId="37BCC268" w14:textId="77777777" w:rsidR="00D859A4" w:rsidRPr="00D859A4" w:rsidRDefault="00D859A4" w:rsidP="00D859A4">
      <w:pPr>
        <w:spacing w:after="0"/>
        <w:rPr>
          <w:rFonts w:ascii="Century Gothic" w:eastAsia="Calibri" w:hAnsi="Century Gothic" w:cs="Times New Roman"/>
        </w:rPr>
      </w:pPr>
    </w:p>
    <w:p w14:paraId="5F7AECEA" w14:textId="77777777" w:rsidR="00D859A4" w:rsidRPr="00D859A4" w:rsidRDefault="00D859A4" w:rsidP="00D859A4">
      <w:pPr>
        <w:spacing w:after="0"/>
        <w:rPr>
          <w:rFonts w:ascii="Century Gothic" w:eastAsia="Calibri" w:hAnsi="Century Gothic" w:cs="Times New Roman"/>
        </w:rPr>
      </w:pPr>
    </w:p>
    <w:p w14:paraId="09DFC4BF" w14:textId="77777777" w:rsidR="00D859A4" w:rsidRPr="00D859A4" w:rsidRDefault="00D859A4" w:rsidP="00D859A4">
      <w:pPr>
        <w:spacing w:after="0"/>
        <w:rPr>
          <w:rFonts w:ascii="Century Gothic" w:eastAsia="Calibri" w:hAnsi="Century Gothic" w:cs="Times New Roman"/>
        </w:rPr>
      </w:pPr>
    </w:p>
    <w:p w14:paraId="688B90E7" w14:textId="77777777" w:rsidR="00D859A4" w:rsidRPr="00D859A4" w:rsidRDefault="00D859A4" w:rsidP="00D859A4">
      <w:pPr>
        <w:spacing w:after="0"/>
        <w:rPr>
          <w:rFonts w:ascii="Century Gothic" w:eastAsia="Calibri" w:hAnsi="Century Gothic" w:cs="Times New Roman"/>
        </w:rPr>
      </w:pPr>
    </w:p>
    <w:p w14:paraId="4D42CCA0" w14:textId="77777777" w:rsidR="00D859A4" w:rsidRPr="00D859A4" w:rsidRDefault="00D859A4" w:rsidP="00D859A4">
      <w:pPr>
        <w:spacing w:after="0"/>
        <w:rPr>
          <w:rFonts w:ascii="Century Gothic" w:eastAsia="Calibri" w:hAnsi="Century Gothic" w:cs="Times New Roman"/>
        </w:rPr>
      </w:pPr>
    </w:p>
    <w:p w14:paraId="16B106BF" w14:textId="77777777" w:rsidR="00D859A4" w:rsidRPr="00D859A4" w:rsidRDefault="00D859A4" w:rsidP="00D859A4">
      <w:pPr>
        <w:spacing w:after="0"/>
        <w:rPr>
          <w:rFonts w:ascii="Century Gothic" w:eastAsia="Calibri" w:hAnsi="Century Gothic" w:cs="Times New Roman"/>
        </w:rPr>
      </w:pPr>
    </w:p>
    <w:p w14:paraId="205C8117" w14:textId="77777777" w:rsidR="00D859A4" w:rsidRPr="00D859A4" w:rsidRDefault="00D859A4" w:rsidP="00D859A4">
      <w:pPr>
        <w:spacing w:after="0"/>
        <w:rPr>
          <w:rFonts w:ascii="Century Gothic" w:eastAsia="Calibri" w:hAnsi="Century Gothic" w:cs="Times New Roman"/>
        </w:rPr>
      </w:pPr>
    </w:p>
    <w:p w14:paraId="17D10F92" w14:textId="77777777" w:rsidR="00D859A4" w:rsidRPr="00D859A4" w:rsidRDefault="00D859A4" w:rsidP="00D859A4">
      <w:pPr>
        <w:spacing w:after="0"/>
        <w:rPr>
          <w:rFonts w:ascii="Century Gothic" w:eastAsia="Calibri" w:hAnsi="Century Gothic" w:cs="Times New Roman"/>
        </w:rPr>
      </w:pPr>
    </w:p>
    <w:p w14:paraId="4A4F2111" w14:textId="77777777" w:rsidR="00D859A4" w:rsidRPr="00D859A4" w:rsidRDefault="00D859A4" w:rsidP="00D859A4">
      <w:pPr>
        <w:spacing w:after="0"/>
        <w:rPr>
          <w:rFonts w:ascii="Century Gothic" w:eastAsia="Calibri" w:hAnsi="Century Gothic" w:cs="Times New Roman"/>
        </w:rPr>
      </w:pPr>
    </w:p>
    <w:p w14:paraId="58B45886" w14:textId="77777777" w:rsidR="00D859A4" w:rsidRPr="00D859A4" w:rsidRDefault="00D859A4" w:rsidP="00D859A4">
      <w:pPr>
        <w:spacing w:after="0"/>
        <w:rPr>
          <w:rFonts w:ascii="Century Gothic" w:eastAsia="Calibri" w:hAnsi="Century Gothic" w:cs="Times New Roman"/>
        </w:rPr>
      </w:pPr>
    </w:p>
    <w:p w14:paraId="19B4F43C" w14:textId="77777777" w:rsidR="00D859A4" w:rsidRPr="00D859A4" w:rsidRDefault="00D859A4" w:rsidP="00D859A4">
      <w:pPr>
        <w:spacing w:after="0"/>
        <w:rPr>
          <w:rFonts w:ascii="Century Gothic" w:eastAsia="Calibri" w:hAnsi="Century Gothic" w:cs="Times New Roman"/>
        </w:rPr>
      </w:pPr>
    </w:p>
    <w:p w14:paraId="4E0A5652" w14:textId="77777777" w:rsidR="00D859A4" w:rsidRPr="00D859A4" w:rsidRDefault="00D859A4" w:rsidP="00D859A4">
      <w:pPr>
        <w:spacing w:after="0"/>
        <w:rPr>
          <w:rFonts w:ascii="Century Gothic" w:eastAsia="Calibri" w:hAnsi="Century Gothic" w:cs="Times New Roman"/>
        </w:rPr>
      </w:pPr>
    </w:p>
    <w:p w14:paraId="7D9E6E4A" w14:textId="77777777" w:rsidR="00D859A4" w:rsidRPr="00D859A4" w:rsidRDefault="00D859A4" w:rsidP="00D859A4">
      <w:pPr>
        <w:spacing w:after="0"/>
        <w:rPr>
          <w:rFonts w:ascii="Century Gothic" w:eastAsia="Calibri" w:hAnsi="Century Gothic" w:cs="Times New Roman"/>
        </w:rPr>
      </w:pPr>
    </w:p>
    <w:p w14:paraId="41F9F94E" w14:textId="77777777" w:rsidR="00D859A4" w:rsidRPr="00D859A4" w:rsidRDefault="00D859A4" w:rsidP="00D859A4">
      <w:pPr>
        <w:spacing w:after="0"/>
        <w:rPr>
          <w:rFonts w:ascii="Century Gothic" w:eastAsia="Calibri" w:hAnsi="Century Gothic" w:cs="Times New Roman"/>
        </w:rPr>
      </w:pPr>
    </w:p>
    <w:p w14:paraId="2DDDF8E2" w14:textId="77777777" w:rsidR="00D859A4" w:rsidRPr="00D859A4" w:rsidRDefault="00D859A4" w:rsidP="00D859A4">
      <w:pPr>
        <w:spacing w:after="0"/>
        <w:rPr>
          <w:rFonts w:ascii="Century Gothic" w:eastAsia="Calibri" w:hAnsi="Century Gothic" w:cs="Times New Roman"/>
        </w:rPr>
      </w:pPr>
    </w:p>
    <w:p w14:paraId="37A1BDE2" w14:textId="77777777" w:rsidR="00D859A4" w:rsidRPr="00D859A4" w:rsidRDefault="00D859A4" w:rsidP="00D859A4">
      <w:pPr>
        <w:spacing w:after="0"/>
        <w:rPr>
          <w:rFonts w:ascii="Century Gothic" w:eastAsia="Calibri" w:hAnsi="Century Gothic" w:cs="Times New Roman"/>
        </w:rPr>
      </w:pPr>
    </w:p>
    <w:p w14:paraId="52FE6164" w14:textId="77777777" w:rsidR="00D859A4" w:rsidRPr="00D859A4" w:rsidRDefault="00D859A4" w:rsidP="00D859A4">
      <w:pPr>
        <w:spacing w:after="0"/>
        <w:rPr>
          <w:rFonts w:ascii="Century Gothic" w:eastAsia="Calibri" w:hAnsi="Century Gothic" w:cs="Times New Roman"/>
        </w:rPr>
      </w:pPr>
    </w:p>
    <w:p w14:paraId="03EB0E73" w14:textId="77777777" w:rsidR="00D859A4" w:rsidRPr="00D859A4" w:rsidRDefault="00D859A4" w:rsidP="00D859A4">
      <w:pPr>
        <w:spacing w:after="0"/>
        <w:rPr>
          <w:rFonts w:ascii="Century Gothic" w:eastAsia="Calibri" w:hAnsi="Century Gothic" w:cs="Times New Roman"/>
        </w:rPr>
      </w:pPr>
    </w:p>
    <w:p w14:paraId="6B961270" w14:textId="77777777" w:rsidR="00D859A4" w:rsidRPr="00D859A4" w:rsidRDefault="00D859A4" w:rsidP="00D859A4">
      <w:pPr>
        <w:spacing w:after="0"/>
        <w:rPr>
          <w:rFonts w:ascii="Century Gothic" w:eastAsia="Calibri" w:hAnsi="Century Gothic" w:cs="Times New Roman"/>
        </w:rPr>
      </w:pPr>
    </w:p>
    <w:p w14:paraId="774E4985" w14:textId="77777777" w:rsidR="00D859A4" w:rsidRPr="00D859A4" w:rsidRDefault="00D859A4" w:rsidP="00D859A4">
      <w:pPr>
        <w:spacing w:after="0"/>
        <w:rPr>
          <w:rFonts w:ascii="Century Gothic" w:eastAsia="Calibri" w:hAnsi="Century Gothic" w:cs="Times New Roman"/>
        </w:rPr>
      </w:pPr>
    </w:p>
    <w:p w14:paraId="116776D2" w14:textId="77777777" w:rsidR="00D859A4" w:rsidRPr="00D859A4" w:rsidRDefault="00D859A4" w:rsidP="00D859A4">
      <w:pPr>
        <w:spacing w:after="0"/>
        <w:rPr>
          <w:rFonts w:ascii="Century Gothic" w:eastAsia="Calibri" w:hAnsi="Century Gothic" w:cs="Times New Roman"/>
        </w:rPr>
      </w:pPr>
    </w:p>
    <w:p w14:paraId="4946015F" w14:textId="77777777" w:rsidR="00D859A4" w:rsidRPr="00D859A4" w:rsidRDefault="00D859A4" w:rsidP="00D859A4">
      <w:pPr>
        <w:spacing w:after="0"/>
        <w:rPr>
          <w:rFonts w:ascii="Century Gothic" w:eastAsia="Calibri" w:hAnsi="Century Gothic" w:cs="Times New Roman"/>
        </w:rPr>
      </w:pPr>
    </w:p>
    <w:p w14:paraId="1DAF845D" w14:textId="77777777" w:rsidR="00D859A4" w:rsidRPr="00D859A4" w:rsidRDefault="00D859A4" w:rsidP="00D859A4">
      <w:pPr>
        <w:spacing w:after="0"/>
        <w:rPr>
          <w:rFonts w:ascii="Century Gothic" w:eastAsia="Calibri" w:hAnsi="Century Gothic" w:cs="Times New Roman"/>
        </w:rPr>
      </w:pPr>
    </w:p>
    <w:p w14:paraId="71759802" w14:textId="77777777" w:rsidR="00D859A4" w:rsidRPr="00D859A4" w:rsidRDefault="00D859A4" w:rsidP="00D859A4">
      <w:pPr>
        <w:spacing w:after="0"/>
        <w:rPr>
          <w:rFonts w:ascii="Century Gothic" w:eastAsia="Calibri" w:hAnsi="Century Gothic" w:cs="Times New Roman"/>
        </w:rPr>
      </w:pPr>
    </w:p>
    <w:p w14:paraId="78B259CF" w14:textId="77777777" w:rsidR="00BA0ACF" w:rsidRDefault="00BA0ACF" w:rsidP="00967ABD">
      <w:pPr>
        <w:spacing w:after="0"/>
        <w:rPr>
          <w:rFonts w:ascii="Century Gothic" w:eastAsia="Calibri" w:hAnsi="Century Gothic" w:cs="Times New Roman"/>
        </w:rPr>
      </w:pPr>
      <w:bookmarkStart w:id="1" w:name="_Hlk94281581"/>
      <w:bookmarkStart w:id="2" w:name="_Hlk102489058"/>
      <w:bookmarkStart w:id="3" w:name="_Hlk34951122"/>
    </w:p>
    <w:p w14:paraId="1D4930F3" w14:textId="2849741F" w:rsidR="00967ABD" w:rsidRDefault="00967ABD" w:rsidP="00967ABD">
      <w:pPr>
        <w:spacing w:after="0"/>
        <w:rPr>
          <w:rFonts w:ascii="Century Gothic" w:hAnsi="Century Gothic"/>
          <w:lang w:val="es-MX"/>
        </w:rPr>
      </w:pPr>
      <w:r w:rsidRPr="687B05C8">
        <w:rPr>
          <w:rFonts w:ascii="Century Gothic" w:hAnsi="Century Gothic"/>
        </w:rPr>
        <w:lastRenderedPageBreak/>
        <w:t>Bogotá D.C.</w:t>
      </w:r>
    </w:p>
    <w:p w14:paraId="3D600422" w14:textId="77777777" w:rsidR="00D859A4" w:rsidRPr="00D859A4" w:rsidRDefault="00D859A4" w:rsidP="00D859A4">
      <w:pPr>
        <w:spacing w:after="0"/>
        <w:rPr>
          <w:rFonts w:ascii="Century Gothic" w:eastAsia="Calibri" w:hAnsi="Century Gothic" w:cs="Arial"/>
        </w:rPr>
      </w:pPr>
    </w:p>
    <w:p w14:paraId="278B678B" w14:textId="69B8934F" w:rsidR="00D859A4" w:rsidRPr="00D859A4" w:rsidRDefault="00413E7A" w:rsidP="00413E7A">
      <w:pPr>
        <w:spacing w:after="0"/>
        <w:jc w:val="right"/>
        <w:rPr>
          <w:rFonts w:ascii="Century Gothic" w:eastAsia="Calibri" w:hAnsi="Century Gothic" w:cs="Arial"/>
        </w:rPr>
      </w:pPr>
      <w:r>
        <w:rPr>
          <w:rFonts w:ascii="Century Gothic" w:eastAsia="Calibri" w:hAnsi="Century Gothic" w:cs="Arial"/>
          <w:noProof/>
        </w:rPr>
        <w:drawing>
          <wp:inline distT="0" distB="0" distL="0" distR="0" wp14:anchorId="68F82626" wp14:editId="75C35090">
            <wp:extent cx="3211830" cy="925609"/>
            <wp:effectExtent l="0" t="0" r="1270" b="1905"/>
            <wp:docPr id="6595820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82044" name="Imagen 65958204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5581" cy="929572"/>
                    </a:xfrm>
                    <a:prstGeom prst="rect">
                      <a:avLst/>
                    </a:prstGeom>
                  </pic:spPr>
                </pic:pic>
              </a:graphicData>
            </a:graphic>
          </wp:inline>
        </w:drawing>
      </w:r>
    </w:p>
    <w:p w14:paraId="2A0FF525" w14:textId="77777777" w:rsidR="00D859A4" w:rsidRPr="00D859A4" w:rsidRDefault="00D859A4" w:rsidP="00D859A4">
      <w:pPr>
        <w:spacing w:after="0"/>
        <w:rPr>
          <w:rFonts w:ascii="Century Gothic" w:eastAsia="Calibri" w:hAnsi="Century Gothic" w:cs="Arial"/>
        </w:rPr>
      </w:pPr>
      <w:r w:rsidRPr="00D859A4">
        <w:rPr>
          <w:rFonts w:ascii="Century Gothic" w:eastAsia="Calibri" w:hAnsi="Century Gothic" w:cs="Arial"/>
        </w:rPr>
        <w:t>Señor</w:t>
      </w:r>
    </w:p>
    <w:p w14:paraId="413C6861" w14:textId="77777777" w:rsidR="00D859A4" w:rsidRPr="00D859A4" w:rsidRDefault="00D859A4" w:rsidP="00D859A4">
      <w:pPr>
        <w:spacing w:after="0"/>
        <w:rPr>
          <w:rFonts w:ascii="Century Gothic" w:eastAsia="Calibri" w:hAnsi="Century Gothic" w:cs="Arial"/>
          <w:b/>
          <w:bCs/>
        </w:rPr>
      </w:pPr>
      <w:r w:rsidRPr="00D859A4">
        <w:rPr>
          <w:rFonts w:ascii="Century Gothic" w:eastAsia="Calibri" w:hAnsi="Century Gothic" w:cs="Arial"/>
          <w:b/>
          <w:bCs/>
        </w:rPr>
        <w:t>Favio Caicedo Urbano</w:t>
      </w:r>
    </w:p>
    <w:p w14:paraId="457D2635" w14:textId="77777777" w:rsidR="00D859A4" w:rsidRPr="00D859A4" w:rsidRDefault="00D859A4" w:rsidP="00D859A4">
      <w:pPr>
        <w:spacing w:after="0"/>
        <w:rPr>
          <w:rFonts w:ascii="Century Gothic" w:eastAsia="Calibri" w:hAnsi="Century Gothic" w:cs="Arial"/>
        </w:rPr>
      </w:pPr>
      <w:r w:rsidRPr="00D859A4">
        <w:rPr>
          <w:rFonts w:ascii="Century Gothic" w:eastAsia="Calibri" w:hAnsi="Century Gothic" w:cs="Arial"/>
        </w:rPr>
        <w:t>Pasto, Nariño</w:t>
      </w:r>
    </w:p>
    <w:p w14:paraId="6D2F9857" w14:textId="77777777" w:rsidR="00D859A4" w:rsidRPr="00D859A4" w:rsidRDefault="00D859A4" w:rsidP="00D859A4">
      <w:pPr>
        <w:spacing w:after="0"/>
        <w:rPr>
          <w:rFonts w:ascii="Century Gothic" w:eastAsia="Calibri" w:hAnsi="Century Gothic" w:cs="Arial"/>
        </w:rPr>
      </w:pPr>
    </w:p>
    <w:p w14:paraId="55F440AF" w14:textId="77777777" w:rsidR="00D859A4" w:rsidRPr="00D859A4" w:rsidRDefault="00D859A4" w:rsidP="00D859A4">
      <w:pPr>
        <w:shd w:val="clear" w:color="auto" w:fill="FFFFFF"/>
        <w:ind w:left="2124" w:firstLine="570"/>
        <w:contextualSpacing/>
        <w:rPr>
          <w:rFonts w:ascii="Century Gothic" w:eastAsia="Calibri" w:hAnsi="Century Gothic" w:cs="Arial"/>
          <w:b/>
          <w:bCs/>
          <w:lang w:val="es-ES_tradnl" w:eastAsia="es-ES_tradnl"/>
        </w:rPr>
      </w:pPr>
      <w:r w:rsidRPr="00D859A4">
        <w:rPr>
          <w:rFonts w:ascii="Century Gothic" w:eastAsia="Calibri" w:hAnsi="Century Gothic" w:cs="Arial"/>
          <w:b/>
          <w:bCs/>
          <w:lang w:val="es-ES_tradnl" w:eastAsia="es-ES_tradnl"/>
        </w:rPr>
        <w:t>Concepto C – 092 de 2024</w:t>
      </w:r>
    </w:p>
    <w:p w14:paraId="166255D0" w14:textId="77777777" w:rsidR="00D859A4" w:rsidRPr="00D859A4" w:rsidRDefault="00D859A4" w:rsidP="00D859A4">
      <w:pPr>
        <w:shd w:val="clear" w:color="auto" w:fill="FFFFFF"/>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859A4" w:rsidRPr="00D859A4" w14:paraId="5C84FA0B" w14:textId="77777777" w:rsidTr="00352FA9">
        <w:tc>
          <w:tcPr>
            <w:tcW w:w="2689" w:type="dxa"/>
          </w:tcPr>
          <w:p w14:paraId="5582D70A" w14:textId="77777777" w:rsidR="00D859A4" w:rsidRPr="00D859A4" w:rsidRDefault="00D859A4" w:rsidP="00D859A4">
            <w:pPr>
              <w:shd w:val="clear" w:color="auto" w:fill="FFFFFF"/>
              <w:contextualSpacing/>
              <w:jc w:val="both"/>
              <w:rPr>
                <w:rFonts w:ascii="Century Gothic" w:eastAsia="Calibri" w:hAnsi="Century Gothic" w:cs="Arial"/>
                <w:lang w:val="es-ES_tradnl" w:eastAsia="es-ES_tradnl"/>
              </w:rPr>
            </w:pPr>
            <w:r w:rsidRPr="00D859A4">
              <w:rPr>
                <w:rFonts w:ascii="Century Gothic" w:eastAsia="Calibri" w:hAnsi="Century Gothic" w:cs="Arial"/>
                <w:b/>
                <w:lang w:val="es-ES_tradnl" w:eastAsia="es-ES_tradnl"/>
              </w:rPr>
              <w:t>Temas:</w:t>
            </w:r>
            <w:r w:rsidRPr="00D859A4">
              <w:rPr>
                <w:rFonts w:ascii="Century Gothic" w:eastAsia="Calibri" w:hAnsi="Century Gothic" w:cs="Arial"/>
                <w:lang w:val="es-ES_tradnl" w:eastAsia="es-ES_tradnl"/>
              </w:rPr>
              <w:t xml:space="preserve">                                      </w:t>
            </w:r>
          </w:p>
        </w:tc>
        <w:tc>
          <w:tcPr>
            <w:tcW w:w="6237" w:type="dxa"/>
          </w:tcPr>
          <w:p w14:paraId="1780899B" w14:textId="77777777" w:rsidR="00D859A4" w:rsidRPr="00D859A4" w:rsidRDefault="00D859A4" w:rsidP="00D859A4">
            <w:pPr>
              <w:shd w:val="clear" w:color="auto" w:fill="FFFFFF"/>
              <w:spacing w:after="120"/>
              <w:contextualSpacing/>
              <w:jc w:val="both"/>
              <w:rPr>
                <w:rFonts w:ascii="Century Gothic" w:eastAsia="Calibri" w:hAnsi="Century Gothic" w:cs="Arial"/>
                <w:bCs/>
                <w:lang w:val="es-MX" w:eastAsia="es-ES_tradnl"/>
              </w:rPr>
            </w:pPr>
            <w:r w:rsidRPr="00D859A4">
              <w:rPr>
                <w:rFonts w:ascii="Century Gothic" w:eastAsia="Calibri" w:hAnsi="Century Gothic" w:cs="Arial"/>
                <w:bCs/>
                <w:lang w:val="es-MX" w:eastAsia="es-ES_tradnl"/>
              </w:rPr>
              <w:t xml:space="preserve">DOCUMENTOS TIPO – Fundamento normativo – Ley 2022 de 2020 / EXPERIENCIA – Acreditación − Documentos tipo − Licitación de obra pública de infraestructura de transporte – Inalterabilidad </w:t>
            </w:r>
          </w:p>
          <w:p w14:paraId="392BB329" w14:textId="77777777" w:rsidR="00D859A4" w:rsidRPr="00D859A4" w:rsidRDefault="00D859A4" w:rsidP="00D859A4">
            <w:pPr>
              <w:shd w:val="clear" w:color="auto" w:fill="FFFFFF"/>
              <w:spacing w:after="120"/>
              <w:contextualSpacing/>
              <w:jc w:val="both"/>
              <w:rPr>
                <w:rFonts w:ascii="Century Gothic" w:eastAsia="Calibri" w:hAnsi="Century Gothic" w:cs="Arial"/>
                <w:bCs/>
                <w:sz w:val="14"/>
                <w:szCs w:val="14"/>
                <w:lang w:val="es-ES_tradnl" w:eastAsia="es-ES_tradnl"/>
              </w:rPr>
            </w:pPr>
          </w:p>
        </w:tc>
      </w:tr>
      <w:tr w:rsidR="00D859A4" w:rsidRPr="00D859A4" w14:paraId="18B458B8" w14:textId="77777777" w:rsidTr="00352FA9">
        <w:trPr>
          <w:trHeight w:val="309"/>
        </w:trPr>
        <w:tc>
          <w:tcPr>
            <w:tcW w:w="2689" w:type="dxa"/>
          </w:tcPr>
          <w:p w14:paraId="74796324" w14:textId="77777777" w:rsidR="00D859A4" w:rsidRPr="00D859A4" w:rsidRDefault="00D859A4" w:rsidP="00D859A4">
            <w:pPr>
              <w:shd w:val="clear" w:color="auto" w:fill="FFFFFF"/>
              <w:contextualSpacing/>
              <w:jc w:val="both"/>
              <w:rPr>
                <w:rFonts w:ascii="Century Gothic" w:eastAsia="Calibri" w:hAnsi="Century Gothic" w:cs="Arial"/>
                <w:b/>
                <w:lang w:val="es-ES_tradnl" w:eastAsia="es-ES_tradnl"/>
              </w:rPr>
            </w:pPr>
            <w:r w:rsidRPr="00D859A4">
              <w:rPr>
                <w:rFonts w:ascii="Century Gothic" w:eastAsia="Calibri" w:hAnsi="Century Gothic" w:cs="Arial"/>
                <w:b/>
                <w:lang w:val="es-ES_tradnl" w:eastAsia="es-ES_tradnl"/>
              </w:rPr>
              <w:t>Radicación:</w:t>
            </w:r>
            <w:r w:rsidRPr="00D859A4">
              <w:rPr>
                <w:rFonts w:ascii="Century Gothic" w:eastAsia="Calibri" w:hAnsi="Century Gothic" w:cs="Arial"/>
                <w:lang w:val="es-ES_tradnl" w:eastAsia="es-ES_tradnl"/>
              </w:rPr>
              <w:t xml:space="preserve">                             </w:t>
            </w:r>
          </w:p>
        </w:tc>
        <w:tc>
          <w:tcPr>
            <w:tcW w:w="6237" w:type="dxa"/>
          </w:tcPr>
          <w:p w14:paraId="6FDD528A" w14:textId="77777777" w:rsidR="00D859A4" w:rsidRPr="00D859A4" w:rsidRDefault="00D859A4" w:rsidP="00D859A4">
            <w:pPr>
              <w:shd w:val="clear" w:color="auto" w:fill="FFFFFF"/>
              <w:contextualSpacing/>
              <w:jc w:val="both"/>
              <w:rPr>
                <w:rFonts w:ascii="Century Gothic" w:eastAsia="Calibri" w:hAnsi="Century Gothic" w:cs="Arial"/>
                <w:lang w:val="es-ES_tradnl" w:eastAsia="es-ES_tradnl"/>
              </w:rPr>
            </w:pPr>
            <w:r w:rsidRPr="00D859A4">
              <w:rPr>
                <w:rFonts w:ascii="Century Gothic" w:eastAsia="Calibri" w:hAnsi="Century Gothic" w:cs="Arial"/>
                <w:lang w:val="es-ES_tradnl" w:eastAsia="es-ES_tradnl"/>
              </w:rPr>
              <w:t>Respuesta a consulta P20240503004628</w:t>
            </w:r>
          </w:p>
        </w:tc>
      </w:tr>
    </w:tbl>
    <w:p w14:paraId="59BC4390" w14:textId="77777777" w:rsidR="00D859A4" w:rsidRPr="00D859A4" w:rsidRDefault="00D859A4" w:rsidP="00D859A4">
      <w:pPr>
        <w:shd w:val="clear" w:color="auto" w:fill="FFFFFF"/>
        <w:contextualSpacing/>
        <w:jc w:val="both"/>
        <w:rPr>
          <w:rFonts w:ascii="Century Gothic" w:eastAsia="Calibri" w:hAnsi="Century Gothic" w:cs="Arial"/>
          <w:lang w:val="es-ES_tradnl" w:eastAsia="es-ES_tradnl"/>
        </w:rPr>
      </w:pPr>
    </w:p>
    <w:p w14:paraId="2678D869" w14:textId="77777777" w:rsidR="00D859A4" w:rsidRPr="00D859A4" w:rsidRDefault="00D859A4" w:rsidP="00D859A4">
      <w:pPr>
        <w:shd w:val="clear" w:color="auto" w:fill="FFFFFF"/>
        <w:contextualSpacing/>
        <w:jc w:val="both"/>
        <w:rPr>
          <w:rFonts w:ascii="Century Gothic" w:eastAsia="Calibri" w:hAnsi="Century Gothic" w:cs="Arial"/>
          <w:lang w:val="es-ES" w:eastAsia="es-ES"/>
        </w:rPr>
      </w:pPr>
      <w:r w:rsidRPr="00D859A4">
        <w:rPr>
          <w:rFonts w:ascii="Century Gothic" w:eastAsia="Calibri" w:hAnsi="Century Gothic" w:cs="Arial"/>
          <w:lang w:val="es-ES" w:eastAsia="es-ES"/>
        </w:rPr>
        <w:t xml:space="preserve">Respetado señor Caicedo Urbano: </w:t>
      </w:r>
    </w:p>
    <w:p w14:paraId="0512F99B" w14:textId="77777777" w:rsidR="00D859A4" w:rsidRPr="00D859A4" w:rsidRDefault="00D859A4" w:rsidP="00D859A4">
      <w:pPr>
        <w:shd w:val="clear" w:color="auto" w:fill="FFFFFF"/>
        <w:spacing w:line="276" w:lineRule="auto"/>
        <w:contextualSpacing/>
        <w:jc w:val="both"/>
        <w:rPr>
          <w:rFonts w:ascii="Century Gothic" w:eastAsia="Calibri" w:hAnsi="Century Gothic" w:cs="Arial"/>
          <w:szCs w:val="24"/>
          <w:lang w:val="es-ES_tradnl" w:eastAsia="es-ES_tradnl"/>
        </w:rPr>
      </w:pPr>
    </w:p>
    <w:bookmarkEnd w:id="1"/>
    <w:bookmarkEnd w:id="2"/>
    <w:p w14:paraId="43FE7165" w14:textId="77777777" w:rsidR="00D859A4" w:rsidRPr="00D859A4" w:rsidRDefault="00D859A4" w:rsidP="00D859A4">
      <w:pPr>
        <w:shd w:val="clear" w:color="auto" w:fill="FFFFFF"/>
        <w:spacing w:after="0" w:line="276" w:lineRule="auto"/>
        <w:jc w:val="both"/>
        <w:rPr>
          <w:rFonts w:ascii="Century Gothic" w:eastAsia="Calibri" w:hAnsi="Century Gothic" w:cs="Arial"/>
          <w:color w:val="000000"/>
          <w:lang w:val="es-ES_tradnl"/>
        </w:rPr>
      </w:pPr>
      <w:r w:rsidRPr="00D859A4">
        <w:rPr>
          <w:rFonts w:ascii="Century Gothic" w:eastAsia="Calibri" w:hAnsi="Century Gothic" w:cs="Arial"/>
          <w:color w:val="000000"/>
          <w:lang w:val="es-ES_tradnl"/>
        </w:rPr>
        <w:t>En ejercicio de la competencia otorgada por el numeral 8 del artículo 11 y el numeral 5 del artículo 3 del Decreto Ley 4170 de 2011</w:t>
      </w:r>
      <w:bookmarkStart w:id="4" w:name="_Hlk99120496"/>
      <w:r w:rsidRPr="00D859A4">
        <w:rPr>
          <w:rFonts w:ascii="Century Gothic" w:eastAsia="Arial MT" w:hAnsi="Century Gothic" w:cs="Arial"/>
          <w:lang w:val="es-ES"/>
        </w:rPr>
        <w:t xml:space="preserve">, </w:t>
      </w:r>
      <w:bookmarkEnd w:id="4"/>
      <w:r w:rsidRPr="00D859A4">
        <w:rPr>
          <w:rFonts w:ascii="Century Gothic" w:eastAsia="Calibri" w:hAnsi="Century Gothic" w:cs="Arial"/>
          <w:color w:val="000000"/>
          <w:lang w:val="es-ES_tradnl"/>
        </w:rPr>
        <w:t>la Agencia Nacional de Contratación Pública –Colombia Compra Eficiente– responde la consulta radicada el 3 de mayo de 2024.</w:t>
      </w:r>
    </w:p>
    <w:p w14:paraId="1351117A" w14:textId="77777777" w:rsidR="00D859A4" w:rsidRPr="00D859A4" w:rsidRDefault="00D859A4" w:rsidP="00D859A4">
      <w:pPr>
        <w:shd w:val="clear" w:color="auto" w:fill="FFFFFF"/>
        <w:spacing w:after="0" w:line="276" w:lineRule="auto"/>
        <w:jc w:val="both"/>
        <w:rPr>
          <w:rFonts w:ascii="Century Gothic" w:eastAsia="Calibri" w:hAnsi="Century Gothic" w:cs="Arial"/>
          <w:b/>
          <w:color w:val="000000"/>
          <w:lang w:val="es-ES_tradnl"/>
        </w:rPr>
      </w:pPr>
    </w:p>
    <w:p w14:paraId="28182A5F" w14:textId="77777777" w:rsidR="00D859A4" w:rsidRPr="00D859A4" w:rsidRDefault="00D859A4" w:rsidP="00D859A4">
      <w:pPr>
        <w:numPr>
          <w:ilvl w:val="0"/>
          <w:numId w:val="6"/>
        </w:numPr>
        <w:shd w:val="clear" w:color="auto" w:fill="FFFFFF"/>
        <w:tabs>
          <w:tab w:val="left" w:pos="0"/>
          <w:tab w:val="left" w:pos="142"/>
          <w:tab w:val="left" w:pos="284"/>
        </w:tabs>
        <w:spacing w:after="0" w:line="276" w:lineRule="auto"/>
        <w:ind w:left="357" w:hanging="357"/>
        <w:contextualSpacing/>
        <w:rPr>
          <w:rFonts w:ascii="Century Gothic" w:eastAsia="Calibri" w:hAnsi="Century Gothic" w:cs="Arial"/>
          <w:b/>
          <w:color w:val="000000"/>
          <w:lang w:val="es-ES_tradnl"/>
        </w:rPr>
      </w:pPr>
      <w:r w:rsidRPr="00D859A4">
        <w:rPr>
          <w:rFonts w:ascii="Century Gothic" w:eastAsia="Calibri" w:hAnsi="Century Gothic" w:cs="Arial"/>
          <w:b/>
          <w:color w:val="000000"/>
          <w:lang w:val="es-ES_tradnl"/>
        </w:rPr>
        <w:t xml:space="preserve">Problema planteado </w:t>
      </w:r>
    </w:p>
    <w:p w14:paraId="421E4911" w14:textId="77777777" w:rsidR="00D859A4" w:rsidRPr="00D859A4" w:rsidRDefault="00D859A4" w:rsidP="00D859A4">
      <w:pPr>
        <w:shd w:val="clear" w:color="auto" w:fill="FFFFFF"/>
        <w:tabs>
          <w:tab w:val="left" w:pos="426"/>
        </w:tabs>
        <w:spacing w:after="0" w:line="276" w:lineRule="auto"/>
        <w:jc w:val="both"/>
        <w:rPr>
          <w:rFonts w:ascii="Century Gothic" w:eastAsia="Calibri" w:hAnsi="Century Gothic" w:cs="Arial"/>
          <w:b/>
          <w:color w:val="000000"/>
          <w:lang w:val="es-ES_tradnl"/>
        </w:rPr>
      </w:pPr>
    </w:p>
    <w:p w14:paraId="1EE5E0C1" w14:textId="77777777" w:rsidR="00D859A4" w:rsidRPr="00D859A4" w:rsidRDefault="00D859A4" w:rsidP="00D859A4">
      <w:pPr>
        <w:shd w:val="clear" w:color="auto" w:fill="FFFFFF"/>
        <w:spacing w:after="0" w:line="276" w:lineRule="auto"/>
        <w:jc w:val="both"/>
        <w:rPr>
          <w:rFonts w:ascii="Century Gothic" w:eastAsia="Calibri" w:hAnsi="Century Gothic" w:cs="Arial"/>
          <w:color w:val="000000"/>
        </w:rPr>
      </w:pPr>
      <w:r w:rsidRPr="00D859A4">
        <w:rPr>
          <w:rFonts w:ascii="Century Gothic" w:eastAsia="Calibri" w:hAnsi="Century Gothic" w:cs="Arial"/>
          <w:color w:val="000000"/>
          <w:lang w:val="es-ES_tradnl"/>
        </w:rPr>
        <w:t>Usted realiza la siguiente pregunta:</w:t>
      </w:r>
    </w:p>
    <w:p w14:paraId="73EBFBD7" w14:textId="77777777" w:rsidR="00D859A4" w:rsidRPr="00D859A4" w:rsidRDefault="00D859A4" w:rsidP="00D859A4">
      <w:pPr>
        <w:shd w:val="clear" w:color="auto" w:fill="FFFFFF"/>
        <w:spacing w:after="0" w:line="276" w:lineRule="auto"/>
        <w:jc w:val="both"/>
        <w:rPr>
          <w:rFonts w:ascii="Century Gothic" w:eastAsia="Calibri" w:hAnsi="Century Gothic" w:cs="Arial"/>
          <w:color w:val="000000"/>
        </w:rPr>
      </w:pPr>
    </w:p>
    <w:p w14:paraId="3F295BFE" w14:textId="77777777" w:rsidR="00D859A4" w:rsidRPr="00D859A4" w:rsidRDefault="00D859A4" w:rsidP="4E0DEE9E">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4E0DEE9E">
        <w:rPr>
          <w:rFonts w:ascii="Century Gothic" w:eastAsia="Calibri" w:hAnsi="Century Gothic" w:cs="Arial"/>
          <w:color w:val="000000" w:themeColor="text1"/>
          <w:sz w:val="21"/>
          <w:szCs w:val="21"/>
          <w:lang w:val="es-ES"/>
        </w:rPr>
        <w:t xml:space="preserve">“Sobre la matriz 1 - Experiencia, una entidad pública puede modificar la experiencia especifica exigida de acuerdo al tipo de obra a </w:t>
      </w:r>
      <w:proofErr w:type="gramStart"/>
      <w:r w:rsidRPr="4E0DEE9E">
        <w:rPr>
          <w:rFonts w:ascii="Century Gothic" w:eastAsia="Calibri" w:hAnsi="Century Gothic" w:cs="Arial"/>
          <w:color w:val="000000" w:themeColor="text1"/>
          <w:sz w:val="21"/>
          <w:szCs w:val="21"/>
          <w:lang w:val="es-ES"/>
        </w:rPr>
        <w:t>ejecutar,,</w:t>
      </w:r>
      <w:proofErr w:type="gramEnd"/>
      <w:r w:rsidRPr="4E0DEE9E">
        <w:rPr>
          <w:rFonts w:ascii="Century Gothic" w:eastAsia="Calibri" w:hAnsi="Century Gothic" w:cs="Arial"/>
          <w:color w:val="000000" w:themeColor="text1"/>
          <w:sz w:val="21"/>
          <w:szCs w:val="21"/>
          <w:lang w:val="es-ES"/>
        </w:rPr>
        <w:t xml:space="preserve"> o suprimir el requisito de experiencia especifica o dimensionamiento aludiendo que lo hace para garantizar la pluralidad de oferentes. Si la matriz pide que el oferente debe cumplir para la experiencia especifica con un contrato que cumpla un % del valor del presupuesto oficial, puede la entidad eliminar este requisito por solicitud de un interesado, </w:t>
      </w:r>
      <w:proofErr w:type="spellStart"/>
      <w:r w:rsidRPr="4E0DEE9E">
        <w:rPr>
          <w:rFonts w:ascii="Century Gothic" w:eastAsia="Calibri" w:hAnsi="Century Gothic" w:cs="Arial"/>
          <w:color w:val="000000" w:themeColor="text1"/>
          <w:sz w:val="21"/>
          <w:szCs w:val="21"/>
          <w:lang w:val="es-ES"/>
        </w:rPr>
        <w:lastRenderedPageBreak/>
        <w:t>aún</w:t>
      </w:r>
      <w:proofErr w:type="spellEnd"/>
      <w:r w:rsidRPr="4E0DEE9E">
        <w:rPr>
          <w:rFonts w:ascii="Century Gothic" w:eastAsia="Calibri" w:hAnsi="Century Gothic" w:cs="Arial"/>
          <w:color w:val="000000" w:themeColor="text1"/>
          <w:sz w:val="21"/>
          <w:szCs w:val="21"/>
          <w:lang w:val="es-ES"/>
        </w:rPr>
        <w:t xml:space="preserve"> cuando se encuentre estipulado en la matriz de los pliegos tipo”. [SIC]</w:t>
      </w:r>
    </w:p>
    <w:p w14:paraId="30BB06E7" w14:textId="77777777" w:rsidR="00D859A4" w:rsidRPr="00D859A4" w:rsidRDefault="00D859A4" w:rsidP="00D859A4">
      <w:pPr>
        <w:shd w:val="clear" w:color="auto" w:fill="FFFFFF"/>
        <w:spacing w:after="0" w:line="240" w:lineRule="auto"/>
        <w:ind w:left="709" w:right="709"/>
        <w:jc w:val="both"/>
        <w:rPr>
          <w:rFonts w:ascii="Century Gothic" w:eastAsia="Calibri" w:hAnsi="Century Gothic" w:cs="Arial"/>
          <w:color w:val="000000"/>
          <w:lang w:val="es-ES_tradnl"/>
        </w:rPr>
      </w:pPr>
    </w:p>
    <w:p w14:paraId="1204876A" w14:textId="77777777" w:rsidR="00D859A4" w:rsidRPr="00D859A4" w:rsidRDefault="00D859A4" w:rsidP="00D859A4">
      <w:pPr>
        <w:numPr>
          <w:ilvl w:val="0"/>
          <w:numId w:val="6"/>
        </w:numPr>
        <w:shd w:val="clear" w:color="auto" w:fill="FFFFFF"/>
        <w:tabs>
          <w:tab w:val="left" w:pos="0"/>
          <w:tab w:val="left" w:pos="284"/>
        </w:tabs>
        <w:spacing w:after="0" w:line="278" w:lineRule="auto"/>
        <w:ind w:left="357" w:hanging="357"/>
        <w:contextualSpacing/>
        <w:jc w:val="both"/>
        <w:rPr>
          <w:rFonts w:ascii="Century Gothic" w:eastAsia="Calibri" w:hAnsi="Century Gothic" w:cs="Arial"/>
          <w:b/>
          <w:color w:val="000000"/>
          <w:lang w:val="es-ES_tradnl"/>
        </w:rPr>
      </w:pPr>
      <w:r w:rsidRPr="00D859A4">
        <w:rPr>
          <w:rFonts w:ascii="Century Gothic" w:eastAsia="Calibri" w:hAnsi="Century Gothic" w:cs="Arial"/>
          <w:b/>
          <w:color w:val="000000"/>
          <w:lang w:val="es-ES_tradnl"/>
        </w:rPr>
        <w:t>Consideraciones</w:t>
      </w:r>
    </w:p>
    <w:p w14:paraId="52CBA986" w14:textId="77777777" w:rsidR="00D859A4" w:rsidRPr="00D859A4" w:rsidRDefault="00D859A4" w:rsidP="00D859A4">
      <w:pPr>
        <w:shd w:val="clear" w:color="auto" w:fill="FFFFFF"/>
        <w:spacing w:after="0" w:line="276" w:lineRule="auto"/>
        <w:jc w:val="both"/>
        <w:rPr>
          <w:rFonts w:ascii="Century Gothic" w:eastAsia="Calibri" w:hAnsi="Century Gothic" w:cs="Arial"/>
          <w:color w:val="000000"/>
          <w:lang w:val="es-ES"/>
        </w:rPr>
      </w:pPr>
    </w:p>
    <w:p w14:paraId="6A336679" w14:textId="77777777" w:rsidR="00D859A4" w:rsidRPr="00D859A4" w:rsidRDefault="00D859A4" w:rsidP="00D859A4">
      <w:pPr>
        <w:shd w:val="clear" w:color="auto" w:fill="FFFFFF"/>
        <w:spacing w:after="120" w:line="276" w:lineRule="auto"/>
        <w:jc w:val="both"/>
        <w:rPr>
          <w:rFonts w:ascii="Century Gothic" w:eastAsia="Calibri" w:hAnsi="Century Gothic" w:cs="Arial"/>
          <w:color w:val="000000"/>
        </w:rPr>
      </w:pPr>
      <w:r w:rsidRPr="00D859A4">
        <w:rPr>
          <w:rFonts w:ascii="Century Gothic" w:eastAsia="Calibri" w:hAnsi="Century Gothic" w:cs="Arial"/>
          <w:color w:val="000000"/>
        </w:rPr>
        <w:t>La Agencia Nacional de Contratación Pública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50EF2645" w14:textId="77777777" w:rsidR="00D859A4" w:rsidRPr="00D859A4" w:rsidRDefault="00D859A4" w:rsidP="00D859A4">
      <w:pPr>
        <w:shd w:val="clear" w:color="auto" w:fill="FFFFFF"/>
        <w:spacing w:after="120" w:line="276" w:lineRule="auto"/>
        <w:ind w:firstLine="708"/>
        <w:jc w:val="both"/>
        <w:rPr>
          <w:rFonts w:ascii="Century Gothic" w:eastAsia="Calibri" w:hAnsi="Century Gothic" w:cs="Arial"/>
          <w:color w:val="000000"/>
        </w:rPr>
      </w:pPr>
      <w:r w:rsidRPr="00D859A4">
        <w:rPr>
          <w:rFonts w:ascii="Century Gothic" w:eastAsia="Calibri" w:hAnsi="Century Gothic"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019BF7A4" w14:textId="77777777" w:rsidR="00D859A4" w:rsidRPr="00D859A4" w:rsidRDefault="00D859A4" w:rsidP="00D859A4">
      <w:pPr>
        <w:shd w:val="clear" w:color="auto" w:fill="FFFFFF"/>
        <w:spacing w:after="120" w:line="276" w:lineRule="auto"/>
        <w:jc w:val="both"/>
        <w:rPr>
          <w:rFonts w:ascii="Century Gothic" w:eastAsia="Calibri" w:hAnsi="Century Gothic" w:cs="Arial"/>
          <w:bCs/>
          <w:color w:val="000000"/>
          <w:lang w:val="es-ES"/>
        </w:rPr>
      </w:pPr>
      <w:r w:rsidRPr="00D859A4">
        <w:rPr>
          <w:rFonts w:ascii="Century Gothic" w:eastAsia="Calibri" w:hAnsi="Century Gothic" w:cs="Arial"/>
          <w:color w:val="000000"/>
        </w:rPr>
        <w:tab/>
        <w:t>En este contexto, la Subdirección de Gestión Contractual, dentro de los límites de sus atribuciones, resolverá la consulta conforme a las normas generales en materia de contratación estatal. Con este objetivo se analizarán</w:t>
      </w:r>
      <w:r w:rsidRPr="00D859A4">
        <w:rPr>
          <w:rFonts w:ascii="Century Gothic" w:eastAsia="Calibri" w:hAnsi="Century Gothic" w:cs="Arial"/>
          <w:color w:val="000000"/>
          <w:lang w:val="es-ES"/>
        </w:rPr>
        <w:t xml:space="preserve"> los siguientes temas: </w:t>
      </w:r>
      <w:r w:rsidRPr="00D859A4">
        <w:rPr>
          <w:rFonts w:ascii="Century Gothic" w:eastAsia="Calibri" w:hAnsi="Century Gothic" w:cs="Arial"/>
          <w:color w:val="000000"/>
          <w:lang w:val="es-ES_tradnl"/>
        </w:rPr>
        <w:t xml:space="preserve">i) fundamento normativo y ámbito de aplicación de los documentos tipo, y </w:t>
      </w:r>
      <w:proofErr w:type="spellStart"/>
      <w:r w:rsidRPr="00D859A4">
        <w:rPr>
          <w:rFonts w:ascii="Century Gothic" w:eastAsia="Calibri" w:hAnsi="Century Gothic" w:cs="Arial"/>
          <w:color w:val="000000"/>
          <w:lang w:val="es-ES_tradnl"/>
        </w:rPr>
        <w:t>ii</w:t>
      </w:r>
      <w:proofErr w:type="spellEnd"/>
      <w:r w:rsidRPr="00D859A4">
        <w:rPr>
          <w:rFonts w:ascii="Century Gothic" w:eastAsia="Calibri" w:hAnsi="Century Gothic" w:cs="Arial"/>
          <w:color w:val="000000"/>
          <w:lang w:val="es-ES_tradnl"/>
        </w:rPr>
        <w:t>)</w:t>
      </w:r>
      <w:r w:rsidRPr="00D859A4">
        <w:rPr>
          <w:rFonts w:ascii="Century Gothic" w:eastAsia="Calibri" w:hAnsi="Century Gothic" w:cs="Arial"/>
          <w:color w:val="000000"/>
          <w:kern w:val="2"/>
          <w:lang w:val="es-ES_tradnl"/>
          <w14:ligatures w14:val="standardContextual"/>
        </w:rPr>
        <w:t xml:space="preserve"> acreditación de experiencia en los documentos tipo de licitación de obra pública de infraestructura de transporte –versión 3–.</w:t>
      </w:r>
    </w:p>
    <w:p w14:paraId="5778087F" w14:textId="77777777" w:rsidR="00D859A4" w:rsidRPr="00D859A4" w:rsidRDefault="00D859A4" w:rsidP="00D859A4">
      <w:pPr>
        <w:shd w:val="clear" w:color="auto" w:fill="FFFFFF"/>
        <w:spacing w:after="0" w:line="276" w:lineRule="auto"/>
        <w:ind w:firstLine="708"/>
        <w:jc w:val="both"/>
        <w:rPr>
          <w:rFonts w:ascii="Century Gothic" w:eastAsia="Calibri" w:hAnsi="Century Gothic" w:cs="Arial"/>
          <w:color w:val="000000"/>
          <w:kern w:val="2"/>
          <w14:ligatures w14:val="standardContextual"/>
        </w:rPr>
      </w:pPr>
      <w:r w:rsidRPr="00D859A4">
        <w:rPr>
          <w:rFonts w:ascii="Century Gothic" w:eastAsia="Calibri" w:hAnsi="Century Gothic" w:cs="Arial"/>
          <w:color w:val="000000"/>
          <w:kern w:val="2"/>
          <w14:ligatures w14:val="standardContextual"/>
        </w:rPr>
        <w:t>La Agencia Nacional de Contratación Pública – Colombia Compra Eficiente se ha pronunciado</w:t>
      </w:r>
      <w:r w:rsidRPr="00D859A4">
        <w:rPr>
          <w:rFonts w:ascii="Aptos" w:eastAsia="Aptos" w:hAnsi="Aptos" w:cs="Times New Roman"/>
          <w:kern w:val="2"/>
          <w:lang w:val="es-ES_tradnl"/>
          <w14:ligatures w14:val="standardContextual"/>
        </w:rPr>
        <w:t xml:space="preserve"> </w:t>
      </w:r>
      <w:r w:rsidRPr="00D859A4">
        <w:rPr>
          <w:rFonts w:ascii="Century Gothic" w:eastAsia="Calibri" w:hAnsi="Century Gothic" w:cs="Arial"/>
          <w:color w:val="000000"/>
          <w:kern w:val="2"/>
          <w14:ligatures w14:val="standardContextual"/>
        </w:rPr>
        <w:t xml:space="preserve">sobre la forma de establecer y acreditar la experiencia exigible en procesos de contratación de obra pública de infraestructura de transporte que aplican documentos tipo, en los conceptos C-056  del 8 de enero de 2020, C-069 del 24 de enero de 2020, C-097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w:t>
      </w:r>
      <w:r w:rsidRPr="00D859A4">
        <w:rPr>
          <w:rFonts w:ascii="Century Gothic" w:eastAsia="Calibri" w:hAnsi="Century Gothic" w:cs="Arial"/>
          <w:color w:val="000000"/>
          <w:kern w:val="2"/>
          <w14:ligatures w14:val="standardContextual"/>
        </w:rPr>
        <w:lastRenderedPageBreak/>
        <w:t>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 C-698 del 19 de noviembre de 2020, C-697 del 2 de diciembre de 2020,</w:t>
      </w:r>
      <w:r w:rsidRPr="00D859A4">
        <w:rPr>
          <w:rFonts w:ascii="Aptos" w:eastAsia="Aptos" w:hAnsi="Aptos" w:cs="Times New Roman"/>
          <w:kern w:val="2"/>
          <w:lang w:val="es-ES_tradnl"/>
          <w14:ligatures w14:val="standardContextual"/>
        </w:rPr>
        <w:t xml:space="preserve"> </w:t>
      </w:r>
      <w:r w:rsidRPr="00D859A4">
        <w:rPr>
          <w:rFonts w:ascii="Century Gothic" w:eastAsia="Calibri" w:hAnsi="Century Gothic" w:cs="Arial"/>
          <w:color w:val="000000"/>
          <w:kern w:val="2"/>
          <w14:ligatures w14:val="standardContextual"/>
        </w:rPr>
        <w:t>C-804 del 1 de febrero de 2021, C-018 del 23 de febrero de 2021 y C-053 del 28 de marzo de 2023, entre otros</w:t>
      </w:r>
      <w:r w:rsidRPr="00D859A4">
        <w:rPr>
          <w:rFonts w:ascii="Century Gothic" w:eastAsia="Aptos" w:hAnsi="Century Gothic" w:cs="Arial"/>
          <w:color w:val="000000"/>
          <w:kern w:val="2"/>
          <w:vertAlign w:val="superscript"/>
          <w:lang w:val="es-ES_tradnl"/>
          <w14:ligatures w14:val="standardContextual"/>
        </w:rPr>
        <w:footnoteReference w:id="2"/>
      </w:r>
      <w:r w:rsidRPr="00D859A4">
        <w:rPr>
          <w:rFonts w:ascii="Century Gothic" w:eastAsia="Calibri" w:hAnsi="Century Gothic" w:cs="Arial"/>
          <w:bCs/>
          <w:kern w:val="2"/>
          <w:lang w:val="es-MX"/>
          <w14:ligatures w14:val="standardContextual"/>
        </w:rPr>
        <w:t>.</w:t>
      </w:r>
      <w:r w:rsidRPr="00D859A4">
        <w:rPr>
          <w:rFonts w:ascii="Century Gothic" w:eastAsia="Calibri" w:hAnsi="Century Gothic" w:cs="Arial"/>
          <w:color w:val="000000"/>
          <w:kern w:val="2"/>
          <w14:ligatures w14:val="standardContextual"/>
        </w:rPr>
        <w:t xml:space="preserve"> Las tesis propuestas en estos conceptos se reiteran a continuación y se complementan en lo pertinente, de acuerdo con las preguntas realizadas.  </w:t>
      </w:r>
    </w:p>
    <w:p w14:paraId="32EAD9A3" w14:textId="77777777" w:rsidR="00D859A4" w:rsidRPr="00D859A4" w:rsidRDefault="00D859A4" w:rsidP="00D859A4">
      <w:pPr>
        <w:shd w:val="clear" w:color="auto" w:fill="FFFFFF"/>
        <w:spacing w:after="0" w:line="276" w:lineRule="auto"/>
        <w:ind w:firstLine="709"/>
        <w:jc w:val="both"/>
        <w:rPr>
          <w:rFonts w:ascii="Century Gothic" w:eastAsia="Calibri" w:hAnsi="Century Gothic" w:cs="Arial"/>
          <w:color w:val="000000"/>
        </w:rPr>
      </w:pPr>
    </w:p>
    <w:p w14:paraId="76AC1DED" w14:textId="77777777" w:rsidR="00D859A4" w:rsidRPr="00D859A4" w:rsidRDefault="00D859A4" w:rsidP="00D859A4">
      <w:pPr>
        <w:spacing w:after="0" w:line="276" w:lineRule="auto"/>
        <w:contextualSpacing/>
        <w:jc w:val="both"/>
        <w:rPr>
          <w:rFonts w:ascii="Century Gothic" w:eastAsia="Arial" w:hAnsi="Century Gothic" w:cs="Arial"/>
          <w:b/>
          <w:bCs/>
          <w:lang w:val="es-ES_tradnl" w:eastAsia="es-ES_tradnl"/>
        </w:rPr>
      </w:pPr>
      <w:r w:rsidRPr="00D859A4">
        <w:rPr>
          <w:rFonts w:ascii="Century Gothic" w:eastAsia="Arial" w:hAnsi="Century Gothic" w:cs="Arial"/>
          <w:b/>
          <w:bCs/>
          <w:lang w:val="es-ES_tradnl" w:eastAsia="es-ES_tradnl"/>
        </w:rPr>
        <w:t xml:space="preserve">2.1. </w:t>
      </w:r>
      <w:bookmarkStart w:id="5" w:name="_Hlk110852287"/>
      <w:r w:rsidRPr="00D859A4">
        <w:rPr>
          <w:rFonts w:ascii="Century Gothic" w:eastAsia="Arial" w:hAnsi="Century Gothic" w:cs="Arial"/>
          <w:b/>
          <w:bCs/>
          <w:lang w:val="es-ES_tradnl" w:eastAsia="es-ES_tradnl"/>
        </w:rPr>
        <w:t xml:space="preserve">Fundamento normativo y ámbito de aplicación de los documentos tipo </w:t>
      </w:r>
      <w:bookmarkEnd w:id="5"/>
    </w:p>
    <w:p w14:paraId="4404F386" w14:textId="77777777" w:rsidR="00D859A4" w:rsidRPr="00D859A4" w:rsidRDefault="00D859A4" w:rsidP="00D859A4">
      <w:pPr>
        <w:spacing w:after="0" w:line="240" w:lineRule="auto"/>
        <w:contextualSpacing/>
        <w:jc w:val="both"/>
        <w:rPr>
          <w:rFonts w:ascii="Century Gothic" w:eastAsia="Arial" w:hAnsi="Century Gothic" w:cs="Arial"/>
          <w:b/>
          <w:bCs/>
          <w:lang w:val="es-ES_tradnl" w:eastAsia="es-ES_tradnl"/>
        </w:rPr>
      </w:pPr>
    </w:p>
    <w:p w14:paraId="0CFF4136" w14:textId="77777777" w:rsidR="00D859A4" w:rsidRPr="00D859A4" w:rsidRDefault="00D859A4" w:rsidP="00D859A4">
      <w:pPr>
        <w:spacing w:after="120" w:line="276" w:lineRule="auto"/>
        <w:jc w:val="both"/>
        <w:rPr>
          <w:rFonts w:ascii="Century Gothic" w:eastAsia="Calibri" w:hAnsi="Century Gothic" w:cs="Arial"/>
          <w:color w:val="000000"/>
          <w:szCs w:val="24"/>
          <w:lang w:val="es-ES" w:eastAsia="es-ES_tradnl"/>
        </w:rPr>
      </w:pPr>
      <w:bookmarkStart w:id="6" w:name="_Hlk113022941"/>
      <w:r w:rsidRPr="00D859A4">
        <w:rPr>
          <w:rFonts w:ascii="Century Gothic" w:eastAsia="Calibri" w:hAnsi="Century Gothic" w:cs="Arial"/>
          <w:color w:val="000000"/>
          <w:szCs w:val="24"/>
          <w:lang w:val="es-ES" w:eastAsia="es-ES_tradnl"/>
        </w:rPr>
        <w:t>La adopción de los documentos tipo obligatorios en el ordenamiento jurídico colombiano se incluyó por primera vez en el parágrafo 3 del artículo 2 de la Ley 1150 de 2007</w:t>
      </w:r>
      <w:r w:rsidRPr="00D859A4">
        <w:rPr>
          <w:rFonts w:ascii="Century Gothic" w:eastAsia="Calibri" w:hAnsi="Century Gothic" w:cs="Arial"/>
          <w:color w:val="000000"/>
          <w:szCs w:val="24"/>
          <w:vertAlign w:val="superscript"/>
          <w:lang w:val="es-ES" w:eastAsia="es-ES_tradnl"/>
        </w:rPr>
        <w:footnoteReference w:id="3"/>
      </w:r>
      <w:r w:rsidRPr="00D859A4">
        <w:rPr>
          <w:rFonts w:ascii="Century Gothic" w:eastAsia="Calibri" w:hAnsi="Century Gothic"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14:paraId="37756CD0" w14:textId="77777777" w:rsidR="00D859A4" w:rsidRPr="00D859A4" w:rsidRDefault="00D859A4" w:rsidP="00D859A4">
      <w:pPr>
        <w:spacing w:after="120" w:line="276" w:lineRule="auto"/>
        <w:ind w:firstLine="708"/>
        <w:jc w:val="both"/>
        <w:rPr>
          <w:rFonts w:ascii="Century Gothic" w:eastAsia="Calibri" w:hAnsi="Century Gothic" w:cs="Arial"/>
          <w:color w:val="000000"/>
          <w:szCs w:val="24"/>
          <w:lang w:val="es-ES" w:eastAsia="es-ES_tradnl"/>
        </w:rPr>
      </w:pPr>
      <w:r w:rsidRPr="00D859A4">
        <w:rPr>
          <w:rFonts w:ascii="Century Gothic" w:eastAsia="Calibri" w:hAnsi="Century Gothic" w:cs="Arial"/>
          <w:color w:val="000000"/>
          <w:szCs w:val="24"/>
          <w:lang w:val="es-ES" w:eastAsia="es-ES_tradnl"/>
        </w:rPr>
        <w:t xml:space="preserve">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w:t>
      </w:r>
      <w:r w:rsidRPr="00D859A4">
        <w:rPr>
          <w:rFonts w:ascii="Century Gothic" w:eastAsia="Calibri" w:hAnsi="Century Gothic" w:cs="Arial"/>
          <w:color w:val="000000"/>
          <w:szCs w:val="24"/>
          <w:lang w:val="es-ES" w:eastAsia="es-ES_tradnl"/>
        </w:rPr>
        <w:lastRenderedPageBreak/>
        <w:t>todas las entidades sometidas al Estatuto General de Contratación de la Administración Pública en los procesos de selección que adelantaran</w:t>
      </w:r>
      <w:r w:rsidRPr="00D859A4">
        <w:rPr>
          <w:rFonts w:ascii="Century Gothic" w:eastAsia="Calibri" w:hAnsi="Century Gothic" w:cs="Arial"/>
          <w:color w:val="000000"/>
          <w:szCs w:val="24"/>
          <w:vertAlign w:val="superscript"/>
          <w:lang w:val="es-ES" w:eastAsia="es-ES_tradnl"/>
        </w:rPr>
        <w:footnoteReference w:id="4"/>
      </w:r>
      <w:r w:rsidRPr="00D859A4">
        <w:rPr>
          <w:rFonts w:ascii="Century Gothic" w:eastAsia="Calibri" w:hAnsi="Century Gothic" w:cs="Arial"/>
          <w:color w:val="000000"/>
          <w:szCs w:val="24"/>
          <w:lang w:val="es-ES" w:eastAsia="es-ES_tradnl"/>
        </w:rPr>
        <w:t>.</w:t>
      </w:r>
    </w:p>
    <w:p w14:paraId="2EDC4A3F" w14:textId="77777777" w:rsidR="00D859A4" w:rsidRPr="00D859A4" w:rsidRDefault="00D859A4" w:rsidP="00D859A4">
      <w:pPr>
        <w:spacing w:before="120" w:after="120" w:line="276" w:lineRule="auto"/>
        <w:jc w:val="both"/>
        <w:rPr>
          <w:rFonts w:ascii="Century Gothic" w:eastAsia="Calibri" w:hAnsi="Century Gothic" w:cs="Arial"/>
          <w:color w:val="000000"/>
          <w:szCs w:val="24"/>
          <w:lang w:val="es-ES" w:eastAsia="es-ES_tradnl"/>
        </w:rPr>
      </w:pPr>
      <w:r w:rsidRPr="00D859A4">
        <w:rPr>
          <w:rFonts w:ascii="Century Gothic" w:eastAsia="Calibri" w:hAnsi="Century Gothic"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4190ED4" w14:textId="77777777" w:rsidR="00D859A4" w:rsidRPr="00D859A4" w:rsidRDefault="00D859A4" w:rsidP="00D859A4">
      <w:pPr>
        <w:spacing w:before="120" w:after="120" w:line="276" w:lineRule="auto"/>
        <w:jc w:val="both"/>
        <w:rPr>
          <w:rFonts w:ascii="Century Gothic" w:eastAsia="Calibri" w:hAnsi="Century Gothic" w:cs="Arial"/>
          <w:color w:val="000000"/>
          <w:szCs w:val="24"/>
          <w:lang w:val="es-ES" w:eastAsia="es-ES_tradnl"/>
        </w:rPr>
      </w:pPr>
      <w:r w:rsidRPr="00D859A4">
        <w:rPr>
          <w:rFonts w:ascii="Century Gothic" w:eastAsia="Calibri" w:hAnsi="Century Gothic" w:cs="Arial"/>
          <w:color w:val="000000"/>
          <w:szCs w:val="24"/>
          <w:lang w:val="es-ES" w:eastAsia="es-ES_tradnl"/>
        </w:rPr>
        <w:tab/>
        <w:t xml:space="preserve">De la norma descrita se concluía lo siguiente: i) la adopción de los documentos tipo estaba en cabeza del gobierno nacional; </w:t>
      </w:r>
      <w:proofErr w:type="spellStart"/>
      <w:r w:rsidRPr="00D859A4">
        <w:rPr>
          <w:rFonts w:ascii="Century Gothic" w:eastAsia="Calibri" w:hAnsi="Century Gothic" w:cs="Arial"/>
          <w:color w:val="000000"/>
          <w:szCs w:val="24"/>
          <w:lang w:val="es-ES" w:eastAsia="es-ES_tradnl"/>
        </w:rPr>
        <w:t>ii</w:t>
      </w:r>
      <w:proofErr w:type="spellEnd"/>
      <w:r w:rsidRPr="00D859A4">
        <w:rPr>
          <w:rFonts w:ascii="Century Gothic" w:eastAsia="Calibri" w:hAnsi="Century Gothic"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D859A4">
        <w:rPr>
          <w:rFonts w:ascii="Century Gothic" w:eastAsia="Calibri" w:hAnsi="Century Gothic" w:cs="Arial"/>
          <w:color w:val="000000"/>
          <w:szCs w:val="24"/>
          <w:lang w:val="es-ES" w:eastAsia="es-ES_tradnl"/>
        </w:rPr>
        <w:t>iii</w:t>
      </w:r>
      <w:proofErr w:type="spellEnd"/>
      <w:r w:rsidRPr="00D859A4">
        <w:rPr>
          <w:rFonts w:ascii="Century Gothic" w:eastAsia="Calibri" w:hAnsi="Century Gothic"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D859A4">
        <w:rPr>
          <w:rFonts w:ascii="Century Gothic" w:eastAsia="Calibri" w:hAnsi="Century Gothic" w:cs="Arial"/>
          <w:color w:val="000000"/>
          <w:szCs w:val="24"/>
          <w:lang w:val="es-ES" w:eastAsia="es-ES_tradnl"/>
        </w:rPr>
        <w:t>iv</w:t>
      </w:r>
      <w:proofErr w:type="spellEnd"/>
      <w:r w:rsidRPr="00D859A4">
        <w:rPr>
          <w:rFonts w:ascii="Century Gothic" w:eastAsia="Calibri" w:hAnsi="Century Gothic"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w:t>
      </w:r>
      <w:r w:rsidRPr="00D859A4">
        <w:rPr>
          <w:rFonts w:ascii="Century Gothic" w:eastAsia="Calibri" w:hAnsi="Century Gothic" w:cs="Arial"/>
          <w:color w:val="000000"/>
          <w:szCs w:val="24"/>
          <w:lang w:val="es-ES" w:eastAsia="es-ES_tradnl"/>
        </w:rPr>
        <w:lastRenderedPageBreak/>
        <w:t xml:space="preserve">selección, y por último, vi) los documentos tipo serían adoptados por categorías de acuerdo con la cuantía de la contratación. </w:t>
      </w:r>
    </w:p>
    <w:p w14:paraId="605AC0D7" w14:textId="77777777" w:rsidR="00D859A4" w:rsidRPr="00D859A4" w:rsidRDefault="00D859A4" w:rsidP="00D859A4">
      <w:pPr>
        <w:spacing w:before="120" w:after="120" w:line="276" w:lineRule="auto"/>
        <w:jc w:val="both"/>
        <w:rPr>
          <w:rFonts w:ascii="Century Gothic" w:eastAsia="Calibri" w:hAnsi="Century Gothic" w:cs="Arial"/>
          <w:color w:val="000000"/>
          <w:szCs w:val="24"/>
          <w:lang w:val="es-ES" w:eastAsia="es-ES_tradnl"/>
        </w:rPr>
      </w:pPr>
      <w:r w:rsidRPr="00D859A4">
        <w:rPr>
          <w:rFonts w:ascii="Century Gothic" w:eastAsia="Calibri" w:hAnsi="Century Gothic"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D859A4">
        <w:rPr>
          <w:rFonts w:ascii="Century Gothic" w:eastAsia="Calibri" w:hAnsi="Century Gothic" w:cs="Arial"/>
          <w:color w:val="000000"/>
          <w:szCs w:val="24"/>
          <w:vertAlign w:val="superscript"/>
          <w:lang w:val="es-ES" w:eastAsia="es-ES_tradnl"/>
        </w:rPr>
        <w:footnoteReference w:id="5"/>
      </w:r>
      <w:r w:rsidRPr="00D859A4">
        <w:rPr>
          <w:rFonts w:ascii="Century Gothic" w:eastAsia="Calibri" w:hAnsi="Century Gothic" w:cs="Arial"/>
          <w:color w:val="000000"/>
          <w:szCs w:val="24"/>
          <w:lang w:val="es-ES" w:eastAsia="es-ES_tradnl"/>
        </w:rPr>
        <w:t>.</w:t>
      </w:r>
    </w:p>
    <w:p w14:paraId="14A4F28B" w14:textId="77777777" w:rsidR="00D859A4" w:rsidRPr="00D859A4" w:rsidRDefault="00D859A4" w:rsidP="00D859A4">
      <w:pPr>
        <w:spacing w:before="120" w:after="120" w:line="276" w:lineRule="auto"/>
        <w:jc w:val="both"/>
        <w:rPr>
          <w:rFonts w:ascii="Century Gothic" w:eastAsia="Calibri" w:hAnsi="Century Gothic" w:cs="Arial"/>
          <w:color w:val="000000"/>
          <w:szCs w:val="24"/>
          <w:lang w:val="es-ES" w:eastAsia="es-ES_tradnl"/>
        </w:rPr>
      </w:pPr>
      <w:r w:rsidRPr="00D859A4">
        <w:rPr>
          <w:rFonts w:ascii="Century Gothic" w:eastAsia="Calibri" w:hAnsi="Century Gothic"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6F96A55" w14:textId="77777777" w:rsidR="00D859A4" w:rsidRPr="00D859A4" w:rsidRDefault="00D859A4" w:rsidP="00D859A4">
      <w:pPr>
        <w:spacing w:before="120" w:after="120" w:line="276" w:lineRule="auto"/>
        <w:jc w:val="both"/>
        <w:rPr>
          <w:rFonts w:ascii="Century Gothic" w:eastAsia="Calibri" w:hAnsi="Century Gothic" w:cs="Arial"/>
          <w:lang w:val="es-ES"/>
        </w:rPr>
      </w:pPr>
      <w:r w:rsidRPr="00D859A4">
        <w:rPr>
          <w:rFonts w:ascii="Century Gothic" w:eastAsia="Calibri" w:hAnsi="Century Gothic"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D859A4">
        <w:rPr>
          <w:rFonts w:ascii="Century Gothic" w:eastAsia="Calibri" w:hAnsi="Century Gothic" w:cs="Arial"/>
          <w:lang w:val="es-ES"/>
        </w:rPr>
        <w:t xml:space="preserve">Dada la relevancia económica y el impacto que tienen en el nivel territorial los proyectos de obra en el sector transporte, el gobierno nacional, en vigencia del artículo 4 de </w:t>
      </w:r>
      <w:r w:rsidRPr="00D859A4">
        <w:rPr>
          <w:rFonts w:ascii="Century Gothic" w:eastAsia="Calibri" w:hAnsi="Century Gothic" w:cs="Arial"/>
          <w:lang w:val="es-ES"/>
        </w:rPr>
        <w:lastRenderedPageBreak/>
        <w:t xml:space="preserve">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970FC51" w14:textId="77777777" w:rsidR="00D859A4" w:rsidRPr="00D859A4" w:rsidRDefault="00D859A4" w:rsidP="00D859A4">
      <w:pPr>
        <w:spacing w:before="120" w:after="120" w:line="276" w:lineRule="auto"/>
        <w:jc w:val="both"/>
        <w:rPr>
          <w:rFonts w:ascii="Century Gothic" w:eastAsia="Calibri" w:hAnsi="Century Gothic" w:cs="Arial"/>
          <w:color w:val="000000"/>
          <w:lang w:val="es-ES" w:eastAsia="es-ES_tradnl"/>
        </w:rPr>
      </w:pPr>
      <w:r w:rsidRPr="00D859A4">
        <w:rPr>
          <w:rFonts w:ascii="Century Gothic" w:eastAsia="Calibri" w:hAnsi="Century Gothic"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D859A4" w:rsidDel="00A434AB">
        <w:rPr>
          <w:rFonts w:ascii="Century Gothic" w:eastAsia="Calibri" w:hAnsi="Century Gothic" w:cs="Arial"/>
          <w:lang w:val="es-ES"/>
        </w:rPr>
        <w:t xml:space="preserve"> </w:t>
      </w:r>
      <w:r w:rsidRPr="00D859A4">
        <w:rPr>
          <w:rFonts w:ascii="Century Gothic" w:eastAsia="Calibri" w:hAnsi="Century Gothic"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7E8CAD87" w14:textId="77777777" w:rsidR="00D859A4" w:rsidRPr="00D859A4" w:rsidRDefault="00D859A4" w:rsidP="00D859A4">
      <w:pPr>
        <w:spacing w:before="120" w:after="120" w:line="276" w:lineRule="auto"/>
        <w:ind w:firstLine="709"/>
        <w:jc w:val="both"/>
        <w:rPr>
          <w:rFonts w:ascii="Century Gothic" w:eastAsia="Calibri" w:hAnsi="Century Gothic" w:cs="Arial"/>
          <w:bdr w:val="none" w:sz="0" w:space="0" w:color="auto" w:frame="1"/>
        </w:rPr>
      </w:pPr>
      <w:bookmarkStart w:id="7" w:name="_Hlk143271549"/>
      <w:r w:rsidRPr="00D859A4">
        <w:rPr>
          <w:rFonts w:ascii="Century Gothic" w:eastAsia="Calibri" w:hAnsi="Century Gothic" w:cs="Arial"/>
          <w:color w:val="000000"/>
          <w:lang w:val="es-ES" w:eastAsia="es-ES"/>
        </w:rPr>
        <w:t>Por otra parte</w:t>
      </w:r>
      <w:r w:rsidRPr="00D859A4">
        <w:rPr>
          <w:rFonts w:ascii="Century Gothic" w:eastAsia="Calibri" w:hAnsi="Century Gothic" w:cs="Arial"/>
          <w:i/>
          <w:iCs/>
          <w:color w:val="000000"/>
          <w:lang w:val="es-ES" w:eastAsia="es-ES"/>
        </w:rPr>
        <w:t>,</w:t>
      </w:r>
      <w:r w:rsidRPr="00D859A4">
        <w:rPr>
          <w:rFonts w:ascii="Century Gothic" w:eastAsia="Calibri" w:hAnsi="Century Gothic" w:cs="Arial"/>
          <w:color w:val="000000"/>
          <w:lang w:val="es-ES" w:eastAsia="es-ES"/>
        </w:rPr>
        <w:t xml:space="preserve"> debe tenerse en cuenta que la Ley 2022 de 2020 fue sancionada por el </w:t>
      </w:r>
      <w:proofErr w:type="gramStart"/>
      <w:r w:rsidRPr="00D859A4">
        <w:rPr>
          <w:rFonts w:ascii="Century Gothic" w:eastAsia="Calibri" w:hAnsi="Century Gothic" w:cs="Arial"/>
          <w:color w:val="000000"/>
          <w:lang w:val="es-ES" w:eastAsia="es-ES"/>
        </w:rPr>
        <w:t>Presidente</w:t>
      </w:r>
      <w:proofErr w:type="gramEnd"/>
      <w:r w:rsidRPr="00D859A4">
        <w:rPr>
          <w:rFonts w:ascii="Century Gothic" w:eastAsia="Calibri" w:hAnsi="Century Gothic" w:cs="Arial"/>
          <w:color w:val="000000"/>
          <w:lang w:val="es-ES" w:eastAsia="es-ES"/>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D859A4">
        <w:rPr>
          <w:rFonts w:ascii="Century Gothic" w:eastAsia="Calibri" w:hAnsi="Century Gothic" w:cs="Arial"/>
          <w:color w:val="000000"/>
          <w:vertAlign w:val="superscript"/>
          <w:lang w:val="es-ES" w:eastAsia="es-ES"/>
        </w:rPr>
        <w:footnoteReference w:id="6"/>
      </w:r>
      <w:r w:rsidRPr="00D859A4">
        <w:rPr>
          <w:rFonts w:ascii="Century Gothic" w:eastAsia="Calibri" w:hAnsi="Century Gothic" w:cs="Arial"/>
          <w:color w:val="000000"/>
          <w:lang w:val="es-ES" w:eastAsia="es-ES"/>
        </w:rPr>
        <w:t xml:space="preserve">. En este sentido, con la finalidad de </w:t>
      </w:r>
      <w:r w:rsidRPr="00D859A4">
        <w:rPr>
          <w:rFonts w:ascii="Century Gothic" w:eastAsia="Calibri" w:hAnsi="Century Gothic" w:cs="Arial"/>
          <w:color w:val="000000"/>
          <w:lang w:val="es-ES" w:eastAsia="es-ES"/>
        </w:rPr>
        <w:lastRenderedPageBreak/>
        <w:t xml:space="preserve">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bookmarkEnd w:id="7"/>
    <w:p w14:paraId="75EA08DA" w14:textId="77777777" w:rsidR="00D859A4" w:rsidRPr="00D859A4" w:rsidRDefault="00D859A4" w:rsidP="00D859A4">
      <w:pPr>
        <w:spacing w:before="120" w:after="120" w:line="276" w:lineRule="auto"/>
        <w:ind w:firstLine="709"/>
        <w:jc w:val="both"/>
        <w:rPr>
          <w:rFonts w:ascii="Century Gothic" w:eastAsia="Calibri" w:hAnsi="Century Gothic" w:cs="Arial"/>
          <w:lang w:val="es-ES" w:eastAsia="es-ES"/>
        </w:rPr>
      </w:pPr>
      <w:r w:rsidRPr="00D859A4">
        <w:rPr>
          <w:rFonts w:ascii="Century Gothic" w:eastAsia="Calibri" w:hAnsi="Century Gothic"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2E629A4B" w14:textId="77777777" w:rsidR="00D859A4" w:rsidRPr="00D859A4" w:rsidRDefault="00D859A4" w:rsidP="00D859A4">
      <w:pPr>
        <w:spacing w:before="120" w:after="120" w:line="276" w:lineRule="auto"/>
        <w:ind w:firstLine="709"/>
        <w:jc w:val="both"/>
        <w:rPr>
          <w:rFonts w:ascii="Century Gothic" w:eastAsia="Calibri" w:hAnsi="Century Gothic" w:cs="Arial"/>
          <w:lang w:val="es-ES" w:eastAsia="es-ES"/>
        </w:rPr>
      </w:pPr>
      <w:r w:rsidRPr="00D859A4">
        <w:rPr>
          <w:rFonts w:ascii="Century Gothic" w:eastAsia="Calibri" w:hAnsi="Century Gothic"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17C5F5E8" w14:textId="77777777" w:rsidR="00D859A4" w:rsidRPr="00D859A4" w:rsidRDefault="00D859A4" w:rsidP="00D859A4">
      <w:pPr>
        <w:spacing w:before="120" w:after="120" w:line="276" w:lineRule="auto"/>
        <w:ind w:firstLine="709"/>
        <w:jc w:val="both"/>
        <w:rPr>
          <w:rFonts w:ascii="Century Gothic" w:eastAsia="Calibri" w:hAnsi="Century Gothic" w:cs="Arial"/>
        </w:rPr>
      </w:pPr>
      <w:r w:rsidRPr="00D859A4">
        <w:rPr>
          <w:rFonts w:ascii="Century Gothic" w:eastAsia="Calibri" w:hAnsi="Century Gothic" w:cs="Arial"/>
          <w:color w:val="000000"/>
          <w:lang w:val="es-ES" w:eastAsia="es-ES"/>
        </w:rPr>
        <w:lastRenderedPageBreak/>
        <w:t xml:space="preserve">Asimismo, en el transcurso del año 2021, esta Agencia expidió la Resolución 193 del 14 de julio de 2021, “Por la cual se adoptan los documentos tipo para los procesos de </w:t>
      </w:r>
      <w:r w:rsidRPr="00D859A4">
        <w:rPr>
          <w:rFonts w:ascii="Century Gothic" w:eastAsia="Calibri" w:hAnsi="Century Gothic"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D859A4">
        <w:rPr>
          <w:rFonts w:ascii="Century Gothic" w:eastAsia="Calibri" w:hAnsi="Century Gothic" w:cs="Arial"/>
          <w:bCs/>
          <w:iCs/>
          <w:shd w:val="clear" w:color="auto" w:fill="FFFFFF"/>
        </w:rPr>
        <w:t>Por la cual se adoptan los documentos tipo complementarios para los procesos de licitación de obra pública de infraestructura social relacionados con el sector salud</w:t>
      </w:r>
      <w:r w:rsidRPr="00D859A4">
        <w:rPr>
          <w:rFonts w:ascii="Century Gothic" w:eastAsia="Calibri" w:hAnsi="Century Gothic" w:cs="Arial"/>
          <w:lang w:val="es-ES" w:eastAsia="es-ES"/>
        </w:rPr>
        <w:t>”. Luego, se expidió la Resolución 454 del 16 de diciembre de 2021, “</w:t>
      </w:r>
      <w:r w:rsidRPr="00D859A4">
        <w:rPr>
          <w:rFonts w:ascii="Century Gothic" w:eastAsia="Calibri" w:hAnsi="Century Gothic" w:cs="Arial"/>
        </w:rPr>
        <w:t>Por la cual se adoptan los documentos tipo complementarios para los procesos de licitación de obra pública de infraestructura social relacionados con el sector cultura, recreación y deporte</w:t>
      </w:r>
      <w:r w:rsidRPr="00D859A4">
        <w:rPr>
          <w:rFonts w:ascii="Century Gothic" w:eastAsia="Calibri" w:hAnsi="Century Gothic" w:cs="Arial"/>
          <w:lang w:val="es-ES" w:eastAsia="es-ES"/>
        </w:rPr>
        <w:t>”</w:t>
      </w:r>
      <w:r w:rsidRPr="00D859A4">
        <w:rPr>
          <w:rFonts w:ascii="Century Gothic" w:eastAsia="Calibri" w:hAnsi="Century Gothic" w:cs="Arial"/>
        </w:rPr>
        <w:t>.</w:t>
      </w:r>
    </w:p>
    <w:p w14:paraId="207783C6" w14:textId="77777777" w:rsidR="00D859A4" w:rsidRPr="00D859A4" w:rsidRDefault="00D859A4" w:rsidP="00D859A4">
      <w:pPr>
        <w:spacing w:before="120" w:after="120" w:line="276" w:lineRule="auto"/>
        <w:ind w:firstLine="709"/>
        <w:jc w:val="both"/>
        <w:rPr>
          <w:rFonts w:ascii="Century Gothic" w:eastAsia="Times New Roman" w:hAnsi="Century Gothic" w:cs="Arial"/>
          <w:bdr w:val="none" w:sz="0" w:space="0" w:color="auto" w:frame="1"/>
          <w:lang w:val="es-ES_tradnl" w:eastAsia="es-CO"/>
        </w:rPr>
      </w:pPr>
      <w:r w:rsidRPr="00D859A4">
        <w:rPr>
          <w:rFonts w:ascii="Century Gothic" w:eastAsia="Times New Roman" w:hAnsi="Century Gothic"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24070924" w14:textId="77777777" w:rsidR="00D859A4" w:rsidRPr="00D859A4" w:rsidRDefault="00D859A4" w:rsidP="00D859A4">
      <w:pPr>
        <w:spacing w:before="120" w:after="120" w:line="276" w:lineRule="auto"/>
        <w:ind w:firstLine="709"/>
        <w:jc w:val="both"/>
        <w:rPr>
          <w:rFonts w:ascii="Century Gothic" w:eastAsia="Calibri" w:hAnsi="Century Gothic" w:cs="Arial"/>
          <w:lang w:val="es-ES" w:eastAsia="es-ES"/>
        </w:rPr>
      </w:pPr>
      <w:r w:rsidRPr="00D859A4">
        <w:rPr>
          <w:rFonts w:ascii="Century Gothic" w:eastAsia="Calibri" w:hAnsi="Century Gothic" w:cs="Arial"/>
          <w:lang w:val="es-ES"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3CF6651F" w14:textId="77777777" w:rsidR="00D859A4" w:rsidRPr="00D859A4" w:rsidRDefault="00D859A4" w:rsidP="00D859A4">
      <w:pPr>
        <w:spacing w:after="0" w:line="276" w:lineRule="auto"/>
        <w:ind w:firstLine="709"/>
        <w:jc w:val="both"/>
        <w:rPr>
          <w:rFonts w:ascii="Century Gothic" w:eastAsia="Calibri" w:hAnsi="Century Gothic" w:cs="Arial"/>
          <w:spacing w:val="2"/>
          <w:lang w:eastAsia="es-CO"/>
        </w:rPr>
      </w:pPr>
      <w:r w:rsidRPr="00D859A4">
        <w:rPr>
          <w:rFonts w:ascii="Century Gothic" w:eastAsia="Calibri" w:hAnsi="Century Gothic" w:cs="Arial"/>
          <w:spacing w:val="2"/>
          <w:lang w:eastAsia="es-CO"/>
        </w:rPr>
        <w:t xml:space="preserve">Con posterioridad, el Decreto 1860 de 2021 modificó </w:t>
      </w:r>
      <w:r w:rsidRPr="00D859A4">
        <w:rPr>
          <w:rFonts w:ascii="Century Gothic" w:eastAsia="Arial" w:hAnsi="Century Gothic" w:cs="Arial"/>
          <w:szCs w:val="24"/>
          <w:lang w:eastAsia="es-CO"/>
        </w:rPr>
        <w:t xml:space="preserve">el Decreto 1082 de 2015, Único Reglamentario del Sector Administrativo de Planeación Nacional, incorporando una regulación detallada de la Ley 2069 de 2020 para su efectiva </w:t>
      </w:r>
      <w:r w:rsidRPr="00D859A4">
        <w:rPr>
          <w:rFonts w:ascii="Century Gothic" w:eastAsia="Arial" w:hAnsi="Century Gothic" w:cs="Arial"/>
          <w:szCs w:val="24"/>
          <w:lang w:eastAsia="es-CO"/>
        </w:rPr>
        <w:lastRenderedPageBreak/>
        <w:t xml:space="preserve">implementación en el sistema de compras y contratación pública, </w:t>
      </w:r>
      <w:r w:rsidRPr="00D859A4">
        <w:rPr>
          <w:rFonts w:ascii="Century Gothic" w:eastAsia="Times New Roman" w:hAnsi="Century Gothic" w:cs="Arial"/>
          <w:szCs w:val="24"/>
          <w:lang w:eastAsia="es-MX"/>
        </w:rPr>
        <w:t>además de incluir algunas disposiciones adicionales para la reglamentación efectiva de la citada Ley.</w:t>
      </w:r>
      <w:r w:rsidRPr="00D859A4">
        <w:rPr>
          <w:rFonts w:ascii="Century Gothic" w:eastAsia="Arial" w:hAnsi="Century Gothic" w:cs="Arial"/>
          <w:szCs w:val="24"/>
          <w:lang w:eastAsia="es-CO"/>
        </w:rPr>
        <w:t xml:space="preserve"> </w:t>
      </w:r>
      <w:r w:rsidRPr="00D859A4">
        <w:rPr>
          <w:rFonts w:ascii="Century Gothic" w:eastAsia="Times New Roman" w:hAnsi="Century Gothic"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D859A4">
        <w:rPr>
          <w:rFonts w:ascii="Century Gothic" w:eastAsia="Calibri" w:hAnsi="Century Gothic"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53923532" w14:textId="77777777" w:rsidR="00D859A4" w:rsidRPr="00D859A4" w:rsidRDefault="00D859A4" w:rsidP="00D859A4">
      <w:pPr>
        <w:spacing w:before="120" w:after="0" w:line="276" w:lineRule="auto"/>
        <w:ind w:firstLine="709"/>
        <w:jc w:val="both"/>
        <w:rPr>
          <w:rFonts w:ascii="Century Gothic" w:eastAsia="Calibri" w:hAnsi="Century Gothic" w:cs="Arial"/>
          <w:spacing w:val="2"/>
          <w:lang w:eastAsia="es-CO"/>
        </w:rPr>
      </w:pPr>
      <w:r w:rsidRPr="00D859A4">
        <w:rPr>
          <w:rFonts w:ascii="Century Gothic" w:eastAsia="Calibri" w:hAnsi="Century Gothic" w:cs="Arial"/>
          <w:spacing w:val="2"/>
          <w:lang w:eastAsia="es-CO"/>
        </w:rPr>
        <w:t>Por lo demás,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y la Resolución 625 del 16 de diciembre del 2022, "Por la cual se actualizan los documentos tipo para los procesos de obra pública de infraestructura de transporte que se adelanten por la modalidad de mínima cuantía y se deroga la Resolución 094 de 2020"</w:t>
      </w:r>
      <w:r w:rsidRPr="00D859A4">
        <w:rPr>
          <w:rFonts w:ascii="Century Gothic" w:eastAsia="Calibri" w:hAnsi="Century Gothic" w:cs="Arial"/>
          <w:spacing w:val="2"/>
          <w:vertAlign w:val="superscript"/>
          <w:lang w:eastAsia="es-CO"/>
        </w:rPr>
        <w:footnoteReference w:id="7"/>
      </w:r>
      <w:r w:rsidRPr="00D859A4">
        <w:rPr>
          <w:rFonts w:ascii="Century Gothic" w:eastAsia="Calibri" w:hAnsi="Century Gothic" w:cs="Arial"/>
          <w:spacing w:val="2"/>
          <w:lang w:eastAsia="es-CO"/>
        </w:rPr>
        <w:t xml:space="preserve">. </w:t>
      </w:r>
    </w:p>
    <w:p w14:paraId="2B0F9E53" w14:textId="77777777" w:rsidR="00D859A4" w:rsidRPr="00D859A4" w:rsidRDefault="00D859A4" w:rsidP="00D859A4">
      <w:pPr>
        <w:spacing w:before="120" w:after="0" w:line="276" w:lineRule="auto"/>
        <w:ind w:firstLine="709"/>
        <w:jc w:val="both"/>
        <w:rPr>
          <w:rFonts w:ascii="Century Gothic" w:eastAsia="Calibri" w:hAnsi="Century Gothic" w:cs="Arial"/>
          <w:spacing w:val="2"/>
          <w:lang w:eastAsia="es-CO"/>
        </w:rPr>
      </w:pPr>
      <w:r w:rsidRPr="00D859A4">
        <w:rPr>
          <w:rFonts w:ascii="Century Gothic" w:eastAsia="Calibri" w:hAnsi="Century Gothic" w:cs="Arial"/>
          <w:spacing w:val="2"/>
          <w:lang w:eastAsia="es-CO"/>
        </w:rPr>
        <w:t xml:space="preserve">Para efectos del artículo 95 de la Ley 2166 de 2021, Colombia Compra Eficiente también expidió la Resolución 358 del 30 de junio de 2023, “Por la cual se adopta el documento tipo para la contratación directa de convenios solidarios para la ejecución de obras hasta la menor cuantía con organismos de acción comunal”. </w:t>
      </w:r>
      <w:r w:rsidRPr="00D859A4">
        <w:rPr>
          <w:rFonts w:ascii="Century Gothic" w:eastAsia="Calibri" w:hAnsi="Century Gothic" w:cs="Arial"/>
          <w:spacing w:val="2"/>
          <w:kern w:val="2"/>
          <w:lang w:val="es-ES_tradnl" w:eastAsia="es-CO"/>
          <w14:ligatures w14:val="standardContextual"/>
        </w:rPr>
        <w:t>Finalmente, la Agencia expidió la Resolución 798 de 2023,</w:t>
      </w:r>
      <w:r w:rsidRPr="00D859A4">
        <w:rPr>
          <w:rFonts w:ascii="Aptos" w:eastAsia="Aptos" w:hAnsi="Aptos" w:cs="Times New Roman"/>
          <w:kern w:val="2"/>
          <w:lang w:val="es-ES_tradnl"/>
          <w14:ligatures w14:val="standardContextual"/>
        </w:rPr>
        <w:t xml:space="preserve"> “</w:t>
      </w:r>
      <w:r w:rsidRPr="00D859A4">
        <w:rPr>
          <w:rFonts w:ascii="Century Gothic" w:eastAsia="Calibri" w:hAnsi="Century Gothic" w:cs="Arial"/>
          <w:spacing w:val="2"/>
          <w:kern w:val="2"/>
          <w:lang w:val="es-ES_tradnl" w:eastAsia="es-CO"/>
          <w14:ligatures w14:val="standardContextual"/>
        </w:rPr>
        <w:t xml:space="preserve">Por la cual se adoptan los documentos tipo para los procesos de concurso de méritos para contratar la interventoría de obras públicas de infraestructura social; que agrupa </w:t>
      </w:r>
      <w:r w:rsidRPr="00D859A4">
        <w:rPr>
          <w:rFonts w:ascii="Century Gothic" w:eastAsia="Calibri" w:hAnsi="Century Gothic" w:cs="Arial"/>
          <w:spacing w:val="2"/>
          <w:kern w:val="2"/>
          <w:lang w:val="es-ES_tradnl" w:eastAsia="es-CO"/>
          <w14:ligatures w14:val="standardContextual"/>
        </w:rPr>
        <w:lastRenderedPageBreak/>
        <w:t xml:space="preserve">los sectores de educación, salud, cultura, recreación y deporte”. Para </w:t>
      </w:r>
      <w:proofErr w:type="gramStart"/>
      <w:r w:rsidRPr="00D859A4">
        <w:rPr>
          <w:rFonts w:ascii="Century Gothic" w:eastAsia="Calibri" w:hAnsi="Century Gothic" w:cs="Arial"/>
          <w:spacing w:val="2"/>
          <w:kern w:val="2"/>
          <w:lang w:val="es-ES_tradnl" w:eastAsia="es-CO"/>
          <w14:ligatures w14:val="standardContextual"/>
        </w:rPr>
        <w:t>mayor información</w:t>
      </w:r>
      <w:proofErr w:type="gramEnd"/>
      <w:r w:rsidRPr="00D859A4">
        <w:rPr>
          <w:rFonts w:ascii="Century Gothic" w:eastAsia="Calibri" w:hAnsi="Century Gothic" w:cs="Arial"/>
          <w:spacing w:val="2"/>
          <w:kern w:val="2"/>
          <w:lang w:val="es-ES_tradnl" w:eastAsia="es-CO"/>
          <w14:ligatures w14:val="standardContextual"/>
        </w:rPr>
        <w:t xml:space="preserve"> sobre los </w:t>
      </w:r>
      <w:r w:rsidRPr="00D859A4">
        <w:rPr>
          <w:rFonts w:ascii="Century Gothic" w:eastAsia="Calibri" w:hAnsi="Century Gothic" w:cs="Arial"/>
          <w:spacing w:val="2"/>
          <w:lang w:eastAsia="es-CO"/>
        </w:rPr>
        <w:t xml:space="preserve">actos administrativos que han implementado documentos tipo en el ordenamiento jurídico, puede consultar el siguiente enlace: </w:t>
      </w:r>
      <w:hyperlink r:id="rId12" w:history="1">
        <w:r w:rsidRPr="00D859A4">
          <w:rPr>
            <w:rFonts w:ascii="Century Gothic" w:eastAsia="Calibri" w:hAnsi="Century Gothic" w:cs="Arial"/>
            <w:color w:val="0000FF"/>
            <w:spacing w:val="2"/>
            <w:u w:val="single"/>
          </w:rPr>
          <w:t>https://www.colombiacompra.gov.co/documentos-tipo/documentos-tipo</w:t>
        </w:r>
      </w:hyperlink>
      <w:r w:rsidRPr="00D859A4">
        <w:rPr>
          <w:rFonts w:ascii="Century Gothic" w:eastAsia="Calibri" w:hAnsi="Century Gothic" w:cs="Arial"/>
          <w:spacing w:val="2"/>
          <w:lang w:eastAsia="es-CO"/>
        </w:rPr>
        <w:t xml:space="preserve">. </w:t>
      </w:r>
      <w:r w:rsidRPr="00D859A4">
        <w:rPr>
          <w:rFonts w:ascii="Century Gothic" w:eastAsia="Calibri" w:hAnsi="Century Gothic" w:cs="Arial"/>
          <w:lang w:eastAsia="en-GB"/>
        </w:rPr>
        <w:t xml:space="preserve"> </w:t>
      </w:r>
    </w:p>
    <w:bookmarkEnd w:id="6"/>
    <w:p w14:paraId="1139A3DB" w14:textId="77777777" w:rsidR="00D859A4" w:rsidRPr="00D859A4" w:rsidRDefault="00D859A4" w:rsidP="00D859A4">
      <w:pPr>
        <w:tabs>
          <w:tab w:val="left" w:pos="0"/>
        </w:tabs>
        <w:spacing w:after="0" w:line="276" w:lineRule="auto"/>
        <w:contextualSpacing/>
        <w:jc w:val="both"/>
        <w:rPr>
          <w:rFonts w:ascii="Century Gothic" w:eastAsia="Calibri" w:hAnsi="Century Gothic" w:cs="Arial"/>
          <w:b/>
          <w:lang w:val="es-ES_tradnl" w:eastAsia="es-ES_tradnl"/>
        </w:rPr>
      </w:pPr>
      <w:r w:rsidRPr="00D859A4">
        <w:rPr>
          <w:rFonts w:ascii="Century Gothic" w:eastAsia="Calibri" w:hAnsi="Century Gothic" w:cs="Arial"/>
          <w:lang w:eastAsia="en-GB"/>
        </w:rPr>
        <w:t xml:space="preserve"> </w:t>
      </w:r>
    </w:p>
    <w:p w14:paraId="6B4FC9E5" w14:textId="77777777" w:rsidR="00D859A4" w:rsidRPr="00D859A4" w:rsidRDefault="00D859A4" w:rsidP="00D859A4">
      <w:pPr>
        <w:tabs>
          <w:tab w:val="left" w:pos="0"/>
        </w:tabs>
        <w:spacing w:after="0" w:line="276" w:lineRule="auto"/>
        <w:contextualSpacing/>
        <w:jc w:val="both"/>
        <w:rPr>
          <w:rFonts w:ascii="Century Gothic" w:eastAsia="Calibri" w:hAnsi="Century Gothic" w:cs="Arial"/>
          <w:b/>
          <w:lang w:val="es-ES_tradnl" w:eastAsia="es-ES_tradnl"/>
        </w:rPr>
      </w:pPr>
      <w:r w:rsidRPr="00D859A4">
        <w:rPr>
          <w:rFonts w:ascii="Century Gothic" w:eastAsia="Calibri" w:hAnsi="Century Gothic" w:cs="Arial"/>
          <w:b/>
          <w:lang w:val="es-ES_tradnl" w:eastAsia="es-ES_tradnl"/>
        </w:rPr>
        <w:t xml:space="preserve">2.2. </w:t>
      </w:r>
      <w:bookmarkStart w:id="8" w:name="_Hlk95322387"/>
      <w:r w:rsidRPr="00D859A4">
        <w:rPr>
          <w:rFonts w:ascii="Century Gothic" w:eastAsia="Calibri" w:hAnsi="Century Gothic" w:cs="Arial"/>
          <w:b/>
          <w:lang w:val="es-ES_tradnl"/>
        </w:rPr>
        <w:t>Acreditación de la experiencia en los documentos tipo de licitación de obra pública de infraestructura de transporte –versión 3–</w:t>
      </w:r>
    </w:p>
    <w:bookmarkEnd w:id="8"/>
    <w:p w14:paraId="6F013F03" w14:textId="77777777" w:rsidR="00D859A4" w:rsidRPr="00D859A4" w:rsidRDefault="00D859A4" w:rsidP="00D859A4">
      <w:pPr>
        <w:tabs>
          <w:tab w:val="left" w:pos="0"/>
        </w:tabs>
        <w:spacing w:after="0" w:line="276" w:lineRule="auto"/>
        <w:contextualSpacing/>
        <w:jc w:val="both"/>
        <w:rPr>
          <w:rFonts w:ascii="Century Gothic" w:eastAsia="Calibri" w:hAnsi="Century Gothic" w:cs="Arial"/>
          <w:bCs/>
          <w:lang w:val="es-ES_tradnl" w:eastAsia="es-ES_tradnl"/>
        </w:rPr>
      </w:pPr>
    </w:p>
    <w:p w14:paraId="1DDB5ACA" w14:textId="77777777" w:rsidR="00D859A4" w:rsidRPr="00D859A4" w:rsidRDefault="00D859A4" w:rsidP="00D859A4">
      <w:pPr>
        <w:spacing w:after="120" w:line="276" w:lineRule="auto"/>
        <w:jc w:val="both"/>
        <w:rPr>
          <w:rFonts w:ascii="Century Gothic" w:eastAsia="Calibri" w:hAnsi="Century Gothic" w:cs="Arial"/>
          <w:lang w:val="es-MX"/>
        </w:rPr>
      </w:pPr>
      <w:bookmarkStart w:id="9" w:name="_Hlk109395818"/>
      <w:r w:rsidRPr="00D859A4">
        <w:rPr>
          <w:rFonts w:ascii="Century Gothic" w:eastAsia="Calibri" w:hAnsi="Century Gothic" w:cs="Arial"/>
          <w:lang w:val="es-MX"/>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r w:rsidRPr="00D859A4">
        <w:rPr>
          <w:rFonts w:ascii="Century Gothic" w:eastAsia="Calibri" w:hAnsi="Century Gothic" w:cs="Arial"/>
          <w:vertAlign w:val="superscript"/>
          <w:lang w:val="es-MX"/>
        </w:rPr>
        <w:footnoteReference w:id="8"/>
      </w:r>
      <w:r w:rsidRPr="00D859A4">
        <w:rPr>
          <w:rFonts w:ascii="Century Gothic" w:eastAsia="Calibri" w:hAnsi="Century Gothic" w:cs="Arial"/>
          <w:lang w:val="es-MX"/>
        </w:rPr>
        <w:t>.</w:t>
      </w:r>
    </w:p>
    <w:bookmarkEnd w:id="9"/>
    <w:p w14:paraId="0336C53D" w14:textId="77777777" w:rsidR="00D859A4" w:rsidRPr="00D859A4" w:rsidRDefault="00D859A4" w:rsidP="00D859A4">
      <w:pPr>
        <w:spacing w:after="12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w:t>
      </w:r>
      <w:r w:rsidRPr="00D859A4">
        <w:rPr>
          <w:rFonts w:ascii="Century Gothic" w:eastAsia="Calibri" w:hAnsi="Century Gothic" w:cs="Arial"/>
          <w:color w:val="000000"/>
        </w:rPr>
        <w:lastRenderedPageBreak/>
        <w:t xml:space="preserve">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67395E12" w14:textId="77777777" w:rsidR="00D859A4" w:rsidRPr="00D859A4" w:rsidRDefault="00D859A4" w:rsidP="00D859A4">
      <w:pPr>
        <w:spacing w:after="0" w:line="276" w:lineRule="auto"/>
        <w:ind w:firstLine="709"/>
        <w:jc w:val="both"/>
        <w:rPr>
          <w:rFonts w:ascii="Century Gothic" w:eastAsia="Calibri" w:hAnsi="Century Gothic" w:cs="Arial"/>
        </w:rPr>
      </w:pPr>
      <w:r w:rsidRPr="00D859A4">
        <w:rPr>
          <w:rFonts w:ascii="Century Gothic" w:eastAsia="Calibri" w:hAnsi="Century Gothic" w:cs="Arial"/>
        </w:rPr>
        <w:t xml:space="preserve">El numeral </w:t>
      </w:r>
      <w:bookmarkStart w:id="10" w:name="_Toc107994828"/>
      <w:r w:rsidRPr="00D859A4">
        <w:rPr>
          <w:rFonts w:ascii="Century Gothic" w:eastAsia="Calibri" w:hAnsi="Century Gothic" w:cs="Arial"/>
        </w:rPr>
        <w:t>3.5.1. “</w:t>
      </w:r>
      <w:r w:rsidRPr="00D859A4">
        <w:rPr>
          <w:rFonts w:ascii="Century Gothic" w:eastAsia="Calibri" w:hAnsi="Century Gothic" w:cs="Arial"/>
          <w:i/>
          <w:iCs/>
        </w:rPr>
        <w:t>DETERMINACIÓN DE LOS REQUISITOS MÍNIMOS DE EXPERIENCIA SEGÚN LA MATRIZ 1 – EXPERIENCIA</w:t>
      </w:r>
      <w:bookmarkEnd w:id="10"/>
      <w:r w:rsidRPr="00D859A4">
        <w:rPr>
          <w:rFonts w:ascii="Century Gothic" w:eastAsia="Calibri" w:hAnsi="Century Gothic" w:cs="Arial"/>
          <w:i/>
          <w:iCs/>
        </w:rPr>
        <w:t xml:space="preserve">” </w:t>
      </w:r>
      <w:r w:rsidRPr="00D859A4">
        <w:rPr>
          <w:rFonts w:ascii="Century Gothic" w:eastAsia="Calibri" w:hAnsi="Century Gothic" w:cs="Arial"/>
        </w:rPr>
        <w:t>del Documento Base de licitación pública de infraestructura de transporte, indican las consideraciones para que las entidades sometidas al Estatuto General de Contratación de la Administración Pública determinen la experiencia, basadas en la complejidad técnica del proyecto, esto es, si corresponde a: a) Proyecto de Media o Baja Complejidad o b) Proyecto de Alta Complejidad, de acuerdo con las justificaciones que deben acreditar en este aspecto y en este tema, el documento base  establece lo siguiente:</w:t>
      </w:r>
    </w:p>
    <w:p w14:paraId="1EDAB920" w14:textId="77777777" w:rsidR="00D859A4" w:rsidRPr="00D859A4" w:rsidRDefault="00D859A4" w:rsidP="00D859A4">
      <w:pPr>
        <w:spacing w:after="0" w:line="276" w:lineRule="auto"/>
        <w:jc w:val="both"/>
        <w:rPr>
          <w:rFonts w:ascii="Century Gothic" w:eastAsia="Calibri" w:hAnsi="Century Gothic" w:cs="Arial"/>
        </w:rPr>
      </w:pPr>
    </w:p>
    <w:p w14:paraId="47FCD046" w14:textId="77777777" w:rsidR="00D859A4" w:rsidRPr="00D859A4" w:rsidRDefault="00D859A4" w:rsidP="00D859A4">
      <w:pPr>
        <w:spacing w:after="0" w:line="240" w:lineRule="auto"/>
        <w:ind w:left="709" w:right="709"/>
        <w:jc w:val="both"/>
        <w:rPr>
          <w:rFonts w:ascii="Century Gothic" w:eastAsia="Calibri" w:hAnsi="Century Gothic" w:cs="Arial"/>
          <w:sz w:val="21"/>
          <w:szCs w:val="21"/>
          <w:highlight w:val="lightGray"/>
          <w:lang w:val="es-MX"/>
        </w:rPr>
      </w:pPr>
      <w:r w:rsidRPr="00D859A4">
        <w:rPr>
          <w:rFonts w:ascii="Century Gothic" w:eastAsia="Calibri" w:hAnsi="Century Gothic" w:cs="Arial"/>
          <w:sz w:val="21"/>
          <w:szCs w:val="21"/>
          <w:highlight w:val="lightGray"/>
          <w:lang w:val="es-MX"/>
        </w:rPr>
        <w:t>“[La Entidad debe indicar en esta sección las reglas de experiencia que serán requeridas en el Proceso de Contratación de acuerdo con la Matriz 1 – Experiencia. De igual forma, tiene que justificar expresa y suficientemente la implementación de las condiciones para un proyecto de baja-media o alta complejidad técnica según la Matriz 1 – Experiencia. Para tal fin, la Entidad puede tener en cuenta las siguientes variables que se señalan a modo de ejemplo, sin limitarse exclusivamente a estas, que puedan incidir en la determinación de la complejidad técnica: condiciones geográficas, geológicas, hidrológicas, climáticas, así como el alcance físico del proyecto de infraestructura de transporte].</w:t>
      </w:r>
    </w:p>
    <w:p w14:paraId="48CEEA7E" w14:textId="77777777" w:rsidR="00D859A4" w:rsidRPr="00D859A4" w:rsidRDefault="00D859A4" w:rsidP="00D859A4">
      <w:pPr>
        <w:spacing w:after="0" w:line="240" w:lineRule="auto"/>
        <w:ind w:left="709" w:right="709"/>
        <w:jc w:val="both"/>
        <w:rPr>
          <w:rFonts w:ascii="Century Gothic" w:eastAsia="Calibri" w:hAnsi="Century Gothic" w:cs="Arial"/>
          <w:sz w:val="21"/>
          <w:szCs w:val="21"/>
          <w:highlight w:val="lightGray"/>
          <w:lang w:val="es-MX"/>
        </w:rPr>
      </w:pPr>
    </w:p>
    <w:p w14:paraId="4506AE2D" w14:textId="77777777" w:rsidR="00D859A4" w:rsidRPr="00D859A4" w:rsidRDefault="00D859A4" w:rsidP="00D859A4">
      <w:pPr>
        <w:spacing w:after="0" w:line="240" w:lineRule="auto"/>
        <w:ind w:left="709" w:right="709"/>
        <w:jc w:val="both"/>
        <w:rPr>
          <w:rFonts w:ascii="Century Gothic" w:eastAsia="Calibri" w:hAnsi="Century Gothic" w:cs="Arial"/>
          <w:sz w:val="21"/>
          <w:szCs w:val="21"/>
          <w:highlight w:val="lightGray"/>
          <w:lang w:val="es-MX"/>
        </w:rPr>
      </w:pPr>
      <w:r w:rsidRPr="00D859A4">
        <w:rPr>
          <w:rFonts w:ascii="Century Gothic" w:eastAsia="Calibri" w:hAnsi="Century Gothic" w:cs="Arial"/>
          <w:sz w:val="21"/>
          <w:szCs w:val="21"/>
          <w:highlight w:val="lightGray"/>
          <w:lang w:val="es-MX"/>
        </w:rPr>
        <w:t>[La Entidad no podrá limitarse exclusivamente a la cuantía del Proceso de Contratación para establecer la complejidad técnica, pues su definición obedece a aspectos técnicos]</w:t>
      </w:r>
    </w:p>
    <w:p w14:paraId="2C54DC5A" w14:textId="77777777" w:rsidR="00D859A4" w:rsidRPr="00D859A4" w:rsidRDefault="00D859A4" w:rsidP="00D859A4">
      <w:pPr>
        <w:spacing w:after="0" w:line="240" w:lineRule="auto"/>
        <w:ind w:left="709" w:right="709"/>
        <w:jc w:val="both"/>
        <w:rPr>
          <w:rFonts w:ascii="Century Gothic" w:eastAsia="Calibri" w:hAnsi="Century Gothic" w:cs="Arial"/>
          <w:sz w:val="21"/>
          <w:szCs w:val="21"/>
          <w:highlight w:val="lightGray"/>
          <w:lang w:val="es-MX"/>
        </w:rPr>
      </w:pPr>
    </w:p>
    <w:p w14:paraId="4E9620AB" w14:textId="77777777" w:rsidR="00D859A4" w:rsidRPr="00D859A4" w:rsidRDefault="00D859A4" w:rsidP="00D859A4">
      <w:pPr>
        <w:spacing w:after="0" w:line="240" w:lineRule="auto"/>
        <w:ind w:left="709" w:right="709"/>
        <w:jc w:val="both"/>
        <w:rPr>
          <w:rFonts w:ascii="Century Gothic" w:eastAsia="Calibri" w:hAnsi="Century Gothic" w:cs="Arial"/>
          <w:sz w:val="21"/>
          <w:szCs w:val="21"/>
          <w:lang w:val="es-MX"/>
        </w:rPr>
      </w:pPr>
      <w:r w:rsidRPr="00D859A4">
        <w:rPr>
          <w:rFonts w:ascii="Century Gothic" w:eastAsia="Calibri" w:hAnsi="Century Gothic" w:cs="Arial"/>
          <w:sz w:val="21"/>
          <w:szCs w:val="21"/>
          <w:highlight w:val="lightGray"/>
          <w:lang w:val="es-MX"/>
        </w:rPr>
        <w:t xml:space="preserve">De conformidad con lo anterior, los requisitos de experiencia son: [la Entidad deberá indicar el número de la actividad a contratar y transcribir textualmente lo consignado en la Matriz 1 – Experiencia. En caso de </w:t>
      </w:r>
      <w:r w:rsidRPr="00D859A4">
        <w:rPr>
          <w:rFonts w:ascii="Century Gothic" w:eastAsia="Calibri" w:hAnsi="Century Gothic" w:cs="Arial"/>
          <w:sz w:val="21"/>
          <w:szCs w:val="21"/>
          <w:highlight w:val="lightGray"/>
          <w:lang w:val="es-MX"/>
        </w:rPr>
        <w:lastRenderedPageBreak/>
        <w:t>requerir combinar experiencia, se procederá según los lineamientos del literal A del numeral 3.5.2].</w:t>
      </w:r>
    </w:p>
    <w:p w14:paraId="70700DE5" w14:textId="77777777" w:rsidR="00D859A4" w:rsidRPr="00D859A4" w:rsidRDefault="00D859A4" w:rsidP="00D859A4">
      <w:pPr>
        <w:spacing w:after="0" w:line="240" w:lineRule="auto"/>
        <w:ind w:left="709" w:right="709"/>
        <w:jc w:val="both"/>
        <w:rPr>
          <w:rFonts w:ascii="Century Gothic" w:eastAsia="Calibri" w:hAnsi="Century Gothic" w:cs="Arial"/>
          <w:lang w:val="es-MX"/>
        </w:rPr>
      </w:pPr>
    </w:p>
    <w:p w14:paraId="15D1F8DD" w14:textId="77777777" w:rsidR="00D859A4" w:rsidRPr="00D859A4" w:rsidRDefault="00D859A4" w:rsidP="00D859A4">
      <w:pPr>
        <w:spacing w:after="12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D859A4">
        <w:rPr>
          <w:rFonts w:ascii="Century Gothic" w:eastAsia="Calibri" w:hAnsi="Century Gothic" w:cs="Arial"/>
          <w:color w:val="000000"/>
        </w:rPr>
        <w:t>ii</w:t>
      </w:r>
      <w:proofErr w:type="spellEnd"/>
      <w:r w:rsidRPr="00D859A4">
        <w:rPr>
          <w:rFonts w:ascii="Century Gothic" w:eastAsia="Calibri" w:hAnsi="Century Gothic" w:cs="Arial"/>
          <w:color w:val="000000"/>
        </w:rPr>
        <w:t xml:space="preserve">) la actividad a contratar, y </w:t>
      </w:r>
      <w:proofErr w:type="spellStart"/>
      <w:r w:rsidRPr="00D859A4">
        <w:rPr>
          <w:rFonts w:ascii="Century Gothic" w:eastAsia="Calibri" w:hAnsi="Century Gothic" w:cs="Arial"/>
          <w:color w:val="000000"/>
        </w:rPr>
        <w:t>iii</w:t>
      </w:r>
      <w:proofErr w:type="spellEnd"/>
      <w:r w:rsidRPr="00D859A4">
        <w:rPr>
          <w:rFonts w:ascii="Century Gothic" w:eastAsia="Calibri" w:hAnsi="Century Gothic" w:cs="Arial"/>
          <w:color w:val="000000"/>
        </w:rPr>
        <w:t>) la cuantía del Proceso de Contratación. No podrán exigirse actividades o cantidades distintas a las previstas en la Matriz de Experiencia.</w:t>
      </w:r>
    </w:p>
    <w:p w14:paraId="3344F4B4" w14:textId="77777777" w:rsidR="00D859A4" w:rsidRPr="00D859A4" w:rsidRDefault="00D859A4" w:rsidP="00D859A4">
      <w:pPr>
        <w:spacing w:after="12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776C5CA1" w14:textId="77777777" w:rsidR="00D859A4" w:rsidRPr="00D859A4" w:rsidRDefault="00D859A4" w:rsidP="00D859A4">
      <w:pPr>
        <w:spacing w:after="12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 xml:space="preserve">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p>
    <w:p w14:paraId="132A7205" w14:textId="77777777" w:rsidR="00D859A4" w:rsidRPr="00D859A4" w:rsidRDefault="00D859A4" w:rsidP="00D859A4">
      <w:pPr>
        <w:spacing w:after="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 xml:space="preserve">Por ejemplo, </w:t>
      </w:r>
      <w:r w:rsidRPr="00D859A4">
        <w:rPr>
          <w:rFonts w:ascii="Century Gothic" w:eastAsia="Times New Roman" w:hAnsi="Century Gothic" w:cs="Arial"/>
          <w:lang w:eastAsia="es-ES_tradnl"/>
        </w:rPr>
        <w:t>en el aparte de la Matriz de Experiencia que se muestra a continuación, puede apreciarse que para el tipo de infraestructura “1.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carreteras”, e igualmente, la Matriz establece los rangos de cuantías, expresados en SMMLV, dentro de los cuales se identifica el presupuesto del proceso de contratación:</w:t>
      </w:r>
    </w:p>
    <w:p w14:paraId="5E64E216" w14:textId="77777777" w:rsidR="00D859A4" w:rsidRPr="00D859A4" w:rsidRDefault="00D859A4" w:rsidP="00D859A4">
      <w:pPr>
        <w:spacing w:after="0" w:line="276" w:lineRule="auto"/>
        <w:ind w:firstLine="709"/>
        <w:jc w:val="both"/>
        <w:rPr>
          <w:rFonts w:ascii="Century Gothic" w:eastAsia="Calibri" w:hAnsi="Century Gothic" w:cs="Arial"/>
          <w:color w:val="000000"/>
        </w:rPr>
      </w:pPr>
    </w:p>
    <w:p w14:paraId="5F424FA4" w14:textId="77777777" w:rsidR="00D859A4" w:rsidRPr="00D859A4" w:rsidRDefault="00D859A4" w:rsidP="00D859A4">
      <w:pPr>
        <w:spacing w:after="0" w:line="240" w:lineRule="auto"/>
        <w:jc w:val="both"/>
        <w:rPr>
          <w:rFonts w:ascii="Arial" w:eastAsia="Calibri" w:hAnsi="Arial" w:cs="Arial"/>
        </w:rPr>
      </w:pPr>
      <w:r w:rsidRPr="00D859A4">
        <w:rPr>
          <w:rFonts w:ascii="Arial" w:eastAsia="Calibri" w:hAnsi="Arial" w:cs="Arial"/>
          <w:noProof/>
        </w:rPr>
        <w:drawing>
          <wp:inline distT="0" distB="0" distL="0" distR="0" wp14:anchorId="58109E42" wp14:editId="10943AF9">
            <wp:extent cx="5612130" cy="1998980"/>
            <wp:effectExtent l="12700" t="12700" r="13970" b="762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5612130" cy="1998980"/>
                    </a:xfrm>
                    <a:prstGeom prst="rect">
                      <a:avLst/>
                    </a:prstGeom>
                    <a:ln>
                      <a:solidFill>
                        <a:sysClr val="windowText" lastClr="000000">
                          <a:alpha val="90000"/>
                        </a:sysClr>
                      </a:solidFill>
                    </a:ln>
                  </pic:spPr>
                </pic:pic>
              </a:graphicData>
            </a:graphic>
          </wp:inline>
        </w:drawing>
      </w:r>
    </w:p>
    <w:p w14:paraId="0DF624C4" w14:textId="77777777" w:rsidR="00D859A4" w:rsidRPr="00D859A4" w:rsidRDefault="00D859A4" w:rsidP="00D859A4">
      <w:pPr>
        <w:spacing w:after="0" w:line="240" w:lineRule="auto"/>
        <w:jc w:val="both"/>
        <w:rPr>
          <w:rFonts w:ascii="Arial" w:eastAsia="Calibri" w:hAnsi="Arial" w:cs="Arial"/>
        </w:rPr>
      </w:pPr>
    </w:p>
    <w:p w14:paraId="36ED330B" w14:textId="77777777" w:rsidR="00D859A4" w:rsidRPr="00D859A4" w:rsidRDefault="00D859A4" w:rsidP="00D859A4">
      <w:pPr>
        <w:spacing w:after="120" w:line="276" w:lineRule="auto"/>
        <w:ind w:firstLine="709"/>
        <w:jc w:val="both"/>
        <w:rPr>
          <w:rFonts w:ascii="Century Gothic" w:eastAsia="Calibri" w:hAnsi="Century Gothic" w:cs="Arial"/>
        </w:rPr>
      </w:pPr>
      <w:r w:rsidRPr="00D859A4">
        <w:rPr>
          <w:rFonts w:ascii="Century Gothic" w:eastAsia="Calibri" w:hAnsi="Century Gothic" w:cs="Arial"/>
        </w:rPr>
        <w:t xml:space="preserve">Para esta actividad, la Matriz señala, resaltado en rojo, la consideración “XX%”, sobre la cual indica que </w:t>
      </w:r>
      <w:r w:rsidRPr="00D859A4">
        <w:rPr>
          <w:rFonts w:ascii="Century Gothic" w:eastAsia="Calibri" w:hAnsi="Century Gothic" w:cs="Arial"/>
          <w:i/>
          <w:iCs/>
        </w:rPr>
        <w:t>“[La Entidad deberá establecer la variable "</w:t>
      </w:r>
      <w:proofErr w:type="spellStart"/>
      <w:r w:rsidRPr="00D859A4">
        <w:rPr>
          <w:rFonts w:ascii="Century Gothic" w:eastAsia="Calibri" w:hAnsi="Century Gothic" w:cs="Arial"/>
          <w:i/>
          <w:iCs/>
        </w:rPr>
        <w:t>XX%"conforme</w:t>
      </w:r>
      <w:proofErr w:type="spellEnd"/>
      <w:r w:rsidRPr="00D859A4">
        <w:rPr>
          <w:rFonts w:ascii="Century Gothic" w:eastAsia="Calibri" w:hAnsi="Century Gothic" w:cs="Arial"/>
          <w:i/>
          <w:iCs/>
        </w:rPr>
        <w:t xml:space="preserve"> a la relación entre longitudes y porcentajes señalada en la fila denominada "% DE DIMENSIONAMIENTO"]”</w:t>
      </w:r>
      <w:r w:rsidRPr="00D859A4">
        <w:rPr>
          <w:rFonts w:ascii="Century Gothic" w:eastAsia="Calibri" w:hAnsi="Century Gothic" w:cs="Arial"/>
        </w:rPr>
        <w:t>. Esta es la única consideración en este aspecto que podrá modificar la entidad contratante, por lo que el resto de consideraciones referidas tanto a la experiencia general como específica, deben cumplirse de manera integral.</w:t>
      </w:r>
    </w:p>
    <w:p w14:paraId="44CBFD8B" w14:textId="77777777" w:rsidR="00D859A4" w:rsidRPr="00D859A4" w:rsidRDefault="00D859A4" w:rsidP="00D859A4">
      <w:pPr>
        <w:spacing w:after="0" w:line="276" w:lineRule="auto"/>
        <w:ind w:firstLine="709"/>
        <w:jc w:val="both"/>
        <w:rPr>
          <w:rFonts w:ascii="Century Gothic" w:eastAsia="Calibri" w:hAnsi="Century Gothic" w:cs="Arial"/>
        </w:rPr>
      </w:pPr>
      <w:r w:rsidRPr="00D859A4">
        <w:rPr>
          <w:rFonts w:ascii="Century Gothic" w:eastAsia="Calibri" w:hAnsi="Century Gothic" w:cs="Arial"/>
        </w:rPr>
        <w:t>Adicional a lo anterior, resulta importante considerar que, el D</w:t>
      </w:r>
      <w:r w:rsidRPr="00D859A4">
        <w:rPr>
          <w:rFonts w:ascii="Century Gothic" w:eastAsia="Times New Roman" w:hAnsi="Century Gothic" w:cs="Arial"/>
          <w:lang w:eastAsia="es-ES_tradnl"/>
        </w:rPr>
        <w:t xml:space="preserve">ocumento Base y la Matriz de Experiencia, permiten evaluar la experiencia a partir del objeto y las actividades ejecutadas. En este sentido, el literal A del numeral </w:t>
      </w:r>
      <w:r w:rsidRPr="00D859A4">
        <w:rPr>
          <w:rFonts w:ascii="Century Gothic" w:eastAsia="Calibri" w:hAnsi="Century Gothic" w:cs="Arial"/>
        </w:rPr>
        <w:t>3.5.2. del Documento Base indica:</w:t>
      </w:r>
    </w:p>
    <w:p w14:paraId="60CAA173" w14:textId="77777777" w:rsidR="00D859A4" w:rsidRPr="00D859A4" w:rsidRDefault="00D859A4" w:rsidP="00D859A4">
      <w:pPr>
        <w:spacing w:after="0" w:line="276" w:lineRule="auto"/>
        <w:ind w:firstLine="709"/>
        <w:jc w:val="both"/>
        <w:rPr>
          <w:rFonts w:ascii="Century Gothic" w:eastAsia="Calibri" w:hAnsi="Century Gothic" w:cs="Arial"/>
        </w:rPr>
      </w:pPr>
    </w:p>
    <w:p w14:paraId="58A09E74" w14:textId="77777777" w:rsidR="00D859A4" w:rsidRPr="00D859A4" w:rsidRDefault="00D859A4" w:rsidP="00D859A4">
      <w:pPr>
        <w:numPr>
          <w:ilvl w:val="0"/>
          <w:numId w:val="7"/>
        </w:numPr>
        <w:spacing w:after="0" w:line="240" w:lineRule="auto"/>
        <w:ind w:left="1418" w:right="709"/>
        <w:jc w:val="both"/>
        <w:rPr>
          <w:rFonts w:ascii="Century Gothic" w:eastAsia="Calibri" w:hAnsi="Century Gothic" w:cs="Arial"/>
          <w:sz w:val="21"/>
          <w:szCs w:val="21"/>
          <w:lang w:val="es-MX"/>
        </w:rPr>
      </w:pPr>
      <w:r w:rsidRPr="00D859A4">
        <w:rPr>
          <w:rFonts w:ascii="Century Gothic" w:eastAsia="Calibri" w:hAnsi="Century Gothic" w:cs="Arial"/>
          <w:sz w:val="21"/>
          <w:szCs w:val="21"/>
          <w:lang w:val="es-MX"/>
        </w:rPr>
        <w:t xml:space="preserve">Que hayan contenido la ejecución de: </w:t>
      </w:r>
      <w:r w:rsidRPr="00D859A4">
        <w:rPr>
          <w:rFonts w:ascii="Century Gothic" w:eastAsia="Calibri" w:hAnsi="Century Gothic" w:cs="Arial"/>
          <w:sz w:val="21"/>
          <w:szCs w:val="21"/>
          <w:highlight w:val="lightGray"/>
          <w:lang w:val="es-MX"/>
        </w:rPr>
        <w:t>[En este espacio la Entidad debe incluir, sin modificar, la actividad o actividades válidas para acreditar la experiencia general y específica señaladas en la Matriz 1 – Experiencia. Para definir la experiencia exigible la Entidad tiene que: i) identificar el alcance del objeto a contratar, ii) identificar el tipo de infraestructura de transporte, iii) verificar las actividades definidas allí y iv) establecer los requisitos exigibles según la cuantía del Proceso de Contratación, así como los lineamientos para combinación de experiencia entre actividades, en caso de requerirse.</w:t>
      </w:r>
      <w:r w:rsidRPr="00D859A4">
        <w:rPr>
          <w:rFonts w:ascii="Century Gothic" w:eastAsia="Calibri" w:hAnsi="Century Gothic" w:cs="Arial"/>
          <w:sz w:val="21"/>
          <w:szCs w:val="21"/>
          <w:lang w:val="es-MX"/>
        </w:rPr>
        <w:t xml:space="preserve">   </w:t>
      </w:r>
    </w:p>
    <w:p w14:paraId="24EBB4A4" w14:textId="77777777" w:rsidR="00D859A4" w:rsidRPr="00D859A4" w:rsidRDefault="00D859A4" w:rsidP="00D859A4">
      <w:pPr>
        <w:spacing w:after="0" w:line="240" w:lineRule="auto"/>
        <w:ind w:left="1418" w:right="709"/>
        <w:jc w:val="both"/>
        <w:textAlignment w:val="baseline"/>
        <w:rPr>
          <w:rFonts w:ascii="Century Gothic" w:eastAsia="Times New Roman" w:hAnsi="Century Gothic" w:cs="Arial"/>
          <w:color w:val="000000"/>
          <w:sz w:val="21"/>
          <w:szCs w:val="21"/>
          <w:highlight w:val="lightGray"/>
          <w:lang w:eastAsia="es-ES"/>
        </w:rPr>
      </w:pPr>
    </w:p>
    <w:p w14:paraId="017DABA8" w14:textId="77777777" w:rsidR="00D859A4" w:rsidRPr="00D859A4" w:rsidRDefault="00D859A4" w:rsidP="00D859A4">
      <w:pPr>
        <w:spacing w:after="0" w:line="240" w:lineRule="auto"/>
        <w:ind w:left="1418" w:right="709"/>
        <w:jc w:val="both"/>
        <w:textAlignment w:val="baseline"/>
        <w:rPr>
          <w:rFonts w:ascii="Century Gothic" w:eastAsia="Times New Roman" w:hAnsi="Century Gothic" w:cs="Arial"/>
          <w:sz w:val="21"/>
          <w:szCs w:val="21"/>
          <w:lang w:val="es-ES" w:eastAsia="es-CO"/>
        </w:rPr>
      </w:pPr>
      <w:r w:rsidRPr="00D859A4">
        <w:rPr>
          <w:rFonts w:ascii="Century Gothic" w:eastAsia="Times New Roman" w:hAnsi="Century Gothic" w:cs="Arial"/>
          <w:color w:val="000000"/>
          <w:sz w:val="21"/>
          <w:szCs w:val="21"/>
          <w:highlight w:val="lightGray"/>
          <w:lang w:eastAsia="es-ES"/>
        </w:rPr>
        <w:lastRenderedPageBreak/>
        <w:t>De conformidad con lo anterior, la Entidad debe diligenciar este literal, exclusivamente, con lo señalado en la Matriz 1 - Experiencia, sin modificar los requisitos de experiencia general, específica y los % de dimensionamiento, lo cual implicaría la alteración de las reglas del Documento Tipo.</w:t>
      </w:r>
    </w:p>
    <w:p w14:paraId="4D2F08B9" w14:textId="77777777" w:rsidR="00D859A4" w:rsidRPr="00D859A4" w:rsidRDefault="00D859A4" w:rsidP="00D859A4">
      <w:pPr>
        <w:spacing w:after="0" w:line="240" w:lineRule="auto"/>
        <w:ind w:left="1418" w:right="709"/>
        <w:jc w:val="both"/>
        <w:textAlignment w:val="baseline"/>
        <w:rPr>
          <w:rFonts w:ascii="Century Gothic" w:eastAsia="Times New Roman" w:hAnsi="Century Gothic" w:cs="Arial"/>
          <w:color w:val="000000"/>
          <w:sz w:val="21"/>
          <w:szCs w:val="21"/>
          <w:highlight w:val="lightGray"/>
          <w:lang w:eastAsia="es-ES"/>
        </w:rPr>
      </w:pPr>
    </w:p>
    <w:p w14:paraId="206E7FFF" w14:textId="77777777" w:rsidR="00D859A4" w:rsidRPr="00D859A4" w:rsidRDefault="00D859A4" w:rsidP="00D859A4">
      <w:pPr>
        <w:spacing w:after="0" w:line="240" w:lineRule="auto"/>
        <w:ind w:left="1418" w:right="709"/>
        <w:jc w:val="both"/>
        <w:textAlignment w:val="baseline"/>
        <w:rPr>
          <w:rFonts w:ascii="Century Gothic" w:eastAsia="Times New Roman" w:hAnsi="Century Gothic" w:cs="Arial"/>
          <w:sz w:val="21"/>
          <w:szCs w:val="21"/>
          <w:lang w:val="es-ES" w:eastAsia="es-CO"/>
        </w:rPr>
      </w:pPr>
      <w:r w:rsidRPr="00D859A4">
        <w:rPr>
          <w:rFonts w:ascii="Century Gothic" w:eastAsia="Times New Roman" w:hAnsi="Century Gothic" w:cs="Arial"/>
          <w:color w:val="000000"/>
          <w:sz w:val="21"/>
          <w:szCs w:val="21"/>
          <w:highlight w:val="lightGray"/>
          <w:lang w:eastAsia="es-ES"/>
        </w:rPr>
        <w:t>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w:t>
      </w:r>
      <w:r w:rsidRPr="00D859A4">
        <w:rPr>
          <w:rFonts w:ascii="Century Gothic" w:eastAsia="Times New Roman" w:hAnsi="Century Gothic" w:cs="Arial"/>
          <w:sz w:val="21"/>
          <w:szCs w:val="21"/>
          <w:lang w:val="es-ES" w:eastAsia="es-CO"/>
        </w:rPr>
        <w:t>.</w:t>
      </w:r>
    </w:p>
    <w:p w14:paraId="4A310FF6" w14:textId="77777777" w:rsidR="00D859A4" w:rsidRPr="00D859A4" w:rsidRDefault="00D859A4" w:rsidP="00D859A4">
      <w:pPr>
        <w:spacing w:after="0" w:line="240" w:lineRule="auto"/>
        <w:ind w:left="1418" w:right="709"/>
        <w:jc w:val="both"/>
        <w:textAlignment w:val="baseline"/>
        <w:rPr>
          <w:rFonts w:ascii="Century Gothic" w:eastAsia="Times New Roman" w:hAnsi="Century Gothic" w:cs="Arial"/>
          <w:color w:val="000000"/>
          <w:sz w:val="21"/>
          <w:szCs w:val="21"/>
          <w:highlight w:val="lightGray"/>
          <w:lang w:eastAsia="es-ES"/>
        </w:rPr>
      </w:pPr>
      <w:r w:rsidRPr="00D859A4">
        <w:rPr>
          <w:rFonts w:ascii="Century Gothic" w:eastAsia="Times New Roman" w:hAnsi="Century Gothic" w:cs="Arial"/>
          <w:sz w:val="21"/>
          <w:szCs w:val="21"/>
          <w:lang w:val="es-ES" w:eastAsia="es-CO"/>
        </w:rPr>
        <w:t>[…]</w:t>
      </w:r>
    </w:p>
    <w:p w14:paraId="573E1E4B" w14:textId="77777777" w:rsidR="00D859A4" w:rsidRPr="00D859A4" w:rsidRDefault="00D859A4" w:rsidP="00D859A4">
      <w:pPr>
        <w:spacing w:after="0" w:line="240" w:lineRule="auto"/>
        <w:ind w:left="1418" w:right="709"/>
        <w:jc w:val="both"/>
        <w:textAlignment w:val="baseline"/>
        <w:rPr>
          <w:rFonts w:ascii="Century Gothic" w:eastAsia="Times New Roman" w:hAnsi="Century Gothic" w:cs="Arial"/>
          <w:color w:val="000000"/>
          <w:highlight w:val="lightGray"/>
          <w:lang w:eastAsia="es-ES"/>
        </w:rPr>
      </w:pPr>
    </w:p>
    <w:p w14:paraId="051CF97E" w14:textId="77777777" w:rsidR="00D859A4" w:rsidRPr="00D859A4" w:rsidRDefault="00D859A4" w:rsidP="00D859A4">
      <w:pPr>
        <w:spacing w:after="120" w:line="276" w:lineRule="auto"/>
        <w:ind w:firstLine="709"/>
        <w:jc w:val="both"/>
        <w:rPr>
          <w:rFonts w:ascii="Century Gothic" w:eastAsia="Times New Roman" w:hAnsi="Century Gothic" w:cs="Arial"/>
          <w:szCs w:val="24"/>
          <w:lang w:eastAsia="es-ES_tradnl"/>
        </w:rPr>
      </w:pPr>
      <w:r w:rsidRPr="00D859A4">
        <w:rPr>
          <w:rFonts w:ascii="Century Gothic" w:eastAsia="Times New Roman" w:hAnsi="Century Gothic" w:cs="Arial"/>
          <w:szCs w:val="24"/>
          <w:lang w:eastAsia="es-ES_tradnl"/>
        </w:rPr>
        <w:t xml:space="preserve">Es importante destacar que, 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Asimismo, este principio impone el deber de respetar de manera integral el contenido de la Matriz de Experiencia, tanto en lo relativo a las características de los contratos que deben aportarse, como las notas incluidas en la misma y que se relacionan con aclaraciones o aspectos que complementan la acreditación de la experiencia exigida. De esta manera, no podrán alterarse, adicionarse o eliminarse aspectos de la Matriz que estén señalados en dicho documento.  </w:t>
      </w:r>
    </w:p>
    <w:p w14:paraId="439C0CDF" w14:textId="77777777" w:rsidR="00D859A4" w:rsidRPr="00D859A4" w:rsidRDefault="00D859A4" w:rsidP="00D859A4">
      <w:pPr>
        <w:spacing w:after="0" w:line="276" w:lineRule="auto"/>
        <w:ind w:firstLine="709"/>
        <w:jc w:val="both"/>
        <w:rPr>
          <w:rFonts w:ascii="Century Gothic" w:eastAsia="Calibri" w:hAnsi="Century Gothic" w:cs="Arial"/>
        </w:rPr>
      </w:pPr>
      <w:r w:rsidRPr="00D859A4">
        <w:rPr>
          <w:rFonts w:ascii="Century Gothic" w:eastAsia="Calibri" w:hAnsi="Century Gothic" w:cs="Arial"/>
        </w:rPr>
        <w:t>En el mismo sentido, conviene resaltar que la parte introductoria del Documento Base, indica los aspectos relacionados con la obligatoriedad que tienen las entidades públicas de cumplir con lo consagrado en los documentos tipo, incluidos sus anexos, como en el caso particular consultado para la Matriz de Experiencia. Así, se indica lo siguiente:</w:t>
      </w:r>
    </w:p>
    <w:p w14:paraId="54A6A665" w14:textId="77777777" w:rsidR="00D859A4" w:rsidRPr="00D859A4" w:rsidRDefault="00D859A4" w:rsidP="00D859A4">
      <w:pPr>
        <w:spacing w:after="0" w:line="276" w:lineRule="auto"/>
        <w:ind w:firstLine="709"/>
        <w:jc w:val="both"/>
        <w:rPr>
          <w:rFonts w:ascii="Century Gothic" w:eastAsia="Calibri" w:hAnsi="Century Gothic" w:cs="Arial"/>
        </w:rPr>
      </w:pPr>
    </w:p>
    <w:p w14:paraId="184A534D" w14:textId="77777777" w:rsidR="00D859A4" w:rsidRPr="00D859A4" w:rsidRDefault="00D859A4" w:rsidP="00D859A4">
      <w:pPr>
        <w:spacing w:after="0" w:line="240" w:lineRule="auto"/>
        <w:ind w:left="709" w:right="709"/>
        <w:jc w:val="both"/>
        <w:rPr>
          <w:rFonts w:ascii="Century Gothic" w:eastAsia="Times New Roman" w:hAnsi="Century Gothic" w:cs="Times New Roman"/>
          <w:sz w:val="21"/>
          <w:szCs w:val="21"/>
          <w:lang w:val="es-MX" w:eastAsia="es-ES_tradnl"/>
        </w:rPr>
      </w:pPr>
      <w:r w:rsidRPr="00D859A4">
        <w:rPr>
          <w:rFonts w:ascii="Century Gothic" w:eastAsia="Times New Roman" w:hAnsi="Century Gothic" w:cs="Times New Roman"/>
          <w:sz w:val="21"/>
          <w:szCs w:val="21"/>
          <w:highlight w:val="lightGray"/>
          <w:lang w:val="es-MX" w:eastAsia="es-ES_tradnl"/>
        </w:rPr>
        <w:t>“[</w:t>
      </w:r>
      <w:r w:rsidRPr="00D859A4">
        <w:rPr>
          <w:rFonts w:ascii="Century Gothic" w:eastAsia="Calibri" w:hAnsi="Century Gothic" w:cs="Arial"/>
          <w:sz w:val="21"/>
          <w:szCs w:val="21"/>
          <w:highlight w:val="lightGray"/>
        </w:rPr>
        <w:t>Los aspectos incluidos en corchetes y resaltados en gris deben ser diligenciados por la entidad</w:t>
      </w:r>
      <w:r w:rsidRPr="00D859A4">
        <w:rPr>
          <w:rFonts w:ascii="Century Gothic" w:eastAsia="Calibri" w:hAnsi="Century Gothic" w:cs="Arial"/>
          <w:sz w:val="21"/>
          <w:szCs w:val="21"/>
        </w:rPr>
        <w:t>]</w:t>
      </w:r>
    </w:p>
    <w:p w14:paraId="766A65F2" w14:textId="77777777" w:rsidR="00D859A4" w:rsidRPr="00D859A4" w:rsidRDefault="00D859A4" w:rsidP="00D859A4">
      <w:pPr>
        <w:spacing w:after="0" w:line="240" w:lineRule="auto"/>
        <w:ind w:left="709" w:right="709"/>
        <w:jc w:val="both"/>
        <w:rPr>
          <w:rFonts w:ascii="Century Gothic" w:eastAsia="Times New Roman" w:hAnsi="Century Gothic" w:cs="Times New Roman"/>
          <w:sz w:val="21"/>
          <w:szCs w:val="21"/>
          <w:lang w:val="es-MX" w:eastAsia="es-ES_tradnl"/>
        </w:rPr>
      </w:pPr>
      <w:r w:rsidRPr="00D859A4">
        <w:rPr>
          <w:rFonts w:ascii="Century Gothic" w:eastAsia="Times New Roman" w:hAnsi="Century Gothic" w:cs="Times New Roman"/>
          <w:sz w:val="21"/>
          <w:szCs w:val="21"/>
          <w:lang w:val="es-MX" w:eastAsia="es-ES_tradnl"/>
        </w:rPr>
        <w:t>[…]</w:t>
      </w:r>
    </w:p>
    <w:p w14:paraId="6AD5DEDC" w14:textId="77777777" w:rsidR="00D859A4" w:rsidRPr="00D859A4" w:rsidRDefault="00D859A4" w:rsidP="00D859A4">
      <w:pPr>
        <w:spacing w:after="0" w:line="240" w:lineRule="auto"/>
        <w:ind w:left="709" w:right="709"/>
        <w:jc w:val="both"/>
        <w:rPr>
          <w:rFonts w:ascii="Century Gothic" w:eastAsia="Calibri" w:hAnsi="Century Gothic" w:cs="Arial"/>
          <w:sz w:val="21"/>
          <w:szCs w:val="21"/>
        </w:rPr>
      </w:pPr>
      <w:r w:rsidRPr="00D859A4">
        <w:rPr>
          <w:rFonts w:ascii="Century Gothic" w:eastAsia="Calibri" w:hAnsi="Century Gothic" w:cs="Arial"/>
          <w:sz w:val="21"/>
          <w:szCs w:val="21"/>
        </w:rPr>
        <w:t>[</w:t>
      </w:r>
      <w:r w:rsidRPr="00D859A4">
        <w:rPr>
          <w:rFonts w:ascii="Century Gothic" w:eastAsia="Calibri" w:hAnsi="Century Gothic" w:cs="Arial"/>
          <w:sz w:val="21"/>
          <w:szCs w:val="21"/>
          <w:highlight w:val="lightGray"/>
        </w:rPr>
        <w:t>La entidad no podrá modificar los Formatos, Anexos, Matrices y Formularios, ni solicitar soportes o requisitos adicionales a los establecidos en el documento tipo</w:t>
      </w:r>
      <w:r w:rsidRPr="00D859A4">
        <w:rPr>
          <w:rFonts w:ascii="Century Gothic" w:eastAsia="Calibri" w:hAnsi="Century Gothic" w:cs="Arial"/>
          <w:sz w:val="21"/>
          <w:szCs w:val="21"/>
        </w:rPr>
        <w:t>]</w:t>
      </w:r>
    </w:p>
    <w:p w14:paraId="29D39822" w14:textId="77777777" w:rsidR="00D859A4" w:rsidRPr="00D859A4" w:rsidRDefault="00D859A4" w:rsidP="00D859A4">
      <w:pPr>
        <w:spacing w:after="0" w:line="240" w:lineRule="auto"/>
        <w:ind w:left="709" w:right="709"/>
        <w:jc w:val="both"/>
        <w:rPr>
          <w:rFonts w:ascii="Century Gothic" w:eastAsia="Calibri" w:hAnsi="Century Gothic" w:cs="Arial"/>
          <w:sz w:val="21"/>
          <w:szCs w:val="21"/>
        </w:rPr>
      </w:pPr>
      <w:r w:rsidRPr="00D859A4">
        <w:rPr>
          <w:rFonts w:ascii="Century Gothic" w:eastAsia="Calibri" w:hAnsi="Century Gothic" w:cs="Arial"/>
          <w:sz w:val="21"/>
          <w:szCs w:val="21"/>
        </w:rPr>
        <w:t>[…]</w:t>
      </w:r>
    </w:p>
    <w:p w14:paraId="35800DB8" w14:textId="77777777" w:rsidR="00D859A4" w:rsidRPr="00D859A4" w:rsidRDefault="00D859A4" w:rsidP="00D859A4">
      <w:pPr>
        <w:spacing w:after="0" w:line="240" w:lineRule="auto"/>
        <w:ind w:left="709" w:right="709"/>
        <w:jc w:val="both"/>
        <w:rPr>
          <w:rFonts w:ascii="Century Gothic" w:eastAsia="Calibri" w:hAnsi="Century Gothic" w:cs="Arial"/>
          <w:sz w:val="21"/>
          <w:szCs w:val="21"/>
        </w:rPr>
      </w:pPr>
      <w:r w:rsidRPr="00D859A4">
        <w:rPr>
          <w:rFonts w:ascii="Century Gothic" w:eastAsia="Calibri" w:hAnsi="Century Gothic" w:cs="Arial"/>
          <w:sz w:val="21"/>
          <w:szCs w:val="21"/>
        </w:rPr>
        <w:lastRenderedPageBreak/>
        <w:t>Los Documentos Tipo aplican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p w14:paraId="0C9B1C9F" w14:textId="77777777" w:rsidR="00D859A4" w:rsidRPr="00D859A4" w:rsidRDefault="00D859A4" w:rsidP="00D859A4">
      <w:pPr>
        <w:spacing w:after="0" w:line="240" w:lineRule="auto"/>
        <w:ind w:left="709" w:right="709"/>
        <w:jc w:val="both"/>
        <w:rPr>
          <w:rFonts w:ascii="Century Gothic" w:eastAsia="Calibri" w:hAnsi="Century Gothic" w:cs="Arial"/>
        </w:rPr>
      </w:pPr>
    </w:p>
    <w:p w14:paraId="5F742067" w14:textId="0FCCCC6C" w:rsidR="006E4C40" w:rsidRDefault="00D859A4" w:rsidP="00500A15">
      <w:pPr>
        <w:spacing w:after="120" w:line="276" w:lineRule="auto"/>
        <w:ind w:firstLine="709"/>
        <w:jc w:val="both"/>
        <w:rPr>
          <w:rFonts w:ascii="Century Gothic" w:eastAsia="Times New Roman" w:hAnsi="Century Gothic" w:cs="Arial"/>
          <w:shd w:val="clear" w:color="auto" w:fill="FFFFFF"/>
          <w:lang w:eastAsia="es-ES_tradnl"/>
        </w:rPr>
      </w:pPr>
      <w:r w:rsidRPr="00D859A4">
        <w:rPr>
          <w:rFonts w:ascii="Century Gothic" w:eastAsia="Times New Roman" w:hAnsi="Century Gothic" w:cs="Arial"/>
          <w:shd w:val="clear" w:color="auto" w:fill="FFFFFF"/>
          <w:lang w:eastAsia="es-ES_tradnl"/>
        </w:rPr>
        <w:t xml:space="preserve">Bajo </w:t>
      </w:r>
      <w:r w:rsidR="00500A15" w:rsidRPr="00500A15">
        <w:rPr>
          <w:rFonts w:ascii="Century Gothic" w:eastAsia="Times New Roman" w:hAnsi="Century Gothic" w:cs="Arial"/>
          <w:shd w:val="clear" w:color="auto" w:fill="FFFFFF"/>
          <w:lang w:eastAsia="es-ES_tradnl"/>
        </w:rPr>
        <w:t xml:space="preserve">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w:t>
      </w:r>
    </w:p>
    <w:p w14:paraId="44ED3C2C" w14:textId="5B49A336" w:rsidR="006E4C40" w:rsidRDefault="00500A15" w:rsidP="006E4C40">
      <w:pPr>
        <w:spacing w:after="0" w:line="276" w:lineRule="auto"/>
        <w:ind w:firstLine="709"/>
        <w:jc w:val="both"/>
        <w:rPr>
          <w:rFonts w:ascii="Century Gothic" w:eastAsia="Times New Roman" w:hAnsi="Century Gothic" w:cs="Arial"/>
          <w:shd w:val="clear" w:color="auto" w:fill="FFFFFF"/>
          <w:lang w:eastAsia="es-ES_tradnl"/>
        </w:rPr>
      </w:pPr>
      <w:r w:rsidRPr="00500A15">
        <w:rPr>
          <w:rFonts w:ascii="Century Gothic" w:eastAsia="Times New Roman" w:hAnsi="Century Gothic" w:cs="Arial"/>
          <w:shd w:val="clear" w:color="auto" w:fill="FFFFFF"/>
          <w:lang w:eastAsia="es-ES_tradnl"/>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353D5B74" w14:textId="77777777" w:rsidR="006E4C40" w:rsidRPr="006E4C40" w:rsidRDefault="006E4C40" w:rsidP="006E4C40">
      <w:pPr>
        <w:spacing w:after="0" w:line="276" w:lineRule="auto"/>
        <w:ind w:firstLine="709"/>
        <w:jc w:val="both"/>
        <w:rPr>
          <w:rFonts w:ascii="Century Gothic" w:eastAsia="Times New Roman" w:hAnsi="Century Gothic" w:cs="Arial"/>
          <w:shd w:val="clear" w:color="auto" w:fill="FFFFFF"/>
          <w:lang w:eastAsia="es-ES_tradnl"/>
        </w:rPr>
      </w:pPr>
    </w:p>
    <w:p w14:paraId="2A81AFEC" w14:textId="77777777" w:rsidR="00D859A4" w:rsidRPr="00D859A4" w:rsidRDefault="00D859A4" w:rsidP="00D859A4">
      <w:pPr>
        <w:shd w:val="clear" w:color="auto" w:fill="FFFFFF"/>
        <w:tabs>
          <w:tab w:val="left" w:pos="0"/>
        </w:tabs>
        <w:spacing w:after="0"/>
        <w:jc w:val="both"/>
        <w:rPr>
          <w:rFonts w:ascii="Century Gothic" w:eastAsia="Calibri" w:hAnsi="Century Gothic" w:cs="Arial"/>
          <w:b/>
          <w:color w:val="000000"/>
          <w:lang w:val="es-ES_tradnl"/>
        </w:rPr>
      </w:pPr>
      <w:r w:rsidRPr="00D859A4">
        <w:rPr>
          <w:rFonts w:ascii="Century Gothic" w:eastAsia="Calibri" w:hAnsi="Century Gothic" w:cs="Arial"/>
          <w:b/>
          <w:color w:val="000000"/>
          <w:lang w:val="es-ES_tradnl"/>
        </w:rPr>
        <w:t>3. Respuesta</w:t>
      </w:r>
    </w:p>
    <w:p w14:paraId="4C46BC7D" w14:textId="77777777" w:rsidR="00D859A4" w:rsidRPr="00D859A4" w:rsidRDefault="00D859A4" w:rsidP="00D859A4">
      <w:pPr>
        <w:shd w:val="clear" w:color="auto" w:fill="FFFFFF"/>
        <w:spacing w:after="0" w:line="240" w:lineRule="auto"/>
        <w:ind w:right="709"/>
        <w:jc w:val="both"/>
        <w:rPr>
          <w:rFonts w:ascii="Century Gothic" w:eastAsia="Calibri" w:hAnsi="Century Gothic" w:cs="Arial"/>
          <w:color w:val="000000"/>
          <w:lang w:val="es-ES_tradnl"/>
        </w:rPr>
      </w:pPr>
    </w:p>
    <w:p w14:paraId="50B9D363" w14:textId="77777777" w:rsidR="00D859A4" w:rsidRPr="00D859A4" w:rsidRDefault="00D859A4" w:rsidP="4E0DEE9E">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4E0DEE9E">
        <w:rPr>
          <w:rFonts w:ascii="Century Gothic" w:eastAsia="Calibri" w:hAnsi="Century Gothic" w:cs="Arial"/>
          <w:color w:val="000000" w:themeColor="text1"/>
          <w:sz w:val="21"/>
          <w:szCs w:val="21"/>
          <w:lang w:val="es-ES"/>
        </w:rPr>
        <w:t xml:space="preserve">“Sobre la matriz 1 - Experiencia, una entidad pública puede modificar la experiencia especifica exigida de acuerdo al tipo de obra a </w:t>
      </w:r>
      <w:proofErr w:type="gramStart"/>
      <w:r w:rsidRPr="4E0DEE9E">
        <w:rPr>
          <w:rFonts w:ascii="Century Gothic" w:eastAsia="Calibri" w:hAnsi="Century Gothic" w:cs="Arial"/>
          <w:color w:val="000000" w:themeColor="text1"/>
          <w:sz w:val="21"/>
          <w:szCs w:val="21"/>
          <w:lang w:val="es-ES"/>
        </w:rPr>
        <w:t>ejecutar,,</w:t>
      </w:r>
      <w:proofErr w:type="gramEnd"/>
      <w:r w:rsidRPr="4E0DEE9E">
        <w:rPr>
          <w:rFonts w:ascii="Century Gothic" w:eastAsia="Calibri" w:hAnsi="Century Gothic" w:cs="Arial"/>
          <w:color w:val="000000" w:themeColor="text1"/>
          <w:sz w:val="21"/>
          <w:szCs w:val="21"/>
          <w:lang w:val="es-ES"/>
        </w:rPr>
        <w:t xml:space="preserve"> o suprimir el requisito de experiencia especifica o dimensionamiento aludiendo que lo hace para garantizar la pluralidad de oferentes. Si la matriz pide que el oferente debe cumplir para la experiencia especifica con un contrato que cumpla un % del valor del presupuesto oficial, puede la entidad eliminar este requisito por solicitud de un interesado, </w:t>
      </w:r>
      <w:proofErr w:type="spellStart"/>
      <w:r w:rsidRPr="4E0DEE9E">
        <w:rPr>
          <w:rFonts w:ascii="Century Gothic" w:eastAsia="Calibri" w:hAnsi="Century Gothic" w:cs="Arial"/>
          <w:color w:val="000000" w:themeColor="text1"/>
          <w:sz w:val="21"/>
          <w:szCs w:val="21"/>
          <w:lang w:val="es-ES"/>
        </w:rPr>
        <w:t>aún</w:t>
      </w:r>
      <w:proofErr w:type="spellEnd"/>
      <w:r w:rsidRPr="4E0DEE9E">
        <w:rPr>
          <w:rFonts w:ascii="Century Gothic" w:eastAsia="Calibri" w:hAnsi="Century Gothic" w:cs="Arial"/>
          <w:color w:val="000000" w:themeColor="text1"/>
          <w:sz w:val="21"/>
          <w:szCs w:val="21"/>
          <w:lang w:val="es-ES"/>
        </w:rPr>
        <w:t xml:space="preserve"> cuando se encuentre estipulado en la matriz de los pliegos tipo”. [SIC]</w:t>
      </w:r>
    </w:p>
    <w:p w14:paraId="03EF5DDA" w14:textId="77777777" w:rsidR="00D859A4" w:rsidRPr="00D859A4" w:rsidRDefault="00D859A4" w:rsidP="00D859A4">
      <w:pPr>
        <w:shd w:val="clear" w:color="auto" w:fill="FFFFFF"/>
        <w:spacing w:after="0" w:line="240" w:lineRule="auto"/>
        <w:ind w:right="709"/>
        <w:jc w:val="both"/>
        <w:rPr>
          <w:rFonts w:ascii="Century Gothic" w:eastAsia="Calibri" w:hAnsi="Century Gothic" w:cs="Arial"/>
          <w:color w:val="000000"/>
          <w:lang w:val="es-ES_tradnl"/>
        </w:rPr>
      </w:pPr>
    </w:p>
    <w:p w14:paraId="10F0225B" w14:textId="77777777" w:rsidR="00D859A4" w:rsidRPr="00D859A4" w:rsidRDefault="00D859A4" w:rsidP="00D859A4">
      <w:pPr>
        <w:spacing w:after="120" w:line="276" w:lineRule="auto"/>
        <w:jc w:val="both"/>
        <w:rPr>
          <w:rFonts w:ascii="Century Gothic" w:eastAsia="Calibri" w:hAnsi="Century Gothic" w:cs="Arial"/>
          <w:color w:val="000000"/>
        </w:rPr>
      </w:pPr>
      <w:r w:rsidRPr="00D859A4">
        <w:rPr>
          <w:rFonts w:ascii="Century Gothic" w:eastAsia="Calibri" w:hAnsi="Century Gothic" w:cs="Arial"/>
          <w:color w:val="00000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w:t>
      </w:r>
      <w:r w:rsidRPr="00D859A4">
        <w:rPr>
          <w:rFonts w:ascii="Century Gothic" w:eastAsia="Calibri" w:hAnsi="Century Gothic" w:cs="Arial"/>
          <w:color w:val="000000"/>
        </w:rPr>
        <w:lastRenderedPageBreak/>
        <w:t xml:space="preserve">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6762AC56" w14:textId="77777777" w:rsidR="00D859A4" w:rsidRPr="00D859A4" w:rsidRDefault="00D859A4" w:rsidP="00D859A4">
      <w:pPr>
        <w:spacing w:after="12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D859A4">
        <w:rPr>
          <w:rFonts w:ascii="Century Gothic" w:eastAsia="Calibri" w:hAnsi="Century Gothic" w:cs="Arial"/>
          <w:color w:val="000000"/>
        </w:rPr>
        <w:t>ii</w:t>
      </w:r>
      <w:proofErr w:type="spellEnd"/>
      <w:r w:rsidRPr="00D859A4">
        <w:rPr>
          <w:rFonts w:ascii="Century Gothic" w:eastAsia="Calibri" w:hAnsi="Century Gothic" w:cs="Arial"/>
          <w:color w:val="000000"/>
        </w:rPr>
        <w:t xml:space="preserve">) la actividad a contratar, y </w:t>
      </w:r>
      <w:proofErr w:type="spellStart"/>
      <w:r w:rsidRPr="00D859A4">
        <w:rPr>
          <w:rFonts w:ascii="Century Gothic" w:eastAsia="Calibri" w:hAnsi="Century Gothic" w:cs="Arial"/>
          <w:color w:val="000000"/>
        </w:rPr>
        <w:t>iii</w:t>
      </w:r>
      <w:proofErr w:type="spellEnd"/>
      <w:r w:rsidRPr="00D859A4">
        <w:rPr>
          <w:rFonts w:ascii="Century Gothic" w:eastAsia="Calibri" w:hAnsi="Century Gothic" w:cs="Arial"/>
          <w:color w:val="000000"/>
        </w:rPr>
        <w:t>) la cuantía del Proceso de Contratación. No podrán exigirse actividades o cantidades distintas a las previstas en la Matriz de Experiencia.</w:t>
      </w:r>
    </w:p>
    <w:p w14:paraId="4F7A50AF" w14:textId="77777777" w:rsidR="00D859A4" w:rsidRPr="00D859A4" w:rsidRDefault="00D859A4" w:rsidP="00D859A4">
      <w:pPr>
        <w:spacing w:after="12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22762391" w14:textId="77777777" w:rsidR="00D859A4" w:rsidRPr="00D859A4" w:rsidRDefault="00D859A4" w:rsidP="00D859A4">
      <w:pPr>
        <w:spacing w:after="120" w:line="276" w:lineRule="auto"/>
        <w:ind w:firstLine="709"/>
        <w:jc w:val="both"/>
        <w:rPr>
          <w:rFonts w:ascii="Century Gothic" w:eastAsia="Calibri" w:hAnsi="Century Gothic" w:cs="Arial"/>
          <w:color w:val="000000"/>
        </w:rPr>
      </w:pPr>
      <w:r w:rsidRPr="00D859A4">
        <w:rPr>
          <w:rFonts w:ascii="Century Gothic" w:eastAsia="Calibri" w:hAnsi="Century Gothic" w:cs="Arial"/>
          <w:color w:val="000000"/>
        </w:rPr>
        <w:t xml:space="preserve">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p>
    <w:p w14:paraId="293F2AEC" w14:textId="77777777" w:rsidR="00D859A4" w:rsidRPr="00D859A4" w:rsidRDefault="00D859A4" w:rsidP="00D859A4">
      <w:pPr>
        <w:spacing w:after="120" w:line="276" w:lineRule="auto"/>
        <w:ind w:firstLine="709"/>
        <w:jc w:val="both"/>
        <w:rPr>
          <w:rFonts w:ascii="Century Gothic" w:eastAsia="Times New Roman" w:hAnsi="Century Gothic" w:cs="Arial"/>
          <w:szCs w:val="24"/>
          <w:lang w:eastAsia="es-ES_tradnl"/>
        </w:rPr>
      </w:pPr>
      <w:r w:rsidRPr="00D859A4">
        <w:rPr>
          <w:rFonts w:ascii="Century Gothic" w:eastAsia="Times New Roman" w:hAnsi="Century Gothic" w:cs="Arial"/>
          <w:szCs w:val="24"/>
          <w:lang w:eastAsia="es-ES_tradnl"/>
        </w:rPr>
        <w:lastRenderedPageBreak/>
        <w:t xml:space="preserve">Es importante destacar que, el principio de inalterabilidad de los documentos tipo impone, a los partícipes de los procesos de contratación adelantados con documentos tipo, el deber de respetar el contenido del documento base y las instrucciones allí contenidas, particularmente en lo que respecta a los requisitos habilitantes. Asimismo, este principio impone el deber de respetar de manera integral el contenido de la Matriz de Experiencia, tanto en lo relativo a las características de los contratos que deben aportarse, como las notas incluidas en la misma y que se relacionan con aclaraciones o aspectos que complementan la acreditación de la experiencia exigida. De esta manera, no podrán alterarse, adicionarse o eliminarse aspectos de la Matriz que estén señalados en dicho documento.  </w:t>
      </w:r>
    </w:p>
    <w:p w14:paraId="7D1D5D13" w14:textId="21C3E93B" w:rsidR="00D859A4" w:rsidRDefault="00500A15" w:rsidP="00D859A4">
      <w:pPr>
        <w:spacing w:after="0" w:line="276" w:lineRule="auto"/>
        <w:ind w:firstLine="709"/>
        <w:jc w:val="both"/>
        <w:rPr>
          <w:rFonts w:ascii="Century Gothic" w:eastAsia="Times New Roman" w:hAnsi="Century Gothic" w:cs="Arial"/>
          <w:szCs w:val="24"/>
          <w:lang w:eastAsia="es-ES_tradnl"/>
        </w:rPr>
      </w:pPr>
      <w:r w:rsidRPr="00500A15">
        <w:rPr>
          <w:rFonts w:ascii="Century Gothic" w:eastAsia="Times New Roman" w:hAnsi="Century Gothic" w:cs="Arial"/>
          <w:szCs w:val="24"/>
          <w:lang w:eastAsia="es-ES_tradnl"/>
        </w:rPr>
        <w:t>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22DCBDBB" w14:textId="77777777" w:rsidR="006E4C40" w:rsidRPr="00D859A4" w:rsidRDefault="006E4C40" w:rsidP="00D859A4">
      <w:pPr>
        <w:spacing w:after="0" w:line="276" w:lineRule="auto"/>
        <w:ind w:firstLine="709"/>
        <w:jc w:val="both"/>
        <w:rPr>
          <w:rFonts w:ascii="Century Gothic" w:eastAsia="Times New Roman" w:hAnsi="Century Gothic" w:cs="Arial"/>
          <w:shd w:val="clear" w:color="auto" w:fill="FFFFFF"/>
          <w:lang w:eastAsia="es-ES_tradnl"/>
        </w:rPr>
      </w:pPr>
    </w:p>
    <w:p w14:paraId="6A888D1F" w14:textId="77777777" w:rsidR="00D859A4" w:rsidRPr="00D859A4" w:rsidRDefault="00D859A4" w:rsidP="00D859A4">
      <w:pPr>
        <w:shd w:val="clear" w:color="auto" w:fill="FFFFFF"/>
        <w:spacing w:after="0" w:line="276" w:lineRule="auto"/>
        <w:jc w:val="both"/>
        <w:rPr>
          <w:rFonts w:ascii="Century Gothic" w:eastAsia="Calibri" w:hAnsi="Century Gothic" w:cs="Arial"/>
          <w:lang w:eastAsia="es-MX"/>
        </w:rPr>
      </w:pPr>
      <w:r w:rsidRPr="00D859A4">
        <w:rPr>
          <w:rFonts w:ascii="Century Gothic" w:eastAsia="Calibri" w:hAnsi="Century Gothic" w:cs="Arial"/>
          <w:color w:val="000000"/>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39ADBC5" w14:textId="77777777" w:rsidR="00D859A4" w:rsidRPr="00D859A4" w:rsidRDefault="00D859A4" w:rsidP="00D859A4">
      <w:pPr>
        <w:widowControl w:val="0"/>
        <w:shd w:val="clear" w:color="auto" w:fill="FFFFFF"/>
        <w:autoSpaceDE w:val="0"/>
        <w:autoSpaceDN w:val="0"/>
        <w:spacing w:after="0" w:line="276" w:lineRule="auto"/>
        <w:jc w:val="both"/>
        <w:rPr>
          <w:rFonts w:ascii="Century Gothic" w:eastAsia="Calibri" w:hAnsi="Century Gothic" w:cs="Arial"/>
          <w:color w:val="000000"/>
          <w:lang w:val="es-ES_tradnl" w:bidi="es-ES"/>
        </w:rPr>
      </w:pPr>
    </w:p>
    <w:p w14:paraId="36EDD18F" w14:textId="77777777" w:rsidR="00D859A4" w:rsidRPr="00D859A4" w:rsidRDefault="00D859A4" w:rsidP="00D859A4">
      <w:pPr>
        <w:shd w:val="clear" w:color="auto" w:fill="FFFFFF"/>
        <w:tabs>
          <w:tab w:val="left" w:pos="426"/>
        </w:tabs>
        <w:spacing w:line="276" w:lineRule="auto"/>
        <w:jc w:val="both"/>
        <w:rPr>
          <w:rFonts w:ascii="Century Gothic" w:eastAsia="Times New Roman" w:hAnsi="Century Gothic" w:cs="Arial"/>
          <w:color w:val="000000"/>
        </w:rPr>
      </w:pPr>
      <w:r w:rsidRPr="00D859A4">
        <w:rPr>
          <w:rFonts w:ascii="Century Gothic" w:eastAsia="Times New Roman" w:hAnsi="Century Gothic" w:cs="Arial"/>
          <w:color w:val="000000"/>
        </w:rPr>
        <w:t>Atentamente,</w:t>
      </w:r>
    </w:p>
    <w:p w14:paraId="5C8D2F3E" w14:textId="74D99EF0" w:rsidR="00D859A4" w:rsidRPr="00D859A4" w:rsidRDefault="00806C53" w:rsidP="00D859A4">
      <w:pPr>
        <w:jc w:val="center"/>
        <w:rPr>
          <w:rFonts w:ascii="Century Gothic" w:eastAsia="Calibri" w:hAnsi="Century Gothic" w:cs="Arial"/>
        </w:rPr>
      </w:pPr>
      <w:r>
        <w:rPr>
          <w:rFonts w:ascii="Arial" w:hAnsi="Arial" w:cs="Arial"/>
          <w:noProof/>
          <w:color w:val="000000" w:themeColor="text1"/>
          <w:lang w:eastAsia="es-CO"/>
        </w:rPr>
        <w:lastRenderedPageBreak/>
        <w:drawing>
          <wp:inline distT="0" distB="0" distL="0" distR="0" wp14:anchorId="5BB34423" wp14:editId="0749E2BD">
            <wp:extent cx="2838450" cy="1094744"/>
            <wp:effectExtent l="0" t="0" r="0" b="0"/>
            <wp:docPr id="162925456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54569"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3315" cy="1104334"/>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859A4" w:rsidRPr="00D859A4" w14:paraId="039B6C4F" w14:textId="77777777" w:rsidTr="00352FA9">
        <w:trPr>
          <w:trHeight w:val="409"/>
        </w:trPr>
        <w:tc>
          <w:tcPr>
            <w:tcW w:w="817" w:type="dxa"/>
            <w:tcBorders>
              <w:top w:val="nil"/>
              <w:left w:val="nil"/>
              <w:bottom w:val="nil"/>
              <w:right w:val="nil"/>
            </w:tcBorders>
            <w:vAlign w:val="center"/>
            <w:hideMark/>
          </w:tcPr>
          <w:p w14:paraId="2F5A44A0" w14:textId="77777777" w:rsidR="00D859A4" w:rsidRP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Elaboró: </w:t>
            </w:r>
          </w:p>
        </w:tc>
        <w:tc>
          <w:tcPr>
            <w:tcW w:w="4937" w:type="dxa"/>
            <w:tcBorders>
              <w:top w:val="nil"/>
              <w:left w:val="nil"/>
              <w:bottom w:val="dotted" w:sz="6" w:space="0" w:color="7F7F7F"/>
              <w:right w:val="nil"/>
            </w:tcBorders>
            <w:vAlign w:val="center"/>
            <w:hideMark/>
          </w:tcPr>
          <w:p w14:paraId="35078591" w14:textId="77777777" w:rsidR="00D859A4" w:rsidRP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Kevin Arlid Herrera Santa</w:t>
            </w:r>
          </w:p>
          <w:p w14:paraId="7C9BE48A" w14:textId="77777777" w:rsidR="00D859A4" w:rsidRP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Contratista de la Subdirección de Gestión Contractual</w:t>
            </w:r>
          </w:p>
        </w:tc>
      </w:tr>
      <w:tr w:rsidR="00D859A4" w:rsidRPr="00D859A4" w14:paraId="100F4AA1" w14:textId="77777777" w:rsidTr="00352FA9">
        <w:trPr>
          <w:trHeight w:val="409"/>
        </w:trPr>
        <w:tc>
          <w:tcPr>
            <w:tcW w:w="817" w:type="dxa"/>
            <w:tcBorders>
              <w:top w:val="nil"/>
              <w:left w:val="nil"/>
              <w:right w:val="nil"/>
            </w:tcBorders>
            <w:vAlign w:val="center"/>
          </w:tcPr>
          <w:p w14:paraId="7C96D502" w14:textId="77777777" w:rsidR="00D859A4" w:rsidRPr="00D859A4" w:rsidRDefault="00D859A4" w:rsidP="00D859A4">
            <w:pPr>
              <w:shd w:val="clear" w:color="auto" w:fill="FFFFFF"/>
              <w:jc w:val="both"/>
              <w:rPr>
                <w:rFonts w:ascii="Century Gothic" w:eastAsia="Calibri" w:hAnsi="Century Gothic" w:cs="Arial"/>
                <w:sz w:val="16"/>
                <w:szCs w:val="16"/>
              </w:rPr>
            </w:pPr>
            <w:r w:rsidRPr="00D859A4">
              <w:rPr>
                <w:rFonts w:ascii="Century Gothic" w:eastAsia="Calibri" w:hAnsi="Century Gothic" w:cs="Arial"/>
                <w:sz w:val="16"/>
                <w:szCs w:val="16"/>
              </w:rPr>
              <w:t>Revisó</w:t>
            </w:r>
          </w:p>
        </w:tc>
        <w:tc>
          <w:tcPr>
            <w:tcW w:w="4937" w:type="dxa"/>
            <w:tcBorders>
              <w:top w:val="dotted" w:sz="6" w:space="0" w:color="7F7F7F"/>
              <w:left w:val="nil"/>
              <w:bottom w:val="dotted" w:sz="6" w:space="0" w:color="7F7F7F"/>
              <w:right w:val="nil"/>
            </w:tcBorders>
            <w:vAlign w:val="center"/>
          </w:tcPr>
          <w:p w14:paraId="4176A46A" w14:textId="77777777" w:rsidR="00D859A4" w:rsidRP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 xml:space="preserve">Adriana </w:t>
            </w:r>
            <w:proofErr w:type="spellStart"/>
            <w:r w:rsidRPr="00D859A4">
              <w:rPr>
                <w:rFonts w:ascii="Century Gothic" w:eastAsia="Calibri" w:hAnsi="Century Gothic" w:cs="Arial"/>
                <w:sz w:val="16"/>
                <w:szCs w:val="16"/>
              </w:rPr>
              <w:t>Katerine</w:t>
            </w:r>
            <w:proofErr w:type="spellEnd"/>
            <w:r w:rsidRPr="00D859A4">
              <w:rPr>
                <w:rFonts w:ascii="Century Gothic" w:eastAsia="Calibri" w:hAnsi="Century Gothic" w:cs="Arial"/>
                <w:sz w:val="16"/>
                <w:szCs w:val="16"/>
              </w:rPr>
              <w:t xml:space="preserve"> López Rodríguez</w:t>
            </w:r>
          </w:p>
          <w:p w14:paraId="58227342" w14:textId="77777777" w:rsid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Contratista de la Subdirección de Gestión Contractual</w:t>
            </w:r>
          </w:p>
          <w:p w14:paraId="61946829" w14:textId="77777777" w:rsidR="001514E8" w:rsidRDefault="001514E8" w:rsidP="00D859A4">
            <w:pPr>
              <w:shd w:val="clear" w:color="auto" w:fill="FFFFFF"/>
              <w:spacing w:after="0" w:line="240" w:lineRule="auto"/>
              <w:jc w:val="both"/>
              <w:rPr>
                <w:rFonts w:ascii="Century Gothic" w:eastAsia="Calibri" w:hAnsi="Century Gothic" w:cs="Arial"/>
                <w:sz w:val="16"/>
                <w:szCs w:val="16"/>
              </w:rPr>
            </w:pPr>
            <w:r>
              <w:rPr>
                <w:rFonts w:ascii="Century Gothic" w:eastAsia="Calibri" w:hAnsi="Century Gothic" w:cs="Arial"/>
                <w:sz w:val="16"/>
                <w:szCs w:val="16"/>
              </w:rPr>
              <w:t xml:space="preserve">Lida Milena </w:t>
            </w:r>
            <w:proofErr w:type="spellStart"/>
            <w:r>
              <w:rPr>
                <w:rFonts w:ascii="Century Gothic" w:eastAsia="Calibri" w:hAnsi="Century Gothic" w:cs="Arial"/>
                <w:sz w:val="16"/>
                <w:szCs w:val="16"/>
              </w:rPr>
              <w:t>Guanumen</w:t>
            </w:r>
            <w:proofErr w:type="spellEnd"/>
            <w:r>
              <w:rPr>
                <w:rFonts w:ascii="Century Gothic" w:eastAsia="Calibri" w:hAnsi="Century Gothic" w:cs="Arial"/>
                <w:sz w:val="16"/>
                <w:szCs w:val="16"/>
              </w:rPr>
              <w:t xml:space="preserve"> Pacheco</w:t>
            </w:r>
          </w:p>
          <w:p w14:paraId="7F8E458E" w14:textId="2B1AFB60" w:rsidR="00C12DEF" w:rsidRPr="00D859A4" w:rsidRDefault="00C12DEF" w:rsidP="00D859A4">
            <w:pPr>
              <w:shd w:val="clear" w:color="auto" w:fill="FFFFFF"/>
              <w:spacing w:after="0" w:line="240" w:lineRule="auto"/>
              <w:jc w:val="both"/>
              <w:rPr>
                <w:rFonts w:ascii="Century Gothic" w:eastAsia="Calibri" w:hAnsi="Century Gothic" w:cs="Arial"/>
                <w:sz w:val="16"/>
                <w:szCs w:val="16"/>
              </w:rPr>
            </w:pPr>
            <w:r>
              <w:rPr>
                <w:rFonts w:ascii="Century Gothic" w:eastAsia="Calibri" w:hAnsi="Century Gothic" w:cs="Arial"/>
                <w:sz w:val="16"/>
                <w:szCs w:val="16"/>
              </w:rPr>
              <w:t>Contratista de la Subdirecci</w:t>
            </w:r>
            <w:r w:rsidR="00352FA9">
              <w:rPr>
                <w:rFonts w:ascii="Century Gothic" w:eastAsia="Calibri" w:hAnsi="Century Gothic" w:cs="Arial"/>
                <w:sz w:val="16"/>
                <w:szCs w:val="16"/>
              </w:rPr>
              <w:t>ón de Gestión Contractual</w:t>
            </w:r>
          </w:p>
        </w:tc>
      </w:tr>
      <w:tr w:rsidR="00D859A4" w:rsidRPr="00D859A4" w14:paraId="79AEB146" w14:textId="77777777" w:rsidTr="00352FA9">
        <w:trPr>
          <w:trHeight w:val="389"/>
        </w:trPr>
        <w:tc>
          <w:tcPr>
            <w:tcW w:w="817" w:type="dxa"/>
            <w:tcBorders>
              <w:top w:val="nil"/>
              <w:left w:val="nil"/>
              <w:bottom w:val="nil"/>
              <w:right w:val="nil"/>
            </w:tcBorders>
            <w:vAlign w:val="center"/>
            <w:hideMark/>
          </w:tcPr>
          <w:p w14:paraId="35AEC7A6" w14:textId="77777777" w:rsidR="00D859A4" w:rsidRP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Aprobó: </w:t>
            </w:r>
          </w:p>
        </w:tc>
        <w:tc>
          <w:tcPr>
            <w:tcW w:w="4937" w:type="dxa"/>
            <w:tcBorders>
              <w:top w:val="dotted" w:sz="6" w:space="0" w:color="7F7F7F"/>
              <w:left w:val="nil"/>
              <w:bottom w:val="dotted" w:sz="6" w:space="0" w:color="7F7F7F"/>
              <w:right w:val="nil"/>
            </w:tcBorders>
            <w:vAlign w:val="center"/>
            <w:hideMark/>
          </w:tcPr>
          <w:p w14:paraId="0D2DF7E3" w14:textId="77777777" w:rsidR="00D859A4" w:rsidRP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 xml:space="preserve">Nohelia del Carmen </w:t>
            </w:r>
            <w:proofErr w:type="spellStart"/>
            <w:r w:rsidRPr="00D859A4">
              <w:rPr>
                <w:rFonts w:ascii="Century Gothic" w:eastAsia="Calibri" w:hAnsi="Century Gothic" w:cs="Arial"/>
                <w:sz w:val="16"/>
                <w:szCs w:val="16"/>
              </w:rPr>
              <w:t>Zawady</w:t>
            </w:r>
            <w:proofErr w:type="spellEnd"/>
            <w:r w:rsidRPr="00D859A4">
              <w:rPr>
                <w:rFonts w:ascii="Century Gothic" w:eastAsia="Calibri" w:hAnsi="Century Gothic" w:cs="Arial"/>
                <w:sz w:val="16"/>
                <w:szCs w:val="16"/>
              </w:rPr>
              <w:t xml:space="preserve"> Palacio</w:t>
            </w:r>
          </w:p>
          <w:p w14:paraId="378B6501" w14:textId="77777777" w:rsidR="00D859A4" w:rsidRPr="00D859A4" w:rsidRDefault="00D859A4" w:rsidP="00D859A4">
            <w:pPr>
              <w:shd w:val="clear" w:color="auto" w:fill="FFFFFF"/>
              <w:spacing w:after="0" w:line="240" w:lineRule="auto"/>
              <w:jc w:val="both"/>
              <w:rPr>
                <w:rFonts w:ascii="Century Gothic" w:eastAsia="Calibri" w:hAnsi="Century Gothic" w:cs="Arial"/>
                <w:sz w:val="16"/>
                <w:szCs w:val="16"/>
              </w:rPr>
            </w:pPr>
            <w:r w:rsidRPr="00D859A4">
              <w:rPr>
                <w:rFonts w:ascii="Century Gothic" w:eastAsia="Calibri" w:hAnsi="Century Gothic" w:cs="Arial"/>
                <w:sz w:val="16"/>
                <w:szCs w:val="16"/>
              </w:rPr>
              <w:t>Subdirectora de Gestión Contractual ANCP - CCE</w:t>
            </w:r>
          </w:p>
        </w:tc>
      </w:tr>
      <w:bookmarkEnd w:id="0"/>
      <w:bookmarkEnd w:id="3"/>
    </w:tbl>
    <w:p w14:paraId="3DD3C96F" w14:textId="77777777" w:rsidR="00D859A4" w:rsidRPr="00D859A4" w:rsidRDefault="00D859A4" w:rsidP="00D859A4">
      <w:pPr>
        <w:spacing w:after="0" w:line="240" w:lineRule="auto"/>
        <w:rPr>
          <w:rFonts w:ascii="Aptos" w:eastAsia="Aptos" w:hAnsi="Aptos" w:cs="Times New Roman"/>
          <w:kern w:val="2"/>
          <w:sz w:val="24"/>
          <w:szCs w:val="24"/>
          <w:lang w:val="es-ES_tradnl"/>
          <w14:ligatures w14:val="standardContextual"/>
        </w:rPr>
      </w:pPr>
    </w:p>
    <w:p w14:paraId="00E37CAC" w14:textId="77777777" w:rsidR="00D859A4" w:rsidRPr="00D859A4" w:rsidRDefault="00D859A4" w:rsidP="00D859A4">
      <w:pPr>
        <w:spacing w:after="0"/>
        <w:rPr>
          <w:rFonts w:ascii="Century Gothic" w:eastAsia="Calibri" w:hAnsi="Century Gothic" w:cs="Times New Roman"/>
          <w:lang w:val="es-MX"/>
        </w:rPr>
      </w:pPr>
    </w:p>
    <w:p w14:paraId="323281B1" w14:textId="77777777" w:rsidR="00D859A4" w:rsidRPr="00D859A4" w:rsidRDefault="00D859A4" w:rsidP="00D859A4">
      <w:pPr>
        <w:spacing w:after="0" w:line="240" w:lineRule="auto"/>
        <w:rPr>
          <w:rFonts w:ascii="Aptos" w:eastAsia="Aptos" w:hAnsi="Aptos" w:cs="Times New Roman"/>
          <w:kern w:val="2"/>
          <w:sz w:val="24"/>
          <w:szCs w:val="24"/>
          <w:lang w:val="es-ES_tradnl"/>
          <w14:ligatures w14:val="standardContextual"/>
        </w:rPr>
      </w:pPr>
    </w:p>
    <w:p w14:paraId="56A62769" w14:textId="77777777" w:rsidR="00D859A4" w:rsidRPr="00D859A4" w:rsidRDefault="00D859A4" w:rsidP="00D859A4">
      <w:pPr>
        <w:spacing w:after="0" w:line="240" w:lineRule="auto"/>
        <w:rPr>
          <w:rFonts w:ascii="Aptos" w:eastAsia="Aptos" w:hAnsi="Aptos" w:cs="Times New Roman"/>
          <w:kern w:val="2"/>
          <w:sz w:val="24"/>
          <w:szCs w:val="24"/>
          <w:lang w:val="es-ES_tradnl"/>
          <w14:ligatures w14:val="standardContextual"/>
        </w:rPr>
      </w:pPr>
    </w:p>
    <w:p w14:paraId="3F42D0C2" w14:textId="77777777" w:rsidR="00D859A4" w:rsidRPr="00D859A4" w:rsidRDefault="00D859A4" w:rsidP="00D859A4">
      <w:pPr>
        <w:spacing w:after="0" w:line="240" w:lineRule="auto"/>
        <w:rPr>
          <w:rFonts w:ascii="Aptos" w:eastAsia="Aptos" w:hAnsi="Aptos" w:cs="Times New Roman"/>
          <w:kern w:val="2"/>
          <w:sz w:val="24"/>
          <w:szCs w:val="24"/>
          <w:lang w:val="es-ES_tradnl"/>
          <w14:ligatures w14:val="standardContextual"/>
        </w:rPr>
      </w:pPr>
    </w:p>
    <w:p w14:paraId="014F69F6" w14:textId="77777777" w:rsidR="00D859A4" w:rsidRPr="00D859A4" w:rsidRDefault="00D859A4" w:rsidP="00D859A4">
      <w:pPr>
        <w:spacing w:after="0"/>
        <w:rPr>
          <w:rFonts w:ascii="Century Gothic" w:eastAsia="Calibri" w:hAnsi="Century Gothic" w:cs="Times New Roman"/>
          <w:lang w:val="es-MX"/>
        </w:rPr>
      </w:pPr>
    </w:p>
    <w:p w14:paraId="5EA0C0C8" w14:textId="77777777" w:rsidR="00D859A4" w:rsidRPr="00D859A4" w:rsidRDefault="00D859A4" w:rsidP="00D859A4">
      <w:pPr>
        <w:spacing w:line="278" w:lineRule="auto"/>
        <w:rPr>
          <w:rFonts w:ascii="Aptos" w:eastAsia="Aptos" w:hAnsi="Aptos" w:cs="Times New Roman"/>
          <w:kern w:val="2"/>
          <w:sz w:val="24"/>
          <w:szCs w:val="24"/>
          <w14:ligatures w14:val="standardContextual"/>
        </w:rPr>
      </w:pPr>
    </w:p>
    <w:p w14:paraId="7EBFAB6A" w14:textId="77777777" w:rsidR="005A6AA1" w:rsidRDefault="005A6AA1" w:rsidP="00400548">
      <w:pPr>
        <w:spacing w:after="0"/>
        <w:rPr>
          <w:rFonts w:ascii="Century Gothic" w:hAnsi="Century Gothic"/>
          <w:lang w:val="es-MX"/>
        </w:rPr>
      </w:pPr>
    </w:p>
    <w:sectPr w:rsidR="005A6AA1" w:rsidSect="004368BC">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355C7" w14:textId="77777777" w:rsidR="009E6FB4" w:rsidRDefault="009E6FB4" w:rsidP="004A1847">
      <w:pPr>
        <w:spacing w:after="0" w:line="240" w:lineRule="auto"/>
      </w:pPr>
      <w:r>
        <w:separator/>
      </w:r>
    </w:p>
  </w:endnote>
  <w:endnote w:type="continuationSeparator" w:id="0">
    <w:p w14:paraId="30E53FFE" w14:textId="77777777" w:rsidR="009E6FB4" w:rsidRDefault="009E6FB4" w:rsidP="004A1847">
      <w:pPr>
        <w:spacing w:after="0" w:line="240" w:lineRule="auto"/>
      </w:pPr>
      <w:r>
        <w:continuationSeparator/>
      </w:r>
    </w:p>
  </w:endnote>
  <w:endnote w:type="continuationNotice" w:id="1">
    <w:p w14:paraId="30185FD9" w14:textId="77777777" w:rsidR="009E6FB4" w:rsidRDefault="009E6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Geomanist Bold">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13EE6" w14:textId="77777777" w:rsidR="009E6FB4" w:rsidRDefault="009E6FB4" w:rsidP="004A1847">
      <w:pPr>
        <w:spacing w:after="0" w:line="240" w:lineRule="auto"/>
      </w:pPr>
      <w:r>
        <w:separator/>
      </w:r>
    </w:p>
  </w:footnote>
  <w:footnote w:type="continuationSeparator" w:id="0">
    <w:p w14:paraId="39D5EE25" w14:textId="77777777" w:rsidR="009E6FB4" w:rsidRDefault="009E6FB4" w:rsidP="004A1847">
      <w:pPr>
        <w:spacing w:after="0" w:line="240" w:lineRule="auto"/>
      </w:pPr>
      <w:r>
        <w:continuationSeparator/>
      </w:r>
    </w:p>
  </w:footnote>
  <w:footnote w:type="continuationNotice" w:id="1">
    <w:p w14:paraId="14E2C851" w14:textId="77777777" w:rsidR="009E6FB4" w:rsidRDefault="009E6FB4">
      <w:pPr>
        <w:spacing w:after="0" w:line="240" w:lineRule="auto"/>
      </w:pPr>
    </w:p>
  </w:footnote>
  <w:footnote w:id="2">
    <w:p w14:paraId="316D0557" w14:textId="77777777" w:rsidR="00D859A4" w:rsidRPr="001959E2" w:rsidRDefault="00D859A4" w:rsidP="00D859A4">
      <w:pPr>
        <w:pStyle w:val="Textonotapie"/>
        <w:ind w:firstLine="709"/>
        <w:jc w:val="both"/>
        <w:rPr>
          <w:rFonts w:ascii="Century Gothic" w:hAnsi="Century Gothic" w:cs="Arial"/>
          <w:sz w:val="17"/>
          <w:szCs w:val="17"/>
          <w:lang w:val="es-CO"/>
        </w:rPr>
      </w:pPr>
      <w:r w:rsidRPr="001959E2">
        <w:rPr>
          <w:rStyle w:val="Refdenotaalpie"/>
          <w:rFonts w:ascii="Century Gothic" w:hAnsi="Century Gothic" w:cs="Arial"/>
          <w:sz w:val="17"/>
          <w:szCs w:val="17"/>
        </w:rPr>
        <w:footnoteRef/>
      </w:r>
      <w:r w:rsidRPr="001959E2">
        <w:rPr>
          <w:rFonts w:ascii="Century Gothic" w:hAnsi="Century Gothic" w:cs="Arial"/>
          <w:sz w:val="17"/>
          <w:szCs w:val="17"/>
        </w:rPr>
        <w:t xml:space="preserve"> </w:t>
      </w:r>
      <w:r w:rsidRPr="001959E2">
        <w:rPr>
          <w:rFonts w:ascii="Century Gothic" w:hAnsi="Century Gothic" w:cs="Arial"/>
          <w:sz w:val="17"/>
          <w:szCs w:val="17"/>
          <w:lang w:val="es-CO"/>
        </w:rPr>
        <w:t xml:space="preserve">Estos conceptos pueden ser consultados en la Relatoría de esta Agencia en el siguiente Link: </w:t>
      </w:r>
      <w:hyperlink r:id="rId1" w:history="1">
        <w:r w:rsidRPr="001959E2">
          <w:rPr>
            <w:rStyle w:val="Hipervnculo"/>
            <w:rFonts w:ascii="Century Gothic" w:hAnsi="Century Gothic" w:cs="Arial"/>
            <w:sz w:val="17"/>
            <w:szCs w:val="17"/>
            <w:lang w:val="es-CO"/>
          </w:rPr>
          <w:t>https://relatoria.colombiacompra.gov.co/busqueda/conceptos</w:t>
        </w:r>
      </w:hyperlink>
      <w:r w:rsidRPr="001959E2">
        <w:rPr>
          <w:rFonts w:ascii="Century Gothic" w:hAnsi="Century Gothic" w:cs="Arial"/>
          <w:sz w:val="17"/>
          <w:szCs w:val="17"/>
          <w:lang w:val="es-CO"/>
        </w:rPr>
        <w:t>.</w:t>
      </w:r>
    </w:p>
  </w:footnote>
  <w:footnote w:id="3">
    <w:p w14:paraId="3E729859" w14:textId="77777777" w:rsidR="00D859A4" w:rsidRPr="00FD174C" w:rsidRDefault="00D859A4" w:rsidP="00D859A4">
      <w:pPr>
        <w:pStyle w:val="Textonotapie"/>
        <w:ind w:firstLine="709"/>
        <w:jc w:val="both"/>
        <w:rPr>
          <w:rFonts w:ascii="Century Gothic" w:hAnsi="Century Gothic" w:cs="Arial"/>
          <w:color w:val="000000"/>
          <w:sz w:val="18"/>
          <w:szCs w:val="18"/>
          <w:lang w:val="es-CO"/>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4D4B5B95" w14:textId="77777777" w:rsidR="00D859A4" w:rsidRPr="00FD174C" w:rsidRDefault="00D859A4" w:rsidP="00D859A4">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w:t>
      </w:r>
      <w:r w:rsidRPr="00FD174C">
        <w:rPr>
          <w:rFonts w:ascii="Century Gothic" w:hAnsi="Century Gothic" w:cs="Arial"/>
          <w:color w:val="000000"/>
          <w:sz w:val="18"/>
          <w:szCs w:val="18"/>
          <w:lang w:val="es-CO"/>
        </w:rPr>
        <w:t xml:space="preserve">Ley 1882 de 2018: “Artículo 4. </w:t>
      </w:r>
      <w:r w:rsidRPr="00FD174C">
        <w:rPr>
          <w:rFonts w:ascii="Century Gothic" w:hAnsi="Century Gothic"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F054762" w14:textId="77777777" w:rsidR="00D859A4" w:rsidRPr="00FD174C" w:rsidRDefault="00D859A4" w:rsidP="00D859A4">
      <w:pPr>
        <w:pStyle w:val="Textonotapie"/>
        <w:ind w:firstLine="709"/>
        <w:jc w:val="both"/>
        <w:rPr>
          <w:rFonts w:ascii="Century Gothic" w:hAnsi="Century Gothic" w:cs="Arial"/>
          <w:color w:val="000000"/>
          <w:sz w:val="18"/>
          <w:szCs w:val="18"/>
          <w:lang w:val="es-CO"/>
        </w:rPr>
      </w:pPr>
      <w:r w:rsidRPr="00FD174C">
        <w:rPr>
          <w:rFonts w:ascii="Century Gothic" w:hAnsi="Century Gothic" w:cs="Arial"/>
          <w:color w:val="000000"/>
          <w:sz w:val="18"/>
          <w:szCs w:val="18"/>
          <w:lang w:val="es-CO"/>
        </w:rPr>
        <w:t>La facultad de adoptar documentos tipo la tendrá el Gobierno nacional, cuando lo considere necesario, en relación con otros contratos o procesos de selección.</w:t>
      </w:r>
    </w:p>
    <w:p w14:paraId="689055CA" w14:textId="77777777" w:rsidR="00D859A4" w:rsidRPr="00FD174C" w:rsidRDefault="00D859A4" w:rsidP="00D859A4">
      <w:pPr>
        <w:pStyle w:val="Textonotapie"/>
        <w:ind w:firstLine="709"/>
        <w:jc w:val="both"/>
        <w:rPr>
          <w:rFonts w:ascii="Century Gothic" w:hAnsi="Century Gothic" w:cs="Arial"/>
          <w:color w:val="000000"/>
          <w:sz w:val="18"/>
          <w:szCs w:val="18"/>
          <w:lang w:val="es-CO"/>
        </w:rPr>
      </w:pPr>
      <w:r w:rsidRPr="00FD174C">
        <w:rPr>
          <w:rFonts w:ascii="Century Gothic" w:hAnsi="Century Gothic" w:cs="Arial"/>
          <w:color w:val="000000"/>
          <w:sz w:val="18"/>
          <w:szCs w:val="18"/>
          <w:lang w:val="es-CO"/>
        </w:rPr>
        <w:t>Los pliegos tipo se adoptarán por categorías de acuerdo con la cuantía de la contratación, según la reglamentación que expida el Gobierno nacional”.</w:t>
      </w:r>
    </w:p>
  </w:footnote>
  <w:footnote w:id="5">
    <w:p w14:paraId="04380266" w14:textId="77777777" w:rsidR="00D859A4" w:rsidRPr="00FD174C" w:rsidRDefault="00D859A4" w:rsidP="00D859A4">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73C0B8A0" w14:textId="77777777" w:rsidR="00D859A4" w:rsidRPr="00FD174C" w:rsidRDefault="00D859A4" w:rsidP="00D859A4">
      <w:pPr>
        <w:pStyle w:val="Textonotapie"/>
        <w:ind w:firstLine="708"/>
        <w:jc w:val="both"/>
        <w:rPr>
          <w:rFonts w:ascii="Century Gothic" w:hAnsi="Century Gothic" w:cs="Arial"/>
          <w:color w:val="000000"/>
          <w:sz w:val="18"/>
          <w:szCs w:val="18"/>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Sin perjuicio de la extensión del ámbito de aplicación de acuerdo con el artículo 56 de la Ley 2195 de 2022, la norma citada en el cuerpo del concepto dispone lo siguiente: “ARTÍCULO 1o. Modifíquese el artículo 4o de la Ley 1882 de 2018, el cual quedará así:</w:t>
      </w:r>
    </w:p>
    <w:p w14:paraId="4377CD75" w14:textId="77777777" w:rsidR="00D859A4" w:rsidRPr="00FD174C" w:rsidRDefault="00D859A4" w:rsidP="00D859A4">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Artículo 4o. Adiciónese el siguiente parágrafo al artículo 2o de la Ley 1150 de 2007.</w:t>
      </w:r>
    </w:p>
    <w:p w14:paraId="6611DABE" w14:textId="77777777" w:rsidR="00D859A4" w:rsidRPr="00FD174C" w:rsidRDefault="00D859A4" w:rsidP="00D859A4">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60191AD" w14:textId="77777777" w:rsidR="00D859A4" w:rsidRPr="00FD174C" w:rsidRDefault="00D859A4" w:rsidP="00D859A4">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53E6DD8" w14:textId="77777777" w:rsidR="00D859A4" w:rsidRPr="00FD174C" w:rsidRDefault="00D859A4" w:rsidP="00D859A4">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708C2B3" w14:textId="77777777" w:rsidR="00D859A4" w:rsidRPr="00FD174C" w:rsidRDefault="00D859A4" w:rsidP="00D859A4">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6220E97" w14:textId="77777777" w:rsidR="00D859A4" w:rsidRPr="00FD174C" w:rsidRDefault="00D859A4" w:rsidP="00D859A4">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23968E39" w14:textId="77777777" w:rsidR="00D859A4" w:rsidRPr="00FD174C" w:rsidRDefault="00D859A4" w:rsidP="00D859A4">
      <w:pPr>
        <w:pStyle w:val="Textonotapie"/>
        <w:ind w:firstLine="709"/>
        <w:jc w:val="both"/>
        <w:rPr>
          <w:rFonts w:ascii="Century Gothic" w:hAnsi="Century Gothic" w:cs="Arial"/>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El artículo 5 dispone que “</w:t>
      </w:r>
      <w:r w:rsidRPr="00FD174C">
        <w:rPr>
          <w:rFonts w:ascii="Century Gothic" w:hAnsi="Century Gothic" w:cs="Arial"/>
          <w:sz w:val="18"/>
          <w:szCs w:val="18"/>
          <w:lang w:val="es-CO"/>
        </w:rPr>
        <w:t>La presente resolución rige a partir de su publicación, deroga la Resolución 094 de 2020 y sus modificaciones posteriores, y aplica a los procesos de obra pública de infraestructura de transporte que se adelanten bajo la modalidad de mínima cuantía, cuya invitación se publique a partir del 27 de febrero del 2023”.</w:t>
      </w:r>
    </w:p>
  </w:footnote>
  <w:footnote w:id="8">
    <w:p w14:paraId="61DAF29A" w14:textId="77777777" w:rsidR="00D859A4" w:rsidRPr="001959E2" w:rsidRDefault="00D859A4" w:rsidP="00D859A4">
      <w:pPr>
        <w:pStyle w:val="Ttulo21"/>
        <w:spacing w:before="0" w:after="0"/>
        <w:ind w:firstLine="708"/>
        <w:jc w:val="both"/>
        <w:rPr>
          <w:rFonts w:ascii="Century Gothic" w:hAnsi="Century Gothic" w:cs="Arial"/>
          <w:color w:val="auto"/>
          <w:sz w:val="17"/>
          <w:szCs w:val="17"/>
        </w:rPr>
      </w:pPr>
      <w:r w:rsidRPr="00225930">
        <w:rPr>
          <w:rStyle w:val="Refdenotaalpie"/>
          <w:rFonts w:ascii="Century Gothic" w:hAnsi="Century Gothic" w:cs="Arial"/>
          <w:color w:val="auto"/>
          <w:sz w:val="17"/>
          <w:szCs w:val="17"/>
        </w:rPr>
        <w:footnoteRef/>
      </w:r>
      <w:r w:rsidRPr="001959E2">
        <w:rPr>
          <w:rFonts w:ascii="Century Gothic" w:hAnsi="Century Gothic" w:cs="Arial"/>
          <w:color w:val="auto"/>
          <w:sz w:val="17"/>
          <w:szCs w:val="17"/>
        </w:rPr>
        <w:t xml:space="preserve"> </w:t>
      </w:r>
      <w:r w:rsidRPr="001959E2">
        <w:rPr>
          <w:rFonts w:ascii="Century Gothic" w:hAnsi="Century Gothic" w:cs="Arial"/>
          <w:color w:val="auto"/>
          <w:sz w:val="17"/>
          <w:szCs w:val="17"/>
          <w:lang w:val="es-ES"/>
        </w:rPr>
        <w:t>Agencia Nacional de Contratación Pública – Colombia Compra Eficiente. Resolución 240 de 2020. “Artículo 4:</w:t>
      </w:r>
      <w:r w:rsidRPr="00225930">
        <w:rPr>
          <w:rStyle w:val="EncabezadoCar"/>
          <w:rFonts w:ascii="Century Gothic" w:hAnsi="Century Gothic" w:cs="Arial"/>
          <w:color w:val="auto"/>
          <w:sz w:val="17"/>
          <w:szCs w:val="17"/>
        </w:rPr>
        <w:t xml:space="preserve"> </w:t>
      </w:r>
      <w:r w:rsidRPr="001959E2">
        <w:rPr>
          <w:rFonts w:ascii="Century Gothic" w:hAnsi="Century Gothic" w:cs="Arial"/>
          <w:color w:val="auto"/>
          <w:sz w:val="17"/>
          <w:szCs w:val="17"/>
        </w:rPr>
        <w:t xml:space="preserve">Bienes o servicios adicionales a la obra pública de infraestructura de transporte: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2799EC3E" w14:textId="77777777" w:rsidR="00D859A4" w:rsidRPr="001959E2" w:rsidRDefault="00D859A4" w:rsidP="00D859A4">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5708C862" w14:textId="77777777" w:rsidR="00D859A4" w:rsidRPr="001959E2" w:rsidRDefault="00D859A4" w:rsidP="00D859A4">
      <w:pPr>
        <w:pStyle w:val="Ttulo21"/>
        <w:spacing w:before="0" w:after="0"/>
        <w:ind w:left="708"/>
        <w:jc w:val="both"/>
        <w:rPr>
          <w:rFonts w:ascii="Century Gothic" w:hAnsi="Century Gothic" w:cs="Arial"/>
          <w:color w:val="auto"/>
          <w:sz w:val="17"/>
          <w:szCs w:val="17"/>
        </w:rPr>
      </w:pPr>
      <w:r w:rsidRPr="001959E2">
        <w:rPr>
          <w:rFonts w:ascii="Century Gothic" w:hAnsi="Century Gothic" w:cs="Arial"/>
          <w:color w:val="auto"/>
          <w:sz w:val="17"/>
          <w:szCs w:val="17"/>
        </w:rPr>
        <w:t xml:space="preserve">2. Conservar los requisitos exigidos en los Documentos Tipo. </w:t>
      </w:r>
    </w:p>
    <w:p w14:paraId="06FC4AD8" w14:textId="77777777" w:rsidR="00D859A4" w:rsidRPr="001959E2" w:rsidRDefault="00D859A4" w:rsidP="00D859A4">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3. Abstenerse de pedir experiencia exclusiva con entidades estatales, experiencia previa en un territorio específico, limitada en el tiempo o que incluya volúmenes o cantidades de obra específica. </w:t>
      </w:r>
    </w:p>
    <w:p w14:paraId="17D001E2" w14:textId="77777777" w:rsidR="00D859A4" w:rsidRPr="001959E2" w:rsidRDefault="00D859A4" w:rsidP="00D859A4">
      <w:pPr>
        <w:pStyle w:val="Ttulo21"/>
        <w:spacing w:before="0" w:after="0"/>
        <w:ind w:firstLine="708"/>
        <w:jc w:val="both"/>
        <w:rPr>
          <w:rFonts w:ascii="Century Gothic" w:hAnsi="Century Gothic" w:cs="Arial"/>
          <w:color w:val="auto"/>
          <w:sz w:val="17"/>
          <w:szCs w:val="17"/>
        </w:rPr>
      </w:pPr>
      <w:r w:rsidRPr="001959E2">
        <w:rPr>
          <w:rFonts w:ascii="Century Gothic" w:hAnsi="Century Gothic" w:cs="Arial"/>
          <w:color w:val="auto"/>
          <w:sz w:val="17"/>
          <w:szCs w:val="17"/>
        </w:rPr>
        <w:t xml:space="preserve">4. Clasificar la experiencia requerida solo hasta el tercer nivel del Clasificador de Bienes y Servicios e incluir exclusivamente los códigos que estén relacionados directamente con el objeto a contratar. </w:t>
      </w:r>
    </w:p>
    <w:p w14:paraId="21E50489" w14:textId="77777777" w:rsidR="00D859A4" w:rsidRPr="001959E2" w:rsidRDefault="00D859A4" w:rsidP="00D859A4">
      <w:pPr>
        <w:pStyle w:val="Ttulo21"/>
        <w:spacing w:before="0" w:after="0"/>
        <w:ind w:firstLine="708"/>
        <w:jc w:val="both"/>
        <w:rPr>
          <w:rFonts w:ascii="Century Gothic" w:hAnsi="Century Gothic" w:cs="Arial"/>
          <w:color w:val="000000"/>
          <w:sz w:val="17"/>
          <w:szCs w:val="17"/>
          <w:lang w:eastAsia="es-CO"/>
        </w:rPr>
      </w:pPr>
      <w:r w:rsidRPr="001959E2">
        <w:rPr>
          <w:rFonts w:ascii="Century Gothic" w:hAnsi="Century Gothic" w:cs="Arial"/>
          <w:color w:val="auto"/>
          <w:sz w:val="17"/>
          <w:szCs w:val="17"/>
        </w:rPr>
        <w:t>Parágrafo (Incluido por el artículo 59 de la Resolución 275 del 24 de junio de 2022). En los casos que el objeto contractual incluya actividades que son abarcadas por otros Documentos Tipo, la Entidad Estatal aplicará las reglas de combinación de experiencia previstas en el numeral 3.5.2 del documento base”.</w:t>
      </w:r>
    </w:p>
    <w:p w14:paraId="69EBAF8B" w14:textId="77777777" w:rsidR="00D859A4" w:rsidRPr="001959E2" w:rsidRDefault="00D859A4" w:rsidP="00D859A4">
      <w:pPr>
        <w:pStyle w:val="Textonotapie"/>
        <w:ind w:firstLine="708"/>
        <w:jc w:val="both"/>
        <w:rPr>
          <w:rFonts w:ascii="Century Gothic" w:hAnsi="Century Gothic" w:cs="Arial"/>
          <w:sz w:val="17"/>
          <w:szCs w:val="17"/>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21373A3"/>
    <w:multiLevelType w:val="hybridMultilevel"/>
    <w:tmpl w:val="391A1F1A"/>
    <w:lvl w:ilvl="0" w:tplc="800CE088">
      <w:start w:val="1"/>
      <w:numFmt w:val="upperLetter"/>
      <w:lvlText w:val="%1."/>
      <w:lvlJc w:val="left"/>
      <w:pPr>
        <w:ind w:left="1070" w:hanging="710"/>
      </w:pPr>
      <w:rPr>
        <w:rFonts w:hint="default"/>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36124100">
    <w:abstractNumId w:val="0"/>
  </w:num>
  <w:num w:numId="7" w16cid:durableId="19160855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37029"/>
    <w:rsid w:val="000564E5"/>
    <w:rsid w:val="000A683E"/>
    <w:rsid w:val="000B19B9"/>
    <w:rsid w:val="000D0334"/>
    <w:rsid w:val="000E4714"/>
    <w:rsid w:val="000F6486"/>
    <w:rsid w:val="00125105"/>
    <w:rsid w:val="00127233"/>
    <w:rsid w:val="001514E8"/>
    <w:rsid w:val="001514FA"/>
    <w:rsid w:val="00187C0D"/>
    <w:rsid w:val="001E4177"/>
    <w:rsid w:val="00221263"/>
    <w:rsid w:val="002951A0"/>
    <w:rsid w:val="002962BC"/>
    <w:rsid w:val="002A093D"/>
    <w:rsid w:val="002A49AC"/>
    <w:rsid w:val="002A64FD"/>
    <w:rsid w:val="002C7A84"/>
    <w:rsid w:val="002E603F"/>
    <w:rsid w:val="002F3FFF"/>
    <w:rsid w:val="003448F4"/>
    <w:rsid w:val="00352FA9"/>
    <w:rsid w:val="003A779E"/>
    <w:rsid w:val="003D0F4D"/>
    <w:rsid w:val="003E0499"/>
    <w:rsid w:val="003F3941"/>
    <w:rsid w:val="00400548"/>
    <w:rsid w:val="00413356"/>
    <w:rsid w:val="00413E7A"/>
    <w:rsid w:val="004368BC"/>
    <w:rsid w:val="00480C16"/>
    <w:rsid w:val="004A1847"/>
    <w:rsid w:val="004A305D"/>
    <w:rsid w:val="004F21C4"/>
    <w:rsid w:val="004F685F"/>
    <w:rsid w:val="00500A15"/>
    <w:rsid w:val="00533E8F"/>
    <w:rsid w:val="005566E8"/>
    <w:rsid w:val="00574867"/>
    <w:rsid w:val="005A6AA1"/>
    <w:rsid w:val="005A74BB"/>
    <w:rsid w:val="005B5D8B"/>
    <w:rsid w:val="005C5CDC"/>
    <w:rsid w:val="005D476C"/>
    <w:rsid w:val="006219F8"/>
    <w:rsid w:val="00622562"/>
    <w:rsid w:val="00663B46"/>
    <w:rsid w:val="00665D70"/>
    <w:rsid w:val="006E4C40"/>
    <w:rsid w:val="00701FC2"/>
    <w:rsid w:val="00706C16"/>
    <w:rsid w:val="00727370"/>
    <w:rsid w:val="007469B4"/>
    <w:rsid w:val="00756841"/>
    <w:rsid w:val="00763C80"/>
    <w:rsid w:val="007649AB"/>
    <w:rsid w:val="007833AC"/>
    <w:rsid w:val="0079043F"/>
    <w:rsid w:val="007B7171"/>
    <w:rsid w:val="007C3DC2"/>
    <w:rsid w:val="007E5497"/>
    <w:rsid w:val="00806C53"/>
    <w:rsid w:val="00806F5F"/>
    <w:rsid w:val="00820278"/>
    <w:rsid w:val="008843B6"/>
    <w:rsid w:val="00891928"/>
    <w:rsid w:val="008A446D"/>
    <w:rsid w:val="008F0EA7"/>
    <w:rsid w:val="00923EEF"/>
    <w:rsid w:val="009419F9"/>
    <w:rsid w:val="00961B09"/>
    <w:rsid w:val="00965334"/>
    <w:rsid w:val="00967ABD"/>
    <w:rsid w:val="0097093E"/>
    <w:rsid w:val="009C3679"/>
    <w:rsid w:val="009C71FA"/>
    <w:rsid w:val="009C72E7"/>
    <w:rsid w:val="009E6FB4"/>
    <w:rsid w:val="00A06C02"/>
    <w:rsid w:val="00A17F13"/>
    <w:rsid w:val="00A20739"/>
    <w:rsid w:val="00A33C78"/>
    <w:rsid w:val="00A354FB"/>
    <w:rsid w:val="00AB0ADB"/>
    <w:rsid w:val="00AD5E99"/>
    <w:rsid w:val="00B14CB8"/>
    <w:rsid w:val="00B22E24"/>
    <w:rsid w:val="00B34A8B"/>
    <w:rsid w:val="00B72C17"/>
    <w:rsid w:val="00B72CD3"/>
    <w:rsid w:val="00B72FFF"/>
    <w:rsid w:val="00BA0ACF"/>
    <w:rsid w:val="00BC792C"/>
    <w:rsid w:val="00BD15D4"/>
    <w:rsid w:val="00BD2E7A"/>
    <w:rsid w:val="00BD7F72"/>
    <w:rsid w:val="00C04FB3"/>
    <w:rsid w:val="00C12DEF"/>
    <w:rsid w:val="00C24B4A"/>
    <w:rsid w:val="00C330EB"/>
    <w:rsid w:val="00C754BE"/>
    <w:rsid w:val="00CB6357"/>
    <w:rsid w:val="00CC1B26"/>
    <w:rsid w:val="00D423A2"/>
    <w:rsid w:val="00D63AC2"/>
    <w:rsid w:val="00D7383B"/>
    <w:rsid w:val="00D859A4"/>
    <w:rsid w:val="00DA231B"/>
    <w:rsid w:val="00E16408"/>
    <w:rsid w:val="00E20894"/>
    <w:rsid w:val="00E245AB"/>
    <w:rsid w:val="00E50AFE"/>
    <w:rsid w:val="00E771DC"/>
    <w:rsid w:val="00E8772A"/>
    <w:rsid w:val="00E90F6B"/>
    <w:rsid w:val="00E92C27"/>
    <w:rsid w:val="00EA0E3D"/>
    <w:rsid w:val="00EC721E"/>
    <w:rsid w:val="00EE1AA8"/>
    <w:rsid w:val="00F17039"/>
    <w:rsid w:val="00F204AB"/>
    <w:rsid w:val="00F31EDC"/>
    <w:rsid w:val="00F5664F"/>
    <w:rsid w:val="00F613A2"/>
    <w:rsid w:val="00F707F8"/>
    <w:rsid w:val="00F76AFC"/>
    <w:rsid w:val="00FB5DD1"/>
    <w:rsid w:val="00FC2B5D"/>
    <w:rsid w:val="00FF1449"/>
    <w:rsid w:val="4E0DEE9E"/>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1E52E07-0D34-4C13-914A-64CBBFEC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rsid w:val="00D859A4"/>
    <w:pPr>
      <w:spacing w:line="240" w:lineRule="exact"/>
    </w:pPr>
    <w:rPr>
      <w:vertAlign w:val="superscript"/>
    </w:rPr>
  </w:style>
  <w:style w:type="paragraph" w:customStyle="1" w:styleId="Ttulo21">
    <w:name w:val="Título 21"/>
    <w:basedOn w:val="Normal"/>
    <w:next w:val="Normal"/>
    <w:uiPriority w:val="9"/>
    <w:semiHidden/>
    <w:unhideWhenUsed/>
    <w:qFormat/>
    <w:rsid w:val="00D859A4"/>
    <w:pPr>
      <w:keepNext/>
      <w:keepLines/>
      <w:spacing w:before="160" w:after="80" w:line="240" w:lineRule="auto"/>
      <w:outlineLvl w:val="1"/>
    </w:pPr>
    <w:rPr>
      <w:rFonts w:ascii="Aptos Display" w:eastAsia="Times New Roman" w:hAnsi="Aptos Display" w:cs="Times New Roman"/>
      <w:color w:val="0F4761"/>
      <w:kern w:val="2"/>
      <w:sz w:val="32"/>
      <w:szCs w:val="32"/>
      <w:lang w:val="es-ES_tradnl"/>
      <w14:ligatures w14:val="standardContextual"/>
    </w:rPr>
  </w:style>
  <w:style w:type="paragraph" w:styleId="Revisin">
    <w:name w:val="Revision"/>
    <w:hidden/>
    <w:uiPriority w:val="99"/>
    <w:semiHidden/>
    <w:rsid w:val="00A06C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Kevin Arlid Herrera Santa</DisplayName>
        <AccountId>221</AccountId>
        <AccountType/>
      </UserInfo>
      <UserInfo>
        <DisplayName>Adriana Katerine Lopez Rodriguez</DisplayName>
        <AccountId>807</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6CFCAF1-C8D3-4079-B22C-3CBAF6A04C8F}">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C24EE74-CF0C-44CF-BB3A-A248ABF66349}"/>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5901</Words>
  <Characters>32461</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38286</CharactersWithSpaces>
  <SharedDoc>false</SharedDoc>
  <HLinks>
    <vt:vector size="12" baseType="variant">
      <vt:variant>
        <vt:i4>4653144</vt:i4>
      </vt:variant>
      <vt:variant>
        <vt:i4>0</vt:i4>
      </vt:variant>
      <vt:variant>
        <vt:i4>0</vt:i4>
      </vt:variant>
      <vt:variant>
        <vt:i4>5</vt:i4>
      </vt:variant>
      <vt:variant>
        <vt:lpwstr>https://www.colombiacompra.gov.co/documentos-tipo/documentos-tipo</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2023-01-11T00:18:00Z</cp:lastPrinted>
  <dcterms:created xsi:type="dcterms:W3CDTF">2024-06-20T03:18:00Z</dcterms:created>
  <dcterms:modified xsi:type="dcterms:W3CDTF">2024-06-20T03:21:00Z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