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0EAB4" w14:textId="77777777" w:rsidR="00FA088B" w:rsidRPr="00676238" w:rsidRDefault="00FA088B" w:rsidP="00676238">
      <w:pPr>
        <w:jc w:val="both"/>
        <w:rPr>
          <w:rFonts w:ascii="Verdana" w:hAnsi="Verdana" w:cs="Arial"/>
          <w:b/>
          <w:lang w:val="es-MX" w:eastAsia="es-ES"/>
        </w:rPr>
      </w:pPr>
      <w:bookmarkStart w:id="0" w:name="_Hlk186494164"/>
      <w:r w:rsidRPr="00676238">
        <w:rPr>
          <w:rFonts w:ascii="Verdana" w:hAnsi="Verdana" w:cs="Arial"/>
          <w:b/>
          <w:lang w:val="es-MX" w:eastAsia="es-ES"/>
        </w:rPr>
        <w:t xml:space="preserve">DOCUMENTO TIPO – Fundamento normativo </w:t>
      </w:r>
    </w:p>
    <w:p w14:paraId="53331454" w14:textId="77777777" w:rsidR="00676238" w:rsidRDefault="00676238" w:rsidP="00676238">
      <w:pPr>
        <w:spacing w:after="0" w:line="240" w:lineRule="auto"/>
        <w:jc w:val="both"/>
        <w:rPr>
          <w:rFonts w:ascii="Verdana" w:hAnsi="Verdana" w:cs="Arial"/>
          <w:bCs/>
          <w:lang w:val="es-MX" w:eastAsia="es-ES"/>
        </w:rPr>
      </w:pPr>
    </w:p>
    <w:p w14:paraId="49625F6A" w14:textId="6EC2490D" w:rsidR="00FA088B" w:rsidRDefault="00676238" w:rsidP="00676238">
      <w:pPr>
        <w:snapToGrid w:val="0"/>
        <w:spacing w:after="0" w:line="240" w:lineRule="auto"/>
        <w:jc w:val="both"/>
        <w:rPr>
          <w:rFonts w:ascii="Verdana" w:eastAsia="Calibri" w:hAnsi="Verdana" w:cs="Arial"/>
          <w:lang w:val="es-ES"/>
        </w:rPr>
      </w:pPr>
      <w:r w:rsidRPr="00054652">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30F06E3" w14:textId="77777777" w:rsidR="00676238" w:rsidRPr="00676238" w:rsidRDefault="00676238" w:rsidP="00676238">
      <w:pPr>
        <w:snapToGrid w:val="0"/>
        <w:spacing w:after="0" w:line="240" w:lineRule="auto"/>
        <w:jc w:val="both"/>
        <w:rPr>
          <w:rFonts w:ascii="Verdana" w:eastAsia="Calibri" w:hAnsi="Verdana" w:cs="Arial"/>
          <w:lang w:val="es-ES"/>
        </w:rPr>
      </w:pPr>
    </w:p>
    <w:p w14:paraId="15BA1FF4" w14:textId="77777777" w:rsidR="00FA088B" w:rsidRPr="00676238" w:rsidRDefault="00FA088B" w:rsidP="00676238">
      <w:pPr>
        <w:jc w:val="both"/>
        <w:rPr>
          <w:rFonts w:ascii="Verdana" w:eastAsia="Calibri" w:hAnsi="Verdana" w:cs="Arial"/>
          <w:b/>
          <w:lang w:val="es-ES_tradnl"/>
        </w:rPr>
      </w:pPr>
      <w:r w:rsidRPr="00676238">
        <w:rPr>
          <w:rFonts w:ascii="Verdana" w:eastAsia="Calibri" w:hAnsi="Verdana" w:cs="Arial"/>
          <w:b/>
          <w:lang w:val="es-ES_tradnl"/>
        </w:rPr>
        <w:t xml:space="preserve">DOCUMENTOS TIPO – Inalterabilidad – Obligatoriedad </w:t>
      </w:r>
    </w:p>
    <w:p w14:paraId="3171D1BB" w14:textId="77777777" w:rsidR="00676238" w:rsidRDefault="00676238" w:rsidP="00676238">
      <w:pPr>
        <w:spacing w:after="0" w:line="240" w:lineRule="auto"/>
        <w:jc w:val="both"/>
        <w:rPr>
          <w:rFonts w:ascii="Verdana" w:eastAsia="Calibri" w:hAnsi="Verdana" w:cs="Arial"/>
          <w:bCs/>
          <w:lang w:val="es-ES_tradnl"/>
        </w:rPr>
      </w:pPr>
    </w:p>
    <w:p w14:paraId="1EF7602B" w14:textId="26AB40FC" w:rsidR="00676238" w:rsidRDefault="00676238" w:rsidP="00676238">
      <w:pPr>
        <w:spacing w:after="0" w:line="240" w:lineRule="auto"/>
        <w:jc w:val="both"/>
        <w:rPr>
          <w:rFonts w:ascii="Verdana" w:eastAsia="Calibri" w:hAnsi="Verdana" w:cs="Arial"/>
          <w:color w:val="000000"/>
          <w:lang w:val="es-ES"/>
        </w:rPr>
      </w:pPr>
      <w:r w:rsidRPr="7DFD6657">
        <w:rPr>
          <w:rFonts w:ascii="Verdana" w:eastAsia="Calibri" w:hAnsi="Verdana" w:cs="Arial"/>
          <w:color w:val="000000"/>
          <w:lang w:val="es-ES"/>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7DFD6657">
        <w:rPr>
          <w:rFonts w:ascii="Verdana" w:eastAsia="Calibri" w:hAnsi="Verdana" w:cs="Arial"/>
          <w:i/>
          <w:color w:val="000000"/>
          <w:lang w:val="es-ES"/>
        </w:rPr>
        <w:t>Documentos del Proceso</w:t>
      </w:r>
      <w:r w:rsidRPr="7DFD6657">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1CD84DA" w14:textId="77777777" w:rsidR="00676238" w:rsidRPr="00054652" w:rsidRDefault="00676238" w:rsidP="00676238">
      <w:pPr>
        <w:spacing w:after="0" w:line="240" w:lineRule="auto"/>
        <w:jc w:val="both"/>
        <w:rPr>
          <w:rFonts w:ascii="Verdana" w:eastAsia="Calibri" w:hAnsi="Verdana" w:cs="Arial"/>
          <w:color w:val="000000"/>
          <w:lang w:val="es-ES"/>
        </w:rPr>
      </w:pPr>
    </w:p>
    <w:p w14:paraId="68531631" w14:textId="41F35F22" w:rsidR="00FA088B" w:rsidRPr="00676238" w:rsidRDefault="00676238" w:rsidP="00676238">
      <w:pPr>
        <w:spacing w:after="0" w:line="240" w:lineRule="auto"/>
        <w:jc w:val="both"/>
        <w:rPr>
          <w:rFonts w:ascii="Verdana" w:eastAsia="Calibri" w:hAnsi="Verdana" w:cs="Arial"/>
          <w:color w:val="000000"/>
          <w:lang w:val="es-ES_tradnl"/>
        </w:rPr>
      </w:pPr>
      <w:r w:rsidRPr="00054652">
        <w:rPr>
          <w:rFonts w:ascii="Verdana" w:eastAsia="Calibri" w:hAnsi="Verdana" w:cs="Arial"/>
          <w:color w:val="00000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20A7D9CA" w14:textId="77777777" w:rsidR="00FA088B" w:rsidRPr="00676238" w:rsidRDefault="00FA088B" w:rsidP="00676238">
      <w:pPr>
        <w:spacing w:after="0" w:line="240" w:lineRule="auto"/>
        <w:jc w:val="both"/>
        <w:rPr>
          <w:rFonts w:ascii="Verdana" w:eastAsia="Calibri" w:hAnsi="Verdana" w:cs="Arial"/>
          <w:b/>
          <w:lang w:val="es-ES_tradnl"/>
        </w:rPr>
      </w:pPr>
    </w:p>
    <w:p w14:paraId="05B60C45" w14:textId="568753D4" w:rsidR="00FA088B" w:rsidRPr="00676238" w:rsidRDefault="00FA088B" w:rsidP="00676238">
      <w:pPr>
        <w:spacing w:after="0" w:line="240" w:lineRule="auto"/>
        <w:jc w:val="both"/>
        <w:rPr>
          <w:rFonts w:ascii="Verdana" w:eastAsia="Calibri" w:hAnsi="Verdana" w:cs="Arial"/>
          <w:b/>
          <w:lang w:val="es-MX" w:eastAsia="es-ES_tradnl"/>
        </w:rPr>
      </w:pPr>
      <w:r w:rsidRPr="00676238">
        <w:rPr>
          <w:rFonts w:ascii="Verdana" w:eastAsia="Calibri" w:hAnsi="Verdana" w:cs="Arial"/>
          <w:b/>
          <w:lang w:val="es-ES_tradnl"/>
        </w:rPr>
        <w:t xml:space="preserve">ANEXO TÉCNICO – Alcance – modificación </w:t>
      </w:r>
    </w:p>
    <w:p w14:paraId="5F4CE871" w14:textId="77777777" w:rsidR="00B5355B" w:rsidRDefault="00B5355B" w:rsidP="00676238">
      <w:pPr>
        <w:spacing w:after="0" w:line="240" w:lineRule="auto"/>
        <w:rPr>
          <w:rFonts w:ascii="Verdana" w:eastAsia="Geomanist Light" w:hAnsi="Verdana" w:cs="Arial"/>
          <w:color w:val="000000" w:themeColor="text1"/>
        </w:rPr>
      </w:pPr>
    </w:p>
    <w:p w14:paraId="542A9AB9" w14:textId="46CC2D82" w:rsidR="00676238" w:rsidRDefault="00676238" w:rsidP="00676238">
      <w:pPr>
        <w:spacing w:after="0" w:line="240" w:lineRule="auto"/>
        <w:jc w:val="both"/>
        <w:textAlignment w:val="baseline"/>
        <w:rPr>
          <w:rFonts w:ascii="Verdana" w:eastAsia="Calibri" w:hAnsi="Verdana" w:cs="Arial"/>
          <w:szCs w:val="24"/>
          <w:lang w:eastAsia="es-ES_tradnl"/>
        </w:rPr>
      </w:pPr>
      <w:r>
        <w:rPr>
          <w:rFonts w:ascii="Verdana" w:eastAsia="Calibri" w:hAnsi="Verdana" w:cs="Arial"/>
          <w:szCs w:val="24"/>
          <w:lang w:eastAsia="es-ES_tradnl"/>
        </w:rPr>
        <w:t>E</w:t>
      </w:r>
      <w:r w:rsidRPr="00054652">
        <w:rPr>
          <w:rFonts w:ascii="Verdana" w:eastAsia="Calibri" w:hAnsi="Verdana" w:cs="Arial"/>
          <w:szCs w:val="24"/>
          <w:lang w:eastAsia="es-ES_tradnl"/>
        </w:rPr>
        <w:t xml:space="preserve">n los documentos tipo de licitación de infraestructura de transporte Versión 4 - se ha establecido el “Anexo 1 – Anexo Técnico”, que contienen parámetros obligatorios para las entidades estatales sometidas al Estatuto General de </w:t>
      </w:r>
      <w:r w:rsidRPr="00054652">
        <w:rPr>
          <w:rFonts w:ascii="Verdana" w:eastAsia="Calibri" w:hAnsi="Verdana" w:cs="Arial"/>
          <w:szCs w:val="24"/>
          <w:lang w:eastAsia="es-ES_tradnl"/>
        </w:rPr>
        <w:lastRenderedPageBreak/>
        <w:t>Contratación de la Administración Pública que adelanten procesos contractuales regidos por aquellos. Este documento es inalterable y las entidades estatales no pueden incluir, modificar o exigir en ese anexo requisitos adicionales, condiciones habilitantes o factores técnicos y económicos, diferentes a los señalados en los documentos tipo, salvo cuando de forma expresa lo determine el documento, es decir, en los aspectos incluidos en corchetes y resaltados en gris.</w:t>
      </w:r>
    </w:p>
    <w:p w14:paraId="23BAB003" w14:textId="77777777" w:rsidR="00676238" w:rsidRDefault="00676238" w:rsidP="00676238">
      <w:pPr>
        <w:spacing w:after="0" w:line="240" w:lineRule="auto"/>
        <w:jc w:val="both"/>
        <w:textAlignment w:val="baseline"/>
        <w:rPr>
          <w:rFonts w:ascii="Verdana" w:eastAsia="Calibri" w:hAnsi="Verdana" w:cs="Arial"/>
          <w:szCs w:val="24"/>
          <w:lang w:eastAsia="es-ES_tradnl"/>
        </w:rPr>
      </w:pPr>
    </w:p>
    <w:p w14:paraId="14AFA33D" w14:textId="06271664" w:rsidR="00676238" w:rsidRPr="00054652" w:rsidRDefault="00676238" w:rsidP="00676238">
      <w:pPr>
        <w:spacing w:after="0" w:line="240" w:lineRule="auto"/>
        <w:jc w:val="both"/>
        <w:textAlignment w:val="baseline"/>
        <w:rPr>
          <w:rFonts w:ascii="Verdana" w:eastAsia="Calibri" w:hAnsi="Verdana" w:cs="Arial"/>
          <w:szCs w:val="24"/>
          <w:lang w:eastAsia="es-ES_tradnl"/>
        </w:rPr>
      </w:pPr>
      <w:r>
        <w:rPr>
          <w:rFonts w:ascii="Verdana" w:eastAsia="Calibri" w:hAnsi="Verdana" w:cs="Arial"/>
          <w:szCs w:val="24"/>
          <w:lang w:eastAsia="es-ES_tradnl"/>
        </w:rPr>
        <w:t>(…)</w:t>
      </w:r>
    </w:p>
    <w:p w14:paraId="184B9399" w14:textId="77777777" w:rsidR="00B5355B" w:rsidRDefault="00B5355B" w:rsidP="00676238">
      <w:pPr>
        <w:spacing w:after="0" w:line="240" w:lineRule="auto"/>
        <w:jc w:val="both"/>
        <w:rPr>
          <w:rFonts w:ascii="Verdana" w:eastAsia="Geomanist Light" w:hAnsi="Verdana" w:cs="Arial"/>
          <w:color w:val="000000" w:themeColor="text1"/>
        </w:rPr>
      </w:pPr>
    </w:p>
    <w:p w14:paraId="1CE324B0" w14:textId="1CFE40BA" w:rsidR="00676238" w:rsidRDefault="00676238" w:rsidP="00676238">
      <w:pPr>
        <w:spacing w:after="0" w:line="240" w:lineRule="auto"/>
        <w:jc w:val="both"/>
        <w:rPr>
          <w:rFonts w:ascii="Verdana" w:eastAsia="Geomanist Light" w:hAnsi="Verdana" w:cs="Arial"/>
          <w:color w:val="000000" w:themeColor="text1"/>
        </w:rPr>
      </w:pPr>
      <w:r w:rsidRPr="00054652">
        <w:rPr>
          <w:rFonts w:ascii="Verdana" w:eastAsia="Calibri" w:hAnsi="Verdana" w:cs="Arial"/>
          <w:bCs/>
          <w:szCs w:val="24"/>
          <w:lang w:val="es-MX" w:eastAsia="es-ES_tradnl"/>
        </w:rPr>
        <w:t xml:space="preserve">La forma en la que estos permisos o licencias se proyectan en el documento tipo, sin vulnerar la regla de inalterabilidad de estos documentos, es mediante el Anexo técnico, específicamente en el numeral 11 referente a </w:t>
      </w:r>
      <w:r w:rsidRPr="00054652">
        <w:rPr>
          <w:rFonts w:ascii="Verdana" w:eastAsia="Calibri" w:hAnsi="Verdana" w:cs="Arial"/>
          <w:szCs w:val="24"/>
          <w:lang w:eastAsia="es-ES_tradnl"/>
        </w:rPr>
        <w:t xml:space="preserve">permisos, licencias y autorizaciones, en el cual se establece un espacio en gris en el que </w:t>
      </w:r>
      <w:r w:rsidRPr="00054652">
        <w:rPr>
          <w:rFonts w:ascii="Verdana" w:eastAsia="Calibri" w:hAnsi="Verdana" w:cs="Arial"/>
          <w:szCs w:val="24"/>
          <w:lang w:val="es-ES" w:eastAsia="es-ES_tradnl"/>
        </w:rPr>
        <w:t xml:space="preserve">la entidad deberá incluir los permisos, licencias y autorizaciones necesarios para la ejecución del contrato. Para tales efectos, </w:t>
      </w:r>
      <w:r w:rsidRPr="00054652">
        <w:rPr>
          <w:rFonts w:ascii="Verdana" w:eastAsia="Calibri" w:hAnsi="Verdana" w:cs="Arial"/>
          <w:szCs w:val="24"/>
          <w:lang w:eastAsia="es-ES_tradnl"/>
        </w:rPr>
        <w:t>las entidades estatales durante la etapa de planeación del contrato tienen el deber de elaborar los estudios técnicos necesarios para establecer la viabilidad del proyecto en cuanto corresponde a estudios de ingeniería, aspectos presupuestales, el impacto social, económico y ambiental, e identificar los permisos, autorizaciones y licencias requeridas para la ejecución del proyecto</w:t>
      </w:r>
    </w:p>
    <w:p w14:paraId="50EB8945" w14:textId="77777777" w:rsidR="00B5355B" w:rsidRDefault="00B5355B" w:rsidP="00676238">
      <w:pPr>
        <w:spacing w:after="0" w:line="240" w:lineRule="auto"/>
        <w:rPr>
          <w:rFonts w:ascii="Verdana" w:eastAsia="Geomanist Light" w:hAnsi="Verdana" w:cs="Arial"/>
          <w:color w:val="000000" w:themeColor="text1"/>
        </w:rPr>
      </w:pPr>
    </w:p>
    <w:p w14:paraId="093406EC" w14:textId="77777777" w:rsidR="00B5355B" w:rsidRDefault="00B5355B" w:rsidP="00337DF3">
      <w:pPr>
        <w:spacing w:after="0" w:line="240" w:lineRule="auto"/>
        <w:rPr>
          <w:rFonts w:ascii="Verdana" w:eastAsia="Geomanist Light" w:hAnsi="Verdana" w:cs="Arial"/>
          <w:color w:val="000000" w:themeColor="text1"/>
        </w:rPr>
      </w:pPr>
    </w:p>
    <w:p w14:paraId="3874E204" w14:textId="77777777" w:rsidR="00B5355B" w:rsidRDefault="00B5355B" w:rsidP="00337DF3">
      <w:pPr>
        <w:spacing w:after="0" w:line="240" w:lineRule="auto"/>
        <w:rPr>
          <w:rFonts w:ascii="Verdana" w:eastAsia="Geomanist Light" w:hAnsi="Verdana" w:cs="Arial"/>
          <w:color w:val="000000" w:themeColor="text1"/>
        </w:rPr>
      </w:pPr>
    </w:p>
    <w:p w14:paraId="2AE00597" w14:textId="77777777" w:rsidR="00B5355B" w:rsidRDefault="00B5355B" w:rsidP="00337DF3">
      <w:pPr>
        <w:spacing w:after="0" w:line="240" w:lineRule="auto"/>
        <w:rPr>
          <w:rFonts w:ascii="Verdana" w:eastAsia="Geomanist Light" w:hAnsi="Verdana" w:cs="Arial"/>
          <w:color w:val="000000" w:themeColor="text1"/>
        </w:rPr>
      </w:pPr>
    </w:p>
    <w:p w14:paraId="040C39B8" w14:textId="77777777" w:rsidR="00B5355B" w:rsidRDefault="00B5355B" w:rsidP="00337DF3">
      <w:pPr>
        <w:spacing w:after="0" w:line="240" w:lineRule="auto"/>
        <w:rPr>
          <w:rFonts w:ascii="Verdana" w:eastAsia="Geomanist Light" w:hAnsi="Verdana" w:cs="Arial"/>
          <w:color w:val="000000" w:themeColor="text1"/>
        </w:rPr>
      </w:pPr>
    </w:p>
    <w:p w14:paraId="2DB54B7F" w14:textId="77777777" w:rsidR="00B5355B" w:rsidRDefault="00B5355B" w:rsidP="00337DF3">
      <w:pPr>
        <w:spacing w:after="0" w:line="240" w:lineRule="auto"/>
        <w:rPr>
          <w:rFonts w:ascii="Verdana" w:eastAsia="Geomanist Light" w:hAnsi="Verdana" w:cs="Arial"/>
          <w:color w:val="000000" w:themeColor="text1"/>
        </w:rPr>
      </w:pPr>
    </w:p>
    <w:p w14:paraId="6103B294" w14:textId="77777777" w:rsidR="00B5355B" w:rsidRDefault="00B5355B" w:rsidP="00337DF3">
      <w:pPr>
        <w:spacing w:after="0" w:line="240" w:lineRule="auto"/>
        <w:rPr>
          <w:rFonts w:ascii="Verdana" w:eastAsia="Geomanist Light" w:hAnsi="Verdana" w:cs="Arial"/>
          <w:color w:val="000000" w:themeColor="text1"/>
        </w:rPr>
      </w:pPr>
    </w:p>
    <w:p w14:paraId="6054C0AA" w14:textId="77777777" w:rsidR="00B5355B" w:rsidRDefault="00B5355B" w:rsidP="00337DF3">
      <w:pPr>
        <w:spacing w:after="0" w:line="240" w:lineRule="auto"/>
        <w:rPr>
          <w:rFonts w:ascii="Verdana" w:eastAsia="Geomanist Light" w:hAnsi="Verdana" w:cs="Arial"/>
          <w:color w:val="000000" w:themeColor="text1"/>
        </w:rPr>
      </w:pPr>
    </w:p>
    <w:p w14:paraId="213BB1C0" w14:textId="77777777" w:rsidR="00B5355B" w:rsidRDefault="00B5355B" w:rsidP="00337DF3">
      <w:pPr>
        <w:spacing w:after="0" w:line="240" w:lineRule="auto"/>
        <w:rPr>
          <w:rFonts w:ascii="Verdana" w:eastAsia="Geomanist Light" w:hAnsi="Verdana" w:cs="Arial"/>
          <w:color w:val="000000" w:themeColor="text1"/>
        </w:rPr>
      </w:pPr>
    </w:p>
    <w:p w14:paraId="5BCF57E9" w14:textId="77777777" w:rsidR="00B5355B" w:rsidRDefault="00B5355B" w:rsidP="00337DF3">
      <w:pPr>
        <w:spacing w:after="0" w:line="240" w:lineRule="auto"/>
        <w:rPr>
          <w:rFonts w:ascii="Verdana" w:eastAsia="Geomanist Light" w:hAnsi="Verdana" w:cs="Arial"/>
          <w:color w:val="000000" w:themeColor="text1"/>
        </w:rPr>
      </w:pPr>
    </w:p>
    <w:p w14:paraId="26AE91AA" w14:textId="77777777" w:rsidR="00B5355B" w:rsidRDefault="00B5355B" w:rsidP="00337DF3">
      <w:pPr>
        <w:spacing w:after="0" w:line="240" w:lineRule="auto"/>
        <w:rPr>
          <w:rFonts w:ascii="Verdana" w:eastAsia="Geomanist Light" w:hAnsi="Verdana" w:cs="Arial"/>
          <w:color w:val="000000" w:themeColor="text1"/>
        </w:rPr>
      </w:pPr>
    </w:p>
    <w:p w14:paraId="178A3EBD" w14:textId="77777777" w:rsidR="00B5355B" w:rsidRDefault="00B5355B" w:rsidP="00337DF3">
      <w:pPr>
        <w:spacing w:after="0" w:line="240" w:lineRule="auto"/>
        <w:rPr>
          <w:rFonts w:ascii="Verdana" w:eastAsia="Geomanist Light" w:hAnsi="Verdana" w:cs="Arial"/>
          <w:color w:val="000000" w:themeColor="text1"/>
        </w:rPr>
      </w:pPr>
    </w:p>
    <w:p w14:paraId="60640766" w14:textId="77777777" w:rsidR="00B5355B" w:rsidRDefault="00B5355B" w:rsidP="00337DF3">
      <w:pPr>
        <w:spacing w:after="0" w:line="240" w:lineRule="auto"/>
        <w:rPr>
          <w:rFonts w:ascii="Verdana" w:eastAsia="Geomanist Light" w:hAnsi="Verdana" w:cs="Arial"/>
          <w:color w:val="000000" w:themeColor="text1"/>
        </w:rPr>
      </w:pPr>
    </w:p>
    <w:p w14:paraId="63AEEA46" w14:textId="77777777" w:rsidR="00B5355B" w:rsidRDefault="00B5355B" w:rsidP="00337DF3">
      <w:pPr>
        <w:spacing w:after="0" w:line="240" w:lineRule="auto"/>
        <w:rPr>
          <w:rFonts w:ascii="Verdana" w:eastAsia="Geomanist Light" w:hAnsi="Verdana" w:cs="Arial"/>
          <w:color w:val="000000" w:themeColor="text1"/>
        </w:rPr>
      </w:pPr>
    </w:p>
    <w:p w14:paraId="68C6E463" w14:textId="77777777" w:rsidR="00B5355B" w:rsidRDefault="00B5355B" w:rsidP="00337DF3">
      <w:pPr>
        <w:spacing w:after="0" w:line="240" w:lineRule="auto"/>
        <w:rPr>
          <w:rFonts w:ascii="Verdana" w:eastAsia="Geomanist Light" w:hAnsi="Verdana" w:cs="Arial"/>
          <w:color w:val="000000" w:themeColor="text1"/>
        </w:rPr>
      </w:pPr>
    </w:p>
    <w:p w14:paraId="4C0F49B1" w14:textId="77777777" w:rsidR="00B5355B" w:rsidRDefault="00B5355B" w:rsidP="00337DF3">
      <w:pPr>
        <w:spacing w:after="0" w:line="240" w:lineRule="auto"/>
        <w:rPr>
          <w:rFonts w:ascii="Verdana" w:eastAsia="Geomanist Light" w:hAnsi="Verdana" w:cs="Arial"/>
          <w:color w:val="000000" w:themeColor="text1"/>
        </w:rPr>
      </w:pPr>
    </w:p>
    <w:p w14:paraId="46747F8C" w14:textId="77777777" w:rsidR="00B5355B" w:rsidRDefault="00B5355B" w:rsidP="00337DF3">
      <w:pPr>
        <w:spacing w:after="0" w:line="240" w:lineRule="auto"/>
        <w:rPr>
          <w:rFonts w:ascii="Verdana" w:eastAsia="Geomanist Light" w:hAnsi="Verdana" w:cs="Arial"/>
          <w:color w:val="000000" w:themeColor="text1"/>
        </w:rPr>
      </w:pPr>
    </w:p>
    <w:p w14:paraId="0EBA3B76" w14:textId="77777777" w:rsidR="00B5355B" w:rsidRDefault="00B5355B" w:rsidP="00337DF3">
      <w:pPr>
        <w:spacing w:after="0" w:line="240" w:lineRule="auto"/>
        <w:rPr>
          <w:rFonts w:ascii="Verdana" w:eastAsia="Geomanist Light" w:hAnsi="Verdana" w:cs="Arial"/>
          <w:color w:val="000000" w:themeColor="text1"/>
        </w:rPr>
      </w:pPr>
    </w:p>
    <w:p w14:paraId="7EECCF73" w14:textId="77777777" w:rsidR="0047139F" w:rsidRDefault="0047139F" w:rsidP="00337DF3">
      <w:pPr>
        <w:spacing w:after="0" w:line="240" w:lineRule="auto"/>
        <w:rPr>
          <w:rFonts w:ascii="Verdana" w:eastAsia="Geomanist Light" w:hAnsi="Verdana" w:cs="Arial"/>
          <w:color w:val="000000" w:themeColor="text1"/>
        </w:rPr>
      </w:pPr>
    </w:p>
    <w:p w14:paraId="5D0263C3" w14:textId="77777777" w:rsidR="0047139F" w:rsidRDefault="0047139F" w:rsidP="00337DF3">
      <w:pPr>
        <w:spacing w:after="0" w:line="240" w:lineRule="auto"/>
        <w:rPr>
          <w:rFonts w:ascii="Verdana" w:eastAsia="Geomanist Light" w:hAnsi="Verdana" w:cs="Arial"/>
          <w:color w:val="000000" w:themeColor="text1"/>
        </w:rPr>
      </w:pPr>
    </w:p>
    <w:p w14:paraId="1A8B5AB0" w14:textId="77777777" w:rsidR="00676238" w:rsidRDefault="00676238" w:rsidP="00B9530B">
      <w:pPr>
        <w:spacing w:after="0" w:line="240" w:lineRule="auto"/>
        <w:rPr>
          <w:rFonts w:ascii="Verdana" w:eastAsia="Geomanist Light" w:hAnsi="Verdana" w:cs="Arial"/>
          <w:color w:val="000000" w:themeColor="text1"/>
        </w:rPr>
      </w:pPr>
    </w:p>
    <w:p w14:paraId="0BA0E646" w14:textId="7AD63286" w:rsidR="00B9530B" w:rsidRDefault="00B9530B" w:rsidP="00F71540">
      <w:pPr>
        <w:spacing w:after="0" w:line="240" w:lineRule="auto"/>
        <w:rPr>
          <w:rFonts w:ascii="Verdana" w:eastAsia="Geomanist Light" w:hAnsi="Verdana" w:cs="Arial"/>
          <w:color w:val="000000" w:themeColor="text1"/>
        </w:rPr>
      </w:pPr>
      <w:r w:rsidRPr="00054652">
        <w:rPr>
          <w:rFonts w:ascii="Verdana" w:eastAsia="Geomanist Light" w:hAnsi="Verdana" w:cs="Arial"/>
          <w:color w:val="000000" w:themeColor="text1"/>
        </w:rPr>
        <w:lastRenderedPageBreak/>
        <w:t>Bogotá D.C., </w:t>
      </w:r>
      <w:r w:rsidR="00F71540">
        <w:rPr>
          <w:rFonts w:ascii="Verdana" w:eastAsia="Geomanist Light" w:hAnsi="Verdana" w:cs="Arial"/>
          <w:color w:val="000000" w:themeColor="text1"/>
        </w:rPr>
        <w:t>4 de marzo de 2025</w:t>
      </w:r>
    </w:p>
    <w:p w14:paraId="42AF70EF" w14:textId="77777777" w:rsidR="00F71540" w:rsidRPr="00054652" w:rsidRDefault="00F71540" w:rsidP="00F71540">
      <w:pPr>
        <w:spacing w:after="0" w:line="240" w:lineRule="auto"/>
        <w:rPr>
          <w:rFonts w:ascii="Verdana" w:eastAsia="Calibri" w:hAnsi="Verdana" w:cs="Arial"/>
          <w:color w:val="000000"/>
        </w:rPr>
      </w:pPr>
    </w:p>
    <w:p w14:paraId="36AEBCE2" w14:textId="0DAEC908" w:rsidR="00B9530B" w:rsidRDefault="00F71540" w:rsidP="00F71540">
      <w:pPr>
        <w:spacing w:after="0" w:line="240" w:lineRule="auto"/>
        <w:jc w:val="right"/>
        <w:rPr>
          <w:rFonts w:ascii="Verdana" w:eastAsia="Calibri" w:hAnsi="Verdana" w:cs="Arial"/>
          <w:color w:val="000000"/>
        </w:rPr>
      </w:pPr>
      <w:r w:rsidRPr="00F71540">
        <w:rPr>
          <w:rFonts w:ascii="Verdana" w:eastAsia="Calibri" w:hAnsi="Verdana" w:cs="Arial"/>
          <w:noProof/>
          <w:color w:val="000000"/>
        </w:rPr>
        <w:drawing>
          <wp:inline distT="0" distB="0" distL="0" distR="0" wp14:anchorId="1CE56110" wp14:editId="71F8DFF0">
            <wp:extent cx="3086100" cy="1028700"/>
            <wp:effectExtent l="0" t="0" r="0" b="0"/>
            <wp:docPr id="3115496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028700"/>
                    </a:xfrm>
                    <a:prstGeom prst="rect">
                      <a:avLst/>
                    </a:prstGeom>
                    <a:noFill/>
                    <a:ln>
                      <a:noFill/>
                    </a:ln>
                  </pic:spPr>
                </pic:pic>
              </a:graphicData>
            </a:graphic>
          </wp:inline>
        </w:drawing>
      </w:r>
    </w:p>
    <w:p w14:paraId="237DCADF" w14:textId="77777777" w:rsidR="00676238" w:rsidRPr="00054652" w:rsidRDefault="00676238" w:rsidP="00B9530B">
      <w:pPr>
        <w:spacing w:after="0" w:line="240" w:lineRule="auto"/>
        <w:jc w:val="both"/>
        <w:rPr>
          <w:rFonts w:ascii="Verdana" w:eastAsia="Calibri" w:hAnsi="Verdana" w:cs="Arial"/>
          <w:color w:val="000000"/>
        </w:rPr>
      </w:pPr>
    </w:p>
    <w:p w14:paraId="6890FF71" w14:textId="77777777" w:rsidR="00B9530B" w:rsidRPr="00054652" w:rsidRDefault="00B9530B" w:rsidP="00B9530B">
      <w:pPr>
        <w:spacing w:after="0" w:line="240" w:lineRule="auto"/>
        <w:jc w:val="both"/>
        <w:rPr>
          <w:rFonts w:ascii="Verdana" w:eastAsia="Calibri" w:hAnsi="Verdana" w:cs="Arial"/>
          <w:lang w:eastAsia="es-ES"/>
        </w:rPr>
      </w:pPr>
      <w:r w:rsidRPr="00054652">
        <w:rPr>
          <w:rFonts w:ascii="Verdana" w:eastAsia="Calibri" w:hAnsi="Verdana" w:cs="Arial"/>
          <w:lang w:eastAsia="es-ES"/>
        </w:rPr>
        <w:t>Señora</w:t>
      </w:r>
    </w:p>
    <w:p w14:paraId="1DA48DFC" w14:textId="77777777" w:rsidR="00B9530B" w:rsidRPr="00054652" w:rsidRDefault="00B9530B" w:rsidP="00B9530B">
      <w:pPr>
        <w:spacing w:after="0" w:line="240" w:lineRule="auto"/>
        <w:rPr>
          <w:rFonts w:ascii="Verdana" w:eastAsia="Calibri" w:hAnsi="Verdana" w:cs="Arial"/>
          <w:b/>
          <w:lang w:eastAsia="es-ES"/>
        </w:rPr>
      </w:pPr>
      <w:r w:rsidRPr="00054652">
        <w:rPr>
          <w:rFonts w:ascii="Verdana" w:eastAsia="Calibri" w:hAnsi="Verdana" w:cs="Arial"/>
          <w:b/>
          <w:lang w:eastAsia="es-ES"/>
        </w:rPr>
        <w:t xml:space="preserve">Daniela Fontalvo Arroyo </w:t>
      </w:r>
    </w:p>
    <w:p w14:paraId="4CE7C0A8" w14:textId="77777777" w:rsidR="00B9530B" w:rsidRPr="00054652" w:rsidRDefault="00B9530B" w:rsidP="00B9530B">
      <w:pPr>
        <w:spacing w:after="0" w:line="240" w:lineRule="auto"/>
        <w:rPr>
          <w:rFonts w:ascii="Verdana" w:eastAsia="Calibri" w:hAnsi="Verdana" w:cs="Arial"/>
          <w:bCs/>
          <w:lang w:eastAsia="es-ES"/>
        </w:rPr>
      </w:pPr>
      <w:hyperlink r:id="rId12" w:history="1">
        <w:r w:rsidRPr="00054652">
          <w:rPr>
            <w:rFonts w:ascii="Verdana" w:eastAsia="Calibri" w:hAnsi="Verdana" w:cs="Arial"/>
            <w:bCs/>
            <w:color w:val="0563C1" w:themeColor="hyperlink"/>
            <w:u w:val="single"/>
            <w:lang w:eastAsia="es-ES"/>
          </w:rPr>
          <w:t>dafoar@outlook.com</w:t>
        </w:r>
      </w:hyperlink>
      <w:r w:rsidRPr="00054652">
        <w:rPr>
          <w:rFonts w:ascii="Verdana" w:eastAsia="Calibri" w:hAnsi="Verdana" w:cs="Arial"/>
          <w:bCs/>
          <w:lang w:eastAsia="es-ES"/>
        </w:rPr>
        <w:t xml:space="preserve"> </w:t>
      </w:r>
    </w:p>
    <w:p w14:paraId="71D6CB23" w14:textId="77777777" w:rsidR="00B9530B" w:rsidRPr="00054652" w:rsidRDefault="00B9530B" w:rsidP="00B9530B">
      <w:pPr>
        <w:spacing w:after="0" w:line="240" w:lineRule="auto"/>
        <w:rPr>
          <w:rFonts w:ascii="Verdana" w:eastAsia="Calibri" w:hAnsi="Verdana" w:cs="Arial"/>
          <w:lang w:eastAsia="es-ES"/>
        </w:rPr>
      </w:pPr>
      <w:r w:rsidRPr="00054652">
        <w:rPr>
          <w:rFonts w:ascii="Verdana" w:eastAsia="Calibri" w:hAnsi="Verdana" w:cs="Arial"/>
          <w:lang w:eastAsia="es-ES"/>
        </w:rPr>
        <w:t xml:space="preserve">Cartagena, Bolívar  </w:t>
      </w:r>
    </w:p>
    <w:p w14:paraId="583C0350" w14:textId="77777777" w:rsidR="00B9530B" w:rsidRPr="00054652" w:rsidRDefault="00B9530B" w:rsidP="00B9530B">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530B" w:rsidRPr="00054652" w14:paraId="1626C1AF" w14:textId="77777777" w:rsidTr="0095419D">
        <w:trPr>
          <w:trHeight w:val="630"/>
        </w:trPr>
        <w:tc>
          <w:tcPr>
            <w:tcW w:w="2689" w:type="dxa"/>
          </w:tcPr>
          <w:p w14:paraId="1157E8CF" w14:textId="77777777" w:rsidR="00B9530B" w:rsidRPr="00054652" w:rsidRDefault="00B9530B" w:rsidP="0095419D">
            <w:pPr>
              <w:jc w:val="both"/>
              <w:rPr>
                <w:rFonts w:ascii="Verdana" w:eastAsia="Calibri" w:hAnsi="Verdana" w:cs="Arial"/>
                <w:b/>
                <w:bCs/>
                <w:color w:val="7030A0"/>
                <w:lang w:eastAsia="es-ES_tradnl"/>
              </w:rPr>
            </w:pPr>
          </w:p>
        </w:tc>
        <w:tc>
          <w:tcPr>
            <w:tcW w:w="6100" w:type="dxa"/>
          </w:tcPr>
          <w:p w14:paraId="748B1162" w14:textId="77777777" w:rsidR="00B9530B" w:rsidRPr="00054652" w:rsidRDefault="00B9530B" w:rsidP="0095419D">
            <w:pPr>
              <w:jc w:val="both"/>
              <w:rPr>
                <w:rFonts w:ascii="Verdana" w:eastAsia="Calibri" w:hAnsi="Verdana" w:cs="Arial"/>
                <w:b/>
                <w:bCs/>
                <w:lang w:eastAsia="es-ES"/>
              </w:rPr>
            </w:pPr>
            <w:r w:rsidRPr="00054652">
              <w:rPr>
                <w:rFonts w:ascii="Verdana" w:eastAsia="Calibri" w:hAnsi="Verdana" w:cs="Arial"/>
                <w:b/>
                <w:bCs/>
                <w:lang w:eastAsia="es-ES"/>
              </w:rPr>
              <w:t>Concepto C – 092 de 2025</w:t>
            </w:r>
          </w:p>
        </w:tc>
      </w:tr>
      <w:tr w:rsidR="00B9530B" w:rsidRPr="00054652" w14:paraId="4D813981" w14:textId="77777777" w:rsidTr="0095419D">
        <w:trPr>
          <w:trHeight w:val="884"/>
        </w:trPr>
        <w:tc>
          <w:tcPr>
            <w:tcW w:w="2689" w:type="dxa"/>
          </w:tcPr>
          <w:p w14:paraId="67E10B66" w14:textId="77777777" w:rsidR="00B9530B" w:rsidRPr="00054652" w:rsidRDefault="00B9530B" w:rsidP="0095419D">
            <w:pPr>
              <w:jc w:val="both"/>
              <w:rPr>
                <w:rFonts w:ascii="Verdana" w:eastAsia="Calibri" w:hAnsi="Verdana" w:cs="Arial"/>
                <w:color w:val="000000"/>
                <w:lang w:eastAsia="es-ES_tradnl"/>
              </w:rPr>
            </w:pPr>
            <w:r w:rsidRPr="00054652">
              <w:rPr>
                <w:rFonts w:ascii="Verdana" w:eastAsia="Calibri" w:hAnsi="Verdana" w:cs="Arial"/>
                <w:b/>
                <w:color w:val="000000"/>
                <w:lang w:eastAsia="es-ES_tradnl"/>
              </w:rPr>
              <w:t>Temas:</w:t>
            </w:r>
            <w:r w:rsidRPr="00054652">
              <w:rPr>
                <w:rFonts w:ascii="Verdana" w:eastAsia="Calibri" w:hAnsi="Verdana" w:cs="Arial"/>
                <w:color w:val="000000"/>
                <w:lang w:eastAsia="es-ES_tradnl"/>
              </w:rPr>
              <w:t xml:space="preserve">                   </w:t>
            </w:r>
          </w:p>
        </w:tc>
        <w:tc>
          <w:tcPr>
            <w:tcW w:w="6100" w:type="dxa"/>
          </w:tcPr>
          <w:p w14:paraId="3F7F2411" w14:textId="77777777" w:rsidR="00B9530B" w:rsidRPr="00054652" w:rsidRDefault="00B9530B" w:rsidP="0095419D">
            <w:pPr>
              <w:spacing w:line="276" w:lineRule="auto"/>
              <w:jc w:val="both"/>
              <w:rPr>
                <w:rFonts w:ascii="Verdana" w:eastAsia="Calibri" w:hAnsi="Verdana" w:cs="Arial"/>
                <w:bCs/>
                <w:lang w:val="es-MX" w:eastAsia="es-ES_tradnl"/>
              </w:rPr>
            </w:pPr>
            <w:bookmarkStart w:id="1" w:name="_Hlk192056770"/>
            <w:r w:rsidRPr="00054652">
              <w:rPr>
                <w:rFonts w:ascii="Verdana" w:hAnsi="Verdana" w:cs="Arial"/>
                <w:bCs/>
                <w:lang w:val="es-MX" w:eastAsia="es-ES"/>
              </w:rPr>
              <w:t>DOCUMENTO TIPO – Fundamento normativo /</w:t>
            </w:r>
            <w:r w:rsidRPr="00054652">
              <w:rPr>
                <w:rFonts w:ascii="Verdana" w:eastAsia="Calibri" w:hAnsi="Verdana" w:cs="Arial"/>
                <w:bCs/>
                <w:lang w:val="es-ES_tradnl"/>
              </w:rPr>
              <w:t xml:space="preserve"> DOCUMENTOS TIPO – Inalterabilidad – Obligatoriedad / ANEXO TÉCNICO – Alcance – modificación </w:t>
            </w:r>
          </w:p>
          <w:bookmarkEnd w:id="1"/>
          <w:p w14:paraId="0B977C1E" w14:textId="77777777" w:rsidR="00B9530B" w:rsidRPr="00054652" w:rsidRDefault="00B9530B" w:rsidP="0095419D">
            <w:pPr>
              <w:jc w:val="both"/>
              <w:rPr>
                <w:rFonts w:ascii="Verdana" w:eastAsia="Calibri" w:hAnsi="Verdana" w:cs="Arial"/>
                <w:lang w:eastAsia="es-ES"/>
              </w:rPr>
            </w:pPr>
          </w:p>
        </w:tc>
      </w:tr>
      <w:tr w:rsidR="00B9530B" w:rsidRPr="00054652" w14:paraId="652E164B" w14:textId="77777777" w:rsidTr="0095419D">
        <w:tc>
          <w:tcPr>
            <w:tcW w:w="2689" w:type="dxa"/>
          </w:tcPr>
          <w:p w14:paraId="7187E2F3" w14:textId="77777777" w:rsidR="00B9530B" w:rsidRPr="00054652" w:rsidRDefault="00B9530B" w:rsidP="0095419D">
            <w:pPr>
              <w:jc w:val="both"/>
              <w:rPr>
                <w:rFonts w:ascii="Verdana" w:eastAsia="Calibri" w:hAnsi="Verdana" w:cs="Arial"/>
                <w:b/>
                <w:lang w:eastAsia="es-ES_tradnl"/>
              </w:rPr>
            </w:pPr>
            <w:r w:rsidRPr="00054652">
              <w:rPr>
                <w:rFonts w:ascii="Verdana" w:eastAsia="Calibri" w:hAnsi="Verdana" w:cs="Arial"/>
                <w:b/>
                <w:lang w:eastAsia="es-ES_tradnl"/>
              </w:rPr>
              <w:t>Radicación:</w:t>
            </w:r>
            <w:r w:rsidRPr="00054652">
              <w:rPr>
                <w:rFonts w:ascii="Verdana" w:eastAsia="Calibri" w:hAnsi="Verdana" w:cs="Arial"/>
                <w:lang w:eastAsia="es-ES_tradnl"/>
              </w:rPr>
              <w:t xml:space="preserve">               </w:t>
            </w:r>
          </w:p>
        </w:tc>
        <w:tc>
          <w:tcPr>
            <w:tcW w:w="6100" w:type="dxa"/>
          </w:tcPr>
          <w:p w14:paraId="051A835C" w14:textId="77777777" w:rsidR="00B9530B" w:rsidRPr="00054652" w:rsidRDefault="00B9530B" w:rsidP="0095419D">
            <w:pPr>
              <w:jc w:val="both"/>
              <w:rPr>
                <w:rFonts w:ascii="Verdana" w:eastAsia="Calibri" w:hAnsi="Verdana" w:cs="Arial"/>
                <w:lang w:eastAsia="es-ES_tradnl"/>
              </w:rPr>
            </w:pPr>
            <w:r w:rsidRPr="00054652">
              <w:rPr>
                <w:rFonts w:ascii="Verdana" w:eastAsia="Calibri" w:hAnsi="Verdana" w:cs="Arial"/>
                <w:lang w:eastAsia="es-ES_tradnl"/>
              </w:rPr>
              <w:t xml:space="preserve">Respuesta a las consultas con radicado Nos.  P20250128000760 y P20250210001196                                   </w:t>
            </w:r>
          </w:p>
        </w:tc>
      </w:tr>
    </w:tbl>
    <w:p w14:paraId="341A2C17" w14:textId="77777777" w:rsidR="00B9530B" w:rsidRPr="00054652" w:rsidRDefault="00B9530B" w:rsidP="00B9530B">
      <w:pPr>
        <w:spacing w:after="0" w:line="240" w:lineRule="auto"/>
        <w:jc w:val="both"/>
        <w:rPr>
          <w:rFonts w:ascii="Verdana" w:eastAsia="Calibri" w:hAnsi="Verdana" w:cs="Arial"/>
          <w:color w:val="000000"/>
          <w:lang w:eastAsia="es-ES_tradnl"/>
        </w:rPr>
      </w:pPr>
    </w:p>
    <w:p w14:paraId="6B1A36F5" w14:textId="77777777" w:rsidR="00B9530B" w:rsidRPr="00054652" w:rsidRDefault="00B9530B" w:rsidP="00B9530B">
      <w:pPr>
        <w:spacing w:after="0" w:line="240" w:lineRule="auto"/>
        <w:jc w:val="both"/>
        <w:rPr>
          <w:rFonts w:ascii="Verdana" w:eastAsia="Calibri" w:hAnsi="Verdana" w:cs="Arial"/>
          <w:color w:val="000000"/>
          <w:lang w:eastAsia="es-ES_tradnl"/>
        </w:rPr>
      </w:pPr>
    </w:p>
    <w:p w14:paraId="67BB5594" w14:textId="77777777" w:rsidR="00B9530B" w:rsidRPr="00054652" w:rsidRDefault="00B9530B" w:rsidP="00B9530B">
      <w:pPr>
        <w:spacing w:after="0" w:line="276" w:lineRule="auto"/>
        <w:jc w:val="both"/>
        <w:rPr>
          <w:rFonts w:ascii="Verdana" w:eastAsia="Calibri" w:hAnsi="Verdana" w:cs="Arial"/>
          <w:lang w:eastAsia="es-ES"/>
        </w:rPr>
      </w:pPr>
      <w:r w:rsidRPr="00054652">
        <w:rPr>
          <w:rFonts w:ascii="Verdana" w:eastAsia="Calibri" w:hAnsi="Verdana" w:cs="Arial"/>
          <w:lang w:eastAsia="es-ES"/>
        </w:rPr>
        <w:t xml:space="preserve">Estimada señora Fontalvo Arroyo: </w:t>
      </w:r>
    </w:p>
    <w:p w14:paraId="18CF0348" w14:textId="77777777" w:rsidR="00B9530B" w:rsidRPr="00054652" w:rsidRDefault="00B9530B" w:rsidP="00B9530B">
      <w:pPr>
        <w:tabs>
          <w:tab w:val="left" w:pos="3768"/>
        </w:tabs>
        <w:spacing w:after="0" w:line="276" w:lineRule="auto"/>
        <w:jc w:val="both"/>
        <w:rPr>
          <w:rFonts w:ascii="Verdana" w:eastAsia="Calibri" w:hAnsi="Verdana" w:cs="Arial"/>
          <w:color w:val="000000" w:themeColor="text1"/>
          <w:lang w:eastAsia="es-ES"/>
        </w:rPr>
      </w:pPr>
      <w:r w:rsidRPr="00054652">
        <w:rPr>
          <w:rFonts w:ascii="Verdana" w:eastAsia="Calibri" w:hAnsi="Verdana" w:cs="Arial"/>
          <w:color w:val="000000" w:themeColor="text1"/>
          <w:lang w:eastAsia="es-ES"/>
        </w:rPr>
        <w:tab/>
      </w:r>
    </w:p>
    <w:p w14:paraId="58BDA5F0" w14:textId="77777777" w:rsidR="00B9530B" w:rsidRPr="00A54393" w:rsidRDefault="00B9530B" w:rsidP="00B9530B">
      <w:pPr>
        <w:spacing w:after="120" w:line="276" w:lineRule="auto"/>
        <w:jc w:val="both"/>
        <w:rPr>
          <w:rFonts w:ascii="Verdana" w:eastAsia="Arial" w:hAnsi="Verdana" w:cs="Arial"/>
          <w:color w:val="000000"/>
        </w:rPr>
      </w:pPr>
      <w:r w:rsidRPr="00054652">
        <w:rPr>
          <w:rFonts w:ascii="Verdana" w:eastAsia="Calibri" w:hAnsi="Verdana" w:cs="Arial"/>
          <w:color w:val="000000" w:themeColor="text1"/>
          <w:lang w:eastAsia="es-ES"/>
        </w:rPr>
        <w:t>En ejercicio de la competencia otorgada por los artículos 3, numeral 5º, y 11, numeral 8º, del Decreto Ley 4170 de 2011,</w:t>
      </w:r>
      <w:r w:rsidRPr="00054652">
        <w:rPr>
          <w:rFonts w:ascii="Verdana" w:eastAsia="Arial MT" w:hAnsi="Verdana" w:cs="Arial MT"/>
          <w:lang w:eastAsia="es-ES"/>
        </w:rPr>
        <w:t xml:space="preserve"> </w:t>
      </w:r>
      <w:r w:rsidRPr="00054652">
        <w:rPr>
          <w:rFonts w:ascii="Verdana" w:hAnsi="Verdana" w:cs="Arial"/>
        </w:rPr>
        <w:t xml:space="preserve">así como lo establecido en el artículo 4 de la Resolución 1707 de 2018 expedida por esta Entidad, </w:t>
      </w:r>
      <w:r w:rsidRPr="00054652">
        <w:rPr>
          <w:rFonts w:ascii="Verdana" w:eastAsia="Calibri" w:hAnsi="Verdana" w:cs="Arial"/>
          <w:color w:val="000000" w:themeColor="text1"/>
          <w:lang w:eastAsia="es-ES"/>
        </w:rPr>
        <w:t>la Agencia Nacional de Contratación Pública – Colombia Compra Eficiente responde sus solicitudes del 28</w:t>
      </w:r>
      <w:r w:rsidRPr="00054652">
        <w:rPr>
          <w:rFonts w:ascii="Verdana" w:eastAsia="Calibri" w:hAnsi="Verdana" w:cs="Arial"/>
          <w:lang w:eastAsia="es-ES"/>
        </w:rPr>
        <w:t xml:space="preserve"> de enero y de 10 de febrero de 2025, en las cuales eleva consulta sobre la exigencia de </w:t>
      </w:r>
      <w:bookmarkStart w:id="2" w:name="_Hlk191675055"/>
      <w:r w:rsidRPr="00054652">
        <w:rPr>
          <w:rFonts w:ascii="Verdana" w:eastAsia="Calibri" w:hAnsi="Verdana" w:cs="Arial"/>
          <w:lang w:eastAsia="es-ES"/>
        </w:rPr>
        <w:t xml:space="preserve">una </w:t>
      </w:r>
      <w:bookmarkStart w:id="3" w:name="_Hlk191673256"/>
      <w:r w:rsidRPr="00054652">
        <w:rPr>
          <w:rFonts w:ascii="Verdana" w:eastAsia="Calibri" w:hAnsi="Verdana" w:cs="Arial"/>
          <w:lang w:eastAsia="es-ES"/>
        </w:rPr>
        <w:t xml:space="preserve">licencia de explotación económica Grupo IV expedida por la DIMAR, conforme la Resolución 0759-2020-MD-DIMAR-SUBMERC-AREM de 9 de noviembre de 2020, en los procesos adelantados bajo documentos tipo para aquellas obras </w:t>
      </w:r>
      <w:bookmarkStart w:id="4" w:name="_Hlk191675215"/>
      <w:r w:rsidRPr="00054652">
        <w:rPr>
          <w:rFonts w:ascii="Verdana" w:eastAsia="Calibri" w:hAnsi="Verdana" w:cs="Arial"/>
          <w:lang w:eastAsia="es-ES"/>
        </w:rPr>
        <w:t>que comprenden protección de márgenes costeros o construcción de embarcaderos o puentes en zonas de playa</w:t>
      </w:r>
      <w:bookmarkStart w:id="5" w:name="_Hlk95313578"/>
      <w:bookmarkEnd w:id="3"/>
      <w:bookmarkEnd w:id="4"/>
      <w:r w:rsidRPr="00054652">
        <w:rPr>
          <w:rFonts w:ascii="Verdana" w:eastAsia="Calibri" w:hAnsi="Verdana" w:cs="Arial"/>
          <w:lang w:eastAsia="es-ES"/>
        </w:rPr>
        <w:t xml:space="preserve">, </w:t>
      </w:r>
      <w:bookmarkEnd w:id="2"/>
      <w:r w:rsidRPr="00054652">
        <w:rPr>
          <w:rFonts w:ascii="Verdana" w:eastAsia="Calibri" w:hAnsi="Verdana" w:cs="Arial"/>
          <w:lang w:eastAsia="es-ES"/>
        </w:rPr>
        <w:t>realizando la siguiente pregunta:</w:t>
      </w:r>
      <w:r w:rsidRPr="00A54393">
        <w:rPr>
          <w:rFonts w:ascii="Verdana" w:eastAsia="Calibri" w:hAnsi="Verdana" w:cs="Arial"/>
          <w:lang w:eastAsia="es-ES"/>
        </w:rPr>
        <w:t xml:space="preserve"> </w:t>
      </w:r>
      <w:r w:rsidRPr="00A54393">
        <w:rPr>
          <w:rFonts w:ascii="Verdana" w:eastAsia="Arial" w:hAnsi="Verdana" w:cs="Arial"/>
          <w:i/>
          <w:color w:val="000000"/>
        </w:rPr>
        <w:t xml:space="preserve">“Conforme a lo anterior se consulta: ¿es procedente la inclusión de dicho requisito vinculante conforme la autoridad marítima al interior de los procesos regidos por documentos tipo (atendiendo su inalterabilidad), entendiendo que la </w:t>
      </w:r>
      <w:r w:rsidRPr="00A54393">
        <w:rPr>
          <w:rFonts w:ascii="Verdana" w:eastAsia="Arial" w:hAnsi="Verdana" w:cs="Arial"/>
          <w:i/>
          <w:color w:val="000000"/>
        </w:rPr>
        <w:lastRenderedPageBreak/>
        <w:t>misma constituye una condición ex ante con la que debe contar quien ejecutará el contrato</w:t>
      </w:r>
      <w:bookmarkEnd w:id="5"/>
      <w:r w:rsidRPr="00A54393">
        <w:rPr>
          <w:rFonts w:ascii="Verdana" w:eastAsia="Arial" w:hAnsi="Verdana" w:cs="Arial"/>
          <w:i/>
          <w:iCs/>
          <w:color w:val="000000"/>
        </w:rPr>
        <w:t>?”.</w:t>
      </w:r>
    </w:p>
    <w:p w14:paraId="7E93DEA5" w14:textId="77777777" w:rsidR="00B9530B" w:rsidRPr="00054652" w:rsidRDefault="00B9530B" w:rsidP="00B9530B">
      <w:pPr>
        <w:spacing w:after="120" w:line="276" w:lineRule="auto"/>
        <w:ind w:firstLine="709"/>
        <w:jc w:val="both"/>
        <w:rPr>
          <w:rFonts w:ascii="Verdana" w:eastAsia="Calibri" w:hAnsi="Verdana" w:cs="Arial"/>
          <w:color w:val="000000"/>
          <w:lang w:eastAsia="es-ES"/>
        </w:rPr>
      </w:pPr>
      <w:r w:rsidRPr="0005465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54652">
        <w:rPr>
          <w:rFonts w:ascii="Verdana" w:eastAsia="Calibri" w:hAnsi="Verdana" w:cs="Arial"/>
          <w:color w:val="000000"/>
          <w:szCs w:val="24"/>
          <w:lang w:eastAsia="es-ES_tradnl"/>
        </w:rPr>
        <w:tab/>
      </w:r>
    </w:p>
    <w:p w14:paraId="09D166D1" w14:textId="77777777" w:rsidR="00B9530B" w:rsidRPr="00054652" w:rsidRDefault="00B9530B" w:rsidP="00B9530B">
      <w:pPr>
        <w:spacing w:after="0" w:line="276" w:lineRule="auto"/>
        <w:ind w:firstLine="709"/>
        <w:jc w:val="both"/>
        <w:rPr>
          <w:rFonts w:ascii="Verdana" w:eastAsia="Calibri" w:hAnsi="Verdana" w:cs="Arial"/>
          <w:color w:val="000000"/>
          <w:lang w:eastAsia="es-ES"/>
        </w:rPr>
      </w:pPr>
      <w:r w:rsidRPr="00054652">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054652">
        <w:rPr>
          <w:rFonts w:ascii="Verdana" w:eastAsia="Calibri" w:hAnsi="Verdana" w:cs="Arial"/>
          <w:color w:val="7030A0"/>
          <w:lang w:eastAsia="es-ES"/>
        </w:rPr>
        <w:t xml:space="preserve"> </w:t>
      </w:r>
      <w:r w:rsidRPr="00054652">
        <w:rPr>
          <w:rFonts w:ascii="Verdana" w:eastAsia="Calibri" w:hAnsi="Verdana" w:cs="Arial"/>
          <w:color w:val="000000"/>
          <w:lang w:eastAsia="es-ES"/>
        </w:rPr>
        <w:t>problema</w:t>
      </w:r>
      <w:r w:rsidRPr="00054652">
        <w:rPr>
          <w:rFonts w:ascii="Verdana" w:eastAsia="Calibri" w:hAnsi="Verdana" w:cs="Arial"/>
          <w:color w:val="7030A0"/>
          <w:lang w:eastAsia="es-ES"/>
        </w:rPr>
        <w:t xml:space="preserve"> </w:t>
      </w:r>
      <w:r w:rsidRPr="00054652">
        <w:rPr>
          <w:rFonts w:ascii="Verdana" w:eastAsia="Calibri" w:hAnsi="Verdana" w:cs="Arial"/>
          <w:color w:val="000000"/>
          <w:lang w:eastAsia="es-ES"/>
        </w:rPr>
        <w:t>jurídico</w:t>
      </w:r>
      <w:r w:rsidRPr="00054652">
        <w:rPr>
          <w:rFonts w:ascii="Verdana" w:eastAsia="Calibri" w:hAnsi="Verdana" w:cs="Arial"/>
          <w:color w:val="7030A0"/>
          <w:lang w:eastAsia="es-ES"/>
        </w:rPr>
        <w:t xml:space="preserve"> </w:t>
      </w:r>
      <w:r w:rsidRPr="00054652">
        <w:rPr>
          <w:rFonts w:ascii="Verdana" w:eastAsia="Calibri" w:hAnsi="Verdana" w:cs="Arial"/>
          <w:color w:val="000000"/>
          <w:lang w:eastAsia="es-ES"/>
        </w:rPr>
        <w:t xml:space="preserve">de su consulta. </w:t>
      </w:r>
    </w:p>
    <w:p w14:paraId="4162119A" w14:textId="77777777" w:rsidR="00B9530B" w:rsidRPr="00054652" w:rsidRDefault="00B9530B" w:rsidP="00B9530B">
      <w:pPr>
        <w:spacing w:after="0" w:line="276" w:lineRule="auto"/>
        <w:ind w:firstLine="709"/>
        <w:jc w:val="both"/>
        <w:rPr>
          <w:rFonts w:ascii="Verdana" w:eastAsia="Calibri" w:hAnsi="Verdana" w:cs="Arial"/>
          <w:color w:val="000000"/>
          <w:lang w:eastAsia="es-ES"/>
        </w:rPr>
      </w:pPr>
    </w:p>
    <w:p w14:paraId="6A4A2B31" w14:textId="77777777" w:rsidR="00B9530B" w:rsidRPr="00054652" w:rsidRDefault="00B9530B" w:rsidP="00B9530B">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054652">
        <w:rPr>
          <w:rFonts w:ascii="Verdana" w:eastAsia="Century Gothic" w:hAnsi="Verdana" w:cs="Century Gothic"/>
          <w:b/>
          <w:bCs/>
        </w:rPr>
        <w:t>Problemas planteados:</w:t>
      </w:r>
    </w:p>
    <w:p w14:paraId="3A67E65F" w14:textId="77777777" w:rsidR="00B9530B" w:rsidRPr="00054652" w:rsidRDefault="00B9530B" w:rsidP="00B9530B">
      <w:pPr>
        <w:tabs>
          <w:tab w:val="left" w:pos="426"/>
        </w:tabs>
        <w:spacing w:after="0" w:line="276" w:lineRule="auto"/>
        <w:jc w:val="both"/>
        <w:rPr>
          <w:rFonts w:ascii="Verdana" w:eastAsia="Century Gothic" w:hAnsi="Verdana" w:cs="Century Gothic"/>
        </w:rPr>
      </w:pPr>
    </w:p>
    <w:p w14:paraId="3EFD8FBF" w14:textId="77777777" w:rsidR="00B9530B" w:rsidRPr="00054652" w:rsidRDefault="00B9530B" w:rsidP="00B9530B">
      <w:pPr>
        <w:spacing w:after="0" w:line="276" w:lineRule="auto"/>
        <w:jc w:val="both"/>
        <w:rPr>
          <w:rFonts w:ascii="Verdana" w:eastAsia="Century Gothic" w:hAnsi="Verdana" w:cs="Century Gothic"/>
        </w:rPr>
      </w:pPr>
      <w:r w:rsidRPr="00054652">
        <w:rPr>
          <w:rFonts w:ascii="Verdana" w:eastAsia="Century Gothic" w:hAnsi="Verdana" w:cs="Century Gothic"/>
        </w:rPr>
        <w:t xml:space="preserve">De acuerdo con el contenido de su solicitud, esta Agencia resolverá el siguiente problema jurídico: “¿Se vulnera la regla de inalterabilidad de los documentos tipo al solicitar una licencia </w:t>
      </w:r>
      <w:r w:rsidRPr="00054652">
        <w:rPr>
          <w:rFonts w:ascii="Verdana" w:eastAsia="Calibri" w:hAnsi="Verdana" w:cs="Arial"/>
          <w:lang w:eastAsia="es-ES"/>
        </w:rPr>
        <w:t>de explotación económica Grupo IV expedida por la DIMAR, conforme la Resolución 0759-2020-MD-DIMAR-SUBMERC-AREM de 9 de noviembre de 2020, en los procesos adelantados bajo documentos tipo de infraestructura transporte que comprenden obras de protección de márgenes costeros o construcción de embarcaderos o puentes en zonas de playa</w:t>
      </w:r>
      <w:r w:rsidRPr="00054652">
        <w:rPr>
          <w:rFonts w:ascii="Verdana" w:eastAsia="Century Gothic" w:hAnsi="Verdana" w:cs="Century Gothic"/>
        </w:rPr>
        <w:t>?”.</w:t>
      </w:r>
    </w:p>
    <w:p w14:paraId="208065EF" w14:textId="77777777" w:rsidR="00B9530B" w:rsidRPr="00054652" w:rsidRDefault="00B9530B" w:rsidP="00B9530B">
      <w:pPr>
        <w:spacing w:after="0" w:line="276" w:lineRule="auto"/>
        <w:jc w:val="both"/>
        <w:rPr>
          <w:rFonts w:ascii="Verdana" w:eastAsia="Calibri" w:hAnsi="Verdana" w:cs="Arial"/>
          <w:color w:val="7030A0"/>
        </w:rPr>
      </w:pPr>
    </w:p>
    <w:p w14:paraId="78D3499A" w14:textId="77777777" w:rsidR="00B9530B" w:rsidRPr="00054652" w:rsidRDefault="00B9530B" w:rsidP="00B9530B">
      <w:pPr>
        <w:numPr>
          <w:ilvl w:val="0"/>
          <w:numId w:val="1"/>
        </w:numPr>
        <w:tabs>
          <w:tab w:val="left" w:pos="142"/>
          <w:tab w:val="left" w:pos="284"/>
        </w:tabs>
        <w:spacing w:after="0" w:line="276" w:lineRule="auto"/>
        <w:jc w:val="both"/>
        <w:rPr>
          <w:rFonts w:ascii="Verdana" w:eastAsia="Century Gothic" w:hAnsi="Verdana" w:cs="Century Gothic"/>
          <w:b/>
          <w:bCs/>
        </w:rPr>
      </w:pPr>
      <w:r w:rsidRPr="00054652">
        <w:rPr>
          <w:rFonts w:ascii="Verdana" w:eastAsia="Century Gothic" w:hAnsi="Verdana" w:cs="Century Gothic"/>
          <w:b/>
          <w:bCs/>
        </w:rPr>
        <w:t>Respuestas:</w:t>
      </w:r>
    </w:p>
    <w:p w14:paraId="5CBB9999" w14:textId="77777777" w:rsidR="00B9530B" w:rsidRPr="00054652" w:rsidRDefault="00B9530B" w:rsidP="00B9530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530B" w:rsidRPr="00054652" w14:paraId="42EBFD23" w14:textId="77777777" w:rsidTr="0095419D">
        <w:trPr>
          <w:jc w:val="center"/>
        </w:trPr>
        <w:tc>
          <w:tcPr>
            <w:tcW w:w="8828" w:type="dxa"/>
            <w:shd w:val="clear" w:color="auto" w:fill="auto"/>
          </w:tcPr>
          <w:p w14:paraId="240057C7" w14:textId="77777777" w:rsidR="00B9530B" w:rsidRPr="00054652" w:rsidRDefault="00B9530B" w:rsidP="0095419D">
            <w:pPr>
              <w:spacing w:before="120" w:after="120" w:line="276" w:lineRule="auto"/>
              <w:jc w:val="both"/>
              <w:rPr>
                <w:rFonts w:ascii="Verdana" w:eastAsia="Calibri" w:hAnsi="Verdana" w:cs="Arial"/>
                <w:color w:val="000000"/>
                <w:lang w:val="es-MX"/>
              </w:rPr>
            </w:pPr>
            <w:bookmarkStart w:id="6" w:name="_Hlk171694685"/>
            <w:r w:rsidRPr="00054652">
              <w:rPr>
                <w:rFonts w:ascii="Verdana" w:eastAsia="Times New Roman" w:hAnsi="Verdana" w:cs="Arial"/>
                <w:shd w:val="clear" w:color="auto" w:fill="FFFFFF"/>
                <w:lang w:val="es-ES" w:eastAsia="es-ES"/>
              </w:rPr>
              <w:t xml:space="preserve">No. En virtud de la regla de inalterabilidad, los Documentos Tipo solo pueden ser modificados en los aspectos en que estos lo permitan. Esto corresponde a </w:t>
            </w:r>
            <w:r w:rsidRPr="00054652">
              <w:rPr>
                <w:rFonts w:ascii="Verdana" w:eastAsia="Times New Roman" w:hAnsi="Verdana" w:cs="Arial"/>
                <w:shd w:val="clear" w:color="auto" w:fill="FFFFFF"/>
                <w:lang w:val="es-ES" w:eastAsia="es-ES"/>
              </w:rPr>
              <w:lastRenderedPageBreak/>
              <w:t xml:space="preserve">aquellos aspectos que se encuentran entre corchetes y resaltados en gris </w:t>
            </w:r>
            <w:r w:rsidRPr="00054652">
              <w:rPr>
                <w:rFonts w:ascii="Verdana" w:eastAsia="Times New Roman" w:hAnsi="Verdana" w:cs="Arial"/>
                <w:highlight w:val="lightGray"/>
                <w:shd w:val="clear" w:color="auto" w:fill="FFFFFF"/>
                <w:lang w:val="es-ES" w:eastAsia="es-ES"/>
              </w:rPr>
              <w:t>–[texto]–</w:t>
            </w:r>
            <w:r w:rsidRPr="00054652">
              <w:rPr>
                <w:rFonts w:ascii="Verdana" w:eastAsia="Times New Roman" w:hAnsi="Verdana" w:cs="Arial"/>
                <w:shd w:val="clear" w:color="auto" w:fill="FFFFFF"/>
                <w:lang w:val="es-ES" w:eastAsia="es-ES"/>
              </w:rPr>
              <w:t>, para lo cual deberán observarse las instrucciones contenidas en los mismos para su diligenciamiento</w:t>
            </w:r>
            <w:r w:rsidRPr="00054652">
              <w:rPr>
                <w:rFonts w:ascii="Verdana" w:eastAsia="Calibri" w:hAnsi="Verdana" w:cs="Arial"/>
                <w:color w:val="000000"/>
                <w:lang w:val="es-MX"/>
              </w:rPr>
              <w:t xml:space="preserve">, como, por ejemplo, los formatos que requieren de la firma del proponente o su representante legal. </w:t>
            </w:r>
          </w:p>
          <w:p w14:paraId="3C3434ED" w14:textId="77777777" w:rsidR="00B9530B" w:rsidRPr="00054652" w:rsidRDefault="00B9530B" w:rsidP="0095419D">
            <w:pPr>
              <w:spacing w:before="120" w:after="120" w:line="276" w:lineRule="auto"/>
              <w:ind w:firstLine="743"/>
              <w:jc w:val="both"/>
              <w:rPr>
                <w:rFonts w:ascii="Verdana" w:eastAsia="Calibri" w:hAnsi="Verdana" w:cs="Arial"/>
                <w:szCs w:val="24"/>
                <w:lang w:eastAsia="es-ES_tradnl"/>
              </w:rPr>
            </w:pPr>
            <w:r w:rsidRPr="00054652">
              <w:rPr>
                <w:rFonts w:ascii="Verdana" w:eastAsia="Calibri" w:hAnsi="Verdana" w:cs="Arial"/>
                <w:szCs w:val="24"/>
                <w:lang w:eastAsia="es-ES_tradnl"/>
              </w:rPr>
              <w:t>En los documentos tipo de licitación de infraestructura de transporte Versión 4 - se ha establecido el “Anexo 1 – Anexo Técnico”, que contienen parámetros obligatorios para las entidades estatales sometidas al Estatuto General de Contratación de la Administración Pública que adelanten procesos contractuales regidos por aquellos.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la entidad, pueden implicar modificaciones en el “Anexo 1”, las cuales deben ser adecuadas, proporcionales y consecuentes con el contenido de los documentos tipo y el proyecto a ejecutar.</w:t>
            </w:r>
          </w:p>
          <w:p w14:paraId="39DF3473" w14:textId="77777777" w:rsidR="00B9530B" w:rsidRPr="00054652" w:rsidRDefault="00B9530B" w:rsidP="0095419D">
            <w:pPr>
              <w:tabs>
                <w:tab w:val="left" w:pos="709"/>
                <w:tab w:val="left" w:pos="2662"/>
              </w:tabs>
              <w:spacing w:after="120" w:line="276" w:lineRule="auto"/>
              <w:ind w:firstLine="709"/>
              <w:jc w:val="both"/>
            </w:pPr>
            <w:r w:rsidRPr="00054652">
              <w:rPr>
                <w:rFonts w:ascii="Verdana" w:eastAsia="Calibri" w:hAnsi="Verdana" w:cs="Arial"/>
                <w:bCs/>
                <w:szCs w:val="24"/>
                <w:lang w:val="es-MX" w:eastAsia="es-ES_tradnl"/>
              </w:rPr>
              <w:t xml:space="preserve">La forma en la que estos permisos o licencias se proyectan en el documento tipo, sin vulnerar la regla de inalterabilidad de estos documentos, es mediante el Anexo técnico, específicamente en el numeral 11 referente a </w:t>
            </w:r>
            <w:r w:rsidRPr="00054652">
              <w:rPr>
                <w:rFonts w:ascii="Verdana" w:eastAsia="Calibri" w:hAnsi="Verdana" w:cs="Arial"/>
                <w:szCs w:val="24"/>
                <w:lang w:eastAsia="es-ES_tradnl"/>
              </w:rPr>
              <w:t xml:space="preserve">permisos, licencias y autorizaciones, en el cual se establece un espacio en gris en el que </w:t>
            </w:r>
            <w:r w:rsidRPr="00054652">
              <w:rPr>
                <w:rFonts w:ascii="Verdana" w:eastAsia="Calibri" w:hAnsi="Verdana" w:cs="Arial"/>
                <w:szCs w:val="24"/>
                <w:lang w:val="es-ES" w:eastAsia="es-ES_tradnl"/>
              </w:rPr>
              <w:t xml:space="preserve">la entidad deberá incluir los permisos, licencias y autorizaciones necesarios para la ejecución del contrato. Para tales efectos, </w:t>
            </w:r>
            <w:r w:rsidRPr="00054652">
              <w:rPr>
                <w:rFonts w:ascii="Verdana" w:eastAsia="Calibri" w:hAnsi="Verdana" w:cs="Arial"/>
                <w:szCs w:val="24"/>
                <w:lang w:eastAsia="es-ES_tradnl"/>
              </w:rPr>
              <w:t>las entidades estatales durante la etapa de planeación del contrato tienen el deber de elaborar los estudios técnicos necesarios para establecer la viabilidad del proyecto en cuanto corresponde a estudios de ingeniería, aspectos presupuestales, el impacto social, económico y ambiental, e identificar los permisos, autorizaciones y licencias requeridas para la ejecución del proyecto.</w:t>
            </w:r>
            <w:r w:rsidRPr="00054652">
              <w:t xml:space="preserve"> </w:t>
            </w:r>
            <w:r w:rsidRPr="00054652">
              <w:rPr>
                <w:rFonts w:ascii="Verdana" w:eastAsia="Calibri" w:hAnsi="Verdana" w:cs="Arial"/>
                <w:szCs w:val="24"/>
                <w:lang w:eastAsia="es-ES_tradnl"/>
              </w:rPr>
              <w:t xml:space="preserve">De este modo, si en función de las particularidades del proyecto, la entidad determina que el tipo de infraestructura a desarrollar requiere permisos, licencias o autorizaciones conforme a la normativa vigente, deberá especificar de manera clara y precisa todas aquellas que sean necesarias para la ejecución del contrato, en cumplimiento del marco legal aplicable. </w:t>
            </w:r>
          </w:p>
        </w:tc>
      </w:tr>
    </w:tbl>
    <w:p w14:paraId="725B0DFD" w14:textId="77777777" w:rsidR="00B9530B" w:rsidRPr="00054652" w:rsidRDefault="00B9530B" w:rsidP="00B9530B">
      <w:pPr>
        <w:tabs>
          <w:tab w:val="left" w:pos="142"/>
          <w:tab w:val="left" w:pos="284"/>
        </w:tabs>
        <w:spacing w:after="0" w:line="276" w:lineRule="auto"/>
        <w:jc w:val="both"/>
        <w:rPr>
          <w:rFonts w:ascii="Verdana" w:eastAsia="Century Gothic" w:hAnsi="Verdana" w:cs="Century Gothic"/>
          <w:b/>
          <w:bCs/>
        </w:rPr>
      </w:pPr>
    </w:p>
    <w:bookmarkEnd w:id="6"/>
    <w:p w14:paraId="2A34A0CB" w14:textId="77777777" w:rsidR="00B9530B" w:rsidRPr="00054652" w:rsidRDefault="00B9530B" w:rsidP="00B9530B">
      <w:pPr>
        <w:numPr>
          <w:ilvl w:val="0"/>
          <w:numId w:val="1"/>
        </w:numPr>
        <w:tabs>
          <w:tab w:val="left" w:pos="142"/>
          <w:tab w:val="left" w:pos="284"/>
        </w:tabs>
        <w:spacing w:after="0" w:line="276" w:lineRule="auto"/>
        <w:jc w:val="both"/>
        <w:rPr>
          <w:rFonts w:ascii="Verdana" w:eastAsia="Century Gothic" w:hAnsi="Verdana" w:cs="Century Gothic"/>
          <w:b/>
          <w:bCs/>
        </w:rPr>
      </w:pPr>
      <w:r w:rsidRPr="00054652">
        <w:rPr>
          <w:rFonts w:ascii="Verdana" w:eastAsia="Century Gothic" w:hAnsi="Verdana" w:cs="Century Gothic"/>
          <w:b/>
          <w:bCs/>
        </w:rPr>
        <w:t>Razones de las respuestas:</w:t>
      </w:r>
    </w:p>
    <w:p w14:paraId="40094537" w14:textId="77777777" w:rsidR="00B9530B" w:rsidRPr="00054652" w:rsidRDefault="00B9530B" w:rsidP="00B9530B">
      <w:pPr>
        <w:spacing w:after="0" w:line="276" w:lineRule="auto"/>
        <w:jc w:val="both"/>
        <w:rPr>
          <w:rFonts w:ascii="Verdana" w:eastAsia="Calibri" w:hAnsi="Verdana" w:cs="Arial"/>
          <w:color w:val="7030A0"/>
        </w:rPr>
      </w:pPr>
    </w:p>
    <w:p w14:paraId="3EB13509" w14:textId="77777777" w:rsidR="00B9530B" w:rsidRPr="00054652" w:rsidRDefault="00B9530B" w:rsidP="00B9530B">
      <w:pPr>
        <w:spacing w:after="0" w:line="276" w:lineRule="auto"/>
        <w:jc w:val="both"/>
        <w:rPr>
          <w:rFonts w:ascii="Verdana" w:eastAsia="Calibri" w:hAnsi="Verdana" w:cs="Arial"/>
        </w:rPr>
      </w:pPr>
      <w:r w:rsidRPr="00054652">
        <w:rPr>
          <w:rFonts w:ascii="Verdana" w:eastAsia="Calibri" w:hAnsi="Verdana" w:cs="Arial"/>
        </w:rPr>
        <w:t>Lo anterior se sustenta en las siguientes consideraciones:</w:t>
      </w:r>
    </w:p>
    <w:p w14:paraId="2F4C5CE2" w14:textId="77777777" w:rsidR="00B9530B" w:rsidRPr="00054652" w:rsidRDefault="00B9530B" w:rsidP="00B9530B">
      <w:pPr>
        <w:spacing w:after="120" w:line="276" w:lineRule="auto"/>
        <w:jc w:val="both"/>
        <w:rPr>
          <w:rFonts w:ascii="Verdana" w:eastAsia="Calibri" w:hAnsi="Verdana" w:cs="Arial"/>
          <w:color w:val="000000" w:themeColor="text1"/>
        </w:rPr>
      </w:pPr>
    </w:p>
    <w:p w14:paraId="1F940FF0" w14:textId="77777777" w:rsidR="00B9530B" w:rsidRPr="00054652" w:rsidRDefault="00B9530B" w:rsidP="00B9530B">
      <w:pPr>
        <w:snapToGrid w:val="0"/>
        <w:spacing w:after="120" w:line="276" w:lineRule="auto"/>
        <w:jc w:val="both"/>
        <w:rPr>
          <w:rFonts w:ascii="Verdana" w:eastAsia="Calibri" w:hAnsi="Verdana" w:cs="Arial"/>
          <w:lang w:val="es-ES"/>
        </w:rPr>
      </w:pPr>
      <w:r w:rsidRPr="00054652">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E3428C2" w14:textId="77777777" w:rsidR="00B9530B" w:rsidRPr="00054652" w:rsidRDefault="00B9530B" w:rsidP="00B9530B">
      <w:pPr>
        <w:spacing w:after="120" w:line="276" w:lineRule="auto"/>
        <w:ind w:firstLine="709"/>
        <w:jc w:val="both"/>
        <w:rPr>
          <w:rFonts w:ascii="Verdana" w:eastAsia="Calibri" w:hAnsi="Verdana" w:cs="Arial"/>
          <w:color w:val="000000"/>
          <w:lang w:val="es-ES"/>
        </w:rPr>
      </w:pPr>
      <w:bookmarkStart w:id="7" w:name="_Hlk192056918"/>
      <w:r w:rsidRPr="7DFD6657">
        <w:rPr>
          <w:rFonts w:ascii="Verdana" w:eastAsia="Calibri" w:hAnsi="Verdana" w:cs="Arial"/>
          <w:color w:val="000000"/>
          <w:lang w:val="es-ES"/>
        </w:rPr>
        <w:t>Todas las resoluciones expedidas por la Agencia Nacional de Contratación Pública – Colombia Compra Eficiente, mediante las cuales se han adoptado los documentos tipo, consagran la regla de la inalterabilidad</w:t>
      </w:r>
      <w:r w:rsidRPr="7DFD6657">
        <w:rPr>
          <w:rFonts w:ascii="Verdana" w:eastAsia="Calibri" w:hAnsi="Verdana" w:cs="Arial"/>
          <w:color w:val="000000"/>
          <w:vertAlign w:val="superscript"/>
          <w:lang w:val="es-ES"/>
        </w:rPr>
        <w:footnoteReference w:id="2"/>
      </w:r>
      <w:r w:rsidRPr="7DFD6657">
        <w:rPr>
          <w:rFonts w:ascii="Verdana" w:eastAsia="Calibri" w:hAnsi="Verdana" w:cs="Arial"/>
          <w:color w:val="000000"/>
          <w:lang w:val="es-ES"/>
        </w:rPr>
        <w:t xml:space="preserve">. Esta prohibición consiste en que </w:t>
      </w:r>
      <w:bookmarkStart w:id="8" w:name="_Hlk79403115"/>
      <w:r w:rsidRPr="7DFD6657">
        <w:rPr>
          <w:rFonts w:ascii="Verdana" w:eastAsia="Calibri" w:hAnsi="Verdana" w:cs="Arial"/>
          <w:color w:val="000000"/>
          <w:lang w:val="es-ES"/>
        </w:rPr>
        <w:t xml:space="preserve">las entidades estatales no pueden incluir o modificar en los </w:t>
      </w:r>
      <w:r w:rsidRPr="7DFD6657">
        <w:rPr>
          <w:rFonts w:ascii="Verdana" w:eastAsia="Calibri" w:hAnsi="Verdana" w:cs="Arial"/>
          <w:i/>
          <w:color w:val="000000"/>
          <w:lang w:val="es-ES"/>
        </w:rPr>
        <w:t>Documentos del Proceso</w:t>
      </w:r>
      <w:r w:rsidRPr="7DFD6657">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w:t>
      </w:r>
      <w:bookmarkEnd w:id="8"/>
      <w:r w:rsidRPr="7DFD6657">
        <w:rPr>
          <w:rFonts w:ascii="Verdana" w:eastAsia="Calibri" w:hAnsi="Verdana" w:cs="Arial"/>
          <w:color w:val="000000"/>
          <w:lang w:val="es-E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20C414B" w14:textId="77777777" w:rsidR="00B9530B" w:rsidRPr="00054652" w:rsidRDefault="00B9530B" w:rsidP="00B9530B">
      <w:pPr>
        <w:spacing w:after="120" w:line="276" w:lineRule="auto"/>
        <w:ind w:firstLine="709"/>
        <w:jc w:val="both"/>
        <w:rPr>
          <w:rFonts w:ascii="Verdana" w:eastAsia="Calibri" w:hAnsi="Verdana" w:cs="Arial"/>
          <w:color w:val="000000"/>
          <w:lang w:val="es-ES_tradnl"/>
        </w:rPr>
      </w:pPr>
      <w:r w:rsidRPr="00054652">
        <w:rPr>
          <w:rFonts w:ascii="Verdana" w:eastAsia="Calibri" w:hAnsi="Verdana" w:cs="Arial"/>
          <w:color w:val="000000"/>
          <w:lang w:val="es-ES_tradnl"/>
        </w:rPr>
        <w:t xml:space="preserve">El fundamento legal vigente de la regla de la inalterabilidad está en </w:t>
      </w:r>
      <w:bookmarkStart w:id="9" w:name="_Hlk79402315"/>
      <w:r w:rsidRPr="00054652">
        <w:rPr>
          <w:rFonts w:ascii="Verdana" w:eastAsia="Calibri" w:hAnsi="Verdana" w:cs="Arial"/>
          <w:color w:val="000000"/>
          <w:lang w:val="es-ES_tradnl"/>
        </w:rPr>
        <w:t xml:space="preserve">el artículo 1 de la </w:t>
      </w:r>
      <w:bookmarkEnd w:id="9"/>
      <w:r w:rsidRPr="00054652">
        <w:rPr>
          <w:rFonts w:ascii="Verdana" w:eastAsia="Calibri" w:hAnsi="Verdana" w:cs="Arial"/>
          <w:color w:val="000000"/>
          <w:lang w:val="es-ES_tradnl"/>
        </w:rPr>
        <w:t>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bookmarkEnd w:id="7"/>
    <w:p w14:paraId="2B31912C" w14:textId="77777777" w:rsidR="00B9530B" w:rsidRPr="00054652" w:rsidRDefault="00B9530B" w:rsidP="00B9530B">
      <w:pPr>
        <w:spacing w:after="120" w:line="276" w:lineRule="auto"/>
        <w:ind w:firstLine="709"/>
        <w:jc w:val="both"/>
        <w:rPr>
          <w:rFonts w:ascii="Verdana" w:eastAsia="Calibri" w:hAnsi="Verdana" w:cs="Arial"/>
          <w:color w:val="000000"/>
          <w:lang w:val="es-ES"/>
        </w:rPr>
      </w:pPr>
      <w:r w:rsidRPr="68F85618">
        <w:rPr>
          <w:rFonts w:ascii="Verdana" w:eastAsia="Calibri" w:hAnsi="Verdana" w:cs="Arial"/>
          <w:color w:val="000000"/>
          <w:lang w:val="es-ES"/>
        </w:rPr>
        <w:lastRenderedPageBreak/>
        <w:t xml:space="preserve">Además, las entidades estatales deben garantizar el </w:t>
      </w:r>
      <w:r w:rsidRPr="68F85618">
        <w:rPr>
          <w:rFonts w:ascii="Verdana" w:eastAsia="Calibri" w:hAnsi="Verdana" w:cs="Arial"/>
          <w:i/>
          <w:color w:val="000000"/>
          <w:lang w:val="es-ES"/>
        </w:rPr>
        <w:t>principio de economía</w:t>
      </w:r>
      <w:r w:rsidRPr="68F85618">
        <w:rPr>
          <w:rFonts w:ascii="Verdana" w:eastAsia="Calibri" w:hAnsi="Verdana" w:cs="Arial"/>
          <w:color w:val="000000"/>
          <w:lang w:val="es-ES"/>
        </w:rPr>
        <w:t>, del cual se desprende que no pueden exigir documentos o requisitos más allá de los que permitan la Constitución, la ley y los reglamentos. Este postulado ha sido recogido no solo en la contratación estatal</w:t>
      </w:r>
      <w:r w:rsidRPr="68F85618">
        <w:rPr>
          <w:rFonts w:ascii="Verdana" w:eastAsia="Calibri" w:hAnsi="Verdana" w:cs="Arial"/>
          <w:color w:val="000000"/>
          <w:vertAlign w:val="superscript"/>
          <w:lang w:val="es-ES"/>
        </w:rPr>
        <w:footnoteReference w:id="3"/>
      </w:r>
      <w:r w:rsidRPr="68F85618">
        <w:rPr>
          <w:rFonts w:ascii="Verdana" w:eastAsia="Calibri" w:hAnsi="Verdana" w:cs="Arial"/>
          <w:color w:val="000000"/>
          <w:lang w:val="es-ES"/>
        </w:rPr>
        <w:t xml:space="preserve"> sino además en la normativa </w:t>
      </w:r>
      <w:proofErr w:type="spellStart"/>
      <w:r w:rsidRPr="68F85618">
        <w:rPr>
          <w:rFonts w:ascii="Verdana" w:eastAsia="Calibri" w:hAnsi="Verdana" w:cs="Arial"/>
          <w:color w:val="000000" w:themeColor="text1"/>
          <w:lang w:val="es-ES"/>
        </w:rPr>
        <w:t>antitrámites</w:t>
      </w:r>
      <w:proofErr w:type="spellEnd"/>
      <w:r w:rsidRPr="68F85618">
        <w:rPr>
          <w:rFonts w:ascii="Verdana" w:eastAsia="Calibri" w:hAnsi="Verdana" w:cs="Arial"/>
          <w:color w:val="000000"/>
          <w:vertAlign w:val="superscript"/>
          <w:lang w:val="es-ES"/>
        </w:rPr>
        <w:footnoteReference w:id="4"/>
      </w:r>
      <w:r w:rsidRPr="68F85618">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79AFDEF" w14:textId="77777777" w:rsidR="00B9530B" w:rsidRPr="00054652" w:rsidRDefault="00B9530B" w:rsidP="00B9530B">
      <w:pPr>
        <w:spacing w:after="120" w:line="276" w:lineRule="auto"/>
        <w:ind w:firstLine="709"/>
        <w:jc w:val="both"/>
        <w:rPr>
          <w:rFonts w:ascii="Verdana" w:eastAsia="Calibri" w:hAnsi="Verdana" w:cs="Arial"/>
          <w:bCs/>
          <w:color w:val="000000"/>
          <w:lang w:val="es-ES_tradnl"/>
        </w:rPr>
      </w:pPr>
      <w:r w:rsidRPr="00054652">
        <w:rPr>
          <w:rFonts w:ascii="Verdana" w:eastAsia="Times New Roman" w:hAnsi="Verdana" w:cs="Arial"/>
          <w:shd w:val="clear" w:color="auto" w:fill="FFFFFF"/>
          <w:lang w:val="es-ES" w:eastAsia="es-ES"/>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054652">
        <w:rPr>
          <w:rFonts w:ascii="Verdana" w:eastAsia="Times New Roman" w:hAnsi="Verdana" w:cs="Arial"/>
          <w:highlight w:val="lightGray"/>
          <w:shd w:val="clear" w:color="auto" w:fill="FFFFFF"/>
          <w:lang w:val="es-ES" w:eastAsia="es-ES"/>
        </w:rPr>
        <w:t>–[texto]–</w:t>
      </w:r>
      <w:r w:rsidRPr="00054652">
        <w:rPr>
          <w:rFonts w:ascii="Verdana" w:eastAsia="Times New Roman" w:hAnsi="Verdana" w:cs="Arial"/>
          <w:shd w:val="clear" w:color="auto" w:fill="FFFFFF"/>
          <w:lang w:val="es-ES" w:eastAsia="es-ES"/>
        </w:rPr>
        <w:t>, para lo cual deberán observarse las instrucciones contenidas en los mismos para su diligenciamiento</w:t>
      </w:r>
      <w:r w:rsidRPr="00054652">
        <w:rPr>
          <w:rFonts w:ascii="Verdana" w:eastAsia="Calibri" w:hAnsi="Verdana" w:cs="Arial"/>
          <w:color w:val="000000"/>
          <w:lang w:val="es-MX"/>
        </w:rPr>
        <w:t xml:space="preserve">,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000C861B" w14:textId="77777777" w:rsidR="00B9530B" w:rsidRPr="00054652" w:rsidRDefault="00B9530B" w:rsidP="00B9530B">
      <w:pPr>
        <w:spacing w:after="120" w:line="276" w:lineRule="auto"/>
        <w:ind w:firstLine="709"/>
        <w:jc w:val="both"/>
        <w:rPr>
          <w:rFonts w:ascii="Verdana" w:eastAsia="Calibri" w:hAnsi="Verdana" w:cs="Arial"/>
          <w:bCs/>
          <w:lang w:val="es-MX"/>
        </w:rPr>
      </w:pPr>
      <w:r w:rsidRPr="00054652">
        <w:rPr>
          <w:rFonts w:ascii="Verdana" w:eastAsia="Calibri" w:hAnsi="Verdana" w:cs="Arial"/>
          <w:bCs/>
          <w:lang w:val="es-MX"/>
        </w:rPr>
        <w:t xml:space="preserve">Esta regla de inalterabilidad aplica entonces a los formatos y anexos implementados junto con el Documento Base, los cuales deben usarse en el procedimiento de contratación. Estos, al igual que el Documento Base, contienen apartes entre corchetes y resaltados en gris, los cuales deben ser diligenciados </w:t>
      </w:r>
      <w:r w:rsidRPr="00054652">
        <w:rPr>
          <w:rFonts w:ascii="Verdana" w:eastAsia="Calibri" w:hAnsi="Verdana" w:cs="Arial"/>
          <w:bCs/>
          <w:lang w:val="es-MX"/>
        </w:rPr>
        <w:lastRenderedPageBreak/>
        <w:t xml:space="preserve">por la entidad, al igual que otros aspectos relativos a información que debe ser completada por los oferentes al hacer uso del formato. </w:t>
      </w:r>
    </w:p>
    <w:p w14:paraId="7B8169D6" w14:textId="77777777" w:rsidR="00B9530B" w:rsidRPr="00054652" w:rsidRDefault="00B9530B" w:rsidP="00B9530B">
      <w:pPr>
        <w:spacing w:after="0" w:line="276" w:lineRule="auto"/>
        <w:ind w:firstLine="709"/>
        <w:jc w:val="both"/>
        <w:textAlignment w:val="baseline"/>
        <w:rPr>
          <w:rFonts w:ascii="Verdana" w:eastAsia="Calibri" w:hAnsi="Verdana" w:cs="Arial"/>
          <w:szCs w:val="24"/>
          <w:lang w:eastAsia="es-ES_tradnl"/>
        </w:rPr>
      </w:pPr>
      <w:r w:rsidRPr="00054652">
        <w:rPr>
          <w:rFonts w:ascii="Verdana" w:eastAsia="Calibri" w:hAnsi="Verdana" w:cs="Arial"/>
          <w:szCs w:val="24"/>
          <w:lang w:eastAsia="es-ES_tradnl"/>
        </w:rPr>
        <w:t xml:space="preserve">Específicamente, en los documentos tipo </w:t>
      </w:r>
      <w:bookmarkStart w:id="10" w:name="_Hlk191928147"/>
      <w:r w:rsidRPr="00054652">
        <w:rPr>
          <w:rFonts w:ascii="Verdana" w:eastAsia="Calibri" w:hAnsi="Verdana" w:cs="Arial"/>
          <w:szCs w:val="24"/>
          <w:lang w:eastAsia="es-ES_tradnl"/>
        </w:rPr>
        <w:t>de licitación de infraestructura de transporte</w:t>
      </w:r>
      <w:bookmarkEnd w:id="10"/>
      <w:r w:rsidRPr="00054652">
        <w:rPr>
          <w:rFonts w:ascii="Verdana" w:eastAsia="Calibri" w:hAnsi="Verdana" w:cs="Arial"/>
          <w:szCs w:val="24"/>
          <w:lang w:eastAsia="es-ES_tradnl"/>
        </w:rPr>
        <w:t xml:space="preserve"> Versión 4 - se ha establecido el “Anexo 1 – Anexo Técnico”, que contienen parámetros obligatorios para las entidades estatales sometidas al Estatuto General de Contratación de la Administración Pública que adelanten procesos contractuales regidos por aquellos. Este documento es inalterable y las entidades estatales no pueden incluir, modificar o exigir en ese anexo requisitos adicionales, condiciones habilitantes o factores técnicos y económicos, diferentes a los señalados en los documentos tipo, salvo cuando de forma expresa lo determine el documento, es decir, en los aspectos incluidos en corchetes y resaltados en gris.</w:t>
      </w:r>
    </w:p>
    <w:p w14:paraId="2EC62125" w14:textId="77777777" w:rsidR="00B9530B" w:rsidRPr="00054652" w:rsidRDefault="00B9530B" w:rsidP="00B9530B">
      <w:pPr>
        <w:spacing w:before="120" w:after="0" w:line="276" w:lineRule="auto"/>
        <w:ind w:firstLine="709"/>
        <w:jc w:val="both"/>
        <w:textAlignment w:val="baseline"/>
        <w:rPr>
          <w:rFonts w:ascii="Verdana" w:eastAsia="Calibri" w:hAnsi="Verdana" w:cs="Arial"/>
          <w:szCs w:val="24"/>
          <w:lang w:eastAsia="es-ES_tradnl"/>
        </w:rPr>
      </w:pPr>
      <w:r w:rsidRPr="00054652">
        <w:rPr>
          <w:rFonts w:ascii="Verdana" w:eastAsia="Calibri" w:hAnsi="Verdana" w:cs="Arial"/>
          <w:szCs w:val="24"/>
          <w:lang w:eastAsia="es-ES_tradnl"/>
        </w:rPr>
        <w:t>Este anexo es el documento mediante el cual las entidades estatales indicarán los aspectos técnicos propios y particulares del proyecto que se pretende materializar mediante el proceso de selección. Según el numeral 1.1 del documento base, “</w:t>
      </w:r>
      <w:r w:rsidRPr="00054652">
        <w:rPr>
          <w:rFonts w:ascii="Verdana" w:eastAsia="Calibri" w:hAnsi="Verdana" w:cs="Arial"/>
          <w:szCs w:val="24"/>
          <w:lang w:val="es-MX" w:eastAsia="es-ES_tradnl"/>
        </w:rPr>
        <w:t>la obra pública tiene las especificaciones técnicas descritas en el Anexo 1 – Anexo Técnico y el estudio previo, los cuales incluyen la descripción de las obras e información técnica (localización, obras a ejecutar, especificaciones particulares, etc.) objeto del presente proceso de selección”</w:t>
      </w:r>
      <w:r w:rsidRPr="00054652">
        <w:rPr>
          <w:rFonts w:ascii="Verdana" w:eastAsia="Calibri" w:hAnsi="Verdana" w:cs="Arial"/>
          <w:szCs w:val="24"/>
          <w:lang w:eastAsia="es-ES_tradnl"/>
        </w:rPr>
        <w:t xml:space="preserve">. Por tanto, las entidades deberán definir, en detalle, los aspectos que debe cumplir el futuro contratista frente a cada uno de los insumos requeridos para la obra, modificando los aspectos que contengan espacios en corchete y resaltado en gris, los cuales deben ser diligenciados por la entidad. </w:t>
      </w:r>
    </w:p>
    <w:p w14:paraId="01F24703" w14:textId="77777777" w:rsidR="00B9530B" w:rsidRPr="00054652" w:rsidRDefault="00B9530B" w:rsidP="00B9530B">
      <w:pPr>
        <w:spacing w:before="120" w:after="0" w:line="276" w:lineRule="auto"/>
        <w:ind w:firstLine="709"/>
        <w:jc w:val="both"/>
        <w:textAlignment w:val="baseline"/>
        <w:rPr>
          <w:rFonts w:ascii="Verdana" w:eastAsia="Calibri" w:hAnsi="Verdana" w:cs="Arial"/>
          <w:szCs w:val="24"/>
          <w:lang w:eastAsia="es-ES_tradnl"/>
        </w:rPr>
      </w:pPr>
      <w:r w:rsidRPr="00054652">
        <w:rPr>
          <w:rFonts w:ascii="Verdana" w:eastAsia="Calibri" w:hAnsi="Verdana" w:cs="Arial"/>
          <w:szCs w:val="24"/>
          <w:lang w:eastAsia="es-ES_tradnl"/>
        </w:rPr>
        <w:t xml:space="preserve">En su contenido se contemplan los siguiente elementos: i) descripción del proyecto –alcance, sitio de trabajo, ubicación rural o urbana y distancia, entre otros–, </w:t>
      </w:r>
      <w:proofErr w:type="spellStart"/>
      <w:r w:rsidRPr="00054652">
        <w:rPr>
          <w:rFonts w:ascii="Verdana" w:eastAsia="Calibri" w:hAnsi="Verdana" w:cs="Arial"/>
          <w:szCs w:val="24"/>
          <w:lang w:eastAsia="es-ES_tradnl"/>
        </w:rPr>
        <w:t>ii</w:t>
      </w:r>
      <w:proofErr w:type="spellEnd"/>
      <w:r w:rsidRPr="00054652">
        <w:rPr>
          <w:rFonts w:ascii="Verdana" w:eastAsia="Calibri" w:hAnsi="Verdana" w:cs="Arial"/>
          <w:szCs w:val="24"/>
          <w:lang w:eastAsia="es-ES_tradnl"/>
        </w:rPr>
        <w:t xml:space="preserve">) descripción obra actual o zona a intervenir, </w:t>
      </w:r>
      <w:proofErr w:type="spellStart"/>
      <w:r w:rsidRPr="00054652">
        <w:rPr>
          <w:rFonts w:ascii="Verdana" w:eastAsia="Calibri" w:hAnsi="Verdana" w:cs="Arial"/>
          <w:szCs w:val="24"/>
          <w:lang w:eastAsia="es-ES_tradnl"/>
        </w:rPr>
        <w:t>iii</w:t>
      </w:r>
      <w:proofErr w:type="spellEnd"/>
      <w:r w:rsidRPr="00054652">
        <w:rPr>
          <w:rFonts w:ascii="Verdana" w:eastAsia="Calibri" w:hAnsi="Verdana" w:cs="Arial"/>
          <w:szCs w:val="24"/>
          <w:lang w:eastAsia="es-ES_tradnl"/>
        </w:rPr>
        <w:t xml:space="preserve">) actividades por ejecutar y alcance –expectativas de la entidad respecto de la contratación y principales </w:t>
      </w:r>
      <w:r w:rsidRPr="00054652">
        <w:rPr>
          <w:rFonts w:ascii="Verdana" w:eastAsia="Calibri" w:hAnsi="Verdana" w:cs="Arial"/>
          <w:i/>
          <w:iCs/>
          <w:szCs w:val="24"/>
          <w:lang w:eastAsia="es-ES_tradnl"/>
        </w:rPr>
        <w:t>ítems de pago</w:t>
      </w:r>
      <w:r w:rsidRPr="00054652">
        <w:rPr>
          <w:rFonts w:ascii="Verdana" w:eastAsia="Calibri" w:hAnsi="Verdana" w:cs="Arial"/>
          <w:szCs w:val="24"/>
          <w:lang w:eastAsia="es-ES_tradnl"/>
        </w:rPr>
        <w:t xml:space="preserve">–, </w:t>
      </w:r>
      <w:proofErr w:type="spellStart"/>
      <w:r w:rsidRPr="00054652">
        <w:rPr>
          <w:rFonts w:ascii="Verdana" w:eastAsia="Calibri" w:hAnsi="Verdana" w:cs="Arial"/>
          <w:szCs w:val="24"/>
          <w:lang w:eastAsia="es-ES_tradnl"/>
        </w:rPr>
        <w:t>iv</w:t>
      </w:r>
      <w:proofErr w:type="spellEnd"/>
      <w:r w:rsidRPr="00054652">
        <w:rPr>
          <w:rFonts w:ascii="Verdana" w:eastAsia="Calibri" w:hAnsi="Verdana" w:cs="Arial"/>
          <w:szCs w:val="24"/>
          <w:lang w:eastAsia="es-ES_tradnl"/>
        </w:rPr>
        <w:t xml:space="preserve">) plazo para la ejecución del contrato –etapas y su inicio, si aplica–, v) forma de pago –anticipos y la justificación de su inclusión o exclusión–, vi) condiciones particulares del proyecto, </w:t>
      </w:r>
      <w:proofErr w:type="spellStart"/>
      <w:r w:rsidRPr="00054652">
        <w:rPr>
          <w:rFonts w:ascii="Verdana" w:eastAsia="Calibri" w:hAnsi="Verdana" w:cs="Arial"/>
          <w:szCs w:val="24"/>
          <w:lang w:eastAsia="es-ES_tradnl"/>
        </w:rPr>
        <w:t>vii</w:t>
      </w:r>
      <w:proofErr w:type="spellEnd"/>
      <w:r w:rsidRPr="00054652">
        <w:rPr>
          <w:rFonts w:ascii="Verdana" w:eastAsia="Calibri" w:hAnsi="Verdana" w:cs="Arial"/>
          <w:szCs w:val="24"/>
          <w:lang w:eastAsia="es-ES_tradnl"/>
        </w:rPr>
        <w:t xml:space="preserve">) información sobre el personal profesional </w:t>
      </w:r>
      <w:proofErr w:type="spellStart"/>
      <w:r w:rsidRPr="00054652">
        <w:rPr>
          <w:rFonts w:ascii="Verdana" w:eastAsia="Calibri" w:hAnsi="Verdana" w:cs="Arial"/>
          <w:szCs w:val="24"/>
          <w:lang w:eastAsia="es-ES_tradnl"/>
        </w:rPr>
        <w:t>viii</w:t>
      </w:r>
      <w:proofErr w:type="spellEnd"/>
      <w:r w:rsidRPr="00054652">
        <w:rPr>
          <w:rFonts w:ascii="Verdana" w:eastAsia="Calibri" w:hAnsi="Verdana" w:cs="Arial"/>
          <w:szCs w:val="24"/>
          <w:lang w:eastAsia="es-ES_tradnl"/>
        </w:rPr>
        <w:t xml:space="preserve">) posibles fuentes de materiales para el proyecto, </w:t>
      </w:r>
      <w:proofErr w:type="spellStart"/>
      <w:r w:rsidRPr="00054652">
        <w:rPr>
          <w:rFonts w:ascii="Verdana" w:eastAsia="Calibri" w:hAnsi="Verdana" w:cs="Arial"/>
          <w:szCs w:val="24"/>
          <w:lang w:eastAsia="es-ES_tradnl"/>
        </w:rPr>
        <w:t>ix</w:t>
      </w:r>
      <w:proofErr w:type="spellEnd"/>
      <w:r w:rsidRPr="00054652">
        <w:rPr>
          <w:rFonts w:ascii="Verdana" w:eastAsia="Calibri" w:hAnsi="Verdana" w:cs="Arial"/>
          <w:szCs w:val="24"/>
          <w:lang w:eastAsia="es-ES_tradnl"/>
        </w:rPr>
        <w:t xml:space="preserve">) obras provisionales, x) señalización, xi) </w:t>
      </w:r>
      <w:bookmarkStart w:id="11" w:name="_Hlk191929411"/>
      <w:r w:rsidRPr="00054652">
        <w:rPr>
          <w:rFonts w:ascii="Verdana" w:eastAsia="Calibri" w:hAnsi="Verdana" w:cs="Arial"/>
          <w:szCs w:val="24"/>
          <w:lang w:eastAsia="es-ES_tradnl"/>
        </w:rPr>
        <w:t xml:space="preserve">permisos, licencias y autorización </w:t>
      </w:r>
      <w:bookmarkEnd w:id="11"/>
      <w:r w:rsidRPr="00054652">
        <w:rPr>
          <w:rFonts w:ascii="Verdana" w:eastAsia="Calibri" w:hAnsi="Verdana" w:cs="Arial"/>
          <w:szCs w:val="24"/>
          <w:lang w:eastAsia="es-ES_tradnl"/>
        </w:rPr>
        <w:t xml:space="preserve">–los que sean necesarios para la ejecución de la obra–, </w:t>
      </w:r>
      <w:proofErr w:type="spellStart"/>
      <w:r w:rsidRPr="00054652">
        <w:rPr>
          <w:rFonts w:ascii="Verdana" w:eastAsia="Calibri" w:hAnsi="Verdana" w:cs="Arial"/>
          <w:szCs w:val="24"/>
          <w:lang w:eastAsia="es-ES_tradnl"/>
        </w:rPr>
        <w:t>xii</w:t>
      </w:r>
      <w:proofErr w:type="spellEnd"/>
      <w:r w:rsidRPr="00054652">
        <w:rPr>
          <w:rFonts w:ascii="Verdana" w:eastAsia="Calibri" w:hAnsi="Verdana" w:cs="Arial"/>
          <w:szCs w:val="24"/>
          <w:lang w:eastAsia="es-ES_tradnl"/>
        </w:rPr>
        <w:t xml:space="preserve">) notas técnicas específicas para el proyecto, y </w:t>
      </w:r>
      <w:proofErr w:type="spellStart"/>
      <w:r w:rsidRPr="00054652">
        <w:rPr>
          <w:rFonts w:ascii="Verdana" w:eastAsia="Calibri" w:hAnsi="Verdana" w:cs="Arial"/>
          <w:szCs w:val="24"/>
          <w:lang w:eastAsia="es-ES_tradnl"/>
        </w:rPr>
        <w:t>xiii</w:t>
      </w:r>
      <w:proofErr w:type="spellEnd"/>
      <w:r w:rsidRPr="00054652">
        <w:rPr>
          <w:rFonts w:ascii="Verdana" w:eastAsia="Calibri" w:hAnsi="Verdana" w:cs="Arial"/>
          <w:szCs w:val="24"/>
          <w:lang w:eastAsia="es-ES_tradnl"/>
        </w:rPr>
        <w:t xml:space="preserve">) documentos técnicos adicionales –los que la entidad </w:t>
      </w:r>
      <w:r w:rsidRPr="00054652">
        <w:rPr>
          <w:rFonts w:ascii="Verdana" w:eastAsia="Calibri" w:hAnsi="Verdana" w:cs="Arial"/>
          <w:szCs w:val="24"/>
          <w:lang w:eastAsia="es-ES_tradnl"/>
        </w:rPr>
        <w:lastRenderedPageBreak/>
        <w:t xml:space="preserve">considere como manuales, guías, apéndices, anexos o similares, requeridos para la ejecución del contrato–. </w:t>
      </w:r>
    </w:p>
    <w:p w14:paraId="469AE4E7" w14:textId="77777777" w:rsidR="00B9530B" w:rsidRPr="00054652" w:rsidRDefault="00B9530B" w:rsidP="00B9530B">
      <w:pPr>
        <w:spacing w:before="120" w:after="120" w:line="276" w:lineRule="auto"/>
        <w:ind w:firstLine="709"/>
        <w:jc w:val="both"/>
        <w:rPr>
          <w:rFonts w:ascii="Verdana" w:eastAsia="Calibri" w:hAnsi="Verdana" w:cs="Arial"/>
          <w:szCs w:val="24"/>
          <w:lang w:eastAsia="es-ES_tradnl"/>
        </w:rPr>
      </w:pPr>
      <w:r w:rsidRPr="00054652">
        <w:rPr>
          <w:rFonts w:ascii="Verdana" w:eastAsia="Calibri" w:hAnsi="Verdana" w:cs="Arial"/>
          <w:szCs w:val="24"/>
          <w:lang w:eastAsia="es-ES_tradnl"/>
        </w:rPr>
        <w:t>Por consiguiente,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la entidad, pueden implicar modificaciones en el “Anexo 1”, las cuales deben ser adecuadas, proporcionales y consecuentes con el contenido de los documentos tipo y el proyecto a ejecutar.</w:t>
      </w:r>
    </w:p>
    <w:p w14:paraId="3F4C4F35" w14:textId="77777777" w:rsidR="00B9530B" w:rsidRPr="00054652" w:rsidRDefault="00B9530B" w:rsidP="00B9530B">
      <w:pPr>
        <w:spacing w:before="120" w:after="120" w:line="276" w:lineRule="auto"/>
        <w:ind w:firstLine="709"/>
        <w:jc w:val="both"/>
        <w:rPr>
          <w:rFonts w:ascii="Verdana" w:eastAsia="Calibri" w:hAnsi="Verdana" w:cs="Arial"/>
          <w:szCs w:val="24"/>
          <w:lang w:eastAsia="es-ES_tradnl"/>
        </w:rPr>
      </w:pPr>
      <w:r w:rsidRPr="00054652">
        <w:rPr>
          <w:rFonts w:ascii="Verdana" w:eastAsia="Calibri" w:hAnsi="Verdana" w:cs="Arial"/>
          <w:szCs w:val="24"/>
          <w:lang w:eastAsia="es-ES_tradnl"/>
        </w:rPr>
        <w:t xml:space="preserve">Precisado lo anterior, para efectos de resolver el problema jurídico planteado, es pertinente señalar que las </w:t>
      </w:r>
      <w:r w:rsidRPr="00054652">
        <w:rPr>
          <w:rFonts w:ascii="Verdana" w:eastAsia="Calibri" w:hAnsi="Verdana" w:cs="Arial"/>
          <w:lang w:eastAsia="es-ES"/>
        </w:rPr>
        <w:t xml:space="preserve">obras que comprenden protección de márgenes costeros o construcción de embarcaderos o puentes en zonas de playa se podrían enmarcar en la actividad 3.3. de la “Matriz 1 Experiencia” correspondiente a los “Proyectos de construcción </w:t>
      </w:r>
      <w:bookmarkStart w:id="12" w:name="_Hlk191919273"/>
      <w:r w:rsidRPr="00054652">
        <w:rPr>
          <w:rFonts w:ascii="Verdana" w:eastAsia="Calibri" w:hAnsi="Verdana" w:cs="Arial"/>
          <w:lang w:eastAsia="es-ES"/>
        </w:rPr>
        <w:t>o mejoramiento o rehabilitación o reconstrucción o mantenimiento de obras complementarias a canales de acceso marítimo, a canales navegables fluviales, obras de protección de orilla o control de inundaciones o de encauzamiento</w:t>
      </w:r>
      <w:bookmarkEnd w:id="12"/>
      <w:r w:rsidRPr="00054652">
        <w:rPr>
          <w:rFonts w:ascii="Verdana" w:eastAsia="Calibri" w:hAnsi="Verdana" w:cs="Arial"/>
          <w:lang w:eastAsia="es-ES"/>
        </w:rPr>
        <w:t>”. Esta matriz establece qué actividades corresponden a cada uno de los tipos de infraestructura enumerados, con el fin de que la entidad identifique aquellas en las cuales puede encuadrarse de mejor forma el objeto que pretende ejecutar y determinar los requisitos de experiencia exigibles.</w:t>
      </w:r>
    </w:p>
    <w:p w14:paraId="6D877433" w14:textId="77777777" w:rsidR="00B9530B" w:rsidRPr="00054652" w:rsidRDefault="00B9530B" w:rsidP="00B9530B">
      <w:pPr>
        <w:tabs>
          <w:tab w:val="left" w:pos="709"/>
          <w:tab w:val="left" w:pos="2662"/>
        </w:tabs>
        <w:spacing w:after="120" w:line="276" w:lineRule="auto"/>
        <w:ind w:firstLine="709"/>
        <w:jc w:val="both"/>
        <w:rPr>
          <w:rFonts w:ascii="Verdana" w:hAnsi="Verdana" w:cs="Arial"/>
          <w:color w:val="0D0D0D" w:themeColor="text1" w:themeTint="F2"/>
          <w:lang w:val="es-ES"/>
        </w:rPr>
      </w:pPr>
      <w:r w:rsidRPr="00054652">
        <w:rPr>
          <w:rFonts w:ascii="Verdana" w:hAnsi="Verdana" w:cs="Arial"/>
          <w:color w:val="0D0D0D" w:themeColor="text1" w:themeTint="F2"/>
          <w:lang w:val="es-MX"/>
        </w:rPr>
        <w:t xml:space="preserve">Para establecer el alcance de la actividad 3.3 es necesario tener en cuenta las definiciones señaladas en el Anexo 3 Glosario sobre </w:t>
      </w:r>
      <w:r w:rsidRPr="00054652">
        <w:rPr>
          <w:rFonts w:ascii="Verdana" w:hAnsi="Verdana" w:cs="Arial"/>
          <w:i/>
          <w:iCs/>
          <w:color w:val="0D0D0D" w:themeColor="text1" w:themeTint="F2"/>
          <w:lang w:val="es-MX"/>
        </w:rPr>
        <w:t>obra civil hidráulica</w:t>
      </w:r>
      <w:r w:rsidRPr="00054652">
        <w:rPr>
          <w:rFonts w:ascii="Verdana" w:hAnsi="Verdana" w:cs="Arial"/>
          <w:color w:val="0D0D0D" w:themeColor="text1" w:themeTint="F2"/>
          <w:lang w:val="es-MX"/>
        </w:rPr>
        <w:t xml:space="preserve"> y </w:t>
      </w:r>
      <w:r w:rsidRPr="00054652">
        <w:rPr>
          <w:rFonts w:ascii="Verdana" w:hAnsi="Verdana" w:cs="Arial"/>
          <w:i/>
          <w:iCs/>
          <w:color w:val="0D0D0D" w:themeColor="text1" w:themeTint="F2"/>
          <w:lang w:val="es-MX"/>
        </w:rPr>
        <w:t xml:space="preserve">obra civil marítima. </w:t>
      </w:r>
      <w:r w:rsidRPr="00054652">
        <w:rPr>
          <w:rFonts w:ascii="Verdana" w:hAnsi="Verdana" w:cs="Arial"/>
          <w:color w:val="0D0D0D" w:themeColor="text1" w:themeTint="F2"/>
          <w:lang w:val="es-MX"/>
        </w:rPr>
        <w:t xml:space="preserve">Al respecto, el Anexo 3, define la primera como “[…] Obra de ingeniería civil construida en el cauce de ríos, caños, arroyos, esteros, canales o cuerpos de agua de origen fluvial o lecho del mar o pluvial, con el objetivo de controlar el agua ya sea en cuerpos de agua naturales o artificiales, con fines de aprovechamiento, encauzamiento o de defensa y pueden tener una variedad de propósitos, que incluyen la protección contra inundaciones, la navegación, el suministro de agua para riego o consumo humano, la generación de energía hidroeléctrica, la regulación de caudales, la mejora de la calidad del agua, entre otros”. Por su parte, la segunda es definida como “[…] </w:t>
      </w:r>
      <w:r w:rsidRPr="00054652">
        <w:rPr>
          <w:rFonts w:ascii="Verdana" w:hAnsi="Verdana" w:cs="Arial"/>
          <w:color w:val="0D0D0D" w:themeColor="text1" w:themeTint="F2"/>
          <w:lang w:val="es-ES"/>
        </w:rPr>
        <w:t>Obra ejecutada en el lecho marino”.</w:t>
      </w:r>
    </w:p>
    <w:p w14:paraId="0081C177" w14:textId="77777777" w:rsidR="00B9530B" w:rsidRPr="00054652" w:rsidRDefault="00B9530B" w:rsidP="00B9530B">
      <w:pPr>
        <w:tabs>
          <w:tab w:val="left" w:pos="709"/>
          <w:tab w:val="left" w:pos="2662"/>
        </w:tabs>
        <w:spacing w:after="120" w:line="276" w:lineRule="auto"/>
        <w:ind w:firstLine="709"/>
        <w:jc w:val="both"/>
        <w:rPr>
          <w:rFonts w:ascii="Verdana" w:hAnsi="Verdana" w:cs="Arial"/>
          <w:color w:val="0D0D0D" w:themeColor="text1" w:themeTint="F2"/>
        </w:rPr>
      </w:pPr>
      <w:r w:rsidRPr="00054652">
        <w:rPr>
          <w:rFonts w:ascii="Verdana" w:hAnsi="Verdana" w:cs="Arial"/>
          <w:color w:val="0D0D0D" w:themeColor="text1" w:themeTint="F2"/>
        </w:rPr>
        <w:lastRenderedPageBreak/>
        <w:t xml:space="preserve">En este contexto, si de acuerdo con el </w:t>
      </w:r>
      <w:r w:rsidRPr="00054652">
        <w:rPr>
          <w:rFonts w:ascii="Verdana" w:eastAsia="Calibri" w:hAnsi="Verdana" w:cs="Arial"/>
          <w:szCs w:val="24"/>
          <w:lang w:eastAsia="es-ES_tradnl"/>
        </w:rPr>
        <w:t xml:space="preserve">marco de la formulación del respectivo proyecto y la planeación contractual que se haga del mismo, con base en las especificaciones técnicas de la obra, la entidad determina que la actividad a contratarse efectivamente es subsumible dentro de la actividad 3.3 de la Matriz 1, deberá aplicar los documentos tipo. En este tipo de obras, </w:t>
      </w:r>
      <w:r w:rsidRPr="00054652">
        <w:rPr>
          <w:rFonts w:ascii="Verdana" w:hAnsi="Verdana" w:cs="Arial"/>
          <w:color w:val="0D0D0D" w:themeColor="text1" w:themeTint="F2"/>
        </w:rPr>
        <w:t>es posible que sea necesario obtener permisos, licencias y/o autorizaciones por parte de las autoridades competentes, los cuales son requisitos indispensables para la correcta ejecución del contrato y el cumplimiento de las normativas legales vigentes.</w:t>
      </w:r>
    </w:p>
    <w:p w14:paraId="0CE7AC4E" w14:textId="77777777" w:rsidR="00B9530B" w:rsidRPr="00054652" w:rsidRDefault="00B9530B" w:rsidP="00B9530B">
      <w:pPr>
        <w:tabs>
          <w:tab w:val="left" w:pos="709"/>
          <w:tab w:val="left" w:pos="2662"/>
        </w:tabs>
        <w:spacing w:after="120" w:line="276" w:lineRule="auto"/>
        <w:ind w:firstLine="709"/>
        <w:jc w:val="both"/>
        <w:rPr>
          <w:rFonts w:ascii="Verdana" w:hAnsi="Verdana" w:cs="Arial"/>
        </w:rPr>
      </w:pPr>
      <w:r w:rsidRPr="00054652">
        <w:rPr>
          <w:rFonts w:ascii="Verdana" w:hAnsi="Verdana" w:cs="Arial"/>
          <w:color w:val="0D0D0D" w:themeColor="text1" w:themeTint="F2"/>
        </w:rPr>
        <w:t xml:space="preserve">Particularmente, analizando Resolución Número (0759-2020) MD-DIMAR-SUBMERC-AREM 9 de noviembre de 2020, se evidencia que la Dirección General Marítima – Autoridad Marítima Colombiana- es la encargada para dirigir y controlar las actividades relacionadas con la seguridad de la navegación, de la vida humana en el mar y de la prevención de la contaminación del medio ambiente por nave, conforme lo señala el numeral 5 del artículo 5º del Decreto Ley 2324 de 1984. Con base en las funciones atribuidas por Ley y por el artículo 99 del Decreto 019 de 2012, la Autoridad Marítima Nacional, es la competente para inscribir y otorgar licencias de explotación comercial para la prestación de servicios marítimos. En el marco de estas competencias, expide la resolución señalada que tiene como finalidad clasificar las empresas de servicios marítimos en grupos y subgrupos para </w:t>
      </w:r>
      <w:r w:rsidRPr="00054652">
        <w:rPr>
          <w:rFonts w:ascii="Verdana" w:hAnsi="Verdana" w:cs="Arial"/>
        </w:rPr>
        <w:t>estandarizar los procedimientos para la realización de las correspondientes inspecciones y los controles en el ejercicio de su actividad.</w:t>
      </w:r>
    </w:p>
    <w:p w14:paraId="2EC9D70C" w14:textId="77777777" w:rsidR="00B9530B" w:rsidRPr="00054652" w:rsidRDefault="00B9530B" w:rsidP="00B9530B">
      <w:pPr>
        <w:tabs>
          <w:tab w:val="left" w:pos="709"/>
          <w:tab w:val="left" w:pos="2662"/>
        </w:tabs>
        <w:spacing w:after="120" w:line="276" w:lineRule="auto"/>
        <w:ind w:firstLine="709"/>
        <w:jc w:val="both"/>
        <w:rPr>
          <w:rFonts w:ascii="Verdana" w:hAnsi="Verdana" w:cs="Arial"/>
        </w:rPr>
      </w:pPr>
      <w:r w:rsidRPr="00054652">
        <w:rPr>
          <w:rFonts w:ascii="Verdana" w:hAnsi="Verdana" w:cs="Arial"/>
        </w:rPr>
        <w:t xml:space="preserve">Dentro de esta clasificación se determina el Grupo IV “Investigación, Explotación de Recursos e Infraestructura en el Mar” conformado por 3 subgrupos: 1. Estudios, diseños y desarrollo de Investigación técnico – científica en los espacios marítimos jurisdiccionales colombianos, en cualquier disciplina; 2. Trabajos de ingeniería de diseño y de explotación de recursos, montaje y construcción, mantenimiento y desmantelamiento de infraestructura fija y móvil marítima en cualquier espacio marítimo; y 3. Trabajos de ingeniería de diseño en dragados, erosión costera, sedimentación, relleno de litorales y áreas marítimas, protección y preservación de litorales. </w:t>
      </w:r>
    </w:p>
    <w:p w14:paraId="104BBADF" w14:textId="77777777" w:rsidR="00B9530B" w:rsidRPr="00054652" w:rsidRDefault="00B9530B" w:rsidP="00B9530B">
      <w:pPr>
        <w:tabs>
          <w:tab w:val="left" w:pos="709"/>
          <w:tab w:val="left" w:pos="2662"/>
        </w:tabs>
        <w:spacing w:after="120" w:line="276" w:lineRule="auto"/>
        <w:ind w:firstLine="709"/>
        <w:jc w:val="both"/>
        <w:rPr>
          <w:rFonts w:ascii="Verdana" w:eastAsia="Calibri" w:hAnsi="Verdana" w:cs="Arial"/>
          <w:szCs w:val="24"/>
          <w:lang w:eastAsia="es-ES_tradnl"/>
        </w:rPr>
      </w:pPr>
      <w:r w:rsidRPr="00054652">
        <w:rPr>
          <w:rFonts w:ascii="Verdana" w:hAnsi="Verdana" w:cs="Arial"/>
        </w:rPr>
        <w:t xml:space="preserve">Como se aprecia, estas actividades - en principio - podrían guardar relación con los </w:t>
      </w:r>
      <w:r w:rsidRPr="00054652">
        <w:rPr>
          <w:rFonts w:ascii="Verdana" w:eastAsia="Calibri" w:hAnsi="Verdana" w:cs="Arial"/>
          <w:lang w:eastAsia="es-ES"/>
        </w:rPr>
        <w:t xml:space="preserve">Proyectos de construcción o mejoramiento o rehabilitación o reconstrucción o mantenimiento de obras complementarias a canales de acceso </w:t>
      </w:r>
      <w:r w:rsidRPr="00054652">
        <w:rPr>
          <w:rFonts w:ascii="Verdana" w:eastAsia="Calibri" w:hAnsi="Verdana" w:cs="Arial"/>
          <w:lang w:eastAsia="es-ES"/>
        </w:rPr>
        <w:lastRenderedPageBreak/>
        <w:t xml:space="preserve">marítimo, a canales navegables fluviales, obras de protección de orilla o control de inundaciones o de encauzamiento, determinados en el numeral 3.3 de la Matriz 1 de los documentos tipo </w:t>
      </w:r>
      <w:r w:rsidRPr="00054652">
        <w:rPr>
          <w:rFonts w:ascii="Verdana" w:eastAsia="Calibri" w:hAnsi="Verdana" w:cs="Arial"/>
          <w:szCs w:val="24"/>
          <w:lang w:eastAsia="es-ES_tradnl"/>
        </w:rPr>
        <w:t xml:space="preserve">de licitación de infraestructura de transporte. Por tanto, es posible que para la ejecución de dichas actividades se requiera de los permisos, autorizaciones o licencias que expida la DIMAR en el marco de la normativa vigente. </w:t>
      </w:r>
    </w:p>
    <w:p w14:paraId="444CAE21" w14:textId="77777777" w:rsidR="00B9530B" w:rsidRPr="00054652" w:rsidRDefault="00B9530B" w:rsidP="00B9530B">
      <w:pPr>
        <w:tabs>
          <w:tab w:val="left" w:pos="709"/>
          <w:tab w:val="left" w:pos="2662"/>
        </w:tabs>
        <w:spacing w:after="120" w:line="276" w:lineRule="auto"/>
        <w:ind w:firstLine="709"/>
        <w:jc w:val="both"/>
      </w:pPr>
      <w:bookmarkStart w:id="13" w:name="_Hlk192057084"/>
      <w:r w:rsidRPr="00054652">
        <w:rPr>
          <w:rFonts w:ascii="Verdana" w:eastAsia="Calibri" w:hAnsi="Verdana" w:cs="Arial"/>
          <w:bCs/>
          <w:szCs w:val="24"/>
          <w:lang w:val="es-MX" w:eastAsia="es-ES_tradnl"/>
        </w:rPr>
        <w:t xml:space="preserve">La forma en la que estos permisos o licencias se proyectan en el documento tipo, sin vulnerar la regla de inalterabilidad de estos documentos, es mediante el Anexo técnico, específicamente en el numeral 11 referente a </w:t>
      </w:r>
      <w:r w:rsidRPr="00054652">
        <w:rPr>
          <w:rFonts w:ascii="Verdana" w:eastAsia="Calibri" w:hAnsi="Verdana" w:cs="Arial"/>
          <w:szCs w:val="24"/>
          <w:lang w:eastAsia="es-ES_tradnl"/>
        </w:rPr>
        <w:t xml:space="preserve">permisos, licencias y autorizaciones, en el cual se establece un espacio en gris en el que </w:t>
      </w:r>
      <w:r w:rsidRPr="00054652">
        <w:rPr>
          <w:rFonts w:ascii="Verdana" w:eastAsia="Calibri" w:hAnsi="Verdana" w:cs="Arial"/>
          <w:szCs w:val="24"/>
          <w:lang w:val="es-ES" w:eastAsia="es-ES_tradnl"/>
        </w:rPr>
        <w:t xml:space="preserve">la entidad deberá incluir los permisos, licencias y autorizaciones necesarios para la ejecución del contrato. Para tales efectos, </w:t>
      </w:r>
      <w:r w:rsidRPr="00054652">
        <w:rPr>
          <w:rFonts w:ascii="Verdana" w:eastAsia="Calibri" w:hAnsi="Verdana" w:cs="Arial"/>
          <w:szCs w:val="24"/>
          <w:lang w:eastAsia="es-ES_tradnl"/>
        </w:rPr>
        <w:t>las entidades estatales durante la etapa de planeación del contrato tienen el deber de elaborar los estudios técnicos necesarios para establecer la viabilidad del proyecto en cuanto corresponde a estudios de ingeniería, aspectos presupuestales, el impacto social, económico y ambiental, e identificar los permisos, autorizaciones y licencias requeridas para la ejecución del proyecto</w:t>
      </w:r>
      <w:bookmarkEnd w:id="13"/>
      <w:r w:rsidRPr="00054652">
        <w:rPr>
          <w:rFonts w:ascii="Verdana" w:eastAsia="Calibri" w:hAnsi="Verdana" w:cs="Arial"/>
          <w:szCs w:val="24"/>
          <w:lang w:eastAsia="es-ES_tradnl"/>
        </w:rPr>
        <w:t>.</w:t>
      </w:r>
      <w:r w:rsidRPr="00054652">
        <w:t xml:space="preserve"> </w:t>
      </w:r>
      <w:r w:rsidRPr="00054652">
        <w:rPr>
          <w:rFonts w:ascii="Verdana" w:eastAsia="Calibri" w:hAnsi="Verdana" w:cs="Arial"/>
          <w:szCs w:val="24"/>
          <w:lang w:eastAsia="es-ES_tradnl"/>
        </w:rPr>
        <w:t xml:space="preserve">De este modo, si en función de las particularidades del proyecto, la entidad determina que el tipo de infraestructura a desarrollar requiere permisos, licencias o autorizaciones conforme a la normativa vigente, deberá especificar de manera clara y precisa todas aquellas que sean necesarias para la ejecución del contrato, en cumplimiento del marco legal aplicable. </w:t>
      </w:r>
    </w:p>
    <w:p w14:paraId="4CC0F128" w14:textId="77777777" w:rsidR="00B9530B" w:rsidRPr="00054652" w:rsidRDefault="00B9530B" w:rsidP="00B9530B">
      <w:pPr>
        <w:tabs>
          <w:tab w:val="left" w:pos="709"/>
          <w:tab w:val="left" w:pos="2662"/>
        </w:tabs>
        <w:spacing w:after="120" w:line="276" w:lineRule="auto"/>
        <w:ind w:firstLine="709"/>
        <w:jc w:val="both"/>
        <w:rPr>
          <w:rFonts w:ascii="Verdana" w:eastAsia="Calibri" w:hAnsi="Verdana" w:cs="Arial"/>
          <w:bCs/>
          <w:szCs w:val="24"/>
          <w:lang w:val="es-MX" w:eastAsia="es-ES_tradnl"/>
        </w:rPr>
      </w:pPr>
      <w:r w:rsidRPr="00054652">
        <w:rPr>
          <w:rFonts w:ascii="Verdana" w:eastAsia="Calibri" w:hAnsi="Verdana" w:cs="Arial"/>
          <w:bCs/>
          <w:szCs w:val="24"/>
          <w:lang w:eastAsia="es-ES_tradnl"/>
        </w:rPr>
        <w:t>Sin perjuicio del análisis anterior, corresponde a la entidad estatal, en el marco de la planificación del contrato y la formulación del respectivo proyecto, definir las especificaciones técnicas de la obra, realizar los estudios del sector y determinar cuáles son las licencias, permisos y autorizaciones requeridas para el desarrollo del proyecto conforme a la normatividad vigente.</w:t>
      </w:r>
    </w:p>
    <w:p w14:paraId="20F06081" w14:textId="77777777" w:rsidR="00B9530B" w:rsidRPr="00054652" w:rsidRDefault="00B9530B" w:rsidP="00B9530B">
      <w:pPr>
        <w:spacing w:after="0" w:line="276" w:lineRule="auto"/>
        <w:jc w:val="both"/>
        <w:rPr>
          <w:rFonts w:ascii="Verdana" w:eastAsia="Calibri" w:hAnsi="Verdana" w:cs="Arial"/>
          <w:lang w:eastAsia="es-MX"/>
        </w:rPr>
      </w:pPr>
    </w:p>
    <w:p w14:paraId="40B2E797" w14:textId="77777777" w:rsidR="00B9530B" w:rsidRPr="00054652" w:rsidRDefault="00B9530B" w:rsidP="00B9530B">
      <w:pPr>
        <w:numPr>
          <w:ilvl w:val="0"/>
          <w:numId w:val="1"/>
        </w:numPr>
        <w:tabs>
          <w:tab w:val="left" w:pos="142"/>
          <w:tab w:val="left" w:pos="284"/>
        </w:tabs>
        <w:spacing w:after="0" w:line="276" w:lineRule="auto"/>
        <w:jc w:val="both"/>
        <w:rPr>
          <w:rFonts w:ascii="Verdana" w:eastAsia="Century Gothic" w:hAnsi="Verdana" w:cs="Century Gothic"/>
          <w:b/>
          <w:bCs/>
        </w:rPr>
      </w:pPr>
      <w:r w:rsidRPr="00054652">
        <w:rPr>
          <w:rFonts w:ascii="Verdana" w:eastAsia="Century Gothic" w:hAnsi="Verdana" w:cs="Century Gothic"/>
          <w:b/>
          <w:bCs/>
        </w:rPr>
        <w:t>Referencias normativas y jurisprudenciales:</w:t>
      </w:r>
    </w:p>
    <w:p w14:paraId="2A6B6492" w14:textId="77777777" w:rsidR="00B9530B" w:rsidRPr="00054652" w:rsidRDefault="00B9530B" w:rsidP="00B9530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530B" w:rsidRPr="00054652" w14:paraId="7102BAFA" w14:textId="77777777" w:rsidTr="0095419D">
        <w:trPr>
          <w:trHeight w:val="856"/>
          <w:jc w:val="center"/>
        </w:trPr>
        <w:tc>
          <w:tcPr>
            <w:tcW w:w="8647" w:type="dxa"/>
          </w:tcPr>
          <w:p w14:paraId="74FE1146" w14:textId="77777777" w:rsidR="00B9530B" w:rsidRPr="00054652" w:rsidRDefault="00B9530B" w:rsidP="00B9530B">
            <w:pPr>
              <w:numPr>
                <w:ilvl w:val="0"/>
                <w:numId w:val="3"/>
              </w:numPr>
              <w:spacing w:line="256" w:lineRule="auto"/>
              <w:contextualSpacing/>
              <w:rPr>
                <w:rFonts w:ascii="Verdana" w:eastAsia="Arial MT" w:hAnsi="Verdana" w:cs="Arial"/>
                <w:lang w:eastAsia="es-ES" w:bidi="es-ES"/>
              </w:rPr>
            </w:pPr>
            <w:r w:rsidRPr="00054652">
              <w:rPr>
                <w:rFonts w:ascii="Verdana" w:eastAsia="Arial MT" w:hAnsi="Verdana" w:cs="Arial"/>
                <w:lang w:eastAsia="es-ES" w:bidi="es-ES"/>
              </w:rPr>
              <w:t>Ley 80 de 1993: artículo 25</w:t>
            </w:r>
          </w:p>
          <w:p w14:paraId="51E99B45" w14:textId="77777777" w:rsidR="00B9530B" w:rsidRPr="00054652" w:rsidRDefault="00B9530B" w:rsidP="00B9530B">
            <w:pPr>
              <w:numPr>
                <w:ilvl w:val="0"/>
                <w:numId w:val="3"/>
              </w:numPr>
              <w:spacing w:line="256" w:lineRule="auto"/>
              <w:contextualSpacing/>
              <w:rPr>
                <w:rFonts w:ascii="Verdana" w:eastAsia="Arial MT" w:hAnsi="Verdana" w:cs="Arial"/>
                <w:lang w:eastAsia="es-ES" w:bidi="es-ES"/>
              </w:rPr>
            </w:pPr>
            <w:r w:rsidRPr="00054652">
              <w:rPr>
                <w:rFonts w:ascii="Verdana" w:eastAsia="Calibri" w:hAnsi="Verdana" w:cs="Arial"/>
                <w:color w:val="000000"/>
                <w:lang w:val="es-ES_tradnl"/>
              </w:rPr>
              <w:t>Ley 2022 de 2020; artículo 1</w:t>
            </w:r>
          </w:p>
          <w:p w14:paraId="09F69530" w14:textId="77777777" w:rsidR="00B9530B" w:rsidRPr="00054652" w:rsidRDefault="00B9530B" w:rsidP="00B9530B">
            <w:pPr>
              <w:numPr>
                <w:ilvl w:val="0"/>
                <w:numId w:val="3"/>
              </w:numPr>
              <w:spacing w:line="256" w:lineRule="auto"/>
              <w:contextualSpacing/>
              <w:rPr>
                <w:rFonts w:ascii="Verdana" w:eastAsia="Arial MT" w:hAnsi="Verdana" w:cs="Arial"/>
                <w:lang w:eastAsia="es-ES" w:bidi="es-ES"/>
              </w:rPr>
            </w:pPr>
            <w:r w:rsidRPr="00054652">
              <w:rPr>
                <w:rFonts w:ascii="Verdana" w:eastAsia="Calibri" w:hAnsi="Verdana" w:cs="Arial"/>
                <w:color w:val="000000"/>
                <w:lang w:val="es-ES_tradnl"/>
              </w:rPr>
              <w:t>Decreto 019 de 2012: artículo 99</w:t>
            </w:r>
          </w:p>
          <w:p w14:paraId="53C61439" w14:textId="77777777" w:rsidR="00B9530B" w:rsidRPr="00054652" w:rsidRDefault="00B9530B" w:rsidP="00B9530B">
            <w:pPr>
              <w:numPr>
                <w:ilvl w:val="0"/>
                <w:numId w:val="3"/>
              </w:numPr>
              <w:spacing w:line="256" w:lineRule="auto"/>
              <w:contextualSpacing/>
              <w:rPr>
                <w:rFonts w:ascii="Verdana" w:eastAsia="Arial MT" w:hAnsi="Verdana" w:cs="Arial"/>
                <w:lang w:eastAsia="es-ES" w:bidi="es-ES"/>
              </w:rPr>
            </w:pPr>
            <w:r w:rsidRPr="00054652">
              <w:rPr>
                <w:rFonts w:ascii="Verdana" w:hAnsi="Verdana" w:cs="Arial"/>
                <w:color w:val="0D0D0D" w:themeColor="text1" w:themeTint="F2"/>
              </w:rPr>
              <w:t xml:space="preserve">Decreto Ley 2324 de 1984: </w:t>
            </w:r>
            <w:r w:rsidRPr="00054652">
              <w:rPr>
                <w:rFonts w:ascii="Verdana" w:eastAsia="Calibri" w:hAnsi="Verdana" w:cs="Arial"/>
                <w:color w:val="000000"/>
                <w:lang w:val="es-ES_tradnl"/>
              </w:rPr>
              <w:t>artículo 5</w:t>
            </w:r>
            <w:r w:rsidRPr="00054652">
              <w:rPr>
                <w:rFonts w:ascii="Verdana" w:eastAsia="Arial MT" w:hAnsi="Verdana" w:cs="Arial"/>
                <w:lang w:eastAsia="es-ES" w:bidi="es-ES"/>
              </w:rPr>
              <w:t xml:space="preserve"> </w:t>
            </w:r>
          </w:p>
        </w:tc>
      </w:tr>
    </w:tbl>
    <w:p w14:paraId="10CBF4B8" w14:textId="77777777" w:rsidR="00B9530B" w:rsidRPr="00054652" w:rsidRDefault="00B9530B" w:rsidP="00B9530B">
      <w:pPr>
        <w:widowControl w:val="0"/>
        <w:autoSpaceDE w:val="0"/>
        <w:autoSpaceDN w:val="0"/>
        <w:spacing w:after="0" w:line="276" w:lineRule="auto"/>
        <w:jc w:val="both"/>
        <w:rPr>
          <w:rFonts w:ascii="Verdana" w:hAnsi="Verdana" w:cs="Arial"/>
        </w:rPr>
      </w:pPr>
    </w:p>
    <w:p w14:paraId="7B77FFE5" w14:textId="77777777" w:rsidR="00B9530B" w:rsidRPr="00054652" w:rsidRDefault="00B9530B" w:rsidP="00B9530B">
      <w:pPr>
        <w:numPr>
          <w:ilvl w:val="0"/>
          <w:numId w:val="1"/>
        </w:numPr>
        <w:tabs>
          <w:tab w:val="left" w:pos="142"/>
          <w:tab w:val="left" w:pos="284"/>
        </w:tabs>
        <w:spacing w:after="0" w:line="276" w:lineRule="auto"/>
        <w:jc w:val="both"/>
        <w:rPr>
          <w:rFonts w:ascii="Verdana" w:eastAsia="Century Gothic" w:hAnsi="Verdana" w:cs="Century Gothic"/>
          <w:b/>
          <w:bCs/>
        </w:rPr>
      </w:pPr>
      <w:r w:rsidRPr="00054652">
        <w:rPr>
          <w:rFonts w:ascii="Verdana" w:eastAsia="Century Gothic" w:hAnsi="Verdana" w:cs="Century Gothic"/>
          <w:b/>
          <w:bCs/>
        </w:rPr>
        <w:lastRenderedPageBreak/>
        <w:t>Doctrina de la Agencia Nacional de Contratación Pública:</w:t>
      </w:r>
    </w:p>
    <w:p w14:paraId="45A0F837" w14:textId="77777777" w:rsidR="00B9530B" w:rsidRPr="00054652" w:rsidRDefault="00B9530B" w:rsidP="00B9530B">
      <w:pPr>
        <w:widowControl w:val="0"/>
        <w:autoSpaceDE w:val="0"/>
        <w:autoSpaceDN w:val="0"/>
        <w:spacing w:after="0" w:line="276" w:lineRule="auto"/>
        <w:jc w:val="both"/>
        <w:rPr>
          <w:rFonts w:ascii="Verdana" w:hAnsi="Verdana" w:cs="Arial"/>
        </w:rPr>
      </w:pPr>
    </w:p>
    <w:p w14:paraId="4B5F31EB" w14:textId="77777777" w:rsidR="00B9530B" w:rsidRPr="00054652" w:rsidRDefault="00B9530B" w:rsidP="00B9530B">
      <w:pPr>
        <w:widowControl w:val="0"/>
        <w:autoSpaceDE w:val="0"/>
        <w:autoSpaceDN w:val="0"/>
        <w:spacing w:after="0" w:line="276" w:lineRule="auto"/>
        <w:jc w:val="both"/>
        <w:rPr>
          <w:rFonts w:ascii="Verdana" w:eastAsia="Calibri" w:hAnsi="Verdana" w:cs="Arial"/>
          <w:shd w:val="clear" w:color="auto" w:fill="FFFFFF"/>
          <w:lang w:val="es-ES"/>
        </w:rPr>
      </w:pPr>
      <w:r w:rsidRPr="00054652">
        <w:rPr>
          <w:rFonts w:ascii="Verdana" w:eastAsia="Calibri" w:hAnsi="Verdana" w:cs="Arial"/>
          <w:shd w:val="clear" w:color="auto" w:fill="FFFFFF"/>
          <w:lang w:val="es-ES"/>
        </w:rPr>
        <w:t xml:space="preserve">La Agencia Nacional de Contratación Pública − Colombia Compra Eficiente se pronunció sobre los pliegos de condiciones tipo en la contratación estatal y su inalterabilidad, en los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C-157 de 13 de abril de 2021, C-862 del 16 de diciembre de 2022, C-217 del 12 de julio de 2024, C-614 del 29 de octubre de 2024, entre otros. Estos y otros </w:t>
      </w:r>
      <w:r w:rsidRPr="00054652">
        <w:rPr>
          <w:rFonts w:ascii="Verdana" w:hAnsi="Verdana"/>
        </w:rPr>
        <w:t>conceptos se encuentran disponibles para consulta en el Sistema de relatoría de la Agencia, al cual se puede acceder a través del siguiente enlace:</w:t>
      </w:r>
      <w:r w:rsidRPr="00054652">
        <w:rPr>
          <w:rFonts w:ascii="Verdana" w:hAnsi="Verdana" w:cs="Arial"/>
          <w:shd w:val="clear" w:color="auto" w:fill="FFFFFF"/>
        </w:rPr>
        <w:t xml:space="preserve"> </w:t>
      </w:r>
      <w:hyperlink r:id="rId13" w:history="1">
        <w:r w:rsidRPr="00054652">
          <w:rPr>
            <w:rFonts w:ascii="Verdana" w:hAnsi="Verdana" w:cs="Arial"/>
            <w:color w:val="0563C1" w:themeColor="hyperlink"/>
            <w:u w:val="single"/>
            <w:shd w:val="clear" w:color="auto" w:fill="FFFFFF"/>
          </w:rPr>
          <w:t>https://relatoria.colombiacompra.gov.co/busqueda/conceptos</w:t>
        </w:r>
      </w:hyperlink>
      <w:r w:rsidRPr="00054652">
        <w:rPr>
          <w:rFonts w:ascii="Verdana" w:hAnsi="Verdana" w:cs="Arial"/>
          <w:shd w:val="clear" w:color="auto" w:fill="FFFFFF"/>
        </w:rPr>
        <w:t>.</w:t>
      </w:r>
      <w:r w:rsidRPr="00054652">
        <w:rPr>
          <w:rFonts w:ascii="Verdana" w:hAnsi="Verdana" w:cs="Arial"/>
          <w:color w:val="FF0000"/>
          <w:shd w:val="clear" w:color="auto" w:fill="FFFFFF"/>
        </w:rPr>
        <w:t xml:space="preserve"> </w:t>
      </w:r>
      <w:r w:rsidRPr="00054652">
        <w:rPr>
          <w:rFonts w:ascii="Verdana" w:hAnsi="Verdana" w:cs="Arial"/>
          <w:color w:val="000000" w:themeColor="text1"/>
          <w:shd w:val="clear" w:color="auto" w:fill="FFFFFF"/>
        </w:rPr>
        <w:t>  </w:t>
      </w:r>
    </w:p>
    <w:p w14:paraId="1E0AD958" w14:textId="77777777" w:rsidR="00B9530B" w:rsidRPr="00054652" w:rsidRDefault="00B9530B" w:rsidP="00B9530B">
      <w:pPr>
        <w:widowControl w:val="0"/>
        <w:autoSpaceDE w:val="0"/>
        <w:autoSpaceDN w:val="0"/>
        <w:spacing w:after="0" w:line="276" w:lineRule="auto"/>
        <w:jc w:val="both"/>
        <w:rPr>
          <w:rFonts w:ascii="Verdana" w:eastAsia="Arial" w:hAnsi="Verdana" w:cs="Arial"/>
          <w:lang w:eastAsia="es-ES_tradnl"/>
        </w:rPr>
      </w:pPr>
    </w:p>
    <w:p w14:paraId="2140B7B3" w14:textId="77777777" w:rsidR="00B9530B" w:rsidRPr="00054652" w:rsidRDefault="00B9530B" w:rsidP="00B9530B">
      <w:pPr>
        <w:shd w:val="clear" w:color="auto" w:fill="FFFFFF"/>
        <w:spacing w:after="120" w:line="276" w:lineRule="auto"/>
        <w:ind w:firstLine="709"/>
        <w:jc w:val="both"/>
        <w:textAlignment w:val="baseline"/>
        <w:rPr>
          <w:rFonts w:ascii="Verdana" w:eastAsia="Times New Roman" w:hAnsi="Verdana" w:cs="Times New Roman"/>
          <w:lang w:eastAsia="es-CO"/>
        </w:rPr>
      </w:pPr>
      <w:r w:rsidRPr="00054652">
        <w:rPr>
          <w:rFonts w:ascii="Verdana" w:eastAsia="Times New Roman" w:hAnsi="Verdana" w:cs="Times New Roman"/>
          <w:color w:val="000000"/>
          <w:bdr w:val="none" w:sz="0" w:space="0" w:color="auto" w:frame="1"/>
          <w:lang w:eastAsia="es-CO"/>
        </w:rPr>
        <w:t>Te informamos que ya se encuentra disponible la </w:t>
      </w:r>
      <w:r w:rsidRPr="00054652">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054652">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054652">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4AD40061" w14:textId="77777777" w:rsidR="00B9530B" w:rsidRPr="00054652" w:rsidRDefault="00B9530B" w:rsidP="00B9530B">
      <w:pPr>
        <w:spacing w:after="120" w:line="276" w:lineRule="auto"/>
        <w:ind w:firstLine="709"/>
        <w:jc w:val="both"/>
        <w:textAlignment w:val="baseline"/>
        <w:rPr>
          <w:rFonts w:ascii="Verdana" w:eastAsia="Times New Roman" w:hAnsi="Verdana" w:cs="Times New Roman"/>
          <w:lang w:eastAsia="es-CO"/>
        </w:rPr>
      </w:pPr>
      <w:r w:rsidRPr="00054652">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054652">
        <w:rPr>
          <w:rFonts w:ascii="Verdana" w:eastAsia="Times New Roman" w:hAnsi="Verdana" w:cs="Times New Roman"/>
          <w:b/>
          <w:bCs/>
          <w:color w:val="000000"/>
          <w:bdr w:val="none" w:sz="0" w:space="0" w:color="auto" w:frame="1"/>
          <w:lang w:eastAsia="es-CO"/>
        </w:rPr>
        <w:t>modificaciones y/o actualizaciones realizadas a los Documentos Tipo</w:t>
      </w:r>
      <w:r w:rsidRPr="00054652">
        <w:rPr>
          <w:rFonts w:ascii="Verdana" w:eastAsia="Times New Roman" w:hAnsi="Verdana" w:cs="Times New Roman"/>
          <w:color w:val="000000"/>
          <w:bdr w:val="none" w:sz="0" w:space="0" w:color="auto" w:frame="1"/>
          <w:lang w:eastAsia="es-CO"/>
        </w:rPr>
        <w:t>, hemos programado una serie de </w:t>
      </w:r>
      <w:r w:rsidRPr="00054652">
        <w:rPr>
          <w:rFonts w:ascii="Verdana" w:eastAsia="Times New Roman" w:hAnsi="Verdana" w:cs="Times New Roman"/>
          <w:b/>
          <w:bCs/>
          <w:color w:val="000000"/>
          <w:bdr w:val="none" w:sz="0" w:space="0" w:color="auto" w:frame="1"/>
          <w:lang w:eastAsia="es-CO"/>
        </w:rPr>
        <w:t>capacitaciones </w:t>
      </w:r>
      <w:r w:rsidRPr="00054652">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054652">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421F657A" w14:textId="77777777" w:rsidR="00B9530B" w:rsidRPr="00054652" w:rsidRDefault="00B9530B" w:rsidP="00B9530B">
      <w:pPr>
        <w:spacing w:after="120" w:line="276" w:lineRule="auto"/>
        <w:ind w:firstLine="709"/>
        <w:jc w:val="both"/>
        <w:textAlignment w:val="baseline"/>
        <w:rPr>
          <w:rFonts w:ascii="Verdana" w:eastAsia="Times New Roman" w:hAnsi="Verdana" w:cs="Times New Roman"/>
          <w:lang w:eastAsia="es-CO"/>
        </w:rPr>
      </w:pPr>
      <w:r w:rsidRPr="00054652">
        <w:rPr>
          <w:rFonts w:ascii="Verdana" w:eastAsia="Times New Roman" w:hAnsi="Verdana" w:cs="Times New Roman"/>
          <w:color w:val="000000"/>
          <w:bdr w:val="none" w:sz="0" w:space="0" w:color="auto" w:frame="1"/>
          <w:lang w:eastAsia="es-CO"/>
        </w:rPr>
        <w:lastRenderedPageBreak/>
        <w:t>También, te contamos que ya publicamos </w:t>
      </w:r>
      <w:r w:rsidRPr="00054652">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054652">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054652">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4984C3CC" w14:textId="77777777" w:rsidR="00B9530B" w:rsidRPr="00054652" w:rsidRDefault="00B9530B" w:rsidP="00B9530B">
      <w:pPr>
        <w:widowControl w:val="0"/>
        <w:autoSpaceDE w:val="0"/>
        <w:autoSpaceDN w:val="0"/>
        <w:spacing w:after="0" w:line="276" w:lineRule="auto"/>
        <w:jc w:val="both"/>
        <w:rPr>
          <w:rFonts w:ascii="Verdana" w:eastAsia="Calibri" w:hAnsi="Verdana" w:cs="Arial"/>
          <w:color w:val="000000" w:themeColor="text1"/>
        </w:rPr>
      </w:pPr>
    </w:p>
    <w:p w14:paraId="05585815" w14:textId="77777777" w:rsidR="00B9530B" w:rsidRPr="00054652" w:rsidRDefault="00B9530B" w:rsidP="00B9530B">
      <w:pPr>
        <w:widowControl w:val="0"/>
        <w:autoSpaceDE w:val="0"/>
        <w:autoSpaceDN w:val="0"/>
        <w:spacing w:after="0" w:line="276" w:lineRule="auto"/>
        <w:jc w:val="both"/>
        <w:rPr>
          <w:rFonts w:ascii="Verdana" w:hAnsi="Verdana" w:cs="Arial"/>
        </w:rPr>
      </w:pPr>
      <w:r w:rsidRPr="0005465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937D17B" w14:textId="77777777" w:rsidR="00B9530B" w:rsidRPr="00054652" w:rsidRDefault="00B9530B" w:rsidP="00B9530B">
      <w:pPr>
        <w:widowControl w:val="0"/>
        <w:autoSpaceDE w:val="0"/>
        <w:autoSpaceDN w:val="0"/>
        <w:spacing w:after="0" w:line="276" w:lineRule="auto"/>
        <w:jc w:val="both"/>
        <w:rPr>
          <w:rFonts w:ascii="Verdana" w:hAnsi="Verdana" w:cs="Arial"/>
        </w:rPr>
      </w:pPr>
    </w:p>
    <w:p w14:paraId="5D6C29D5" w14:textId="77777777" w:rsidR="00B9530B" w:rsidRPr="00054652" w:rsidRDefault="00B9530B" w:rsidP="00B9530B">
      <w:pPr>
        <w:spacing w:after="0" w:line="240" w:lineRule="auto"/>
        <w:rPr>
          <w:rFonts w:ascii="Verdana" w:hAnsi="Verdana" w:cs="Arial"/>
          <w:lang w:eastAsia="es-CO"/>
        </w:rPr>
      </w:pPr>
      <w:r w:rsidRPr="00054652">
        <w:rPr>
          <w:rFonts w:ascii="Verdana" w:eastAsia="Times New Roman" w:hAnsi="Verdana" w:cs="Arial"/>
          <w:lang w:eastAsia="es-CO"/>
        </w:rPr>
        <w:t>Atentamente,</w:t>
      </w:r>
      <w:r w:rsidRPr="00054652">
        <w:rPr>
          <w:rFonts w:ascii="Verdana" w:hAnsi="Verdana" w:cs="Arial"/>
          <w:lang w:eastAsia="es-CO"/>
        </w:rPr>
        <w:t xml:space="preserve"> </w:t>
      </w:r>
    </w:p>
    <w:p w14:paraId="198DBB87" w14:textId="55814B6A" w:rsidR="00B9530B" w:rsidRPr="00054652" w:rsidRDefault="00533D04" w:rsidP="00B9530B">
      <w:pPr>
        <w:spacing w:line="276" w:lineRule="auto"/>
        <w:jc w:val="center"/>
        <w:rPr>
          <w:rFonts w:ascii="Verdana" w:hAnsi="Verdana" w:cs="Arial"/>
          <w:color w:val="000000"/>
          <w:lang w:eastAsia="es-CO"/>
        </w:rPr>
      </w:pPr>
      <w:r>
        <w:rPr>
          <w:noProof/>
        </w:rPr>
        <w:drawing>
          <wp:inline distT="0" distB="0" distL="0" distR="0" wp14:anchorId="5C370BFB" wp14:editId="46D37A4B">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7"/>
                    <a:stretch>
                      <a:fillRect/>
                    </a:stretch>
                  </pic:blipFill>
                  <pic:spPr>
                    <a:xfrm>
                      <a:off x="0" y="0"/>
                      <a:ext cx="3705225" cy="15906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530B" w:rsidRPr="00054652" w14:paraId="1A9B24A8" w14:textId="77777777" w:rsidTr="0095419D">
        <w:trPr>
          <w:trHeight w:val="315"/>
        </w:trPr>
        <w:tc>
          <w:tcPr>
            <w:tcW w:w="893" w:type="dxa"/>
            <w:vAlign w:val="center"/>
            <w:hideMark/>
          </w:tcPr>
          <w:p w14:paraId="6D5FFA24" w14:textId="77777777" w:rsidR="00B9530B" w:rsidRPr="00054652" w:rsidRDefault="00B9530B" w:rsidP="0095419D">
            <w:pPr>
              <w:contextualSpacing/>
              <w:rPr>
                <w:rFonts w:ascii="Verdana" w:hAnsi="Verdana" w:cs="Arial"/>
                <w:sz w:val="16"/>
                <w:szCs w:val="16"/>
                <w:lang w:eastAsia="es-ES"/>
              </w:rPr>
            </w:pPr>
            <w:r w:rsidRPr="0005465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60C1797" w14:textId="77777777" w:rsidR="00B9530B" w:rsidRPr="00054652" w:rsidRDefault="00B9530B" w:rsidP="0095419D">
            <w:pPr>
              <w:contextualSpacing/>
              <w:rPr>
                <w:rFonts w:ascii="Verdana" w:hAnsi="Verdana"/>
                <w:sz w:val="16"/>
                <w:szCs w:val="16"/>
              </w:rPr>
            </w:pPr>
            <w:r w:rsidRPr="00054652">
              <w:rPr>
                <w:rFonts w:ascii="Verdana" w:hAnsi="Verdana"/>
                <w:sz w:val="16"/>
                <w:szCs w:val="16"/>
              </w:rPr>
              <w:t>Tatiana Baquero Iguarán</w:t>
            </w:r>
          </w:p>
          <w:p w14:paraId="68F1AD88" w14:textId="77777777" w:rsidR="00B9530B" w:rsidRPr="00054652" w:rsidRDefault="00B9530B" w:rsidP="0095419D">
            <w:pPr>
              <w:contextualSpacing/>
              <w:rPr>
                <w:rFonts w:ascii="Verdana" w:eastAsia="Arial" w:hAnsi="Verdana" w:cs="Arial"/>
                <w:sz w:val="16"/>
                <w:szCs w:val="16"/>
              </w:rPr>
            </w:pPr>
            <w:r w:rsidRPr="00054652">
              <w:rPr>
                <w:rFonts w:ascii="Verdana" w:hAnsi="Verdana"/>
                <w:sz w:val="16"/>
                <w:szCs w:val="16"/>
              </w:rPr>
              <w:t>Contratista de la Subdirección de Gestión Contractual</w:t>
            </w:r>
          </w:p>
        </w:tc>
      </w:tr>
      <w:tr w:rsidR="00B9530B" w:rsidRPr="00054652" w14:paraId="790D6CF0" w14:textId="77777777" w:rsidTr="0095419D">
        <w:trPr>
          <w:trHeight w:val="330"/>
        </w:trPr>
        <w:tc>
          <w:tcPr>
            <w:tcW w:w="893" w:type="dxa"/>
            <w:vAlign w:val="center"/>
            <w:hideMark/>
          </w:tcPr>
          <w:p w14:paraId="4CDA0A3C" w14:textId="77777777" w:rsidR="00B9530B" w:rsidRPr="00054652" w:rsidRDefault="00B9530B" w:rsidP="0095419D">
            <w:pPr>
              <w:contextualSpacing/>
              <w:rPr>
                <w:rFonts w:ascii="Verdana" w:hAnsi="Verdana" w:cs="Arial"/>
                <w:sz w:val="16"/>
                <w:szCs w:val="16"/>
                <w:lang w:eastAsia="es-ES"/>
              </w:rPr>
            </w:pPr>
            <w:r w:rsidRPr="0005465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C78B64" w14:textId="77777777" w:rsidR="00B9530B" w:rsidRPr="00054652" w:rsidRDefault="00B9530B" w:rsidP="0095419D">
            <w:pPr>
              <w:spacing w:before="100" w:beforeAutospacing="1" w:afterAutospacing="1"/>
              <w:contextualSpacing/>
              <w:textAlignment w:val="baseline"/>
              <w:rPr>
                <w:rFonts w:ascii="Verdana" w:eastAsia="Times New Roman" w:hAnsi="Verdana" w:cs="Arial"/>
                <w:sz w:val="16"/>
                <w:szCs w:val="16"/>
                <w:lang w:eastAsia="es-ES_tradnl"/>
              </w:rPr>
            </w:pPr>
            <w:r w:rsidRPr="00054652">
              <w:rPr>
                <w:rFonts w:ascii="Verdana" w:eastAsia="Times New Roman" w:hAnsi="Verdana" w:cs="Arial"/>
                <w:sz w:val="16"/>
                <w:szCs w:val="16"/>
                <w:lang w:eastAsia="es-ES_tradnl"/>
              </w:rPr>
              <w:t>Alejandro Sarmiento Cantillo</w:t>
            </w:r>
          </w:p>
          <w:p w14:paraId="793B753C" w14:textId="77777777" w:rsidR="00B9530B" w:rsidRPr="00054652" w:rsidRDefault="00B9530B" w:rsidP="0095419D">
            <w:pPr>
              <w:contextualSpacing/>
              <w:textAlignment w:val="baseline"/>
              <w:rPr>
                <w:rFonts w:ascii="Verdana" w:eastAsia="Times New Roman" w:hAnsi="Verdana" w:cs="Segoe UI"/>
                <w:sz w:val="16"/>
                <w:szCs w:val="16"/>
                <w:lang w:eastAsia="es-ES_tradnl"/>
              </w:rPr>
            </w:pPr>
            <w:r w:rsidRPr="00054652">
              <w:rPr>
                <w:rFonts w:ascii="Verdana" w:eastAsia="Times New Roman" w:hAnsi="Verdana" w:cs="Arial"/>
                <w:sz w:val="16"/>
                <w:szCs w:val="16"/>
                <w:lang w:eastAsia="es-ES_tradnl"/>
              </w:rPr>
              <w:t>Gestor T1 ‒ 15 de la Subdirección de Gestión Contractual </w:t>
            </w:r>
          </w:p>
        </w:tc>
      </w:tr>
      <w:tr w:rsidR="00B9530B" w:rsidRPr="00054652" w14:paraId="79E64810" w14:textId="77777777" w:rsidTr="0095419D">
        <w:trPr>
          <w:trHeight w:val="300"/>
        </w:trPr>
        <w:tc>
          <w:tcPr>
            <w:tcW w:w="893" w:type="dxa"/>
            <w:vAlign w:val="center"/>
          </w:tcPr>
          <w:p w14:paraId="131933FE" w14:textId="77777777" w:rsidR="00B9530B" w:rsidRPr="00054652" w:rsidRDefault="00B9530B" w:rsidP="0095419D">
            <w:pPr>
              <w:contextualSpacing/>
              <w:rPr>
                <w:rFonts w:ascii="Verdana" w:hAnsi="Verdana" w:cs="Arial"/>
                <w:sz w:val="16"/>
                <w:szCs w:val="16"/>
                <w:lang w:eastAsia="es-ES"/>
              </w:rPr>
            </w:pPr>
            <w:r w:rsidRPr="0005465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EC540A" w14:textId="77777777" w:rsidR="00B9530B" w:rsidRPr="00054652" w:rsidRDefault="00B9530B" w:rsidP="0095419D">
            <w:pPr>
              <w:contextualSpacing/>
              <w:rPr>
                <w:rFonts w:ascii="Verdana" w:eastAsia="Calibri" w:hAnsi="Verdana" w:cs="Arial"/>
                <w:sz w:val="16"/>
                <w:szCs w:val="16"/>
                <w:lang w:eastAsia="es-ES"/>
              </w:rPr>
            </w:pPr>
            <w:r w:rsidRPr="00054652">
              <w:rPr>
                <w:rFonts w:ascii="Verdana" w:eastAsia="Calibri" w:hAnsi="Verdana" w:cs="Arial"/>
                <w:sz w:val="16"/>
                <w:szCs w:val="16"/>
                <w:lang w:eastAsia="es-ES"/>
              </w:rPr>
              <w:t xml:space="preserve">Carolina Quintero </w:t>
            </w:r>
            <w:proofErr w:type="spellStart"/>
            <w:r w:rsidRPr="00054652">
              <w:rPr>
                <w:rFonts w:ascii="Verdana" w:eastAsia="Calibri" w:hAnsi="Verdana" w:cs="Arial"/>
                <w:sz w:val="16"/>
                <w:szCs w:val="16"/>
                <w:lang w:eastAsia="es-ES"/>
              </w:rPr>
              <w:t>Gacharná</w:t>
            </w:r>
            <w:proofErr w:type="spellEnd"/>
          </w:p>
          <w:p w14:paraId="2D60E963" w14:textId="77777777" w:rsidR="00B9530B" w:rsidRPr="00054652" w:rsidRDefault="00B9530B" w:rsidP="0095419D">
            <w:pPr>
              <w:contextualSpacing/>
              <w:rPr>
                <w:rFonts w:ascii="Verdana" w:eastAsia="Calibri" w:hAnsi="Verdana" w:cs="Arial"/>
                <w:sz w:val="16"/>
                <w:szCs w:val="16"/>
                <w:lang w:eastAsia="es-ES"/>
              </w:rPr>
            </w:pPr>
            <w:r w:rsidRPr="00054652">
              <w:rPr>
                <w:rFonts w:ascii="Verdana" w:eastAsia="Calibri" w:hAnsi="Verdana" w:cs="Arial"/>
                <w:sz w:val="16"/>
                <w:szCs w:val="16"/>
                <w:lang w:eastAsia="es-ES"/>
              </w:rPr>
              <w:t>Subdirectora de Gestión Contractual ANCP – CCE</w:t>
            </w:r>
          </w:p>
        </w:tc>
      </w:tr>
    </w:tbl>
    <w:p w14:paraId="12678A7F" w14:textId="77777777" w:rsidR="00B9530B" w:rsidRPr="00054652" w:rsidRDefault="00B9530B" w:rsidP="00B9530B">
      <w:pPr>
        <w:spacing w:after="0" w:line="240" w:lineRule="auto"/>
        <w:rPr>
          <w:rFonts w:ascii="Verdana" w:eastAsia="Times New Roman" w:hAnsi="Verdana" w:cs="Arial"/>
          <w:sz w:val="24"/>
          <w:szCs w:val="24"/>
          <w:lang w:eastAsia="es-ES"/>
        </w:rPr>
      </w:pPr>
    </w:p>
    <w:p w14:paraId="2938E734" w14:textId="77777777" w:rsidR="00B9530B" w:rsidRPr="00054652" w:rsidRDefault="00B9530B" w:rsidP="00B9530B"/>
    <w:p w14:paraId="070A9128" w14:textId="77777777" w:rsidR="00B9530B" w:rsidRPr="00054652" w:rsidRDefault="00B9530B" w:rsidP="00B9530B">
      <w:pPr>
        <w:spacing w:after="0" w:line="240" w:lineRule="auto"/>
        <w:rPr>
          <w:rFonts w:ascii="Verdana" w:hAnsi="Verdana" w:cs="Arial"/>
          <w:b/>
          <w:color w:val="000000" w:themeColor="text1"/>
          <w:sz w:val="20"/>
          <w:szCs w:val="20"/>
        </w:rPr>
      </w:pPr>
    </w:p>
    <w:p w14:paraId="3B6F6826" w14:textId="77777777" w:rsidR="00B9530B" w:rsidRPr="00054652" w:rsidRDefault="00B9530B" w:rsidP="00B9530B">
      <w:pPr>
        <w:spacing w:after="0" w:line="240" w:lineRule="auto"/>
        <w:rPr>
          <w:rFonts w:ascii="Verdana" w:hAnsi="Verdana" w:cs="Arial"/>
          <w:b/>
          <w:color w:val="000000" w:themeColor="text1"/>
          <w:sz w:val="20"/>
          <w:szCs w:val="20"/>
        </w:rPr>
      </w:pPr>
    </w:p>
    <w:p w14:paraId="3BFB519F" w14:textId="77777777" w:rsidR="00B9530B" w:rsidRPr="00054652" w:rsidRDefault="00B9530B" w:rsidP="00B9530B"/>
    <w:p w14:paraId="3377161B" w14:textId="77777777" w:rsidR="00B9530B" w:rsidRPr="00054652" w:rsidRDefault="00B9530B" w:rsidP="00B9530B"/>
    <w:p w14:paraId="67499354" w14:textId="77777777" w:rsidR="0047139F" w:rsidRDefault="0047139F" w:rsidP="00337DF3">
      <w:pPr>
        <w:spacing w:after="0" w:line="240" w:lineRule="auto"/>
        <w:rPr>
          <w:rFonts w:ascii="Verdana" w:eastAsia="Geomanist Light" w:hAnsi="Verdana" w:cs="Arial"/>
          <w:color w:val="000000" w:themeColor="text1"/>
        </w:rPr>
      </w:pPr>
    </w:p>
    <w:bookmarkEnd w:id="0"/>
    <w:sectPr w:rsidR="0047139F"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5C8CD" w14:textId="77777777" w:rsidR="00227CDE" w:rsidRPr="009B7987" w:rsidRDefault="00227CDE" w:rsidP="00B30448">
      <w:pPr>
        <w:spacing w:after="0" w:line="240" w:lineRule="auto"/>
      </w:pPr>
      <w:r w:rsidRPr="009B7987">
        <w:separator/>
      </w:r>
    </w:p>
  </w:endnote>
  <w:endnote w:type="continuationSeparator" w:id="0">
    <w:p w14:paraId="445FABF8" w14:textId="77777777" w:rsidR="00227CDE" w:rsidRPr="009B7987" w:rsidRDefault="00227CDE" w:rsidP="00B30448">
      <w:pPr>
        <w:spacing w:after="0" w:line="240" w:lineRule="auto"/>
      </w:pPr>
      <w:r w:rsidRPr="009B7987">
        <w:continuationSeparator/>
      </w:r>
    </w:p>
  </w:endnote>
  <w:endnote w:type="continuationNotice" w:id="1">
    <w:p w14:paraId="4F15B1E4" w14:textId="77777777" w:rsidR="00227CDE" w:rsidRPr="009B7987" w:rsidRDefault="00227C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F4F2" w14:textId="77777777" w:rsidR="00227CDE" w:rsidRPr="009B7987" w:rsidRDefault="00227CDE" w:rsidP="00B30448">
      <w:pPr>
        <w:spacing w:after="0" w:line="240" w:lineRule="auto"/>
      </w:pPr>
      <w:r w:rsidRPr="009B7987">
        <w:separator/>
      </w:r>
    </w:p>
  </w:footnote>
  <w:footnote w:type="continuationSeparator" w:id="0">
    <w:p w14:paraId="2B94F083" w14:textId="77777777" w:rsidR="00227CDE" w:rsidRPr="009B7987" w:rsidRDefault="00227CDE" w:rsidP="00B30448">
      <w:pPr>
        <w:spacing w:after="0" w:line="240" w:lineRule="auto"/>
      </w:pPr>
      <w:r w:rsidRPr="009B7987">
        <w:continuationSeparator/>
      </w:r>
    </w:p>
  </w:footnote>
  <w:footnote w:type="continuationNotice" w:id="1">
    <w:p w14:paraId="0585EA0D" w14:textId="77777777" w:rsidR="00227CDE" w:rsidRPr="009B7987" w:rsidRDefault="00227CDE">
      <w:pPr>
        <w:spacing w:after="0" w:line="240" w:lineRule="auto"/>
      </w:pPr>
    </w:p>
  </w:footnote>
  <w:footnote w:id="2">
    <w:p w14:paraId="2C830839" w14:textId="11CF5BA1" w:rsidR="00B9530B" w:rsidRPr="0086159C" w:rsidRDefault="00B9530B" w:rsidP="00B9530B">
      <w:pPr>
        <w:pStyle w:val="Textonotapie"/>
        <w:ind w:firstLine="709"/>
        <w:jc w:val="both"/>
        <w:rPr>
          <w:rFonts w:ascii="Verdana" w:hAnsi="Verdana" w:cs="Arial"/>
          <w:sz w:val="16"/>
          <w:szCs w:val="16"/>
          <w:lang w:val="es-ES"/>
        </w:rPr>
      </w:pPr>
      <w:r w:rsidRPr="0086159C">
        <w:rPr>
          <w:rStyle w:val="Refdenotaalpie"/>
          <w:rFonts w:ascii="Verdana" w:hAnsi="Verdana" w:cs="Arial"/>
          <w:sz w:val="16"/>
          <w:szCs w:val="16"/>
        </w:rPr>
        <w:footnoteRef/>
      </w:r>
      <w:r w:rsidRPr="0086159C">
        <w:rPr>
          <w:rFonts w:ascii="Verdana" w:hAnsi="Verdana" w:cs="Arial"/>
          <w:sz w:val="16"/>
          <w:szCs w:val="16"/>
        </w:rPr>
        <w:t xml:space="preserve"> </w:t>
      </w:r>
      <w:r w:rsidRPr="00F71540">
        <w:rPr>
          <w:rFonts w:ascii="Verdana" w:hAnsi="Verdana" w:cs="Arial"/>
          <w:sz w:val="16"/>
          <w:szCs w:val="16"/>
          <w:lang w:val="es-ES"/>
        </w:rPr>
        <w:t>En cuanto a las resoluciones expedidas, dicha regla se observa</w:t>
      </w:r>
      <w:r w:rsidR="00112C87" w:rsidRPr="00F71540">
        <w:rPr>
          <w:rFonts w:ascii="Verdana" w:hAnsi="Verdana" w:cs="Arial"/>
          <w:sz w:val="16"/>
          <w:szCs w:val="16"/>
          <w:lang w:val="es-ES"/>
        </w:rPr>
        <w:t xml:space="preserve"> en</w:t>
      </w:r>
      <w:r w:rsidRPr="00F71540">
        <w:rPr>
          <w:rFonts w:ascii="Verdana" w:hAnsi="Verdana" w:cs="Arial"/>
          <w:sz w:val="16"/>
          <w:szCs w:val="16"/>
          <w:lang w:val="es-ES"/>
        </w:rPr>
        <w:t xml:space="preserve"> </w:t>
      </w:r>
      <w:r w:rsidR="00AB6DFA" w:rsidRPr="00F71540">
        <w:rPr>
          <w:rFonts w:ascii="Verdana" w:hAnsi="Verdana" w:cs="Arial"/>
          <w:sz w:val="16"/>
          <w:szCs w:val="16"/>
          <w:lang w:val="es-ES"/>
        </w:rPr>
        <w:t xml:space="preserve">el artículo 3 de la Resolución 465 de 2024 </w:t>
      </w:r>
      <w:r w:rsidR="00AB6DFA" w:rsidRPr="00F71540">
        <w:rPr>
          <w:rFonts w:ascii="Verdana" w:hAnsi="Verdana" w:cs="Arial"/>
          <w:sz w:val="16"/>
          <w:szCs w:val="16"/>
          <w:lang w:val="es-CO"/>
        </w:rPr>
        <w:t>"Por la cual se adopta la versión -4- de los Documentos Tipo para los procesos de selección de licitación de obra pública del sector de infraestructura de transporte y se deroga la Resolución 240 de 2020".</w:t>
      </w:r>
    </w:p>
  </w:footnote>
  <w:footnote w:id="3">
    <w:p w14:paraId="39DF3206" w14:textId="77777777" w:rsidR="00B9530B" w:rsidRPr="0086159C" w:rsidRDefault="00B9530B" w:rsidP="00B9530B">
      <w:pPr>
        <w:pStyle w:val="Textonotapie"/>
        <w:ind w:firstLine="709"/>
        <w:jc w:val="both"/>
        <w:rPr>
          <w:rFonts w:ascii="Verdana" w:hAnsi="Verdana" w:cs="Arial"/>
          <w:color w:val="000000"/>
          <w:sz w:val="16"/>
          <w:szCs w:val="16"/>
        </w:rPr>
      </w:pPr>
      <w:r w:rsidRPr="0086159C">
        <w:rPr>
          <w:rStyle w:val="Refdenotaalpie"/>
          <w:rFonts w:ascii="Verdana" w:hAnsi="Verdana" w:cs="Arial"/>
          <w:color w:val="000000"/>
          <w:sz w:val="16"/>
          <w:szCs w:val="16"/>
        </w:rPr>
        <w:footnoteRef/>
      </w:r>
      <w:r w:rsidRPr="0086159C">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28ED650" w14:textId="77777777" w:rsidR="00B9530B" w:rsidRPr="0086159C" w:rsidRDefault="00B9530B" w:rsidP="00B9530B">
      <w:pPr>
        <w:pStyle w:val="Textonotapie"/>
        <w:ind w:firstLine="709"/>
        <w:jc w:val="both"/>
        <w:rPr>
          <w:rFonts w:ascii="Verdana" w:hAnsi="Verdana" w:cs="Arial"/>
          <w:color w:val="000000"/>
          <w:sz w:val="16"/>
          <w:szCs w:val="16"/>
        </w:rPr>
      </w:pPr>
      <w:r w:rsidRPr="0086159C">
        <w:rPr>
          <w:rFonts w:ascii="Verdana" w:hAnsi="Verdana" w:cs="Arial"/>
          <w:color w:val="000000"/>
          <w:sz w:val="16"/>
          <w:szCs w:val="16"/>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7CC0957F" w14:textId="77777777" w:rsidR="00B9530B" w:rsidRPr="0086159C" w:rsidRDefault="00B9530B" w:rsidP="00B9530B">
      <w:pPr>
        <w:pStyle w:val="Textonotapie"/>
        <w:ind w:firstLine="709"/>
        <w:jc w:val="both"/>
        <w:rPr>
          <w:rFonts w:ascii="Verdana" w:hAnsi="Verdana" w:cs="Arial"/>
          <w:color w:val="000000"/>
          <w:sz w:val="16"/>
          <w:szCs w:val="16"/>
        </w:rPr>
      </w:pPr>
    </w:p>
  </w:footnote>
  <w:footnote w:id="4">
    <w:p w14:paraId="0334328F" w14:textId="77777777" w:rsidR="00B9530B" w:rsidRPr="0086159C" w:rsidRDefault="00B9530B" w:rsidP="00B9530B">
      <w:pPr>
        <w:ind w:firstLine="709"/>
        <w:jc w:val="both"/>
        <w:rPr>
          <w:rFonts w:ascii="Verdana" w:hAnsi="Verdana" w:cs="Arial"/>
          <w:color w:val="000000"/>
          <w:sz w:val="16"/>
          <w:szCs w:val="16"/>
          <w:lang w:val="es-ES"/>
        </w:rPr>
      </w:pPr>
      <w:r w:rsidRPr="0086159C">
        <w:rPr>
          <w:rStyle w:val="Refdenotaalpie"/>
          <w:rFonts w:ascii="Verdana" w:hAnsi="Verdana" w:cs="Arial"/>
          <w:color w:val="000000"/>
          <w:sz w:val="16"/>
          <w:szCs w:val="16"/>
        </w:rPr>
        <w:footnoteRef/>
      </w:r>
      <w:r w:rsidRPr="0086159C">
        <w:rPr>
          <w:rFonts w:ascii="Verdana" w:hAnsi="Verdana" w:cs="Arial"/>
          <w:color w:val="000000"/>
          <w:sz w:val="16"/>
          <w:szCs w:val="16"/>
        </w:rPr>
        <w:t xml:space="preserve"> </w:t>
      </w:r>
      <w:r w:rsidRPr="0086159C">
        <w:rPr>
          <w:rFonts w:ascii="Verdana" w:hAnsi="Verdana" w:cs="Arial"/>
          <w:color w:val="000000"/>
          <w:sz w:val="16"/>
          <w:szCs w:val="16"/>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9"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3"/>
  </w:num>
  <w:num w:numId="3" w16cid:durableId="679089576">
    <w:abstractNumId w:val="5"/>
  </w:num>
  <w:num w:numId="4" w16cid:durableId="893472101">
    <w:abstractNumId w:val="2"/>
  </w:num>
  <w:num w:numId="5" w16cid:durableId="1982299905">
    <w:abstractNumId w:val="12"/>
  </w:num>
  <w:num w:numId="6" w16cid:durableId="130758360">
    <w:abstractNumId w:val="7"/>
  </w:num>
  <w:num w:numId="7" w16cid:durableId="262541512">
    <w:abstractNumId w:val="11"/>
  </w:num>
  <w:num w:numId="8" w16cid:durableId="1947226218">
    <w:abstractNumId w:val="4"/>
  </w:num>
  <w:num w:numId="9" w16cid:durableId="1180706126">
    <w:abstractNumId w:val="6"/>
  </w:num>
  <w:num w:numId="10" w16cid:durableId="2097506960">
    <w:abstractNumId w:val="10"/>
  </w:num>
  <w:num w:numId="11" w16cid:durableId="1977490869">
    <w:abstractNumId w:val="9"/>
  </w:num>
  <w:num w:numId="12" w16cid:durableId="158663248">
    <w:abstractNumId w:val="8"/>
  </w:num>
  <w:num w:numId="13" w16cid:durableId="2024085788">
    <w:abstractNumId w:val="1"/>
  </w:num>
  <w:num w:numId="14" w16cid:durableId="2000648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963"/>
    <w:rsid w:val="000059AE"/>
    <w:rsid w:val="00005BB0"/>
    <w:rsid w:val="00006F59"/>
    <w:rsid w:val="0001025F"/>
    <w:rsid w:val="0001155E"/>
    <w:rsid w:val="00011613"/>
    <w:rsid w:val="00011D3C"/>
    <w:rsid w:val="0001222D"/>
    <w:rsid w:val="00012EDA"/>
    <w:rsid w:val="00013B3F"/>
    <w:rsid w:val="00014981"/>
    <w:rsid w:val="00014B0D"/>
    <w:rsid w:val="00016280"/>
    <w:rsid w:val="0001672C"/>
    <w:rsid w:val="00016F04"/>
    <w:rsid w:val="00017870"/>
    <w:rsid w:val="00021595"/>
    <w:rsid w:val="000219D1"/>
    <w:rsid w:val="00021C3A"/>
    <w:rsid w:val="0002202D"/>
    <w:rsid w:val="00022C23"/>
    <w:rsid w:val="00023DF7"/>
    <w:rsid w:val="000267DD"/>
    <w:rsid w:val="000273EA"/>
    <w:rsid w:val="00027B63"/>
    <w:rsid w:val="00030B3D"/>
    <w:rsid w:val="00030BC5"/>
    <w:rsid w:val="00030BFB"/>
    <w:rsid w:val="00031DA1"/>
    <w:rsid w:val="00031EAF"/>
    <w:rsid w:val="00033390"/>
    <w:rsid w:val="000361EA"/>
    <w:rsid w:val="000369C0"/>
    <w:rsid w:val="00037729"/>
    <w:rsid w:val="00037A8B"/>
    <w:rsid w:val="00040372"/>
    <w:rsid w:val="000408AD"/>
    <w:rsid w:val="00041469"/>
    <w:rsid w:val="000421D7"/>
    <w:rsid w:val="00042DD7"/>
    <w:rsid w:val="000442CC"/>
    <w:rsid w:val="000442DE"/>
    <w:rsid w:val="00044B24"/>
    <w:rsid w:val="0004508D"/>
    <w:rsid w:val="0004709D"/>
    <w:rsid w:val="000504AA"/>
    <w:rsid w:val="0005086B"/>
    <w:rsid w:val="00050C95"/>
    <w:rsid w:val="00050CAD"/>
    <w:rsid w:val="0005142D"/>
    <w:rsid w:val="00051A3C"/>
    <w:rsid w:val="00051BE4"/>
    <w:rsid w:val="000526A8"/>
    <w:rsid w:val="00053CD9"/>
    <w:rsid w:val="0005420B"/>
    <w:rsid w:val="000551CB"/>
    <w:rsid w:val="0005620B"/>
    <w:rsid w:val="00057392"/>
    <w:rsid w:val="000577A2"/>
    <w:rsid w:val="000577D3"/>
    <w:rsid w:val="00057963"/>
    <w:rsid w:val="000579AB"/>
    <w:rsid w:val="000609B2"/>
    <w:rsid w:val="00060AE4"/>
    <w:rsid w:val="000622B9"/>
    <w:rsid w:val="00064721"/>
    <w:rsid w:val="00065973"/>
    <w:rsid w:val="00065C6D"/>
    <w:rsid w:val="000662F1"/>
    <w:rsid w:val="00066646"/>
    <w:rsid w:val="00066C7A"/>
    <w:rsid w:val="000716AB"/>
    <w:rsid w:val="00071AB8"/>
    <w:rsid w:val="0007243A"/>
    <w:rsid w:val="000757CE"/>
    <w:rsid w:val="000762C0"/>
    <w:rsid w:val="00076C2B"/>
    <w:rsid w:val="00076C73"/>
    <w:rsid w:val="00076F81"/>
    <w:rsid w:val="000779DE"/>
    <w:rsid w:val="000800B6"/>
    <w:rsid w:val="00081CD7"/>
    <w:rsid w:val="000847A0"/>
    <w:rsid w:val="00084BFD"/>
    <w:rsid w:val="00087073"/>
    <w:rsid w:val="000875BD"/>
    <w:rsid w:val="000878E7"/>
    <w:rsid w:val="00087C01"/>
    <w:rsid w:val="000903E4"/>
    <w:rsid w:val="00091D73"/>
    <w:rsid w:val="000933B5"/>
    <w:rsid w:val="000933BC"/>
    <w:rsid w:val="00093544"/>
    <w:rsid w:val="00093D95"/>
    <w:rsid w:val="00094663"/>
    <w:rsid w:val="00095410"/>
    <w:rsid w:val="00095E48"/>
    <w:rsid w:val="00096637"/>
    <w:rsid w:val="00096D2F"/>
    <w:rsid w:val="00097285"/>
    <w:rsid w:val="000A021A"/>
    <w:rsid w:val="000A1828"/>
    <w:rsid w:val="000A1F38"/>
    <w:rsid w:val="000A2030"/>
    <w:rsid w:val="000A413A"/>
    <w:rsid w:val="000A4F1E"/>
    <w:rsid w:val="000A5881"/>
    <w:rsid w:val="000A66A1"/>
    <w:rsid w:val="000A69FB"/>
    <w:rsid w:val="000B1087"/>
    <w:rsid w:val="000B199A"/>
    <w:rsid w:val="000B1FF7"/>
    <w:rsid w:val="000B2529"/>
    <w:rsid w:val="000B2B7C"/>
    <w:rsid w:val="000B381D"/>
    <w:rsid w:val="000B3DD4"/>
    <w:rsid w:val="000B4024"/>
    <w:rsid w:val="000B44BA"/>
    <w:rsid w:val="000B5313"/>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2914"/>
    <w:rsid w:val="000D2E60"/>
    <w:rsid w:val="000D2F50"/>
    <w:rsid w:val="000D3275"/>
    <w:rsid w:val="000D3A1B"/>
    <w:rsid w:val="000D491C"/>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81D"/>
    <w:rsid w:val="000E4DBF"/>
    <w:rsid w:val="000E4DF2"/>
    <w:rsid w:val="000F0144"/>
    <w:rsid w:val="000F0807"/>
    <w:rsid w:val="000F0B3C"/>
    <w:rsid w:val="000F13D5"/>
    <w:rsid w:val="000F1AD8"/>
    <w:rsid w:val="000F2CDE"/>
    <w:rsid w:val="000F2F4C"/>
    <w:rsid w:val="000F38D9"/>
    <w:rsid w:val="000F3CED"/>
    <w:rsid w:val="000F414C"/>
    <w:rsid w:val="000F64FC"/>
    <w:rsid w:val="000F696E"/>
    <w:rsid w:val="000F718E"/>
    <w:rsid w:val="001001F2"/>
    <w:rsid w:val="00100207"/>
    <w:rsid w:val="001003C6"/>
    <w:rsid w:val="00100682"/>
    <w:rsid w:val="001010D3"/>
    <w:rsid w:val="00101918"/>
    <w:rsid w:val="00101C11"/>
    <w:rsid w:val="00102F4F"/>
    <w:rsid w:val="001034DD"/>
    <w:rsid w:val="00104425"/>
    <w:rsid w:val="00104B4C"/>
    <w:rsid w:val="001055A2"/>
    <w:rsid w:val="00106C4C"/>
    <w:rsid w:val="00107DEF"/>
    <w:rsid w:val="0011037E"/>
    <w:rsid w:val="00110404"/>
    <w:rsid w:val="00110F73"/>
    <w:rsid w:val="00111E35"/>
    <w:rsid w:val="001128B4"/>
    <w:rsid w:val="00112C87"/>
    <w:rsid w:val="00112EBD"/>
    <w:rsid w:val="001132C2"/>
    <w:rsid w:val="0011382D"/>
    <w:rsid w:val="00113AF2"/>
    <w:rsid w:val="00113C17"/>
    <w:rsid w:val="00114051"/>
    <w:rsid w:val="00114DCC"/>
    <w:rsid w:val="00114FDF"/>
    <w:rsid w:val="0011650B"/>
    <w:rsid w:val="00116607"/>
    <w:rsid w:val="00116616"/>
    <w:rsid w:val="00116FC5"/>
    <w:rsid w:val="0011751F"/>
    <w:rsid w:val="00117BBD"/>
    <w:rsid w:val="001213E7"/>
    <w:rsid w:val="001218A3"/>
    <w:rsid w:val="001224BA"/>
    <w:rsid w:val="001238BC"/>
    <w:rsid w:val="00124518"/>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280A"/>
    <w:rsid w:val="0013343F"/>
    <w:rsid w:val="001344F9"/>
    <w:rsid w:val="001347F4"/>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46E7C"/>
    <w:rsid w:val="001513CE"/>
    <w:rsid w:val="00151465"/>
    <w:rsid w:val="00151AD8"/>
    <w:rsid w:val="00151E77"/>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2F9F"/>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AE8"/>
    <w:rsid w:val="00176E76"/>
    <w:rsid w:val="001772F5"/>
    <w:rsid w:val="00177570"/>
    <w:rsid w:val="00177E95"/>
    <w:rsid w:val="0018007F"/>
    <w:rsid w:val="001811FC"/>
    <w:rsid w:val="00182338"/>
    <w:rsid w:val="00182348"/>
    <w:rsid w:val="00183F50"/>
    <w:rsid w:val="00184BD9"/>
    <w:rsid w:val="00184ED6"/>
    <w:rsid w:val="00184F13"/>
    <w:rsid w:val="00184FD9"/>
    <w:rsid w:val="001859E5"/>
    <w:rsid w:val="00185B8B"/>
    <w:rsid w:val="00186037"/>
    <w:rsid w:val="00186D14"/>
    <w:rsid w:val="001876D8"/>
    <w:rsid w:val="00190325"/>
    <w:rsid w:val="00190391"/>
    <w:rsid w:val="00191593"/>
    <w:rsid w:val="001918F1"/>
    <w:rsid w:val="0019196E"/>
    <w:rsid w:val="00191FF5"/>
    <w:rsid w:val="001926D7"/>
    <w:rsid w:val="00192CCE"/>
    <w:rsid w:val="0019385B"/>
    <w:rsid w:val="00193F1C"/>
    <w:rsid w:val="001948F5"/>
    <w:rsid w:val="00194958"/>
    <w:rsid w:val="00197205"/>
    <w:rsid w:val="0019793F"/>
    <w:rsid w:val="00197A9D"/>
    <w:rsid w:val="001A17D7"/>
    <w:rsid w:val="001A1FDD"/>
    <w:rsid w:val="001A2D8F"/>
    <w:rsid w:val="001A3D89"/>
    <w:rsid w:val="001A545B"/>
    <w:rsid w:val="001A54DA"/>
    <w:rsid w:val="001A6861"/>
    <w:rsid w:val="001A6FEC"/>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E89"/>
    <w:rsid w:val="001C0125"/>
    <w:rsid w:val="001C1074"/>
    <w:rsid w:val="001C2543"/>
    <w:rsid w:val="001C25F5"/>
    <w:rsid w:val="001C313D"/>
    <w:rsid w:val="001C34D0"/>
    <w:rsid w:val="001C4249"/>
    <w:rsid w:val="001C4F27"/>
    <w:rsid w:val="001C6573"/>
    <w:rsid w:val="001C7D03"/>
    <w:rsid w:val="001D00BE"/>
    <w:rsid w:val="001D079B"/>
    <w:rsid w:val="001D0D32"/>
    <w:rsid w:val="001D0FC8"/>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819"/>
    <w:rsid w:val="001F61DE"/>
    <w:rsid w:val="001F7054"/>
    <w:rsid w:val="002000AA"/>
    <w:rsid w:val="00201502"/>
    <w:rsid w:val="0020302A"/>
    <w:rsid w:val="002032A0"/>
    <w:rsid w:val="00203532"/>
    <w:rsid w:val="00203AE0"/>
    <w:rsid w:val="00204106"/>
    <w:rsid w:val="00204109"/>
    <w:rsid w:val="00205041"/>
    <w:rsid w:val="0020524C"/>
    <w:rsid w:val="002059E3"/>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5AB"/>
    <w:rsid w:val="002250D1"/>
    <w:rsid w:val="002267D2"/>
    <w:rsid w:val="00227644"/>
    <w:rsid w:val="00227CDE"/>
    <w:rsid w:val="002300C2"/>
    <w:rsid w:val="00230839"/>
    <w:rsid w:val="00231ADB"/>
    <w:rsid w:val="00232178"/>
    <w:rsid w:val="00232248"/>
    <w:rsid w:val="00232D12"/>
    <w:rsid w:val="00233975"/>
    <w:rsid w:val="002353E3"/>
    <w:rsid w:val="00235F30"/>
    <w:rsid w:val="00236287"/>
    <w:rsid w:val="002363FF"/>
    <w:rsid w:val="00236D10"/>
    <w:rsid w:val="002407CE"/>
    <w:rsid w:val="00242325"/>
    <w:rsid w:val="00243A38"/>
    <w:rsid w:val="0024474F"/>
    <w:rsid w:val="00244761"/>
    <w:rsid w:val="002450F2"/>
    <w:rsid w:val="00245B7F"/>
    <w:rsid w:val="002469C2"/>
    <w:rsid w:val="00246B1F"/>
    <w:rsid w:val="00247BDE"/>
    <w:rsid w:val="00247DE2"/>
    <w:rsid w:val="002505DE"/>
    <w:rsid w:val="002514FA"/>
    <w:rsid w:val="00252503"/>
    <w:rsid w:val="00252ED7"/>
    <w:rsid w:val="0025393C"/>
    <w:rsid w:val="002549E7"/>
    <w:rsid w:val="00254A7A"/>
    <w:rsid w:val="00254EA4"/>
    <w:rsid w:val="0025509C"/>
    <w:rsid w:val="002552F8"/>
    <w:rsid w:val="00255333"/>
    <w:rsid w:val="0025575F"/>
    <w:rsid w:val="002571E3"/>
    <w:rsid w:val="00260496"/>
    <w:rsid w:val="00260542"/>
    <w:rsid w:val="00260BAD"/>
    <w:rsid w:val="0026224C"/>
    <w:rsid w:val="00264C7C"/>
    <w:rsid w:val="0026650F"/>
    <w:rsid w:val="00266DC3"/>
    <w:rsid w:val="0027029D"/>
    <w:rsid w:val="00270443"/>
    <w:rsid w:val="00270EE2"/>
    <w:rsid w:val="0027138C"/>
    <w:rsid w:val="00272787"/>
    <w:rsid w:val="00272826"/>
    <w:rsid w:val="00272A7B"/>
    <w:rsid w:val="00272C44"/>
    <w:rsid w:val="00273527"/>
    <w:rsid w:val="00273F6B"/>
    <w:rsid w:val="002747EF"/>
    <w:rsid w:val="00274B06"/>
    <w:rsid w:val="002751D6"/>
    <w:rsid w:val="002754D3"/>
    <w:rsid w:val="00276944"/>
    <w:rsid w:val="002769AE"/>
    <w:rsid w:val="002817A6"/>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2E91"/>
    <w:rsid w:val="002930AD"/>
    <w:rsid w:val="00293254"/>
    <w:rsid w:val="00295002"/>
    <w:rsid w:val="0029568E"/>
    <w:rsid w:val="002971C7"/>
    <w:rsid w:val="002971F2"/>
    <w:rsid w:val="00297785"/>
    <w:rsid w:val="00297E05"/>
    <w:rsid w:val="002A02B9"/>
    <w:rsid w:val="002A0444"/>
    <w:rsid w:val="002A0F8D"/>
    <w:rsid w:val="002A1311"/>
    <w:rsid w:val="002A1377"/>
    <w:rsid w:val="002A211A"/>
    <w:rsid w:val="002A264B"/>
    <w:rsid w:val="002A4A82"/>
    <w:rsid w:val="002A4B33"/>
    <w:rsid w:val="002A5311"/>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C000B"/>
    <w:rsid w:val="002C016F"/>
    <w:rsid w:val="002C09A8"/>
    <w:rsid w:val="002C103C"/>
    <w:rsid w:val="002C12C7"/>
    <w:rsid w:val="002C1E93"/>
    <w:rsid w:val="002C29EB"/>
    <w:rsid w:val="002C30F0"/>
    <w:rsid w:val="002C401A"/>
    <w:rsid w:val="002C532B"/>
    <w:rsid w:val="002C6D15"/>
    <w:rsid w:val="002C72F4"/>
    <w:rsid w:val="002C76E8"/>
    <w:rsid w:val="002C7E5B"/>
    <w:rsid w:val="002D0907"/>
    <w:rsid w:val="002D0E9E"/>
    <w:rsid w:val="002D1381"/>
    <w:rsid w:val="002D2CDD"/>
    <w:rsid w:val="002D2D68"/>
    <w:rsid w:val="002D3067"/>
    <w:rsid w:val="002D3249"/>
    <w:rsid w:val="002D38D9"/>
    <w:rsid w:val="002D4298"/>
    <w:rsid w:val="002D47E8"/>
    <w:rsid w:val="002D4FCC"/>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317F"/>
    <w:rsid w:val="002F51A2"/>
    <w:rsid w:val="002F5E95"/>
    <w:rsid w:val="002F63CA"/>
    <w:rsid w:val="002F67B4"/>
    <w:rsid w:val="002F6F73"/>
    <w:rsid w:val="002F7AA9"/>
    <w:rsid w:val="003004E3"/>
    <w:rsid w:val="003019A0"/>
    <w:rsid w:val="00301C0D"/>
    <w:rsid w:val="00301D7B"/>
    <w:rsid w:val="00301E19"/>
    <w:rsid w:val="003023DE"/>
    <w:rsid w:val="00302EC4"/>
    <w:rsid w:val="00303DC4"/>
    <w:rsid w:val="00304676"/>
    <w:rsid w:val="00306BE7"/>
    <w:rsid w:val="00311B66"/>
    <w:rsid w:val="00311F29"/>
    <w:rsid w:val="00312A4F"/>
    <w:rsid w:val="00314036"/>
    <w:rsid w:val="00314347"/>
    <w:rsid w:val="00314C4F"/>
    <w:rsid w:val="00314CB6"/>
    <w:rsid w:val="00314FAF"/>
    <w:rsid w:val="003162A5"/>
    <w:rsid w:val="00316591"/>
    <w:rsid w:val="003168A4"/>
    <w:rsid w:val="003169E1"/>
    <w:rsid w:val="0032033C"/>
    <w:rsid w:val="00320C6D"/>
    <w:rsid w:val="003213A8"/>
    <w:rsid w:val="00321FA8"/>
    <w:rsid w:val="00321FFD"/>
    <w:rsid w:val="00322E18"/>
    <w:rsid w:val="00323C3D"/>
    <w:rsid w:val="00323D1D"/>
    <w:rsid w:val="00323F8A"/>
    <w:rsid w:val="00324D73"/>
    <w:rsid w:val="00326011"/>
    <w:rsid w:val="0032643D"/>
    <w:rsid w:val="00326D02"/>
    <w:rsid w:val="00327069"/>
    <w:rsid w:val="00327812"/>
    <w:rsid w:val="00327AFB"/>
    <w:rsid w:val="00327BAF"/>
    <w:rsid w:val="00327D10"/>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2E73"/>
    <w:rsid w:val="00343B47"/>
    <w:rsid w:val="0034404F"/>
    <w:rsid w:val="00344ACC"/>
    <w:rsid w:val="00345B2A"/>
    <w:rsid w:val="00345F01"/>
    <w:rsid w:val="0034654F"/>
    <w:rsid w:val="00346B28"/>
    <w:rsid w:val="003472B0"/>
    <w:rsid w:val="00347685"/>
    <w:rsid w:val="003509A5"/>
    <w:rsid w:val="00351E21"/>
    <w:rsid w:val="00352327"/>
    <w:rsid w:val="00354062"/>
    <w:rsid w:val="00354405"/>
    <w:rsid w:val="00355A76"/>
    <w:rsid w:val="0035635F"/>
    <w:rsid w:val="00356E0F"/>
    <w:rsid w:val="003607EE"/>
    <w:rsid w:val="00360BC8"/>
    <w:rsid w:val="00360E1D"/>
    <w:rsid w:val="00360E35"/>
    <w:rsid w:val="003617AE"/>
    <w:rsid w:val="0036215C"/>
    <w:rsid w:val="003630F7"/>
    <w:rsid w:val="00363589"/>
    <w:rsid w:val="00363636"/>
    <w:rsid w:val="003649D6"/>
    <w:rsid w:val="003651AC"/>
    <w:rsid w:val="003653AA"/>
    <w:rsid w:val="00366120"/>
    <w:rsid w:val="003661FF"/>
    <w:rsid w:val="00366A0C"/>
    <w:rsid w:val="00367462"/>
    <w:rsid w:val="003677D5"/>
    <w:rsid w:val="0037034B"/>
    <w:rsid w:val="00370507"/>
    <w:rsid w:val="00370682"/>
    <w:rsid w:val="00370BBE"/>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4D8F"/>
    <w:rsid w:val="003853B1"/>
    <w:rsid w:val="003853ED"/>
    <w:rsid w:val="00386421"/>
    <w:rsid w:val="00387AA1"/>
    <w:rsid w:val="0039082A"/>
    <w:rsid w:val="0039101F"/>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FF7"/>
    <w:rsid w:val="003A43D1"/>
    <w:rsid w:val="003A6E29"/>
    <w:rsid w:val="003B0BDB"/>
    <w:rsid w:val="003B0E88"/>
    <w:rsid w:val="003B153F"/>
    <w:rsid w:val="003B17B0"/>
    <w:rsid w:val="003B1844"/>
    <w:rsid w:val="003B211E"/>
    <w:rsid w:val="003B24EA"/>
    <w:rsid w:val="003B2DA7"/>
    <w:rsid w:val="003B3AB7"/>
    <w:rsid w:val="003B3ABC"/>
    <w:rsid w:val="003B3D8E"/>
    <w:rsid w:val="003B3FED"/>
    <w:rsid w:val="003B3FF1"/>
    <w:rsid w:val="003B4217"/>
    <w:rsid w:val="003B59A1"/>
    <w:rsid w:val="003B5B97"/>
    <w:rsid w:val="003B7541"/>
    <w:rsid w:val="003B7AE1"/>
    <w:rsid w:val="003B7F07"/>
    <w:rsid w:val="003B7FCE"/>
    <w:rsid w:val="003C0F87"/>
    <w:rsid w:val="003C141E"/>
    <w:rsid w:val="003C1B83"/>
    <w:rsid w:val="003C210E"/>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3BA5"/>
    <w:rsid w:val="003E4A52"/>
    <w:rsid w:val="003E78A9"/>
    <w:rsid w:val="003E7912"/>
    <w:rsid w:val="003F04E6"/>
    <w:rsid w:val="003F2CDD"/>
    <w:rsid w:val="003F2FC4"/>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5077"/>
    <w:rsid w:val="0040544F"/>
    <w:rsid w:val="0040625C"/>
    <w:rsid w:val="004069D2"/>
    <w:rsid w:val="004076FF"/>
    <w:rsid w:val="0041007D"/>
    <w:rsid w:val="00411257"/>
    <w:rsid w:val="00411B17"/>
    <w:rsid w:val="0041222D"/>
    <w:rsid w:val="004124F2"/>
    <w:rsid w:val="00412E6F"/>
    <w:rsid w:val="00413C5C"/>
    <w:rsid w:val="0041567A"/>
    <w:rsid w:val="00415BCF"/>
    <w:rsid w:val="00416297"/>
    <w:rsid w:val="00417083"/>
    <w:rsid w:val="0042057C"/>
    <w:rsid w:val="00420BDF"/>
    <w:rsid w:val="00421608"/>
    <w:rsid w:val="00421C23"/>
    <w:rsid w:val="0042261E"/>
    <w:rsid w:val="00422749"/>
    <w:rsid w:val="004233DC"/>
    <w:rsid w:val="00424888"/>
    <w:rsid w:val="004255D9"/>
    <w:rsid w:val="00425763"/>
    <w:rsid w:val="00425C3C"/>
    <w:rsid w:val="004306AB"/>
    <w:rsid w:val="0043159D"/>
    <w:rsid w:val="0043171D"/>
    <w:rsid w:val="00432F78"/>
    <w:rsid w:val="004334A2"/>
    <w:rsid w:val="004335BC"/>
    <w:rsid w:val="00434723"/>
    <w:rsid w:val="00434729"/>
    <w:rsid w:val="0043617B"/>
    <w:rsid w:val="00437D17"/>
    <w:rsid w:val="00437D2F"/>
    <w:rsid w:val="004403EB"/>
    <w:rsid w:val="0044046D"/>
    <w:rsid w:val="00440F1B"/>
    <w:rsid w:val="004410D3"/>
    <w:rsid w:val="0044136F"/>
    <w:rsid w:val="00441DAF"/>
    <w:rsid w:val="0044270D"/>
    <w:rsid w:val="00442E8C"/>
    <w:rsid w:val="00443310"/>
    <w:rsid w:val="004435D5"/>
    <w:rsid w:val="00443A34"/>
    <w:rsid w:val="00443D38"/>
    <w:rsid w:val="00444140"/>
    <w:rsid w:val="00444BF5"/>
    <w:rsid w:val="00444F43"/>
    <w:rsid w:val="00450744"/>
    <w:rsid w:val="00450BE7"/>
    <w:rsid w:val="00450FE8"/>
    <w:rsid w:val="0045110C"/>
    <w:rsid w:val="0045213A"/>
    <w:rsid w:val="0045230E"/>
    <w:rsid w:val="004528FA"/>
    <w:rsid w:val="00452D67"/>
    <w:rsid w:val="00452E53"/>
    <w:rsid w:val="00454EDC"/>
    <w:rsid w:val="00455B00"/>
    <w:rsid w:val="00455B97"/>
    <w:rsid w:val="00456635"/>
    <w:rsid w:val="00456BFD"/>
    <w:rsid w:val="004575D5"/>
    <w:rsid w:val="004607D0"/>
    <w:rsid w:val="00460CE3"/>
    <w:rsid w:val="004612A4"/>
    <w:rsid w:val="004624D2"/>
    <w:rsid w:val="004625C8"/>
    <w:rsid w:val="0046442A"/>
    <w:rsid w:val="00464BF1"/>
    <w:rsid w:val="0046626B"/>
    <w:rsid w:val="004676E4"/>
    <w:rsid w:val="00470183"/>
    <w:rsid w:val="004708C9"/>
    <w:rsid w:val="00470C48"/>
    <w:rsid w:val="0047139F"/>
    <w:rsid w:val="00471429"/>
    <w:rsid w:val="004722B1"/>
    <w:rsid w:val="00473A47"/>
    <w:rsid w:val="00473A4F"/>
    <w:rsid w:val="00473C0A"/>
    <w:rsid w:val="00473EEF"/>
    <w:rsid w:val="00474415"/>
    <w:rsid w:val="00474BC1"/>
    <w:rsid w:val="00477459"/>
    <w:rsid w:val="00477CC9"/>
    <w:rsid w:val="0048026E"/>
    <w:rsid w:val="00480303"/>
    <w:rsid w:val="004807A9"/>
    <w:rsid w:val="00480A8A"/>
    <w:rsid w:val="004810E0"/>
    <w:rsid w:val="00481318"/>
    <w:rsid w:val="004813EE"/>
    <w:rsid w:val="00481835"/>
    <w:rsid w:val="00482CDC"/>
    <w:rsid w:val="00482FB0"/>
    <w:rsid w:val="00483B03"/>
    <w:rsid w:val="0048444C"/>
    <w:rsid w:val="00485058"/>
    <w:rsid w:val="00485308"/>
    <w:rsid w:val="00485702"/>
    <w:rsid w:val="004867EC"/>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0FAF"/>
    <w:rsid w:val="004B140F"/>
    <w:rsid w:val="004B21CF"/>
    <w:rsid w:val="004B2DE3"/>
    <w:rsid w:val="004B53F1"/>
    <w:rsid w:val="004B5D6E"/>
    <w:rsid w:val="004B60BA"/>
    <w:rsid w:val="004B6946"/>
    <w:rsid w:val="004B6E81"/>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41A2"/>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590E"/>
    <w:rsid w:val="004F5966"/>
    <w:rsid w:val="004F60F4"/>
    <w:rsid w:val="004F62E8"/>
    <w:rsid w:val="004F6C17"/>
    <w:rsid w:val="004F7390"/>
    <w:rsid w:val="004F78F8"/>
    <w:rsid w:val="005001A5"/>
    <w:rsid w:val="00500CCD"/>
    <w:rsid w:val="005019AA"/>
    <w:rsid w:val="00503C3B"/>
    <w:rsid w:val="00503CE7"/>
    <w:rsid w:val="005040C9"/>
    <w:rsid w:val="005042DB"/>
    <w:rsid w:val="0050458E"/>
    <w:rsid w:val="00505928"/>
    <w:rsid w:val="00505CD6"/>
    <w:rsid w:val="005069B2"/>
    <w:rsid w:val="00510452"/>
    <w:rsid w:val="005108EC"/>
    <w:rsid w:val="00511F8F"/>
    <w:rsid w:val="00513291"/>
    <w:rsid w:val="005147DA"/>
    <w:rsid w:val="005153AC"/>
    <w:rsid w:val="005153C3"/>
    <w:rsid w:val="00515745"/>
    <w:rsid w:val="00515862"/>
    <w:rsid w:val="005165FE"/>
    <w:rsid w:val="00516942"/>
    <w:rsid w:val="00516DC0"/>
    <w:rsid w:val="00516DC5"/>
    <w:rsid w:val="00517740"/>
    <w:rsid w:val="00520BBA"/>
    <w:rsid w:val="005225AC"/>
    <w:rsid w:val="005233F3"/>
    <w:rsid w:val="0052365C"/>
    <w:rsid w:val="005245D2"/>
    <w:rsid w:val="0052488B"/>
    <w:rsid w:val="00524C98"/>
    <w:rsid w:val="00524C9C"/>
    <w:rsid w:val="00524EDD"/>
    <w:rsid w:val="00525B59"/>
    <w:rsid w:val="005269C4"/>
    <w:rsid w:val="00526A20"/>
    <w:rsid w:val="005329DA"/>
    <w:rsid w:val="0053322F"/>
    <w:rsid w:val="00533D04"/>
    <w:rsid w:val="00533DBF"/>
    <w:rsid w:val="00534147"/>
    <w:rsid w:val="00534940"/>
    <w:rsid w:val="00535673"/>
    <w:rsid w:val="00535D6B"/>
    <w:rsid w:val="00536442"/>
    <w:rsid w:val="0054053D"/>
    <w:rsid w:val="0054126C"/>
    <w:rsid w:val="005415DD"/>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ED7"/>
    <w:rsid w:val="0055211C"/>
    <w:rsid w:val="0055263A"/>
    <w:rsid w:val="005526EE"/>
    <w:rsid w:val="00552B57"/>
    <w:rsid w:val="00552E53"/>
    <w:rsid w:val="005532B8"/>
    <w:rsid w:val="00553E34"/>
    <w:rsid w:val="005547B7"/>
    <w:rsid w:val="005551E9"/>
    <w:rsid w:val="0055680D"/>
    <w:rsid w:val="00560094"/>
    <w:rsid w:val="00560C62"/>
    <w:rsid w:val="00562A61"/>
    <w:rsid w:val="00562E78"/>
    <w:rsid w:val="005652D5"/>
    <w:rsid w:val="00567227"/>
    <w:rsid w:val="00567C08"/>
    <w:rsid w:val="00570C7B"/>
    <w:rsid w:val="00571C77"/>
    <w:rsid w:val="00574614"/>
    <w:rsid w:val="00574A70"/>
    <w:rsid w:val="00574D35"/>
    <w:rsid w:val="00575C75"/>
    <w:rsid w:val="005770CF"/>
    <w:rsid w:val="00577922"/>
    <w:rsid w:val="00577AC3"/>
    <w:rsid w:val="00580B37"/>
    <w:rsid w:val="005815A8"/>
    <w:rsid w:val="00581915"/>
    <w:rsid w:val="00581F88"/>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44C7"/>
    <w:rsid w:val="00595539"/>
    <w:rsid w:val="00597108"/>
    <w:rsid w:val="005A3E82"/>
    <w:rsid w:val="005A4DB0"/>
    <w:rsid w:val="005A5597"/>
    <w:rsid w:val="005A57BF"/>
    <w:rsid w:val="005A6AC2"/>
    <w:rsid w:val="005A7A65"/>
    <w:rsid w:val="005A7B26"/>
    <w:rsid w:val="005A7B8E"/>
    <w:rsid w:val="005B012B"/>
    <w:rsid w:val="005B0C87"/>
    <w:rsid w:val="005B0FE9"/>
    <w:rsid w:val="005B18A9"/>
    <w:rsid w:val="005B2195"/>
    <w:rsid w:val="005B26C7"/>
    <w:rsid w:val="005B27E9"/>
    <w:rsid w:val="005B2D65"/>
    <w:rsid w:val="005B3877"/>
    <w:rsid w:val="005B3AC8"/>
    <w:rsid w:val="005B3CC1"/>
    <w:rsid w:val="005B45AB"/>
    <w:rsid w:val="005B4D8F"/>
    <w:rsid w:val="005B6551"/>
    <w:rsid w:val="005B71A8"/>
    <w:rsid w:val="005B744B"/>
    <w:rsid w:val="005C0A6F"/>
    <w:rsid w:val="005C0FA7"/>
    <w:rsid w:val="005C1C0E"/>
    <w:rsid w:val="005C21A3"/>
    <w:rsid w:val="005C36E2"/>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2506"/>
    <w:rsid w:val="005D31B2"/>
    <w:rsid w:val="005D3677"/>
    <w:rsid w:val="005D4E4C"/>
    <w:rsid w:val="005D5B5E"/>
    <w:rsid w:val="005D5C85"/>
    <w:rsid w:val="005D5CA0"/>
    <w:rsid w:val="005D72FC"/>
    <w:rsid w:val="005D7DFC"/>
    <w:rsid w:val="005E035A"/>
    <w:rsid w:val="005E0681"/>
    <w:rsid w:val="005E1218"/>
    <w:rsid w:val="005E1B6B"/>
    <w:rsid w:val="005E2281"/>
    <w:rsid w:val="005E236C"/>
    <w:rsid w:val="005E351B"/>
    <w:rsid w:val="005E35F9"/>
    <w:rsid w:val="005E38A8"/>
    <w:rsid w:val="005E39F9"/>
    <w:rsid w:val="005E4828"/>
    <w:rsid w:val="005E5016"/>
    <w:rsid w:val="005E5231"/>
    <w:rsid w:val="005E55BB"/>
    <w:rsid w:val="005E5D11"/>
    <w:rsid w:val="005E667C"/>
    <w:rsid w:val="005E6A1D"/>
    <w:rsid w:val="005E6F12"/>
    <w:rsid w:val="005E733E"/>
    <w:rsid w:val="005F0488"/>
    <w:rsid w:val="005F0694"/>
    <w:rsid w:val="005F06E1"/>
    <w:rsid w:val="005F077C"/>
    <w:rsid w:val="005F0B88"/>
    <w:rsid w:val="005F1735"/>
    <w:rsid w:val="005F187E"/>
    <w:rsid w:val="005F252A"/>
    <w:rsid w:val="005F3CE8"/>
    <w:rsid w:val="005F4F41"/>
    <w:rsid w:val="005F566D"/>
    <w:rsid w:val="005F648F"/>
    <w:rsid w:val="005F68C3"/>
    <w:rsid w:val="005F7D87"/>
    <w:rsid w:val="0060143E"/>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A3B"/>
    <w:rsid w:val="00612389"/>
    <w:rsid w:val="00612570"/>
    <w:rsid w:val="00612871"/>
    <w:rsid w:val="00612929"/>
    <w:rsid w:val="00612A44"/>
    <w:rsid w:val="00612A8E"/>
    <w:rsid w:val="00613098"/>
    <w:rsid w:val="006134D9"/>
    <w:rsid w:val="006135DA"/>
    <w:rsid w:val="00613BDC"/>
    <w:rsid w:val="00615564"/>
    <w:rsid w:val="006155E2"/>
    <w:rsid w:val="00615F26"/>
    <w:rsid w:val="00617A81"/>
    <w:rsid w:val="00617DEC"/>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0434"/>
    <w:rsid w:val="006312D0"/>
    <w:rsid w:val="006318A4"/>
    <w:rsid w:val="00631D4F"/>
    <w:rsid w:val="00633496"/>
    <w:rsid w:val="006338D2"/>
    <w:rsid w:val="00633F5A"/>
    <w:rsid w:val="00633F92"/>
    <w:rsid w:val="0063435E"/>
    <w:rsid w:val="006357E2"/>
    <w:rsid w:val="00635FD8"/>
    <w:rsid w:val="00636651"/>
    <w:rsid w:val="00636F7B"/>
    <w:rsid w:val="00637492"/>
    <w:rsid w:val="0064019C"/>
    <w:rsid w:val="00640288"/>
    <w:rsid w:val="006405AC"/>
    <w:rsid w:val="0064099D"/>
    <w:rsid w:val="006412CD"/>
    <w:rsid w:val="006413D8"/>
    <w:rsid w:val="00641B7B"/>
    <w:rsid w:val="00641C55"/>
    <w:rsid w:val="00642405"/>
    <w:rsid w:val="00642645"/>
    <w:rsid w:val="00642EF4"/>
    <w:rsid w:val="006437E8"/>
    <w:rsid w:val="006438E0"/>
    <w:rsid w:val="00644BED"/>
    <w:rsid w:val="006455CB"/>
    <w:rsid w:val="00646FD5"/>
    <w:rsid w:val="00647680"/>
    <w:rsid w:val="00647743"/>
    <w:rsid w:val="00652092"/>
    <w:rsid w:val="00652472"/>
    <w:rsid w:val="0065394E"/>
    <w:rsid w:val="00653B38"/>
    <w:rsid w:val="00656385"/>
    <w:rsid w:val="00656F19"/>
    <w:rsid w:val="00657BB7"/>
    <w:rsid w:val="00660552"/>
    <w:rsid w:val="00660DBE"/>
    <w:rsid w:val="00661113"/>
    <w:rsid w:val="0066127D"/>
    <w:rsid w:val="006612D5"/>
    <w:rsid w:val="00661AB0"/>
    <w:rsid w:val="006623A4"/>
    <w:rsid w:val="00662818"/>
    <w:rsid w:val="0066351C"/>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6238"/>
    <w:rsid w:val="00677012"/>
    <w:rsid w:val="00680D0E"/>
    <w:rsid w:val="00680F00"/>
    <w:rsid w:val="00681038"/>
    <w:rsid w:val="006825B4"/>
    <w:rsid w:val="006829BA"/>
    <w:rsid w:val="00682AF2"/>
    <w:rsid w:val="00682E8A"/>
    <w:rsid w:val="00682FB7"/>
    <w:rsid w:val="006837DE"/>
    <w:rsid w:val="0068537F"/>
    <w:rsid w:val="00686104"/>
    <w:rsid w:val="00686334"/>
    <w:rsid w:val="00686C3A"/>
    <w:rsid w:val="00687628"/>
    <w:rsid w:val="00687CFE"/>
    <w:rsid w:val="0069035A"/>
    <w:rsid w:val="00690EB8"/>
    <w:rsid w:val="006915E5"/>
    <w:rsid w:val="00692401"/>
    <w:rsid w:val="006941CC"/>
    <w:rsid w:val="006945D4"/>
    <w:rsid w:val="00694EC0"/>
    <w:rsid w:val="00695A5A"/>
    <w:rsid w:val="00695F56"/>
    <w:rsid w:val="00696E1B"/>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5F9"/>
    <w:rsid w:val="006C262B"/>
    <w:rsid w:val="006C31C6"/>
    <w:rsid w:val="006C3A2D"/>
    <w:rsid w:val="006C4666"/>
    <w:rsid w:val="006C49BF"/>
    <w:rsid w:val="006C63D7"/>
    <w:rsid w:val="006C6894"/>
    <w:rsid w:val="006C69D9"/>
    <w:rsid w:val="006C7535"/>
    <w:rsid w:val="006C796D"/>
    <w:rsid w:val="006D0525"/>
    <w:rsid w:val="006D08DC"/>
    <w:rsid w:val="006D2F09"/>
    <w:rsid w:val="006D2FD2"/>
    <w:rsid w:val="006D33E6"/>
    <w:rsid w:val="006D3DC0"/>
    <w:rsid w:val="006D40C4"/>
    <w:rsid w:val="006D4162"/>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29F"/>
    <w:rsid w:val="006E47E0"/>
    <w:rsid w:val="006E6F30"/>
    <w:rsid w:val="006E6F56"/>
    <w:rsid w:val="006E6FE9"/>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2AC"/>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BC6"/>
    <w:rsid w:val="00716C95"/>
    <w:rsid w:val="00717762"/>
    <w:rsid w:val="007204DA"/>
    <w:rsid w:val="00721A63"/>
    <w:rsid w:val="00721DED"/>
    <w:rsid w:val="00721FF9"/>
    <w:rsid w:val="0072229E"/>
    <w:rsid w:val="0072337E"/>
    <w:rsid w:val="00723696"/>
    <w:rsid w:val="0072541E"/>
    <w:rsid w:val="00725735"/>
    <w:rsid w:val="0072630D"/>
    <w:rsid w:val="00726A2A"/>
    <w:rsid w:val="007273BC"/>
    <w:rsid w:val="007275FD"/>
    <w:rsid w:val="007276E5"/>
    <w:rsid w:val="00730943"/>
    <w:rsid w:val="00733E5A"/>
    <w:rsid w:val="00733F25"/>
    <w:rsid w:val="00736395"/>
    <w:rsid w:val="00736459"/>
    <w:rsid w:val="0073685F"/>
    <w:rsid w:val="00737821"/>
    <w:rsid w:val="0074058F"/>
    <w:rsid w:val="00740E86"/>
    <w:rsid w:val="00741175"/>
    <w:rsid w:val="007419FB"/>
    <w:rsid w:val="00742606"/>
    <w:rsid w:val="007441FF"/>
    <w:rsid w:val="0074430C"/>
    <w:rsid w:val="00744EE8"/>
    <w:rsid w:val="007459F5"/>
    <w:rsid w:val="007467E4"/>
    <w:rsid w:val="00746DFC"/>
    <w:rsid w:val="00747569"/>
    <w:rsid w:val="00750238"/>
    <w:rsid w:val="0075023C"/>
    <w:rsid w:val="00751818"/>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191"/>
    <w:rsid w:val="0076255D"/>
    <w:rsid w:val="007625F6"/>
    <w:rsid w:val="00762B8B"/>
    <w:rsid w:val="00764AF9"/>
    <w:rsid w:val="007650AD"/>
    <w:rsid w:val="00765D18"/>
    <w:rsid w:val="0076640B"/>
    <w:rsid w:val="00770C54"/>
    <w:rsid w:val="00771329"/>
    <w:rsid w:val="00771344"/>
    <w:rsid w:val="00772613"/>
    <w:rsid w:val="00772B41"/>
    <w:rsid w:val="00772CED"/>
    <w:rsid w:val="00773EA1"/>
    <w:rsid w:val="00775215"/>
    <w:rsid w:val="0077611A"/>
    <w:rsid w:val="00776ACC"/>
    <w:rsid w:val="00777C71"/>
    <w:rsid w:val="00777D6B"/>
    <w:rsid w:val="00777F20"/>
    <w:rsid w:val="00781148"/>
    <w:rsid w:val="00781F98"/>
    <w:rsid w:val="0078265B"/>
    <w:rsid w:val="00782E10"/>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A0F8D"/>
    <w:rsid w:val="007A1078"/>
    <w:rsid w:val="007A257D"/>
    <w:rsid w:val="007A343D"/>
    <w:rsid w:val="007A38CE"/>
    <w:rsid w:val="007A3F1C"/>
    <w:rsid w:val="007A5ACE"/>
    <w:rsid w:val="007A5C5C"/>
    <w:rsid w:val="007A6528"/>
    <w:rsid w:val="007A7B48"/>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8CF"/>
    <w:rsid w:val="007C6BC6"/>
    <w:rsid w:val="007C6C12"/>
    <w:rsid w:val="007C73B2"/>
    <w:rsid w:val="007D0435"/>
    <w:rsid w:val="007D1B24"/>
    <w:rsid w:val="007D3A3E"/>
    <w:rsid w:val="007D400A"/>
    <w:rsid w:val="007D4B0E"/>
    <w:rsid w:val="007D4DD2"/>
    <w:rsid w:val="007D5D0F"/>
    <w:rsid w:val="007D6EA8"/>
    <w:rsid w:val="007E1247"/>
    <w:rsid w:val="007E1A44"/>
    <w:rsid w:val="007E2419"/>
    <w:rsid w:val="007E3B5E"/>
    <w:rsid w:val="007E3FF5"/>
    <w:rsid w:val="007E4219"/>
    <w:rsid w:val="007E577E"/>
    <w:rsid w:val="007E635E"/>
    <w:rsid w:val="007E6A9C"/>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09C"/>
    <w:rsid w:val="007F5975"/>
    <w:rsid w:val="007F5AB9"/>
    <w:rsid w:val="007F6497"/>
    <w:rsid w:val="007F6836"/>
    <w:rsid w:val="007F7DF2"/>
    <w:rsid w:val="00800A35"/>
    <w:rsid w:val="00800D91"/>
    <w:rsid w:val="008015F2"/>
    <w:rsid w:val="00801A0E"/>
    <w:rsid w:val="008030F6"/>
    <w:rsid w:val="00804E4C"/>
    <w:rsid w:val="0080662C"/>
    <w:rsid w:val="008070B2"/>
    <w:rsid w:val="00807D79"/>
    <w:rsid w:val="00810102"/>
    <w:rsid w:val="008102BC"/>
    <w:rsid w:val="008116F3"/>
    <w:rsid w:val="008117C4"/>
    <w:rsid w:val="00812461"/>
    <w:rsid w:val="008127E0"/>
    <w:rsid w:val="00812810"/>
    <w:rsid w:val="0081398E"/>
    <w:rsid w:val="00814339"/>
    <w:rsid w:val="008149D8"/>
    <w:rsid w:val="00815714"/>
    <w:rsid w:val="008158EE"/>
    <w:rsid w:val="00815A2A"/>
    <w:rsid w:val="0081685F"/>
    <w:rsid w:val="0081788A"/>
    <w:rsid w:val="00817927"/>
    <w:rsid w:val="00817CFC"/>
    <w:rsid w:val="00817E82"/>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E2"/>
    <w:rsid w:val="00834EA4"/>
    <w:rsid w:val="008354B9"/>
    <w:rsid w:val="00835DCB"/>
    <w:rsid w:val="00836045"/>
    <w:rsid w:val="00836599"/>
    <w:rsid w:val="00836921"/>
    <w:rsid w:val="00837237"/>
    <w:rsid w:val="008376C0"/>
    <w:rsid w:val="0084035D"/>
    <w:rsid w:val="008405F9"/>
    <w:rsid w:val="0084060B"/>
    <w:rsid w:val="0084139B"/>
    <w:rsid w:val="0084143B"/>
    <w:rsid w:val="00842547"/>
    <w:rsid w:val="008427D3"/>
    <w:rsid w:val="008429CF"/>
    <w:rsid w:val="0084324C"/>
    <w:rsid w:val="008451F8"/>
    <w:rsid w:val="008457D2"/>
    <w:rsid w:val="00846212"/>
    <w:rsid w:val="008468E0"/>
    <w:rsid w:val="00846B57"/>
    <w:rsid w:val="0084790F"/>
    <w:rsid w:val="00847BE7"/>
    <w:rsid w:val="00850EAB"/>
    <w:rsid w:val="00851D70"/>
    <w:rsid w:val="008529B3"/>
    <w:rsid w:val="00852ADD"/>
    <w:rsid w:val="00853883"/>
    <w:rsid w:val="00854CF7"/>
    <w:rsid w:val="00854DA7"/>
    <w:rsid w:val="00854DB9"/>
    <w:rsid w:val="008557A0"/>
    <w:rsid w:val="00856607"/>
    <w:rsid w:val="0086159C"/>
    <w:rsid w:val="008616A2"/>
    <w:rsid w:val="00861C6C"/>
    <w:rsid w:val="00863862"/>
    <w:rsid w:val="00863AAD"/>
    <w:rsid w:val="00864644"/>
    <w:rsid w:val="00866296"/>
    <w:rsid w:val="008665C7"/>
    <w:rsid w:val="008707A3"/>
    <w:rsid w:val="00870A36"/>
    <w:rsid w:val="008724F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59FC"/>
    <w:rsid w:val="00896668"/>
    <w:rsid w:val="008A1D0E"/>
    <w:rsid w:val="008A25EA"/>
    <w:rsid w:val="008A31C7"/>
    <w:rsid w:val="008A3215"/>
    <w:rsid w:val="008A3AA3"/>
    <w:rsid w:val="008A3E8B"/>
    <w:rsid w:val="008A47BE"/>
    <w:rsid w:val="008A4AEC"/>
    <w:rsid w:val="008A5609"/>
    <w:rsid w:val="008A6DD5"/>
    <w:rsid w:val="008A6DF0"/>
    <w:rsid w:val="008A6FA0"/>
    <w:rsid w:val="008B15CE"/>
    <w:rsid w:val="008B1C8F"/>
    <w:rsid w:val="008B2570"/>
    <w:rsid w:val="008B2B19"/>
    <w:rsid w:val="008B2F40"/>
    <w:rsid w:val="008B2FCD"/>
    <w:rsid w:val="008B3627"/>
    <w:rsid w:val="008B3EAD"/>
    <w:rsid w:val="008B410E"/>
    <w:rsid w:val="008B56A0"/>
    <w:rsid w:val="008B5AA1"/>
    <w:rsid w:val="008B5E61"/>
    <w:rsid w:val="008B64CE"/>
    <w:rsid w:val="008B7914"/>
    <w:rsid w:val="008C127A"/>
    <w:rsid w:val="008C18BD"/>
    <w:rsid w:val="008C1932"/>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6C9"/>
    <w:rsid w:val="008D478E"/>
    <w:rsid w:val="008D534E"/>
    <w:rsid w:val="008D683E"/>
    <w:rsid w:val="008D6E81"/>
    <w:rsid w:val="008D7739"/>
    <w:rsid w:val="008D7A64"/>
    <w:rsid w:val="008E0302"/>
    <w:rsid w:val="008E1267"/>
    <w:rsid w:val="008E19FD"/>
    <w:rsid w:val="008E22F8"/>
    <w:rsid w:val="008E39D8"/>
    <w:rsid w:val="008E4BD6"/>
    <w:rsid w:val="008E5D73"/>
    <w:rsid w:val="008E606F"/>
    <w:rsid w:val="008E6AD9"/>
    <w:rsid w:val="008F022A"/>
    <w:rsid w:val="008F06FD"/>
    <w:rsid w:val="008F1172"/>
    <w:rsid w:val="008F27E3"/>
    <w:rsid w:val="008F3485"/>
    <w:rsid w:val="008F3AC3"/>
    <w:rsid w:val="008F51FF"/>
    <w:rsid w:val="008F5DEF"/>
    <w:rsid w:val="008F7C0A"/>
    <w:rsid w:val="00901DBB"/>
    <w:rsid w:val="00901DDE"/>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101"/>
    <w:rsid w:val="0092050A"/>
    <w:rsid w:val="00920EC6"/>
    <w:rsid w:val="0092101E"/>
    <w:rsid w:val="0092383B"/>
    <w:rsid w:val="00924119"/>
    <w:rsid w:val="00925120"/>
    <w:rsid w:val="009255FA"/>
    <w:rsid w:val="009262E4"/>
    <w:rsid w:val="009266D2"/>
    <w:rsid w:val="00927D4E"/>
    <w:rsid w:val="00930AC2"/>
    <w:rsid w:val="00930D2A"/>
    <w:rsid w:val="009312BF"/>
    <w:rsid w:val="00931B84"/>
    <w:rsid w:val="009322B2"/>
    <w:rsid w:val="00932E7E"/>
    <w:rsid w:val="0093442D"/>
    <w:rsid w:val="00934A60"/>
    <w:rsid w:val="00934CD2"/>
    <w:rsid w:val="009375E5"/>
    <w:rsid w:val="00937BC5"/>
    <w:rsid w:val="00937D30"/>
    <w:rsid w:val="00940664"/>
    <w:rsid w:val="00941848"/>
    <w:rsid w:val="0094337A"/>
    <w:rsid w:val="00943503"/>
    <w:rsid w:val="009437F2"/>
    <w:rsid w:val="009442E8"/>
    <w:rsid w:val="00944BA7"/>
    <w:rsid w:val="0094636D"/>
    <w:rsid w:val="009469F9"/>
    <w:rsid w:val="0094759C"/>
    <w:rsid w:val="009503FE"/>
    <w:rsid w:val="00950448"/>
    <w:rsid w:val="009507D4"/>
    <w:rsid w:val="00950ACD"/>
    <w:rsid w:val="00950E37"/>
    <w:rsid w:val="00951666"/>
    <w:rsid w:val="0095182F"/>
    <w:rsid w:val="00952524"/>
    <w:rsid w:val="0095278F"/>
    <w:rsid w:val="00953EAF"/>
    <w:rsid w:val="0095426C"/>
    <w:rsid w:val="00955EE9"/>
    <w:rsid w:val="00956BF5"/>
    <w:rsid w:val="009571C2"/>
    <w:rsid w:val="009575C3"/>
    <w:rsid w:val="0095770C"/>
    <w:rsid w:val="009579AF"/>
    <w:rsid w:val="00957CC8"/>
    <w:rsid w:val="00957EE7"/>
    <w:rsid w:val="0096086A"/>
    <w:rsid w:val="00961453"/>
    <w:rsid w:val="009616D4"/>
    <w:rsid w:val="00962150"/>
    <w:rsid w:val="0096366F"/>
    <w:rsid w:val="00964166"/>
    <w:rsid w:val="009645AD"/>
    <w:rsid w:val="0096475C"/>
    <w:rsid w:val="0096546E"/>
    <w:rsid w:val="0096562A"/>
    <w:rsid w:val="00965865"/>
    <w:rsid w:val="00966096"/>
    <w:rsid w:val="00966A13"/>
    <w:rsid w:val="00967473"/>
    <w:rsid w:val="00967730"/>
    <w:rsid w:val="00970D56"/>
    <w:rsid w:val="00970E50"/>
    <w:rsid w:val="00971074"/>
    <w:rsid w:val="0097124B"/>
    <w:rsid w:val="009725B2"/>
    <w:rsid w:val="009747AA"/>
    <w:rsid w:val="00974B99"/>
    <w:rsid w:val="00974BCB"/>
    <w:rsid w:val="0097529C"/>
    <w:rsid w:val="009758CD"/>
    <w:rsid w:val="00975BF2"/>
    <w:rsid w:val="009763E4"/>
    <w:rsid w:val="0097649D"/>
    <w:rsid w:val="0097654D"/>
    <w:rsid w:val="009766B7"/>
    <w:rsid w:val="00980A22"/>
    <w:rsid w:val="00980D85"/>
    <w:rsid w:val="00981E09"/>
    <w:rsid w:val="00983094"/>
    <w:rsid w:val="00983599"/>
    <w:rsid w:val="009843DE"/>
    <w:rsid w:val="0098544F"/>
    <w:rsid w:val="00985B04"/>
    <w:rsid w:val="00986A6D"/>
    <w:rsid w:val="00986BEF"/>
    <w:rsid w:val="00987298"/>
    <w:rsid w:val="00991DF8"/>
    <w:rsid w:val="00992499"/>
    <w:rsid w:val="00992986"/>
    <w:rsid w:val="009936E2"/>
    <w:rsid w:val="00994B55"/>
    <w:rsid w:val="00995D86"/>
    <w:rsid w:val="00995FB2"/>
    <w:rsid w:val="0099781E"/>
    <w:rsid w:val="00997A68"/>
    <w:rsid w:val="009A00EA"/>
    <w:rsid w:val="009A0587"/>
    <w:rsid w:val="009A1F6B"/>
    <w:rsid w:val="009A2C4C"/>
    <w:rsid w:val="009A2DD8"/>
    <w:rsid w:val="009A30DE"/>
    <w:rsid w:val="009A3D29"/>
    <w:rsid w:val="009A4F34"/>
    <w:rsid w:val="009A509F"/>
    <w:rsid w:val="009A5453"/>
    <w:rsid w:val="009A580A"/>
    <w:rsid w:val="009A60C9"/>
    <w:rsid w:val="009A7532"/>
    <w:rsid w:val="009A7883"/>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375C"/>
    <w:rsid w:val="009C4E0D"/>
    <w:rsid w:val="009C4F1B"/>
    <w:rsid w:val="009C503B"/>
    <w:rsid w:val="009C5653"/>
    <w:rsid w:val="009C5816"/>
    <w:rsid w:val="009C61EA"/>
    <w:rsid w:val="009C63EC"/>
    <w:rsid w:val="009C6632"/>
    <w:rsid w:val="009C7DAC"/>
    <w:rsid w:val="009D08A6"/>
    <w:rsid w:val="009D1B69"/>
    <w:rsid w:val="009D1EB3"/>
    <w:rsid w:val="009D2ABF"/>
    <w:rsid w:val="009D317A"/>
    <w:rsid w:val="009D3AD2"/>
    <w:rsid w:val="009D3E06"/>
    <w:rsid w:val="009D5843"/>
    <w:rsid w:val="009D638D"/>
    <w:rsid w:val="009D6393"/>
    <w:rsid w:val="009D7E0F"/>
    <w:rsid w:val="009E0885"/>
    <w:rsid w:val="009E1CC8"/>
    <w:rsid w:val="009E2827"/>
    <w:rsid w:val="009E2961"/>
    <w:rsid w:val="009E30D2"/>
    <w:rsid w:val="009E4885"/>
    <w:rsid w:val="009E508B"/>
    <w:rsid w:val="009E60CF"/>
    <w:rsid w:val="009E6A00"/>
    <w:rsid w:val="009F03AB"/>
    <w:rsid w:val="009F0619"/>
    <w:rsid w:val="009F068A"/>
    <w:rsid w:val="009F08C5"/>
    <w:rsid w:val="009F0A85"/>
    <w:rsid w:val="009F1260"/>
    <w:rsid w:val="009F1B71"/>
    <w:rsid w:val="009F220A"/>
    <w:rsid w:val="009F36D6"/>
    <w:rsid w:val="009F6575"/>
    <w:rsid w:val="009F7ADC"/>
    <w:rsid w:val="00A0002A"/>
    <w:rsid w:val="00A0236D"/>
    <w:rsid w:val="00A02985"/>
    <w:rsid w:val="00A02B2B"/>
    <w:rsid w:val="00A02FA8"/>
    <w:rsid w:val="00A03AD2"/>
    <w:rsid w:val="00A03F1A"/>
    <w:rsid w:val="00A03F74"/>
    <w:rsid w:val="00A046BF"/>
    <w:rsid w:val="00A05B25"/>
    <w:rsid w:val="00A05C04"/>
    <w:rsid w:val="00A06254"/>
    <w:rsid w:val="00A06842"/>
    <w:rsid w:val="00A07459"/>
    <w:rsid w:val="00A07DB6"/>
    <w:rsid w:val="00A10972"/>
    <w:rsid w:val="00A11406"/>
    <w:rsid w:val="00A13205"/>
    <w:rsid w:val="00A132A1"/>
    <w:rsid w:val="00A15132"/>
    <w:rsid w:val="00A1554D"/>
    <w:rsid w:val="00A15792"/>
    <w:rsid w:val="00A158E3"/>
    <w:rsid w:val="00A1591A"/>
    <w:rsid w:val="00A172E0"/>
    <w:rsid w:val="00A221A3"/>
    <w:rsid w:val="00A223D5"/>
    <w:rsid w:val="00A23F41"/>
    <w:rsid w:val="00A25547"/>
    <w:rsid w:val="00A3003E"/>
    <w:rsid w:val="00A31E14"/>
    <w:rsid w:val="00A34276"/>
    <w:rsid w:val="00A34524"/>
    <w:rsid w:val="00A345B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46E"/>
    <w:rsid w:val="00A468FD"/>
    <w:rsid w:val="00A46921"/>
    <w:rsid w:val="00A47249"/>
    <w:rsid w:val="00A47E3B"/>
    <w:rsid w:val="00A501C7"/>
    <w:rsid w:val="00A5058A"/>
    <w:rsid w:val="00A50905"/>
    <w:rsid w:val="00A513FD"/>
    <w:rsid w:val="00A5254B"/>
    <w:rsid w:val="00A52BC1"/>
    <w:rsid w:val="00A534A0"/>
    <w:rsid w:val="00A537EA"/>
    <w:rsid w:val="00A539AD"/>
    <w:rsid w:val="00A53E3E"/>
    <w:rsid w:val="00A540B2"/>
    <w:rsid w:val="00A5414D"/>
    <w:rsid w:val="00A54A3E"/>
    <w:rsid w:val="00A56819"/>
    <w:rsid w:val="00A568AC"/>
    <w:rsid w:val="00A6025F"/>
    <w:rsid w:val="00A60E9C"/>
    <w:rsid w:val="00A6131E"/>
    <w:rsid w:val="00A616AF"/>
    <w:rsid w:val="00A61879"/>
    <w:rsid w:val="00A628B4"/>
    <w:rsid w:val="00A63E4E"/>
    <w:rsid w:val="00A6444F"/>
    <w:rsid w:val="00A652FF"/>
    <w:rsid w:val="00A65A0D"/>
    <w:rsid w:val="00A65C27"/>
    <w:rsid w:val="00A65F3C"/>
    <w:rsid w:val="00A66DEC"/>
    <w:rsid w:val="00A66FB3"/>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5186"/>
    <w:rsid w:val="00A951AD"/>
    <w:rsid w:val="00A9600A"/>
    <w:rsid w:val="00A961BD"/>
    <w:rsid w:val="00AA027E"/>
    <w:rsid w:val="00AA1224"/>
    <w:rsid w:val="00AA14F2"/>
    <w:rsid w:val="00AA180B"/>
    <w:rsid w:val="00AA1BBD"/>
    <w:rsid w:val="00AA1D43"/>
    <w:rsid w:val="00AA2469"/>
    <w:rsid w:val="00AA2CD7"/>
    <w:rsid w:val="00AA2FA4"/>
    <w:rsid w:val="00AA3301"/>
    <w:rsid w:val="00AA3360"/>
    <w:rsid w:val="00AA386B"/>
    <w:rsid w:val="00AA4BDF"/>
    <w:rsid w:val="00AA6384"/>
    <w:rsid w:val="00AA6B93"/>
    <w:rsid w:val="00AA7A06"/>
    <w:rsid w:val="00AA7A7F"/>
    <w:rsid w:val="00AB1984"/>
    <w:rsid w:val="00AB1CBB"/>
    <w:rsid w:val="00AB215B"/>
    <w:rsid w:val="00AB2906"/>
    <w:rsid w:val="00AB333E"/>
    <w:rsid w:val="00AB37DB"/>
    <w:rsid w:val="00AB3ECC"/>
    <w:rsid w:val="00AB592A"/>
    <w:rsid w:val="00AB5A73"/>
    <w:rsid w:val="00AB5F48"/>
    <w:rsid w:val="00AB6DFA"/>
    <w:rsid w:val="00AB716D"/>
    <w:rsid w:val="00AB72BB"/>
    <w:rsid w:val="00AB7BF3"/>
    <w:rsid w:val="00AC09D5"/>
    <w:rsid w:val="00AC0D8E"/>
    <w:rsid w:val="00AC175B"/>
    <w:rsid w:val="00AC1AA3"/>
    <w:rsid w:val="00AC1F8E"/>
    <w:rsid w:val="00AC22C1"/>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D36"/>
    <w:rsid w:val="00AE0DED"/>
    <w:rsid w:val="00AE284A"/>
    <w:rsid w:val="00AE307E"/>
    <w:rsid w:val="00AE3E11"/>
    <w:rsid w:val="00AE40B3"/>
    <w:rsid w:val="00AE4BDC"/>
    <w:rsid w:val="00AE4CFD"/>
    <w:rsid w:val="00AE4EA6"/>
    <w:rsid w:val="00AE55AD"/>
    <w:rsid w:val="00AE5D8F"/>
    <w:rsid w:val="00AE67D5"/>
    <w:rsid w:val="00AE78ED"/>
    <w:rsid w:val="00AE7AC2"/>
    <w:rsid w:val="00AE7EC9"/>
    <w:rsid w:val="00AF099C"/>
    <w:rsid w:val="00AF1117"/>
    <w:rsid w:val="00AF1555"/>
    <w:rsid w:val="00AF174E"/>
    <w:rsid w:val="00AF18BA"/>
    <w:rsid w:val="00AF228C"/>
    <w:rsid w:val="00AF2DB9"/>
    <w:rsid w:val="00AF356E"/>
    <w:rsid w:val="00AF3928"/>
    <w:rsid w:val="00AF3B55"/>
    <w:rsid w:val="00AF3D62"/>
    <w:rsid w:val="00AF4146"/>
    <w:rsid w:val="00AF6AC5"/>
    <w:rsid w:val="00AF7809"/>
    <w:rsid w:val="00AF7F7B"/>
    <w:rsid w:val="00B0104B"/>
    <w:rsid w:val="00B021E0"/>
    <w:rsid w:val="00B03A30"/>
    <w:rsid w:val="00B03A35"/>
    <w:rsid w:val="00B04F99"/>
    <w:rsid w:val="00B0572D"/>
    <w:rsid w:val="00B057B6"/>
    <w:rsid w:val="00B05A7C"/>
    <w:rsid w:val="00B06361"/>
    <w:rsid w:val="00B0651D"/>
    <w:rsid w:val="00B06955"/>
    <w:rsid w:val="00B07BEA"/>
    <w:rsid w:val="00B07F41"/>
    <w:rsid w:val="00B102F9"/>
    <w:rsid w:val="00B11C80"/>
    <w:rsid w:val="00B12152"/>
    <w:rsid w:val="00B12DCA"/>
    <w:rsid w:val="00B13E6E"/>
    <w:rsid w:val="00B13ECB"/>
    <w:rsid w:val="00B15158"/>
    <w:rsid w:val="00B1524F"/>
    <w:rsid w:val="00B152C4"/>
    <w:rsid w:val="00B15ECF"/>
    <w:rsid w:val="00B16C0A"/>
    <w:rsid w:val="00B17F60"/>
    <w:rsid w:val="00B2039A"/>
    <w:rsid w:val="00B20AC8"/>
    <w:rsid w:val="00B215D5"/>
    <w:rsid w:val="00B225CB"/>
    <w:rsid w:val="00B22870"/>
    <w:rsid w:val="00B22A22"/>
    <w:rsid w:val="00B22AA6"/>
    <w:rsid w:val="00B23F4C"/>
    <w:rsid w:val="00B246DD"/>
    <w:rsid w:val="00B248D8"/>
    <w:rsid w:val="00B24BA7"/>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3CE6"/>
    <w:rsid w:val="00B45528"/>
    <w:rsid w:val="00B463B9"/>
    <w:rsid w:val="00B478FA"/>
    <w:rsid w:val="00B50156"/>
    <w:rsid w:val="00B501E8"/>
    <w:rsid w:val="00B502A3"/>
    <w:rsid w:val="00B50953"/>
    <w:rsid w:val="00B509AE"/>
    <w:rsid w:val="00B50E13"/>
    <w:rsid w:val="00B51260"/>
    <w:rsid w:val="00B51581"/>
    <w:rsid w:val="00B518AD"/>
    <w:rsid w:val="00B51BB6"/>
    <w:rsid w:val="00B52B0E"/>
    <w:rsid w:val="00B52D81"/>
    <w:rsid w:val="00B5355B"/>
    <w:rsid w:val="00B5402E"/>
    <w:rsid w:val="00B540E8"/>
    <w:rsid w:val="00B55852"/>
    <w:rsid w:val="00B560A9"/>
    <w:rsid w:val="00B56866"/>
    <w:rsid w:val="00B56CC4"/>
    <w:rsid w:val="00B57220"/>
    <w:rsid w:val="00B60464"/>
    <w:rsid w:val="00B604BB"/>
    <w:rsid w:val="00B6062A"/>
    <w:rsid w:val="00B60A96"/>
    <w:rsid w:val="00B60DD7"/>
    <w:rsid w:val="00B60EB6"/>
    <w:rsid w:val="00B60EE5"/>
    <w:rsid w:val="00B616A5"/>
    <w:rsid w:val="00B628BE"/>
    <w:rsid w:val="00B637FB"/>
    <w:rsid w:val="00B6386F"/>
    <w:rsid w:val="00B657FA"/>
    <w:rsid w:val="00B65D9B"/>
    <w:rsid w:val="00B66E51"/>
    <w:rsid w:val="00B67346"/>
    <w:rsid w:val="00B6793A"/>
    <w:rsid w:val="00B67AC3"/>
    <w:rsid w:val="00B70880"/>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1A33"/>
    <w:rsid w:val="00B82B2D"/>
    <w:rsid w:val="00B83117"/>
    <w:rsid w:val="00B8319C"/>
    <w:rsid w:val="00B87918"/>
    <w:rsid w:val="00B90351"/>
    <w:rsid w:val="00B906F2"/>
    <w:rsid w:val="00B90D9B"/>
    <w:rsid w:val="00B91259"/>
    <w:rsid w:val="00B91B81"/>
    <w:rsid w:val="00B91FF0"/>
    <w:rsid w:val="00B92FFF"/>
    <w:rsid w:val="00B93E75"/>
    <w:rsid w:val="00B9492E"/>
    <w:rsid w:val="00B9530B"/>
    <w:rsid w:val="00B96799"/>
    <w:rsid w:val="00B96DE5"/>
    <w:rsid w:val="00B97A76"/>
    <w:rsid w:val="00BA0166"/>
    <w:rsid w:val="00BA0584"/>
    <w:rsid w:val="00BA1E9D"/>
    <w:rsid w:val="00BA249D"/>
    <w:rsid w:val="00BA4D00"/>
    <w:rsid w:val="00BA5665"/>
    <w:rsid w:val="00BB02BC"/>
    <w:rsid w:val="00BB0A6D"/>
    <w:rsid w:val="00BB0AB5"/>
    <w:rsid w:val="00BB195B"/>
    <w:rsid w:val="00BB197B"/>
    <w:rsid w:val="00BB1BBA"/>
    <w:rsid w:val="00BB204A"/>
    <w:rsid w:val="00BB33E9"/>
    <w:rsid w:val="00BB34B7"/>
    <w:rsid w:val="00BB39BC"/>
    <w:rsid w:val="00BB3BE4"/>
    <w:rsid w:val="00BB44DB"/>
    <w:rsid w:val="00BB57D3"/>
    <w:rsid w:val="00BB58EE"/>
    <w:rsid w:val="00BB64EC"/>
    <w:rsid w:val="00BB7589"/>
    <w:rsid w:val="00BC077E"/>
    <w:rsid w:val="00BC0E57"/>
    <w:rsid w:val="00BC1F5F"/>
    <w:rsid w:val="00BC21BE"/>
    <w:rsid w:val="00BC2465"/>
    <w:rsid w:val="00BC3E36"/>
    <w:rsid w:val="00BC4CE8"/>
    <w:rsid w:val="00BC4D54"/>
    <w:rsid w:val="00BC7632"/>
    <w:rsid w:val="00BC7C9E"/>
    <w:rsid w:val="00BD1E79"/>
    <w:rsid w:val="00BD23A5"/>
    <w:rsid w:val="00BD2937"/>
    <w:rsid w:val="00BD2AFC"/>
    <w:rsid w:val="00BD2CD4"/>
    <w:rsid w:val="00BD330C"/>
    <w:rsid w:val="00BD359B"/>
    <w:rsid w:val="00BD3663"/>
    <w:rsid w:val="00BD367F"/>
    <w:rsid w:val="00BD3D33"/>
    <w:rsid w:val="00BD4871"/>
    <w:rsid w:val="00BD48A9"/>
    <w:rsid w:val="00BD5712"/>
    <w:rsid w:val="00BD581A"/>
    <w:rsid w:val="00BD5C02"/>
    <w:rsid w:val="00BD658C"/>
    <w:rsid w:val="00BD6819"/>
    <w:rsid w:val="00BD6DB9"/>
    <w:rsid w:val="00BD7EC6"/>
    <w:rsid w:val="00BE01A2"/>
    <w:rsid w:val="00BE0FF2"/>
    <w:rsid w:val="00BE1345"/>
    <w:rsid w:val="00BE18BC"/>
    <w:rsid w:val="00BE2147"/>
    <w:rsid w:val="00BE239E"/>
    <w:rsid w:val="00BE3B83"/>
    <w:rsid w:val="00BE3C67"/>
    <w:rsid w:val="00BE3CF7"/>
    <w:rsid w:val="00BE42FC"/>
    <w:rsid w:val="00BE66FC"/>
    <w:rsid w:val="00BE73FA"/>
    <w:rsid w:val="00BF00D1"/>
    <w:rsid w:val="00BF0353"/>
    <w:rsid w:val="00BF090A"/>
    <w:rsid w:val="00BF15BE"/>
    <w:rsid w:val="00BF2001"/>
    <w:rsid w:val="00BF2575"/>
    <w:rsid w:val="00BF31A0"/>
    <w:rsid w:val="00BF323A"/>
    <w:rsid w:val="00BF36C0"/>
    <w:rsid w:val="00BF3F0A"/>
    <w:rsid w:val="00BF4E35"/>
    <w:rsid w:val="00BF6F82"/>
    <w:rsid w:val="00BF7B9B"/>
    <w:rsid w:val="00C0083F"/>
    <w:rsid w:val="00C00976"/>
    <w:rsid w:val="00C020CD"/>
    <w:rsid w:val="00C02DDE"/>
    <w:rsid w:val="00C0367B"/>
    <w:rsid w:val="00C04E51"/>
    <w:rsid w:val="00C05074"/>
    <w:rsid w:val="00C05AF9"/>
    <w:rsid w:val="00C060A3"/>
    <w:rsid w:val="00C060B0"/>
    <w:rsid w:val="00C06D2C"/>
    <w:rsid w:val="00C06F07"/>
    <w:rsid w:val="00C072F0"/>
    <w:rsid w:val="00C07344"/>
    <w:rsid w:val="00C079A3"/>
    <w:rsid w:val="00C07C1F"/>
    <w:rsid w:val="00C11A79"/>
    <w:rsid w:val="00C13096"/>
    <w:rsid w:val="00C13607"/>
    <w:rsid w:val="00C137B1"/>
    <w:rsid w:val="00C13B43"/>
    <w:rsid w:val="00C15E81"/>
    <w:rsid w:val="00C174C9"/>
    <w:rsid w:val="00C177E9"/>
    <w:rsid w:val="00C17B6E"/>
    <w:rsid w:val="00C20748"/>
    <w:rsid w:val="00C20754"/>
    <w:rsid w:val="00C21378"/>
    <w:rsid w:val="00C220A5"/>
    <w:rsid w:val="00C22307"/>
    <w:rsid w:val="00C22BB2"/>
    <w:rsid w:val="00C22EAF"/>
    <w:rsid w:val="00C23150"/>
    <w:rsid w:val="00C24580"/>
    <w:rsid w:val="00C24908"/>
    <w:rsid w:val="00C250E8"/>
    <w:rsid w:val="00C2515F"/>
    <w:rsid w:val="00C25DCF"/>
    <w:rsid w:val="00C26AEA"/>
    <w:rsid w:val="00C276EC"/>
    <w:rsid w:val="00C27C0A"/>
    <w:rsid w:val="00C30337"/>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C56"/>
    <w:rsid w:val="00C45CCD"/>
    <w:rsid w:val="00C46734"/>
    <w:rsid w:val="00C5105D"/>
    <w:rsid w:val="00C511F0"/>
    <w:rsid w:val="00C513C7"/>
    <w:rsid w:val="00C51639"/>
    <w:rsid w:val="00C53220"/>
    <w:rsid w:val="00C533A0"/>
    <w:rsid w:val="00C537E7"/>
    <w:rsid w:val="00C53E9D"/>
    <w:rsid w:val="00C5426B"/>
    <w:rsid w:val="00C54C18"/>
    <w:rsid w:val="00C573DA"/>
    <w:rsid w:val="00C5772E"/>
    <w:rsid w:val="00C5781B"/>
    <w:rsid w:val="00C613FB"/>
    <w:rsid w:val="00C616B4"/>
    <w:rsid w:val="00C621A7"/>
    <w:rsid w:val="00C626FA"/>
    <w:rsid w:val="00C62BF2"/>
    <w:rsid w:val="00C62D1B"/>
    <w:rsid w:val="00C638A6"/>
    <w:rsid w:val="00C63FB9"/>
    <w:rsid w:val="00C64266"/>
    <w:rsid w:val="00C647DF"/>
    <w:rsid w:val="00C65B82"/>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DEF"/>
    <w:rsid w:val="00C910F8"/>
    <w:rsid w:val="00C91106"/>
    <w:rsid w:val="00C9117B"/>
    <w:rsid w:val="00C91D19"/>
    <w:rsid w:val="00C93B58"/>
    <w:rsid w:val="00C93C2F"/>
    <w:rsid w:val="00C9437C"/>
    <w:rsid w:val="00C946FF"/>
    <w:rsid w:val="00C94A14"/>
    <w:rsid w:val="00C94CDA"/>
    <w:rsid w:val="00C95BED"/>
    <w:rsid w:val="00C96725"/>
    <w:rsid w:val="00C97A66"/>
    <w:rsid w:val="00CA007B"/>
    <w:rsid w:val="00CA08DB"/>
    <w:rsid w:val="00CA0AA4"/>
    <w:rsid w:val="00CA15B0"/>
    <w:rsid w:val="00CA1D4C"/>
    <w:rsid w:val="00CA1D50"/>
    <w:rsid w:val="00CA1DAB"/>
    <w:rsid w:val="00CA20E0"/>
    <w:rsid w:val="00CA3347"/>
    <w:rsid w:val="00CA523D"/>
    <w:rsid w:val="00CA6FDA"/>
    <w:rsid w:val="00CA77CF"/>
    <w:rsid w:val="00CA7B58"/>
    <w:rsid w:val="00CB1413"/>
    <w:rsid w:val="00CB2518"/>
    <w:rsid w:val="00CB3920"/>
    <w:rsid w:val="00CB3B61"/>
    <w:rsid w:val="00CB4C4C"/>
    <w:rsid w:val="00CB6413"/>
    <w:rsid w:val="00CB696F"/>
    <w:rsid w:val="00CB77F4"/>
    <w:rsid w:val="00CC0F1C"/>
    <w:rsid w:val="00CC299A"/>
    <w:rsid w:val="00CC2FA6"/>
    <w:rsid w:val="00CC3039"/>
    <w:rsid w:val="00CC32B7"/>
    <w:rsid w:val="00CC36DE"/>
    <w:rsid w:val="00CC4F99"/>
    <w:rsid w:val="00CC5FC3"/>
    <w:rsid w:val="00CC6369"/>
    <w:rsid w:val="00CC65D6"/>
    <w:rsid w:val="00CC73F3"/>
    <w:rsid w:val="00CD081C"/>
    <w:rsid w:val="00CD14DA"/>
    <w:rsid w:val="00CD1B5A"/>
    <w:rsid w:val="00CD1E9C"/>
    <w:rsid w:val="00CD27DB"/>
    <w:rsid w:val="00CD2E70"/>
    <w:rsid w:val="00CD386B"/>
    <w:rsid w:val="00CD3D06"/>
    <w:rsid w:val="00CD47AC"/>
    <w:rsid w:val="00CD4A09"/>
    <w:rsid w:val="00CD4C67"/>
    <w:rsid w:val="00CD4C7B"/>
    <w:rsid w:val="00CD5397"/>
    <w:rsid w:val="00CD5E93"/>
    <w:rsid w:val="00CE15AE"/>
    <w:rsid w:val="00CE1CFC"/>
    <w:rsid w:val="00CE235A"/>
    <w:rsid w:val="00CE37A3"/>
    <w:rsid w:val="00CE3814"/>
    <w:rsid w:val="00CE3AB9"/>
    <w:rsid w:val="00CE56B7"/>
    <w:rsid w:val="00CE6660"/>
    <w:rsid w:val="00CE6855"/>
    <w:rsid w:val="00CE6B6F"/>
    <w:rsid w:val="00CE7033"/>
    <w:rsid w:val="00CE770A"/>
    <w:rsid w:val="00CF02A6"/>
    <w:rsid w:val="00CF06CF"/>
    <w:rsid w:val="00CF101C"/>
    <w:rsid w:val="00CF1BC0"/>
    <w:rsid w:val="00CF2DC1"/>
    <w:rsid w:val="00CF2EE2"/>
    <w:rsid w:val="00CF3948"/>
    <w:rsid w:val="00CF3ACF"/>
    <w:rsid w:val="00CF441D"/>
    <w:rsid w:val="00CF4FCF"/>
    <w:rsid w:val="00CF4FDC"/>
    <w:rsid w:val="00CF56AF"/>
    <w:rsid w:val="00CF5BE0"/>
    <w:rsid w:val="00CF61CB"/>
    <w:rsid w:val="00CF666F"/>
    <w:rsid w:val="00CF686F"/>
    <w:rsid w:val="00CF6E7D"/>
    <w:rsid w:val="00D00175"/>
    <w:rsid w:val="00D00223"/>
    <w:rsid w:val="00D00DBF"/>
    <w:rsid w:val="00D0149B"/>
    <w:rsid w:val="00D01F5D"/>
    <w:rsid w:val="00D01FA9"/>
    <w:rsid w:val="00D03DBE"/>
    <w:rsid w:val="00D03EED"/>
    <w:rsid w:val="00D05965"/>
    <w:rsid w:val="00D0597D"/>
    <w:rsid w:val="00D06274"/>
    <w:rsid w:val="00D066D8"/>
    <w:rsid w:val="00D11949"/>
    <w:rsid w:val="00D11A69"/>
    <w:rsid w:val="00D12C98"/>
    <w:rsid w:val="00D12FFC"/>
    <w:rsid w:val="00D1484F"/>
    <w:rsid w:val="00D14BA0"/>
    <w:rsid w:val="00D14D7B"/>
    <w:rsid w:val="00D1516D"/>
    <w:rsid w:val="00D158B0"/>
    <w:rsid w:val="00D1707A"/>
    <w:rsid w:val="00D21435"/>
    <w:rsid w:val="00D2242C"/>
    <w:rsid w:val="00D224FA"/>
    <w:rsid w:val="00D23033"/>
    <w:rsid w:val="00D2402F"/>
    <w:rsid w:val="00D245C2"/>
    <w:rsid w:val="00D25660"/>
    <w:rsid w:val="00D258EB"/>
    <w:rsid w:val="00D271CD"/>
    <w:rsid w:val="00D315CC"/>
    <w:rsid w:val="00D327A3"/>
    <w:rsid w:val="00D34C82"/>
    <w:rsid w:val="00D35540"/>
    <w:rsid w:val="00D36550"/>
    <w:rsid w:val="00D3720D"/>
    <w:rsid w:val="00D379EC"/>
    <w:rsid w:val="00D41E42"/>
    <w:rsid w:val="00D41F6B"/>
    <w:rsid w:val="00D42380"/>
    <w:rsid w:val="00D42C9B"/>
    <w:rsid w:val="00D4348D"/>
    <w:rsid w:val="00D436D7"/>
    <w:rsid w:val="00D44E42"/>
    <w:rsid w:val="00D44FC3"/>
    <w:rsid w:val="00D450E2"/>
    <w:rsid w:val="00D453D7"/>
    <w:rsid w:val="00D462D6"/>
    <w:rsid w:val="00D474AB"/>
    <w:rsid w:val="00D4754E"/>
    <w:rsid w:val="00D50961"/>
    <w:rsid w:val="00D50A02"/>
    <w:rsid w:val="00D512A1"/>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B58"/>
    <w:rsid w:val="00D6307D"/>
    <w:rsid w:val="00D63632"/>
    <w:rsid w:val="00D63732"/>
    <w:rsid w:val="00D6568E"/>
    <w:rsid w:val="00D65893"/>
    <w:rsid w:val="00D658EC"/>
    <w:rsid w:val="00D663F8"/>
    <w:rsid w:val="00D6742A"/>
    <w:rsid w:val="00D67B9B"/>
    <w:rsid w:val="00D703AA"/>
    <w:rsid w:val="00D71733"/>
    <w:rsid w:val="00D718AC"/>
    <w:rsid w:val="00D719A3"/>
    <w:rsid w:val="00D71E7A"/>
    <w:rsid w:val="00D72DE7"/>
    <w:rsid w:val="00D7302F"/>
    <w:rsid w:val="00D73BB2"/>
    <w:rsid w:val="00D74D14"/>
    <w:rsid w:val="00D74F3B"/>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082F"/>
    <w:rsid w:val="00D914EB"/>
    <w:rsid w:val="00D94085"/>
    <w:rsid w:val="00D96D4F"/>
    <w:rsid w:val="00DA1806"/>
    <w:rsid w:val="00DA1BD1"/>
    <w:rsid w:val="00DA212B"/>
    <w:rsid w:val="00DA3A76"/>
    <w:rsid w:val="00DA6D6D"/>
    <w:rsid w:val="00DA73C1"/>
    <w:rsid w:val="00DA770D"/>
    <w:rsid w:val="00DA7851"/>
    <w:rsid w:val="00DA7DC1"/>
    <w:rsid w:val="00DB00EE"/>
    <w:rsid w:val="00DB0132"/>
    <w:rsid w:val="00DB041F"/>
    <w:rsid w:val="00DB2754"/>
    <w:rsid w:val="00DB2D88"/>
    <w:rsid w:val="00DB3687"/>
    <w:rsid w:val="00DB38D1"/>
    <w:rsid w:val="00DB41CB"/>
    <w:rsid w:val="00DB451A"/>
    <w:rsid w:val="00DB681B"/>
    <w:rsid w:val="00DB7E24"/>
    <w:rsid w:val="00DC0445"/>
    <w:rsid w:val="00DC2082"/>
    <w:rsid w:val="00DC225F"/>
    <w:rsid w:val="00DC2883"/>
    <w:rsid w:val="00DC2C48"/>
    <w:rsid w:val="00DC46B5"/>
    <w:rsid w:val="00DC4984"/>
    <w:rsid w:val="00DC4B28"/>
    <w:rsid w:val="00DC525E"/>
    <w:rsid w:val="00DC535C"/>
    <w:rsid w:val="00DC5DCB"/>
    <w:rsid w:val="00DC6C0D"/>
    <w:rsid w:val="00DC7E40"/>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BB4"/>
    <w:rsid w:val="00E00CAA"/>
    <w:rsid w:val="00E01682"/>
    <w:rsid w:val="00E01D4A"/>
    <w:rsid w:val="00E02F4B"/>
    <w:rsid w:val="00E02FFC"/>
    <w:rsid w:val="00E03D04"/>
    <w:rsid w:val="00E041C3"/>
    <w:rsid w:val="00E04332"/>
    <w:rsid w:val="00E043BB"/>
    <w:rsid w:val="00E04ECF"/>
    <w:rsid w:val="00E0502A"/>
    <w:rsid w:val="00E05902"/>
    <w:rsid w:val="00E067C4"/>
    <w:rsid w:val="00E06A36"/>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C65"/>
    <w:rsid w:val="00E2307E"/>
    <w:rsid w:val="00E2352B"/>
    <w:rsid w:val="00E23E84"/>
    <w:rsid w:val="00E23F9B"/>
    <w:rsid w:val="00E24038"/>
    <w:rsid w:val="00E24D23"/>
    <w:rsid w:val="00E26649"/>
    <w:rsid w:val="00E27021"/>
    <w:rsid w:val="00E2703D"/>
    <w:rsid w:val="00E271F9"/>
    <w:rsid w:val="00E27F0A"/>
    <w:rsid w:val="00E309B0"/>
    <w:rsid w:val="00E326E9"/>
    <w:rsid w:val="00E33344"/>
    <w:rsid w:val="00E352C3"/>
    <w:rsid w:val="00E35476"/>
    <w:rsid w:val="00E355C0"/>
    <w:rsid w:val="00E359A5"/>
    <w:rsid w:val="00E372F7"/>
    <w:rsid w:val="00E3788E"/>
    <w:rsid w:val="00E37DC0"/>
    <w:rsid w:val="00E37EC6"/>
    <w:rsid w:val="00E40432"/>
    <w:rsid w:val="00E40850"/>
    <w:rsid w:val="00E40D52"/>
    <w:rsid w:val="00E41187"/>
    <w:rsid w:val="00E411B3"/>
    <w:rsid w:val="00E41585"/>
    <w:rsid w:val="00E4220D"/>
    <w:rsid w:val="00E4231E"/>
    <w:rsid w:val="00E4279A"/>
    <w:rsid w:val="00E44AC7"/>
    <w:rsid w:val="00E45B2D"/>
    <w:rsid w:val="00E468F2"/>
    <w:rsid w:val="00E47A20"/>
    <w:rsid w:val="00E506AA"/>
    <w:rsid w:val="00E5084C"/>
    <w:rsid w:val="00E50871"/>
    <w:rsid w:val="00E50B4C"/>
    <w:rsid w:val="00E53533"/>
    <w:rsid w:val="00E537ED"/>
    <w:rsid w:val="00E5384D"/>
    <w:rsid w:val="00E53F2E"/>
    <w:rsid w:val="00E54004"/>
    <w:rsid w:val="00E546C9"/>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2FCD"/>
    <w:rsid w:val="00E637A3"/>
    <w:rsid w:val="00E659FD"/>
    <w:rsid w:val="00E65B0C"/>
    <w:rsid w:val="00E66B16"/>
    <w:rsid w:val="00E66BA2"/>
    <w:rsid w:val="00E677DB"/>
    <w:rsid w:val="00E700F8"/>
    <w:rsid w:val="00E71C2D"/>
    <w:rsid w:val="00E7266C"/>
    <w:rsid w:val="00E72BB6"/>
    <w:rsid w:val="00E730AC"/>
    <w:rsid w:val="00E734CE"/>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48F0"/>
    <w:rsid w:val="00E84D1C"/>
    <w:rsid w:val="00E84D9C"/>
    <w:rsid w:val="00E8628F"/>
    <w:rsid w:val="00E86888"/>
    <w:rsid w:val="00E87737"/>
    <w:rsid w:val="00E92C96"/>
    <w:rsid w:val="00E942B8"/>
    <w:rsid w:val="00E944ED"/>
    <w:rsid w:val="00E945AF"/>
    <w:rsid w:val="00E94A0B"/>
    <w:rsid w:val="00E94A2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106"/>
    <w:rsid w:val="00EA3874"/>
    <w:rsid w:val="00EA5AB6"/>
    <w:rsid w:val="00EA612E"/>
    <w:rsid w:val="00EA761C"/>
    <w:rsid w:val="00EA7D7F"/>
    <w:rsid w:val="00EB0810"/>
    <w:rsid w:val="00EB0B5F"/>
    <w:rsid w:val="00EB1CF7"/>
    <w:rsid w:val="00EB25C2"/>
    <w:rsid w:val="00EB2B6F"/>
    <w:rsid w:val="00EB2CAD"/>
    <w:rsid w:val="00EB2FA2"/>
    <w:rsid w:val="00EB3272"/>
    <w:rsid w:val="00EB37B2"/>
    <w:rsid w:val="00EB7352"/>
    <w:rsid w:val="00EB769A"/>
    <w:rsid w:val="00EC11E4"/>
    <w:rsid w:val="00EC14E1"/>
    <w:rsid w:val="00EC2A3F"/>
    <w:rsid w:val="00EC2E64"/>
    <w:rsid w:val="00EC3A35"/>
    <w:rsid w:val="00EC3C52"/>
    <w:rsid w:val="00EC3E69"/>
    <w:rsid w:val="00EC5554"/>
    <w:rsid w:val="00EC572B"/>
    <w:rsid w:val="00EC5B8E"/>
    <w:rsid w:val="00EC7356"/>
    <w:rsid w:val="00EC75F6"/>
    <w:rsid w:val="00ED0065"/>
    <w:rsid w:val="00ED17B5"/>
    <w:rsid w:val="00ED353D"/>
    <w:rsid w:val="00ED4358"/>
    <w:rsid w:val="00ED588C"/>
    <w:rsid w:val="00ED6EA1"/>
    <w:rsid w:val="00ED7A7F"/>
    <w:rsid w:val="00EE07AC"/>
    <w:rsid w:val="00EE0891"/>
    <w:rsid w:val="00EE0BC8"/>
    <w:rsid w:val="00EE1062"/>
    <w:rsid w:val="00EE17F2"/>
    <w:rsid w:val="00EE188A"/>
    <w:rsid w:val="00EE1B01"/>
    <w:rsid w:val="00EE1DB8"/>
    <w:rsid w:val="00EE2746"/>
    <w:rsid w:val="00EE4759"/>
    <w:rsid w:val="00EE4C20"/>
    <w:rsid w:val="00EE4F2D"/>
    <w:rsid w:val="00EE6755"/>
    <w:rsid w:val="00EF03DC"/>
    <w:rsid w:val="00EF0437"/>
    <w:rsid w:val="00EF0BFE"/>
    <w:rsid w:val="00EF2AC7"/>
    <w:rsid w:val="00EF3397"/>
    <w:rsid w:val="00EF40BF"/>
    <w:rsid w:val="00EF4557"/>
    <w:rsid w:val="00EF493F"/>
    <w:rsid w:val="00EF5E22"/>
    <w:rsid w:val="00EF60CA"/>
    <w:rsid w:val="00EF63C1"/>
    <w:rsid w:val="00EF6C2B"/>
    <w:rsid w:val="00F008BD"/>
    <w:rsid w:val="00F021A9"/>
    <w:rsid w:val="00F02C54"/>
    <w:rsid w:val="00F02D03"/>
    <w:rsid w:val="00F0448C"/>
    <w:rsid w:val="00F0553C"/>
    <w:rsid w:val="00F06BA7"/>
    <w:rsid w:val="00F071BA"/>
    <w:rsid w:val="00F1284F"/>
    <w:rsid w:val="00F1321C"/>
    <w:rsid w:val="00F136A4"/>
    <w:rsid w:val="00F1377B"/>
    <w:rsid w:val="00F13C5E"/>
    <w:rsid w:val="00F13D09"/>
    <w:rsid w:val="00F148D5"/>
    <w:rsid w:val="00F1601A"/>
    <w:rsid w:val="00F160BF"/>
    <w:rsid w:val="00F1675C"/>
    <w:rsid w:val="00F16A3C"/>
    <w:rsid w:val="00F17428"/>
    <w:rsid w:val="00F20046"/>
    <w:rsid w:val="00F20D22"/>
    <w:rsid w:val="00F21A58"/>
    <w:rsid w:val="00F23048"/>
    <w:rsid w:val="00F239CD"/>
    <w:rsid w:val="00F23DCC"/>
    <w:rsid w:val="00F24294"/>
    <w:rsid w:val="00F2477C"/>
    <w:rsid w:val="00F24EBB"/>
    <w:rsid w:val="00F27F06"/>
    <w:rsid w:val="00F314E8"/>
    <w:rsid w:val="00F316A2"/>
    <w:rsid w:val="00F323A2"/>
    <w:rsid w:val="00F332D4"/>
    <w:rsid w:val="00F33B57"/>
    <w:rsid w:val="00F33CA8"/>
    <w:rsid w:val="00F33D5C"/>
    <w:rsid w:val="00F356D6"/>
    <w:rsid w:val="00F37D37"/>
    <w:rsid w:val="00F400E3"/>
    <w:rsid w:val="00F40876"/>
    <w:rsid w:val="00F44642"/>
    <w:rsid w:val="00F454A2"/>
    <w:rsid w:val="00F45E89"/>
    <w:rsid w:val="00F47845"/>
    <w:rsid w:val="00F47B6C"/>
    <w:rsid w:val="00F50657"/>
    <w:rsid w:val="00F50675"/>
    <w:rsid w:val="00F5071D"/>
    <w:rsid w:val="00F50BD6"/>
    <w:rsid w:val="00F50E16"/>
    <w:rsid w:val="00F513B2"/>
    <w:rsid w:val="00F51520"/>
    <w:rsid w:val="00F52140"/>
    <w:rsid w:val="00F521E4"/>
    <w:rsid w:val="00F52CCE"/>
    <w:rsid w:val="00F53151"/>
    <w:rsid w:val="00F535A9"/>
    <w:rsid w:val="00F53F92"/>
    <w:rsid w:val="00F5480F"/>
    <w:rsid w:val="00F54B5E"/>
    <w:rsid w:val="00F552F7"/>
    <w:rsid w:val="00F554EB"/>
    <w:rsid w:val="00F5562D"/>
    <w:rsid w:val="00F566EA"/>
    <w:rsid w:val="00F567A4"/>
    <w:rsid w:val="00F578EB"/>
    <w:rsid w:val="00F605BE"/>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1540"/>
    <w:rsid w:val="00F7284D"/>
    <w:rsid w:val="00F72CFE"/>
    <w:rsid w:val="00F72FB0"/>
    <w:rsid w:val="00F73423"/>
    <w:rsid w:val="00F7365E"/>
    <w:rsid w:val="00F737A4"/>
    <w:rsid w:val="00F75481"/>
    <w:rsid w:val="00F76A4C"/>
    <w:rsid w:val="00F76AB3"/>
    <w:rsid w:val="00F816A4"/>
    <w:rsid w:val="00F81AE9"/>
    <w:rsid w:val="00F82E2E"/>
    <w:rsid w:val="00F83186"/>
    <w:rsid w:val="00F83601"/>
    <w:rsid w:val="00F837E6"/>
    <w:rsid w:val="00F8389A"/>
    <w:rsid w:val="00F83AE9"/>
    <w:rsid w:val="00F843D4"/>
    <w:rsid w:val="00F84A40"/>
    <w:rsid w:val="00F84DBD"/>
    <w:rsid w:val="00F8516E"/>
    <w:rsid w:val="00F852E5"/>
    <w:rsid w:val="00F85C0D"/>
    <w:rsid w:val="00F86741"/>
    <w:rsid w:val="00F86796"/>
    <w:rsid w:val="00F87C5B"/>
    <w:rsid w:val="00F87FEA"/>
    <w:rsid w:val="00F90613"/>
    <w:rsid w:val="00F906F4"/>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88B"/>
    <w:rsid w:val="00FA0F71"/>
    <w:rsid w:val="00FA3A97"/>
    <w:rsid w:val="00FA3AEA"/>
    <w:rsid w:val="00FA3EEA"/>
    <w:rsid w:val="00FA4219"/>
    <w:rsid w:val="00FA48C7"/>
    <w:rsid w:val="00FA54FF"/>
    <w:rsid w:val="00FA5570"/>
    <w:rsid w:val="00FA59E0"/>
    <w:rsid w:val="00FA5C0B"/>
    <w:rsid w:val="00FA622F"/>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F72"/>
    <w:rsid w:val="00FC62B5"/>
    <w:rsid w:val="00FC6D4E"/>
    <w:rsid w:val="00FC7073"/>
    <w:rsid w:val="00FC736F"/>
    <w:rsid w:val="00FD0CDB"/>
    <w:rsid w:val="00FD1FA7"/>
    <w:rsid w:val="00FD2D42"/>
    <w:rsid w:val="00FD30B5"/>
    <w:rsid w:val="00FD3453"/>
    <w:rsid w:val="00FD39CF"/>
    <w:rsid w:val="00FD4D84"/>
    <w:rsid w:val="00FD58F5"/>
    <w:rsid w:val="00FD6764"/>
    <w:rsid w:val="00FD754C"/>
    <w:rsid w:val="00FE0DAE"/>
    <w:rsid w:val="00FE1370"/>
    <w:rsid w:val="00FE1510"/>
    <w:rsid w:val="00FE1D9E"/>
    <w:rsid w:val="00FE2121"/>
    <w:rsid w:val="00FE233F"/>
    <w:rsid w:val="00FE254A"/>
    <w:rsid w:val="00FE30AD"/>
    <w:rsid w:val="00FE321B"/>
    <w:rsid w:val="00FE3D07"/>
    <w:rsid w:val="00FE4B6F"/>
    <w:rsid w:val="00FE6818"/>
    <w:rsid w:val="00FF0CF5"/>
    <w:rsid w:val="00FF0D6F"/>
    <w:rsid w:val="00FF1103"/>
    <w:rsid w:val="00FF1712"/>
    <w:rsid w:val="00FF37DC"/>
    <w:rsid w:val="00FF37F2"/>
    <w:rsid w:val="00FF43D9"/>
    <w:rsid w:val="00FF512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393086795">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69314475">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7792989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13814869">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05148417">
      <w:bodyDiv w:val="1"/>
      <w:marLeft w:val="0"/>
      <w:marRight w:val="0"/>
      <w:marTop w:val="0"/>
      <w:marBottom w:val="0"/>
      <w:divBdr>
        <w:top w:val="none" w:sz="0" w:space="0" w:color="auto"/>
        <w:left w:val="none" w:sz="0" w:space="0" w:color="auto"/>
        <w:bottom w:val="none" w:sz="0" w:space="0" w:color="auto"/>
        <w:right w:val="none" w:sz="0" w:space="0" w:color="auto"/>
      </w:divBdr>
    </w:div>
    <w:div w:id="2108190375">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7674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foar@outlook.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4470</Words>
  <Characters>24591</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29003</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6</cp:revision>
  <dcterms:created xsi:type="dcterms:W3CDTF">2025-03-05T13:45:00Z</dcterms:created>
  <dcterms:modified xsi:type="dcterms:W3CDTF">2025-03-05T13:54:00Z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