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D9773" w14:textId="77777777" w:rsidR="00EF558F" w:rsidRPr="00097E5E" w:rsidRDefault="00EF558F" w:rsidP="00EF558F">
      <w:pPr>
        <w:spacing w:before="120" w:after="120" w:line="276" w:lineRule="auto"/>
        <w:jc w:val="both"/>
        <w:rPr>
          <w:rFonts w:ascii="Verdana" w:eastAsia="Geomanist Light" w:hAnsi="Verdana" w:cs="Arial"/>
          <w:b/>
          <w:bCs/>
          <w:sz w:val="20"/>
          <w:szCs w:val="20"/>
          <w:lang w:val="es-MX"/>
        </w:rPr>
      </w:pPr>
      <w:r w:rsidRPr="00097E5E">
        <w:rPr>
          <w:rFonts w:ascii="Verdana" w:eastAsia="Geomanist Light" w:hAnsi="Verdana" w:cs="Arial"/>
          <w:b/>
          <w:bCs/>
          <w:sz w:val="20"/>
          <w:szCs w:val="20"/>
          <w:lang w:val="es-MX"/>
        </w:rPr>
        <w:t xml:space="preserve">CONSTITUCIÓN DE GARANTÍAS – Obligación </w:t>
      </w:r>
    </w:p>
    <w:p w14:paraId="4247E4B4" w14:textId="77777777" w:rsidR="00EF558F" w:rsidRPr="00097E5E" w:rsidRDefault="00EF558F" w:rsidP="00EF558F">
      <w:pPr>
        <w:spacing w:after="0" w:line="240" w:lineRule="auto"/>
        <w:jc w:val="both"/>
        <w:rPr>
          <w:rFonts w:ascii="Verdana" w:eastAsia="Geomanist Light" w:hAnsi="Verdana" w:cs="Arial"/>
          <w:b/>
          <w:bCs/>
          <w:sz w:val="20"/>
          <w:szCs w:val="20"/>
          <w:lang w:val="es-MX"/>
        </w:rPr>
      </w:pPr>
    </w:p>
    <w:p w14:paraId="5B1DAF22" w14:textId="77777777" w:rsidR="00EF558F" w:rsidRPr="00097E5E" w:rsidRDefault="00EF558F" w:rsidP="00EF558F">
      <w:pPr>
        <w:spacing w:after="0" w:line="240" w:lineRule="auto"/>
        <w:jc w:val="both"/>
        <w:rPr>
          <w:rFonts w:ascii="Verdana" w:eastAsia="Geomanist Light" w:hAnsi="Verdana" w:cs="Arial"/>
          <w:sz w:val="20"/>
          <w:szCs w:val="20"/>
          <w:lang w:val="es-MX"/>
        </w:rPr>
      </w:pPr>
      <w:r w:rsidRPr="00097E5E">
        <w:rPr>
          <w:rFonts w:ascii="Verdana" w:eastAsia="Geomanist Light" w:hAnsi="Verdana" w:cs="Arial"/>
          <w:sz w:val="20"/>
          <w:szCs w:val="20"/>
          <w:lang w:val="es-ES_tradnl"/>
        </w:rPr>
        <w:t xml:space="preserve">Por regla general, </w:t>
      </w:r>
      <w:r w:rsidRPr="00097E5E">
        <w:rPr>
          <w:rFonts w:ascii="Verdana" w:eastAsia="Geomanist Light" w:hAnsi="Verdana" w:cs="Arial"/>
          <w:sz w:val="20"/>
          <w:szCs w:val="20"/>
          <w:lang w:val="es-ES"/>
        </w:rPr>
        <w:t>para seleccionar los contratistas y para ejecutar los contratos se requiere la constitución de garantías</w:t>
      </w:r>
      <w:r w:rsidRPr="00097E5E">
        <w:rPr>
          <w:rFonts w:ascii="Verdana" w:eastAsia="Geomanist Light" w:hAnsi="Verdana" w:cs="Arial"/>
          <w:sz w:val="20"/>
          <w:szCs w:val="20"/>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r w:rsidRPr="00097E5E">
        <w:rPr>
          <w:rFonts w:ascii="Verdana" w:eastAsia="Geomanist Light" w:hAnsi="Verdana" w:cs="Arial"/>
          <w:sz w:val="20"/>
          <w:szCs w:val="20"/>
          <w:lang w:val="es-MX"/>
        </w:rPr>
        <w:t>. [….]</w:t>
      </w:r>
    </w:p>
    <w:p w14:paraId="1CD49680" w14:textId="77777777" w:rsidR="00EF558F" w:rsidRPr="00097E5E" w:rsidRDefault="00EF558F" w:rsidP="00EF558F">
      <w:pPr>
        <w:spacing w:after="0" w:line="240" w:lineRule="auto"/>
        <w:jc w:val="both"/>
        <w:rPr>
          <w:rFonts w:ascii="Verdana" w:eastAsia="Geomanist Light" w:hAnsi="Verdana" w:cs="Arial"/>
          <w:sz w:val="20"/>
          <w:szCs w:val="20"/>
          <w:lang w:val="es-MX"/>
        </w:rPr>
      </w:pPr>
    </w:p>
    <w:p w14:paraId="229E7C9A" w14:textId="77777777" w:rsidR="00EF558F" w:rsidRPr="00097E5E" w:rsidRDefault="00EF558F" w:rsidP="00EF558F">
      <w:pPr>
        <w:spacing w:after="0" w:line="240" w:lineRule="auto"/>
        <w:jc w:val="both"/>
        <w:rPr>
          <w:rFonts w:ascii="Verdana" w:eastAsia="Geomanist Light" w:hAnsi="Verdana" w:cs="Arial"/>
          <w:sz w:val="20"/>
          <w:szCs w:val="20"/>
          <w:lang w:val="es-MX"/>
        </w:rPr>
      </w:pPr>
      <w:r w:rsidRPr="00097E5E">
        <w:rPr>
          <w:rFonts w:ascii="Verdana" w:eastAsia="Geomanist Light" w:hAnsi="Verdana" w:cs="Arial"/>
          <w:sz w:val="20"/>
          <w:szCs w:val="20"/>
          <w:lang w:val="es-MX"/>
        </w:rPr>
        <w:t xml:space="preserve">Las condiciones en las que debe cumplirse esta obligación fueron reglamentadas por el Decreto 1082 de 2015, el cual entre sus artículos 2.2.1.2.3.1.1. y 2.2.1.2.3.1.19 se refiere a asuntos como las clases de garantías permitidas, la indivisibilidad de </w:t>
      </w:r>
      <w:proofErr w:type="gramStart"/>
      <w:r w:rsidRPr="00097E5E">
        <w:rPr>
          <w:rFonts w:ascii="Verdana" w:eastAsia="Geomanist Light" w:hAnsi="Verdana" w:cs="Arial"/>
          <w:sz w:val="20"/>
          <w:szCs w:val="20"/>
          <w:lang w:val="es-MX"/>
        </w:rPr>
        <w:t>las mismas</w:t>
      </w:r>
      <w:proofErr w:type="gramEnd"/>
      <w:r w:rsidRPr="00097E5E">
        <w:rPr>
          <w:rFonts w:ascii="Verdana" w:eastAsia="Geomanist Light" w:hAnsi="Verdana" w:cs="Arial"/>
          <w:sz w:val="20"/>
          <w:szCs w:val="20"/>
          <w:lang w:val="es-MX"/>
        </w:rPr>
        <w:t xml:space="preserve">,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351EDA17" w14:textId="77777777" w:rsidR="00EF558F" w:rsidRPr="00097E5E" w:rsidRDefault="00EF558F" w:rsidP="00EF558F">
      <w:pPr>
        <w:spacing w:after="0" w:line="240" w:lineRule="auto"/>
        <w:jc w:val="both"/>
        <w:rPr>
          <w:rFonts w:ascii="Verdana" w:eastAsia="Geomanist Light" w:hAnsi="Verdana" w:cs="Arial"/>
          <w:b/>
          <w:bCs/>
          <w:sz w:val="20"/>
          <w:szCs w:val="20"/>
          <w:lang w:val="es-MX"/>
        </w:rPr>
      </w:pPr>
    </w:p>
    <w:p w14:paraId="7BA17C65" w14:textId="77777777" w:rsidR="00EF558F" w:rsidRPr="00097E5E" w:rsidRDefault="00EF558F" w:rsidP="00EF558F">
      <w:pPr>
        <w:spacing w:before="120" w:after="120" w:line="276" w:lineRule="auto"/>
        <w:jc w:val="both"/>
        <w:rPr>
          <w:rFonts w:ascii="Verdana" w:eastAsia="Geomanist Light" w:hAnsi="Verdana" w:cs="Arial"/>
          <w:b/>
          <w:bCs/>
          <w:sz w:val="20"/>
          <w:szCs w:val="20"/>
          <w:lang w:val="es-MX"/>
        </w:rPr>
      </w:pPr>
      <w:r w:rsidRPr="00097E5E">
        <w:rPr>
          <w:rFonts w:ascii="Verdana" w:eastAsia="Geomanist Light" w:hAnsi="Verdana" w:cs="Arial"/>
          <w:b/>
          <w:bCs/>
          <w:sz w:val="20"/>
          <w:szCs w:val="20"/>
          <w:lang w:val="es-MX"/>
        </w:rPr>
        <w:t>EJECUCIÓN DEL CONTRATO ESTATAL – Requisitos – Artículo 41 de la Ley 80 de 1993</w:t>
      </w:r>
    </w:p>
    <w:p w14:paraId="7D2E18F0" w14:textId="77777777" w:rsidR="00EF558F" w:rsidRPr="00097E5E" w:rsidRDefault="00EF558F" w:rsidP="00EF558F">
      <w:pPr>
        <w:spacing w:after="0" w:line="240" w:lineRule="auto"/>
        <w:jc w:val="both"/>
        <w:rPr>
          <w:rFonts w:ascii="Verdana" w:eastAsia="Geomanist Light" w:hAnsi="Verdana" w:cs="Arial"/>
          <w:b/>
          <w:bCs/>
          <w:sz w:val="20"/>
          <w:szCs w:val="20"/>
          <w:lang w:val="es-MX"/>
        </w:rPr>
      </w:pPr>
    </w:p>
    <w:p w14:paraId="6C7F9EE7" w14:textId="77777777" w:rsidR="00EF558F" w:rsidRPr="00097E5E" w:rsidRDefault="00EF558F" w:rsidP="00EF558F">
      <w:pPr>
        <w:spacing w:after="0" w:line="240" w:lineRule="auto"/>
        <w:jc w:val="both"/>
        <w:rPr>
          <w:rFonts w:ascii="Verdana" w:eastAsia="Geomanist Light" w:hAnsi="Verdana" w:cs="Arial"/>
          <w:sz w:val="20"/>
          <w:szCs w:val="20"/>
          <w:lang w:val="es-ES_tradnl"/>
        </w:rPr>
      </w:pPr>
      <w:r w:rsidRPr="00097E5E">
        <w:rPr>
          <w:rFonts w:ascii="Verdana" w:eastAsia="Geomanist Light" w:hAnsi="Verdana" w:cs="Arial"/>
          <w:sz w:val="20"/>
          <w:szCs w:val="20"/>
          <w:lang w:val="es-ES_tradnl"/>
        </w:rPr>
        <w:t xml:space="preserv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 </w:t>
      </w:r>
    </w:p>
    <w:p w14:paraId="76FFFD86" w14:textId="77777777" w:rsidR="00EF558F" w:rsidRPr="00097E5E" w:rsidRDefault="00EF558F" w:rsidP="00EF558F">
      <w:pPr>
        <w:spacing w:after="0" w:line="240" w:lineRule="auto"/>
        <w:jc w:val="both"/>
        <w:rPr>
          <w:rFonts w:ascii="Verdana" w:eastAsia="Geomanist Light" w:hAnsi="Verdana" w:cs="Arial"/>
          <w:sz w:val="20"/>
          <w:szCs w:val="20"/>
          <w:lang w:val="es-ES_tradnl"/>
        </w:rPr>
      </w:pPr>
    </w:p>
    <w:p w14:paraId="55ADF663" w14:textId="77777777" w:rsidR="00EF558F" w:rsidRPr="00097E5E" w:rsidRDefault="00EF558F" w:rsidP="00EF558F">
      <w:pPr>
        <w:spacing w:after="0" w:line="240" w:lineRule="auto"/>
        <w:jc w:val="both"/>
        <w:rPr>
          <w:rFonts w:ascii="Verdana" w:eastAsia="Geomanist Light" w:hAnsi="Verdana" w:cs="Arial"/>
          <w:sz w:val="20"/>
          <w:szCs w:val="20"/>
          <w:lang w:val="es-ES_tradnl"/>
        </w:rPr>
      </w:pPr>
      <w:r w:rsidRPr="00097E5E">
        <w:rPr>
          <w:rFonts w:ascii="Verdana" w:eastAsia="Geomanist Light" w:hAnsi="Verdana" w:cs="Arial"/>
          <w:sz w:val="20"/>
          <w:szCs w:val="20"/>
          <w:lang w:val="es-ES_tradnl"/>
        </w:rPr>
        <w:t>En efecto, el referido artículo establece en su inciso primero que los contratos estatales se perfeccionan “cuando se logre acuerdo sobre el objeto y la contraprestación y éste se eleve a escrito”. Por su parte el inciso segundo establece que “[p]ara la ejecución se requerirá de la aprobación de la garantía”, lo que se traduce en que, sin perjuicio del perfeccionamiento del contrato, no podrá ejecutarse sin que se hayan aprobado las garantías.</w:t>
      </w:r>
    </w:p>
    <w:p w14:paraId="0DD225C9" w14:textId="77777777" w:rsidR="00EF558F" w:rsidRDefault="00EF558F" w:rsidP="00EF558F">
      <w:pPr>
        <w:rPr>
          <w:rFonts w:ascii="Verdana" w:eastAsia="Geomanist Light" w:hAnsi="Verdana" w:cs="Arial"/>
          <w:color w:val="000000" w:themeColor="text1"/>
          <w:lang w:val="es-MX"/>
        </w:rPr>
      </w:pPr>
      <w:r>
        <w:rPr>
          <w:rFonts w:ascii="Verdana" w:eastAsia="Geomanist Light" w:hAnsi="Verdana" w:cs="Arial"/>
          <w:color w:val="000000" w:themeColor="text1"/>
          <w:lang w:val="es-MX"/>
        </w:rPr>
        <w:br w:type="page"/>
      </w:r>
    </w:p>
    <w:p w14:paraId="5200401F" w14:textId="5930EEC8" w:rsidR="00EF558F" w:rsidRPr="00593A5F" w:rsidRDefault="00E30331" w:rsidP="00EF558F">
      <w:pPr>
        <w:spacing w:after="0" w:line="240" w:lineRule="auto"/>
        <w:rPr>
          <w:rFonts w:ascii="Verdana" w:eastAsia="Geomanist Light" w:hAnsi="Verdana" w:cs="Arial"/>
          <w:color w:val="201F1E"/>
          <w:lang w:val="es-MX"/>
        </w:rPr>
      </w:pPr>
      <w:r w:rsidRPr="00E30331">
        <w:rPr>
          <w:rFonts w:ascii="Verdana" w:eastAsia="Geomanist Light" w:hAnsi="Verdana" w:cs="Arial"/>
          <w:noProof/>
          <w:color w:val="201F1E"/>
          <w:lang w:val="es-MX"/>
        </w:rPr>
        <w:lastRenderedPageBreak/>
        <w:drawing>
          <wp:anchor distT="0" distB="0" distL="114300" distR="114300" simplePos="0" relativeHeight="251658240" behindDoc="0" locked="0" layoutInCell="1" allowOverlap="1" wp14:anchorId="7D37AB06" wp14:editId="3955B0B5">
            <wp:simplePos x="0" y="0"/>
            <wp:positionH relativeFrom="column">
              <wp:posOffset>2815590</wp:posOffset>
            </wp:positionH>
            <wp:positionV relativeFrom="paragraph">
              <wp:posOffset>8890</wp:posOffset>
            </wp:positionV>
            <wp:extent cx="3248025" cy="914400"/>
            <wp:effectExtent l="0" t="0" r="9525" b="0"/>
            <wp:wrapNone/>
            <wp:docPr id="18056269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626910" name=""/>
                    <pic:cNvPicPr/>
                  </pic:nvPicPr>
                  <pic:blipFill>
                    <a:blip r:embed="rId10">
                      <a:extLst>
                        <a:ext uri="{28A0092B-C50C-407E-A947-70E740481C1C}">
                          <a14:useLocalDpi xmlns:a14="http://schemas.microsoft.com/office/drawing/2010/main" val="0"/>
                        </a:ext>
                      </a:extLst>
                    </a:blip>
                    <a:stretch>
                      <a:fillRect/>
                    </a:stretch>
                  </pic:blipFill>
                  <pic:spPr>
                    <a:xfrm>
                      <a:off x="0" y="0"/>
                      <a:ext cx="3248025" cy="914400"/>
                    </a:xfrm>
                    <a:prstGeom prst="rect">
                      <a:avLst/>
                    </a:prstGeom>
                  </pic:spPr>
                </pic:pic>
              </a:graphicData>
            </a:graphic>
          </wp:anchor>
        </w:drawing>
      </w:r>
      <w:r w:rsidR="00EF558F" w:rsidRPr="00593A5F">
        <w:rPr>
          <w:rFonts w:ascii="Verdana" w:eastAsia="Geomanist Light" w:hAnsi="Verdana" w:cs="Arial"/>
          <w:color w:val="000000" w:themeColor="text1"/>
          <w:lang w:val="es-MX"/>
        </w:rPr>
        <w:t>Bogotá D.C., </w:t>
      </w:r>
      <w:r>
        <w:rPr>
          <w:rFonts w:ascii="Verdana" w:eastAsia="Geomanist Light" w:hAnsi="Verdana" w:cs="Arial"/>
          <w:color w:val="201F1E"/>
          <w:lang w:val="es-MX"/>
        </w:rPr>
        <w:t>12 de marzo de 2025</w:t>
      </w:r>
    </w:p>
    <w:p w14:paraId="6EA8D6A0" w14:textId="77777777" w:rsidR="00EF558F" w:rsidRPr="00593A5F" w:rsidRDefault="00EF558F" w:rsidP="00EF558F">
      <w:pPr>
        <w:spacing w:after="0" w:line="240" w:lineRule="auto"/>
        <w:jc w:val="both"/>
        <w:rPr>
          <w:rFonts w:ascii="Verdana" w:eastAsia="Calibri" w:hAnsi="Verdana" w:cs="Arial"/>
          <w:color w:val="000000"/>
          <w:lang w:val="es-ES"/>
        </w:rPr>
      </w:pPr>
    </w:p>
    <w:p w14:paraId="5E3EB182" w14:textId="77777777" w:rsidR="00EF558F" w:rsidRPr="00B96799" w:rsidRDefault="00EF558F" w:rsidP="00EF558F">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62CABF5" w14:textId="77777777" w:rsidR="00EF558F" w:rsidRPr="00B96799" w:rsidRDefault="00EF558F" w:rsidP="00EF558F">
      <w:pPr>
        <w:spacing w:after="0" w:line="240" w:lineRule="auto"/>
        <w:rPr>
          <w:rFonts w:ascii="Verdana" w:eastAsia="Calibri" w:hAnsi="Verdana" w:cs="Arial"/>
          <w:b/>
          <w:lang w:val="es-ES_tradnl" w:eastAsia="es-ES_tradnl"/>
        </w:rPr>
      </w:pPr>
      <w:r w:rsidRPr="004944E0">
        <w:rPr>
          <w:rFonts w:ascii="Verdana" w:eastAsia="Calibri" w:hAnsi="Verdana" w:cs="Arial"/>
          <w:b/>
          <w:lang w:eastAsia="es-ES_tradnl"/>
        </w:rPr>
        <w:t>Fabian Montoya Roldan</w:t>
      </w:r>
    </w:p>
    <w:p w14:paraId="1ACDA6C7" w14:textId="77777777" w:rsidR="00EF558F" w:rsidRPr="006F5421" w:rsidRDefault="00EF558F" w:rsidP="00EF558F">
      <w:pPr>
        <w:spacing w:after="0" w:line="240" w:lineRule="auto"/>
        <w:rPr>
          <w:rFonts w:ascii="Verdana" w:eastAsia="Calibri" w:hAnsi="Verdana" w:cs="Arial"/>
          <w:color w:val="4472C4" w:themeColor="accent1"/>
          <w:u w:val="single"/>
          <w:lang w:val="es-ES" w:eastAsia="es-ES"/>
        </w:rPr>
      </w:pPr>
      <w:hyperlink r:id="rId11" w:history="1">
        <w:r w:rsidRPr="006F5421">
          <w:rPr>
            <w:rStyle w:val="Hipervnculo"/>
            <w:rFonts w:ascii="Verdana" w:eastAsia="Calibri" w:hAnsi="Verdana" w:cs="Arial"/>
            <w:color w:val="4472C4" w:themeColor="accent1"/>
            <w:lang w:val="es-ES" w:eastAsia="es-ES"/>
          </w:rPr>
          <w:t>duncan93@hotmail.com</w:t>
        </w:r>
      </w:hyperlink>
    </w:p>
    <w:p w14:paraId="5E83F2CA" w14:textId="77777777" w:rsidR="00EF558F" w:rsidRPr="00B96799" w:rsidRDefault="00EF558F" w:rsidP="00EF558F">
      <w:pPr>
        <w:spacing w:after="0" w:line="240" w:lineRule="auto"/>
        <w:rPr>
          <w:rFonts w:ascii="Verdana" w:eastAsia="Calibri" w:hAnsi="Verdana" w:cs="Arial"/>
          <w:b/>
          <w:bCs/>
          <w:lang w:val="es-ES" w:eastAsia="es-ES"/>
        </w:rPr>
      </w:pPr>
      <w:r>
        <w:rPr>
          <w:rFonts w:ascii="Verdana" w:eastAsia="Calibri" w:hAnsi="Verdana" w:cs="Arial"/>
          <w:lang w:val="es-ES" w:eastAsia="es-ES"/>
        </w:rPr>
        <w:t>Envigado</w:t>
      </w:r>
      <w:r w:rsidRPr="00B96799">
        <w:rPr>
          <w:rFonts w:ascii="Verdana" w:eastAsia="Calibri" w:hAnsi="Verdana" w:cs="Arial"/>
          <w:lang w:val="es-ES" w:eastAsia="es-ES"/>
        </w:rPr>
        <w:t xml:space="preserve">, </w:t>
      </w:r>
      <w:r>
        <w:rPr>
          <w:rFonts w:ascii="Verdana" w:eastAsia="Calibri" w:hAnsi="Verdana" w:cs="Arial"/>
          <w:lang w:val="es-ES" w:eastAsia="es-ES"/>
        </w:rPr>
        <w:t>Antioquia</w:t>
      </w:r>
    </w:p>
    <w:p w14:paraId="070608B3" w14:textId="77777777" w:rsidR="00EF558F" w:rsidRPr="00593A5F" w:rsidRDefault="00EF558F" w:rsidP="00EF558F">
      <w:pPr>
        <w:spacing w:after="0" w:line="240" w:lineRule="auto"/>
        <w:rPr>
          <w:rFonts w:ascii="Verdana" w:eastAsia="Calibri" w:hAnsi="Verdana" w:cs="Arial"/>
          <w:b/>
          <w:bCs/>
          <w:color w:val="000000"/>
          <w:lang w:val="es-ES_tradnl" w:eastAsia="es-ES_tradnl"/>
        </w:rPr>
      </w:pPr>
    </w:p>
    <w:p w14:paraId="0D88824A" w14:textId="77777777" w:rsidR="00EF558F" w:rsidRPr="00593A5F" w:rsidRDefault="00EF558F" w:rsidP="00EF558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F558F" w:rsidRPr="00593A5F" w14:paraId="3731E1A7" w14:textId="77777777" w:rsidTr="00994660">
        <w:trPr>
          <w:trHeight w:val="884"/>
        </w:trPr>
        <w:tc>
          <w:tcPr>
            <w:tcW w:w="2689" w:type="dxa"/>
          </w:tcPr>
          <w:p w14:paraId="48FAFA65" w14:textId="77777777" w:rsidR="00EF558F" w:rsidRPr="00C00976" w:rsidRDefault="00EF558F" w:rsidP="00994660">
            <w:pPr>
              <w:jc w:val="both"/>
              <w:rPr>
                <w:rFonts w:ascii="Verdana" w:eastAsia="Calibri" w:hAnsi="Verdana" w:cs="Arial"/>
                <w:b/>
                <w:bCs/>
                <w:color w:val="7030A0"/>
                <w:lang w:val="es-ES_tradnl" w:eastAsia="es-ES_tradnl"/>
              </w:rPr>
            </w:pPr>
          </w:p>
        </w:tc>
        <w:tc>
          <w:tcPr>
            <w:tcW w:w="6100" w:type="dxa"/>
          </w:tcPr>
          <w:p w14:paraId="5F64C04B" w14:textId="77777777" w:rsidR="00EF558F" w:rsidRPr="00B93B1E" w:rsidRDefault="00EF558F" w:rsidP="00994660">
            <w:pPr>
              <w:jc w:val="both"/>
              <w:rPr>
                <w:rFonts w:ascii="Verdana" w:eastAsia="Calibri" w:hAnsi="Verdana" w:cs="Arial"/>
                <w:b/>
                <w:bCs/>
                <w:lang w:val="es-ES" w:eastAsia="es-ES"/>
              </w:rPr>
            </w:pPr>
            <w:r w:rsidRPr="00B93B1E">
              <w:rPr>
                <w:rFonts w:ascii="Verdana" w:eastAsia="Calibri" w:hAnsi="Verdana" w:cs="Arial"/>
                <w:b/>
                <w:bCs/>
                <w:lang w:val="es-ES" w:eastAsia="es-ES"/>
              </w:rPr>
              <w:t>Concepto C-094 de 2025</w:t>
            </w:r>
          </w:p>
        </w:tc>
      </w:tr>
      <w:tr w:rsidR="00EF558F" w:rsidRPr="00593A5F" w14:paraId="61E560AF" w14:textId="77777777" w:rsidTr="00994660">
        <w:trPr>
          <w:trHeight w:val="884"/>
        </w:trPr>
        <w:tc>
          <w:tcPr>
            <w:tcW w:w="2689" w:type="dxa"/>
          </w:tcPr>
          <w:p w14:paraId="0FAA866F" w14:textId="77777777" w:rsidR="00EF558F" w:rsidRPr="00593A5F" w:rsidRDefault="00EF558F" w:rsidP="0099466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BF3FDBC" w14:textId="77777777" w:rsidR="00EF558F" w:rsidRPr="00A11406" w:rsidRDefault="00EF558F" w:rsidP="00994660">
            <w:pPr>
              <w:spacing w:line="276" w:lineRule="auto"/>
              <w:jc w:val="both"/>
              <w:rPr>
                <w:rFonts w:ascii="Verdana" w:eastAsia="Calibri" w:hAnsi="Verdana" w:cs="Arial"/>
                <w:lang w:val="es-ES" w:eastAsia="es-ES"/>
              </w:rPr>
            </w:pPr>
            <w:r w:rsidRPr="0006268C">
              <w:rPr>
                <w:rFonts w:ascii="Verdana" w:eastAsia="Calibri" w:hAnsi="Verdana" w:cs="Arial"/>
                <w:lang w:val="es-ES" w:eastAsia="es-ES"/>
              </w:rPr>
              <w:t xml:space="preserve">CONSTITUCIÓN DE GARANTÍAS – Obligación / EJECUCIÓN DEL CONTRATO ESTATAL – Requisitos – Artículo 41 de la Ley 80 de 1993 </w:t>
            </w:r>
          </w:p>
          <w:p w14:paraId="7A59CB9E" w14:textId="77777777" w:rsidR="00EF558F" w:rsidRPr="00593A5F" w:rsidRDefault="00EF558F" w:rsidP="00994660">
            <w:pPr>
              <w:spacing w:line="276" w:lineRule="auto"/>
              <w:jc w:val="both"/>
              <w:rPr>
                <w:rFonts w:ascii="Verdana" w:eastAsia="Calibri" w:hAnsi="Verdana" w:cs="Arial"/>
                <w:lang w:val="es-ES" w:eastAsia="es-ES"/>
              </w:rPr>
            </w:pPr>
          </w:p>
        </w:tc>
      </w:tr>
      <w:tr w:rsidR="00EF558F" w:rsidRPr="00B93B1E" w14:paraId="2B08DA5F" w14:textId="77777777" w:rsidTr="00994660">
        <w:tc>
          <w:tcPr>
            <w:tcW w:w="2689" w:type="dxa"/>
          </w:tcPr>
          <w:p w14:paraId="37BB162E" w14:textId="77777777" w:rsidR="00EF558F" w:rsidRPr="00B93B1E" w:rsidRDefault="00EF558F" w:rsidP="00994660">
            <w:pPr>
              <w:jc w:val="both"/>
              <w:rPr>
                <w:rFonts w:ascii="Verdana" w:eastAsia="Calibri" w:hAnsi="Verdana" w:cs="Arial"/>
                <w:b/>
                <w:lang w:val="es-ES_tradnl" w:eastAsia="es-ES_tradnl"/>
              </w:rPr>
            </w:pPr>
            <w:r w:rsidRPr="00B93B1E">
              <w:rPr>
                <w:rFonts w:ascii="Verdana" w:eastAsia="Calibri" w:hAnsi="Verdana" w:cs="Arial"/>
                <w:b/>
                <w:lang w:val="es-ES_tradnl" w:eastAsia="es-ES_tradnl"/>
              </w:rPr>
              <w:t>Radicación:</w:t>
            </w:r>
            <w:r w:rsidRPr="00B93B1E">
              <w:rPr>
                <w:rFonts w:ascii="Verdana" w:eastAsia="Calibri" w:hAnsi="Verdana" w:cs="Arial"/>
                <w:lang w:val="es-ES_tradnl" w:eastAsia="es-ES_tradnl"/>
              </w:rPr>
              <w:t xml:space="preserve">               </w:t>
            </w:r>
          </w:p>
        </w:tc>
        <w:tc>
          <w:tcPr>
            <w:tcW w:w="6100" w:type="dxa"/>
          </w:tcPr>
          <w:p w14:paraId="1F4EBF2D" w14:textId="77777777" w:rsidR="00EF558F" w:rsidRPr="00B93B1E" w:rsidRDefault="00EF558F" w:rsidP="00994660">
            <w:pPr>
              <w:jc w:val="both"/>
              <w:rPr>
                <w:rFonts w:ascii="Verdana" w:eastAsia="Calibri" w:hAnsi="Verdana" w:cs="Arial"/>
                <w:lang w:val="es-ES_tradnl" w:eastAsia="es-ES_tradnl"/>
              </w:rPr>
            </w:pPr>
            <w:r w:rsidRPr="00B93B1E">
              <w:rPr>
                <w:rFonts w:ascii="Verdana" w:eastAsia="Calibri" w:hAnsi="Verdana" w:cs="Arial"/>
                <w:lang w:val="es-ES_tradnl" w:eastAsia="es-ES_tradnl"/>
              </w:rPr>
              <w:t>Respuesta a consulta con radicado No. P20250129000766</w:t>
            </w:r>
          </w:p>
        </w:tc>
      </w:tr>
    </w:tbl>
    <w:p w14:paraId="0DAE2AC2" w14:textId="77777777" w:rsidR="00EF558F" w:rsidRPr="00593A5F" w:rsidRDefault="00EF558F" w:rsidP="00EF558F">
      <w:pPr>
        <w:spacing w:after="0" w:line="240" w:lineRule="auto"/>
        <w:jc w:val="both"/>
        <w:rPr>
          <w:rFonts w:ascii="Verdana" w:eastAsia="Calibri" w:hAnsi="Verdana" w:cs="Arial"/>
          <w:color w:val="000000"/>
          <w:lang w:val="es-ES_tradnl" w:eastAsia="es-ES_tradnl"/>
        </w:rPr>
      </w:pPr>
    </w:p>
    <w:p w14:paraId="6DAB0973" w14:textId="77777777" w:rsidR="00EF558F" w:rsidRPr="00593A5F" w:rsidRDefault="00EF558F" w:rsidP="00EF558F">
      <w:pPr>
        <w:spacing w:after="0" w:line="240" w:lineRule="auto"/>
        <w:jc w:val="both"/>
        <w:rPr>
          <w:rFonts w:ascii="Verdana" w:eastAsia="Calibri" w:hAnsi="Verdana" w:cs="Arial"/>
          <w:color w:val="000000"/>
          <w:lang w:val="es-ES_tradnl" w:eastAsia="es-ES_tradnl"/>
        </w:rPr>
      </w:pPr>
    </w:p>
    <w:p w14:paraId="55966ABA" w14:textId="77777777" w:rsidR="00EF558F" w:rsidRPr="00B93B1E" w:rsidRDefault="00EF558F" w:rsidP="00EF558F">
      <w:pPr>
        <w:spacing w:after="0" w:line="276" w:lineRule="auto"/>
        <w:jc w:val="both"/>
        <w:rPr>
          <w:rFonts w:ascii="Verdana" w:eastAsia="Calibri" w:hAnsi="Verdana" w:cs="Arial"/>
          <w:lang w:val="es-ES" w:eastAsia="es-ES"/>
        </w:rPr>
      </w:pPr>
      <w:r w:rsidRPr="00B93B1E">
        <w:rPr>
          <w:rFonts w:ascii="Verdana" w:eastAsia="Calibri" w:hAnsi="Verdana" w:cs="Arial"/>
          <w:lang w:val="es-ES" w:eastAsia="es-ES"/>
        </w:rPr>
        <w:t xml:space="preserve">Estimado señor Montoya: </w:t>
      </w:r>
    </w:p>
    <w:p w14:paraId="0689356B" w14:textId="77777777" w:rsidR="00EF558F" w:rsidRDefault="00EF558F" w:rsidP="00EF558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8D30729" w14:textId="77777777" w:rsidR="00EF558F" w:rsidRPr="00AA5678" w:rsidRDefault="00EF558F" w:rsidP="00EF558F">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 xml:space="preserve">En ejercicio de la competencia otorgada por los artículos 3, numeral 5º, y 11, </w:t>
      </w:r>
      <w:r w:rsidRPr="00AA5678">
        <w:rPr>
          <w:rFonts w:ascii="Verdana" w:eastAsia="Calibri" w:hAnsi="Verdana" w:cs="Arial"/>
          <w:lang w:val="es-ES" w:eastAsia="es-ES"/>
        </w:rPr>
        <w:t>numeral 8º, del Decreto Ley 4170 de 2011,</w:t>
      </w:r>
      <w:r w:rsidRPr="00AA5678">
        <w:rPr>
          <w:rFonts w:ascii="Verdana" w:eastAsia="Arial MT" w:hAnsi="Verdana" w:cs="Arial MT"/>
          <w:lang w:val="es-ES" w:eastAsia="es-ES"/>
        </w:rPr>
        <w:t xml:space="preserve"> </w:t>
      </w:r>
      <w:r w:rsidRPr="00AA5678">
        <w:rPr>
          <w:rFonts w:ascii="Verdana" w:hAnsi="Verdana" w:cs="Arial"/>
        </w:rPr>
        <w:t xml:space="preserve">así como lo establecido en el artículo 4 de la Resolución 1707 de 2018 expedida por esta Entidad, </w:t>
      </w:r>
      <w:r w:rsidRPr="00AA5678">
        <w:rPr>
          <w:rFonts w:ascii="Verdana" w:eastAsia="Calibri" w:hAnsi="Verdana" w:cs="Arial"/>
          <w:lang w:val="es-ES" w:eastAsia="es-ES"/>
        </w:rPr>
        <w:t xml:space="preserve">la Agencia Nacional de Contratación Pública – Colombia Compra Eficiente– responde su solicitud de consulta de fecha 29 de enero de 2025, en la cual manifiesta lo siguiente: </w:t>
      </w:r>
    </w:p>
    <w:p w14:paraId="32C6A010" w14:textId="77777777" w:rsidR="00EF558F" w:rsidRPr="00AA5678" w:rsidRDefault="00EF558F" w:rsidP="00EF558F">
      <w:pPr>
        <w:pStyle w:val="Prrafodelista"/>
        <w:tabs>
          <w:tab w:val="left" w:pos="142"/>
          <w:tab w:val="left" w:pos="284"/>
        </w:tabs>
        <w:spacing w:line="276" w:lineRule="auto"/>
        <w:ind w:left="0"/>
        <w:jc w:val="both"/>
        <w:rPr>
          <w:rFonts w:ascii="Verdana" w:eastAsia="Century Gothic" w:hAnsi="Verdana" w:cs="Century Gothic"/>
          <w:b/>
          <w:bCs/>
        </w:rPr>
      </w:pPr>
    </w:p>
    <w:p w14:paraId="08F75C6F" w14:textId="77777777" w:rsidR="00EF558F" w:rsidRPr="00AA5678" w:rsidRDefault="00EF558F" w:rsidP="00EF558F">
      <w:pPr>
        <w:spacing w:after="0" w:line="240" w:lineRule="auto"/>
        <w:ind w:left="709" w:right="709"/>
        <w:jc w:val="both"/>
        <w:rPr>
          <w:rFonts w:ascii="Verdana" w:eastAsia="Century Gothic" w:hAnsi="Verdana" w:cs="Century Gothic"/>
          <w:sz w:val="20"/>
          <w:szCs w:val="20"/>
          <w:lang w:val="es-ES"/>
        </w:rPr>
      </w:pPr>
      <w:bookmarkStart w:id="0" w:name="_Hlk95313578"/>
      <w:r w:rsidRPr="00AA5678">
        <w:rPr>
          <w:rFonts w:ascii="Verdana" w:eastAsia="Century Gothic" w:hAnsi="Verdana" w:cs="Century Gothic"/>
          <w:sz w:val="20"/>
          <w:szCs w:val="20"/>
          <w:lang w:val="es-ES"/>
        </w:rPr>
        <w:t>“</w:t>
      </w:r>
      <w:r w:rsidRPr="00AA5678">
        <w:rPr>
          <w:rFonts w:ascii="Verdana" w:hAnsi="Verdana" w:cs="Arial"/>
          <w:sz w:val="20"/>
          <w:szCs w:val="20"/>
          <w:shd w:val="clear" w:color="auto" w:fill="FFFFFF"/>
        </w:rPr>
        <w:t xml:space="preserve">buenos </w:t>
      </w:r>
      <w:proofErr w:type="spellStart"/>
      <w:r w:rsidRPr="00AA5678">
        <w:rPr>
          <w:rFonts w:ascii="Verdana" w:hAnsi="Verdana" w:cs="Arial"/>
          <w:sz w:val="20"/>
          <w:szCs w:val="20"/>
          <w:shd w:val="clear" w:color="auto" w:fill="FFFFFF"/>
        </w:rPr>
        <w:t>dias</w:t>
      </w:r>
      <w:proofErr w:type="spellEnd"/>
      <w:r w:rsidRPr="00AA5678">
        <w:rPr>
          <w:rFonts w:ascii="Verdana" w:hAnsi="Verdana" w:cs="Arial"/>
          <w:sz w:val="20"/>
          <w:szCs w:val="20"/>
          <w:shd w:val="clear" w:color="auto" w:fill="FFFFFF"/>
        </w:rPr>
        <w:t xml:space="preserve">, me pueden dar un concepto a cerca de la expedición: un contrato de </w:t>
      </w:r>
      <w:proofErr w:type="spellStart"/>
      <w:r w:rsidRPr="00AA5678">
        <w:rPr>
          <w:rFonts w:ascii="Verdana" w:hAnsi="Verdana" w:cs="Arial"/>
          <w:sz w:val="20"/>
          <w:szCs w:val="20"/>
          <w:shd w:val="clear" w:color="auto" w:fill="FFFFFF"/>
        </w:rPr>
        <w:t>secop</w:t>
      </w:r>
      <w:proofErr w:type="spellEnd"/>
      <w:r w:rsidRPr="00AA5678">
        <w:rPr>
          <w:rFonts w:ascii="Verdana" w:hAnsi="Verdana" w:cs="Arial"/>
          <w:sz w:val="20"/>
          <w:szCs w:val="20"/>
          <w:shd w:val="clear" w:color="auto" w:fill="FFFFFF"/>
        </w:rPr>
        <w:t xml:space="preserve"> II tiene que estar firmado electrónicamente por ambas partes para poder solicitar la expedición de las pólizas o basta con uno solo de los intervinientes firme, y solicitar dicho trámite, por favor me explican y si existe una ley me la pueden remitir. gracias</w:t>
      </w:r>
      <w:r w:rsidRPr="00AA5678">
        <w:rPr>
          <w:rFonts w:ascii="Verdana" w:eastAsia="Century Gothic" w:hAnsi="Verdana" w:cs="Century Gothic"/>
          <w:sz w:val="20"/>
          <w:szCs w:val="20"/>
          <w:lang w:val="es-ES"/>
        </w:rPr>
        <w:t>”</w:t>
      </w:r>
      <w:bookmarkEnd w:id="0"/>
      <w:r w:rsidRPr="00AA5678">
        <w:rPr>
          <w:rFonts w:ascii="Verdana" w:eastAsia="Century Gothic" w:hAnsi="Verdana" w:cs="Century Gothic"/>
          <w:sz w:val="20"/>
          <w:szCs w:val="20"/>
          <w:lang w:val="es-ES"/>
        </w:rPr>
        <w:t>.</w:t>
      </w:r>
    </w:p>
    <w:p w14:paraId="14A1C0E7" w14:textId="77777777" w:rsidR="00EF558F" w:rsidRPr="00593A5F" w:rsidRDefault="00EF558F" w:rsidP="00EF558F">
      <w:pPr>
        <w:pStyle w:val="Prrafodelista"/>
        <w:tabs>
          <w:tab w:val="left" w:pos="142"/>
          <w:tab w:val="left" w:pos="284"/>
        </w:tabs>
        <w:spacing w:line="276" w:lineRule="auto"/>
        <w:ind w:left="0"/>
        <w:jc w:val="both"/>
        <w:rPr>
          <w:rFonts w:ascii="Verdana" w:eastAsia="Century Gothic" w:hAnsi="Verdana" w:cs="Century Gothic"/>
          <w:b/>
          <w:bCs/>
        </w:rPr>
      </w:pPr>
    </w:p>
    <w:p w14:paraId="1C7228B3" w14:textId="77777777" w:rsidR="00EF558F" w:rsidRDefault="00EF558F" w:rsidP="00EF558F">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593A5F">
        <w:rPr>
          <w:rFonts w:ascii="Verdana" w:eastAsia="Calibri" w:hAnsi="Verdana" w:cs="Arial"/>
          <w:color w:val="000000"/>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2901924" w14:textId="77777777" w:rsidR="00EF558F" w:rsidRDefault="00EF558F" w:rsidP="00EF558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 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D216A2C" w14:textId="77777777" w:rsidR="00EF558F" w:rsidRPr="00E870BC" w:rsidRDefault="00EF558F" w:rsidP="00EF558F">
      <w:pPr>
        <w:spacing w:after="0" w:line="276" w:lineRule="auto"/>
        <w:ind w:firstLine="709"/>
        <w:jc w:val="both"/>
        <w:rPr>
          <w:rFonts w:ascii="Verdana" w:eastAsia="Calibri" w:hAnsi="Verdana" w:cs="Arial"/>
          <w:lang w:val="es-ES" w:eastAsia="es-ES"/>
        </w:rPr>
      </w:pPr>
    </w:p>
    <w:p w14:paraId="15F2E9A3" w14:textId="77777777" w:rsidR="00EF558F" w:rsidRPr="00E870BC" w:rsidRDefault="00EF558F" w:rsidP="00EF558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870BC">
        <w:rPr>
          <w:rFonts w:ascii="Verdana" w:eastAsia="Century Gothic" w:hAnsi="Verdana" w:cs="Century Gothic"/>
          <w:b/>
          <w:bCs/>
        </w:rPr>
        <w:t>Problema planteado:</w:t>
      </w:r>
    </w:p>
    <w:p w14:paraId="22F9C8EA" w14:textId="77777777" w:rsidR="00EF558F" w:rsidRPr="00E870BC" w:rsidRDefault="00EF558F" w:rsidP="00EF558F">
      <w:pPr>
        <w:tabs>
          <w:tab w:val="left" w:pos="426"/>
        </w:tabs>
        <w:spacing w:after="0" w:line="276" w:lineRule="auto"/>
        <w:jc w:val="both"/>
        <w:rPr>
          <w:rFonts w:ascii="Verdana" w:eastAsia="Century Gothic" w:hAnsi="Verdana" w:cs="Century Gothic"/>
          <w:lang w:val="es-ES"/>
        </w:rPr>
      </w:pPr>
    </w:p>
    <w:p w14:paraId="639D8369" w14:textId="77777777" w:rsidR="00EF558F" w:rsidRPr="00E870BC" w:rsidRDefault="00EF558F" w:rsidP="00EF558F">
      <w:pPr>
        <w:spacing w:after="0" w:line="276" w:lineRule="auto"/>
        <w:jc w:val="both"/>
        <w:rPr>
          <w:rFonts w:ascii="Verdana" w:eastAsia="Century Gothic" w:hAnsi="Verdana" w:cs="Century Gothic"/>
        </w:rPr>
      </w:pPr>
      <w:r w:rsidRPr="00E870BC">
        <w:rPr>
          <w:rFonts w:ascii="Verdana" w:eastAsia="Century Gothic" w:hAnsi="Verdana" w:cs="Century Gothic"/>
        </w:rPr>
        <w:t xml:space="preserve">De acuerdo con el contenido de su solicitud, esta Agencia resolverá el siguiente problema jurídico: ¿Es necesario que se perfeccione el contrato estatal para proceder con la aprobación de las garantías? </w:t>
      </w:r>
    </w:p>
    <w:p w14:paraId="2CC73B26" w14:textId="77777777" w:rsidR="00EF558F" w:rsidRPr="00E870BC" w:rsidRDefault="00EF558F" w:rsidP="00EF558F">
      <w:pPr>
        <w:spacing w:after="0" w:line="276" w:lineRule="auto"/>
        <w:jc w:val="both"/>
        <w:rPr>
          <w:rFonts w:ascii="Verdana" w:eastAsia="Calibri" w:hAnsi="Verdana" w:cs="Arial"/>
          <w:lang w:val="es-ES"/>
        </w:rPr>
      </w:pPr>
    </w:p>
    <w:p w14:paraId="7234D8C6" w14:textId="77777777" w:rsidR="00EF558F" w:rsidRPr="00E870BC" w:rsidRDefault="00EF558F" w:rsidP="00EF55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870BC">
        <w:rPr>
          <w:rFonts w:ascii="Verdana" w:eastAsia="Century Gothic" w:hAnsi="Verdana" w:cs="Century Gothic"/>
          <w:b/>
          <w:bCs/>
        </w:rPr>
        <w:t>Respuesta:</w:t>
      </w:r>
    </w:p>
    <w:p w14:paraId="706D1811" w14:textId="77777777" w:rsidR="00EF558F" w:rsidRPr="00E870BC" w:rsidRDefault="00EF558F" w:rsidP="00EF558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F558F" w:rsidRPr="00E870BC" w14:paraId="7620C345" w14:textId="77777777" w:rsidTr="00994660">
        <w:tc>
          <w:tcPr>
            <w:tcW w:w="8828" w:type="dxa"/>
            <w:shd w:val="clear" w:color="auto" w:fill="auto"/>
          </w:tcPr>
          <w:p w14:paraId="244132FF" w14:textId="77777777" w:rsidR="00EF558F" w:rsidRPr="00E870BC" w:rsidRDefault="00EF558F" w:rsidP="00994660">
            <w:pPr>
              <w:spacing w:line="276" w:lineRule="auto"/>
              <w:jc w:val="both"/>
              <w:rPr>
                <w:rFonts w:ascii="Verdana" w:eastAsia="Calibri" w:hAnsi="Verdana" w:cs="Arial"/>
                <w:lang w:val="es-MX"/>
              </w:rPr>
            </w:pPr>
            <w:r w:rsidRPr="00E870BC">
              <w:rPr>
                <w:rFonts w:ascii="Verdana" w:hAnsi="Verdana" w:cs="Arial"/>
              </w:rPr>
              <w:t xml:space="preserve">El artículo 41 de la Ley 80 de 1993, en su segundo inciso, </w:t>
            </w:r>
            <w:r w:rsidRPr="00E870BC">
              <w:rPr>
                <w:rFonts w:ascii="Verdana" w:eastAsia="Calibri" w:hAnsi="Verdana" w:cs="Arial"/>
                <w:lang w:val="es-MX"/>
              </w:rPr>
              <w:t>establece que “P</w:t>
            </w:r>
            <w:r w:rsidRPr="00E870BC">
              <w:rPr>
                <w:rFonts w:ascii="Verdana" w:eastAsia="Calibri" w:hAnsi="Verdana" w:cs="Arial"/>
              </w:rPr>
              <w:t xml:space="preserve">ara la ejecución se requerirá de la aprobación de la garantía”, lo que se traduce en que, sin perjuicio del perfeccionamiento del contrato, no podrá ejecutarse sin que se hayan aprobado las garantías por parte de la entidad estatal contratante. También se manifestó el consejo de estado refiriendo que “[…] </w:t>
            </w:r>
            <w:r w:rsidRPr="00E870BC">
              <w:rPr>
                <w:rFonts w:ascii="Verdana" w:eastAsia="Calibri" w:hAnsi="Verdana" w:cs="Arial"/>
                <w:lang w:val="es-MX"/>
              </w:rPr>
              <w:t>una vez elevado a escrito, lo cual supone su suscripción por ambas partes, el contrato estatal existe y requiere del registro presupuestal, al igual que de la aprobación de la garantía para su ejecución […]”.</w:t>
            </w:r>
          </w:p>
          <w:p w14:paraId="744E2CFC" w14:textId="77777777" w:rsidR="00EF558F" w:rsidRPr="00E870BC" w:rsidRDefault="00EF558F" w:rsidP="00994660">
            <w:pPr>
              <w:spacing w:line="276" w:lineRule="auto"/>
              <w:jc w:val="both"/>
              <w:rPr>
                <w:rFonts w:ascii="Verdana" w:eastAsia="Calibri" w:hAnsi="Verdana" w:cs="Arial"/>
                <w:lang w:val="es-ES"/>
              </w:rPr>
            </w:pPr>
            <w:r w:rsidRPr="00E870BC">
              <w:rPr>
                <w:rFonts w:ascii="Verdana" w:eastAsia="Calibri" w:hAnsi="Verdana" w:cs="Arial"/>
                <w:lang w:val="es-ES"/>
              </w:rPr>
              <w:t xml:space="preserve">En síntesis, </w:t>
            </w:r>
            <w:r>
              <w:rPr>
                <w:rFonts w:ascii="Verdana" w:eastAsia="Calibri" w:hAnsi="Verdana" w:cs="Arial"/>
                <w:lang w:val="es-ES"/>
              </w:rPr>
              <w:t xml:space="preserve">teniendo en cuenta que las garantías se clasifican como un requisito de ejecución mas no de perfeccionamiento, </w:t>
            </w:r>
            <w:r w:rsidRPr="00E870BC">
              <w:rPr>
                <w:rFonts w:ascii="Verdana" w:eastAsia="Calibri" w:hAnsi="Verdana" w:cs="Arial"/>
                <w:lang w:val="es-ES"/>
              </w:rPr>
              <w:t>es necesario que el contrato se haya perfeccionado para que el contratista pueda proceder con la solicitud de la póliza que deberá ser enviada a aprobación por parte de la entidad estatal contratante.</w:t>
            </w:r>
          </w:p>
        </w:tc>
      </w:tr>
    </w:tbl>
    <w:p w14:paraId="61F0147E" w14:textId="77777777" w:rsidR="00EF558F" w:rsidRPr="00593A5F" w:rsidRDefault="00EF558F" w:rsidP="00EF558F">
      <w:pPr>
        <w:tabs>
          <w:tab w:val="left" w:pos="142"/>
          <w:tab w:val="left" w:pos="284"/>
        </w:tabs>
        <w:spacing w:after="0" w:line="276" w:lineRule="auto"/>
        <w:jc w:val="both"/>
        <w:rPr>
          <w:rFonts w:ascii="Verdana" w:eastAsia="Century Gothic" w:hAnsi="Verdana" w:cs="Century Gothic"/>
          <w:b/>
          <w:bCs/>
          <w:lang w:val="es-ES"/>
        </w:rPr>
      </w:pPr>
    </w:p>
    <w:p w14:paraId="524F0B4D" w14:textId="77777777" w:rsidR="00EF558F" w:rsidRPr="00593A5F" w:rsidRDefault="00EF558F" w:rsidP="00EF55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D716788" w14:textId="77777777" w:rsidR="00EF558F" w:rsidRPr="00593A5F" w:rsidRDefault="00EF558F" w:rsidP="00EF558F">
      <w:pPr>
        <w:spacing w:after="0" w:line="276" w:lineRule="auto"/>
        <w:jc w:val="both"/>
        <w:rPr>
          <w:rFonts w:ascii="Verdana" w:eastAsia="Calibri" w:hAnsi="Verdana" w:cs="Arial"/>
          <w:color w:val="7030A0"/>
          <w:lang w:val="es-ES"/>
        </w:rPr>
      </w:pPr>
    </w:p>
    <w:p w14:paraId="429DAF16" w14:textId="77777777" w:rsidR="00EF558F" w:rsidRPr="00B96799" w:rsidRDefault="00EF558F" w:rsidP="00EF558F">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3652C14D" w14:textId="77777777" w:rsidR="00EF558F" w:rsidRDefault="00EF558F" w:rsidP="00EF558F">
      <w:pPr>
        <w:spacing w:after="0" w:line="276" w:lineRule="auto"/>
        <w:jc w:val="both"/>
        <w:rPr>
          <w:rFonts w:ascii="Verdana" w:eastAsia="Calibri" w:hAnsi="Verdana" w:cs="Arial"/>
          <w:color w:val="7030A0"/>
          <w:lang w:val="es-ES"/>
        </w:rPr>
      </w:pPr>
    </w:p>
    <w:p w14:paraId="1FCE6670" w14:textId="77777777" w:rsidR="00EF558F" w:rsidRPr="00047745" w:rsidRDefault="00EF558F" w:rsidP="00EF558F">
      <w:pPr>
        <w:spacing w:after="0" w:line="276" w:lineRule="auto"/>
        <w:ind w:firstLine="708"/>
        <w:jc w:val="both"/>
        <w:rPr>
          <w:rFonts w:ascii="Verdana" w:eastAsia="Calibri" w:hAnsi="Verdana" w:cs="Arial"/>
          <w:color w:val="000000" w:themeColor="text1"/>
          <w:lang w:val="es-ES_tradnl"/>
        </w:rPr>
      </w:pPr>
      <w:r w:rsidRPr="00047745">
        <w:rPr>
          <w:rFonts w:ascii="Verdana" w:eastAsia="Calibri" w:hAnsi="Verdana" w:cs="Arial"/>
          <w:color w:val="000000"/>
          <w:lang w:val="es-ES_tradnl"/>
        </w:rPr>
        <w:t>De acuerdo con el Estatuto General de Contratación de la Administración Pública, p</w:t>
      </w:r>
      <w:r w:rsidRPr="00047745">
        <w:rPr>
          <w:rFonts w:ascii="Verdana" w:eastAsia="Calibri" w:hAnsi="Verdana" w:cs="Arial"/>
          <w:color w:val="000000" w:themeColor="text1"/>
          <w:lang w:val="es-ES_tradnl"/>
        </w:rPr>
        <w:t xml:space="preserve">or regla general, </w:t>
      </w:r>
      <w:r w:rsidRPr="00047745">
        <w:rPr>
          <w:rFonts w:ascii="Verdana" w:eastAsia="Calibri" w:hAnsi="Verdana" w:cs="Arial"/>
          <w:color w:val="000000" w:themeColor="text1"/>
          <w:lang w:val="es-ES"/>
        </w:rPr>
        <w:t>para seleccionar los contratistas y para ejecutar los contratos se requiere la constitución de garantías</w:t>
      </w:r>
      <w:r w:rsidRPr="00047745">
        <w:rPr>
          <w:rFonts w:ascii="Verdana" w:eastAsia="Calibri" w:hAnsi="Verdana" w:cs="Arial"/>
          <w:color w:val="000000" w:themeColor="text1"/>
          <w:lang w:val="es-ES_tradnl"/>
        </w:rPr>
        <w:t>.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Esta norma dispone lo siguiente:</w:t>
      </w:r>
    </w:p>
    <w:p w14:paraId="4C3CAAC2" w14:textId="77777777" w:rsidR="00EF558F" w:rsidRPr="00C31767" w:rsidRDefault="00EF558F" w:rsidP="00EF558F">
      <w:pPr>
        <w:spacing w:after="0" w:line="276" w:lineRule="auto"/>
        <w:ind w:firstLine="708"/>
        <w:jc w:val="both"/>
        <w:rPr>
          <w:rFonts w:ascii="Verdana" w:hAnsi="Verdana" w:cs="Arial"/>
          <w:color w:val="000000" w:themeColor="text1"/>
          <w:lang w:eastAsia="es-CO"/>
        </w:rPr>
      </w:pPr>
    </w:p>
    <w:p w14:paraId="4E6FA6AC" w14:textId="77777777" w:rsidR="00EF558F" w:rsidRPr="00C31767" w:rsidRDefault="00EF558F" w:rsidP="00EF558F">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“Artículo 7. Los contratistas prestarán garantía única para el cumplimiento de las obligaciones surgidas del contrato. Los proponentes prestarán garantía de seriedad de los ofrecimientos hechos. </w:t>
      </w:r>
    </w:p>
    <w:p w14:paraId="2C59F84A" w14:textId="77777777" w:rsidR="00EF558F" w:rsidRPr="00C31767" w:rsidRDefault="00EF558F" w:rsidP="00EF558F">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129706A0" w14:textId="77777777" w:rsidR="00EF558F" w:rsidRPr="00C31767" w:rsidRDefault="00EF558F" w:rsidP="00EF558F">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 xml:space="preserve">El Gobierno Nacional señalará los criterios que seguirán las entidades para la exigencia de garantías, las clases y niveles de amparo de los riesgos de los contratos, así como los casos en </w:t>
      </w:r>
      <w:proofErr w:type="gramStart"/>
      <w:r w:rsidRPr="00C31767">
        <w:rPr>
          <w:rFonts w:ascii="Verdana" w:hAnsi="Verdana" w:cs="Arial"/>
          <w:color w:val="000000" w:themeColor="text1"/>
          <w:sz w:val="21"/>
          <w:szCs w:val="21"/>
          <w:lang w:eastAsia="es-CO"/>
        </w:rPr>
        <w:t>que</w:t>
      </w:r>
      <w:proofErr w:type="gramEnd"/>
      <w:r w:rsidRPr="00C31767">
        <w:rPr>
          <w:rFonts w:ascii="Verdana" w:hAnsi="Verdana" w:cs="Arial"/>
          <w:color w:val="000000" w:themeColor="text1"/>
          <w:sz w:val="21"/>
          <w:szCs w:val="21"/>
          <w:lang w:eastAsia="es-CO"/>
        </w:rPr>
        <w:t xml:space="preserve"> por las características y complejidad del contrato a celebrar, la garantía pueda ser dividida teniendo en cuenta las etapas o riesgos relativos a la ejecución del respectivo contrato. </w:t>
      </w:r>
    </w:p>
    <w:p w14:paraId="46E5F680" w14:textId="77777777" w:rsidR="00EF558F" w:rsidRPr="00C31767" w:rsidRDefault="00EF558F" w:rsidP="00EF558F">
      <w:pPr>
        <w:spacing w:after="12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El acaecimiento del siniestro que amparan las garantías será comunicado por la entidad pública al respectivo asegurador mediante la notificación del acto administrativo que así lo declare. </w:t>
      </w:r>
    </w:p>
    <w:p w14:paraId="7F2E6630" w14:textId="77777777" w:rsidR="00EF558F" w:rsidRPr="00C31767" w:rsidRDefault="00EF558F" w:rsidP="00EF558F">
      <w:pPr>
        <w:spacing w:after="0" w:line="240" w:lineRule="auto"/>
        <w:ind w:left="709" w:right="709"/>
        <w:jc w:val="both"/>
        <w:rPr>
          <w:rFonts w:ascii="Verdana" w:hAnsi="Verdana" w:cs="Arial"/>
          <w:color w:val="000000" w:themeColor="text1"/>
          <w:sz w:val="21"/>
          <w:szCs w:val="21"/>
          <w:lang w:eastAsia="es-CO"/>
        </w:rPr>
      </w:pPr>
      <w:r w:rsidRPr="00C31767">
        <w:rPr>
          <w:rFonts w:ascii="Verdana" w:hAnsi="Verdana" w:cs="Arial"/>
          <w:color w:val="000000" w:themeColor="text1"/>
          <w:sz w:val="21"/>
          <w:szCs w:val="21"/>
          <w:lang w:eastAsia="es-CO"/>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3213298A" w14:textId="77777777" w:rsidR="00EF558F" w:rsidRPr="00C31767" w:rsidRDefault="00EF558F" w:rsidP="00EF558F">
      <w:pPr>
        <w:spacing w:after="0" w:line="276" w:lineRule="auto"/>
        <w:ind w:left="709" w:right="709"/>
        <w:jc w:val="both"/>
        <w:rPr>
          <w:rFonts w:ascii="Verdana" w:hAnsi="Verdana" w:cs="Arial"/>
          <w:color w:val="000000" w:themeColor="text1"/>
          <w:lang w:eastAsia="es-CO"/>
        </w:rPr>
      </w:pPr>
    </w:p>
    <w:p w14:paraId="242D4E67" w14:textId="77777777" w:rsidR="00EF558F" w:rsidRPr="00C31767" w:rsidRDefault="00EF558F" w:rsidP="00EF558F">
      <w:pPr>
        <w:spacing w:line="276" w:lineRule="auto"/>
        <w:ind w:firstLine="708"/>
        <w:jc w:val="both"/>
        <w:rPr>
          <w:rFonts w:ascii="Verdana" w:hAnsi="Verdana" w:cs="Arial"/>
          <w:color w:val="000000" w:themeColor="text1"/>
          <w:lang w:val="es-MX"/>
        </w:rPr>
      </w:pPr>
      <w:r w:rsidRPr="00C31767">
        <w:rPr>
          <w:rFonts w:ascii="Verdana" w:hAnsi="Verdana" w:cs="Arial"/>
          <w:color w:val="000000" w:themeColor="text1"/>
          <w:lang w:val="es-MX"/>
        </w:rPr>
        <w:lastRenderedPageBreak/>
        <w:t xml:space="preserve">Las condiciones en las que debe cumplirse esta obligación fueron reglamentadas por el Decreto 1082 de 2015, el cual entre sus artículos 2.2.1.2.3.1.1. y 2.2.1.2.3.1.19 se refiere a asuntos como las clases de garantías permitidas, su indivisibilidad,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792592E4" w14:textId="77777777" w:rsidR="00EF558F" w:rsidRPr="00C31767" w:rsidRDefault="00EF558F" w:rsidP="00EF558F">
      <w:pPr>
        <w:spacing w:before="120" w:line="276" w:lineRule="auto"/>
        <w:ind w:firstLine="708"/>
        <w:jc w:val="both"/>
        <w:rPr>
          <w:rFonts w:ascii="Verdana" w:hAnsi="Verdana" w:cs="Arial"/>
          <w:color w:val="000000" w:themeColor="text1"/>
          <w:lang w:eastAsia="es-CO"/>
        </w:rPr>
      </w:pPr>
      <w:r w:rsidRPr="00C31767">
        <w:rPr>
          <w:rFonts w:ascii="Verdana" w:hAnsi="Verdana" w:cs="Arial"/>
          <w:color w:val="000000" w:themeColor="text1"/>
          <w:lang w:val="es-MX"/>
        </w:rPr>
        <w:t xml:space="preserve">El artículo 2.2.1.2.3.1.3, por ejemplo, establece que la “garantía de cobertura del Riesgo es indivisible”, además de la obligación de los contratantes de establecer en los pliegos de condiciones las garantías exigidas para cada periodo contractual. Seguidamente el artículo 2.2.1.3.1.7 prescribe que la garantía de cumplimiento debe cubrir: i) el buen manejo y correcta inversión del anticipo; </w:t>
      </w:r>
      <w:proofErr w:type="spellStart"/>
      <w:r w:rsidRPr="00C31767">
        <w:rPr>
          <w:rFonts w:ascii="Verdana" w:hAnsi="Verdana" w:cs="Arial"/>
          <w:color w:val="000000" w:themeColor="text1"/>
          <w:lang w:val="es-MX"/>
        </w:rPr>
        <w:t>ii</w:t>
      </w:r>
      <w:proofErr w:type="spellEnd"/>
      <w:r w:rsidRPr="00C31767">
        <w:rPr>
          <w:rFonts w:ascii="Verdana" w:hAnsi="Verdana" w:cs="Arial"/>
          <w:color w:val="000000" w:themeColor="text1"/>
          <w:lang w:val="es-MX"/>
        </w:rPr>
        <w:t xml:space="preserve">) la devolución del pago anticipado; </w:t>
      </w:r>
      <w:proofErr w:type="spellStart"/>
      <w:r w:rsidRPr="00C31767">
        <w:rPr>
          <w:rFonts w:ascii="Verdana" w:hAnsi="Verdana" w:cs="Arial"/>
          <w:color w:val="000000" w:themeColor="text1"/>
          <w:lang w:val="es-MX"/>
        </w:rPr>
        <w:t>iii</w:t>
      </w:r>
      <w:proofErr w:type="spellEnd"/>
      <w:r w:rsidRPr="00C31767">
        <w:rPr>
          <w:rFonts w:ascii="Verdana" w:hAnsi="Verdana" w:cs="Arial"/>
          <w:color w:val="000000" w:themeColor="text1"/>
          <w:lang w:val="es-MX"/>
        </w:rPr>
        <w:t xml:space="preserve">) cumplimiento del contrato; </w:t>
      </w:r>
      <w:proofErr w:type="spellStart"/>
      <w:r w:rsidRPr="00C31767">
        <w:rPr>
          <w:rFonts w:ascii="Verdana" w:hAnsi="Verdana" w:cs="Arial"/>
          <w:color w:val="000000" w:themeColor="text1"/>
          <w:lang w:val="es-MX"/>
        </w:rPr>
        <w:t>iv</w:t>
      </w:r>
      <w:proofErr w:type="spellEnd"/>
      <w:r w:rsidRPr="00C31767">
        <w:rPr>
          <w:rFonts w:ascii="Verdana" w:hAnsi="Verdana" w:cs="Arial"/>
          <w:color w:val="000000" w:themeColor="text1"/>
          <w:lang w:val="es-MX"/>
        </w:rPr>
        <w:t xml:space="preserve">) pago de salarios, prestaciones sociales legales e indemnizaciones laborales; v) estabilidad y calidad de la obra; vi) </w:t>
      </w:r>
      <w:r w:rsidRPr="00C31767">
        <w:rPr>
          <w:rFonts w:ascii="Verdana" w:hAnsi="Verdana" w:cs="Arial"/>
          <w:color w:val="000000" w:themeColor="text1"/>
          <w:lang w:eastAsia="es-CO"/>
        </w:rPr>
        <w:t xml:space="preserve">calidad del servicio; </w:t>
      </w:r>
      <w:proofErr w:type="spellStart"/>
      <w:r w:rsidRPr="00C31767">
        <w:rPr>
          <w:rFonts w:ascii="Verdana" w:hAnsi="Verdana" w:cs="Arial"/>
          <w:color w:val="000000" w:themeColor="text1"/>
          <w:lang w:eastAsia="es-CO"/>
        </w:rPr>
        <w:t>vii</w:t>
      </w:r>
      <w:proofErr w:type="spellEnd"/>
      <w:r w:rsidRPr="00C31767">
        <w:rPr>
          <w:rFonts w:ascii="Verdana" w:hAnsi="Verdana" w:cs="Arial"/>
          <w:color w:val="000000" w:themeColor="text1"/>
          <w:lang w:eastAsia="es-CO"/>
        </w:rPr>
        <w:t xml:space="preserve">) calidad y correcto funcionamiento de los bienes; y </w:t>
      </w:r>
      <w:proofErr w:type="spellStart"/>
      <w:r w:rsidRPr="00C31767">
        <w:rPr>
          <w:rFonts w:ascii="Verdana" w:hAnsi="Verdana" w:cs="Arial"/>
          <w:color w:val="000000" w:themeColor="text1"/>
          <w:lang w:eastAsia="es-CO"/>
        </w:rPr>
        <w:t>viii</w:t>
      </w:r>
      <w:proofErr w:type="spellEnd"/>
      <w:r w:rsidRPr="00C31767">
        <w:rPr>
          <w:rFonts w:ascii="Verdana" w:hAnsi="Verdana" w:cs="Arial"/>
          <w:color w:val="000000" w:themeColor="text1"/>
          <w:lang w:eastAsia="es-CO"/>
        </w:rPr>
        <w:t>) los demás incumplimientos de las obligaciones que la entidad estatal considere deben ser amparados. Por su parte, el artículo 2.2.1.2.3.1.12 regula la suficiencia del amparo de cumplimiento, al determinar que esta debe tener una vigencia mínima hasta la liquidación del contrato y un valor de por lo menos el diez por ciento (10%) del total del contrato, siempre que este sea inferior a un millón (1.000.000) de S.M.M.L.V., estableciendo otros mínimos para el valor de las pólizas en contratos con montos superiores</w:t>
      </w:r>
      <w:r w:rsidRPr="00C31767">
        <w:rPr>
          <w:rFonts w:ascii="Verdana" w:hAnsi="Verdana" w:cs="Arial"/>
          <w:color w:val="000000" w:themeColor="text1"/>
          <w:vertAlign w:val="superscript"/>
          <w:lang w:eastAsia="es-CO"/>
        </w:rPr>
        <w:footnoteReference w:id="1"/>
      </w:r>
      <w:r w:rsidRPr="00C31767">
        <w:rPr>
          <w:rFonts w:ascii="Verdana" w:hAnsi="Verdana" w:cs="Arial"/>
          <w:color w:val="000000" w:themeColor="text1"/>
          <w:lang w:eastAsia="es-CO"/>
        </w:rPr>
        <w:t xml:space="preserve">.   </w:t>
      </w:r>
    </w:p>
    <w:p w14:paraId="31812DFD" w14:textId="77777777" w:rsidR="00EF558F" w:rsidRPr="00C31767" w:rsidRDefault="00EF558F" w:rsidP="00EF558F">
      <w:pPr>
        <w:spacing w:before="120" w:line="276" w:lineRule="auto"/>
        <w:ind w:firstLine="708"/>
        <w:jc w:val="both"/>
        <w:rPr>
          <w:rFonts w:ascii="Verdana" w:hAnsi="Verdana" w:cs="Arial"/>
          <w:color w:val="000000" w:themeColor="text1"/>
        </w:rPr>
      </w:pPr>
      <w:r w:rsidRPr="00C31767">
        <w:rPr>
          <w:rFonts w:ascii="Verdana" w:hAnsi="Verdana" w:cs="Arial"/>
          <w:color w:val="000000" w:themeColor="text1"/>
          <w:lang w:val="es-MX"/>
        </w:rPr>
        <w:t xml:space="preserve">Los anteriores y otros aspectos desarrollados por el Decreto 1082 de 2015 deben ser verificados por las entidades estatales, para determinar si los amparos </w:t>
      </w:r>
      <w:r w:rsidRPr="00C31767">
        <w:rPr>
          <w:rFonts w:ascii="Verdana" w:hAnsi="Verdana" w:cs="Arial"/>
          <w:color w:val="000000" w:themeColor="text1"/>
          <w:lang w:val="es-MX"/>
        </w:rPr>
        <w:lastRenderedPageBreak/>
        <w:t>constituidos por sus contratistas en cumplimiento de la obligación derivada del artículo 7 de la Ley 1150 de 2007 se ajustan o no a lo exigido por el reglamento respecto del objeto y valor del contrato.</w:t>
      </w:r>
      <w:r w:rsidRPr="00C31767">
        <w:rPr>
          <w:rFonts w:ascii="Verdana" w:hAnsi="Verdana" w:cs="Arial"/>
          <w:color w:val="000000" w:themeColor="text1"/>
        </w:rPr>
        <w:t xml:space="preserve">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00C31767">
        <w:rPr>
          <w:rFonts w:ascii="Verdana" w:eastAsia="Calibri" w:hAnsi="Verdana" w:cs="Arial"/>
        </w:rPr>
        <w:t xml:space="preserve">. </w:t>
      </w:r>
    </w:p>
    <w:p w14:paraId="43CE11CF" w14:textId="77777777" w:rsidR="00EF558F" w:rsidRPr="00C31767" w:rsidRDefault="00EF558F" w:rsidP="00EF558F">
      <w:pPr>
        <w:spacing w:before="120" w:line="276" w:lineRule="auto"/>
        <w:ind w:firstLine="708"/>
        <w:jc w:val="both"/>
        <w:rPr>
          <w:rFonts w:ascii="Verdana" w:hAnsi="Verdana" w:cs="Arial"/>
          <w:color w:val="000000" w:themeColor="text1"/>
          <w:lang w:val="es-ES_tradnl"/>
        </w:rPr>
      </w:pPr>
      <w:r w:rsidRPr="00C31767">
        <w:rPr>
          <w:rFonts w:ascii="Verdana" w:eastAsia="Calibri" w:hAnsi="Verdana" w:cs="Arial"/>
        </w:rPr>
        <w:t xml:space="preserve">En efecto, </w:t>
      </w:r>
      <w:r w:rsidRPr="00C31767">
        <w:rPr>
          <w:rFonts w:ascii="Verdana" w:hAnsi="Verdana" w:cs="Arial"/>
          <w:color w:val="000000" w:themeColor="text1"/>
          <w:lang w:val="es-MX"/>
        </w:rPr>
        <w:t xml:space="preserve">el referido artículo establece en su inciso primero que los contratos </w:t>
      </w:r>
      <w:r w:rsidRPr="004B1DD8">
        <w:rPr>
          <w:rFonts w:ascii="Verdana" w:hAnsi="Verdana" w:cs="Arial"/>
          <w:color w:val="000000" w:themeColor="text1"/>
          <w:lang w:val="es-MX"/>
        </w:rPr>
        <w:t>estatales se perfeccionan “</w:t>
      </w:r>
      <w:r w:rsidRPr="004B1DD8">
        <w:rPr>
          <w:rFonts w:ascii="Verdana" w:hAnsi="Verdana" w:cs="Arial"/>
          <w:color w:val="000000" w:themeColor="text1"/>
          <w:lang w:eastAsia="es-CO"/>
        </w:rPr>
        <w:t>cuando se logre acuerdo sobre el objeto y la contraprestación y éste se eleve a escrito</w:t>
      </w:r>
      <w:r w:rsidRPr="004B1DD8">
        <w:rPr>
          <w:rFonts w:ascii="Verdana" w:hAnsi="Verdana" w:cs="Arial"/>
          <w:color w:val="000000" w:themeColor="text1"/>
          <w:lang w:val="es-MX"/>
        </w:rPr>
        <w:t>”. Por su parte el inciso segundo establece que “P</w:t>
      </w:r>
      <w:r w:rsidRPr="004B1DD8">
        <w:rPr>
          <w:rFonts w:ascii="Verdana" w:hAnsi="Verdana" w:cs="Arial"/>
          <w:color w:val="000000" w:themeColor="text1"/>
          <w:lang w:eastAsia="es-CO"/>
        </w:rPr>
        <w:t>ara la ejecución se requerirá de la aprobación de la garantía”, lo que se traduce en que, sin perjuicio del perfeccionamiento del contrato, no podrá ejecutarse sin que se hayan aprobado las garantías por parte de la entidad estatal contratante.</w:t>
      </w:r>
    </w:p>
    <w:p w14:paraId="538E164D" w14:textId="77777777" w:rsidR="00EF558F" w:rsidRPr="00C31767" w:rsidRDefault="00EF558F" w:rsidP="00EF558F">
      <w:pPr>
        <w:spacing w:before="120" w:after="0" w:line="276" w:lineRule="auto"/>
        <w:ind w:firstLine="708"/>
        <w:jc w:val="both"/>
        <w:rPr>
          <w:rFonts w:ascii="Verdana" w:hAnsi="Verdana" w:cs="Arial"/>
          <w:color w:val="000000" w:themeColor="text1"/>
          <w:lang w:val="es-MX"/>
        </w:rPr>
      </w:pPr>
      <w:r w:rsidRPr="00C31767">
        <w:rPr>
          <w:rFonts w:ascii="Verdana" w:hAnsi="Verdana" w:cs="Arial"/>
          <w:color w:val="000000" w:themeColor="text1"/>
          <w:lang w:eastAsia="es-CO"/>
        </w:rPr>
        <w:t xml:space="preserve">Al interpretar la regulación del precitado artículo, el Consejo de Estado ha diferenciado los requisitos de perfeccionamiento del contrato de los concernientes a la ejecución, al entender que el acuerdo de voluntades elevado a escrito suscrito por las partes perfecciona el contrato estatal, mientras que la aprobación de las garantías es un requisito para su ejecución, el cual no está sometido al libre arbitrio del contratante, en la medida que tal aprobación consiste </w:t>
      </w:r>
      <w:r w:rsidRPr="00C31767">
        <w:rPr>
          <w:rFonts w:ascii="Verdana" w:hAnsi="Verdana" w:cs="Arial"/>
          <w:color w:val="000000" w:themeColor="text1"/>
          <w:lang w:val="es-MX"/>
        </w:rPr>
        <w:t>en un reconocimiento por parte de la Administración de que el contratista ha cumplido con la obligación de la garantía requerida por la ley y que esta se ajuste a lo pactado en el contrato.  Así lo expresó la Sección Tercera del Consejo de Estado en Sentencia del 28 de junio de 2012:</w:t>
      </w:r>
    </w:p>
    <w:p w14:paraId="0CFA7B97" w14:textId="77777777" w:rsidR="00EF558F" w:rsidRPr="00C31767" w:rsidRDefault="00EF558F" w:rsidP="00EF558F">
      <w:pPr>
        <w:spacing w:after="0" w:line="276" w:lineRule="auto"/>
        <w:ind w:firstLine="709"/>
        <w:jc w:val="both"/>
        <w:rPr>
          <w:rFonts w:ascii="Verdana" w:hAnsi="Verdana" w:cs="Arial"/>
          <w:color w:val="000000" w:themeColor="text1"/>
          <w:lang w:eastAsia="es-CO"/>
        </w:rPr>
      </w:pPr>
    </w:p>
    <w:p w14:paraId="00640DC0" w14:textId="77777777" w:rsidR="00EF558F" w:rsidRPr="004B1DD8" w:rsidRDefault="00EF558F" w:rsidP="00EF558F">
      <w:pPr>
        <w:spacing w:after="120" w:line="240" w:lineRule="auto"/>
        <w:ind w:left="709" w:right="709"/>
        <w:jc w:val="both"/>
        <w:rPr>
          <w:rFonts w:ascii="Verdana" w:hAnsi="Verdana" w:cs="Arial"/>
          <w:color w:val="000000" w:themeColor="text1"/>
          <w:sz w:val="21"/>
          <w:szCs w:val="21"/>
          <w:lang w:val="es-MX"/>
        </w:rPr>
      </w:pPr>
      <w:r w:rsidRPr="00C31767">
        <w:rPr>
          <w:rFonts w:ascii="Verdana" w:hAnsi="Verdana" w:cs="Arial"/>
          <w:color w:val="000000" w:themeColor="text1"/>
          <w:sz w:val="21"/>
          <w:szCs w:val="21"/>
          <w:lang w:val="es-MX"/>
        </w:rPr>
        <w:t xml:space="preserve">“[…] Por virtud de lo dispuesto en la Ley 80 de 1993, el contrato estatal existe cuando el acuerdo sobre el objeto y la contraprestación se eleva a escrito y, es ejecutable, cuando se cumplen las condiciones previstas en el inciso segundo del artículo 41 de la ley, en concordancia con lo 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w:t>
      </w:r>
      <w:r w:rsidRPr="004B1DD8">
        <w:rPr>
          <w:rFonts w:ascii="Verdana" w:hAnsi="Verdana" w:cs="Arial"/>
          <w:color w:val="000000" w:themeColor="text1"/>
          <w:sz w:val="21"/>
          <w:szCs w:val="21"/>
          <w:lang w:val="es-MX"/>
        </w:rPr>
        <w:t xml:space="preserve">lo previsto en la ley orgánica del presupuesto.  </w:t>
      </w:r>
    </w:p>
    <w:p w14:paraId="19703394" w14:textId="77777777" w:rsidR="00EF558F" w:rsidRPr="00C31767" w:rsidRDefault="00EF558F" w:rsidP="00EF558F">
      <w:pPr>
        <w:spacing w:after="120" w:line="240" w:lineRule="auto"/>
        <w:ind w:left="709" w:right="709"/>
        <w:jc w:val="both"/>
        <w:rPr>
          <w:rFonts w:ascii="Verdana" w:hAnsi="Verdana" w:cs="Arial"/>
          <w:color w:val="000000" w:themeColor="text1"/>
          <w:sz w:val="21"/>
          <w:szCs w:val="21"/>
          <w:lang w:val="es-MX"/>
        </w:rPr>
      </w:pPr>
      <w:r w:rsidRPr="004B1DD8">
        <w:rPr>
          <w:rFonts w:ascii="Verdana" w:hAnsi="Verdana" w:cs="Arial"/>
          <w:color w:val="000000" w:themeColor="text1"/>
          <w:sz w:val="21"/>
          <w:szCs w:val="21"/>
          <w:lang w:val="es-MX"/>
        </w:rPr>
        <w:t xml:space="preserve">Ello significa que, </w:t>
      </w:r>
      <w:r w:rsidRPr="004B1DD8">
        <w:rPr>
          <w:rFonts w:ascii="Verdana" w:hAnsi="Verdana" w:cs="Arial"/>
          <w:i/>
          <w:iCs/>
          <w:color w:val="000000" w:themeColor="text1"/>
          <w:sz w:val="21"/>
          <w:szCs w:val="21"/>
          <w:lang w:val="es-MX"/>
        </w:rPr>
        <w:t xml:space="preserve">una vez elevado a escrito, lo cual supone su suscripción por ambas partes, el contrato estatal existe y requiere del </w:t>
      </w:r>
      <w:r w:rsidRPr="004B1DD8">
        <w:rPr>
          <w:rFonts w:ascii="Verdana" w:hAnsi="Verdana" w:cs="Arial"/>
          <w:i/>
          <w:iCs/>
          <w:color w:val="000000" w:themeColor="text1"/>
          <w:sz w:val="21"/>
          <w:szCs w:val="21"/>
          <w:lang w:val="es-MX"/>
        </w:rPr>
        <w:lastRenderedPageBreak/>
        <w:t>registro presupuestal, al igual que de la aprobación de la garantía para su ejecución, condiciones que cumplidas le otorgan eficacia.</w:t>
      </w:r>
      <w:r w:rsidRPr="00C31767">
        <w:rPr>
          <w:rFonts w:ascii="Verdana" w:hAnsi="Verdana" w:cs="Arial"/>
          <w:color w:val="000000" w:themeColor="text1"/>
          <w:sz w:val="21"/>
          <w:szCs w:val="21"/>
          <w:lang w:val="es-MX"/>
        </w:rPr>
        <w:t xml:space="preserve"> La aprobación de la póliza </w:t>
      </w:r>
      <w:proofErr w:type="gramStart"/>
      <w:r w:rsidRPr="00C31767">
        <w:rPr>
          <w:rFonts w:ascii="Verdana" w:hAnsi="Verdana" w:cs="Arial"/>
          <w:color w:val="000000" w:themeColor="text1"/>
          <w:sz w:val="21"/>
          <w:szCs w:val="21"/>
          <w:lang w:val="es-MX"/>
        </w:rPr>
        <w:t>entonces,</w:t>
      </w:r>
      <w:proofErr w:type="gramEnd"/>
      <w:r w:rsidRPr="00C31767">
        <w:rPr>
          <w:rFonts w:ascii="Verdana" w:hAnsi="Verdana" w:cs="Arial"/>
          <w:color w:val="000000" w:themeColor="text1"/>
          <w:sz w:val="21"/>
          <w:szCs w:val="21"/>
          <w:lang w:val="es-MX"/>
        </w:rPr>
        <w:t xml:space="preserve"> no tiene alcance diferente al reconocimiento de parte de la administración sobre que el contratista cumplió con la obligación de la garantía en orden a la ejecución del contrato y el registro presupuestal comporta que la contratante hizo lo propio. </w:t>
      </w:r>
    </w:p>
    <w:p w14:paraId="00776A6C" w14:textId="77777777" w:rsidR="00EF558F" w:rsidRPr="00C31767" w:rsidRDefault="00EF558F" w:rsidP="00EF558F">
      <w:pPr>
        <w:spacing w:after="0" w:line="240" w:lineRule="auto"/>
        <w:ind w:left="709" w:right="709"/>
        <w:jc w:val="both"/>
        <w:rPr>
          <w:rFonts w:ascii="Verdana" w:hAnsi="Verdana" w:cs="Arial"/>
          <w:color w:val="000000" w:themeColor="text1"/>
          <w:sz w:val="21"/>
          <w:szCs w:val="21"/>
          <w:lang w:val="es-MX"/>
        </w:rPr>
      </w:pPr>
      <w:r w:rsidRPr="00C31767">
        <w:rPr>
          <w:rFonts w:ascii="Verdana" w:hAnsi="Verdana" w:cs="Arial"/>
          <w:color w:val="000000" w:themeColor="text1"/>
          <w:sz w:val="21"/>
          <w:szCs w:val="21"/>
          <w:lang w:val="es-MX"/>
        </w:rPr>
        <w:t>En ese orden de ideas</w:t>
      </w:r>
      <w:r w:rsidRPr="004B1DD8">
        <w:rPr>
          <w:rFonts w:ascii="Verdana" w:hAnsi="Verdana" w:cs="Arial"/>
          <w:color w:val="000000" w:themeColor="text1"/>
          <w:sz w:val="21"/>
          <w:szCs w:val="21"/>
          <w:lang w:val="es-MX"/>
        </w:rPr>
        <w:t>, 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serviría la previsión legal, pues lo sujeto a la potestad unilateral nada condiciona”</w:t>
      </w:r>
      <w:r w:rsidRPr="004B1DD8">
        <w:rPr>
          <w:rFonts w:ascii="Verdana" w:hAnsi="Verdana" w:cs="Arial"/>
          <w:color w:val="000000" w:themeColor="text1"/>
          <w:sz w:val="21"/>
          <w:szCs w:val="21"/>
          <w:vertAlign w:val="superscript"/>
          <w:lang w:val="es-MX"/>
        </w:rPr>
        <w:footnoteReference w:id="2"/>
      </w:r>
      <w:r w:rsidRPr="004B1DD8">
        <w:rPr>
          <w:rFonts w:ascii="Verdana" w:hAnsi="Verdana" w:cs="Arial"/>
          <w:color w:val="000000" w:themeColor="text1"/>
          <w:sz w:val="21"/>
          <w:szCs w:val="21"/>
          <w:lang w:val="es-MX"/>
        </w:rPr>
        <w:t>.</w:t>
      </w:r>
      <w:r w:rsidRPr="00C31767">
        <w:rPr>
          <w:rFonts w:ascii="Verdana" w:hAnsi="Verdana" w:cs="Arial"/>
          <w:color w:val="000000" w:themeColor="text1"/>
          <w:sz w:val="21"/>
          <w:szCs w:val="21"/>
          <w:lang w:val="es-MX"/>
        </w:rPr>
        <w:t xml:space="preserve"> (Énfasis fuera de texto)</w:t>
      </w:r>
    </w:p>
    <w:p w14:paraId="003A4ED1" w14:textId="77777777" w:rsidR="00EF558F" w:rsidRPr="00C31767" w:rsidRDefault="00EF558F" w:rsidP="00EF558F">
      <w:pPr>
        <w:spacing w:after="0" w:line="276" w:lineRule="auto"/>
        <w:ind w:firstLine="708"/>
        <w:jc w:val="both"/>
        <w:rPr>
          <w:rFonts w:ascii="Verdana" w:hAnsi="Verdana" w:cs="Arial"/>
          <w:color w:val="000000" w:themeColor="text1"/>
          <w:lang w:eastAsia="es-CO"/>
        </w:rPr>
      </w:pPr>
    </w:p>
    <w:p w14:paraId="57EE5996" w14:textId="77777777" w:rsidR="00EF558F" w:rsidRPr="00C31767" w:rsidRDefault="00EF558F" w:rsidP="00EF558F">
      <w:pPr>
        <w:spacing w:line="276" w:lineRule="auto"/>
        <w:ind w:firstLine="709"/>
        <w:jc w:val="both"/>
        <w:rPr>
          <w:rFonts w:ascii="Verdana" w:hAnsi="Verdana" w:cs="Arial"/>
          <w:color w:val="000000" w:themeColor="text1"/>
          <w:lang w:eastAsia="es-CO"/>
        </w:rPr>
      </w:pPr>
      <w:r w:rsidRPr="00C31767">
        <w:rPr>
          <w:rFonts w:ascii="Verdana" w:hAnsi="Verdana" w:cs="Arial"/>
          <w:color w:val="000000" w:themeColor="text1"/>
          <w:lang w:eastAsia="es-CO"/>
        </w:rPr>
        <w:t xml:space="preserve">De esta manera, para proceder con la ejecución del contrato, el contratista debe cumplir con la obligación de constituir las garantías, para lo cual deberá presentar el respectivo instrumento para la verificación por parte de la entidad estatal, quien procederá a su aprobación siempre que se cumplan con las condiciones pactadas en el contrato. Cabe aclarar que las garantías que debe presentar el contratista para aprobación de la entidad en el marco del artículo 41 de la ley 80 de 1993, corresponden a las garantías contractuales </w:t>
      </w:r>
      <w:r w:rsidRPr="00C31767">
        <w:rPr>
          <w:rFonts w:ascii="Verdana" w:hAnsi="Verdana" w:cs="Arial"/>
          <w:color w:val="000000" w:themeColor="text1"/>
          <w:lang w:val="es-ES_tradnl" w:eastAsia="es-CO"/>
        </w:rPr>
        <w:t>que cubren los riesgos asociados al contrato celebrado y a las obligaciones posteriores a su ejecución, esto es, la garantía única de cumplimiento –con sus respectivos amparos– y la garantía de responsabilidad civil extracontractual</w:t>
      </w:r>
      <w:r w:rsidRPr="00C31767">
        <w:rPr>
          <w:rStyle w:val="Refdenotaalpie"/>
          <w:rFonts w:ascii="Verdana" w:hAnsi="Verdana" w:cs="Arial"/>
          <w:color w:val="000000" w:themeColor="text1"/>
          <w:lang w:val="es-ES_tradnl" w:eastAsia="es-CO"/>
        </w:rPr>
        <w:footnoteReference w:id="3"/>
      </w:r>
      <w:r w:rsidRPr="00C31767">
        <w:rPr>
          <w:rFonts w:ascii="Verdana" w:hAnsi="Verdana" w:cs="Arial"/>
          <w:color w:val="000000" w:themeColor="text1"/>
          <w:lang w:val="es-ES_tradnl" w:eastAsia="es-CO"/>
        </w:rPr>
        <w:t>.</w:t>
      </w:r>
    </w:p>
    <w:p w14:paraId="6DEFA6B9" w14:textId="77777777" w:rsidR="00EF558F" w:rsidRPr="00C31767" w:rsidRDefault="00EF558F" w:rsidP="00EF558F">
      <w:pPr>
        <w:spacing w:before="120" w:line="276" w:lineRule="auto"/>
        <w:ind w:firstLine="709"/>
        <w:jc w:val="both"/>
        <w:rPr>
          <w:rFonts w:ascii="Verdana" w:hAnsi="Verdana" w:cs="Arial"/>
          <w:color w:val="000000" w:themeColor="text1"/>
          <w:lang w:val="es-ES"/>
        </w:rPr>
      </w:pPr>
      <w:r w:rsidRPr="00C31767">
        <w:rPr>
          <w:rFonts w:ascii="Verdana" w:eastAsia="Calibri" w:hAnsi="Verdana" w:cs="Arial"/>
          <w:color w:val="000000"/>
          <w:lang w:eastAsia="en-GB"/>
        </w:rPr>
        <w:t xml:space="preserve">En este contexto, </w:t>
      </w:r>
      <w:bookmarkStart w:id="1" w:name="_Hlk173079147"/>
      <w:r w:rsidRPr="00C31767">
        <w:rPr>
          <w:rFonts w:ascii="Verdana" w:eastAsia="Calibri" w:hAnsi="Verdana" w:cs="Arial"/>
          <w:color w:val="000000"/>
          <w:lang w:eastAsia="en-GB"/>
        </w:rPr>
        <w:t xml:space="preserve">la obligación de constituir las garantías contractuales y su aprobación tiene como propósito cumplir con el requisito de ejecución del contrato, pues estas se erigen como un </w:t>
      </w:r>
      <w:r w:rsidRPr="00C31767">
        <w:rPr>
          <w:rFonts w:ascii="Verdana" w:hAnsi="Verdana" w:cs="Arial"/>
          <w:color w:val="000000" w:themeColor="text1"/>
          <w:lang w:val="es-MX"/>
        </w:rPr>
        <w:t>“</w:t>
      </w:r>
      <w:r w:rsidRPr="00C31767">
        <w:rPr>
          <w:rFonts w:ascii="Verdana" w:eastAsia="Calibri" w:hAnsi="Verdana" w:cs="Arial"/>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C31767">
        <w:rPr>
          <w:rStyle w:val="Refdenotaalpie"/>
          <w:rFonts w:ascii="Verdana" w:eastAsia="Calibri" w:hAnsi="Verdana" w:cs="Arial"/>
          <w:color w:val="000000"/>
          <w:lang w:eastAsia="en-GB"/>
        </w:rPr>
        <w:footnoteReference w:id="4"/>
      </w:r>
      <w:r w:rsidRPr="00C31767">
        <w:rPr>
          <w:rFonts w:ascii="Verdana" w:hAnsi="Verdana" w:cs="Arial"/>
          <w:color w:val="000000" w:themeColor="text1"/>
          <w:lang w:eastAsia="es-CO"/>
        </w:rPr>
        <w:t>.</w:t>
      </w:r>
      <w:r w:rsidRPr="00C31767">
        <w:rPr>
          <w:rFonts w:ascii="Verdana" w:hAnsi="Verdana" w:cs="Arial"/>
          <w:color w:val="000000" w:themeColor="text1"/>
          <w:lang w:val="es-MX"/>
        </w:rPr>
        <w:t xml:space="preserve"> En este sentido, previo a l</w:t>
      </w:r>
      <w:r w:rsidRPr="00C31767">
        <w:rPr>
          <w:rFonts w:ascii="Verdana" w:hAnsi="Verdana" w:cs="Arial"/>
          <w:color w:val="000000" w:themeColor="text1"/>
          <w:lang w:val="es-ES_tradnl"/>
        </w:rPr>
        <w:t xml:space="preserve">a aprobación de las garantías pactadas en el contrato, la entidad debe realizar la respectiva verificación de los amparos </w:t>
      </w:r>
      <w:r w:rsidRPr="00C31767">
        <w:rPr>
          <w:rFonts w:ascii="Verdana" w:hAnsi="Verdana" w:cs="Arial"/>
          <w:color w:val="000000" w:themeColor="text1"/>
          <w:lang w:val="es-ES_tradnl"/>
        </w:rPr>
        <w:lastRenderedPageBreak/>
        <w:t>y suficiencia de las garantías exigidas, con la finalidad de</w:t>
      </w:r>
      <w:r w:rsidRPr="00C31767">
        <w:rPr>
          <w:rFonts w:ascii="Verdana" w:hAnsi="Verdana" w:cs="Arial"/>
          <w:color w:val="000000" w:themeColor="text1"/>
        </w:rPr>
        <w:t xml:space="preserve"> asegurar que estas </w:t>
      </w:r>
      <w:r w:rsidRPr="00C31767">
        <w:rPr>
          <w:rFonts w:ascii="Verdana" w:hAnsi="Verdana" w:cs="Arial"/>
          <w:color w:val="000000" w:themeColor="text1"/>
          <w:lang w:val="es-ES"/>
        </w:rPr>
        <w:t xml:space="preserve">protejan el patrimonio del Estado de los perjuicios que eventualmente se derivarían de la materialización de los riesgos amparados. </w:t>
      </w:r>
    </w:p>
    <w:p w14:paraId="1DDBFBF3" w14:textId="77777777" w:rsidR="00EF558F" w:rsidRPr="00C31767" w:rsidRDefault="00EF558F" w:rsidP="00EF558F">
      <w:pPr>
        <w:spacing w:before="120" w:line="276" w:lineRule="auto"/>
        <w:ind w:firstLine="709"/>
        <w:jc w:val="both"/>
        <w:rPr>
          <w:rFonts w:ascii="Verdana" w:hAnsi="Verdana" w:cs="Arial"/>
          <w:color w:val="000000" w:themeColor="text1"/>
          <w:lang w:val="es-ES_tradnl"/>
        </w:rPr>
      </w:pPr>
      <w:r w:rsidRPr="00C31767">
        <w:rPr>
          <w:rFonts w:ascii="Verdana" w:hAnsi="Verdana" w:cs="Arial"/>
          <w:color w:val="000000" w:themeColor="text1"/>
          <w:lang w:val="es-ES_tradnl"/>
        </w:rPr>
        <w:t xml:space="preserve">Esta labor de verificación por parte de la entidad implica validar el origen de las garantías y revisar </w:t>
      </w:r>
      <w:r w:rsidRPr="00C31767">
        <w:rPr>
          <w:rFonts w:ascii="Verdana" w:hAnsi="Verdana" w:cs="Arial"/>
          <w:color w:val="000000" w:themeColor="text1"/>
          <w:lang w:val="es-MX"/>
        </w:rPr>
        <w:t>“</w:t>
      </w:r>
      <w:r w:rsidRPr="00C31767">
        <w:rPr>
          <w:rFonts w:ascii="Verdana" w:eastAsia="Calibri" w:hAnsi="Verdana" w:cs="Arial"/>
        </w:rPr>
        <w:t>que los valores asegurados coincidan con los que se exigieron en el contrato, así como su vigencia; verificar que estén identificados plenamente el tomador y el beneficiario, y que vengan adjuntas las condiciones generales de la póliza. Sólo con la certeza que brinda este análisis, se puede tener la seguridad que no se causarán perjuicios al ente estatal. De tal manera, una vez revisada la póliza, sus anexos (condiciones generales) y su contenido y si está de acuerdo con lo exigido, se impartirá la aprobación correspondiente”</w:t>
      </w:r>
      <w:r w:rsidRPr="00C31767">
        <w:rPr>
          <w:rStyle w:val="Refdenotaalpie"/>
          <w:rFonts w:ascii="Verdana" w:eastAsia="Calibri" w:hAnsi="Verdana" w:cs="Arial"/>
        </w:rPr>
        <w:footnoteReference w:id="5"/>
      </w:r>
      <w:r w:rsidRPr="00C31767">
        <w:rPr>
          <w:rFonts w:ascii="Verdana" w:hAnsi="Verdana" w:cs="Arial"/>
          <w:color w:val="000000" w:themeColor="text1"/>
          <w:lang w:val="es-MX"/>
        </w:rPr>
        <w:t>.</w:t>
      </w:r>
      <w:r w:rsidRPr="00C31767">
        <w:rPr>
          <w:rFonts w:ascii="Verdana" w:hAnsi="Verdana" w:cs="Arial"/>
          <w:color w:val="000000" w:themeColor="text1"/>
          <w:lang w:val="es-ES"/>
        </w:rPr>
        <w:t xml:space="preserve"> </w:t>
      </w:r>
      <w:r w:rsidRPr="00C31767">
        <w:rPr>
          <w:rFonts w:ascii="Verdana" w:hAnsi="Verdana" w:cs="Arial"/>
          <w:color w:val="000000" w:themeColor="text1"/>
          <w:lang w:val="es-MX"/>
        </w:rPr>
        <w:t xml:space="preserve">De este modo, </w:t>
      </w:r>
      <w:r w:rsidRPr="00C31767">
        <w:rPr>
          <w:rFonts w:ascii="Verdana" w:hAnsi="Verdana" w:cs="Arial"/>
          <w:color w:val="000000" w:themeColor="text1"/>
          <w:lang w:val="es-ES_tradnl"/>
        </w:rPr>
        <w:t xml:space="preserve">con la aprobación de las garantías la entidad estatal </w:t>
      </w:r>
      <w:r w:rsidRPr="00C31767">
        <w:rPr>
          <w:rFonts w:ascii="Verdana" w:hAnsi="Verdana" w:cs="Arial"/>
          <w:color w:val="000000" w:themeColor="text1"/>
          <w:lang w:eastAsia="es-CO"/>
        </w:rPr>
        <w:t xml:space="preserve">estará acreditando el cumplimiento de la obligación del artículo 7 de la Ley 1150 de 2007, </w:t>
      </w:r>
      <w:r w:rsidRPr="00C31767">
        <w:rPr>
          <w:rFonts w:ascii="Verdana" w:hAnsi="Verdana" w:cs="Arial"/>
          <w:color w:val="000000" w:themeColor="text1"/>
          <w:lang w:val="es-ES_tradnl"/>
        </w:rPr>
        <w:t xml:space="preserve">y entonces el contrato podrá ejecutarse, siempre que se cumplan los demás requisitos establece el artículo 41 de la Ley 80 de 1993, para efectos de su posterior liquidación. </w:t>
      </w:r>
    </w:p>
    <w:bookmarkEnd w:id="1"/>
    <w:p w14:paraId="1B5D4CC1" w14:textId="77777777" w:rsidR="00EF558F" w:rsidRPr="00FE262C" w:rsidRDefault="00EF558F" w:rsidP="00EF558F">
      <w:pPr>
        <w:spacing w:before="120" w:line="276" w:lineRule="auto"/>
        <w:ind w:firstLine="709"/>
        <w:jc w:val="both"/>
        <w:rPr>
          <w:rFonts w:ascii="Verdana" w:eastAsia="Calibri" w:hAnsi="Verdana" w:cs="Arial"/>
          <w:lang w:val="es-ES"/>
        </w:rPr>
      </w:pPr>
      <w:r w:rsidRPr="00C31767">
        <w:rPr>
          <w:rFonts w:ascii="Verdana" w:eastAsia="Calibri" w:hAnsi="Verdana" w:cs="Arial"/>
          <w:lang w:val="es-ES_tradnl"/>
        </w:rPr>
        <w:t>Este marco normativo explica el alcance de las garantías en la etapa contractual</w:t>
      </w:r>
      <w:r w:rsidRPr="00C31767">
        <w:rPr>
          <w:rFonts w:ascii="Verdana" w:eastAsia="Calibri" w:hAnsi="Verdana" w:cs="Arial"/>
          <w:lang w:val="es-ES_tradnl" w:eastAsia="es-ES"/>
        </w:rPr>
        <w:t xml:space="preserve"> y, d</w:t>
      </w:r>
      <w:r w:rsidRPr="00C31767">
        <w:rPr>
          <w:rFonts w:ascii="Verdana" w:eastAsia="Calibri" w:hAnsi="Verdana" w:cs="Arial"/>
          <w:lang w:val="es-ES" w:eastAsia="es-ES"/>
        </w:rPr>
        <w:t>entro del mismo</w:t>
      </w:r>
      <w:r w:rsidRPr="00C31767">
        <w:rPr>
          <w:rFonts w:ascii="Verdana" w:eastAsia="Calibri" w:hAnsi="Verdana" w:cs="Arial"/>
          <w:lang w:val="es-ES"/>
        </w:rPr>
        <w:t>, los interesados adoptarán las decisiones que estimen pertinentes. Dado que no existe fundamento legal expreso para liquidar sin aprobar garantías ni permitir que las obligaciones sean ejecutadas sin el cumplimiento de los requisitos del inciso segundo del artículo 41 de la Ley 80 de 1993, corresponde a los interesados y a sus asesores defender la gestión que decidan emprender, pues Colombia Compra Eficiente no es un órgano jurisdiccional ni de control.</w:t>
      </w:r>
    </w:p>
    <w:p w14:paraId="655659C8" w14:textId="77777777" w:rsidR="00EF558F" w:rsidRPr="00593A5F" w:rsidRDefault="00EF558F" w:rsidP="00EF558F">
      <w:pPr>
        <w:widowControl w:val="0"/>
        <w:autoSpaceDE w:val="0"/>
        <w:autoSpaceDN w:val="0"/>
        <w:spacing w:after="0" w:line="276" w:lineRule="auto"/>
        <w:jc w:val="both"/>
        <w:rPr>
          <w:rFonts w:ascii="Verdana" w:hAnsi="Verdana" w:cs="Arial"/>
        </w:rPr>
      </w:pPr>
    </w:p>
    <w:p w14:paraId="3CBF4D69" w14:textId="77777777" w:rsidR="00EF558F" w:rsidRPr="00593A5F" w:rsidRDefault="00EF558F" w:rsidP="00EF55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1209835F" w14:textId="77777777" w:rsidR="00EF558F" w:rsidRPr="00593A5F" w:rsidRDefault="00EF558F" w:rsidP="00EF558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F558F" w:rsidRPr="00593A5F" w14:paraId="2CC7083D" w14:textId="77777777" w:rsidTr="00994660">
        <w:trPr>
          <w:trHeight w:val="870"/>
        </w:trPr>
        <w:tc>
          <w:tcPr>
            <w:tcW w:w="8647" w:type="dxa"/>
          </w:tcPr>
          <w:p w14:paraId="12019F44" w14:textId="77777777" w:rsidR="00EF558F" w:rsidRPr="006D50BC" w:rsidRDefault="00EF558F" w:rsidP="00EF558F">
            <w:pPr>
              <w:widowControl w:val="0"/>
              <w:numPr>
                <w:ilvl w:val="0"/>
                <w:numId w:val="17"/>
              </w:numPr>
              <w:autoSpaceDE w:val="0"/>
              <w:autoSpaceDN w:val="0"/>
              <w:spacing w:after="120" w:line="276" w:lineRule="auto"/>
              <w:contextualSpacing/>
              <w:jc w:val="both"/>
              <w:rPr>
                <w:rFonts w:ascii="Verdana" w:hAnsi="Verdana" w:cs="Arial"/>
                <w:lang w:val="es-MX"/>
              </w:rPr>
            </w:pPr>
            <w:r w:rsidRPr="006D50BC">
              <w:rPr>
                <w:rFonts w:ascii="Verdana" w:hAnsi="Verdana" w:cs="Arial"/>
                <w:lang w:val="es-MX"/>
              </w:rPr>
              <w:t>Ley 1150 de 2007</w:t>
            </w:r>
            <w:r>
              <w:rPr>
                <w:rFonts w:ascii="Verdana" w:hAnsi="Verdana" w:cs="Arial"/>
                <w:lang w:val="es-MX"/>
              </w:rPr>
              <w:t>:</w:t>
            </w:r>
            <w:r w:rsidRPr="006D50BC">
              <w:rPr>
                <w:rFonts w:ascii="Verdana" w:hAnsi="Verdana" w:cs="Arial"/>
                <w:lang w:val="es-MX"/>
              </w:rPr>
              <w:t xml:space="preserve"> artículo 7. </w:t>
            </w:r>
          </w:p>
          <w:p w14:paraId="6347BFAE" w14:textId="77777777" w:rsidR="00EF558F" w:rsidRPr="006D50BC" w:rsidRDefault="00EF558F" w:rsidP="00994660">
            <w:pPr>
              <w:widowControl w:val="0"/>
              <w:autoSpaceDE w:val="0"/>
              <w:autoSpaceDN w:val="0"/>
              <w:spacing w:after="120" w:line="276" w:lineRule="auto"/>
              <w:ind w:left="720"/>
              <w:contextualSpacing/>
              <w:jc w:val="both"/>
              <w:rPr>
                <w:rFonts w:ascii="Verdana" w:hAnsi="Verdana" w:cs="Arial"/>
                <w:sz w:val="12"/>
                <w:szCs w:val="12"/>
                <w:lang w:val="es-MX"/>
              </w:rPr>
            </w:pPr>
          </w:p>
          <w:p w14:paraId="52915718" w14:textId="77777777" w:rsidR="00EF558F" w:rsidRPr="00AC742F" w:rsidRDefault="00EF558F" w:rsidP="00EF558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6D50BC">
              <w:rPr>
                <w:rFonts w:ascii="Verdana" w:hAnsi="Verdana" w:cs="Arial"/>
              </w:rPr>
              <w:t>Decreto 1082 de 2015</w:t>
            </w:r>
            <w:r>
              <w:rPr>
                <w:rFonts w:ascii="Verdana" w:hAnsi="Verdana" w:cs="Arial"/>
              </w:rPr>
              <w:t>:</w:t>
            </w:r>
            <w:r w:rsidRPr="006D50BC">
              <w:rPr>
                <w:rFonts w:ascii="Verdana" w:hAnsi="Verdana" w:cs="Arial"/>
              </w:rPr>
              <w:t xml:space="preserve"> artículos 2.2.1.2.3.1.1 a</w:t>
            </w:r>
            <w:r>
              <w:rPr>
                <w:rFonts w:ascii="Verdana" w:hAnsi="Verdana" w:cs="Arial"/>
              </w:rPr>
              <w:t>l</w:t>
            </w:r>
            <w:r w:rsidRPr="006D50BC">
              <w:rPr>
                <w:rFonts w:ascii="Verdana" w:hAnsi="Verdana" w:cs="Arial"/>
              </w:rPr>
              <w:t xml:space="preserve"> 2.2.1.2.3.1.19</w:t>
            </w:r>
          </w:p>
        </w:tc>
      </w:tr>
    </w:tbl>
    <w:p w14:paraId="6A93E1CD" w14:textId="77777777" w:rsidR="00EF558F" w:rsidRPr="00593A5F" w:rsidRDefault="00EF558F" w:rsidP="00EF558F">
      <w:pPr>
        <w:widowControl w:val="0"/>
        <w:autoSpaceDE w:val="0"/>
        <w:autoSpaceDN w:val="0"/>
        <w:spacing w:after="0" w:line="276" w:lineRule="auto"/>
        <w:jc w:val="both"/>
        <w:rPr>
          <w:rFonts w:ascii="Verdana" w:hAnsi="Verdana" w:cs="Arial"/>
        </w:rPr>
      </w:pPr>
    </w:p>
    <w:p w14:paraId="464A66EA" w14:textId="77777777" w:rsidR="00EF558F" w:rsidRPr="00593A5F" w:rsidRDefault="00EF558F" w:rsidP="00EF558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F5AF8FF" w14:textId="77777777" w:rsidR="00EF558F" w:rsidRPr="00593A5F" w:rsidRDefault="00EF558F" w:rsidP="00EF558F">
      <w:pPr>
        <w:widowControl w:val="0"/>
        <w:autoSpaceDE w:val="0"/>
        <w:autoSpaceDN w:val="0"/>
        <w:spacing w:after="0" w:line="276" w:lineRule="auto"/>
        <w:jc w:val="both"/>
        <w:rPr>
          <w:rFonts w:ascii="Verdana" w:hAnsi="Verdana" w:cs="Arial"/>
        </w:rPr>
      </w:pPr>
    </w:p>
    <w:p w14:paraId="500F2E3F" w14:textId="77777777" w:rsidR="00EF558F" w:rsidRDefault="00EF558F" w:rsidP="00EF558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EF558F">
        <w:rPr>
          <w:rStyle w:val="normaltextrun"/>
          <w:rFonts w:ascii="Verdana" w:hAnsi="Verdana" w:cs="Arial"/>
          <w:shd w:val="clear" w:color="auto" w:fill="FFFFFF"/>
          <w:lang w:val="es-ES"/>
        </w:rPr>
        <w:lastRenderedPageBreak/>
        <w:t>Sobre el régimen de garantías se pronunció esta Subdirección en los conceptos</w:t>
      </w:r>
      <w:r w:rsidRPr="00EF558F">
        <w:rPr>
          <w:rStyle w:val="normaltextrun"/>
          <w:rFonts w:ascii="Verdana" w:hAnsi="Verdana" w:cs="Calibri"/>
          <w:shd w:val="clear" w:color="auto" w:fill="FFFFFF"/>
        </w:rPr>
        <w:t xml:space="preserve"> </w:t>
      </w:r>
      <w:r w:rsidRPr="00EF558F">
        <w:rPr>
          <w:rStyle w:val="normaltextrun"/>
          <w:rFonts w:ascii="Verdana" w:hAnsi="Verdana" w:cs="Arial"/>
          <w:shd w:val="clear" w:color="auto" w:fill="FFFFFF"/>
          <w:lang w:val="es-ES"/>
        </w:rPr>
        <w:t xml:space="preserve">2201913000009075 del 9 de diciembre de 2019, C-080 del 8 de abril de 2021, C-525 del 27 de septiembre </w:t>
      </w:r>
      <w:r w:rsidRPr="00EE1B01">
        <w:rPr>
          <w:rStyle w:val="normaltextrun"/>
          <w:rFonts w:ascii="Verdana" w:hAnsi="Verdana" w:cs="Arial"/>
          <w:shd w:val="clear" w:color="auto" w:fill="FFFFFF"/>
          <w:lang w:val="es-ES"/>
        </w:rPr>
        <w:t>de 2021, C- 567 del 08 de octubre del 2021, C-036 del 28 de febrero del 2022, C-126 de 25 de marzo de 2022, C-583 del 19 de octubre de 2022, C-584 del 26 de septiembre de 2022, C-712 del 13 de octubre de 2022 y C-845 del 7 de diciembre de 2022, C-036 del 31 de marzo de 2023</w:t>
      </w:r>
      <w:r>
        <w:rPr>
          <w:rStyle w:val="normaltextrun"/>
          <w:rFonts w:ascii="Verdana" w:hAnsi="Verdana" w:cs="Arial"/>
          <w:shd w:val="clear" w:color="auto" w:fill="FFFFFF"/>
          <w:lang w:val="es-ES"/>
        </w:rPr>
        <w:t>,</w:t>
      </w:r>
      <w:r w:rsidRPr="00DD781E">
        <w:rPr>
          <w:rStyle w:val="normaltextrun"/>
          <w:rFonts w:ascii="Verdana" w:hAnsi="Verdana" w:cs="Arial"/>
          <w:shd w:val="clear" w:color="auto" w:fill="FFFFFF"/>
          <w:lang w:val="es-ES"/>
        </w:rPr>
        <w:t xml:space="preserve"> C-</w:t>
      </w:r>
      <w:r>
        <w:rPr>
          <w:rStyle w:val="normaltextrun"/>
          <w:rFonts w:ascii="Verdana" w:hAnsi="Verdana" w:cs="Arial"/>
          <w:shd w:val="clear" w:color="auto" w:fill="FFFFFF"/>
          <w:lang w:val="es-ES"/>
        </w:rPr>
        <w:t>386</w:t>
      </w:r>
      <w:r w:rsidRPr="00DD781E">
        <w:rPr>
          <w:rStyle w:val="normaltextrun"/>
          <w:rFonts w:ascii="Verdana" w:hAnsi="Verdana" w:cs="Arial"/>
          <w:shd w:val="clear" w:color="auto" w:fill="FFFFFF"/>
          <w:lang w:val="es-ES"/>
        </w:rPr>
        <w:t xml:space="preserve"> del </w:t>
      </w:r>
      <w:r>
        <w:rPr>
          <w:rStyle w:val="normaltextrun"/>
          <w:rFonts w:ascii="Verdana" w:hAnsi="Verdana" w:cs="Arial"/>
          <w:shd w:val="clear" w:color="auto" w:fill="FFFFFF"/>
          <w:lang w:val="es-ES"/>
        </w:rPr>
        <w:t>31</w:t>
      </w:r>
      <w:r w:rsidRPr="00DD781E">
        <w:rPr>
          <w:rStyle w:val="normaltextrun"/>
          <w:rFonts w:ascii="Verdana" w:hAnsi="Verdana" w:cs="Arial"/>
          <w:shd w:val="clear" w:color="auto" w:fill="FFFFFF"/>
          <w:lang w:val="es-ES"/>
        </w:rPr>
        <w:t xml:space="preserve"> de </w:t>
      </w:r>
      <w:r>
        <w:rPr>
          <w:rStyle w:val="normaltextrun"/>
          <w:rFonts w:ascii="Verdana" w:hAnsi="Verdana" w:cs="Arial"/>
          <w:shd w:val="clear" w:color="auto" w:fill="FFFFFF"/>
          <w:lang w:val="es-ES"/>
        </w:rPr>
        <w:t>enero</w:t>
      </w:r>
      <w:r w:rsidRPr="00DD781E">
        <w:rPr>
          <w:rStyle w:val="normaltextrun"/>
          <w:rFonts w:ascii="Verdana" w:hAnsi="Verdana" w:cs="Arial"/>
          <w:shd w:val="clear" w:color="auto" w:fill="FFFFFF"/>
          <w:lang w:val="es-ES"/>
        </w:rPr>
        <w:t xml:space="preserve"> de 202</w:t>
      </w:r>
      <w:r>
        <w:rPr>
          <w:rStyle w:val="normaltextrun"/>
          <w:rFonts w:ascii="Verdana" w:hAnsi="Verdana" w:cs="Arial"/>
          <w:shd w:val="clear" w:color="auto" w:fill="FFFFFF"/>
          <w:lang w:val="es-ES"/>
        </w:rPr>
        <w:t>4, C-171 de julio 2024, y C-505 del 1 de octubre de 2024, entre otros</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6F5421">
          <w:rPr>
            <w:rStyle w:val="Hipervnculo"/>
            <w:rFonts w:ascii="Verdana" w:hAnsi="Verdana" w:cs="Arial"/>
            <w:color w:val="4472C4" w:themeColor="accent1"/>
            <w:shd w:val="clear" w:color="auto" w:fill="FFFFFF"/>
            <w:lang w:val="es-ES"/>
          </w:rPr>
          <w:t>https://relatoria.colombiacompra.gov.co/busqueda/conceptos</w:t>
        </w:r>
      </w:hyperlink>
      <w:r w:rsidRPr="004B1DD8">
        <w:rPr>
          <w:rStyle w:val="normaltextrun"/>
          <w:rFonts w:ascii="Verdana" w:hAnsi="Verdana" w:cs="Arial"/>
          <w:shd w:val="clear" w:color="auto" w:fill="FFFFFF"/>
          <w:lang w:val="es-ES"/>
        </w:rPr>
        <w:t xml:space="preserve">. </w:t>
      </w:r>
    </w:p>
    <w:p w14:paraId="716DF808" w14:textId="77777777" w:rsidR="00EF558F" w:rsidRDefault="00EF558F" w:rsidP="00EF558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E498A52" w14:textId="77777777" w:rsidR="00EF558F" w:rsidRDefault="00EF558F" w:rsidP="00EF558F">
      <w:pPr>
        <w:spacing w:after="0" w:line="240" w:lineRule="auto"/>
        <w:jc w:val="both"/>
        <w:rPr>
          <w:rFonts w:ascii="Verdana" w:hAnsi="Verdana" w:cs="Arial"/>
          <w:color w:val="000000" w:themeColor="text1"/>
          <w:shd w:val="clear" w:color="auto" w:fill="FFFFFF"/>
          <w:lang w:val="es-ES"/>
        </w:rPr>
      </w:pPr>
      <w:r w:rsidRPr="00EF558F">
        <w:rPr>
          <w:rFonts w:ascii="Verdana" w:hAnsi="Verdana" w:cs="Arial"/>
          <w:color w:val="000000" w:themeColor="text1"/>
          <w:shd w:val="clear" w:color="auto" w:fill="FFFFFF"/>
        </w:rPr>
        <w:t>Te informamos que ya se encuentra disponible la </w:t>
      </w:r>
      <w:r w:rsidRPr="00EF558F">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EF558F">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w:t>
      </w:r>
      <w:r w:rsidRPr="00EF558F">
        <w:rPr>
          <w:rFonts w:ascii="Verdana" w:hAnsi="Verdana" w:cs="Arial"/>
          <w:color w:val="4472C4" w:themeColor="accent1"/>
          <w:shd w:val="clear" w:color="auto" w:fill="FFFFFF"/>
        </w:rPr>
        <w:t> </w:t>
      </w:r>
      <w:hyperlink r:id="rId13" w:tgtFrame="_blank" w:tooltip="Dirección URL original: https://www.colombiacompra.gov.co/manuales-guias-y-pliegos-tipo/manuales-y-guias/cartilla-para-incentivar-y-fortalecer-el-acceso-las. Haga clic o pulse si confía en este vínculo." w:history="1">
        <w:r w:rsidRPr="00EF558F">
          <w:rPr>
            <w:rStyle w:val="Hipervnculo"/>
            <w:rFonts w:ascii="Verdana" w:hAnsi="Verdana" w:cs="Arial"/>
            <w:color w:val="4472C4" w:themeColor="accent1"/>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102C6D85" w14:textId="77777777" w:rsidR="00EF558F" w:rsidRPr="00EF558F" w:rsidRDefault="00EF558F" w:rsidP="00EF558F">
      <w:pPr>
        <w:spacing w:after="0" w:line="240" w:lineRule="auto"/>
        <w:jc w:val="both"/>
        <w:rPr>
          <w:rFonts w:ascii="Verdana" w:hAnsi="Verdana" w:cs="Arial"/>
          <w:color w:val="000000" w:themeColor="text1"/>
          <w:shd w:val="clear" w:color="auto" w:fill="FFFFFF"/>
        </w:rPr>
      </w:pPr>
    </w:p>
    <w:p w14:paraId="664C6638" w14:textId="77777777" w:rsidR="00EF558F" w:rsidRPr="006F5421" w:rsidRDefault="00EF558F" w:rsidP="00EF558F">
      <w:pPr>
        <w:spacing w:after="0" w:line="240" w:lineRule="auto"/>
        <w:jc w:val="both"/>
        <w:rPr>
          <w:rFonts w:ascii="Verdana" w:hAnsi="Verdana" w:cs="Arial"/>
          <w:color w:val="4472C4" w:themeColor="accent1"/>
          <w:shd w:val="clear" w:color="auto" w:fill="FFFFFF"/>
          <w:lang w:val="es-ES"/>
        </w:rPr>
      </w:pPr>
      <w:r w:rsidRPr="00EF558F">
        <w:rPr>
          <w:rFonts w:ascii="Verdana" w:hAnsi="Verdana" w:cs="Arial"/>
          <w:color w:val="000000" w:themeColor="text1"/>
          <w:shd w:val="clear" w:color="auto" w:fill="FFFFFF"/>
        </w:rPr>
        <w:t>De otra parte, te informamos que, con el objetivo de garantizar un conocimiento adecuado de las </w:t>
      </w:r>
      <w:r w:rsidRPr="00EF558F">
        <w:rPr>
          <w:rFonts w:ascii="Verdana" w:hAnsi="Verdana" w:cs="Arial"/>
          <w:b/>
          <w:bCs/>
          <w:color w:val="000000" w:themeColor="text1"/>
          <w:shd w:val="clear" w:color="auto" w:fill="FFFFFF"/>
        </w:rPr>
        <w:t>modificaciones y/o actualizaciones realizadas a los Documentos Tipo</w:t>
      </w:r>
      <w:r w:rsidRPr="00EF558F">
        <w:rPr>
          <w:rFonts w:ascii="Verdana" w:hAnsi="Verdana" w:cs="Arial"/>
          <w:color w:val="000000" w:themeColor="text1"/>
          <w:shd w:val="clear" w:color="auto" w:fill="FFFFFF"/>
        </w:rPr>
        <w:t>, hemos programado una serie de </w:t>
      </w:r>
      <w:r w:rsidRPr="00EF558F">
        <w:rPr>
          <w:rFonts w:ascii="Verdana" w:hAnsi="Verdana" w:cs="Arial"/>
          <w:b/>
          <w:bCs/>
          <w:color w:val="000000" w:themeColor="text1"/>
          <w:shd w:val="clear" w:color="auto" w:fill="FFFFFF"/>
        </w:rPr>
        <w:t>capacitaciones </w:t>
      </w:r>
      <w:r w:rsidRPr="00EF558F">
        <w:rPr>
          <w:rFonts w:ascii="Verdana" w:hAnsi="Verdana" w:cs="Arial"/>
          <w:color w:val="000000" w:themeColor="text1"/>
          <w:shd w:val="clear" w:color="auto" w:fill="FFFFFF"/>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EF558F">
          <w:rPr>
            <w:rStyle w:val="Hipervnculo"/>
            <w:rFonts w:ascii="Verdana" w:hAnsi="Verdana" w:cs="Arial"/>
            <w:color w:val="4472C4" w:themeColor="accent1"/>
            <w:shd w:val="clear" w:color="auto" w:fill="FFFFFF"/>
          </w:rPr>
          <w:t>Calendario | Colombia Compra Eficiente | Agencia Nacional de Contratación Pública</w:t>
        </w:r>
      </w:hyperlink>
    </w:p>
    <w:p w14:paraId="53A29455" w14:textId="77777777" w:rsidR="006F5421" w:rsidRPr="00EF558F" w:rsidRDefault="006F5421" w:rsidP="00EF558F">
      <w:pPr>
        <w:spacing w:after="0" w:line="240" w:lineRule="auto"/>
        <w:jc w:val="both"/>
        <w:rPr>
          <w:rFonts w:ascii="Verdana" w:hAnsi="Verdana" w:cs="Arial"/>
          <w:color w:val="000000" w:themeColor="text1"/>
          <w:shd w:val="clear" w:color="auto" w:fill="FFFFFF"/>
        </w:rPr>
      </w:pPr>
    </w:p>
    <w:p w14:paraId="1BFA6B0E" w14:textId="77777777" w:rsidR="00EF558F" w:rsidRPr="006F5421" w:rsidRDefault="00EF558F" w:rsidP="00EF558F">
      <w:pPr>
        <w:spacing w:after="0" w:line="240" w:lineRule="auto"/>
        <w:jc w:val="both"/>
        <w:rPr>
          <w:rFonts w:ascii="Verdana" w:hAnsi="Verdana" w:cs="Arial"/>
          <w:color w:val="4472C4" w:themeColor="accent1"/>
          <w:shd w:val="clear" w:color="auto" w:fill="FFFFFF"/>
          <w:lang w:val="es-ES"/>
        </w:rPr>
      </w:pPr>
      <w:r w:rsidRPr="00EF558F">
        <w:rPr>
          <w:rFonts w:ascii="Verdana" w:hAnsi="Verdana" w:cs="Arial"/>
          <w:color w:val="000000" w:themeColor="text1"/>
          <w:shd w:val="clear" w:color="auto" w:fill="FFFFFF"/>
        </w:rPr>
        <w:t>También, te contamos que ya publicamos </w:t>
      </w:r>
      <w:r w:rsidRPr="00EF558F">
        <w:rPr>
          <w:rFonts w:ascii="Verdana" w:hAnsi="Verdana" w:cs="Arial"/>
          <w:b/>
          <w:bCs/>
          <w:color w:val="000000" w:themeColor="text1"/>
          <w:shd w:val="clear" w:color="auto" w:fill="FFFFFF"/>
        </w:rPr>
        <w:t>la nueva Guía de Contratación Pública Sostenible y Socialmente Responsable</w:t>
      </w:r>
      <w:r w:rsidRPr="00EF558F">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EF558F">
          <w:rPr>
            <w:rStyle w:val="Hipervnculo"/>
            <w:rFonts w:ascii="Verdana" w:hAnsi="Verdana" w:cs="Arial"/>
            <w:color w:val="4472C4" w:themeColor="accent1"/>
            <w:shd w:val="clear" w:color="auto" w:fill="FFFFFF"/>
          </w:rPr>
          <w:t>Guía de Contratación Pública Sostenible y Socialmente Responsable | Colombia Compra Eficiente | Agencia Nacional de Contratación Pública</w:t>
        </w:r>
      </w:hyperlink>
    </w:p>
    <w:p w14:paraId="6056D759" w14:textId="77777777" w:rsidR="006F5421" w:rsidRPr="00EF558F" w:rsidRDefault="006F5421" w:rsidP="00EF558F">
      <w:pPr>
        <w:spacing w:after="0" w:line="240" w:lineRule="auto"/>
        <w:jc w:val="both"/>
        <w:rPr>
          <w:rFonts w:ascii="Verdana" w:hAnsi="Verdana" w:cs="Arial"/>
          <w:color w:val="000000" w:themeColor="text1"/>
          <w:shd w:val="clear" w:color="auto" w:fill="FFFFFF"/>
        </w:rPr>
      </w:pPr>
    </w:p>
    <w:p w14:paraId="509A75BF" w14:textId="77777777" w:rsidR="00EF558F" w:rsidRPr="003E2460" w:rsidRDefault="00EF558F" w:rsidP="00EF558F">
      <w:pPr>
        <w:spacing w:after="0" w:line="240" w:lineRule="auto"/>
        <w:jc w:val="both"/>
        <w:rPr>
          <w:rFonts w:ascii="Verdana" w:hAnsi="Verdana"/>
        </w:rPr>
      </w:pPr>
      <w:r w:rsidRPr="003E2460">
        <w:rPr>
          <w:rFonts w:ascii="Verdana" w:hAnsi="Verdana"/>
        </w:rPr>
        <w:lastRenderedPageBreak/>
        <w:t xml:space="preserve">Por último, lo invitamos a seguirnos en las redes sociales en las cuales se difunde información institucional: </w:t>
      </w:r>
    </w:p>
    <w:p w14:paraId="50A3F774" w14:textId="77777777" w:rsidR="00EF558F" w:rsidRPr="003E2460" w:rsidRDefault="00EF558F" w:rsidP="00EF558F">
      <w:pPr>
        <w:spacing w:after="0" w:line="240" w:lineRule="auto"/>
        <w:jc w:val="both"/>
        <w:rPr>
          <w:rFonts w:ascii="Verdana" w:hAnsi="Verdana"/>
        </w:rPr>
      </w:pPr>
    </w:p>
    <w:p w14:paraId="3D58F987" w14:textId="77777777" w:rsidR="00EF558F" w:rsidRPr="003E2460" w:rsidRDefault="00EF558F" w:rsidP="00EF558F">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19698876" w14:textId="77777777" w:rsidR="00EF558F" w:rsidRPr="003E2460" w:rsidRDefault="00EF558F" w:rsidP="00EF558F">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00A4D73C" w14:textId="77777777" w:rsidR="00EF558F" w:rsidRPr="003E2460" w:rsidRDefault="00EF558F" w:rsidP="00EF558F">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EE1CD65" w14:textId="77777777" w:rsidR="00EF558F" w:rsidRPr="00593A5F" w:rsidRDefault="00EF558F" w:rsidP="00EF558F">
      <w:pPr>
        <w:widowControl w:val="0"/>
        <w:autoSpaceDE w:val="0"/>
        <w:autoSpaceDN w:val="0"/>
        <w:spacing w:after="0" w:line="276" w:lineRule="auto"/>
        <w:jc w:val="both"/>
        <w:rPr>
          <w:rFonts w:ascii="Verdana" w:hAnsi="Verdana" w:cs="Arial"/>
        </w:rPr>
      </w:pPr>
    </w:p>
    <w:p w14:paraId="4791892A" w14:textId="77777777" w:rsidR="00EF558F" w:rsidRPr="00593A5F" w:rsidRDefault="00EF558F" w:rsidP="00EF558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547DDA9" w14:textId="77777777" w:rsidR="00EF558F" w:rsidRPr="00593A5F" w:rsidRDefault="00EF558F" w:rsidP="00EF558F">
      <w:pPr>
        <w:widowControl w:val="0"/>
        <w:autoSpaceDE w:val="0"/>
        <w:autoSpaceDN w:val="0"/>
        <w:spacing w:after="0" w:line="276" w:lineRule="auto"/>
        <w:jc w:val="both"/>
        <w:rPr>
          <w:rFonts w:ascii="Verdana" w:hAnsi="Verdana" w:cs="Arial"/>
        </w:rPr>
      </w:pPr>
    </w:p>
    <w:p w14:paraId="210F6839" w14:textId="77777777" w:rsidR="00EF558F" w:rsidRPr="00593A5F" w:rsidRDefault="00EF558F" w:rsidP="00EF558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71E25A7" w14:textId="4C16E7E8" w:rsidR="00EF558F" w:rsidRPr="00593A5F" w:rsidRDefault="00E30331" w:rsidP="00EF558F">
      <w:pPr>
        <w:spacing w:line="276" w:lineRule="auto"/>
        <w:jc w:val="center"/>
        <w:rPr>
          <w:rFonts w:ascii="Verdana" w:hAnsi="Verdana" w:cs="Arial"/>
          <w:color w:val="000000"/>
          <w:lang w:val="es-ES_tradnl" w:eastAsia="es-CO"/>
        </w:rPr>
      </w:pPr>
      <w:r>
        <w:rPr>
          <w:noProof/>
        </w:rPr>
        <w:drawing>
          <wp:inline distT="0" distB="0" distL="0" distR="0" wp14:anchorId="78499A5C" wp14:editId="420926D5">
            <wp:extent cx="3771429" cy="1400000"/>
            <wp:effectExtent l="0" t="0" r="635" b="0"/>
            <wp:docPr id="6934311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31170" name="Imagen 1" descr="Texto&#10;&#10;El contenido generado por IA puede ser incorrecto."/>
                    <pic:cNvPicPr/>
                  </pic:nvPicPr>
                  <pic:blipFill>
                    <a:blip r:embed="rId16"/>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F558F" w:rsidRPr="00593A5F" w14:paraId="09959B0D" w14:textId="77777777" w:rsidTr="00994660">
        <w:trPr>
          <w:trHeight w:val="315"/>
        </w:trPr>
        <w:tc>
          <w:tcPr>
            <w:tcW w:w="893" w:type="dxa"/>
            <w:vAlign w:val="center"/>
            <w:hideMark/>
          </w:tcPr>
          <w:p w14:paraId="0A97546F" w14:textId="77777777" w:rsidR="00EF558F" w:rsidRPr="003751C7" w:rsidRDefault="00EF558F" w:rsidP="0099466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A8ED4DA" w14:textId="77777777" w:rsidR="00EF558F" w:rsidRPr="004B1DD8" w:rsidRDefault="00EF558F" w:rsidP="00994660">
            <w:pPr>
              <w:contextualSpacing/>
              <w:rPr>
                <w:rStyle w:val="normaltextrun"/>
                <w:rFonts w:ascii="Verdana" w:hAnsi="Verdana"/>
                <w:sz w:val="16"/>
                <w:szCs w:val="16"/>
              </w:rPr>
            </w:pPr>
            <w:r w:rsidRPr="004B1DD8">
              <w:rPr>
                <w:rStyle w:val="normaltextrun"/>
                <w:rFonts w:ascii="Verdana" w:hAnsi="Verdana"/>
                <w:sz w:val="16"/>
                <w:szCs w:val="16"/>
              </w:rPr>
              <w:t>Santiago Alberto Herrera Morillo</w:t>
            </w:r>
          </w:p>
          <w:p w14:paraId="0488A7AF" w14:textId="77777777" w:rsidR="00EF558F" w:rsidRPr="004B1DD8" w:rsidRDefault="00EF558F" w:rsidP="00994660">
            <w:pPr>
              <w:contextualSpacing/>
              <w:rPr>
                <w:rFonts w:ascii="Verdana" w:eastAsia="Arial" w:hAnsi="Verdana" w:cs="Arial"/>
                <w:sz w:val="16"/>
                <w:szCs w:val="16"/>
              </w:rPr>
            </w:pPr>
            <w:r w:rsidRPr="004B1DD8">
              <w:rPr>
                <w:rStyle w:val="normaltextrun"/>
                <w:rFonts w:ascii="Verdana" w:hAnsi="Verdana"/>
                <w:sz w:val="16"/>
                <w:szCs w:val="16"/>
              </w:rPr>
              <w:t xml:space="preserve">Analista T2-02 </w:t>
            </w:r>
            <w:r w:rsidRPr="004B1DD8">
              <w:rPr>
                <w:rStyle w:val="normaltextrun"/>
                <w:rFonts w:ascii="Verdana" w:eastAsia="Arial" w:hAnsi="Verdana" w:cs="Arial"/>
                <w:sz w:val="16"/>
                <w:szCs w:val="16"/>
              </w:rPr>
              <w:t>de la Subdirección de Gestión Contractual</w:t>
            </w:r>
          </w:p>
        </w:tc>
      </w:tr>
      <w:tr w:rsidR="00EF558F" w:rsidRPr="00593A5F" w14:paraId="6CE45312" w14:textId="77777777" w:rsidTr="00994660">
        <w:trPr>
          <w:trHeight w:val="330"/>
        </w:trPr>
        <w:tc>
          <w:tcPr>
            <w:tcW w:w="893" w:type="dxa"/>
            <w:vAlign w:val="center"/>
            <w:hideMark/>
          </w:tcPr>
          <w:p w14:paraId="4B69F739" w14:textId="77777777" w:rsidR="00EF558F" w:rsidRPr="003751C7" w:rsidRDefault="00EF558F" w:rsidP="0099466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B3E13B5" w14:textId="77777777" w:rsidR="00EF558F" w:rsidRPr="004B1DD8" w:rsidRDefault="00EF558F" w:rsidP="00994660">
            <w:pPr>
              <w:pStyle w:val="paragraph"/>
              <w:spacing w:before="0" w:beforeAutospacing="0" w:after="0" w:afterAutospacing="0"/>
              <w:contextualSpacing/>
              <w:textAlignment w:val="baseline"/>
              <w:rPr>
                <w:rStyle w:val="normaltextrun"/>
                <w:rFonts w:ascii="Verdana" w:hAnsi="Verdana" w:cs="Arial"/>
                <w:sz w:val="16"/>
                <w:szCs w:val="16"/>
                <w:lang w:val="es-ES"/>
              </w:rPr>
            </w:pPr>
            <w:r w:rsidRPr="004B1DD8">
              <w:rPr>
                <w:rStyle w:val="normaltextrun"/>
                <w:rFonts w:ascii="Verdana" w:hAnsi="Verdana" w:cs="Arial"/>
                <w:sz w:val="16"/>
                <w:szCs w:val="16"/>
                <w:lang w:val="es-ES"/>
              </w:rPr>
              <w:t>Juan David Cárdenas Cabeza</w:t>
            </w:r>
          </w:p>
          <w:p w14:paraId="5786E3F7" w14:textId="77777777" w:rsidR="00EF558F" w:rsidRPr="004B1DD8" w:rsidRDefault="00EF558F" w:rsidP="00994660">
            <w:pPr>
              <w:pStyle w:val="paragraph"/>
              <w:spacing w:before="0" w:beforeAutospacing="0" w:after="0" w:afterAutospacing="0"/>
              <w:contextualSpacing/>
              <w:textAlignment w:val="baseline"/>
              <w:rPr>
                <w:rFonts w:ascii="Verdana" w:hAnsi="Verdana" w:cs="Segoe UI"/>
                <w:sz w:val="16"/>
                <w:szCs w:val="16"/>
              </w:rPr>
            </w:pPr>
            <w:r w:rsidRPr="004B1DD8">
              <w:rPr>
                <w:rStyle w:val="normaltextrun"/>
                <w:rFonts w:ascii="Verdana" w:hAnsi="Verdana" w:cs="Arial"/>
                <w:sz w:val="16"/>
                <w:szCs w:val="16"/>
                <w:lang w:val="es-ES"/>
              </w:rPr>
              <w:t>Contratista de la Subdirección de Gestión Contractual</w:t>
            </w:r>
            <w:r w:rsidRPr="004B1DD8">
              <w:rPr>
                <w:rStyle w:val="eop"/>
                <w:rFonts w:ascii="Verdana" w:hAnsi="Verdana" w:cs="Arial"/>
                <w:sz w:val="16"/>
                <w:szCs w:val="16"/>
              </w:rPr>
              <w:t> </w:t>
            </w:r>
          </w:p>
        </w:tc>
      </w:tr>
      <w:tr w:rsidR="00EF558F" w:rsidRPr="00593A5F" w14:paraId="4800184B" w14:textId="77777777" w:rsidTr="00994660">
        <w:trPr>
          <w:trHeight w:val="300"/>
        </w:trPr>
        <w:tc>
          <w:tcPr>
            <w:tcW w:w="893" w:type="dxa"/>
            <w:vAlign w:val="center"/>
          </w:tcPr>
          <w:p w14:paraId="0E53B94D" w14:textId="77777777" w:rsidR="00EF558F" w:rsidRPr="003751C7" w:rsidRDefault="00EF558F" w:rsidP="0099466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F877D8" w14:textId="77777777" w:rsidR="00EF558F" w:rsidRPr="003751C7" w:rsidRDefault="00EF558F" w:rsidP="0099466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231A6E24" w14:textId="77777777" w:rsidR="00EF558F" w:rsidRPr="003751C7" w:rsidRDefault="00EF558F" w:rsidP="0099466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46B0DE72" w14:textId="77777777" w:rsidR="00EF558F" w:rsidRPr="00871B59" w:rsidRDefault="00EF558F" w:rsidP="00EF558F"/>
    <w:p w14:paraId="3900974D" w14:textId="77777777" w:rsidR="003D5B0D" w:rsidRPr="00EF558F" w:rsidRDefault="003D5B0D" w:rsidP="00EF558F"/>
    <w:sectPr w:rsidR="003D5B0D" w:rsidRPr="00EF558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B0C1F" w14:textId="77777777" w:rsidR="00BF3AF1" w:rsidRDefault="00BF3AF1" w:rsidP="004A1847">
      <w:pPr>
        <w:spacing w:after="0" w:line="240" w:lineRule="auto"/>
      </w:pPr>
      <w:r>
        <w:separator/>
      </w:r>
    </w:p>
  </w:endnote>
  <w:endnote w:type="continuationSeparator" w:id="0">
    <w:p w14:paraId="252ABA1C" w14:textId="77777777" w:rsidR="00BF3AF1" w:rsidRDefault="00BF3AF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B223B" w14:textId="77777777" w:rsidR="00BF3AF1" w:rsidRDefault="00BF3AF1" w:rsidP="004A1847">
      <w:pPr>
        <w:spacing w:after="0" w:line="240" w:lineRule="auto"/>
      </w:pPr>
      <w:r>
        <w:separator/>
      </w:r>
    </w:p>
  </w:footnote>
  <w:footnote w:type="continuationSeparator" w:id="0">
    <w:p w14:paraId="0BE52E3D" w14:textId="77777777" w:rsidR="00BF3AF1" w:rsidRDefault="00BF3AF1" w:rsidP="004A1847">
      <w:pPr>
        <w:spacing w:after="0" w:line="240" w:lineRule="auto"/>
      </w:pPr>
      <w:r>
        <w:continuationSeparator/>
      </w:r>
    </w:p>
  </w:footnote>
  <w:footnote w:id="1">
    <w:p w14:paraId="34A8B099" w14:textId="77777777" w:rsidR="00EF558F" w:rsidRPr="00AC4B25" w:rsidRDefault="00EF558F" w:rsidP="00EF558F">
      <w:pPr>
        <w:pStyle w:val="Textonotapie"/>
        <w:ind w:firstLine="708"/>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468BB04E" w14:textId="77777777" w:rsidR="00EF558F" w:rsidRPr="00AC4B25" w:rsidRDefault="00EF558F" w:rsidP="00EF558F">
      <w:pPr>
        <w:pStyle w:val="Textonotapie"/>
        <w:ind w:firstLine="708"/>
        <w:jc w:val="both"/>
        <w:rPr>
          <w:rFonts w:ascii="Verdana" w:hAnsi="Verdana" w:cs="Arial"/>
          <w:sz w:val="16"/>
          <w:szCs w:val="16"/>
        </w:rPr>
      </w:pPr>
      <w:r w:rsidRPr="00AC4B25">
        <w:rPr>
          <w:rFonts w:ascii="Verdana" w:hAnsi="Verdana" w:cs="Arial"/>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77F76830" w14:textId="77777777" w:rsidR="00EF558F" w:rsidRPr="00AC4B25" w:rsidRDefault="00EF558F" w:rsidP="00EF558F">
      <w:pPr>
        <w:pStyle w:val="Textonotapie"/>
        <w:ind w:firstLine="708"/>
        <w:jc w:val="both"/>
        <w:rPr>
          <w:rFonts w:ascii="Verdana" w:hAnsi="Verdana" w:cs="Arial"/>
          <w:sz w:val="16"/>
          <w:szCs w:val="16"/>
        </w:rPr>
      </w:pPr>
      <w:r w:rsidRPr="00AC4B25">
        <w:rPr>
          <w:rFonts w:ascii="Verdana" w:hAnsi="Verdana" w:cs="Arial"/>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6965010E" w14:textId="77777777" w:rsidR="00EF558F" w:rsidRPr="00AC4B25" w:rsidRDefault="00EF558F" w:rsidP="00EF558F">
      <w:pPr>
        <w:pStyle w:val="Textonotapie"/>
        <w:ind w:firstLine="708"/>
        <w:jc w:val="both"/>
        <w:rPr>
          <w:rFonts w:ascii="Verdana" w:hAnsi="Verdana" w:cs="Arial"/>
          <w:sz w:val="16"/>
          <w:szCs w:val="16"/>
        </w:rPr>
      </w:pPr>
      <w:r w:rsidRPr="00AC4B25">
        <w:rPr>
          <w:rFonts w:ascii="Verdana" w:hAnsi="Verdana" w:cs="Arial"/>
          <w:sz w:val="16"/>
          <w:szCs w:val="16"/>
        </w:rPr>
        <w:t>3. Si el valor del contrato es superior a diez millones (10.000.000) de smmlv, la Entidad Estatal puede aceptar garantías que cubran al menos el cero punto cinco por ciento (0,5%) del valor del contrato.</w:t>
      </w:r>
    </w:p>
    <w:p w14:paraId="62E66D98" w14:textId="77777777" w:rsidR="00EF558F" w:rsidRPr="00AC4B25" w:rsidRDefault="00EF558F" w:rsidP="00EF558F">
      <w:pPr>
        <w:pStyle w:val="Textonotapie"/>
        <w:ind w:firstLine="708"/>
        <w:jc w:val="both"/>
        <w:rPr>
          <w:rFonts w:ascii="Verdana" w:hAnsi="Verdana" w:cs="Arial"/>
          <w:sz w:val="16"/>
          <w:szCs w:val="16"/>
          <w:lang w:val="es-CO"/>
        </w:rPr>
      </w:pPr>
      <w:r w:rsidRPr="00AC4B25">
        <w:rPr>
          <w:rFonts w:ascii="Verdana" w:hAnsi="Verdana" w:cs="Arial"/>
          <w:sz w:val="16"/>
          <w:szCs w:val="16"/>
        </w:rPr>
        <w:t>4. Colombia Compra Eficiente debe determinar el valor de la garantía única de cumplimiento del Acuerdo Marco de Precios de acuerdo con el objeto, el valor, la naturaleza y las obligaciones contenidas en este”.</w:t>
      </w:r>
    </w:p>
  </w:footnote>
  <w:footnote w:id="2">
    <w:p w14:paraId="3D07558F" w14:textId="77777777" w:rsidR="00EF558F" w:rsidRPr="00AC4B25" w:rsidRDefault="00EF558F" w:rsidP="00EF558F">
      <w:pPr>
        <w:pStyle w:val="Textonotapie"/>
        <w:ind w:firstLine="708"/>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Tercera, Subsección B. Sentencia de 28 de junio de 2012. Radicación número: 25000-23-26-000-1997-05346-01(23966). C.P: Stella Conto Diaz Del Castillo.</w:t>
      </w:r>
    </w:p>
  </w:footnote>
  <w:footnote w:id="3">
    <w:p w14:paraId="5D6A13A8" w14:textId="77777777" w:rsidR="00EF558F" w:rsidRPr="00AC4B25" w:rsidRDefault="00EF558F" w:rsidP="00EF558F">
      <w:pPr>
        <w:pStyle w:val="Textonotapie"/>
        <w:ind w:firstLine="708"/>
        <w:jc w:val="both"/>
        <w:rPr>
          <w:rFonts w:ascii="Verdana" w:hAnsi="Verdana" w:cs="Arial"/>
          <w:sz w:val="16"/>
          <w:szCs w:val="16"/>
          <w:shd w:val="clear" w:color="auto" w:fill="FFFFFF"/>
        </w:rPr>
      </w:pPr>
      <w:r w:rsidRPr="00AC4B25">
        <w:rPr>
          <w:rStyle w:val="Refdenotaalpie"/>
          <w:rFonts w:ascii="Verdana" w:hAnsi="Verdana" w:cs="Arial"/>
          <w:sz w:val="16"/>
          <w:szCs w:val="16"/>
        </w:rPr>
        <w:footnoteRef/>
      </w:r>
      <w:r w:rsidRPr="00AC4B25">
        <w:rPr>
          <w:rFonts w:ascii="Verdana" w:hAnsi="Verdana" w:cs="Arial"/>
          <w:sz w:val="16"/>
          <w:szCs w:val="16"/>
        </w:rPr>
        <w:t xml:space="preserve"> De conformidad con el artículo </w:t>
      </w:r>
      <w:r w:rsidRPr="00AC4B25">
        <w:rPr>
          <w:rStyle w:val="Textoennegrita"/>
          <w:rFonts w:ascii="Verdana" w:hAnsi="Verdana" w:cs="Arial"/>
          <w:sz w:val="16"/>
          <w:szCs w:val="16"/>
          <w:shd w:val="clear" w:color="auto" w:fill="FFFFFF"/>
        </w:rPr>
        <w:t>2.2.1.2.3.1.5</w:t>
      </w:r>
      <w:r w:rsidRPr="00AC4B25">
        <w:rPr>
          <w:rFonts w:ascii="Verdana" w:hAnsi="Verdana" w:cs="Arial"/>
          <w:sz w:val="16"/>
          <w:szCs w:val="16"/>
          <w:shd w:val="clear" w:color="auto" w:fill="FFFFFF"/>
        </w:rPr>
        <w:t xml:space="preserve"> del Decreto 1082 de 2015, </w:t>
      </w:r>
      <w:r w:rsidRPr="00AC4B25">
        <w:rPr>
          <w:rFonts w:ascii="Verdana" w:hAnsi="Verdana" w:cs="Arial"/>
          <w:sz w:val="16"/>
          <w:szCs w:val="16"/>
        </w:rPr>
        <w:t>“</w:t>
      </w:r>
      <w:r w:rsidRPr="00AC4B25">
        <w:rPr>
          <w:rFonts w:ascii="Verdana" w:hAnsi="Verdana" w:cs="Arial"/>
          <w:sz w:val="16"/>
          <w:szCs w:val="16"/>
          <w:shd w:val="clear" w:color="auto" w:fill="FFFFFF"/>
        </w:rPr>
        <w:t>La responsabilidad extracontractual de la administración derivada de las actuaciones, hechos u omisiones de sus contratistas o subcontratistas solamente puede ser amparada con un contrato de seguro</w:t>
      </w:r>
      <w:r w:rsidRPr="00AC4B25">
        <w:rPr>
          <w:rFonts w:ascii="Verdana" w:hAnsi="Verdana" w:cs="Arial"/>
          <w:sz w:val="16"/>
          <w:szCs w:val="16"/>
        </w:rPr>
        <w:t>”</w:t>
      </w:r>
      <w:r w:rsidRPr="00AC4B25">
        <w:rPr>
          <w:rFonts w:ascii="Verdana" w:hAnsi="Verdana" w:cs="Arial"/>
          <w:sz w:val="16"/>
          <w:szCs w:val="16"/>
          <w:shd w:val="clear" w:color="auto" w:fill="FFFFFF"/>
        </w:rPr>
        <w:t>.</w:t>
      </w:r>
    </w:p>
  </w:footnote>
  <w:footnote w:id="4">
    <w:p w14:paraId="49810386" w14:textId="77777777" w:rsidR="00EF558F" w:rsidRPr="00AC4B25" w:rsidRDefault="00EF558F" w:rsidP="00EF558F">
      <w:pPr>
        <w:pStyle w:val="Textonotapie"/>
        <w:ind w:firstLine="709"/>
        <w:jc w:val="both"/>
        <w:rPr>
          <w:rFonts w:ascii="Verdana" w:hAnsi="Verdana" w:cs="Arial"/>
          <w:sz w:val="16"/>
          <w:szCs w:val="16"/>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Tercera, Subsección A. Sentencia del 14 de junio del 2019. Radicación número: 11001 03 26 000 2009 00047 00 (36860)</w:t>
      </w:r>
      <w:r w:rsidRPr="00AC4B25">
        <w:rPr>
          <w:rFonts w:ascii="Verdana" w:hAnsi="Verdana" w:cs="Arial"/>
          <w:bCs/>
          <w:sz w:val="16"/>
          <w:szCs w:val="16"/>
          <w:lang w:val="es-CO"/>
        </w:rPr>
        <w:t xml:space="preserve">. </w:t>
      </w:r>
      <w:r w:rsidRPr="00AC4B25">
        <w:rPr>
          <w:rFonts w:ascii="Verdana" w:hAnsi="Verdana" w:cs="Arial"/>
          <w:sz w:val="16"/>
          <w:szCs w:val="16"/>
        </w:rPr>
        <w:t>C.P: Carlos Alberto Zambrano Barrera.</w:t>
      </w:r>
    </w:p>
  </w:footnote>
  <w:footnote w:id="5">
    <w:p w14:paraId="7571104E" w14:textId="77777777" w:rsidR="00EF558F" w:rsidRPr="00AC4B25" w:rsidRDefault="00EF558F" w:rsidP="00EF558F">
      <w:pPr>
        <w:pStyle w:val="Textonotapie"/>
        <w:ind w:firstLine="709"/>
        <w:jc w:val="both"/>
        <w:rPr>
          <w:rFonts w:ascii="Verdana" w:hAnsi="Verdana" w:cs="Arial"/>
          <w:sz w:val="16"/>
          <w:szCs w:val="16"/>
          <w:lang w:val="es-CO"/>
        </w:rPr>
      </w:pPr>
      <w:r w:rsidRPr="00AC4B25">
        <w:rPr>
          <w:rStyle w:val="Refdenotaalpie"/>
          <w:rFonts w:ascii="Verdana" w:hAnsi="Verdana" w:cs="Arial"/>
          <w:sz w:val="16"/>
          <w:szCs w:val="16"/>
        </w:rPr>
        <w:footnoteRef/>
      </w:r>
      <w:r w:rsidRPr="00AC4B25">
        <w:rPr>
          <w:rFonts w:ascii="Verdana" w:hAnsi="Verdana" w:cs="Arial"/>
          <w:sz w:val="16"/>
          <w:szCs w:val="16"/>
        </w:rPr>
        <w:t xml:space="preserve"> Consejo de Estado, Sección Segunda, Subsección A. Sentencia del 25 de enero del 2018. Radicación número: </w:t>
      </w:r>
      <w:r w:rsidRPr="00AC4B25">
        <w:rPr>
          <w:rFonts w:ascii="Verdana" w:hAnsi="Verdana" w:cs="Arial"/>
          <w:bCs/>
          <w:sz w:val="16"/>
          <w:szCs w:val="16"/>
          <w:lang w:val="es-CO"/>
        </w:rPr>
        <w:t>11001-03-25-000-2011-00489-00(1924-11).</w:t>
      </w:r>
      <w:r w:rsidRPr="00AC4B25">
        <w:rPr>
          <w:rFonts w:ascii="Verdana" w:hAnsi="Verdana" w:cs="Arial"/>
          <w:b/>
          <w:sz w:val="16"/>
          <w:szCs w:val="16"/>
          <w:lang w:val="es-CO"/>
        </w:rPr>
        <w:t xml:space="preserve"> </w:t>
      </w:r>
      <w:r w:rsidRPr="00AC4B25">
        <w:rPr>
          <w:rFonts w:ascii="Verdana" w:hAnsi="Verdana" w:cs="Arial"/>
          <w:sz w:val="16"/>
          <w:szCs w:val="16"/>
        </w:rPr>
        <w:t>C.P: Gabriel Valbuena 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35F9F5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50749538" o:spid="_x0000_i1025" type="#_x0000_t75" style="width:11.25pt;height:11.25pt;visibility:visible;mso-wrap-style:square">
            <v:imagedata r:id="rId1" o:title=""/>
          </v:shape>
        </w:pict>
      </mc:Choice>
      <mc:Fallback>
        <w:drawing>
          <wp:inline distT="0" distB="0" distL="0" distR="0" wp14:anchorId="425C87E4" wp14:editId="72D6204C">
            <wp:extent cx="142875" cy="142875"/>
            <wp:effectExtent l="0" t="0" r="0" b="0"/>
            <wp:docPr id="1650749538" name="Imagen 1650749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7E5E"/>
    <w:rsid w:val="000A683E"/>
    <w:rsid w:val="000B19B9"/>
    <w:rsid w:val="000D0334"/>
    <w:rsid w:val="000F6486"/>
    <w:rsid w:val="00125105"/>
    <w:rsid w:val="00127233"/>
    <w:rsid w:val="001511A0"/>
    <w:rsid w:val="001E4177"/>
    <w:rsid w:val="001F7DC6"/>
    <w:rsid w:val="002421BB"/>
    <w:rsid w:val="0025796E"/>
    <w:rsid w:val="00260B02"/>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C168E"/>
    <w:rsid w:val="003D0F4D"/>
    <w:rsid w:val="003D5B0D"/>
    <w:rsid w:val="003E0499"/>
    <w:rsid w:val="003F3941"/>
    <w:rsid w:val="00406575"/>
    <w:rsid w:val="00414C74"/>
    <w:rsid w:val="0042722E"/>
    <w:rsid w:val="004377FB"/>
    <w:rsid w:val="0044528D"/>
    <w:rsid w:val="004562AB"/>
    <w:rsid w:val="004A1847"/>
    <w:rsid w:val="004A305D"/>
    <w:rsid w:val="004F21C4"/>
    <w:rsid w:val="004F685F"/>
    <w:rsid w:val="005566E8"/>
    <w:rsid w:val="00574867"/>
    <w:rsid w:val="00591460"/>
    <w:rsid w:val="005B3816"/>
    <w:rsid w:val="005C3777"/>
    <w:rsid w:val="005C5CDC"/>
    <w:rsid w:val="005D476C"/>
    <w:rsid w:val="006219F8"/>
    <w:rsid w:val="00665D70"/>
    <w:rsid w:val="006900D9"/>
    <w:rsid w:val="006F5421"/>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D2F06"/>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4869"/>
    <w:rsid w:val="00A17F13"/>
    <w:rsid w:val="00A20739"/>
    <w:rsid w:val="00A33C78"/>
    <w:rsid w:val="00AB0ADB"/>
    <w:rsid w:val="00AF612D"/>
    <w:rsid w:val="00B01B1A"/>
    <w:rsid w:val="00B66319"/>
    <w:rsid w:val="00B72CD3"/>
    <w:rsid w:val="00B72FFF"/>
    <w:rsid w:val="00BC3D36"/>
    <w:rsid w:val="00BD7F72"/>
    <w:rsid w:val="00BF3AF1"/>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30331"/>
    <w:rsid w:val="00E50AFE"/>
    <w:rsid w:val="00E75C92"/>
    <w:rsid w:val="00E771DC"/>
    <w:rsid w:val="00E8772A"/>
    <w:rsid w:val="00E90F6B"/>
    <w:rsid w:val="00E92C27"/>
    <w:rsid w:val="00EA0E3D"/>
    <w:rsid w:val="00EC38A7"/>
    <w:rsid w:val="00ED7384"/>
    <w:rsid w:val="00EE1AA8"/>
    <w:rsid w:val="00EF558F"/>
    <w:rsid w:val="00F31EDC"/>
    <w:rsid w:val="00F462B3"/>
    <w:rsid w:val="00F5664F"/>
    <w:rsid w:val="00F666C4"/>
    <w:rsid w:val="00F76AFC"/>
    <w:rsid w:val="00FA47C0"/>
    <w:rsid w:val="00FB5DD1"/>
    <w:rsid w:val="00FC18C6"/>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F558F"/>
    <w:pPr>
      <w:spacing w:line="240" w:lineRule="exact"/>
    </w:pPr>
    <w:rPr>
      <w:vertAlign w:val="superscript"/>
    </w:rPr>
  </w:style>
  <w:style w:type="character" w:styleId="Textoennegrita">
    <w:name w:val="Strong"/>
    <w:basedOn w:val="Fuentedeprrafopredeter"/>
    <w:uiPriority w:val="22"/>
    <w:qFormat/>
    <w:rsid w:val="00EF558F"/>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F558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25896271">
      <w:bodyDiv w:val="1"/>
      <w:marLeft w:val="0"/>
      <w:marRight w:val="0"/>
      <w:marTop w:val="0"/>
      <w:marBottom w:val="0"/>
      <w:divBdr>
        <w:top w:val="none" w:sz="0" w:space="0" w:color="auto"/>
        <w:left w:val="none" w:sz="0" w:space="0" w:color="auto"/>
        <w:bottom w:val="none" w:sz="0" w:space="0" w:color="auto"/>
        <w:right w:val="none" w:sz="0" w:space="0" w:color="auto"/>
      </w:divBdr>
      <w:divsChild>
        <w:div w:id="550768160">
          <w:marLeft w:val="0"/>
          <w:marRight w:val="0"/>
          <w:marTop w:val="0"/>
          <w:marBottom w:val="160"/>
          <w:divBdr>
            <w:top w:val="none" w:sz="0" w:space="0" w:color="auto"/>
            <w:left w:val="none" w:sz="0" w:space="0" w:color="auto"/>
            <w:bottom w:val="none" w:sz="0" w:space="0" w:color="auto"/>
            <w:right w:val="none" w:sz="0" w:space="0" w:color="auto"/>
          </w:divBdr>
        </w:div>
        <w:div w:id="1936400762">
          <w:marLeft w:val="0"/>
          <w:marRight w:val="0"/>
          <w:marTop w:val="0"/>
          <w:marBottom w:val="160"/>
          <w:divBdr>
            <w:top w:val="none" w:sz="0" w:space="0" w:color="auto"/>
            <w:left w:val="none" w:sz="0" w:space="0" w:color="auto"/>
            <w:bottom w:val="none" w:sz="0" w:space="0" w:color="auto"/>
            <w:right w:val="none" w:sz="0" w:space="0" w:color="auto"/>
          </w:divBdr>
        </w:div>
        <w:div w:id="1386638066">
          <w:marLeft w:val="0"/>
          <w:marRight w:val="0"/>
          <w:marTop w:val="0"/>
          <w:marBottom w:val="160"/>
          <w:divBdr>
            <w:top w:val="none" w:sz="0" w:space="0" w:color="auto"/>
            <w:left w:val="none" w:sz="0" w:space="0" w:color="auto"/>
            <w:bottom w:val="none" w:sz="0" w:space="0" w:color="auto"/>
            <w:right w:val="none" w:sz="0" w:space="0" w:color="auto"/>
          </w:divBdr>
        </w:div>
      </w:divsChild>
    </w:div>
    <w:div w:id="1787190720">
      <w:bodyDiv w:val="1"/>
      <w:marLeft w:val="0"/>
      <w:marRight w:val="0"/>
      <w:marTop w:val="0"/>
      <w:marBottom w:val="0"/>
      <w:divBdr>
        <w:top w:val="none" w:sz="0" w:space="0" w:color="auto"/>
        <w:left w:val="none" w:sz="0" w:space="0" w:color="auto"/>
        <w:bottom w:val="none" w:sz="0" w:space="0" w:color="auto"/>
        <w:right w:val="none" w:sz="0" w:space="0" w:color="auto"/>
      </w:divBdr>
      <w:divsChild>
        <w:div w:id="1269772136">
          <w:marLeft w:val="0"/>
          <w:marRight w:val="0"/>
          <w:marTop w:val="0"/>
          <w:marBottom w:val="160"/>
          <w:divBdr>
            <w:top w:val="none" w:sz="0" w:space="0" w:color="auto"/>
            <w:left w:val="none" w:sz="0" w:space="0" w:color="auto"/>
            <w:bottom w:val="none" w:sz="0" w:space="0" w:color="auto"/>
            <w:right w:val="none" w:sz="0" w:space="0" w:color="auto"/>
          </w:divBdr>
        </w:div>
        <w:div w:id="950742646">
          <w:marLeft w:val="0"/>
          <w:marRight w:val="0"/>
          <w:marTop w:val="0"/>
          <w:marBottom w:val="160"/>
          <w:divBdr>
            <w:top w:val="none" w:sz="0" w:space="0" w:color="auto"/>
            <w:left w:val="none" w:sz="0" w:space="0" w:color="auto"/>
            <w:bottom w:val="none" w:sz="0" w:space="0" w:color="auto"/>
            <w:right w:val="none" w:sz="0" w:space="0" w:color="auto"/>
          </w:divBdr>
        </w:div>
        <w:div w:id="178592642">
          <w:marLeft w:val="0"/>
          <w:marRight w:val="0"/>
          <w:marTop w:val="0"/>
          <w:marBottom w:val="16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santiago.herrera%40colombiacompra.gov.co%7Ceb0fd05604104aa4d3bc08dd4c4ad35e%7C7b09041e245149d08cb179d5e3d8c1be%7C0%7C0%7C638750606446139140%7CUnknown%7CTWFpbGZsb3d8eyJFbXB0eU1hcGkiOnRydWUsIlYiOiIwLjAuMDAwMCIsIlAiOiJXaW4zMiIsIkFOIjoiTWFpbCIsIldUIjoyfQ%3D%3D%7C0%7C%7C%7C&amp;sdata=KxTGDnwqMAr1Tiny1RYnBI1%2BPUB3YV4ivlvXtJoUF7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uncan93@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eb0fd05604104aa4d3bc08dd4c4ad35e%7C7b09041e245149d08cb179d5e3d8c1be%7C0%7C0%7C638750606446177660%7CUnknown%7CTWFpbGZsb3d8eyJFbXB0eU1hcGkiOnRydWUsIlYiOiIwLjAuMDAwMCIsIlAiOiJXaW4zMiIsIkFOIjoiTWFpbCIsIldUIjoyfQ%3D%3D%7C0%7C%7C%7C&amp;sdata=K9fGEvMQQb5JMmzyWrMHhWOzxpxjKcN%2B7XxhOsxZEw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santiago.herrera%40colombiacompra.gov.co%7Ceb0fd05604104aa4d3bc08dd4c4ad35e%7C7b09041e245149d08cb179d5e3d8c1be%7C0%7C0%7C638750606446161131%7CUnknown%7CTWFpbGZsb3d8eyJFbXB0eU1hcGkiOnRydWUsIlYiOiIwLjAuMDAwMCIsIlAiOiJXaW4zMiIsIkFOIjoiTWFpbCIsIldUIjoyfQ%3D%3D%7C0%7C%7C%7C&amp;sdata=k2oGE1ZhXRCG0WmpxnB5F6qDDfDsWeKH4Pnq6DccM3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477D0D8-E827-47EE-8215-CC0106CFB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3458</Words>
  <Characters>19019</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2025-03-12T14:35:00Z</dcterms:created>
  <dcterms:modified xsi:type="dcterms:W3CDTF">2025-03-12T16:30:00Z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