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D75362" w14:textId="77777777" w:rsidR="00750137" w:rsidRPr="00750137" w:rsidRDefault="00750137" w:rsidP="00750137">
      <w:pPr>
        <w:jc w:val="right"/>
        <w:rPr>
          <w:rFonts w:ascii="Arial" w:hAnsi="Arial" w:cs="Arial"/>
          <w:b/>
          <w:color w:val="000000" w:themeColor="text1"/>
          <w:sz w:val="16"/>
          <w:szCs w:val="16"/>
          <w:lang w:eastAsia="es-ES"/>
        </w:rPr>
      </w:pPr>
      <w:bookmarkStart w:id="0" w:name="_Hlk28946138"/>
      <w:bookmarkStart w:id="1" w:name="_Hlk29548183"/>
      <w:r w:rsidRPr="00750137">
        <w:rPr>
          <w:rFonts w:ascii="Arial" w:hAnsi="Arial" w:cs="Arial"/>
          <w:b/>
          <w:color w:val="000000" w:themeColor="text1"/>
          <w:sz w:val="16"/>
          <w:szCs w:val="16"/>
          <w:lang w:eastAsia="es-ES"/>
        </w:rPr>
        <w:t>CCE-DES-FM-17</w:t>
      </w:r>
    </w:p>
    <w:p w14:paraId="02E21D98" w14:textId="77777777" w:rsidR="00010363" w:rsidRPr="00AC42AB" w:rsidRDefault="00010363" w:rsidP="008579B7">
      <w:pPr>
        <w:jc w:val="both"/>
        <w:rPr>
          <w:rFonts w:ascii="Arial" w:eastAsia="Calibri" w:hAnsi="Arial" w:cs="Arial"/>
          <w:color w:val="000000" w:themeColor="text1"/>
          <w:sz w:val="16"/>
          <w:szCs w:val="16"/>
        </w:rPr>
      </w:pPr>
    </w:p>
    <w:p w14:paraId="36B22437" w14:textId="1A5E842C" w:rsidR="008579B7" w:rsidRPr="00750137" w:rsidRDefault="007E2EE2" w:rsidP="001E3455">
      <w:pPr>
        <w:jc w:val="both"/>
        <w:rPr>
          <w:rFonts w:ascii="Arial" w:eastAsia="Calibri" w:hAnsi="Arial" w:cs="Arial"/>
          <w:b/>
          <w:color w:val="000000" w:themeColor="text1"/>
          <w:sz w:val="22"/>
        </w:rPr>
      </w:pPr>
      <w:r w:rsidRPr="00750137">
        <w:rPr>
          <w:rFonts w:ascii="Arial" w:eastAsia="Calibri" w:hAnsi="Arial" w:cs="Arial"/>
          <w:b/>
          <w:color w:val="000000" w:themeColor="text1"/>
          <w:sz w:val="22"/>
        </w:rPr>
        <w:t>PUBLICIDAD</w:t>
      </w:r>
      <w:r w:rsidR="008579B7" w:rsidRPr="00750137">
        <w:rPr>
          <w:rFonts w:ascii="Arial" w:eastAsia="Calibri" w:hAnsi="Arial" w:cs="Arial"/>
          <w:b/>
          <w:color w:val="000000" w:themeColor="text1"/>
          <w:sz w:val="22"/>
        </w:rPr>
        <w:t xml:space="preserve"> </w:t>
      </w:r>
      <w:r w:rsidR="00DF2AE4" w:rsidRPr="006C15D5">
        <w:rPr>
          <w:rFonts w:ascii="Arial" w:eastAsia="Calibri" w:hAnsi="Arial" w:cs="Arial"/>
          <w:b/>
          <w:color w:val="000000" w:themeColor="text1"/>
          <w:sz w:val="22"/>
        </w:rPr>
        <w:t>–</w:t>
      </w:r>
      <w:r w:rsidR="00DF2AE4" w:rsidRPr="00750137">
        <w:rPr>
          <w:rFonts w:ascii="Arial" w:eastAsia="Calibri" w:hAnsi="Arial" w:cs="Arial"/>
          <w:b/>
          <w:color w:val="000000" w:themeColor="text1"/>
          <w:sz w:val="22"/>
        </w:rPr>
        <w:t xml:space="preserve"> </w:t>
      </w:r>
      <w:r w:rsidR="008579B7" w:rsidRPr="00750137">
        <w:rPr>
          <w:rFonts w:ascii="Arial" w:eastAsia="Calibri" w:hAnsi="Arial" w:cs="Arial"/>
          <w:b/>
          <w:color w:val="000000" w:themeColor="text1"/>
          <w:sz w:val="22"/>
        </w:rPr>
        <w:t>SECOP</w:t>
      </w:r>
      <w:r w:rsidR="00767C83">
        <w:rPr>
          <w:rFonts w:ascii="Arial" w:eastAsia="Calibri" w:hAnsi="Arial" w:cs="Arial"/>
          <w:b/>
          <w:color w:val="000000" w:themeColor="text1"/>
          <w:sz w:val="22"/>
        </w:rPr>
        <w:t xml:space="preserve"> </w:t>
      </w:r>
      <w:r w:rsidR="00767C83" w:rsidRPr="006C15D5">
        <w:rPr>
          <w:rFonts w:ascii="Arial" w:eastAsia="Calibri" w:hAnsi="Arial" w:cs="Arial"/>
          <w:b/>
          <w:color w:val="000000" w:themeColor="text1"/>
          <w:sz w:val="22"/>
        </w:rPr>
        <w:t>–</w:t>
      </w:r>
      <w:r w:rsidRPr="00750137">
        <w:rPr>
          <w:rFonts w:ascii="Arial" w:eastAsia="Calibri" w:hAnsi="Arial" w:cs="Arial"/>
          <w:b/>
          <w:color w:val="000000" w:themeColor="text1"/>
          <w:sz w:val="22"/>
        </w:rPr>
        <w:t xml:space="preserve"> E</w:t>
      </w:r>
      <w:r w:rsidR="008C11D5" w:rsidRPr="00750137">
        <w:rPr>
          <w:rFonts w:ascii="Arial" w:eastAsia="Calibri" w:hAnsi="Arial" w:cs="Arial"/>
          <w:b/>
          <w:color w:val="000000" w:themeColor="text1"/>
          <w:sz w:val="22"/>
        </w:rPr>
        <w:t>ntidades de régimen especial</w:t>
      </w:r>
      <w:r w:rsidR="00767C83">
        <w:rPr>
          <w:rFonts w:ascii="Arial" w:eastAsia="Calibri" w:hAnsi="Arial" w:cs="Arial"/>
          <w:b/>
          <w:color w:val="000000" w:themeColor="text1"/>
          <w:sz w:val="22"/>
        </w:rPr>
        <w:t xml:space="preserve"> </w:t>
      </w:r>
      <w:r w:rsidR="00767C83" w:rsidRPr="006C15D5">
        <w:rPr>
          <w:rFonts w:ascii="Arial" w:eastAsia="Calibri" w:hAnsi="Arial" w:cs="Arial"/>
          <w:b/>
          <w:color w:val="000000" w:themeColor="text1"/>
          <w:sz w:val="22"/>
        </w:rPr>
        <w:t>–</w:t>
      </w:r>
      <w:r w:rsidR="008579B7" w:rsidRPr="00750137">
        <w:rPr>
          <w:rFonts w:ascii="Arial" w:eastAsia="Calibri" w:hAnsi="Arial" w:cs="Arial"/>
          <w:b/>
          <w:color w:val="000000" w:themeColor="text1"/>
          <w:sz w:val="22"/>
        </w:rPr>
        <w:t xml:space="preserve"> Fundamento normativo</w:t>
      </w:r>
    </w:p>
    <w:p w14:paraId="6B241018" w14:textId="77777777" w:rsidR="008579B7" w:rsidRPr="001E1D2A" w:rsidRDefault="008579B7" w:rsidP="001E3455">
      <w:pPr>
        <w:jc w:val="both"/>
        <w:rPr>
          <w:rFonts w:ascii="Arial" w:eastAsia="Calibri" w:hAnsi="Arial" w:cs="Arial"/>
          <w:b/>
          <w:color w:val="000000" w:themeColor="text1"/>
          <w:sz w:val="20"/>
          <w:szCs w:val="20"/>
        </w:rPr>
      </w:pPr>
    </w:p>
    <w:p w14:paraId="618A58CF" w14:textId="6D7D2D04" w:rsidR="008579B7" w:rsidRPr="001E3455" w:rsidRDefault="00CA5D70" w:rsidP="001E3455">
      <w:pPr>
        <w:jc w:val="both"/>
        <w:rPr>
          <w:rFonts w:ascii="Arial" w:hAnsi="Arial" w:cs="Arial"/>
          <w:color w:val="000000" w:themeColor="text1"/>
          <w:sz w:val="20"/>
          <w:szCs w:val="20"/>
          <w:lang w:val="es-ES"/>
        </w:rPr>
      </w:pPr>
      <w:r>
        <w:rPr>
          <w:rFonts w:ascii="Arial" w:hAnsi="Arial" w:cs="Arial"/>
          <w:color w:val="000000" w:themeColor="text1"/>
          <w:sz w:val="20"/>
          <w:szCs w:val="20"/>
          <w:lang w:val="es-ES"/>
        </w:rPr>
        <w:t xml:space="preserve">[…] </w:t>
      </w:r>
      <w:r w:rsidR="00A77B83">
        <w:rPr>
          <w:rFonts w:ascii="Arial" w:hAnsi="Arial" w:cs="Arial"/>
          <w:color w:val="000000" w:themeColor="text1"/>
          <w:sz w:val="20"/>
          <w:szCs w:val="20"/>
          <w:lang w:val="es-ES"/>
        </w:rPr>
        <w:t>e</w:t>
      </w:r>
      <w:r w:rsidR="008579B7" w:rsidRPr="001E3455">
        <w:rPr>
          <w:rFonts w:ascii="Arial" w:hAnsi="Arial" w:cs="Arial"/>
          <w:color w:val="000000" w:themeColor="text1"/>
          <w:sz w:val="20"/>
          <w:szCs w:val="20"/>
          <w:lang w:val="es-ES"/>
        </w:rPr>
        <w:t xml:space="preserv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137DF337" w14:textId="77777777" w:rsidR="008579B7" w:rsidRPr="001E1D2A" w:rsidRDefault="008579B7" w:rsidP="001E3455">
      <w:pPr>
        <w:jc w:val="both"/>
        <w:rPr>
          <w:rFonts w:ascii="Arial" w:eastAsia="Calibri" w:hAnsi="Arial" w:cs="Arial"/>
          <w:color w:val="000000" w:themeColor="text1"/>
          <w:sz w:val="20"/>
          <w:szCs w:val="20"/>
          <w:lang w:val="es-ES"/>
        </w:rPr>
      </w:pPr>
      <w:r w:rsidRPr="00750137">
        <w:rPr>
          <w:rFonts w:ascii="Arial" w:eastAsia="Calibri" w:hAnsi="Arial" w:cs="Arial"/>
          <w:color w:val="000000" w:themeColor="text1"/>
          <w:sz w:val="21"/>
          <w:szCs w:val="21"/>
        </w:rPr>
        <w:t xml:space="preserve"> </w:t>
      </w:r>
    </w:p>
    <w:p w14:paraId="61E83BAD" w14:textId="0BB13E7A" w:rsidR="008579B7" w:rsidRPr="00750137" w:rsidRDefault="00DF390C" w:rsidP="001E3455">
      <w:pPr>
        <w:pStyle w:val="Prrafodelista"/>
        <w:ind w:left="0"/>
        <w:contextualSpacing w:val="0"/>
        <w:jc w:val="both"/>
        <w:rPr>
          <w:rFonts w:ascii="Arial" w:eastAsia="Calibri" w:hAnsi="Arial" w:cs="Arial"/>
          <w:b/>
          <w:color w:val="000000" w:themeColor="text1"/>
          <w:sz w:val="22"/>
        </w:rPr>
      </w:pPr>
      <w:r>
        <w:rPr>
          <w:rFonts w:ascii="Arial" w:eastAsia="Calibri" w:hAnsi="Arial" w:cs="Arial"/>
          <w:b/>
          <w:color w:val="000000" w:themeColor="text1"/>
          <w:sz w:val="22"/>
        </w:rPr>
        <w:t xml:space="preserve">PUBLICIDAD </w:t>
      </w:r>
      <w:r w:rsidR="00DF2AE4" w:rsidRPr="006C15D5">
        <w:rPr>
          <w:rFonts w:ascii="Arial" w:eastAsia="Calibri" w:hAnsi="Arial" w:cs="Arial"/>
          <w:b/>
          <w:color w:val="000000" w:themeColor="text1"/>
          <w:sz w:val="22"/>
        </w:rPr>
        <w:t>–</w:t>
      </w:r>
      <w:r w:rsidR="00DF2AE4" w:rsidRPr="00750137">
        <w:rPr>
          <w:rFonts w:ascii="Arial" w:eastAsia="Calibri" w:hAnsi="Arial" w:cs="Arial"/>
          <w:b/>
          <w:color w:val="000000" w:themeColor="text1"/>
          <w:sz w:val="22"/>
        </w:rPr>
        <w:t xml:space="preserve"> </w:t>
      </w:r>
      <w:r w:rsidR="008579B7" w:rsidRPr="00750137">
        <w:rPr>
          <w:rFonts w:ascii="Arial" w:eastAsia="Calibri" w:hAnsi="Arial" w:cs="Arial"/>
          <w:b/>
          <w:color w:val="000000" w:themeColor="text1"/>
          <w:sz w:val="22"/>
        </w:rPr>
        <w:t xml:space="preserve">SECOP </w:t>
      </w:r>
      <w:r w:rsidR="00767C83" w:rsidRPr="006C15D5">
        <w:rPr>
          <w:rFonts w:ascii="Arial" w:eastAsia="Calibri" w:hAnsi="Arial" w:cs="Arial"/>
          <w:b/>
          <w:color w:val="000000" w:themeColor="text1"/>
          <w:sz w:val="22"/>
        </w:rPr>
        <w:t>–</w:t>
      </w:r>
      <w:r w:rsidR="008579B7" w:rsidRPr="00750137">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Documentos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008579B7" w:rsidRPr="00750137">
        <w:rPr>
          <w:rFonts w:ascii="Arial" w:eastAsia="Calibri" w:hAnsi="Arial" w:cs="Arial"/>
          <w:b/>
          <w:color w:val="000000" w:themeColor="text1"/>
          <w:sz w:val="22"/>
        </w:rPr>
        <w:t>Entidades</w:t>
      </w:r>
      <w:r>
        <w:rPr>
          <w:rFonts w:ascii="Arial" w:eastAsia="Calibri" w:hAnsi="Arial" w:cs="Arial"/>
          <w:b/>
          <w:color w:val="000000" w:themeColor="text1"/>
          <w:sz w:val="22"/>
        </w:rPr>
        <w:t xml:space="preserve"> de</w:t>
      </w:r>
      <w:r w:rsidR="008579B7" w:rsidRPr="00750137">
        <w:rPr>
          <w:rFonts w:ascii="Arial" w:eastAsia="Calibri" w:hAnsi="Arial" w:cs="Arial"/>
          <w:b/>
          <w:color w:val="000000" w:themeColor="text1"/>
          <w:sz w:val="22"/>
        </w:rPr>
        <w:t xml:space="preserve"> régimen especial</w:t>
      </w:r>
    </w:p>
    <w:p w14:paraId="25464C9E" w14:textId="77777777" w:rsidR="008579B7" w:rsidRPr="001E1D2A" w:rsidRDefault="008579B7" w:rsidP="001E3455">
      <w:pPr>
        <w:pStyle w:val="Prrafodelista"/>
        <w:ind w:left="0"/>
        <w:contextualSpacing w:val="0"/>
        <w:jc w:val="both"/>
        <w:rPr>
          <w:rFonts w:ascii="Arial" w:eastAsia="Calibri" w:hAnsi="Arial" w:cs="Arial"/>
          <w:color w:val="000000" w:themeColor="text1"/>
          <w:sz w:val="20"/>
          <w:szCs w:val="20"/>
        </w:rPr>
      </w:pPr>
    </w:p>
    <w:p w14:paraId="51D911E7" w14:textId="18FC0D36" w:rsidR="00CA5D70" w:rsidRDefault="00DE0333" w:rsidP="00CA5D70">
      <w:pPr>
        <w:spacing w:after="120"/>
        <w:jc w:val="both"/>
        <w:rPr>
          <w:rFonts w:ascii="Arial" w:eastAsia="Calibri" w:hAnsi="Arial" w:cs="Arial"/>
          <w:color w:val="000000" w:themeColor="text1"/>
          <w:sz w:val="20"/>
          <w:szCs w:val="20"/>
        </w:rPr>
      </w:pPr>
      <w:r>
        <w:rPr>
          <w:rFonts w:ascii="Arial" w:eastAsia="Calibri" w:hAnsi="Arial" w:cs="Arial"/>
          <w:color w:val="000000" w:themeColor="text1"/>
          <w:sz w:val="20"/>
          <w:szCs w:val="20"/>
        </w:rPr>
        <w:t>[…] e</w:t>
      </w:r>
      <w:r w:rsidR="008579B7" w:rsidRPr="001E1D2A">
        <w:rPr>
          <w:rFonts w:ascii="Arial" w:eastAsia="Calibri" w:hAnsi="Arial" w:cs="Arial"/>
          <w:color w:val="000000" w:themeColor="text1"/>
          <w:sz w:val="20"/>
          <w:szCs w:val="20"/>
        </w:rPr>
        <w:t xml:space="preserve">l </w:t>
      </w:r>
      <w:r w:rsidR="00EE1740" w:rsidRPr="001E1D2A">
        <w:rPr>
          <w:rFonts w:ascii="Arial" w:eastAsia="Calibri" w:hAnsi="Arial" w:cs="Arial"/>
          <w:color w:val="000000" w:themeColor="text1"/>
          <w:sz w:val="20"/>
          <w:szCs w:val="20"/>
        </w:rPr>
        <w:t xml:space="preserve">Decreto 103 de 2015 señala que los documentos que deben publicar las entidades estatales a quienes les aplica la Ley 1712 de 2019, entre estas, por ejemplo, las empresas de servicios públicos mixtas, oficiales y privadas con participación pública,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w:t>
      </w:r>
      <w:r w:rsidR="008C11D5" w:rsidRPr="001E1D2A">
        <w:rPr>
          <w:rFonts w:ascii="Arial" w:eastAsia="Calibri" w:hAnsi="Arial" w:cs="Arial"/>
          <w:color w:val="000000" w:themeColor="text1"/>
          <w:sz w:val="20"/>
          <w:szCs w:val="20"/>
        </w:rPr>
        <w:t>el plan anual de adquisiciones</w:t>
      </w:r>
      <w:r w:rsidR="00CA5D70">
        <w:rPr>
          <w:rFonts w:ascii="Arial" w:eastAsia="Calibri" w:hAnsi="Arial" w:cs="Arial"/>
          <w:color w:val="000000" w:themeColor="text1"/>
          <w:sz w:val="20"/>
          <w:szCs w:val="20"/>
        </w:rPr>
        <w:t xml:space="preserve">. </w:t>
      </w:r>
    </w:p>
    <w:p w14:paraId="66781704" w14:textId="77777777" w:rsidR="00CA5D70" w:rsidRDefault="008C11D5" w:rsidP="00CA5D70">
      <w:pPr>
        <w:spacing w:after="120"/>
        <w:jc w:val="both"/>
        <w:rPr>
          <w:rFonts w:ascii="Arial" w:eastAsia="Calibri" w:hAnsi="Arial" w:cs="Arial"/>
          <w:color w:val="000000" w:themeColor="text1"/>
          <w:sz w:val="20"/>
          <w:szCs w:val="20"/>
        </w:rPr>
      </w:pPr>
      <w:r w:rsidRPr="001E1D2A">
        <w:rPr>
          <w:rFonts w:ascii="Arial" w:eastAsia="Calibri" w:hAnsi="Arial" w:cs="Arial"/>
          <w:color w:val="000000" w:themeColor="text1"/>
          <w:sz w:val="20"/>
          <w:szCs w:val="20"/>
        </w:rPr>
        <w:t>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w:t>
      </w:r>
    </w:p>
    <w:p w14:paraId="39FDB917" w14:textId="77777777" w:rsidR="00274054" w:rsidRPr="001E1D2A" w:rsidRDefault="00274054" w:rsidP="001E3455">
      <w:pPr>
        <w:jc w:val="both"/>
        <w:rPr>
          <w:rFonts w:ascii="Arial" w:eastAsia="Calibri" w:hAnsi="Arial" w:cs="Arial"/>
          <w:color w:val="000000" w:themeColor="text1"/>
          <w:sz w:val="20"/>
          <w:szCs w:val="20"/>
        </w:rPr>
      </w:pPr>
    </w:p>
    <w:p w14:paraId="5BC5A615" w14:textId="259F5E88" w:rsidR="008579B7" w:rsidRPr="00750137" w:rsidRDefault="008579B7" w:rsidP="001E3455">
      <w:pPr>
        <w:jc w:val="both"/>
        <w:rPr>
          <w:rFonts w:ascii="Arial" w:hAnsi="Arial" w:cs="Arial"/>
          <w:b/>
          <w:color w:val="000000" w:themeColor="text1"/>
          <w:sz w:val="22"/>
        </w:rPr>
      </w:pPr>
      <w:r w:rsidRPr="00750137">
        <w:rPr>
          <w:rFonts w:ascii="Arial" w:hAnsi="Arial" w:cs="Arial"/>
          <w:b/>
          <w:color w:val="000000" w:themeColor="text1"/>
          <w:sz w:val="22"/>
        </w:rPr>
        <w:t>PUBLIC</w:t>
      </w:r>
      <w:r w:rsidR="00DF2AE4">
        <w:rPr>
          <w:rFonts w:ascii="Arial" w:hAnsi="Arial" w:cs="Arial"/>
          <w:b/>
          <w:color w:val="000000" w:themeColor="text1"/>
          <w:sz w:val="22"/>
        </w:rPr>
        <w:t xml:space="preserve">IDAD </w:t>
      </w:r>
      <w:r w:rsidR="00DF2AE4" w:rsidRPr="006C15D5">
        <w:rPr>
          <w:rFonts w:ascii="Arial" w:eastAsia="Calibri" w:hAnsi="Arial" w:cs="Arial"/>
          <w:b/>
          <w:color w:val="000000" w:themeColor="text1"/>
          <w:sz w:val="22"/>
        </w:rPr>
        <w:t>–</w:t>
      </w:r>
      <w:r w:rsidR="00DF2AE4" w:rsidRPr="00750137">
        <w:rPr>
          <w:rFonts w:ascii="Arial" w:eastAsia="Calibri" w:hAnsi="Arial" w:cs="Arial"/>
          <w:b/>
          <w:color w:val="000000" w:themeColor="text1"/>
          <w:sz w:val="22"/>
        </w:rPr>
        <w:t xml:space="preserve"> </w:t>
      </w:r>
      <w:r w:rsidRPr="00750137">
        <w:rPr>
          <w:rFonts w:ascii="Arial" w:hAnsi="Arial" w:cs="Arial"/>
          <w:b/>
          <w:color w:val="000000" w:themeColor="text1"/>
          <w:sz w:val="22"/>
        </w:rPr>
        <w:t xml:space="preserve">SECOP </w:t>
      </w:r>
      <w:r w:rsidR="00767C83" w:rsidRPr="006C15D5">
        <w:rPr>
          <w:rFonts w:ascii="Arial" w:eastAsia="Calibri" w:hAnsi="Arial" w:cs="Arial"/>
          <w:b/>
          <w:color w:val="000000" w:themeColor="text1"/>
          <w:sz w:val="22"/>
        </w:rPr>
        <w:t>–</w:t>
      </w:r>
      <w:r w:rsidRPr="00750137">
        <w:rPr>
          <w:rFonts w:ascii="Arial" w:hAnsi="Arial" w:cs="Arial"/>
          <w:b/>
          <w:color w:val="000000" w:themeColor="text1"/>
          <w:sz w:val="22"/>
        </w:rPr>
        <w:t xml:space="preserve"> </w:t>
      </w:r>
      <w:r w:rsidR="00782C98">
        <w:rPr>
          <w:rFonts w:ascii="Arial" w:hAnsi="Arial" w:cs="Arial"/>
          <w:b/>
          <w:color w:val="000000" w:themeColor="text1"/>
          <w:sz w:val="22"/>
        </w:rPr>
        <w:t xml:space="preserve">Plazo </w:t>
      </w:r>
      <w:r w:rsidR="00782C98" w:rsidRPr="006C15D5">
        <w:rPr>
          <w:rFonts w:ascii="Arial" w:eastAsia="Calibri" w:hAnsi="Arial" w:cs="Arial"/>
          <w:b/>
          <w:color w:val="000000" w:themeColor="text1"/>
          <w:sz w:val="22"/>
        </w:rPr>
        <w:t>–</w:t>
      </w:r>
      <w:r w:rsidR="00782C98">
        <w:rPr>
          <w:rFonts w:ascii="Arial" w:eastAsia="Calibri" w:hAnsi="Arial" w:cs="Arial"/>
          <w:b/>
          <w:color w:val="000000" w:themeColor="text1"/>
          <w:sz w:val="22"/>
        </w:rPr>
        <w:t xml:space="preserve"> </w:t>
      </w:r>
      <w:r w:rsidRPr="00750137">
        <w:rPr>
          <w:rFonts w:ascii="Arial" w:hAnsi="Arial" w:cs="Arial"/>
          <w:b/>
          <w:color w:val="000000" w:themeColor="text1"/>
          <w:sz w:val="22"/>
        </w:rPr>
        <w:t>Entidades régimen especial</w:t>
      </w:r>
    </w:p>
    <w:p w14:paraId="4881624C" w14:textId="77777777" w:rsidR="008579B7" w:rsidRPr="001E1D2A" w:rsidRDefault="008579B7" w:rsidP="001E3455">
      <w:pPr>
        <w:jc w:val="both"/>
        <w:rPr>
          <w:rFonts w:ascii="Arial" w:hAnsi="Arial" w:cs="Arial"/>
          <w:color w:val="000000" w:themeColor="text1"/>
          <w:sz w:val="20"/>
          <w:szCs w:val="20"/>
        </w:rPr>
      </w:pPr>
    </w:p>
    <w:p w14:paraId="15A5FDB4" w14:textId="77777777" w:rsidR="00F073FC" w:rsidRDefault="00FA7831" w:rsidP="00F073FC">
      <w:pPr>
        <w:spacing w:after="120"/>
        <w:jc w:val="both"/>
        <w:rPr>
          <w:rFonts w:ascii="Arial" w:hAnsi="Arial" w:cs="Arial"/>
          <w:color w:val="000000" w:themeColor="text1"/>
          <w:sz w:val="20"/>
          <w:szCs w:val="20"/>
        </w:rPr>
      </w:pPr>
      <w:r w:rsidRPr="001E1D2A">
        <w:rPr>
          <w:rFonts w:ascii="Arial" w:hAnsi="Arial" w:cs="Arial"/>
          <w:color w:val="000000" w:themeColor="text1"/>
          <w:sz w:val="20"/>
          <w:szCs w:val="20"/>
        </w:rPr>
        <w:t>Si bien el Decreto 1082 de 2015, en principio no aplica a las entidades estatales exceptuadas del Estatuto General de Contratación de la Administración Pública, porque su régimen de contratación es el derecho privado, es posible aplicarle el artículo 2.2.1.1.1.7.1. en virtud de la analogía. Lo anterior, debido a que esta norma guarda similitud con el asunto tratado ya que regula la publicidad de los documentos del SECOP y, por lo tanto, es viable aplicarle su consecuencia jurídica a las entidades de régimen especial.</w:t>
      </w:r>
    </w:p>
    <w:p w14:paraId="3E569964" w14:textId="710078EB" w:rsidR="00F073FC" w:rsidRDefault="00FA7831" w:rsidP="00F073FC">
      <w:pPr>
        <w:spacing w:after="120"/>
        <w:jc w:val="both"/>
        <w:rPr>
          <w:rFonts w:ascii="Arial" w:hAnsi="Arial" w:cs="Arial"/>
          <w:color w:val="000000" w:themeColor="text1"/>
          <w:sz w:val="20"/>
          <w:szCs w:val="20"/>
        </w:rPr>
      </w:pPr>
      <w:r w:rsidRPr="1F3250CE">
        <w:rPr>
          <w:rFonts w:ascii="Arial" w:hAnsi="Arial" w:cs="Arial"/>
          <w:color w:val="000000" w:themeColor="text1"/>
          <w:sz w:val="20"/>
          <w:szCs w:val="20"/>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473EB09F" w14:textId="77777777" w:rsidR="00F073FC" w:rsidRDefault="00FA7831" w:rsidP="00F073FC">
      <w:pPr>
        <w:spacing w:after="120"/>
        <w:jc w:val="both"/>
        <w:rPr>
          <w:rFonts w:ascii="Arial" w:hAnsi="Arial" w:cs="Arial"/>
          <w:color w:val="000000" w:themeColor="text1"/>
          <w:sz w:val="20"/>
          <w:szCs w:val="20"/>
        </w:rPr>
      </w:pPr>
      <w:r w:rsidRPr="001E1D2A">
        <w:rPr>
          <w:rFonts w:ascii="Arial" w:hAnsi="Arial" w:cs="Arial"/>
          <w:color w:val="000000" w:themeColor="text1"/>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2F702290" w14:textId="20088657" w:rsidR="00274054" w:rsidRPr="00750137" w:rsidRDefault="00274054" w:rsidP="001E3455">
      <w:pPr>
        <w:jc w:val="both"/>
        <w:rPr>
          <w:rFonts w:ascii="Arial" w:hAnsi="Arial" w:cs="Arial"/>
          <w:color w:val="000000" w:themeColor="text1"/>
          <w:sz w:val="21"/>
          <w:szCs w:val="21"/>
        </w:rPr>
      </w:pPr>
      <w:r w:rsidRPr="001E1D2A">
        <w:rPr>
          <w:rFonts w:ascii="Arial" w:hAnsi="Arial" w:cs="Arial"/>
          <w:color w:val="000000" w:themeColor="text1"/>
          <w:sz w:val="20"/>
          <w:szCs w:val="20"/>
        </w:rPr>
        <w:t>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w:t>
      </w:r>
      <w:r w:rsidRPr="00750137">
        <w:rPr>
          <w:rFonts w:ascii="Arial" w:hAnsi="Arial" w:cs="Arial"/>
          <w:color w:val="000000" w:themeColor="text1"/>
          <w:sz w:val="21"/>
          <w:szCs w:val="21"/>
        </w:rPr>
        <w:t xml:space="preserve">. </w:t>
      </w:r>
    </w:p>
    <w:p w14:paraId="3CF34060" w14:textId="77777777" w:rsidR="00FA7831" w:rsidRPr="00767C83" w:rsidRDefault="00FA7831" w:rsidP="001E3455">
      <w:pPr>
        <w:jc w:val="both"/>
        <w:rPr>
          <w:rFonts w:ascii="Arial" w:hAnsi="Arial" w:cs="Arial"/>
          <w:color w:val="000000" w:themeColor="text1"/>
          <w:sz w:val="20"/>
          <w:szCs w:val="20"/>
        </w:rPr>
      </w:pPr>
    </w:p>
    <w:p w14:paraId="13C97723" w14:textId="16E25740" w:rsidR="00B90672" w:rsidRPr="00750137" w:rsidRDefault="00DF2AE4" w:rsidP="001E3455">
      <w:pPr>
        <w:jc w:val="both"/>
        <w:rPr>
          <w:rFonts w:ascii="Arial" w:hAnsi="Arial" w:cs="Arial"/>
          <w:b/>
          <w:color w:val="000000" w:themeColor="text1"/>
          <w:sz w:val="22"/>
        </w:rPr>
      </w:pPr>
      <w:r>
        <w:rPr>
          <w:rFonts w:ascii="Arial" w:hAnsi="Arial" w:cs="Arial"/>
          <w:b/>
          <w:color w:val="000000" w:themeColor="text1"/>
          <w:sz w:val="22"/>
        </w:rPr>
        <w:t xml:space="preserve">PUBLICIDAD </w:t>
      </w:r>
      <w:r w:rsidRPr="006C15D5">
        <w:rPr>
          <w:rFonts w:ascii="Arial" w:eastAsia="Calibri" w:hAnsi="Arial" w:cs="Arial"/>
          <w:b/>
          <w:color w:val="000000" w:themeColor="text1"/>
          <w:sz w:val="22"/>
        </w:rPr>
        <w:t>–</w:t>
      </w:r>
      <w:r w:rsidRPr="00750137">
        <w:rPr>
          <w:rFonts w:ascii="Arial" w:eastAsia="Calibri" w:hAnsi="Arial" w:cs="Arial"/>
          <w:b/>
          <w:color w:val="000000" w:themeColor="text1"/>
          <w:sz w:val="22"/>
        </w:rPr>
        <w:t xml:space="preserve"> </w:t>
      </w:r>
      <w:bookmarkStart w:id="2" w:name="_GoBack"/>
      <w:bookmarkEnd w:id="2"/>
      <w:r w:rsidR="000F7989">
        <w:rPr>
          <w:rFonts w:ascii="Arial" w:hAnsi="Arial" w:cs="Arial"/>
          <w:b/>
          <w:color w:val="000000" w:themeColor="text1"/>
          <w:sz w:val="22"/>
        </w:rPr>
        <w:t xml:space="preserve">SECOP II </w:t>
      </w:r>
      <w:r w:rsidR="000F7989" w:rsidRPr="006C15D5">
        <w:rPr>
          <w:rFonts w:ascii="Arial" w:eastAsia="Calibri" w:hAnsi="Arial" w:cs="Arial"/>
          <w:b/>
          <w:color w:val="000000" w:themeColor="text1"/>
          <w:sz w:val="22"/>
        </w:rPr>
        <w:t>–</w:t>
      </w:r>
      <w:r w:rsidR="000F7989">
        <w:rPr>
          <w:rFonts w:ascii="Arial" w:eastAsia="Calibri" w:hAnsi="Arial" w:cs="Arial"/>
          <w:b/>
          <w:color w:val="000000" w:themeColor="text1"/>
          <w:sz w:val="22"/>
        </w:rPr>
        <w:t xml:space="preserve"> </w:t>
      </w:r>
      <w:r w:rsidR="000F7989" w:rsidRPr="00750137">
        <w:rPr>
          <w:rFonts w:ascii="Arial" w:hAnsi="Arial" w:cs="Arial"/>
          <w:b/>
          <w:color w:val="000000" w:themeColor="text1"/>
          <w:sz w:val="22"/>
        </w:rPr>
        <w:t>Entidades Exceptuada</w:t>
      </w:r>
      <w:r w:rsidR="000F7989">
        <w:rPr>
          <w:rFonts w:ascii="Arial" w:hAnsi="Arial" w:cs="Arial"/>
          <w:b/>
          <w:color w:val="000000" w:themeColor="text1"/>
          <w:sz w:val="22"/>
        </w:rPr>
        <w:t xml:space="preserve">s </w:t>
      </w:r>
      <w:r w:rsidR="00767C83" w:rsidRPr="006C15D5">
        <w:rPr>
          <w:rFonts w:ascii="Arial" w:eastAsia="Calibri" w:hAnsi="Arial" w:cs="Arial"/>
          <w:b/>
          <w:color w:val="000000" w:themeColor="text1"/>
          <w:sz w:val="22"/>
        </w:rPr>
        <w:t>–</w:t>
      </w:r>
      <w:r w:rsidR="00B90672" w:rsidRPr="00750137">
        <w:rPr>
          <w:rFonts w:ascii="Arial" w:hAnsi="Arial" w:cs="Arial"/>
          <w:b/>
          <w:color w:val="000000" w:themeColor="text1"/>
          <w:sz w:val="22"/>
        </w:rPr>
        <w:t xml:space="preserve"> Empresas descentralizadas del nivel municipal </w:t>
      </w:r>
    </w:p>
    <w:p w14:paraId="3A2F51FC" w14:textId="77777777" w:rsidR="00B90672" w:rsidRPr="001E1D2A" w:rsidRDefault="00B90672" w:rsidP="001E3455">
      <w:pPr>
        <w:jc w:val="both"/>
        <w:rPr>
          <w:rFonts w:ascii="Arial" w:hAnsi="Arial" w:cs="Arial"/>
          <w:color w:val="000000" w:themeColor="text1"/>
          <w:sz w:val="20"/>
          <w:szCs w:val="20"/>
        </w:rPr>
      </w:pPr>
    </w:p>
    <w:p w14:paraId="7EAD6BBB" w14:textId="11EEBA5D" w:rsidR="00D70422" w:rsidRPr="001E1D2A" w:rsidRDefault="00B57099" w:rsidP="001E3455">
      <w:pPr>
        <w:jc w:val="both"/>
        <w:rPr>
          <w:rFonts w:ascii="Arial" w:hAnsi="Arial" w:cs="Arial"/>
          <w:color w:val="000000" w:themeColor="text1"/>
          <w:sz w:val="20"/>
          <w:szCs w:val="20"/>
        </w:rPr>
      </w:pPr>
      <w:r>
        <w:rPr>
          <w:rFonts w:ascii="Arial" w:eastAsia="Calibri" w:hAnsi="Arial" w:cs="Arial"/>
          <w:color w:val="000000" w:themeColor="text1"/>
          <w:sz w:val="20"/>
          <w:szCs w:val="20"/>
          <w:lang w:val="es-ES"/>
        </w:rPr>
        <w:t xml:space="preserve">[…] </w:t>
      </w:r>
      <w:r w:rsidR="000A38B9">
        <w:rPr>
          <w:rFonts w:ascii="Arial" w:eastAsia="Calibri" w:hAnsi="Arial" w:cs="Arial"/>
          <w:color w:val="000000" w:themeColor="text1"/>
          <w:sz w:val="20"/>
          <w:szCs w:val="20"/>
          <w:lang w:val="es-ES"/>
        </w:rPr>
        <w:t>a</w:t>
      </w:r>
      <w:r w:rsidR="00FA7831" w:rsidRPr="001E1D2A">
        <w:rPr>
          <w:rFonts w:ascii="Arial" w:eastAsia="Calibri" w:hAnsi="Arial" w:cs="Arial"/>
          <w:color w:val="000000" w:themeColor="text1"/>
          <w:sz w:val="20"/>
          <w:szCs w:val="20"/>
          <w:lang w:val="es-ES"/>
        </w:rPr>
        <w:t xml:space="preserve">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w:t>
      </w:r>
    </w:p>
    <w:p w14:paraId="487B633C" w14:textId="77777777" w:rsidR="007B66A7" w:rsidRPr="001C0941" w:rsidRDefault="007B66A7" w:rsidP="00A2021D">
      <w:pPr>
        <w:jc w:val="both"/>
        <w:rPr>
          <w:rFonts w:ascii="Arial" w:hAnsi="Arial" w:cs="Arial"/>
          <w:color w:val="000000" w:themeColor="text1"/>
          <w:sz w:val="20"/>
          <w:szCs w:val="20"/>
        </w:rPr>
      </w:pPr>
    </w:p>
    <w:p w14:paraId="424DCBA3" w14:textId="77777777" w:rsidR="001C0941" w:rsidRPr="001C0941" w:rsidRDefault="001C0941" w:rsidP="00460EF9">
      <w:pPr>
        <w:pStyle w:val="Default"/>
        <w:rPr>
          <w:sz w:val="20"/>
          <w:szCs w:val="20"/>
        </w:rPr>
      </w:pPr>
    </w:p>
    <w:p w14:paraId="3D89FA37" w14:textId="54984DBD" w:rsidR="001C0941" w:rsidRPr="00460EF9" w:rsidRDefault="001C0941" w:rsidP="00460EF9">
      <w:pPr>
        <w:pStyle w:val="Default"/>
        <w:rPr>
          <w:sz w:val="22"/>
          <w:szCs w:val="22"/>
        </w:rPr>
      </w:pPr>
      <w:r w:rsidRPr="00460EF9">
        <w:rPr>
          <w:sz w:val="22"/>
          <w:szCs w:val="22"/>
        </w:rPr>
        <w:t xml:space="preserve">Bogotá D.C., </w:t>
      </w:r>
      <w:r w:rsidRPr="00460EF9">
        <w:rPr>
          <w:b/>
          <w:bCs/>
          <w:sz w:val="22"/>
          <w:szCs w:val="22"/>
        </w:rPr>
        <w:t xml:space="preserve">16/03/2020 Hora 9:8:34s </w:t>
      </w:r>
    </w:p>
    <w:p w14:paraId="26D77BBA" w14:textId="7150ED30" w:rsidR="00A2021D" w:rsidRPr="00750137" w:rsidRDefault="001C0941" w:rsidP="00460EF9">
      <w:pPr>
        <w:tabs>
          <w:tab w:val="left" w:pos="3374"/>
        </w:tabs>
        <w:jc w:val="right"/>
        <w:rPr>
          <w:rFonts w:ascii="Arial" w:eastAsia="Calibri" w:hAnsi="Arial" w:cs="Arial"/>
          <w:b/>
          <w:color w:val="000000" w:themeColor="text1"/>
          <w:sz w:val="22"/>
        </w:rPr>
      </w:pPr>
      <w:r w:rsidRPr="00460EF9">
        <w:rPr>
          <w:rFonts w:ascii="Arial" w:hAnsi="Arial" w:cs="Arial"/>
          <w:b/>
          <w:bCs/>
          <w:sz w:val="22"/>
        </w:rPr>
        <w:t>N° Radicado: 2202013000001877</w:t>
      </w:r>
      <w:r w:rsidR="00A2021D" w:rsidRPr="00750137">
        <w:rPr>
          <w:rFonts w:ascii="Arial" w:eastAsia="Calibri" w:hAnsi="Arial" w:cs="Arial"/>
          <w:color w:val="000000" w:themeColor="text1"/>
          <w:sz w:val="22"/>
        </w:rPr>
        <w:tab/>
      </w:r>
    </w:p>
    <w:p w14:paraId="4187279E" w14:textId="77777777" w:rsidR="00047598" w:rsidRPr="00750137" w:rsidRDefault="00047598" w:rsidP="00047598">
      <w:pPr>
        <w:spacing w:line="276" w:lineRule="auto"/>
        <w:rPr>
          <w:rFonts w:ascii="Arial" w:eastAsia="Calibri" w:hAnsi="Arial" w:cs="Arial"/>
          <w:color w:val="000000" w:themeColor="text1"/>
          <w:sz w:val="22"/>
        </w:rPr>
      </w:pPr>
    </w:p>
    <w:p w14:paraId="7907B754" w14:textId="0F48C949" w:rsidR="00047598" w:rsidRPr="00750137" w:rsidRDefault="00047598" w:rsidP="00047598">
      <w:pPr>
        <w:rPr>
          <w:rFonts w:ascii="Arial" w:eastAsia="Calibri" w:hAnsi="Arial" w:cs="Arial"/>
          <w:color w:val="000000" w:themeColor="text1"/>
          <w:sz w:val="22"/>
        </w:rPr>
      </w:pPr>
      <w:r w:rsidRPr="00750137">
        <w:rPr>
          <w:rFonts w:ascii="Arial" w:eastAsia="Calibri" w:hAnsi="Arial" w:cs="Arial"/>
          <w:color w:val="000000" w:themeColor="text1"/>
          <w:sz w:val="22"/>
        </w:rPr>
        <w:t>Señor</w:t>
      </w:r>
      <w:r w:rsidR="001C2262" w:rsidRPr="00750137">
        <w:rPr>
          <w:rFonts w:ascii="Arial" w:eastAsia="Calibri" w:hAnsi="Arial" w:cs="Arial"/>
          <w:color w:val="000000" w:themeColor="text1"/>
          <w:sz w:val="22"/>
        </w:rPr>
        <w:t>a</w:t>
      </w:r>
      <w:r w:rsidRPr="00750137">
        <w:rPr>
          <w:rFonts w:ascii="Arial" w:eastAsia="Calibri" w:hAnsi="Arial" w:cs="Arial"/>
          <w:color w:val="000000" w:themeColor="text1"/>
          <w:sz w:val="22"/>
        </w:rPr>
        <w:t xml:space="preserve"> </w:t>
      </w:r>
    </w:p>
    <w:p w14:paraId="3811170A" w14:textId="77777777" w:rsidR="00047598" w:rsidRPr="00750137" w:rsidRDefault="00047598" w:rsidP="00047598">
      <w:pPr>
        <w:rPr>
          <w:rFonts w:ascii="Arial" w:eastAsia="Calibri" w:hAnsi="Arial" w:cs="Arial"/>
          <w:b/>
          <w:color w:val="000000" w:themeColor="text1"/>
          <w:sz w:val="22"/>
        </w:rPr>
      </w:pPr>
      <w:r w:rsidRPr="00750137">
        <w:rPr>
          <w:rFonts w:ascii="Arial" w:eastAsia="Calibri" w:hAnsi="Arial" w:cs="Arial"/>
          <w:b/>
          <w:color w:val="000000" w:themeColor="text1"/>
          <w:sz w:val="22"/>
        </w:rPr>
        <w:t xml:space="preserve">Carmenza Niño </w:t>
      </w:r>
    </w:p>
    <w:p w14:paraId="02ADA87D" w14:textId="77777777" w:rsidR="00047598" w:rsidRPr="00750137" w:rsidRDefault="00047598" w:rsidP="00047598">
      <w:pPr>
        <w:rPr>
          <w:rFonts w:ascii="Arial" w:eastAsia="Calibri" w:hAnsi="Arial" w:cs="Arial"/>
          <w:color w:val="000000" w:themeColor="text1"/>
          <w:sz w:val="22"/>
        </w:rPr>
      </w:pPr>
      <w:r w:rsidRPr="00750137">
        <w:rPr>
          <w:rFonts w:ascii="Arial" w:eastAsia="Calibri" w:hAnsi="Arial" w:cs="Arial"/>
          <w:color w:val="000000" w:themeColor="text1"/>
          <w:sz w:val="22"/>
        </w:rPr>
        <w:t>Ciudad</w:t>
      </w:r>
    </w:p>
    <w:p w14:paraId="5B256C52" w14:textId="77777777" w:rsidR="00047598" w:rsidRPr="00750137" w:rsidRDefault="00047598" w:rsidP="00047598">
      <w:pPr>
        <w:rPr>
          <w:rFonts w:ascii="Arial" w:eastAsia="Calibri" w:hAnsi="Arial" w:cs="Arial"/>
          <w:color w:val="000000" w:themeColor="text1"/>
          <w:sz w:val="22"/>
        </w:rPr>
      </w:pPr>
    </w:p>
    <w:p w14:paraId="45B96660" w14:textId="2F37A0C4" w:rsidR="00047598" w:rsidRPr="00750137" w:rsidRDefault="008579B7" w:rsidP="00047598">
      <w:pPr>
        <w:jc w:val="center"/>
        <w:rPr>
          <w:rFonts w:ascii="Arial" w:eastAsia="Calibri" w:hAnsi="Arial" w:cs="Arial"/>
          <w:b/>
          <w:color w:val="000000" w:themeColor="text1"/>
          <w:sz w:val="22"/>
        </w:rPr>
      </w:pPr>
      <w:r w:rsidRPr="00750137">
        <w:rPr>
          <w:rFonts w:ascii="Arial" w:eastAsia="Calibri" w:hAnsi="Arial" w:cs="Arial"/>
          <w:b/>
          <w:color w:val="000000" w:themeColor="text1"/>
          <w:sz w:val="22"/>
        </w:rPr>
        <w:t xml:space="preserve">Concepto C ― </w:t>
      </w:r>
      <w:r w:rsidR="003346F9" w:rsidRPr="00750137">
        <w:rPr>
          <w:rFonts w:ascii="Arial" w:eastAsia="Calibri" w:hAnsi="Arial" w:cs="Arial"/>
          <w:b/>
          <w:color w:val="000000" w:themeColor="text1"/>
          <w:sz w:val="22"/>
        </w:rPr>
        <w:t xml:space="preserve">095 de 2020 </w:t>
      </w:r>
    </w:p>
    <w:p w14:paraId="74994085" w14:textId="77777777" w:rsidR="00047598" w:rsidRPr="00750137" w:rsidRDefault="00047598" w:rsidP="00047598">
      <w:pPr>
        <w:jc w:val="center"/>
        <w:rPr>
          <w:rFonts w:ascii="Arial" w:eastAsia="Calibri" w:hAnsi="Arial" w:cs="Arial"/>
          <w:b/>
          <w:color w:val="000000" w:themeColor="text1"/>
          <w:sz w:val="22"/>
        </w:rPr>
      </w:pPr>
    </w:p>
    <w:tbl>
      <w:tblPr>
        <w:tblStyle w:val="Tablaconcuadrcula"/>
        <w:tblW w:w="87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21"/>
        <w:gridCol w:w="6079"/>
      </w:tblGrid>
      <w:tr w:rsidR="00750137" w:rsidRPr="00750137" w14:paraId="47DACD57" w14:textId="77777777" w:rsidTr="00E81FB3">
        <w:trPr>
          <w:trHeight w:val="1733"/>
        </w:trPr>
        <w:tc>
          <w:tcPr>
            <w:tcW w:w="2621" w:type="dxa"/>
          </w:tcPr>
          <w:p w14:paraId="364D31BE" w14:textId="77777777" w:rsidR="00047598" w:rsidRPr="00750137" w:rsidRDefault="00047598" w:rsidP="001802A9">
            <w:pPr>
              <w:rPr>
                <w:rFonts w:ascii="Arial" w:eastAsia="Calibri" w:hAnsi="Arial" w:cs="Arial"/>
                <w:color w:val="000000" w:themeColor="text1"/>
                <w:sz w:val="22"/>
              </w:rPr>
            </w:pPr>
            <w:r w:rsidRPr="00750137">
              <w:rPr>
                <w:rFonts w:ascii="Arial" w:eastAsia="Calibri" w:hAnsi="Arial" w:cs="Arial"/>
                <w:b/>
                <w:color w:val="000000" w:themeColor="text1"/>
                <w:sz w:val="22"/>
              </w:rPr>
              <w:t>Temas:</w:t>
            </w:r>
            <w:r w:rsidRPr="00750137">
              <w:rPr>
                <w:rFonts w:ascii="Arial" w:eastAsia="Calibri" w:hAnsi="Arial" w:cs="Arial"/>
                <w:color w:val="000000" w:themeColor="text1"/>
                <w:sz w:val="22"/>
              </w:rPr>
              <w:t xml:space="preserve">                                      </w:t>
            </w:r>
          </w:p>
        </w:tc>
        <w:tc>
          <w:tcPr>
            <w:tcW w:w="6079" w:type="dxa"/>
          </w:tcPr>
          <w:p w14:paraId="273F8870" w14:textId="387156CF" w:rsidR="00D70422" w:rsidRPr="00750137" w:rsidRDefault="008579B7" w:rsidP="00D70422">
            <w:pPr>
              <w:jc w:val="both"/>
              <w:rPr>
                <w:rFonts w:ascii="Arial" w:hAnsi="Arial" w:cs="Arial"/>
                <w:b/>
                <w:color w:val="000000" w:themeColor="text1"/>
                <w:sz w:val="22"/>
              </w:rPr>
            </w:pPr>
            <w:r w:rsidRPr="00750137">
              <w:rPr>
                <w:rFonts w:ascii="Arial" w:eastAsia="Calibri" w:hAnsi="Arial" w:cs="Arial"/>
                <w:color w:val="000000" w:themeColor="text1"/>
                <w:sz w:val="22"/>
              </w:rPr>
              <w:t>PUBLICIDAD SECOP ―</w:t>
            </w:r>
            <w:r w:rsidR="008C11D5" w:rsidRPr="00750137">
              <w:rPr>
                <w:rFonts w:ascii="Arial" w:eastAsia="Calibri" w:hAnsi="Arial" w:cs="Arial"/>
                <w:color w:val="000000" w:themeColor="text1"/>
                <w:sz w:val="22"/>
              </w:rPr>
              <w:t xml:space="preserve"> Entidades de régimen especial </w:t>
            </w:r>
            <w:r w:rsidR="008C11D5" w:rsidRPr="00260366">
              <w:rPr>
                <w:rFonts w:ascii="Arial" w:eastAsia="Calibri" w:hAnsi="Arial" w:cs="Arial"/>
                <w:color w:val="000000" w:themeColor="text1"/>
                <w:sz w:val="22"/>
              </w:rPr>
              <w:t>―</w:t>
            </w:r>
            <w:r w:rsidR="008C11D5" w:rsidRPr="00750137">
              <w:rPr>
                <w:rFonts w:ascii="Arial" w:eastAsia="Calibri" w:hAnsi="Arial" w:cs="Arial"/>
                <w:b/>
                <w:color w:val="000000" w:themeColor="text1"/>
                <w:sz w:val="22"/>
              </w:rPr>
              <w:t xml:space="preserve"> </w:t>
            </w:r>
            <w:r w:rsidR="008C11D5" w:rsidRPr="00750137">
              <w:rPr>
                <w:rFonts w:ascii="Arial" w:eastAsia="Calibri" w:hAnsi="Arial" w:cs="Arial"/>
                <w:color w:val="000000" w:themeColor="text1"/>
                <w:sz w:val="22"/>
              </w:rPr>
              <w:t xml:space="preserve">Fundamento normativo </w:t>
            </w:r>
            <w:r w:rsidRPr="00750137">
              <w:rPr>
                <w:rFonts w:ascii="Arial" w:eastAsia="Calibri" w:hAnsi="Arial" w:cs="Arial"/>
                <w:color w:val="000000" w:themeColor="text1"/>
                <w:sz w:val="22"/>
              </w:rPr>
              <w:t>/</w:t>
            </w:r>
            <w:r w:rsidR="007E2EE2" w:rsidRPr="00750137">
              <w:rPr>
                <w:rFonts w:ascii="Arial" w:eastAsia="Calibri" w:hAnsi="Arial" w:cs="Arial"/>
                <w:color w:val="000000" w:themeColor="text1"/>
                <w:sz w:val="22"/>
              </w:rPr>
              <w:t xml:space="preserve"> </w:t>
            </w:r>
            <w:r w:rsidR="00260366">
              <w:rPr>
                <w:rFonts w:ascii="Arial" w:eastAsia="Calibri" w:hAnsi="Arial" w:cs="Arial"/>
                <w:color w:val="000000" w:themeColor="text1"/>
                <w:sz w:val="22"/>
              </w:rPr>
              <w:t>PUBLICIDAD</w:t>
            </w:r>
            <w:r w:rsidRPr="00750137">
              <w:rPr>
                <w:rFonts w:ascii="Arial" w:eastAsia="Calibri" w:hAnsi="Arial" w:cs="Arial"/>
                <w:color w:val="000000" w:themeColor="text1"/>
                <w:sz w:val="22"/>
              </w:rPr>
              <w:t xml:space="preserve"> EN SECOP ― Entidades </w:t>
            </w:r>
            <w:r w:rsidR="007E2EE2" w:rsidRPr="00750137">
              <w:rPr>
                <w:rFonts w:ascii="Arial" w:eastAsia="Calibri" w:hAnsi="Arial" w:cs="Arial"/>
                <w:color w:val="000000" w:themeColor="text1"/>
                <w:sz w:val="22"/>
              </w:rPr>
              <w:t xml:space="preserve">de </w:t>
            </w:r>
            <w:r w:rsidRPr="00750137">
              <w:rPr>
                <w:rFonts w:ascii="Arial" w:eastAsia="Calibri" w:hAnsi="Arial" w:cs="Arial"/>
                <w:color w:val="000000" w:themeColor="text1"/>
                <w:sz w:val="22"/>
              </w:rPr>
              <w:t>régimen especial</w:t>
            </w:r>
            <w:r w:rsidRPr="00260366">
              <w:rPr>
                <w:rFonts w:ascii="Arial" w:eastAsia="Calibri" w:hAnsi="Arial" w:cs="Arial"/>
                <w:color w:val="000000" w:themeColor="text1"/>
                <w:sz w:val="22"/>
              </w:rPr>
              <w:t xml:space="preserve"> /</w:t>
            </w:r>
            <w:r w:rsidR="008C11D5" w:rsidRPr="00260366">
              <w:rPr>
                <w:rFonts w:ascii="Arial" w:eastAsia="Calibri" w:hAnsi="Arial" w:cs="Arial"/>
                <w:color w:val="000000" w:themeColor="text1"/>
                <w:sz w:val="22"/>
              </w:rPr>
              <w:t xml:space="preserve"> </w:t>
            </w:r>
            <w:r w:rsidR="00260366" w:rsidRPr="00260366">
              <w:rPr>
                <w:rFonts w:ascii="Arial" w:eastAsia="Calibri" w:hAnsi="Arial" w:cs="Arial"/>
                <w:color w:val="000000" w:themeColor="text1"/>
                <w:sz w:val="22"/>
              </w:rPr>
              <w:t>PUBLICACIÓN SECOP – Plazo – Entidades régimen especial</w:t>
            </w:r>
            <w:r w:rsidR="00260366">
              <w:rPr>
                <w:rFonts w:ascii="Arial" w:hAnsi="Arial" w:cs="Arial"/>
                <w:b/>
                <w:color w:val="000000" w:themeColor="text1"/>
                <w:sz w:val="22"/>
              </w:rPr>
              <w:t xml:space="preserve"> </w:t>
            </w:r>
            <w:r w:rsidR="00D70422" w:rsidRPr="00750137">
              <w:rPr>
                <w:rFonts w:ascii="Arial" w:eastAsia="Calibri" w:hAnsi="Arial" w:cs="Arial"/>
                <w:color w:val="000000" w:themeColor="text1"/>
                <w:sz w:val="22"/>
              </w:rPr>
              <w:t xml:space="preserve">/ </w:t>
            </w:r>
            <w:r w:rsidR="00311D88">
              <w:rPr>
                <w:rFonts w:ascii="Arial" w:hAnsi="Arial" w:cs="Arial"/>
                <w:color w:val="000000" w:themeColor="text1"/>
                <w:sz w:val="22"/>
              </w:rPr>
              <w:t xml:space="preserve">PUBLICIDAD </w:t>
            </w:r>
            <w:r w:rsidR="00D70422" w:rsidRPr="00750137">
              <w:rPr>
                <w:rFonts w:ascii="Arial" w:hAnsi="Arial" w:cs="Arial"/>
                <w:color w:val="000000" w:themeColor="text1"/>
                <w:sz w:val="22"/>
              </w:rPr>
              <w:t xml:space="preserve">EN SECOP II </w:t>
            </w:r>
            <w:r w:rsidR="00D70422" w:rsidRPr="00750137">
              <w:rPr>
                <w:rFonts w:ascii="Arial" w:eastAsia="Calibri" w:hAnsi="Arial" w:cs="Arial"/>
                <w:color w:val="000000" w:themeColor="text1"/>
                <w:sz w:val="22"/>
              </w:rPr>
              <w:t xml:space="preserve">― </w:t>
            </w:r>
            <w:r w:rsidR="00020A82">
              <w:rPr>
                <w:rFonts w:ascii="Arial" w:eastAsia="Calibri" w:hAnsi="Arial" w:cs="Arial"/>
                <w:color w:val="000000" w:themeColor="text1"/>
                <w:sz w:val="22"/>
              </w:rPr>
              <w:t xml:space="preserve">Entidades exceptuadas - </w:t>
            </w:r>
            <w:r w:rsidR="00D70422" w:rsidRPr="00750137">
              <w:rPr>
                <w:rFonts w:ascii="Arial" w:hAnsi="Arial" w:cs="Arial"/>
                <w:color w:val="000000" w:themeColor="text1"/>
                <w:sz w:val="22"/>
              </w:rPr>
              <w:t>Empresas descentralizadas del nivel municipal</w:t>
            </w:r>
            <w:r w:rsidR="00D70422" w:rsidRPr="00750137">
              <w:rPr>
                <w:rFonts w:ascii="Arial" w:hAnsi="Arial" w:cs="Arial"/>
                <w:b/>
                <w:color w:val="000000" w:themeColor="text1"/>
                <w:sz w:val="22"/>
              </w:rPr>
              <w:t xml:space="preserve"> </w:t>
            </w:r>
          </w:p>
          <w:p w14:paraId="4A7A1094" w14:textId="392DA5D4" w:rsidR="00047598" w:rsidRPr="00750137" w:rsidRDefault="00047598" w:rsidP="007B66A7">
            <w:pPr>
              <w:rPr>
                <w:rFonts w:ascii="Arial" w:eastAsia="Calibri" w:hAnsi="Arial" w:cs="Arial"/>
                <w:color w:val="000000" w:themeColor="text1"/>
                <w:sz w:val="22"/>
              </w:rPr>
            </w:pPr>
          </w:p>
        </w:tc>
      </w:tr>
      <w:tr w:rsidR="00047598" w:rsidRPr="00750137" w14:paraId="6ACE9DD9" w14:textId="77777777" w:rsidTr="00E81FB3">
        <w:trPr>
          <w:trHeight w:val="258"/>
        </w:trPr>
        <w:tc>
          <w:tcPr>
            <w:tcW w:w="2621" w:type="dxa"/>
          </w:tcPr>
          <w:p w14:paraId="300458B3" w14:textId="77777777" w:rsidR="00047598" w:rsidRPr="00750137" w:rsidRDefault="00047598" w:rsidP="001802A9">
            <w:pPr>
              <w:rPr>
                <w:rFonts w:ascii="Arial" w:eastAsia="Calibri" w:hAnsi="Arial" w:cs="Arial"/>
                <w:color w:val="000000" w:themeColor="text1"/>
                <w:sz w:val="22"/>
              </w:rPr>
            </w:pPr>
            <w:r w:rsidRPr="00750137">
              <w:rPr>
                <w:rFonts w:ascii="Arial" w:eastAsia="Calibri" w:hAnsi="Arial" w:cs="Arial"/>
                <w:b/>
                <w:color w:val="000000" w:themeColor="text1"/>
                <w:sz w:val="22"/>
              </w:rPr>
              <w:t>Radicación:</w:t>
            </w:r>
            <w:r w:rsidRPr="00750137">
              <w:rPr>
                <w:rFonts w:ascii="Arial" w:eastAsia="Calibri" w:hAnsi="Arial" w:cs="Arial"/>
                <w:color w:val="000000" w:themeColor="text1"/>
                <w:sz w:val="22"/>
              </w:rPr>
              <w:t xml:space="preserve">                              </w:t>
            </w:r>
          </w:p>
        </w:tc>
        <w:tc>
          <w:tcPr>
            <w:tcW w:w="6079" w:type="dxa"/>
          </w:tcPr>
          <w:p w14:paraId="31CB998E" w14:textId="77777777" w:rsidR="00047598" w:rsidRPr="00750137" w:rsidRDefault="00047598" w:rsidP="001802A9">
            <w:pPr>
              <w:rPr>
                <w:rFonts w:ascii="Arial" w:eastAsia="Calibri" w:hAnsi="Arial" w:cs="Arial"/>
                <w:color w:val="000000" w:themeColor="text1"/>
                <w:sz w:val="22"/>
              </w:rPr>
            </w:pPr>
            <w:r w:rsidRPr="00750137">
              <w:rPr>
                <w:rFonts w:ascii="Arial" w:eastAsia="Calibri" w:hAnsi="Arial" w:cs="Arial"/>
                <w:color w:val="000000" w:themeColor="text1"/>
                <w:sz w:val="22"/>
              </w:rPr>
              <w:t>Respuesta a consulta #  4202013000000741</w:t>
            </w:r>
          </w:p>
        </w:tc>
      </w:tr>
    </w:tbl>
    <w:p w14:paraId="138A6FB1" w14:textId="77777777" w:rsidR="00047598" w:rsidRPr="00750137" w:rsidRDefault="00047598" w:rsidP="00047598">
      <w:pPr>
        <w:spacing w:line="276" w:lineRule="auto"/>
        <w:rPr>
          <w:rFonts w:ascii="Arial" w:eastAsia="Calibri" w:hAnsi="Arial" w:cs="Arial"/>
          <w:color w:val="000000" w:themeColor="text1"/>
          <w:sz w:val="22"/>
        </w:rPr>
      </w:pPr>
    </w:p>
    <w:p w14:paraId="40EB9578" w14:textId="0AAFA48F" w:rsidR="00047598" w:rsidRPr="00750137" w:rsidRDefault="00047598" w:rsidP="00047598">
      <w:pPr>
        <w:tabs>
          <w:tab w:val="left" w:pos="3736"/>
        </w:tabs>
        <w:spacing w:line="276" w:lineRule="auto"/>
        <w:rPr>
          <w:rFonts w:ascii="Arial" w:eastAsia="Calibri" w:hAnsi="Arial" w:cs="Arial"/>
          <w:color w:val="000000" w:themeColor="text1"/>
          <w:sz w:val="22"/>
        </w:rPr>
      </w:pPr>
      <w:r w:rsidRPr="00750137">
        <w:rPr>
          <w:rFonts w:ascii="Arial" w:eastAsia="Calibri" w:hAnsi="Arial" w:cs="Arial"/>
          <w:color w:val="000000" w:themeColor="text1"/>
          <w:sz w:val="22"/>
        </w:rPr>
        <w:t>Estimada señora Niño</w:t>
      </w:r>
      <w:r w:rsidR="001C2262" w:rsidRPr="00750137">
        <w:rPr>
          <w:rFonts w:ascii="Arial" w:eastAsia="Calibri" w:hAnsi="Arial" w:cs="Arial"/>
          <w:color w:val="000000" w:themeColor="text1"/>
          <w:sz w:val="22"/>
        </w:rPr>
        <w:t>:</w:t>
      </w:r>
      <w:r w:rsidRPr="00750137">
        <w:rPr>
          <w:rFonts w:ascii="Arial" w:eastAsia="Calibri" w:hAnsi="Arial" w:cs="Arial"/>
          <w:color w:val="000000" w:themeColor="text1"/>
          <w:sz w:val="22"/>
        </w:rPr>
        <w:tab/>
      </w:r>
    </w:p>
    <w:p w14:paraId="28D1F0F7" w14:textId="77777777" w:rsidR="00047598" w:rsidRPr="00750137" w:rsidRDefault="00047598" w:rsidP="00047598">
      <w:pPr>
        <w:spacing w:line="276" w:lineRule="auto"/>
        <w:rPr>
          <w:rFonts w:ascii="Arial" w:eastAsia="Calibri" w:hAnsi="Arial" w:cs="Arial"/>
          <w:color w:val="000000" w:themeColor="text1"/>
          <w:sz w:val="22"/>
        </w:rPr>
      </w:pPr>
    </w:p>
    <w:p w14:paraId="1915FB71" w14:textId="5453F836" w:rsidR="00047598" w:rsidRPr="00750137" w:rsidRDefault="00047598" w:rsidP="007B66A7">
      <w:pPr>
        <w:spacing w:line="276" w:lineRule="auto"/>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La Agencia Nacional de Contratación Pública ─Colombia Compra Eficiente responde su consulta del 29 de enero de 2020, remitida por el Departamento Administrativo de la Función </w:t>
      </w:r>
      <w:r w:rsidR="001C2262" w:rsidRPr="00750137">
        <w:rPr>
          <w:rFonts w:ascii="Arial" w:eastAsia="Calibri" w:hAnsi="Arial" w:cs="Arial"/>
          <w:color w:val="000000" w:themeColor="text1"/>
          <w:sz w:val="22"/>
        </w:rPr>
        <w:t>Pública el 31 de enero</w:t>
      </w:r>
      <w:r w:rsidRPr="00750137">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290E401B" w14:textId="77777777" w:rsidR="00B304BA" w:rsidRPr="00750137" w:rsidRDefault="00B304BA" w:rsidP="007B66A7">
      <w:pPr>
        <w:spacing w:line="276" w:lineRule="auto"/>
        <w:jc w:val="both"/>
        <w:rPr>
          <w:rFonts w:ascii="Arial" w:eastAsia="Calibri" w:hAnsi="Arial" w:cs="Arial"/>
          <w:color w:val="000000" w:themeColor="text1"/>
          <w:sz w:val="22"/>
        </w:rPr>
      </w:pPr>
    </w:p>
    <w:p w14:paraId="0B87E4F8" w14:textId="77777777" w:rsidR="00047598" w:rsidRPr="00750137" w:rsidRDefault="00047598" w:rsidP="007B66A7">
      <w:pPr>
        <w:pStyle w:val="Prrafodelista"/>
        <w:numPr>
          <w:ilvl w:val="0"/>
          <w:numId w:val="7"/>
        </w:numPr>
        <w:tabs>
          <w:tab w:val="left" w:pos="0"/>
        </w:tabs>
        <w:spacing w:line="276" w:lineRule="auto"/>
        <w:ind w:left="284" w:hanging="284"/>
        <w:contextualSpacing w:val="0"/>
        <w:jc w:val="both"/>
        <w:rPr>
          <w:rFonts w:ascii="Arial" w:eastAsia="Calibri" w:hAnsi="Arial" w:cs="Arial"/>
          <w:b/>
          <w:color w:val="000000" w:themeColor="text1"/>
          <w:sz w:val="22"/>
        </w:rPr>
      </w:pPr>
      <w:r w:rsidRPr="00750137">
        <w:rPr>
          <w:rFonts w:ascii="Arial" w:eastAsia="Calibri" w:hAnsi="Arial" w:cs="Arial"/>
          <w:b/>
          <w:color w:val="000000" w:themeColor="text1"/>
          <w:sz w:val="22"/>
        </w:rPr>
        <w:t>Problema planteado</w:t>
      </w:r>
    </w:p>
    <w:p w14:paraId="7767BE74" w14:textId="77777777" w:rsidR="00047598" w:rsidRPr="00750137" w:rsidRDefault="00047598" w:rsidP="007B66A7">
      <w:pPr>
        <w:spacing w:line="276" w:lineRule="auto"/>
        <w:jc w:val="both"/>
        <w:rPr>
          <w:rFonts w:ascii="Arial" w:eastAsia="Calibri" w:hAnsi="Arial" w:cs="Arial"/>
          <w:color w:val="000000" w:themeColor="text1"/>
          <w:sz w:val="22"/>
        </w:rPr>
      </w:pPr>
    </w:p>
    <w:p w14:paraId="62026977" w14:textId="77777777" w:rsidR="00047598" w:rsidRPr="00750137" w:rsidRDefault="00047598" w:rsidP="007B66A7">
      <w:pPr>
        <w:spacing w:line="276" w:lineRule="auto"/>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Usted formula la siguiente pregunta: «en atención a la Circular Externa No. 001 de 2019, una Empresa Industrial y Comercial del Estado, descentralizada por servicios en el orden municipal, que cuenta con un régimen de contratación especial, debe realizar la publicación en el Secop II». </w:t>
      </w:r>
    </w:p>
    <w:p w14:paraId="5A974895" w14:textId="77777777" w:rsidR="007B66A7" w:rsidRPr="00750137" w:rsidRDefault="007B66A7" w:rsidP="007B66A7">
      <w:pPr>
        <w:spacing w:line="276" w:lineRule="auto"/>
        <w:jc w:val="both"/>
        <w:rPr>
          <w:color w:val="000000" w:themeColor="text1"/>
        </w:rPr>
      </w:pPr>
    </w:p>
    <w:bookmarkEnd w:id="0"/>
    <w:bookmarkEnd w:id="1"/>
    <w:p w14:paraId="393FBCED" w14:textId="040F6BED" w:rsidR="007B66A7" w:rsidRPr="00750137" w:rsidRDefault="007B66A7" w:rsidP="001C2262">
      <w:pPr>
        <w:pStyle w:val="Prrafodelista"/>
        <w:numPr>
          <w:ilvl w:val="0"/>
          <w:numId w:val="7"/>
        </w:numPr>
        <w:tabs>
          <w:tab w:val="left" w:pos="426"/>
        </w:tabs>
        <w:spacing w:line="276" w:lineRule="auto"/>
        <w:contextualSpacing w:val="0"/>
        <w:jc w:val="both"/>
        <w:rPr>
          <w:rFonts w:ascii="Arial" w:eastAsia="Calibri" w:hAnsi="Arial" w:cs="Arial"/>
          <w:b/>
          <w:color w:val="000000" w:themeColor="text1"/>
          <w:sz w:val="22"/>
        </w:rPr>
      </w:pPr>
      <w:r w:rsidRPr="00750137">
        <w:rPr>
          <w:rFonts w:ascii="Arial" w:eastAsia="Calibri" w:hAnsi="Arial" w:cs="Arial"/>
          <w:b/>
          <w:color w:val="000000" w:themeColor="text1"/>
          <w:sz w:val="22"/>
        </w:rPr>
        <w:t>Consideraciones</w:t>
      </w:r>
    </w:p>
    <w:p w14:paraId="5D3FA85D" w14:textId="77777777" w:rsidR="007B66A7" w:rsidRPr="00750137" w:rsidRDefault="007B66A7" w:rsidP="007B66A7">
      <w:pPr>
        <w:tabs>
          <w:tab w:val="left" w:pos="426"/>
        </w:tabs>
        <w:spacing w:line="276" w:lineRule="auto"/>
        <w:jc w:val="both"/>
        <w:rPr>
          <w:rFonts w:ascii="Arial" w:eastAsia="Calibri" w:hAnsi="Arial" w:cs="Arial"/>
          <w:b/>
          <w:color w:val="000000" w:themeColor="text1"/>
          <w:sz w:val="22"/>
        </w:rPr>
      </w:pPr>
    </w:p>
    <w:p w14:paraId="3C2B7741" w14:textId="77777777" w:rsidR="001C2262" w:rsidRPr="00750137" w:rsidRDefault="001C2262" w:rsidP="001C2262">
      <w:pPr>
        <w:spacing w:line="276" w:lineRule="auto"/>
        <w:jc w:val="both"/>
        <w:rPr>
          <w:rFonts w:ascii="Arial" w:eastAsia="Calibri" w:hAnsi="Arial" w:cs="Arial"/>
          <w:color w:val="000000" w:themeColor="text1"/>
          <w:sz w:val="22"/>
        </w:rPr>
      </w:pPr>
      <w:r w:rsidRPr="00750137">
        <w:rPr>
          <w:rFonts w:ascii="Arial" w:hAnsi="Arial" w:cs="Arial"/>
          <w:color w:val="000000" w:themeColor="text1"/>
          <w:sz w:val="22"/>
        </w:rPr>
        <w:lastRenderedPageBreak/>
        <w:t xml:space="preserve">La Agencia Nacional de Contratación Pública ― Colombia Compra Eficiente, </w:t>
      </w:r>
      <w:r w:rsidRPr="00750137">
        <w:rPr>
          <w:rFonts w:ascii="Arial" w:eastAsia="Calibri" w:hAnsi="Arial" w:cs="Arial"/>
          <w:color w:val="000000" w:themeColor="text1"/>
          <w:sz w:val="22"/>
        </w:rPr>
        <w:t xml:space="preserve">en el concepto identificado con radicado No. CU </w:t>
      </w:r>
      <w:r w:rsidRPr="00750137">
        <w:rPr>
          <w:rFonts w:ascii="Arial" w:hAnsi="Arial" w:cs="Arial"/>
          <w:color w:val="000000" w:themeColor="text1"/>
          <w:sz w:val="22"/>
        </w:rPr>
        <w:t>― 003 del 15 de enero de 2020</w:t>
      </w:r>
      <w:r w:rsidRPr="00750137">
        <w:rPr>
          <w:rFonts w:ascii="Arial" w:eastAsia="Calibri" w:hAnsi="Arial" w:cs="Arial"/>
          <w:color w:val="000000" w:themeColor="text1"/>
          <w:sz w:val="22"/>
        </w:rPr>
        <w:t>, estudió la obligatoriedad de las entidades con régimen especial de publicar sus contratos en la plataforma del Secop.</w:t>
      </w:r>
    </w:p>
    <w:p w14:paraId="0D3A878C" w14:textId="77777777" w:rsidR="00D70422" w:rsidRPr="00750137" w:rsidRDefault="00D70422" w:rsidP="00D70422">
      <w:pPr>
        <w:spacing w:line="276" w:lineRule="auto"/>
        <w:jc w:val="both"/>
        <w:rPr>
          <w:rFonts w:ascii="Arial" w:eastAsia="Calibri" w:hAnsi="Arial" w:cs="Arial"/>
          <w:color w:val="000000" w:themeColor="text1"/>
          <w:sz w:val="22"/>
        </w:rPr>
      </w:pPr>
    </w:p>
    <w:p w14:paraId="6A8AD812" w14:textId="77777777" w:rsidR="001C2262" w:rsidRPr="00750137" w:rsidRDefault="001C2262" w:rsidP="00D70422">
      <w:pPr>
        <w:spacing w:line="276" w:lineRule="auto"/>
        <w:jc w:val="both"/>
        <w:rPr>
          <w:rFonts w:ascii="Arial" w:eastAsia="Calibri" w:hAnsi="Arial" w:cs="Arial"/>
          <w:color w:val="000000" w:themeColor="text1"/>
          <w:sz w:val="22"/>
        </w:rPr>
      </w:pPr>
      <w:r w:rsidRPr="00750137">
        <w:rPr>
          <w:rFonts w:ascii="Arial" w:eastAsia="Calibri" w:hAnsi="Arial" w:cs="Arial"/>
          <w:color w:val="000000" w:themeColor="text1"/>
          <w:sz w:val="22"/>
        </w:rPr>
        <w:t>Para desarrollar los problemas planteados se explicará cómo el SECOP es la plataforma que las entidades deben utilizar para publicar la actividad contractual, para luego determinar los documentos contractuales que deben publicar las empresas de la naturaleza indicada en la petición, y por último, indicar el momento de su publicación. Finalmente, se informará al peticionario sobre la utilización de la plataforma electrónica SECOP.</w:t>
      </w:r>
    </w:p>
    <w:p w14:paraId="6B90141C" w14:textId="77777777" w:rsidR="001C2262" w:rsidRPr="00750137" w:rsidRDefault="001C2262" w:rsidP="00D70422">
      <w:pPr>
        <w:spacing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 </w:t>
      </w:r>
    </w:p>
    <w:p w14:paraId="3C457713" w14:textId="0A66F8A5" w:rsidR="001C2262" w:rsidRPr="00750137" w:rsidRDefault="001C2262" w:rsidP="008C11D5">
      <w:pPr>
        <w:tabs>
          <w:tab w:val="left" w:pos="426"/>
        </w:tabs>
        <w:spacing w:line="276" w:lineRule="auto"/>
        <w:jc w:val="both"/>
        <w:rPr>
          <w:rFonts w:ascii="Arial" w:eastAsia="Calibri" w:hAnsi="Arial" w:cs="Arial"/>
          <w:b/>
          <w:color w:val="000000" w:themeColor="text1"/>
          <w:sz w:val="22"/>
        </w:rPr>
      </w:pPr>
      <w:r w:rsidRPr="00750137">
        <w:rPr>
          <w:rFonts w:ascii="Arial" w:eastAsia="Calibri" w:hAnsi="Arial" w:cs="Arial"/>
          <w:b/>
          <w:color w:val="000000" w:themeColor="text1"/>
          <w:sz w:val="22"/>
        </w:rPr>
        <w:t>2.1. Publicidad de los contratos en el Sistema Electrónico de Contratación Pública –SECOP–</w:t>
      </w:r>
    </w:p>
    <w:p w14:paraId="4FF5E413" w14:textId="21F335E3" w:rsidR="001C2262" w:rsidRPr="00750137" w:rsidRDefault="008C11D5" w:rsidP="00D70422">
      <w:pPr>
        <w:spacing w:before="120" w:after="120" w:line="276" w:lineRule="auto"/>
        <w:jc w:val="both"/>
        <w:rPr>
          <w:rFonts w:ascii="Arial" w:hAnsi="Arial" w:cs="Arial"/>
          <w:color w:val="000000" w:themeColor="text1"/>
          <w:sz w:val="22"/>
        </w:rPr>
      </w:pPr>
      <w:r w:rsidRPr="00750137">
        <w:rPr>
          <w:rFonts w:ascii="Arial" w:eastAsia="Calibri" w:hAnsi="Arial" w:cs="Arial"/>
          <w:bCs/>
          <w:color w:val="000000" w:themeColor="text1"/>
          <w:sz w:val="22"/>
        </w:rPr>
        <w:t>La Ag</w:t>
      </w:r>
      <w:r w:rsidR="001C2262" w:rsidRPr="00750137">
        <w:rPr>
          <w:rFonts w:ascii="Arial" w:eastAsia="Calibri" w:hAnsi="Arial" w:cs="Arial"/>
          <w:bCs/>
          <w:color w:val="000000" w:themeColor="text1"/>
          <w:sz w:val="22"/>
        </w:rPr>
        <w:t xml:space="preserve">encia Nacional de Contratación Pública estudió por primera vez este tema en la consulta No. 4201913000005397 del 9 de agosto de 2019 y reiteró la posición en las siguientes consultas: 4201912000006611 del 25 de septiembre de 2019, </w:t>
      </w:r>
      <w:r w:rsidR="001C2262" w:rsidRPr="00750137">
        <w:rPr>
          <w:rFonts w:ascii="Arial" w:hAnsi="Arial" w:cs="Arial"/>
          <w:color w:val="000000" w:themeColor="text1"/>
          <w:sz w:val="22"/>
        </w:rPr>
        <w:t xml:space="preserve">4201913000006847 del 4 de octubre de 2019, </w:t>
      </w:r>
      <w:r w:rsidR="001C2262" w:rsidRPr="00750137">
        <w:rPr>
          <w:rFonts w:ascii="Arial" w:eastAsia="Calibri" w:hAnsi="Arial" w:cs="Arial"/>
          <w:bCs/>
          <w:color w:val="000000" w:themeColor="text1"/>
          <w:sz w:val="22"/>
        </w:rPr>
        <w:t>4201912000007762 del 18 de noviembre de 2019, y en la consulta 4201912000007828 del 13 de noviembre de 2019</w:t>
      </w:r>
      <w:r w:rsidR="001C2262" w:rsidRPr="00750137">
        <w:rPr>
          <w:rFonts w:ascii="Arial" w:hAnsi="Arial" w:cs="Arial"/>
          <w:color w:val="000000" w:themeColor="text1"/>
          <w:sz w:val="22"/>
        </w:rPr>
        <w:t xml:space="preserve">.Finalmente, en el Concepto CU ― 003 de 15 de enero 2020, unificó la tesis sobre el particular. </w:t>
      </w:r>
      <w:r w:rsidR="001C2262" w:rsidRPr="00750137">
        <w:rPr>
          <w:rFonts w:ascii="Arial" w:eastAsia="Calibri" w:hAnsi="Arial" w:cs="Arial"/>
          <w:color w:val="000000" w:themeColor="text1"/>
          <w:sz w:val="22"/>
        </w:rPr>
        <w:t>En esta sostuvo la idea que se reitera a continuación:</w:t>
      </w:r>
    </w:p>
    <w:p w14:paraId="273B9461" w14:textId="77777777" w:rsidR="001C2262" w:rsidRPr="00750137" w:rsidRDefault="001C2262" w:rsidP="007E2EE2">
      <w:pPr>
        <w:spacing w:line="276" w:lineRule="auto"/>
        <w:ind w:firstLine="708"/>
        <w:jc w:val="both"/>
        <w:rPr>
          <w:rFonts w:ascii="Arial" w:hAnsi="Arial" w:cs="Arial"/>
          <w:color w:val="000000" w:themeColor="text1"/>
          <w:sz w:val="22"/>
        </w:rPr>
      </w:pPr>
      <w:r w:rsidRPr="00750137">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w:t>
      </w:r>
      <w:r w:rsidRPr="00750137">
        <w:rPr>
          <w:rFonts w:ascii="Arial" w:hAnsi="Arial" w:cs="Arial"/>
          <w:color w:val="000000" w:themeColor="text1"/>
          <w:sz w:val="22"/>
        </w:rPr>
        <w:t xml:space="preserve">conocimiento tener la posibilidad de exigir que se surtan conforme a la ley: </w:t>
      </w:r>
    </w:p>
    <w:p w14:paraId="33B82129" w14:textId="77777777" w:rsidR="001C2262" w:rsidRPr="00750137" w:rsidRDefault="001C2262" w:rsidP="007E2EE2">
      <w:pPr>
        <w:ind w:firstLine="708"/>
        <w:jc w:val="both"/>
        <w:rPr>
          <w:rFonts w:ascii="Arial" w:hAnsi="Arial" w:cs="Arial"/>
          <w:color w:val="000000" w:themeColor="text1"/>
          <w:sz w:val="22"/>
        </w:rPr>
      </w:pPr>
    </w:p>
    <w:p w14:paraId="39DCE628" w14:textId="77777777" w:rsidR="001C2262" w:rsidRPr="00750137" w:rsidRDefault="001C2262" w:rsidP="007E2EE2">
      <w:pPr>
        <w:ind w:left="708"/>
        <w:jc w:val="both"/>
        <w:rPr>
          <w:rFonts w:ascii="Arial" w:hAnsi="Arial" w:cs="Arial"/>
          <w:color w:val="000000" w:themeColor="text1"/>
          <w:sz w:val="21"/>
          <w:szCs w:val="21"/>
        </w:rPr>
      </w:pPr>
      <w:r w:rsidRPr="00750137">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A765236" w14:textId="77777777" w:rsidR="001C2262" w:rsidRPr="00750137" w:rsidRDefault="001C2262" w:rsidP="007E2EE2">
      <w:pPr>
        <w:ind w:left="708"/>
        <w:jc w:val="both"/>
        <w:rPr>
          <w:rFonts w:ascii="Arial" w:hAnsi="Arial" w:cs="Arial"/>
          <w:color w:val="000000" w:themeColor="text1"/>
          <w:sz w:val="21"/>
          <w:szCs w:val="21"/>
        </w:rPr>
      </w:pPr>
      <w:r w:rsidRPr="00750137">
        <w:rPr>
          <w:rFonts w:ascii="Arial" w:hAnsi="Arial" w:cs="Arial"/>
          <w:color w:val="000000" w:themeColor="text1"/>
          <w:sz w:val="21"/>
          <w:szCs w:val="21"/>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750137">
        <w:rPr>
          <w:rStyle w:val="Refdenotaalpie"/>
          <w:rFonts w:ascii="Arial" w:hAnsi="Arial" w:cs="Arial"/>
          <w:color w:val="000000" w:themeColor="text1"/>
          <w:sz w:val="21"/>
          <w:szCs w:val="21"/>
        </w:rPr>
        <w:footnoteReference w:id="2"/>
      </w:r>
      <w:r w:rsidRPr="00750137">
        <w:rPr>
          <w:rFonts w:ascii="Arial" w:hAnsi="Arial" w:cs="Arial"/>
          <w:color w:val="000000" w:themeColor="text1"/>
          <w:sz w:val="21"/>
          <w:szCs w:val="21"/>
        </w:rPr>
        <w:t>.</w:t>
      </w:r>
    </w:p>
    <w:p w14:paraId="4BD33CEE" w14:textId="77777777" w:rsidR="007E2EE2" w:rsidRPr="00750137" w:rsidRDefault="007E2EE2" w:rsidP="007E2EE2">
      <w:pPr>
        <w:ind w:firstLine="708"/>
        <w:jc w:val="both"/>
        <w:rPr>
          <w:rFonts w:ascii="Arial" w:hAnsi="Arial" w:cs="Arial"/>
          <w:color w:val="000000" w:themeColor="text1"/>
          <w:sz w:val="21"/>
          <w:szCs w:val="21"/>
        </w:rPr>
      </w:pPr>
    </w:p>
    <w:p w14:paraId="3242CBE0" w14:textId="77777777" w:rsidR="001C2262" w:rsidRPr="00750137" w:rsidRDefault="001C2262" w:rsidP="00D70422">
      <w:pPr>
        <w:spacing w:line="276" w:lineRule="auto"/>
        <w:ind w:firstLine="708"/>
        <w:jc w:val="both"/>
        <w:rPr>
          <w:rFonts w:ascii="Arial" w:eastAsia="Calibri" w:hAnsi="Arial" w:cs="Arial"/>
          <w:color w:val="000000" w:themeColor="text1"/>
          <w:sz w:val="22"/>
        </w:rPr>
      </w:pPr>
      <w:r w:rsidRPr="00750137">
        <w:rPr>
          <w:rFonts w:ascii="Arial" w:hAnsi="Arial" w:cs="Arial"/>
          <w:color w:val="000000" w:themeColor="text1"/>
          <w:sz w:val="22"/>
        </w:rPr>
        <w:t>El principio de publicidad impone a las autoridades administrativas el deber de dar</w:t>
      </w:r>
      <w:r w:rsidRPr="00750137">
        <w:rPr>
          <w:rFonts w:ascii="Arial" w:eastAsia="Calibri" w:hAnsi="Arial" w:cs="Arial"/>
          <w:color w:val="000000" w:themeColor="text1"/>
          <w:sz w:val="22"/>
        </w:rPr>
        <w:t xml:space="preserve"> a conocer sus actos, contratos y decisiones, para que se divulguen y eventualmente se controlen las actuaciones. </w:t>
      </w:r>
    </w:p>
    <w:p w14:paraId="47942CE9" w14:textId="77777777" w:rsidR="001C2262" w:rsidRPr="00750137" w:rsidRDefault="001C2262" w:rsidP="00D7042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lastRenderedPageBreak/>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750137">
        <w:rPr>
          <w:rFonts w:ascii="Arial" w:eastAsia="Calibri" w:hAnsi="Arial" w:cs="Arial"/>
          <w:color w:val="000000" w:themeColor="text1"/>
          <w:sz w:val="22"/>
          <w:vertAlign w:val="superscript"/>
        </w:rPr>
        <w:footnoteReference w:id="3"/>
      </w:r>
      <w:r w:rsidRPr="00750137">
        <w:rPr>
          <w:rFonts w:ascii="Arial" w:eastAsia="Calibri" w:hAnsi="Arial" w:cs="Arial"/>
          <w:color w:val="000000" w:themeColor="text1"/>
          <w:sz w:val="22"/>
        </w:rPr>
        <w:t xml:space="preserve">. </w:t>
      </w:r>
    </w:p>
    <w:p w14:paraId="1A8BCD00" w14:textId="77777777" w:rsidR="001C2262" w:rsidRPr="00750137" w:rsidRDefault="001C2262" w:rsidP="00D70422">
      <w:pPr>
        <w:spacing w:before="120" w:after="120" w:line="276" w:lineRule="auto"/>
        <w:ind w:firstLine="709"/>
        <w:jc w:val="both"/>
        <w:rPr>
          <w:rFonts w:ascii="Arial" w:eastAsia="Calibri" w:hAnsi="Arial" w:cs="Arial"/>
          <w:color w:val="000000" w:themeColor="text1"/>
          <w:sz w:val="22"/>
        </w:rPr>
      </w:pPr>
      <w:r w:rsidRPr="00750137">
        <w:rPr>
          <w:rFonts w:ascii="Arial" w:hAnsi="Arial" w:cs="Arial"/>
          <w:color w:val="000000" w:themeColor="text1"/>
          <w:sz w:val="22"/>
        </w:rPr>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750137">
        <w:rPr>
          <w:rFonts w:ascii="Arial" w:hAnsi="Arial" w:cs="Arial"/>
          <w:color w:val="000000" w:themeColor="text1"/>
          <w:sz w:val="22"/>
          <w:vertAlign w:val="superscript"/>
        </w:rPr>
        <w:footnoteReference w:id="4"/>
      </w:r>
      <w:r w:rsidRPr="00750137">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31D4DF9" w14:textId="487973C0" w:rsidR="001C2262" w:rsidRPr="00750137" w:rsidRDefault="001C2262" w:rsidP="00D70422">
      <w:pPr>
        <w:spacing w:before="120" w:after="120" w:line="276" w:lineRule="auto"/>
        <w:ind w:firstLine="709"/>
        <w:jc w:val="both"/>
        <w:rPr>
          <w:rFonts w:ascii="Arial" w:hAnsi="Arial" w:cs="Arial"/>
          <w:color w:val="000000" w:themeColor="text1"/>
          <w:sz w:val="22"/>
        </w:rPr>
      </w:pPr>
      <w:r w:rsidRPr="00750137">
        <w:rPr>
          <w:rFonts w:ascii="Arial" w:hAnsi="Arial" w:cs="Arial"/>
          <w:color w:val="000000" w:themeColor="text1"/>
          <w:sz w:val="22"/>
        </w:rPr>
        <w:t>La ley citada establece, en el literal e) del artículo 9, que los sujetos obligados, que son todas las entidades públicas</w:t>
      </w:r>
      <w:r w:rsidRPr="00750137">
        <w:rPr>
          <w:rFonts w:ascii="Arial" w:hAnsi="Arial" w:cs="Arial"/>
          <w:color w:val="000000" w:themeColor="text1"/>
          <w:sz w:val="22"/>
          <w:vertAlign w:val="superscript"/>
        </w:rPr>
        <w:footnoteReference w:id="5"/>
      </w:r>
      <w:r w:rsidRPr="00750137">
        <w:rPr>
          <w:rFonts w:ascii="Arial" w:hAnsi="Arial" w:cs="Arial"/>
          <w:color w:val="000000" w:themeColor="text1"/>
          <w:sz w:val="22"/>
        </w:rPr>
        <w:t>, deben publicar la información relativa a su contratación. Esta obligación fue desarrollada por el Decreto Único Reglamentario 1081 de 2015</w:t>
      </w:r>
      <w:r w:rsidRPr="00750137">
        <w:rPr>
          <w:rFonts w:ascii="Arial" w:hAnsi="Arial" w:cs="Arial"/>
          <w:color w:val="000000" w:themeColor="text1"/>
          <w:sz w:val="22"/>
          <w:vertAlign w:val="superscript"/>
        </w:rPr>
        <w:footnoteReference w:id="6"/>
      </w:r>
      <w:r w:rsidRPr="00750137">
        <w:rPr>
          <w:rFonts w:ascii="Arial" w:hAnsi="Arial" w:cs="Arial"/>
          <w:color w:val="000000" w:themeColor="text1"/>
          <w:sz w:val="22"/>
        </w:rPr>
        <w:t xml:space="preserve">, el cual </w:t>
      </w:r>
      <w:r w:rsidRPr="00750137">
        <w:rPr>
          <w:rFonts w:ascii="Arial" w:hAnsi="Arial" w:cs="Arial"/>
          <w:color w:val="000000" w:themeColor="text1"/>
          <w:sz w:val="22"/>
        </w:rPr>
        <w:lastRenderedPageBreak/>
        <w:t>dispuso que la publicación de la información contractual de los sujetos obligados, que contratan con cargo a recursos públicos, debe hacerse en el Sistema Electrónico de Contratación Pública ─ SECOP.</w:t>
      </w:r>
    </w:p>
    <w:p w14:paraId="26452FE3" w14:textId="77777777" w:rsidR="001C2262" w:rsidRPr="00750137" w:rsidRDefault="001C2262" w:rsidP="00D70422">
      <w:pPr>
        <w:spacing w:before="120" w:after="120" w:line="276" w:lineRule="auto"/>
        <w:ind w:firstLine="709"/>
        <w:jc w:val="both"/>
        <w:rPr>
          <w:rFonts w:ascii="Arial" w:hAnsi="Arial" w:cs="Arial"/>
          <w:color w:val="000000" w:themeColor="text1"/>
          <w:sz w:val="22"/>
          <w:lang w:val="es-ES"/>
        </w:rPr>
      </w:pPr>
      <w:r w:rsidRPr="00750137">
        <w:rPr>
          <w:rFonts w:ascii="Arial" w:hAnsi="Arial" w:cs="Arial"/>
          <w:color w:val="000000" w:themeColor="text1"/>
          <w:sz w:val="22"/>
        </w:rPr>
        <w:t xml:space="preserve">Asimismo, de </w:t>
      </w:r>
      <w:r w:rsidRPr="00750137">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474AE4F1" w14:textId="77777777" w:rsidR="001C2262" w:rsidRPr="00750137" w:rsidRDefault="001C2262" w:rsidP="00D7042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750137">
        <w:rPr>
          <w:rFonts w:ascii="Arial" w:eastAsia="Calibri" w:hAnsi="Arial" w:cs="Arial"/>
          <w:color w:val="000000" w:themeColor="text1"/>
          <w:sz w:val="22"/>
          <w:vertAlign w:val="superscript"/>
        </w:rPr>
        <w:footnoteReference w:id="7"/>
      </w:r>
      <w:r w:rsidRPr="00750137">
        <w:rPr>
          <w:rFonts w:ascii="Arial" w:eastAsia="Calibri" w:hAnsi="Arial" w:cs="Arial"/>
          <w:color w:val="000000" w:themeColor="text1"/>
          <w:sz w:val="22"/>
        </w:rPr>
        <w:t>.</w:t>
      </w:r>
    </w:p>
    <w:p w14:paraId="1F3DC459" w14:textId="77777777" w:rsidR="001C2262" w:rsidRPr="00750137" w:rsidRDefault="001C2262" w:rsidP="00D70422">
      <w:pPr>
        <w:spacing w:before="120" w:after="120" w:line="276" w:lineRule="auto"/>
        <w:ind w:firstLine="709"/>
        <w:jc w:val="both"/>
        <w:rPr>
          <w:rFonts w:ascii="Arial" w:hAnsi="Arial" w:cs="Arial"/>
          <w:color w:val="000000" w:themeColor="text1"/>
          <w:sz w:val="22"/>
          <w:lang w:val="es-ES"/>
        </w:rPr>
      </w:pPr>
      <w:r w:rsidRPr="00750137">
        <w:rPr>
          <w:rFonts w:ascii="Arial" w:hAnsi="Arial" w:cs="Arial"/>
          <w:color w:val="000000" w:themeColor="text1"/>
          <w:sz w:val="22"/>
          <w:lang w:val="es-ES"/>
        </w:rPr>
        <w:t>Para el año 2013, la Agencia Nacional de Contratación Pública ─ Colombia Compra Eficiente, mediante la mediante la Circular Externa No 1 del</w:t>
      </w:r>
      <w:r w:rsidRPr="00750137">
        <w:rPr>
          <w:rFonts w:ascii="Arial" w:hAnsi="Arial" w:cs="Arial"/>
          <w:color w:val="000000" w:themeColor="text1"/>
          <w:sz w:val="22"/>
        </w:rPr>
        <w:t xml:space="preserve"> </w:t>
      </w:r>
      <w:r w:rsidRPr="00750137">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750137">
        <w:rPr>
          <w:rFonts w:ascii="Arial" w:hAnsi="Arial" w:cs="Arial"/>
          <w:color w:val="000000" w:themeColor="text1"/>
          <w:sz w:val="22"/>
          <w:vertAlign w:val="superscript"/>
          <w:lang w:val="es-ES"/>
        </w:rPr>
        <w:footnoteReference w:id="8"/>
      </w:r>
      <w:r w:rsidRPr="00750137">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1FA25929" w14:textId="77777777" w:rsidR="001C2262" w:rsidRPr="00750137" w:rsidRDefault="001C2262" w:rsidP="007E2EE2">
      <w:pPr>
        <w:spacing w:line="276" w:lineRule="auto"/>
        <w:ind w:firstLine="709"/>
        <w:jc w:val="both"/>
        <w:rPr>
          <w:rFonts w:ascii="Arial" w:hAnsi="Arial" w:cs="Arial"/>
          <w:color w:val="000000" w:themeColor="text1"/>
          <w:sz w:val="22"/>
          <w:lang w:val="es-ES"/>
        </w:rPr>
      </w:pPr>
      <w:r w:rsidRPr="00750137">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324330AB" w14:textId="77777777" w:rsidR="001C2262" w:rsidRPr="00750137" w:rsidRDefault="001C2262" w:rsidP="007E2EE2">
      <w:pPr>
        <w:ind w:firstLine="709"/>
        <w:jc w:val="both"/>
        <w:rPr>
          <w:rFonts w:ascii="Arial" w:hAnsi="Arial" w:cs="Arial"/>
          <w:color w:val="000000" w:themeColor="text1"/>
          <w:sz w:val="22"/>
          <w:lang w:val="es-ES"/>
        </w:rPr>
      </w:pPr>
    </w:p>
    <w:p w14:paraId="56AEE17E" w14:textId="77777777" w:rsidR="001C2262" w:rsidRPr="00750137" w:rsidRDefault="001C2262" w:rsidP="007E2EE2">
      <w:pPr>
        <w:tabs>
          <w:tab w:val="left" w:pos="3885"/>
        </w:tabs>
        <w:ind w:left="709" w:right="709"/>
        <w:jc w:val="both"/>
        <w:rPr>
          <w:rFonts w:ascii="Arial" w:hAnsi="Arial" w:cs="Arial"/>
          <w:color w:val="000000" w:themeColor="text1"/>
          <w:sz w:val="21"/>
          <w:szCs w:val="21"/>
          <w:lang w:val="es-ES"/>
        </w:rPr>
      </w:pPr>
      <w:r w:rsidRPr="00750137">
        <w:rPr>
          <w:rFonts w:ascii="Arial" w:hAnsi="Arial" w:cs="Arial"/>
          <w:color w:val="000000" w:themeColor="text1"/>
          <w:sz w:val="21"/>
          <w:szCs w:val="21"/>
          <w:lang w:val="es-ES"/>
        </w:rPr>
        <w:lastRenderedPageBreak/>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0E0D82A8" w14:textId="77777777" w:rsidR="001C2262" w:rsidRPr="00750137" w:rsidRDefault="001C2262" w:rsidP="007E2EE2">
      <w:pPr>
        <w:tabs>
          <w:tab w:val="left" w:pos="3885"/>
        </w:tabs>
        <w:ind w:left="709" w:right="709"/>
        <w:jc w:val="both"/>
        <w:rPr>
          <w:rFonts w:ascii="Arial" w:hAnsi="Arial" w:cs="Arial"/>
          <w:color w:val="000000" w:themeColor="text1"/>
          <w:sz w:val="21"/>
          <w:szCs w:val="21"/>
          <w:lang w:val="es-ES"/>
        </w:rPr>
      </w:pPr>
    </w:p>
    <w:p w14:paraId="375A1F61" w14:textId="77777777" w:rsidR="001C2262" w:rsidRPr="00750137" w:rsidRDefault="001C2262" w:rsidP="007E2EE2">
      <w:pPr>
        <w:tabs>
          <w:tab w:val="left" w:pos="3885"/>
        </w:tabs>
        <w:ind w:left="709" w:right="709"/>
        <w:jc w:val="both"/>
        <w:rPr>
          <w:rFonts w:ascii="Arial" w:hAnsi="Arial" w:cs="Arial"/>
          <w:color w:val="000000" w:themeColor="text1"/>
          <w:sz w:val="21"/>
          <w:szCs w:val="21"/>
          <w:lang w:val="es-ES"/>
        </w:rPr>
      </w:pPr>
      <w:r w:rsidRPr="00750137">
        <w:rPr>
          <w:rFonts w:ascii="Arial" w:hAnsi="Arial" w:cs="Arial"/>
          <w:color w:val="000000" w:themeColor="text1"/>
          <w:sz w:val="21"/>
          <w:szCs w:val="21"/>
          <w:lang w:val="es-ES"/>
        </w:rPr>
        <w:t>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1772967F" w14:textId="77777777" w:rsidR="001C2262" w:rsidRPr="00750137" w:rsidRDefault="001C2262" w:rsidP="007E2EE2">
      <w:pPr>
        <w:tabs>
          <w:tab w:val="left" w:pos="3885"/>
        </w:tabs>
        <w:ind w:left="709" w:right="709"/>
        <w:jc w:val="both"/>
        <w:rPr>
          <w:rFonts w:ascii="Arial" w:hAnsi="Arial" w:cs="Arial"/>
          <w:color w:val="000000" w:themeColor="text1"/>
          <w:sz w:val="21"/>
          <w:szCs w:val="21"/>
          <w:lang w:val="es-ES"/>
        </w:rPr>
      </w:pPr>
      <w:r w:rsidRPr="00750137">
        <w:rPr>
          <w:rFonts w:ascii="Arial" w:hAnsi="Arial" w:cs="Arial"/>
          <w:color w:val="000000" w:themeColor="text1"/>
          <w:sz w:val="21"/>
          <w:szCs w:val="21"/>
          <w:lang w:val="es-ES"/>
        </w:rPr>
        <w:t>[…]</w:t>
      </w:r>
    </w:p>
    <w:p w14:paraId="220439D7" w14:textId="77777777" w:rsidR="001C2262" w:rsidRPr="00750137" w:rsidRDefault="001C2262" w:rsidP="007E2EE2">
      <w:pPr>
        <w:tabs>
          <w:tab w:val="left" w:pos="3885"/>
        </w:tabs>
        <w:ind w:left="709" w:right="709"/>
        <w:jc w:val="both"/>
        <w:rPr>
          <w:rFonts w:ascii="Arial" w:hAnsi="Arial" w:cs="Arial"/>
          <w:color w:val="000000" w:themeColor="text1"/>
          <w:sz w:val="21"/>
          <w:szCs w:val="21"/>
          <w:lang w:val="es-ES"/>
        </w:rPr>
      </w:pPr>
    </w:p>
    <w:p w14:paraId="172BAD52" w14:textId="77777777" w:rsidR="001C2262" w:rsidRPr="00750137" w:rsidRDefault="001C2262" w:rsidP="007E2EE2">
      <w:pPr>
        <w:tabs>
          <w:tab w:val="left" w:pos="3885"/>
        </w:tabs>
        <w:ind w:left="709" w:right="709"/>
        <w:jc w:val="both"/>
        <w:rPr>
          <w:rFonts w:ascii="Arial" w:hAnsi="Arial" w:cs="Arial"/>
          <w:color w:val="000000" w:themeColor="text1"/>
          <w:sz w:val="21"/>
          <w:szCs w:val="21"/>
          <w:lang w:val="es-ES"/>
        </w:rPr>
      </w:pPr>
      <w:r w:rsidRPr="00750137">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750137">
        <w:rPr>
          <w:rFonts w:ascii="Arial" w:hAnsi="Arial" w:cs="Arial"/>
          <w:color w:val="000000" w:themeColor="text1"/>
          <w:sz w:val="21"/>
          <w:szCs w:val="21"/>
          <w:vertAlign w:val="superscript"/>
        </w:rPr>
        <w:footnoteReference w:id="9"/>
      </w:r>
      <w:r w:rsidRPr="00750137">
        <w:rPr>
          <w:rFonts w:ascii="Arial" w:hAnsi="Arial" w:cs="Arial"/>
          <w:color w:val="000000" w:themeColor="text1"/>
          <w:sz w:val="21"/>
          <w:szCs w:val="21"/>
          <w:lang w:val="es-ES"/>
        </w:rPr>
        <w:t>.</w:t>
      </w:r>
    </w:p>
    <w:p w14:paraId="01A4EFD2" w14:textId="77777777" w:rsidR="001C2262" w:rsidRPr="00750137" w:rsidRDefault="001C2262" w:rsidP="007E2EE2">
      <w:pPr>
        <w:tabs>
          <w:tab w:val="left" w:pos="3885"/>
        </w:tabs>
        <w:spacing w:line="276" w:lineRule="auto"/>
        <w:ind w:left="709" w:right="709"/>
        <w:jc w:val="both"/>
        <w:rPr>
          <w:rFonts w:ascii="Arial" w:hAnsi="Arial" w:cs="Arial"/>
          <w:color w:val="000000" w:themeColor="text1"/>
          <w:sz w:val="21"/>
          <w:szCs w:val="21"/>
          <w:lang w:val="es-ES"/>
        </w:rPr>
      </w:pPr>
    </w:p>
    <w:p w14:paraId="2F90F447" w14:textId="77777777" w:rsidR="001C2262" w:rsidRPr="00750137" w:rsidRDefault="001C2262" w:rsidP="007E2EE2">
      <w:pPr>
        <w:spacing w:line="276" w:lineRule="auto"/>
        <w:ind w:firstLine="708"/>
        <w:jc w:val="both"/>
        <w:rPr>
          <w:rFonts w:ascii="Arial" w:hAnsi="Arial" w:cs="Arial"/>
          <w:color w:val="000000" w:themeColor="text1"/>
          <w:sz w:val="22"/>
          <w:lang w:val="es-ES"/>
        </w:rPr>
      </w:pPr>
      <w:r w:rsidRPr="00750137">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66F808FB" w14:textId="77777777" w:rsidR="001C2262" w:rsidRPr="00750137" w:rsidRDefault="001C2262" w:rsidP="001C2262">
      <w:pPr>
        <w:ind w:firstLine="708"/>
        <w:jc w:val="both"/>
        <w:rPr>
          <w:rFonts w:ascii="Arial" w:hAnsi="Arial" w:cs="Arial"/>
          <w:color w:val="000000" w:themeColor="text1"/>
          <w:sz w:val="21"/>
          <w:szCs w:val="21"/>
          <w:lang w:val="es-ES"/>
        </w:rPr>
      </w:pPr>
    </w:p>
    <w:p w14:paraId="547D6B92" w14:textId="77777777" w:rsidR="001C2262" w:rsidRPr="00750137" w:rsidRDefault="001C2262" w:rsidP="001C2262">
      <w:pPr>
        <w:ind w:leftChars="295" w:left="708" w:right="709"/>
        <w:jc w:val="both"/>
        <w:rPr>
          <w:rFonts w:ascii="Arial" w:hAnsi="Arial" w:cs="Arial"/>
          <w:color w:val="000000" w:themeColor="text1"/>
          <w:sz w:val="21"/>
          <w:szCs w:val="21"/>
          <w:lang w:val="es-ES"/>
        </w:rPr>
      </w:pPr>
      <w:r w:rsidRPr="00750137">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6A94B53A" w14:textId="77777777" w:rsidR="001C2262" w:rsidRPr="00750137" w:rsidRDefault="001C2262" w:rsidP="001C2262">
      <w:pPr>
        <w:ind w:leftChars="295" w:left="708" w:right="709"/>
        <w:jc w:val="both"/>
        <w:rPr>
          <w:rFonts w:ascii="Arial" w:hAnsi="Arial" w:cs="Arial"/>
          <w:color w:val="000000" w:themeColor="text1"/>
          <w:sz w:val="21"/>
          <w:szCs w:val="21"/>
          <w:lang w:val="es-ES"/>
        </w:rPr>
      </w:pPr>
    </w:p>
    <w:p w14:paraId="286075A1" w14:textId="423FFD6F" w:rsidR="001C2262" w:rsidRPr="00750137" w:rsidRDefault="001C2262" w:rsidP="003C7C85">
      <w:pPr>
        <w:spacing w:before="120" w:after="120" w:line="276" w:lineRule="auto"/>
        <w:ind w:firstLine="709"/>
        <w:jc w:val="both"/>
        <w:rPr>
          <w:rFonts w:ascii="Arial" w:hAnsi="Arial" w:cs="Arial"/>
          <w:color w:val="000000" w:themeColor="text1"/>
          <w:sz w:val="22"/>
          <w:lang w:val="es-ES"/>
        </w:rPr>
      </w:pPr>
      <w:r w:rsidRPr="00750137">
        <w:rPr>
          <w:rFonts w:ascii="Arial" w:hAnsi="Arial" w:cs="Arial"/>
          <w:color w:val="000000" w:themeColor="text1"/>
          <w:sz w:val="22"/>
          <w:lang w:val="es-ES"/>
        </w:rPr>
        <w:lastRenderedPageBreak/>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178D5F02" w14:textId="77777777" w:rsidR="001C2262" w:rsidRPr="00750137" w:rsidRDefault="001C2262" w:rsidP="001C2262">
      <w:pPr>
        <w:spacing w:line="276" w:lineRule="auto"/>
        <w:ind w:firstLine="709"/>
        <w:jc w:val="both"/>
        <w:rPr>
          <w:rFonts w:ascii="Arial" w:hAnsi="Arial" w:cs="Arial"/>
          <w:color w:val="000000" w:themeColor="text1"/>
          <w:sz w:val="22"/>
          <w:lang w:val="es-ES"/>
        </w:rPr>
      </w:pPr>
      <w:r w:rsidRPr="00750137">
        <w:rPr>
          <w:rFonts w:ascii="Arial" w:hAnsi="Arial" w:cs="Arial"/>
          <w:color w:val="000000" w:themeColor="text1"/>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32911B1F" w14:textId="77777777" w:rsidR="00FC27EA" w:rsidRPr="00750137" w:rsidRDefault="00FC27EA" w:rsidP="00FC27EA">
      <w:pPr>
        <w:spacing w:line="276" w:lineRule="auto"/>
        <w:ind w:firstLine="709"/>
        <w:jc w:val="both"/>
        <w:rPr>
          <w:rFonts w:ascii="Arial" w:eastAsia="Calibri" w:hAnsi="Arial" w:cs="Arial"/>
          <w:color w:val="000000" w:themeColor="text1"/>
          <w:sz w:val="22"/>
          <w:lang w:val="es-ES"/>
        </w:rPr>
      </w:pPr>
    </w:p>
    <w:p w14:paraId="1BAB0B29" w14:textId="4BDFE21A" w:rsidR="001C2262" w:rsidRPr="00750137" w:rsidRDefault="001C2262" w:rsidP="00FC27EA">
      <w:pPr>
        <w:tabs>
          <w:tab w:val="left" w:pos="284"/>
          <w:tab w:val="left" w:pos="426"/>
        </w:tabs>
        <w:spacing w:line="276" w:lineRule="auto"/>
        <w:jc w:val="both"/>
        <w:rPr>
          <w:rFonts w:ascii="Arial" w:hAnsi="Arial" w:cs="Arial"/>
          <w:b/>
          <w:color w:val="000000" w:themeColor="text1"/>
          <w:sz w:val="22"/>
          <w:lang w:val="es-ES"/>
        </w:rPr>
      </w:pPr>
      <w:r w:rsidRPr="00750137">
        <w:rPr>
          <w:rFonts w:ascii="Arial" w:hAnsi="Arial" w:cs="Arial"/>
          <w:b/>
          <w:color w:val="000000" w:themeColor="text1"/>
          <w:sz w:val="22"/>
          <w:lang w:val="es-ES"/>
        </w:rPr>
        <w:t xml:space="preserve">2.2. </w:t>
      </w:r>
      <w:r w:rsidR="007E2EE2" w:rsidRPr="00750137">
        <w:rPr>
          <w:rFonts w:ascii="Arial" w:hAnsi="Arial" w:cs="Arial"/>
          <w:b/>
          <w:color w:val="000000" w:themeColor="text1"/>
          <w:sz w:val="22"/>
          <w:lang w:val="es-ES"/>
        </w:rPr>
        <w:t>Documentos</w:t>
      </w:r>
      <w:r w:rsidRPr="00750137">
        <w:rPr>
          <w:rFonts w:ascii="Arial" w:hAnsi="Arial" w:cs="Arial"/>
          <w:b/>
          <w:color w:val="000000" w:themeColor="text1"/>
          <w:sz w:val="22"/>
          <w:lang w:val="es-ES"/>
        </w:rPr>
        <w:t xml:space="preserve"> que publican las entidades de régimen especial </w:t>
      </w:r>
      <w:r w:rsidR="007E2EE2" w:rsidRPr="00750137">
        <w:rPr>
          <w:rFonts w:ascii="Arial" w:hAnsi="Arial" w:cs="Arial"/>
          <w:b/>
          <w:color w:val="000000" w:themeColor="text1"/>
          <w:sz w:val="22"/>
          <w:lang w:val="es-ES"/>
        </w:rPr>
        <w:t>en el SECOP y término para hacerlo</w:t>
      </w:r>
    </w:p>
    <w:p w14:paraId="0BD7D799" w14:textId="77777777" w:rsidR="001C2262" w:rsidRPr="00750137" w:rsidRDefault="001C2262" w:rsidP="00FC27EA">
      <w:pPr>
        <w:tabs>
          <w:tab w:val="left" w:pos="284"/>
          <w:tab w:val="left" w:pos="426"/>
        </w:tabs>
        <w:spacing w:line="276" w:lineRule="auto"/>
        <w:ind w:left="142"/>
        <w:jc w:val="both"/>
        <w:rPr>
          <w:rFonts w:ascii="Arial" w:hAnsi="Arial" w:cs="Arial"/>
          <w:b/>
          <w:color w:val="000000" w:themeColor="text1"/>
          <w:sz w:val="22"/>
          <w:lang w:val="es-ES"/>
        </w:rPr>
      </w:pPr>
    </w:p>
    <w:p w14:paraId="7276C8CB" w14:textId="77777777" w:rsidR="001C2262" w:rsidRPr="00750137" w:rsidRDefault="001C2262" w:rsidP="00FC27EA">
      <w:pPr>
        <w:spacing w:line="276" w:lineRule="auto"/>
        <w:jc w:val="both"/>
        <w:rPr>
          <w:rFonts w:ascii="Arial" w:eastAsia="Calibri" w:hAnsi="Arial" w:cs="Arial"/>
          <w:color w:val="000000" w:themeColor="text1"/>
          <w:sz w:val="22"/>
          <w:lang w:val="es-ES"/>
        </w:rPr>
      </w:pPr>
      <w:r w:rsidRPr="00750137">
        <w:rPr>
          <w:rFonts w:ascii="Arial" w:eastAsia="Calibri" w:hAnsi="Arial" w:cs="Arial"/>
          <w:color w:val="000000" w:themeColor="text1"/>
          <w:sz w:val="22"/>
          <w:lang w:val="es-ES"/>
        </w:rPr>
        <w:t>Determinada la obligación que tienen las entidades sujetas a un régimen especial de publicar su actividad contractual en el SECOP, a continuación se identificarán los documentos que deben publicar, n</w:t>
      </w:r>
      <w:r w:rsidRPr="00750137">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52020723" w14:textId="77777777" w:rsidR="001C2262" w:rsidRPr="00750137" w:rsidRDefault="001C2262" w:rsidP="001C2262">
      <w:pPr>
        <w:spacing w:line="276" w:lineRule="auto"/>
        <w:ind w:firstLine="708"/>
        <w:jc w:val="both"/>
        <w:rPr>
          <w:rFonts w:ascii="Arial" w:eastAsia="Calibri" w:hAnsi="Arial" w:cs="Arial"/>
          <w:color w:val="000000" w:themeColor="text1"/>
          <w:sz w:val="22"/>
          <w:lang w:val="es-ES"/>
        </w:rPr>
      </w:pPr>
      <w:r w:rsidRPr="00750137">
        <w:rPr>
          <w:rFonts w:ascii="Arial" w:hAnsi="Arial" w:cs="Arial"/>
          <w:bCs/>
          <w:color w:val="000000" w:themeColor="text1"/>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750137">
        <w:rPr>
          <w:rFonts w:ascii="Arial" w:hAnsi="Arial" w:cs="Arial"/>
          <w:bCs/>
          <w:color w:val="000000" w:themeColor="text1"/>
          <w:sz w:val="22"/>
          <w:vertAlign w:val="superscript"/>
          <w:lang w:val="es-ES"/>
        </w:rPr>
        <w:footnoteReference w:id="10"/>
      </w:r>
      <w:r w:rsidRPr="00750137">
        <w:rPr>
          <w:rFonts w:ascii="Arial" w:hAnsi="Arial" w:cs="Arial"/>
          <w:bCs/>
          <w:color w:val="000000" w:themeColor="text1"/>
          <w:sz w:val="22"/>
          <w:lang w:val="es-ES"/>
        </w:rPr>
        <w:t>.</w:t>
      </w:r>
    </w:p>
    <w:p w14:paraId="32D89911"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lang w:val="es-ES"/>
        </w:rPr>
      </w:pPr>
      <w:r w:rsidRPr="00750137">
        <w:rPr>
          <w:rFonts w:ascii="Arial" w:hAnsi="Arial" w:cs="Arial"/>
          <w:color w:val="000000" w:themeColor="text1"/>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w:t>
      </w:r>
      <w:r w:rsidRPr="00750137">
        <w:rPr>
          <w:rFonts w:ascii="Arial" w:hAnsi="Arial" w:cs="Arial"/>
          <w:color w:val="000000" w:themeColor="text1"/>
          <w:sz w:val="22"/>
          <w:lang w:val="es-ES"/>
        </w:rPr>
        <w:lastRenderedPageBreak/>
        <w:t xml:space="preserve">las entidades que se rigen por la Ley 80 de 1993, se enunciaron los </w:t>
      </w:r>
      <w:r w:rsidRPr="00750137">
        <w:rPr>
          <w:rFonts w:ascii="Arial" w:eastAsia="Calibri" w:hAnsi="Arial" w:cs="Arial"/>
          <w:color w:val="000000" w:themeColor="text1"/>
          <w:sz w:val="22"/>
          <w:lang w:val="es-ES"/>
        </w:rPr>
        <w:t xml:space="preserve">documentos del proceso que se debían publicar. </w:t>
      </w:r>
    </w:p>
    <w:p w14:paraId="3A74E25D"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lang w:val="es-ES"/>
        </w:rPr>
      </w:pPr>
      <w:r w:rsidRPr="00750137">
        <w:rPr>
          <w:rFonts w:ascii="Arial" w:eastAsia="Calibri" w:hAnsi="Arial" w:cs="Arial"/>
          <w:color w:val="000000" w:themeColor="text1"/>
          <w:sz w:val="22"/>
          <w:lang w:val="es-ES"/>
        </w:rPr>
        <w:t>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especial para la adquisición de un bien o servicio, y no los que define el artículo 2.2.1.1.1.3.1 del Decreto 1082 de 2015</w:t>
      </w:r>
      <w:r w:rsidRPr="00750137">
        <w:rPr>
          <w:rFonts w:ascii="Arial" w:eastAsia="Calibri" w:hAnsi="Arial" w:cs="Arial"/>
          <w:color w:val="000000" w:themeColor="text1"/>
          <w:sz w:val="22"/>
          <w:vertAlign w:val="superscript"/>
          <w:lang w:val="es-ES"/>
        </w:rPr>
        <w:footnoteReference w:id="11"/>
      </w:r>
      <w:r w:rsidRPr="00750137">
        <w:rPr>
          <w:rFonts w:ascii="Arial" w:eastAsia="Calibri" w:hAnsi="Arial" w:cs="Arial"/>
          <w:color w:val="000000" w:themeColor="text1"/>
          <w:sz w:val="22"/>
          <w:lang w:val="es-ES"/>
        </w:rPr>
        <w:t xml:space="preserve">. </w:t>
      </w:r>
    </w:p>
    <w:p w14:paraId="311CE4AD"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lang w:val="es-ES"/>
        </w:rPr>
      </w:pPr>
      <w:r w:rsidRPr="00750137">
        <w:rPr>
          <w:rFonts w:ascii="Arial" w:eastAsia="Calibri" w:hAnsi="Arial" w:cs="Arial"/>
          <w:color w:val="000000" w:themeColor="text1"/>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3C7D80FD"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289F1091" w14:textId="66F1E86B" w:rsidR="001C2262" w:rsidRPr="00750137" w:rsidRDefault="001C2262" w:rsidP="007E2EE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Luego, el Decreto reglamentario 103 de 2015, «Por el cual se reglamenta parcialmente la Ley 1712 de 2014 y se dictan otras disposiciones», en el artículo 8, señala, de forma enunciativa, que se debe publicar la información relativa a la ejecución del </w:t>
      </w:r>
      <w:r w:rsidRPr="00750137">
        <w:rPr>
          <w:rFonts w:ascii="Arial" w:eastAsia="Calibri" w:hAnsi="Arial" w:cs="Arial"/>
          <w:color w:val="000000" w:themeColor="text1"/>
          <w:sz w:val="22"/>
        </w:rPr>
        <w:lastRenderedPageBreak/>
        <w:t>contrato, como las aprobaciones, autorizaciones, requerimientos o informes del supervisor o interventor, que aprueben la ejecución del contrato</w:t>
      </w:r>
      <w:r w:rsidRPr="00750137">
        <w:rPr>
          <w:rFonts w:ascii="Arial" w:eastAsia="Calibri" w:hAnsi="Arial" w:cs="Arial"/>
          <w:color w:val="000000" w:themeColor="text1"/>
          <w:sz w:val="22"/>
          <w:vertAlign w:val="superscript"/>
        </w:rPr>
        <w:footnoteReference w:id="12"/>
      </w:r>
      <w:r w:rsidRPr="00750137">
        <w:rPr>
          <w:rFonts w:ascii="Arial" w:eastAsia="Calibri" w:hAnsi="Arial" w:cs="Arial"/>
          <w:color w:val="000000" w:themeColor="text1"/>
          <w:sz w:val="22"/>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w:t>
      </w:r>
      <w:r w:rsidRPr="00750137">
        <w:rPr>
          <w:rFonts w:ascii="Arial" w:eastAsia="Calibri" w:hAnsi="Arial" w:cs="Arial"/>
          <w:color w:val="000000" w:themeColor="text1"/>
          <w:sz w:val="22"/>
          <w:vertAlign w:val="superscript"/>
        </w:rPr>
        <w:footnoteReference w:id="13"/>
      </w:r>
      <w:r w:rsidRPr="00750137">
        <w:rPr>
          <w:rFonts w:ascii="Arial" w:eastAsia="Calibri" w:hAnsi="Arial" w:cs="Arial"/>
          <w:color w:val="000000" w:themeColor="text1"/>
          <w:sz w:val="22"/>
        </w:rPr>
        <w:t>. Finalmente, el artículo 10 establece la obligación que tienen las entidades de publicar en el SECOP el Plan Anual de Adquisiciones</w:t>
      </w:r>
      <w:r w:rsidRPr="00750137">
        <w:rPr>
          <w:rFonts w:ascii="Arial" w:eastAsia="Calibri" w:hAnsi="Arial" w:cs="Arial"/>
          <w:color w:val="000000" w:themeColor="text1"/>
          <w:sz w:val="22"/>
          <w:vertAlign w:val="superscript"/>
        </w:rPr>
        <w:footnoteReference w:id="14"/>
      </w:r>
      <w:r w:rsidRPr="00750137">
        <w:rPr>
          <w:rFonts w:ascii="Arial" w:eastAsia="Calibri" w:hAnsi="Arial" w:cs="Arial"/>
          <w:color w:val="000000" w:themeColor="text1"/>
          <w:sz w:val="22"/>
        </w:rPr>
        <w:t xml:space="preserve">.  </w:t>
      </w:r>
    </w:p>
    <w:p w14:paraId="794B4B7C" w14:textId="3E2D4789"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De conformidad con lo anterior, el Decreto 103 de 2015 señala que los documentos que deben publicar las entidades estatales</w:t>
      </w:r>
      <w:r w:rsidR="007E2EE2" w:rsidRPr="00750137">
        <w:rPr>
          <w:rFonts w:ascii="Arial" w:eastAsia="Calibri" w:hAnsi="Arial" w:cs="Arial"/>
          <w:color w:val="000000" w:themeColor="text1"/>
          <w:sz w:val="22"/>
        </w:rPr>
        <w:t xml:space="preserve"> a quienes les aplica la Ley 1712 de 201</w:t>
      </w:r>
      <w:r w:rsidR="008C11D5" w:rsidRPr="00750137">
        <w:rPr>
          <w:rFonts w:ascii="Arial" w:eastAsia="Calibri" w:hAnsi="Arial" w:cs="Arial"/>
          <w:color w:val="000000" w:themeColor="text1"/>
          <w:sz w:val="22"/>
        </w:rPr>
        <w:t>4</w:t>
      </w:r>
      <w:r w:rsidRPr="00750137">
        <w:rPr>
          <w:rFonts w:ascii="Arial" w:eastAsia="Calibri" w:hAnsi="Arial" w:cs="Arial"/>
          <w:color w:val="000000" w:themeColor="text1"/>
          <w:sz w:val="22"/>
        </w:rPr>
        <w:t xml:space="preserve">, entre </w:t>
      </w:r>
      <w:r w:rsidR="007E2EE2" w:rsidRPr="00750137">
        <w:rPr>
          <w:rFonts w:ascii="Arial" w:eastAsia="Calibri" w:hAnsi="Arial" w:cs="Arial"/>
          <w:color w:val="000000" w:themeColor="text1"/>
          <w:sz w:val="22"/>
        </w:rPr>
        <w:t>estas, por ejemplo,</w:t>
      </w:r>
      <w:r w:rsidRPr="00750137">
        <w:rPr>
          <w:rFonts w:ascii="Arial" w:eastAsia="Calibri" w:hAnsi="Arial" w:cs="Arial"/>
          <w:color w:val="000000" w:themeColor="text1"/>
          <w:sz w:val="22"/>
        </w:rPr>
        <w:t xml:space="preserve"> las empresas de servicios públicos mixtas, oficiales y privadas con participación pública,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589BD8D2"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contratación </w:t>
      </w:r>
      <w:r w:rsidRPr="00750137">
        <w:rPr>
          <w:rFonts w:ascii="Arial" w:eastAsia="Calibri" w:hAnsi="Arial" w:cs="Arial"/>
          <w:color w:val="000000" w:themeColor="text1"/>
          <w:sz w:val="22"/>
        </w:rPr>
        <w:lastRenderedPageBreak/>
        <w:t xml:space="preserve">mediante las modalidades previstas en la Ley 80 de 1993, cada una definirá en su manual el procedimiento para contratar sus bienes y servicios. </w:t>
      </w:r>
    </w:p>
    <w:p w14:paraId="6DD9C508"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5668AE74" w14:textId="760F2284"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Por lo tanto, en estos casos aplica la Ley 1712 de 2014 y el Decreto 103 de 2015, no el Decreto 1082 de 2015, porque esta última norma rige a las entidades sometidas al Estatuto General de Contratación de la Administración Pública, y por lo tanto no aplica</w:t>
      </w:r>
      <w:r w:rsidR="00C94806" w:rsidRPr="00750137">
        <w:rPr>
          <w:rFonts w:ascii="Arial" w:eastAsia="Calibri" w:hAnsi="Arial" w:cs="Arial"/>
          <w:color w:val="000000" w:themeColor="text1"/>
          <w:sz w:val="22"/>
        </w:rPr>
        <w:t>, por ejemplo,</w:t>
      </w:r>
      <w:r w:rsidRPr="00750137">
        <w:rPr>
          <w:rFonts w:ascii="Arial" w:eastAsia="Calibri" w:hAnsi="Arial" w:cs="Arial"/>
          <w:color w:val="000000" w:themeColor="text1"/>
          <w:sz w:val="22"/>
        </w:rPr>
        <w:t xml:space="preserve"> a las empresas de servicios públicos</w:t>
      </w:r>
      <w:r w:rsidR="00C94806" w:rsidRPr="00750137">
        <w:rPr>
          <w:rFonts w:ascii="Arial" w:eastAsia="Calibri" w:hAnsi="Arial" w:cs="Arial"/>
          <w:color w:val="000000" w:themeColor="text1"/>
          <w:sz w:val="22"/>
        </w:rPr>
        <w:t xml:space="preserve"> domiciliarios</w:t>
      </w:r>
      <w:r w:rsidRPr="00750137">
        <w:rPr>
          <w:rFonts w:ascii="Arial" w:eastAsia="Calibri" w:hAnsi="Arial" w:cs="Arial"/>
          <w:color w:val="000000" w:themeColor="text1"/>
          <w:sz w:val="22"/>
        </w:rPr>
        <w:t xml:space="preserve"> que, por regla general, se rigen por el derecho privado. Por su parte, la Ley 1712 de 2014 y el Decreto reglamentario 103 de 2015 rigen a cualquier entidad pública, incluyendo</w:t>
      </w:r>
      <w:r w:rsidRPr="00750137">
        <w:rPr>
          <w:rFonts w:ascii="Arial" w:hAnsi="Arial" w:cs="Arial"/>
          <w:color w:val="000000" w:themeColor="text1"/>
          <w:sz w:val="22"/>
        </w:rPr>
        <w:t xml:space="preserve"> </w:t>
      </w:r>
      <w:r w:rsidRPr="00750137">
        <w:rPr>
          <w:rFonts w:ascii="Arial" w:eastAsia="Times New Roman" w:hAnsi="Arial" w:cs="Arial"/>
          <w:color w:val="000000" w:themeColor="text1"/>
          <w:sz w:val="22"/>
          <w:lang w:val="es-CO" w:eastAsia="es-CO"/>
        </w:rPr>
        <w:t xml:space="preserve">las pertenecientes a todas las Ramas del Poder Público, en todos los niveles de la estructura estatal, central o descentralizada por servicios o territorialmente, en los </w:t>
      </w:r>
      <w:r w:rsidRPr="00750137">
        <w:rPr>
          <w:rFonts w:ascii="Arial" w:eastAsia="Calibri" w:hAnsi="Arial" w:cs="Arial"/>
          <w:color w:val="000000" w:themeColor="text1"/>
          <w:sz w:val="22"/>
        </w:rPr>
        <w:t xml:space="preserve">órdenes nacional, departamental, municipal y distrital. </w:t>
      </w:r>
    </w:p>
    <w:p w14:paraId="08F97D5F"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Identificados los documentos que deben publicar las entidades de régimen especial y su fundamento normativo, a continuación se explicará cuando se deben publicar, no sin antes explicar la posición que Colombia Compra Eficiente ha tenido en relación con este asunto. </w:t>
      </w:r>
    </w:p>
    <w:p w14:paraId="75E93953" w14:textId="45755DDF"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En el año 2017, en la consulta con radicado No. 4201713000005390 se prevé que: el plazo para publicar por parte de las entidades de régimen especial es el que se fije en el manual de contratación de la entidad</w:t>
      </w:r>
      <w:r w:rsidRPr="00750137">
        <w:rPr>
          <w:rStyle w:val="Refdenotaalpie"/>
          <w:rFonts w:ascii="Arial" w:eastAsia="Calibri" w:hAnsi="Arial" w:cs="Arial"/>
          <w:color w:val="000000" w:themeColor="text1"/>
          <w:sz w:val="22"/>
        </w:rPr>
        <w:footnoteReference w:id="15"/>
      </w:r>
      <w:r w:rsidRPr="00750137">
        <w:rPr>
          <w:rFonts w:ascii="Arial" w:eastAsia="Calibri" w:hAnsi="Arial" w:cs="Arial"/>
          <w:color w:val="000000" w:themeColor="text1"/>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 […]</w:t>
      </w:r>
      <w:r w:rsidRPr="00750137">
        <w:rPr>
          <w:rStyle w:val="Refdenotaalpie"/>
          <w:rFonts w:ascii="Arial" w:eastAsia="Calibri" w:hAnsi="Arial" w:cs="Arial"/>
          <w:color w:val="000000" w:themeColor="text1"/>
          <w:sz w:val="22"/>
        </w:rPr>
        <w:footnoteReference w:id="16"/>
      </w:r>
      <w:r w:rsidRPr="00750137">
        <w:rPr>
          <w:rFonts w:ascii="Arial" w:eastAsia="Calibri" w:hAnsi="Arial" w:cs="Arial"/>
          <w:color w:val="000000" w:themeColor="text1"/>
          <w:sz w:val="22"/>
        </w:rPr>
        <w:t xml:space="preserve">». De lo regulado en la Circular Externa Única se infiere </w:t>
      </w:r>
      <w:r w:rsidRPr="00750137">
        <w:rPr>
          <w:rFonts w:ascii="Arial" w:eastAsia="Calibri" w:hAnsi="Arial" w:cs="Arial"/>
          <w:color w:val="000000" w:themeColor="text1"/>
          <w:sz w:val="22"/>
        </w:rPr>
        <w:lastRenderedPageBreak/>
        <w:t xml:space="preserve">que se otorga un tratamiento igualitario a las entidades, independientemente de su régimen de contratación, por lo tanto, aplica el artículo 2.2.1.1.1.7.1. del Decreto 1082 de 2015. </w:t>
      </w:r>
    </w:p>
    <w:p w14:paraId="0F492C54"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determinar el plazo en su manual de contratación, debido a que no les aplica el Estatuto General de Contratación de la Administración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053639B5"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750137">
        <w:rPr>
          <w:rStyle w:val="Refdenotaalpie"/>
          <w:rFonts w:ascii="Arial" w:eastAsia="Calibri" w:hAnsi="Arial" w:cs="Arial"/>
          <w:color w:val="000000" w:themeColor="text1"/>
          <w:sz w:val="22"/>
        </w:rPr>
        <w:footnoteReference w:id="17"/>
      </w:r>
      <w:r w:rsidRPr="00750137">
        <w:rPr>
          <w:rFonts w:ascii="Arial" w:eastAsia="Calibri" w:hAnsi="Arial" w:cs="Arial"/>
          <w:color w:val="000000" w:themeColor="text1"/>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14:paraId="0C508828"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750137">
        <w:rPr>
          <w:rStyle w:val="Refdenotaalpie"/>
          <w:rFonts w:ascii="Arial" w:eastAsia="Calibri" w:hAnsi="Arial" w:cs="Arial"/>
          <w:color w:val="000000" w:themeColor="text1"/>
          <w:sz w:val="22"/>
        </w:rPr>
        <w:footnoteReference w:id="18"/>
      </w:r>
      <w:r w:rsidRPr="00750137">
        <w:rPr>
          <w:rFonts w:ascii="Arial" w:eastAsia="Calibri" w:hAnsi="Arial" w:cs="Arial"/>
          <w:color w:val="000000" w:themeColor="text1"/>
          <w:sz w:val="22"/>
        </w:rPr>
        <w:t xml:space="preserve">. En este sentido, las entidades </w:t>
      </w:r>
      <w:r w:rsidRPr="00750137">
        <w:rPr>
          <w:rFonts w:ascii="Arial" w:eastAsia="Calibri" w:hAnsi="Arial" w:cs="Arial"/>
          <w:color w:val="000000" w:themeColor="text1"/>
          <w:sz w:val="22"/>
        </w:rPr>
        <w:lastRenderedPageBreak/>
        <w:t xml:space="preserve">sometidas al régimen de contratación de Ley 80 de 1993 publican en el SECOP sus documentos dentro de los 3 días siguientes a su expedición. </w:t>
      </w:r>
    </w:p>
    <w:p w14:paraId="0884313D" w14:textId="43188400" w:rsidR="001C2262" w:rsidRPr="00750137" w:rsidRDefault="001C2262" w:rsidP="00C94806">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Si bien</w:t>
      </w:r>
      <w:r w:rsidR="00C94806" w:rsidRPr="00750137">
        <w:rPr>
          <w:rFonts w:ascii="Arial" w:eastAsia="Calibri" w:hAnsi="Arial" w:cs="Arial"/>
          <w:color w:val="000000" w:themeColor="text1"/>
          <w:sz w:val="22"/>
        </w:rPr>
        <w:t xml:space="preserve"> </w:t>
      </w:r>
      <w:r w:rsidRPr="00750137">
        <w:rPr>
          <w:rFonts w:ascii="Arial" w:eastAsia="Calibri" w:hAnsi="Arial" w:cs="Arial"/>
          <w:color w:val="000000" w:themeColor="text1"/>
          <w:sz w:val="22"/>
        </w:rPr>
        <w:t>el Decreto 1082 de 2015</w:t>
      </w:r>
      <w:r w:rsidR="00C94806" w:rsidRPr="00750137">
        <w:rPr>
          <w:rFonts w:ascii="Arial" w:eastAsia="Calibri" w:hAnsi="Arial" w:cs="Arial"/>
          <w:color w:val="000000" w:themeColor="text1"/>
          <w:sz w:val="22"/>
        </w:rPr>
        <w:t xml:space="preserve">, en principio no aplica a las entidades estatales exceptuadas del Estatuto General de Contratación de la Administración Pública, </w:t>
      </w:r>
      <w:r w:rsidRPr="00750137">
        <w:rPr>
          <w:rFonts w:ascii="Arial" w:eastAsia="Calibri" w:hAnsi="Arial" w:cs="Arial"/>
          <w:color w:val="000000" w:themeColor="text1"/>
          <w:sz w:val="22"/>
        </w:rPr>
        <w:t xml:space="preserve">porque su régimen de contratación es el derecho privado, es posible aplicarle </w:t>
      </w:r>
      <w:r w:rsidR="00C94806" w:rsidRPr="00750137">
        <w:rPr>
          <w:rFonts w:ascii="Arial" w:eastAsia="Calibri" w:hAnsi="Arial" w:cs="Arial"/>
          <w:color w:val="000000" w:themeColor="text1"/>
          <w:sz w:val="22"/>
        </w:rPr>
        <w:t>el artículo 2.2.1.1.1.7.1.</w:t>
      </w:r>
      <w:r w:rsidRPr="00750137">
        <w:rPr>
          <w:rFonts w:ascii="Arial" w:eastAsia="Calibri" w:hAnsi="Arial" w:cs="Arial"/>
          <w:color w:val="000000" w:themeColor="text1"/>
          <w:sz w:val="22"/>
        </w:rPr>
        <w:t xml:space="preserve"> en virtud de la analogía. Lo anterior, debido a que esta norma guarda similitud con el asunto tratado ya que regula la publicidad de los documentos del SECOP y, por lo tanto, es viable aplicarle su consecuencia jurídica a las entidades de régimen especial. </w:t>
      </w:r>
    </w:p>
    <w:p w14:paraId="5261A84E"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0782AC8E" w14:textId="77777777" w:rsidR="001C2262" w:rsidRPr="00750137" w:rsidRDefault="001C2262" w:rsidP="001C2262">
      <w:pPr>
        <w:spacing w:before="120" w:after="120"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3B226C7F" w14:textId="77777777" w:rsidR="001C2262" w:rsidRPr="00750137" w:rsidRDefault="001C2262" w:rsidP="001C2262">
      <w:pPr>
        <w:spacing w:line="276" w:lineRule="auto"/>
        <w:ind w:firstLine="709"/>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1E8CBEEE" w14:textId="77777777" w:rsidR="00C94806" w:rsidRPr="00750137" w:rsidRDefault="00C94806" w:rsidP="001C2262">
      <w:pPr>
        <w:spacing w:line="276" w:lineRule="auto"/>
        <w:ind w:firstLine="709"/>
        <w:jc w:val="both"/>
        <w:rPr>
          <w:rFonts w:ascii="Arial" w:eastAsia="Calibri" w:hAnsi="Arial" w:cs="Arial"/>
          <w:color w:val="000000" w:themeColor="text1"/>
          <w:sz w:val="22"/>
        </w:rPr>
      </w:pPr>
    </w:p>
    <w:p w14:paraId="5476E229" w14:textId="77777777" w:rsidR="007E2EE2" w:rsidRPr="00750137" w:rsidRDefault="007E2EE2" w:rsidP="007E2EE2">
      <w:pPr>
        <w:spacing w:line="276" w:lineRule="auto"/>
        <w:jc w:val="both"/>
        <w:rPr>
          <w:rFonts w:ascii="Arial" w:eastAsia="Calibri" w:hAnsi="Arial" w:cs="Arial"/>
          <w:b/>
          <w:color w:val="000000" w:themeColor="text1"/>
          <w:sz w:val="22"/>
        </w:rPr>
      </w:pPr>
    </w:p>
    <w:p w14:paraId="48A72B11" w14:textId="427BCB20" w:rsidR="007E2EE2" w:rsidRPr="00750137" w:rsidRDefault="007E2EE2" w:rsidP="007E2EE2">
      <w:pPr>
        <w:spacing w:line="276" w:lineRule="auto"/>
        <w:jc w:val="both"/>
        <w:rPr>
          <w:rFonts w:ascii="Arial" w:eastAsia="Calibri" w:hAnsi="Arial" w:cs="Arial"/>
          <w:b/>
          <w:color w:val="000000" w:themeColor="text1"/>
          <w:sz w:val="22"/>
        </w:rPr>
      </w:pPr>
      <w:r w:rsidRPr="00750137">
        <w:rPr>
          <w:rFonts w:ascii="Arial" w:eastAsia="Calibri" w:hAnsi="Arial" w:cs="Arial"/>
          <w:b/>
          <w:color w:val="000000" w:themeColor="text1"/>
          <w:sz w:val="22"/>
        </w:rPr>
        <w:t xml:space="preserve">2.3. Publicidad en las plataformas SECOP I y II </w:t>
      </w:r>
    </w:p>
    <w:p w14:paraId="502BFC53" w14:textId="77777777" w:rsidR="007E2EE2" w:rsidRPr="00750137" w:rsidRDefault="007E2EE2" w:rsidP="007E2EE2">
      <w:pPr>
        <w:spacing w:line="276" w:lineRule="auto"/>
        <w:jc w:val="both"/>
        <w:rPr>
          <w:rFonts w:ascii="Arial" w:eastAsia="Calibri" w:hAnsi="Arial" w:cs="Arial"/>
          <w:b/>
          <w:color w:val="000000" w:themeColor="text1"/>
          <w:sz w:val="22"/>
        </w:rPr>
      </w:pPr>
    </w:p>
    <w:p w14:paraId="1EAC1D29" w14:textId="2E412B65" w:rsidR="007E2EE2" w:rsidRPr="00750137" w:rsidRDefault="007E2EE2" w:rsidP="007E2EE2">
      <w:pPr>
        <w:spacing w:before="120" w:after="120" w:line="276" w:lineRule="auto"/>
        <w:jc w:val="both"/>
        <w:rPr>
          <w:rFonts w:ascii="Arial" w:eastAsia="Calibri" w:hAnsi="Arial" w:cs="Arial"/>
          <w:color w:val="000000" w:themeColor="text1"/>
          <w:sz w:val="22"/>
          <w:lang w:val="es-ES"/>
        </w:rPr>
      </w:pPr>
      <w:r w:rsidRPr="00750137">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w:t>
      </w:r>
      <w:r w:rsidRPr="00750137">
        <w:rPr>
          <w:rFonts w:ascii="Arial" w:eastAsia="Calibri" w:hAnsi="Arial" w:cs="Arial"/>
          <w:color w:val="000000" w:themeColor="text1"/>
          <w:sz w:val="22"/>
          <w:lang w:val="es-ES"/>
        </w:rPr>
        <w:lastRenderedPageBreak/>
        <w:t xml:space="preserve">en el SECOP ll. La medida aplica para los procesos de contratación que se inicien a partir del 1 de enero de 2020.  </w:t>
      </w:r>
    </w:p>
    <w:p w14:paraId="4BE76C29" w14:textId="152A807C" w:rsidR="007E2EE2" w:rsidRPr="00750137" w:rsidRDefault="007E2EE2" w:rsidP="007E2EE2">
      <w:pPr>
        <w:spacing w:before="120" w:after="120" w:line="276" w:lineRule="auto"/>
        <w:ind w:firstLine="709"/>
        <w:jc w:val="both"/>
        <w:rPr>
          <w:rFonts w:ascii="Arial" w:eastAsia="Calibri" w:hAnsi="Arial" w:cs="Arial"/>
          <w:color w:val="000000" w:themeColor="text1"/>
          <w:sz w:val="22"/>
          <w:lang w:val="es-ES"/>
        </w:rPr>
      </w:pPr>
      <w:r w:rsidRPr="00750137">
        <w:rPr>
          <w:rFonts w:ascii="Arial" w:eastAsia="Calibri" w:hAnsi="Arial" w:cs="Arial"/>
          <w:color w:val="000000" w:themeColor="text1"/>
          <w:sz w:val="22"/>
          <w:lang w:val="es-ES"/>
        </w:rPr>
        <w:t>Esta plazo fue prorrogado por la Agencia Nacional de Contratación Pública – Colombia Compra Eficiente, mediante la Circular Externa No. 2 de 2019, a través de la cual se amplió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w:t>
      </w:r>
    </w:p>
    <w:p w14:paraId="082D3890" w14:textId="77777777" w:rsidR="007E2EE2" w:rsidRPr="00750137" w:rsidRDefault="007E2EE2" w:rsidP="007E2EE2">
      <w:pPr>
        <w:spacing w:before="120" w:after="120" w:line="276" w:lineRule="auto"/>
        <w:ind w:firstLine="709"/>
        <w:jc w:val="both"/>
        <w:rPr>
          <w:rFonts w:ascii="Arial" w:eastAsia="Calibri" w:hAnsi="Arial" w:cs="Arial"/>
          <w:color w:val="000000" w:themeColor="text1"/>
          <w:sz w:val="22"/>
          <w:lang w:val="es-ES"/>
        </w:rPr>
      </w:pPr>
      <w:r w:rsidRPr="00750137">
        <w:rPr>
          <w:rFonts w:ascii="Arial" w:eastAsia="Calibri" w:hAnsi="Arial" w:cs="Arial"/>
          <w:color w:val="000000" w:themeColor="text1"/>
          <w:sz w:val="22"/>
          <w:lang w:val="es-ES"/>
        </w:rPr>
        <w:t>Ahora, en relación con las entidades descentralizadas del nivel municipal, el Anexo 1 de la Circular No. 1 de 2019 las excluyó del deber de publicar en el SECOP II, pues, al indicar las entidades de este nivel con obligación de publicar en esa plataforma, textualmente señaló que «</w:t>
      </w:r>
      <w:r w:rsidRPr="00750137">
        <w:rPr>
          <w:rFonts w:ascii="Arial" w:hAnsi="Arial" w:cs="Arial"/>
          <w:color w:val="000000" w:themeColor="text1"/>
          <w:sz w:val="22"/>
        </w:rPr>
        <w:t xml:space="preserve">sólo incluye el sector central. No incluye entidades descentralizadas del respectivo nivel» y estableció </w:t>
      </w:r>
      <w:r w:rsidRPr="00750137">
        <w:rPr>
          <w:rFonts w:ascii="Arial" w:eastAsia="Calibri" w:hAnsi="Arial" w:cs="Arial"/>
          <w:color w:val="000000" w:themeColor="text1"/>
          <w:sz w:val="22"/>
          <w:lang w:val="es-ES"/>
        </w:rPr>
        <w:t xml:space="preserve">la obligatoriedad del uso del SECOP II únicamente a las alcaldías capitales de departamentos. </w:t>
      </w:r>
    </w:p>
    <w:p w14:paraId="49DFB3B8" w14:textId="77777777" w:rsidR="007E2EE2" w:rsidRPr="00750137" w:rsidRDefault="007E2EE2" w:rsidP="007E2EE2">
      <w:pPr>
        <w:spacing w:line="276" w:lineRule="auto"/>
        <w:ind w:firstLine="709"/>
        <w:jc w:val="both"/>
        <w:rPr>
          <w:rFonts w:ascii="Arial" w:eastAsia="Calibri" w:hAnsi="Arial" w:cs="Arial"/>
          <w:color w:val="000000" w:themeColor="text1"/>
          <w:sz w:val="22"/>
          <w:lang w:val="es-ES"/>
        </w:rPr>
      </w:pPr>
      <w:r w:rsidRPr="00750137">
        <w:rPr>
          <w:rFonts w:ascii="Arial" w:eastAsia="Calibri" w:hAnsi="Arial" w:cs="Arial"/>
          <w:color w:val="000000" w:themeColor="text1"/>
          <w:sz w:val="22"/>
          <w:lang w:val="es-ES"/>
        </w:rPr>
        <w:t xml:space="preserve">Así las cosas, la 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relevará a las entidades descentralizadas del nivel municipal de continuar publicando sus procesos de contratación en la plataforma de SECOP I. </w:t>
      </w:r>
    </w:p>
    <w:p w14:paraId="74A5BA24" w14:textId="77777777" w:rsidR="007B66A7" w:rsidRPr="00750137" w:rsidRDefault="007B66A7" w:rsidP="00FC27EA">
      <w:pPr>
        <w:spacing w:line="276" w:lineRule="auto"/>
        <w:jc w:val="both"/>
        <w:rPr>
          <w:rFonts w:ascii="Arial" w:eastAsia="Calibri" w:hAnsi="Arial" w:cs="Arial"/>
          <w:color w:val="000000" w:themeColor="text1"/>
          <w:sz w:val="22"/>
        </w:rPr>
      </w:pPr>
    </w:p>
    <w:p w14:paraId="362BF644" w14:textId="60201054" w:rsidR="00A2021D" w:rsidRPr="00750137" w:rsidRDefault="000809CC" w:rsidP="00FC27EA">
      <w:pPr>
        <w:spacing w:line="276" w:lineRule="auto"/>
        <w:jc w:val="both"/>
        <w:rPr>
          <w:rFonts w:ascii="Arial" w:eastAsia="Calibri" w:hAnsi="Arial" w:cs="Arial"/>
          <w:b/>
          <w:color w:val="000000" w:themeColor="text1"/>
          <w:sz w:val="22"/>
        </w:rPr>
      </w:pPr>
      <w:r w:rsidRPr="00750137">
        <w:rPr>
          <w:rFonts w:ascii="Arial" w:eastAsia="Calibri" w:hAnsi="Arial" w:cs="Arial"/>
          <w:b/>
          <w:color w:val="000000" w:themeColor="text1"/>
          <w:sz w:val="22"/>
        </w:rPr>
        <w:t xml:space="preserve">3. </w:t>
      </w:r>
      <w:r w:rsidR="00A2021D" w:rsidRPr="00750137">
        <w:rPr>
          <w:rFonts w:ascii="Arial" w:eastAsia="Calibri" w:hAnsi="Arial" w:cs="Arial"/>
          <w:b/>
          <w:color w:val="000000" w:themeColor="text1"/>
          <w:sz w:val="22"/>
        </w:rPr>
        <w:t>Respuesta</w:t>
      </w:r>
    </w:p>
    <w:p w14:paraId="2FB20F13" w14:textId="77777777" w:rsidR="00B32CA6" w:rsidRPr="00750137" w:rsidRDefault="00B32CA6" w:rsidP="00FC27EA">
      <w:pPr>
        <w:spacing w:line="276" w:lineRule="auto"/>
        <w:ind w:left="709" w:right="709"/>
        <w:jc w:val="both"/>
        <w:rPr>
          <w:rFonts w:ascii="Arial" w:eastAsia="Calibri" w:hAnsi="Arial" w:cs="Arial"/>
          <w:color w:val="000000" w:themeColor="text1"/>
          <w:sz w:val="22"/>
        </w:rPr>
      </w:pPr>
    </w:p>
    <w:p w14:paraId="2993473B" w14:textId="425BCD40" w:rsidR="00B32CA6" w:rsidRPr="00750137" w:rsidRDefault="00BF0537" w:rsidP="00FC27EA">
      <w:pPr>
        <w:spacing w:line="276" w:lineRule="auto"/>
        <w:ind w:left="709" w:right="709"/>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¿Una Empresa Industrial y Comercial del Estado, descentralizada por servicios en el orden municipal, que cuenta con un régimen de contratación especial, debe realizar la publicación en el Secop II? </w:t>
      </w:r>
    </w:p>
    <w:p w14:paraId="7FE2826A" w14:textId="77777777" w:rsidR="00B32CA6" w:rsidRPr="00750137" w:rsidRDefault="00B32CA6" w:rsidP="00FC27EA">
      <w:pPr>
        <w:spacing w:line="276" w:lineRule="auto"/>
        <w:jc w:val="both"/>
        <w:rPr>
          <w:rFonts w:ascii="Arial" w:eastAsia="Calibri" w:hAnsi="Arial" w:cs="Arial"/>
          <w:color w:val="000000" w:themeColor="text1"/>
          <w:sz w:val="22"/>
        </w:rPr>
      </w:pPr>
    </w:p>
    <w:p w14:paraId="650374CB" w14:textId="77777777" w:rsidR="00B745AE" w:rsidRPr="00750137" w:rsidRDefault="001C2262" w:rsidP="00B745AE">
      <w:pPr>
        <w:spacing w:line="276" w:lineRule="auto"/>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La obligatoriedad de publicar las actuaciones contractuales de las entidades </w:t>
      </w:r>
      <w:r w:rsidR="00C94806" w:rsidRPr="00750137">
        <w:rPr>
          <w:rFonts w:ascii="Arial" w:eastAsia="Calibri" w:hAnsi="Arial" w:cs="Arial"/>
          <w:color w:val="000000" w:themeColor="text1"/>
          <w:sz w:val="22"/>
        </w:rPr>
        <w:t xml:space="preserve"> estatales </w:t>
      </w:r>
      <w:r w:rsidRPr="00750137">
        <w:rPr>
          <w:rFonts w:ascii="Arial" w:eastAsia="Calibri" w:hAnsi="Arial" w:cs="Arial"/>
          <w:color w:val="000000" w:themeColor="text1"/>
          <w:sz w:val="22"/>
        </w:rPr>
        <w:t>no depende de su régimen de contratación, sino de la ejecución de recursos públicos, pues así lo determinó, provisionalmente, el Consejo de Estado</w:t>
      </w:r>
      <w:r w:rsidRPr="00750137">
        <w:rPr>
          <w:rStyle w:val="Refdenotaalpie"/>
          <w:rFonts w:ascii="Arial" w:eastAsia="Calibri" w:hAnsi="Arial" w:cs="Arial"/>
          <w:color w:val="000000" w:themeColor="text1"/>
          <w:sz w:val="22"/>
        </w:rPr>
        <w:footnoteReference w:id="19"/>
      </w:r>
      <w:r w:rsidRPr="00750137">
        <w:rPr>
          <w:rFonts w:ascii="Arial" w:eastAsia="Calibri" w:hAnsi="Arial" w:cs="Arial"/>
          <w:color w:val="000000" w:themeColor="text1"/>
          <w:sz w:val="22"/>
        </w:rPr>
        <w:t>, al indicar que ese deber no atiende a las condiciones fácticas que tengan las entidades excluidas del régimen de contratación estatal, sino ─se reitera─ al hecho de que la contratación implique la ejecución de recursos públicos.</w:t>
      </w:r>
      <w:r w:rsidR="00C94806" w:rsidRPr="00750137">
        <w:rPr>
          <w:rFonts w:ascii="Arial" w:eastAsia="Calibri" w:hAnsi="Arial" w:cs="Arial"/>
          <w:color w:val="000000" w:themeColor="text1"/>
          <w:sz w:val="22"/>
        </w:rPr>
        <w:t xml:space="preserve"> Dicho deber</w:t>
      </w:r>
      <w:r w:rsidR="00274054" w:rsidRPr="00750137">
        <w:rPr>
          <w:rFonts w:ascii="Arial" w:eastAsia="Calibri" w:hAnsi="Arial" w:cs="Arial"/>
          <w:color w:val="000000" w:themeColor="text1"/>
          <w:sz w:val="22"/>
        </w:rPr>
        <w:t xml:space="preserve"> además se </w:t>
      </w:r>
      <w:r w:rsidR="00C94806" w:rsidRPr="00750137">
        <w:rPr>
          <w:rFonts w:ascii="Arial" w:eastAsia="Calibri" w:hAnsi="Arial" w:cs="Arial"/>
          <w:color w:val="000000" w:themeColor="text1"/>
          <w:sz w:val="22"/>
        </w:rPr>
        <w:t>deriva de la Ley 1712 de 2014</w:t>
      </w:r>
      <w:r w:rsidR="00274054" w:rsidRPr="00750137">
        <w:rPr>
          <w:rFonts w:ascii="Arial" w:eastAsia="Calibri" w:hAnsi="Arial" w:cs="Arial"/>
          <w:color w:val="000000" w:themeColor="text1"/>
          <w:sz w:val="22"/>
        </w:rPr>
        <w:t>,</w:t>
      </w:r>
      <w:r w:rsidR="00C94806" w:rsidRPr="00750137">
        <w:rPr>
          <w:rFonts w:ascii="Arial" w:eastAsia="Calibri" w:hAnsi="Arial" w:cs="Arial"/>
          <w:color w:val="000000" w:themeColor="text1"/>
          <w:sz w:val="22"/>
        </w:rPr>
        <w:t xml:space="preserve"> que señala en el literal g), artículo 11, que todo sujeto obligado debe publicar sus procedimientos, lineamientos, políticas en materia de adquisiciones y compras, así como todos los datos de </w:t>
      </w:r>
      <w:r w:rsidR="00C94806" w:rsidRPr="00750137">
        <w:rPr>
          <w:rFonts w:ascii="Arial" w:eastAsia="Calibri" w:hAnsi="Arial" w:cs="Arial"/>
          <w:color w:val="000000" w:themeColor="text1"/>
          <w:sz w:val="22"/>
        </w:rPr>
        <w:lastRenderedPageBreak/>
        <w:t>adjudicación y ejecución de sus contratos</w:t>
      </w:r>
      <w:r w:rsidR="00B745AE" w:rsidRPr="00750137">
        <w:rPr>
          <w:rFonts w:ascii="Arial" w:eastAsia="Calibri" w:hAnsi="Arial" w:cs="Arial"/>
          <w:color w:val="000000" w:themeColor="text1"/>
          <w:sz w:val="22"/>
        </w:rPr>
        <w:t>; y del desarrollo realizado por el Decreto</w:t>
      </w:r>
      <w:r w:rsidR="00C94806" w:rsidRPr="00750137">
        <w:rPr>
          <w:rFonts w:ascii="Arial" w:eastAsia="Calibri" w:hAnsi="Arial" w:cs="Arial"/>
          <w:color w:val="000000" w:themeColor="text1"/>
          <w:sz w:val="22"/>
        </w:rPr>
        <w:t xml:space="preserve"> reglamentario 10</w:t>
      </w:r>
      <w:r w:rsidR="00B745AE" w:rsidRPr="00750137">
        <w:rPr>
          <w:rFonts w:ascii="Arial" w:eastAsia="Calibri" w:hAnsi="Arial" w:cs="Arial"/>
          <w:color w:val="000000" w:themeColor="text1"/>
          <w:sz w:val="22"/>
        </w:rPr>
        <w:t xml:space="preserve">3 de 2015, en los términos desarrollados en las consideraciones. </w:t>
      </w:r>
    </w:p>
    <w:p w14:paraId="5341B9D0" w14:textId="77777777" w:rsidR="00B745AE" w:rsidRPr="00750137" w:rsidRDefault="00B745AE" w:rsidP="00B745AE">
      <w:pPr>
        <w:spacing w:line="276" w:lineRule="auto"/>
        <w:jc w:val="both"/>
        <w:rPr>
          <w:rFonts w:ascii="Arial" w:eastAsia="Calibri" w:hAnsi="Arial" w:cs="Arial"/>
          <w:color w:val="000000" w:themeColor="text1"/>
          <w:sz w:val="22"/>
        </w:rPr>
      </w:pPr>
    </w:p>
    <w:p w14:paraId="554B5128" w14:textId="6E189250" w:rsidR="001C2262" w:rsidRPr="00750137" w:rsidRDefault="00B745AE" w:rsidP="00B745AE">
      <w:pPr>
        <w:spacing w:line="276" w:lineRule="auto"/>
        <w:jc w:val="both"/>
        <w:rPr>
          <w:rFonts w:ascii="Arial" w:eastAsia="Calibri" w:hAnsi="Arial" w:cs="Arial"/>
          <w:color w:val="000000" w:themeColor="text1"/>
          <w:sz w:val="22"/>
        </w:rPr>
      </w:pPr>
      <w:r w:rsidRPr="00750137">
        <w:rPr>
          <w:rFonts w:ascii="Arial" w:eastAsia="Calibri" w:hAnsi="Arial" w:cs="Arial"/>
          <w:color w:val="000000" w:themeColor="text1"/>
          <w:sz w:val="22"/>
        </w:rPr>
        <w:t xml:space="preserve"> Respecto a la publicación del SECOP I o en el SECOP II, l</w:t>
      </w:r>
      <w:r w:rsidR="00FC27EA" w:rsidRPr="00750137">
        <w:rPr>
          <w:rFonts w:ascii="Arial" w:eastAsia="Calibri" w:hAnsi="Arial" w:cs="Arial"/>
          <w:color w:val="000000" w:themeColor="text1"/>
          <w:sz w:val="22"/>
          <w:lang w:val="es-ES"/>
        </w:rPr>
        <w:t xml:space="preserve">a </w:t>
      </w:r>
      <w:r w:rsidR="00956866" w:rsidRPr="00750137">
        <w:rPr>
          <w:rFonts w:ascii="Arial" w:eastAsia="Calibri" w:hAnsi="Arial" w:cs="Arial"/>
          <w:color w:val="000000" w:themeColor="text1"/>
          <w:sz w:val="22"/>
          <w:lang w:val="es-ES"/>
        </w:rPr>
        <w:t xml:space="preserve">Subdirección de Gestión Contractual concluye que, a la fecha, las entidades descentralizadas del nivel municipal no están obligadas a publicar sus procesos de contratación en el SECOP II, conforme a la salvedad que sobre el particular establece el Anexo 1 de la Circular Externa No. 1 de 2019.  Sin embargo, esta exclusión no </w:t>
      </w:r>
      <w:r w:rsidR="00C94806" w:rsidRPr="00750137">
        <w:rPr>
          <w:rFonts w:ascii="Arial" w:eastAsia="Calibri" w:hAnsi="Arial" w:cs="Arial"/>
          <w:color w:val="000000" w:themeColor="text1"/>
          <w:sz w:val="22"/>
          <w:lang w:val="es-ES"/>
        </w:rPr>
        <w:t xml:space="preserve">las releva </w:t>
      </w:r>
      <w:r w:rsidR="00956866" w:rsidRPr="00750137">
        <w:rPr>
          <w:rFonts w:ascii="Arial" w:eastAsia="Calibri" w:hAnsi="Arial" w:cs="Arial"/>
          <w:color w:val="000000" w:themeColor="text1"/>
          <w:sz w:val="22"/>
          <w:lang w:val="es-ES"/>
        </w:rPr>
        <w:t>de continuar publicando sus procesos de contratación en la plataforma de SECOP I.</w:t>
      </w:r>
      <w:r w:rsidR="00FC27EA" w:rsidRPr="00750137">
        <w:rPr>
          <w:rFonts w:ascii="Arial" w:eastAsia="Calibri" w:hAnsi="Arial" w:cs="Arial"/>
          <w:color w:val="000000" w:themeColor="text1"/>
          <w:sz w:val="22"/>
        </w:rPr>
        <w:tab/>
      </w:r>
    </w:p>
    <w:p w14:paraId="1ACDFEE0" w14:textId="77777777" w:rsidR="00C94806" w:rsidRPr="00750137" w:rsidRDefault="00C94806" w:rsidP="00956866">
      <w:pPr>
        <w:spacing w:before="120" w:after="120" w:line="276" w:lineRule="auto"/>
        <w:jc w:val="both"/>
        <w:rPr>
          <w:rFonts w:ascii="Arial" w:eastAsia="Calibri" w:hAnsi="Arial" w:cs="Arial"/>
          <w:color w:val="000000" w:themeColor="text1"/>
          <w:sz w:val="22"/>
        </w:rPr>
      </w:pPr>
    </w:p>
    <w:p w14:paraId="5D83B020" w14:textId="77777777" w:rsidR="00A2021D" w:rsidRPr="00750137" w:rsidRDefault="00A2021D" w:rsidP="00FC27EA">
      <w:pPr>
        <w:spacing w:before="120" w:after="120" w:line="276" w:lineRule="auto"/>
        <w:jc w:val="both"/>
        <w:rPr>
          <w:rFonts w:ascii="Arial" w:eastAsia="Calibri" w:hAnsi="Arial" w:cs="Arial"/>
          <w:color w:val="000000" w:themeColor="text1"/>
          <w:sz w:val="22"/>
        </w:rPr>
      </w:pPr>
      <w:r w:rsidRPr="00750137">
        <w:rPr>
          <w:rFonts w:ascii="Arial" w:eastAsia="Calibri" w:hAnsi="Arial" w:cs="Arial"/>
          <w:color w:val="000000" w:themeColor="text1"/>
          <w:sz w:val="22"/>
        </w:rPr>
        <w:t>Este concepto tiene el alcance previsto en el artículo 28 del Código de Procedimiento Administrativo y de lo Contencioso Administrativo.</w:t>
      </w:r>
    </w:p>
    <w:p w14:paraId="05187F5F" w14:textId="77777777" w:rsidR="00A2021D" w:rsidRPr="00750137" w:rsidRDefault="00A2021D" w:rsidP="0013044F">
      <w:pPr>
        <w:spacing w:before="120" w:after="120" w:line="276" w:lineRule="auto"/>
        <w:contextualSpacing/>
        <w:jc w:val="both"/>
        <w:rPr>
          <w:rFonts w:ascii="Arial" w:eastAsia="Calibri" w:hAnsi="Arial" w:cs="Arial"/>
          <w:color w:val="000000" w:themeColor="text1"/>
          <w:sz w:val="22"/>
        </w:rPr>
      </w:pPr>
      <w:r w:rsidRPr="00750137">
        <w:rPr>
          <w:rFonts w:ascii="Arial" w:eastAsia="Calibri"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03037CE7" wp14:editId="37DB5AC6">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rto="http://schemas.microsoft.com/office/word/2006/arto" xmlns:a14="http://schemas.microsoft.com/office/drawing/2010/main" xmlns:pic="http://schemas.openxmlformats.org/drawingml/2006/picture"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2F1F83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p>
    <w:p w14:paraId="0350BC35" w14:textId="7A8553ED" w:rsidR="00A2021D" w:rsidRPr="00750137" w:rsidRDefault="00A2021D" w:rsidP="002817DE">
      <w:pPr>
        <w:jc w:val="both"/>
        <w:rPr>
          <w:rFonts w:ascii="Arial" w:hAnsi="Arial" w:cs="Arial"/>
          <w:color w:val="000000" w:themeColor="text1"/>
          <w:sz w:val="22"/>
        </w:rPr>
      </w:pPr>
      <w:r w:rsidRPr="00750137">
        <w:rPr>
          <w:rFonts w:ascii="Arial" w:hAnsi="Arial" w:cs="Arial"/>
          <w:color w:val="000000" w:themeColor="text1"/>
          <w:sz w:val="22"/>
        </w:rPr>
        <w:t>Atentamente,</w:t>
      </w:r>
    </w:p>
    <w:p w14:paraId="4B50F7FF" w14:textId="77777777" w:rsidR="00A2021D" w:rsidRPr="00750137" w:rsidRDefault="00A2021D" w:rsidP="00A2021D">
      <w:pPr>
        <w:jc w:val="center"/>
        <w:rPr>
          <w:rFonts w:ascii="Arial" w:hAnsi="Arial" w:cs="Arial"/>
          <w:color w:val="000000" w:themeColor="text1"/>
          <w:sz w:val="22"/>
        </w:rPr>
      </w:pPr>
    </w:p>
    <w:p w14:paraId="7C46DB0F" w14:textId="5F84B2ED" w:rsidR="00A2021D" w:rsidRPr="00750137" w:rsidRDefault="002817DE" w:rsidP="00A2021D">
      <w:pPr>
        <w:jc w:val="center"/>
        <w:rPr>
          <w:rFonts w:ascii="Arial" w:eastAsia="Times New Roman" w:hAnsi="Arial" w:cs="Arial"/>
          <w:color w:val="000000" w:themeColor="text1"/>
          <w:sz w:val="18"/>
          <w:szCs w:val="20"/>
          <w:lang w:eastAsia="es-CO"/>
        </w:rPr>
      </w:pPr>
      <w:r>
        <w:rPr>
          <w:noProof/>
          <w:lang w:val="en-US"/>
        </w:rPr>
        <w:drawing>
          <wp:inline distT="0" distB="0" distL="0" distR="0" wp14:anchorId="00D1210B" wp14:editId="71ED488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454ED518" w14:textId="77777777" w:rsidR="00A2021D" w:rsidRPr="00750137" w:rsidRDefault="00A2021D" w:rsidP="00A2021D">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50137" w:rsidRPr="00750137" w14:paraId="7884E00C" w14:textId="77777777" w:rsidTr="001802A9">
        <w:trPr>
          <w:trHeight w:val="315"/>
        </w:trPr>
        <w:tc>
          <w:tcPr>
            <w:tcW w:w="812" w:type="dxa"/>
            <w:vAlign w:val="center"/>
          </w:tcPr>
          <w:p w14:paraId="7C51E34A" w14:textId="77777777" w:rsidR="00A2021D" w:rsidRPr="00750137" w:rsidRDefault="00A2021D" w:rsidP="001802A9">
            <w:pPr>
              <w:rPr>
                <w:rFonts w:ascii="Arial" w:eastAsia="Times New Roman" w:hAnsi="Arial" w:cs="Arial"/>
                <w:color w:val="000000" w:themeColor="text1"/>
                <w:sz w:val="16"/>
                <w:szCs w:val="16"/>
                <w:lang w:eastAsia="es-ES"/>
              </w:rPr>
            </w:pPr>
            <w:r w:rsidRPr="00750137">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6C898B76" w14:textId="77777777" w:rsidR="00A2021D" w:rsidRPr="00750137" w:rsidRDefault="00A2021D" w:rsidP="001802A9">
            <w:pPr>
              <w:rPr>
                <w:rFonts w:ascii="Arial" w:eastAsia="Times New Roman" w:hAnsi="Arial" w:cs="Arial"/>
                <w:color w:val="000000" w:themeColor="text1"/>
                <w:sz w:val="16"/>
                <w:szCs w:val="16"/>
                <w:lang w:eastAsia="es-ES"/>
              </w:rPr>
            </w:pPr>
            <w:r w:rsidRPr="00750137">
              <w:rPr>
                <w:rFonts w:ascii="Arial" w:eastAsia="Times New Roman" w:hAnsi="Arial" w:cs="Arial"/>
                <w:color w:val="000000" w:themeColor="text1"/>
                <w:sz w:val="16"/>
                <w:szCs w:val="16"/>
                <w:lang w:eastAsia="es-ES"/>
              </w:rPr>
              <w:t xml:space="preserve">Nina María Padrón Ballestas </w:t>
            </w:r>
          </w:p>
          <w:p w14:paraId="73B81830" w14:textId="77777777" w:rsidR="00A2021D" w:rsidRPr="00750137" w:rsidRDefault="00A2021D" w:rsidP="001802A9">
            <w:pPr>
              <w:rPr>
                <w:rFonts w:ascii="Arial" w:eastAsia="Times New Roman" w:hAnsi="Arial" w:cs="Arial"/>
                <w:color w:val="000000" w:themeColor="text1"/>
                <w:sz w:val="16"/>
                <w:szCs w:val="16"/>
                <w:lang w:eastAsia="es-ES"/>
              </w:rPr>
            </w:pPr>
            <w:r w:rsidRPr="00750137">
              <w:rPr>
                <w:rFonts w:ascii="Arial" w:eastAsia="Times New Roman" w:hAnsi="Arial" w:cs="Arial"/>
                <w:color w:val="000000" w:themeColor="text1"/>
                <w:sz w:val="16"/>
                <w:szCs w:val="16"/>
                <w:lang w:eastAsia="es-ES"/>
              </w:rPr>
              <w:t xml:space="preserve">Contratista Subdirección de Gestión Contractual </w:t>
            </w:r>
          </w:p>
        </w:tc>
      </w:tr>
      <w:tr w:rsidR="00750137" w:rsidRPr="00750137" w14:paraId="067F149B" w14:textId="77777777" w:rsidTr="001802A9">
        <w:trPr>
          <w:trHeight w:val="353"/>
        </w:trPr>
        <w:tc>
          <w:tcPr>
            <w:tcW w:w="812" w:type="dxa"/>
            <w:vAlign w:val="center"/>
          </w:tcPr>
          <w:p w14:paraId="1C941AE2" w14:textId="77777777" w:rsidR="00A2021D" w:rsidRPr="00750137" w:rsidRDefault="00A2021D" w:rsidP="001802A9">
            <w:pPr>
              <w:rPr>
                <w:rFonts w:ascii="Arial" w:eastAsia="Times New Roman" w:hAnsi="Arial" w:cs="Arial"/>
                <w:color w:val="000000" w:themeColor="text1"/>
                <w:sz w:val="16"/>
                <w:szCs w:val="16"/>
                <w:lang w:eastAsia="es-ES"/>
              </w:rPr>
            </w:pPr>
            <w:r w:rsidRPr="00750137">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5A0C057C" w14:textId="356D9D4A" w:rsidR="007B66A7" w:rsidRPr="00750137" w:rsidRDefault="0067138C" w:rsidP="001802A9">
            <w:pPr>
              <w:rPr>
                <w:rFonts w:ascii="Arial" w:eastAsia="Times New Roman" w:hAnsi="Arial" w:cs="Arial"/>
                <w:color w:val="000000" w:themeColor="text1"/>
                <w:sz w:val="16"/>
                <w:szCs w:val="16"/>
                <w:lang w:eastAsia="es-ES"/>
              </w:rPr>
            </w:pPr>
            <w:r w:rsidRPr="00750137">
              <w:rPr>
                <w:rFonts w:ascii="Arial" w:eastAsia="Times New Roman" w:hAnsi="Arial" w:cs="Arial"/>
                <w:color w:val="000000" w:themeColor="text1"/>
                <w:sz w:val="16"/>
                <w:szCs w:val="16"/>
                <w:lang w:eastAsia="es-ES"/>
              </w:rPr>
              <w:t xml:space="preserve">Sebastián Ramírez Girsales </w:t>
            </w:r>
          </w:p>
          <w:p w14:paraId="119B1B9D" w14:textId="5FDB2F8B" w:rsidR="00A2021D" w:rsidRPr="00750137" w:rsidRDefault="0067138C" w:rsidP="001802A9">
            <w:pPr>
              <w:rPr>
                <w:rFonts w:ascii="Arial" w:eastAsia="Times New Roman" w:hAnsi="Arial" w:cs="Arial"/>
                <w:color w:val="000000" w:themeColor="text1"/>
                <w:sz w:val="16"/>
                <w:szCs w:val="16"/>
                <w:lang w:eastAsia="es-ES"/>
              </w:rPr>
            </w:pPr>
            <w:r w:rsidRPr="00750137">
              <w:rPr>
                <w:rFonts w:ascii="Arial" w:eastAsia="Times New Roman" w:hAnsi="Arial" w:cs="Arial"/>
                <w:color w:val="000000" w:themeColor="text1"/>
                <w:sz w:val="16"/>
                <w:szCs w:val="16"/>
                <w:lang w:eastAsia="es-ES"/>
              </w:rPr>
              <w:t xml:space="preserve">Contratista Subdirección </w:t>
            </w:r>
            <w:r w:rsidR="00A2021D" w:rsidRPr="00750137">
              <w:rPr>
                <w:rFonts w:ascii="Arial" w:eastAsia="Times New Roman" w:hAnsi="Arial" w:cs="Arial"/>
                <w:color w:val="000000" w:themeColor="text1"/>
                <w:sz w:val="16"/>
                <w:szCs w:val="16"/>
                <w:lang w:eastAsia="es-ES"/>
              </w:rPr>
              <w:t xml:space="preserve">de Gestión Contractual </w:t>
            </w:r>
          </w:p>
        </w:tc>
      </w:tr>
      <w:tr w:rsidR="00A2021D" w:rsidRPr="00750137" w14:paraId="19BB4A43" w14:textId="77777777" w:rsidTr="001802A9">
        <w:trPr>
          <w:trHeight w:val="300"/>
        </w:trPr>
        <w:tc>
          <w:tcPr>
            <w:tcW w:w="812" w:type="dxa"/>
            <w:vAlign w:val="center"/>
          </w:tcPr>
          <w:p w14:paraId="5446251F" w14:textId="1A3B5997" w:rsidR="00A2021D" w:rsidRPr="00750137" w:rsidRDefault="00A2021D" w:rsidP="001802A9">
            <w:pPr>
              <w:rPr>
                <w:rFonts w:ascii="Arial" w:eastAsia="Times New Roman" w:hAnsi="Arial" w:cs="Arial"/>
                <w:color w:val="000000" w:themeColor="text1"/>
                <w:sz w:val="16"/>
                <w:szCs w:val="16"/>
                <w:lang w:eastAsia="es-ES"/>
              </w:rPr>
            </w:pPr>
            <w:r w:rsidRPr="00750137">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220AF38D" w14:textId="77777777" w:rsidR="00A2021D" w:rsidRPr="00750137" w:rsidRDefault="00A2021D" w:rsidP="001802A9">
            <w:pPr>
              <w:rPr>
                <w:rFonts w:ascii="Arial" w:eastAsia="Times New Roman" w:hAnsi="Arial" w:cs="Arial"/>
                <w:color w:val="000000" w:themeColor="text1"/>
                <w:sz w:val="16"/>
                <w:szCs w:val="16"/>
                <w:lang w:eastAsia="es-ES"/>
              </w:rPr>
            </w:pPr>
            <w:r w:rsidRPr="00750137">
              <w:rPr>
                <w:rFonts w:ascii="Arial" w:eastAsia="Times New Roman" w:hAnsi="Arial" w:cs="Arial"/>
                <w:color w:val="000000" w:themeColor="text1"/>
                <w:sz w:val="16"/>
                <w:szCs w:val="16"/>
                <w:lang w:eastAsia="es-ES"/>
              </w:rPr>
              <w:t>Fabián Gonzalo Marín Cortés</w:t>
            </w:r>
          </w:p>
          <w:p w14:paraId="192E212C" w14:textId="77777777" w:rsidR="00A2021D" w:rsidRPr="00750137" w:rsidRDefault="00A2021D" w:rsidP="001802A9">
            <w:pPr>
              <w:rPr>
                <w:rFonts w:ascii="Arial" w:eastAsia="Times New Roman" w:hAnsi="Arial" w:cs="Arial"/>
                <w:color w:val="000000" w:themeColor="text1"/>
                <w:sz w:val="16"/>
                <w:szCs w:val="16"/>
                <w:lang w:eastAsia="es-ES"/>
              </w:rPr>
            </w:pPr>
            <w:r w:rsidRPr="00750137">
              <w:rPr>
                <w:rFonts w:ascii="Arial" w:eastAsia="Times New Roman" w:hAnsi="Arial" w:cs="Arial"/>
                <w:color w:val="000000" w:themeColor="text1"/>
                <w:sz w:val="16"/>
                <w:szCs w:val="16"/>
                <w:lang w:eastAsia="es-ES"/>
              </w:rPr>
              <w:t>Subdirector de Gestión Contractual</w:t>
            </w:r>
          </w:p>
        </w:tc>
      </w:tr>
    </w:tbl>
    <w:p w14:paraId="7EBF297E" w14:textId="5790A9B7" w:rsidR="007B0854" w:rsidRPr="00750137" w:rsidRDefault="007B0854" w:rsidP="00A2021D">
      <w:pPr>
        <w:rPr>
          <w:color w:val="000000" w:themeColor="text1"/>
        </w:rPr>
      </w:pPr>
    </w:p>
    <w:sectPr w:rsidR="007B0854" w:rsidRPr="00750137"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9B7FFE" w14:textId="77777777" w:rsidR="00A83D9A" w:rsidRDefault="00A83D9A">
      <w:r>
        <w:separator/>
      </w:r>
    </w:p>
  </w:endnote>
  <w:endnote w:type="continuationSeparator" w:id="0">
    <w:p w14:paraId="553D3931" w14:textId="77777777" w:rsidR="00A83D9A" w:rsidRDefault="00A83D9A">
      <w:r>
        <w:continuationSeparator/>
      </w:r>
    </w:p>
  </w:endnote>
  <w:endnote w:type="continuationNotice" w:id="1">
    <w:p w14:paraId="1957E2B3" w14:textId="77777777" w:rsidR="00A83D9A" w:rsidRDefault="00A83D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1802A9" w:rsidRDefault="001802A9" w:rsidP="00322937">
    <w:pPr>
      <w:pStyle w:val="Sinespaciado"/>
      <w:jc w:val="right"/>
      <w:rPr>
        <w:rFonts w:ascii="Arial" w:hAnsi="Arial" w:cs="Arial"/>
        <w:sz w:val="18"/>
        <w:szCs w:val="18"/>
      </w:rPr>
    </w:pPr>
  </w:p>
  <w:p w14:paraId="7A3785F3" w14:textId="358419B8" w:rsidR="001802A9" w:rsidRPr="008217B7" w:rsidRDefault="001802A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F2AE4">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F2AE4">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48FC6A04" w14:textId="5FD1A7C9" w:rsidR="001802A9" w:rsidRDefault="1F3250CE" w:rsidP="00322937">
    <w:pPr>
      <w:pStyle w:val="Piedepgina"/>
      <w:jc w:val="center"/>
      <w:rPr>
        <w:lang w:val="es-ES"/>
      </w:rPr>
    </w:pPr>
    <w:r>
      <w:rPr>
        <w:noProof/>
        <w:lang w:val="en-US"/>
      </w:rPr>
      <w:drawing>
        <wp:inline distT="0" distB="0" distL="0" distR="0" wp14:anchorId="608B196D" wp14:editId="12FB4A86">
          <wp:extent cx="3700130" cy="519139"/>
          <wp:effectExtent l="0" t="0" r="0" b="0"/>
          <wp:docPr id="52339118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1802A9" w:rsidRPr="00B8011A" w:rsidRDefault="001802A9" w:rsidP="007B0854">
    <w:pPr>
      <w:pStyle w:val="Piedepgina"/>
      <w:jc w:val="center"/>
      <w:rPr>
        <w:sz w:val="20"/>
        <w:szCs w:val="20"/>
        <w:lang w:val="es-ES"/>
      </w:rPr>
    </w:pPr>
  </w:p>
  <w:p w14:paraId="6C0EFC49" w14:textId="77777777" w:rsidR="001802A9" w:rsidRPr="007B0854" w:rsidRDefault="001802A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07D3B7" w14:textId="77777777" w:rsidR="00A83D9A" w:rsidRDefault="00A83D9A">
      <w:r>
        <w:separator/>
      </w:r>
    </w:p>
  </w:footnote>
  <w:footnote w:type="continuationSeparator" w:id="0">
    <w:p w14:paraId="283320B1" w14:textId="77777777" w:rsidR="00A83D9A" w:rsidRDefault="00A83D9A">
      <w:r>
        <w:continuationSeparator/>
      </w:r>
    </w:p>
  </w:footnote>
  <w:footnote w:type="continuationNotice" w:id="1">
    <w:p w14:paraId="7DD1C8DA" w14:textId="77777777" w:rsidR="00A83D9A" w:rsidRDefault="00A83D9A"/>
  </w:footnote>
  <w:footnote w:id="2">
    <w:p w14:paraId="32A924B8"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Corte Constitucional. Sentencia C- 341 del 4 de junio de 2014. M. P. Mauricio González Cuervo.</w:t>
      </w:r>
    </w:p>
    <w:p w14:paraId="1DF285DB" w14:textId="77777777" w:rsidR="001C2262" w:rsidRPr="00750137" w:rsidRDefault="001C2262" w:rsidP="001C2262">
      <w:pPr>
        <w:pStyle w:val="Textonotapie"/>
        <w:ind w:firstLine="708"/>
        <w:jc w:val="both"/>
        <w:rPr>
          <w:rFonts w:ascii="Arial" w:hAnsi="Arial" w:cs="Arial"/>
          <w:color w:val="000000" w:themeColor="text1"/>
          <w:sz w:val="19"/>
          <w:szCs w:val="19"/>
          <w:lang w:val="es-CO"/>
        </w:rPr>
      </w:pPr>
    </w:p>
  </w:footnote>
  <w:footnote w:id="3">
    <w:p w14:paraId="7C05E252"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8C853BC"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hAnsi="Arial" w:cs="Arial"/>
          <w:color w:val="000000" w:themeColor="text1"/>
          <w:sz w:val="19"/>
          <w:szCs w:val="19"/>
        </w:rPr>
        <w:t>»Lo anterior, sin perjuicio de las publicaciones previstas en el numeral 3 del artículo 30 de la Ley 80 de 1993.</w:t>
      </w:r>
    </w:p>
    <w:p w14:paraId="0841152A"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43D592C5"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hAnsi="Arial" w:cs="Arial"/>
          <w:color w:val="000000" w:themeColor="text1"/>
          <w:sz w:val="19"/>
          <w:szCs w:val="19"/>
        </w:rPr>
        <w:t>[…]</w:t>
      </w:r>
    </w:p>
    <w:p w14:paraId="736C7757"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232B3467" w14:textId="77777777" w:rsidR="001C2262" w:rsidRPr="00750137" w:rsidRDefault="001C2262" w:rsidP="001C2262">
      <w:pPr>
        <w:pStyle w:val="Textonotapie"/>
        <w:ind w:firstLine="708"/>
        <w:jc w:val="both"/>
        <w:rPr>
          <w:rFonts w:ascii="Arial" w:hAnsi="Arial" w:cs="Arial"/>
          <w:color w:val="000000" w:themeColor="text1"/>
          <w:sz w:val="19"/>
          <w:szCs w:val="19"/>
        </w:rPr>
      </w:pPr>
    </w:p>
  </w:footnote>
  <w:footnote w:id="4">
    <w:p w14:paraId="4B860731"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6FCED058" w14:textId="77777777" w:rsidR="001C2262" w:rsidRPr="00750137" w:rsidRDefault="001C2262" w:rsidP="001C2262">
      <w:pPr>
        <w:pStyle w:val="Textonotapie"/>
        <w:ind w:firstLine="708"/>
        <w:jc w:val="both"/>
        <w:rPr>
          <w:rFonts w:ascii="Arial" w:hAnsi="Arial" w:cs="Arial"/>
          <w:color w:val="000000" w:themeColor="text1"/>
          <w:sz w:val="19"/>
          <w:szCs w:val="19"/>
        </w:rPr>
      </w:pPr>
    </w:p>
  </w:footnote>
  <w:footnote w:id="5">
    <w:p w14:paraId="6C1BAF3C"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7D1E86F5"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72C5014" w14:textId="77777777" w:rsidR="001C2262" w:rsidRPr="00750137" w:rsidRDefault="001C2262" w:rsidP="001C2262">
      <w:pPr>
        <w:pStyle w:val="Textonotapie"/>
        <w:jc w:val="both"/>
        <w:rPr>
          <w:rFonts w:ascii="Arial" w:hAnsi="Arial" w:cs="Arial"/>
          <w:color w:val="000000" w:themeColor="text1"/>
          <w:sz w:val="19"/>
          <w:szCs w:val="19"/>
          <w:lang w:val="es-CO"/>
        </w:rPr>
      </w:pPr>
    </w:p>
  </w:footnote>
  <w:footnote w:id="6">
    <w:p w14:paraId="1A08D879" w14:textId="77777777" w:rsidR="001C2262" w:rsidRPr="00750137" w:rsidRDefault="001C2262" w:rsidP="001C2262">
      <w:pPr>
        <w:pStyle w:val="Textonotapie"/>
        <w:ind w:firstLine="709"/>
        <w:jc w:val="both"/>
        <w:rPr>
          <w:rFonts w:ascii="Arial" w:hAnsi="Arial" w:cs="Arial"/>
          <w:color w:val="000000" w:themeColor="text1"/>
          <w:sz w:val="19"/>
          <w:szCs w:val="19"/>
        </w:rPr>
      </w:pPr>
      <w:r w:rsidRPr="00750137">
        <w:rPr>
          <w:rFonts w:ascii="Arial" w:eastAsia="Times New Roman" w:hAnsi="Arial" w:cs="Arial"/>
          <w:color w:val="000000" w:themeColor="text1"/>
          <w:sz w:val="19"/>
          <w:szCs w:val="19"/>
          <w:vertAlign w:val="superscript"/>
          <w:lang w:val="es-ES" w:eastAsia="es-ES"/>
        </w:rPr>
        <w:footnoteRef/>
      </w:r>
      <w:r w:rsidRPr="00750137">
        <w:rPr>
          <w:rFonts w:ascii="Arial" w:eastAsia="Times New Roman" w:hAnsi="Arial" w:cs="Arial"/>
          <w:color w:val="000000" w:themeColor="text1"/>
          <w:sz w:val="19"/>
          <w:szCs w:val="19"/>
          <w:vertAlign w:val="superscript"/>
          <w:lang w:val="es-ES" w:eastAsia="es-ES"/>
        </w:rPr>
        <w:t xml:space="preserve"> </w:t>
      </w:r>
      <w:r w:rsidRPr="00750137">
        <w:rPr>
          <w:rFonts w:ascii="Arial" w:eastAsia="Times New Roman" w:hAnsi="Arial" w:cs="Arial"/>
          <w:color w:val="000000" w:themeColor="text1"/>
          <w:sz w:val="19"/>
          <w:szCs w:val="19"/>
          <w:lang w:val="es-ES" w:eastAsia="es-ES"/>
        </w:rPr>
        <w:t>«</w:t>
      </w:r>
      <w:r w:rsidRPr="00750137">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60655F30" w14:textId="77777777" w:rsidR="001C2262" w:rsidRPr="00750137" w:rsidRDefault="001C2262" w:rsidP="001C2262">
      <w:pPr>
        <w:pStyle w:val="Textonotapie"/>
        <w:ind w:firstLine="709"/>
        <w:jc w:val="both"/>
        <w:rPr>
          <w:rFonts w:ascii="Arial" w:hAnsi="Arial" w:cs="Arial"/>
          <w:color w:val="000000" w:themeColor="text1"/>
          <w:sz w:val="19"/>
          <w:szCs w:val="19"/>
        </w:rPr>
      </w:pPr>
      <w:r w:rsidRPr="00750137">
        <w:rPr>
          <w:rFonts w:ascii="Arial" w:hAnsi="Arial" w:cs="Arial"/>
          <w:color w:val="000000" w:themeColor="text1"/>
          <w:sz w:val="19"/>
          <w:szCs w:val="19"/>
        </w:rPr>
        <w:t>[…]</w:t>
      </w:r>
    </w:p>
    <w:p w14:paraId="2C01AE59" w14:textId="77777777" w:rsidR="001C2262" w:rsidRPr="00750137" w:rsidRDefault="001C2262" w:rsidP="001C2262">
      <w:pPr>
        <w:pStyle w:val="Textonotapie"/>
        <w:ind w:firstLine="709"/>
        <w:jc w:val="both"/>
        <w:rPr>
          <w:rFonts w:ascii="Arial" w:hAnsi="Arial" w:cs="Arial"/>
          <w:color w:val="000000" w:themeColor="text1"/>
          <w:sz w:val="19"/>
          <w:szCs w:val="19"/>
        </w:rPr>
      </w:pPr>
    </w:p>
    <w:p w14:paraId="578A541D" w14:textId="77777777" w:rsidR="001C2262" w:rsidRPr="00750137" w:rsidRDefault="001C2262" w:rsidP="001C2262">
      <w:pPr>
        <w:pStyle w:val="Textonotapie"/>
        <w:ind w:firstLine="709"/>
        <w:jc w:val="both"/>
        <w:rPr>
          <w:rFonts w:ascii="Arial" w:eastAsia="Times New Roman" w:hAnsi="Arial" w:cs="Arial"/>
          <w:color w:val="000000" w:themeColor="text1"/>
          <w:sz w:val="19"/>
          <w:szCs w:val="19"/>
          <w:lang w:val="es-ES" w:eastAsia="es-ES"/>
        </w:rPr>
      </w:pPr>
      <w:r w:rsidRPr="00750137">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70C9B6D2" w14:textId="77777777" w:rsidR="001C2262" w:rsidRPr="00750137" w:rsidRDefault="001C2262" w:rsidP="001C2262">
      <w:pPr>
        <w:pStyle w:val="Textonotapie"/>
        <w:ind w:firstLine="709"/>
        <w:jc w:val="both"/>
        <w:rPr>
          <w:rFonts w:ascii="Arial" w:eastAsia="Times New Roman" w:hAnsi="Arial" w:cs="Arial"/>
          <w:color w:val="000000" w:themeColor="text1"/>
          <w:sz w:val="19"/>
          <w:szCs w:val="19"/>
          <w:lang w:val="es-ES" w:eastAsia="es-ES"/>
        </w:rPr>
      </w:pPr>
    </w:p>
  </w:footnote>
  <w:footnote w:id="7">
    <w:p w14:paraId="057791C6" w14:textId="77777777" w:rsidR="001C2262" w:rsidRPr="00750137" w:rsidRDefault="001C2262" w:rsidP="001C2262">
      <w:pPr>
        <w:pStyle w:val="Textonotapie"/>
        <w:ind w:firstLine="708"/>
        <w:jc w:val="both"/>
        <w:rPr>
          <w:rFonts w:ascii="Arial" w:eastAsia="Times New Roman" w:hAnsi="Arial" w:cs="Arial"/>
          <w:color w:val="000000" w:themeColor="text1"/>
          <w:sz w:val="19"/>
          <w:szCs w:val="19"/>
          <w:lang w:val="es-ES" w:eastAsia="es-ES"/>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C</w:t>
      </w:r>
      <w:r w:rsidRPr="00750137">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57201997" w14:textId="77777777" w:rsidR="001C2262" w:rsidRPr="00750137" w:rsidRDefault="001C2262" w:rsidP="001C2262">
      <w:pPr>
        <w:pStyle w:val="Textonotapie"/>
        <w:ind w:firstLine="708"/>
        <w:jc w:val="both"/>
        <w:rPr>
          <w:rFonts w:ascii="Arial" w:eastAsia="Times New Roman" w:hAnsi="Arial" w:cs="Arial"/>
          <w:color w:val="000000" w:themeColor="text1"/>
          <w:sz w:val="19"/>
          <w:szCs w:val="19"/>
          <w:lang w:val="es-ES" w:eastAsia="es-ES"/>
        </w:rPr>
      </w:pPr>
    </w:p>
  </w:footnote>
  <w:footnote w:id="8">
    <w:p w14:paraId="0582ACB2" w14:textId="77777777" w:rsidR="001C2262" w:rsidRPr="00750137" w:rsidRDefault="001C2262" w:rsidP="001C2262">
      <w:pPr>
        <w:pStyle w:val="Textonotapie"/>
        <w:ind w:firstLine="708"/>
        <w:jc w:val="both"/>
        <w:rPr>
          <w:rFonts w:ascii="Arial" w:hAnsi="Arial" w:cs="Arial"/>
          <w:color w:val="000000" w:themeColor="text1"/>
          <w:sz w:val="19"/>
          <w:szCs w:val="19"/>
          <w:lang w:val="es-CO"/>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9">
    <w:p w14:paraId="0127DF4A" w14:textId="66C57715"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w:t>
      </w:r>
      <w:r w:rsidR="001D2D96" w:rsidRPr="00750137">
        <w:rPr>
          <w:rFonts w:ascii="Arial" w:hAnsi="Arial" w:cs="Arial"/>
          <w:color w:val="000000" w:themeColor="text1"/>
          <w:sz w:val="19"/>
          <w:szCs w:val="19"/>
        </w:rPr>
        <w:t xml:space="preserve">Consejo de Estado. Sección Tercera. </w:t>
      </w:r>
      <w:r w:rsidRPr="00750137">
        <w:rPr>
          <w:rFonts w:ascii="Arial" w:hAnsi="Arial" w:cs="Arial"/>
          <w:color w:val="000000" w:themeColor="text1"/>
          <w:sz w:val="19"/>
          <w:szCs w:val="19"/>
        </w:rPr>
        <w:t xml:space="preserve">Auto del 14 de agosto de 2017.  Exp: 58.820. C.P. Jaime Orlando Santofimio Gamboa. </w:t>
      </w:r>
    </w:p>
    <w:p w14:paraId="71ADDD51" w14:textId="77777777" w:rsidR="001C2262" w:rsidRPr="00750137" w:rsidRDefault="001C2262" w:rsidP="001C2262">
      <w:pPr>
        <w:pStyle w:val="Textonotapie"/>
        <w:ind w:firstLine="708"/>
        <w:jc w:val="both"/>
        <w:rPr>
          <w:rFonts w:ascii="Arial" w:hAnsi="Arial" w:cs="Arial"/>
          <w:color w:val="000000" w:themeColor="text1"/>
          <w:sz w:val="19"/>
          <w:szCs w:val="19"/>
          <w:lang w:val="es-CO"/>
        </w:rPr>
      </w:pPr>
    </w:p>
  </w:footnote>
  <w:footnote w:id="10">
    <w:p w14:paraId="3610588D" w14:textId="77777777" w:rsidR="001C2262" w:rsidRPr="00750137" w:rsidRDefault="001C2262" w:rsidP="001C2262">
      <w:pPr>
        <w:pStyle w:val="Prrafodelista"/>
        <w:ind w:left="0" w:firstLine="708"/>
        <w:contextualSpacing w:val="0"/>
        <w:jc w:val="both"/>
        <w:rPr>
          <w:rFonts w:ascii="Arial" w:hAnsi="Arial" w:cs="Arial"/>
          <w:bCs/>
          <w:color w:val="000000" w:themeColor="text1"/>
          <w:sz w:val="19"/>
          <w:szCs w:val="19"/>
          <w:lang w:val="es-ES"/>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w:t>
      </w:r>
      <w:r w:rsidRPr="00750137">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2C21DC6F" w14:textId="77777777" w:rsidR="001C2262" w:rsidRPr="00750137" w:rsidRDefault="001C2262" w:rsidP="001C2262">
      <w:pPr>
        <w:pStyle w:val="Textonotapie"/>
        <w:ind w:firstLine="708"/>
        <w:jc w:val="both"/>
        <w:rPr>
          <w:rFonts w:ascii="Arial" w:hAnsi="Arial" w:cs="Arial"/>
          <w:color w:val="000000" w:themeColor="text1"/>
          <w:sz w:val="19"/>
          <w:szCs w:val="19"/>
          <w:lang w:val="es-ES"/>
        </w:rPr>
      </w:pPr>
    </w:p>
  </w:footnote>
  <w:footnote w:id="11">
    <w:p w14:paraId="2A12658B"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1ECE4975" w14:textId="77777777" w:rsidR="001C2262" w:rsidRPr="00750137" w:rsidRDefault="001C2262" w:rsidP="001C2262">
      <w:pPr>
        <w:pStyle w:val="Textonotapie"/>
        <w:ind w:firstLine="708"/>
        <w:jc w:val="both"/>
        <w:rPr>
          <w:rFonts w:ascii="Arial" w:eastAsia="Times New Roman" w:hAnsi="Arial" w:cs="Arial"/>
          <w:color w:val="000000" w:themeColor="text1"/>
          <w:sz w:val="19"/>
          <w:szCs w:val="19"/>
          <w:lang w:val="es-ES" w:eastAsia="es-ES"/>
        </w:rPr>
      </w:pPr>
      <w:r w:rsidRPr="00750137">
        <w:rPr>
          <w:rFonts w:ascii="Arial" w:hAnsi="Arial" w:cs="Arial"/>
          <w:color w:val="000000" w:themeColor="text1"/>
          <w:sz w:val="19"/>
          <w:szCs w:val="19"/>
          <w:lang w:val="es-ES"/>
        </w:rPr>
        <w:t>»</w:t>
      </w:r>
      <w:r w:rsidRPr="00750137">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2">
    <w:p w14:paraId="6AE4DDAD"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69191D52" w14:textId="77777777" w:rsidR="001C2262" w:rsidRPr="00750137" w:rsidRDefault="001C2262" w:rsidP="001C2262">
      <w:pPr>
        <w:pStyle w:val="Textonotapie"/>
        <w:ind w:firstLine="708"/>
        <w:jc w:val="both"/>
        <w:rPr>
          <w:rFonts w:ascii="Arial" w:hAnsi="Arial" w:cs="Arial"/>
          <w:color w:val="000000" w:themeColor="text1"/>
          <w:sz w:val="19"/>
          <w:szCs w:val="19"/>
        </w:rPr>
      </w:pPr>
    </w:p>
  </w:footnote>
  <w:footnote w:id="13">
    <w:p w14:paraId="0386CD27"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6578F608" w14:textId="77777777" w:rsidR="001C2262" w:rsidRPr="00750137" w:rsidRDefault="001C2262" w:rsidP="001C2262">
      <w:pPr>
        <w:pStyle w:val="Textonotapie"/>
        <w:ind w:firstLine="708"/>
        <w:jc w:val="both"/>
        <w:rPr>
          <w:rFonts w:ascii="Arial" w:hAnsi="Arial" w:cs="Arial"/>
          <w:color w:val="000000" w:themeColor="text1"/>
          <w:sz w:val="19"/>
          <w:szCs w:val="19"/>
        </w:rPr>
      </w:pPr>
    </w:p>
  </w:footnote>
  <w:footnote w:id="14">
    <w:p w14:paraId="6C8378D4"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0ABF5AC0"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hAnsi="Arial" w:cs="Arial"/>
          <w:color w:val="000000" w:themeColor="text1"/>
          <w:sz w:val="19"/>
          <w:szCs w:val="19"/>
          <w:lang w:val="es-ES"/>
        </w:rPr>
        <w:t>»</w:t>
      </w:r>
      <w:r w:rsidRPr="00750137">
        <w:rPr>
          <w:rFonts w:ascii="Arial" w:hAnsi="Arial" w:cs="Arial"/>
          <w:color w:val="000000" w:themeColor="text1"/>
          <w:sz w:val="19"/>
          <w:szCs w:val="19"/>
        </w:rPr>
        <w:t>Los sujetos obligados que no contratan con cargo a recursos públicos no están obligados a publicar su Plan Anual de Adquisiciones.</w:t>
      </w:r>
    </w:p>
    <w:p w14:paraId="6A09236E"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hAnsi="Arial" w:cs="Arial"/>
          <w:color w:val="000000" w:themeColor="text1"/>
          <w:sz w:val="19"/>
          <w:szCs w:val="19"/>
          <w:lang w:val="es-ES"/>
        </w:rPr>
        <w:t>»</w:t>
      </w:r>
      <w:r w:rsidRPr="00750137">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7BA12F30"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hAnsi="Arial" w:cs="Arial"/>
          <w:color w:val="000000" w:themeColor="text1"/>
          <w:sz w:val="19"/>
          <w:szCs w:val="19"/>
          <w:lang w:val="es-ES"/>
        </w:rPr>
        <w:t>»</w:t>
      </w:r>
      <w:r w:rsidRPr="00750137">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5">
    <w:p w14:paraId="719C4AC8"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13EDCEB9"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eastAsia="Calibri" w:hAnsi="Arial" w:cs="Arial"/>
          <w:color w:val="000000" w:themeColor="text1"/>
          <w:sz w:val="19"/>
          <w:szCs w:val="19"/>
        </w:rPr>
        <w:t>»</w:t>
      </w:r>
      <w:r w:rsidRPr="00750137">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2520509F" w14:textId="77777777" w:rsidR="001C2262" w:rsidRPr="00750137" w:rsidRDefault="001C2262" w:rsidP="001C2262">
      <w:pPr>
        <w:pStyle w:val="Textonotapie"/>
        <w:ind w:firstLine="708"/>
        <w:jc w:val="both"/>
        <w:rPr>
          <w:rFonts w:ascii="Arial" w:hAnsi="Arial" w:cs="Arial"/>
          <w:color w:val="000000" w:themeColor="text1"/>
          <w:sz w:val="19"/>
          <w:szCs w:val="19"/>
          <w:lang w:val="es-CO"/>
        </w:rPr>
      </w:pPr>
    </w:p>
  </w:footnote>
  <w:footnote w:id="16">
    <w:p w14:paraId="63C1AD31" w14:textId="77777777" w:rsidR="001C2262" w:rsidRPr="00750137" w:rsidRDefault="001C2262" w:rsidP="001C2262">
      <w:pPr>
        <w:pStyle w:val="Textonotapie"/>
        <w:ind w:firstLine="709"/>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181E0AF1" w14:textId="77777777" w:rsidR="001C2262" w:rsidRPr="00750137" w:rsidRDefault="001C2262" w:rsidP="001C2262">
      <w:pPr>
        <w:pStyle w:val="Textonotapie"/>
        <w:ind w:firstLine="709"/>
        <w:jc w:val="both"/>
        <w:rPr>
          <w:rFonts w:ascii="Arial" w:hAnsi="Arial" w:cs="Arial"/>
          <w:color w:val="000000" w:themeColor="text1"/>
          <w:sz w:val="19"/>
          <w:szCs w:val="19"/>
        </w:rPr>
      </w:pPr>
      <w:r w:rsidRPr="00750137">
        <w:rPr>
          <w:rFonts w:ascii="Arial" w:eastAsia="Calibri" w:hAnsi="Arial" w:cs="Arial"/>
          <w:color w:val="000000" w:themeColor="text1"/>
          <w:sz w:val="19"/>
          <w:szCs w:val="19"/>
        </w:rPr>
        <w:t>»</w:t>
      </w:r>
      <w:r w:rsidRPr="00750137">
        <w:rPr>
          <w:rFonts w:ascii="Arial" w:hAnsi="Arial" w:cs="Arial"/>
          <w:color w:val="000000" w:themeColor="text1"/>
          <w:sz w:val="19"/>
          <w:szCs w:val="19"/>
        </w:rPr>
        <w:t>La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750137">
        <w:rPr>
          <w:rFonts w:ascii="Arial" w:eastAsia="Calibri" w:hAnsi="Arial" w:cs="Arial"/>
          <w:color w:val="000000" w:themeColor="text1"/>
          <w:sz w:val="19"/>
          <w:szCs w:val="19"/>
        </w:rPr>
        <w:t>»</w:t>
      </w:r>
      <w:r w:rsidRPr="00750137">
        <w:rPr>
          <w:rFonts w:ascii="Arial" w:hAnsi="Arial" w:cs="Arial"/>
          <w:color w:val="000000" w:themeColor="text1"/>
          <w:sz w:val="19"/>
          <w:szCs w:val="19"/>
        </w:rPr>
        <w:t xml:space="preserve">. </w:t>
      </w:r>
    </w:p>
    <w:p w14:paraId="539686BB"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eastAsia="Calibri" w:hAnsi="Arial" w:cs="Arial"/>
          <w:color w:val="000000" w:themeColor="text1"/>
          <w:sz w:val="19"/>
          <w:szCs w:val="19"/>
        </w:rPr>
        <w:t>»</w:t>
      </w:r>
      <w:r w:rsidRPr="00750137">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50BBA334" w14:textId="77777777" w:rsidR="001C2262" w:rsidRPr="00750137" w:rsidRDefault="001C2262" w:rsidP="001C2262">
      <w:pPr>
        <w:pStyle w:val="Textonotapie"/>
        <w:ind w:firstLine="708"/>
        <w:jc w:val="both"/>
        <w:rPr>
          <w:rFonts w:ascii="Arial" w:hAnsi="Arial" w:cs="Arial"/>
          <w:color w:val="000000" w:themeColor="text1"/>
          <w:sz w:val="19"/>
          <w:szCs w:val="19"/>
          <w:lang w:val="es-CO"/>
        </w:rPr>
      </w:pPr>
    </w:p>
  </w:footnote>
  <w:footnote w:id="17">
    <w:p w14:paraId="4970D19D"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Corte Constitucional. Sentencia C- 083 del 1 de marzo de 1995. M.P. Carlos Gaviria Díaz.</w:t>
      </w:r>
    </w:p>
    <w:p w14:paraId="08265811" w14:textId="77777777" w:rsidR="001C2262" w:rsidRPr="00750137" w:rsidRDefault="001C2262" w:rsidP="001C2262">
      <w:pPr>
        <w:pStyle w:val="Textonotapie"/>
        <w:ind w:firstLine="708"/>
        <w:jc w:val="both"/>
        <w:rPr>
          <w:rFonts w:ascii="Arial" w:hAnsi="Arial" w:cs="Arial"/>
          <w:color w:val="000000" w:themeColor="text1"/>
          <w:sz w:val="19"/>
          <w:szCs w:val="19"/>
          <w:lang w:val="es-CO"/>
        </w:rPr>
      </w:pPr>
    </w:p>
  </w:footnote>
  <w:footnote w:id="18">
    <w:p w14:paraId="420D4A75"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12EE52E2"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Fonts w:ascii="Arial" w:eastAsia="Calibri" w:hAnsi="Arial" w:cs="Arial"/>
          <w:color w:val="000000" w:themeColor="text1"/>
          <w:sz w:val="19"/>
          <w:szCs w:val="19"/>
        </w:rPr>
        <w:t>»</w:t>
      </w:r>
      <w:r w:rsidRPr="00750137">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5BEE5C8D" w14:textId="77777777" w:rsidR="001C2262" w:rsidRPr="00750137" w:rsidRDefault="001C2262" w:rsidP="001C2262">
      <w:pPr>
        <w:pStyle w:val="Textonotapie"/>
        <w:ind w:firstLine="708"/>
        <w:jc w:val="both"/>
        <w:rPr>
          <w:rFonts w:ascii="Arial" w:hAnsi="Arial" w:cs="Arial"/>
          <w:color w:val="000000" w:themeColor="text1"/>
          <w:sz w:val="19"/>
          <w:szCs w:val="19"/>
          <w:lang w:val="es-CO"/>
        </w:rPr>
      </w:pPr>
    </w:p>
  </w:footnote>
  <w:footnote w:id="19">
    <w:p w14:paraId="7150E12F" w14:textId="77777777" w:rsidR="001C2262" w:rsidRPr="00750137" w:rsidRDefault="001C2262" w:rsidP="001C2262">
      <w:pPr>
        <w:pStyle w:val="Textonotapie"/>
        <w:ind w:firstLine="708"/>
        <w:jc w:val="both"/>
        <w:rPr>
          <w:rFonts w:ascii="Arial" w:hAnsi="Arial" w:cs="Arial"/>
          <w:color w:val="000000" w:themeColor="text1"/>
          <w:sz w:val="19"/>
          <w:szCs w:val="19"/>
        </w:rPr>
      </w:pPr>
      <w:r w:rsidRPr="00750137">
        <w:rPr>
          <w:rStyle w:val="Refdenotaalpie"/>
          <w:rFonts w:ascii="Arial" w:hAnsi="Arial" w:cs="Arial"/>
          <w:color w:val="000000" w:themeColor="text1"/>
          <w:sz w:val="19"/>
          <w:szCs w:val="19"/>
        </w:rPr>
        <w:footnoteRef/>
      </w:r>
      <w:r w:rsidRPr="00750137">
        <w:rPr>
          <w:rFonts w:ascii="Arial" w:hAnsi="Arial" w:cs="Arial"/>
          <w:color w:val="000000" w:themeColor="text1"/>
          <w:sz w:val="19"/>
          <w:szCs w:val="19"/>
        </w:rPr>
        <w:t xml:space="preserve"> Consejo de Estado. Sección Tercera. Subsección. Auto del 17 de agosto de 2017. Exp. 11001-03-26-000-2017-00031-00 (58.820). C.P. Jaime Orlando Santofimio.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1802A9" w:rsidRDefault="001802A9">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C34A93D0"/>
    <w:lvl w:ilvl="0">
      <w:start w:val="1"/>
      <w:numFmt w:val="decimal"/>
      <w:lvlText w:val="%1."/>
      <w:lvlJc w:val="left"/>
      <w:pPr>
        <w:ind w:left="360" w:hanging="360"/>
      </w:pPr>
      <w:rPr>
        <w:rFonts w:hint="default"/>
        <w:b/>
        <w:sz w:val="22"/>
      </w:rPr>
    </w:lvl>
    <w:lvl w:ilvl="1">
      <w:start w:val="1"/>
      <w:numFmt w:val="decimal"/>
      <w:isLgl/>
      <w:lvlText w:val="%1.%2"/>
      <w:lvlJc w:val="left"/>
      <w:pPr>
        <w:ind w:left="502" w:hanging="360"/>
      </w:pPr>
      <w:rPr>
        <w:rFonts w:hint="default"/>
        <w:sz w:val="2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95E"/>
    <w:rsid w:val="00010363"/>
    <w:rsid w:val="000205FF"/>
    <w:rsid w:val="00020A82"/>
    <w:rsid w:val="00047598"/>
    <w:rsid w:val="000809CC"/>
    <w:rsid w:val="00084B97"/>
    <w:rsid w:val="000942EB"/>
    <w:rsid w:val="000A38B9"/>
    <w:rsid w:val="000B103F"/>
    <w:rsid w:val="000F14E8"/>
    <w:rsid w:val="000F7989"/>
    <w:rsid w:val="00103915"/>
    <w:rsid w:val="00122B23"/>
    <w:rsid w:val="0013044F"/>
    <w:rsid w:val="00137FFA"/>
    <w:rsid w:val="00145510"/>
    <w:rsid w:val="001802A9"/>
    <w:rsid w:val="001B0444"/>
    <w:rsid w:val="001B5FF8"/>
    <w:rsid w:val="001C0941"/>
    <w:rsid w:val="001C2262"/>
    <w:rsid w:val="001D2D96"/>
    <w:rsid w:val="001E0AE2"/>
    <w:rsid w:val="001E1D2A"/>
    <w:rsid w:val="001E3455"/>
    <w:rsid w:val="002012BE"/>
    <w:rsid w:val="0020632A"/>
    <w:rsid w:val="002110EB"/>
    <w:rsid w:val="00211338"/>
    <w:rsid w:val="00234B84"/>
    <w:rsid w:val="00260366"/>
    <w:rsid w:val="00274054"/>
    <w:rsid w:val="00280765"/>
    <w:rsid w:val="002817DE"/>
    <w:rsid w:val="0028437A"/>
    <w:rsid w:val="002C4C0C"/>
    <w:rsid w:val="003033BA"/>
    <w:rsid w:val="00311D88"/>
    <w:rsid w:val="00322937"/>
    <w:rsid w:val="0032355D"/>
    <w:rsid w:val="003346F9"/>
    <w:rsid w:val="00337038"/>
    <w:rsid w:val="0034177C"/>
    <w:rsid w:val="0034680A"/>
    <w:rsid w:val="00353DD5"/>
    <w:rsid w:val="00386456"/>
    <w:rsid w:val="003A0878"/>
    <w:rsid w:val="003A581E"/>
    <w:rsid w:val="003C7001"/>
    <w:rsid w:val="003C7C85"/>
    <w:rsid w:val="003D4DC8"/>
    <w:rsid w:val="003F0375"/>
    <w:rsid w:val="00412DA4"/>
    <w:rsid w:val="00415305"/>
    <w:rsid w:val="00423F9F"/>
    <w:rsid w:val="004422D6"/>
    <w:rsid w:val="00455EFE"/>
    <w:rsid w:val="00460EF9"/>
    <w:rsid w:val="0049241A"/>
    <w:rsid w:val="004A34D2"/>
    <w:rsid w:val="004B4C5D"/>
    <w:rsid w:val="004C6B2C"/>
    <w:rsid w:val="004D08DE"/>
    <w:rsid w:val="004D3867"/>
    <w:rsid w:val="004D7ACD"/>
    <w:rsid w:val="0051074C"/>
    <w:rsid w:val="00513AF2"/>
    <w:rsid w:val="0052153F"/>
    <w:rsid w:val="0054413A"/>
    <w:rsid w:val="005564CA"/>
    <w:rsid w:val="0056182B"/>
    <w:rsid w:val="00564F23"/>
    <w:rsid w:val="005756AA"/>
    <w:rsid w:val="005C0945"/>
    <w:rsid w:val="005D0E68"/>
    <w:rsid w:val="005D51FA"/>
    <w:rsid w:val="005D791B"/>
    <w:rsid w:val="00614817"/>
    <w:rsid w:val="00633DBF"/>
    <w:rsid w:val="00655371"/>
    <w:rsid w:val="0067138C"/>
    <w:rsid w:val="00685CD2"/>
    <w:rsid w:val="00693854"/>
    <w:rsid w:val="00697665"/>
    <w:rsid w:val="006A7CB5"/>
    <w:rsid w:val="006A7FD0"/>
    <w:rsid w:val="006D7687"/>
    <w:rsid w:val="006E0572"/>
    <w:rsid w:val="00705631"/>
    <w:rsid w:val="00715EAA"/>
    <w:rsid w:val="00723A3B"/>
    <w:rsid w:val="00742DD2"/>
    <w:rsid w:val="00747C96"/>
    <w:rsid w:val="00750137"/>
    <w:rsid w:val="0075094E"/>
    <w:rsid w:val="007522E8"/>
    <w:rsid w:val="0075647A"/>
    <w:rsid w:val="007634AD"/>
    <w:rsid w:val="007677CD"/>
    <w:rsid w:val="00767C83"/>
    <w:rsid w:val="00772DFE"/>
    <w:rsid w:val="0078122E"/>
    <w:rsid w:val="00782C98"/>
    <w:rsid w:val="00795647"/>
    <w:rsid w:val="007B0854"/>
    <w:rsid w:val="007B66A7"/>
    <w:rsid w:val="007E2EE2"/>
    <w:rsid w:val="007F6B46"/>
    <w:rsid w:val="007F72CB"/>
    <w:rsid w:val="008217B7"/>
    <w:rsid w:val="0083119B"/>
    <w:rsid w:val="00835158"/>
    <w:rsid w:val="00836EAB"/>
    <w:rsid w:val="0085092D"/>
    <w:rsid w:val="00850F79"/>
    <w:rsid w:val="0085457F"/>
    <w:rsid w:val="008579B7"/>
    <w:rsid w:val="00860C6E"/>
    <w:rsid w:val="00864E82"/>
    <w:rsid w:val="0087643C"/>
    <w:rsid w:val="008921D3"/>
    <w:rsid w:val="008948F0"/>
    <w:rsid w:val="0089774F"/>
    <w:rsid w:val="008C11D5"/>
    <w:rsid w:val="008E1C15"/>
    <w:rsid w:val="008F538E"/>
    <w:rsid w:val="009047C5"/>
    <w:rsid w:val="00905A57"/>
    <w:rsid w:val="0095236E"/>
    <w:rsid w:val="0095385A"/>
    <w:rsid w:val="00956866"/>
    <w:rsid w:val="009A786B"/>
    <w:rsid w:val="009C7E31"/>
    <w:rsid w:val="009F59C2"/>
    <w:rsid w:val="009F6C1B"/>
    <w:rsid w:val="00A2021D"/>
    <w:rsid w:val="00A24560"/>
    <w:rsid w:val="00A34538"/>
    <w:rsid w:val="00A37FB6"/>
    <w:rsid w:val="00A77B83"/>
    <w:rsid w:val="00A83D9A"/>
    <w:rsid w:val="00A93843"/>
    <w:rsid w:val="00AA08E7"/>
    <w:rsid w:val="00AA442B"/>
    <w:rsid w:val="00AA669D"/>
    <w:rsid w:val="00AC42AB"/>
    <w:rsid w:val="00AF1C39"/>
    <w:rsid w:val="00B01C92"/>
    <w:rsid w:val="00B13EC0"/>
    <w:rsid w:val="00B22E22"/>
    <w:rsid w:val="00B304BA"/>
    <w:rsid w:val="00B32CA6"/>
    <w:rsid w:val="00B525CB"/>
    <w:rsid w:val="00B57099"/>
    <w:rsid w:val="00B63872"/>
    <w:rsid w:val="00B63CB2"/>
    <w:rsid w:val="00B64EDB"/>
    <w:rsid w:val="00B745AE"/>
    <w:rsid w:val="00B8011A"/>
    <w:rsid w:val="00B87E81"/>
    <w:rsid w:val="00B90672"/>
    <w:rsid w:val="00B91B8E"/>
    <w:rsid w:val="00BD78FE"/>
    <w:rsid w:val="00BD7D5E"/>
    <w:rsid w:val="00BE4059"/>
    <w:rsid w:val="00BE5FCF"/>
    <w:rsid w:val="00BF0537"/>
    <w:rsid w:val="00C94806"/>
    <w:rsid w:val="00CA5D70"/>
    <w:rsid w:val="00CC00CD"/>
    <w:rsid w:val="00CF1849"/>
    <w:rsid w:val="00D01760"/>
    <w:rsid w:val="00D16E39"/>
    <w:rsid w:val="00D223B6"/>
    <w:rsid w:val="00D60327"/>
    <w:rsid w:val="00D6643F"/>
    <w:rsid w:val="00D70422"/>
    <w:rsid w:val="00D72E9D"/>
    <w:rsid w:val="00D82CE5"/>
    <w:rsid w:val="00DA5AB1"/>
    <w:rsid w:val="00DC62E5"/>
    <w:rsid w:val="00DD735D"/>
    <w:rsid w:val="00DE0333"/>
    <w:rsid w:val="00DE3119"/>
    <w:rsid w:val="00DF236B"/>
    <w:rsid w:val="00DF2AE4"/>
    <w:rsid w:val="00DF390C"/>
    <w:rsid w:val="00E04660"/>
    <w:rsid w:val="00E0693C"/>
    <w:rsid w:val="00E13AB8"/>
    <w:rsid w:val="00E208FA"/>
    <w:rsid w:val="00E238FC"/>
    <w:rsid w:val="00E25CB3"/>
    <w:rsid w:val="00E33B62"/>
    <w:rsid w:val="00E40F5B"/>
    <w:rsid w:val="00E4143A"/>
    <w:rsid w:val="00E81FB3"/>
    <w:rsid w:val="00E8426F"/>
    <w:rsid w:val="00EA32C6"/>
    <w:rsid w:val="00EE1740"/>
    <w:rsid w:val="00EE59B5"/>
    <w:rsid w:val="00F0611C"/>
    <w:rsid w:val="00F073FC"/>
    <w:rsid w:val="00F1332E"/>
    <w:rsid w:val="00F44122"/>
    <w:rsid w:val="00F75CDA"/>
    <w:rsid w:val="00F84899"/>
    <w:rsid w:val="00F859F0"/>
    <w:rsid w:val="00FA7831"/>
    <w:rsid w:val="00FC27EA"/>
    <w:rsid w:val="00FE141E"/>
    <w:rsid w:val="00FE42ED"/>
    <w:rsid w:val="1F3250CE"/>
    <w:rsid w:val="493069D7"/>
    <w:rsid w:val="4C203CA3"/>
    <w:rsid w:val="6DBFD31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7087F2A3-67E7-41B4-A499-C3420CA55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094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917D00-DCAE-42C4-A565-D2C9D07024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F552AC85-965A-4B63-A6C5-C02CA0401A62}">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9E338DFC-0351-4CC3-81A6-6789B067B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4485</Words>
  <Characters>25568</Characters>
  <Application>Microsoft Office Word</Application>
  <DocSecurity>0</DocSecurity>
  <Lines>213</Lines>
  <Paragraphs>59</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29994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cp:lastPrinted>2020-03-05T08:47:00Z</cp:lastPrinted>
  <dcterms:created xsi:type="dcterms:W3CDTF">2020-08-18T15:47:00Z</dcterms:created>
  <dcterms:modified xsi:type="dcterms:W3CDTF">2020-08-18T15:47:00Z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