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B70B76" w14:textId="77777777" w:rsidR="00DA7C09" w:rsidRPr="00340215" w:rsidRDefault="00DA7C09" w:rsidP="00A52E4C">
      <w:pPr>
        <w:spacing w:after="0" w:line="240" w:lineRule="auto"/>
        <w:rPr>
          <w:rFonts w:ascii="Arial" w:hAnsi="Arial" w:cs="Arial"/>
          <w:b/>
          <w:bCs/>
          <w:color w:val="000000" w:themeColor="text1"/>
          <w:sz w:val="22"/>
          <w:lang w:val="es-ES_tradnl"/>
        </w:rPr>
      </w:pPr>
      <w:bookmarkStart w:id="0" w:name="_Hlk78821436"/>
      <w:r w:rsidRPr="00340215">
        <w:rPr>
          <w:rFonts w:ascii="Arial" w:hAnsi="Arial" w:cs="Arial"/>
          <w:b/>
          <w:bCs/>
          <w:color w:val="000000" w:themeColor="text1"/>
          <w:sz w:val="22"/>
          <w:lang w:val="es-ES_tradnl"/>
        </w:rPr>
        <w:t xml:space="preserve">REGALÍAS – Noción – Contraprestación económica </w:t>
      </w:r>
    </w:p>
    <w:p w14:paraId="763F8335" w14:textId="77777777" w:rsidR="00DA7C09" w:rsidRPr="00340215" w:rsidRDefault="00DA7C09" w:rsidP="00A52E4C">
      <w:pPr>
        <w:spacing w:after="0" w:line="240" w:lineRule="auto"/>
        <w:rPr>
          <w:rFonts w:ascii="Arial" w:hAnsi="Arial" w:cs="Arial"/>
          <w:b/>
          <w:bCs/>
          <w:color w:val="000000" w:themeColor="text1"/>
          <w:sz w:val="22"/>
          <w:lang w:val="es-ES_tradnl"/>
        </w:rPr>
      </w:pPr>
    </w:p>
    <w:p w14:paraId="7D99842F" w14:textId="7B440DA0" w:rsidR="00DA7C09" w:rsidRPr="00340215" w:rsidRDefault="00DA7C09" w:rsidP="006006DA">
      <w:pPr>
        <w:spacing w:after="0" w:line="240" w:lineRule="auto"/>
        <w:rPr>
          <w:rFonts w:ascii="Arial" w:hAnsi="Arial" w:cs="Arial"/>
          <w:color w:val="000000" w:themeColor="text1"/>
          <w:sz w:val="20"/>
          <w:szCs w:val="20"/>
          <w:lang w:val="es-ES_tradnl"/>
        </w:rPr>
      </w:pPr>
      <w:r w:rsidRPr="00340215">
        <w:rPr>
          <w:rFonts w:ascii="Arial" w:hAnsi="Arial" w:cs="Arial"/>
          <w:color w:val="000000" w:themeColor="text1"/>
          <w:sz w:val="20"/>
          <w:szCs w:val="20"/>
          <w:lang w:val="es-ES_tradnl"/>
        </w:rPr>
        <w:t xml:space="preserve">El artículo 360 de la Constitución Política, modificado por el artículo 1 del Acto Legislativo 5 de 2011, define las regalías como una contraprestación económica a favor del Estado que es causada por la explotación de un recurso natural no renovable. </w:t>
      </w:r>
    </w:p>
    <w:p w14:paraId="6FDFE419" w14:textId="77777777" w:rsidR="006006DA" w:rsidRPr="00340215" w:rsidRDefault="006006DA" w:rsidP="006006DA">
      <w:pPr>
        <w:spacing w:after="0" w:line="240" w:lineRule="auto"/>
        <w:rPr>
          <w:rFonts w:ascii="Arial" w:hAnsi="Arial" w:cs="Arial"/>
          <w:color w:val="000000" w:themeColor="text1"/>
          <w:sz w:val="20"/>
          <w:szCs w:val="20"/>
          <w:lang w:val="es-ES_tradnl"/>
        </w:rPr>
      </w:pPr>
    </w:p>
    <w:p w14:paraId="0570E9B3" w14:textId="77777777" w:rsidR="00DA7C09" w:rsidRPr="00340215" w:rsidRDefault="00DA7C09" w:rsidP="006006DA">
      <w:pPr>
        <w:spacing w:after="0" w:line="240" w:lineRule="auto"/>
        <w:rPr>
          <w:rFonts w:ascii="Arial" w:hAnsi="Arial" w:cs="Arial"/>
          <w:color w:val="000000" w:themeColor="text1"/>
          <w:sz w:val="20"/>
          <w:szCs w:val="20"/>
          <w:lang w:val="es-ES_tradnl"/>
        </w:rPr>
      </w:pPr>
      <w:r w:rsidRPr="00340215">
        <w:rPr>
          <w:rFonts w:ascii="Arial" w:hAnsi="Arial" w:cs="Arial"/>
          <w:color w:val="000000" w:themeColor="text1"/>
          <w:sz w:val="20"/>
          <w:szCs w:val="20"/>
          <w:lang w:val="es-ES_tradnl"/>
        </w:rPr>
        <w:t>En ese sentido, la Corte Constitucional se ha encargado de definir las regalías como una contraprestación recibida a cambio de la concesión de derechos a particulares para la exploración de recursos naturales, diferenciándolas de otros ingresos nacionales como los impuestos, como quiera que estas carecen del carácter impositivo de los tributos. Las regalías son comprendidas por el derecho constitucional como una contraprestación económica que recibe el Estado, en razón de la extracción de recursos naturales no renovables existentes en el subsuelo.  Como lo ha explicado la jurisprudencia reiterada, este concepto refiere a la “contraprestación económica que percibe el Estado de las personas a quienes se les concede el derecho a explotar los recursos naturales no renovables en determinado porcentaje sobre el producto bruto explotado.</w:t>
      </w:r>
    </w:p>
    <w:p w14:paraId="60B7C60B" w14:textId="77777777" w:rsidR="006006DA" w:rsidRPr="00340215" w:rsidRDefault="006006DA" w:rsidP="006006DA">
      <w:pPr>
        <w:spacing w:after="0" w:line="240" w:lineRule="auto"/>
        <w:rPr>
          <w:rFonts w:ascii="Arial" w:hAnsi="Arial" w:cs="Arial"/>
          <w:b/>
          <w:bCs/>
          <w:color w:val="000000" w:themeColor="text1"/>
          <w:sz w:val="22"/>
          <w:lang w:val="es-ES_tradnl"/>
        </w:rPr>
      </w:pPr>
    </w:p>
    <w:p w14:paraId="1DDC2AD7" w14:textId="580FA524" w:rsidR="00FD3FAD" w:rsidRPr="00340215" w:rsidRDefault="00DE4434" w:rsidP="0079674C">
      <w:pPr>
        <w:spacing w:after="0" w:line="240" w:lineRule="auto"/>
        <w:rPr>
          <w:rFonts w:ascii="Arial" w:hAnsi="Arial" w:cs="Arial"/>
          <w:b/>
          <w:bCs/>
          <w:color w:val="000000" w:themeColor="text1"/>
          <w:sz w:val="22"/>
          <w:lang w:val="es-ES_tradnl"/>
        </w:rPr>
      </w:pPr>
      <w:r w:rsidRPr="00340215">
        <w:rPr>
          <w:rFonts w:ascii="Arial" w:hAnsi="Arial" w:cs="Arial"/>
          <w:b/>
          <w:bCs/>
          <w:color w:val="000000" w:themeColor="text1"/>
          <w:sz w:val="22"/>
          <w:lang w:val="es-ES_tradnl"/>
        </w:rPr>
        <w:t>SISTEMA GENERAL DE REGALÍAS</w:t>
      </w:r>
      <w:r w:rsidR="00282F29" w:rsidRPr="00340215">
        <w:rPr>
          <w:rFonts w:ascii="Arial" w:hAnsi="Arial" w:cs="Arial"/>
          <w:b/>
          <w:bCs/>
          <w:color w:val="000000" w:themeColor="text1"/>
          <w:sz w:val="22"/>
          <w:lang w:val="es-ES_tradnl"/>
        </w:rPr>
        <w:t xml:space="preserve"> –</w:t>
      </w:r>
      <w:r w:rsidRPr="00340215">
        <w:rPr>
          <w:rFonts w:ascii="Arial" w:hAnsi="Arial" w:cs="Arial"/>
          <w:b/>
          <w:bCs/>
          <w:color w:val="000000" w:themeColor="text1"/>
          <w:sz w:val="22"/>
          <w:lang w:val="es-ES_tradnl"/>
        </w:rPr>
        <w:t xml:space="preserve"> </w:t>
      </w:r>
      <w:r w:rsidR="00FD3FAD" w:rsidRPr="00340215">
        <w:rPr>
          <w:rFonts w:ascii="Arial" w:hAnsi="Arial" w:cs="Arial"/>
          <w:b/>
          <w:bCs/>
          <w:color w:val="000000" w:themeColor="text1"/>
          <w:sz w:val="22"/>
          <w:lang w:val="es-ES_tradnl"/>
        </w:rPr>
        <w:t>Ley 2056 de 2020</w:t>
      </w:r>
      <w:r w:rsidRPr="00340215">
        <w:rPr>
          <w:rFonts w:ascii="Arial" w:hAnsi="Arial" w:cs="Arial"/>
          <w:b/>
          <w:bCs/>
          <w:color w:val="000000" w:themeColor="text1"/>
          <w:sz w:val="22"/>
          <w:lang w:val="es-ES_tradnl"/>
        </w:rPr>
        <w:t xml:space="preserve"> – </w:t>
      </w:r>
      <w:r w:rsidR="00670BEA" w:rsidRPr="00340215">
        <w:rPr>
          <w:rFonts w:ascii="Arial" w:hAnsi="Arial" w:cs="Arial"/>
          <w:b/>
          <w:bCs/>
          <w:color w:val="000000" w:themeColor="text1"/>
          <w:sz w:val="22"/>
          <w:lang w:val="es-ES_tradnl"/>
        </w:rPr>
        <w:t>Decreto 1081 de 2020</w:t>
      </w:r>
      <w:r w:rsidR="00D32E84" w:rsidRPr="00340215">
        <w:rPr>
          <w:rFonts w:ascii="Arial" w:hAnsi="Arial" w:cs="Arial"/>
          <w:b/>
          <w:bCs/>
          <w:color w:val="000000" w:themeColor="text1"/>
          <w:sz w:val="22"/>
          <w:lang w:val="es-ES_tradnl"/>
        </w:rPr>
        <w:t xml:space="preserve"> </w:t>
      </w:r>
    </w:p>
    <w:p w14:paraId="6F2BA1E9" w14:textId="39E9D25D" w:rsidR="00FD3FAD" w:rsidRPr="00340215" w:rsidRDefault="00FD3FAD" w:rsidP="0079674C">
      <w:pPr>
        <w:spacing w:after="0" w:line="240" w:lineRule="auto"/>
        <w:contextualSpacing/>
        <w:rPr>
          <w:rFonts w:ascii="Arial" w:eastAsia="Calibri" w:hAnsi="Arial" w:cs="Arial"/>
          <w:b/>
          <w:bCs/>
          <w:sz w:val="22"/>
        </w:rPr>
      </w:pPr>
    </w:p>
    <w:p w14:paraId="4B663360" w14:textId="1AB18FB2" w:rsidR="00DA7C09" w:rsidRPr="00340215" w:rsidRDefault="00DA7C09" w:rsidP="00742660">
      <w:pPr>
        <w:spacing w:after="0" w:line="240" w:lineRule="auto"/>
        <w:rPr>
          <w:rFonts w:ascii="Arial" w:hAnsi="Arial" w:cs="Arial"/>
          <w:color w:val="000000" w:themeColor="text1"/>
          <w:sz w:val="20"/>
          <w:szCs w:val="20"/>
          <w:lang w:val="es-ES_tradnl"/>
        </w:rPr>
      </w:pPr>
      <w:r w:rsidRPr="00340215">
        <w:rPr>
          <w:rFonts w:ascii="Arial" w:hAnsi="Arial" w:cs="Arial"/>
          <w:color w:val="000000" w:themeColor="text1"/>
          <w:sz w:val="20"/>
          <w:szCs w:val="20"/>
          <w:lang w:val="es-ES_tradnl"/>
        </w:rPr>
        <w:t xml:space="preserve">Con fundamento en los artículos 360 y 361 de la Constitución Política, se expidió la Ley 2056 de 2020, por medio de la cual se deroga, entre otras, la Ley 1530 de 2012, y «se regula la organización y el funcionamiento del Sistema General de Regalías» -SGR-. En concordancia con los artículos 360 y 361 constitucionales, dicha ley tiene como objeto determinar la distribución, objetivos, fines, administración, ejecución, control del uso eficiente y la destinación de los ingresos que se encuadren dentro del concepto de regalías, precisando las condiciones para la participación de los beneficiarios o destinatarios de los mismos (Artículo 1). </w:t>
      </w:r>
    </w:p>
    <w:p w14:paraId="52137FC5" w14:textId="77777777" w:rsidR="00742660" w:rsidRPr="00340215" w:rsidRDefault="00742660" w:rsidP="00742660">
      <w:pPr>
        <w:spacing w:after="0" w:line="240" w:lineRule="auto"/>
        <w:rPr>
          <w:rFonts w:ascii="Arial" w:hAnsi="Arial" w:cs="Arial"/>
          <w:color w:val="000000" w:themeColor="text1"/>
          <w:sz w:val="20"/>
          <w:szCs w:val="20"/>
          <w:lang w:val="es-ES_tradnl"/>
        </w:rPr>
      </w:pPr>
    </w:p>
    <w:p w14:paraId="28E2669F" w14:textId="63872140" w:rsidR="00670BEA" w:rsidRPr="00340215" w:rsidRDefault="00670BEA" w:rsidP="00742660">
      <w:pPr>
        <w:spacing w:after="0" w:line="240" w:lineRule="auto"/>
        <w:rPr>
          <w:rFonts w:ascii="Arial" w:hAnsi="Arial" w:cs="Arial"/>
          <w:color w:val="000000" w:themeColor="text1"/>
          <w:sz w:val="20"/>
          <w:szCs w:val="20"/>
          <w:lang w:val="es-ES_tradnl"/>
        </w:rPr>
      </w:pPr>
      <w:r w:rsidRPr="00340215">
        <w:rPr>
          <w:rFonts w:ascii="Arial" w:hAnsi="Arial" w:cs="Arial"/>
          <w:color w:val="000000" w:themeColor="text1"/>
          <w:sz w:val="20"/>
          <w:szCs w:val="20"/>
          <w:lang w:val="es-ES_tradnl"/>
        </w:rPr>
        <w:t>[…]</w:t>
      </w:r>
    </w:p>
    <w:p w14:paraId="5E6F9621" w14:textId="77777777" w:rsidR="00742660" w:rsidRPr="00340215" w:rsidRDefault="00742660" w:rsidP="00742660">
      <w:pPr>
        <w:spacing w:after="0" w:line="240" w:lineRule="auto"/>
        <w:rPr>
          <w:rFonts w:ascii="Arial" w:hAnsi="Arial" w:cs="Arial"/>
          <w:color w:val="000000" w:themeColor="text1"/>
          <w:sz w:val="20"/>
          <w:szCs w:val="20"/>
          <w:lang w:val="es-ES_tradnl"/>
        </w:rPr>
      </w:pPr>
    </w:p>
    <w:p w14:paraId="2CD956CD" w14:textId="51199B81" w:rsidR="00670BEA" w:rsidRPr="00340215" w:rsidRDefault="00670BEA" w:rsidP="00742660">
      <w:pPr>
        <w:spacing w:after="0" w:line="240" w:lineRule="auto"/>
        <w:rPr>
          <w:rFonts w:ascii="Arial" w:hAnsi="Arial" w:cs="Arial"/>
          <w:color w:val="000000" w:themeColor="text1"/>
          <w:sz w:val="20"/>
          <w:szCs w:val="20"/>
          <w:lang w:val="es-ES_tradnl"/>
        </w:rPr>
      </w:pPr>
      <w:r w:rsidRPr="00340215">
        <w:rPr>
          <w:rFonts w:ascii="Arial" w:hAnsi="Arial" w:cs="Arial"/>
          <w:color w:val="000000" w:themeColor="text1"/>
          <w:sz w:val="20"/>
          <w:szCs w:val="20"/>
          <w:lang w:val="es-ES_tradnl"/>
        </w:rPr>
        <w:t xml:space="preserve">En atención a la necesidad de reglamentación, el Gobierno nacional expidió el Decreto 1821 del 31 de diciembre de 2020, por el cual se expide el Decreto Único Reglamentario del Sistema General de Regalías. Este decreto en el Título 3 definió las reglas para las convocatorias relacionadas con la financiación de proyectos de inversión con recursos de la asignación para la ciencia, tecnología e innovación.  </w:t>
      </w:r>
    </w:p>
    <w:p w14:paraId="2CE4FAD2" w14:textId="25138467" w:rsidR="00D4636B" w:rsidRPr="00340215" w:rsidRDefault="00D4636B" w:rsidP="00742660">
      <w:pPr>
        <w:spacing w:after="0" w:line="240" w:lineRule="auto"/>
        <w:rPr>
          <w:rFonts w:ascii="Arial" w:hAnsi="Arial" w:cs="Arial"/>
          <w:b/>
          <w:bCs/>
          <w:color w:val="000000" w:themeColor="text1"/>
          <w:sz w:val="22"/>
          <w:lang w:val="es-ES_tradnl"/>
        </w:rPr>
      </w:pPr>
    </w:p>
    <w:p w14:paraId="55048F15" w14:textId="2F1595A4" w:rsidR="00D4636B" w:rsidRPr="00340215" w:rsidRDefault="00D4636B" w:rsidP="00D4636B">
      <w:pPr>
        <w:spacing w:after="0" w:line="240" w:lineRule="auto"/>
        <w:rPr>
          <w:rFonts w:ascii="Arial" w:hAnsi="Arial" w:cs="Arial"/>
          <w:b/>
          <w:bCs/>
          <w:color w:val="000000" w:themeColor="text1"/>
          <w:sz w:val="22"/>
          <w:lang w:val="es-ES_tradnl"/>
        </w:rPr>
      </w:pPr>
      <w:r w:rsidRPr="00340215">
        <w:rPr>
          <w:rFonts w:ascii="Arial" w:hAnsi="Arial" w:cs="Arial"/>
          <w:b/>
          <w:bCs/>
          <w:color w:val="000000" w:themeColor="text1"/>
          <w:sz w:val="22"/>
          <w:lang w:val="es-ES_tradnl"/>
        </w:rPr>
        <w:t>SISTEMA GENERAL DE REGALÍAS - Proyectos de inversión - Ciencia, tecnología e innovación - Convocatoria pública, abierta y competitiva</w:t>
      </w:r>
    </w:p>
    <w:p w14:paraId="78CB2DD2" w14:textId="2ABCDA71" w:rsidR="00D4636B" w:rsidRPr="00340215" w:rsidRDefault="00D4636B" w:rsidP="0079674C">
      <w:pPr>
        <w:pStyle w:val="Textoindependiente"/>
        <w:spacing w:after="0" w:line="240" w:lineRule="auto"/>
        <w:rPr>
          <w:sz w:val="20"/>
          <w:szCs w:val="20"/>
        </w:rPr>
      </w:pPr>
    </w:p>
    <w:p w14:paraId="53D4D622" w14:textId="1A3D9018" w:rsidR="00D4636B" w:rsidRPr="00340215" w:rsidRDefault="00D4636B" w:rsidP="00742660">
      <w:pPr>
        <w:spacing w:after="0" w:line="240" w:lineRule="auto"/>
        <w:rPr>
          <w:rFonts w:ascii="Arial" w:hAnsi="Arial" w:cs="Arial"/>
          <w:color w:val="000000" w:themeColor="text1"/>
          <w:sz w:val="20"/>
          <w:szCs w:val="20"/>
          <w:lang w:val="es-ES_tradnl"/>
        </w:rPr>
      </w:pPr>
      <w:r w:rsidRPr="00340215">
        <w:rPr>
          <w:rFonts w:ascii="Arial" w:hAnsi="Arial" w:cs="Arial"/>
          <w:color w:val="000000" w:themeColor="text1"/>
          <w:sz w:val="20"/>
          <w:szCs w:val="20"/>
          <w:lang w:val="es-ES_tradnl"/>
        </w:rPr>
        <w:t xml:space="preserve">[…] el Capítulo V del Título IV regula la asignación para la ciencia, tecnología e innovación, señalando en el artículo 53 que los proyectos de inversión en ciencia, tecnología e innovación que se financian con los recursos de la Asignación para la Ciencia, Tecnología e Innovación, serán aprobados a través de convocatorias públicas, abiertas y competitivas.  De igual modo, el artículo 54 indica que estos proyectos serán presentados por las entidades públicas o privadas que hagan parte del Sistema Nacional de Ciencia, Tecnología e Innovación de que trata el artículo 20 de la Ley 1286 de 2009 o la norma que la modifique o sustituya, ante el Ministerio de Ciencia, Tecnología e Innovación, a quien le corresponde verificar el cumplimiento de las condiciones de los términos de </w:t>
      </w:r>
      <w:r w:rsidRPr="00340215">
        <w:rPr>
          <w:rFonts w:ascii="Arial" w:hAnsi="Arial" w:cs="Arial"/>
          <w:color w:val="000000" w:themeColor="text1"/>
          <w:sz w:val="20"/>
          <w:szCs w:val="20"/>
          <w:lang w:val="es-ES_tradnl"/>
        </w:rPr>
        <w:lastRenderedPageBreak/>
        <w:t>referencia de las convocatorias públicas, abiertas y competitivas para la presentación de los proyectos de inversión.</w:t>
      </w:r>
    </w:p>
    <w:p w14:paraId="2A14E71C" w14:textId="77777777" w:rsidR="00D4636B" w:rsidRPr="00340215" w:rsidRDefault="00D4636B" w:rsidP="00742660">
      <w:pPr>
        <w:spacing w:after="0" w:line="240" w:lineRule="auto"/>
        <w:rPr>
          <w:rFonts w:ascii="Arial" w:hAnsi="Arial" w:cs="Arial"/>
          <w:color w:val="000000" w:themeColor="text1"/>
          <w:sz w:val="20"/>
          <w:szCs w:val="20"/>
          <w:lang w:val="es-ES_tradnl"/>
        </w:rPr>
      </w:pPr>
    </w:p>
    <w:p w14:paraId="28E3C466" w14:textId="77777777" w:rsidR="00670BEA" w:rsidRPr="00340215" w:rsidRDefault="00670BEA" w:rsidP="00742660">
      <w:pPr>
        <w:spacing w:after="0" w:line="240" w:lineRule="auto"/>
        <w:rPr>
          <w:rFonts w:ascii="Arial" w:hAnsi="Arial" w:cs="Arial"/>
          <w:color w:val="000000" w:themeColor="text1"/>
          <w:sz w:val="20"/>
          <w:szCs w:val="20"/>
          <w:lang w:val="es-ES_tradnl"/>
        </w:rPr>
      </w:pPr>
      <w:r w:rsidRPr="00340215">
        <w:rPr>
          <w:rFonts w:ascii="Arial" w:hAnsi="Arial" w:cs="Arial"/>
          <w:color w:val="000000" w:themeColor="text1"/>
          <w:sz w:val="20"/>
          <w:szCs w:val="20"/>
          <w:lang w:val="es-ES_tradnl"/>
        </w:rPr>
        <w:t>[…]</w:t>
      </w:r>
    </w:p>
    <w:p w14:paraId="79159174" w14:textId="77777777" w:rsidR="00742660" w:rsidRPr="00340215" w:rsidRDefault="00742660" w:rsidP="00742660">
      <w:pPr>
        <w:spacing w:after="0" w:line="240" w:lineRule="auto"/>
        <w:rPr>
          <w:rFonts w:ascii="Arial" w:hAnsi="Arial" w:cs="Arial"/>
          <w:color w:val="000000" w:themeColor="text1"/>
          <w:sz w:val="20"/>
          <w:szCs w:val="20"/>
          <w:lang w:val="es-ES_tradnl"/>
        </w:rPr>
      </w:pPr>
    </w:p>
    <w:p w14:paraId="2F43692C" w14:textId="6FBB2208" w:rsidR="00670BEA" w:rsidRPr="00340215" w:rsidRDefault="00670BEA" w:rsidP="00742660">
      <w:pPr>
        <w:spacing w:after="0" w:line="240" w:lineRule="auto"/>
        <w:rPr>
          <w:rFonts w:ascii="Arial" w:hAnsi="Arial" w:cs="Arial"/>
          <w:color w:val="000000" w:themeColor="text1"/>
          <w:sz w:val="20"/>
          <w:szCs w:val="20"/>
          <w:lang w:val="es-ES_tradnl"/>
        </w:rPr>
      </w:pPr>
      <w:r w:rsidRPr="00340215">
        <w:rPr>
          <w:rFonts w:ascii="Arial" w:hAnsi="Arial" w:cs="Arial"/>
          <w:color w:val="000000" w:themeColor="text1"/>
          <w:sz w:val="20"/>
          <w:szCs w:val="20"/>
          <w:lang w:val="es-ES_tradnl"/>
        </w:rPr>
        <w:t>De lo anterior, es posible inferir que dicha convocatoria pública está dirigida a unos sujetos específicos definidos en la norma, es decir, aquellos que hacen parte del Sistema Nacional de Ciencia, Tecnología e Innovación-SNCTI.  Cabe mencionar que, el artículo 1.2.3.2.2. del Decreto 1081 de 2020 expresamente señala cuales son las entidades públicas, privadas y territoriales que podrán participar en las convocatorias públicas, abiertas y competitivas para la Asignación de Ciencia, Tecnología e Innovación, indicando que estas son: «a) Las que cuenten con reconocimiento vigente del Ministerio de Ciencia, Tecnología e Innovación, como actores del Sistema Nacional de Ciencia, Tecnología e Innovación - SNCTI.» y  «b) Las que hayan realizado actividades de ciencia, tecnología e innovación y que, sin contar con un reconocimiento previo por parte del Ministerio de Ciencia, Tecnología e Innovación, cumplan con los criterios de idoneidad y trayectoria que se establezcan en los términos de referencia y en los criterios de evaluación de cada convocatoria. Estas entidades se tendrán como entidades del Sistema Nacional de Ciencia, Tecnología e Innovación- SNCTI solamente para su participación en la convocatoria a la que se presenten.»</w:t>
      </w:r>
    </w:p>
    <w:p w14:paraId="540F3A36" w14:textId="5C1C1E96" w:rsidR="00104097" w:rsidRPr="00340215" w:rsidRDefault="00104097" w:rsidP="0079674C">
      <w:pPr>
        <w:pStyle w:val="Textoindependiente"/>
        <w:spacing w:after="0" w:line="240" w:lineRule="auto"/>
        <w:rPr>
          <w:sz w:val="20"/>
          <w:szCs w:val="20"/>
        </w:rPr>
      </w:pPr>
    </w:p>
    <w:p w14:paraId="74979644" w14:textId="04C408E3" w:rsidR="00670BEA" w:rsidRPr="00340215" w:rsidRDefault="0079674C" w:rsidP="0079674C">
      <w:pPr>
        <w:spacing w:after="0" w:line="240" w:lineRule="auto"/>
        <w:rPr>
          <w:rFonts w:ascii="Arial" w:hAnsi="Arial" w:cs="Arial"/>
          <w:b/>
          <w:bCs/>
          <w:color w:val="000000" w:themeColor="text1"/>
          <w:sz w:val="22"/>
          <w:lang w:val="es-ES_tradnl"/>
        </w:rPr>
      </w:pPr>
      <w:r w:rsidRPr="00340215">
        <w:rPr>
          <w:rFonts w:ascii="Arial" w:hAnsi="Arial" w:cs="Arial"/>
          <w:b/>
          <w:bCs/>
          <w:color w:val="000000" w:themeColor="text1"/>
          <w:sz w:val="22"/>
          <w:lang w:val="es-ES_tradnl"/>
        </w:rPr>
        <w:t>CONTRATACIÓN DIRECTA</w:t>
      </w:r>
      <w:r w:rsidR="00E14548">
        <w:rPr>
          <w:rFonts w:ascii="Arial" w:hAnsi="Arial" w:cs="Arial"/>
          <w:b/>
          <w:bCs/>
          <w:color w:val="000000" w:themeColor="text1"/>
          <w:sz w:val="22"/>
          <w:lang w:val="es-ES_tradnl"/>
        </w:rPr>
        <w:t xml:space="preserve"> </w:t>
      </w:r>
      <w:r w:rsidR="00670BEA" w:rsidRPr="00340215">
        <w:rPr>
          <w:rFonts w:ascii="Arial" w:hAnsi="Arial" w:cs="Arial"/>
          <w:b/>
          <w:bCs/>
          <w:color w:val="000000" w:themeColor="text1"/>
          <w:sz w:val="22"/>
          <w:lang w:val="es-ES_tradnl"/>
        </w:rPr>
        <w:t xml:space="preserve">– </w:t>
      </w:r>
      <w:r w:rsidRPr="00340215">
        <w:rPr>
          <w:rFonts w:ascii="Arial" w:hAnsi="Arial" w:cs="Arial"/>
          <w:b/>
          <w:bCs/>
          <w:color w:val="000000" w:themeColor="text1"/>
          <w:sz w:val="22"/>
          <w:lang w:val="es-ES_tradnl"/>
        </w:rPr>
        <w:t xml:space="preserve">Ley 996 de 2005 </w:t>
      </w:r>
      <w:r w:rsidR="00E14548">
        <w:rPr>
          <w:rFonts w:ascii="Arial" w:hAnsi="Arial" w:cs="Arial"/>
          <w:b/>
          <w:bCs/>
          <w:color w:val="000000" w:themeColor="text1"/>
          <w:sz w:val="22"/>
          <w:lang w:val="es-ES_tradnl"/>
        </w:rPr>
        <w:t>–</w:t>
      </w:r>
      <w:r w:rsidRPr="00340215">
        <w:rPr>
          <w:rFonts w:ascii="Arial" w:hAnsi="Arial" w:cs="Arial"/>
          <w:b/>
          <w:bCs/>
          <w:color w:val="000000" w:themeColor="text1"/>
          <w:sz w:val="22"/>
          <w:lang w:val="es-ES_tradnl"/>
        </w:rPr>
        <w:t xml:space="preserve"> Artículo 33</w:t>
      </w:r>
      <w:r w:rsidR="00D32E84" w:rsidRPr="00340215">
        <w:rPr>
          <w:rFonts w:ascii="Arial" w:hAnsi="Arial" w:cs="Arial"/>
          <w:b/>
          <w:bCs/>
          <w:color w:val="000000" w:themeColor="text1"/>
          <w:sz w:val="22"/>
          <w:lang w:val="es-ES_tradnl"/>
        </w:rPr>
        <w:t xml:space="preserve"> </w:t>
      </w:r>
      <w:r w:rsidR="00E14548">
        <w:rPr>
          <w:rFonts w:ascii="Arial" w:hAnsi="Arial" w:cs="Arial"/>
          <w:b/>
          <w:bCs/>
          <w:color w:val="000000" w:themeColor="text1"/>
          <w:sz w:val="22"/>
          <w:lang w:val="es-ES_tradnl"/>
        </w:rPr>
        <w:t>–</w:t>
      </w:r>
      <w:r w:rsidR="00D32E84" w:rsidRPr="00340215">
        <w:rPr>
          <w:rFonts w:ascii="Arial" w:hAnsi="Arial" w:cs="Arial"/>
          <w:b/>
          <w:bCs/>
          <w:color w:val="000000" w:themeColor="text1"/>
          <w:sz w:val="22"/>
          <w:lang w:val="es-ES_tradnl"/>
        </w:rPr>
        <w:t xml:space="preserve"> Elecciones presidenciales</w:t>
      </w:r>
      <w:r w:rsidRPr="00340215">
        <w:rPr>
          <w:rFonts w:ascii="Arial" w:hAnsi="Arial" w:cs="Arial"/>
          <w:b/>
          <w:bCs/>
          <w:color w:val="000000" w:themeColor="text1"/>
          <w:sz w:val="22"/>
          <w:lang w:val="es-ES_tradnl"/>
        </w:rPr>
        <w:t xml:space="preserve"> </w:t>
      </w:r>
    </w:p>
    <w:p w14:paraId="766CA191" w14:textId="77777777" w:rsidR="00670BEA" w:rsidRPr="00340215" w:rsidRDefault="00670BEA" w:rsidP="0079674C">
      <w:pPr>
        <w:spacing w:after="0" w:line="240" w:lineRule="auto"/>
        <w:contextualSpacing/>
        <w:rPr>
          <w:rFonts w:ascii="Arial" w:hAnsi="Arial" w:cs="Arial"/>
          <w:color w:val="000000" w:themeColor="text1"/>
          <w:sz w:val="20"/>
          <w:szCs w:val="20"/>
          <w:lang w:val="es-ES_tradnl"/>
        </w:rPr>
      </w:pPr>
    </w:p>
    <w:bookmarkEnd w:id="0"/>
    <w:p w14:paraId="5207C4F0" w14:textId="3348B536" w:rsidR="00C8577F" w:rsidRPr="00340215" w:rsidRDefault="0079674C" w:rsidP="0079674C">
      <w:pPr>
        <w:spacing w:after="0" w:line="240" w:lineRule="auto"/>
        <w:contextualSpacing/>
        <w:rPr>
          <w:rFonts w:ascii="Arial" w:hAnsi="Arial" w:cs="Arial"/>
          <w:color w:val="000000" w:themeColor="text1"/>
          <w:sz w:val="20"/>
          <w:szCs w:val="20"/>
          <w:lang w:val="es-ES_tradnl"/>
        </w:rPr>
      </w:pPr>
      <w:r w:rsidRPr="00340215">
        <w:rPr>
          <w:rFonts w:ascii="Arial" w:hAnsi="Arial" w:cs="Arial"/>
          <w:color w:val="000000" w:themeColor="text1"/>
          <w:sz w:val="20"/>
          <w:szCs w:val="20"/>
          <w:lang w:val="es-ES_tradnl"/>
        </w:rPr>
        <w:t>El artículo 33 de la Ley 996 de 2005 prohíbe la modalidad de contratación directa por parte de todos los entes del Estado durante los cuatro (4) meses anteriores a las elecciones presidenciales, salvo las excepciones allí contempladas.   Esto implica que, durante este lapso, ningún ente del Estado pueda realizar la selección de contratistas mediante la modalidad de contratación directa regulada en el numeral 4 del artículo 2 de la Ley 1150 de 2007 que contempla actualmente catorce causales o, en el caso de los entes estatales exceptuados del Estatuto General de Contratación de la Administración Pública, no podrán adelantar la contratación directa estipulada en sus manuales de contratación.</w:t>
      </w:r>
    </w:p>
    <w:p w14:paraId="0194A064" w14:textId="77777777" w:rsidR="00742660" w:rsidRPr="00340215" w:rsidRDefault="00742660" w:rsidP="0079674C">
      <w:pPr>
        <w:spacing w:after="0" w:line="240" w:lineRule="auto"/>
        <w:contextualSpacing/>
        <w:rPr>
          <w:rFonts w:ascii="Arial" w:hAnsi="Arial" w:cs="Arial"/>
          <w:color w:val="000000" w:themeColor="text1"/>
          <w:sz w:val="20"/>
          <w:szCs w:val="20"/>
          <w:lang w:val="es-ES_tradnl"/>
        </w:rPr>
      </w:pPr>
    </w:p>
    <w:p w14:paraId="41FE524A" w14:textId="152C1A49" w:rsidR="0079674C" w:rsidRPr="00340215" w:rsidRDefault="0079674C" w:rsidP="0079674C">
      <w:pPr>
        <w:spacing w:after="0" w:line="240" w:lineRule="auto"/>
        <w:contextualSpacing/>
        <w:rPr>
          <w:rFonts w:ascii="Arial" w:hAnsi="Arial" w:cs="Arial"/>
          <w:color w:val="000000" w:themeColor="text1"/>
          <w:sz w:val="20"/>
          <w:szCs w:val="20"/>
          <w:lang w:val="es-ES_tradnl"/>
        </w:rPr>
      </w:pPr>
      <w:r w:rsidRPr="00340215">
        <w:rPr>
          <w:rFonts w:ascii="Arial" w:hAnsi="Arial" w:cs="Arial"/>
          <w:color w:val="000000" w:themeColor="text1"/>
          <w:sz w:val="20"/>
          <w:szCs w:val="20"/>
          <w:lang w:val="es-ES_tradnl"/>
        </w:rPr>
        <w:t xml:space="preserve"> […]</w:t>
      </w:r>
      <w:r w:rsidR="0062676D" w:rsidRPr="00340215">
        <w:rPr>
          <w:rFonts w:ascii="Arial" w:hAnsi="Arial" w:cs="Arial"/>
          <w:color w:val="000000" w:themeColor="text1"/>
          <w:sz w:val="20"/>
          <w:szCs w:val="20"/>
          <w:lang w:val="es-ES_tradnl"/>
        </w:rPr>
        <w:t xml:space="preserve"> p</w:t>
      </w:r>
      <w:r w:rsidRPr="00340215">
        <w:rPr>
          <w:rFonts w:ascii="Arial" w:hAnsi="Arial" w:cs="Arial"/>
          <w:color w:val="000000" w:themeColor="text1"/>
          <w:sz w:val="20"/>
          <w:szCs w:val="20"/>
          <w:lang w:val="es-ES_tradnl"/>
        </w:rPr>
        <w:t>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p>
    <w:p w14:paraId="00CDE044" w14:textId="77777777" w:rsidR="0079674C" w:rsidRPr="00340215" w:rsidRDefault="0079674C" w:rsidP="0079674C">
      <w:pPr>
        <w:spacing w:after="0"/>
        <w:contextualSpacing/>
        <w:rPr>
          <w:rFonts w:ascii="Arial" w:eastAsia="Calibri" w:hAnsi="Arial" w:cs="Arial"/>
          <w:b/>
          <w:bCs/>
          <w:sz w:val="22"/>
        </w:rPr>
      </w:pPr>
    </w:p>
    <w:p w14:paraId="0F8AEBE1" w14:textId="5995F0F3" w:rsidR="007A6B84" w:rsidRPr="00340215" w:rsidRDefault="007A6B84" w:rsidP="007A6B84">
      <w:pPr>
        <w:spacing w:after="0"/>
        <w:ind w:firstLine="709"/>
        <w:contextualSpacing/>
        <w:jc w:val="right"/>
        <w:rPr>
          <w:rFonts w:ascii="Arial" w:eastAsia="Calibri" w:hAnsi="Arial" w:cs="Arial"/>
          <w:b/>
          <w:bCs/>
          <w:sz w:val="22"/>
        </w:rPr>
      </w:pPr>
    </w:p>
    <w:p w14:paraId="65E69BF3" w14:textId="77777777" w:rsidR="00742660" w:rsidRPr="00340215" w:rsidRDefault="00742660">
      <w:pPr>
        <w:rPr>
          <w:rFonts w:ascii="Arial" w:eastAsia="Times New Roman" w:hAnsi="Arial" w:cs="Arial"/>
          <w:b/>
          <w:bCs/>
          <w:sz w:val="22"/>
          <w:lang w:val="es-CO" w:eastAsia="es-ES"/>
        </w:rPr>
      </w:pPr>
      <w:bookmarkStart w:id="1" w:name="_Hlk29890381"/>
      <w:bookmarkEnd w:id="1"/>
      <w:r w:rsidRPr="00340215">
        <w:rPr>
          <w:rFonts w:ascii="Arial" w:eastAsia="Times New Roman" w:hAnsi="Arial" w:cs="Arial"/>
          <w:b/>
          <w:bCs/>
          <w:sz w:val="22"/>
          <w:lang w:val="es-CO" w:eastAsia="es-ES"/>
        </w:rPr>
        <w:br w:type="page"/>
      </w:r>
    </w:p>
    <w:p w14:paraId="3B95CDE3" w14:textId="25107247" w:rsidR="00546110" w:rsidRDefault="00546110" w:rsidP="005445B2">
      <w:pPr>
        <w:spacing w:after="0"/>
        <w:ind w:firstLine="709"/>
        <w:jc w:val="right"/>
        <w:rPr>
          <w:rFonts w:ascii="Arial" w:eastAsia="Times New Roman" w:hAnsi="Arial" w:cs="Arial"/>
          <w:b/>
          <w:bCs/>
          <w:sz w:val="16"/>
          <w:szCs w:val="16"/>
          <w:lang w:val="es-CO" w:eastAsia="es-ES"/>
        </w:rPr>
      </w:pPr>
      <w:r w:rsidRPr="00546110">
        <w:rPr>
          <w:rFonts w:ascii="Arial" w:eastAsia="Calibri" w:hAnsi="Arial" w:cs="Arial"/>
          <w:sz w:val="22"/>
        </w:rPr>
        <w:lastRenderedPageBreak/>
        <w:drawing>
          <wp:anchor distT="0" distB="0" distL="114300" distR="114300" simplePos="0" relativeHeight="251661312" behindDoc="1" locked="0" layoutInCell="1" allowOverlap="1" wp14:anchorId="452A1529" wp14:editId="779555B5">
            <wp:simplePos x="0" y="0"/>
            <wp:positionH relativeFrom="column">
              <wp:posOffset>2987040</wp:posOffset>
            </wp:positionH>
            <wp:positionV relativeFrom="paragraph">
              <wp:posOffset>-740410</wp:posOffset>
            </wp:positionV>
            <wp:extent cx="2676525" cy="1250838"/>
            <wp:effectExtent l="0" t="0" r="0" b="6985"/>
            <wp:wrapNone/>
            <wp:docPr id="1" name="Imagen 1" descr="Código Q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Código QR&#10;&#10;Descripción generada automáticamente"/>
                    <pic:cNvPicPr/>
                  </pic:nvPicPr>
                  <pic:blipFill>
                    <a:blip r:embed="rId11"/>
                    <a:stretch>
                      <a:fillRect/>
                    </a:stretch>
                  </pic:blipFill>
                  <pic:spPr>
                    <a:xfrm>
                      <a:off x="0" y="0"/>
                      <a:ext cx="2676525" cy="1250838"/>
                    </a:xfrm>
                    <a:prstGeom prst="rect">
                      <a:avLst/>
                    </a:prstGeom>
                  </pic:spPr>
                </pic:pic>
              </a:graphicData>
            </a:graphic>
            <wp14:sizeRelH relativeFrom="margin">
              <wp14:pctWidth>0</wp14:pctWidth>
            </wp14:sizeRelH>
            <wp14:sizeRelV relativeFrom="margin">
              <wp14:pctHeight>0</wp14:pctHeight>
            </wp14:sizeRelV>
          </wp:anchor>
        </w:drawing>
      </w:r>
    </w:p>
    <w:p w14:paraId="4160DBA9" w14:textId="77777777" w:rsidR="00546110" w:rsidRDefault="00546110" w:rsidP="005445B2">
      <w:pPr>
        <w:spacing w:after="0"/>
        <w:ind w:firstLine="709"/>
        <w:jc w:val="right"/>
        <w:rPr>
          <w:rFonts w:ascii="Arial" w:eastAsia="Times New Roman" w:hAnsi="Arial" w:cs="Arial"/>
          <w:b/>
          <w:bCs/>
          <w:sz w:val="16"/>
          <w:szCs w:val="16"/>
          <w:lang w:val="es-CO" w:eastAsia="es-ES"/>
        </w:rPr>
      </w:pPr>
    </w:p>
    <w:p w14:paraId="5B327FF0" w14:textId="77777777" w:rsidR="00546110" w:rsidRDefault="00546110" w:rsidP="005445B2">
      <w:pPr>
        <w:spacing w:after="0"/>
        <w:ind w:firstLine="709"/>
        <w:jc w:val="right"/>
        <w:rPr>
          <w:rFonts w:ascii="Arial" w:eastAsia="Times New Roman" w:hAnsi="Arial" w:cs="Arial"/>
          <w:b/>
          <w:bCs/>
          <w:sz w:val="16"/>
          <w:szCs w:val="16"/>
          <w:lang w:val="es-CO" w:eastAsia="es-ES"/>
        </w:rPr>
      </w:pPr>
    </w:p>
    <w:p w14:paraId="5FD66F97" w14:textId="77777777" w:rsidR="00546110" w:rsidRDefault="00546110" w:rsidP="005445B2">
      <w:pPr>
        <w:spacing w:after="0"/>
        <w:ind w:firstLine="709"/>
        <w:jc w:val="right"/>
        <w:rPr>
          <w:rFonts w:ascii="Arial" w:eastAsia="Times New Roman" w:hAnsi="Arial" w:cs="Arial"/>
          <w:b/>
          <w:bCs/>
          <w:sz w:val="16"/>
          <w:szCs w:val="16"/>
          <w:lang w:val="es-CO" w:eastAsia="es-ES"/>
        </w:rPr>
      </w:pPr>
    </w:p>
    <w:p w14:paraId="1F53C937" w14:textId="78269112" w:rsidR="00152CA8" w:rsidRPr="00A41722" w:rsidRDefault="00152CA8" w:rsidP="005445B2">
      <w:pPr>
        <w:spacing w:after="0"/>
        <w:ind w:firstLine="709"/>
        <w:jc w:val="right"/>
        <w:rPr>
          <w:rFonts w:ascii="Arial" w:eastAsia="Calibri" w:hAnsi="Arial" w:cs="Arial"/>
          <w:b/>
          <w:bCs/>
          <w:sz w:val="16"/>
          <w:szCs w:val="16"/>
          <w:lang w:val="es-CO"/>
        </w:rPr>
      </w:pPr>
      <w:r w:rsidRPr="00A41722">
        <w:rPr>
          <w:rFonts w:ascii="Arial" w:eastAsia="Times New Roman" w:hAnsi="Arial" w:cs="Arial"/>
          <w:b/>
          <w:bCs/>
          <w:sz w:val="16"/>
          <w:szCs w:val="16"/>
          <w:lang w:val="es-CO" w:eastAsia="es-ES"/>
        </w:rPr>
        <w:t>CCE-DES-FM-17</w:t>
      </w:r>
    </w:p>
    <w:p w14:paraId="745983A2" w14:textId="5702C196" w:rsidR="002B72C0" w:rsidRPr="00340215" w:rsidRDefault="002B72C0" w:rsidP="005445B2">
      <w:pPr>
        <w:tabs>
          <w:tab w:val="left" w:pos="3374"/>
        </w:tabs>
        <w:spacing w:after="0"/>
        <w:ind w:firstLine="709"/>
        <w:rPr>
          <w:rFonts w:ascii="Arial" w:hAnsi="Arial" w:cs="Arial"/>
          <w:sz w:val="22"/>
        </w:rPr>
      </w:pPr>
    </w:p>
    <w:p w14:paraId="6A81B1B9" w14:textId="0F5E0305" w:rsidR="00303D47" w:rsidRDefault="00187F6F" w:rsidP="00187F6F">
      <w:pPr>
        <w:spacing w:after="0"/>
        <w:rPr>
          <w:rFonts w:ascii="Arial" w:eastAsia="Calibri" w:hAnsi="Arial" w:cs="Arial"/>
          <w:sz w:val="22"/>
        </w:rPr>
      </w:pPr>
      <w:r w:rsidRPr="00187F6F">
        <w:rPr>
          <w:rFonts w:ascii="Arial" w:eastAsia="Calibri" w:hAnsi="Arial" w:cs="Arial"/>
          <w:sz w:val="22"/>
        </w:rPr>
        <w:t>Bogotá, 22 Marzo 2022</w:t>
      </w:r>
    </w:p>
    <w:p w14:paraId="48BAF535" w14:textId="77777777" w:rsidR="00187F6F" w:rsidRPr="00340215" w:rsidRDefault="00187F6F" w:rsidP="00187F6F">
      <w:pPr>
        <w:spacing w:after="0"/>
        <w:rPr>
          <w:rFonts w:ascii="Arial" w:eastAsia="Calibri" w:hAnsi="Arial" w:cs="Arial"/>
          <w:sz w:val="22"/>
        </w:rPr>
      </w:pPr>
    </w:p>
    <w:p w14:paraId="0C04D954" w14:textId="2A1D0CFA" w:rsidR="00E206ED" w:rsidRPr="00340215" w:rsidRDefault="00AF7FCE" w:rsidP="005445B2">
      <w:pPr>
        <w:spacing w:after="0"/>
        <w:rPr>
          <w:rFonts w:ascii="Arial" w:eastAsia="Calibri" w:hAnsi="Arial" w:cs="Arial"/>
          <w:sz w:val="22"/>
          <w:lang w:val="es-CO"/>
        </w:rPr>
      </w:pPr>
      <w:r w:rsidRPr="00340215">
        <w:rPr>
          <w:rFonts w:ascii="Arial" w:eastAsia="Calibri" w:hAnsi="Arial" w:cs="Arial"/>
          <w:sz w:val="22"/>
          <w:lang w:val="es-CO"/>
        </w:rPr>
        <w:t>Señor</w:t>
      </w:r>
      <w:r w:rsidR="006C51C6" w:rsidRPr="00340215">
        <w:rPr>
          <w:rFonts w:ascii="Arial" w:eastAsia="Calibri" w:hAnsi="Arial" w:cs="Arial"/>
          <w:sz w:val="22"/>
          <w:lang w:val="es-CO"/>
        </w:rPr>
        <w:t>a</w:t>
      </w:r>
    </w:p>
    <w:p w14:paraId="69FEA94F" w14:textId="1BD21A90" w:rsidR="0098054E" w:rsidRPr="00340215" w:rsidRDefault="006C51C6" w:rsidP="005445B2">
      <w:pPr>
        <w:spacing w:after="0"/>
        <w:rPr>
          <w:rFonts w:ascii="Arial" w:eastAsia="Calibri" w:hAnsi="Arial" w:cs="Arial"/>
          <w:b/>
          <w:sz w:val="22"/>
          <w:lang w:val="es-CO"/>
        </w:rPr>
      </w:pPr>
      <w:r w:rsidRPr="00340215">
        <w:rPr>
          <w:rFonts w:ascii="Arial" w:eastAsia="Calibri" w:hAnsi="Arial" w:cs="Arial"/>
          <w:b/>
          <w:sz w:val="22"/>
          <w:lang w:val="es-CO"/>
        </w:rPr>
        <w:t>Adriana Montealegre Riaño</w:t>
      </w:r>
    </w:p>
    <w:p w14:paraId="49A579CC" w14:textId="43B79940" w:rsidR="00D97A59" w:rsidRPr="00340215" w:rsidRDefault="00A923B7" w:rsidP="005445B2">
      <w:pPr>
        <w:spacing w:after="0"/>
        <w:rPr>
          <w:rFonts w:ascii="Arial" w:eastAsia="Calibri" w:hAnsi="Arial" w:cs="Arial"/>
          <w:sz w:val="22"/>
          <w:lang w:val="es-CO"/>
        </w:rPr>
      </w:pPr>
      <w:r w:rsidRPr="00340215">
        <w:rPr>
          <w:rFonts w:ascii="Arial" w:eastAsia="Calibri" w:hAnsi="Arial" w:cs="Arial"/>
          <w:sz w:val="22"/>
          <w:lang w:val="es-CO"/>
        </w:rPr>
        <w:t>Bogotá</w:t>
      </w:r>
      <w:r w:rsidR="00623F97" w:rsidRPr="00340215">
        <w:rPr>
          <w:rFonts w:ascii="Arial" w:eastAsia="Calibri" w:hAnsi="Arial" w:cs="Arial"/>
          <w:sz w:val="22"/>
          <w:lang w:val="es-CO"/>
        </w:rPr>
        <w:t xml:space="preserve"> D.C.</w:t>
      </w:r>
    </w:p>
    <w:p w14:paraId="72352372" w14:textId="12494ACC" w:rsidR="00303D47" w:rsidRPr="00340215" w:rsidRDefault="00303D47" w:rsidP="005445B2">
      <w:pPr>
        <w:spacing w:after="0"/>
        <w:ind w:firstLine="709"/>
        <w:rPr>
          <w:rFonts w:ascii="Arial" w:eastAsia="Calibri" w:hAnsi="Arial" w:cs="Arial"/>
          <w:sz w:val="22"/>
          <w:lang w:val="es-CO"/>
        </w:rPr>
      </w:pPr>
    </w:p>
    <w:p w14:paraId="6F7BA9FC" w14:textId="4D0D1C70" w:rsidR="00CB393E" w:rsidRPr="00340215" w:rsidRDefault="00CB393E" w:rsidP="00F026B1">
      <w:pPr>
        <w:spacing w:after="0" w:line="240" w:lineRule="auto"/>
        <w:jc w:val="center"/>
        <w:rPr>
          <w:rFonts w:ascii="Arial" w:eastAsia="Calibri" w:hAnsi="Arial" w:cs="Arial"/>
          <w:b/>
          <w:color w:val="000000" w:themeColor="text1"/>
          <w:sz w:val="22"/>
          <w:lang w:val="es-ES_tradnl"/>
        </w:rPr>
      </w:pPr>
      <w:r w:rsidRPr="00340215">
        <w:rPr>
          <w:rFonts w:ascii="Arial" w:eastAsia="Calibri" w:hAnsi="Arial" w:cs="Arial"/>
          <w:b/>
          <w:color w:val="000000" w:themeColor="text1"/>
          <w:sz w:val="22"/>
          <w:lang w:val="es-ES_tradnl"/>
        </w:rPr>
        <w:t xml:space="preserve">Concepto C – </w:t>
      </w:r>
      <w:r w:rsidR="00D5455B" w:rsidRPr="00340215">
        <w:rPr>
          <w:rFonts w:ascii="Arial" w:eastAsia="Calibri" w:hAnsi="Arial" w:cs="Arial"/>
          <w:b/>
          <w:color w:val="000000" w:themeColor="text1"/>
          <w:sz w:val="22"/>
          <w:lang w:val="es-ES_tradnl"/>
        </w:rPr>
        <w:t>095 de 2022</w:t>
      </w:r>
    </w:p>
    <w:p w14:paraId="76352992" w14:textId="77777777" w:rsidR="00CB393E" w:rsidRPr="00340215" w:rsidRDefault="00CB393E" w:rsidP="00CB393E">
      <w:pPr>
        <w:widowControl w:val="0"/>
        <w:autoSpaceDE w:val="0"/>
        <w:autoSpaceDN w:val="0"/>
        <w:spacing w:after="0"/>
        <w:jc w:val="left"/>
        <w:rPr>
          <w:rFonts w:ascii="Arial" w:eastAsia="Calibri" w:hAnsi="Arial" w:cs="Arial"/>
          <w:b/>
          <w:sz w:val="22"/>
          <w:lang w:val="es-CO" w:eastAsia="es-ES" w:bidi="es-ES"/>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B393E" w:rsidRPr="00340215" w14:paraId="6438F78E" w14:textId="77777777" w:rsidTr="00916F53">
        <w:trPr>
          <w:trHeight w:val="1195"/>
        </w:trPr>
        <w:tc>
          <w:tcPr>
            <w:tcW w:w="2689" w:type="dxa"/>
            <w:hideMark/>
          </w:tcPr>
          <w:p w14:paraId="7088BE25" w14:textId="77777777" w:rsidR="00CB393E" w:rsidRPr="00340215" w:rsidRDefault="00CB393E" w:rsidP="00CB393E">
            <w:pPr>
              <w:widowControl w:val="0"/>
              <w:autoSpaceDE w:val="0"/>
              <w:autoSpaceDN w:val="0"/>
              <w:contextualSpacing/>
              <w:rPr>
                <w:rFonts w:ascii="Arial" w:eastAsia="Calibri" w:hAnsi="Arial" w:cs="Arial"/>
                <w:noProof/>
                <w:sz w:val="22"/>
                <w:lang w:val="es-ES_tradnl" w:eastAsia="es-ES" w:bidi="es-ES"/>
              </w:rPr>
            </w:pPr>
            <w:r w:rsidRPr="00340215">
              <w:rPr>
                <w:rFonts w:ascii="Arial" w:eastAsia="Calibri" w:hAnsi="Arial" w:cs="Arial"/>
                <w:b/>
                <w:noProof/>
                <w:sz w:val="22"/>
                <w:lang w:val="es-ES_tradnl" w:eastAsia="es-ES" w:bidi="es-ES"/>
              </w:rPr>
              <w:t>Temas:</w:t>
            </w:r>
            <w:r w:rsidRPr="00340215">
              <w:rPr>
                <w:rFonts w:ascii="Arial" w:eastAsia="Calibri" w:hAnsi="Arial" w:cs="Arial"/>
                <w:noProof/>
                <w:sz w:val="22"/>
                <w:lang w:val="es-ES_tradnl" w:eastAsia="es-ES" w:bidi="es-ES"/>
              </w:rPr>
              <w:t xml:space="preserve">        </w:t>
            </w:r>
          </w:p>
        </w:tc>
        <w:tc>
          <w:tcPr>
            <w:tcW w:w="6237" w:type="dxa"/>
            <w:hideMark/>
          </w:tcPr>
          <w:p w14:paraId="3AEAFEAD" w14:textId="16577B86" w:rsidR="00CB393E" w:rsidRPr="00340215" w:rsidRDefault="00D32E84" w:rsidP="0044405F">
            <w:pPr>
              <w:spacing w:after="120"/>
              <w:rPr>
                <w:rFonts w:ascii="Arial" w:hAnsi="Arial" w:cs="Arial"/>
                <w:color w:val="000000" w:themeColor="text1"/>
                <w:sz w:val="22"/>
                <w:lang w:val="es-ES_tradnl"/>
              </w:rPr>
            </w:pPr>
            <w:r w:rsidRPr="00340215">
              <w:rPr>
                <w:rFonts w:ascii="Arial" w:hAnsi="Arial" w:cs="Arial"/>
                <w:color w:val="000000" w:themeColor="text1"/>
                <w:sz w:val="22"/>
                <w:lang w:val="es-ES_tradnl"/>
              </w:rPr>
              <w:t>REGALÍAS – Noción – Contraprestación económica / SISTEMA GENERAL DE REGALÍAS – Ley 2056 de 2020 – Decreto 1081 de 2020 / SISTEMA GENERAL DE REGALÍAS - Proyectos de inversión - Ciencia, tecnología e innovación - Convocatoria pública, abierta y competitiva / CONTRATACIÓN DIRECTA– Ley 996 de 2005 - Artículo 33 - Elecciones presidenciales.</w:t>
            </w:r>
          </w:p>
        </w:tc>
      </w:tr>
      <w:tr w:rsidR="00CB393E" w:rsidRPr="00340215" w14:paraId="07D81C34" w14:textId="77777777" w:rsidTr="00916F53">
        <w:trPr>
          <w:trHeight w:val="80"/>
        </w:trPr>
        <w:tc>
          <w:tcPr>
            <w:tcW w:w="2689" w:type="dxa"/>
          </w:tcPr>
          <w:p w14:paraId="787DF213" w14:textId="2BB27027" w:rsidR="00CB393E" w:rsidRPr="00340215" w:rsidRDefault="00CB393E" w:rsidP="00CB393E">
            <w:pPr>
              <w:widowControl w:val="0"/>
              <w:autoSpaceDE w:val="0"/>
              <w:autoSpaceDN w:val="0"/>
              <w:contextualSpacing/>
              <w:rPr>
                <w:rFonts w:ascii="Arial" w:eastAsia="Calibri" w:hAnsi="Arial" w:cs="Arial"/>
                <w:b/>
                <w:noProof/>
                <w:sz w:val="22"/>
                <w:lang w:val="es-ES_tradnl" w:eastAsia="es-ES" w:bidi="es-ES"/>
              </w:rPr>
            </w:pPr>
            <w:r w:rsidRPr="00340215">
              <w:rPr>
                <w:rFonts w:ascii="Arial" w:eastAsia="Calibri" w:hAnsi="Arial" w:cs="Arial"/>
                <w:b/>
                <w:noProof/>
                <w:sz w:val="22"/>
                <w:lang w:val="es-ES_tradnl" w:eastAsia="es-ES" w:bidi="es-ES"/>
              </w:rPr>
              <w:t>Radicación:</w:t>
            </w:r>
          </w:p>
          <w:p w14:paraId="12BCCDE6" w14:textId="77777777" w:rsidR="00CB393E" w:rsidRPr="00340215" w:rsidRDefault="00CB393E" w:rsidP="00CB393E">
            <w:pPr>
              <w:widowControl w:val="0"/>
              <w:autoSpaceDE w:val="0"/>
              <w:autoSpaceDN w:val="0"/>
              <w:contextualSpacing/>
              <w:rPr>
                <w:rFonts w:ascii="Arial" w:eastAsia="Calibri" w:hAnsi="Arial" w:cs="Arial"/>
                <w:b/>
                <w:noProof/>
                <w:sz w:val="22"/>
                <w:lang w:val="es-ES_tradnl" w:eastAsia="es-ES" w:bidi="es-ES"/>
              </w:rPr>
            </w:pPr>
            <w:r w:rsidRPr="00340215">
              <w:rPr>
                <w:rFonts w:ascii="Arial" w:eastAsia="Calibri" w:hAnsi="Arial" w:cs="Arial"/>
                <w:noProof/>
                <w:sz w:val="22"/>
                <w:lang w:val="es-ES_tradnl" w:eastAsia="es-ES" w:bidi="es-ES"/>
              </w:rPr>
              <w:t xml:space="preserve">        </w:t>
            </w:r>
          </w:p>
        </w:tc>
        <w:tc>
          <w:tcPr>
            <w:tcW w:w="6237" w:type="dxa"/>
          </w:tcPr>
          <w:p w14:paraId="7033A1EE" w14:textId="41A70AFA" w:rsidR="00CB393E" w:rsidRPr="00340215" w:rsidRDefault="00CB393E" w:rsidP="00CB393E">
            <w:pPr>
              <w:widowControl w:val="0"/>
              <w:autoSpaceDE w:val="0"/>
              <w:autoSpaceDN w:val="0"/>
              <w:contextualSpacing/>
              <w:rPr>
                <w:rFonts w:ascii="Arial" w:eastAsia="Calibri" w:hAnsi="Arial" w:cs="Arial"/>
                <w:noProof/>
                <w:sz w:val="22"/>
                <w:lang w:val="es-ES_tradnl" w:eastAsia="es-ES" w:bidi="es-ES"/>
              </w:rPr>
            </w:pPr>
            <w:r w:rsidRPr="00340215">
              <w:rPr>
                <w:rFonts w:ascii="Arial" w:eastAsia="Calibri" w:hAnsi="Arial" w:cs="Arial"/>
                <w:noProof/>
                <w:sz w:val="22"/>
                <w:lang w:val="es-ES_tradnl" w:eastAsia="es-ES" w:bidi="es-ES"/>
              </w:rPr>
              <w:t xml:space="preserve">Respuesta a consulta </w:t>
            </w:r>
            <w:r w:rsidR="00D5455B" w:rsidRPr="00340215">
              <w:rPr>
                <w:rFonts w:ascii="Arial" w:eastAsia="Calibri" w:hAnsi="Arial" w:cs="Arial"/>
                <w:noProof/>
                <w:sz w:val="22"/>
                <w:lang w:val="es-ES_tradnl" w:eastAsia="es-ES" w:bidi="es-ES"/>
              </w:rPr>
              <w:t>P20220208001171.</w:t>
            </w:r>
          </w:p>
        </w:tc>
      </w:tr>
    </w:tbl>
    <w:p w14:paraId="3C6248D2" w14:textId="77777777" w:rsidR="00F246FE" w:rsidRPr="00340215" w:rsidRDefault="00F246FE" w:rsidP="005445B2">
      <w:pPr>
        <w:spacing w:after="0"/>
        <w:ind w:firstLine="709"/>
        <w:rPr>
          <w:rFonts w:ascii="Arial" w:eastAsia="Calibri" w:hAnsi="Arial" w:cs="Arial"/>
          <w:sz w:val="22"/>
          <w:lang w:val="es-CO"/>
        </w:rPr>
      </w:pPr>
    </w:p>
    <w:p w14:paraId="0ADE9D41" w14:textId="7EBE25BD" w:rsidR="00990612" w:rsidRPr="00340215" w:rsidRDefault="00990612" w:rsidP="005445B2">
      <w:pPr>
        <w:spacing w:after="0"/>
        <w:rPr>
          <w:rFonts w:ascii="Arial" w:eastAsia="Calibri" w:hAnsi="Arial" w:cs="Arial"/>
          <w:sz w:val="22"/>
          <w:lang w:val="es-CO"/>
        </w:rPr>
      </w:pPr>
      <w:r w:rsidRPr="00340215">
        <w:rPr>
          <w:rFonts w:ascii="Arial" w:eastAsia="Calibri" w:hAnsi="Arial" w:cs="Arial"/>
          <w:sz w:val="22"/>
          <w:lang w:val="es-CO"/>
        </w:rPr>
        <w:t>Estimad</w:t>
      </w:r>
      <w:r w:rsidR="00D5455B" w:rsidRPr="00340215">
        <w:rPr>
          <w:rFonts w:ascii="Arial" w:eastAsia="Calibri" w:hAnsi="Arial" w:cs="Arial"/>
          <w:sz w:val="22"/>
          <w:lang w:val="es-CO"/>
        </w:rPr>
        <w:t>a</w:t>
      </w:r>
      <w:r w:rsidR="009D7290" w:rsidRPr="00340215">
        <w:rPr>
          <w:rFonts w:ascii="Arial" w:eastAsia="Calibri" w:hAnsi="Arial" w:cs="Arial"/>
          <w:sz w:val="22"/>
          <w:lang w:val="es-CO"/>
        </w:rPr>
        <w:t xml:space="preserve"> </w:t>
      </w:r>
      <w:r w:rsidR="00AF7FCE" w:rsidRPr="00340215">
        <w:rPr>
          <w:rFonts w:ascii="Arial" w:eastAsia="Calibri" w:hAnsi="Arial" w:cs="Arial"/>
          <w:sz w:val="22"/>
          <w:lang w:val="es-CO"/>
        </w:rPr>
        <w:t>señor</w:t>
      </w:r>
      <w:r w:rsidR="00D5455B" w:rsidRPr="00340215">
        <w:rPr>
          <w:rFonts w:ascii="Arial" w:eastAsia="Calibri" w:hAnsi="Arial" w:cs="Arial"/>
          <w:sz w:val="22"/>
          <w:lang w:val="es-CO"/>
        </w:rPr>
        <w:t>a Riaño</w:t>
      </w:r>
      <w:r w:rsidRPr="00340215">
        <w:rPr>
          <w:rFonts w:ascii="Arial" w:eastAsia="Calibri" w:hAnsi="Arial" w:cs="Arial"/>
          <w:sz w:val="22"/>
          <w:lang w:val="es-CO"/>
        </w:rPr>
        <w:t>:</w:t>
      </w:r>
    </w:p>
    <w:p w14:paraId="19436ABB" w14:textId="77777777" w:rsidR="00990612" w:rsidRPr="00340215" w:rsidRDefault="00990612" w:rsidP="005445B2">
      <w:pPr>
        <w:spacing w:after="0"/>
        <w:ind w:firstLine="709"/>
        <w:rPr>
          <w:rFonts w:ascii="Arial" w:eastAsia="Calibri" w:hAnsi="Arial" w:cs="Arial"/>
          <w:sz w:val="22"/>
          <w:lang w:val="es-CO"/>
        </w:rPr>
      </w:pPr>
    </w:p>
    <w:p w14:paraId="025D8DA8" w14:textId="173F3F41" w:rsidR="00D5455B" w:rsidRPr="00340215" w:rsidRDefault="00990612" w:rsidP="00737937">
      <w:pPr>
        <w:spacing w:after="0"/>
        <w:ind w:right="51"/>
        <w:rPr>
          <w:rFonts w:ascii="Arial" w:eastAsia="Calibri" w:hAnsi="Arial" w:cs="Arial"/>
          <w:sz w:val="22"/>
          <w:lang w:val="es-CO"/>
        </w:rPr>
      </w:pPr>
      <w:r w:rsidRPr="00340215">
        <w:rPr>
          <w:rFonts w:ascii="Arial" w:eastAsia="Calibri" w:hAnsi="Arial" w:cs="Arial"/>
          <w:sz w:val="22"/>
          <w:lang w:val="es-CO"/>
        </w:rPr>
        <w:t>En ejercicio de la competencia otorgada por el numeral 8 del artículo 11 y el numeral 5 del artículo 3 del Decreto Ley 4170 de 2011, la Agencia Nacional de Contratación Pública – Colombia Compra Eficiente</w:t>
      </w:r>
      <w:r w:rsidR="00E7503A" w:rsidRPr="00340215">
        <w:rPr>
          <w:rFonts w:ascii="Arial" w:eastAsia="Calibri" w:hAnsi="Arial" w:cs="Arial"/>
          <w:sz w:val="22"/>
          <w:lang w:val="es-CO"/>
        </w:rPr>
        <w:t xml:space="preserve"> responde</w:t>
      </w:r>
      <w:r w:rsidRPr="00340215">
        <w:rPr>
          <w:rFonts w:ascii="Arial" w:eastAsia="Calibri" w:hAnsi="Arial" w:cs="Arial"/>
          <w:sz w:val="22"/>
          <w:lang w:val="es-CO"/>
        </w:rPr>
        <w:t xml:space="preserve"> la consulta realizada el </w:t>
      </w:r>
      <w:r w:rsidR="00D5455B" w:rsidRPr="00340215">
        <w:rPr>
          <w:rFonts w:ascii="Arial" w:eastAsia="Calibri" w:hAnsi="Arial" w:cs="Arial"/>
          <w:sz w:val="22"/>
          <w:lang w:val="es-CO"/>
        </w:rPr>
        <w:t>08 de febrero de 2022.</w:t>
      </w:r>
    </w:p>
    <w:p w14:paraId="660C9FC7" w14:textId="77777777" w:rsidR="00D5455B" w:rsidRPr="00340215" w:rsidRDefault="00D5455B" w:rsidP="00737937">
      <w:pPr>
        <w:spacing w:after="0"/>
        <w:ind w:right="51"/>
        <w:rPr>
          <w:rFonts w:ascii="Arial" w:eastAsia="Calibri" w:hAnsi="Arial" w:cs="Arial"/>
          <w:sz w:val="22"/>
          <w:lang w:val="es-CO"/>
        </w:rPr>
      </w:pPr>
    </w:p>
    <w:p w14:paraId="3B0D1063" w14:textId="7B7128A5" w:rsidR="005A114C" w:rsidRPr="00340215" w:rsidRDefault="002B72C0" w:rsidP="00227E42">
      <w:pPr>
        <w:tabs>
          <w:tab w:val="left" w:pos="284"/>
        </w:tabs>
        <w:spacing w:after="0"/>
        <w:rPr>
          <w:rFonts w:ascii="Arial" w:eastAsia="Calibri" w:hAnsi="Arial" w:cs="Arial"/>
          <w:b/>
          <w:sz w:val="22"/>
          <w:lang w:val="es-CO"/>
        </w:rPr>
      </w:pPr>
      <w:r w:rsidRPr="00340215">
        <w:rPr>
          <w:rFonts w:ascii="Arial" w:eastAsia="Calibri" w:hAnsi="Arial" w:cs="Arial"/>
          <w:b/>
          <w:sz w:val="22"/>
          <w:lang w:val="es-CO"/>
        </w:rPr>
        <w:t xml:space="preserve">1. </w:t>
      </w:r>
      <w:r w:rsidR="00990612" w:rsidRPr="00340215">
        <w:rPr>
          <w:rFonts w:ascii="Arial" w:eastAsia="Calibri" w:hAnsi="Arial" w:cs="Arial"/>
          <w:b/>
          <w:sz w:val="22"/>
          <w:lang w:val="es-CO"/>
        </w:rPr>
        <w:t xml:space="preserve">Problema planteado </w:t>
      </w:r>
    </w:p>
    <w:p w14:paraId="0340A3A7" w14:textId="3E420EE2" w:rsidR="009F3C99" w:rsidRPr="00340215" w:rsidRDefault="009F3C99" w:rsidP="005445B2">
      <w:pPr>
        <w:tabs>
          <w:tab w:val="left" w:pos="426"/>
        </w:tabs>
        <w:spacing w:after="0"/>
        <w:ind w:firstLine="709"/>
        <w:rPr>
          <w:rFonts w:ascii="Arial" w:eastAsia="Calibri" w:hAnsi="Arial" w:cs="Arial"/>
          <w:sz w:val="22"/>
          <w:lang w:val="es-CO"/>
        </w:rPr>
      </w:pPr>
      <w:bookmarkStart w:id="2" w:name="_Hlk58917991"/>
      <w:bookmarkStart w:id="3" w:name="_Hlk56103000"/>
    </w:p>
    <w:p w14:paraId="0741C999" w14:textId="3B1DD76B" w:rsidR="003C51BB" w:rsidRPr="00340215" w:rsidRDefault="003C51BB" w:rsidP="00227E42">
      <w:pPr>
        <w:tabs>
          <w:tab w:val="left" w:pos="426"/>
        </w:tabs>
        <w:spacing w:after="0"/>
        <w:rPr>
          <w:rFonts w:ascii="Arial" w:eastAsia="Calibri" w:hAnsi="Arial" w:cs="Arial"/>
          <w:sz w:val="22"/>
          <w:lang w:val="es-CO"/>
        </w:rPr>
      </w:pPr>
      <w:r w:rsidRPr="00340215">
        <w:rPr>
          <w:rFonts w:ascii="Arial" w:eastAsia="Calibri" w:hAnsi="Arial" w:cs="Arial"/>
          <w:sz w:val="22"/>
          <w:lang w:val="es-CO"/>
        </w:rPr>
        <w:t>En la consulta presentada por usted, se plantean los siguientes interrogantes:</w:t>
      </w:r>
    </w:p>
    <w:p w14:paraId="02DDE716" w14:textId="77777777" w:rsidR="003C51BB" w:rsidRPr="00340215" w:rsidRDefault="003C51BB" w:rsidP="005445B2">
      <w:pPr>
        <w:tabs>
          <w:tab w:val="left" w:pos="426"/>
        </w:tabs>
        <w:spacing w:after="0"/>
        <w:ind w:firstLine="709"/>
        <w:rPr>
          <w:rFonts w:ascii="Arial" w:eastAsia="Calibri" w:hAnsi="Arial" w:cs="Arial"/>
          <w:sz w:val="22"/>
          <w:lang w:val="es-CO"/>
        </w:rPr>
      </w:pPr>
    </w:p>
    <w:p w14:paraId="5C28D1BC" w14:textId="77777777" w:rsidR="00230B1D" w:rsidRPr="00340215" w:rsidRDefault="003C51BB" w:rsidP="00202918">
      <w:pPr>
        <w:spacing w:after="0" w:line="240" w:lineRule="auto"/>
        <w:ind w:left="709" w:right="709"/>
        <w:rPr>
          <w:rFonts w:ascii="Arial" w:eastAsia="Calibri" w:hAnsi="Arial" w:cs="Arial"/>
          <w:sz w:val="22"/>
          <w:lang w:val="es-ES_tradnl"/>
        </w:rPr>
      </w:pPr>
      <w:bookmarkStart w:id="4" w:name="_Hlk88582528"/>
      <w:r w:rsidRPr="00340215">
        <w:rPr>
          <w:rFonts w:ascii="Arial" w:eastAsia="Calibri" w:hAnsi="Arial" w:cs="Arial"/>
          <w:sz w:val="22"/>
          <w:lang w:val="es-ES_tradnl"/>
        </w:rPr>
        <w:t>«</w:t>
      </w:r>
      <w:bookmarkEnd w:id="4"/>
      <w:r w:rsidR="00230B1D" w:rsidRPr="00340215">
        <w:rPr>
          <w:rFonts w:ascii="Arial" w:eastAsia="Calibri" w:hAnsi="Arial" w:cs="Arial"/>
          <w:sz w:val="22"/>
          <w:lang w:val="es-ES_tradnl"/>
        </w:rPr>
        <w:t xml:space="preserve">La Ley 996 de 2005 establece dos prohibiciones en materia contractual, dentro de ellas, a través del artículo 33 aquella que restringe la contratación directa, para todas las entidades del estado, independientemente de su régimen de contratación. </w:t>
      </w:r>
    </w:p>
    <w:p w14:paraId="4A76AABC" w14:textId="77777777" w:rsidR="00230B1D" w:rsidRPr="00340215" w:rsidRDefault="00230B1D" w:rsidP="00202918">
      <w:pPr>
        <w:spacing w:after="0" w:line="240" w:lineRule="auto"/>
        <w:ind w:left="709" w:right="709"/>
        <w:rPr>
          <w:rFonts w:ascii="Arial" w:eastAsia="Calibri" w:hAnsi="Arial" w:cs="Arial"/>
          <w:sz w:val="22"/>
          <w:lang w:val="es-ES_tradnl"/>
        </w:rPr>
      </w:pPr>
    </w:p>
    <w:p w14:paraId="0FE4084F" w14:textId="2E786F64" w:rsidR="00230B1D" w:rsidRPr="00340215" w:rsidRDefault="00230B1D" w:rsidP="00202918">
      <w:pPr>
        <w:spacing w:after="0" w:line="240" w:lineRule="auto"/>
        <w:ind w:left="709" w:right="709"/>
        <w:rPr>
          <w:rFonts w:ascii="Arial" w:eastAsia="Calibri" w:hAnsi="Arial" w:cs="Arial"/>
          <w:sz w:val="22"/>
          <w:lang w:val="es-ES_tradnl"/>
        </w:rPr>
      </w:pPr>
      <w:r w:rsidRPr="00340215">
        <w:rPr>
          <w:rFonts w:ascii="Arial" w:eastAsia="Calibri" w:hAnsi="Arial" w:cs="Arial"/>
          <w:sz w:val="22"/>
          <w:lang w:val="es-ES_tradnl"/>
        </w:rPr>
        <w:t xml:space="preserve">La Agencia que dirige ha conceptuado en diferentes oportunidades, como el caso del Concepto 481 de 2021, que: “para efectos de la prohibición o </w:t>
      </w:r>
      <w:r w:rsidRPr="00340215">
        <w:rPr>
          <w:rFonts w:ascii="Arial" w:eastAsia="Calibri" w:hAnsi="Arial" w:cs="Arial"/>
          <w:sz w:val="22"/>
          <w:lang w:val="es-ES_tradnl"/>
        </w:rPr>
        <w:lastRenderedPageBreak/>
        <w:t xml:space="preserve">restricción temporal contenida en la Ley de Garantías Electorales, entendió por contratación directa «[…] cualquier sistema de selección o procedimiento de contratación utilizado por las entidades estatales que no incluya la convocatoria pública, en alguna de sus etapas, ni permita la participación de una pluralidad de oferentes» </w:t>
      </w:r>
    </w:p>
    <w:p w14:paraId="23BA3801" w14:textId="77777777" w:rsidR="00230B1D" w:rsidRPr="00340215" w:rsidRDefault="00230B1D" w:rsidP="00202918">
      <w:pPr>
        <w:spacing w:after="0" w:line="240" w:lineRule="auto"/>
        <w:ind w:left="709" w:right="709"/>
        <w:rPr>
          <w:rFonts w:ascii="Arial" w:eastAsia="Calibri" w:hAnsi="Arial" w:cs="Arial"/>
          <w:sz w:val="22"/>
          <w:lang w:val="es-ES_tradnl"/>
        </w:rPr>
      </w:pPr>
    </w:p>
    <w:p w14:paraId="5623BD97" w14:textId="61BA4A6F" w:rsidR="00C008E2" w:rsidRPr="00340215" w:rsidRDefault="00230B1D" w:rsidP="00202918">
      <w:pPr>
        <w:spacing w:after="0" w:line="240" w:lineRule="auto"/>
        <w:ind w:left="709" w:right="709"/>
        <w:rPr>
          <w:rFonts w:ascii="Arial" w:eastAsia="Calibri" w:hAnsi="Arial" w:cs="Arial"/>
          <w:sz w:val="22"/>
          <w:lang w:val="es-ES_tradnl"/>
        </w:rPr>
      </w:pPr>
      <w:r w:rsidRPr="00340215">
        <w:rPr>
          <w:rFonts w:ascii="Arial" w:eastAsia="Calibri" w:hAnsi="Arial" w:cs="Arial"/>
          <w:sz w:val="22"/>
          <w:lang w:val="es-ES_tradnl"/>
        </w:rPr>
        <w:t>Y en el concepto 677 del mismo año: “En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p>
    <w:p w14:paraId="54ABDA23" w14:textId="3BD769A7" w:rsidR="00230B1D" w:rsidRPr="00340215" w:rsidRDefault="00230B1D" w:rsidP="00202918">
      <w:pPr>
        <w:spacing w:after="0" w:line="240" w:lineRule="auto"/>
        <w:ind w:left="709" w:right="709"/>
        <w:rPr>
          <w:rFonts w:ascii="Arial" w:eastAsia="Calibri" w:hAnsi="Arial" w:cs="Arial"/>
          <w:sz w:val="22"/>
          <w:lang w:val="es-ES_tradnl"/>
        </w:rPr>
      </w:pPr>
    </w:p>
    <w:p w14:paraId="51FCFDF0" w14:textId="6D0DEE09" w:rsidR="00230B1D" w:rsidRPr="00340215" w:rsidRDefault="00230B1D" w:rsidP="00202918">
      <w:pPr>
        <w:spacing w:after="0" w:line="240" w:lineRule="auto"/>
        <w:ind w:left="709" w:right="709"/>
        <w:rPr>
          <w:rFonts w:ascii="Arial" w:eastAsia="Calibri" w:hAnsi="Arial" w:cs="Arial"/>
          <w:sz w:val="22"/>
          <w:lang w:val="es-ES_tradnl"/>
        </w:rPr>
      </w:pPr>
      <w:r w:rsidRPr="00340215">
        <w:rPr>
          <w:rFonts w:ascii="Arial" w:eastAsia="Calibri" w:hAnsi="Arial" w:cs="Arial"/>
          <w:sz w:val="22"/>
          <w:lang w:val="es-ES_tradnl"/>
        </w:rPr>
        <w:t>Así las cosas, se plantean los siguientes interrogantes:</w:t>
      </w:r>
    </w:p>
    <w:p w14:paraId="4A71D158" w14:textId="3D97AAD2" w:rsidR="00230B1D" w:rsidRPr="00340215" w:rsidRDefault="00230B1D" w:rsidP="00202918">
      <w:pPr>
        <w:spacing w:after="0" w:line="240" w:lineRule="auto"/>
        <w:ind w:left="709" w:right="709"/>
        <w:rPr>
          <w:rFonts w:ascii="Arial" w:eastAsia="Calibri" w:hAnsi="Arial" w:cs="Arial"/>
          <w:sz w:val="22"/>
          <w:lang w:val="es-ES_tradnl"/>
        </w:rPr>
      </w:pPr>
    </w:p>
    <w:p w14:paraId="4B91A0CA" w14:textId="77777777" w:rsidR="00230B1D" w:rsidRPr="00340215" w:rsidRDefault="00230B1D" w:rsidP="00202918">
      <w:pPr>
        <w:spacing w:after="0" w:line="240" w:lineRule="auto"/>
        <w:ind w:left="709" w:right="709"/>
        <w:rPr>
          <w:rFonts w:ascii="Arial" w:eastAsia="Calibri" w:hAnsi="Arial" w:cs="Arial"/>
          <w:sz w:val="22"/>
          <w:lang w:val="es-ES_tradnl"/>
        </w:rPr>
      </w:pPr>
      <w:r w:rsidRPr="00340215">
        <w:rPr>
          <w:rFonts w:ascii="Arial" w:eastAsia="Calibri" w:hAnsi="Arial" w:cs="Arial"/>
          <w:sz w:val="22"/>
          <w:lang w:val="es-ES_tradnl"/>
        </w:rPr>
        <w:t xml:space="preserve">1. ¿La </w:t>
      </w:r>
      <w:bookmarkStart w:id="5" w:name="_Hlk98136336"/>
      <w:r w:rsidRPr="00340215">
        <w:rPr>
          <w:rFonts w:ascii="Arial" w:eastAsia="Calibri" w:hAnsi="Arial" w:cs="Arial"/>
          <w:sz w:val="22"/>
          <w:lang w:val="es-ES_tradnl"/>
        </w:rPr>
        <w:t>celebración de contratos de ciencia y tecnología, producto del proceso descrito en el artículo 10 de la Ley 2059 de 2020</w:t>
      </w:r>
      <w:bookmarkEnd w:id="5"/>
      <w:r w:rsidRPr="00A41722">
        <w:rPr>
          <w:rFonts w:ascii="Arial" w:eastAsia="Calibri" w:hAnsi="Arial" w:cs="Arial"/>
          <w:sz w:val="22"/>
          <w:vertAlign w:val="superscript"/>
          <w:lang w:val="es-ES_tradnl"/>
        </w:rPr>
        <w:t>3</w:t>
      </w:r>
      <w:r w:rsidRPr="00340215">
        <w:rPr>
          <w:rFonts w:ascii="Arial" w:eastAsia="Calibri" w:hAnsi="Arial" w:cs="Arial"/>
          <w:sz w:val="22"/>
          <w:lang w:val="es-ES_tradnl"/>
        </w:rPr>
        <w:t xml:space="preserve"> cumplirían el presupuesto referente a la convocatoria pública? </w:t>
      </w:r>
    </w:p>
    <w:p w14:paraId="502CA74B" w14:textId="77777777" w:rsidR="00230B1D" w:rsidRPr="00340215" w:rsidRDefault="00230B1D" w:rsidP="00202918">
      <w:pPr>
        <w:spacing w:after="0" w:line="240" w:lineRule="auto"/>
        <w:ind w:left="709" w:right="709"/>
        <w:rPr>
          <w:rFonts w:ascii="Arial" w:eastAsia="Calibri" w:hAnsi="Arial" w:cs="Arial"/>
          <w:sz w:val="22"/>
          <w:lang w:val="es-ES_tradnl"/>
        </w:rPr>
      </w:pPr>
    </w:p>
    <w:p w14:paraId="4AC8F505" w14:textId="77777777" w:rsidR="00230B1D" w:rsidRPr="00340215" w:rsidRDefault="00230B1D" w:rsidP="00202918">
      <w:pPr>
        <w:spacing w:after="0" w:line="240" w:lineRule="auto"/>
        <w:ind w:left="709" w:right="709"/>
        <w:rPr>
          <w:rFonts w:ascii="Arial" w:eastAsia="Calibri" w:hAnsi="Arial" w:cs="Arial"/>
          <w:sz w:val="22"/>
          <w:lang w:val="es-ES_tradnl"/>
        </w:rPr>
      </w:pPr>
      <w:r w:rsidRPr="00340215">
        <w:rPr>
          <w:rFonts w:ascii="Arial" w:eastAsia="Calibri" w:hAnsi="Arial" w:cs="Arial"/>
          <w:sz w:val="22"/>
          <w:lang w:val="es-ES_tradnl"/>
        </w:rPr>
        <w:t xml:space="preserve">Lo anterior, en el entendido que, de acuerdo con lo conceptuado por la Agencia, “lo determinante para considerar que dicho sistema no constituye «contratación directa», es que la convocatoria para inscribirse en forma previa se haga de manera pública, y que se permita la participación de una pluralidad de oferentes.” </w:t>
      </w:r>
    </w:p>
    <w:p w14:paraId="40B8E387" w14:textId="77777777" w:rsidR="00230B1D" w:rsidRPr="00340215" w:rsidRDefault="00230B1D" w:rsidP="00202918">
      <w:pPr>
        <w:spacing w:after="0" w:line="240" w:lineRule="auto"/>
        <w:ind w:left="709" w:right="709"/>
        <w:rPr>
          <w:rFonts w:ascii="Arial" w:eastAsia="Calibri" w:hAnsi="Arial" w:cs="Arial"/>
          <w:sz w:val="22"/>
          <w:lang w:val="es-ES_tradnl"/>
        </w:rPr>
      </w:pPr>
    </w:p>
    <w:p w14:paraId="629731F7" w14:textId="36A44305" w:rsidR="00230B1D" w:rsidRPr="00340215" w:rsidRDefault="00230B1D" w:rsidP="00202918">
      <w:pPr>
        <w:spacing w:after="0" w:line="240" w:lineRule="auto"/>
        <w:ind w:left="709" w:right="709"/>
        <w:rPr>
          <w:rFonts w:ascii="Arial" w:eastAsia="Calibri" w:hAnsi="Arial" w:cs="Arial"/>
          <w:sz w:val="22"/>
          <w:lang w:val="es-ES_tradnl"/>
        </w:rPr>
      </w:pPr>
      <w:r w:rsidRPr="00340215">
        <w:rPr>
          <w:rFonts w:ascii="Arial" w:eastAsia="Calibri" w:hAnsi="Arial" w:cs="Arial"/>
          <w:sz w:val="22"/>
          <w:lang w:val="es-ES_tradnl"/>
        </w:rPr>
        <w:t xml:space="preserve">2. ¿Cualquier procedimiento que permita la participación de interesados (en consideración al régimen de contratación aplicable a la Entidad pública), se asimila o entiende como convocatoria pública? </w:t>
      </w:r>
    </w:p>
    <w:p w14:paraId="56ABF6E0" w14:textId="77777777" w:rsidR="00C566EB" w:rsidRPr="00340215" w:rsidRDefault="00C566EB" w:rsidP="00202918">
      <w:pPr>
        <w:spacing w:after="0" w:line="240" w:lineRule="auto"/>
        <w:ind w:left="709" w:right="709"/>
        <w:rPr>
          <w:rFonts w:ascii="Arial" w:eastAsia="Calibri" w:hAnsi="Arial" w:cs="Arial"/>
          <w:sz w:val="22"/>
          <w:lang w:val="es-ES_tradnl"/>
        </w:rPr>
      </w:pPr>
    </w:p>
    <w:p w14:paraId="7E8112ED" w14:textId="3A75CBC9" w:rsidR="00230B1D" w:rsidRPr="00340215" w:rsidRDefault="00230B1D" w:rsidP="00202918">
      <w:pPr>
        <w:spacing w:after="0" w:line="240" w:lineRule="auto"/>
        <w:ind w:left="709" w:right="709"/>
        <w:rPr>
          <w:rFonts w:ascii="Arial" w:eastAsia="Calibri" w:hAnsi="Arial" w:cs="Arial"/>
          <w:sz w:val="22"/>
          <w:lang w:val="es-ES_tradnl"/>
        </w:rPr>
      </w:pPr>
      <w:r w:rsidRPr="00340215">
        <w:rPr>
          <w:rFonts w:ascii="Arial" w:eastAsia="Calibri" w:hAnsi="Arial" w:cs="Arial"/>
          <w:sz w:val="22"/>
          <w:lang w:val="es-ES_tradnl"/>
        </w:rPr>
        <w:t>3. ¿En el marco de un régimen especial es posible hacer invitaciones a varios interesados y celebrar un contrato con quien ostente la mejor oferta en vigencia de las restricciones señaladas en la Ley de Garantías?»</w:t>
      </w:r>
    </w:p>
    <w:p w14:paraId="5417BB4E" w14:textId="77777777" w:rsidR="00230B1D" w:rsidRPr="00340215" w:rsidRDefault="00230B1D" w:rsidP="00202918">
      <w:pPr>
        <w:spacing w:after="0" w:line="240" w:lineRule="auto"/>
        <w:ind w:left="709" w:right="709"/>
        <w:rPr>
          <w:rFonts w:ascii="Arial" w:eastAsia="Calibri" w:hAnsi="Arial" w:cs="Arial"/>
          <w:sz w:val="22"/>
          <w:lang w:val="es-ES_tradnl"/>
        </w:rPr>
      </w:pPr>
    </w:p>
    <w:bookmarkEnd w:id="2"/>
    <w:bookmarkEnd w:id="3"/>
    <w:p w14:paraId="509ED1DE" w14:textId="0373A81E" w:rsidR="005027F0" w:rsidRPr="00340215" w:rsidRDefault="002B72C0" w:rsidP="00227E42">
      <w:pPr>
        <w:tabs>
          <w:tab w:val="left" w:pos="284"/>
        </w:tabs>
        <w:spacing w:after="0"/>
        <w:rPr>
          <w:rFonts w:ascii="Arial" w:eastAsia="Calibri" w:hAnsi="Arial" w:cs="Arial"/>
          <w:b/>
          <w:sz w:val="22"/>
          <w:lang w:val="es-CO"/>
        </w:rPr>
      </w:pPr>
      <w:r w:rsidRPr="00340215">
        <w:rPr>
          <w:rFonts w:ascii="Arial" w:eastAsia="Calibri" w:hAnsi="Arial" w:cs="Arial"/>
          <w:b/>
          <w:sz w:val="22"/>
          <w:lang w:val="es-CO"/>
        </w:rPr>
        <w:t xml:space="preserve">2. </w:t>
      </w:r>
      <w:r w:rsidR="00990612" w:rsidRPr="00340215">
        <w:rPr>
          <w:rFonts w:ascii="Arial" w:eastAsia="Calibri" w:hAnsi="Arial" w:cs="Arial"/>
          <w:b/>
          <w:sz w:val="22"/>
          <w:lang w:val="es-CO"/>
        </w:rPr>
        <w:t>Consideraciones</w:t>
      </w:r>
    </w:p>
    <w:p w14:paraId="5055D398" w14:textId="77777777" w:rsidR="00A71FC5" w:rsidRPr="00340215" w:rsidRDefault="00A71FC5" w:rsidP="00A41722">
      <w:pPr>
        <w:spacing w:after="0"/>
        <w:rPr>
          <w:rFonts w:ascii="Arial" w:eastAsia="Calibri" w:hAnsi="Arial" w:cs="Arial"/>
          <w:color w:val="000000" w:themeColor="text1"/>
          <w:sz w:val="22"/>
          <w:lang w:val="es-ES_tradnl"/>
        </w:rPr>
      </w:pPr>
    </w:p>
    <w:p w14:paraId="62B5C080" w14:textId="4A26E5E4" w:rsidR="00EF3555" w:rsidRPr="00340215" w:rsidRDefault="00EF3555" w:rsidP="00A41722">
      <w:pPr>
        <w:spacing w:after="120"/>
        <w:rPr>
          <w:rFonts w:ascii="Arial" w:eastAsia="Calibri" w:hAnsi="Arial" w:cs="Arial"/>
          <w:color w:val="000000" w:themeColor="text1"/>
          <w:sz w:val="22"/>
          <w:lang w:val="es-ES_tradnl"/>
        </w:rPr>
      </w:pPr>
      <w:r w:rsidRPr="00340215">
        <w:rPr>
          <w:rFonts w:ascii="Arial" w:eastAsia="Calibri" w:hAnsi="Arial" w:cs="Arial"/>
          <w:color w:val="000000" w:themeColor="text1"/>
          <w:sz w:val="22"/>
          <w:lang w:val="es-ES_tradnl"/>
        </w:rPr>
        <w:t xml:space="preserve">En ejercicio de las competencias establecidas en los artículos 3.5 y 11.8 del Decreto 4170 de 2011, la Agencia Nacional de Contratación Pública – Colombia Compra Eficiente resuelve las consultas sobre los asuntos de su competencia, esto es, sobre las temáticas </w:t>
      </w:r>
      <w:r w:rsidRPr="00340215">
        <w:rPr>
          <w:rFonts w:ascii="Arial" w:eastAsia="Calibri" w:hAnsi="Arial" w:cs="Arial"/>
          <w:color w:val="000000" w:themeColor="text1"/>
          <w:sz w:val="22"/>
          <w:lang w:val="es-ES_tradnl"/>
        </w:rPr>
        <w:lastRenderedPageBreak/>
        <w:t>de la contratación estatal y compras públicas relacionadas en los artículos citados.</w:t>
      </w:r>
      <w:r w:rsidR="00B32D09" w:rsidRPr="00340215">
        <w:rPr>
          <w:rFonts w:ascii="Arial" w:eastAsia="Calibri" w:hAnsi="Arial" w:cs="Arial"/>
          <w:color w:val="000000" w:themeColor="text1"/>
          <w:sz w:val="22"/>
          <w:lang w:val="es-ES_tradnl"/>
        </w:rPr>
        <w:t xml:space="preserve"> </w:t>
      </w:r>
      <w:r w:rsidRPr="00340215">
        <w:rPr>
          <w:rFonts w:ascii="Arial" w:eastAsia="Calibri" w:hAnsi="Arial" w:cs="Arial"/>
          <w:color w:val="000000" w:themeColor="text1"/>
          <w:sz w:val="22"/>
          <w:lang w:val="es-ES_tradnl"/>
        </w:rPr>
        <w:t>Es necesario tener en cuenta que esta entidad solo tiene competencia para responder solicitudes sobre la aplicación de normas de carácter general en materia de compras y contratación pública</w:t>
      </w:r>
      <w:r w:rsidR="00925EF9" w:rsidRPr="00340215">
        <w:rPr>
          <w:rStyle w:val="Refdenotaalpie"/>
          <w:rFonts w:ascii="Arial" w:eastAsia="Calibri" w:hAnsi="Arial" w:cs="Arial"/>
          <w:color w:val="000000" w:themeColor="text1"/>
          <w:sz w:val="22"/>
          <w:lang w:val="es-ES_tradnl"/>
        </w:rPr>
        <w:footnoteReference w:id="1"/>
      </w:r>
      <w:r w:rsidRPr="00340215">
        <w:rPr>
          <w:rFonts w:ascii="Arial" w:eastAsia="Calibri" w:hAnsi="Arial" w:cs="Arial"/>
          <w:color w:val="000000" w:themeColor="text1"/>
          <w:sz w:val="22"/>
          <w:lang w:val="es-ES_tradnl"/>
        </w:rPr>
        <w:t>. Esta se fija con límites claros, con el objeto de evitar que la Agencia actúe como una instancia de validación de las actuaciones de las entidades sujetas a la Ley 80 de 1993 o de los demás participantes de la contratación pública</w:t>
      </w:r>
      <w:r w:rsidR="00C53904" w:rsidRPr="00340215">
        <w:rPr>
          <w:rFonts w:ascii="Arial" w:eastAsia="Calibri" w:hAnsi="Arial" w:cs="Arial"/>
          <w:color w:val="000000" w:themeColor="text1"/>
          <w:sz w:val="22"/>
          <w:lang w:val="es-ES_tradnl"/>
        </w:rPr>
        <w:t>.</w:t>
      </w:r>
    </w:p>
    <w:p w14:paraId="7BF8ADD6" w14:textId="66DC57C9" w:rsidR="008E5F76" w:rsidRPr="00340215" w:rsidRDefault="005F090F" w:rsidP="00133651">
      <w:pPr>
        <w:spacing w:after="120"/>
        <w:ind w:firstLine="708"/>
        <w:rPr>
          <w:rFonts w:ascii="Arial" w:eastAsia="Calibri" w:hAnsi="Arial" w:cs="Arial"/>
          <w:color w:val="000000" w:themeColor="text1"/>
          <w:sz w:val="22"/>
          <w:lang w:val="es-ES_tradnl"/>
        </w:rPr>
      </w:pPr>
      <w:r w:rsidRPr="00340215">
        <w:rPr>
          <w:rFonts w:ascii="Arial" w:eastAsia="Calibri" w:hAnsi="Arial" w:cs="Arial"/>
          <w:color w:val="000000" w:themeColor="text1"/>
          <w:sz w:val="22"/>
          <w:lang w:val="es-ES_tradnl"/>
        </w:rPr>
        <w:t>De otra parte, a</w:t>
      </w:r>
      <w:r w:rsidR="00884F09" w:rsidRPr="00340215">
        <w:rPr>
          <w:rFonts w:ascii="Arial" w:eastAsia="Calibri" w:hAnsi="Arial" w:cs="Arial"/>
          <w:color w:val="000000" w:themeColor="text1"/>
          <w:sz w:val="22"/>
          <w:lang w:val="es-ES_tradnl"/>
        </w:rPr>
        <w:t xml:space="preserve">ntes de proceder al estudio de la consulta, es necesario aclarar que en el texto </w:t>
      </w:r>
      <w:r w:rsidR="009E1784" w:rsidRPr="00340215">
        <w:rPr>
          <w:rFonts w:ascii="Arial" w:eastAsia="Calibri" w:hAnsi="Arial" w:cs="Arial"/>
          <w:color w:val="000000" w:themeColor="text1"/>
          <w:sz w:val="22"/>
          <w:lang w:val="es-ES_tradnl"/>
        </w:rPr>
        <w:t xml:space="preserve">presentado por la peticionaria se hace </w:t>
      </w:r>
      <w:r w:rsidR="0092099E" w:rsidRPr="00340215">
        <w:rPr>
          <w:rFonts w:ascii="Arial" w:eastAsia="Calibri" w:hAnsi="Arial" w:cs="Arial"/>
          <w:color w:val="000000" w:themeColor="text1"/>
          <w:sz w:val="22"/>
          <w:lang w:val="es-ES_tradnl"/>
        </w:rPr>
        <w:t>referencia</w:t>
      </w:r>
      <w:r w:rsidR="009E1784" w:rsidRPr="00340215">
        <w:rPr>
          <w:rFonts w:ascii="Arial" w:eastAsia="Calibri" w:hAnsi="Arial" w:cs="Arial"/>
          <w:color w:val="000000" w:themeColor="text1"/>
          <w:sz w:val="22"/>
          <w:lang w:val="es-ES_tradnl"/>
        </w:rPr>
        <w:t xml:space="preserve"> a</w:t>
      </w:r>
      <w:r w:rsidR="0092099E" w:rsidRPr="00340215">
        <w:rPr>
          <w:rFonts w:ascii="Arial" w:eastAsia="Calibri" w:hAnsi="Arial" w:cs="Arial"/>
          <w:color w:val="000000" w:themeColor="text1"/>
          <w:sz w:val="22"/>
          <w:lang w:val="es-ES_tradnl"/>
        </w:rPr>
        <w:t xml:space="preserve"> la «celebración de contratos de ciencia y tecnología, producto del proceso descrito en el artículo 10 de la Ley 205</w:t>
      </w:r>
      <w:r w:rsidR="007F3C47" w:rsidRPr="00340215">
        <w:rPr>
          <w:rFonts w:ascii="Arial" w:eastAsia="Calibri" w:hAnsi="Arial" w:cs="Arial"/>
          <w:color w:val="000000" w:themeColor="text1"/>
          <w:sz w:val="22"/>
          <w:lang w:val="es-ES_tradnl"/>
        </w:rPr>
        <w:t>9</w:t>
      </w:r>
      <w:r w:rsidR="0092099E" w:rsidRPr="00340215">
        <w:rPr>
          <w:rFonts w:ascii="Arial" w:eastAsia="Calibri" w:hAnsi="Arial" w:cs="Arial"/>
          <w:color w:val="000000" w:themeColor="text1"/>
          <w:sz w:val="22"/>
          <w:lang w:val="es-ES_tradnl"/>
        </w:rPr>
        <w:t xml:space="preserve"> de 2020»</w:t>
      </w:r>
      <w:r w:rsidR="00B32D09" w:rsidRPr="00340215">
        <w:rPr>
          <w:rFonts w:ascii="Arial" w:eastAsia="Calibri" w:hAnsi="Arial" w:cs="Arial"/>
          <w:color w:val="000000" w:themeColor="text1"/>
          <w:sz w:val="22"/>
          <w:lang w:val="es-ES_tradnl"/>
        </w:rPr>
        <w:t>. S</w:t>
      </w:r>
      <w:r w:rsidR="007F3C47" w:rsidRPr="00340215">
        <w:rPr>
          <w:rFonts w:ascii="Arial" w:eastAsia="Calibri" w:hAnsi="Arial" w:cs="Arial"/>
          <w:color w:val="000000" w:themeColor="text1"/>
          <w:sz w:val="22"/>
          <w:lang w:val="es-ES_tradnl"/>
        </w:rPr>
        <w:t xml:space="preserve">in embargo, consultada la norma asociada a dicha nomenclatura se advierte que la misma tiene por objeto declarar el «Patrimonio Histórico y Cultural al municipio de Orocué del departamento de Casanare, exaltando su condición de cuna de la obra literaria “La Vorágine”», y consta de no más de cinco artículos. </w:t>
      </w:r>
      <w:r w:rsidR="00B32D09" w:rsidRPr="00340215">
        <w:rPr>
          <w:rFonts w:ascii="Arial" w:eastAsia="Calibri" w:hAnsi="Arial" w:cs="Arial"/>
          <w:color w:val="000000" w:themeColor="text1"/>
          <w:sz w:val="22"/>
          <w:lang w:val="es-ES_tradnl"/>
        </w:rPr>
        <w:t>No obstante</w:t>
      </w:r>
      <w:r w:rsidR="007F3C47" w:rsidRPr="00340215">
        <w:rPr>
          <w:rFonts w:ascii="Arial" w:eastAsia="Calibri" w:hAnsi="Arial" w:cs="Arial"/>
          <w:color w:val="000000" w:themeColor="text1"/>
          <w:sz w:val="22"/>
          <w:lang w:val="es-ES_tradnl"/>
        </w:rPr>
        <w:t>, por lo dicho en la nota al pie es fácil colegir que se quiso hacer referencia a la Ley 2056 de 2020 «Por la cual se regula la organización y el funcionamiento del Sistema General de Regalías</w:t>
      </w:r>
      <w:r w:rsidRPr="00340215">
        <w:rPr>
          <w:rFonts w:ascii="Arial" w:eastAsia="Calibri" w:hAnsi="Arial" w:cs="Arial"/>
          <w:color w:val="000000" w:themeColor="text1"/>
          <w:sz w:val="22"/>
          <w:lang w:val="es-ES_tradnl"/>
        </w:rPr>
        <w:t>»</w:t>
      </w:r>
      <w:r w:rsidR="007F3C47" w:rsidRPr="00340215">
        <w:rPr>
          <w:rFonts w:ascii="Arial" w:eastAsia="Calibri" w:hAnsi="Arial" w:cs="Arial"/>
          <w:color w:val="000000" w:themeColor="text1"/>
          <w:sz w:val="22"/>
          <w:lang w:val="es-ES_tradnl"/>
        </w:rPr>
        <w:t xml:space="preserve">, cuyo artículo 10 asigna distintas competencias al Ministerio de Ciencia Tecnología e Innovación, relacionadas con el desarrollo de convocatorias para inversiones en ciencia, tecnología e innovación. Teniendo en cuenta esto, atribuyendo la mención de la primera norma un error involuntario, se resolverá la consulta </w:t>
      </w:r>
      <w:r w:rsidRPr="00340215">
        <w:rPr>
          <w:rFonts w:ascii="Arial" w:eastAsia="Calibri" w:hAnsi="Arial" w:cs="Arial"/>
          <w:color w:val="000000" w:themeColor="text1"/>
          <w:sz w:val="22"/>
          <w:lang w:val="es-ES_tradnl"/>
        </w:rPr>
        <w:t xml:space="preserve">tomando en consideración lo anotado. </w:t>
      </w:r>
    </w:p>
    <w:p w14:paraId="0FFC43B3" w14:textId="49E2A463" w:rsidR="004167C4" w:rsidRPr="00340215" w:rsidRDefault="00281E62" w:rsidP="008E5F76">
      <w:pPr>
        <w:spacing w:before="120" w:after="0"/>
        <w:ind w:firstLine="709"/>
        <w:rPr>
          <w:rFonts w:ascii="Arial" w:hAnsi="Arial" w:cs="Arial"/>
          <w:noProof/>
          <w:sz w:val="22"/>
          <w:lang w:val="es-ES_tradnl"/>
        </w:rPr>
      </w:pPr>
      <w:r w:rsidRPr="00340215">
        <w:rPr>
          <w:rFonts w:ascii="Arial" w:hAnsi="Arial" w:cs="Arial"/>
          <w:noProof/>
          <w:sz w:val="22"/>
          <w:lang w:val="es-ES_tradnl"/>
        </w:rPr>
        <w:t>Por ello, la Subdirección –dentro de los límites de sus atribuciones– resolverá la consulta conforme a las normas generales en materia de contratación estatal. Con este objetivo se analizarán los siguientes temas:</w:t>
      </w:r>
      <w:r w:rsidR="00990612" w:rsidRPr="00340215">
        <w:rPr>
          <w:rFonts w:ascii="Arial" w:hAnsi="Arial" w:cs="Arial"/>
          <w:noProof/>
          <w:sz w:val="22"/>
          <w:lang w:val="es-ES_tradnl"/>
        </w:rPr>
        <w:t xml:space="preserve"> i) </w:t>
      </w:r>
      <w:bookmarkStart w:id="6" w:name="_Hlk76110351"/>
      <w:r w:rsidR="00230B1D" w:rsidRPr="00340215">
        <w:rPr>
          <w:rFonts w:ascii="Arial" w:hAnsi="Arial" w:cs="Arial"/>
          <w:noProof/>
          <w:sz w:val="22"/>
          <w:lang w:val="es-ES_tradnl"/>
        </w:rPr>
        <w:t xml:space="preserve">El Sistema General de Regalías y los proyectos de inversión en ciencia, tecnología e innovación </w:t>
      </w:r>
      <w:r w:rsidR="002603EB" w:rsidRPr="00340215">
        <w:rPr>
          <w:rFonts w:ascii="Arial" w:hAnsi="Arial" w:cs="Arial"/>
          <w:noProof/>
          <w:sz w:val="22"/>
          <w:lang w:val="es-ES_tradnl"/>
        </w:rPr>
        <w:t>y</w:t>
      </w:r>
      <w:r w:rsidR="003C51BB" w:rsidRPr="00340215">
        <w:rPr>
          <w:rFonts w:ascii="Arial" w:hAnsi="Arial" w:cs="Arial"/>
          <w:noProof/>
          <w:sz w:val="22"/>
          <w:lang w:val="es-ES_tradnl"/>
        </w:rPr>
        <w:t>; ii)</w:t>
      </w:r>
      <w:bookmarkEnd w:id="6"/>
      <w:r w:rsidR="00230B1D" w:rsidRPr="00340215">
        <w:rPr>
          <w:rFonts w:ascii="Arial" w:hAnsi="Arial" w:cs="Arial"/>
          <w:noProof/>
          <w:sz w:val="22"/>
          <w:lang w:val="es-ES_tradnl"/>
        </w:rPr>
        <w:t xml:space="preserve"> Restricción de la contratación directa en las elecciones presidenciales</w:t>
      </w:r>
      <w:r w:rsidR="00756705" w:rsidRPr="00340215">
        <w:rPr>
          <w:rFonts w:ascii="Arial" w:hAnsi="Arial" w:cs="Arial"/>
          <w:noProof/>
          <w:sz w:val="22"/>
          <w:lang w:val="es-ES_tradnl"/>
        </w:rPr>
        <w:t>.</w:t>
      </w:r>
    </w:p>
    <w:p w14:paraId="1982E36C" w14:textId="0F4B7356" w:rsidR="00756705" w:rsidRPr="00340215" w:rsidRDefault="00D5455B" w:rsidP="00010DAD">
      <w:pPr>
        <w:spacing w:before="120" w:after="0"/>
        <w:ind w:firstLine="709"/>
        <w:rPr>
          <w:rFonts w:ascii="Arial" w:hAnsi="Arial" w:cs="Arial"/>
          <w:noProof/>
          <w:sz w:val="22"/>
          <w:lang w:val="es-ES_tradnl"/>
        </w:rPr>
      </w:pPr>
      <w:r w:rsidRPr="00340215">
        <w:rPr>
          <w:rFonts w:ascii="Arial" w:hAnsi="Arial" w:cs="Arial"/>
          <w:noProof/>
          <w:sz w:val="22"/>
          <w:lang w:val="es-ES_tradnl"/>
        </w:rPr>
        <w:t xml:space="preserve">La Agencia Nacional de Contratación Pública – Colombia Compra Eficiente ha impartido lineamientos sobre la aplicación de la Ley 996 de 2005 y también se ha pronunciado al respecto, entre otros, en los Conceptos 4201912000004632 del 6 de agosto </w:t>
      </w:r>
      <w:r w:rsidRPr="00340215">
        <w:rPr>
          <w:rFonts w:ascii="Arial" w:hAnsi="Arial" w:cs="Arial"/>
          <w:noProof/>
          <w:sz w:val="22"/>
          <w:lang w:val="es-ES_tradnl"/>
        </w:rPr>
        <w:lastRenderedPageBreak/>
        <w:t>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w:t>
      </w:r>
      <w:r w:rsidR="00674702" w:rsidRPr="00340215">
        <w:rPr>
          <w:rFonts w:ascii="Arial" w:hAnsi="Arial" w:cs="Arial"/>
          <w:noProof/>
          <w:sz w:val="22"/>
          <w:lang w:val="es-ES_tradnl"/>
        </w:rPr>
        <w:t>34 del 11 de noviembre de 2021,</w:t>
      </w:r>
      <w:r w:rsidRPr="00340215">
        <w:rPr>
          <w:rFonts w:ascii="Arial" w:hAnsi="Arial" w:cs="Arial"/>
          <w:noProof/>
          <w:sz w:val="22"/>
          <w:lang w:val="es-ES_tradnl"/>
        </w:rPr>
        <w:t xml:space="preserve"> C-</w:t>
      </w:r>
      <w:r w:rsidR="00674702" w:rsidRPr="00340215">
        <w:rPr>
          <w:rFonts w:ascii="Arial" w:hAnsi="Arial" w:cs="Arial"/>
          <w:noProof/>
          <w:sz w:val="22"/>
          <w:lang w:val="es-ES_tradnl"/>
        </w:rPr>
        <w:t>636 del 16 de noviembre de 2021, C-677 de 2021 y C-675 del 06 de enero de 2022.   R</w:t>
      </w:r>
      <w:r w:rsidR="00756705" w:rsidRPr="00340215">
        <w:rPr>
          <w:rFonts w:ascii="Arial" w:hAnsi="Arial" w:cs="Arial"/>
          <w:noProof/>
          <w:sz w:val="22"/>
          <w:lang w:val="es-ES_tradnl"/>
        </w:rPr>
        <w:t>especto de</w:t>
      </w:r>
      <w:r w:rsidR="00674702" w:rsidRPr="00340215">
        <w:rPr>
          <w:rFonts w:ascii="Arial" w:hAnsi="Arial" w:cs="Arial"/>
          <w:noProof/>
          <w:sz w:val="22"/>
          <w:lang w:val="es-ES_tradnl"/>
        </w:rPr>
        <w:t xml:space="preserve">l Sistema General de Regalías </w:t>
      </w:r>
      <w:r w:rsidR="00425118" w:rsidRPr="00340215">
        <w:rPr>
          <w:rFonts w:ascii="Arial" w:hAnsi="Arial" w:cs="Arial"/>
          <w:noProof/>
          <w:sz w:val="22"/>
          <w:lang w:val="es-ES_tradnl"/>
        </w:rPr>
        <w:t xml:space="preserve">la entidad ha abordado el tema </w:t>
      </w:r>
      <w:r w:rsidR="00674702" w:rsidRPr="00340215">
        <w:rPr>
          <w:rFonts w:ascii="Arial" w:hAnsi="Arial" w:cs="Arial"/>
          <w:noProof/>
          <w:sz w:val="22"/>
          <w:lang w:val="es-ES_tradnl"/>
        </w:rPr>
        <w:t xml:space="preserve">en los conceptos C-604 del 09 de septiembre de 2020 y C-276 del 30 de noviembre de 2021. </w:t>
      </w:r>
      <w:r w:rsidR="00C566EB" w:rsidRPr="00340215">
        <w:rPr>
          <w:rFonts w:ascii="Arial" w:hAnsi="Arial" w:cs="Arial"/>
          <w:noProof/>
          <w:sz w:val="22"/>
          <w:lang w:val="es-ES_tradnl"/>
        </w:rPr>
        <w:t xml:space="preserve"> L</w:t>
      </w:r>
      <w:r w:rsidR="00756705" w:rsidRPr="00340215">
        <w:rPr>
          <w:rFonts w:ascii="Arial" w:hAnsi="Arial" w:cs="Arial"/>
          <w:noProof/>
          <w:sz w:val="22"/>
          <w:lang w:val="es-ES_tradnl"/>
        </w:rPr>
        <w:t>a</w:t>
      </w:r>
      <w:r w:rsidR="00425118" w:rsidRPr="00340215">
        <w:rPr>
          <w:rFonts w:ascii="Arial" w:hAnsi="Arial" w:cs="Arial"/>
          <w:noProof/>
          <w:sz w:val="22"/>
          <w:lang w:val="es-ES_tradnl"/>
        </w:rPr>
        <w:t>s</w:t>
      </w:r>
      <w:r w:rsidR="00756705" w:rsidRPr="00340215">
        <w:rPr>
          <w:rFonts w:ascii="Arial" w:hAnsi="Arial" w:cs="Arial"/>
          <w:noProof/>
          <w:sz w:val="22"/>
          <w:lang w:val="es-ES_tradnl"/>
        </w:rPr>
        <w:t xml:space="preserve"> tesis expuesta</w:t>
      </w:r>
      <w:r w:rsidR="00425118" w:rsidRPr="00340215">
        <w:rPr>
          <w:rFonts w:ascii="Arial" w:hAnsi="Arial" w:cs="Arial"/>
          <w:noProof/>
          <w:sz w:val="22"/>
          <w:lang w:val="es-ES_tradnl"/>
        </w:rPr>
        <w:t>s</w:t>
      </w:r>
      <w:r w:rsidR="00756705" w:rsidRPr="00340215">
        <w:rPr>
          <w:rFonts w:ascii="Arial" w:hAnsi="Arial" w:cs="Arial"/>
          <w:noProof/>
          <w:sz w:val="22"/>
          <w:lang w:val="es-ES_tradnl"/>
        </w:rPr>
        <w:t xml:space="preserve"> se desarrollan </w:t>
      </w:r>
      <w:r w:rsidR="00674702" w:rsidRPr="00340215">
        <w:rPr>
          <w:rFonts w:ascii="Arial" w:hAnsi="Arial" w:cs="Arial"/>
          <w:noProof/>
          <w:sz w:val="22"/>
          <w:lang w:val="es-ES_tradnl"/>
        </w:rPr>
        <w:t xml:space="preserve">y se complementan en lo pertinente </w:t>
      </w:r>
      <w:r w:rsidR="00756705" w:rsidRPr="00340215">
        <w:rPr>
          <w:rFonts w:ascii="Arial" w:hAnsi="Arial" w:cs="Arial"/>
          <w:noProof/>
          <w:sz w:val="22"/>
          <w:lang w:val="es-ES_tradnl"/>
        </w:rPr>
        <w:t xml:space="preserve">a continuación. </w:t>
      </w:r>
    </w:p>
    <w:p w14:paraId="67F87FAD" w14:textId="77777777" w:rsidR="00010DAD" w:rsidRPr="00340215" w:rsidRDefault="00010DAD" w:rsidP="00BB359A">
      <w:pPr>
        <w:spacing w:after="0"/>
        <w:ind w:firstLine="709"/>
        <w:rPr>
          <w:rFonts w:ascii="Arial" w:hAnsi="Arial" w:cs="Arial"/>
          <w:noProof/>
          <w:sz w:val="22"/>
          <w:lang w:val="es-ES_tradnl"/>
        </w:rPr>
      </w:pPr>
    </w:p>
    <w:p w14:paraId="294E1651" w14:textId="44CCFB3A" w:rsidR="00F63153" w:rsidRPr="00340215" w:rsidRDefault="007E732A" w:rsidP="00BB359A">
      <w:pPr>
        <w:tabs>
          <w:tab w:val="left" w:pos="426"/>
        </w:tabs>
        <w:spacing w:after="0"/>
        <w:rPr>
          <w:rFonts w:ascii="Arial" w:hAnsi="Arial" w:cs="Arial"/>
          <w:b/>
          <w:sz w:val="22"/>
          <w:lang w:val="es-CO"/>
        </w:rPr>
      </w:pPr>
      <w:r w:rsidRPr="00340215">
        <w:rPr>
          <w:rFonts w:ascii="Arial" w:eastAsia="Times New Roman" w:hAnsi="Arial" w:cs="Arial"/>
          <w:b/>
          <w:sz w:val="22"/>
          <w:lang w:eastAsia="es-CO"/>
        </w:rPr>
        <w:t>2.1.</w:t>
      </w:r>
      <w:r w:rsidRPr="00340215">
        <w:rPr>
          <w:rFonts w:ascii="Arial" w:eastAsia="Times New Roman" w:hAnsi="Arial" w:cs="Arial"/>
          <w:b/>
          <w:sz w:val="22"/>
          <w:lang w:eastAsia="es-CO"/>
        </w:rPr>
        <w:tab/>
      </w:r>
      <w:r w:rsidR="00F63153" w:rsidRPr="00340215">
        <w:rPr>
          <w:rFonts w:ascii="Arial" w:hAnsi="Arial" w:cs="Arial"/>
          <w:b/>
          <w:bCs/>
          <w:sz w:val="22"/>
        </w:rPr>
        <w:t xml:space="preserve">El Sistema General de Regalías y </w:t>
      </w:r>
      <w:bookmarkStart w:id="7" w:name="_Hlk46840163"/>
      <w:r w:rsidR="00F63153" w:rsidRPr="00340215">
        <w:rPr>
          <w:rFonts w:ascii="Arial" w:hAnsi="Arial" w:cs="Arial"/>
          <w:b/>
          <w:sz w:val="22"/>
          <w:lang w:val="es-CO"/>
        </w:rPr>
        <w:t>los proyectos de inversión en ciencia, tecnología e innovación</w:t>
      </w:r>
    </w:p>
    <w:p w14:paraId="181C8B5B" w14:textId="77777777" w:rsidR="00756705" w:rsidRPr="00340215" w:rsidRDefault="00756705" w:rsidP="00A41722">
      <w:pPr>
        <w:pStyle w:val="Textoindependiente"/>
        <w:widowControl/>
        <w:tabs>
          <w:tab w:val="left" w:pos="709"/>
        </w:tabs>
        <w:autoSpaceDE/>
        <w:autoSpaceDN/>
        <w:spacing w:after="0" w:line="240" w:lineRule="auto"/>
        <w:ind w:right="49"/>
      </w:pPr>
    </w:p>
    <w:p w14:paraId="46392571" w14:textId="1B1BEEAC" w:rsidR="005B3094" w:rsidRPr="00340215" w:rsidRDefault="005B3094" w:rsidP="00DE24A2">
      <w:pPr>
        <w:tabs>
          <w:tab w:val="left" w:pos="426"/>
        </w:tabs>
        <w:spacing w:after="0"/>
        <w:rPr>
          <w:rFonts w:ascii="Arial" w:eastAsia="Calibri" w:hAnsi="Arial" w:cs="Arial"/>
          <w:color w:val="000000" w:themeColor="text1"/>
          <w:sz w:val="22"/>
          <w:lang w:val="es-ES_tradnl"/>
        </w:rPr>
      </w:pPr>
      <w:r w:rsidRPr="00340215">
        <w:rPr>
          <w:rFonts w:ascii="Arial" w:eastAsia="Calibri" w:hAnsi="Arial" w:cs="Arial"/>
          <w:color w:val="000000" w:themeColor="text1"/>
          <w:sz w:val="22"/>
          <w:lang w:val="es-ES_tradnl"/>
        </w:rPr>
        <w:t>El artículo 360 de la Constitución Política, modificado por el artículo 1 del Acto Legislativo 5 de 2011, define las regalías como una contraprestación económica a favor del Estado que es causada por la explotación de un recurso natural no renovable. La norma dispone:</w:t>
      </w:r>
    </w:p>
    <w:p w14:paraId="7FCD29F6" w14:textId="77777777" w:rsidR="00DE24A2" w:rsidRPr="00340215" w:rsidRDefault="00DE24A2" w:rsidP="00A41722">
      <w:pPr>
        <w:tabs>
          <w:tab w:val="left" w:pos="426"/>
        </w:tabs>
        <w:spacing w:after="0" w:line="240" w:lineRule="auto"/>
        <w:rPr>
          <w:rFonts w:ascii="Arial" w:eastAsia="Calibri" w:hAnsi="Arial" w:cs="Arial"/>
          <w:color w:val="000000" w:themeColor="text1"/>
          <w:sz w:val="22"/>
          <w:lang w:val="es-ES_tradnl"/>
        </w:rPr>
      </w:pPr>
    </w:p>
    <w:bookmarkEnd w:id="7"/>
    <w:p w14:paraId="518612FA" w14:textId="77777777" w:rsidR="005B3094" w:rsidRPr="00340215" w:rsidRDefault="005B3094" w:rsidP="00403EDC">
      <w:pPr>
        <w:spacing w:after="0" w:line="240" w:lineRule="auto"/>
        <w:ind w:left="709" w:right="709"/>
        <w:rPr>
          <w:rFonts w:ascii="Arial" w:eastAsia="Calibri" w:hAnsi="Arial" w:cs="Arial"/>
          <w:sz w:val="22"/>
          <w:lang w:val="es-ES_tradnl"/>
        </w:rPr>
      </w:pPr>
      <w:r w:rsidRPr="00340215">
        <w:rPr>
          <w:rFonts w:ascii="Arial" w:eastAsia="Calibri" w:hAnsi="Arial" w:cs="Arial"/>
          <w:sz w:val="22"/>
          <w:lang w:val="es-ES_tradnl"/>
        </w:rPr>
        <w:t>La explotación de un recurso natural no renovable causará, a favor del Estado, una contraprestación económica a título de regalía, sin perjuicio de cualquier otro derecho o compensación que se pacte. La ley determinará las condiciones para la explotación de los recursos naturales no renovables.</w:t>
      </w:r>
    </w:p>
    <w:p w14:paraId="1F92F317" w14:textId="77777777" w:rsidR="005B3094" w:rsidRPr="00340215" w:rsidRDefault="005B3094" w:rsidP="00403EDC">
      <w:pPr>
        <w:spacing w:after="0" w:line="240" w:lineRule="auto"/>
        <w:ind w:left="709" w:right="709"/>
        <w:rPr>
          <w:rFonts w:ascii="Arial" w:eastAsia="Calibri" w:hAnsi="Arial" w:cs="Arial"/>
          <w:sz w:val="22"/>
          <w:lang w:val="es-ES_tradnl"/>
        </w:rPr>
      </w:pPr>
    </w:p>
    <w:p w14:paraId="63846CE7" w14:textId="77777777" w:rsidR="005B3094" w:rsidRPr="00340215" w:rsidRDefault="005B3094" w:rsidP="00403EDC">
      <w:pPr>
        <w:spacing w:after="0" w:line="240" w:lineRule="auto"/>
        <w:ind w:left="709" w:right="709"/>
        <w:rPr>
          <w:rFonts w:ascii="Arial" w:eastAsia="Calibri" w:hAnsi="Arial" w:cs="Arial"/>
          <w:sz w:val="22"/>
          <w:lang w:val="es-ES_tradnl"/>
        </w:rPr>
      </w:pPr>
      <w:r w:rsidRPr="00340215">
        <w:rPr>
          <w:rFonts w:ascii="Arial" w:eastAsia="Calibri" w:hAnsi="Arial" w:cs="Arial"/>
          <w:sz w:val="22"/>
          <w:lang w:val="es-ES_tradnl"/>
        </w:rPr>
        <w:t xml:space="preserve">Mediante otra ley, a iniciativa del Gobierno, la ley determinará la distribución, objetivos, fines, administración, ejecución, control, el uso eficiente y la destinación de los ingresos provenientes de la explotación de los recursos naturales no renovables precisando las condiciones de participación de sus </w:t>
      </w:r>
      <w:r w:rsidRPr="00340215">
        <w:rPr>
          <w:rFonts w:ascii="Arial" w:eastAsia="Calibri" w:hAnsi="Arial" w:cs="Arial"/>
          <w:sz w:val="22"/>
          <w:lang w:val="es-ES_tradnl"/>
        </w:rPr>
        <w:lastRenderedPageBreak/>
        <w:t>beneficiarios. Este conjunto de ingresos, asignaciones, órganos, procedimientos y regulaciones constituye el Sistema General de Regalías</w:t>
      </w:r>
    </w:p>
    <w:p w14:paraId="49213DF8" w14:textId="77777777" w:rsidR="00DE24A2" w:rsidRPr="00340215" w:rsidRDefault="00DE24A2" w:rsidP="00403EDC">
      <w:pPr>
        <w:spacing w:after="0" w:line="240" w:lineRule="auto"/>
        <w:ind w:left="709" w:right="709"/>
        <w:rPr>
          <w:rFonts w:ascii="Arial" w:eastAsia="Calibri" w:hAnsi="Arial" w:cs="Arial"/>
          <w:sz w:val="22"/>
          <w:lang w:val="es-ES_tradnl"/>
        </w:rPr>
      </w:pPr>
    </w:p>
    <w:p w14:paraId="62B2BD5E" w14:textId="6D41F86B" w:rsidR="00CC6C9C" w:rsidRPr="00340215" w:rsidRDefault="0069226F" w:rsidP="00CC6C9C">
      <w:pPr>
        <w:spacing w:after="0"/>
        <w:ind w:firstLine="709"/>
        <w:rPr>
          <w:rFonts w:ascii="Arial" w:hAnsi="Arial" w:cs="Arial"/>
          <w:noProof/>
          <w:sz w:val="22"/>
          <w:lang w:val="es-ES_tradnl"/>
        </w:rPr>
      </w:pPr>
      <w:r w:rsidRPr="00340215">
        <w:rPr>
          <w:rFonts w:ascii="Arial" w:hAnsi="Arial" w:cs="Arial"/>
          <w:noProof/>
          <w:sz w:val="22"/>
          <w:lang w:val="es-ES_tradnl"/>
        </w:rPr>
        <w:t>E</w:t>
      </w:r>
      <w:r w:rsidR="00B91B7E" w:rsidRPr="00340215">
        <w:rPr>
          <w:rFonts w:ascii="Arial" w:hAnsi="Arial" w:cs="Arial"/>
          <w:noProof/>
          <w:sz w:val="22"/>
          <w:lang w:val="es-ES_tradnl"/>
        </w:rPr>
        <w:t xml:space="preserve">n </w:t>
      </w:r>
      <w:r w:rsidRPr="00340215">
        <w:rPr>
          <w:rFonts w:ascii="Arial" w:hAnsi="Arial" w:cs="Arial"/>
          <w:noProof/>
          <w:sz w:val="22"/>
          <w:lang w:val="es-ES_tradnl"/>
        </w:rPr>
        <w:t xml:space="preserve">el </w:t>
      </w:r>
      <w:r w:rsidR="00B91B7E" w:rsidRPr="00340215">
        <w:rPr>
          <w:rFonts w:ascii="Arial" w:hAnsi="Arial" w:cs="Arial"/>
          <w:noProof/>
          <w:sz w:val="22"/>
          <w:lang w:val="es-ES_tradnl"/>
        </w:rPr>
        <w:t>inciso segundo</w:t>
      </w:r>
      <w:r w:rsidRPr="00340215">
        <w:rPr>
          <w:rFonts w:ascii="Arial" w:hAnsi="Arial" w:cs="Arial"/>
          <w:noProof/>
          <w:sz w:val="22"/>
          <w:lang w:val="es-ES_tradnl"/>
        </w:rPr>
        <w:t xml:space="preserve">, </w:t>
      </w:r>
      <w:r w:rsidR="00B91B7E" w:rsidRPr="00340215">
        <w:rPr>
          <w:rFonts w:ascii="Arial" w:hAnsi="Arial" w:cs="Arial"/>
          <w:noProof/>
          <w:sz w:val="22"/>
          <w:lang w:val="es-ES_tradnl"/>
        </w:rPr>
        <w:t>el mismo artículo define al Sistema General de Regalías como el conjunto de ingresos, asignaciones, órganos, procedimientos y regulaciones</w:t>
      </w:r>
      <w:r w:rsidR="001D2D84" w:rsidRPr="00340215">
        <w:rPr>
          <w:rFonts w:ascii="Arial" w:hAnsi="Arial" w:cs="Arial"/>
          <w:noProof/>
          <w:sz w:val="22"/>
          <w:lang w:val="es-ES_tradnl"/>
        </w:rPr>
        <w:t xml:space="preserve"> que deberán ser establecidos y definidos mediante la ley que, por iniciativa previa del Gobierno Nacional, se expida a fin de determinar la distribución, fines, administración, ejecución, control, el uso eficiente y la destinación de los ingresos provenientes de la explotación de los recursos naturales no renovables, así como la precisión sobre las condiciones de participación de sus beneficiarios. </w:t>
      </w:r>
      <w:r w:rsidR="00CC6C9C" w:rsidRPr="00340215">
        <w:rPr>
          <w:rFonts w:ascii="Arial" w:hAnsi="Arial" w:cs="Arial"/>
          <w:noProof/>
          <w:sz w:val="22"/>
          <w:lang w:val="es-ES_tradnl"/>
        </w:rPr>
        <w:t>En ese sentido, la Corte Constitucional se ha encargado de definir las regalías como una contraprestación recibida a cambio de la concesión de derechos a particulares para la exploración de recursos naturales, diferenciándolas de otros ingresos nacionales como los impuestos, como quiera que estas carecen del carácter impositivo de los tributos.</w:t>
      </w:r>
      <w:r w:rsidR="00CC6C9C" w:rsidRPr="00340215">
        <w:rPr>
          <w:rStyle w:val="Refdenotaalpie"/>
          <w:rFonts w:ascii="Arial" w:hAnsi="Arial" w:cs="Arial"/>
          <w:noProof/>
          <w:sz w:val="22"/>
          <w:lang w:val="es-ES_tradnl"/>
        </w:rPr>
        <w:footnoteReference w:id="2"/>
      </w:r>
      <w:r w:rsidR="00CC6C9C" w:rsidRPr="00340215">
        <w:rPr>
          <w:rFonts w:ascii="Arial" w:hAnsi="Arial" w:cs="Arial"/>
          <w:noProof/>
          <w:sz w:val="22"/>
          <w:lang w:val="es-ES_tradnl"/>
        </w:rPr>
        <w:t xml:space="preserve"> </w:t>
      </w:r>
    </w:p>
    <w:p w14:paraId="44BD6E84" w14:textId="30A68598" w:rsidR="0055703B" w:rsidRPr="00340215" w:rsidRDefault="00A5081A" w:rsidP="00902A7F">
      <w:pPr>
        <w:spacing w:before="120" w:after="0"/>
        <w:ind w:firstLine="709"/>
        <w:rPr>
          <w:rFonts w:ascii="Arial" w:hAnsi="Arial" w:cs="Arial"/>
          <w:noProof/>
          <w:sz w:val="22"/>
          <w:lang w:val="es-ES_tradnl"/>
        </w:rPr>
      </w:pPr>
      <w:r w:rsidRPr="00340215">
        <w:rPr>
          <w:rFonts w:ascii="Arial" w:hAnsi="Arial" w:cs="Arial"/>
          <w:noProof/>
          <w:sz w:val="22"/>
          <w:lang w:val="es-ES_tradnl"/>
        </w:rPr>
        <w:t xml:space="preserve">El </w:t>
      </w:r>
      <w:r w:rsidR="0069226F" w:rsidRPr="00340215">
        <w:rPr>
          <w:rFonts w:ascii="Arial" w:hAnsi="Arial" w:cs="Arial"/>
          <w:noProof/>
          <w:sz w:val="22"/>
          <w:lang w:val="es-ES_tradnl"/>
        </w:rPr>
        <w:t xml:space="preserve">artículo 1 del </w:t>
      </w:r>
      <w:r w:rsidRPr="00340215">
        <w:rPr>
          <w:rFonts w:ascii="Arial" w:hAnsi="Arial" w:cs="Arial"/>
          <w:noProof/>
          <w:sz w:val="22"/>
          <w:lang w:val="es-ES_tradnl"/>
        </w:rPr>
        <w:t xml:space="preserve">Acto Legislativo 05 de 2019 modificó </w:t>
      </w:r>
      <w:r w:rsidR="0069226F" w:rsidRPr="00340215">
        <w:rPr>
          <w:rFonts w:ascii="Arial" w:hAnsi="Arial" w:cs="Arial"/>
          <w:noProof/>
          <w:sz w:val="22"/>
          <w:lang w:val="es-ES_tradnl"/>
        </w:rPr>
        <w:t>e</w:t>
      </w:r>
      <w:r w:rsidRPr="00340215">
        <w:rPr>
          <w:rFonts w:ascii="Arial" w:hAnsi="Arial" w:cs="Arial"/>
          <w:noProof/>
          <w:sz w:val="22"/>
          <w:lang w:val="es-ES_tradnl"/>
        </w:rPr>
        <w:t>l artículo 361 de la Constitución, determinando que «los ingresos corrientes del Sistema General de Regalías se destinarán a la financiación de proyectos de inversión que contribuyan al desarrollo social, económico y ambiental de las entidades territoriales»</w:t>
      </w:r>
      <w:r w:rsidR="0069226F" w:rsidRPr="00340215">
        <w:rPr>
          <w:rFonts w:ascii="Arial" w:hAnsi="Arial" w:cs="Arial"/>
          <w:noProof/>
          <w:sz w:val="22"/>
          <w:lang w:val="es-ES_tradnl"/>
        </w:rPr>
        <w:t xml:space="preserve">. </w:t>
      </w:r>
    </w:p>
    <w:p w14:paraId="25011A91" w14:textId="1485C573" w:rsidR="00AD5A03" w:rsidRPr="00340215" w:rsidRDefault="009E4511" w:rsidP="00902A7F">
      <w:pPr>
        <w:spacing w:before="120" w:after="0"/>
        <w:ind w:firstLine="709"/>
        <w:rPr>
          <w:rFonts w:ascii="Arial" w:hAnsi="Arial" w:cs="Arial"/>
          <w:noProof/>
          <w:sz w:val="22"/>
          <w:lang w:val="es-ES_tradnl"/>
        </w:rPr>
      </w:pPr>
      <w:r w:rsidRPr="00340215">
        <w:rPr>
          <w:rFonts w:ascii="Arial" w:hAnsi="Arial" w:cs="Arial"/>
          <w:noProof/>
          <w:sz w:val="22"/>
          <w:lang w:val="es-ES_tradnl"/>
        </w:rPr>
        <w:lastRenderedPageBreak/>
        <w:t xml:space="preserve">Con fundamento </w:t>
      </w:r>
      <w:r w:rsidR="00DA7C09" w:rsidRPr="00340215">
        <w:rPr>
          <w:rFonts w:ascii="Arial" w:hAnsi="Arial" w:cs="Arial"/>
          <w:noProof/>
          <w:sz w:val="22"/>
          <w:lang w:val="es-ES_tradnl"/>
        </w:rPr>
        <w:t>en los artículos 360 y 361 de la Constitución Política</w:t>
      </w:r>
      <w:r w:rsidR="00AD5A03" w:rsidRPr="00340215">
        <w:rPr>
          <w:rFonts w:ascii="Arial" w:hAnsi="Arial" w:cs="Arial"/>
          <w:noProof/>
          <w:sz w:val="22"/>
          <w:lang w:val="es-ES_tradnl"/>
        </w:rPr>
        <w:t xml:space="preserve">, </w:t>
      </w:r>
      <w:r w:rsidR="00077532" w:rsidRPr="00340215">
        <w:rPr>
          <w:rFonts w:ascii="Arial" w:hAnsi="Arial" w:cs="Arial"/>
          <w:noProof/>
          <w:sz w:val="22"/>
          <w:lang w:val="es-ES_tradnl"/>
        </w:rPr>
        <w:t>se expidió la Ley 20</w:t>
      </w:r>
      <w:r w:rsidR="00EE4BFC" w:rsidRPr="00340215">
        <w:rPr>
          <w:rFonts w:ascii="Arial" w:hAnsi="Arial" w:cs="Arial"/>
          <w:noProof/>
          <w:sz w:val="22"/>
          <w:lang w:val="es-ES_tradnl"/>
        </w:rPr>
        <w:t>56</w:t>
      </w:r>
      <w:r w:rsidR="00077532" w:rsidRPr="00340215">
        <w:rPr>
          <w:rFonts w:ascii="Arial" w:hAnsi="Arial" w:cs="Arial"/>
          <w:noProof/>
          <w:sz w:val="22"/>
          <w:lang w:val="es-ES_tradnl"/>
        </w:rPr>
        <w:t xml:space="preserve"> de 2020, por medio de la cual se derog</w:t>
      </w:r>
      <w:r w:rsidRPr="00340215">
        <w:rPr>
          <w:rFonts w:ascii="Arial" w:hAnsi="Arial" w:cs="Arial"/>
          <w:noProof/>
          <w:sz w:val="22"/>
          <w:lang w:val="es-ES_tradnl"/>
        </w:rPr>
        <w:t>a</w:t>
      </w:r>
      <w:r w:rsidR="00077532" w:rsidRPr="00340215">
        <w:rPr>
          <w:rFonts w:ascii="Arial" w:hAnsi="Arial" w:cs="Arial"/>
          <w:noProof/>
          <w:sz w:val="22"/>
          <w:lang w:val="es-ES_tradnl"/>
        </w:rPr>
        <w:t xml:space="preserve">, entre otras, la Ley 1530 de 2012, y «se regula la organización </w:t>
      </w:r>
      <w:r w:rsidRPr="00340215">
        <w:rPr>
          <w:rFonts w:ascii="Arial" w:hAnsi="Arial" w:cs="Arial"/>
          <w:noProof/>
          <w:sz w:val="22"/>
          <w:lang w:val="es-ES_tradnl"/>
        </w:rPr>
        <w:t xml:space="preserve">y </w:t>
      </w:r>
      <w:r w:rsidR="00077532" w:rsidRPr="00340215">
        <w:rPr>
          <w:rFonts w:ascii="Arial" w:hAnsi="Arial" w:cs="Arial"/>
          <w:noProof/>
          <w:sz w:val="22"/>
          <w:lang w:val="es-ES_tradnl"/>
        </w:rPr>
        <w:t>el funcionamiento del Sistema General de Regalías»</w:t>
      </w:r>
      <w:r w:rsidR="002501F2" w:rsidRPr="00340215">
        <w:rPr>
          <w:rFonts w:ascii="Arial" w:hAnsi="Arial" w:cs="Arial"/>
          <w:noProof/>
          <w:sz w:val="22"/>
          <w:lang w:val="es-ES_tradnl"/>
        </w:rPr>
        <w:t xml:space="preserve"> -SGR-</w:t>
      </w:r>
      <w:r w:rsidR="00077532" w:rsidRPr="00340215">
        <w:rPr>
          <w:rFonts w:ascii="Arial" w:hAnsi="Arial" w:cs="Arial"/>
          <w:noProof/>
          <w:sz w:val="22"/>
          <w:lang w:val="es-ES_tradnl"/>
        </w:rPr>
        <w:t>. En concordancia con los artículo</w:t>
      </w:r>
      <w:r w:rsidRPr="00340215">
        <w:rPr>
          <w:rFonts w:ascii="Arial" w:hAnsi="Arial" w:cs="Arial"/>
          <w:noProof/>
          <w:sz w:val="22"/>
          <w:lang w:val="es-ES_tradnl"/>
        </w:rPr>
        <w:t>s</w:t>
      </w:r>
      <w:r w:rsidR="00077532" w:rsidRPr="00340215">
        <w:rPr>
          <w:rFonts w:ascii="Arial" w:hAnsi="Arial" w:cs="Arial"/>
          <w:noProof/>
          <w:sz w:val="22"/>
          <w:lang w:val="es-ES_tradnl"/>
        </w:rPr>
        <w:t xml:space="preserve"> 360 y 36</w:t>
      </w:r>
      <w:r w:rsidR="00317704" w:rsidRPr="00340215">
        <w:rPr>
          <w:rFonts w:ascii="Arial" w:hAnsi="Arial" w:cs="Arial"/>
          <w:noProof/>
          <w:sz w:val="22"/>
          <w:lang w:val="es-ES_tradnl"/>
        </w:rPr>
        <w:t>1</w:t>
      </w:r>
      <w:r w:rsidR="00077532" w:rsidRPr="00340215">
        <w:rPr>
          <w:rFonts w:ascii="Arial" w:hAnsi="Arial" w:cs="Arial"/>
          <w:noProof/>
          <w:sz w:val="22"/>
          <w:lang w:val="es-ES_tradnl"/>
        </w:rPr>
        <w:t xml:space="preserve"> constitucionales, dicha ley tiene como objeto determinar la distribución, objetivos, fines, administración, ejecución, control </w:t>
      </w:r>
      <w:r w:rsidR="007578D0" w:rsidRPr="00340215">
        <w:rPr>
          <w:rFonts w:ascii="Arial" w:hAnsi="Arial" w:cs="Arial"/>
          <w:noProof/>
          <w:sz w:val="22"/>
          <w:lang w:val="es-ES_tradnl"/>
        </w:rPr>
        <w:t>d</w:t>
      </w:r>
      <w:r w:rsidR="00077532" w:rsidRPr="00340215">
        <w:rPr>
          <w:rFonts w:ascii="Arial" w:hAnsi="Arial" w:cs="Arial"/>
          <w:noProof/>
          <w:sz w:val="22"/>
          <w:lang w:val="es-ES_tradnl"/>
        </w:rPr>
        <w:t>el uso eficiente y la destinación de los ingresos que se encuadren dentro del concepto de regalías, precisando las condiciones para la participación de los beneficiarios o d</w:t>
      </w:r>
      <w:r w:rsidR="00756705" w:rsidRPr="00340215">
        <w:rPr>
          <w:rFonts w:ascii="Arial" w:hAnsi="Arial" w:cs="Arial"/>
          <w:noProof/>
          <w:sz w:val="22"/>
          <w:lang w:val="es-ES_tradnl"/>
        </w:rPr>
        <w:t>estinatarios de los mismos</w:t>
      </w:r>
      <w:r w:rsidR="001616A6" w:rsidRPr="00340215">
        <w:rPr>
          <w:rStyle w:val="Refdenotaalpie"/>
          <w:rFonts w:ascii="Arial" w:hAnsi="Arial" w:cs="Arial"/>
          <w:noProof/>
          <w:sz w:val="22"/>
          <w:lang w:val="es-ES_tradnl"/>
        </w:rPr>
        <w:footnoteReference w:id="3"/>
      </w:r>
      <w:r w:rsidR="00077532" w:rsidRPr="00340215">
        <w:rPr>
          <w:rFonts w:ascii="Arial" w:hAnsi="Arial" w:cs="Arial"/>
          <w:noProof/>
          <w:sz w:val="22"/>
          <w:lang w:val="es-ES_tradnl"/>
        </w:rPr>
        <w:t xml:space="preserve">. </w:t>
      </w:r>
    </w:p>
    <w:p w14:paraId="0523CFB0" w14:textId="6F8B88D5" w:rsidR="00E3308C" w:rsidRPr="00340215" w:rsidRDefault="00A003BA" w:rsidP="00902A7F">
      <w:pPr>
        <w:spacing w:before="120" w:after="0"/>
        <w:ind w:firstLine="709"/>
        <w:rPr>
          <w:rFonts w:ascii="Arial" w:hAnsi="Arial" w:cs="Arial"/>
          <w:noProof/>
          <w:sz w:val="22"/>
          <w:lang w:val="es-ES_tradnl"/>
        </w:rPr>
      </w:pPr>
      <w:r w:rsidRPr="00340215">
        <w:rPr>
          <w:rFonts w:ascii="Arial" w:hAnsi="Arial" w:cs="Arial"/>
          <w:noProof/>
          <w:sz w:val="22"/>
          <w:lang w:val="es-ES_tradnl"/>
        </w:rPr>
        <w:t>El artículo 3 se encarga de establecer los organos del Estado que hacen parte del SGR, incluyendo dentro de los mismos al Ministerio de Ciencia, Tenoclogía e Innovación</w:t>
      </w:r>
      <w:r w:rsidRPr="00340215">
        <w:rPr>
          <w:rStyle w:val="Refdenotaalpie"/>
          <w:rFonts w:ascii="Arial" w:hAnsi="Arial" w:cs="Arial"/>
          <w:noProof/>
          <w:sz w:val="22"/>
          <w:lang w:val="es-ES_tradnl"/>
        </w:rPr>
        <w:footnoteReference w:id="4"/>
      </w:r>
      <w:r w:rsidRPr="00340215">
        <w:rPr>
          <w:rFonts w:ascii="Arial" w:hAnsi="Arial" w:cs="Arial"/>
          <w:noProof/>
          <w:sz w:val="22"/>
          <w:lang w:val="es-ES_tradnl"/>
        </w:rPr>
        <w:t>.</w:t>
      </w:r>
      <w:r w:rsidR="00E3308C" w:rsidRPr="00340215">
        <w:rPr>
          <w:rFonts w:ascii="Arial" w:hAnsi="Arial" w:cs="Arial"/>
          <w:noProof/>
          <w:sz w:val="22"/>
          <w:lang w:val="es-ES_tradnl"/>
        </w:rPr>
        <w:t xml:space="preserve"> En concordancia con esto el artículo 10 de la Ley 2056 de 2020</w:t>
      </w:r>
      <w:r w:rsidR="00247411" w:rsidRPr="00340215">
        <w:rPr>
          <w:rFonts w:ascii="Arial" w:hAnsi="Arial" w:cs="Arial"/>
          <w:noProof/>
          <w:sz w:val="22"/>
          <w:lang w:val="es-ES_tradnl"/>
        </w:rPr>
        <w:t xml:space="preserve"> </w:t>
      </w:r>
      <w:r w:rsidR="00E3308C" w:rsidRPr="00340215">
        <w:rPr>
          <w:rFonts w:ascii="Arial" w:hAnsi="Arial" w:cs="Arial"/>
          <w:noProof/>
          <w:sz w:val="22"/>
          <w:lang w:val="es-ES_tradnl"/>
        </w:rPr>
        <w:t xml:space="preserve">le atribuye a dicha entidad las siguientes competencias: </w:t>
      </w:r>
    </w:p>
    <w:p w14:paraId="59B13CBA" w14:textId="77777777" w:rsidR="00E3308C" w:rsidRPr="00340215" w:rsidRDefault="00E3308C" w:rsidP="00902A7F">
      <w:pPr>
        <w:spacing w:before="120" w:after="0"/>
        <w:ind w:firstLine="709"/>
        <w:rPr>
          <w:rFonts w:ascii="Arial" w:hAnsi="Arial" w:cs="Arial"/>
          <w:noProof/>
          <w:sz w:val="22"/>
          <w:lang w:val="es-ES_tradnl"/>
        </w:rPr>
      </w:pPr>
    </w:p>
    <w:p w14:paraId="381AE3A3" w14:textId="4C8C21E6" w:rsidR="00E3308C" w:rsidRPr="00A41722" w:rsidRDefault="00E3308C" w:rsidP="00A41722">
      <w:pPr>
        <w:spacing w:after="0" w:line="254" w:lineRule="atLeast"/>
        <w:ind w:left="709" w:right="709"/>
        <w:rPr>
          <w:rFonts w:ascii="Arial" w:eastAsia="Times New Roman" w:hAnsi="Arial" w:cs="Arial"/>
          <w:color w:val="000000"/>
          <w:sz w:val="21"/>
          <w:szCs w:val="21"/>
          <w:lang w:val="es-CO" w:eastAsia="es-CO"/>
        </w:rPr>
      </w:pPr>
      <w:r w:rsidRPr="00A41722">
        <w:rPr>
          <w:rFonts w:ascii="Arial" w:eastAsia="Times New Roman" w:hAnsi="Arial" w:cs="Arial"/>
          <w:b/>
          <w:bCs/>
          <w:color w:val="000000"/>
          <w:sz w:val="21"/>
          <w:szCs w:val="21"/>
          <w:lang w:val="es-CO" w:eastAsia="es-CO"/>
        </w:rPr>
        <w:t>Artículo 10.</w:t>
      </w:r>
      <w:r w:rsidR="00812AEF" w:rsidRPr="00340215">
        <w:rPr>
          <w:rFonts w:ascii="Arial" w:eastAsia="Times New Roman" w:hAnsi="Arial" w:cs="Arial"/>
          <w:b/>
          <w:bCs/>
          <w:color w:val="000000"/>
          <w:sz w:val="21"/>
          <w:szCs w:val="21"/>
          <w:lang w:val="es-CO" w:eastAsia="es-CO"/>
        </w:rPr>
        <w:t xml:space="preserve"> </w:t>
      </w:r>
      <w:r w:rsidRPr="00A41722">
        <w:rPr>
          <w:rFonts w:ascii="Arial" w:eastAsia="Times New Roman" w:hAnsi="Arial" w:cs="Arial"/>
          <w:i/>
          <w:iCs/>
          <w:color w:val="000000"/>
          <w:sz w:val="21"/>
          <w:szCs w:val="21"/>
          <w:lang w:val="es-CO" w:eastAsia="es-CO"/>
        </w:rPr>
        <w:t>Funciones del Ministerio de Ciencia Tecnología e In</w:t>
      </w:r>
      <w:r w:rsidRPr="00A41722">
        <w:rPr>
          <w:rFonts w:ascii="Arial" w:eastAsia="Times New Roman" w:hAnsi="Arial" w:cs="Arial"/>
          <w:i/>
          <w:iCs/>
          <w:color w:val="000000"/>
          <w:sz w:val="21"/>
          <w:szCs w:val="21"/>
          <w:lang w:val="es-CO" w:eastAsia="es-CO"/>
        </w:rPr>
        <w:softHyphen/>
        <w:t>novación: </w:t>
      </w:r>
      <w:r w:rsidRPr="00A41722">
        <w:rPr>
          <w:rFonts w:ascii="Arial" w:eastAsia="Times New Roman" w:hAnsi="Arial" w:cs="Arial"/>
          <w:color w:val="000000"/>
          <w:sz w:val="21"/>
          <w:szCs w:val="21"/>
          <w:lang w:val="es-CO" w:eastAsia="es-CO"/>
        </w:rPr>
        <w:t> </w:t>
      </w:r>
    </w:p>
    <w:p w14:paraId="7A9BAC71" w14:textId="77777777" w:rsidR="00E3308C" w:rsidRPr="00A41722" w:rsidRDefault="00E3308C" w:rsidP="00A41722">
      <w:pPr>
        <w:spacing w:after="0" w:line="254" w:lineRule="atLeast"/>
        <w:ind w:left="709" w:right="709"/>
        <w:rPr>
          <w:rFonts w:ascii="Arial" w:eastAsia="Times New Roman" w:hAnsi="Arial" w:cs="Arial"/>
          <w:color w:val="000000"/>
          <w:sz w:val="21"/>
          <w:szCs w:val="21"/>
          <w:lang w:val="es-CO" w:eastAsia="es-CO"/>
        </w:rPr>
      </w:pPr>
      <w:r w:rsidRPr="00A41722">
        <w:rPr>
          <w:rFonts w:ascii="Arial" w:eastAsia="Times New Roman" w:hAnsi="Arial" w:cs="Arial"/>
          <w:color w:val="000000"/>
          <w:sz w:val="21"/>
          <w:szCs w:val="21"/>
          <w:lang w:val="es-CO" w:eastAsia="es-CO"/>
        </w:rPr>
        <w:t>  </w:t>
      </w:r>
    </w:p>
    <w:p w14:paraId="41336F26" w14:textId="51CBA7E5" w:rsidR="00E3308C" w:rsidRPr="00340215" w:rsidRDefault="00E3308C" w:rsidP="00E3308C">
      <w:pPr>
        <w:spacing w:after="0" w:line="254" w:lineRule="atLeast"/>
        <w:ind w:left="709" w:right="709"/>
        <w:rPr>
          <w:rFonts w:ascii="Arial" w:eastAsia="Times New Roman" w:hAnsi="Arial" w:cs="Arial"/>
          <w:color w:val="000000"/>
          <w:sz w:val="21"/>
          <w:szCs w:val="21"/>
          <w:lang w:val="es-CO" w:eastAsia="es-CO"/>
        </w:rPr>
      </w:pPr>
      <w:r w:rsidRPr="00A41722">
        <w:rPr>
          <w:rFonts w:ascii="Arial" w:eastAsia="Times New Roman" w:hAnsi="Arial" w:cs="Arial"/>
          <w:color w:val="000000"/>
          <w:sz w:val="21"/>
          <w:szCs w:val="21"/>
          <w:lang w:val="es-CO" w:eastAsia="es-CO"/>
        </w:rPr>
        <w:t>1. Elaborar el plan de convocatorias para la inversión en ciencia, tecnología e innovación conjuntamente con el Departamento Nacional de Planeación y en lo que se refiere a la Asignación para la Inversión en Ciencia, Tecnología e Innovación Ambien</w:t>
      </w:r>
      <w:r w:rsidRPr="00A41722">
        <w:rPr>
          <w:rFonts w:ascii="Arial" w:eastAsia="Times New Roman" w:hAnsi="Arial" w:cs="Arial"/>
          <w:color w:val="000000"/>
          <w:sz w:val="21"/>
          <w:szCs w:val="21"/>
          <w:lang w:val="es-CO" w:eastAsia="es-CO"/>
        </w:rPr>
        <w:softHyphen/>
        <w:t>tal, adicionalmente, con el Ministerio de Ambiente y Desarrollo Sostenible. </w:t>
      </w:r>
    </w:p>
    <w:p w14:paraId="0CF4E552" w14:textId="77777777" w:rsidR="00E3308C" w:rsidRPr="00A41722" w:rsidRDefault="00E3308C" w:rsidP="00A41722">
      <w:pPr>
        <w:spacing w:after="0" w:line="254" w:lineRule="atLeast"/>
        <w:ind w:left="709" w:right="709"/>
        <w:rPr>
          <w:rFonts w:ascii="Arial" w:eastAsia="Times New Roman" w:hAnsi="Arial" w:cs="Arial"/>
          <w:color w:val="000000"/>
          <w:sz w:val="21"/>
          <w:szCs w:val="21"/>
          <w:lang w:val="es-CO" w:eastAsia="es-CO"/>
        </w:rPr>
      </w:pPr>
    </w:p>
    <w:p w14:paraId="6D3BE7A2" w14:textId="77777777" w:rsidR="00E3308C" w:rsidRPr="00A41722" w:rsidRDefault="00E3308C" w:rsidP="00A41722">
      <w:pPr>
        <w:spacing w:after="0" w:line="254" w:lineRule="atLeast"/>
        <w:ind w:left="709" w:right="709"/>
        <w:rPr>
          <w:rFonts w:ascii="Arial" w:eastAsia="Times New Roman" w:hAnsi="Arial" w:cs="Arial"/>
          <w:color w:val="000000"/>
          <w:sz w:val="21"/>
          <w:szCs w:val="21"/>
          <w:lang w:val="es-CO" w:eastAsia="es-CO"/>
        </w:rPr>
      </w:pPr>
      <w:r w:rsidRPr="00A41722">
        <w:rPr>
          <w:rFonts w:ascii="Arial" w:eastAsia="Times New Roman" w:hAnsi="Arial" w:cs="Arial"/>
          <w:color w:val="000000"/>
          <w:sz w:val="21"/>
          <w:szCs w:val="21"/>
          <w:lang w:val="es-CO" w:eastAsia="es-CO"/>
        </w:rPr>
        <w:t>2. Estructurar y administrar las convocatorias públicas, abiertas y competitivas para la definición de los proyectos de inversión elegibles en ciencia, tecnología e innovación, y presentar en coordinación con el Departamento Nacional de Planeación los términos de referencia para aprobación por parte del Órgano Co</w:t>
      </w:r>
      <w:r w:rsidRPr="00A41722">
        <w:rPr>
          <w:rFonts w:ascii="Arial" w:eastAsia="Times New Roman" w:hAnsi="Arial" w:cs="Arial"/>
          <w:color w:val="000000"/>
          <w:sz w:val="21"/>
          <w:szCs w:val="21"/>
          <w:lang w:val="es-CO" w:eastAsia="es-CO"/>
        </w:rPr>
        <w:softHyphen/>
        <w:t>legiado de Administración y Decisión de Ciencia, Tecnología e Innovación. </w:t>
      </w:r>
    </w:p>
    <w:p w14:paraId="0DFE2990" w14:textId="77777777" w:rsidR="00E3308C" w:rsidRPr="00340215" w:rsidRDefault="00E3308C" w:rsidP="00E3308C">
      <w:pPr>
        <w:spacing w:after="0" w:line="254" w:lineRule="atLeast"/>
        <w:ind w:left="709" w:right="709"/>
        <w:rPr>
          <w:rFonts w:ascii="Arial" w:eastAsia="Times New Roman" w:hAnsi="Arial" w:cs="Arial"/>
          <w:color w:val="000000"/>
          <w:sz w:val="21"/>
          <w:szCs w:val="21"/>
          <w:lang w:val="es-CO" w:eastAsia="es-CO"/>
        </w:rPr>
      </w:pPr>
    </w:p>
    <w:p w14:paraId="2E322218" w14:textId="3B06C69C" w:rsidR="00E3308C" w:rsidRPr="00A41722" w:rsidRDefault="00E3308C" w:rsidP="00A41722">
      <w:pPr>
        <w:spacing w:after="0" w:line="254" w:lineRule="atLeast"/>
        <w:ind w:left="709" w:right="709"/>
        <w:rPr>
          <w:rFonts w:ascii="Arial" w:eastAsia="Times New Roman" w:hAnsi="Arial" w:cs="Arial"/>
          <w:color w:val="000000"/>
          <w:sz w:val="21"/>
          <w:szCs w:val="21"/>
          <w:lang w:val="es-CO" w:eastAsia="es-CO"/>
        </w:rPr>
      </w:pPr>
      <w:r w:rsidRPr="00A41722">
        <w:rPr>
          <w:rFonts w:ascii="Arial" w:eastAsia="Times New Roman" w:hAnsi="Arial" w:cs="Arial"/>
          <w:color w:val="000000"/>
          <w:sz w:val="21"/>
          <w:szCs w:val="21"/>
          <w:lang w:val="es-CO" w:eastAsia="es-CO"/>
        </w:rPr>
        <w:lastRenderedPageBreak/>
        <w:t>3. Fortalecer, en coordinación con el Departamento Nacional de Planeación, las capacidades regionales en la formulación, es</w:t>
      </w:r>
      <w:r w:rsidRPr="00A41722">
        <w:rPr>
          <w:rFonts w:ascii="Arial" w:eastAsia="Times New Roman" w:hAnsi="Arial" w:cs="Arial"/>
          <w:color w:val="000000"/>
          <w:sz w:val="21"/>
          <w:szCs w:val="21"/>
          <w:lang w:val="es-CO" w:eastAsia="es-CO"/>
        </w:rPr>
        <w:softHyphen/>
        <w:t>tructuración y presentación de proyectos de inversión en ciencia, tecnología e innovación en el marco de las convocatorias públi</w:t>
      </w:r>
      <w:r w:rsidRPr="00A41722">
        <w:rPr>
          <w:rFonts w:ascii="Arial" w:eastAsia="Times New Roman" w:hAnsi="Arial" w:cs="Arial"/>
          <w:color w:val="000000"/>
          <w:sz w:val="21"/>
          <w:szCs w:val="21"/>
          <w:lang w:val="es-CO" w:eastAsia="es-CO"/>
        </w:rPr>
        <w:softHyphen/>
        <w:t>cas, abiertas y competitivas del Sistema General de Regalías. </w:t>
      </w:r>
    </w:p>
    <w:p w14:paraId="253C1DED" w14:textId="77777777" w:rsidR="00E3308C" w:rsidRPr="00340215" w:rsidRDefault="00E3308C" w:rsidP="00E3308C">
      <w:pPr>
        <w:spacing w:after="0" w:line="254" w:lineRule="atLeast"/>
        <w:ind w:left="709" w:right="709"/>
        <w:rPr>
          <w:rFonts w:ascii="Arial" w:eastAsia="Times New Roman" w:hAnsi="Arial" w:cs="Arial"/>
          <w:color w:val="000000"/>
          <w:sz w:val="21"/>
          <w:szCs w:val="21"/>
          <w:lang w:val="es-CO" w:eastAsia="es-CO"/>
        </w:rPr>
      </w:pPr>
    </w:p>
    <w:p w14:paraId="5452D074" w14:textId="3D95571F" w:rsidR="00E3308C" w:rsidRPr="00A41722" w:rsidRDefault="00E3308C" w:rsidP="00A41722">
      <w:pPr>
        <w:spacing w:after="0" w:line="254" w:lineRule="atLeast"/>
        <w:ind w:left="709" w:right="709"/>
        <w:rPr>
          <w:rFonts w:ascii="Arial" w:eastAsia="Times New Roman" w:hAnsi="Arial" w:cs="Arial"/>
          <w:color w:val="000000"/>
          <w:sz w:val="21"/>
          <w:szCs w:val="21"/>
          <w:lang w:val="es-CO" w:eastAsia="es-CO"/>
        </w:rPr>
      </w:pPr>
      <w:r w:rsidRPr="00A41722">
        <w:rPr>
          <w:rFonts w:ascii="Arial" w:eastAsia="Times New Roman" w:hAnsi="Arial" w:cs="Arial"/>
          <w:color w:val="000000"/>
          <w:sz w:val="21"/>
          <w:szCs w:val="21"/>
          <w:lang w:val="es-CO" w:eastAsia="es-CO"/>
        </w:rPr>
        <w:t xml:space="preserve">4. </w:t>
      </w:r>
      <w:bookmarkStart w:id="8" w:name="_Hlk98140735"/>
      <w:r w:rsidRPr="00A41722">
        <w:rPr>
          <w:rFonts w:ascii="Arial" w:eastAsia="Times New Roman" w:hAnsi="Arial" w:cs="Arial"/>
          <w:color w:val="000000"/>
          <w:sz w:val="21"/>
          <w:szCs w:val="21"/>
          <w:lang w:val="es-CO" w:eastAsia="es-CO"/>
        </w:rPr>
        <w:t>Ejercer la Secretaría Técnica del Órgano Colegiado de Adminis</w:t>
      </w:r>
      <w:r w:rsidRPr="00A41722">
        <w:rPr>
          <w:rFonts w:ascii="Arial" w:eastAsia="Times New Roman" w:hAnsi="Arial" w:cs="Arial"/>
          <w:color w:val="000000"/>
          <w:sz w:val="21"/>
          <w:szCs w:val="21"/>
          <w:lang w:val="es-CO" w:eastAsia="es-CO"/>
        </w:rPr>
        <w:softHyphen/>
        <w:t>tración y Decisión de Ciencia, Tecnología e Innovación. </w:t>
      </w:r>
      <w:bookmarkEnd w:id="8"/>
    </w:p>
    <w:p w14:paraId="7F714B9E" w14:textId="77777777" w:rsidR="00E3308C" w:rsidRPr="00340215" w:rsidRDefault="00E3308C" w:rsidP="00E3308C">
      <w:pPr>
        <w:spacing w:after="0" w:line="254" w:lineRule="atLeast"/>
        <w:ind w:left="709" w:right="709"/>
        <w:rPr>
          <w:rFonts w:ascii="Arial" w:eastAsia="Times New Roman" w:hAnsi="Arial" w:cs="Arial"/>
          <w:color w:val="000000"/>
          <w:sz w:val="21"/>
          <w:szCs w:val="21"/>
          <w:lang w:val="es-CO" w:eastAsia="es-CO"/>
        </w:rPr>
      </w:pPr>
    </w:p>
    <w:p w14:paraId="0813D4E6" w14:textId="216A2099" w:rsidR="00E3308C" w:rsidRPr="00A41722" w:rsidRDefault="00E3308C" w:rsidP="00A41722">
      <w:pPr>
        <w:spacing w:after="0" w:line="254" w:lineRule="atLeast"/>
        <w:ind w:left="709" w:right="709"/>
        <w:rPr>
          <w:rFonts w:ascii="Arial" w:eastAsia="Times New Roman" w:hAnsi="Arial" w:cs="Arial"/>
          <w:color w:val="000000"/>
          <w:sz w:val="21"/>
          <w:szCs w:val="21"/>
          <w:lang w:val="es-CO" w:eastAsia="es-CO"/>
        </w:rPr>
      </w:pPr>
      <w:r w:rsidRPr="00A41722">
        <w:rPr>
          <w:rFonts w:ascii="Arial" w:eastAsia="Times New Roman" w:hAnsi="Arial" w:cs="Arial"/>
          <w:color w:val="000000"/>
          <w:sz w:val="21"/>
          <w:szCs w:val="21"/>
          <w:lang w:val="es-CO" w:eastAsia="es-CO"/>
        </w:rPr>
        <w:t>5. Prestar la asistencia técnica que requieran los actores del Sis</w:t>
      </w:r>
      <w:r w:rsidRPr="00A41722">
        <w:rPr>
          <w:rFonts w:ascii="Arial" w:eastAsia="Times New Roman" w:hAnsi="Arial" w:cs="Arial"/>
          <w:color w:val="000000"/>
          <w:sz w:val="21"/>
          <w:szCs w:val="21"/>
          <w:lang w:val="es-CO" w:eastAsia="es-CO"/>
        </w:rPr>
        <w:softHyphen/>
        <w:t>tema Nacional de Ciencia, Tecnología e Innovación, incluidas las Gobernaciones y los Consejos Departamentales de Ciencia, Tecnología e Innovación (Codecti), durante la operación de las convocatorias públicas, abiertas y competitivas. </w:t>
      </w:r>
    </w:p>
    <w:p w14:paraId="2C9A6E57" w14:textId="269C6A92" w:rsidR="00A003BA" w:rsidRPr="00340215" w:rsidRDefault="00A003BA" w:rsidP="00A41722">
      <w:pPr>
        <w:spacing w:after="0"/>
        <w:ind w:firstLine="709"/>
        <w:rPr>
          <w:rFonts w:ascii="Arial" w:hAnsi="Arial" w:cs="Arial"/>
          <w:noProof/>
          <w:sz w:val="22"/>
          <w:lang w:val="es-ES_tradnl"/>
        </w:rPr>
      </w:pPr>
      <w:r w:rsidRPr="00340215">
        <w:rPr>
          <w:rFonts w:ascii="Arial" w:hAnsi="Arial" w:cs="Arial"/>
          <w:noProof/>
          <w:sz w:val="22"/>
          <w:lang w:val="es-ES_tradnl"/>
        </w:rPr>
        <w:t xml:space="preserve"> </w:t>
      </w:r>
    </w:p>
    <w:p w14:paraId="70963081" w14:textId="53EA3755" w:rsidR="003C1F93" w:rsidRPr="00340215" w:rsidRDefault="00057D97" w:rsidP="00A41722">
      <w:pPr>
        <w:spacing w:after="120"/>
        <w:ind w:firstLine="709"/>
        <w:rPr>
          <w:rFonts w:ascii="Arial" w:hAnsi="Arial" w:cs="Arial"/>
          <w:noProof/>
          <w:sz w:val="22"/>
          <w:lang w:val="es-ES_tradnl"/>
        </w:rPr>
      </w:pPr>
      <w:r w:rsidRPr="00340215">
        <w:rPr>
          <w:rFonts w:ascii="Arial" w:hAnsi="Arial" w:cs="Arial"/>
          <w:noProof/>
          <w:sz w:val="22"/>
          <w:lang w:val="es-ES_tradnl"/>
        </w:rPr>
        <w:t>De conformidad con esta norma, el Ministerio de Ciencia, Tecnología e innovación, en conjunto con el Departamento Nacional de Planeción, es la entidad encargada de reallizar la planeación de las convocatorias</w:t>
      </w:r>
      <w:r w:rsidR="003C1F93" w:rsidRPr="00340215">
        <w:rPr>
          <w:rFonts w:ascii="Arial" w:hAnsi="Arial" w:cs="Arial"/>
          <w:noProof/>
          <w:sz w:val="22"/>
          <w:lang w:val="es-ES_tradnl"/>
        </w:rPr>
        <w:t xml:space="preserve"> públicas, abiertas y competitivas, para escoger los proyectos de inversión de ciencia tecnologia e innovación a los que se designara para la ejecución de la asignación del SGP. Adiionalmente, la señalada cartera ministerial tiene tienen asignadas las funciones de ejercer la Secretaría del Órgano Colegiado de Administración y Decisión de Ciencia, Tecnología e Innovación y prestar asistencia tecnica que requieran los actores del Sistema Nacional de Ciencia, Tecnologia Innvovación.</w:t>
      </w:r>
    </w:p>
    <w:p w14:paraId="2FE94919" w14:textId="3D18FAF8" w:rsidR="00EC468B" w:rsidRPr="00340215" w:rsidRDefault="00394246" w:rsidP="00A41722">
      <w:pPr>
        <w:spacing w:after="0"/>
        <w:ind w:firstLine="709"/>
        <w:rPr>
          <w:rFonts w:ascii="Arial" w:hAnsi="Arial" w:cs="Arial"/>
          <w:noProof/>
          <w:sz w:val="22"/>
          <w:lang w:val="es-ES_tradnl"/>
        </w:rPr>
      </w:pPr>
      <w:r w:rsidRPr="00340215">
        <w:rPr>
          <w:rFonts w:ascii="Arial" w:hAnsi="Arial" w:cs="Arial"/>
          <w:noProof/>
          <w:sz w:val="22"/>
          <w:lang w:val="es-ES_tradnl"/>
        </w:rPr>
        <w:t xml:space="preserve">Lo relativo a la </w:t>
      </w:r>
      <w:r w:rsidR="00EF62A6" w:rsidRPr="00340215">
        <w:rPr>
          <w:rFonts w:ascii="Arial" w:hAnsi="Arial" w:cs="Arial"/>
          <w:noProof/>
          <w:sz w:val="22"/>
          <w:lang w:val="es-ES_tradnl"/>
        </w:rPr>
        <w:t xml:space="preserve">Asignación para la Ciencia, Tecnología e Innovación es regulado por </w:t>
      </w:r>
      <w:r w:rsidR="00DA7C09" w:rsidRPr="00340215">
        <w:rPr>
          <w:rFonts w:ascii="Arial" w:hAnsi="Arial" w:cs="Arial"/>
          <w:noProof/>
          <w:sz w:val="22"/>
          <w:lang w:val="es-ES_tradnl"/>
        </w:rPr>
        <w:t xml:space="preserve"> el Capítulo V del T</w:t>
      </w:r>
      <w:r w:rsidR="009E7D29" w:rsidRPr="00340215">
        <w:rPr>
          <w:rFonts w:ascii="Arial" w:hAnsi="Arial" w:cs="Arial"/>
          <w:noProof/>
          <w:sz w:val="22"/>
          <w:lang w:val="es-ES_tradnl"/>
        </w:rPr>
        <w:t>ítulo</w:t>
      </w:r>
      <w:r w:rsidR="00DA7C09" w:rsidRPr="00340215">
        <w:rPr>
          <w:rFonts w:ascii="Arial" w:hAnsi="Arial" w:cs="Arial"/>
          <w:noProof/>
          <w:sz w:val="22"/>
          <w:lang w:val="es-ES_tradnl"/>
        </w:rPr>
        <w:t xml:space="preserve"> IV</w:t>
      </w:r>
      <w:r w:rsidR="00EF62A6" w:rsidRPr="00340215">
        <w:rPr>
          <w:rFonts w:ascii="Arial" w:hAnsi="Arial" w:cs="Arial"/>
          <w:noProof/>
          <w:sz w:val="22"/>
          <w:lang w:val="es-ES_tradnl"/>
        </w:rPr>
        <w:t>, señalando</w:t>
      </w:r>
      <w:r w:rsidR="00EC468B" w:rsidRPr="00340215">
        <w:rPr>
          <w:rFonts w:ascii="Arial" w:hAnsi="Arial" w:cs="Arial"/>
          <w:noProof/>
          <w:sz w:val="22"/>
          <w:lang w:val="es-ES_tradnl"/>
        </w:rPr>
        <w:t xml:space="preserve"> en el artículo 53 que </w:t>
      </w:r>
      <w:r w:rsidR="00C566EB" w:rsidRPr="00340215">
        <w:rPr>
          <w:rFonts w:ascii="Arial" w:hAnsi="Arial" w:cs="Arial"/>
          <w:noProof/>
          <w:sz w:val="22"/>
          <w:lang w:val="es-ES_tradnl"/>
        </w:rPr>
        <w:t>«</w:t>
      </w:r>
      <w:r w:rsidR="00EC468B" w:rsidRPr="00340215">
        <w:rPr>
          <w:rFonts w:ascii="Arial" w:hAnsi="Arial" w:cs="Arial"/>
          <w:noProof/>
          <w:sz w:val="22"/>
          <w:lang w:val="es-ES_tradnl"/>
        </w:rPr>
        <w:t>los proyectos de inversión en ciencia, tecnología e innovación que se financian con los recursos de la Asignación para la Ciencia, Tecnología e Innovación, serán aprobados a través de convocatorias públicas, abiertas y competitivas</w:t>
      </w:r>
      <w:r w:rsidR="00C566EB" w:rsidRPr="00340215">
        <w:rPr>
          <w:rFonts w:ascii="Arial" w:hAnsi="Arial" w:cs="Arial"/>
          <w:noProof/>
          <w:sz w:val="22"/>
          <w:lang w:val="es-ES_tradnl"/>
        </w:rPr>
        <w:t>»</w:t>
      </w:r>
      <w:r w:rsidR="00EC468B" w:rsidRPr="00340215">
        <w:rPr>
          <w:rFonts w:ascii="Arial" w:hAnsi="Arial" w:cs="Arial"/>
          <w:noProof/>
          <w:sz w:val="22"/>
          <w:lang w:val="es-ES_tradnl"/>
        </w:rPr>
        <w:t>.  De igual modo, el artículo 54 indica que estos proyectos serán presentados por las entidades públicas o privadas que hagan parte del Sistema Nacional de Ciencia, Tecnología e Innovación de que trata el artículo 20 de la Ley 1286 de 2009 o la norma que la modifique o sustituya, ante el Ministerio de Ciencia, Tecnología e Innovación, a quien le corresponde verificar el cumplimiento de las condiciones de los términos de referencia de las convocatorias públicas, abiertas y competitivas para la presentación de los proyectos de inversión</w:t>
      </w:r>
      <w:r w:rsidR="00EF62A6" w:rsidRPr="00340215">
        <w:rPr>
          <w:rStyle w:val="Refdenotaalpie"/>
          <w:rFonts w:ascii="Arial" w:hAnsi="Arial" w:cs="Arial"/>
          <w:noProof/>
          <w:sz w:val="22"/>
          <w:lang w:val="es-ES_tradnl"/>
        </w:rPr>
        <w:footnoteReference w:id="5"/>
      </w:r>
      <w:r w:rsidR="00EC468B" w:rsidRPr="00340215">
        <w:rPr>
          <w:rFonts w:ascii="Arial" w:hAnsi="Arial" w:cs="Arial"/>
          <w:noProof/>
          <w:sz w:val="22"/>
          <w:lang w:val="es-ES_tradnl"/>
        </w:rPr>
        <w:t>.</w:t>
      </w:r>
    </w:p>
    <w:p w14:paraId="30BF201F" w14:textId="4D2934FB" w:rsidR="00EC468B" w:rsidRPr="00340215" w:rsidRDefault="001C120D" w:rsidP="001C120D">
      <w:pPr>
        <w:tabs>
          <w:tab w:val="left" w:pos="0"/>
        </w:tabs>
        <w:spacing w:before="120" w:after="0"/>
        <w:rPr>
          <w:rFonts w:ascii="Arial" w:hAnsi="Arial" w:cs="Arial"/>
          <w:noProof/>
          <w:sz w:val="22"/>
          <w:lang w:val="es-ES_tradnl"/>
        </w:rPr>
      </w:pPr>
      <w:r w:rsidRPr="00340215">
        <w:rPr>
          <w:rFonts w:ascii="Arial" w:hAnsi="Arial" w:cs="Arial"/>
          <w:noProof/>
          <w:sz w:val="22"/>
          <w:lang w:val="es-ES_tradnl"/>
        </w:rPr>
        <w:lastRenderedPageBreak/>
        <w:tab/>
      </w:r>
      <w:r w:rsidR="00FB7AE7" w:rsidRPr="00340215">
        <w:rPr>
          <w:rFonts w:ascii="Arial" w:hAnsi="Arial" w:cs="Arial"/>
          <w:noProof/>
          <w:sz w:val="22"/>
          <w:lang w:val="es-ES_tradnl"/>
        </w:rPr>
        <w:t>En atención</w:t>
      </w:r>
      <w:r w:rsidR="00A71937" w:rsidRPr="00340215">
        <w:rPr>
          <w:rFonts w:ascii="Arial" w:hAnsi="Arial" w:cs="Arial"/>
          <w:noProof/>
          <w:sz w:val="22"/>
          <w:lang w:val="es-ES_tradnl"/>
        </w:rPr>
        <w:t xml:space="preserve"> a la necesidad </w:t>
      </w:r>
      <w:r w:rsidR="00AF7D35" w:rsidRPr="00340215">
        <w:rPr>
          <w:rFonts w:ascii="Arial" w:hAnsi="Arial" w:cs="Arial"/>
          <w:noProof/>
          <w:sz w:val="22"/>
          <w:lang w:val="es-ES_tradnl"/>
        </w:rPr>
        <w:t>de reglamentación, el Gobierno n</w:t>
      </w:r>
      <w:r w:rsidR="00A71937" w:rsidRPr="00340215">
        <w:rPr>
          <w:rFonts w:ascii="Arial" w:hAnsi="Arial" w:cs="Arial"/>
          <w:noProof/>
          <w:sz w:val="22"/>
          <w:lang w:val="es-ES_tradnl"/>
        </w:rPr>
        <w:t>acional e</w:t>
      </w:r>
      <w:r w:rsidR="00FB7AE7" w:rsidRPr="00340215">
        <w:rPr>
          <w:rFonts w:ascii="Arial" w:hAnsi="Arial" w:cs="Arial"/>
          <w:noProof/>
          <w:sz w:val="22"/>
          <w:lang w:val="es-ES_tradnl"/>
        </w:rPr>
        <w:t>xpidió</w:t>
      </w:r>
      <w:r w:rsidR="00A71937" w:rsidRPr="00340215">
        <w:rPr>
          <w:rFonts w:ascii="Arial" w:hAnsi="Arial" w:cs="Arial"/>
          <w:noProof/>
          <w:sz w:val="22"/>
          <w:lang w:val="es-ES_tradnl"/>
        </w:rPr>
        <w:t xml:space="preserve"> el Decreto 1821 del 31 de diciembre de 2020</w:t>
      </w:r>
      <w:r w:rsidR="00FB7AE7" w:rsidRPr="00340215">
        <w:rPr>
          <w:rFonts w:ascii="Arial" w:hAnsi="Arial" w:cs="Arial"/>
          <w:noProof/>
          <w:sz w:val="22"/>
          <w:lang w:val="es-ES_tradnl"/>
        </w:rPr>
        <w:t xml:space="preserve">, </w:t>
      </w:r>
      <w:r w:rsidR="00D259A3" w:rsidRPr="00340215">
        <w:rPr>
          <w:rFonts w:ascii="Arial" w:hAnsi="Arial" w:cs="Arial"/>
          <w:noProof/>
          <w:sz w:val="22"/>
          <w:lang w:val="es-ES_tradnl"/>
        </w:rPr>
        <w:t>«P</w:t>
      </w:r>
      <w:r w:rsidR="005737AA" w:rsidRPr="00340215">
        <w:rPr>
          <w:rFonts w:ascii="Arial" w:hAnsi="Arial" w:cs="Arial"/>
          <w:noProof/>
          <w:sz w:val="22"/>
          <w:lang w:val="es-ES_tradnl"/>
        </w:rPr>
        <w:t>or el cual se expide el Decreto Único Reglamentario del Sistema General de Regalías</w:t>
      </w:r>
      <w:r w:rsidR="00D259A3" w:rsidRPr="00340215">
        <w:rPr>
          <w:rFonts w:ascii="Arial" w:hAnsi="Arial" w:cs="Arial"/>
          <w:noProof/>
          <w:sz w:val="22"/>
          <w:lang w:val="es-ES_tradnl"/>
        </w:rPr>
        <w:t>»</w:t>
      </w:r>
      <w:r w:rsidR="00FB7AE7" w:rsidRPr="00340215">
        <w:rPr>
          <w:rFonts w:ascii="Arial" w:hAnsi="Arial" w:cs="Arial"/>
          <w:noProof/>
          <w:sz w:val="22"/>
          <w:lang w:val="es-ES_tradnl"/>
        </w:rPr>
        <w:t xml:space="preserve">. </w:t>
      </w:r>
      <w:r w:rsidR="00D34946" w:rsidRPr="00340215">
        <w:rPr>
          <w:rFonts w:ascii="Arial" w:hAnsi="Arial" w:cs="Arial"/>
          <w:noProof/>
          <w:sz w:val="22"/>
          <w:lang w:val="es-ES_tradnl"/>
        </w:rPr>
        <w:t>E</w:t>
      </w:r>
      <w:r w:rsidR="00AF7D35" w:rsidRPr="00340215">
        <w:rPr>
          <w:rFonts w:ascii="Arial" w:hAnsi="Arial" w:cs="Arial"/>
          <w:noProof/>
          <w:sz w:val="22"/>
          <w:lang w:val="es-ES_tradnl"/>
        </w:rPr>
        <w:t>ste decreto</w:t>
      </w:r>
      <w:r w:rsidR="00F9349F" w:rsidRPr="00340215">
        <w:rPr>
          <w:rFonts w:ascii="Arial" w:hAnsi="Arial" w:cs="Arial"/>
          <w:noProof/>
          <w:sz w:val="22"/>
          <w:lang w:val="es-ES_tradnl"/>
        </w:rPr>
        <w:t>,</w:t>
      </w:r>
      <w:r w:rsidR="00AF7D35" w:rsidRPr="00340215">
        <w:rPr>
          <w:rFonts w:ascii="Arial" w:hAnsi="Arial" w:cs="Arial"/>
          <w:noProof/>
          <w:sz w:val="22"/>
          <w:lang w:val="es-ES_tradnl"/>
        </w:rPr>
        <w:t xml:space="preserve"> </w:t>
      </w:r>
      <w:r w:rsidR="00E816D3" w:rsidRPr="00340215">
        <w:rPr>
          <w:rFonts w:ascii="Arial" w:hAnsi="Arial" w:cs="Arial"/>
          <w:noProof/>
          <w:sz w:val="22"/>
          <w:lang w:val="es-ES_tradnl"/>
        </w:rPr>
        <w:t>en su</w:t>
      </w:r>
      <w:r w:rsidR="00AF7D35" w:rsidRPr="00340215">
        <w:rPr>
          <w:rFonts w:ascii="Arial" w:hAnsi="Arial" w:cs="Arial"/>
          <w:noProof/>
          <w:sz w:val="22"/>
          <w:lang w:val="es-ES_tradnl"/>
        </w:rPr>
        <w:t xml:space="preserve"> T</w:t>
      </w:r>
      <w:r w:rsidR="00D34946" w:rsidRPr="00340215">
        <w:rPr>
          <w:rFonts w:ascii="Arial" w:hAnsi="Arial" w:cs="Arial"/>
          <w:noProof/>
          <w:sz w:val="22"/>
          <w:lang w:val="es-ES_tradnl"/>
        </w:rPr>
        <w:t xml:space="preserve">ítulo 3 definió las reglas </w:t>
      </w:r>
      <w:r w:rsidR="00E816D3" w:rsidRPr="00340215">
        <w:rPr>
          <w:rFonts w:ascii="Arial" w:hAnsi="Arial" w:cs="Arial"/>
          <w:noProof/>
          <w:sz w:val="22"/>
          <w:lang w:val="es-ES_tradnl"/>
        </w:rPr>
        <w:t xml:space="preserve">aplicables a </w:t>
      </w:r>
      <w:r w:rsidR="00D34946" w:rsidRPr="00340215">
        <w:rPr>
          <w:rFonts w:ascii="Arial" w:hAnsi="Arial" w:cs="Arial"/>
          <w:noProof/>
          <w:sz w:val="22"/>
          <w:lang w:val="es-ES_tradnl"/>
        </w:rPr>
        <w:t xml:space="preserve">las convocatorias </w:t>
      </w:r>
      <w:r w:rsidR="00AF7D35" w:rsidRPr="00340215">
        <w:rPr>
          <w:rFonts w:ascii="Arial" w:hAnsi="Arial" w:cs="Arial"/>
          <w:noProof/>
          <w:sz w:val="22"/>
          <w:lang w:val="es-ES_tradnl"/>
        </w:rPr>
        <w:t>relacionadas con</w:t>
      </w:r>
      <w:r w:rsidR="00D34946" w:rsidRPr="00340215">
        <w:rPr>
          <w:rFonts w:ascii="Arial" w:hAnsi="Arial" w:cs="Arial"/>
          <w:noProof/>
          <w:sz w:val="22"/>
          <w:lang w:val="es-ES_tradnl"/>
        </w:rPr>
        <w:t xml:space="preserve"> la financiación de proyectos de inversión con recursos de la </w:t>
      </w:r>
      <w:r w:rsidR="00D259A3" w:rsidRPr="00340215">
        <w:rPr>
          <w:rFonts w:ascii="Arial" w:hAnsi="Arial" w:cs="Arial"/>
          <w:noProof/>
          <w:sz w:val="22"/>
          <w:lang w:val="es-ES_tradnl"/>
        </w:rPr>
        <w:t>Asignación para la Ciencia, Tecnología e Innovación</w:t>
      </w:r>
      <w:r w:rsidR="00D34946" w:rsidRPr="00340215">
        <w:rPr>
          <w:rFonts w:ascii="Arial" w:hAnsi="Arial" w:cs="Arial"/>
          <w:noProof/>
          <w:sz w:val="22"/>
          <w:lang w:val="es-ES_tradnl"/>
        </w:rPr>
        <w:t xml:space="preserve">. </w:t>
      </w:r>
      <w:r w:rsidR="00AF7D35" w:rsidRPr="00340215">
        <w:rPr>
          <w:rFonts w:ascii="Arial" w:hAnsi="Arial" w:cs="Arial"/>
          <w:noProof/>
          <w:sz w:val="22"/>
          <w:lang w:val="es-ES_tradnl"/>
        </w:rPr>
        <w:t xml:space="preserve"> En primer lugar, es importante tener en cuenta que e</w:t>
      </w:r>
      <w:r w:rsidR="00D34946" w:rsidRPr="00340215">
        <w:rPr>
          <w:rFonts w:ascii="Arial" w:hAnsi="Arial" w:cs="Arial"/>
          <w:noProof/>
          <w:sz w:val="22"/>
          <w:lang w:val="es-ES_tradnl"/>
        </w:rPr>
        <w:t>l a</w:t>
      </w:r>
      <w:r w:rsidR="00EC468B" w:rsidRPr="00340215">
        <w:rPr>
          <w:rFonts w:ascii="Arial" w:hAnsi="Arial" w:cs="Arial"/>
          <w:noProof/>
          <w:sz w:val="22"/>
          <w:lang w:val="es-ES_tradnl"/>
        </w:rPr>
        <w:t>rtículo 1.2.3.1.1.</w:t>
      </w:r>
      <w:r w:rsidR="00D34946" w:rsidRPr="00340215">
        <w:rPr>
          <w:rFonts w:ascii="Arial" w:hAnsi="Arial" w:cs="Arial"/>
          <w:noProof/>
          <w:sz w:val="22"/>
          <w:lang w:val="es-ES_tradnl"/>
        </w:rPr>
        <w:t xml:space="preserve"> </w:t>
      </w:r>
      <w:r w:rsidR="00AF7D35" w:rsidRPr="00340215">
        <w:rPr>
          <w:rFonts w:ascii="Arial" w:hAnsi="Arial" w:cs="Arial"/>
          <w:noProof/>
          <w:sz w:val="22"/>
          <w:lang w:val="es-ES_tradnl"/>
        </w:rPr>
        <w:t xml:space="preserve">define </w:t>
      </w:r>
      <w:r w:rsidR="00D259A3" w:rsidRPr="00340215">
        <w:rPr>
          <w:rFonts w:ascii="Arial" w:hAnsi="Arial" w:cs="Arial"/>
          <w:noProof/>
          <w:sz w:val="22"/>
          <w:lang w:val="es-ES_tradnl"/>
        </w:rPr>
        <w:t xml:space="preserve">a </w:t>
      </w:r>
      <w:r w:rsidR="00AF7D35" w:rsidRPr="00340215">
        <w:rPr>
          <w:rFonts w:ascii="Arial" w:hAnsi="Arial" w:cs="Arial"/>
          <w:noProof/>
          <w:sz w:val="22"/>
          <w:lang w:val="es-ES_tradnl"/>
        </w:rPr>
        <w:t>las</w:t>
      </w:r>
      <w:r w:rsidR="00D34946" w:rsidRPr="00340215">
        <w:rPr>
          <w:rFonts w:ascii="Arial" w:hAnsi="Arial" w:cs="Arial"/>
          <w:noProof/>
          <w:sz w:val="22"/>
          <w:lang w:val="es-ES_tradnl"/>
        </w:rPr>
        <w:t xml:space="preserve"> </w:t>
      </w:r>
      <w:r w:rsidR="00D259A3" w:rsidRPr="00A41722">
        <w:rPr>
          <w:rFonts w:ascii="Arial" w:hAnsi="Arial" w:cs="Arial"/>
          <w:i/>
          <w:iCs/>
          <w:noProof/>
          <w:sz w:val="22"/>
          <w:lang w:val="es-ES_tradnl"/>
        </w:rPr>
        <w:t>Convocatorias publicas, abiertas y competitivas</w:t>
      </w:r>
      <w:r w:rsidR="00D259A3" w:rsidRPr="00340215">
        <w:rPr>
          <w:rFonts w:ascii="Arial" w:hAnsi="Arial" w:cs="Arial"/>
          <w:noProof/>
          <w:sz w:val="22"/>
          <w:lang w:val="es-ES_tradnl"/>
        </w:rPr>
        <w:t xml:space="preserve"> </w:t>
      </w:r>
      <w:r w:rsidR="00D34946" w:rsidRPr="00340215">
        <w:rPr>
          <w:rFonts w:ascii="Arial" w:hAnsi="Arial" w:cs="Arial"/>
          <w:noProof/>
          <w:sz w:val="22"/>
          <w:lang w:val="es-ES_tradnl"/>
        </w:rPr>
        <w:t>de la siguiente manera:</w:t>
      </w:r>
    </w:p>
    <w:p w14:paraId="56CDD49A" w14:textId="46922911" w:rsidR="005B5491" w:rsidRPr="00340215" w:rsidRDefault="005B5491" w:rsidP="00F3473D">
      <w:pPr>
        <w:pStyle w:val="Textoindependiente"/>
        <w:spacing w:after="0"/>
        <w:ind w:firstLine="709"/>
        <w:rPr>
          <w:lang w:val="es-CO"/>
        </w:rPr>
      </w:pPr>
    </w:p>
    <w:p w14:paraId="703E519B" w14:textId="49F84241" w:rsidR="005B5491" w:rsidRPr="00340215" w:rsidRDefault="005B5491" w:rsidP="006E3042">
      <w:pPr>
        <w:spacing w:after="0" w:line="240" w:lineRule="auto"/>
        <w:ind w:left="709" w:right="758"/>
        <w:rPr>
          <w:rFonts w:ascii="Arial" w:eastAsia="Calibri" w:hAnsi="Arial" w:cs="Arial"/>
          <w:color w:val="000000" w:themeColor="text1"/>
          <w:sz w:val="21"/>
          <w:szCs w:val="21"/>
        </w:rPr>
      </w:pPr>
      <w:r w:rsidRPr="00340215">
        <w:rPr>
          <w:rFonts w:ascii="Arial" w:eastAsia="Calibri" w:hAnsi="Arial" w:cs="Arial"/>
          <w:color w:val="000000" w:themeColor="text1"/>
          <w:sz w:val="21"/>
          <w:szCs w:val="21"/>
        </w:rPr>
        <w:t xml:space="preserve">Se entiende por convocatoria pública, abierta y competitiva el proceso a través del cual el </w:t>
      </w:r>
      <w:r w:rsidR="00D34946" w:rsidRPr="00340215">
        <w:rPr>
          <w:rFonts w:ascii="Arial" w:eastAsia="Calibri" w:hAnsi="Arial" w:cs="Arial"/>
          <w:color w:val="000000" w:themeColor="text1"/>
          <w:sz w:val="21"/>
          <w:szCs w:val="21"/>
        </w:rPr>
        <w:t>Ministerio de Ciencia, Tecnologí</w:t>
      </w:r>
      <w:r w:rsidRPr="00340215">
        <w:rPr>
          <w:rFonts w:ascii="Arial" w:eastAsia="Calibri" w:hAnsi="Arial" w:cs="Arial"/>
          <w:color w:val="000000" w:themeColor="text1"/>
          <w:sz w:val="21"/>
          <w:szCs w:val="21"/>
        </w:rPr>
        <w:t>a e Innovación, en calidad de Secretaría Técnica del Órgano Colegiado de Administración y Decisión de Ciencia, Tecnología e Innovación realiza una invitación a entidades que hacen parte del Sistema Nacional de Ciencia, Tecnología e Innovación-SNCTI, con el propósito de conformar un listado de proyectos elegibles a través de un proceso de evaluación que permita seleccionar los proyectos de inversión que atiendan a las demandas territoriales</w:t>
      </w:r>
      <w:r w:rsidR="006E3042" w:rsidRPr="00340215">
        <w:rPr>
          <w:rFonts w:ascii="Arial" w:eastAsia="Calibri" w:hAnsi="Arial" w:cs="Arial"/>
          <w:color w:val="000000" w:themeColor="text1"/>
          <w:sz w:val="21"/>
          <w:szCs w:val="21"/>
        </w:rPr>
        <w:t>.</w:t>
      </w:r>
    </w:p>
    <w:p w14:paraId="05E7F5B8" w14:textId="77777777" w:rsidR="006E3042" w:rsidRPr="00340215" w:rsidRDefault="006E3042" w:rsidP="006E3042">
      <w:pPr>
        <w:spacing w:after="0" w:line="240" w:lineRule="auto"/>
        <w:ind w:left="709" w:right="758"/>
        <w:rPr>
          <w:rFonts w:ascii="Arial" w:eastAsia="Calibri" w:hAnsi="Arial" w:cs="Arial"/>
          <w:color w:val="000000" w:themeColor="text1"/>
          <w:sz w:val="21"/>
          <w:szCs w:val="21"/>
        </w:rPr>
      </w:pPr>
    </w:p>
    <w:p w14:paraId="1BBD0DC9" w14:textId="091E3A67" w:rsidR="00D259A3" w:rsidRPr="00340215" w:rsidRDefault="00AF7D35" w:rsidP="00AE31D4">
      <w:pPr>
        <w:spacing w:before="120" w:after="0"/>
        <w:ind w:firstLine="709"/>
        <w:rPr>
          <w:rFonts w:ascii="Arial" w:hAnsi="Arial" w:cs="Arial"/>
          <w:noProof/>
          <w:sz w:val="22"/>
          <w:lang w:val="es-ES_tradnl"/>
        </w:rPr>
      </w:pPr>
      <w:r w:rsidRPr="00340215">
        <w:rPr>
          <w:rFonts w:ascii="Arial" w:hAnsi="Arial" w:cs="Arial"/>
          <w:noProof/>
          <w:sz w:val="22"/>
          <w:lang w:val="es-ES_tradnl"/>
        </w:rPr>
        <w:t xml:space="preserve">De </w:t>
      </w:r>
      <w:r w:rsidR="00992709" w:rsidRPr="00340215">
        <w:rPr>
          <w:rFonts w:ascii="Arial" w:hAnsi="Arial" w:cs="Arial"/>
          <w:noProof/>
          <w:sz w:val="22"/>
          <w:lang w:val="es-ES_tradnl"/>
        </w:rPr>
        <w:t xml:space="preserve">lo anterior, es posible inferir que </w:t>
      </w:r>
      <w:r w:rsidRPr="00340215">
        <w:rPr>
          <w:rFonts w:ascii="Arial" w:hAnsi="Arial" w:cs="Arial"/>
          <w:noProof/>
          <w:sz w:val="22"/>
          <w:lang w:val="es-ES_tradnl"/>
        </w:rPr>
        <w:t>dicha convocatoria pública está dirigida a unos sujetos específicos definidos en la norma</w:t>
      </w:r>
      <w:r w:rsidR="00992709" w:rsidRPr="00340215">
        <w:rPr>
          <w:rFonts w:ascii="Arial" w:hAnsi="Arial" w:cs="Arial"/>
          <w:noProof/>
          <w:sz w:val="22"/>
          <w:lang w:val="es-ES_tradnl"/>
        </w:rPr>
        <w:t xml:space="preserve">, es decir, aquellos que hacen parte del Sistema Nacional de Ciencia, Tecnología e Innovación-SNCTI. </w:t>
      </w:r>
      <w:r w:rsidRPr="00340215">
        <w:rPr>
          <w:rFonts w:ascii="Arial" w:hAnsi="Arial" w:cs="Arial"/>
          <w:noProof/>
          <w:sz w:val="22"/>
          <w:lang w:val="es-ES_tradnl"/>
        </w:rPr>
        <w:t xml:space="preserve"> C</w:t>
      </w:r>
      <w:r w:rsidR="00992709" w:rsidRPr="00340215">
        <w:rPr>
          <w:rFonts w:ascii="Arial" w:hAnsi="Arial" w:cs="Arial"/>
          <w:noProof/>
          <w:sz w:val="22"/>
          <w:lang w:val="es-ES_tradnl"/>
        </w:rPr>
        <w:t xml:space="preserve">abe mencionar que, </w:t>
      </w:r>
      <w:r w:rsidR="00D34946" w:rsidRPr="00340215">
        <w:rPr>
          <w:rFonts w:ascii="Arial" w:hAnsi="Arial" w:cs="Arial"/>
          <w:noProof/>
          <w:sz w:val="22"/>
          <w:lang w:val="es-ES_tradnl"/>
        </w:rPr>
        <w:t>el a</w:t>
      </w:r>
      <w:r w:rsidR="005B5491" w:rsidRPr="00340215">
        <w:rPr>
          <w:rFonts w:ascii="Arial" w:hAnsi="Arial" w:cs="Arial"/>
          <w:noProof/>
          <w:sz w:val="22"/>
          <w:lang w:val="es-ES_tradnl"/>
        </w:rPr>
        <w:t xml:space="preserve">rtículo 1.2.3.2.2. </w:t>
      </w:r>
      <w:r w:rsidR="00992709" w:rsidRPr="00340215">
        <w:rPr>
          <w:rFonts w:ascii="Arial" w:hAnsi="Arial" w:cs="Arial"/>
          <w:noProof/>
          <w:sz w:val="22"/>
          <w:lang w:val="es-ES_tradnl"/>
        </w:rPr>
        <w:t xml:space="preserve">del Decreto 1081 de 2020 expresamente </w:t>
      </w:r>
      <w:r w:rsidR="00D34946" w:rsidRPr="00340215">
        <w:rPr>
          <w:rFonts w:ascii="Arial" w:hAnsi="Arial" w:cs="Arial"/>
          <w:noProof/>
          <w:sz w:val="22"/>
          <w:lang w:val="es-ES_tradnl"/>
        </w:rPr>
        <w:t xml:space="preserve">señala cuales son </w:t>
      </w:r>
      <w:r w:rsidR="00D159F4" w:rsidRPr="00340215">
        <w:rPr>
          <w:rFonts w:ascii="Arial" w:hAnsi="Arial" w:cs="Arial"/>
          <w:noProof/>
          <w:sz w:val="22"/>
          <w:lang w:val="es-ES_tradnl"/>
        </w:rPr>
        <w:t>l</w:t>
      </w:r>
      <w:r w:rsidR="005B5491" w:rsidRPr="00340215">
        <w:rPr>
          <w:rFonts w:ascii="Arial" w:hAnsi="Arial" w:cs="Arial"/>
          <w:noProof/>
          <w:sz w:val="22"/>
          <w:lang w:val="es-ES_tradnl"/>
        </w:rPr>
        <w:t>as entidades públicas, privadas y territoriale</w:t>
      </w:r>
      <w:r w:rsidR="00D159F4" w:rsidRPr="00340215">
        <w:rPr>
          <w:rFonts w:ascii="Arial" w:hAnsi="Arial" w:cs="Arial"/>
          <w:noProof/>
          <w:sz w:val="22"/>
          <w:lang w:val="es-ES_tradnl"/>
        </w:rPr>
        <w:t>s que podrán participar en las c</w:t>
      </w:r>
      <w:r w:rsidR="005B5491" w:rsidRPr="00340215">
        <w:rPr>
          <w:rFonts w:ascii="Arial" w:hAnsi="Arial" w:cs="Arial"/>
          <w:noProof/>
          <w:sz w:val="22"/>
          <w:lang w:val="es-ES_tradnl"/>
        </w:rPr>
        <w:t xml:space="preserve">onvocatorias públicas, abiertas y competitivas para la Asignación de Ciencia, Tecnología e Innovación, </w:t>
      </w:r>
      <w:r w:rsidR="00D159F4" w:rsidRPr="00340215">
        <w:rPr>
          <w:rFonts w:ascii="Arial" w:hAnsi="Arial" w:cs="Arial"/>
          <w:noProof/>
          <w:sz w:val="22"/>
          <w:lang w:val="es-ES_tradnl"/>
        </w:rPr>
        <w:t>indicando que esta</w:t>
      </w:r>
      <w:r w:rsidR="00756705" w:rsidRPr="00340215">
        <w:rPr>
          <w:rFonts w:ascii="Arial" w:hAnsi="Arial" w:cs="Arial"/>
          <w:noProof/>
          <w:sz w:val="22"/>
          <w:lang w:val="es-ES_tradnl"/>
        </w:rPr>
        <w:t>s</w:t>
      </w:r>
      <w:r w:rsidR="00D159F4" w:rsidRPr="00340215">
        <w:rPr>
          <w:rFonts w:ascii="Arial" w:hAnsi="Arial" w:cs="Arial"/>
          <w:noProof/>
          <w:sz w:val="22"/>
          <w:lang w:val="es-ES_tradnl"/>
        </w:rPr>
        <w:t xml:space="preserve"> </w:t>
      </w:r>
      <w:r w:rsidR="005B5491" w:rsidRPr="00340215">
        <w:rPr>
          <w:rFonts w:ascii="Arial" w:hAnsi="Arial" w:cs="Arial"/>
          <w:noProof/>
          <w:sz w:val="22"/>
          <w:lang w:val="es-ES_tradnl"/>
        </w:rPr>
        <w:t xml:space="preserve">son: </w:t>
      </w:r>
    </w:p>
    <w:p w14:paraId="67B323E2" w14:textId="77777777" w:rsidR="00D259A3" w:rsidRPr="00340215" w:rsidRDefault="00D259A3" w:rsidP="00A41722">
      <w:pPr>
        <w:spacing w:after="0"/>
        <w:ind w:firstLine="709"/>
        <w:rPr>
          <w:rFonts w:ascii="Arial" w:hAnsi="Arial" w:cs="Arial"/>
          <w:noProof/>
          <w:sz w:val="22"/>
          <w:lang w:val="es-ES_tradnl"/>
        </w:rPr>
      </w:pPr>
    </w:p>
    <w:p w14:paraId="2726124D" w14:textId="360BF67A" w:rsidR="00D259A3" w:rsidRPr="00340215" w:rsidRDefault="00D259A3" w:rsidP="00D259A3">
      <w:pPr>
        <w:spacing w:after="0" w:line="240" w:lineRule="auto"/>
        <w:ind w:left="709" w:right="709"/>
        <w:rPr>
          <w:rFonts w:ascii="Arial" w:hAnsi="Arial" w:cs="Arial"/>
          <w:noProof/>
          <w:sz w:val="21"/>
          <w:szCs w:val="21"/>
          <w:lang w:val="es-ES_tradnl"/>
        </w:rPr>
      </w:pPr>
      <w:r w:rsidRPr="00A41722">
        <w:rPr>
          <w:rFonts w:ascii="Arial" w:hAnsi="Arial" w:cs="Arial"/>
          <w:noProof/>
          <w:sz w:val="21"/>
          <w:szCs w:val="21"/>
          <w:lang w:val="es-ES_tradnl"/>
        </w:rPr>
        <w:t>Artículo 1.2.3.2.2. Entidades del Sistema Nacional de Ciencia, Tecnologia e Innovacion Â­ SNCTI para la Asignacion de Ciencia, Tecnologia e Innovacion. Las entidades publicas, privadas y territoriales que podran participar en las Convocatorias publicas, abiertas y competitivas para la Asignacion de Ciencia, Tecnologia e Innovacion, son:</w:t>
      </w:r>
    </w:p>
    <w:p w14:paraId="03FB76B9" w14:textId="77777777" w:rsidR="00D259A3" w:rsidRPr="00A41722" w:rsidRDefault="00D259A3" w:rsidP="00A41722">
      <w:pPr>
        <w:spacing w:after="0" w:line="240" w:lineRule="auto"/>
        <w:ind w:left="709" w:right="709"/>
        <w:rPr>
          <w:rFonts w:ascii="Arial" w:hAnsi="Arial" w:cs="Arial"/>
          <w:noProof/>
          <w:sz w:val="21"/>
          <w:szCs w:val="21"/>
          <w:lang w:val="es-ES_tradnl"/>
        </w:rPr>
      </w:pPr>
    </w:p>
    <w:p w14:paraId="170B175F" w14:textId="16E29816" w:rsidR="00D259A3" w:rsidRPr="00340215" w:rsidRDefault="005B5491" w:rsidP="00D259A3">
      <w:pPr>
        <w:spacing w:after="0" w:line="240" w:lineRule="auto"/>
        <w:ind w:left="709" w:right="709"/>
        <w:rPr>
          <w:rFonts w:ascii="Arial" w:hAnsi="Arial" w:cs="Arial"/>
          <w:noProof/>
          <w:sz w:val="21"/>
          <w:szCs w:val="21"/>
          <w:lang w:val="es-ES_tradnl"/>
        </w:rPr>
      </w:pPr>
      <w:r w:rsidRPr="00A41722">
        <w:rPr>
          <w:rFonts w:ascii="Arial" w:hAnsi="Arial" w:cs="Arial"/>
          <w:noProof/>
          <w:sz w:val="21"/>
          <w:szCs w:val="21"/>
          <w:lang w:val="es-ES_tradnl"/>
        </w:rPr>
        <w:lastRenderedPageBreak/>
        <w:t>a) Las que cuenten con reconocimiento vigente del Ministerio de Ciencia, Tecnología e Innovación, como actores del Sistema Nacional de Ciencia, Tecnología e Innovación - SNCTI</w:t>
      </w:r>
      <w:r w:rsidR="00D159F4" w:rsidRPr="00A41722">
        <w:rPr>
          <w:rFonts w:ascii="Arial" w:hAnsi="Arial" w:cs="Arial"/>
          <w:noProof/>
          <w:sz w:val="21"/>
          <w:szCs w:val="21"/>
          <w:lang w:val="es-ES_tradnl"/>
        </w:rPr>
        <w:t xml:space="preserve">  </w:t>
      </w:r>
      <w:r w:rsidRPr="00A41722">
        <w:rPr>
          <w:rFonts w:ascii="Arial" w:hAnsi="Arial" w:cs="Arial"/>
          <w:noProof/>
          <w:sz w:val="21"/>
          <w:szCs w:val="21"/>
          <w:lang w:val="es-ES_tradnl"/>
        </w:rPr>
        <w:t xml:space="preserve"> </w:t>
      </w:r>
    </w:p>
    <w:p w14:paraId="740622CE" w14:textId="77777777" w:rsidR="00D259A3" w:rsidRPr="00A41722" w:rsidRDefault="00D259A3" w:rsidP="00A41722">
      <w:pPr>
        <w:spacing w:after="0" w:line="240" w:lineRule="auto"/>
        <w:ind w:left="709" w:right="709"/>
        <w:rPr>
          <w:rFonts w:ascii="Arial" w:hAnsi="Arial" w:cs="Arial"/>
          <w:noProof/>
          <w:sz w:val="21"/>
          <w:szCs w:val="21"/>
          <w:lang w:val="es-ES_tradnl"/>
        </w:rPr>
      </w:pPr>
    </w:p>
    <w:p w14:paraId="3ACC12E6" w14:textId="754185DF" w:rsidR="005B5491" w:rsidRPr="00340215" w:rsidRDefault="005B5491" w:rsidP="00D259A3">
      <w:pPr>
        <w:spacing w:after="0" w:line="240" w:lineRule="auto"/>
        <w:ind w:left="709" w:right="709"/>
        <w:rPr>
          <w:rFonts w:ascii="Arial" w:hAnsi="Arial" w:cs="Arial"/>
          <w:noProof/>
          <w:sz w:val="21"/>
          <w:szCs w:val="21"/>
          <w:lang w:val="es-ES_tradnl"/>
        </w:rPr>
      </w:pPr>
      <w:r w:rsidRPr="00A41722">
        <w:rPr>
          <w:rFonts w:ascii="Arial" w:hAnsi="Arial" w:cs="Arial"/>
          <w:noProof/>
          <w:sz w:val="21"/>
          <w:szCs w:val="21"/>
          <w:lang w:val="es-ES_tradnl"/>
        </w:rPr>
        <w:t>b) Las que hayan realizado actividades de ciencia, tecnología e innovación y que, sin contar con un reconocimiento previo por parte del Ministerio de Ciencia, Tecnología e Innovación, cumplan con los criterios de idoneidad y trayectoria que se establezcan en los términos de referencia y en los criterios de evaluación de cada convocatoria. Estas entidades se tendrán como entidades del Sistema Nacional de Ciencia, Tecnología e Innovación- SNCTI solamente para su participación en la convocatoria a la que se presenten</w:t>
      </w:r>
    </w:p>
    <w:p w14:paraId="0829EF33" w14:textId="77777777" w:rsidR="00D259A3" w:rsidRPr="00340215" w:rsidRDefault="00D259A3" w:rsidP="00A41722">
      <w:pPr>
        <w:spacing w:after="0" w:line="240" w:lineRule="auto"/>
        <w:ind w:left="709" w:right="709"/>
        <w:rPr>
          <w:rFonts w:ascii="Arial" w:hAnsi="Arial" w:cs="Arial"/>
          <w:noProof/>
          <w:sz w:val="22"/>
          <w:lang w:val="es-ES_tradnl"/>
        </w:rPr>
      </w:pPr>
    </w:p>
    <w:p w14:paraId="1E6E1E3A" w14:textId="6DB9B16C" w:rsidR="00D159F4" w:rsidRPr="00340215" w:rsidRDefault="00CE5DD2" w:rsidP="00A41722">
      <w:pPr>
        <w:spacing w:after="120"/>
        <w:ind w:firstLine="709"/>
        <w:rPr>
          <w:rFonts w:ascii="Arial" w:hAnsi="Arial" w:cs="Arial"/>
          <w:noProof/>
          <w:sz w:val="22"/>
          <w:lang w:val="es-ES_tradnl"/>
        </w:rPr>
      </w:pPr>
      <w:r w:rsidRPr="00340215">
        <w:rPr>
          <w:rFonts w:ascii="Arial" w:hAnsi="Arial" w:cs="Arial"/>
          <w:noProof/>
          <w:sz w:val="22"/>
          <w:lang w:val="es-ES_tradnl"/>
        </w:rPr>
        <w:t xml:space="preserve">De igual manera, es pertinente </w:t>
      </w:r>
      <w:r w:rsidR="00992709" w:rsidRPr="00340215">
        <w:rPr>
          <w:rFonts w:ascii="Arial" w:hAnsi="Arial" w:cs="Arial"/>
          <w:noProof/>
          <w:sz w:val="22"/>
          <w:lang w:val="es-ES_tradnl"/>
        </w:rPr>
        <w:t>destacar que, de acuerdo con la definición mencionada, la selección se hace a través de un listado de proyectos elegibles, el cual es definido en el artículo 1.2.3.1.1.  del D</w:t>
      </w:r>
      <w:r w:rsidR="00756705" w:rsidRPr="00340215">
        <w:rPr>
          <w:rFonts w:ascii="Arial" w:hAnsi="Arial" w:cs="Arial"/>
          <w:noProof/>
          <w:sz w:val="22"/>
          <w:lang w:val="es-ES_tradnl"/>
        </w:rPr>
        <w:t xml:space="preserve">ecreto 1081 de 2020 como « </w:t>
      </w:r>
      <w:r w:rsidR="00D159F4" w:rsidRPr="00340215">
        <w:rPr>
          <w:rFonts w:ascii="Arial" w:hAnsi="Arial" w:cs="Arial"/>
          <w:noProof/>
          <w:sz w:val="22"/>
          <w:lang w:val="es-ES_tradnl"/>
        </w:rPr>
        <w:t>el documento publicado en la página web o la plataforma que se determine para estos efectos por el M</w:t>
      </w:r>
      <w:r w:rsidR="00992709" w:rsidRPr="00340215">
        <w:rPr>
          <w:rFonts w:ascii="Arial" w:hAnsi="Arial" w:cs="Arial"/>
          <w:noProof/>
          <w:sz w:val="22"/>
          <w:lang w:val="es-ES_tradnl"/>
        </w:rPr>
        <w:t>inisterio de Ciencia, Tecnología</w:t>
      </w:r>
      <w:r w:rsidR="00D159F4" w:rsidRPr="00340215">
        <w:rPr>
          <w:rFonts w:ascii="Arial" w:hAnsi="Arial" w:cs="Arial"/>
          <w:noProof/>
          <w:sz w:val="22"/>
          <w:lang w:val="es-ES_tradnl"/>
        </w:rPr>
        <w:t xml:space="preserve"> e Innovación en su función de Secretaría Técnica del OCAD de Ciencia, Tecnología e Innovación, según lo establecido en el cronograma de la convocatoria, que contiene la relación de los proyectos presentados en la convocatoria, ordenados de acuerdo al resultado de la evaluación por puntajes, de conformidad con los términos de referencia de la convocatoria</w:t>
      </w:r>
      <w:r w:rsidR="00992709" w:rsidRPr="00340215">
        <w:rPr>
          <w:rFonts w:ascii="Arial" w:hAnsi="Arial" w:cs="Arial"/>
          <w:noProof/>
          <w:sz w:val="22"/>
          <w:lang w:val="es-ES_tradnl"/>
        </w:rPr>
        <w:t>»</w:t>
      </w:r>
      <w:r w:rsidR="00EE21F9" w:rsidRPr="00340215">
        <w:rPr>
          <w:rFonts w:ascii="Arial" w:hAnsi="Arial" w:cs="Arial"/>
          <w:noProof/>
          <w:sz w:val="22"/>
          <w:lang w:val="es-ES_tradnl"/>
        </w:rPr>
        <w:t xml:space="preserve">. </w:t>
      </w:r>
    </w:p>
    <w:p w14:paraId="597B7912" w14:textId="50AAB55B" w:rsidR="00B54113" w:rsidRPr="00340215" w:rsidRDefault="001D4A16" w:rsidP="007E48BF">
      <w:pPr>
        <w:spacing w:before="120" w:after="0"/>
        <w:ind w:firstLine="709"/>
        <w:rPr>
          <w:rFonts w:ascii="Arial" w:hAnsi="Arial" w:cs="Arial"/>
          <w:noProof/>
          <w:sz w:val="22"/>
          <w:lang w:val="es-ES_tradnl"/>
        </w:rPr>
      </w:pPr>
      <w:r w:rsidRPr="00340215">
        <w:rPr>
          <w:rFonts w:ascii="Arial" w:hAnsi="Arial" w:cs="Arial"/>
          <w:noProof/>
          <w:sz w:val="22"/>
          <w:lang w:val="es-ES_tradnl"/>
        </w:rPr>
        <w:t>L</w:t>
      </w:r>
      <w:r w:rsidR="00756705" w:rsidRPr="00340215">
        <w:rPr>
          <w:rFonts w:ascii="Arial" w:hAnsi="Arial" w:cs="Arial"/>
          <w:noProof/>
          <w:sz w:val="22"/>
          <w:lang w:val="es-ES_tradnl"/>
        </w:rPr>
        <w:t xml:space="preserve">a Ley 2056 de 2020 </w:t>
      </w:r>
      <w:r w:rsidRPr="00340215">
        <w:rPr>
          <w:rFonts w:ascii="Arial" w:hAnsi="Arial" w:cs="Arial"/>
          <w:noProof/>
          <w:sz w:val="22"/>
          <w:lang w:val="es-ES_tradnl"/>
        </w:rPr>
        <w:t xml:space="preserve">y </w:t>
      </w:r>
      <w:r w:rsidR="001515A2" w:rsidRPr="00340215">
        <w:rPr>
          <w:rFonts w:ascii="Arial" w:hAnsi="Arial" w:cs="Arial"/>
          <w:noProof/>
          <w:sz w:val="22"/>
          <w:lang w:val="es-ES_tradnl"/>
        </w:rPr>
        <w:t>el Decreto 1821</w:t>
      </w:r>
      <w:r w:rsidR="00756705" w:rsidRPr="00340215">
        <w:rPr>
          <w:rFonts w:ascii="Arial" w:hAnsi="Arial" w:cs="Arial"/>
          <w:noProof/>
          <w:sz w:val="22"/>
          <w:lang w:val="es-ES_tradnl"/>
        </w:rPr>
        <w:t xml:space="preserve"> de 2020</w:t>
      </w:r>
      <w:r w:rsidR="001515A2" w:rsidRPr="00340215">
        <w:rPr>
          <w:rFonts w:ascii="Arial" w:hAnsi="Arial" w:cs="Arial"/>
          <w:noProof/>
          <w:sz w:val="22"/>
          <w:lang w:val="es-ES_tradnl"/>
        </w:rPr>
        <w:t xml:space="preserve"> regulan</w:t>
      </w:r>
      <w:r w:rsidR="001A1909" w:rsidRPr="00340215">
        <w:rPr>
          <w:rFonts w:ascii="Arial" w:hAnsi="Arial" w:cs="Arial"/>
          <w:noProof/>
          <w:sz w:val="22"/>
          <w:lang w:val="es-ES_tradnl"/>
        </w:rPr>
        <w:t xml:space="preserve"> entonces</w:t>
      </w:r>
      <w:r w:rsidR="001515A2" w:rsidRPr="00340215">
        <w:rPr>
          <w:rFonts w:ascii="Arial" w:hAnsi="Arial" w:cs="Arial"/>
          <w:noProof/>
          <w:sz w:val="22"/>
          <w:lang w:val="es-ES_tradnl"/>
        </w:rPr>
        <w:t xml:space="preserve"> de manera específica todo lo relacionado con los proyectos de inversión con cargo a recursos del S</w:t>
      </w:r>
      <w:r w:rsidR="00DD7778" w:rsidRPr="00340215">
        <w:rPr>
          <w:rFonts w:ascii="Arial" w:hAnsi="Arial" w:cs="Arial"/>
          <w:noProof/>
          <w:sz w:val="22"/>
          <w:lang w:val="es-ES_tradnl"/>
        </w:rPr>
        <w:t xml:space="preserve">istema </w:t>
      </w:r>
      <w:r w:rsidR="001515A2" w:rsidRPr="00340215">
        <w:rPr>
          <w:rFonts w:ascii="Arial" w:hAnsi="Arial" w:cs="Arial"/>
          <w:noProof/>
          <w:sz w:val="22"/>
          <w:lang w:val="es-ES_tradnl"/>
        </w:rPr>
        <w:t>G</w:t>
      </w:r>
      <w:r w:rsidR="00DD7778" w:rsidRPr="00340215">
        <w:rPr>
          <w:rFonts w:ascii="Arial" w:hAnsi="Arial" w:cs="Arial"/>
          <w:noProof/>
          <w:sz w:val="22"/>
          <w:lang w:val="es-ES_tradnl"/>
        </w:rPr>
        <w:t xml:space="preserve">eneral de </w:t>
      </w:r>
      <w:r w:rsidR="001515A2" w:rsidRPr="00340215">
        <w:rPr>
          <w:rFonts w:ascii="Arial" w:hAnsi="Arial" w:cs="Arial"/>
          <w:noProof/>
          <w:sz w:val="22"/>
          <w:lang w:val="es-ES_tradnl"/>
        </w:rPr>
        <w:t>R</w:t>
      </w:r>
      <w:r w:rsidR="00DD7778" w:rsidRPr="00340215">
        <w:rPr>
          <w:rFonts w:ascii="Arial" w:hAnsi="Arial" w:cs="Arial"/>
          <w:noProof/>
          <w:sz w:val="22"/>
          <w:lang w:val="es-ES_tradnl"/>
        </w:rPr>
        <w:t>egalías</w:t>
      </w:r>
      <w:r w:rsidR="00B54113" w:rsidRPr="00340215">
        <w:rPr>
          <w:rFonts w:ascii="Arial" w:hAnsi="Arial" w:cs="Arial"/>
          <w:noProof/>
          <w:sz w:val="22"/>
          <w:lang w:val="es-ES_tradnl"/>
        </w:rPr>
        <w:t>, entre los cuales se encuentra e</w:t>
      </w:r>
      <w:r w:rsidR="00B10643" w:rsidRPr="00340215">
        <w:rPr>
          <w:rFonts w:ascii="Arial" w:hAnsi="Arial" w:cs="Arial"/>
          <w:noProof/>
          <w:sz w:val="22"/>
          <w:lang w:val="es-ES_tradnl"/>
        </w:rPr>
        <w:t xml:space="preserve">l proceso </w:t>
      </w:r>
      <w:r w:rsidR="00590764" w:rsidRPr="00340215">
        <w:rPr>
          <w:rFonts w:ascii="Arial" w:hAnsi="Arial" w:cs="Arial"/>
          <w:noProof/>
          <w:sz w:val="22"/>
          <w:lang w:val="es-ES_tradnl"/>
        </w:rPr>
        <w:t xml:space="preserve">para </w:t>
      </w:r>
      <w:r w:rsidR="00B54113" w:rsidRPr="00340215">
        <w:rPr>
          <w:rFonts w:ascii="Arial" w:hAnsi="Arial" w:cs="Arial"/>
          <w:noProof/>
          <w:sz w:val="22"/>
          <w:lang w:val="es-ES_tradnl"/>
        </w:rPr>
        <w:t xml:space="preserve">la selección de </w:t>
      </w:r>
      <w:r w:rsidR="00D159F4" w:rsidRPr="00340215">
        <w:rPr>
          <w:rFonts w:ascii="Arial" w:hAnsi="Arial" w:cs="Arial"/>
          <w:noProof/>
          <w:sz w:val="22"/>
          <w:lang w:val="es-ES_tradnl"/>
        </w:rPr>
        <w:t>los proyectos de inversión en ciencia, tecnología e innovación que se financian con los recursos de la Asignación para la Ciencia, Tecnología e Innovación</w:t>
      </w:r>
      <w:r w:rsidR="00CE5DD2" w:rsidRPr="00340215">
        <w:rPr>
          <w:rFonts w:ascii="Arial" w:hAnsi="Arial" w:cs="Arial"/>
          <w:noProof/>
          <w:sz w:val="22"/>
          <w:lang w:val="es-ES_tradnl"/>
        </w:rPr>
        <w:t>, de manera que las convocatorias a las que se refiere el artículo 10 de la Ley 2056 de 2020 tienen una naturaleza particular, en el marco del Sistema General de Regalías,  que por definición son convocatorias públicas, pero dirigidas a determinados actores.</w:t>
      </w:r>
    </w:p>
    <w:p w14:paraId="46F1DB59" w14:textId="3F3F156A" w:rsidR="00E816D3" w:rsidRPr="00340215" w:rsidRDefault="00E816D3" w:rsidP="007E48BF">
      <w:pPr>
        <w:spacing w:before="120" w:after="0"/>
        <w:ind w:firstLine="709"/>
        <w:rPr>
          <w:rFonts w:ascii="Arial" w:hAnsi="Arial" w:cs="Arial"/>
          <w:noProof/>
          <w:sz w:val="22"/>
          <w:lang w:val="es-ES_tradnl"/>
        </w:rPr>
      </w:pPr>
      <w:r w:rsidRPr="00340215">
        <w:rPr>
          <w:rFonts w:ascii="Arial" w:hAnsi="Arial" w:cs="Arial"/>
          <w:noProof/>
          <w:sz w:val="22"/>
          <w:lang w:val="es-ES_tradnl"/>
        </w:rPr>
        <w:t xml:space="preserve">De acuerdo con lo expuesto, </w:t>
      </w:r>
      <w:r w:rsidR="004D5C84" w:rsidRPr="00340215">
        <w:rPr>
          <w:rFonts w:ascii="Arial" w:hAnsi="Arial" w:cs="Arial"/>
          <w:noProof/>
          <w:sz w:val="22"/>
          <w:lang w:val="es-ES_tradnl"/>
        </w:rPr>
        <w:t>el artículo 1.2.3.2.3. regula el contenido de los términos de referencia de cada convocatoria, estableciendo como uno de sus componentes la designación del «objeto y las entidades del Sistema Nacional de Ciencia, Tecnología e Innovación- SNCTI a las que se dirige la convocatoria»</w:t>
      </w:r>
      <w:r w:rsidR="004D5C84" w:rsidRPr="00340215">
        <w:rPr>
          <w:rStyle w:val="Refdenotaalpie"/>
          <w:rFonts w:ascii="Arial" w:hAnsi="Arial" w:cs="Arial"/>
          <w:noProof/>
          <w:sz w:val="22"/>
          <w:lang w:val="es-ES_tradnl"/>
        </w:rPr>
        <w:footnoteReference w:id="6"/>
      </w:r>
      <w:r w:rsidR="004D5C84" w:rsidRPr="00340215">
        <w:rPr>
          <w:rFonts w:ascii="Arial" w:hAnsi="Arial" w:cs="Arial"/>
          <w:noProof/>
          <w:sz w:val="22"/>
          <w:lang w:val="es-ES_tradnl"/>
        </w:rPr>
        <w:t xml:space="preserve">. </w:t>
      </w:r>
      <w:r w:rsidR="007E48BF" w:rsidRPr="00340215">
        <w:rPr>
          <w:rFonts w:ascii="Arial" w:hAnsi="Arial" w:cs="Arial"/>
          <w:noProof/>
          <w:sz w:val="22"/>
          <w:lang w:val="es-ES_tradnl"/>
        </w:rPr>
        <w:t xml:space="preserve">En consonancia con esto, el </w:t>
      </w:r>
      <w:r w:rsidR="007E48BF" w:rsidRPr="00340215">
        <w:rPr>
          <w:rFonts w:ascii="Arial" w:hAnsi="Arial" w:cs="Arial"/>
          <w:noProof/>
          <w:sz w:val="22"/>
          <w:lang w:val="es-ES_tradnl"/>
        </w:rPr>
        <w:lastRenderedPageBreak/>
        <w:t>artículo 1.2.3.2.4 señala que  el «Ministerio de Ciencia, Tecnología e Innovación, a través de la Secretaría Técnica del Órgano Colegiado de Administración y Decisión administrará y operará las convocatorias, realizará la invitación pública a las entidades a las que se dirige la convocatoria a través de la página web del Ministerio o en la plataforma que se disponga para estos efectos, para la presentación de proyectos a las convocatorias».</w:t>
      </w:r>
    </w:p>
    <w:p w14:paraId="585B9FBA" w14:textId="79DE1A38" w:rsidR="00DA5456" w:rsidRPr="00340215" w:rsidRDefault="007E48BF" w:rsidP="00AE31D4">
      <w:pPr>
        <w:spacing w:before="120" w:after="0"/>
        <w:ind w:firstLine="709"/>
        <w:rPr>
          <w:rFonts w:ascii="Arial" w:hAnsi="Arial" w:cs="Arial"/>
          <w:noProof/>
          <w:sz w:val="22"/>
          <w:lang w:val="es-ES_tradnl"/>
        </w:rPr>
      </w:pPr>
      <w:bookmarkStart w:id="9" w:name="ver_30252954"/>
      <w:bookmarkStart w:id="10" w:name="ver_30252955"/>
      <w:bookmarkStart w:id="11" w:name="ver_30252956"/>
      <w:bookmarkEnd w:id="9"/>
      <w:bookmarkEnd w:id="10"/>
      <w:bookmarkEnd w:id="11"/>
      <w:r w:rsidRPr="00340215">
        <w:rPr>
          <w:rFonts w:ascii="Arial" w:hAnsi="Arial" w:cs="Arial"/>
          <w:noProof/>
          <w:sz w:val="22"/>
          <w:lang w:val="es-ES_tradnl"/>
        </w:rPr>
        <w:lastRenderedPageBreak/>
        <w:t xml:space="preserve">Conforme </w:t>
      </w:r>
      <w:r w:rsidR="001A1909" w:rsidRPr="00340215">
        <w:rPr>
          <w:rFonts w:ascii="Arial" w:hAnsi="Arial" w:cs="Arial"/>
          <w:noProof/>
          <w:sz w:val="22"/>
          <w:lang w:val="es-ES_tradnl"/>
        </w:rPr>
        <w:t>esto</w:t>
      </w:r>
      <w:r w:rsidRPr="00340215">
        <w:rPr>
          <w:rFonts w:ascii="Arial" w:hAnsi="Arial" w:cs="Arial"/>
          <w:noProof/>
          <w:sz w:val="22"/>
          <w:lang w:val="es-ES_tradnl"/>
        </w:rPr>
        <w:t>, la Ley 2056 de 20</w:t>
      </w:r>
      <w:r w:rsidR="00DA5456" w:rsidRPr="00340215">
        <w:rPr>
          <w:rFonts w:ascii="Arial" w:hAnsi="Arial" w:cs="Arial"/>
          <w:noProof/>
          <w:sz w:val="22"/>
          <w:lang w:val="es-ES_tradnl"/>
        </w:rPr>
        <w:t>20, en desarrollo de los artículos 360 y 361 de la Constitución Política, establece el regimen legal del SGP</w:t>
      </w:r>
      <w:r w:rsidR="00BC0112" w:rsidRPr="00340215">
        <w:rPr>
          <w:rFonts w:ascii="Arial" w:hAnsi="Arial" w:cs="Arial"/>
          <w:noProof/>
          <w:sz w:val="22"/>
          <w:lang w:val="es-ES_tradnl"/>
        </w:rPr>
        <w:t>,</w:t>
      </w:r>
      <w:r w:rsidR="00DA5456" w:rsidRPr="00340215">
        <w:rPr>
          <w:rFonts w:ascii="Arial" w:hAnsi="Arial" w:cs="Arial"/>
          <w:noProof/>
          <w:sz w:val="22"/>
          <w:lang w:val="es-ES_tradnl"/>
        </w:rPr>
        <w:t xml:space="preserve"> el cual es reglamentado por el Decreto 1821 de 2020, regulando,</w:t>
      </w:r>
      <w:r w:rsidR="00BC0112" w:rsidRPr="00340215">
        <w:rPr>
          <w:rFonts w:ascii="Arial" w:hAnsi="Arial" w:cs="Arial"/>
          <w:noProof/>
          <w:sz w:val="22"/>
          <w:lang w:val="es-ES_tradnl"/>
        </w:rPr>
        <w:t xml:space="preserve"> entre otros aspectos, lo referido a la distribución</w:t>
      </w:r>
      <w:r w:rsidR="00DA5456" w:rsidRPr="00340215">
        <w:rPr>
          <w:rFonts w:ascii="Arial" w:hAnsi="Arial" w:cs="Arial"/>
          <w:noProof/>
          <w:sz w:val="22"/>
          <w:lang w:val="es-ES_tradnl"/>
        </w:rPr>
        <w:t xml:space="preserve"> y ejecución</w:t>
      </w:r>
      <w:r w:rsidR="00BC0112" w:rsidRPr="00340215">
        <w:rPr>
          <w:rFonts w:ascii="Arial" w:hAnsi="Arial" w:cs="Arial"/>
          <w:noProof/>
          <w:sz w:val="22"/>
          <w:lang w:val="es-ES_tradnl"/>
        </w:rPr>
        <w:t xml:space="preserve"> de l</w:t>
      </w:r>
      <w:r w:rsidR="00DA5456" w:rsidRPr="00340215">
        <w:rPr>
          <w:rFonts w:ascii="Arial" w:hAnsi="Arial" w:cs="Arial"/>
          <w:noProof/>
          <w:sz w:val="22"/>
          <w:lang w:val="es-ES_tradnl"/>
        </w:rPr>
        <w:t>as diferentes asignaciones e inversiones realizables con cargo a</w:t>
      </w:r>
      <w:r w:rsidR="006573C5" w:rsidRPr="00340215">
        <w:rPr>
          <w:rFonts w:ascii="Arial" w:hAnsi="Arial" w:cs="Arial"/>
          <w:noProof/>
          <w:sz w:val="22"/>
          <w:lang w:val="es-ES_tradnl"/>
        </w:rPr>
        <w:t xml:space="preserve"> las mismas</w:t>
      </w:r>
      <w:r w:rsidR="00DA5456" w:rsidRPr="00340215">
        <w:rPr>
          <w:rFonts w:ascii="Arial" w:hAnsi="Arial" w:cs="Arial"/>
          <w:noProof/>
          <w:sz w:val="22"/>
          <w:lang w:val="es-ES_tradnl"/>
        </w:rPr>
        <w:t>.</w:t>
      </w:r>
      <w:r w:rsidR="00BC0112" w:rsidRPr="00340215">
        <w:rPr>
          <w:rFonts w:ascii="Arial" w:hAnsi="Arial" w:cs="Arial"/>
          <w:noProof/>
          <w:sz w:val="22"/>
          <w:lang w:val="es-ES_tradnl"/>
        </w:rPr>
        <w:t xml:space="preserve"> </w:t>
      </w:r>
      <w:r w:rsidR="00DA5456" w:rsidRPr="00340215">
        <w:rPr>
          <w:rFonts w:ascii="Arial" w:hAnsi="Arial" w:cs="Arial"/>
          <w:noProof/>
          <w:sz w:val="22"/>
          <w:lang w:val="es-ES_tradnl"/>
        </w:rPr>
        <w:t xml:space="preserve">Dentro de esta normativa se regula la Asignación para la Ciencia, Tecnología e Innovación, </w:t>
      </w:r>
      <w:r w:rsidR="003648FB" w:rsidRPr="00340215">
        <w:rPr>
          <w:rFonts w:ascii="Arial" w:hAnsi="Arial" w:cs="Arial"/>
          <w:noProof/>
          <w:sz w:val="22"/>
          <w:lang w:val="es-ES_tradnl"/>
        </w:rPr>
        <w:t>asignandose competencias al Ministerio de Ciencia, Tecnología e Innovación, en desarrollo de las cuales dicha entidad tienen un papel preponderante en el adelantamiento de convocatorias dirigidas a</w:t>
      </w:r>
      <w:r w:rsidR="000A79F5" w:rsidRPr="00340215">
        <w:rPr>
          <w:rFonts w:ascii="Arial" w:hAnsi="Arial" w:cs="Arial"/>
          <w:noProof/>
          <w:sz w:val="22"/>
          <w:lang w:val="es-ES_tradnl"/>
        </w:rPr>
        <w:t xml:space="preserve"> </w:t>
      </w:r>
      <w:r w:rsidR="006B7A07" w:rsidRPr="00340215">
        <w:rPr>
          <w:rFonts w:ascii="Arial" w:hAnsi="Arial" w:cs="Arial"/>
          <w:noProof/>
          <w:sz w:val="22"/>
          <w:lang w:val="es-ES_tradnl"/>
        </w:rPr>
        <w:t xml:space="preserve">escoger los proyectos de inversión a los cuales se destinará </w:t>
      </w:r>
      <w:r w:rsidR="006573C5" w:rsidRPr="00340215">
        <w:rPr>
          <w:rFonts w:ascii="Arial" w:hAnsi="Arial" w:cs="Arial"/>
          <w:noProof/>
          <w:sz w:val="22"/>
          <w:lang w:val="es-ES_tradnl"/>
        </w:rPr>
        <w:t xml:space="preserve">los recursos que integran la referida asignación. </w:t>
      </w:r>
    </w:p>
    <w:p w14:paraId="3E6D8EC1" w14:textId="2F6B50AA" w:rsidR="00CE70D7" w:rsidRPr="00340215" w:rsidRDefault="006573C5" w:rsidP="00D44D80">
      <w:pPr>
        <w:spacing w:before="120" w:after="0"/>
        <w:ind w:firstLine="709"/>
        <w:rPr>
          <w:rFonts w:ascii="Arial" w:hAnsi="Arial" w:cs="Arial"/>
          <w:noProof/>
          <w:sz w:val="22"/>
          <w:lang w:val="es-ES_tradnl"/>
        </w:rPr>
      </w:pPr>
      <w:r w:rsidRPr="00340215">
        <w:rPr>
          <w:rFonts w:ascii="Arial" w:hAnsi="Arial" w:cs="Arial"/>
          <w:noProof/>
          <w:sz w:val="22"/>
          <w:lang w:val="es-ES_tradnl"/>
        </w:rPr>
        <w:t>Como se desprende de las normas analizadas,</w:t>
      </w:r>
      <w:r w:rsidR="00CE70D7" w:rsidRPr="00340215">
        <w:rPr>
          <w:rFonts w:ascii="Arial" w:hAnsi="Arial" w:cs="Arial"/>
          <w:noProof/>
          <w:sz w:val="22"/>
          <w:lang w:val="es-ES_tradnl"/>
        </w:rPr>
        <w:t xml:space="preserve"> el procedimiento que aplica a </w:t>
      </w:r>
      <w:r w:rsidR="0080034A" w:rsidRPr="00340215">
        <w:rPr>
          <w:rFonts w:ascii="Arial" w:hAnsi="Arial" w:cs="Arial"/>
          <w:noProof/>
          <w:sz w:val="22"/>
          <w:lang w:val="es-ES_tradnl"/>
        </w:rPr>
        <w:t xml:space="preserve">este mecanismo para escoger un proyecto de inversión en el marco del SGP, es </w:t>
      </w:r>
      <w:r w:rsidR="008D3575" w:rsidRPr="00340215">
        <w:rPr>
          <w:rFonts w:ascii="Arial" w:hAnsi="Arial" w:cs="Arial"/>
          <w:noProof/>
          <w:sz w:val="22"/>
          <w:lang w:val="es-ES_tradnl"/>
        </w:rPr>
        <w:t>distinto de las modalidades establecidas en el artículo 2 de la Ley 1150 de 2007,</w:t>
      </w:r>
      <w:r w:rsidR="003C4BFB" w:rsidRPr="00340215">
        <w:rPr>
          <w:rFonts w:ascii="Arial" w:hAnsi="Arial" w:cs="Arial"/>
          <w:noProof/>
          <w:sz w:val="22"/>
          <w:lang w:val="es-ES_tradnl"/>
        </w:rPr>
        <w:t xml:space="preserve"> </w:t>
      </w:r>
      <w:r w:rsidR="00687721" w:rsidRPr="00340215">
        <w:rPr>
          <w:rFonts w:ascii="Arial" w:hAnsi="Arial" w:cs="Arial"/>
          <w:noProof/>
          <w:sz w:val="22"/>
          <w:lang w:val="es-ES_tradnl"/>
        </w:rPr>
        <w:t xml:space="preserve">lo cual tiene que ver con </w:t>
      </w:r>
      <w:r w:rsidR="00605252" w:rsidRPr="00340215">
        <w:rPr>
          <w:rFonts w:ascii="Arial" w:hAnsi="Arial" w:cs="Arial"/>
          <w:noProof/>
          <w:sz w:val="22"/>
          <w:lang w:val="es-ES_tradnl"/>
        </w:rPr>
        <w:t xml:space="preserve">con que, la selección de </w:t>
      </w:r>
      <w:r w:rsidR="00DD71A9" w:rsidRPr="00340215">
        <w:rPr>
          <w:rFonts w:ascii="Arial" w:hAnsi="Arial" w:cs="Arial"/>
          <w:noProof/>
          <w:sz w:val="22"/>
          <w:lang w:val="es-ES_tradnl"/>
        </w:rPr>
        <w:t>estos proyectos de inversión obedece a un</w:t>
      </w:r>
      <w:r w:rsidR="001A6313" w:rsidRPr="00340215">
        <w:rPr>
          <w:rFonts w:ascii="Arial" w:hAnsi="Arial" w:cs="Arial"/>
          <w:noProof/>
          <w:sz w:val="22"/>
          <w:lang w:val="es-ES_tradnl"/>
        </w:rPr>
        <w:t xml:space="preserve">as </w:t>
      </w:r>
      <w:r w:rsidR="004A33A3" w:rsidRPr="00340215">
        <w:rPr>
          <w:rFonts w:ascii="Arial" w:hAnsi="Arial" w:cs="Arial"/>
          <w:noProof/>
          <w:sz w:val="22"/>
          <w:lang w:val="es-ES_tradnl"/>
        </w:rPr>
        <w:t xml:space="preserve">finalidades particulares asociadas a la distribución de recursos </w:t>
      </w:r>
      <w:r w:rsidR="00D80C89" w:rsidRPr="00340215">
        <w:rPr>
          <w:rFonts w:ascii="Arial" w:hAnsi="Arial" w:cs="Arial"/>
          <w:noProof/>
          <w:sz w:val="22"/>
          <w:lang w:val="es-ES_tradnl"/>
        </w:rPr>
        <w:t xml:space="preserve">de SGP,  </w:t>
      </w:r>
      <w:r w:rsidR="00260720" w:rsidRPr="00340215">
        <w:rPr>
          <w:rFonts w:ascii="Arial" w:hAnsi="Arial" w:cs="Arial"/>
          <w:noProof/>
          <w:sz w:val="22"/>
          <w:lang w:val="es-ES_tradnl"/>
        </w:rPr>
        <w:t xml:space="preserve">según lo exigido por los </w:t>
      </w:r>
      <w:r w:rsidR="00D80C89" w:rsidRPr="00340215">
        <w:rPr>
          <w:rFonts w:ascii="Arial" w:hAnsi="Arial" w:cs="Arial"/>
          <w:noProof/>
          <w:sz w:val="22"/>
          <w:lang w:val="es-ES_tradnl"/>
        </w:rPr>
        <w:t xml:space="preserve">artículos 360 y 361. </w:t>
      </w:r>
      <w:r w:rsidR="006C18CA" w:rsidRPr="00340215">
        <w:rPr>
          <w:rFonts w:ascii="Arial" w:hAnsi="Arial" w:cs="Arial"/>
          <w:noProof/>
          <w:sz w:val="22"/>
          <w:lang w:val="es-ES_tradnl"/>
        </w:rPr>
        <w:t xml:space="preserve">Esto sin perjuicio de que, </w:t>
      </w:r>
      <w:r w:rsidR="00D44D80" w:rsidRPr="00340215">
        <w:rPr>
          <w:rFonts w:ascii="Arial" w:hAnsi="Arial" w:cs="Arial"/>
          <w:noProof/>
          <w:sz w:val="22"/>
          <w:lang w:val="es-ES_tradnl"/>
        </w:rPr>
        <w:t xml:space="preserve">de cara a la </w:t>
      </w:r>
      <w:r w:rsidR="00723FB3" w:rsidRPr="00340215">
        <w:rPr>
          <w:rFonts w:ascii="Arial" w:hAnsi="Arial" w:cs="Arial"/>
          <w:noProof/>
          <w:sz w:val="22"/>
          <w:lang w:val="es-ES_tradnl"/>
        </w:rPr>
        <w:t xml:space="preserve">ejecución de los proyectos </w:t>
      </w:r>
      <w:r w:rsidR="00D44D80" w:rsidRPr="00340215">
        <w:rPr>
          <w:rFonts w:ascii="Arial" w:hAnsi="Arial" w:cs="Arial"/>
          <w:noProof/>
          <w:sz w:val="22"/>
          <w:lang w:val="es-ES_tradnl"/>
        </w:rPr>
        <w:t xml:space="preserve">sea necesario suscribir contratos estatatles, en los que deba aplicarse </w:t>
      </w:r>
      <w:r w:rsidR="00F8133A" w:rsidRPr="00340215">
        <w:rPr>
          <w:rFonts w:ascii="Arial" w:hAnsi="Arial" w:cs="Arial"/>
          <w:noProof/>
          <w:sz w:val="22"/>
          <w:lang w:val="es-ES_tradnl"/>
        </w:rPr>
        <w:t>la normas de contratación pública</w:t>
      </w:r>
      <w:r w:rsidR="00F8133A" w:rsidRPr="00340215">
        <w:rPr>
          <w:rStyle w:val="Refdenotaalpie"/>
          <w:rFonts w:ascii="Arial" w:hAnsi="Arial" w:cs="Arial"/>
          <w:noProof/>
          <w:sz w:val="22"/>
          <w:lang w:val="es-ES_tradnl"/>
        </w:rPr>
        <w:footnoteReference w:id="7"/>
      </w:r>
      <w:r w:rsidR="00F8133A" w:rsidRPr="00340215">
        <w:rPr>
          <w:rFonts w:ascii="Arial" w:hAnsi="Arial" w:cs="Arial"/>
          <w:noProof/>
          <w:sz w:val="22"/>
          <w:lang w:val="es-ES_tradnl"/>
        </w:rPr>
        <w:t xml:space="preserve">. </w:t>
      </w:r>
    </w:p>
    <w:p w14:paraId="2F935C4B" w14:textId="61C1C96D" w:rsidR="00DA5456" w:rsidRPr="00340215" w:rsidRDefault="00260720" w:rsidP="00A41722">
      <w:pPr>
        <w:spacing w:before="120" w:after="0"/>
        <w:ind w:firstLine="708"/>
        <w:rPr>
          <w:rFonts w:ascii="Arial" w:hAnsi="Arial" w:cs="Arial"/>
          <w:noProof/>
          <w:sz w:val="22"/>
          <w:lang w:val="es-ES_tradnl"/>
        </w:rPr>
      </w:pPr>
      <w:r w:rsidRPr="00340215">
        <w:rPr>
          <w:rFonts w:ascii="Arial" w:hAnsi="Arial" w:cs="Arial"/>
          <w:noProof/>
          <w:sz w:val="22"/>
          <w:lang w:val="es-ES_tradnl"/>
        </w:rPr>
        <w:t xml:space="preserve">De otra parte, </w:t>
      </w:r>
      <w:r w:rsidR="00895471" w:rsidRPr="00340215">
        <w:rPr>
          <w:rFonts w:ascii="Arial" w:hAnsi="Arial" w:cs="Arial"/>
          <w:noProof/>
          <w:sz w:val="22"/>
          <w:lang w:val="es-ES_tradnl"/>
        </w:rPr>
        <w:t>resulta claro que, en lo rela</w:t>
      </w:r>
      <w:r w:rsidR="00AD53DD" w:rsidRPr="00340215">
        <w:rPr>
          <w:rFonts w:ascii="Arial" w:hAnsi="Arial" w:cs="Arial"/>
          <w:noProof/>
          <w:sz w:val="22"/>
          <w:lang w:val="es-ES_tradnl"/>
        </w:rPr>
        <w:t xml:space="preserve">tivo a la selección de proyectos de inversión </w:t>
      </w:r>
      <w:r w:rsidR="009508EC" w:rsidRPr="00340215">
        <w:rPr>
          <w:rFonts w:ascii="Arial" w:hAnsi="Arial" w:cs="Arial"/>
          <w:noProof/>
          <w:sz w:val="22"/>
          <w:lang w:val="es-ES_tradnl"/>
        </w:rPr>
        <w:t xml:space="preserve">para la ejecución de recursos de la </w:t>
      </w:r>
      <w:r w:rsidR="00AD53DD" w:rsidRPr="00340215">
        <w:rPr>
          <w:rFonts w:ascii="Arial" w:hAnsi="Arial" w:cs="Arial"/>
          <w:noProof/>
          <w:sz w:val="22"/>
          <w:lang w:val="es-ES_tradnl"/>
        </w:rPr>
        <w:t>Asignación para la Ciencia, Tecnología e Innovación,</w:t>
      </w:r>
      <w:r w:rsidR="00895471" w:rsidRPr="00340215">
        <w:rPr>
          <w:rFonts w:ascii="Arial" w:hAnsi="Arial" w:cs="Arial"/>
          <w:noProof/>
          <w:sz w:val="22"/>
          <w:lang w:val="es-ES_tradnl"/>
        </w:rPr>
        <w:t xml:space="preserve"> </w:t>
      </w:r>
      <w:r w:rsidR="006573C5" w:rsidRPr="00340215">
        <w:rPr>
          <w:rFonts w:ascii="Arial" w:hAnsi="Arial" w:cs="Arial"/>
          <w:noProof/>
          <w:sz w:val="22"/>
          <w:lang w:val="es-ES_tradnl"/>
        </w:rPr>
        <w:t xml:space="preserve">tanto la Ley </w:t>
      </w:r>
      <w:r w:rsidR="00346A5D" w:rsidRPr="00340215">
        <w:rPr>
          <w:rFonts w:ascii="Arial" w:hAnsi="Arial" w:cs="Arial"/>
          <w:noProof/>
          <w:sz w:val="22"/>
          <w:lang w:val="es-ES_tradnl"/>
        </w:rPr>
        <w:t xml:space="preserve">2056 de 2020 </w:t>
      </w:r>
      <w:r w:rsidR="006E2ED1" w:rsidRPr="00340215">
        <w:rPr>
          <w:rFonts w:ascii="Arial" w:hAnsi="Arial" w:cs="Arial"/>
          <w:noProof/>
          <w:sz w:val="22"/>
          <w:lang w:val="es-ES_tradnl"/>
        </w:rPr>
        <w:t xml:space="preserve">como el Decreto 1821 de 2020 </w:t>
      </w:r>
      <w:r w:rsidR="00346A5D" w:rsidRPr="00340215">
        <w:rPr>
          <w:rFonts w:ascii="Arial" w:hAnsi="Arial" w:cs="Arial"/>
          <w:noProof/>
          <w:sz w:val="22"/>
          <w:lang w:val="es-ES_tradnl"/>
        </w:rPr>
        <w:t>hacen especial énfasis en que</w:t>
      </w:r>
      <w:r w:rsidR="006E2ED1" w:rsidRPr="00340215">
        <w:rPr>
          <w:rFonts w:ascii="Arial" w:hAnsi="Arial" w:cs="Arial"/>
          <w:noProof/>
          <w:sz w:val="22"/>
          <w:lang w:val="es-ES_tradnl"/>
        </w:rPr>
        <w:t xml:space="preserve"> las convocatorias a través de las cuales se realiza la escogencia, </w:t>
      </w:r>
      <w:r w:rsidR="00CE70D7" w:rsidRPr="00340215">
        <w:rPr>
          <w:rFonts w:ascii="Arial" w:hAnsi="Arial" w:cs="Arial"/>
          <w:noProof/>
          <w:sz w:val="22"/>
          <w:lang w:val="es-ES_tradnl"/>
        </w:rPr>
        <w:t xml:space="preserve">deben ser públicas, abiertas y competitivas. </w:t>
      </w:r>
      <w:r w:rsidR="002F4EA2" w:rsidRPr="00340215">
        <w:rPr>
          <w:rFonts w:ascii="Arial" w:hAnsi="Arial" w:cs="Arial"/>
          <w:noProof/>
          <w:sz w:val="22"/>
          <w:lang w:val="es-ES_tradnl"/>
        </w:rPr>
        <w:t xml:space="preserve">En ese sentido, </w:t>
      </w:r>
      <w:r w:rsidR="008B2094" w:rsidRPr="00340215">
        <w:rPr>
          <w:rFonts w:ascii="Arial" w:hAnsi="Arial" w:cs="Arial"/>
          <w:noProof/>
          <w:sz w:val="22"/>
          <w:lang w:val="es-ES_tradnl"/>
        </w:rPr>
        <w:t xml:space="preserve">el hecho que estas convocatorias se hagan el marco de </w:t>
      </w:r>
      <w:r w:rsidR="002F4EA2" w:rsidRPr="00340215">
        <w:rPr>
          <w:rFonts w:ascii="Arial" w:hAnsi="Arial" w:cs="Arial"/>
          <w:noProof/>
          <w:sz w:val="22"/>
          <w:lang w:val="es-ES_tradnl"/>
        </w:rPr>
        <w:t xml:space="preserve">este </w:t>
      </w:r>
      <w:r w:rsidR="00483DD5" w:rsidRPr="00340215">
        <w:rPr>
          <w:rFonts w:ascii="Arial" w:hAnsi="Arial" w:cs="Arial"/>
          <w:noProof/>
          <w:sz w:val="22"/>
          <w:lang w:val="es-ES_tradnl"/>
        </w:rPr>
        <w:t>régimen particular</w:t>
      </w:r>
      <w:r w:rsidR="008B2094" w:rsidRPr="00340215">
        <w:rPr>
          <w:rFonts w:ascii="Arial" w:hAnsi="Arial" w:cs="Arial"/>
          <w:noProof/>
          <w:sz w:val="22"/>
          <w:lang w:val="es-ES_tradnl"/>
        </w:rPr>
        <w:t xml:space="preserve"> no supone</w:t>
      </w:r>
      <w:r w:rsidR="000E7073" w:rsidRPr="00340215">
        <w:rPr>
          <w:rFonts w:ascii="Arial" w:hAnsi="Arial" w:cs="Arial"/>
          <w:noProof/>
          <w:sz w:val="22"/>
          <w:lang w:val="es-ES_tradnl"/>
        </w:rPr>
        <w:t xml:space="preserve"> que esten excluidas de pluralidad de participantes, comoquier</w:t>
      </w:r>
      <w:r w:rsidR="007311B7" w:rsidRPr="00340215">
        <w:rPr>
          <w:rFonts w:ascii="Arial" w:hAnsi="Arial" w:cs="Arial"/>
          <w:noProof/>
          <w:sz w:val="22"/>
          <w:lang w:val="es-ES_tradnl"/>
        </w:rPr>
        <w:t>a que</w:t>
      </w:r>
      <w:r w:rsidR="00FF0FA2" w:rsidRPr="00340215">
        <w:rPr>
          <w:rFonts w:ascii="Arial" w:hAnsi="Arial" w:cs="Arial"/>
          <w:noProof/>
          <w:sz w:val="22"/>
          <w:lang w:val="es-ES_tradnl"/>
        </w:rPr>
        <w:t xml:space="preserve"> </w:t>
      </w:r>
      <w:r w:rsidRPr="00340215">
        <w:rPr>
          <w:rFonts w:ascii="Arial" w:hAnsi="Arial" w:cs="Arial"/>
          <w:noProof/>
          <w:sz w:val="22"/>
          <w:lang w:val="es-ES_tradnl"/>
        </w:rPr>
        <w:t>la normativa que las regula exige que se realicen</w:t>
      </w:r>
      <w:r w:rsidR="00FF0FA2" w:rsidRPr="00340215">
        <w:rPr>
          <w:rFonts w:ascii="Arial" w:hAnsi="Arial" w:cs="Arial"/>
          <w:noProof/>
          <w:sz w:val="22"/>
          <w:lang w:val="es-ES_tradnl"/>
        </w:rPr>
        <w:t xml:space="preserve"> de manera pública y abierta. </w:t>
      </w:r>
    </w:p>
    <w:p w14:paraId="3FEBDB69" w14:textId="77777777" w:rsidR="00AE31D4" w:rsidRPr="00340215" w:rsidRDefault="00AE31D4" w:rsidP="00A41722">
      <w:pPr>
        <w:spacing w:after="0"/>
        <w:ind w:firstLine="709"/>
        <w:rPr>
          <w:rFonts w:ascii="Arial" w:hAnsi="Arial" w:cs="Arial"/>
          <w:noProof/>
          <w:sz w:val="22"/>
          <w:lang w:val="es-ES_tradnl"/>
        </w:rPr>
      </w:pPr>
    </w:p>
    <w:p w14:paraId="502B93A3" w14:textId="320133C3" w:rsidR="00DD7778" w:rsidRPr="00340215" w:rsidRDefault="00DD7778" w:rsidP="00DD7778">
      <w:pPr>
        <w:spacing w:after="0" w:line="240" w:lineRule="auto"/>
        <w:rPr>
          <w:rFonts w:ascii="Arial" w:eastAsia="Arial" w:hAnsi="Arial" w:cs="Arial"/>
          <w:b/>
          <w:sz w:val="21"/>
          <w:szCs w:val="21"/>
        </w:rPr>
      </w:pPr>
      <w:r w:rsidRPr="00340215">
        <w:rPr>
          <w:rFonts w:ascii="Arial" w:hAnsi="Arial" w:cs="Arial"/>
          <w:b/>
          <w:sz w:val="21"/>
          <w:szCs w:val="21"/>
        </w:rPr>
        <w:lastRenderedPageBreak/>
        <w:t xml:space="preserve">2.2. </w:t>
      </w:r>
      <w:r w:rsidRPr="00340215">
        <w:rPr>
          <w:rFonts w:ascii="Arial" w:eastAsia="Arial" w:hAnsi="Arial" w:cs="Arial"/>
          <w:b/>
          <w:sz w:val="21"/>
          <w:szCs w:val="21"/>
        </w:rPr>
        <w:t xml:space="preserve">Restricción de la contratación directa en las elecciones presidenciales </w:t>
      </w:r>
    </w:p>
    <w:p w14:paraId="2650664B" w14:textId="77777777" w:rsidR="00AE31D4" w:rsidRPr="00340215" w:rsidRDefault="00AE31D4" w:rsidP="00AE31D4">
      <w:pPr>
        <w:spacing w:after="0"/>
        <w:rPr>
          <w:rFonts w:ascii="Arial" w:eastAsia="Arial" w:hAnsi="Arial" w:cs="Arial"/>
          <w:b/>
          <w:sz w:val="21"/>
          <w:szCs w:val="21"/>
        </w:rPr>
      </w:pPr>
    </w:p>
    <w:p w14:paraId="470A8DA3" w14:textId="5A0253A9" w:rsidR="00DD7778" w:rsidRPr="00340215" w:rsidRDefault="007C4555" w:rsidP="00A41722">
      <w:pPr>
        <w:spacing w:after="0"/>
        <w:rPr>
          <w:rFonts w:ascii="Arial" w:hAnsi="Arial" w:cs="Arial"/>
          <w:noProof/>
          <w:sz w:val="22"/>
          <w:lang w:val="es-ES_tradnl"/>
        </w:rPr>
      </w:pPr>
      <w:r w:rsidRPr="00340215">
        <w:rPr>
          <w:rFonts w:ascii="Arial" w:hAnsi="Arial" w:cs="Arial"/>
          <w:noProof/>
          <w:sz w:val="22"/>
          <w:lang w:val="es-ES_tradnl"/>
        </w:rPr>
        <w:t>La Ley 996</w:t>
      </w:r>
      <w:r w:rsidR="005239CE" w:rsidRPr="00340215">
        <w:rPr>
          <w:rFonts w:ascii="Arial" w:hAnsi="Arial" w:cs="Arial"/>
          <w:noProof/>
          <w:sz w:val="22"/>
          <w:lang w:val="es-ES_tradnl"/>
        </w:rPr>
        <w:t xml:space="preserve"> de 2005, denominada</w:t>
      </w:r>
      <w:r w:rsidRPr="00340215">
        <w:rPr>
          <w:rFonts w:ascii="Arial" w:hAnsi="Arial" w:cs="Arial"/>
          <w:noProof/>
          <w:sz w:val="22"/>
          <w:lang w:val="es-ES_tradnl"/>
        </w:rPr>
        <w:t xml:space="preserve"> </w:t>
      </w:r>
      <w:r w:rsidR="00DD7778" w:rsidRPr="00340215">
        <w:rPr>
          <w:rFonts w:ascii="Arial" w:hAnsi="Arial" w:cs="Arial"/>
          <w:noProof/>
          <w:sz w:val="22"/>
          <w:lang w:val="es-ES_tradnl"/>
        </w:rPr>
        <w:t>Ley de Garantías Electorales</w:t>
      </w:r>
      <w:r w:rsidR="005239CE" w:rsidRPr="00340215">
        <w:rPr>
          <w:rFonts w:ascii="Arial" w:hAnsi="Arial" w:cs="Arial"/>
          <w:noProof/>
          <w:sz w:val="22"/>
          <w:lang w:val="es-ES_tradnl"/>
        </w:rPr>
        <w:t>,</w:t>
      </w:r>
      <w:r w:rsidR="00DD7778" w:rsidRPr="00340215">
        <w:rPr>
          <w:rFonts w:ascii="Arial" w:hAnsi="Arial" w:cs="Arial"/>
          <w:noProof/>
          <w:sz w:val="22"/>
          <w:lang w:val="es-ES_tradnl"/>
        </w:rPr>
        <w:t xml:space="preserve">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w:t>
      </w:r>
    </w:p>
    <w:p w14:paraId="2DB8A8EA" w14:textId="19829673" w:rsidR="007C4555" w:rsidRPr="00340215" w:rsidRDefault="007C4555" w:rsidP="005551CB">
      <w:pPr>
        <w:spacing w:before="120" w:after="0"/>
        <w:ind w:firstLine="709"/>
        <w:rPr>
          <w:rFonts w:ascii="Arial" w:hAnsi="Arial" w:cs="Arial"/>
          <w:noProof/>
          <w:sz w:val="22"/>
          <w:lang w:val="es-ES_tradnl"/>
        </w:rPr>
      </w:pPr>
      <w:r w:rsidRPr="00340215">
        <w:rPr>
          <w:rFonts w:ascii="Arial" w:hAnsi="Arial" w:cs="Arial"/>
          <w:noProof/>
          <w:sz w:val="22"/>
          <w:lang w:val="es-ES_tradnl"/>
        </w:rPr>
        <w:t>De conformidad con lo anterior, la Ley de Garantías Electorales fijó una serie de regulaciones y prohibiciones dirigidas a los servidores públicos, una de ellas, la relacionada con la restricción del artículo 33 que aplica para las elecciones presidenciales.</w:t>
      </w:r>
      <w:r w:rsidR="005551CB" w:rsidRPr="00340215">
        <w:rPr>
          <w:rStyle w:val="Refdenotaalpie"/>
          <w:rFonts w:ascii="Arial" w:hAnsi="Arial" w:cs="Arial"/>
          <w:noProof/>
          <w:sz w:val="22"/>
          <w:lang w:val="es-ES_tradnl"/>
        </w:rPr>
        <w:footnoteReference w:id="8"/>
      </w:r>
      <w:r w:rsidRPr="00340215">
        <w:rPr>
          <w:rFonts w:ascii="Arial" w:hAnsi="Arial" w:cs="Arial"/>
          <w:noProof/>
          <w:sz w:val="22"/>
          <w:lang w:val="es-ES_tradnl"/>
        </w:rPr>
        <w:t xml:space="preserve">  </w:t>
      </w:r>
      <w:r w:rsidR="00FF0FA2" w:rsidRPr="00340215">
        <w:rPr>
          <w:rFonts w:ascii="Arial" w:hAnsi="Arial" w:cs="Arial"/>
          <w:noProof/>
          <w:sz w:val="22"/>
          <w:lang w:val="es-ES_tradnl"/>
        </w:rPr>
        <w:t xml:space="preserve">Esta </w:t>
      </w:r>
      <w:r w:rsidRPr="00340215">
        <w:rPr>
          <w:rFonts w:ascii="Arial" w:hAnsi="Arial" w:cs="Arial"/>
          <w:noProof/>
          <w:sz w:val="22"/>
          <w:lang w:val="es-ES_tradnl"/>
        </w:rPr>
        <w:t>artículo  prohíbe la modalidad de  contratación directa por parte de todos los entes del Estado durante los cuatro (4) meses anteriores a las elecciones presidenciales, salvo las excepciones allí contempladas.</w:t>
      </w:r>
      <w:r w:rsidR="00925EF9" w:rsidRPr="00340215">
        <w:rPr>
          <w:rStyle w:val="Refdenotaalpie"/>
          <w:rFonts w:ascii="Arial" w:hAnsi="Arial" w:cs="Arial"/>
          <w:noProof/>
          <w:sz w:val="22"/>
          <w:lang w:val="es-ES_tradnl"/>
        </w:rPr>
        <w:footnoteReference w:id="9"/>
      </w:r>
      <w:r w:rsidRPr="00340215">
        <w:rPr>
          <w:rFonts w:ascii="Arial" w:hAnsi="Arial" w:cs="Arial"/>
          <w:noProof/>
          <w:sz w:val="22"/>
          <w:lang w:val="es-ES_tradnl"/>
        </w:rPr>
        <w:t xml:space="preserve">  Esto implica que durante este lapso, ningún ente del Estado pueda realizar la selección de contratistas mediante la modalidad de contratación directa regulada en el numeral 4 del artículo 2 de la Ley 1150 de 2007 que contempla actualmente catorce causales</w:t>
      </w:r>
      <w:r w:rsidR="00925EF9" w:rsidRPr="00340215">
        <w:rPr>
          <w:rStyle w:val="Refdenotaalpie"/>
          <w:rFonts w:ascii="Arial" w:hAnsi="Arial" w:cs="Arial"/>
          <w:noProof/>
          <w:sz w:val="22"/>
          <w:lang w:val="es-ES_tradnl"/>
        </w:rPr>
        <w:footnoteReference w:id="10"/>
      </w:r>
      <w:r w:rsidRPr="00340215">
        <w:rPr>
          <w:rFonts w:ascii="Arial" w:hAnsi="Arial" w:cs="Arial"/>
          <w:noProof/>
          <w:sz w:val="22"/>
          <w:lang w:val="es-ES_tradnl"/>
        </w:rPr>
        <w:t xml:space="preserve"> o, en el caso de los entes estatales exceptuados del </w:t>
      </w:r>
      <w:r w:rsidRPr="00340215">
        <w:rPr>
          <w:rFonts w:ascii="Arial" w:hAnsi="Arial" w:cs="Arial"/>
          <w:noProof/>
          <w:sz w:val="22"/>
          <w:lang w:val="es-ES_tradnl"/>
        </w:rPr>
        <w:lastRenderedPageBreak/>
        <w:t>Estatuto General de Contratación de la Administración Pública, no podrán adelantar la contratación directa estipulada en</w:t>
      </w:r>
      <w:r w:rsidR="00E83DA6" w:rsidRPr="00340215">
        <w:rPr>
          <w:rFonts w:ascii="Arial" w:hAnsi="Arial" w:cs="Arial"/>
          <w:noProof/>
          <w:sz w:val="22"/>
          <w:lang w:val="es-ES_tradnl"/>
        </w:rPr>
        <w:t xml:space="preserve"> los reglamentos, </w:t>
      </w:r>
      <w:r w:rsidRPr="00340215">
        <w:rPr>
          <w:rFonts w:ascii="Arial" w:hAnsi="Arial" w:cs="Arial"/>
          <w:noProof/>
          <w:sz w:val="22"/>
          <w:lang w:val="es-ES_tradnl"/>
        </w:rPr>
        <w:t xml:space="preserve">manuales </w:t>
      </w:r>
      <w:r w:rsidR="00E83DA6" w:rsidRPr="00340215">
        <w:rPr>
          <w:rFonts w:ascii="Arial" w:hAnsi="Arial" w:cs="Arial"/>
          <w:noProof/>
          <w:sz w:val="22"/>
          <w:lang w:val="es-ES_tradnl"/>
        </w:rPr>
        <w:t>o la normativa especil aplicable a la</w:t>
      </w:r>
      <w:r w:rsidRPr="00340215">
        <w:rPr>
          <w:rFonts w:ascii="Arial" w:hAnsi="Arial" w:cs="Arial"/>
          <w:noProof/>
          <w:sz w:val="22"/>
          <w:lang w:val="es-ES_tradnl"/>
        </w:rPr>
        <w:t xml:space="preserve"> contratación.</w:t>
      </w:r>
    </w:p>
    <w:p w14:paraId="2034D7BA" w14:textId="77777777" w:rsidR="007C4555" w:rsidRPr="00340215" w:rsidRDefault="007C4555" w:rsidP="005551CB">
      <w:pPr>
        <w:spacing w:before="120" w:after="0"/>
        <w:ind w:firstLine="709"/>
        <w:rPr>
          <w:rFonts w:ascii="Arial" w:hAnsi="Arial" w:cs="Arial"/>
          <w:noProof/>
          <w:sz w:val="22"/>
          <w:lang w:val="es-ES_tradnl"/>
        </w:rPr>
      </w:pPr>
      <w:r w:rsidRPr="00340215">
        <w:rPr>
          <w:rFonts w:ascii="Arial" w:hAnsi="Arial" w:cs="Arial"/>
          <w:noProof/>
          <w:sz w:val="22"/>
          <w:lang w:val="es-ES_tradnl"/>
        </w:rPr>
        <w:lastRenderedPageBreak/>
        <w:t xml:space="preserve">Cabe destacar que el artículo 33 de la Ley 996 de 2005 señala expresamente a los destinatarios de la prohibición, en el sentido de que son «todos los entes del Estado», expresión que contempla a los diferentes organismos o entidades autorizadas por la ley para suscribir contratos, sin importar su régimen jurídico, forma de organización o naturaleza, pertenencia a una u otra rama del poder público o su autonomía.  </w:t>
      </w:r>
    </w:p>
    <w:p w14:paraId="35B7A8F5" w14:textId="197B84F7" w:rsidR="005B5F48" w:rsidRPr="00340215" w:rsidRDefault="00DE4C72" w:rsidP="005551CB">
      <w:pPr>
        <w:spacing w:before="120" w:after="0"/>
        <w:ind w:firstLine="709"/>
        <w:rPr>
          <w:rFonts w:ascii="Arial" w:hAnsi="Arial" w:cs="Arial"/>
          <w:noProof/>
          <w:sz w:val="22"/>
          <w:lang w:val="es-ES_tradnl"/>
        </w:rPr>
      </w:pPr>
      <w:r w:rsidRPr="00340215">
        <w:rPr>
          <w:rFonts w:ascii="Arial" w:hAnsi="Arial" w:cs="Arial"/>
          <w:noProof/>
          <w:sz w:val="22"/>
          <w:lang w:val="es-ES_tradnl"/>
        </w:rPr>
        <w:t>La Agencia en diferentes oportunidades ha analizado el alcance de la restricción que establece del artículo 33 de la Ley 996 de 2005 en la época preelectoral para la elección del Presidente y Vicepresidente de la República, concluyendo que p</w:t>
      </w:r>
      <w:r w:rsidR="007C4555" w:rsidRPr="00340215">
        <w:rPr>
          <w:rFonts w:ascii="Arial" w:hAnsi="Arial" w:cs="Arial"/>
          <w:noProof/>
          <w:sz w:val="22"/>
          <w:lang w:val="es-ES_tradnl"/>
        </w:rPr>
        <w:t>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00D224A9" w:rsidRPr="00340215">
        <w:rPr>
          <w:rStyle w:val="Refdenotaalpie"/>
          <w:rFonts w:ascii="Arial" w:hAnsi="Arial" w:cs="Arial"/>
          <w:noProof/>
          <w:sz w:val="22"/>
          <w:lang w:val="es-ES_tradnl"/>
        </w:rPr>
        <w:footnoteReference w:id="11"/>
      </w:r>
      <w:r w:rsidR="005B5F48" w:rsidRPr="00340215">
        <w:rPr>
          <w:rFonts w:ascii="Arial" w:hAnsi="Arial" w:cs="Arial"/>
          <w:noProof/>
          <w:sz w:val="22"/>
          <w:lang w:val="es-ES_tradnl"/>
        </w:rPr>
        <w:t xml:space="preserve"> </w:t>
      </w:r>
    </w:p>
    <w:p w14:paraId="055368EE" w14:textId="05DF1588" w:rsidR="00AA55B8" w:rsidRPr="00340215" w:rsidRDefault="007C4555" w:rsidP="005551CB">
      <w:pPr>
        <w:spacing w:before="120" w:after="0"/>
        <w:ind w:firstLine="709"/>
        <w:rPr>
          <w:rFonts w:ascii="Arial" w:hAnsi="Arial" w:cs="Arial"/>
          <w:noProof/>
          <w:sz w:val="22"/>
          <w:lang w:val="es-ES_tradnl"/>
        </w:rPr>
      </w:pPr>
      <w:r w:rsidRPr="00340215">
        <w:rPr>
          <w:rFonts w:ascii="Arial" w:hAnsi="Arial" w:cs="Arial"/>
          <w:noProof/>
          <w:sz w:val="22"/>
          <w:lang w:val="es-ES_tradnl"/>
        </w:rPr>
        <w:t>Tal como la Agencia lo manifestó en los conceptos C- 481 y 677 del 2021, en algunos sistemas de contratac</w:t>
      </w:r>
      <w:r w:rsidR="005B5F48" w:rsidRPr="00340215">
        <w:rPr>
          <w:rFonts w:ascii="Arial" w:hAnsi="Arial" w:cs="Arial"/>
          <w:noProof/>
          <w:sz w:val="22"/>
          <w:lang w:val="es-ES_tradnl"/>
        </w:rPr>
        <w:t xml:space="preserve">ión </w:t>
      </w:r>
      <w:r w:rsidRPr="00340215">
        <w:rPr>
          <w:rFonts w:ascii="Arial" w:hAnsi="Arial" w:cs="Arial"/>
          <w:noProof/>
          <w:sz w:val="22"/>
          <w:lang w:val="es-ES_tradnl"/>
        </w:rPr>
        <w:t>utilizados por entidades pú</w:t>
      </w:r>
      <w:r w:rsidR="005B5F48" w:rsidRPr="00340215">
        <w:rPr>
          <w:rFonts w:ascii="Arial" w:hAnsi="Arial" w:cs="Arial"/>
          <w:noProof/>
          <w:sz w:val="22"/>
          <w:lang w:val="es-ES_tradnl"/>
        </w:rPr>
        <w:t>blicas con regímenes especiales</w:t>
      </w:r>
      <w:r w:rsidRPr="00340215">
        <w:rPr>
          <w:rFonts w:ascii="Arial" w:hAnsi="Arial" w:cs="Arial"/>
          <w:noProof/>
          <w:sz w:val="22"/>
          <w:lang w:val="es-ES_tradnl"/>
        </w:rPr>
        <w:t xml:space="preserve">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005B5F48" w:rsidRPr="00340215">
        <w:rPr>
          <w:rFonts w:ascii="Arial" w:hAnsi="Arial" w:cs="Arial"/>
          <w:noProof/>
          <w:sz w:val="22"/>
          <w:lang w:val="es-ES_tradnl"/>
        </w:rPr>
        <w:t xml:space="preserve">  </w:t>
      </w:r>
    </w:p>
    <w:p w14:paraId="1FA88527" w14:textId="41D2726C" w:rsidR="00AA55B8" w:rsidRPr="00340215" w:rsidRDefault="005B5F48" w:rsidP="005551CB">
      <w:pPr>
        <w:spacing w:before="120" w:after="0"/>
        <w:ind w:firstLine="709"/>
        <w:rPr>
          <w:rFonts w:ascii="Arial" w:hAnsi="Arial" w:cs="Arial"/>
          <w:noProof/>
          <w:sz w:val="22"/>
          <w:lang w:val="es-ES_tradnl"/>
        </w:rPr>
      </w:pPr>
      <w:r w:rsidRPr="00340215">
        <w:rPr>
          <w:rFonts w:ascii="Arial" w:hAnsi="Arial" w:cs="Arial"/>
          <w:noProof/>
          <w:sz w:val="22"/>
          <w:lang w:val="es-ES_tradnl"/>
        </w:rPr>
        <w:t xml:space="preserve">Cabe aclarar que estas listas de precalificados o el registro o banco de datos, se encuentran en los procedimientos previamente establecidos en el estatuto o manual de contratación de algunas entidades públicas, </w:t>
      </w:r>
      <w:r w:rsidR="009D42AB" w:rsidRPr="00340215">
        <w:rPr>
          <w:rFonts w:ascii="Arial" w:hAnsi="Arial" w:cs="Arial"/>
          <w:noProof/>
          <w:sz w:val="22"/>
          <w:lang w:val="es-ES_tradnl"/>
        </w:rPr>
        <w:t xml:space="preserve">por tal razón, en los conceptos mencionados se hizo alusión a «algunos» sistemas de contratación utilizados por entidades públicas con regímenes especiales o sujetas al derecho privado, sin que esto </w:t>
      </w:r>
      <w:r w:rsidR="00DE4C72" w:rsidRPr="00340215">
        <w:rPr>
          <w:rFonts w:ascii="Arial" w:hAnsi="Arial" w:cs="Arial"/>
          <w:noProof/>
          <w:sz w:val="22"/>
          <w:lang w:val="es-ES_tradnl"/>
        </w:rPr>
        <w:t>pueda entenderse</w:t>
      </w:r>
      <w:r w:rsidR="009D42AB" w:rsidRPr="00340215">
        <w:rPr>
          <w:rFonts w:ascii="Arial" w:hAnsi="Arial" w:cs="Arial"/>
          <w:noProof/>
          <w:sz w:val="22"/>
          <w:lang w:val="es-ES_tradnl"/>
        </w:rPr>
        <w:t xml:space="preserve"> como la creación de una regla</w:t>
      </w:r>
      <w:r w:rsidR="00AA55B8" w:rsidRPr="00340215">
        <w:rPr>
          <w:rFonts w:ascii="Arial" w:hAnsi="Arial" w:cs="Arial"/>
          <w:noProof/>
          <w:sz w:val="22"/>
          <w:lang w:val="es-ES_tradnl"/>
        </w:rPr>
        <w:t xml:space="preserve"> general</w:t>
      </w:r>
      <w:r w:rsidR="009D42AB" w:rsidRPr="00340215">
        <w:rPr>
          <w:rFonts w:ascii="Arial" w:hAnsi="Arial" w:cs="Arial"/>
          <w:noProof/>
          <w:sz w:val="22"/>
          <w:lang w:val="es-ES_tradnl"/>
        </w:rPr>
        <w:t xml:space="preserve"> que permita la improvisación de procedimientos durante la restricción de la contratación directa establecida en el artículo 33 de la Ley 996 de 2005, </w:t>
      </w:r>
      <w:r w:rsidR="00DE4C72" w:rsidRPr="00340215">
        <w:rPr>
          <w:rFonts w:ascii="Arial" w:hAnsi="Arial" w:cs="Arial"/>
          <w:noProof/>
          <w:sz w:val="22"/>
          <w:lang w:val="es-ES_tradnl"/>
        </w:rPr>
        <w:t xml:space="preserve">puesto que todo </w:t>
      </w:r>
      <w:r w:rsidR="009D42AB" w:rsidRPr="00340215">
        <w:rPr>
          <w:rFonts w:ascii="Arial" w:hAnsi="Arial" w:cs="Arial"/>
          <w:noProof/>
          <w:sz w:val="22"/>
          <w:lang w:val="es-ES_tradnl"/>
        </w:rPr>
        <w:t xml:space="preserve">dependerá de lo que haya regulado cada entidad pública de régimen especial en su </w:t>
      </w:r>
      <w:r w:rsidR="00E83DA6" w:rsidRPr="00340215">
        <w:rPr>
          <w:rFonts w:ascii="Arial" w:hAnsi="Arial" w:cs="Arial"/>
          <w:noProof/>
          <w:sz w:val="22"/>
          <w:lang w:val="es-ES_tradnl"/>
        </w:rPr>
        <w:t xml:space="preserve">respectivo estatuto especial </w:t>
      </w:r>
      <w:r w:rsidR="009D42AB" w:rsidRPr="00340215">
        <w:rPr>
          <w:rFonts w:ascii="Arial" w:hAnsi="Arial" w:cs="Arial"/>
          <w:noProof/>
          <w:sz w:val="22"/>
          <w:lang w:val="es-ES_tradnl"/>
        </w:rPr>
        <w:t xml:space="preserve">de contratación, </w:t>
      </w:r>
      <w:r w:rsidR="00AA55B8" w:rsidRPr="00340215">
        <w:rPr>
          <w:rFonts w:ascii="Arial" w:hAnsi="Arial" w:cs="Arial"/>
          <w:noProof/>
          <w:sz w:val="22"/>
          <w:lang w:val="es-ES_tradnl"/>
        </w:rPr>
        <w:t xml:space="preserve">siendo determinante para </w:t>
      </w:r>
      <w:r w:rsidR="00AA55B8" w:rsidRPr="00340215">
        <w:rPr>
          <w:rFonts w:ascii="Arial" w:hAnsi="Arial" w:cs="Arial"/>
          <w:noProof/>
          <w:sz w:val="22"/>
          <w:lang w:val="es-ES_tradnl"/>
        </w:rPr>
        <w:lastRenderedPageBreak/>
        <w:t xml:space="preserve">descartar una contratación directa la existencia de </w:t>
      </w:r>
      <w:r w:rsidR="009D42AB" w:rsidRPr="00340215">
        <w:rPr>
          <w:rFonts w:ascii="Arial" w:hAnsi="Arial" w:cs="Arial"/>
          <w:noProof/>
          <w:sz w:val="22"/>
          <w:lang w:val="es-ES_tradnl"/>
        </w:rPr>
        <w:t xml:space="preserve">una convocatoria pública que permita la participación </w:t>
      </w:r>
      <w:r w:rsidR="00DE4C72" w:rsidRPr="00340215">
        <w:rPr>
          <w:rFonts w:ascii="Arial" w:hAnsi="Arial" w:cs="Arial"/>
          <w:noProof/>
          <w:sz w:val="22"/>
          <w:lang w:val="es-ES_tradnl"/>
        </w:rPr>
        <w:t>de una pluralidad de oferentes.</w:t>
      </w:r>
    </w:p>
    <w:p w14:paraId="757577A3" w14:textId="5D3E8FF2" w:rsidR="00AA55B8" w:rsidRPr="00340215" w:rsidRDefault="00AA55B8" w:rsidP="005551CB">
      <w:pPr>
        <w:spacing w:before="120" w:after="0"/>
        <w:ind w:firstLine="709"/>
        <w:rPr>
          <w:rFonts w:ascii="Arial" w:hAnsi="Arial" w:cs="Arial"/>
          <w:noProof/>
          <w:sz w:val="22"/>
          <w:lang w:val="es-ES_tradnl"/>
        </w:rPr>
      </w:pPr>
      <w:r w:rsidRPr="00340215">
        <w:rPr>
          <w:rFonts w:ascii="Arial" w:hAnsi="Arial" w:cs="Arial"/>
          <w:noProof/>
          <w:sz w:val="22"/>
          <w:lang w:val="es-ES_tradnl"/>
        </w:rPr>
        <w:t>Conviene mencionar que las entidades estatales que, por disposición legal, cuentan con un régimen especial</w:t>
      </w:r>
      <w:r w:rsidR="00D224A9" w:rsidRPr="00340215">
        <w:rPr>
          <w:rStyle w:val="Refdenotaalpie"/>
          <w:rFonts w:ascii="Arial" w:hAnsi="Arial" w:cs="Arial"/>
          <w:noProof/>
          <w:sz w:val="22"/>
          <w:lang w:val="es-ES_tradnl"/>
        </w:rPr>
        <w:footnoteReference w:id="12"/>
      </w:r>
      <w:r w:rsidRPr="00340215">
        <w:rPr>
          <w:rFonts w:ascii="Arial" w:hAnsi="Arial" w:cs="Arial"/>
          <w:noProof/>
          <w:sz w:val="22"/>
          <w:lang w:val="es-ES_tradnl"/>
        </w:rPr>
        <w:t>, exceptuado del Estatuto General de Contratación de la Administración Pública para sus procedimientos contractuales se rigen por el derecho privado, lo cual está determinado en las normas de creación de las entidades de régimen especial y en sus manuales de contratación. Este reglamento interno de contratación – comúnmente denominado manual de contratación–, regula aspectos asociados a la actividad contractual, como los procedimientos de selección, los requisitos de participación, las condiciones de ejecución del contrato, etc.</w:t>
      </w:r>
    </w:p>
    <w:p w14:paraId="367BB0A9" w14:textId="6A159E8D" w:rsidR="00AA55B8" w:rsidRPr="00340215" w:rsidRDefault="00AA55B8" w:rsidP="005551CB">
      <w:pPr>
        <w:spacing w:before="120" w:after="0"/>
        <w:ind w:firstLine="709"/>
        <w:rPr>
          <w:rFonts w:ascii="Arial" w:hAnsi="Arial" w:cs="Arial"/>
          <w:noProof/>
          <w:sz w:val="22"/>
          <w:lang w:val="es-ES_tradnl"/>
        </w:rPr>
      </w:pPr>
      <w:r w:rsidRPr="00340215">
        <w:rPr>
          <w:rFonts w:ascii="Arial" w:hAnsi="Arial" w:cs="Arial"/>
          <w:noProof/>
          <w:sz w:val="22"/>
          <w:lang w:val="es-ES_tradnl"/>
        </w:rPr>
        <w:t>De manera que, las entidades estatales con régimen especial de contratación tendrán que acudir a aquellos procedimientos de selección establecidos en su manual de contratación diferentes a la contratación directa, es decir, aquellos que impliquen convocatoria pública y pluralidad de oferentes, mientras que</w:t>
      </w:r>
      <w:r w:rsidR="00DE4C72" w:rsidRPr="00340215">
        <w:rPr>
          <w:rFonts w:ascii="Arial" w:hAnsi="Arial" w:cs="Arial"/>
          <w:noProof/>
          <w:sz w:val="22"/>
          <w:lang w:val="es-ES_tradnl"/>
        </w:rPr>
        <w:t>,</w:t>
      </w:r>
      <w:r w:rsidRPr="00340215">
        <w:rPr>
          <w:rFonts w:ascii="Arial" w:hAnsi="Arial" w:cs="Arial"/>
          <w:noProof/>
          <w:sz w:val="22"/>
          <w:lang w:val="es-ES_tradnl"/>
        </w:rPr>
        <w:t xml:space="preserve"> las entidades estatales sometidas al Estatuto General de Contratación de la Administración Pública, deberán acudir a las demás modalidades de selección establecidas en el artículo 2 de la Ley 1150 de 2007, es decir, la licitación pública, la selección abreviada, el concurso de méritos y la mínima cuantía.</w:t>
      </w:r>
    </w:p>
    <w:p w14:paraId="07BA0813" w14:textId="04ECA3C5" w:rsidR="00DD7778" w:rsidRPr="00340215" w:rsidRDefault="00DD7778" w:rsidP="00AA55B8">
      <w:pPr>
        <w:shd w:val="clear" w:color="auto" w:fill="FFFFFF"/>
        <w:spacing w:after="0"/>
        <w:ind w:firstLine="708"/>
        <w:rPr>
          <w:rFonts w:ascii="Arial" w:hAnsi="Arial" w:cs="Arial"/>
          <w:sz w:val="22"/>
        </w:rPr>
      </w:pPr>
    </w:p>
    <w:p w14:paraId="70E52E7E" w14:textId="7FFD816C" w:rsidR="0078165F" w:rsidRPr="00340215" w:rsidRDefault="00FF2832" w:rsidP="00722231">
      <w:pPr>
        <w:tabs>
          <w:tab w:val="left" w:pos="284"/>
        </w:tabs>
        <w:spacing w:after="0"/>
        <w:rPr>
          <w:rFonts w:ascii="Arial" w:eastAsia="Calibri" w:hAnsi="Arial" w:cs="Arial"/>
          <w:b/>
          <w:sz w:val="22"/>
          <w:lang w:val="es-CO"/>
        </w:rPr>
      </w:pPr>
      <w:r w:rsidRPr="00340215">
        <w:rPr>
          <w:rFonts w:ascii="Arial" w:eastAsia="Calibri" w:hAnsi="Arial" w:cs="Arial"/>
          <w:b/>
          <w:sz w:val="22"/>
          <w:lang w:val="es-CO"/>
        </w:rPr>
        <w:t xml:space="preserve">3. </w:t>
      </w:r>
      <w:r w:rsidR="0078165F" w:rsidRPr="00340215">
        <w:rPr>
          <w:rFonts w:ascii="Arial" w:eastAsia="Calibri" w:hAnsi="Arial" w:cs="Arial"/>
          <w:b/>
          <w:sz w:val="22"/>
          <w:lang w:val="es-CO"/>
        </w:rPr>
        <w:t>Respuesta</w:t>
      </w:r>
    </w:p>
    <w:p w14:paraId="3B5B120F" w14:textId="40DF8796" w:rsidR="00BB069D" w:rsidRPr="00340215" w:rsidRDefault="00BB069D" w:rsidP="00722231">
      <w:pPr>
        <w:tabs>
          <w:tab w:val="left" w:pos="284"/>
        </w:tabs>
        <w:spacing w:after="0"/>
        <w:rPr>
          <w:rFonts w:ascii="Arial" w:eastAsia="Calibri" w:hAnsi="Arial" w:cs="Arial"/>
          <w:b/>
          <w:sz w:val="22"/>
          <w:lang w:val="es-CO"/>
        </w:rPr>
      </w:pPr>
    </w:p>
    <w:p w14:paraId="4AFB78D4" w14:textId="310EB43A" w:rsidR="00BB069D" w:rsidRPr="00340215" w:rsidRDefault="00815F56" w:rsidP="009E2748">
      <w:pPr>
        <w:tabs>
          <w:tab w:val="left" w:pos="426"/>
        </w:tabs>
        <w:spacing w:after="0" w:line="240" w:lineRule="auto"/>
        <w:ind w:left="709" w:right="709"/>
        <w:rPr>
          <w:rFonts w:ascii="Arial" w:eastAsia="Calibri" w:hAnsi="Arial" w:cs="Arial"/>
          <w:sz w:val="21"/>
          <w:szCs w:val="21"/>
          <w:lang w:val="es-ES_tradnl"/>
        </w:rPr>
      </w:pPr>
      <w:r w:rsidRPr="00340215">
        <w:rPr>
          <w:rFonts w:ascii="Arial" w:eastAsia="Calibri" w:hAnsi="Arial" w:cs="Arial"/>
          <w:sz w:val="21"/>
          <w:szCs w:val="21"/>
          <w:lang w:val="es-ES_tradnl"/>
        </w:rPr>
        <w:t>«</w:t>
      </w:r>
      <w:r w:rsidR="00BB069D" w:rsidRPr="00340215">
        <w:rPr>
          <w:rFonts w:ascii="Arial" w:eastAsia="Calibri" w:hAnsi="Arial" w:cs="Arial"/>
          <w:sz w:val="21"/>
          <w:szCs w:val="21"/>
          <w:lang w:val="es-ES_tradnl"/>
        </w:rPr>
        <w:t>1. ¿La celebración de contratos de ciencia y tecnología, producto del proceso descrito en el artículo 10 de la Ley 2059 de 2020 cumplirían el presupuesto referente a la convocatoria pública?</w:t>
      </w:r>
    </w:p>
    <w:p w14:paraId="7B4FCAAE" w14:textId="304D518D" w:rsidR="00815F56" w:rsidRPr="00340215" w:rsidRDefault="00815F56" w:rsidP="009E2748">
      <w:pPr>
        <w:tabs>
          <w:tab w:val="left" w:pos="426"/>
        </w:tabs>
        <w:spacing w:after="0" w:line="240" w:lineRule="auto"/>
        <w:ind w:left="709" w:right="709"/>
        <w:rPr>
          <w:rFonts w:ascii="Arial" w:eastAsia="Calibri" w:hAnsi="Arial" w:cs="Arial"/>
          <w:sz w:val="21"/>
          <w:szCs w:val="21"/>
          <w:lang w:val="es-ES_tradnl"/>
        </w:rPr>
      </w:pPr>
    </w:p>
    <w:p w14:paraId="3E8E425C" w14:textId="77777777" w:rsidR="00815F56" w:rsidRPr="00340215" w:rsidRDefault="00815F56" w:rsidP="009E2748">
      <w:pPr>
        <w:tabs>
          <w:tab w:val="left" w:pos="426"/>
        </w:tabs>
        <w:spacing w:after="0" w:line="240" w:lineRule="auto"/>
        <w:ind w:left="709" w:right="709"/>
        <w:rPr>
          <w:rFonts w:ascii="Arial" w:eastAsia="Calibri" w:hAnsi="Arial" w:cs="Arial"/>
          <w:sz w:val="21"/>
          <w:szCs w:val="21"/>
          <w:lang w:val="es-ES_tradnl"/>
        </w:rPr>
      </w:pPr>
      <w:r w:rsidRPr="00340215">
        <w:rPr>
          <w:rFonts w:ascii="Arial" w:eastAsia="Calibri" w:hAnsi="Arial" w:cs="Arial"/>
          <w:sz w:val="21"/>
          <w:szCs w:val="21"/>
          <w:lang w:val="es-ES_tradnl"/>
        </w:rPr>
        <w:t xml:space="preserve">2. ¿Cualquier procedimiento que permita la participación de interesados (en consideración al régimen de contratación aplicable a la Entidad pública), se asimila o entiende como convocatoria pública? </w:t>
      </w:r>
    </w:p>
    <w:p w14:paraId="72949DA2" w14:textId="77777777" w:rsidR="00815F56" w:rsidRPr="00340215" w:rsidRDefault="00815F56" w:rsidP="009E2748">
      <w:pPr>
        <w:tabs>
          <w:tab w:val="left" w:pos="426"/>
        </w:tabs>
        <w:spacing w:after="0" w:line="240" w:lineRule="auto"/>
        <w:ind w:left="709" w:right="709"/>
        <w:rPr>
          <w:rFonts w:ascii="Arial" w:eastAsia="Calibri" w:hAnsi="Arial" w:cs="Arial"/>
          <w:sz w:val="21"/>
          <w:szCs w:val="21"/>
          <w:lang w:val="es-ES_tradnl"/>
        </w:rPr>
      </w:pPr>
    </w:p>
    <w:p w14:paraId="4A70445D" w14:textId="77777777" w:rsidR="00815F56" w:rsidRPr="00340215" w:rsidRDefault="00815F56" w:rsidP="009E2748">
      <w:pPr>
        <w:tabs>
          <w:tab w:val="left" w:pos="426"/>
        </w:tabs>
        <w:spacing w:after="0" w:line="240" w:lineRule="auto"/>
        <w:ind w:left="709" w:right="709"/>
        <w:rPr>
          <w:rFonts w:ascii="Arial" w:eastAsia="Calibri" w:hAnsi="Arial" w:cs="Arial"/>
          <w:sz w:val="21"/>
          <w:szCs w:val="21"/>
          <w:lang w:val="es-ES_tradnl"/>
        </w:rPr>
      </w:pPr>
      <w:r w:rsidRPr="00340215">
        <w:rPr>
          <w:rFonts w:ascii="Arial" w:eastAsia="Calibri" w:hAnsi="Arial" w:cs="Arial"/>
          <w:sz w:val="21"/>
          <w:szCs w:val="21"/>
          <w:lang w:val="es-ES_tradnl"/>
        </w:rPr>
        <w:t>3. ¿En el marco de un régimen especial es posible hacer invitaciones a varios interesados y celebrar un contrato con quien ostente la mejor oferta en vigencia de las restricciones señaladas en la Ley de Garantías?».</w:t>
      </w:r>
    </w:p>
    <w:p w14:paraId="2C572F5D" w14:textId="77777777" w:rsidR="00BB069D" w:rsidRPr="00340215" w:rsidRDefault="00BB069D" w:rsidP="009E2748">
      <w:pPr>
        <w:tabs>
          <w:tab w:val="left" w:pos="426"/>
        </w:tabs>
        <w:spacing w:after="0" w:line="240" w:lineRule="auto"/>
        <w:ind w:left="709" w:right="709"/>
        <w:rPr>
          <w:rFonts w:ascii="Arial" w:eastAsia="Calibri" w:hAnsi="Arial" w:cs="Arial"/>
          <w:sz w:val="21"/>
          <w:szCs w:val="21"/>
          <w:lang w:val="es-ES_tradnl"/>
        </w:rPr>
      </w:pPr>
    </w:p>
    <w:p w14:paraId="27C0CE2A" w14:textId="62D429C7" w:rsidR="00BB069D" w:rsidRPr="00340215" w:rsidRDefault="00BB069D" w:rsidP="009E2748">
      <w:pPr>
        <w:tabs>
          <w:tab w:val="left" w:pos="426"/>
        </w:tabs>
        <w:spacing w:after="0" w:line="240" w:lineRule="auto"/>
        <w:ind w:left="709" w:right="709"/>
        <w:rPr>
          <w:rFonts w:ascii="Arial" w:eastAsia="Calibri" w:hAnsi="Arial" w:cs="Arial"/>
          <w:sz w:val="21"/>
          <w:szCs w:val="21"/>
          <w:lang w:val="es-ES_tradnl"/>
        </w:rPr>
      </w:pPr>
      <w:r w:rsidRPr="00340215">
        <w:rPr>
          <w:rFonts w:ascii="Arial" w:eastAsia="Calibri" w:hAnsi="Arial" w:cs="Arial"/>
          <w:sz w:val="21"/>
          <w:szCs w:val="21"/>
          <w:lang w:val="es-ES_tradnl"/>
        </w:rPr>
        <w:t xml:space="preserve"> Lo anterior, en el entendido que, de acuerdo con lo conceptuado por la Agencia, “lo determinante para considerar que dicho sistema no constituye «contratación directa», es que la convocatoria para inscribirse en forma previa se haga de manera pública, y que se permita la participación de una pluralidad de oferentes.”</w:t>
      </w:r>
      <w:r w:rsidR="00E83DA6" w:rsidRPr="00340215">
        <w:rPr>
          <w:rFonts w:ascii="Arial" w:eastAsia="Calibri" w:hAnsi="Arial" w:cs="Arial"/>
          <w:sz w:val="21"/>
          <w:szCs w:val="21"/>
          <w:lang w:val="es-ES_tradnl"/>
        </w:rPr>
        <w:t>»</w:t>
      </w:r>
      <w:r w:rsidRPr="00340215">
        <w:rPr>
          <w:rFonts w:ascii="Arial" w:eastAsia="Calibri" w:hAnsi="Arial" w:cs="Arial"/>
          <w:sz w:val="21"/>
          <w:szCs w:val="21"/>
          <w:lang w:val="es-ES_tradnl"/>
        </w:rPr>
        <w:t xml:space="preserve"> </w:t>
      </w:r>
    </w:p>
    <w:p w14:paraId="2AB1F0C2" w14:textId="77777777" w:rsidR="00BB069D" w:rsidRPr="00340215" w:rsidRDefault="00BB069D" w:rsidP="00BB069D">
      <w:pPr>
        <w:spacing w:after="0" w:line="240" w:lineRule="auto"/>
        <w:rPr>
          <w:rFonts w:ascii="Arial" w:hAnsi="Arial" w:cs="Arial"/>
          <w:color w:val="000000" w:themeColor="text1"/>
          <w:sz w:val="21"/>
          <w:szCs w:val="21"/>
        </w:rPr>
      </w:pPr>
    </w:p>
    <w:p w14:paraId="23AADEDA" w14:textId="77777777" w:rsidR="009E2748" w:rsidRPr="00340215" w:rsidRDefault="00BB069D" w:rsidP="009E2748">
      <w:pPr>
        <w:rPr>
          <w:rFonts w:ascii="Arial" w:hAnsi="Arial" w:cs="Arial"/>
          <w:sz w:val="22"/>
          <w:lang w:val="es-ES_tradnl"/>
        </w:rPr>
      </w:pPr>
      <w:r w:rsidRPr="00340215">
        <w:rPr>
          <w:rFonts w:ascii="Arial" w:hAnsi="Arial" w:cs="Arial"/>
          <w:bCs/>
          <w:sz w:val="22"/>
          <w:lang w:val="es-CO"/>
        </w:rPr>
        <w:t>De conformidad con las consideraciones expuestas, se le informa que</w:t>
      </w:r>
      <w:r w:rsidR="003D3C79" w:rsidRPr="00340215">
        <w:rPr>
          <w:rFonts w:ascii="Arial" w:hAnsi="Arial" w:cs="Arial"/>
          <w:bCs/>
          <w:sz w:val="22"/>
          <w:lang w:val="es-ES_tradnl"/>
        </w:rPr>
        <w:t xml:space="preserve"> 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w:t>
      </w:r>
      <w:r w:rsidR="003D3C79" w:rsidRPr="00340215">
        <w:rPr>
          <w:rFonts w:ascii="Arial" w:hAnsi="Arial" w:cs="Arial"/>
          <w:sz w:val="22"/>
          <w:lang w:val="es-ES_tradnl"/>
        </w:rPr>
        <w:t>En efecto, esta entidad solo tiene competencia para responder solicitudes sobre la aplicación de normas de carácter general en materia de compras y contratación pública. Esta se fija con límites claros, con el objeto de evitar que la Agencia actúe como una instancia de validación de las actuaciones de las entidades sujetas a la Ley 80 de 1993 o de los demás participantes de la contratación pública.</w:t>
      </w:r>
    </w:p>
    <w:p w14:paraId="02A1A37F" w14:textId="56BCE571" w:rsidR="00815F56" w:rsidRPr="00340215" w:rsidRDefault="00815F56" w:rsidP="00A41722">
      <w:pPr>
        <w:rPr>
          <w:rFonts w:ascii="Arial" w:hAnsi="Arial" w:cs="Arial"/>
          <w:color w:val="000000" w:themeColor="text1"/>
          <w:sz w:val="22"/>
        </w:rPr>
      </w:pPr>
      <w:r w:rsidRPr="00340215">
        <w:rPr>
          <w:rFonts w:ascii="Arial" w:hAnsi="Arial" w:cs="Arial"/>
          <w:sz w:val="22"/>
          <w:lang w:val="es-ES_tradnl"/>
        </w:rPr>
        <w:tab/>
      </w:r>
      <w:r w:rsidR="008F0B84" w:rsidRPr="00340215">
        <w:rPr>
          <w:rFonts w:ascii="Arial" w:hAnsi="Arial" w:cs="Arial"/>
          <w:sz w:val="22"/>
          <w:lang w:val="es-ES_tradnl"/>
        </w:rPr>
        <w:t xml:space="preserve">Sin perjuicio de lo anterior, </w:t>
      </w:r>
      <w:r w:rsidR="008F0B84" w:rsidRPr="00340215">
        <w:rPr>
          <w:rFonts w:ascii="Arial" w:hAnsi="Arial" w:cs="Arial"/>
          <w:color w:val="000000" w:themeColor="text1"/>
          <w:sz w:val="22"/>
        </w:rPr>
        <w:t xml:space="preserve">en aras de responder su consulta dentro de los </w:t>
      </w:r>
      <w:r w:rsidR="001C418F" w:rsidRPr="00340215">
        <w:rPr>
          <w:rFonts w:ascii="Arial" w:hAnsi="Arial" w:cs="Arial"/>
          <w:color w:val="000000" w:themeColor="text1"/>
          <w:sz w:val="22"/>
        </w:rPr>
        <w:t>límites</w:t>
      </w:r>
      <w:r w:rsidR="008F0B84" w:rsidRPr="00340215">
        <w:rPr>
          <w:rFonts w:ascii="Arial" w:hAnsi="Arial" w:cs="Arial"/>
          <w:color w:val="000000" w:themeColor="text1"/>
          <w:sz w:val="22"/>
        </w:rPr>
        <w:t xml:space="preserve"> de nuestra competencia, es preciso anotar que esta</w:t>
      </w:r>
      <w:r w:rsidRPr="00340215">
        <w:rPr>
          <w:rFonts w:ascii="Arial" w:hAnsi="Arial" w:cs="Arial"/>
          <w:color w:val="000000" w:themeColor="text1"/>
          <w:sz w:val="22"/>
        </w:rPr>
        <w:t xml:space="preserve"> Agencia en diferentes oportunidades ha analizado el alcance de la restricción que establece del artículo 33 de la Ley 996 de 2005 en la época preelectoral para la elección del Presidente y Vicepresidente de la República, concluyendo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  </w:t>
      </w:r>
    </w:p>
    <w:p w14:paraId="0E09EA86" w14:textId="77777777" w:rsidR="00815F56" w:rsidRPr="00340215" w:rsidRDefault="00815F56" w:rsidP="00A41722">
      <w:pPr>
        <w:spacing w:after="120"/>
        <w:ind w:firstLine="709"/>
        <w:rPr>
          <w:rFonts w:ascii="Arial" w:eastAsia="Calibri" w:hAnsi="Arial" w:cs="Arial"/>
          <w:color w:val="000000" w:themeColor="text1"/>
          <w:sz w:val="22"/>
        </w:rPr>
      </w:pPr>
      <w:r w:rsidRPr="00340215">
        <w:rPr>
          <w:rFonts w:ascii="Arial" w:eastAsia="Calibri" w:hAnsi="Arial" w:cs="Arial"/>
          <w:color w:val="000000" w:themeColor="text1"/>
          <w:sz w:val="22"/>
        </w:rPr>
        <w:t>De acuerdo con lo anterior, corresponde a las entidades estatales definir en cada caso particular si el proceso de contratación que pretenden adelantar durante la restricción de la contratación directa impuesta por el artículo 33 de la Ley 996 de 2005, cumple con el requisito de la convocatoria pública y la participación de una pluralidad de oferentes, que para el caso de las entidades estatales sometidas al Estatuto General de Contratación de la Administración Pública corresponderá a las demás modalidades de selección allí previstas, es decir, la licitación pública, la selección abreviada, el concurso de méritos y la mínima cuantía, mientras que, para el caso de las entidades con un régimen especial de contratación, serán aquellas modalidades de selección  consagradas en su reglamento interno de contratación o manual de contratación que impliquen convocatoria pública y la participación de una pluralidad de oferentes.</w:t>
      </w:r>
    </w:p>
    <w:p w14:paraId="42305DF4" w14:textId="19F49278" w:rsidR="00815F56" w:rsidRPr="00340215" w:rsidRDefault="00815F56" w:rsidP="00A41722">
      <w:pPr>
        <w:spacing w:after="120"/>
        <w:ind w:firstLine="709"/>
        <w:rPr>
          <w:rFonts w:ascii="Arial" w:eastAsia="Calibri" w:hAnsi="Arial" w:cs="Arial"/>
          <w:color w:val="000000" w:themeColor="text1"/>
          <w:sz w:val="22"/>
        </w:rPr>
      </w:pPr>
      <w:r w:rsidRPr="00340215">
        <w:rPr>
          <w:rFonts w:ascii="Arial" w:eastAsia="Calibri" w:hAnsi="Arial" w:cs="Arial"/>
          <w:color w:val="000000" w:themeColor="text1"/>
          <w:sz w:val="22"/>
        </w:rPr>
        <w:lastRenderedPageBreak/>
        <w:t xml:space="preserve">En el marco de un régimen especial de contratación, las entidades públicas deberán acudir a aquellos procedimientos de selección diferentes a la contratación directa, establecidos </w:t>
      </w:r>
      <w:r w:rsidR="001C418F" w:rsidRPr="00340215">
        <w:rPr>
          <w:rFonts w:ascii="Arial" w:eastAsia="Calibri" w:hAnsi="Arial" w:cs="Arial"/>
          <w:color w:val="000000" w:themeColor="text1"/>
          <w:sz w:val="22"/>
        </w:rPr>
        <w:t>en sus respectivos reglamentos o manuales</w:t>
      </w:r>
      <w:r w:rsidRPr="00340215">
        <w:rPr>
          <w:rFonts w:ascii="Arial" w:eastAsia="Calibri" w:hAnsi="Arial" w:cs="Arial"/>
          <w:color w:val="000000" w:themeColor="text1"/>
          <w:sz w:val="22"/>
        </w:rPr>
        <w:t xml:space="preserve">, es decir, aquellos que impliquen convocatoria pública y pluralidad de oferentes.  Tal como la Agencia lo manifestó en los conceptos C- 481 y 677 del 2021,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  </w:t>
      </w:r>
    </w:p>
    <w:p w14:paraId="54914310" w14:textId="4BFE0B5A" w:rsidR="00815F56" w:rsidRPr="00340215" w:rsidRDefault="00815F56" w:rsidP="00A41722">
      <w:pPr>
        <w:spacing w:after="120"/>
        <w:ind w:firstLine="709"/>
        <w:rPr>
          <w:rFonts w:ascii="Arial" w:eastAsia="Calibri" w:hAnsi="Arial" w:cs="Arial"/>
          <w:color w:val="000000" w:themeColor="text1"/>
          <w:sz w:val="22"/>
        </w:rPr>
      </w:pPr>
      <w:r w:rsidRPr="00340215">
        <w:rPr>
          <w:rFonts w:ascii="Arial" w:eastAsia="Calibri" w:hAnsi="Arial" w:cs="Arial"/>
          <w:color w:val="000000" w:themeColor="text1"/>
          <w:sz w:val="22"/>
        </w:rPr>
        <w:t>Cabe aclarar que estas listas de precalificados o el registro o banco de datos, se encuentran en procedimientos previamente establecidos en el estatuto</w:t>
      </w:r>
      <w:r w:rsidR="001C418F" w:rsidRPr="00340215">
        <w:rPr>
          <w:rFonts w:ascii="Arial" w:eastAsia="Calibri" w:hAnsi="Arial" w:cs="Arial"/>
          <w:color w:val="000000" w:themeColor="text1"/>
          <w:sz w:val="22"/>
        </w:rPr>
        <w:t>, reglamento</w:t>
      </w:r>
      <w:r w:rsidRPr="00340215">
        <w:rPr>
          <w:rFonts w:ascii="Arial" w:eastAsia="Calibri" w:hAnsi="Arial" w:cs="Arial"/>
          <w:color w:val="000000" w:themeColor="text1"/>
          <w:sz w:val="22"/>
        </w:rPr>
        <w:t xml:space="preserve"> o manual </w:t>
      </w:r>
      <w:r w:rsidR="001C418F" w:rsidRPr="00340215">
        <w:rPr>
          <w:rFonts w:ascii="Arial" w:eastAsia="Calibri" w:hAnsi="Arial" w:cs="Arial"/>
          <w:color w:val="000000" w:themeColor="text1"/>
          <w:sz w:val="22"/>
        </w:rPr>
        <w:t>aplicable al contrato</w:t>
      </w:r>
      <w:r w:rsidRPr="00340215">
        <w:rPr>
          <w:rFonts w:ascii="Arial" w:eastAsia="Calibri" w:hAnsi="Arial" w:cs="Arial"/>
          <w:color w:val="000000" w:themeColor="text1"/>
          <w:sz w:val="22"/>
        </w:rPr>
        <w:t xml:space="preserve">, por tal razón, en los conceptos mencionados se hizo alusión a «algunos» sistemas de contratación utilizados por entidades públicas con regímenes especiales o sujetas al derecho privado, sin que esto pueda entenderse como la creación de una regla general que permita la improvisación de procedimientos durante la restricción de la contratación directa establecida en el artículo 33 de la Ley 996 de 2005, puesto que todo dependerá de lo que </w:t>
      </w:r>
      <w:r w:rsidR="001C418F" w:rsidRPr="00340215">
        <w:rPr>
          <w:rFonts w:ascii="Arial" w:eastAsia="Calibri" w:hAnsi="Arial" w:cs="Arial"/>
          <w:color w:val="000000" w:themeColor="text1"/>
          <w:sz w:val="22"/>
        </w:rPr>
        <w:t xml:space="preserve">se </w:t>
      </w:r>
      <w:r w:rsidRPr="00340215">
        <w:rPr>
          <w:rFonts w:ascii="Arial" w:eastAsia="Calibri" w:hAnsi="Arial" w:cs="Arial"/>
          <w:color w:val="000000" w:themeColor="text1"/>
          <w:sz w:val="22"/>
        </w:rPr>
        <w:t xml:space="preserve">haya regulado en </w:t>
      </w:r>
      <w:r w:rsidR="001C418F" w:rsidRPr="00340215">
        <w:rPr>
          <w:rFonts w:ascii="Arial" w:eastAsia="Calibri" w:hAnsi="Arial" w:cs="Arial"/>
          <w:color w:val="000000" w:themeColor="text1"/>
          <w:sz w:val="22"/>
        </w:rPr>
        <w:t>el correspondiente</w:t>
      </w:r>
      <w:r w:rsidRPr="00340215">
        <w:rPr>
          <w:rFonts w:ascii="Arial" w:eastAsia="Calibri" w:hAnsi="Arial" w:cs="Arial"/>
          <w:color w:val="000000" w:themeColor="text1"/>
          <w:sz w:val="22"/>
        </w:rPr>
        <w:t xml:space="preserve"> estatuto</w:t>
      </w:r>
      <w:r w:rsidR="001C418F" w:rsidRPr="00340215">
        <w:rPr>
          <w:rFonts w:ascii="Arial" w:eastAsia="Calibri" w:hAnsi="Arial" w:cs="Arial"/>
          <w:color w:val="000000" w:themeColor="text1"/>
          <w:sz w:val="22"/>
        </w:rPr>
        <w:t>, manual</w:t>
      </w:r>
      <w:r w:rsidRPr="00340215">
        <w:rPr>
          <w:rFonts w:ascii="Arial" w:eastAsia="Calibri" w:hAnsi="Arial" w:cs="Arial"/>
          <w:color w:val="000000" w:themeColor="text1"/>
          <w:sz w:val="22"/>
        </w:rPr>
        <w:t xml:space="preserve"> </w:t>
      </w:r>
      <w:r w:rsidR="001C418F" w:rsidRPr="00340215">
        <w:rPr>
          <w:rFonts w:ascii="Arial" w:eastAsia="Calibri" w:hAnsi="Arial" w:cs="Arial"/>
          <w:color w:val="000000" w:themeColor="text1"/>
          <w:sz w:val="22"/>
        </w:rPr>
        <w:t>o noma aplicable a la</w:t>
      </w:r>
      <w:r w:rsidRPr="00340215">
        <w:rPr>
          <w:rFonts w:ascii="Arial" w:eastAsia="Calibri" w:hAnsi="Arial" w:cs="Arial"/>
          <w:color w:val="000000" w:themeColor="text1"/>
          <w:sz w:val="22"/>
        </w:rPr>
        <w:t xml:space="preserve"> contratación, siendo determinantes para descartar una contratación directa, aquellos procedimientos en los que exista una convocatoria pública que permita la participación de una pluralidad de oferentes.</w:t>
      </w:r>
    </w:p>
    <w:p w14:paraId="18977E5B" w14:textId="4D5496C0" w:rsidR="0093715D" w:rsidRPr="00340215" w:rsidRDefault="0093715D" w:rsidP="00E95B10">
      <w:pPr>
        <w:spacing w:after="120"/>
        <w:ind w:firstLine="709"/>
        <w:rPr>
          <w:rFonts w:ascii="Arial" w:eastAsia="Calibri" w:hAnsi="Arial" w:cs="Arial"/>
          <w:color w:val="000000" w:themeColor="text1"/>
          <w:sz w:val="22"/>
        </w:rPr>
      </w:pPr>
      <w:r w:rsidRPr="00340215">
        <w:rPr>
          <w:rFonts w:ascii="Arial" w:eastAsia="Calibri" w:hAnsi="Arial" w:cs="Arial"/>
          <w:color w:val="000000" w:themeColor="text1"/>
          <w:sz w:val="22"/>
        </w:rPr>
        <w:t>L</w:t>
      </w:r>
      <w:r w:rsidR="00CE5DD2" w:rsidRPr="00340215">
        <w:rPr>
          <w:rFonts w:ascii="Arial" w:eastAsia="Calibri" w:hAnsi="Arial" w:cs="Arial"/>
          <w:color w:val="000000" w:themeColor="text1"/>
          <w:sz w:val="22"/>
        </w:rPr>
        <w:t>a Ley 2056 de 2020 y el Decreto 1821 de 2020 regula</w:t>
      </w:r>
      <w:r w:rsidRPr="00340215">
        <w:rPr>
          <w:rFonts w:ascii="Arial" w:eastAsia="Calibri" w:hAnsi="Arial" w:cs="Arial"/>
          <w:color w:val="000000" w:themeColor="text1"/>
          <w:sz w:val="22"/>
        </w:rPr>
        <w:t>n</w:t>
      </w:r>
      <w:r w:rsidR="00CE5DD2" w:rsidRPr="00340215">
        <w:rPr>
          <w:rFonts w:ascii="Arial" w:eastAsia="Calibri" w:hAnsi="Arial" w:cs="Arial"/>
          <w:color w:val="000000" w:themeColor="text1"/>
          <w:sz w:val="22"/>
        </w:rPr>
        <w:t xml:space="preserve"> de manera específica todo lo relacionado con los proyectos de inversión con cargo a recursos del Sistema General de Regalías, entre los cuales se encuentra el proceso para la selección de los proyectos de inversión en ciencia, tecnología e innovación que se financian con los recursos de la Asignación para la Ciencia, Tecnología e Innovació</w:t>
      </w:r>
      <w:r w:rsidR="001343FA" w:rsidRPr="00340215">
        <w:rPr>
          <w:rFonts w:ascii="Arial" w:eastAsia="Calibri" w:hAnsi="Arial" w:cs="Arial"/>
          <w:color w:val="000000" w:themeColor="text1"/>
          <w:sz w:val="22"/>
        </w:rPr>
        <w:t>n. Esta</w:t>
      </w:r>
      <w:r w:rsidR="00CE5DD2" w:rsidRPr="00340215">
        <w:rPr>
          <w:rFonts w:ascii="Arial" w:eastAsia="Calibri" w:hAnsi="Arial" w:cs="Arial"/>
          <w:color w:val="000000" w:themeColor="text1"/>
          <w:sz w:val="22"/>
        </w:rPr>
        <w:t>s convocatorias</w:t>
      </w:r>
      <w:r w:rsidR="001343FA" w:rsidRPr="00340215">
        <w:rPr>
          <w:rFonts w:ascii="Arial" w:eastAsia="Calibri" w:hAnsi="Arial" w:cs="Arial"/>
          <w:color w:val="000000" w:themeColor="text1"/>
          <w:sz w:val="22"/>
        </w:rPr>
        <w:t>,</w:t>
      </w:r>
      <w:r w:rsidR="00CE5DD2" w:rsidRPr="00340215">
        <w:rPr>
          <w:rFonts w:ascii="Arial" w:eastAsia="Calibri" w:hAnsi="Arial" w:cs="Arial"/>
          <w:color w:val="000000" w:themeColor="text1"/>
          <w:sz w:val="22"/>
        </w:rPr>
        <w:t xml:space="preserve"> a las que se refiere el artículo 10 de la Ley 2056 de 2020</w:t>
      </w:r>
      <w:r w:rsidR="001343FA" w:rsidRPr="00340215">
        <w:rPr>
          <w:rFonts w:ascii="Arial" w:eastAsia="Calibri" w:hAnsi="Arial" w:cs="Arial"/>
          <w:color w:val="000000" w:themeColor="text1"/>
          <w:sz w:val="22"/>
        </w:rPr>
        <w:t>,</w:t>
      </w:r>
      <w:r w:rsidR="00CE5DD2" w:rsidRPr="00340215">
        <w:rPr>
          <w:rFonts w:ascii="Arial" w:eastAsia="Calibri" w:hAnsi="Arial" w:cs="Arial"/>
          <w:color w:val="000000" w:themeColor="text1"/>
          <w:sz w:val="22"/>
        </w:rPr>
        <w:t xml:space="preserve"> tienen una naturaleza particular,</w:t>
      </w:r>
      <w:r w:rsidR="001343FA" w:rsidRPr="00340215">
        <w:rPr>
          <w:rFonts w:ascii="Arial" w:eastAsia="Calibri" w:hAnsi="Arial" w:cs="Arial"/>
          <w:color w:val="000000" w:themeColor="text1"/>
          <w:sz w:val="22"/>
        </w:rPr>
        <w:t xml:space="preserve"> cuyo procedimiento e</w:t>
      </w:r>
      <w:r w:rsidR="007B018A" w:rsidRPr="00340215">
        <w:rPr>
          <w:rFonts w:ascii="Arial" w:eastAsia="Calibri" w:hAnsi="Arial" w:cs="Arial"/>
          <w:color w:val="000000" w:themeColor="text1"/>
          <w:sz w:val="22"/>
        </w:rPr>
        <w:t xml:space="preserve">s reglamentado </w:t>
      </w:r>
      <w:r w:rsidR="001343FA" w:rsidRPr="00340215">
        <w:rPr>
          <w:rFonts w:ascii="Arial" w:eastAsia="Calibri" w:hAnsi="Arial" w:cs="Arial"/>
          <w:color w:val="000000" w:themeColor="text1"/>
          <w:sz w:val="22"/>
        </w:rPr>
        <w:t xml:space="preserve">por los artículos </w:t>
      </w:r>
      <w:r w:rsidR="007B018A" w:rsidRPr="00340215">
        <w:rPr>
          <w:rFonts w:ascii="Arial" w:eastAsia="Calibri" w:hAnsi="Arial" w:cs="Arial"/>
          <w:color w:val="000000" w:themeColor="text1"/>
          <w:sz w:val="22"/>
        </w:rPr>
        <w:t xml:space="preserve">1.2.3.2.1. y </w:t>
      </w:r>
      <w:r w:rsidR="00504062" w:rsidRPr="00340215">
        <w:rPr>
          <w:rFonts w:ascii="Arial" w:eastAsia="Calibri" w:hAnsi="Arial" w:cs="Arial"/>
          <w:color w:val="000000" w:themeColor="text1"/>
          <w:sz w:val="22"/>
        </w:rPr>
        <w:t>ss.</w:t>
      </w:r>
      <w:r w:rsidR="007B018A" w:rsidRPr="00340215">
        <w:rPr>
          <w:rFonts w:ascii="Arial" w:eastAsia="Calibri" w:hAnsi="Arial" w:cs="Arial"/>
          <w:color w:val="000000" w:themeColor="text1"/>
          <w:sz w:val="22"/>
        </w:rPr>
        <w:t xml:space="preserve"> del Decreto 1821 de </w:t>
      </w:r>
      <w:r w:rsidR="00CE5DD2" w:rsidRPr="00340215">
        <w:rPr>
          <w:rFonts w:ascii="Arial" w:eastAsia="Calibri" w:hAnsi="Arial" w:cs="Arial"/>
          <w:color w:val="000000" w:themeColor="text1"/>
          <w:sz w:val="22"/>
        </w:rPr>
        <w:t xml:space="preserve"> </w:t>
      </w:r>
      <w:r w:rsidR="007B018A" w:rsidRPr="00340215">
        <w:rPr>
          <w:rFonts w:ascii="Arial" w:eastAsia="Calibri" w:hAnsi="Arial" w:cs="Arial"/>
          <w:color w:val="000000" w:themeColor="text1"/>
          <w:sz w:val="22"/>
        </w:rPr>
        <w:t xml:space="preserve">2021, en concordancia con el </w:t>
      </w:r>
      <w:r w:rsidRPr="00340215">
        <w:rPr>
          <w:rFonts w:ascii="Arial" w:eastAsia="Calibri" w:hAnsi="Arial" w:cs="Arial"/>
          <w:color w:val="000000" w:themeColor="text1"/>
          <w:sz w:val="22"/>
        </w:rPr>
        <w:t>Capítulo</w:t>
      </w:r>
      <w:r w:rsidR="007B018A" w:rsidRPr="00340215">
        <w:rPr>
          <w:rFonts w:ascii="Arial" w:eastAsia="Calibri" w:hAnsi="Arial" w:cs="Arial"/>
          <w:color w:val="000000" w:themeColor="text1"/>
          <w:sz w:val="22"/>
        </w:rPr>
        <w:t xml:space="preserve"> 5 del </w:t>
      </w:r>
      <w:r w:rsidR="007D14D7" w:rsidRPr="00340215">
        <w:rPr>
          <w:rFonts w:ascii="Arial" w:eastAsia="Calibri" w:hAnsi="Arial" w:cs="Arial"/>
          <w:color w:val="000000" w:themeColor="text1"/>
          <w:sz w:val="22"/>
        </w:rPr>
        <w:t>Título</w:t>
      </w:r>
      <w:r w:rsidR="007B018A" w:rsidRPr="00340215">
        <w:rPr>
          <w:rFonts w:ascii="Arial" w:eastAsia="Calibri" w:hAnsi="Arial" w:cs="Arial"/>
          <w:color w:val="000000" w:themeColor="text1"/>
          <w:sz w:val="22"/>
        </w:rPr>
        <w:t xml:space="preserve"> IV de la Ley</w:t>
      </w:r>
      <w:r w:rsidR="007D14D7" w:rsidRPr="00340215">
        <w:rPr>
          <w:rFonts w:ascii="Arial" w:eastAsia="Calibri" w:hAnsi="Arial" w:cs="Arial"/>
          <w:color w:val="000000" w:themeColor="text1"/>
          <w:sz w:val="22"/>
        </w:rPr>
        <w:t xml:space="preserve"> 2056 de 2021, normas que son enfáticas en establecer la naturaleza pública, </w:t>
      </w:r>
      <w:r w:rsidR="009A400A" w:rsidRPr="00340215">
        <w:rPr>
          <w:rFonts w:ascii="Arial" w:eastAsia="Calibri" w:hAnsi="Arial" w:cs="Arial"/>
          <w:color w:val="000000" w:themeColor="text1"/>
          <w:sz w:val="22"/>
        </w:rPr>
        <w:t xml:space="preserve">abierta y competitiva de estos procesos, </w:t>
      </w:r>
      <w:r w:rsidR="00B85CA1" w:rsidRPr="00340215">
        <w:rPr>
          <w:rFonts w:ascii="Arial" w:eastAsia="Calibri" w:hAnsi="Arial" w:cs="Arial"/>
          <w:color w:val="000000" w:themeColor="text1"/>
          <w:sz w:val="22"/>
        </w:rPr>
        <w:t>que los ubica por fuera de</w:t>
      </w:r>
      <w:r w:rsidR="00504062" w:rsidRPr="00340215">
        <w:rPr>
          <w:rFonts w:ascii="Arial" w:eastAsia="Calibri" w:hAnsi="Arial" w:cs="Arial"/>
          <w:color w:val="000000" w:themeColor="text1"/>
          <w:sz w:val="22"/>
        </w:rPr>
        <w:t xml:space="preserve"> </w:t>
      </w:r>
      <w:r w:rsidR="00B85CA1" w:rsidRPr="00340215">
        <w:rPr>
          <w:rFonts w:ascii="Arial" w:eastAsia="Calibri" w:hAnsi="Arial" w:cs="Arial"/>
          <w:color w:val="000000" w:themeColor="text1"/>
          <w:sz w:val="22"/>
        </w:rPr>
        <w:t>l</w:t>
      </w:r>
      <w:r w:rsidR="00504062" w:rsidRPr="00340215">
        <w:rPr>
          <w:rFonts w:ascii="Arial" w:eastAsia="Calibri" w:hAnsi="Arial" w:cs="Arial"/>
          <w:color w:val="000000" w:themeColor="text1"/>
          <w:sz w:val="22"/>
        </w:rPr>
        <w:t>a</w:t>
      </w:r>
      <w:r w:rsidR="00B85CA1" w:rsidRPr="00340215">
        <w:rPr>
          <w:rFonts w:ascii="Arial" w:eastAsia="Calibri" w:hAnsi="Arial" w:cs="Arial"/>
          <w:color w:val="000000" w:themeColor="text1"/>
          <w:sz w:val="22"/>
        </w:rPr>
        <w:t xml:space="preserve"> noción de contratación directa </w:t>
      </w:r>
      <w:r w:rsidR="00B854FE" w:rsidRPr="00340215">
        <w:rPr>
          <w:rFonts w:ascii="Arial" w:eastAsia="Calibri" w:hAnsi="Arial" w:cs="Arial"/>
          <w:color w:val="000000" w:themeColor="text1"/>
          <w:sz w:val="22"/>
        </w:rPr>
        <w:t xml:space="preserve">explicada en el presente concepto. </w:t>
      </w:r>
    </w:p>
    <w:p w14:paraId="0236EE87" w14:textId="13EA1443" w:rsidR="004D5458" w:rsidRPr="00340215" w:rsidRDefault="002067AD" w:rsidP="00A41722">
      <w:pPr>
        <w:spacing w:after="0"/>
        <w:ind w:firstLine="709"/>
        <w:rPr>
          <w:rFonts w:ascii="Arial" w:hAnsi="Arial" w:cs="Arial"/>
          <w:sz w:val="22"/>
        </w:rPr>
      </w:pPr>
      <w:r w:rsidRPr="00340215">
        <w:rPr>
          <w:rFonts w:ascii="Arial" w:eastAsia="Calibri" w:hAnsi="Arial" w:cs="Arial"/>
          <w:color w:val="000000" w:themeColor="text1"/>
          <w:sz w:val="22"/>
        </w:rPr>
        <w:t>En todo caso,</w:t>
      </w:r>
      <w:r w:rsidR="002F40C7" w:rsidRPr="00340215">
        <w:rPr>
          <w:rFonts w:ascii="Arial" w:eastAsia="Calibri" w:hAnsi="Arial" w:cs="Arial"/>
          <w:color w:val="000000" w:themeColor="text1"/>
          <w:sz w:val="22"/>
        </w:rPr>
        <w:t xml:space="preserve"> es preciso advertir que,</w:t>
      </w:r>
      <w:r w:rsidRPr="00340215">
        <w:rPr>
          <w:rFonts w:ascii="Arial" w:eastAsia="Calibri" w:hAnsi="Arial" w:cs="Arial"/>
          <w:color w:val="000000" w:themeColor="text1"/>
          <w:sz w:val="22"/>
        </w:rPr>
        <w:t xml:space="preserve"> corresponde a las entidades estatales</w:t>
      </w:r>
      <w:r w:rsidR="002F40C7" w:rsidRPr="00340215">
        <w:rPr>
          <w:rFonts w:ascii="Arial" w:eastAsia="Calibri" w:hAnsi="Arial" w:cs="Arial"/>
          <w:color w:val="000000" w:themeColor="text1"/>
          <w:sz w:val="22"/>
        </w:rPr>
        <w:t xml:space="preserve"> a través de sus funcionarios</w:t>
      </w:r>
      <w:r w:rsidR="008C1458" w:rsidRPr="00340215">
        <w:rPr>
          <w:rFonts w:ascii="Arial" w:eastAsia="Calibri" w:hAnsi="Arial" w:cs="Arial"/>
          <w:color w:val="000000" w:themeColor="text1"/>
          <w:sz w:val="22"/>
        </w:rPr>
        <w:t xml:space="preserve"> y </w:t>
      </w:r>
      <w:r w:rsidR="00444019" w:rsidRPr="00340215">
        <w:rPr>
          <w:rFonts w:ascii="Arial" w:eastAsia="Calibri" w:hAnsi="Arial" w:cs="Arial"/>
          <w:color w:val="000000" w:themeColor="text1"/>
          <w:sz w:val="22"/>
        </w:rPr>
        <w:t xml:space="preserve">con el apoyo de sus </w:t>
      </w:r>
      <w:r w:rsidR="008C1458" w:rsidRPr="00340215">
        <w:rPr>
          <w:rFonts w:ascii="Arial" w:eastAsia="Calibri" w:hAnsi="Arial" w:cs="Arial"/>
          <w:color w:val="000000" w:themeColor="text1"/>
          <w:sz w:val="22"/>
        </w:rPr>
        <w:t xml:space="preserve">órganos asesores, </w:t>
      </w:r>
      <w:r w:rsidRPr="00340215">
        <w:rPr>
          <w:rFonts w:ascii="Arial" w:eastAsia="Calibri" w:hAnsi="Arial" w:cs="Arial"/>
          <w:color w:val="000000" w:themeColor="text1"/>
          <w:sz w:val="22"/>
        </w:rPr>
        <w:t xml:space="preserve">analizar en cada caso </w:t>
      </w:r>
      <w:r w:rsidR="008C1458" w:rsidRPr="00340215">
        <w:rPr>
          <w:rFonts w:ascii="Arial" w:eastAsia="Calibri" w:hAnsi="Arial" w:cs="Arial"/>
          <w:color w:val="000000" w:themeColor="text1"/>
          <w:sz w:val="22"/>
        </w:rPr>
        <w:t xml:space="preserve">la normativa aplicable </w:t>
      </w:r>
      <w:r w:rsidR="00F53DC2" w:rsidRPr="00340215">
        <w:rPr>
          <w:rFonts w:ascii="Arial" w:eastAsia="Calibri" w:hAnsi="Arial" w:cs="Arial"/>
          <w:color w:val="000000" w:themeColor="text1"/>
          <w:sz w:val="22"/>
        </w:rPr>
        <w:t xml:space="preserve">a los objetos contractuales que requieren, </w:t>
      </w:r>
      <w:r w:rsidR="002970C9" w:rsidRPr="00340215">
        <w:rPr>
          <w:rFonts w:ascii="Arial" w:eastAsia="Calibri" w:hAnsi="Arial" w:cs="Arial"/>
          <w:color w:val="000000" w:themeColor="text1"/>
          <w:sz w:val="22"/>
        </w:rPr>
        <w:t xml:space="preserve">estableciendo en cada </w:t>
      </w:r>
      <w:r w:rsidR="002970C9" w:rsidRPr="00340215">
        <w:rPr>
          <w:rFonts w:ascii="Arial" w:eastAsia="Calibri" w:hAnsi="Arial" w:cs="Arial"/>
          <w:color w:val="000000" w:themeColor="text1"/>
          <w:sz w:val="22"/>
        </w:rPr>
        <w:lastRenderedPageBreak/>
        <w:t>situación el tratamiento jurídico correspondiente. Esto supone</w:t>
      </w:r>
      <w:r w:rsidR="00D828D7" w:rsidRPr="00340215">
        <w:rPr>
          <w:rFonts w:ascii="Arial" w:eastAsia="Calibri" w:hAnsi="Arial" w:cs="Arial"/>
          <w:color w:val="000000" w:themeColor="text1"/>
          <w:sz w:val="22"/>
        </w:rPr>
        <w:t xml:space="preserve"> que,</w:t>
      </w:r>
      <w:r w:rsidR="002970C9" w:rsidRPr="00340215">
        <w:rPr>
          <w:rFonts w:ascii="Arial" w:eastAsia="Calibri" w:hAnsi="Arial" w:cs="Arial"/>
          <w:color w:val="000000" w:themeColor="text1"/>
          <w:sz w:val="22"/>
        </w:rPr>
        <w:t xml:space="preserve"> </w:t>
      </w:r>
      <w:r w:rsidR="00D828D7" w:rsidRPr="00340215">
        <w:rPr>
          <w:rFonts w:ascii="Arial" w:eastAsia="Calibri" w:hAnsi="Arial" w:cs="Arial"/>
          <w:color w:val="000000" w:themeColor="text1"/>
          <w:sz w:val="22"/>
        </w:rPr>
        <w:t xml:space="preserve">por ejemplo, </w:t>
      </w:r>
      <w:r w:rsidR="002970C9" w:rsidRPr="00340215">
        <w:rPr>
          <w:rFonts w:ascii="Arial" w:eastAsia="Calibri" w:hAnsi="Arial" w:cs="Arial"/>
          <w:color w:val="000000" w:themeColor="text1"/>
          <w:sz w:val="22"/>
        </w:rPr>
        <w:t xml:space="preserve">para determinar la aplicación </w:t>
      </w:r>
      <w:r w:rsidR="00D828D7" w:rsidRPr="00340215">
        <w:rPr>
          <w:rFonts w:ascii="Arial" w:eastAsia="Calibri" w:hAnsi="Arial" w:cs="Arial"/>
          <w:color w:val="000000" w:themeColor="text1"/>
          <w:sz w:val="22"/>
        </w:rPr>
        <w:t xml:space="preserve">de la restricción del artículo 33 de la Ley 996 de 2005 en </w:t>
      </w:r>
      <w:r w:rsidR="002E40A8" w:rsidRPr="00340215">
        <w:rPr>
          <w:rFonts w:ascii="Arial" w:eastAsia="Calibri" w:hAnsi="Arial" w:cs="Arial"/>
          <w:color w:val="000000" w:themeColor="text1"/>
          <w:sz w:val="22"/>
        </w:rPr>
        <w:t xml:space="preserve">un objeto contractual especifico, la entidad contratante deberá, con base en </w:t>
      </w:r>
      <w:r w:rsidR="00057FCD" w:rsidRPr="00340215">
        <w:rPr>
          <w:rFonts w:ascii="Arial" w:eastAsia="Calibri" w:hAnsi="Arial" w:cs="Arial"/>
          <w:color w:val="000000" w:themeColor="text1"/>
          <w:sz w:val="22"/>
        </w:rPr>
        <w:t>los</w:t>
      </w:r>
      <w:r w:rsidR="002E40A8" w:rsidRPr="00340215">
        <w:rPr>
          <w:rFonts w:ascii="Arial" w:eastAsia="Calibri" w:hAnsi="Arial" w:cs="Arial"/>
          <w:color w:val="000000" w:themeColor="text1"/>
          <w:sz w:val="22"/>
        </w:rPr>
        <w:t xml:space="preserve"> criterio</w:t>
      </w:r>
      <w:r w:rsidR="00057FCD" w:rsidRPr="00340215">
        <w:rPr>
          <w:rFonts w:ascii="Arial" w:eastAsia="Calibri" w:hAnsi="Arial" w:cs="Arial"/>
          <w:color w:val="000000" w:themeColor="text1"/>
          <w:sz w:val="22"/>
        </w:rPr>
        <w:t>s</w:t>
      </w:r>
      <w:r w:rsidR="002E40A8" w:rsidRPr="00340215">
        <w:rPr>
          <w:rFonts w:ascii="Arial" w:eastAsia="Calibri" w:hAnsi="Arial" w:cs="Arial"/>
          <w:color w:val="000000" w:themeColor="text1"/>
          <w:sz w:val="22"/>
        </w:rPr>
        <w:t xml:space="preserve"> expuesto</w:t>
      </w:r>
      <w:r w:rsidR="00057FCD" w:rsidRPr="00340215">
        <w:rPr>
          <w:rFonts w:ascii="Arial" w:eastAsia="Calibri" w:hAnsi="Arial" w:cs="Arial"/>
          <w:color w:val="000000" w:themeColor="text1"/>
          <w:sz w:val="22"/>
        </w:rPr>
        <w:t>s</w:t>
      </w:r>
      <w:r w:rsidR="002E40A8" w:rsidRPr="00340215">
        <w:rPr>
          <w:rFonts w:ascii="Arial" w:eastAsia="Calibri" w:hAnsi="Arial" w:cs="Arial"/>
          <w:color w:val="000000" w:themeColor="text1"/>
          <w:sz w:val="22"/>
        </w:rPr>
        <w:t xml:space="preserve">, establecer si el mismo procede de la aplicación de un proceso </w:t>
      </w:r>
      <w:r w:rsidR="00057FCD" w:rsidRPr="00340215">
        <w:rPr>
          <w:rFonts w:ascii="Arial" w:eastAsia="Calibri" w:hAnsi="Arial" w:cs="Arial"/>
          <w:color w:val="000000" w:themeColor="text1"/>
          <w:sz w:val="22"/>
        </w:rPr>
        <w:t>con pluralidad de oferentes</w:t>
      </w:r>
      <w:r w:rsidR="002101BE" w:rsidRPr="00340215">
        <w:rPr>
          <w:rFonts w:ascii="Arial" w:eastAsia="Calibri" w:hAnsi="Arial" w:cs="Arial"/>
          <w:color w:val="000000" w:themeColor="text1"/>
          <w:sz w:val="22"/>
        </w:rPr>
        <w:t xml:space="preserve">, o si, en su defecto, está sometida al alguna de las excepciones. </w:t>
      </w:r>
      <w:r w:rsidR="00057FCD" w:rsidRPr="00340215">
        <w:rPr>
          <w:rFonts w:ascii="Arial" w:eastAsia="Calibri" w:hAnsi="Arial" w:cs="Arial"/>
          <w:color w:val="000000" w:themeColor="text1"/>
          <w:sz w:val="22"/>
        </w:rPr>
        <w:t xml:space="preserve"> </w:t>
      </w:r>
      <w:r w:rsidR="002E40A8" w:rsidRPr="00340215">
        <w:rPr>
          <w:rFonts w:ascii="Arial" w:eastAsia="Calibri" w:hAnsi="Arial" w:cs="Arial"/>
          <w:color w:val="000000" w:themeColor="text1"/>
          <w:sz w:val="22"/>
        </w:rPr>
        <w:t xml:space="preserve"> </w:t>
      </w:r>
      <w:r w:rsidR="00D828D7" w:rsidRPr="00340215">
        <w:rPr>
          <w:rFonts w:ascii="Arial" w:eastAsia="Calibri" w:hAnsi="Arial" w:cs="Arial"/>
          <w:color w:val="000000" w:themeColor="text1"/>
          <w:sz w:val="22"/>
        </w:rPr>
        <w:t xml:space="preserve"> </w:t>
      </w:r>
    </w:p>
    <w:p w14:paraId="6451B25F" w14:textId="77777777" w:rsidR="008130F8" w:rsidRPr="00340215" w:rsidRDefault="008130F8" w:rsidP="008130F8">
      <w:pPr>
        <w:spacing w:after="0" w:line="240" w:lineRule="auto"/>
        <w:rPr>
          <w:rFonts w:ascii="Arial" w:eastAsia="Calibri" w:hAnsi="Arial" w:cs="Arial"/>
          <w:color w:val="000000" w:themeColor="text1"/>
        </w:rPr>
      </w:pPr>
    </w:p>
    <w:p w14:paraId="23491A42" w14:textId="1538645E" w:rsidR="00775A76" w:rsidRPr="00340215" w:rsidRDefault="00775A76" w:rsidP="00282F29">
      <w:pPr>
        <w:spacing w:after="0"/>
        <w:rPr>
          <w:rFonts w:ascii="Arial" w:eastAsia="Calibri" w:hAnsi="Arial" w:cs="Arial"/>
          <w:sz w:val="22"/>
          <w:lang w:val="es-CO"/>
        </w:rPr>
      </w:pPr>
      <w:bookmarkStart w:id="14" w:name="_Hlk57650395"/>
      <w:r w:rsidRPr="00340215">
        <w:rPr>
          <w:rFonts w:ascii="Arial" w:eastAsia="Calibri" w:hAnsi="Arial" w:cs="Arial"/>
          <w:sz w:val="22"/>
          <w:lang w:val="es-CO"/>
        </w:rPr>
        <w:t>Este concepto tiene el alcance previsto en el artículo 28 del Código de Procedimiento Administrativo y de lo Contencioso Administrativo.</w:t>
      </w:r>
    </w:p>
    <w:p w14:paraId="2F6F3334" w14:textId="77777777" w:rsidR="00B22B06" w:rsidRPr="00340215" w:rsidRDefault="00B22B06" w:rsidP="00282F29">
      <w:pPr>
        <w:spacing w:after="0"/>
        <w:rPr>
          <w:rFonts w:ascii="Arial" w:eastAsia="Calibri" w:hAnsi="Arial" w:cs="Arial"/>
          <w:sz w:val="22"/>
          <w:lang w:val="es-CO"/>
        </w:rPr>
      </w:pPr>
    </w:p>
    <w:p w14:paraId="46812BD8" w14:textId="77777777" w:rsidR="00775A76" w:rsidRPr="00340215" w:rsidRDefault="00775A76" w:rsidP="00775A76">
      <w:pPr>
        <w:spacing w:after="0"/>
        <w:ind w:firstLine="709"/>
        <w:rPr>
          <w:rFonts w:ascii="Arial" w:eastAsia="Calibri" w:hAnsi="Arial" w:cs="Arial"/>
          <w:sz w:val="22"/>
          <w:lang w:val="es-CO"/>
        </w:rPr>
      </w:pPr>
      <w:r w:rsidRPr="00340215">
        <w:rPr>
          <w:rFonts w:ascii="Arial" w:hAnsi="Arial" w:cs="Arial"/>
          <w:noProof/>
          <w:sz w:val="22"/>
          <w:lang w:val="en-US"/>
        </w:rPr>
        <mc:AlternateContent>
          <mc:Choice Requires="wps">
            <w:drawing>
              <wp:anchor distT="0" distB="0" distL="114300" distR="114300" simplePos="0" relativeHeight="251659264" behindDoc="0" locked="0" layoutInCell="1" allowOverlap="1" wp14:anchorId="25FF73E3" wp14:editId="540D8156">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324E1B69"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647BDD73" w14:textId="77777777" w:rsidR="00775A76" w:rsidRPr="00340215" w:rsidRDefault="00775A76" w:rsidP="00282F29">
      <w:pPr>
        <w:spacing w:after="0"/>
        <w:rPr>
          <w:rFonts w:ascii="Arial" w:eastAsia="Times New Roman" w:hAnsi="Arial" w:cs="Arial"/>
          <w:sz w:val="22"/>
          <w:lang w:val="es-CO" w:eastAsia="es-CO"/>
        </w:rPr>
      </w:pPr>
      <w:r w:rsidRPr="00340215">
        <w:rPr>
          <w:rFonts w:ascii="Arial" w:eastAsia="Times New Roman" w:hAnsi="Arial" w:cs="Arial"/>
          <w:sz w:val="22"/>
          <w:lang w:val="es-CO" w:eastAsia="es-CO"/>
        </w:rPr>
        <w:t>Atentamente,</w:t>
      </w:r>
    </w:p>
    <w:p w14:paraId="7EEB78C3" w14:textId="5CAA36DF" w:rsidR="00775A76" w:rsidRPr="00340215" w:rsidRDefault="007A6B84" w:rsidP="00775A76">
      <w:pPr>
        <w:spacing w:after="0"/>
        <w:ind w:firstLine="709"/>
        <w:jc w:val="center"/>
        <w:rPr>
          <w:rFonts w:ascii="Arial" w:eastAsia="Times New Roman" w:hAnsi="Arial" w:cs="Arial"/>
          <w:color w:val="000000" w:themeColor="text1"/>
          <w:sz w:val="22"/>
          <w:lang w:eastAsia="es-CO"/>
        </w:rPr>
      </w:pPr>
      <w:r w:rsidRPr="00340215">
        <w:rPr>
          <w:rFonts w:ascii="Arial" w:hAnsi="Arial" w:cs="Arial"/>
          <w:b/>
          <w:bCs/>
          <w:noProof/>
          <w:sz w:val="22"/>
          <w:lang w:val="en-US"/>
        </w:rPr>
        <w:drawing>
          <wp:anchor distT="0" distB="0" distL="114300" distR="114300" simplePos="0" relativeHeight="251660288" behindDoc="0" locked="0" layoutInCell="1" allowOverlap="1" wp14:anchorId="2439F777" wp14:editId="33354683">
            <wp:simplePos x="0" y="0"/>
            <wp:positionH relativeFrom="margin">
              <wp:posOffset>1215390</wp:posOffset>
            </wp:positionH>
            <wp:positionV relativeFrom="paragraph">
              <wp:posOffset>28575</wp:posOffset>
            </wp:positionV>
            <wp:extent cx="3143250" cy="1383665"/>
            <wp:effectExtent l="0" t="0" r="0" b="698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noChangeArrowheads="1"/>
                    </pic:cNvPicPr>
                  </pic:nvPicPr>
                  <pic:blipFill>
                    <a:blip r:embed="rId12"/>
                    <a:stretch>
                      <a:fillRect/>
                    </a:stretch>
                  </pic:blipFill>
                  <pic:spPr bwMode="auto">
                    <a:xfrm>
                      <a:off x="0" y="0"/>
                      <a:ext cx="3143250" cy="1383665"/>
                    </a:xfrm>
                    <a:prstGeom prst="rect">
                      <a:avLst/>
                    </a:prstGeom>
                    <a:noFill/>
                  </pic:spPr>
                </pic:pic>
              </a:graphicData>
            </a:graphic>
            <wp14:sizeRelH relativeFrom="page">
              <wp14:pctWidth>0</wp14:pctWidth>
            </wp14:sizeRelH>
            <wp14:sizeRelV relativeFrom="page">
              <wp14:pctHeight>0</wp14:pctHeight>
            </wp14:sizeRelV>
          </wp:anchor>
        </w:drawing>
      </w:r>
    </w:p>
    <w:bookmarkEnd w:id="14"/>
    <w:p w14:paraId="3DCF61C7" w14:textId="77777777" w:rsidR="003B0175" w:rsidRPr="00340215" w:rsidRDefault="003B0175" w:rsidP="005445B2">
      <w:pPr>
        <w:spacing w:after="0"/>
        <w:ind w:left="720" w:firstLine="709"/>
        <w:rPr>
          <w:rFonts w:ascii="Arial" w:eastAsia="Times New Roman" w:hAnsi="Arial" w:cs="Arial"/>
          <w:sz w:val="21"/>
          <w:szCs w:val="21"/>
          <w:lang w:val="es-CO" w:eastAsia="es-ES_tradnl"/>
        </w:rPr>
      </w:pPr>
    </w:p>
    <w:p w14:paraId="7D6F710D" w14:textId="77777777" w:rsidR="00D8329B" w:rsidRPr="00340215" w:rsidRDefault="00D8329B" w:rsidP="00D8329B">
      <w:pPr>
        <w:spacing w:after="0"/>
        <w:rPr>
          <w:rFonts w:ascii="Arial" w:eastAsia="Calibri" w:hAnsi="Arial" w:cs="Arial"/>
          <w:sz w:val="21"/>
          <w:szCs w:val="21"/>
          <w:lang w:val="es-CO"/>
        </w:rPr>
      </w:pPr>
    </w:p>
    <w:p w14:paraId="55B4212B" w14:textId="7580315B" w:rsidR="006964B3" w:rsidRPr="00340215" w:rsidRDefault="006964B3" w:rsidP="005445B2">
      <w:pPr>
        <w:spacing w:after="0"/>
        <w:ind w:firstLine="709"/>
        <w:rPr>
          <w:rFonts w:ascii="Arial" w:eastAsia="Times New Roman" w:hAnsi="Arial" w:cs="Arial"/>
          <w:sz w:val="22"/>
          <w:lang w:val="es-CO" w:eastAsia="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F0D5B" w:rsidRPr="00340215" w14:paraId="5AE5F9C2" w14:textId="77777777" w:rsidTr="006C51C6">
        <w:trPr>
          <w:trHeight w:val="315"/>
        </w:trPr>
        <w:tc>
          <w:tcPr>
            <w:tcW w:w="812" w:type="dxa"/>
            <w:vAlign w:val="center"/>
            <w:hideMark/>
          </w:tcPr>
          <w:p w14:paraId="7748BFCB" w14:textId="77777777" w:rsidR="004F0D5B" w:rsidRPr="00340215" w:rsidRDefault="004F0D5B" w:rsidP="006C51C6">
            <w:pPr>
              <w:rPr>
                <w:rFonts w:ascii="Arial" w:eastAsia="Times New Roman" w:hAnsi="Arial" w:cs="Arial"/>
                <w:sz w:val="16"/>
                <w:szCs w:val="16"/>
                <w:lang w:val="es-ES_tradnl" w:eastAsia="es-ES"/>
              </w:rPr>
            </w:pPr>
            <w:r w:rsidRPr="00340215">
              <w:rPr>
                <w:rFonts w:ascii="Arial" w:eastAsia="Times New Roman"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3CF2C1B0" w14:textId="77777777" w:rsidR="004F0D5B" w:rsidRPr="00340215" w:rsidRDefault="004F0D5B" w:rsidP="006C51C6">
            <w:pPr>
              <w:rPr>
                <w:rFonts w:ascii="Arial" w:eastAsia="Times New Roman" w:hAnsi="Arial" w:cs="Arial"/>
                <w:sz w:val="16"/>
                <w:szCs w:val="16"/>
                <w:lang w:val="es-ES_tradnl" w:eastAsia="es-ES"/>
              </w:rPr>
            </w:pPr>
            <w:r w:rsidRPr="00340215">
              <w:rPr>
                <w:rFonts w:ascii="Arial" w:eastAsia="Times New Roman" w:hAnsi="Arial" w:cs="Arial"/>
                <w:sz w:val="16"/>
                <w:szCs w:val="16"/>
                <w:lang w:val="es-ES_tradnl" w:eastAsia="es-ES"/>
              </w:rPr>
              <w:t>Guillermo Escolar Flórez</w:t>
            </w:r>
          </w:p>
          <w:p w14:paraId="47FD48FD" w14:textId="77777777" w:rsidR="004F0D5B" w:rsidRPr="00340215" w:rsidRDefault="004F0D5B" w:rsidP="006C51C6">
            <w:pPr>
              <w:rPr>
                <w:rFonts w:ascii="Arial" w:eastAsia="Times New Roman" w:hAnsi="Arial" w:cs="Arial"/>
                <w:sz w:val="16"/>
                <w:szCs w:val="16"/>
                <w:lang w:val="es-ES_tradnl" w:eastAsia="es-ES"/>
              </w:rPr>
            </w:pPr>
            <w:r w:rsidRPr="00340215">
              <w:rPr>
                <w:rFonts w:ascii="Arial" w:eastAsia="Times New Roman" w:hAnsi="Arial" w:cs="Arial"/>
                <w:sz w:val="16"/>
                <w:szCs w:val="16"/>
                <w:lang w:val="es-ES_tradnl" w:eastAsia="es-ES"/>
              </w:rPr>
              <w:t>Contratista de la Subdirección de Gestión Contractual</w:t>
            </w:r>
          </w:p>
        </w:tc>
      </w:tr>
      <w:tr w:rsidR="004F0D5B" w:rsidRPr="00340215" w14:paraId="07615874" w14:textId="77777777" w:rsidTr="006C51C6">
        <w:trPr>
          <w:trHeight w:val="330"/>
        </w:trPr>
        <w:tc>
          <w:tcPr>
            <w:tcW w:w="812" w:type="dxa"/>
            <w:vAlign w:val="center"/>
            <w:hideMark/>
          </w:tcPr>
          <w:p w14:paraId="43AB7E3D" w14:textId="77777777" w:rsidR="004F0D5B" w:rsidRPr="00340215" w:rsidRDefault="004F0D5B" w:rsidP="006C51C6">
            <w:pPr>
              <w:rPr>
                <w:rFonts w:ascii="Arial" w:eastAsia="Times New Roman" w:hAnsi="Arial" w:cs="Arial"/>
                <w:sz w:val="16"/>
                <w:szCs w:val="16"/>
                <w:lang w:val="es-ES_tradnl" w:eastAsia="es-ES"/>
              </w:rPr>
            </w:pPr>
            <w:r w:rsidRPr="00340215">
              <w:rPr>
                <w:rFonts w:ascii="Arial" w:eastAsia="Times New Roman"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516C02E" w14:textId="14C15E4C" w:rsidR="004F0D5B" w:rsidRPr="00340215" w:rsidRDefault="00101F2E" w:rsidP="006C51C6">
            <w:pPr>
              <w:rPr>
                <w:rFonts w:ascii="Arial" w:eastAsia="Times New Roman" w:hAnsi="Arial" w:cs="Arial"/>
                <w:color w:val="000000" w:themeColor="text1"/>
                <w:sz w:val="16"/>
                <w:szCs w:val="16"/>
                <w:lang w:val="es-ES_tradnl" w:eastAsia="es-ES"/>
              </w:rPr>
            </w:pPr>
            <w:r w:rsidRPr="00340215">
              <w:rPr>
                <w:rFonts w:ascii="Arial" w:eastAsia="Times New Roman" w:hAnsi="Arial" w:cs="Arial"/>
                <w:color w:val="000000" w:themeColor="text1"/>
                <w:sz w:val="16"/>
                <w:szCs w:val="16"/>
                <w:lang w:val="es-ES_tradnl" w:eastAsia="es-ES"/>
              </w:rPr>
              <w:t>Alejandro Sarmiento Cantillo</w:t>
            </w:r>
          </w:p>
          <w:p w14:paraId="74D76C44" w14:textId="77777777" w:rsidR="004F0D5B" w:rsidRPr="00340215" w:rsidRDefault="004F0D5B" w:rsidP="006C51C6">
            <w:pPr>
              <w:rPr>
                <w:rFonts w:ascii="Arial" w:eastAsia="Times New Roman" w:hAnsi="Arial" w:cs="Arial"/>
                <w:sz w:val="16"/>
                <w:szCs w:val="16"/>
                <w:lang w:val="es-ES_tradnl" w:eastAsia="es-ES"/>
              </w:rPr>
            </w:pPr>
            <w:r w:rsidRPr="00340215">
              <w:rPr>
                <w:rFonts w:ascii="Arial" w:hAnsi="Arial" w:cs="Arial"/>
                <w:sz w:val="16"/>
                <w:szCs w:val="16"/>
                <w:lang w:val="es-ES_tradnl" w:eastAsia="es-ES"/>
              </w:rPr>
              <w:t>Gestor T1-15 de la Subdirección de Gestión Contractual</w:t>
            </w:r>
          </w:p>
        </w:tc>
      </w:tr>
      <w:tr w:rsidR="004F0D5B" w:rsidRPr="00ED1F11" w14:paraId="1FC284C7" w14:textId="77777777" w:rsidTr="006C51C6">
        <w:trPr>
          <w:trHeight w:val="300"/>
        </w:trPr>
        <w:tc>
          <w:tcPr>
            <w:tcW w:w="812" w:type="dxa"/>
            <w:vAlign w:val="center"/>
            <w:hideMark/>
          </w:tcPr>
          <w:p w14:paraId="3C8B1569" w14:textId="77777777" w:rsidR="004F0D5B" w:rsidRPr="00340215" w:rsidRDefault="004F0D5B" w:rsidP="006C51C6">
            <w:pPr>
              <w:rPr>
                <w:rFonts w:ascii="Arial" w:eastAsia="Times New Roman" w:hAnsi="Arial" w:cs="Arial"/>
                <w:sz w:val="16"/>
                <w:szCs w:val="16"/>
                <w:lang w:val="es-ES_tradnl" w:eastAsia="es-ES"/>
              </w:rPr>
            </w:pPr>
            <w:r w:rsidRPr="00340215">
              <w:rPr>
                <w:rFonts w:ascii="Arial" w:eastAsia="Times New Roman"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EC12A9F" w14:textId="77777777" w:rsidR="004F0D5B" w:rsidRPr="00340215" w:rsidRDefault="004F0D5B" w:rsidP="006C51C6">
            <w:pPr>
              <w:rPr>
                <w:rFonts w:ascii="Arial" w:eastAsia="Times New Roman" w:hAnsi="Arial" w:cs="Arial"/>
                <w:sz w:val="16"/>
                <w:szCs w:val="16"/>
                <w:lang w:val="es-ES_tradnl" w:eastAsia="es-ES"/>
              </w:rPr>
            </w:pPr>
            <w:r w:rsidRPr="00340215">
              <w:rPr>
                <w:rFonts w:ascii="Arial" w:eastAsia="Times New Roman" w:hAnsi="Arial" w:cs="Arial"/>
                <w:sz w:val="16"/>
                <w:szCs w:val="16"/>
                <w:lang w:val="es-ES_tradnl" w:eastAsia="es-ES"/>
              </w:rPr>
              <w:t>Jorge Augusto Tirado Navarro</w:t>
            </w:r>
          </w:p>
          <w:p w14:paraId="138CE88F" w14:textId="77777777" w:rsidR="004F0D5B" w:rsidRPr="00ED1F11" w:rsidRDefault="004F0D5B" w:rsidP="006C51C6">
            <w:pPr>
              <w:rPr>
                <w:rFonts w:ascii="Arial" w:eastAsia="Times New Roman" w:hAnsi="Arial" w:cs="Arial"/>
                <w:sz w:val="16"/>
                <w:szCs w:val="16"/>
                <w:lang w:val="es-ES_tradnl" w:eastAsia="es-ES"/>
              </w:rPr>
            </w:pPr>
            <w:r w:rsidRPr="00340215">
              <w:rPr>
                <w:rFonts w:ascii="Arial" w:eastAsia="Times New Roman" w:hAnsi="Arial" w:cs="Arial"/>
                <w:sz w:val="16"/>
                <w:szCs w:val="16"/>
                <w:lang w:val="es-ES_tradnl" w:eastAsia="es-ES"/>
              </w:rPr>
              <w:t>Subdirector de Gestión Contractual</w:t>
            </w:r>
          </w:p>
        </w:tc>
      </w:tr>
    </w:tbl>
    <w:p w14:paraId="20333B98" w14:textId="77777777" w:rsidR="006674C1" w:rsidRPr="00B6197F" w:rsidRDefault="006674C1" w:rsidP="005445B2">
      <w:pPr>
        <w:spacing w:after="0"/>
        <w:ind w:firstLine="709"/>
        <w:contextualSpacing/>
        <w:rPr>
          <w:rFonts w:ascii="Arial" w:eastAsia="Calibri" w:hAnsi="Arial" w:cs="Arial"/>
          <w:b/>
          <w:bCs/>
          <w:sz w:val="22"/>
        </w:rPr>
      </w:pPr>
    </w:p>
    <w:sectPr w:rsidR="006674C1" w:rsidRPr="00B6197F" w:rsidSect="00FE0395">
      <w:headerReference w:type="default" r:id="rId13"/>
      <w:footerReference w:type="default" r:id="rId14"/>
      <w:pgSz w:w="12240" w:h="15840"/>
      <w:pgMar w:top="411"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AE6508" w14:textId="77777777" w:rsidR="0007462B" w:rsidRDefault="0007462B">
      <w:r>
        <w:separator/>
      </w:r>
    </w:p>
  </w:endnote>
  <w:endnote w:type="continuationSeparator" w:id="0">
    <w:p w14:paraId="0933B26F" w14:textId="77777777" w:rsidR="0007462B" w:rsidRDefault="00074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8D1CB" w14:textId="1AB2AE8F" w:rsidR="006C51C6" w:rsidRDefault="006C51C6" w:rsidP="00B6444C">
    <w:pPr>
      <w:pStyle w:val="Sinespaciado"/>
      <w:rPr>
        <w:rFonts w:ascii="Arial" w:hAnsi="Arial" w:cs="Arial"/>
        <w:sz w:val="18"/>
        <w:szCs w:val="18"/>
      </w:rPr>
    </w:pPr>
  </w:p>
  <w:p w14:paraId="53DF6B5B" w14:textId="77777777" w:rsidR="006C51C6" w:rsidRDefault="006C51C6" w:rsidP="00B6444C">
    <w:pPr>
      <w:pStyle w:val="Sinespaciado"/>
      <w:rPr>
        <w:rFonts w:ascii="Arial" w:hAnsi="Arial" w:cs="Arial"/>
        <w:sz w:val="18"/>
        <w:szCs w:val="18"/>
      </w:rPr>
    </w:pPr>
  </w:p>
  <w:p w14:paraId="312C4A14" w14:textId="6FCDFF9A" w:rsidR="006C51C6" w:rsidRPr="005A79FE" w:rsidRDefault="006C51C6"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27AF8">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27AF8">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48FC6A04" w14:textId="4A5E79D2" w:rsidR="006C51C6" w:rsidRDefault="006C51C6" w:rsidP="007B0854">
    <w:pPr>
      <w:pStyle w:val="Piedepgina"/>
      <w:jc w:val="center"/>
      <w:rPr>
        <w:lang w:val="es-ES"/>
      </w:rPr>
    </w:pPr>
    <w:r>
      <w:rPr>
        <w:noProof/>
        <w:lang w:val="en-US"/>
      </w:rPr>
      <w:drawing>
        <wp:inline distT="0" distB="0" distL="0" distR="0" wp14:anchorId="608B196D" wp14:editId="577C97FD">
          <wp:extent cx="4241994" cy="595165"/>
          <wp:effectExtent l="0" t="0" r="6350" b="0"/>
          <wp:docPr id="1833779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25744B2D" w14:textId="77777777" w:rsidR="006C51C6" w:rsidRDefault="006C51C6" w:rsidP="007B0854">
    <w:pPr>
      <w:pStyle w:val="Piedepgina"/>
      <w:jc w:val="center"/>
      <w:rPr>
        <w:lang w:val="es-ES"/>
      </w:rPr>
    </w:pPr>
  </w:p>
  <w:p w14:paraId="645768A8" w14:textId="77777777" w:rsidR="006C51C6" w:rsidRPr="007B0854" w:rsidRDefault="006C51C6"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ED7E32" w14:textId="77777777" w:rsidR="0007462B" w:rsidRDefault="0007462B">
      <w:r>
        <w:separator/>
      </w:r>
    </w:p>
  </w:footnote>
  <w:footnote w:type="continuationSeparator" w:id="0">
    <w:p w14:paraId="6C3069E0" w14:textId="77777777" w:rsidR="0007462B" w:rsidRDefault="0007462B">
      <w:r>
        <w:continuationSeparator/>
      </w:r>
    </w:p>
  </w:footnote>
  <w:footnote w:id="1">
    <w:p w14:paraId="3B4CD7BB" w14:textId="36302637" w:rsidR="00925EF9" w:rsidRPr="00A41722" w:rsidRDefault="00925EF9" w:rsidP="00460591">
      <w:pPr>
        <w:pStyle w:val="Textonotapie"/>
        <w:spacing w:after="0" w:line="240" w:lineRule="auto"/>
        <w:ind w:firstLine="708"/>
        <w:rPr>
          <w:rFonts w:ascii="Arial" w:hAnsi="Arial" w:cs="Arial"/>
          <w:sz w:val="18"/>
          <w:szCs w:val="18"/>
        </w:rPr>
      </w:pPr>
      <w:r w:rsidRPr="00A41722">
        <w:rPr>
          <w:rStyle w:val="Refdenotaalpie"/>
          <w:rFonts w:ascii="Arial" w:hAnsi="Arial" w:cs="Arial"/>
          <w:sz w:val="18"/>
          <w:szCs w:val="18"/>
        </w:rPr>
        <w:footnoteRef/>
      </w:r>
      <w:r w:rsidRPr="00A41722">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6C577C6E" w14:textId="77777777" w:rsidR="00CC6C9C" w:rsidRPr="004770BD" w:rsidRDefault="00CC6C9C" w:rsidP="00CC6C9C">
      <w:pPr>
        <w:pStyle w:val="Textonotapie"/>
        <w:spacing w:line="240" w:lineRule="auto"/>
        <w:ind w:firstLine="708"/>
        <w:rPr>
          <w:rFonts w:ascii="Arial" w:hAnsi="Arial" w:cs="Arial"/>
          <w:sz w:val="18"/>
          <w:szCs w:val="18"/>
          <w:shd w:val="clear" w:color="auto" w:fill="FFFFFF"/>
        </w:rPr>
      </w:pPr>
      <w:r w:rsidRPr="004770BD">
        <w:rPr>
          <w:rStyle w:val="Refdenotaalpie"/>
          <w:rFonts w:ascii="Arial" w:hAnsi="Arial" w:cs="Arial"/>
          <w:sz w:val="18"/>
          <w:szCs w:val="18"/>
        </w:rPr>
        <w:footnoteRef/>
      </w:r>
      <w:r w:rsidRPr="004770BD">
        <w:rPr>
          <w:rFonts w:ascii="Arial" w:hAnsi="Arial" w:cs="Arial"/>
          <w:sz w:val="18"/>
          <w:szCs w:val="18"/>
        </w:rPr>
        <w:t xml:space="preserve"> Al respecto, la Corte indicó: «</w:t>
      </w:r>
      <w:r w:rsidRPr="004770BD">
        <w:rPr>
          <w:rFonts w:ascii="Arial" w:hAnsi="Arial" w:cs="Arial"/>
          <w:sz w:val="18"/>
          <w:szCs w:val="18"/>
          <w:shd w:val="clear" w:color="auto" w:fill="FFFFFF"/>
        </w:rPr>
        <w:t>Las regalías son comprendidas por el derecho constitucional como una </w:t>
      </w:r>
      <w:r w:rsidRPr="004770BD">
        <w:rPr>
          <w:rFonts w:ascii="Arial" w:hAnsi="Arial" w:cs="Arial"/>
          <w:i/>
          <w:iCs/>
          <w:sz w:val="18"/>
          <w:szCs w:val="18"/>
          <w:shd w:val="clear" w:color="auto" w:fill="FFFFFF"/>
        </w:rPr>
        <w:t>contraprestación económica </w:t>
      </w:r>
      <w:r w:rsidRPr="004770BD">
        <w:rPr>
          <w:rFonts w:ascii="Arial" w:hAnsi="Arial" w:cs="Arial"/>
          <w:sz w:val="18"/>
          <w:szCs w:val="18"/>
          <w:shd w:val="clear" w:color="auto" w:fill="FFFFFF"/>
        </w:rPr>
        <w:t>que recibe el Estado, en razón de la extracción de recursos naturales no renovables existentes en el subsuelo.  Como lo ha explicado la jurisprudencia reiterada, este concepto refiere a la </w:t>
      </w:r>
      <w:r w:rsidRPr="004770BD">
        <w:rPr>
          <w:rFonts w:ascii="Arial" w:hAnsi="Arial" w:cs="Arial"/>
          <w:i/>
          <w:iCs/>
          <w:sz w:val="18"/>
          <w:szCs w:val="18"/>
          <w:shd w:val="clear" w:color="auto" w:fill="FFFFFF"/>
        </w:rPr>
        <w:t>“c</w:t>
      </w:r>
      <w:r w:rsidRPr="004770BD">
        <w:rPr>
          <w:rFonts w:ascii="Arial" w:hAnsi="Arial" w:cs="Arial"/>
          <w:i/>
          <w:iCs/>
          <w:spacing w:val="-3"/>
          <w:sz w:val="18"/>
          <w:szCs w:val="18"/>
          <w:shd w:val="clear" w:color="auto" w:fill="FFFFFF"/>
        </w:rPr>
        <w:t>ontraprestación económica que percibe el Estado de las personas a quienes se les concede el derecho a explotar los recursos naturales no renovables en determinado porcentaje sobre el producto bruto explotado.</w:t>
      </w:r>
      <w:r w:rsidRPr="004770BD">
        <w:rPr>
          <w:rFonts w:ascii="Arial" w:hAnsi="Arial" w:cs="Arial"/>
          <w:spacing w:val="-3"/>
          <w:sz w:val="18"/>
          <w:szCs w:val="18"/>
          <w:shd w:val="clear" w:color="auto" w:fill="FFFFFF"/>
        </w:rPr>
        <w:t xml:space="preserve"> A su vez, de acuerdo con el mismo precedente, en lo que respecta al derecho a las compensaciones, este </w:t>
      </w:r>
      <w:r w:rsidRPr="004770BD">
        <w:rPr>
          <w:rFonts w:ascii="Arial" w:hAnsi="Arial" w:cs="Arial"/>
          <w:sz w:val="18"/>
          <w:szCs w:val="18"/>
          <w:shd w:val="clear" w:color="auto" w:fill="FFFFFF"/>
        </w:rPr>
        <w:t xml:space="preserve">no necesariamente deriva de la participación en las regalías ni emana del carácter de productora que tenga la correspondiente entidad territorial, o el puerto marítimo o fluvial, ya que lo que se compensa es el concurso del ente respectivo en la totalidad o en alguna etapa del proceso que surge a propósito de la exploración, explotación, transporte y transformación de los recursos naturales no renovables Esta definición permite distinguir entre las regalías y otros ingresos nacionales, en especial los impuestos.  En ese sentido, el responsable de su pago es quien decide adelantar la explotación de los recursos, y en consecuencia paga al Estado una contraprestación por esa actividad.  Por ende, las regalías no tienen el carácter imperativo y general propio de los impuestos.  </w:t>
      </w:r>
    </w:p>
    <w:p w14:paraId="734D7F05" w14:textId="77777777" w:rsidR="00CC6C9C" w:rsidRPr="004770BD" w:rsidRDefault="00CC6C9C" w:rsidP="00CC6C9C">
      <w:pPr>
        <w:pStyle w:val="Textonotapie"/>
        <w:spacing w:line="240" w:lineRule="auto"/>
        <w:ind w:firstLine="708"/>
        <w:rPr>
          <w:rFonts w:ascii="Arial" w:hAnsi="Arial" w:cs="Arial"/>
          <w:sz w:val="18"/>
          <w:szCs w:val="18"/>
          <w:shd w:val="clear" w:color="auto" w:fill="FFFFFF"/>
        </w:rPr>
      </w:pPr>
      <w:r w:rsidRPr="004770BD">
        <w:rPr>
          <w:rFonts w:ascii="Arial" w:hAnsi="Arial" w:cs="Arial"/>
          <w:sz w:val="18"/>
          <w:szCs w:val="18"/>
          <w:shd w:val="clear" w:color="auto" w:fill="FFFFFF"/>
        </w:rPr>
        <w:t>» Así lo ha explicado la Corte al prever que las regalías carecen de naturaleza tributaria, ya que </w:t>
      </w:r>
      <w:r w:rsidRPr="004770BD">
        <w:rPr>
          <w:rFonts w:ascii="Arial" w:hAnsi="Arial" w:cs="Arial"/>
          <w:i/>
          <w:iCs/>
          <w:sz w:val="18"/>
          <w:szCs w:val="18"/>
          <w:shd w:val="clear" w:color="auto" w:fill="FFFFFF"/>
        </w:rPr>
        <w:t>“</w:t>
      </w:r>
      <w:r w:rsidRPr="004770BD">
        <w:rPr>
          <w:rFonts w:ascii="Arial" w:hAnsi="Arial" w:cs="Arial"/>
          <w:sz w:val="18"/>
          <w:szCs w:val="18"/>
          <w:shd w:val="clear" w:color="auto" w:fill="FFFFFF"/>
        </w:rPr>
        <w:t>[a]</w:t>
      </w:r>
      <w:r w:rsidRPr="004770BD">
        <w:rPr>
          <w:rFonts w:ascii="Arial" w:hAnsi="Arial" w:cs="Arial"/>
          <w:i/>
          <w:iCs/>
          <w:sz w:val="18"/>
          <w:szCs w:val="18"/>
          <w:shd w:val="clear" w:color="auto" w:fill="FFFFFF"/>
        </w:rPr>
        <w:t xml:space="preserve"> pesar de tener en ocasiones similitudes ya que implican pagos del particular al Estado, las regalías y los impuestos son figuras diversas, con un fundamento constitucional y una finalidad diferentes. Así, como bien lo señala uno de los intervinientes, la Carta acoge la concepción de la “regalía-precio”, pues la define como una "contraprestación" que se causa por la explotación de los recursos naturales no renovables de propiedad de la Nación (CP art. 360). Por ende, las regalías están representadas por aquello que el Estado recibe por conceder un derecho a explotar los recursos naturales no renovables de los cuáles es titular (CP art. 332), debido a que estos recursos existen en cantidad limitada». </w:t>
      </w:r>
      <w:r w:rsidRPr="004770BD">
        <w:rPr>
          <w:rFonts w:ascii="Arial" w:hAnsi="Arial" w:cs="Arial"/>
          <w:sz w:val="18"/>
          <w:szCs w:val="18"/>
          <w:lang w:val="es-CO"/>
        </w:rPr>
        <w:t>Corte Constitucional. Sentencias C-748 de 2012 y C-010 de 2013. M.P. Luis Ernesto Vargas Silva</w:t>
      </w:r>
    </w:p>
  </w:footnote>
  <w:footnote w:id="3">
    <w:p w14:paraId="1523A3FF" w14:textId="2BCEF344" w:rsidR="001616A6" w:rsidRPr="00A41722" w:rsidRDefault="001616A6" w:rsidP="00A41722">
      <w:pPr>
        <w:pStyle w:val="Textonotapie"/>
        <w:spacing w:after="0" w:line="240" w:lineRule="auto"/>
        <w:ind w:firstLine="708"/>
        <w:rPr>
          <w:rFonts w:ascii="Arial" w:hAnsi="Arial" w:cs="Arial"/>
          <w:sz w:val="18"/>
          <w:szCs w:val="18"/>
        </w:rPr>
      </w:pPr>
      <w:r w:rsidRPr="00A41722">
        <w:rPr>
          <w:rStyle w:val="Refdenotaalpie"/>
          <w:rFonts w:ascii="Arial" w:hAnsi="Arial" w:cs="Arial"/>
          <w:sz w:val="18"/>
          <w:szCs w:val="18"/>
        </w:rPr>
        <w:footnoteRef/>
      </w:r>
      <w:r w:rsidRPr="00A41722">
        <w:rPr>
          <w:rFonts w:ascii="Arial" w:hAnsi="Arial" w:cs="Arial"/>
          <w:sz w:val="18"/>
          <w:szCs w:val="18"/>
        </w:rPr>
        <w:t xml:space="preserve"> «Artículo 1°. Objeto. Conforme con lo dispuesto por el artículo 360 y 361 de la Constitución Política, la presente ley tiene por objeto determinar la distribución, objetivos, fines, administración, ejecución, control, el uso eficiente y la destinación de los ingresos provenientes de la explotación de los recursos naturales no renovables precisando las condiciones de participación de sus beneficiarios. Este conjunto de ingresos, asignaciones, órganos, procedimientos, y regulaciones constituye el Sistema General de Regalías».  </w:t>
      </w:r>
    </w:p>
  </w:footnote>
  <w:footnote w:id="4">
    <w:p w14:paraId="1AD3FE12" w14:textId="77777777" w:rsidR="00A003BA" w:rsidRPr="00A41722" w:rsidRDefault="00A003BA" w:rsidP="00A41722">
      <w:pPr>
        <w:pStyle w:val="Textonotapie"/>
        <w:spacing w:after="0" w:line="240" w:lineRule="auto"/>
        <w:ind w:firstLine="708"/>
        <w:rPr>
          <w:rFonts w:ascii="Arial" w:hAnsi="Arial" w:cs="Arial"/>
          <w:sz w:val="18"/>
          <w:szCs w:val="18"/>
        </w:rPr>
      </w:pPr>
    </w:p>
    <w:p w14:paraId="42D87B1A" w14:textId="797E85C4" w:rsidR="00A003BA" w:rsidRPr="00A41722" w:rsidRDefault="00A003BA" w:rsidP="00A41722">
      <w:pPr>
        <w:pStyle w:val="Textonotapie"/>
        <w:spacing w:after="0" w:line="240" w:lineRule="auto"/>
        <w:ind w:firstLine="708"/>
        <w:rPr>
          <w:rFonts w:ascii="Arial" w:hAnsi="Arial" w:cs="Arial"/>
          <w:sz w:val="18"/>
          <w:szCs w:val="18"/>
        </w:rPr>
      </w:pPr>
      <w:r w:rsidRPr="00A41722">
        <w:rPr>
          <w:rStyle w:val="Refdenotaalpie"/>
          <w:rFonts w:ascii="Arial" w:hAnsi="Arial" w:cs="Arial"/>
          <w:sz w:val="18"/>
          <w:szCs w:val="18"/>
        </w:rPr>
        <w:footnoteRef/>
      </w:r>
      <w:r w:rsidRPr="00A41722">
        <w:rPr>
          <w:rFonts w:ascii="Arial" w:hAnsi="Arial" w:cs="Arial"/>
          <w:sz w:val="18"/>
          <w:szCs w:val="18"/>
        </w:rPr>
        <w:t xml:space="preserve"> «Artículo 3. Órganos. Son órganos del Sistema General de Regalías, la Comisión Rectora, el Departamento Nacional de Planeación, el Ministerio de Minas y Energía, así como sus entidades adscritas y vinculadas que cumplan funciones en el ciclo de las regalías, el Ministerio de Hacienda y Crédito Público, el Ministerio de Ciencia, Tecnología e Innovación, el Ministerio de Ambiente y Desarrollo Sostenible y los Órganos Colegiados de Administración y Decisión Paz, de Inversión Regional y de Ciencia, Tecnología e Innovación, los cuales ejercerán sus atribuciones y competencias conforme con lo dispuesto por la presente Ley y demás lineamientos que expida la Comisión Rectora para el funcionamiento del Sistema General de Regalías». </w:t>
      </w:r>
    </w:p>
  </w:footnote>
  <w:footnote w:id="5">
    <w:p w14:paraId="2FA32955" w14:textId="55945EE4" w:rsidR="00877893" w:rsidRPr="00A41722" w:rsidRDefault="00EF62A6" w:rsidP="00A41722">
      <w:pPr>
        <w:pStyle w:val="Textonotapie"/>
        <w:spacing w:after="0" w:line="240" w:lineRule="auto"/>
        <w:ind w:firstLine="709"/>
        <w:rPr>
          <w:rFonts w:ascii="Arial" w:hAnsi="Arial" w:cs="Arial"/>
          <w:sz w:val="18"/>
          <w:szCs w:val="18"/>
        </w:rPr>
      </w:pPr>
      <w:r w:rsidRPr="00A41722">
        <w:rPr>
          <w:rStyle w:val="Refdenotaalpie"/>
          <w:rFonts w:ascii="Arial" w:hAnsi="Arial" w:cs="Arial"/>
          <w:sz w:val="18"/>
          <w:szCs w:val="18"/>
        </w:rPr>
        <w:footnoteRef/>
      </w:r>
      <w:r w:rsidRPr="00A41722">
        <w:rPr>
          <w:rFonts w:ascii="Arial" w:hAnsi="Arial" w:cs="Arial"/>
          <w:sz w:val="18"/>
          <w:szCs w:val="18"/>
        </w:rPr>
        <w:t xml:space="preserve"> </w:t>
      </w:r>
      <w:r w:rsidR="00D259A3" w:rsidRPr="00A41722">
        <w:rPr>
          <w:rFonts w:ascii="Arial" w:hAnsi="Arial" w:cs="Arial"/>
          <w:sz w:val="18"/>
          <w:szCs w:val="18"/>
        </w:rPr>
        <w:t>Ley 1286 de 2009: «</w:t>
      </w:r>
      <w:r w:rsidR="00877893" w:rsidRPr="00A41722">
        <w:rPr>
          <w:rFonts w:ascii="Arial" w:hAnsi="Arial" w:cs="Arial"/>
          <w:sz w:val="18"/>
          <w:szCs w:val="18"/>
        </w:rPr>
        <w:t xml:space="preserve">Artículo </w:t>
      </w:r>
      <w:r w:rsidR="00504062" w:rsidRPr="00504062">
        <w:rPr>
          <w:rFonts w:ascii="Arial" w:hAnsi="Arial" w:cs="Arial"/>
          <w:sz w:val="18"/>
          <w:szCs w:val="18"/>
        </w:rPr>
        <w:t>20. Componentes</w:t>
      </w:r>
      <w:r w:rsidR="00877893" w:rsidRPr="00A41722">
        <w:rPr>
          <w:rFonts w:ascii="Arial" w:hAnsi="Arial" w:cs="Arial"/>
          <w:sz w:val="18"/>
          <w:szCs w:val="18"/>
        </w:rPr>
        <w:t xml:space="preserve"> del Sistema. El Sistema Nacional de Ciencia, Tecnología e Innovación -SNCTI- es un sistema abierto del cual forman parte las políticas, estrategias, programas, metodologías y mecanismos para la gestión, promoción, financiación, protección y divulgación de la investigación científica y la innovación tecnológica, así como las organizaciones públicas, privadas o mixtas que realicen o promuevan el desarrollo de actividades científicas, tecnológicas y de innovación. </w:t>
      </w:r>
    </w:p>
    <w:p w14:paraId="2049AB02" w14:textId="683C6756" w:rsidR="00877893" w:rsidRPr="00A41722" w:rsidRDefault="005E4491" w:rsidP="00A41722">
      <w:pPr>
        <w:pStyle w:val="Textonotapie"/>
        <w:spacing w:after="0" w:line="240" w:lineRule="auto"/>
        <w:ind w:firstLine="708"/>
        <w:rPr>
          <w:rFonts w:ascii="Arial" w:hAnsi="Arial" w:cs="Arial"/>
          <w:sz w:val="18"/>
          <w:szCs w:val="18"/>
        </w:rPr>
      </w:pPr>
      <w:r w:rsidRPr="005E4491">
        <w:rPr>
          <w:rFonts w:ascii="Arial" w:hAnsi="Arial" w:cs="Arial"/>
          <w:sz w:val="18"/>
          <w:szCs w:val="18"/>
        </w:rPr>
        <w:t>» Parágrafo</w:t>
      </w:r>
      <w:r w:rsidR="00877893" w:rsidRPr="00A41722">
        <w:rPr>
          <w:rFonts w:ascii="Arial" w:hAnsi="Arial" w:cs="Arial"/>
          <w:sz w:val="18"/>
          <w:szCs w:val="18"/>
        </w:rPr>
        <w:t xml:space="preserve"> 1°. Las organizaciones públicas, privadas o mixtas a que hace referencia el presente artículo podrán ser objeto de apoyo por parte de las entidades de fomento de la ciencia, la tecnología y la innovación. Cada entidad de fomento establecerá la naturaleza de dicho apoyo y las condiciones bajo las cuales se podrá obtener, de acuerdo con los lineamientos de política que orienten la acción del Sistema Nacional de Ciencia, Tecnología e Innovación -SNCTI- y de conformidad con las normas que regulan este campo. </w:t>
      </w:r>
    </w:p>
    <w:p w14:paraId="70566ABF" w14:textId="135C2FA4" w:rsidR="00EF62A6" w:rsidRPr="00A41722" w:rsidRDefault="005E4491" w:rsidP="00A41722">
      <w:pPr>
        <w:pStyle w:val="Textonotapie"/>
        <w:spacing w:after="0" w:line="240" w:lineRule="auto"/>
        <w:ind w:firstLine="708"/>
        <w:rPr>
          <w:rFonts w:ascii="Arial" w:hAnsi="Arial" w:cs="Arial"/>
          <w:sz w:val="18"/>
          <w:szCs w:val="18"/>
        </w:rPr>
      </w:pPr>
      <w:r w:rsidRPr="005E4491">
        <w:rPr>
          <w:rFonts w:ascii="Arial" w:hAnsi="Arial" w:cs="Arial"/>
          <w:sz w:val="18"/>
          <w:szCs w:val="18"/>
        </w:rPr>
        <w:t>» Parágrafo</w:t>
      </w:r>
      <w:r w:rsidR="00877893" w:rsidRPr="00A41722">
        <w:rPr>
          <w:rFonts w:ascii="Arial" w:hAnsi="Arial" w:cs="Arial"/>
          <w:sz w:val="18"/>
          <w:szCs w:val="18"/>
        </w:rPr>
        <w:t xml:space="preserve"> 2°. Las Asambleas Departamentales, los Concejos Distritales y los Concejos Municipales podrán ordenar la creación de unidades regionales de investigación científica e innovación con sus fondos regionales de fomento».</w:t>
      </w:r>
    </w:p>
  </w:footnote>
  <w:footnote w:id="6">
    <w:p w14:paraId="104CE9E8" w14:textId="71387442" w:rsidR="004D5C84" w:rsidRPr="00A41722" w:rsidRDefault="004D5C84" w:rsidP="00A41722">
      <w:pPr>
        <w:spacing w:after="0" w:line="240" w:lineRule="auto"/>
        <w:ind w:firstLine="708"/>
        <w:rPr>
          <w:rFonts w:ascii="Arial" w:eastAsia="Times New Roman" w:hAnsi="Arial" w:cs="Arial"/>
          <w:color w:val="000000"/>
          <w:sz w:val="18"/>
          <w:szCs w:val="18"/>
          <w:lang w:val="es-CO" w:eastAsia="es-CO"/>
        </w:rPr>
      </w:pPr>
      <w:r w:rsidRPr="00A41722">
        <w:rPr>
          <w:rStyle w:val="Refdenotaalpie"/>
          <w:rFonts w:ascii="Arial" w:hAnsi="Arial" w:cs="Arial"/>
          <w:sz w:val="18"/>
          <w:szCs w:val="18"/>
        </w:rPr>
        <w:footnoteRef/>
      </w:r>
      <w:r w:rsidRPr="00A41722">
        <w:rPr>
          <w:rFonts w:ascii="Arial" w:hAnsi="Arial" w:cs="Arial"/>
          <w:sz w:val="18"/>
          <w:szCs w:val="18"/>
        </w:rPr>
        <w:t xml:space="preserve"> Decreto 1821 de 2020: «</w:t>
      </w:r>
      <w:r w:rsidRPr="00A41722">
        <w:rPr>
          <w:rFonts w:ascii="Arial" w:eastAsia="Times New Roman" w:hAnsi="Arial" w:cs="Arial"/>
          <w:color w:val="000000"/>
          <w:sz w:val="18"/>
          <w:szCs w:val="18"/>
          <w:lang w:val="es-CO" w:eastAsia="es-CO"/>
        </w:rPr>
        <w:t>Artículo 1.2.3.2.3. Términos de referencia de las convocatorias.</w:t>
      </w:r>
      <w:r w:rsidRPr="00FF0FA2">
        <w:rPr>
          <w:rFonts w:ascii="Arial" w:eastAsia="Times New Roman" w:hAnsi="Arial" w:cs="Arial"/>
          <w:color w:val="000000"/>
          <w:sz w:val="18"/>
          <w:szCs w:val="18"/>
          <w:lang w:val="es-CO" w:eastAsia="es-CO"/>
        </w:rPr>
        <w:t> La Secretaría Técnica del Órgano Colegiado de Administración y Decisión de Ciencia, Tecnología e Innovación estructurará los términos de referencia de cada convocatoria donde se establecerán las reglas, condiciones objetivas de participación y criterios de selección para la conformación de la lista de proyectos elegibles.</w:t>
      </w:r>
      <w:r w:rsidRPr="00A41722">
        <w:rPr>
          <w:rFonts w:ascii="Arial" w:eastAsia="Times New Roman" w:hAnsi="Arial" w:cs="Arial"/>
          <w:color w:val="000000"/>
          <w:sz w:val="18"/>
          <w:szCs w:val="18"/>
          <w:lang w:val="es-CO" w:eastAsia="es-CO"/>
        </w:rPr>
        <w:t> </w:t>
      </w:r>
    </w:p>
    <w:p w14:paraId="74545ACF" w14:textId="1CAF0351" w:rsidR="004D5C84" w:rsidRPr="00A41722" w:rsidRDefault="004D5C84" w:rsidP="007E48BF">
      <w:pPr>
        <w:spacing w:after="0" w:line="240" w:lineRule="auto"/>
        <w:rPr>
          <w:rFonts w:ascii="Arial" w:eastAsia="Times New Roman" w:hAnsi="Arial" w:cs="Arial"/>
          <w:color w:val="000000"/>
          <w:sz w:val="18"/>
          <w:szCs w:val="18"/>
          <w:lang w:val="es-CO" w:eastAsia="es-CO"/>
        </w:rPr>
      </w:pPr>
      <w:r w:rsidRPr="00A41722">
        <w:rPr>
          <w:rFonts w:ascii="Arial" w:eastAsia="Times New Roman" w:hAnsi="Arial" w:cs="Arial"/>
          <w:color w:val="000000"/>
          <w:sz w:val="18"/>
          <w:szCs w:val="18"/>
          <w:lang w:val="es-CO" w:eastAsia="es-CO"/>
        </w:rPr>
        <w:t>  </w:t>
      </w:r>
      <w:r w:rsidRPr="00A41722">
        <w:rPr>
          <w:rFonts w:ascii="Arial" w:eastAsia="Times New Roman" w:hAnsi="Arial" w:cs="Arial"/>
          <w:color w:val="000000"/>
          <w:sz w:val="18"/>
          <w:szCs w:val="18"/>
          <w:lang w:val="es-CO" w:eastAsia="es-CO"/>
        </w:rPr>
        <w:tab/>
        <w:t>»</w:t>
      </w:r>
      <w:r w:rsidRPr="00FF0FA2">
        <w:rPr>
          <w:rFonts w:ascii="Arial" w:eastAsia="Times New Roman" w:hAnsi="Arial" w:cs="Arial"/>
          <w:color w:val="000000"/>
          <w:sz w:val="18"/>
          <w:szCs w:val="18"/>
          <w:lang w:val="es-CO" w:eastAsia="es-CO"/>
        </w:rPr>
        <w:t>Los términos de referencia de cada convocatoria establecerán, además de los requisitos señalados en el Artículo 53 de la Ley 2056 de 2020, los siguientes:</w:t>
      </w:r>
      <w:r w:rsidRPr="00A41722">
        <w:rPr>
          <w:rFonts w:ascii="Arial" w:eastAsia="Times New Roman" w:hAnsi="Arial" w:cs="Arial"/>
          <w:color w:val="000000"/>
          <w:sz w:val="18"/>
          <w:szCs w:val="18"/>
          <w:lang w:val="es-CO" w:eastAsia="es-CO"/>
        </w:rPr>
        <w:t> </w:t>
      </w:r>
    </w:p>
    <w:p w14:paraId="414BECCB" w14:textId="0491EAAA" w:rsidR="004D5C84" w:rsidRPr="00A41722" w:rsidRDefault="004D5C84" w:rsidP="00A41722">
      <w:pPr>
        <w:spacing w:after="0" w:line="240" w:lineRule="auto"/>
        <w:rPr>
          <w:rFonts w:ascii="Arial" w:eastAsia="Times New Roman" w:hAnsi="Arial" w:cs="Arial"/>
          <w:color w:val="000000"/>
          <w:sz w:val="18"/>
          <w:szCs w:val="18"/>
          <w:lang w:val="es-CO" w:eastAsia="es-CO"/>
        </w:rPr>
      </w:pPr>
      <w:r w:rsidRPr="00A41722">
        <w:rPr>
          <w:rFonts w:ascii="Arial" w:eastAsia="Times New Roman" w:hAnsi="Arial" w:cs="Arial"/>
          <w:color w:val="000000"/>
          <w:sz w:val="18"/>
          <w:szCs w:val="18"/>
          <w:lang w:val="es-CO" w:eastAsia="es-CO"/>
        </w:rPr>
        <w:t>  </w:t>
      </w:r>
      <w:r w:rsidRPr="00A41722">
        <w:rPr>
          <w:rFonts w:ascii="Arial" w:eastAsia="Times New Roman" w:hAnsi="Arial" w:cs="Arial"/>
          <w:color w:val="000000"/>
          <w:sz w:val="18"/>
          <w:szCs w:val="18"/>
          <w:lang w:val="es-CO" w:eastAsia="es-CO"/>
        </w:rPr>
        <w:tab/>
        <w:t>»</w:t>
      </w:r>
      <w:r w:rsidRPr="00FF0FA2">
        <w:rPr>
          <w:rFonts w:ascii="Arial" w:eastAsia="Times New Roman" w:hAnsi="Arial" w:cs="Arial"/>
          <w:b/>
          <w:bCs/>
          <w:color w:val="000000"/>
          <w:sz w:val="18"/>
          <w:szCs w:val="18"/>
          <w:lang w:val="es-CO" w:eastAsia="es-CO"/>
        </w:rPr>
        <w:t>1)</w:t>
      </w:r>
      <w:r w:rsidRPr="00FF0FA2">
        <w:rPr>
          <w:rFonts w:ascii="Arial" w:eastAsia="Times New Roman" w:hAnsi="Arial" w:cs="Arial"/>
          <w:color w:val="000000"/>
          <w:sz w:val="18"/>
          <w:szCs w:val="18"/>
          <w:lang w:val="es-CO" w:eastAsia="es-CO"/>
        </w:rPr>
        <w:t> El objeto y las entidades del Sistema Nacional de Ciencia, Tecnología e Innovación- SNCTI a las que se dirige la convocatoria.</w:t>
      </w:r>
      <w:r w:rsidRPr="00A41722">
        <w:rPr>
          <w:rFonts w:ascii="Arial" w:eastAsia="Times New Roman" w:hAnsi="Arial" w:cs="Arial"/>
          <w:color w:val="000000"/>
          <w:sz w:val="18"/>
          <w:szCs w:val="18"/>
          <w:lang w:val="es-CO" w:eastAsia="es-CO"/>
        </w:rPr>
        <w:t> </w:t>
      </w:r>
    </w:p>
    <w:p w14:paraId="496AE643" w14:textId="3E4451F5" w:rsidR="004D5C84" w:rsidRPr="00A41722" w:rsidRDefault="004D5C84" w:rsidP="00A41722">
      <w:pPr>
        <w:spacing w:after="0" w:line="240" w:lineRule="auto"/>
        <w:rPr>
          <w:rFonts w:ascii="Arial" w:eastAsia="Times New Roman" w:hAnsi="Arial" w:cs="Arial"/>
          <w:color w:val="000000"/>
          <w:sz w:val="18"/>
          <w:szCs w:val="18"/>
          <w:lang w:val="es-CO" w:eastAsia="es-CO"/>
        </w:rPr>
      </w:pPr>
      <w:r w:rsidRPr="00A41722">
        <w:rPr>
          <w:rFonts w:ascii="Arial" w:eastAsia="Times New Roman" w:hAnsi="Arial" w:cs="Arial"/>
          <w:color w:val="000000"/>
          <w:sz w:val="18"/>
          <w:szCs w:val="18"/>
          <w:lang w:val="es-CO" w:eastAsia="es-CO"/>
        </w:rPr>
        <w:t>  </w:t>
      </w:r>
      <w:r w:rsidRPr="00A41722">
        <w:rPr>
          <w:rFonts w:ascii="Arial" w:eastAsia="Times New Roman" w:hAnsi="Arial" w:cs="Arial"/>
          <w:color w:val="000000"/>
          <w:sz w:val="18"/>
          <w:szCs w:val="18"/>
          <w:lang w:val="es-CO" w:eastAsia="es-CO"/>
        </w:rPr>
        <w:tab/>
        <w:t>»</w:t>
      </w:r>
      <w:r w:rsidRPr="00FF0FA2">
        <w:rPr>
          <w:rFonts w:ascii="Arial" w:eastAsia="Times New Roman" w:hAnsi="Arial" w:cs="Arial"/>
          <w:b/>
          <w:bCs/>
          <w:color w:val="000000"/>
          <w:sz w:val="18"/>
          <w:szCs w:val="18"/>
          <w:lang w:val="es-CO" w:eastAsia="es-CO"/>
        </w:rPr>
        <w:t>2)</w:t>
      </w:r>
      <w:r w:rsidRPr="00FF0FA2">
        <w:rPr>
          <w:rFonts w:ascii="Arial" w:eastAsia="Times New Roman" w:hAnsi="Arial" w:cs="Arial"/>
          <w:color w:val="000000"/>
          <w:sz w:val="18"/>
          <w:szCs w:val="18"/>
          <w:lang w:val="es-CO" w:eastAsia="es-CO"/>
        </w:rPr>
        <w:t> Las reglas y condiciones de presentación a la convocatoria.</w:t>
      </w:r>
      <w:r w:rsidRPr="00A41722">
        <w:rPr>
          <w:rFonts w:ascii="Arial" w:eastAsia="Times New Roman" w:hAnsi="Arial" w:cs="Arial"/>
          <w:color w:val="000000"/>
          <w:sz w:val="18"/>
          <w:szCs w:val="18"/>
          <w:lang w:val="es-CO" w:eastAsia="es-CO"/>
        </w:rPr>
        <w:t> </w:t>
      </w:r>
    </w:p>
    <w:p w14:paraId="03E1F5E9" w14:textId="28AFE28D" w:rsidR="004D5C84" w:rsidRPr="00A41722" w:rsidRDefault="004D5C84" w:rsidP="00A41722">
      <w:pPr>
        <w:spacing w:after="0" w:line="240" w:lineRule="auto"/>
        <w:rPr>
          <w:rFonts w:ascii="Arial" w:eastAsia="Times New Roman" w:hAnsi="Arial" w:cs="Arial"/>
          <w:color w:val="000000"/>
          <w:sz w:val="18"/>
          <w:szCs w:val="18"/>
          <w:lang w:val="es-CO" w:eastAsia="es-CO"/>
        </w:rPr>
      </w:pPr>
      <w:r w:rsidRPr="00A41722">
        <w:rPr>
          <w:rFonts w:ascii="Arial" w:eastAsia="Times New Roman" w:hAnsi="Arial" w:cs="Arial"/>
          <w:color w:val="000000"/>
          <w:sz w:val="18"/>
          <w:szCs w:val="18"/>
          <w:lang w:val="es-CO" w:eastAsia="es-CO"/>
        </w:rPr>
        <w:t>  </w:t>
      </w:r>
      <w:r w:rsidRPr="00A41722">
        <w:rPr>
          <w:rFonts w:ascii="Arial" w:eastAsia="Times New Roman" w:hAnsi="Arial" w:cs="Arial"/>
          <w:color w:val="000000"/>
          <w:sz w:val="18"/>
          <w:szCs w:val="18"/>
          <w:lang w:val="es-CO" w:eastAsia="es-CO"/>
        </w:rPr>
        <w:tab/>
        <w:t>»</w:t>
      </w:r>
      <w:r w:rsidRPr="00FF0FA2">
        <w:rPr>
          <w:rFonts w:ascii="Arial" w:eastAsia="Times New Roman" w:hAnsi="Arial" w:cs="Arial"/>
          <w:b/>
          <w:bCs/>
          <w:color w:val="000000"/>
          <w:sz w:val="18"/>
          <w:szCs w:val="18"/>
          <w:lang w:val="es-CO" w:eastAsia="es-CO"/>
        </w:rPr>
        <w:t>3)</w:t>
      </w:r>
      <w:r w:rsidRPr="00FF0FA2">
        <w:rPr>
          <w:rFonts w:ascii="Arial" w:eastAsia="Times New Roman" w:hAnsi="Arial" w:cs="Arial"/>
          <w:color w:val="000000"/>
          <w:sz w:val="18"/>
          <w:szCs w:val="18"/>
          <w:lang w:val="es-CO" w:eastAsia="es-CO"/>
        </w:rPr>
        <w:t> Los requisitos y documentación de presentación, los cuales deberán contener:</w:t>
      </w:r>
      <w:r w:rsidRPr="00A41722">
        <w:rPr>
          <w:rFonts w:ascii="Arial" w:eastAsia="Times New Roman" w:hAnsi="Arial" w:cs="Arial"/>
          <w:color w:val="000000"/>
          <w:sz w:val="18"/>
          <w:szCs w:val="18"/>
          <w:lang w:val="es-CO" w:eastAsia="es-CO"/>
        </w:rPr>
        <w:t> </w:t>
      </w:r>
    </w:p>
    <w:p w14:paraId="37C2C6EC" w14:textId="4BE02FA2" w:rsidR="004D5C84" w:rsidRPr="00A41722" w:rsidRDefault="004D5C84" w:rsidP="00A41722">
      <w:pPr>
        <w:spacing w:after="0" w:line="240" w:lineRule="auto"/>
        <w:rPr>
          <w:rFonts w:ascii="Arial" w:eastAsia="Times New Roman" w:hAnsi="Arial" w:cs="Arial"/>
          <w:color w:val="000000"/>
          <w:sz w:val="18"/>
          <w:szCs w:val="18"/>
          <w:lang w:val="es-CO" w:eastAsia="es-CO"/>
        </w:rPr>
      </w:pPr>
      <w:r w:rsidRPr="00A41722">
        <w:rPr>
          <w:rFonts w:ascii="Arial" w:eastAsia="Times New Roman" w:hAnsi="Arial" w:cs="Arial"/>
          <w:color w:val="000000"/>
          <w:sz w:val="18"/>
          <w:szCs w:val="18"/>
          <w:lang w:val="es-CO" w:eastAsia="es-CO"/>
        </w:rPr>
        <w:t>  </w:t>
      </w:r>
      <w:r w:rsidRPr="00A41722">
        <w:rPr>
          <w:rFonts w:ascii="Arial" w:eastAsia="Times New Roman" w:hAnsi="Arial" w:cs="Arial"/>
          <w:color w:val="000000"/>
          <w:sz w:val="18"/>
          <w:szCs w:val="18"/>
          <w:lang w:val="es-CO" w:eastAsia="es-CO"/>
        </w:rPr>
        <w:tab/>
        <w:t>»</w:t>
      </w:r>
      <w:r w:rsidRPr="00FF0FA2">
        <w:rPr>
          <w:rFonts w:ascii="Arial" w:eastAsia="Times New Roman" w:hAnsi="Arial" w:cs="Arial"/>
          <w:b/>
          <w:bCs/>
          <w:color w:val="000000"/>
          <w:sz w:val="18"/>
          <w:szCs w:val="18"/>
          <w:lang w:val="es-CO" w:eastAsia="es-CO"/>
        </w:rPr>
        <w:t>a)</w:t>
      </w:r>
      <w:r w:rsidRPr="00FF0FA2">
        <w:rPr>
          <w:rFonts w:ascii="Arial" w:eastAsia="Times New Roman" w:hAnsi="Arial" w:cs="Arial"/>
          <w:color w:val="000000"/>
          <w:sz w:val="18"/>
          <w:szCs w:val="18"/>
          <w:lang w:val="es-CO" w:eastAsia="es-CO"/>
        </w:rPr>
        <w:t> Carta de aval de presentación suscrita por el (los) representante(s) legal(es) de la entidad(es) participante(s). En el caso de las alianzas, se deberá identificar la entidad del SNCTI que actuará en calidad de proponente.</w:t>
      </w:r>
      <w:r w:rsidRPr="00A41722">
        <w:rPr>
          <w:rFonts w:ascii="Arial" w:eastAsia="Times New Roman" w:hAnsi="Arial" w:cs="Arial"/>
          <w:color w:val="000000"/>
          <w:sz w:val="18"/>
          <w:szCs w:val="18"/>
          <w:lang w:val="es-CO" w:eastAsia="es-CO"/>
        </w:rPr>
        <w:t> </w:t>
      </w:r>
    </w:p>
    <w:p w14:paraId="730E9D02" w14:textId="21EA11C1" w:rsidR="004D5C84" w:rsidRPr="00A41722" w:rsidRDefault="004D5C84" w:rsidP="00A41722">
      <w:pPr>
        <w:spacing w:after="0" w:line="240" w:lineRule="auto"/>
        <w:rPr>
          <w:rFonts w:ascii="Arial" w:eastAsia="Times New Roman" w:hAnsi="Arial" w:cs="Arial"/>
          <w:color w:val="000000"/>
          <w:sz w:val="18"/>
          <w:szCs w:val="18"/>
          <w:lang w:val="es-CO" w:eastAsia="es-CO"/>
        </w:rPr>
      </w:pPr>
      <w:r w:rsidRPr="00A41722">
        <w:rPr>
          <w:rFonts w:ascii="Arial" w:eastAsia="Times New Roman" w:hAnsi="Arial" w:cs="Arial"/>
          <w:color w:val="000000"/>
          <w:sz w:val="18"/>
          <w:szCs w:val="18"/>
          <w:lang w:val="es-CO" w:eastAsia="es-CO"/>
        </w:rPr>
        <w:t>  </w:t>
      </w:r>
      <w:r w:rsidRPr="00A41722">
        <w:rPr>
          <w:rFonts w:ascii="Arial" w:eastAsia="Times New Roman" w:hAnsi="Arial" w:cs="Arial"/>
          <w:color w:val="000000"/>
          <w:sz w:val="18"/>
          <w:szCs w:val="18"/>
          <w:lang w:val="es-CO" w:eastAsia="es-CO"/>
        </w:rPr>
        <w:tab/>
        <w:t>»</w:t>
      </w:r>
      <w:r w:rsidRPr="00FF0FA2">
        <w:rPr>
          <w:rFonts w:ascii="Arial" w:eastAsia="Times New Roman" w:hAnsi="Arial" w:cs="Arial"/>
          <w:b/>
          <w:bCs/>
          <w:color w:val="000000"/>
          <w:sz w:val="18"/>
          <w:szCs w:val="18"/>
          <w:lang w:val="es-CO" w:eastAsia="es-CO"/>
        </w:rPr>
        <w:t>b)</w:t>
      </w:r>
      <w:r w:rsidRPr="00FF0FA2">
        <w:rPr>
          <w:rFonts w:ascii="Arial" w:eastAsia="Times New Roman" w:hAnsi="Arial" w:cs="Arial"/>
          <w:color w:val="000000"/>
          <w:sz w:val="18"/>
          <w:szCs w:val="18"/>
          <w:lang w:val="es-CO" w:eastAsia="es-CO"/>
        </w:rPr>
        <w:t> Documento técnico del proyecto.</w:t>
      </w:r>
      <w:r w:rsidRPr="00A41722">
        <w:rPr>
          <w:rFonts w:ascii="Arial" w:eastAsia="Times New Roman" w:hAnsi="Arial" w:cs="Arial"/>
          <w:color w:val="000000"/>
          <w:sz w:val="18"/>
          <w:szCs w:val="18"/>
          <w:lang w:val="es-CO" w:eastAsia="es-CO"/>
        </w:rPr>
        <w:t> </w:t>
      </w:r>
    </w:p>
    <w:p w14:paraId="2C7B741A" w14:textId="6DFB1F29" w:rsidR="004D5C84" w:rsidRPr="00A41722" w:rsidRDefault="004D5C84" w:rsidP="00A41722">
      <w:pPr>
        <w:spacing w:after="0" w:line="240" w:lineRule="auto"/>
        <w:rPr>
          <w:rFonts w:ascii="Arial" w:eastAsia="Times New Roman" w:hAnsi="Arial" w:cs="Arial"/>
          <w:color w:val="000000"/>
          <w:sz w:val="18"/>
          <w:szCs w:val="18"/>
          <w:lang w:val="es-CO" w:eastAsia="es-CO"/>
        </w:rPr>
      </w:pPr>
      <w:r w:rsidRPr="00A41722">
        <w:rPr>
          <w:rFonts w:ascii="Arial" w:eastAsia="Times New Roman" w:hAnsi="Arial" w:cs="Arial"/>
          <w:color w:val="000000"/>
          <w:sz w:val="18"/>
          <w:szCs w:val="18"/>
          <w:lang w:val="es-CO" w:eastAsia="es-CO"/>
        </w:rPr>
        <w:t>  </w:t>
      </w:r>
      <w:r w:rsidRPr="00A41722">
        <w:rPr>
          <w:rFonts w:ascii="Arial" w:eastAsia="Times New Roman" w:hAnsi="Arial" w:cs="Arial"/>
          <w:color w:val="000000"/>
          <w:sz w:val="18"/>
          <w:szCs w:val="18"/>
          <w:lang w:val="es-CO" w:eastAsia="es-CO"/>
        </w:rPr>
        <w:tab/>
        <w:t>»</w:t>
      </w:r>
      <w:r w:rsidRPr="00FF0FA2">
        <w:rPr>
          <w:rFonts w:ascii="Arial" w:eastAsia="Times New Roman" w:hAnsi="Arial" w:cs="Arial"/>
          <w:b/>
          <w:bCs/>
          <w:color w:val="000000"/>
          <w:sz w:val="18"/>
          <w:szCs w:val="18"/>
          <w:lang w:val="es-CO" w:eastAsia="es-CO"/>
        </w:rPr>
        <w:t>c)</w:t>
      </w:r>
      <w:r w:rsidRPr="00FF0FA2">
        <w:rPr>
          <w:rFonts w:ascii="Arial" w:eastAsia="Times New Roman" w:hAnsi="Arial" w:cs="Arial"/>
          <w:color w:val="000000"/>
          <w:sz w:val="18"/>
          <w:szCs w:val="18"/>
          <w:lang w:val="es-CO" w:eastAsia="es-CO"/>
        </w:rPr>
        <w:t> Presupuesto.</w:t>
      </w:r>
      <w:r w:rsidRPr="00A41722">
        <w:rPr>
          <w:rFonts w:ascii="Arial" w:eastAsia="Times New Roman" w:hAnsi="Arial" w:cs="Arial"/>
          <w:color w:val="000000"/>
          <w:sz w:val="18"/>
          <w:szCs w:val="18"/>
          <w:lang w:val="es-CO" w:eastAsia="es-CO"/>
        </w:rPr>
        <w:t> </w:t>
      </w:r>
    </w:p>
    <w:p w14:paraId="0883EB6E" w14:textId="5B820FB8" w:rsidR="004D5C84" w:rsidRPr="00A41722" w:rsidRDefault="004D5C84" w:rsidP="00A41722">
      <w:pPr>
        <w:spacing w:after="0" w:line="240" w:lineRule="auto"/>
        <w:rPr>
          <w:rFonts w:ascii="Arial" w:eastAsia="Times New Roman" w:hAnsi="Arial" w:cs="Arial"/>
          <w:color w:val="000000"/>
          <w:sz w:val="18"/>
          <w:szCs w:val="18"/>
          <w:lang w:val="es-CO" w:eastAsia="es-CO"/>
        </w:rPr>
      </w:pPr>
      <w:r w:rsidRPr="00A41722">
        <w:rPr>
          <w:rFonts w:ascii="Arial" w:eastAsia="Times New Roman" w:hAnsi="Arial" w:cs="Arial"/>
          <w:color w:val="000000"/>
          <w:sz w:val="18"/>
          <w:szCs w:val="18"/>
          <w:lang w:val="es-CO" w:eastAsia="es-CO"/>
        </w:rPr>
        <w:t>  </w:t>
      </w:r>
      <w:r w:rsidRPr="00A41722">
        <w:rPr>
          <w:rFonts w:ascii="Arial" w:eastAsia="Times New Roman" w:hAnsi="Arial" w:cs="Arial"/>
          <w:color w:val="000000"/>
          <w:sz w:val="18"/>
          <w:szCs w:val="18"/>
          <w:lang w:val="es-CO" w:eastAsia="es-CO"/>
        </w:rPr>
        <w:tab/>
        <w:t>»</w:t>
      </w:r>
      <w:r w:rsidRPr="00FF0FA2">
        <w:rPr>
          <w:rFonts w:ascii="Arial" w:eastAsia="Times New Roman" w:hAnsi="Arial" w:cs="Arial"/>
          <w:b/>
          <w:bCs/>
          <w:color w:val="000000"/>
          <w:sz w:val="18"/>
          <w:szCs w:val="18"/>
          <w:lang w:val="es-CO" w:eastAsia="es-CO"/>
        </w:rPr>
        <w:t>d)</w:t>
      </w:r>
      <w:r w:rsidRPr="00FF0FA2">
        <w:rPr>
          <w:rFonts w:ascii="Arial" w:eastAsia="Times New Roman" w:hAnsi="Arial" w:cs="Arial"/>
          <w:color w:val="000000"/>
          <w:sz w:val="18"/>
          <w:szCs w:val="18"/>
          <w:lang w:val="es-CO" w:eastAsia="es-CO"/>
        </w:rPr>
        <w:t> El modelo de gobernanza cuando se trate de un proyecto presentado en alianza.</w:t>
      </w:r>
      <w:r w:rsidRPr="00A41722">
        <w:rPr>
          <w:rFonts w:ascii="Arial" w:eastAsia="Times New Roman" w:hAnsi="Arial" w:cs="Arial"/>
          <w:color w:val="000000"/>
          <w:sz w:val="18"/>
          <w:szCs w:val="18"/>
          <w:lang w:val="es-CO" w:eastAsia="es-CO"/>
        </w:rPr>
        <w:t> </w:t>
      </w:r>
    </w:p>
    <w:p w14:paraId="338A8770" w14:textId="0C2AF040" w:rsidR="004D5C84" w:rsidRPr="00A41722" w:rsidRDefault="004D5C84" w:rsidP="00A41722">
      <w:pPr>
        <w:spacing w:after="0" w:line="240" w:lineRule="auto"/>
        <w:rPr>
          <w:rFonts w:ascii="Arial" w:eastAsia="Times New Roman" w:hAnsi="Arial" w:cs="Arial"/>
          <w:color w:val="000000"/>
          <w:sz w:val="18"/>
          <w:szCs w:val="18"/>
          <w:lang w:val="es-CO" w:eastAsia="es-CO"/>
        </w:rPr>
      </w:pPr>
      <w:r w:rsidRPr="00A41722">
        <w:rPr>
          <w:rFonts w:ascii="Arial" w:eastAsia="Times New Roman" w:hAnsi="Arial" w:cs="Arial"/>
          <w:color w:val="000000"/>
          <w:sz w:val="18"/>
          <w:szCs w:val="18"/>
          <w:lang w:val="es-CO" w:eastAsia="es-CO"/>
        </w:rPr>
        <w:t>  </w:t>
      </w:r>
      <w:r w:rsidRPr="00A41722">
        <w:rPr>
          <w:rFonts w:ascii="Arial" w:eastAsia="Times New Roman" w:hAnsi="Arial" w:cs="Arial"/>
          <w:color w:val="000000"/>
          <w:sz w:val="18"/>
          <w:szCs w:val="18"/>
          <w:lang w:val="es-CO" w:eastAsia="es-CO"/>
        </w:rPr>
        <w:tab/>
      </w:r>
      <w:r w:rsidRPr="00FF0FA2">
        <w:rPr>
          <w:rFonts w:ascii="Arial" w:eastAsia="Times New Roman" w:hAnsi="Arial" w:cs="Arial"/>
          <w:b/>
          <w:bCs/>
          <w:color w:val="000000"/>
          <w:sz w:val="18"/>
          <w:szCs w:val="18"/>
          <w:lang w:val="es-CO" w:eastAsia="es-CO"/>
        </w:rPr>
        <w:t>»e)</w:t>
      </w:r>
      <w:r w:rsidRPr="00FF0FA2">
        <w:rPr>
          <w:rFonts w:ascii="Arial" w:eastAsia="Times New Roman" w:hAnsi="Arial" w:cs="Arial"/>
          <w:color w:val="000000"/>
          <w:sz w:val="18"/>
          <w:szCs w:val="18"/>
          <w:lang w:val="es-CO" w:eastAsia="es-CO"/>
        </w:rPr>
        <w:t> Los demás requisitos que establezcan los términos de referencia.</w:t>
      </w:r>
      <w:r w:rsidRPr="00A41722">
        <w:rPr>
          <w:rFonts w:ascii="Arial" w:eastAsia="Times New Roman" w:hAnsi="Arial" w:cs="Arial"/>
          <w:color w:val="000000"/>
          <w:sz w:val="18"/>
          <w:szCs w:val="18"/>
          <w:lang w:val="es-CO" w:eastAsia="es-CO"/>
        </w:rPr>
        <w:t> </w:t>
      </w:r>
    </w:p>
    <w:p w14:paraId="4EF021C7" w14:textId="192C3EF0" w:rsidR="004D5C84" w:rsidRPr="00A41722" w:rsidRDefault="004D5C84" w:rsidP="00A41722">
      <w:pPr>
        <w:spacing w:after="0" w:line="240" w:lineRule="auto"/>
        <w:rPr>
          <w:rFonts w:ascii="Arial" w:eastAsia="Times New Roman" w:hAnsi="Arial" w:cs="Arial"/>
          <w:color w:val="000000"/>
          <w:sz w:val="18"/>
          <w:szCs w:val="18"/>
          <w:lang w:val="es-CO" w:eastAsia="es-CO"/>
        </w:rPr>
      </w:pPr>
      <w:r w:rsidRPr="00A41722">
        <w:rPr>
          <w:rFonts w:ascii="Arial" w:eastAsia="Times New Roman" w:hAnsi="Arial" w:cs="Arial"/>
          <w:color w:val="000000"/>
          <w:sz w:val="18"/>
          <w:szCs w:val="18"/>
          <w:lang w:val="es-CO" w:eastAsia="es-CO"/>
        </w:rPr>
        <w:t>  </w:t>
      </w:r>
      <w:r w:rsidRPr="00A41722">
        <w:rPr>
          <w:rFonts w:ascii="Arial" w:eastAsia="Times New Roman" w:hAnsi="Arial" w:cs="Arial"/>
          <w:color w:val="000000"/>
          <w:sz w:val="18"/>
          <w:szCs w:val="18"/>
          <w:lang w:val="es-CO" w:eastAsia="es-CO"/>
        </w:rPr>
        <w:tab/>
      </w:r>
      <w:r w:rsidRPr="00FF0FA2">
        <w:rPr>
          <w:rFonts w:ascii="Arial" w:eastAsia="Times New Roman" w:hAnsi="Arial" w:cs="Arial"/>
          <w:b/>
          <w:bCs/>
          <w:color w:val="000000"/>
          <w:sz w:val="18"/>
          <w:szCs w:val="18"/>
          <w:lang w:val="es-CO" w:eastAsia="es-CO"/>
        </w:rPr>
        <w:t>»4)</w:t>
      </w:r>
      <w:r w:rsidRPr="00FF0FA2">
        <w:rPr>
          <w:rFonts w:ascii="Arial" w:eastAsia="Times New Roman" w:hAnsi="Arial" w:cs="Arial"/>
          <w:color w:val="000000"/>
          <w:sz w:val="18"/>
          <w:szCs w:val="18"/>
          <w:lang w:val="es-CO" w:eastAsia="es-CO"/>
        </w:rPr>
        <w:t> Los montos indicativos de recursos para la financiación de los proyectos en la respectiva convocatoria, con cargo a la Asignación de Ciencia, Tecnología e Innovación.</w:t>
      </w:r>
      <w:r w:rsidRPr="00A41722">
        <w:rPr>
          <w:rFonts w:ascii="Arial" w:eastAsia="Times New Roman" w:hAnsi="Arial" w:cs="Arial"/>
          <w:color w:val="000000"/>
          <w:sz w:val="18"/>
          <w:szCs w:val="18"/>
          <w:lang w:val="es-CO" w:eastAsia="es-CO"/>
        </w:rPr>
        <w:t> </w:t>
      </w:r>
    </w:p>
    <w:p w14:paraId="32B91B3D" w14:textId="1982042E" w:rsidR="004D5C84" w:rsidRPr="00A41722" w:rsidRDefault="004D5C84" w:rsidP="00A41722">
      <w:pPr>
        <w:spacing w:after="0" w:line="240" w:lineRule="auto"/>
        <w:rPr>
          <w:rFonts w:ascii="Arial" w:eastAsia="Times New Roman" w:hAnsi="Arial" w:cs="Arial"/>
          <w:color w:val="000000"/>
          <w:sz w:val="18"/>
          <w:szCs w:val="18"/>
          <w:lang w:val="es-CO" w:eastAsia="es-CO"/>
        </w:rPr>
      </w:pPr>
      <w:r w:rsidRPr="00A41722">
        <w:rPr>
          <w:rFonts w:ascii="Arial" w:eastAsia="Times New Roman" w:hAnsi="Arial" w:cs="Arial"/>
          <w:color w:val="000000"/>
          <w:sz w:val="18"/>
          <w:szCs w:val="18"/>
          <w:lang w:val="es-CO" w:eastAsia="es-CO"/>
        </w:rPr>
        <w:t>  </w:t>
      </w:r>
      <w:r w:rsidRPr="00A41722">
        <w:rPr>
          <w:rFonts w:ascii="Arial" w:eastAsia="Times New Roman" w:hAnsi="Arial" w:cs="Arial"/>
          <w:color w:val="000000"/>
          <w:sz w:val="18"/>
          <w:szCs w:val="18"/>
          <w:lang w:val="es-CO" w:eastAsia="es-CO"/>
        </w:rPr>
        <w:tab/>
      </w:r>
      <w:r w:rsidRPr="00FF0FA2">
        <w:rPr>
          <w:rFonts w:ascii="Arial" w:eastAsia="Times New Roman" w:hAnsi="Arial" w:cs="Arial"/>
          <w:b/>
          <w:bCs/>
          <w:color w:val="000000"/>
          <w:sz w:val="18"/>
          <w:szCs w:val="18"/>
          <w:lang w:val="es-CO" w:eastAsia="es-CO"/>
        </w:rPr>
        <w:t>»5)</w:t>
      </w:r>
      <w:r w:rsidRPr="00FF0FA2">
        <w:rPr>
          <w:rFonts w:ascii="Arial" w:eastAsia="Times New Roman" w:hAnsi="Arial" w:cs="Arial"/>
          <w:color w:val="000000"/>
          <w:sz w:val="18"/>
          <w:szCs w:val="18"/>
          <w:lang w:val="es-CO" w:eastAsia="es-CO"/>
        </w:rPr>
        <w:t> Las actividades y objetos de gasto que pueden ser incluidas en el presupuesto del proyecto con cargo a la Asignación de Ciencia, Tecnología e Innovación.</w:t>
      </w:r>
      <w:r w:rsidRPr="00A41722">
        <w:rPr>
          <w:rFonts w:ascii="Arial" w:eastAsia="Times New Roman" w:hAnsi="Arial" w:cs="Arial"/>
          <w:color w:val="000000"/>
          <w:sz w:val="18"/>
          <w:szCs w:val="18"/>
          <w:lang w:val="es-CO" w:eastAsia="es-CO"/>
        </w:rPr>
        <w:t> </w:t>
      </w:r>
    </w:p>
    <w:p w14:paraId="5473E828" w14:textId="22873237" w:rsidR="004D5C84" w:rsidRPr="00A41722" w:rsidRDefault="004D5C84" w:rsidP="00A41722">
      <w:pPr>
        <w:spacing w:after="0" w:line="240" w:lineRule="auto"/>
        <w:rPr>
          <w:rFonts w:ascii="Arial" w:eastAsia="Times New Roman" w:hAnsi="Arial" w:cs="Arial"/>
          <w:color w:val="000000"/>
          <w:sz w:val="18"/>
          <w:szCs w:val="18"/>
          <w:lang w:val="es-CO" w:eastAsia="es-CO"/>
        </w:rPr>
      </w:pPr>
      <w:r w:rsidRPr="00A41722">
        <w:rPr>
          <w:rFonts w:ascii="Arial" w:eastAsia="Times New Roman" w:hAnsi="Arial" w:cs="Arial"/>
          <w:color w:val="000000"/>
          <w:sz w:val="18"/>
          <w:szCs w:val="18"/>
          <w:lang w:val="es-CO" w:eastAsia="es-CO"/>
        </w:rPr>
        <w:t>  </w:t>
      </w:r>
      <w:r w:rsidRPr="00A41722">
        <w:rPr>
          <w:rFonts w:ascii="Arial" w:eastAsia="Times New Roman" w:hAnsi="Arial" w:cs="Arial"/>
          <w:color w:val="000000"/>
          <w:sz w:val="18"/>
          <w:szCs w:val="18"/>
          <w:lang w:val="es-CO" w:eastAsia="es-CO"/>
        </w:rPr>
        <w:tab/>
      </w:r>
      <w:r w:rsidRPr="00FF0FA2">
        <w:rPr>
          <w:rFonts w:ascii="Arial" w:eastAsia="Times New Roman" w:hAnsi="Arial" w:cs="Arial"/>
          <w:b/>
          <w:bCs/>
          <w:color w:val="000000"/>
          <w:sz w:val="18"/>
          <w:szCs w:val="18"/>
          <w:lang w:val="es-CO" w:eastAsia="es-CO"/>
        </w:rPr>
        <w:t>»6)</w:t>
      </w:r>
      <w:r w:rsidRPr="00FF0FA2">
        <w:rPr>
          <w:rFonts w:ascii="Arial" w:eastAsia="Times New Roman" w:hAnsi="Arial" w:cs="Arial"/>
          <w:color w:val="000000"/>
          <w:sz w:val="18"/>
          <w:szCs w:val="18"/>
          <w:lang w:val="es-CO" w:eastAsia="es-CO"/>
        </w:rPr>
        <w:t> La concordancia de la convocatoria con el Plan de convocatoria.</w:t>
      </w:r>
      <w:r w:rsidRPr="00A41722">
        <w:rPr>
          <w:rFonts w:ascii="Arial" w:eastAsia="Times New Roman" w:hAnsi="Arial" w:cs="Arial"/>
          <w:color w:val="000000"/>
          <w:sz w:val="18"/>
          <w:szCs w:val="18"/>
          <w:lang w:val="es-CO" w:eastAsia="es-CO"/>
        </w:rPr>
        <w:t> </w:t>
      </w:r>
    </w:p>
    <w:p w14:paraId="390FE560" w14:textId="720CBD48" w:rsidR="004D5C84" w:rsidRPr="00A41722" w:rsidRDefault="004D5C84" w:rsidP="00A41722">
      <w:pPr>
        <w:spacing w:after="0" w:line="240" w:lineRule="auto"/>
        <w:rPr>
          <w:rFonts w:ascii="Arial" w:eastAsia="Times New Roman" w:hAnsi="Arial" w:cs="Arial"/>
          <w:color w:val="000000"/>
          <w:sz w:val="18"/>
          <w:szCs w:val="18"/>
          <w:lang w:val="es-CO" w:eastAsia="es-CO"/>
        </w:rPr>
      </w:pPr>
      <w:r w:rsidRPr="00A41722">
        <w:rPr>
          <w:rFonts w:ascii="Arial" w:eastAsia="Times New Roman" w:hAnsi="Arial" w:cs="Arial"/>
          <w:color w:val="000000"/>
          <w:sz w:val="18"/>
          <w:szCs w:val="18"/>
          <w:lang w:val="es-CO" w:eastAsia="es-CO"/>
        </w:rPr>
        <w:t>  </w:t>
      </w:r>
      <w:r w:rsidRPr="00A41722">
        <w:rPr>
          <w:rFonts w:ascii="Arial" w:eastAsia="Times New Roman" w:hAnsi="Arial" w:cs="Arial"/>
          <w:color w:val="000000"/>
          <w:sz w:val="18"/>
          <w:szCs w:val="18"/>
          <w:lang w:val="es-CO" w:eastAsia="es-CO"/>
        </w:rPr>
        <w:tab/>
      </w:r>
      <w:r w:rsidRPr="00FF0FA2">
        <w:rPr>
          <w:rFonts w:ascii="Arial" w:eastAsia="Times New Roman" w:hAnsi="Arial" w:cs="Arial"/>
          <w:b/>
          <w:bCs/>
          <w:color w:val="000000"/>
          <w:sz w:val="18"/>
          <w:szCs w:val="18"/>
          <w:lang w:val="es-CO" w:eastAsia="es-CO"/>
        </w:rPr>
        <w:t>»7)</w:t>
      </w:r>
      <w:r w:rsidRPr="00FF0FA2">
        <w:rPr>
          <w:rFonts w:ascii="Arial" w:eastAsia="Times New Roman" w:hAnsi="Arial" w:cs="Arial"/>
          <w:color w:val="000000"/>
          <w:sz w:val="18"/>
          <w:szCs w:val="18"/>
          <w:lang w:val="es-CO" w:eastAsia="es-CO"/>
        </w:rPr>
        <w:t> Los criterios de evaluación, el procedimiento de evaluación y el puntaje mínimo para la conformación del listado de proyectos elegibles y criterios de desempate.</w:t>
      </w:r>
      <w:r w:rsidRPr="00A41722">
        <w:rPr>
          <w:rFonts w:ascii="Arial" w:eastAsia="Times New Roman" w:hAnsi="Arial" w:cs="Arial"/>
          <w:color w:val="000000"/>
          <w:sz w:val="18"/>
          <w:szCs w:val="18"/>
          <w:lang w:val="es-CO" w:eastAsia="es-CO"/>
        </w:rPr>
        <w:t> </w:t>
      </w:r>
    </w:p>
    <w:p w14:paraId="5FA403A4" w14:textId="7E61B21C" w:rsidR="004D5C84" w:rsidRPr="00A41722" w:rsidRDefault="004D5C84" w:rsidP="00A41722">
      <w:pPr>
        <w:spacing w:after="0" w:line="240" w:lineRule="auto"/>
        <w:rPr>
          <w:rFonts w:ascii="Arial" w:eastAsia="Times New Roman" w:hAnsi="Arial" w:cs="Arial"/>
          <w:color w:val="000000"/>
          <w:sz w:val="18"/>
          <w:szCs w:val="18"/>
          <w:lang w:val="es-CO" w:eastAsia="es-CO"/>
        </w:rPr>
      </w:pPr>
      <w:r w:rsidRPr="00A41722">
        <w:rPr>
          <w:rFonts w:ascii="Arial" w:eastAsia="Times New Roman" w:hAnsi="Arial" w:cs="Arial"/>
          <w:color w:val="000000"/>
          <w:sz w:val="18"/>
          <w:szCs w:val="18"/>
          <w:lang w:val="es-CO" w:eastAsia="es-CO"/>
        </w:rPr>
        <w:t>  </w:t>
      </w:r>
      <w:r w:rsidRPr="00A41722">
        <w:rPr>
          <w:rFonts w:ascii="Arial" w:eastAsia="Times New Roman" w:hAnsi="Arial" w:cs="Arial"/>
          <w:color w:val="000000"/>
          <w:sz w:val="18"/>
          <w:szCs w:val="18"/>
          <w:lang w:val="es-CO" w:eastAsia="es-CO"/>
        </w:rPr>
        <w:tab/>
      </w:r>
      <w:r w:rsidRPr="00FF0FA2">
        <w:rPr>
          <w:rFonts w:ascii="Arial" w:eastAsia="Times New Roman" w:hAnsi="Arial" w:cs="Arial"/>
          <w:b/>
          <w:bCs/>
          <w:color w:val="000000"/>
          <w:sz w:val="18"/>
          <w:szCs w:val="18"/>
          <w:lang w:val="es-CO" w:eastAsia="es-CO"/>
        </w:rPr>
        <w:t>»8)</w:t>
      </w:r>
      <w:r w:rsidRPr="00FF0FA2">
        <w:rPr>
          <w:rFonts w:ascii="Arial" w:eastAsia="Times New Roman" w:hAnsi="Arial" w:cs="Arial"/>
          <w:color w:val="000000"/>
          <w:sz w:val="18"/>
          <w:szCs w:val="18"/>
          <w:lang w:val="es-CO" w:eastAsia="es-CO"/>
        </w:rPr>
        <w:t> La estimación del presupuesto de la interventoría o apoyo a la supervisión del proyecto a la Asignación de Ciencia, Tecnología e Innovación.</w:t>
      </w:r>
      <w:r w:rsidRPr="00A41722">
        <w:rPr>
          <w:rFonts w:ascii="Arial" w:eastAsia="Times New Roman" w:hAnsi="Arial" w:cs="Arial"/>
          <w:color w:val="000000"/>
          <w:sz w:val="18"/>
          <w:szCs w:val="18"/>
          <w:lang w:val="es-CO" w:eastAsia="es-CO"/>
        </w:rPr>
        <w:t> </w:t>
      </w:r>
    </w:p>
    <w:p w14:paraId="708A926C" w14:textId="2450889C" w:rsidR="004D5C84" w:rsidRPr="00A41722" w:rsidRDefault="004D5C84" w:rsidP="00A41722">
      <w:pPr>
        <w:spacing w:after="0" w:line="240" w:lineRule="auto"/>
        <w:rPr>
          <w:rFonts w:ascii="Arial" w:eastAsia="Times New Roman" w:hAnsi="Arial" w:cs="Arial"/>
          <w:color w:val="000000"/>
          <w:sz w:val="18"/>
          <w:szCs w:val="18"/>
          <w:lang w:val="es-CO" w:eastAsia="es-CO"/>
        </w:rPr>
      </w:pPr>
      <w:r w:rsidRPr="00A41722">
        <w:rPr>
          <w:rFonts w:ascii="Arial" w:eastAsia="Times New Roman" w:hAnsi="Arial" w:cs="Arial"/>
          <w:color w:val="000000"/>
          <w:sz w:val="18"/>
          <w:szCs w:val="18"/>
          <w:lang w:val="es-CO" w:eastAsia="es-CO"/>
        </w:rPr>
        <w:t>  </w:t>
      </w:r>
      <w:r w:rsidRPr="00A41722">
        <w:rPr>
          <w:rFonts w:ascii="Arial" w:eastAsia="Times New Roman" w:hAnsi="Arial" w:cs="Arial"/>
          <w:color w:val="000000"/>
          <w:sz w:val="18"/>
          <w:szCs w:val="18"/>
          <w:lang w:val="es-CO" w:eastAsia="es-CO"/>
        </w:rPr>
        <w:tab/>
      </w:r>
      <w:r w:rsidRPr="00FF0FA2">
        <w:rPr>
          <w:rFonts w:ascii="Arial" w:eastAsia="Times New Roman" w:hAnsi="Arial" w:cs="Arial"/>
          <w:b/>
          <w:bCs/>
          <w:color w:val="000000"/>
          <w:sz w:val="18"/>
          <w:szCs w:val="18"/>
          <w:lang w:val="es-CO" w:eastAsia="es-CO"/>
        </w:rPr>
        <w:t>»9)</w:t>
      </w:r>
      <w:r w:rsidRPr="00FF0FA2">
        <w:rPr>
          <w:rFonts w:ascii="Arial" w:eastAsia="Times New Roman" w:hAnsi="Arial" w:cs="Arial"/>
          <w:color w:val="000000"/>
          <w:sz w:val="18"/>
          <w:szCs w:val="18"/>
          <w:lang w:val="es-CO" w:eastAsia="es-CO"/>
        </w:rPr>
        <w:t> Recursos de inversión disponibles para la evaluación de los proyectos.</w:t>
      </w:r>
      <w:r w:rsidRPr="00A41722">
        <w:rPr>
          <w:rFonts w:ascii="Arial" w:eastAsia="Times New Roman" w:hAnsi="Arial" w:cs="Arial"/>
          <w:color w:val="000000"/>
          <w:sz w:val="18"/>
          <w:szCs w:val="18"/>
          <w:lang w:val="es-CO" w:eastAsia="es-CO"/>
        </w:rPr>
        <w:t> </w:t>
      </w:r>
    </w:p>
    <w:p w14:paraId="5DBF03AE" w14:textId="3E80468D" w:rsidR="004D5C84" w:rsidRPr="00A41722" w:rsidRDefault="004D5C84" w:rsidP="00A41722">
      <w:pPr>
        <w:spacing w:after="0" w:line="240" w:lineRule="auto"/>
        <w:rPr>
          <w:rFonts w:ascii="Arial" w:eastAsia="Times New Roman" w:hAnsi="Arial" w:cs="Arial"/>
          <w:color w:val="000000"/>
          <w:sz w:val="18"/>
          <w:szCs w:val="18"/>
          <w:lang w:val="es-CO" w:eastAsia="es-CO"/>
        </w:rPr>
      </w:pPr>
      <w:r w:rsidRPr="00A41722">
        <w:rPr>
          <w:rFonts w:ascii="Arial" w:eastAsia="Times New Roman" w:hAnsi="Arial" w:cs="Arial"/>
          <w:color w:val="000000"/>
          <w:sz w:val="18"/>
          <w:szCs w:val="18"/>
          <w:lang w:val="es-CO" w:eastAsia="es-CO"/>
        </w:rPr>
        <w:t>  </w:t>
      </w:r>
      <w:r w:rsidRPr="00A41722">
        <w:rPr>
          <w:rFonts w:ascii="Arial" w:eastAsia="Times New Roman" w:hAnsi="Arial" w:cs="Arial"/>
          <w:color w:val="000000"/>
          <w:sz w:val="18"/>
          <w:szCs w:val="18"/>
          <w:lang w:val="es-CO" w:eastAsia="es-CO"/>
        </w:rPr>
        <w:tab/>
      </w:r>
      <w:r w:rsidRPr="00FF0FA2">
        <w:rPr>
          <w:rFonts w:ascii="Arial" w:eastAsia="Times New Roman" w:hAnsi="Arial" w:cs="Arial"/>
          <w:b/>
          <w:bCs/>
          <w:color w:val="000000"/>
          <w:sz w:val="18"/>
          <w:szCs w:val="18"/>
          <w:lang w:val="es-CO" w:eastAsia="es-CO"/>
        </w:rPr>
        <w:t>»10)</w:t>
      </w:r>
      <w:r w:rsidRPr="00FF0FA2">
        <w:rPr>
          <w:rFonts w:ascii="Arial" w:eastAsia="Times New Roman" w:hAnsi="Arial" w:cs="Arial"/>
          <w:color w:val="000000"/>
          <w:sz w:val="18"/>
          <w:szCs w:val="18"/>
          <w:lang w:val="es-CO" w:eastAsia="es-CO"/>
        </w:rPr>
        <w:t> El cronograma de la respectiva convocatoria.</w:t>
      </w:r>
      <w:r w:rsidRPr="00A41722">
        <w:rPr>
          <w:rFonts w:ascii="Arial" w:eastAsia="Times New Roman" w:hAnsi="Arial" w:cs="Arial"/>
          <w:color w:val="000000"/>
          <w:sz w:val="18"/>
          <w:szCs w:val="18"/>
          <w:lang w:val="es-CO" w:eastAsia="es-CO"/>
        </w:rPr>
        <w:t> </w:t>
      </w:r>
    </w:p>
    <w:p w14:paraId="1FD5B2C3" w14:textId="436E11A1" w:rsidR="004D5C84" w:rsidRPr="00A41722" w:rsidRDefault="004D5C84" w:rsidP="00A41722">
      <w:pPr>
        <w:spacing w:after="0" w:line="240" w:lineRule="auto"/>
        <w:rPr>
          <w:rFonts w:ascii="Arial" w:eastAsia="Times New Roman" w:hAnsi="Arial" w:cs="Arial"/>
          <w:color w:val="000000"/>
          <w:sz w:val="18"/>
          <w:szCs w:val="18"/>
          <w:lang w:val="es-CO" w:eastAsia="es-CO"/>
        </w:rPr>
      </w:pPr>
      <w:r w:rsidRPr="00A41722">
        <w:rPr>
          <w:rFonts w:ascii="Arial" w:eastAsia="Times New Roman" w:hAnsi="Arial" w:cs="Arial"/>
          <w:color w:val="000000"/>
          <w:sz w:val="18"/>
          <w:szCs w:val="18"/>
          <w:lang w:val="es-CO" w:eastAsia="es-CO"/>
        </w:rPr>
        <w:t>  </w:t>
      </w:r>
      <w:r w:rsidRPr="00A41722">
        <w:rPr>
          <w:rFonts w:ascii="Arial" w:eastAsia="Times New Roman" w:hAnsi="Arial" w:cs="Arial"/>
          <w:color w:val="000000"/>
          <w:sz w:val="18"/>
          <w:szCs w:val="18"/>
          <w:lang w:val="es-CO" w:eastAsia="es-CO"/>
        </w:rPr>
        <w:tab/>
      </w:r>
      <w:r w:rsidRPr="00FF0FA2">
        <w:rPr>
          <w:rFonts w:ascii="Arial" w:eastAsia="Times New Roman" w:hAnsi="Arial" w:cs="Arial"/>
          <w:b/>
          <w:bCs/>
          <w:color w:val="000000"/>
          <w:sz w:val="18"/>
          <w:szCs w:val="18"/>
          <w:lang w:val="es-CO" w:eastAsia="es-CO"/>
        </w:rPr>
        <w:t>»11)</w:t>
      </w:r>
      <w:r w:rsidRPr="00FF0FA2">
        <w:rPr>
          <w:rFonts w:ascii="Arial" w:eastAsia="Times New Roman" w:hAnsi="Arial" w:cs="Arial"/>
          <w:color w:val="000000"/>
          <w:sz w:val="18"/>
          <w:szCs w:val="18"/>
          <w:lang w:val="es-CO" w:eastAsia="es-CO"/>
        </w:rPr>
        <w:t> Los criterios de priorización que se tendrán en cuenta para la financiación de proyectos de inversión.</w:t>
      </w:r>
      <w:r w:rsidRPr="00A41722">
        <w:rPr>
          <w:rFonts w:ascii="Arial" w:eastAsia="Times New Roman" w:hAnsi="Arial" w:cs="Arial"/>
          <w:color w:val="000000"/>
          <w:sz w:val="18"/>
          <w:szCs w:val="18"/>
          <w:lang w:val="es-CO" w:eastAsia="es-CO"/>
        </w:rPr>
        <w:t> </w:t>
      </w:r>
    </w:p>
    <w:p w14:paraId="47BEA2DC" w14:textId="4F8E64AE" w:rsidR="004D5C84" w:rsidRPr="00A41722" w:rsidRDefault="004D5C84" w:rsidP="00A41722">
      <w:pPr>
        <w:spacing w:after="0" w:line="240" w:lineRule="auto"/>
        <w:rPr>
          <w:rFonts w:ascii="Arial" w:eastAsia="Times New Roman" w:hAnsi="Arial" w:cs="Arial"/>
          <w:color w:val="000000"/>
          <w:sz w:val="18"/>
          <w:szCs w:val="18"/>
          <w:lang w:val="es-CO" w:eastAsia="es-CO"/>
        </w:rPr>
      </w:pPr>
      <w:r w:rsidRPr="00A41722">
        <w:rPr>
          <w:rFonts w:ascii="Arial" w:eastAsia="Times New Roman" w:hAnsi="Arial" w:cs="Arial"/>
          <w:color w:val="000000"/>
          <w:sz w:val="18"/>
          <w:szCs w:val="18"/>
          <w:lang w:val="es-CO" w:eastAsia="es-CO"/>
        </w:rPr>
        <w:t>  </w:t>
      </w:r>
      <w:r w:rsidRPr="00A41722">
        <w:rPr>
          <w:rFonts w:ascii="Arial" w:eastAsia="Times New Roman" w:hAnsi="Arial" w:cs="Arial"/>
          <w:color w:val="000000"/>
          <w:sz w:val="18"/>
          <w:szCs w:val="18"/>
          <w:lang w:val="es-CO" w:eastAsia="es-CO"/>
        </w:rPr>
        <w:tab/>
      </w:r>
      <w:r w:rsidRPr="00FF0FA2">
        <w:rPr>
          <w:rFonts w:ascii="Arial" w:eastAsia="Times New Roman" w:hAnsi="Arial" w:cs="Arial"/>
          <w:b/>
          <w:bCs/>
          <w:color w:val="000000"/>
          <w:sz w:val="18"/>
          <w:szCs w:val="18"/>
          <w:lang w:val="es-CO" w:eastAsia="es-CO"/>
        </w:rPr>
        <w:t>»12)</w:t>
      </w:r>
      <w:r w:rsidRPr="00FF0FA2">
        <w:rPr>
          <w:rFonts w:ascii="Arial" w:eastAsia="Times New Roman" w:hAnsi="Arial" w:cs="Arial"/>
          <w:color w:val="000000"/>
          <w:sz w:val="18"/>
          <w:szCs w:val="18"/>
          <w:lang w:val="es-CO" w:eastAsia="es-CO"/>
        </w:rPr>
        <w:t> Los demás que se consideren pertinentes según el tipo de convocatoria.</w:t>
      </w:r>
      <w:r w:rsidRPr="00A41722">
        <w:rPr>
          <w:rFonts w:ascii="Arial" w:eastAsia="Times New Roman" w:hAnsi="Arial" w:cs="Arial"/>
          <w:color w:val="000000"/>
          <w:sz w:val="18"/>
          <w:szCs w:val="18"/>
          <w:lang w:val="es-CO" w:eastAsia="es-CO"/>
        </w:rPr>
        <w:t> </w:t>
      </w:r>
    </w:p>
    <w:p w14:paraId="37A64ED1" w14:textId="3ADC650E" w:rsidR="004D5C84" w:rsidRPr="00A41722" w:rsidRDefault="004D5C84" w:rsidP="00A41722">
      <w:pPr>
        <w:spacing w:after="0" w:line="240" w:lineRule="auto"/>
        <w:rPr>
          <w:rFonts w:ascii="Arial" w:eastAsia="Times New Roman" w:hAnsi="Arial" w:cs="Arial"/>
          <w:color w:val="000000"/>
          <w:sz w:val="18"/>
          <w:szCs w:val="18"/>
          <w:lang w:val="es-CO" w:eastAsia="es-CO"/>
        </w:rPr>
      </w:pPr>
      <w:r w:rsidRPr="00A41722">
        <w:rPr>
          <w:rFonts w:ascii="Arial" w:eastAsia="Times New Roman" w:hAnsi="Arial" w:cs="Arial"/>
          <w:color w:val="000000"/>
          <w:sz w:val="18"/>
          <w:szCs w:val="18"/>
          <w:lang w:val="es-CO" w:eastAsia="es-CO"/>
        </w:rPr>
        <w:t>  </w:t>
      </w:r>
      <w:r w:rsidRPr="00A41722">
        <w:rPr>
          <w:rFonts w:ascii="Arial" w:eastAsia="Times New Roman" w:hAnsi="Arial" w:cs="Arial"/>
          <w:color w:val="000000"/>
          <w:sz w:val="18"/>
          <w:szCs w:val="18"/>
          <w:lang w:val="es-CO" w:eastAsia="es-CO"/>
        </w:rPr>
        <w:tab/>
      </w:r>
      <w:r w:rsidRPr="00FF0FA2">
        <w:rPr>
          <w:rFonts w:ascii="Arial" w:eastAsia="Times New Roman" w:hAnsi="Arial" w:cs="Arial"/>
          <w:color w:val="000000"/>
          <w:sz w:val="18"/>
          <w:szCs w:val="18"/>
          <w:lang w:val="es-CO" w:eastAsia="es-CO"/>
        </w:rPr>
        <w:t>»Los criterios de evaluación tendrán en cuenta la investigación y la innovación que promuevan el desarrollo sostenible de la región. El Órgano Colegiado de Administración y Decisión de Ciencia, Tecnología e Innovación podrá establecer condiciones y requisitos adicionales respetando los principios de la función pública, en especial los relacionados con la igualdad, transparencia, imparcialidad y participación.</w:t>
      </w:r>
      <w:r w:rsidRPr="00A41722">
        <w:rPr>
          <w:rFonts w:ascii="Arial" w:eastAsia="Times New Roman" w:hAnsi="Arial" w:cs="Arial"/>
          <w:color w:val="000000"/>
          <w:sz w:val="18"/>
          <w:szCs w:val="18"/>
          <w:lang w:val="es-CO" w:eastAsia="es-CO"/>
        </w:rPr>
        <w:t> </w:t>
      </w:r>
    </w:p>
    <w:p w14:paraId="3045F5F8" w14:textId="6C3EF6C3" w:rsidR="004D5C84" w:rsidRPr="00A41722" w:rsidRDefault="004D5C84" w:rsidP="00A41722">
      <w:pPr>
        <w:spacing w:after="0" w:line="240" w:lineRule="auto"/>
        <w:rPr>
          <w:rFonts w:ascii="Arial" w:eastAsia="Times New Roman" w:hAnsi="Arial" w:cs="Arial"/>
          <w:color w:val="000000"/>
          <w:sz w:val="18"/>
          <w:szCs w:val="18"/>
          <w:lang w:val="es-CO" w:eastAsia="es-CO"/>
        </w:rPr>
      </w:pPr>
      <w:r w:rsidRPr="00A41722">
        <w:rPr>
          <w:rFonts w:ascii="Arial" w:eastAsia="Times New Roman" w:hAnsi="Arial" w:cs="Arial"/>
          <w:color w:val="000000"/>
          <w:sz w:val="18"/>
          <w:szCs w:val="18"/>
          <w:lang w:val="es-CO" w:eastAsia="es-CO"/>
        </w:rPr>
        <w:t>  </w:t>
      </w:r>
      <w:r w:rsidRPr="00A41722">
        <w:rPr>
          <w:rFonts w:ascii="Arial" w:eastAsia="Times New Roman" w:hAnsi="Arial" w:cs="Arial"/>
          <w:color w:val="000000"/>
          <w:sz w:val="18"/>
          <w:szCs w:val="18"/>
          <w:lang w:val="es-CO" w:eastAsia="es-CO"/>
        </w:rPr>
        <w:tab/>
      </w:r>
      <w:r w:rsidRPr="00FF0FA2">
        <w:rPr>
          <w:rFonts w:ascii="Arial" w:eastAsia="Times New Roman" w:hAnsi="Arial" w:cs="Arial"/>
          <w:color w:val="000000"/>
          <w:sz w:val="18"/>
          <w:szCs w:val="18"/>
          <w:lang w:val="es-CO" w:eastAsia="es-CO"/>
        </w:rPr>
        <w:t>»El Ministerio de Ciencia, Tecnología e Innovación, en coordinación con el Departamento Nacional de Planeación, presentará los términos de referencia para su aprobación ante el Órgano Colegiado de Administración y Decisión de Ciencia, Tecnología e Innovación de conformidad con lo establecido en el plan de convocatorias. Para efectos de la convocatoria de la asignación para Ciencia, Tecnología e Innovación Ambiental, el Ministerio de Ambiente y Desarrollo Sostenible podrá participar de la estructuración y la presentación de estos términos de referencia ante el órgano Colegiado de Administración y Decisión de Ciencia, Tecnología e Innovación.</w:t>
      </w:r>
      <w:r w:rsidRPr="00A41722">
        <w:rPr>
          <w:rFonts w:ascii="Arial" w:eastAsia="Times New Roman" w:hAnsi="Arial" w:cs="Arial"/>
          <w:color w:val="000000"/>
          <w:sz w:val="18"/>
          <w:szCs w:val="18"/>
          <w:lang w:val="es-CO" w:eastAsia="es-CO"/>
        </w:rPr>
        <w:t> </w:t>
      </w:r>
    </w:p>
    <w:p w14:paraId="3C85DC93" w14:textId="0A816306" w:rsidR="004D5C84" w:rsidRPr="00A41722" w:rsidRDefault="004D5C84" w:rsidP="00A41722">
      <w:pPr>
        <w:spacing w:after="0" w:line="240" w:lineRule="auto"/>
        <w:rPr>
          <w:rFonts w:ascii="Arial" w:eastAsia="Times New Roman" w:hAnsi="Arial" w:cs="Arial"/>
          <w:color w:val="000000"/>
          <w:sz w:val="18"/>
          <w:szCs w:val="18"/>
          <w:lang w:val="es-CO" w:eastAsia="es-CO"/>
        </w:rPr>
      </w:pPr>
      <w:r w:rsidRPr="00A41722">
        <w:rPr>
          <w:rFonts w:ascii="Arial" w:eastAsia="Times New Roman" w:hAnsi="Arial" w:cs="Arial"/>
          <w:color w:val="000000"/>
          <w:sz w:val="18"/>
          <w:szCs w:val="18"/>
          <w:lang w:val="es-CO" w:eastAsia="es-CO"/>
        </w:rPr>
        <w:t>  </w:t>
      </w:r>
      <w:r w:rsidRPr="00A41722">
        <w:rPr>
          <w:rFonts w:ascii="Arial" w:eastAsia="Times New Roman" w:hAnsi="Arial" w:cs="Arial"/>
          <w:color w:val="000000"/>
          <w:sz w:val="18"/>
          <w:szCs w:val="18"/>
          <w:lang w:val="es-CO" w:eastAsia="es-CO"/>
        </w:rPr>
        <w:tab/>
        <w:t>»</w:t>
      </w:r>
      <w:r w:rsidRPr="00FF0FA2">
        <w:rPr>
          <w:rFonts w:ascii="Arial" w:eastAsia="Times New Roman" w:hAnsi="Arial" w:cs="Arial"/>
          <w:color w:val="000000"/>
          <w:sz w:val="18"/>
          <w:szCs w:val="18"/>
          <w:lang w:val="es-CO" w:eastAsia="es-CO"/>
        </w:rPr>
        <w:t>La aprobación de los términos de referencia respetará en todo caso los principios de la función pública dispuestos por el Artículo 2 de la Ley 909 de 2004, o la norma que la adicione, modifique o sustituya».</w:t>
      </w:r>
      <w:r w:rsidRPr="00A41722">
        <w:rPr>
          <w:rFonts w:ascii="Arial" w:eastAsia="Times New Roman" w:hAnsi="Arial" w:cs="Arial"/>
          <w:color w:val="000000"/>
          <w:sz w:val="18"/>
          <w:szCs w:val="18"/>
          <w:lang w:val="es-CO" w:eastAsia="es-CO"/>
        </w:rPr>
        <w:t> </w:t>
      </w:r>
    </w:p>
    <w:p w14:paraId="0580AFDB" w14:textId="766BC79E" w:rsidR="004D5C84" w:rsidRPr="00A41722" w:rsidRDefault="004D5C84" w:rsidP="00A41722">
      <w:pPr>
        <w:pStyle w:val="Textonotapie"/>
        <w:ind w:firstLine="708"/>
        <w:rPr>
          <w:rFonts w:ascii="Arial" w:hAnsi="Arial" w:cs="Arial"/>
          <w:sz w:val="18"/>
          <w:szCs w:val="18"/>
        </w:rPr>
      </w:pPr>
      <w:r w:rsidRPr="00A41722">
        <w:rPr>
          <w:rFonts w:ascii="Arial" w:hAnsi="Arial" w:cs="Arial"/>
          <w:sz w:val="18"/>
          <w:szCs w:val="18"/>
        </w:rPr>
        <w:t xml:space="preserve"> </w:t>
      </w:r>
    </w:p>
  </w:footnote>
  <w:footnote w:id="7">
    <w:p w14:paraId="2747658B" w14:textId="29A6D997" w:rsidR="008E3B3F" w:rsidRPr="00A41722" w:rsidRDefault="00F8133A" w:rsidP="00A41722">
      <w:pPr>
        <w:shd w:val="clear" w:color="auto" w:fill="FFFFFF"/>
        <w:spacing w:after="0" w:line="240" w:lineRule="auto"/>
        <w:ind w:firstLine="708"/>
        <w:rPr>
          <w:rFonts w:ascii="Arial" w:eastAsia="Times New Roman" w:hAnsi="Arial" w:cs="Arial"/>
          <w:color w:val="333333"/>
          <w:sz w:val="18"/>
          <w:szCs w:val="18"/>
          <w:lang w:val="es-CO" w:eastAsia="es-CO"/>
        </w:rPr>
      </w:pPr>
      <w:r w:rsidRPr="00A41722">
        <w:rPr>
          <w:rStyle w:val="Refdenotaalpie"/>
          <w:rFonts w:ascii="Arial" w:hAnsi="Arial" w:cs="Arial"/>
          <w:sz w:val="18"/>
          <w:szCs w:val="18"/>
        </w:rPr>
        <w:footnoteRef/>
      </w:r>
      <w:r w:rsidR="008E3B3F" w:rsidRPr="00A41722">
        <w:rPr>
          <w:rFonts w:ascii="Arial" w:hAnsi="Arial" w:cs="Arial"/>
          <w:sz w:val="18"/>
          <w:szCs w:val="18"/>
        </w:rPr>
        <w:t xml:space="preserve"> «</w:t>
      </w:r>
      <w:r w:rsidR="008E3B3F" w:rsidRPr="00A41722">
        <w:rPr>
          <w:rFonts w:ascii="Arial" w:eastAsia="Times New Roman" w:hAnsi="Arial" w:cs="Arial"/>
          <w:color w:val="333333"/>
          <w:sz w:val="18"/>
          <w:szCs w:val="18"/>
          <w:lang w:val="es-CO" w:eastAsia="es-CO"/>
        </w:rPr>
        <w:t>Artículo </w:t>
      </w:r>
      <w:bookmarkStart w:id="12" w:name="37"/>
      <w:bookmarkEnd w:id="12"/>
      <w:r w:rsidR="008E3B3F" w:rsidRPr="00A41722">
        <w:rPr>
          <w:rFonts w:ascii="Arial" w:eastAsia="Times New Roman" w:hAnsi="Arial" w:cs="Arial"/>
          <w:color w:val="333333"/>
          <w:sz w:val="18"/>
          <w:szCs w:val="18"/>
          <w:lang w:val="es-CO" w:eastAsia="es-CO"/>
        </w:rPr>
        <w:t>37. Ejecución de proyectos de inversión. Los proyectos de inversión que se financien con cargo al Sistema General de Regalías serán ejecutados por quien designe las entidades u órganos de que tratan los artículos 35 y 36 de la presente Ley. Así mismo, la entidad ejecutora estará a cargo de la contratación de la interventoría, de conformidad con lo previsto en la presente Ley.</w:t>
      </w:r>
    </w:p>
    <w:p w14:paraId="790F47CE" w14:textId="350296B5" w:rsidR="008E3B3F" w:rsidRPr="00A41722" w:rsidRDefault="00895471" w:rsidP="00A41722">
      <w:pPr>
        <w:shd w:val="clear" w:color="auto" w:fill="FFFFFF"/>
        <w:spacing w:after="0" w:line="240" w:lineRule="auto"/>
        <w:ind w:firstLine="708"/>
        <w:rPr>
          <w:rFonts w:ascii="Arial" w:eastAsia="Times New Roman" w:hAnsi="Arial" w:cs="Arial"/>
          <w:color w:val="333333"/>
          <w:sz w:val="18"/>
          <w:szCs w:val="18"/>
          <w:lang w:val="es-CO" w:eastAsia="es-CO"/>
        </w:rPr>
      </w:pPr>
      <w:r w:rsidRPr="00A41722">
        <w:rPr>
          <w:rFonts w:ascii="Arial" w:eastAsia="Times New Roman" w:hAnsi="Arial" w:cs="Arial"/>
          <w:color w:val="333333"/>
          <w:sz w:val="18"/>
          <w:szCs w:val="18"/>
          <w:lang w:val="es-CO" w:eastAsia="es-CO"/>
        </w:rPr>
        <w:t>[…]</w:t>
      </w:r>
    </w:p>
    <w:p w14:paraId="5A42A085" w14:textId="3DA2F41E" w:rsidR="008E3B3F" w:rsidRPr="00A41722" w:rsidRDefault="00895471" w:rsidP="00A41722">
      <w:pPr>
        <w:shd w:val="clear" w:color="auto" w:fill="FFFFFF"/>
        <w:spacing w:after="0" w:line="240" w:lineRule="auto"/>
        <w:ind w:firstLine="708"/>
        <w:rPr>
          <w:rFonts w:ascii="Arial" w:eastAsia="Times New Roman" w:hAnsi="Arial" w:cs="Arial"/>
          <w:color w:val="333333"/>
          <w:sz w:val="18"/>
          <w:szCs w:val="18"/>
          <w:lang w:val="es-CO" w:eastAsia="es-CO"/>
        </w:rPr>
      </w:pPr>
      <w:r w:rsidRPr="00A41722">
        <w:rPr>
          <w:rFonts w:ascii="Arial" w:eastAsia="Times New Roman" w:hAnsi="Arial" w:cs="Arial"/>
          <w:color w:val="333333"/>
          <w:sz w:val="18"/>
          <w:szCs w:val="18"/>
          <w:lang w:val="es-CO" w:eastAsia="es-CO"/>
        </w:rPr>
        <w:t>»</w:t>
      </w:r>
      <w:r w:rsidR="008E3B3F" w:rsidRPr="00A41722">
        <w:rPr>
          <w:rFonts w:ascii="Arial" w:eastAsia="Times New Roman" w:hAnsi="Arial" w:cs="Arial"/>
          <w:color w:val="333333"/>
          <w:sz w:val="18"/>
          <w:szCs w:val="18"/>
          <w:lang w:val="es-CO" w:eastAsia="es-CO"/>
        </w:rPr>
        <w:t>Parágrafo Primero</w:t>
      </w:r>
      <w:r w:rsidR="008E3B3F" w:rsidRPr="00A41722">
        <w:rPr>
          <w:rFonts w:ascii="Arial" w:eastAsia="Times New Roman" w:hAnsi="Arial" w:cs="Arial"/>
          <w:b/>
          <w:bCs/>
          <w:color w:val="333333"/>
          <w:sz w:val="18"/>
          <w:szCs w:val="18"/>
          <w:lang w:val="es-CO" w:eastAsia="es-CO"/>
        </w:rPr>
        <w:t>.</w:t>
      </w:r>
      <w:r w:rsidR="008E3B3F" w:rsidRPr="00A41722">
        <w:rPr>
          <w:rFonts w:ascii="Arial" w:eastAsia="Times New Roman" w:hAnsi="Arial" w:cs="Arial"/>
          <w:color w:val="333333"/>
          <w:sz w:val="18"/>
          <w:szCs w:val="18"/>
          <w:lang w:val="es-CO" w:eastAsia="es-CO"/>
        </w:rPr>
        <w:t> La ejecución de proyectos de qué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r w:rsidRPr="00A41722">
        <w:rPr>
          <w:rFonts w:ascii="Arial" w:eastAsia="Times New Roman" w:hAnsi="Arial" w:cs="Arial"/>
          <w:color w:val="333333"/>
          <w:sz w:val="18"/>
          <w:szCs w:val="18"/>
          <w:lang w:val="es-CO" w:eastAsia="es-CO"/>
        </w:rPr>
        <w:t xml:space="preserve"> […]»</w:t>
      </w:r>
    </w:p>
    <w:p w14:paraId="5BEA159C" w14:textId="491503BB" w:rsidR="00F8133A" w:rsidRPr="00A41722" w:rsidRDefault="00F8133A" w:rsidP="00A41722">
      <w:pPr>
        <w:pStyle w:val="Textonotapie"/>
        <w:ind w:firstLine="708"/>
        <w:rPr>
          <w:rFonts w:ascii="Arial" w:hAnsi="Arial" w:cs="Arial"/>
          <w:sz w:val="18"/>
          <w:szCs w:val="18"/>
        </w:rPr>
      </w:pPr>
      <w:r w:rsidRPr="00A41722">
        <w:rPr>
          <w:rFonts w:ascii="Arial" w:hAnsi="Arial" w:cs="Arial"/>
          <w:sz w:val="18"/>
          <w:szCs w:val="18"/>
        </w:rPr>
        <w:t xml:space="preserve"> </w:t>
      </w:r>
    </w:p>
  </w:footnote>
  <w:footnote w:id="8">
    <w:p w14:paraId="12CB9DC7" w14:textId="680E2CA0" w:rsidR="005551CB" w:rsidRPr="00A41722" w:rsidRDefault="005551CB" w:rsidP="00FF0FA2">
      <w:pPr>
        <w:pStyle w:val="Textonotapie"/>
        <w:spacing w:after="0" w:line="240" w:lineRule="auto"/>
        <w:ind w:firstLine="708"/>
        <w:rPr>
          <w:rFonts w:ascii="Arial" w:hAnsi="Arial" w:cs="Arial"/>
          <w:sz w:val="18"/>
          <w:szCs w:val="18"/>
          <w:lang w:val="es-ES"/>
        </w:rPr>
      </w:pPr>
      <w:r w:rsidRPr="00A41722">
        <w:rPr>
          <w:rStyle w:val="Refdenotaalpie"/>
          <w:rFonts w:ascii="Arial" w:hAnsi="Arial" w:cs="Arial"/>
          <w:sz w:val="18"/>
          <w:szCs w:val="18"/>
        </w:rPr>
        <w:footnoteRef/>
      </w:r>
      <w:r w:rsidRPr="00A41722">
        <w:rPr>
          <w:rFonts w:ascii="Arial" w:hAnsi="Arial" w:cs="Arial"/>
          <w:sz w:val="18"/>
          <w:szCs w:val="18"/>
        </w:rPr>
        <w:t xml:space="preserve"> </w:t>
      </w:r>
      <w:r w:rsidRPr="00A41722">
        <w:rPr>
          <w:rFonts w:ascii="Arial" w:eastAsia="Arial" w:hAnsi="Arial" w:cs="Arial"/>
          <w:sz w:val="18"/>
          <w:szCs w:val="18"/>
        </w:rPr>
        <w:t xml:space="preserve">La Sala de Consulta y Servicio Civil del Consejo de Estado </w:t>
      </w:r>
      <w:r w:rsidRPr="00A41722">
        <w:rPr>
          <w:rFonts w:ascii="Arial" w:eastAsia="Arial" w:hAnsi="Arial" w:cs="Arial"/>
          <w:color w:val="000000"/>
          <w:sz w:val="18"/>
          <w:szCs w:val="18"/>
        </w:rPr>
        <w:t xml:space="preserve">en el Concepto del 17 de febrero de 2015. C.P. William Zambrano Cetina. Radicación No. 11001-03-06-000-2015-00164-00(2269), </w:t>
      </w:r>
      <w:r w:rsidRPr="00A41722">
        <w:rPr>
          <w:rFonts w:ascii="Arial" w:eastAsia="Arial" w:hAnsi="Arial" w:cs="Arial"/>
          <w:sz w:val="18"/>
          <w:szCs w:val="18"/>
        </w:rPr>
        <w:t>ha aclarado la distinción en la aplicación de las prohibiciones de la Ley 996 de 2005, dependiendo del tipo de elección que se trate. Al respecto, considera que:</w:t>
      </w:r>
      <w:bookmarkStart w:id="13" w:name="_26in1rg" w:colFirst="0" w:colLast="0"/>
      <w:bookmarkEnd w:id="13"/>
      <w:r w:rsidRPr="00A41722">
        <w:rPr>
          <w:rFonts w:ascii="Arial" w:eastAsia="Arial" w:hAnsi="Arial" w:cs="Arial"/>
          <w:sz w:val="18"/>
          <w:szCs w:val="18"/>
        </w:rPr>
        <w:t xml:space="preserve"> 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p>
  </w:footnote>
  <w:footnote w:id="9">
    <w:p w14:paraId="743C0496" w14:textId="77777777" w:rsidR="00A230EC" w:rsidRPr="00A41722" w:rsidRDefault="00A230EC" w:rsidP="00FF0FA2">
      <w:pPr>
        <w:spacing w:after="0" w:line="240" w:lineRule="auto"/>
        <w:ind w:firstLine="709"/>
        <w:rPr>
          <w:rFonts w:ascii="Arial" w:hAnsi="Arial" w:cs="Arial"/>
          <w:sz w:val="18"/>
          <w:szCs w:val="18"/>
        </w:rPr>
      </w:pPr>
    </w:p>
    <w:p w14:paraId="46FA8E7D" w14:textId="108C5F98" w:rsidR="00925EF9" w:rsidRPr="00A41722" w:rsidRDefault="00925EF9" w:rsidP="00A41722">
      <w:pPr>
        <w:spacing w:line="240" w:lineRule="auto"/>
        <w:ind w:firstLine="709"/>
        <w:rPr>
          <w:rFonts w:ascii="Arial" w:eastAsia="Arial" w:hAnsi="Arial" w:cs="Arial"/>
          <w:color w:val="000000"/>
          <w:sz w:val="18"/>
          <w:szCs w:val="18"/>
        </w:rPr>
      </w:pPr>
      <w:r w:rsidRPr="00A41722">
        <w:rPr>
          <w:rStyle w:val="Refdenotaalpie"/>
          <w:rFonts w:ascii="Arial" w:hAnsi="Arial" w:cs="Arial"/>
          <w:sz w:val="18"/>
          <w:szCs w:val="18"/>
        </w:rPr>
        <w:footnoteRef/>
      </w:r>
      <w:r w:rsidRPr="00A41722">
        <w:rPr>
          <w:rFonts w:ascii="Arial" w:hAnsi="Arial" w:cs="Arial"/>
          <w:sz w:val="18"/>
          <w:szCs w:val="18"/>
        </w:rPr>
        <w:t xml:space="preserve"> </w:t>
      </w:r>
      <w:r w:rsidRPr="00A41722">
        <w:rPr>
          <w:rFonts w:ascii="Arial" w:eastAsia="Arial" w:hAnsi="Arial" w:cs="Arial"/>
          <w:color w:val="000000"/>
          <w:sz w:val="18"/>
          <w:szCs w:val="18"/>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7E437C40" w14:textId="15392123" w:rsidR="00925EF9" w:rsidRPr="00A41722" w:rsidRDefault="00925EF9" w:rsidP="00A41722">
      <w:pPr>
        <w:pStyle w:val="Textonotapie"/>
        <w:spacing w:after="0" w:line="240" w:lineRule="auto"/>
        <w:ind w:firstLine="708"/>
        <w:rPr>
          <w:rFonts w:ascii="Arial" w:hAnsi="Arial" w:cs="Arial"/>
          <w:sz w:val="18"/>
          <w:szCs w:val="18"/>
          <w:lang w:val="es-ES"/>
        </w:rPr>
      </w:pPr>
      <w:r w:rsidRPr="00A41722">
        <w:rPr>
          <w:rFonts w:ascii="Arial" w:eastAsia="Arial" w:hAnsi="Arial" w:cs="Arial"/>
          <w:color w:val="000000"/>
          <w:sz w:val="18"/>
          <w:szCs w:val="18"/>
        </w:rPr>
        <w:t>»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footnote>
  <w:footnote w:id="10">
    <w:p w14:paraId="465735B9" w14:textId="77777777" w:rsidR="00A230EC" w:rsidRPr="00A41722" w:rsidRDefault="00A230EC" w:rsidP="00A41722">
      <w:pPr>
        <w:pStyle w:val="Textonotapie"/>
        <w:spacing w:line="240" w:lineRule="auto"/>
        <w:ind w:firstLine="708"/>
        <w:rPr>
          <w:rFonts w:ascii="Arial" w:hAnsi="Arial" w:cs="Arial"/>
          <w:sz w:val="18"/>
          <w:szCs w:val="18"/>
        </w:rPr>
      </w:pPr>
    </w:p>
    <w:p w14:paraId="50AC1D0B" w14:textId="3D88DB70" w:rsidR="00925EF9" w:rsidRPr="00A41722" w:rsidRDefault="00925EF9" w:rsidP="00757933">
      <w:pPr>
        <w:pStyle w:val="Textonotapie"/>
        <w:spacing w:after="0" w:line="240" w:lineRule="auto"/>
        <w:ind w:firstLine="708"/>
        <w:rPr>
          <w:rFonts w:ascii="Arial" w:hAnsi="Arial" w:cs="Arial"/>
          <w:sz w:val="18"/>
          <w:szCs w:val="18"/>
        </w:rPr>
      </w:pPr>
      <w:r w:rsidRPr="00A41722">
        <w:rPr>
          <w:rStyle w:val="Refdenotaalpie"/>
          <w:rFonts w:ascii="Arial" w:hAnsi="Arial" w:cs="Arial"/>
          <w:sz w:val="18"/>
          <w:szCs w:val="18"/>
        </w:rPr>
        <w:footnoteRef/>
      </w:r>
      <w:r w:rsidRPr="00A41722">
        <w:rPr>
          <w:rFonts w:ascii="Arial" w:hAnsi="Arial" w:cs="Arial"/>
          <w:sz w:val="18"/>
          <w:szCs w:val="18"/>
        </w:rPr>
        <w:t xml:space="preserve"> «4. Contratación directa. La modalidad de selección de contratación directa, solamente procederá en los siguientes casos:</w:t>
      </w:r>
    </w:p>
    <w:p w14:paraId="75E31AA7" w14:textId="77777777" w:rsidR="00925EF9" w:rsidRPr="00A41722" w:rsidRDefault="00925EF9" w:rsidP="00757933">
      <w:pPr>
        <w:pStyle w:val="Textonotapie"/>
        <w:spacing w:after="0" w:line="240" w:lineRule="auto"/>
        <w:ind w:firstLine="708"/>
        <w:rPr>
          <w:rFonts w:ascii="Arial" w:hAnsi="Arial" w:cs="Arial"/>
          <w:sz w:val="18"/>
          <w:szCs w:val="18"/>
        </w:rPr>
      </w:pPr>
      <w:r w:rsidRPr="00A41722">
        <w:rPr>
          <w:rFonts w:ascii="Arial" w:hAnsi="Arial" w:cs="Arial"/>
          <w:color w:val="000000" w:themeColor="text1"/>
          <w:sz w:val="18"/>
          <w:szCs w:val="18"/>
        </w:rPr>
        <w:t xml:space="preserve">» </w:t>
      </w:r>
      <w:r w:rsidRPr="00A41722">
        <w:rPr>
          <w:rFonts w:ascii="Arial" w:hAnsi="Arial" w:cs="Arial"/>
          <w:sz w:val="18"/>
          <w:szCs w:val="18"/>
        </w:rPr>
        <w:t>a) Urgencia manifiesta;</w:t>
      </w:r>
    </w:p>
    <w:p w14:paraId="248262B2" w14:textId="77777777" w:rsidR="00925EF9" w:rsidRPr="00A41722" w:rsidRDefault="00925EF9" w:rsidP="00757933">
      <w:pPr>
        <w:pStyle w:val="Textonotapie"/>
        <w:spacing w:after="0" w:line="240" w:lineRule="auto"/>
        <w:ind w:firstLine="708"/>
        <w:rPr>
          <w:rFonts w:ascii="Arial" w:hAnsi="Arial" w:cs="Arial"/>
          <w:sz w:val="18"/>
          <w:szCs w:val="18"/>
        </w:rPr>
      </w:pPr>
      <w:r w:rsidRPr="00A41722">
        <w:rPr>
          <w:rFonts w:ascii="Arial" w:hAnsi="Arial" w:cs="Arial"/>
          <w:color w:val="000000" w:themeColor="text1"/>
          <w:sz w:val="18"/>
          <w:szCs w:val="18"/>
        </w:rPr>
        <w:t xml:space="preserve">» </w:t>
      </w:r>
      <w:r w:rsidRPr="00A41722">
        <w:rPr>
          <w:rFonts w:ascii="Arial" w:hAnsi="Arial" w:cs="Arial"/>
          <w:sz w:val="18"/>
          <w:szCs w:val="18"/>
        </w:rPr>
        <w:t>b) Contratación de empréstitos;</w:t>
      </w:r>
    </w:p>
    <w:p w14:paraId="3910FB0A" w14:textId="77777777" w:rsidR="00925EF9" w:rsidRPr="00A41722" w:rsidRDefault="00925EF9" w:rsidP="00757933">
      <w:pPr>
        <w:pStyle w:val="Textonotapie"/>
        <w:spacing w:after="0" w:line="240" w:lineRule="auto"/>
        <w:ind w:firstLine="708"/>
        <w:rPr>
          <w:rFonts w:ascii="Arial" w:hAnsi="Arial" w:cs="Arial"/>
          <w:sz w:val="18"/>
          <w:szCs w:val="18"/>
        </w:rPr>
      </w:pPr>
      <w:r w:rsidRPr="00A41722">
        <w:rPr>
          <w:rFonts w:ascii="Arial" w:hAnsi="Arial" w:cs="Arial"/>
          <w:color w:val="000000" w:themeColor="text1"/>
          <w:sz w:val="18"/>
          <w:szCs w:val="18"/>
        </w:rPr>
        <w:t xml:space="preserve">» </w:t>
      </w:r>
      <w:r w:rsidRPr="00A41722">
        <w:rPr>
          <w:rFonts w:ascii="Arial" w:hAnsi="Arial" w:cs="Arial"/>
          <w:sz w:val="18"/>
          <w:szCs w:val="18"/>
        </w:rPr>
        <w:t>c) &lt;Inciso 1o. modificado por el artículo 92 de la Ley 1474 de 2011. El nuevo texto es el siguiente:&gt; Contratos interadministrativos, siempre que las obligaciones derivadas del mismo tengan relación directa con el objeto de la entidad ejecutora señalado en la ley o en sus reglamentos.</w:t>
      </w:r>
    </w:p>
    <w:p w14:paraId="5B7B8732" w14:textId="77777777" w:rsidR="00925EF9" w:rsidRPr="00A41722" w:rsidRDefault="00925EF9" w:rsidP="00757933">
      <w:pPr>
        <w:pStyle w:val="Textonotapie"/>
        <w:spacing w:after="0" w:line="240" w:lineRule="auto"/>
        <w:ind w:firstLine="708"/>
        <w:rPr>
          <w:rFonts w:ascii="Arial" w:hAnsi="Arial" w:cs="Arial"/>
          <w:sz w:val="18"/>
          <w:szCs w:val="18"/>
        </w:rPr>
      </w:pPr>
      <w:r w:rsidRPr="00A41722">
        <w:rPr>
          <w:rFonts w:ascii="Arial" w:hAnsi="Arial" w:cs="Arial"/>
          <w:sz w:val="18"/>
          <w:szCs w:val="18"/>
        </w:rPr>
        <w:t xml:space="preserve"> […]</w:t>
      </w:r>
    </w:p>
    <w:p w14:paraId="2CFE7DD4" w14:textId="77777777" w:rsidR="00925EF9" w:rsidRPr="00A41722" w:rsidRDefault="00925EF9" w:rsidP="00757933">
      <w:pPr>
        <w:pStyle w:val="Textonotapie"/>
        <w:spacing w:after="0" w:line="240" w:lineRule="auto"/>
        <w:ind w:firstLine="708"/>
        <w:rPr>
          <w:rFonts w:ascii="Arial" w:hAnsi="Arial" w:cs="Arial"/>
          <w:sz w:val="18"/>
          <w:szCs w:val="18"/>
        </w:rPr>
      </w:pPr>
      <w:r w:rsidRPr="00A41722">
        <w:rPr>
          <w:rFonts w:ascii="Arial" w:hAnsi="Arial" w:cs="Arial"/>
          <w:color w:val="000000" w:themeColor="text1"/>
          <w:sz w:val="18"/>
          <w:szCs w:val="18"/>
        </w:rPr>
        <w:t xml:space="preserve">» </w:t>
      </w:r>
      <w:r w:rsidRPr="00A41722">
        <w:rPr>
          <w:rFonts w:ascii="Arial" w:hAnsi="Arial" w:cs="Arial"/>
          <w:sz w:val="18"/>
          <w:szCs w:val="18"/>
        </w:rPr>
        <w:t>d) La contratación de bienes y servicios en el sector Defensa que necesiten reserva para su adquisición;</w:t>
      </w:r>
    </w:p>
    <w:p w14:paraId="3A2E00BD" w14:textId="77777777" w:rsidR="00925EF9" w:rsidRPr="00A41722" w:rsidRDefault="00925EF9" w:rsidP="00757933">
      <w:pPr>
        <w:pStyle w:val="Textonotapie"/>
        <w:spacing w:after="0" w:line="240" w:lineRule="auto"/>
        <w:ind w:firstLine="708"/>
        <w:rPr>
          <w:rFonts w:ascii="Arial" w:hAnsi="Arial" w:cs="Arial"/>
          <w:sz w:val="18"/>
          <w:szCs w:val="18"/>
          <w:lang w:val="es-CO"/>
        </w:rPr>
      </w:pPr>
      <w:r w:rsidRPr="00A41722">
        <w:rPr>
          <w:rFonts w:ascii="Arial" w:hAnsi="Arial" w:cs="Arial"/>
          <w:color w:val="000000" w:themeColor="text1"/>
          <w:sz w:val="18"/>
          <w:szCs w:val="18"/>
        </w:rPr>
        <w:t xml:space="preserve">» </w:t>
      </w:r>
      <w:r w:rsidRPr="00A41722">
        <w:rPr>
          <w:rFonts w:ascii="Arial" w:hAnsi="Arial" w:cs="Arial"/>
          <w:sz w:val="18"/>
          <w:szCs w:val="18"/>
          <w:lang w:val="es-CO"/>
        </w:rPr>
        <w:t>e) Los contratos para el desarrollo de actividades científicas y tecnológicas;</w:t>
      </w:r>
    </w:p>
    <w:p w14:paraId="11DF1A85" w14:textId="77777777" w:rsidR="00925EF9" w:rsidRPr="00A41722" w:rsidRDefault="00925EF9" w:rsidP="00757933">
      <w:pPr>
        <w:pStyle w:val="Textonotapie"/>
        <w:spacing w:after="0" w:line="240" w:lineRule="auto"/>
        <w:ind w:firstLine="708"/>
        <w:rPr>
          <w:rFonts w:ascii="Arial" w:hAnsi="Arial" w:cs="Arial"/>
          <w:sz w:val="18"/>
          <w:szCs w:val="18"/>
          <w:lang w:val="es-CO"/>
        </w:rPr>
      </w:pPr>
      <w:r w:rsidRPr="00A41722">
        <w:rPr>
          <w:rFonts w:ascii="Arial" w:hAnsi="Arial" w:cs="Arial"/>
          <w:color w:val="000000" w:themeColor="text1"/>
          <w:sz w:val="18"/>
          <w:szCs w:val="18"/>
        </w:rPr>
        <w:t xml:space="preserve">» </w:t>
      </w:r>
      <w:r w:rsidRPr="00A41722">
        <w:rPr>
          <w:rFonts w:ascii="Arial" w:hAnsi="Arial" w:cs="Arial"/>
          <w:sz w:val="18"/>
          <w:szCs w:val="18"/>
          <w:lang w:val="es-CO"/>
        </w:rPr>
        <w:t>f) Los contratos de encargo fiduciario que celebren las entidades territoriales cuando inician el Acuerdo de Reestructuración de Pasivos a que se refieren las Leyes 550 de 1999, 617 de 2000 y las normas que las modifiquen o adicionen, siempre y cuando los celebren con entidades financieras del sector público;</w:t>
      </w:r>
    </w:p>
    <w:p w14:paraId="37091B36" w14:textId="77777777" w:rsidR="00925EF9" w:rsidRPr="00A41722" w:rsidRDefault="00925EF9" w:rsidP="00757933">
      <w:pPr>
        <w:pStyle w:val="Textonotapie"/>
        <w:spacing w:after="0" w:line="240" w:lineRule="auto"/>
        <w:ind w:firstLine="708"/>
        <w:rPr>
          <w:rFonts w:ascii="Arial" w:hAnsi="Arial" w:cs="Arial"/>
          <w:sz w:val="18"/>
          <w:szCs w:val="18"/>
          <w:lang w:val="es-CO"/>
        </w:rPr>
      </w:pPr>
      <w:r w:rsidRPr="00A41722">
        <w:rPr>
          <w:rFonts w:ascii="Arial" w:hAnsi="Arial" w:cs="Arial"/>
          <w:color w:val="000000" w:themeColor="text1"/>
          <w:sz w:val="18"/>
          <w:szCs w:val="18"/>
        </w:rPr>
        <w:t xml:space="preserve">» </w:t>
      </w:r>
      <w:r w:rsidRPr="00A41722">
        <w:rPr>
          <w:rFonts w:ascii="Arial" w:hAnsi="Arial" w:cs="Arial"/>
          <w:sz w:val="18"/>
          <w:szCs w:val="18"/>
          <w:lang w:val="es-CO"/>
        </w:rPr>
        <w:t>g) Cuando no exista pluralidad de oferentes en el mercado;</w:t>
      </w:r>
    </w:p>
    <w:p w14:paraId="7365B79D" w14:textId="77777777" w:rsidR="00925EF9" w:rsidRPr="00A41722" w:rsidRDefault="00925EF9" w:rsidP="00757933">
      <w:pPr>
        <w:pStyle w:val="Textonotapie"/>
        <w:spacing w:after="0" w:line="240" w:lineRule="auto"/>
        <w:ind w:firstLine="708"/>
        <w:rPr>
          <w:rFonts w:ascii="Arial" w:hAnsi="Arial" w:cs="Arial"/>
          <w:sz w:val="18"/>
          <w:szCs w:val="18"/>
          <w:lang w:val="es-CO"/>
        </w:rPr>
      </w:pPr>
      <w:r w:rsidRPr="00A41722">
        <w:rPr>
          <w:rFonts w:ascii="Arial" w:hAnsi="Arial" w:cs="Arial"/>
          <w:color w:val="000000" w:themeColor="text1"/>
          <w:sz w:val="18"/>
          <w:szCs w:val="18"/>
        </w:rPr>
        <w:t xml:space="preserve">» </w:t>
      </w:r>
      <w:r w:rsidRPr="00A41722">
        <w:rPr>
          <w:rFonts w:ascii="Arial" w:hAnsi="Arial" w:cs="Arial"/>
          <w:sz w:val="18"/>
          <w:szCs w:val="18"/>
          <w:lang w:val="es-CO"/>
        </w:rPr>
        <w:t>h) Para la prestación de servicios profesionales y de apoyo a la gestión, o para la ejecución de trabajos artísticos que sólo puedan encomendarse a determinadas personas naturales;</w:t>
      </w:r>
    </w:p>
    <w:p w14:paraId="2041E970" w14:textId="77777777" w:rsidR="00925EF9" w:rsidRPr="00A41722" w:rsidRDefault="00925EF9" w:rsidP="00757933">
      <w:pPr>
        <w:pStyle w:val="Textonotapie"/>
        <w:spacing w:after="0" w:line="240" w:lineRule="auto"/>
        <w:ind w:firstLine="708"/>
        <w:rPr>
          <w:rFonts w:ascii="Arial" w:hAnsi="Arial" w:cs="Arial"/>
          <w:sz w:val="18"/>
          <w:szCs w:val="18"/>
          <w:lang w:val="es-CO"/>
        </w:rPr>
      </w:pPr>
      <w:r w:rsidRPr="00A41722">
        <w:rPr>
          <w:rFonts w:ascii="Arial" w:hAnsi="Arial" w:cs="Arial"/>
          <w:color w:val="000000" w:themeColor="text1"/>
          <w:sz w:val="18"/>
          <w:szCs w:val="18"/>
        </w:rPr>
        <w:t xml:space="preserve">» </w:t>
      </w:r>
      <w:r w:rsidRPr="00A41722">
        <w:rPr>
          <w:rFonts w:ascii="Arial" w:hAnsi="Arial" w:cs="Arial"/>
          <w:sz w:val="18"/>
          <w:szCs w:val="18"/>
          <w:lang w:val="es-CO"/>
        </w:rPr>
        <w:t>i) El arrendamiento o adquisición de inmuebles.</w:t>
      </w:r>
    </w:p>
    <w:p w14:paraId="1BA53AA4" w14:textId="77777777" w:rsidR="00925EF9" w:rsidRPr="00A41722" w:rsidRDefault="00925EF9" w:rsidP="00757933">
      <w:pPr>
        <w:pStyle w:val="Textonotapie"/>
        <w:spacing w:after="0" w:line="240" w:lineRule="auto"/>
        <w:ind w:firstLine="708"/>
        <w:rPr>
          <w:rFonts w:ascii="Arial" w:hAnsi="Arial" w:cs="Arial"/>
          <w:sz w:val="18"/>
          <w:szCs w:val="18"/>
          <w:lang w:val="es-CO"/>
        </w:rPr>
      </w:pPr>
      <w:r w:rsidRPr="00A41722">
        <w:rPr>
          <w:rFonts w:ascii="Arial" w:hAnsi="Arial" w:cs="Arial"/>
          <w:color w:val="000000" w:themeColor="text1"/>
          <w:sz w:val="18"/>
          <w:szCs w:val="18"/>
        </w:rPr>
        <w:t xml:space="preserve">» </w:t>
      </w:r>
      <w:r w:rsidRPr="00A41722">
        <w:rPr>
          <w:rFonts w:ascii="Arial" w:hAnsi="Arial" w:cs="Arial"/>
          <w:sz w:val="18"/>
          <w:szCs w:val="18"/>
          <w:lang w:val="es-CO"/>
        </w:rPr>
        <w:t>j) &lt;Literal adicionado por el artículo 125 de la Ley 1753 de 2015. El nuevo texto es el siguiente:&gt; La contratación de bienes y servicios de la Dirección Nacional de Inteligencia (DNI), que requieran reserva para su adquisición.</w:t>
      </w:r>
    </w:p>
    <w:p w14:paraId="2CC76DF6" w14:textId="77777777" w:rsidR="00925EF9" w:rsidRPr="00A41722" w:rsidRDefault="00925EF9" w:rsidP="00757933">
      <w:pPr>
        <w:pStyle w:val="Textonotapie"/>
        <w:spacing w:after="0" w:line="240" w:lineRule="auto"/>
        <w:ind w:firstLine="708"/>
        <w:rPr>
          <w:rFonts w:ascii="Arial" w:hAnsi="Arial" w:cs="Arial"/>
          <w:sz w:val="18"/>
          <w:szCs w:val="18"/>
          <w:lang w:val="es-CO"/>
        </w:rPr>
      </w:pPr>
      <w:r w:rsidRPr="00A41722">
        <w:rPr>
          <w:rFonts w:ascii="Arial" w:hAnsi="Arial" w:cs="Arial"/>
          <w:color w:val="000000" w:themeColor="text1"/>
          <w:sz w:val="18"/>
          <w:szCs w:val="18"/>
        </w:rPr>
        <w:t xml:space="preserve">» </w:t>
      </w:r>
      <w:r w:rsidRPr="00A41722">
        <w:rPr>
          <w:rFonts w:ascii="Arial" w:hAnsi="Arial" w:cs="Arial"/>
          <w:sz w:val="18"/>
          <w:szCs w:val="18"/>
          <w:lang w:val="es-CO"/>
        </w:rPr>
        <w:t>k) &lt;Literal adicionado por el artículo 82 de la Ley 2080 de 2021. El nuevo texto es el siguiente:&gt; La selección de peritos expertos o asesores técnicos para presentar o contradecir el dictamen pericial en procesos judiciales.</w:t>
      </w:r>
    </w:p>
    <w:p w14:paraId="79D23BAC" w14:textId="77777777" w:rsidR="00925EF9" w:rsidRPr="00A41722" w:rsidRDefault="00925EF9" w:rsidP="00757933">
      <w:pPr>
        <w:pStyle w:val="Textonotapie"/>
        <w:spacing w:after="0" w:line="240" w:lineRule="auto"/>
        <w:ind w:firstLine="708"/>
        <w:rPr>
          <w:rFonts w:ascii="Arial" w:hAnsi="Arial" w:cs="Arial"/>
          <w:sz w:val="18"/>
          <w:szCs w:val="18"/>
          <w:lang w:val="es-CO"/>
        </w:rPr>
      </w:pPr>
      <w:r w:rsidRPr="00A41722">
        <w:rPr>
          <w:rFonts w:ascii="Arial" w:hAnsi="Arial" w:cs="Arial"/>
          <w:color w:val="000000" w:themeColor="text1"/>
          <w:sz w:val="18"/>
          <w:szCs w:val="18"/>
        </w:rPr>
        <w:t>»</w:t>
      </w:r>
      <w:r w:rsidRPr="00A41722">
        <w:rPr>
          <w:rFonts w:ascii="Arial" w:hAnsi="Arial" w:cs="Arial"/>
          <w:sz w:val="18"/>
          <w:szCs w:val="18"/>
          <w:lang w:val="es-CO"/>
        </w:rPr>
        <w:t>l) Adicionado por el art.2, Ley 2160 de 2021. &lt;El texto adicionado es el siguiente&gt; Los contratos o convenios que las entidades estatales suscriban con los cabildos Indígenas y las Asociaciones de Autoridades Tradicionales Indígenas, cuyo objeto esté relacionado con el fortalecimiento del Gobierno Propio, la identidad cultural, el ejercicio de la autonomía, y/o la garantía de los Derechos de los Pueblos Indígenas.</w:t>
      </w:r>
    </w:p>
    <w:p w14:paraId="1148365D" w14:textId="77777777" w:rsidR="00925EF9" w:rsidRPr="00A41722" w:rsidRDefault="00925EF9" w:rsidP="00A41722">
      <w:pPr>
        <w:pStyle w:val="Textonotapie"/>
        <w:spacing w:line="240" w:lineRule="auto"/>
        <w:ind w:firstLine="708"/>
        <w:rPr>
          <w:rFonts w:ascii="Arial" w:hAnsi="Arial" w:cs="Arial"/>
          <w:sz w:val="18"/>
          <w:szCs w:val="18"/>
          <w:lang w:val="es-CO"/>
        </w:rPr>
      </w:pPr>
      <w:r w:rsidRPr="00A41722">
        <w:rPr>
          <w:rFonts w:ascii="Arial" w:hAnsi="Arial" w:cs="Arial"/>
          <w:color w:val="000000" w:themeColor="text1"/>
          <w:sz w:val="18"/>
          <w:szCs w:val="18"/>
        </w:rPr>
        <w:t>»</w:t>
      </w:r>
      <w:r w:rsidRPr="00A41722">
        <w:rPr>
          <w:rFonts w:ascii="Arial" w:hAnsi="Arial" w:cs="Arial"/>
          <w:sz w:val="18"/>
          <w:szCs w:val="18"/>
          <w:lang w:val="es-CO"/>
        </w:rPr>
        <w:t>m) Adicionado por el art.2, Ley 2160 de 2021. &lt;El texto adicionado es el siguiente&gt; Los contratos que las entidades estatales suscriban con los consejos comunitarios de las comunidades negras, regulados por la Ley 70 de 1993, que se encuentren incorporados por el Ministerio del Interior en el correspondiente Registro Público Único Nacional y que hayan cumplido con el deber de actualización de información en el mismo registro, cuyo objeto esté relacionado con el fortalecimiento del gobierno propio, la identidad étnica y cultural, el ejercicio de la autonomía, y/o la garantía de los derechos de los pueblos de las mismas comunidades.</w:t>
      </w:r>
    </w:p>
    <w:p w14:paraId="31901A6F" w14:textId="35E521BC" w:rsidR="00925EF9" w:rsidRPr="00A41722" w:rsidRDefault="00925EF9" w:rsidP="00A41722">
      <w:pPr>
        <w:pStyle w:val="Textonotapie"/>
        <w:spacing w:line="240" w:lineRule="auto"/>
        <w:ind w:firstLine="708"/>
        <w:rPr>
          <w:rFonts w:ascii="Arial" w:hAnsi="Arial" w:cs="Arial"/>
          <w:sz w:val="18"/>
          <w:szCs w:val="18"/>
          <w:lang w:val="es-CO"/>
        </w:rPr>
      </w:pPr>
      <w:r w:rsidRPr="00A41722">
        <w:rPr>
          <w:rFonts w:ascii="Arial" w:hAnsi="Arial" w:cs="Arial"/>
          <w:color w:val="000000" w:themeColor="text1"/>
          <w:sz w:val="18"/>
          <w:szCs w:val="18"/>
        </w:rPr>
        <w:t>»</w:t>
      </w:r>
      <w:r w:rsidRPr="00A41722">
        <w:rPr>
          <w:rFonts w:ascii="Arial" w:hAnsi="Arial" w:cs="Arial"/>
          <w:sz w:val="18"/>
          <w:szCs w:val="18"/>
          <w:lang w:val="es-CO"/>
        </w:rPr>
        <w:t>n) Adicionado por el art.2, Ley 2160 de 2021. &lt;El texto adicionado es el siguiente&gt; Los contratos que las entidades estatales suscriban con las organizaciones de base de personas pertenecientes a poblaciones afrocolombianas, raizales y palenqueras o con las demás formas y expresiones organizativas, que cuenten con diez (10) años o más de haber sido incorporados por el Ministerio del Interior en el correspondiente Registro Público Único Nacional y que hayan cumplido con el deber de actualización de información en el mismo registro, cuyo objeto esté relacionado con el fortalecimiento de sus organizaciones, la identidad étnica y cultural, y/o la garantía de los derechos de las poblaciones de las mismas organizaciones</w:t>
      </w:r>
      <w:r w:rsidRPr="00A41722">
        <w:rPr>
          <w:rFonts w:ascii="Arial" w:hAnsi="Arial" w:cs="Arial"/>
          <w:sz w:val="18"/>
          <w:szCs w:val="18"/>
        </w:rPr>
        <w:t>»</w:t>
      </w:r>
      <w:r w:rsidRPr="00A41722">
        <w:rPr>
          <w:rFonts w:ascii="Arial" w:hAnsi="Arial" w:cs="Arial"/>
          <w:sz w:val="18"/>
          <w:szCs w:val="18"/>
          <w:lang w:val="es-CO"/>
        </w:rPr>
        <w:t>.</w:t>
      </w:r>
    </w:p>
  </w:footnote>
  <w:footnote w:id="11">
    <w:p w14:paraId="32A8C98E" w14:textId="69A3DDC1" w:rsidR="00D224A9" w:rsidRPr="00A41722" w:rsidRDefault="00D224A9" w:rsidP="00A41722">
      <w:pPr>
        <w:pStyle w:val="Textonotapie"/>
        <w:spacing w:line="240" w:lineRule="auto"/>
        <w:ind w:firstLine="708"/>
        <w:rPr>
          <w:rFonts w:ascii="Arial" w:hAnsi="Arial" w:cs="Arial"/>
          <w:sz w:val="18"/>
          <w:szCs w:val="18"/>
        </w:rPr>
      </w:pPr>
      <w:r w:rsidRPr="00A41722">
        <w:rPr>
          <w:rStyle w:val="Refdenotaalpie"/>
          <w:rFonts w:ascii="Arial" w:hAnsi="Arial" w:cs="Arial"/>
          <w:sz w:val="18"/>
          <w:szCs w:val="18"/>
        </w:rPr>
        <w:footnoteRef/>
      </w:r>
      <w:r w:rsidRPr="00A41722">
        <w:rPr>
          <w:rFonts w:ascii="Arial" w:hAnsi="Arial" w:cs="Arial"/>
          <w:sz w:val="18"/>
          <w:szCs w:val="18"/>
        </w:rPr>
        <w:t xml:space="preserve"> Con base en la interpretación de la Sala de Consulta y Servicio Civil del Consejo de Estado en el concepto del 08 de mayo de 2018. Exp. 2.382. C.P. Álvaro Namén Vargas</w:t>
      </w:r>
    </w:p>
  </w:footnote>
  <w:footnote w:id="12">
    <w:p w14:paraId="44251639" w14:textId="0339F779" w:rsidR="00D224A9" w:rsidRPr="00A41722" w:rsidRDefault="00D224A9" w:rsidP="008C337C">
      <w:pPr>
        <w:pStyle w:val="Textonotapie"/>
        <w:spacing w:after="0" w:line="240" w:lineRule="auto"/>
        <w:ind w:firstLine="708"/>
        <w:rPr>
          <w:rFonts w:ascii="Arial" w:hAnsi="Arial" w:cs="Arial"/>
          <w:sz w:val="18"/>
          <w:szCs w:val="18"/>
          <w:lang w:val="es-ES"/>
        </w:rPr>
      </w:pPr>
      <w:r w:rsidRPr="00A41722">
        <w:rPr>
          <w:rStyle w:val="Refdenotaalpie"/>
          <w:rFonts w:ascii="Arial" w:hAnsi="Arial" w:cs="Arial"/>
          <w:sz w:val="18"/>
          <w:szCs w:val="18"/>
        </w:rPr>
        <w:footnoteRef/>
      </w:r>
      <w:r w:rsidRPr="00A41722">
        <w:rPr>
          <w:rFonts w:ascii="Arial" w:hAnsi="Arial" w:cs="Arial"/>
          <w:sz w:val="18"/>
          <w:szCs w:val="18"/>
        </w:rPr>
        <w:t xml:space="preserve"> </w:t>
      </w:r>
      <w:r w:rsidRPr="00A41722">
        <w:rPr>
          <w:rFonts w:ascii="Arial" w:hAnsi="Arial" w:cs="Arial"/>
          <w:color w:val="000000" w:themeColor="text1"/>
          <w:sz w:val="18"/>
          <w:szCs w:val="18"/>
          <w:lang w:val="es-ES"/>
        </w:rPr>
        <w:t>Es el caso de: i) las empresas sociales del Estado (art. 195, num. 6, Ley 100/1993), ii) las empresas prestadoras de servicios públicos domiciliarios (arts. 31 y 32, Ley 142/94); iii) las empresas industriales y comerciales del Estado, sociedades públicas y sociedades de economía mixta con capital público mayoritario, siempre que las tres entidades mencionadas anteriormente se encuentren en competencia con el sector público o privado, a nivel nacional o internacional, o ejerzan su actividad en un mercado regulado (art. 14, Ley 1150/07); iv) las universidades públicas (art. 93, Ley 30/92); entre otras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23BDB" w14:textId="1CCC219A" w:rsidR="006C51C6" w:rsidRDefault="006C51C6">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31D607" w14:textId="77777777" w:rsidR="006C51C6" w:rsidRDefault="006C51C6" w:rsidP="00FE0395">
    <w:pPr>
      <w:pStyle w:val="Encabezado"/>
      <w:spacing w:after="0"/>
    </w:pPr>
  </w:p>
  <w:p w14:paraId="6520770B" w14:textId="18EB07B5" w:rsidR="006C51C6" w:rsidRDefault="006C51C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475A3"/>
    <w:multiLevelType w:val="hybridMultilevel"/>
    <w:tmpl w:val="A98046BE"/>
    <w:lvl w:ilvl="0" w:tplc="3DDEE782">
      <w:numFmt w:val="bullet"/>
      <w:lvlText w:val=""/>
      <w:lvlJc w:val="left"/>
      <w:pPr>
        <w:ind w:left="821" w:hanging="360"/>
      </w:pPr>
      <w:rPr>
        <w:rFonts w:ascii="Wingdings" w:eastAsia="Wingdings" w:hAnsi="Wingdings" w:cs="Wingdings" w:hint="default"/>
        <w:color w:val="auto"/>
        <w:w w:val="100"/>
        <w:sz w:val="22"/>
        <w:szCs w:val="22"/>
        <w:lang w:val="es-ES" w:eastAsia="en-US" w:bidi="ar-SA"/>
      </w:rPr>
    </w:lvl>
    <w:lvl w:ilvl="1" w:tplc="F976B156">
      <w:numFmt w:val="bullet"/>
      <w:lvlText w:val="•"/>
      <w:lvlJc w:val="left"/>
      <w:pPr>
        <w:ind w:left="1618" w:hanging="360"/>
      </w:pPr>
      <w:rPr>
        <w:rFonts w:hint="default"/>
        <w:lang w:val="es-ES" w:eastAsia="en-US" w:bidi="ar-SA"/>
      </w:rPr>
    </w:lvl>
    <w:lvl w:ilvl="2" w:tplc="DEDC3B50">
      <w:numFmt w:val="bullet"/>
      <w:lvlText w:val="•"/>
      <w:lvlJc w:val="left"/>
      <w:pPr>
        <w:ind w:left="2416" w:hanging="360"/>
      </w:pPr>
      <w:rPr>
        <w:rFonts w:hint="default"/>
        <w:lang w:val="es-ES" w:eastAsia="en-US" w:bidi="ar-SA"/>
      </w:rPr>
    </w:lvl>
    <w:lvl w:ilvl="3" w:tplc="E2428D36">
      <w:numFmt w:val="bullet"/>
      <w:lvlText w:val="•"/>
      <w:lvlJc w:val="left"/>
      <w:pPr>
        <w:ind w:left="3214" w:hanging="360"/>
      </w:pPr>
      <w:rPr>
        <w:rFonts w:hint="default"/>
        <w:lang w:val="es-ES" w:eastAsia="en-US" w:bidi="ar-SA"/>
      </w:rPr>
    </w:lvl>
    <w:lvl w:ilvl="4" w:tplc="D6AABF20">
      <w:numFmt w:val="bullet"/>
      <w:lvlText w:val="•"/>
      <w:lvlJc w:val="left"/>
      <w:pPr>
        <w:ind w:left="4012" w:hanging="360"/>
      </w:pPr>
      <w:rPr>
        <w:rFonts w:hint="default"/>
        <w:lang w:val="es-ES" w:eastAsia="en-US" w:bidi="ar-SA"/>
      </w:rPr>
    </w:lvl>
    <w:lvl w:ilvl="5" w:tplc="E5300F16">
      <w:numFmt w:val="bullet"/>
      <w:lvlText w:val="•"/>
      <w:lvlJc w:val="left"/>
      <w:pPr>
        <w:ind w:left="4810" w:hanging="360"/>
      </w:pPr>
      <w:rPr>
        <w:rFonts w:hint="default"/>
        <w:lang w:val="es-ES" w:eastAsia="en-US" w:bidi="ar-SA"/>
      </w:rPr>
    </w:lvl>
    <w:lvl w:ilvl="6" w:tplc="3A86A3A2">
      <w:numFmt w:val="bullet"/>
      <w:lvlText w:val="•"/>
      <w:lvlJc w:val="left"/>
      <w:pPr>
        <w:ind w:left="5608" w:hanging="360"/>
      </w:pPr>
      <w:rPr>
        <w:rFonts w:hint="default"/>
        <w:lang w:val="es-ES" w:eastAsia="en-US" w:bidi="ar-SA"/>
      </w:rPr>
    </w:lvl>
    <w:lvl w:ilvl="7" w:tplc="083C322C">
      <w:numFmt w:val="bullet"/>
      <w:lvlText w:val="•"/>
      <w:lvlJc w:val="left"/>
      <w:pPr>
        <w:ind w:left="6406" w:hanging="360"/>
      </w:pPr>
      <w:rPr>
        <w:rFonts w:hint="default"/>
        <w:lang w:val="es-ES" w:eastAsia="en-US" w:bidi="ar-SA"/>
      </w:rPr>
    </w:lvl>
    <w:lvl w:ilvl="8" w:tplc="3752B4A0">
      <w:numFmt w:val="bullet"/>
      <w:lvlText w:val="•"/>
      <w:lvlJc w:val="left"/>
      <w:pPr>
        <w:ind w:left="7204" w:hanging="360"/>
      </w:pPr>
      <w:rPr>
        <w:rFonts w:hint="default"/>
        <w:lang w:val="es-ES" w:eastAsia="en-US" w:bidi="ar-SA"/>
      </w:rPr>
    </w:lvl>
  </w:abstractNum>
  <w:abstractNum w:abstractNumId="1"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6EE161D"/>
    <w:multiLevelType w:val="hybridMultilevel"/>
    <w:tmpl w:val="5E9052F8"/>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83800D4"/>
    <w:multiLevelType w:val="multilevel"/>
    <w:tmpl w:val="CED42D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18376A5"/>
    <w:multiLevelType w:val="multilevel"/>
    <w:tmpl w:val="B4C2F9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8E33FD"/>
    <w:multiLevelType w:val="hybridMultilevel"/>
    <w:tmpl w:val="8DB4960C"/>
    <w:lvl w:ilvl="0" w:tplc="35F8F35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8" w15:restartNumberingAfterBreak="0">
    <w:nsid w:val="1B6769AD"/>
    <w:multiLevelType w:val="multilevel"/>
    <w:tmpl w:val="B33A66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238D146F"/>
    <w:multiLevelType w:val="hybridMultilevel"/>
    <w:tmpl w:val="6BB4548A"/>
    <w:lvl w:ilvl="0" w:tplc="B4B06BFE">
      <w:start w:val="1"/>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12"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13"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14" w15:restartNumberingAfterBreak="0">
    <w:nsid w:val="2E1B7162"/>
    <w:multiLevelType w:val="multilevel"/>
    <w:tmpl w:val="F850A8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16" w15:restartNumberingAfterBreak="0">
    <w:nsid w:val="30BD7991"/>
    <w:multiLevelType w:val="hybridMultilevel"/>
    <w:tmpl w:val="195AF042"/>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18D3B73"/>
    <w:multiLevelType w:val="hybridMultilevel"/>
    <w:tmpl w:val="6F464806"/>
    <w:lvl w:ilvl="0" w:tplc="6388BED4">
      <w:start w:val="1"/>
      <w:numFmt w:val="lowerRoman"/>
      <w:lvlText w:val="(%1)"/>
      <w:lvlJc w:val="left"/>
      <w:pPr>
        <w:ind w:left="72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37E1E1A"/>
    <w:multiLevelType w:val="hybridMultilevel"/>
    <w:tmpl w:val="E5D0DD6E"/>
    <w:lvl w:ilvl="0" w:tplc="199E3AA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3DAC2D17"/>
    <w:multiLevelType w:val="multilevel"/>
    <w:tmpl w:val="080A0027"/>
    <w:lvl w:ilvl="0">
      <w:start w:val="1"/>
      <w:numFmt w:val="upperRoman"/>
      <w:pStyle w:val="Ttulo1"/>
      <w:lvlText w:val="%1."/>
      <w:lvlJc w:val="left"/>
      <w:pPr>
        <w:tabs>
          <w:tab w:val="num" w:pos="360"/>
        </w:tabs>
        <w:ind w:left="0" w:firstLine="0"/>
      </w:pPr>
      <w:rPr>
        <w:rFonts w:hint="default"/>
        <w:b/>
        <w:i w:val="0"/>
        <w:sz w:val="28"/>
        <w:szCs w:val="28"/>
      </w:rPr>
    </w:lvl>
    <w:lvl w:ilvl="1">
      <w:start w:val="1"/>
      <w:numFmt w:val="upperLetter"/>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23" w15:restartNumberingAfterBreak="0">
    <w:nsid w:val="410D63A2"/>
    <w:multiLevelType w:val="hybridMultilevel"/>
    <w:tmpl w:val="B53666C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E282CEB"/>
    <w:multiLevelType w:val="hybridMultilevel"/>
    <w:tmpl w:val="1B701718"/>
    <w:lvl w:ilvl="0" w:tplc="24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50854227"/>
    <w:multiLevelType w:val="hybridMultilevel"/>
    <w:tmpl w:val="D4542102"/>
    <w:lvl w:ilvl="0" w:tplc="B0E60088">
      <w:start w:val="1"/>
      <w:numFmt w:val="lowerRoman"/>
      <w:lvlText w:val="%1)"/>
      <w:lvlJc w:val="left"/>
      <w:pPr>
        <w:tabs>
          <w:tab w:val="num" w:pos="1080"/>
        </w:tabs>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7" w15:restartNumberingAfterBreak="0">
    <w:nsid w:val="50A51052"/>
    <w:multiLevelType w:val="hybridMultilevel"/>
    <w:tmpl w:val="7FA0C0A8"/>
    <w:lvl w:ilvl="0" w:tplc="BA54D6B6">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8" w15:restartNumberingAfterBreak="0">
    <w:nsid w:val="52F41B34"/>
    <w:multiLevelType w:val="multilevel"/>
    <w:tmpl w:val="A3DE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8143B48"/>
    <w:multiLevelType w:val="hybridMultilevel"/>
    <w:tmpl w:val="1888776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2" w15:restartNumberingAfterBreak="0">
    <w:nsid w:val="664E7E45"/>
    <w:multiLevelType w:val="hybridMultilevel"/>
    <w:tmpl w:val="EDE2AF5C"/>
    <w:lvl w:ilvl="0" w:tplc="E842EB0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4"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35"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36" w15:restartNumberingAfterBreak="0">
    <w:nsid w:val="73525A4A"/>
    <w:multiLevelType w:val="hybridMultilevel"/>
    <w:tmpl w:val="065C5598"/>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748E3ACF"/>
    <w:multiLevelType w:val="hybridMultilevel"/>
    <w:tmpl w:val="E1BEC994"/>
    <w:lvl w:ilvl="0" w:tplc="717067A0">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8" w15:restartNumberingAfterBreak="0">
    <w:nsid w:val="7DDB11D6"/>
    <w:multiLevelType w:val="hybridMultilevel"/>
    <w:tmpl w:val="35A8EA74"/>
    <w:lvl w:ilvl="0" w:tplc="27A090D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9"/>
  </w:num>
  <w:num w:numId="2">
    <w:abstractNumId w:val="17"/>
  </w:num>
  <w:num w:numId="3">
    <w:abstractNumId w:val="24"/>
  </w:num>
  <w:num w:numId="4">
    <w:abstractNumId w:val="31"/>
  </w:num>
  <w:num w:numId="5">
    <w:abstractNumId w:val="33"/>
  </w:num>
  <w:num w:numId="6">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34"/>
  </w:num>
  <w:num w:numId="9">
    <w:abstractNumId w:val="13"/>
    <w:lvlOverride w:ilvl="0">
      <w:startOverride w:val="1"/>
    </w:lvlOverride>
  </w:num>
  <w:num w:numId="10">
    <w:abstractNumId w:val="35"/>
  </w:num>
  <w:num w:numId="11">
    <w:abstractNumId w:val="15"/>
  </w:num>
  <w:num w:numId="12">
    <w:abstractNumId w:val="4"/>
  </w:num>
  <w:num w:numId="13">
    <w:abstractNumId w:val="11"/>
  </w:num>
  <w:num w:numId="14">
    <w:abstractNumId w:val="30"/>
  </w:num>
  <w:num w:numId="15">
    <w:abstractNumId w:val="21"/>
  </w:num>
  <w:num w:numId="16">
    <w:abstractNumId w:val="18"/>
  </w:num>
  <w:num w:numId="17">
    <w:abstractNumId w:val="22"/>
  </w:num>
  <w:num w:numId="18">
    <w:abstractNumId w:val="26"/>
  </w:num>
  <w:num w:numId="19">
    <w:abstractNumId w:val="12"/>
  </w:num>
  <w:num w:numId="20">
    <w:abstractNumId w:val="38"/>
  </w:num>
  <w:num w:numId="21">
    <w:abstractNumId w:val="32"/>
  </w:num>
  <w:num w:numId="22">
    <w:abstractNumId w:val="28"/>
  </w:num>
  <w:num w:numId="23">
    <w:abstractNumId w:val="27"/>
  </w:num>
  <w:num w:numId="24">
    <w:abstractNumId w:val="16"/>
  </w:num>
  <w:num w:numId="25">
    <w:abstractNumId w:val="29"/>
  </w:num>
  <w:num w:numId="26">
    <w:abstractNumId w:val="2"/>
  </w:num>
  <w:num w:numId="27">
    <w:abstractNumId w:val="20"/>
  </w:num>
  <w:num w:numId="28">
    <w:abstractNumId w:val="37"/>
  </w:num>
  <w:num w:numId="29">
    <w:abstractNumId w:val="7"/>
  </w:num>
  <w:num w:numId="30">
    <w:abstractNumId w:val="6"/>
  </w:num>
  <w:num w:numId="31">
    <w:abstractNumId w:val="6"/>
  </w:num>
  <w:num w:numId="32">
    <w:abstractNumId w:val="3"/>
  </w:num>
  <w:num w:numId="33">
    <w:abstractNumId w:val="14"/>
  </w:num>
  <w:num w:numId="34">
    <w:abstractNumId w:val="14"/>
  </w:num>
  <w:num w:numId="35">
    <w:abstractNumId w:val="8"/>
  </w:num>
  <w:num w:numId="36">
    <w:abstractNumId w:val="23"/>
  </w:num>
  <w:num w:numId="37">
    <w:abstractNumId w:val="36"/>
  </w:num>
  <w:num w:numId="38">
    <w:abstractNumId w:val="25"/>
  </w:num>
  <w:num w:numId="39">
    <w:abstractNumId w:val="0"/>
  </w:num>
  <w:num w:numId="40">
    <w:abstractNumId w:val="10"/>
  </w:num>
  <w:num w:numId="41">
    <w:abstractNumId w:val="5"/>
  </w:num>
  <w:num w:numId="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A2D"/>
    <w:rsid w:val="00001642"/>
    <w:rsid w:val="0000268F"/>
    <w:rsid w:val="000029BC"/>
    <w:rsid w:val="000031A6"/>
    <w:rsid w:val="00003AFA"/>
    <w:rsid w:val="0000404B"/>
    <w:rsid w:val="00004F5E"/>
    <w:rsid w:val="00005134"/>
    <w:rsid w:val="0000645E"/>
    <w:rsid w:val="0000682D"/>
    <w:rsid w:val="00006906"/>
    <w:rsid w:val="000105E2"/>
    <w:rsid w:val="00010981"/>
    <w:rsid w:val="00010DAD"/>
    <w:rsid w:val="00011726"/>
    <w:rsid w:val="000123BA"/>
    <w:rsid w:val="000126BB"/>
    <w:rsid w:val="00012A1B"/>
    <w:rsid w:val="000136DC"/>
    <w:rsid w:val="0001574B"/>
    <w:rsid w:val="00016F33"/>
    <w:rsid w:val="00016FAC"/>
    <w:rsid w:val="00017102"/>
    <w:rsid w:val="0001726A"/>
    <w:rsid w:val="0001794A"/>
    <w:rsid w:val="0001795B"/>
    <w:rsid w:val="00020688"/>
    <w:rsid w:val="00020801"/>
    <w:rsid w:val="00020D8D"/>
    <w:rsid w:val="00024BE5"/>
    <w:rsid w:val="00025A4D"/>
    <w:rsid w:val="00026AD9"/>
    <w:rsid w:val="000271AD"/>
    <w:rsid w:val="000271FE"/>
    <w:rsid w:val="00027940"/>
    <w:rsid w:val="00027DAE"/>
    <w:rsid w:val="00027E9A"/>
    <w:rsid w:val="00027F74"/>
    <w:rsid w:val="000303EC"/>
    <w:rsid w:val="0003041B"/>
    <w:rsid w:val="00030C1F"/>
    <w:rsid w:val="00031D2D"/>
    <w:rsid w:val="000346F8"/>
    <w:rsid w:val="00034F55"/>
    <w:rsid w:val="00035AC7"/>
    <w:rsid w:val="00036083"/>
    <w:rsid w:val="000365C0"/>
    <w:rsid w:val="00036FF6"/>
    <w:rsid w:val="00037112"/>
    <w:rsid w:val="000378AD"/>
    <w:rsid w:val="0004177A"/>
    <w:rsid w:val="00044819"/>
    <w:rsid w:val="00046F46"/>
    <w:rsid w:val="000471AA"/>
    <w:rsid w:val="0004770A"/>
    <w:rsid w:val="000503A1"/>
    <w:rsid w:val="00050E2C"/>
    <w:rsid w:val="00051590"/>
    <w:rsid w:val="0005275D"/>
    <w:rsid w:val="000527A5"/>
    <w:rsid w:val="00053983"/>
    <w:rsid w:val="00053991"/>
    <w:rsid w:val="00054649"/>
    <w:rsid w:val="00054C6E"/>
    <w:rsid w:val="00054E46"/>
    <w:rsid w:val="00055141"/>
    <w:rsid w:val="00055B28"/>
    <w:rsid w:val="00056024"/>
    <w:rsid w:val="000568C7"/>
    <w:rsid w:val="00057953"/>
    <w:rsid w:val="00057D97"/>
    <w:rsid w:val="00057FCD"/>
    <w:rsid w:val="0006013B"/>
    <w:rsid w:val="00061727"/>
    <w:rsid w:val="0006235E"/>
    <w:rsid w:val="0006293E"/>
    <w:rsid w:val="00063E52"/>
    <w:rsid w:val="00064542"/>
    <w:rsid w:val="0006625D"/>
    <w:rsid w:val="00067665"/>
    <w:rsid w:val="00067C13"/>
    <w:rsid w:val="00070770"/>
    <w:rsid w:val="00070A22"/>
    <w:rsid w:val="00071D6E"/>
    <w:rsid w:val="000743C2"/>
    <w:rsid w:val="0007460B"/>
    <w:rsid w:val="0007462B"/>
    <w:rsid w:val="00074CE4"/>
    <w:rsid w:val="000751BB"/>
    <w:rsid w:val="0007590A"/>
    <w:rsid w:val="0007639B"/>
    <w:rsid w:val="00077532"/>
    <w:rsid w:val="00077D20"/>
    <w:rsid w:val="00077E04"/>
    <w:rsid w:val="00077E1C"/>
    <w:rsid w:val="00080D35"/>
    <w:rsid w:val="00081AF3"/>
    <w:rsid w:val="00081B2F"/>
    <w:rsid w:val="00081E50"/>
    <w:rsid w:val="0008260E"/>
    <w:rsid w:val="000828E9"/>
    <w:rsid w:val="00083BE4"/>
    <w:rsid w:val="00084DC0"/>
    <w:rsid w:val="0008592F"/>
    <w:rsid w:val="00085CC3"/>
    <w:rsid w:val="00086C08"/>
    <w:rsid w:val="000873C1"/>
    <w:rsid w:val="00087888"/>
    <w:rsid w:val="00090D35"/>
    <w:rsid w:val="0009180B"/>
    <w:rsid w:val="000929E3"/>
    <w:rsid w:val="000931C9"/>
    <w:rsid w:val="000932C2"/>
    <w:rsid w:val="000939E0"/>
    <w:rsid w:val="00093D35"/>
    <w:rsid w:val="0009402D"/>
    <w:rsid w:val="000942EB"/>
    <w:rsid w:val="0009651A"/>
    <w:rsid w:val="00096EAB"/>
    <w:rsid w:val="0009712F"/>
    <w:rsid w:val="000972BA"/>
    <w:rsid w:val="000976FD"/>
    <w:rsid w:val="00097ABD"/>
    <w:rsid w:val="000A09F4"/>
    <w:rsid w:val="000A15CB"/>
    <w:rsid w:val="000A1B81"/>
    <w:rsid w:val="000A2145"/>
    <w:rsid w:val="000A2C01"/>
    <w:rsid w:val="000A4D0D"/>
    <w:rsid w:val="000A5189"/>
    <w:rsid w:val="000A668C"/>
    <w:rsid w:val="000A66CF"/>
    <w:rsid w:val="000A79F5"/>
    <w:rsid w:val="000A7E46"/>
    <w:rsid w:val="000B103F"/>
    <w:rsid w:val="000B1C28"/>
    <w:rsid w:val="000B25E0"/>
    <w:rsid w:val="000B2DA6"/>
    <w:rsid w:val="000B3893"/>
    <w:rsid w:val="000B4FC6"/>
    <w:rsid w:val="000B53D0"/>
    <w:rsid w:val="000B5B16"/>
    <w:rsid w:val="000B680C"/>
    <w:rsid w:val="000B6837"/>
    <w:rsid w:val="000B707E"/>
    <w:rsid w:val="000C00B6"/>
    <w:rsid w:val="000C0B7C"/>
    <w:rsid w:val="000C21BA"/>
    <w:rsid w:val="000C2DD2"/>
    <w:rsid w:val="000C6347"/>
    <w:rsid w:val="000C73E5"/>
    <w:rsid w:val="000C755D"/>
    <w:rsid w:val="000D0148"/>
    <w:rsid w:val="000D0AFA"/>
    <w:rsid w:val="000D28E0"/>
    <w:rsid w:val="000D2ADD"/>
    <w:rsid w:val="000D4402"/>
    <w:rsid w:val="000D457E"/>
    <w:rsid w:val="000D58C2"/>
    <w:rsid w:val="000D5D64"/>
    <w:rsid w:val="000E1761"/>
    <w:rsid w:val="000E182B"/>
    <w:rsid w:val="000E1864"/>
    <w:rsid w:val="000E1F13"/>
    <w:rsid w:val="000E24E1"/>
    <w:rsid w:val="000E33BC"/>
    <w:rsid w:val="000E5299"/>
    <w:rsid w:val="000E576C"/>
    <w:rsid w:val="000E59C2"/>
    <w:rsid w:val="000E6357"/>
    <w:rsid w:val="000E68FA"/>
    <w:rsid w:val="000E6962"/>
    <w:rsid w:val="000E6D84"/>
    <w:rsid w:val="000E7073"/>
    <w:rsid w:val="000F14E8"/>
    <w:rsid w:val="000F17FC"/>
    <w:rsid w:val="000F1D24"/>
    <w:rsid w:val="000F2194"/>
    <w:rsid w:val="000F3B04"/>
    <w:rsid w:val="000F3C44"/>
    <w:rsid w:val="000F3D91"/>
    <w:rsid w:val="000F54C2"/>
    <w:rsid w:val="000F6869"/>
    <w:rsid w:val="000F7AE4"/>
    <w:rsid w:val="001000EC"/>
    <w:rsid w:val="00101052"/>
    <w:rsid w:val="001015E9"/>
    <w:rsid w:val="001017F1"/>
    <w:rsid w:val="00101F2E"/>
    <w:rsid w:val="00102144"/>
    <w:rsid w:val="001024CE"/>
    <w:rsid w:val="00102AA1"/>
    <w:rsid w:val="00103915"/>
    <w:rsid w:val="00103D3D"/>
    <w:rsid w:val="00104097"/>
    <w:rsid w:val="00104423"/>
    <w:rsid w:val="00104A45"/>
    <w:rsid w:val="00105B6D"/>
    <w:rsid w:val="001065D1"/>
    <w:rsid w:val="00106AC5"/>
    <w:rsid w:val="00106B75"/>
    <w:rsid w:val="001112CF"/>
    <w:rsid w:val="00111438"/>
    <w:rsid w:val="00111636"/>
    <w:rsid w:val="00112192"/>
    <w:rsid w:val="00112D2F"/>
    <w:rsid w:val="001132D4"/>
    <w:rsid w:val="00114236"/>
    <w:rsid w:val="001152BA"/>
    <w:rsid w:val="0011561C"/>
    <w:rsid w:val="0011730D"/>
    <w:rsid w:val="00117343"/>
    <w:rsid w:val="001214FF"/>
    <w:rsid w:val="001229C6"/>
    <w:rsid w:val="00122B23"/>
    <w:rsid w:val="00123C67"/>
    <w:rsid w:val="00124E73"/>
    <w:rsid w:val="00124EC3"/>
    <w:rsid w:val="00124EE5"/>
    <w:rsid w:val="00125291"/>
    <w:rsid w:val="00125D4C"/>
    <w:rsid w:val="0012687C"/>
    <w:rsid w:val="0012754A"/>
    <w:rsid w:val="0013045B"/>
    <w:rsid w:val="001310A5"/>
    <w:rsid w:val="0013236F"/>
    <w:rsid w:val="001332D0"/>
    <w:rsid w:val="00133651"/>
    <w:rsid w:val="00134030"/>
    <w:rsid w:val="001343FA"/>
    <w:rsid w:val="001344AA"/>
    <w:rsid w:val="001355F5"/>
    <w:rsid w:val="00136F24"/>
    <w:rsid w:val="00137BA1"/>
    <w:rsid w:val="00137FFA"/>
    <w:rsid w:val="00140015"/>
    <w:rsid w:val="001406ED"/>
    <w:rsid w:val="00141C42"/>
    <w:rsid w:val="00141E84"/>
    <w:rsid w:val="00141F99"/>
    <w:rsid w:val="001420C8"/>
    <w:rsid w:val="001425C5"/>
    <w:rsid w:val="0014417F"/>
    <w:rsid w:val="001448B5"/>
    <w:rsid w:val="0014582F"/>
    <w:rsid w:val="001459E6"/>
    <w:rsid w:val="00145AAA"/>
    <w:rsid w:val="00146E1D"/>
    <w:rsid w:val="00147605"/>
    <w:rsid w:val="001515A2"/>
    <w:rsid w:val="001520A3"/>
    <w:rsid w:val="00152609"/>
    <w:rsid w:val="00152C65"/>
    <w:rsid w:val="00152CA8"/>
    <w:rsid w:val="0015382E"/>
    <w:rsid w:val="00154A20"/>
    <w:rsid w:val="001550CF"/>
    <w:rsid w:val="001554A4"/>
    <w:rsid w:val="00156600"/>
    <w:rsid w:val="001568EE"/>
    <w:rsid w:val="00156DAF"/>
    <w:rsid w:val="00160DE5"/>
    <w:rsid w:val="0016135A"/>
    <w:rsid w:val="0016149E"/>
    <w:rsid w:val="001616A6"/>
    <w:rsid w:val="00161D78"/>
    <w:rsid w:val="0016262F"/>
    <w:rsid w:val="00162832"/>
    <w:rsid w:val="001650A0"/>
    <w:rsid w:val="00165EA8"/>
    <w:rsid w:val="0016680A"/>
    <w:rsid w:val="00167B9D"/>
    <w:rsid w:val="00167F0C"/>
    <w:rsid w:val="00170733"/>
    <w:rsid w:val="00170D5D"/>
    <w:rsid w:val="00170E51"/>
    <w:rsid w:val="00172B2A"/>
    <w:rsid w:val="00172E0A"/>
    <w:rsid w:val="00173D30"/>
    <w:rsid w:val="00174107"/>
    <w:rsid w:val="00174FBC"/>
    <w:rsid w:val="0017528B"/>
    <w:rsid w:val="001755EC"/>
    <w:rsid w:val="00175795"/>
    <w:rsid w:val="00177BAA"/>
    <w:rsid w:val="00180B3B"/>
    <w:rsid w:val="00182C6C"/>
    <w:rsid w:val="00182E5C"/>
    <w:rsid w:val="00183DD7"/>
    <w:rsid w:val="00184A68"/>
    <w:rsid w:val="00184E93"/>
    <w:rsid w:val="001857DA"/>
    <w:rsid w:val="0018598D"/>
    <w:rsid w:val="00186253"/>
    <w:rsid w:val="00186B95"/>
    <w:rsid w:val="00186D8E"/>
    <w:rsid w:val="00187F6F"/>
    <w:rsid w:val="001900CF"/>
    <w:rsid w:val="00190205"/>
    <w:rsid w:val="001918D6"/>
    <w:rsid w:val="00192341"/>
    <w:rsid w:val="00192D85"/>
    <w:rsid w:val="00192F14"/>
    <w:rsid w:val="001939B7"/>
    <w:rsid w:val="0019596D"/>
    <w:rsid w:val="00195EDB"/>
    <w:rsid w:val="0019626E"/>
    <w:rsid w:val="001963C6"/>
    <w:rsid w:val="0019713D"/>
    <w:rsid w:val="0019745D"/>
    <w:rsid w:val="001A028B"/>
    <w:rsid w:val="001A08F7"/>
    <w:rsid w:val="001A0DF1"/>
    <w:rsid w:val="001A0EC0"/>
    <w:rsid w:val="001A1909"/>
    <w:rsid w:val="001A1BDA"/>
    <w:rsid w:val="001A26FC"/>
    <w:rsid w:val="001A27D7"/>
    <w:rsid w:val="001A3721"/>
    <w:rsid w:val="001A387A"/>
    <w:rsid w:val="001A3F04"/>
    <w:rsid w:val="001A6313"/>
    <w:rsid w:val="001A69BF"/>
    <w:rsid w:val="001A7176"/>
    <w:rsid w:val="001B0FEE"/>
    <w:rsid w:val="001B2EA0"/>
    <w:rsid w:val="001B2F7F"/>
    <w:rsid w:val="001B3306"/>
    <w:rsid w:val="001B464A"/>
    <w:rsid w:val="001B4A46"/>
    <w:rsid w:val="001B4CC5"/>
    <w:rsid w:val="001B5077"/>
    <w:rsid w:val="001B528A"/>
    <w:rsid w:val="001B53B4"/>
    <w:rsid w:val="001B59D6"/>
    <w:rsid w:val="001B6044"/>
    <w:rsid w:val="001B686F"/>
    <w:rsid w:val="001B7618"/>
    <w:rsid w:val="001B7DEA"/>
    <w:rsid w:val="001B7FB3"/>
    <w:rsid w:val="001C0B58"/>
    <w:rsid w:val="001C120D"/>
    <w:rsid w:val="001C219D"/>
    <w:rsid w:val="001C25C9"/>
    <w:rsid w:val="001C33CB"/>
    <w:rsid w:val="001C398F"/>
    <w:rsid w:val="001C418F"/>
    <w:rsid w:val="001C42CE"/>
    <w:rsid w:val="001C65E5"/>
    <w:rsid w:val="001C722C"/>
    <w:rsid w:val="001D07BF"/>
    <w:rsid w:val="001D0988"/>
    <w:rsid w:val="001D172E"/>
    <w:rsid w:val="001D1FD0"/>
    <w:rsid w:val="001D2D84"/>
    <w:rsid w:val="001D2E79"/>
    <w:rsid w:val="001D3A43"/>
    <w:rsid w:val="001D4A16"/>
    <w:rsid w:val="001D5E4D"/>
    <w:rsid w:val="001D64EC"/>
    <w:rsid w:val="001D6B16"/>
    <w:rsid w:val="001D7B74"/>
    <w:rsid w:val="001E0042"/>
    <w:rsid w:val="001E008B"/>
    <w:rsid w:val="001E0545"/>
    <w:rsid w:val="001E0849"/>
    <w:rsid w:val="001E118B"/>
    <w:rsid w:val="001E1A13"/>
    <w:rsid w:val="001E3E0C"/>
    <w:rsid w:val="001E453C"/>
    <w:rsid w:val="001E4A2B"/>
    <w:rsid w:val="001E505B"/>
    <w:rsid w:val="001E610D"/>
    <w:rsid w:val="001E63C0"/>
    <w:rsid w:val="001F0524"/>
    <w:rsid w:val="001F0570"/>
    <w:rsid w:val="001F13B9"/>
    <w:rsid w:val="001F140A"/>
    <w:rsid w:val="001F1781"/>
    <w:rsid w:val="001F1AFA"/>
    <w:rsid w:val="001F267A"/>
    <w:rsid w:val="001F2AD0"/>
    <w:rsid w:val="001F2FC2"/>
    <w:rsid w:val="001F3D53"/>
    <w:rsid w:val="001F416A"/>
    <w:rsid w:val="001F55B5"/>
    <w:rsid w:val="001F59AB"/>
    <w:rsid w:val="001F5E0A"/>
    <w:rsid w:val="001F62DC"/>
    <w:rsid w:val="001F63E1"/>
    <w:rsid w:val="001F6AAC"/>
    <w:rsid w:val="001F790E"/>
    <w:rsid w:val="002005CC"/>
    <w:rsid w:val="002007D2"/>
    <w:rsid w:val="00200F34"/>
    <w:rsid w:val="0020229E"/>
    <w:rsid w:val="00202918"/>
    <w:rsid w:val="00203F1A"/>
    <w:rsid w:val="00204114"/>
    <w:rsid w:val="00204C65"/>
    <w:rsid w:val="00204F6E"/>
    <w:rsid w:val="00204FCD"/>
    <w:rsid w:val="002059AF"/>
    <w:rsid w:val="0020646E"/>
    <w:rsid w:val="002067AD"/>
    <w:rsid w:val="00206BC8"/>
    <w:rsid w:val="00207CB6"/>
    <w:rsid w:val="002101BE"/>
    <w:rsid w:val="002118CA"/>
    <w:rsid w:val="00211909"/>
    <w:rsid w:val="0021318C"/>
    <w:rsid w:val="002135F3"/>
    <w:rsid w:val="002146C0"/>
    <w:rsid w:val="00214A72"/>
    <w:rsid w:val="00215A2F"/>
    <w:rsid w:val="00215BB7"/>
    <w:rsid w:val="00215CA0"/>
    <w:rsid w:val="00216F1A"/>
    <w:rsid w:val="0021701B"/>
    <w:rsid w:val="0021759E"/>
    <w:rsid w:val="00217662"/>
    <w:rsid w:val="002201E0"/>
    <w:rsid w:val="0022085C"/>
    <w:rsid w:val="002208DC"/>
    <w:rsid w:val="00220CE5"/>
    <w:rsid w:val="002210B1"/>
    <w:rsid w:val="002215FF"/>
    <w:rsid w:val="002216AA"/>
    <w:rsid w:val="0022173B"/>
    <w:rsid w:val="002217B4"/>
    <w:rsid w:val="0022264F"/>
    <w:rsid w:val="002226D4"/>
    <w:rsid w:val="002229F4"/>
    <w:rsid w:val="002236DB"/>
    <w:rsid w:val="00224363"/>
    <w:rsid w:val="00224570"/>
    <w:rsid w:val="00225A48"/>
    <w:rsid w:val="0022655C"/>
    <w:rsid w:val="0022678E"/>
    <w:rsid w:val="002272CA"/>
    <w:rsid w:val="00227541"/>
    <w:rsid w:val="00227D81"/>
    <w:rsid w:val="00227E42"/>
    <w:rsid w:val="00230B1D"/>
    <w:rsid w:val="002311BD"/>
    <w:rsid w:val="00233A24"/>
    <w:rsid w:val="0023484E"/>
    <w:rsid w:val="00234B84"/>
    <w:rsid w:val="00235B42"/>
    <w:rsid w:val="00236137"/>
    <w:rsid w:val="00236740"/>
    <w:rsid w:val="00237329"/>
    <w:rsid w:val="00240225"/>
    <w:rsid w:val="00240A06"/>
    <w:rsid w:val="002416BA"/>
    <w:rsid w:val="002427B1"/>
    <w:rsid w:val="00244181"/>
    <w:rsid w:val="00244C00"/>
    <w:rsid w:val="00244CB0"/>
    <w:rsid w:val="0024535C"/>
    <w:rsid w:val="002457FD"/>
    <w:rsid w:val="00245A49"/>
    <w:rsid w:val="00245C7E"/>
    <w:rsid w:val="00247411"/>
    <w:rsid w:val="002475F1"/>
    <w:rsid w:val="002501F2"/>
    <w:rsid w:val="00250718"/>
    <w:rsid w:val="00251445"/>
    <w:rsid w:val="0025237E"/>
    <w:rsid w:val="00252AEC"/>
    <w:rsid w:val="00253276"/>
    <w:rsid w:val="002536AE"/>
    <w:rsid w:val="00253C1D"/>
    <w:rsid w:val="00254319"/>
    <w:rsid w:val="00254D37"/>
    <w:rsid w:val="002563B9"/>
    <w:rsid w:val="0025685E"/>
    <w:rsid w:val="0025768C"/>
    <w:rsid w:val="00257BC1"/>
    <w:rsid w:val="00257C73"/>
    <w:rsid w:val="002603EB"/>
    <w:rsid w:val="00260720"/>
    <w:rsid w:val="00261631"/>
    <w:rsid w:val="002623A3"/>
    <w:rsid w:val="00264095"/>
    <w:rsid w:val="00264666"/>
    <w:rsid w:val="00264AE6"/>
    <w:rsid w:val="00265942"/>
    <w:rsid w:val="00265C96"/>
    <w:rsid w:val="00265CEB"/>
    <w:rsid w:val="00265ED0"/>
    <w:rsid w:val="00265FA4"/>
    <w:rsid w:val="00266E0C"/>
    <w:rsid w:val="00267190"/>
    <w:rsid w:val="00270234"/>
    <w:rsid w:val="0027071C"/>
    <w:rsid w:val="0027122E"/>
    <w:rsid w:val="00272C62"/>
    <w:rsid w:val="002755B8"/>
    <w:rsid w:val="00275701"/>
    <w:rsid w:val="00276521"/>
    <w:rsid w:val="00276D7E"/>
    <w:rsid w:val="00277428"/>
    <w:rsid w:val="002778DB"/>
    <w:rsid w:val="002806C6"/>
    <w:rsid w:val="00280761"/>
    <w:rsid w:val="002812E1"/>
    <w:rsid w:val="00281E62"/>
    <w:rsid w:val="00281ED6"/>
    <w:rsid w:val="00282493"/>
    <w:rsid w:val="00282F29"/>
    <w:rsid w:val="00283380"/>
    <w:rsid w:val="00284ECB"/>
    <w:rsid w:val="00284F66"/>
    <w:rsid w:val="00285D7E"/>
    <w:rsid w:val="00285D82"/>
    <w:rsid w:val="00285FED"/>
    <w:rsid w:val="00286660"/>
    <w:rsid w:val="00286A53"/>
    <w:rsid w:val="00287542"/>
    <w:rsid w:val="002877E9"/>
    <w:rsid w:val="0029159E"/>
    <w:rsid w:val="00291E4A"/>
    <w:rsid w:val="00292E8D"/>
    <w:rsid w:val="00293EA5"/>
    <w:rsid w:val="00294801"/>
    <w:rsid w:val="00294EFD"/>
    <w:rsid w:val="0029562E"/>
    <w:rsid w:val="00296D38"/>
    <w:rsid w:val="002970C9"/>
    <w:rsid w:val="0029772C"/>
    <w:rsid w:val="002A1031"/>
    <w:rsid w:val="002A1308"/>
    <w:rsid w:val="002A3472"/>
    <w:rsid w:val="002A34C5"/>
    <w:rsid w:val="002A3C58"/>
    <w:rsid w:val="002A4F10"/>
    <w:rsid w:val="002A632D"/>
    <w:rsid w:val="002A63F4"/>
    <w:rsid w:val="002B0B61"/>
    <w:rsid w:val="002B15ED"/>
    <w:rsid w:val="002B1AAF"/>
    <w:rsid w:val="002B36EB"/>
    <w:rsid w:val="002B3DA6"/>
    <w:rsid w:val="002B3F20"/>
    <w:rsid w:val="002B484D"/>
    <w:rsid w:val="002B4907"/>
    <w:rsid w:val="002B50DA"/>
    <w:rsid w:val="002B72C0"/>
    <w:rsid w:val="002B7DD1"/>
    <w:rsid w:val="002C05A7"/>
    <w:rsid w:val="002C087E"/>
    <w:rsid w:val="002C27C5"/>
    <w:rsid w:val="002C2BF2"/>
    <w:rsid w:val="002C3928"/>
    <w:rsid w:val="002C7E7F"/>
    <w:rsid w:val="002D0C96"/>
    <w:rsid w:val="002D3456"/>
    <w:rsid w:val="002D4BB3"/>
    <w:rsid w:val="002D5D70"/>
    <w:rsid w:val="002D6942"/>
    <w:rsid w:val="002D7E62"/>
    <w:rsid w:val="002D7F92"/>
    <w:rsid w:val="002E0A18"/>
    <w:rsid w:val="002E1964"/>
    <w:rsid w:val="002E19A5"/>
    <w:rsid w:val="002E1E7E"/>
    <w:rsid w:val="002E27E0"/>
    <w:rsid w:val="002E39A3"/>
    <w:rsid w:val="002E40A8"/>
    <w:rsid w:val="002E5134"/>
    <w:rsid w:val="002E6150"/>
    <w:rsid w:val="002E6B6F"/>
    <w:rsid w:val="002E74C9"/>
    <w:rsid w:val="002E78E9"/>
    <w:rsid w:val="002F0800"/>
    <w:rsid w:val="002F3606"/>
    <w:rsid w:val="002F40C7"/>
    <w:rsid w:val="002F4EA2"/>
    <w:rsid w:val="002F5131"/>
    <w:rsid w:val="002F51E1"/>
    <w:rsid w:val="002F61CE"/>
    <w:rsid w:val="002F70EB"/>
    <w:rsid w:val="002F779E"/>
    <w:rsid w:val="002F7AB3"/>
    <w:rsid w:val="00301514"/>
    <w:rsid w:val="003033BA"/>
    <w:rsid w:val="003033C0"/>
    <w:rsid w:val="003038BC"/>
    <w:rsid w:val="00303D47"/>
    <w:rsid w:val="00303DF8"/>
    <w:rsid w:val="00303EFC"/>
    <w:rsid w:val="00304081"/>
    <w:rsid w:val="003043B4"/>
    <w:rsid w:val="003046D6"/>
    <w:rsid w:val="0030629D"/>
    <w:rsid w:val="0030783E"/>
    <w:rsid w:val="00307CBC"/>
    <w:rsid w:val="0031068B"/>
    <w:rsid w:val="003112B5"/>
    <w:rsid w:val="0031293C"/>
    <w:rsid w:val="00312DEB"/>
    <w:rsid w:val="00312F3D"/>
    <w:rsid w:val="00313BBA"/>
    <w:rsid w:val="00313D9F"/>
    <w:rsid w:val="00314352"/>
    <w:rsid w:val="00314899"/>
    <w:rsid w:val="00315623"/>
    <w:rsid w:val="00316182"/>
    <w:rsid w:val="00317265"/>
    <w:rsid w:val="00317704"/>
    <w:rsid w:val="0032072B"/>
    <w:rsid w:val="00320DFD"/>
    <w:rsid w:val="003210F8"/>
    <w:rsid w:val="00321947"/>
    <w:rsid w:val="00322EC0"/>
    <w:rsid w:val="00322EE7"/>
    <w:rsid w:val="00323BCB"/>
    <w:rsid w:val="0032495B"/>
    <w:rsid w:val="00326A5D"/>
    <w:rsid w:val="00326F22"/>
    <w:rsid w:val="00327032"/>
    <w:rsid w:val="003276A0"/>
    <w:rsid w:val="003278FA"/>
    <w:rsid w:val="0033002D"/>
    <w:rsid w:val="00330686"/>
    <w:rsid w:val="00332906"/>
    <w:rsid w:val="00332C3C"/>
    <w:rsid w:val="003331E9"/>
    <w:rsid w:val="00333BE1"/>
    <w:rsid w:val="00334708"/>
    <w:rsid w:val="00334B76"/>
    <w:rsid w:val="00336644"/>
    <w:rsid w:val="00337299"/>
    <w:rsid w:val="0033763C"/>
    <w:rsid w:val="00337ADB"/>
    <w:rsid w:val="00337BD8"/>
    <w:rsid w:val="00340215"/>
    <w:rsid w:val="003410DC"/>
    <w:rsid w:val="0034149E"/>
    <w:rsid w:val="00341CE5"/>
    <w:rsid w:val="00342202"/>
    <w:rsid w:val="003426C6"/>
    <w:rsid w:val="003429C9"/>
    <w:rsid w:val="00342B19"/>
    <w:rsid w:val="00343AE9"/>
    <w:rsid w:val="00343C28"/>
    <w:rsid w:val="00344889"/>
    <w:rsid w:val="00345884"/>
    <w:rsid w:val="00345FC4"/>
    <w:rsid w:val="00346179"/>
    <w:rsid w:val="00346420"/>
    <w:rsid w:val="0034656C"/>
    <w:rsid w:val="0034680A"/>
    <w:rsid w:val="00346A5D"/>
    <w:rsid w:val="00347661"/>
    <w:rsid w:val="003478E7"/>
    <w:rsid w:val="003478FF"/>
    <w:rsid w:val="00350095"/>
    <w:rsid w:val="00350DCD"/>
    <w:rsid w:val="00351383"/>
    <w:rsid w:val="00352396"/>
    <w:rsid w:val="003528F0"/>
    <w:rsid w:val="00352927"/>
    <w:rsid w:val="00353FDF"/>
    <w:rsid w:val="00354545"/>
    <w:rsid w:val="003551A5"/>
    <w:rsid w:val="003555B4"/>
    <w:rsid w:val="00356A4C"/>
    <w:rsid w:val="00357DDD"/>
    <w:rsid w:val="00360753"/>
    <w:rsid w:val="00360A53"/>
    <w:rsid w:val="00362486"/>
    <w:rsid w:val="00362CEC"/>
    <w:rsid w:val="00363A73"/>
    <w:rsid w:val="003648FB"/>
    <w:rsid w:val="0036497E"/>
    <w:rsid w:val="00364F1A"/>
    <w:rsid w:val="00366C32"/>
    <w:rsid w:val="0037099D"/>
    <w:rsid w:val="00371FE6"/>
    <w:rsid w:val="00372A55"/>
    <w:rsid w:val="003735C0"/>
    <w:rsid w:val="0037401A"/>
    <w:rsid w:val="00374753"/>
    <w:rsid w:val="0037519C"/>
    <w:rsid w:val="003767EE"/>
    <w:rsid w:val="00377852"/>
    <w:rsid w:val="00377AD6"/>
    <w:rsid w:val="00381B41"/>
    <w:rsid w:val="00382349"/>
    <w:rsid w:val="003833D7"/>
    <w:rsid w:val="003839DC"/>
    <w:rsid w:val="00383C5B"/>
    <w:rsid w:val="00383DDA"/>
    <w:rsid w:val="00384B44"/>
    <w:rsid w:val="00384F42"/>
    <w:rsid w:val="00385EC9"/>
    <w:rsid w:val="00386456"/>
    <w:rsid w:val="00387241"/>
    <w:rsid w:val="00387E1C"/>
    <w:rsid w:val="0039010E"/>
    <w:rsid w:val="003901D8"/>
    <w:rsid w:val="00390732"/>
    <w:rsid w:val="0039100A"/>
    <w:rsid w:val="00391D93"/>
    <w:rsid w:val="00392714"/>
    <w:rsid w:val="0039293C"/>
    <w:rsid w:val="00392E7E"/>
    <w:rsid w:val="00393184"/>
    <w:rsid w:val="0039340C"/>
    <w:rsid w:val="003934DD"/>
    <w:rsid w:val="00393FFF"/>
    <w:rsid w:val="00394246"/>
    <w:rsid w:val="0039576E"/>
    <w:rsid w:val="00396D23"/>
    <w:rsid w:val="003A046A"/>
    <w:rsid w:val="003A0603"/>
    <w:rsid w:val="003A1031"/>
    <w:rsid w:val="003A1157"/>
    <w:rsid w:val="003A191B"/>
    <w:rsid w:val="003A25E4"/>
    <w:rsid w:val="003A2A86"/>
    <w:rsid w:val="003A2C66"/>
    <w:rsid w:val="003A2D28"/>
    <w:rsid w:val="003A433D"/>
    <w:rsid w:val="003A4F71"/>
    <w:rsid w:val="003A581E"/>
    <w:rsid w:val="003A5E28"/>
    <w:rsid w:val="003A651C"/>
    <w:rsid w:val="003A6DA8"/>
    <w:rsid w:val="003B0136"/>
    <w:rsid w:val="003B0175"/>
    <w:rsid w:val="003B0B16"/>
    <w:rsid w:val="003B3D8A"/>
    <w:rsid w:val="003B4162"/>
    <w:rsid w:val="003B5540"/>
    <w:rsid w:val="003B79A5"/>
    <w:rsid w:val="003C1F93"/>
    <w:rsid w:val="003C270B"/>
    <w:rsid w:val="003C3D13"/>
    <w:rsid w:val="003C40DD"/>
    <w:rsid w:val="003C4141"/>
    <w:rsid w:val="003C432C"/>
    <w:rsid w:val="003C4BFB"/>
    <w:rsid w:val="003C50C9"/>
    <w:rsid w:val="003C51BB"/>
    <w:rsid w:val="003C62BD"/>
    <w:rsid w:val="003C7DC2"/>
    <w:rsid w:val="003D1C12"/>
    <w:rsid w:val="003D2137"/>
    <w:rsid w:val="003D284B"/>
    <w:rsid w:val="003D3295"/>
    <w:rsid w:val="003D3C79"/>
    <w:rsid w:val="003D40F4"/>
    <w:rsid w:val="003D4F72"/>
    <w:rsid w:val="003D73F1"/>
    <w:rsid w:val="003D7A17"/>
    <w:rsid w:val="003D7CA7"/>
    <w:rsid w:val="003E07B4"/>
    <w:rsid w:val="003E11A8"/>
    <w:rsid w:val="003E14B0"/>
    <w:rsid w:val="003E15E5"/>
    <w:rsid w:val="003E19E4"/>
    <w:rsid w:val="003E1ABD"/>
    <w:rsid w:val="003E1F12"/>
    <w:rsid w:val="003E443D"/>
    <w:rsid w:val="003E5505"/>
    <w:rsid w:val="003E5ED1"/>
    <w:rsid w:val="003E6682"/>
    <w:rsid w:val="003E7261"/>
    <w:rsid w:val="003E7A20"/>
    <w:rsid w:val="003F088B"/>
    <w:rsid w:val="003F0FBE"/>
    <w:rsid w:val="003F28CF"/>
    <w:rsid w:val="003F30B1"/>
    <w:rsid w:val="003F328D"/>
    <w:rsid w:val="003F47E5"/>
    <w:rsid w:val="003F5439"/>
    <w:rsid w:val="003F5CDD"/>
    <w:rsid w:val="003F5D5D"/>
    <w:rsid w:val="003F7E6A"/>
    <w:rsid w:val="00400083"/>
    <w:rsid w:val="0040059A"/>
    <w:rsid w:val="00401105"/>
    <w:rsid w:val="00402FD5"/>
    <w:rsid w:val="00403B92"/>
    <w:rsid w:val="00403EDC"/>
    <w:rsid w:val="00404797"/>
    <w:rsid w:val="00405524"/>
    <w:rsid w:val="00405752"/>
    <w:rsid w:val="004059E9"/>
    <w:rsid w:val="00406898"/>
    <w:rsid w:val="004074D6"/>
    <w:rsid w:val="00407BD2"/>
    <w:rsid w:val="0041043C"/>
    <w:rsid w:val="004106B4"/>
    <w:rsid w:val="00411B85"/>
    <w:rsid w:val="00412132"/>
    <w:rsid w:val="0041266E"/>
    <w:rsid w:val="004126FE"/>
    <w:rsid w:val="00413CDA"/>
    <w:rsid w:val="00414B54"/>
    <w:rsid w:val="00414C91"/>
    <w:rsid w:val="0041591A"/>
    <w:rsid w:val="0041612C"/>
    <w:rsid w:val="00416511"/>
    <w:rsid w:val="004167C4"/>
    <w:rsid w:val="00416C2E"/>
    <w:rsid w:val="00417B82"/>
    <w:rsid w:val="004207E3"/>
    <w:rsid w:val="00420A13"/>
    <w:rsid w:val="00420B44"/>
    <w:rsid w:val="00420D01"/>
    <w:rsid w:val="00421774"/>
    <w:rsid w:val="00421906"/>
    <w:rsid w:val="0042321C"/>
    <w:rsid w:val="00423267"/>
    <w:rsid w:val="00423D27"/>
    <w:rsid w:val="00425118"/>
    <w:rsid w:val="004252E8"/>
    <w:rsid w:val="00425B6B"/>
    <w:rsid w:val="00426EEE"/>
    <w:rsid w:val="00426F4A"/>
    <w:rsid w:val="00427AF8"/>
    <w:rsid w:val="00427BD7"/>
    <w:rsid w:val="00430927"/>
    <w:rsid w:val="0043155D"/>
    <w:rsid w:val="0043205F"/>
    <w:rsid w:val="00432915"/>
    <w:rsid w:val="00432C5F"/>
    <w:rsid w:val="00432E88"/>
    <w:rsid w:val="0043346D"/>
    <w:rsid w:val="00433A6D"/>
    <w:rsid w:val="00433BA1"/>
    <w:rsid w:val="00435AA2"/>
    <w:rsid w:val="004363BC"/>
    <w:rsid w:val="00436652"/>
    <w:rsid w:val="00436A63"/>
    <w:rsid w:val="0043754D"/>
    <w:rsid w:val="00437BF5"/>
    <w:rsid w:val="00437BF8"/>
    <w:rsid w:val="00440E0E"/>
    <w:rsid w:val="004422D6"/>
    <w:rsid w:val="00442BFD"/>
    <w:rsid w:val="00444019"/>
    <w:rsid w:val="0044405F"/>
    <w:rsid w:val="00444A46"/>
    <w:rsid w:val="00445EE4"/>
    <w:rsid w:val="00446B03"/>
    <w:rsid w:val="00446CAA"/>
    <w:rsid w:val="00447095"/>
    <w:rsid w:val="00447483"/>
    <w:rsid w:val="004507CF"/>
    <w:rsid w:val="00451698"/>
    <w:rsid w:val="00452BCB"/>
    <w:rsid w:val="0045342C"/>
    <w:rsid w:val="004537E3"/>
    <w:rsid w:val="004547B6"/>
    <w:rsid w:val="00454B0F"/>
    <w:rsid w:val="00454C62"/>
    <w:rsid w:val="0045548D"/>
    <w:rsid w:val="00456BF3"/>
    <w:rsid w:val="004570AB"/>
    <w:rsid w:val="00460591"/>
    <w:rsid w:val="00461FF0"/>
    <w:rsid w:val="004620B3"/>
    <w:rsid w:val="004620C0"/>
    <w:rsid w:val="00463997"/>
    <w:rsid w:val="004648D2"/>
    <w:rsid w:val="0046604D"/>
    <w:rsid w:val="00471F7A"/>
    <w:rsid w:val="0047250D"/>
    <w:rsid w:val="0047358F"/>
    <w:rsid w:val="0047429E"/>
    <w:rsid w:val="00474434"/>
    <w:rsid w:val="0047444E"/>
    <w:rsid w:val="00474614"/>
    <w:rsid w:val="00474880"/>
    <w:rsid w:val="004755D2"/>
    <w:rsid w:val="004762FE"/>
    <w:rsid w:val="004768C9"/>
    <w:rsid w:val="00476A0B"/>
    <w:rsid w:val="00477A49"/>
    <w:rsid w:val="00477BFF"/>
    <w:rsid w:val="00481FA4"/>
    <w:rsid w:val="004821AB"/>
    <w:rsid w:val="00483884"/>
    <w:rsid w:val="00483DD5"/>
    <w:rsid w:val="00485197"/>
    <w:rsid w:val="00485AD7"/>
    <w:rsid w:val="00485ED3"/>
    <w:rsid w:val="00487569"/>
    <w:rsid w:val="004878C1"/>
    <w:rsid w:val="00487986"/>
    <w:rsid w:val="004928C4"/>
    <w:rsid w:val="00492EB5"/>
    <w:rsid w:val="00493B38"/>
    <w:rsid w:val="0049505C"/>
    <w:rsid w:val="00496626"/>
    <w:rsid w:val="0049684A"/>
    <w:rsid w:val="00497B27"/>
    <w:rsid w:val="004A0A76"/>
    <w:rsid w:val="004A33A3"/>
    <w:rsid w:val="004A34D2"/>
    <w:rsid w:val="004A36C3"/>
    <w:rsid w:val="004A3CCB"/>
    <w:rsid w:val="004A411B"/>
    <w:rsid w:val="004A486C"/>
    <w:rsid w:val="004A488B"/>
    <w:rsid w:val="004A5218"/>
    <w:rsid w:val="004A5B0B"/>
    <w:rsid w:val="004A5B41"/>
    <w:rsid w:val="004A6356"/>
    <w:rsid w:val="004B0222"/>
    <w:rsid w:val="004B1F7C"/>
    <w:rsid w:val="004B219E"/>
    <w:rsid w:val="004B2774"/>
    <w:rsid w:val="004B32F5"/>
    <w:rsid w:val="004B411E"/>
    <w:rsid w:val="004B4A0E"/>
    <w:rsid w:val="004B4CAD"/>
    <w:rsid w:val="004B5CAA"/>
    <w:rsid w:val="004B6DE0"/>
    <w:rsid w:val="004B7034"/>
    <w:rsid w:val="004B742E"/>
    <w:rsid w:val="004C003F"/>
    <w:rsid w:val="004C026F"/>
    <w:rsid w:val="004C0993"/>
    <w:rsid w:val="004C0ABB"/>
    <w:rsid w:val="004C0B1C"/>
    <w:rsid w:val="004C11D7"/>
    <w:rsid w:val="004C1226"/>
    <w:rsid w:val="004C1573"/>
    <w:rsid w:val="004C1F44"/>
    <w:rsid w:val="004C1F93"/>
    <w:rsid w:val="004C2021"/>
    <w:rsid w:val="004C5092"/>
    <w:rsid w:val="004C5273"/>
    <w:rsid w:val="004C6C01"/>
    <w:rsid w:val="004D1653"/>
    <w:rsid w:val="004D2B08"/>
    <w:rsid w:val="004D2C64"/>
    <w:rsid w:val="004D3473"/>
    <w:rsid w:val="004D3521"/>
    <w:rsid w:val="004D4556"/>
    <w:rsid w:val="004D4730"/>
    <w:rsid w:val="004D4FFE"/>
    <w:rsid w:val="004D5458"/>
    <w:rsid w:val="004D5C84"/>
    <w:rsid w:val="004D6525"/>
    <w:rsid w:val="004D6799"/>
    <w:rsid w:val="004D71D3"/>
    <w:rsid w:val="004D725A"/>
    <w:rsid w:val="004D7A98"/>
    <w:rsid w:val="004D7B77"/>
    <w:rsid w:val="004E06CD"/>
    <w:rsid w:val="004E1267"/>
    <w:rsid w:val="004E1E23"/>
    <w:rsid w:val="004E2760"/>
    <w:rsid w:val="004E27A0"/>
    <w:rsid w:val="004E2973"/>
    <w:rsid w:val="004E3A4E"/>
    <w:rsid w:val="004E4142"/>
    <w:rsid w:val="004E4A6B"/>
    <w:rsid w:val="004E4AB3"/>
    <w:rsid w:val="004E4DB5"/>
    <w:rsid w:val="004E5102"/>
    <w:rsid w:val="004E54F2"/>
    <w:rsid w:val="004E5B78"/>
    <w:rsid w:val="004E5BC5"/>
    <w:rsid w:val="004E638B"/>
    <w:rsid w:val="004F0B50"/>
    <w:rsid w:val="004F0D5B"/>
    <w:rsid w:val="004F1050"/>
    <w:rsid w:val="004F3031"/>
    <w:rsid w:val="004F32CC"/>
    <w:rsid w:val="004F38A9"/>
    <w:rsid w:val="004F46FC"/>
    <w:rsid w:val="004F4EB9"/>
    <w:rsid w:val="004F5F6A"/>
    <w:rsid w:val="004F71C2"/>
    <w:rsid w:val="00501D8A"/>
    <w:rsid w:val="00501FA2"/>
    <w:rsid w:val="0050246B"/>
    <w:rsid w:val="005027F0"/>
    <w:rsid w:val="00502929"/>
    <w:rsid w:val="00502F06"/>
    <w:rsid w:val="0050311E"/>
    <w:rsid w:val="005037BC"/>
    <w:rsid w:val="005037CD"/>
    <w:rsid w:val="00503872"/>
    <w:rsid w:val="00503C1E"/>
    <w:rsid w:val="00504062"/>
    <w:rsid w:val="005046C0"/>
    <w:rsid w:val="005053B0"/>
    <w:rsid w:val="00505C2C"/>
    <w:rsid w:val="00506085"/>
    <w:rsid w:val="005064F9"/>
    <w:rsid w:val="0051074C"/>
    <w:rsid w:val="0051089A"/>
    <w:rsid w:val="00510BB6"/>
    <w:rsid w:val="00511953"/>
    <w:rsid w:val="00511A4C"/>
    <w:rsid w:val="00512710"/>
    <w:rsid w:val="0051288D"/>
    <w:rsid w:val="00513A69"/>
    <w:rsid w:val="00513AF2"/>
    <w:rsid w:val="005144E0"/>
    <w:rsid w:val="005152C2"/>
    <w:rsid w:val="005153B7"/>
    <w:rsid w:val="00516462"/>
    <w:rsid w:val="0051690C"/>
    <w:rsid w:val="005200B5"/>
    <w:rsid w:val="00521B54"/>
    <w:rsid w:val="005222B7"/>
    <w:rsid w:val="00522503"/>
    <w:rsid w:val="00522983"/>
    <w:rsid w:val="0052307C"/>
    <w:rsid w:val="005239CE"/>
    <w:rsid w:val="00523EE2"/>
    <w:rsid w:val="0052446F"/>
    <w:rsid w:val="00524F8D"/>
    <w:rsid w:val="005268C9"/>
    <w:rsid w:val="0052715F"/>
    <w:rsid w:val="005305AF"/>
    <w:rsid w:val="00533367"/>
    <w:rsid w:val="00535161"/>
    <w:rsid w:val="00535A7F"/>
    <w:rsid w:val="0053606E"/>
    <w:rsid w:val="005369C0"/>
    <w:rsid w:val="00536C0D"/>
    <w:rsid w:val="0053771E"/>
    <w:rsid w:val="00537D21"/>
    <w:rsid w:val="005403D5"/>
    <w:rsid w:val="00541195"/>
    <w:rsid w:val="005418FA"/>
    <w:rsid w:val="00542FF3"/>
    <w:rsid w:val="00543D6E"/>
    <w:rsid w:val="0054413A"/>
    <w:rsid w:val="005443C9"/>
    <w:rsid w:val="0054452E"/>
    <w:rsid w:val="005445B2"/>
    <w:rsid w:val="00545144"/>
    <w:rsid w:val="00545326"/>
    <w:rsid w:val="005457A0"/>
    <w:rsid w:val="00545A5F"/>
    <w:rsid w:val="00546110"/>
    <w:rsid w:val="005465E5"/>
    <w:rsid w:val="00550551"/>
    <w:rsid w:val="00551DC1"/>
    <w:rsid w:val="00553411"/>
    <w:rsid w:val="00554515"/>
    <w:rsid w:val="00554CC5"/>
    <w:rsid w:val="005551CB"/>
    <w:rsid w:val="0055530B"/>
    <w:rsid w:val="00555967"/>
    <w:rsid w:val="005564CA"/>
    <w:rsid w:val="00556F5B"/>
    <w:rsid w:val="0055703B"/>
    <w:rsid w:val="00557DD1"/>
    <w:rsid w:val="00560C9C"/>
    <w:rsid w:val="0056142D"/>
    <w:rsid w:val="00561510"/>
    <w:rsid w:val="005617FA"/>
    <w:rsid w:val="005618D4"/>
    <w:rsid w:val="005620AD"/>
    <w:rsid w:val="005626E7"/>
    <w:rsid w:val="00562D14"/>
    <w:rsid w:val="00564281"/>
    <w:rsid w:val="00564457"/>
    <w:rsid w:val="00566EEE"/>
    <w:rsid w:val="00567CF6"/>
    <w:rsid w:val="005701C0"/>
    <w:rsid w:val="00570BD6"/>
    <w:rsid w:val="005712DD"/>
    <w:rsid w:val="00571897"/>
    <w:rsid w:val="005722C5"/>
    <w:rsid w:val="00572788"/>
    <w:rsid w:val="005731B5"/>
    <w:rsid w:val="005737AA"/>
    <w:rsid w:val="0057389B"/>
    <w:rsid w:val="00573D85"/>
    <w:rsid w:val="0057417D"/>
    <w:rsid w:val="00574D20"/>
    <w:rsid w:val="0057530E"/>
    <w:rsid w:val="00575B77"/>
    <w:rsid w:val="00575D08"/>
    <w:rsid w:val="005770F6"/>
    <w:rsid w:val="00577DD4"/>
    <w:rsid w:val="00577EF5"/>
    <w:rsid w:val="00580136"/>
    <w:rsid w:val="00580609"/>
    <w:rsid w:val="005811F1"/>
    <w:rsid w:val="00584E86"/>
    <w:rsid w:val="0058589B"/>
    <w:rsid w:val="005867BF"/>
    <w:rsid w:val="00590487"/>
    <w:rsid w:val="00590764"/>
    <w:rsid w:val="00590963"/>
    <w:rsid w:val="00590DD9"/>
    <w:rsid w:val="00590E6F"/>
    <w:rsid w:val="00591D14"/>
    <w:rsid w:val="00591DAB"/>
    <w:rsid w:val="00591F4C"/>
    <w:rsid w:val="0059266D"/>
    <w:rsid w:val="005942C5"/>
    <w:rsid w:val="0059458E"/>
    <w:rsid w:val="00594A85"/>
    <w:rsid w:val="00595BD5"/>
    <w:rsid w:val="00596DF2"/>
    <w:rsid w:val="00596F22"/>
    <w:rsid w:val="005A0585"/>
    <w:rsid w:val="005A114C"/>
    <w:rsid w:val="005A1570"/>
    <w:rsid w:val="005A2D51"/>
    <w:rsid w:val="005A32AF"/>
    <w:rsid w:val="005A34F0"/>
    <w:rsid w:val="005A3C9D"/>
    <w:rsid w:val="005A436F"/>
    <w:rsid w:val="005A456B"/>
    <w:rsid w:val="005A49DE"/>
    <w:rsid w:val="005A4A4C"/>
    <w:rsid w:val="005A5275"/>
    <w:rsid w:val="005A55EA"/>
    <w:rsid w:val="005A6B1D"/>
    <w:rsid w:val="005A6DCD"/>
    <w:rsid w:val="005A79FE"/>
    <w:rsid w:val="005B0132"/>
    <w:rsid w:val="005B2AF3"/>
    <w:rsid w:val="005B2F60"/>
    <w:rsid w:val="005B3094"/>
    <w:rsid w:val="005B4049"/>
    <w:rsid w:val="005B43FE"/>
    <w:rsid w:val="005B4AA6"/>
    <w:rsid w:val="005B5491"/>
    <w:rsid w:val="005B5F48"/>
    <w:rsid w:val="005B7215"/>
    <w:rsid w:val="005B7515"/>
    <w:rsid w:val="005B7A2F"/>
    <w:rsid w:val="005C0D43"/>
    <w:rsid w:val="005C1FFD"/>
    <w:rsid w:val="005C266E"/>
    <w:rsid w:val="005C32C5"/>
    <w:rsid w:val="005C39A3"/>
    <w:rsid w:val="005C3C95"/>
    <w:rsid w:val="005C3CCE"/>
    <w:rsid w:val="005C4308"/>
    <w:rsid w:val="005C5026"/>
    <w:rsid w:val="005C51A7"/>
    <w:rsid w:val="005C5A22"/>
    <w:rsid w:val="005C5B5C"/>
    <w:rsid w:val="005C6D84"/>
    <w:rsid w:val="005D064A"/>
    <w:rsid w:val="005D1CE8"/>
    <w:rsid w:val="005D29B5"/>
    <w:rsid w:val="005D3445"/>
    <w:rsid w:val="005D37F7"/>
    <w:rsid w:val="005D3807"/>
    <w:rsid w:val="005D474D"/>
    <w:rsid w:val="005D4B7C"/>
    <w:rsid w:val="005D4BE9"/>
    <w:rsid w:val="005D552E"/>
    <w:rsid w:val="005D6C5F"/>
    <w:rsid w:val="005D7F00"/>
    <w:rsid w:val="005E0385"/>
    <w:rsid w:val="005E06A4"/>
    <w:rsid w:val="005E130D"/>
    <w:rsid w:val="005E1958"/>
    <w:rsid w:val="005E1BC6"/>
    <w:rsid w:val="005E1CF3"/>
    <w:rsid w:val="005E1DC0"/>
    <w:rsid w:val="005E1F70"/>
    <w:rsid w:val="005E23E2"/>
    <w:rsid w:val="005E288B"/>
    <w:rsid w:val="005E2E0F"/>
    <w:rsid w:val="005E2F44"/>
    <w:rsid w:val="005E3788"/>
    <w:rsid w:val="005E4491"/>
    <w:rsid w:val="005E4F20"/>
    <w:rsid w:val="005E605B"/>
    <w:rsid w:val="005E67FC"/>
    <w:rsid w:val="005E7572"/>
    <w:rsid w:val="005E7A0B"/>
    <w:rsid w:val="005F090F"/>
    <w:rsid w:val="005F0C78"/>
    <w:rsid w:val="005F1050"/>
    <w:rsid w:val="005F137C"/>
    <w:rsid w:val="005F3431"/>
    <w:rsid w:val="005F4AB3"/>
    <w:rsid w:val="005F4BF5"/>
    <w:rsid w:val="005F5C6D"/>
    <w:rsid w:val="006006DA"/>
    <w:rsid w:val="006007CC"/>
    <w:rsid w:val="00600FA4"/>
    <w:rsid w:val="00601496"/>
    <w:rsid w:val="0060197B"/>
    <w:rsid w:val="00601FCA"/>
    <w:rsid w:val="006028B1"/>
    <w:rsid w:val="00602A32"/>
    <w:rsid w:val="006030AA"/>
    <w:rsid w:val="00603999"/>
    <w:rsid w:val="00603BDE"/>
    <w:rsid w:val="006044E9"/>
    <w:rsid w:val="00604672"/>
    <w:rsid w:val="00604737"/>
    <w:rsid w:val="00605252"/>
    <w:rsid w:val="00610C94"/>
    <w:rsid w:val="00611D58"/>
    <w:rsid w:val="00612331"/>
    <w:rsid w:val="00612BDB"/>
    <w:rsid w:val="00612ED3"/>
    <w:rsid w:val="006133BD"/>
    <w:rsid w:val="006134DB"/>
    <w:rsid w:val="006135E8"/>
    <w:rsid w:val="00613F45"/>
    <w:rsid w:val="0061564E"/>
    <w:rsid w:val="00616C91"/>
    <w:rsid w:val="00617024"/>
    <w:rsid w:val="006178DB"/>
    <w:rsid w:val="00617BC3"/>
    <w:rsid w:val="00620158"/>
    <w:rsid w:val="00620CBF"/>
    <w:rsid w:val="00620E47"/>
    <w:rsid w:val="0062127B"/>
    <w:rsid w:val="006231D1"/>
    <w:rsid w:val="00623F97"/>
    <w:rsid w:val="00624727"/>
    <w:rsid w:val="00624730"/>
    <w:rsid w:val="0062567A"/>
    <w:rsid w:val="0062676D"/>
    <w:rsid w:val="0062724C"/>
    <w:rsid w:val="0062792C"/>
    <w:rsid w:val="00627F1F"/>
    <w:rsid w:val="0063163D"/>
    <w:rsid w:val="0063175C"/>
    <w:rsid w:val="00632406"/>
    <w:rsid w:val="006334A8"/>
    <w:rsid w:val="006362A0"/>
    <w:rsid w:val="006367B1"/>
    <w:rsid w:val="0063788B"/>
    <w:rsid w:val="006404C9"/>
    <w:rsid w:val="0064055D"/>
    <w:rsid w:val="00640B75"/>
    <w:rsid w:val="0064107B"/>
    <w:rsid w:val="006416D1"/>
    <w:rsid w:val="006426C6"/>
    <w:rsid w:val="00642808"/>
    <w:rsid w:val="00642D57"/>
    <w:rsid w:val="0064352F"/>
    <w:rsid w:val="0064395A"/>
    <w:rsid w:val="00644AFF"/>
    <w:rsid w:val="00646512"/>
    <w:rsid w:val="00646829"/>
    <w:rsid w:val="00647622"/>
    <w:rsid w:val="0065089D"/>
    <w:rsid w:val="00651C73"/>
    <w:rsid w:val="00651D31"/>
    <w:rsid w:val="006524A2"/>
    <w:rsid w:val="006524BE"/>
    <w:rsid w:val="00652A5C"/>
    <w:rsid w:val="006533F8"/>
    <w:rsid w:val="00655360"/>
    <w:rsid w:val="00655371"/>
    <w:rsid w:val="00655569"/>
    <w:rsid w:val="006563C3"/>
    <w:rsid w:val="006573C5"/>
    <w:rsid w:val="006622E2"/>
    <w:rsid w:val="006625BC"/>
    <w:rsid w:val="00663A05"/>
    <w:rsid w:val="006645BF"/>
    <w:rsid w:val="006652E9"/>
    <w:rsid w:val="0066584D"/>
    <w:rsid w:val="00665E49"/>
    <w:rsid w:val="00666AF7"/>
    <w:rsid w:val="006674C1"/>
    <w:rsid w:val="00667EBB"/>
    <w:rsid w:val="00670B1B"/>
    <w:rsid w:val="00670BEA"/>
    <w:rsid w:val="006716ED"/>
    <w:rsid w:val="006729E6"/>
    <w:rsid w:val="00672A0B"/>
    <w:rsid w:val="00672B53"/>
    <w:rsid w:val="00672EEC"/>
    <w:rsid w:val="0067317F"/>
    <w:rsid w:val="00673789"/>
    <w:rsid w:val="00673AB7"/>
    <w:rsid w:val="00673AB9"/>
    <w:rsid w:val="00673E44"/>
    <w:rsid w:val="00674702"/>
    <w:rsid w:val="00675933"/>
    <w:rsid w:val="00675B12"/>
    <w:rsid w:val="006805D8"/>
    <w:rsid w:val="00681A07"/>
    <w:rsid w:val="00683085"/>
    <w:rsid w:val="0068338B"/>
    <w:rsid w:val="00683404"/>
    <w:rsid w:val="00686E92"/>
    <w:rsid w:val="00687721"/>
    <w:rsid w:val="0069158F"/>
    <w:rsid w:val="00691C58"/>
    <w:rsid w:val="0069226F"/>
    <w:rsid w:val="00692BB0"/>
    <w:rsid w:val="00693CC2"/>
    <w:rsid w:val="00694B76"/>
    <w:rsid w:val="0069526E"/>
    <w:rsid w:val="00695276"/>
    <w:rsid w:val="00695E74"/>
    <w:rsid w:val="006964B3"/>
    <w:rsid w:val="0069678A"/>
    <w:rsid w:val="00697665"/>
    <w:rsid w:val="0069793A"/>
    <w:rsid w:val="00697D73"/>
    <w:rsid w:val="006A00B7"/>
    <w:rsid w:val="006A0BF9"/>
    <w:rsid w:val="006A12F4"/>
    <w:rsid w:val="006A1A12"/>
    <w:rsid w:val="006A2013"/>
    <w:rsid w:val="006A2F2D"/>
    <w:rsid w:val="006A3206"/>
    <w:rsid w:val="006A3CD1"/>
    <w:rsid w:val="006A454C"/>
    <w:rsid w:val="006A5273"/>
    <w:rsid w:val="006A58B8"/>
    <w:rsid w:val="006A64A9"/>
    <w:rsid w:val="006A6C26"/>
    <w:rsid w:val="006A7FD0"/>
    <w:rsid w:val="006B01A4"/>
    <w:rsid w:val="006B0A9C"/>
    <w:rsid w:val="006B161A"/>
    <w:rsid w:val="006B2195"/>
    <w:rsid w:val="006B34D7"/>
    <w:rsid w:val="006B4C1B"/>
    <w:rsid w:val="006B5004"/>
    <w:rsid w:val="006B5571"/>
    <w:rsid w:val="006B55C5"/>
    <w:rsid w:val="006B7576"/>
    <w:rsid w:val="006B7A07"/>
    <w:rsid w:val="006C0662"/>
    <w:rsid w:val="006C084F"/>
    <w:rsid w:val="006C14D1"/>
    <w:rsid w:val="006C18CA"/>
    <w:rsid w:val="006C41CF"/>
    <w:rsid w:val="006C453C"/>
    <w:rsid w:val="006C4F96"/>
    <w:rsid w:val="006C51C6"/>
    <w:rsid w:val="006C627E"/>
    <w:rsid w:val="006C68E5"/>
    <w:rsid w:val="006C6A3B"/>
    <w:rsid w:val="006C7E2B"/>
    <w:rsid w:val="006D18CB"/>
    <w:rsid w:val="006D23BA"/>
    <w:rsid w:val="006D2CB8"/>
    <w:rsid w:val="006D2CF6"/>
    <w:rsid w:val="006D40DC"/>
    <w:rsid w:val="006D4498"/>
    <w:rsid w:val="006D4EC2"/>
    <w:rsid w:val="006D4F07"/>
    <w:rsid w:val="006D5176"/>
    <w:rsid w:val="006D5EA2"/>
    <w:rsid w:val="006D5FD3"/>
    <w:rsid w:val="006D717D"/>
    <w:rsid w:val="006D7687"/>
    <w:rsid w:val="006E0385"/>
    <w:rsid w:val="006E0572"/>
    <w:rsid w:val="006E0C98"/>
    <w:rsid w:val="006E1324"/>
    <w:rsid w:val="006E1CCF"/>
    <w:rsid w:val="006E28FE"/>
    <w:rsid w:val="006E2ED1"/>
    <w:rsid w:val="006E3042"/>
    <w:rsid w:val="006E4F2E"/>
    <w:rsid w:val="006E58EF"/>
    <w:rsid w:val="006E6B65"/>
    <w:rsid w:val="006E6D63"/>
    <w:rsid w:val="006E6E42"/>
    <w:rsid w:val="006F2774"/>
    <w:rsid w:val="006F2EC7"/>
    <w:rsid w:val="006F3DAA"/>
    <w:rsid w:val="006F514F"/>
    <w:rsid w:val="006F5461"/>
    <w:rsid w:val="007001A5"/>
    <w:rsid w:val="00700377"/>
    <w:rsid w:val="007003AE"/>
    <w:rsid w:val="007008A4"/>
    <w:rsid w:val="00700E8E"/>
    <w:rsid w:val="007018AF"/>
    <w:rsid w:val="00701E35"/>
    <w:rsid w:val="007020A1"/>
    <w:rsid w:val="00702115"/>
    <w:rsid w:val="007029A4"/>
    <w:rsid w:val="007032A2"/>
    <w:rsid w:val="007038E9"/>
    <w:rsid w:val="00703E2C"/>
    <w:rsid w:val="00705631"/>
    <w:rsid w:val="00705FE1"/>
    <w:rsid w:val="00706399"/>
    <w:rsid w:val="00707D87"/>
    <w:rsid w:val="00707EFD"/>
    <w:rsid w:val="00707FF5"/>
    <w:rsid w:val="00711266"/>
    <w:rsid w:val="00711A50"/>
    <w:rsid w:val="00712212"/>
    <w:rsid w:val="007130EA"/>
    <w:rsid w:val="00713DE5"/>
    <w:rsid w:val="00714254"/>
    <w:rsid w:val="00714718"/>
    <w:rsid w:val="00714C43"/>
    <w:rsid w:val="00714D8D"/>
    <w:rsid w:val="00715929"/>
    <w:rsid w:val="0071654A"/>
    <w:rsid w:val="00716A5D"/>
    <w:rsid w:val="007173EA"/>
    <w:rsid w:val="0072005B"/>
    <w:rsid w:val="00720966"/>
    <w:rsid w:val="007210EC"/>
    <w:rsid w:val="0072127D"/>
    <w:rsid w:val="00722231"/>
    <w:rsid w:val="007229B0"/>
    <w:rsid w:val="00723FB3"/>
    <w:rsid w:val="00724809"/>
    <w:rsid w:val="007252B4"/>
    <w:rsid w:val="00725AC2"/>
    <w:rsid w:val="00726DBE"/>
    <w:rsid w:val="00727EAE"/>
    <w:rsid w:val="00727FB6"/>
    <w:rsid w:val="007300F3"/>
    <w:rsid w:val="00730AB8"/>
    <w:rsid w:val="007311B7"/>
    <w:rsid w:val="00733062"/>
    <w:rsid w:val="00733346"/>
    <w:rsid w:val="00734D43"/>
    <w:rsid w:val="007357B0"/>
    <w:rsid w:val="00735986"/>
    <w:rsid w:val="00735A39"/>
    <w:rsid w:val="00736FC1"/>
    <w:rsid w:val="00737937"/>
    <w:rsid w:val="007404BC"/>
    <w:rsid w:val="00741FC4"/>
    <w:rsid w:val="00742660"/>
    <w:rsid w:val="0074287A"/>
    <w:rsid w:val="00742DD2"/>
    <w:rsid w:val="00744115"/>
    <w:rsid w:val="00744B26"/>
    <w:rsid w:val="00744E7F"/>
    <w:rsid w:val="00745879"/>
    <w:rsid w:val="00745950"/>
    <w:rsid w:val="007460E9"/>
    <w:rsid w:val="007464C8"/>
    <w:rsid w:val="00746A77"/>
    <w:rsid w:val="00746C3D"/>
    <w:rsid w:val="00746D17"/>
    <w:rsid w:val="00747E9B"/>
    <w:rsid w:val="00751EE7"/>
    <w:rsid w:val="00752568"/>
    <w:rsid w:val="00752CB1"/>
    <w:rsid w:val="0075455D"/>
    <w:rsid w:val="00754621"/>
    <w:rsid w:val="0075582E"/>
    <w:rsid w:val="0075647A"/>
    <w:rsid w:val="00756705"/>
    <w:rsid w:val="00756E36"/>
    <w:rsid w:val="007573C1"/>
    <w:rsid w:val="007574E5"/>
    <w:rsid w:val="007578D0"/>
    <w:rsid w:val="00757933"/>
    <w:rsid w:val="007605B5"/>
    <w:rsid w:val="0076114B"/>
    <w:rsid w:val="007611DB"/>
    <w:rsid w:val="0076208A"/>
    <w:rsid w:val="007634AD"/>
    <w:rsid w:val="00763677"/>
    <w:rsid w:val="00764CD2"/>
    <w:rsid w:val="0076566F"/>
    <w:rsid w:val="007656E6"/>
    <w:rsid w:val="00765BE2"/>
    <w:rsid w:val="007673F0"/>
    <w:rsid w:val="0076744F"/>
    <w:rsid w:val="00767455"/>
    <w:rsid w:val="007679AF"/>
    <w:rsid w:val="007701D9"/>
    <w:rsid w:val="00772C6C"/>
    <w:rsid w:val="00773D7F"/>
    <w:rsid w:val="007741D9"/>
    <w:rsid w:val="007743B6"/>
    <w:rsid w:val="007748F6"/>
    <w:rsid w:val="00774A8C"/>
    <w:rsid w:val="007750BB"/>
    <w:rsid w:val="00775779"/>
    <w:rsid w:val="00775A76"/>
    <w:rsid w:val="00776ED5"/>
    <w:rsid w:val="00780D84"/>
    <w:rsid w:val="0078122E"/>
    <w:rsid w:val="0078165F"/>
    <w:rsid w:val="00782024"/>
    <w:rsid w:val="00782DC1"/>
    <w:rsid w:val="00783506"/>
    <w:rsid w:val="0078442B"/>
    <w:rsid w:val="007853BD"/>
    <w:rsid w:val="00785A12"/>
    <w:rsid w:val="0078614D"/>
    <w:rsid w:val="00790107"/>
    <w:rsid w:val="00791C0F"/>
    <w:rsid w:val="007924DC"/>
    <w:rsid w:val="00792561"/>
    <w:rsid w:val="00793845"/>
    <w:rsid w:val="00793FA2"/>
    <w:rsid w:val="0079520D"/>
    <w:rsid w:val="007966FB"/>
    <w:rsid w:val="0079674C"/>
    <w:rsid w:val="0079697F"/>
    <w:rsid w:val="00796BD1"/>
    <w:rsid w:val="00796EC8"/>
    <w:rsid w:val="00797DF7"/>
    <w:rsid w:val="007A0D0E"/>
    <w:rsid w:val="007A1418"/>
    <w:rsid w:val="007A166F"/>
    <w:rsid w:val="007A1BB6"/>
    <w:rsid w:val="007A226C"/>
    <w:rsid w:val="007A31D9"/>
    <w:rsid w:val="007A490A"/>
    <w:rsid w:val="007A4C5A"/>
    <w:rsid w:val="007A615D"/>
    <w:rsid w:val="007A61F6"/>
    <w:rsid w:val="007A6B84"/>
    <w:rsid w:val="007A6DA5"/>
    <w:rsid w:val="007A7F82"/>
    <w:rsid w:val="007B018A"/>
    <w:rsid w:val="007B0854"/>
    <w:rsid w:val="007B0F2D"/>
    <w:rsid w:val="007B0F58"/>
    <w:rsid w:val="007B16E2"/>
    <w:rsid w:val="007B24B5"/>
    <w:rsid w:val="007B2F9A"/>
    <w:rsid w:val="007B44DA"/>
    <w:rsid w:val="007B5F82"/>
    <w:rsid w:val="007B6218"/>
    <w:rsid w:val="007C0326"/>
    <w:rsid w:val="007C2221"/>
    <w:rsid w:val="007C36EC"/>
    <w:rsid w:val="007C4555"/>
    <w:rsid w:val="007C5A58"/>
    <w:rsid w:val="007C60A9"/>
    <w:rsid w:val="007C6117"/>
    <w:rsid w:val="007C6410"/>
    <w:rsid w:val="007C672F"/>
    <w:rsid w:val="007C6CB4"/>
    <w:rsid w:val="007C7077"/>
    <w:rsid w:val="007C7370"/>
    <w:rsid w:val="007C7638"/>
    <w:rsid w:val="007C7F04"/>
    <w:rsid w:val="007D0305"/>
    <w:rsid w:val="007D0F47"/>
    <w:rsid w:val="007D14D7"/>
    <w:rsid w:val="007D1727"/>
    <w:rsid w:val="007D1AD1"/>
    <w:rsid w:val="007D4021"/>
    <w:rsid w:val="007D4097"/>
    <w:rsid w:val="007D40E2"/>
    <w:rsid w:val="007D5E0B"/>
    <w:rsid w:val="007D65D4"/>
    <w:rsid w:val="007D6CC1"/>
    <w:rsid w:val="007D71A4"/>
    <w:rsid w:val="007E01FC"/>
    <w:rsid w:val="007E03C8"/>
    <w:rsid w:val="007E1384"/>
    <w:rsid w:val="007E4585"/>
    <w:rsid w:val="007E48BF"/>
    <w:rsid w:val="007E5B03"/>
    <w:rsid w:val="007E6035"/>
    <w:rsid w:val="007E732A"/>
    <w:rsid w:val="007E750C"/>
    <w:rsid w:val="007F047F"/>
    <w:rsid w:val="007F0D40"/>
    <w:rsid w:val="007F168F"/>
    <w:rsid w:val="007F2AC3"/>
    <w:rsid w:val="007F30FE"/>
    <w:rsid w:val="007F3452"/>
    <w:rsid w:val="007F367B"/>
    <w:rsid w:val="007F3C47"/>
    <w:rsid w:val="007F3F7B"/>
    <w:rsid w:val="007F4347"/>
    <w:rsid w:val="007F5203"/>
    <w:rsid w:val="007F5F3B"/>
    <w:rsid w:val="007F723E"/>
    <w:rsid w:val="007F72CB"/>
    <w:rsid w:val="007F7EF9"/>
    <w:rsid w:val="0080034A"/>
    <w:rsid w:val="00802A13"/>
    <w:rsid w:val="00802D30"/>
    <w:rsid w:val="00804C29"/>
    <w:rsid w:val="00804CE6"/>
    <w:rsid w:val="00804EB1"/>
    <w:rsid w:val="0080594C"/>
    <w:rsid w:val="008101D2"/>
    <w:rsid w:val="008111B0"/>
    <w:rsid w:val="00811252"/>
    <w:rsid w:val="00811ED3"/>
    <w:rsid w:val="00812AEF"/>
    <w:rsid w:val="008130F8"/>
    <w:rsid w:val="0081348A"/>
    <w:rsid w:val="00813504"/>
    <w:rsid w:val="00815027"/>
    <w:rsid w:val="008159D3"/>
    <w:rsid w:val="00815F56"/>
    <w:rsid w:val="00816191"/>
    <w:rsid w:val="00816302"/>
    <w:rsid w:val="0081643A"/>
    <w:rsid w:val="008169F2"/>
    <w:rsid w:val="00817592"/>
    <w:rsid w:val="00817A26"/>
    <w:rsid w:val="00817CA8"/>
    <w:rsid w:val="00822D58"/>
    <w:rsid w:val="00822F0F"/>
    <w:rsid w:val="008232F1"/>
    <w:rsid w:val="008245E9"/>
    <w:rsid w:val="00824AA3"/>
    <w:rsid w:val="008259B9"/>
    <w:rsid w:val="00826A9D"/>
    <w:rsid w:val="008303BC"/>
    <w:rsid w:val="0083119B"/>
    <w:rsid w:val="00831238"/>
    <w:rsid w:val="0083133A"/>
    <w:rsid w:val="008334FC"/>
    <w:rsid w:val="00833E4E"/>
    <w:rsid w:val="008344BC"/>
    <w:rsid w:val="00834864"/>
    <w:rsid w:val="00834EAB"/>
    <w:rsid w:val="00835417"/>
    <w:rsid w:val="008366AF"/>
    <w:rsid w:val="00836AFB"/>
    <w:rsid w:val="00836EAB"/>
    <w:rsid w:val="0083716D"/>
    <w:rsid w:val="008409BE"/>
    <w:rsid w:val="00840B58"/>
    <w:rsid w:val="00840FD7"/>
    <w:rsid w:val="00841280"/>
    <w:rsid w:val="0084152B"/>
    <w:rsid w:val="00841639"/>
    <w:rsid w:val="00842535"/>
    <w:rsid w:val="00842F23"/>
    <w:rsid w:val="00843449"/>
    <w:rsid w:val="00843BC4"/>
    <w:rsid w:val="00843E6C"/>
    <w:rsid w:val="00843F7A"/>
    <w:rsid w:val="00844326"/>
    <w:rsid w:val="00845303"/>
    <w:rsid w:val="008457AE"/>
    <w:rsid w:val="00846F5C"/>
    <w:rsid w:val="0084737E"/>
    <w:rsid w:val="00847B6B"/>
    <w:rsid w:val="00847DD7"/>
    <w:rsid w:val="0085092D"/>
    <w:rsid w:val="008509DD"/>
    <w:rsid w:val="00850DF5"/>
    <w:rsid w:val="0085128C"/>
    <w:rsid w:val="00852018"/>
    <w:rsid w:val="008524B4"/>
    <w:rsid w:val="0085264F"/>
    <w:rsid w:val="00852E12"/>
    <w:rsid w:val="00852F5E"/>
    <w:rsid w:val="00853776"/>
    <w:rsid w:val="008541AC"/>
    <w:rsid w:val="008547FA"/>
    <w:rsid w:val="00854DBB"/>
    <w:rsid w:val="00856B57"/>
    <w:rsid w:val="00857755"/>
    <w:rsid w:val="00857F63"/>
    <w:rsid w:val="008601EE"/>
    <w:rsid w:val="00860B10"/>
    <w:rsid w:val="00860C12"/>
    <w:rsid w:val="008610DF"/>
    <w:rsid w:val="008612BF"/>
    <w:rsid w:val="00861408"/>
    <w:rsid w:val="008617E0"/>
    <w:rsid w:val="00862B2A"/>
    <w:rsid w:val="00865014"/>
    <w:rsid w:val="00865967"/>
    <w:rsid w:val="008700C1"/>
    <w:rsid w:val="008705DE"/>
    <w:rsid w:val="00871295"/>
    <w:rsid w:val="00873BCF"/>
    <w:rsid w:val="00877366"/>
    <w:rsid w:val="0087745C"/>
    <w:rsid w:val="00877893"/>
    <w:rsid w:val="00880626"/>
    <w:rsid w:val="00881690"/>
    <w:rsid w:val="00881742"/>
    <w:rsid w:val="008817ED"/>
    <w:rsid w:val="0088243F"/>
    <w:rsid w:val="00882EA0"/>
    <w:rsid w:val="00883662"/>
    <w:rsid w:val="00883715"/>
    <w:rsid w:val="0088457C"/>
    <w:rsid w:val="00884F09"/>
    <w:rsid w:val="00885287"/>
    <w:rsid w:val="008858B9"/>
    <w:rsid w:val="00885AA7"/>
    <w:rsid w:val="00886201"/>
    <w:rsid w:val="00886A5B"/>
    <w:rsid w:val="008871CF"/>
    <w:rsid w:val="00887B15"/>
    <w:rsid w:val="00890882"/>
    <w:rsid w:val="00890A8B"/>
    <w:rsid w:val="008927A8"/>
    <w:rsid w:val="00893165"/>
    <w:rsid w:val="00893180"/>
    <w:rsid w:val="00893C06"/>
    <w:rsid w:val="00894D34"/>
    <w:rsid w:val="00895471"/>
    <w:rsid w:val="00896174"/>
    <w:rsid w:val="008967AF"/>
    <w:rsid w:val="00896A1B"/>
    <w:rsid w:val="00897E22"/>
    <w:rsid w:val="008A0047"/>
    <w:rsid w:val="008A03F0"/>
    <w:rsid w:val="008A0425"/>
    <w:rsid w:val="008A0A11"/>
    <w:rsid w:val="008A0B2C"/>
    <w:rsid w:val="008A14C0"/>
    <w:rsid w:val="008A1966"/>
    <w:rsid w:val="008A257A"/>
    <w:rsid w:val="008A2F81"/>
    <w:rsid w:val="008A3228"/>
    <w:rsid w:val="008A41E2"/>
    <w:rsid w:val="008A4347"/>
    <w:rsid w:val="008A53F7"/>
    <w:rsid w:val="008A54C1"/>
    <w:rsid w:val="008A575E"/>
    <w:rsid w:val="008A6443"/>
    <w:rsid w:val="008A69BA"/>
    <w:rsid w:val="008A7AAC"/>
    <w:rsid w:val="008A7DFA"/>
    <w:rsid w:val="008B1A31"/>
    <w:rsid w:val="008B2094"/>
    <w:rsid w:val="008B29B5"/>
    <w:rsid w:val="008B3EAF"/>
    <w:rsid w:val="008B69CC"/>
    <w:rsid w:val="008C0AF6"/>
    <w:rsid w:val="008C0ED3"/>
    <w:rsid w:val="008C1458"/>
    <w:rsid w:val="008C26E3"/>
    <w:rsid w:val="008C2BFB"/>
    <w:rsid w:val="008C337C"/>
    <w:rsid w:val="008C41C5"/>
    <w:rsid w:val="008C4353"/>
    <w:rsid w:val="008C6600"/>
    <w:rsid w:val="008C6B51"/>
    <w:rsid w:val="008D1B84"/>
    <w:rsid w:val="008D2B54"/>
    <w:rsid w:val="008D3575"/>
    <w:rsid w:val="008D3FBB"/>
    <w:rsid w:val="008D4085"/>
    <w:rsid w:val="008D4225"/>
    <w:rsid w:val="008D4533"/>
    <w:rsid w:val="008D4B97"/>
    <w:rsid w:val="008D4C63"/>
    <w:rsid w:val="008D5F00"/>
    <w:rsid w:val="008D76C2"/>
    <w:rsid w:val="008D776A"/>
    <w:rsid w:val="008E0A7E"/>
    <w:rsid w:val="008E1C15"/>
    <w:rsid w:val="008E2780"/>
    <w:rsid w:val="008E2EE2"/>
    <w:rsid w:val="008E3219"/>
    <w:rsid w:val="008E3B3F"/>
    <w:rsid w:val="008E425D"/>
    <w:rsid w:val="008E45DF"/>
    <w:rsid w:val="008E55D9"/>
    <w:rsid w:val="008E5EBF"/>
    <w:rsid w:val="008E5F76"/>
    <w:rsid w:val="008E6F70"/>
    <w:rsid w:val="008F0B84"/>
    <w:rsid w:val="008F14CC"/>
    <w:rsid w:val="008F1D84"/>
    <w:rsid w:val="008F1E25"/>
    <w:rsid w:val="008F2734"/>
    <w:rsid w:val="008F30C9"/>
    <w:rsid w:val="008F39BD"/>
    <w:rsid w:val="008F4123"/>
    <w:rsid w:val="008F489B"/>
    <w:rsid w:val="008F5C25"/>
    <w:rsid w:val="008F646E"/>
    <w:rsid w:val="008F6E4A"/>
    <w:rsid w:val="008F71EB"/>
    <w:rsid w:val="00900239"/>
    <w:rsid w:val="00900DDB"/>
    <w:rsid w:val="0090136A"/>
    <w:rsid w:val="00901CD9"/>
    <w:rsid w:val="00902184"/>
    <w:rsid w:val="00902199"/>
    <w:rsid w:val="00902A7F"/>
    <w:rsid w:val="009030CB"/>
    <w:rsid w:val="00903CAD"/>
    <w:rsid w:val="009047C5"/>
    <w:rsid w:val="00904CD9"/>
    <w:rsid w:val="00905253"/>
    <w:rsid w:val="009063A9"/>
    <w:rsid w:val="009064C4"/>
    <w:rsid w:val="009066C0"/>
    <w:rsid w:val="009071F2"/>
    <w:rsid w:val="0090765B"/>
    <w:rsid w:val="009077A9"/>
    <w:rsid w:val="00907A73"/>
    <w:rsid w:val="009106BD"/>
    <w:rsid w:val="0091085E"/>
    <w:rsid w:val="00910897"/>
    <w:rsid w:val="00910B86"/>
    <w:rsid w:val="0091237C"/>
    <w:rsid w:val="00914E3D"/>
    <w:rsid w:val="00914F02"/>
    <w:rsid w:val="009160FB"/>
    <w:rsid w:val="00916A72"/>
    <w:rsid w:val="00916C89"/>
    <w:rsid w:val="00916F53"/>
    <w:rsid w:val="0091746C"/>
    <w:rsid w:val="00917585"/>
    <w:rsid w:val="009176F3"/>
    <w:rsid w:val="00917700"/>
    <w:rsid w:val="0092099E"/>
    <w:rsid w:val="0092110B"/>
    <w:rsid w:val="00921659"/>
    <w:rsid w:val="00923DC9"/>
    <w:rsid w:val="00924541"/>
    <w:rsid w:val="0092462A"/>
    <w:rsid w:val="0092465E"/>
    <w:rsid w:val="0092478E"/>
    <w:rsid w:val="00924A84"/>
    <w:rsid w:val="00924C21"/>
    <w:rsid w:val="00925275"/>
    <w:rsid w:val="00925EF9"/>
    <w:rsid w:val="0092603A"/>
    <w:rsid w:val="009278F1"/>
    <w:rsid w:val="00930831"/>
    <w:rsid w:val="00931364"/>
    <w:rsid w:val="0093167B"/>
    <w:rsid w:val="0093193A"/>
    <w:rsid w:val="00931B7E"/>
    <w:rsid w:val="00932FBD"/>
    <w:rsid w:val="009339B8"/>
    <w:rsid w:val="00933ECF"/>
    <w:rsid w:val="00933F8F"/>
    <w:rsid w:val="00935F6E"/>
    <w:rsid w:val="0093633E"/>
    <w:rsid w:val="0093715D"/>
    <w:rsid w:val="00937BFF"/>
    <w:rsid w:val="00937E01"/>
    <w:rsid w:val="00937E58"/>
    <w:rsid w:val="0094059F"/>
    <w:rsid w:val="00940714"/>
    <w:rsid w:val="0094076D"/>
    <w:rsid w:val="009409CA"/>
    <w:rsid w:val="0094122A"/>
    <w:rsid w:val="00942B12"/>
    <w:rsid w:val="00944EA4"/>
    <w:rsid w:val="00945AD3"/>
    <w:rsid w:val="00946587"/>
    <w:rsid w:val="009465F7"/>
    <w:rsid w:val="00946737"/>
    <w:rsid w:val="00946CFA"/>
    <w:rsid w:val="009473FA"/>
    <w:rsid w:val="00947536"/>
    <w:rsid w:val="00950258"/>
    <w:rsid w:val="009508EC"/>
    <w:rsid w:val="00951364"/>
    <w:rsid w:val="009521FC"/>
    <w:rsid w:val="00952E20"/>
    <w:rsid w:val="0095385A"/>
    <w:rsid w:val="00954ABD"/>
    <w:rsid w:val="00955CAC"/>
    <w:rsid w:val="00955E10"/>
    <w:rsid w:val="009568DA"/>
    <w:rsid w:val="00956AB9"/>
    <w:rsid w:val="00956C80"/>
    <w:rsid w:val="00956E82"/>
    <w:rsid w:val="009604AE"/>
    <w:rsid w:val="00961FA1"/>
    <w:rsid w:val="00962034"/>
    <w:rsid w:val="00962A37"/>
    <w:rsid w:val="00964C6F"/>
    <w:rsid w:val="00965849"/>
    <w:rsid w:val="00970217"/>
    <w:rsid w:val="00971941"/>
    <w:rsid w:val="00971A67"/>
    <w:rsid w:val="00972531"/>
    <w:rsid w:val="00973F55"/>
    <w:rsid w:val="00975D1B"/>
    <w:rsid w:val="00976CC3"/>
    <w:rsid w:val="00977088"/>
    <w:rsid w:val="0098054E"/>
    <w:rsid w:val="00981B5D"/>
    <w:rsid w:val="009821F2"/>
    <w:rsid w:val="00982489"/>
    <w:rsid w:val="00984EC5"/>
    <w:rsid w:val="009859D0"/>
    <w:rsid w:val="009866C8"/>
    <w:rsid w:val="009874B4"/>
    <w:rsid w:val="00987F32"/>
    <w:rsid w:val="00990612"/>
    <w:rsid w:val="00990A2F"/>
    <w:rsid w:val="0099165C"/>
    <w:rsid w:val="00992709"/>
    <w:rsid w:val="00995CA3"/>
    <w:rsid w:val="009966E7"/>
    <w:rsid w:val="009A0B76"/>
    <w:rsid w:val="009A1B74"/>
    <w:rsid w:val="009A1C15"/>
    <w:rsid w:val="009A353C"/>
    <w:rsid w:val="009A3AEB"/>
    <w:rsid w:val="009A400A"/>
    <w:rsid w:val="009A6BF0"/>
    <w:rsid w:val="009B0207"/>
    <w:rsid w:val="009B0CB9"/>
    <w:rsid w:val="009B1BF2"/>
    <w:rsid w:val="009B2695"/>
    <w:rsid w:val="009B29F8"/>
    <w:rsid w:val="009B462F"/>
    <w:rsid w:val="009B5EA5"/>
    <w:rsid w:val="009B63F0"/>
    <w:rsid w:val="009B7EC0"/>
    <w:rsid w:val="009C02BD"/>
    <w:rsid w:val="009C17B9"/>
    <w:rsid w:val="009C1933"/>
    <w:rsid w:val="009C1FFB"/>
    <w:rsid w:val="009C24BD"/>
    <w:rsid w:val="009C28F4"/>
    <w:rsid w:val="009C2A57"/>
    <w:rsid w:val="009C376A"/>
    <w:rsid w:val="009C3A06"/>
    <w:rsid w:val="009C3D5F"/>
    <w:rsid w:val="009C446F"/>
    <w:rsid w:val="009C4DAD"/>
    <w:rsid w:val="009C55A7"/>
    <w:rsid w:val="009C5D1B"/>
    <w:rsid w:val="009C782E"/>
    <w:rsid w:val="009C7F2E"/>
    <w:rsid w:val="009D07CB"/>
    <w:rsid w:val="009D0F4D"/>
    <w:rsid w:val="009D0FC4"/>
    <w:rsid w:val="009D3049"/>
    <w:rsid w:val="009D310C"/>
    <w:rsid w:val="009D42AB"/>
    <w:rsid w:val="009D442C"/>
    <w:rsid w:val="009D4A2A"/>
    <w:rsid w:val="009D4FF8"/>
    <w:rsid w:val="009D54EC"/>
    <w:rsid w:val="009D7290"/>
    <w:rsid w:val="009E01BD"/>
    <w:rsid w:val="009E0D1B"/>
    <w:rsid w:val="009E1784"/>
    <w:rsid w:val="009E1F5A"/>
    <w:rsid w:val="009E245B"/>
    <w:rsid w:val="009E2748"/>
    <w:rsid w:val="009E2882"/>
    <w:rsid w:val="009E3217"/>
    <w:rsid w:val="009E411D"/>
    <w:rsid w:val="009E4454"/>
    <w:rsid w:val="009E4511"/>
    <w:rsid w:val="009E48B1"/>
    <w:rsid w:val="009E5DF3"/>
    <w:rsid w:val="009E7D29"/>
    <w:rsid w:val="009F0BCE"/>
    <w:rsid w:val="009F118B"/>
    <w:rsid w:val="009F1817"/>
    <w:rsid w:val="009F2418"/>
    <w:rsid w:val="009F3083"/>
    <w:rsid w:val="009F3B07"/>
    <w:rsid w:val="009F3C99"/>
    <w:rsid w:val="009F4128"/>
    <w:rsid w:val="009F48F0"/>
    <w:rsid w:val="009F57D1"/>
    <w:rsid w:val="009F5CC5"/>
    <w:rsid w:val="009F6523"/>
    <w:rsid w:val="009F6B3F"/>
    <w:rsid w:val="009F7482"/>
    <w:rsid w:val="009F773F"/>
    <w:rsid w:val="009F7802"/>
    <w:rsid w:val="009F7D1F"/>
    <w:rsid w:val="00A003BA"/>
    <w:rsid w:val="00A00987"/>
    <w:rsid w:val="00A0154B"/>
    <w:rsid w:val="00A01F14"/>
    <w:rsid w:val="00A028FC"/>
    <w:rsid w:val="00A02DEF"/>
    <w:rsid w:val="00A03186"/>
    <w:rsid w:val="00A0353C"/>
    <w:rsid w:val="00A0353D"/>
    <w:rsid w:val="00A03556"/>
    <w:rsid w:val="00A035A4"/>
    <w:rsid w:val="00A036C4"/>
    <w:rsid w:val="00A044A1"/>
    <w:rsid w:val="00A07446"/>
    <w:rsid w:val="00A10135"/>
    <w:rsid w:val="00A10706"/>
    <w:rsid w:val="00A1089F"/>
    <w:rsid w:val="00A11267"/>
    <w:rsid w:val="00A118A0"/>
    <w:rsid w:val="00A12FE2"/>
    <w:rsid w:val="00A136ED"/>
    <w:rsid w:val="00A14F3C"/>
    <w:rsid w:val="00A17B91"/>
    <w:rsid w:val="00A20C68"/>
    <w:rsid w:val="00A21C80"/>
    <w:rsid w:val="00A22F7B"/>
    <w:rsid w:val="00A230EC"/>
    <w:rsid w:val="00A236D6"/>
    <w:rsid w:val="00A23E37"/>
    <w:rsid w:val="00A24560"/>
    <w:rsid w:val="00A246BC"/>
    <w:rsid w:val="00A24CAF"/>
    <w:rsid w:val="00A25834"/>
    <w:rsid w:val="00A25EC5"/>
    <w:rsid w:val="00A26731"/>
    <w:rsid w:val="00A26D28"/>
    <w:rsid w:val="00A2734F"/>
    <w:rsid w:val="00A27EFE"/>
    <w:rsid w:val="00A30501"/>
    <w:rsid w:val="00A305CD"/>
    <w:rsid w:val="00A308D1"/>
    <w:rsid w:val="00A316F7"/>
    <w:rsid w:val="00A31AAB"/>
    <w:rsid w:val="00A3216E"/>
    <w:rsid w:val="00A32529"/>
    <w:rsid w:val="00A32559"/>
    <w:rsid w:val="00A338FC"/>
    <w:rsid w:val="00A33A2C"/>
    <w:rsid w:val="00A34538"/>
    <w:rsid w:val="00A34A4E"/>
    <w:rsid w:val="00A35156"/>
    <w:rsid w:val="00A35EA6"/>
    <w:rsid w:val="00A36062"/>
    <w:rsid w:val="00A37529"/>
    <w:rsid w:val="00A41722"/>
    <w:rsid w:val="00A41BFA"/>
    <w:rsid w:val="00A42A3B"/>
    <w:rsid w:val="00A43490"/>
    <w:rsid w:val="00A43FD5"/>
    <w:rsid w:val="00A44DA5"/>
    <w:rsid w:val="00A46384"/>
    <w:rsid w:val="00A46CED"/>
    <w:rsid w:val="00A470F2"/>
    <w:rsid w:val="00A47803"/>
    <w:rsid w:val="00A47CCC"/>
    <w:rsid w:val="00A47DA6"/>
    <w:rsid w:val="00A47F59"/>
    <w:rsid w:val="00A507B2"/>
    <w:rsid w:val="00A5081A"/>
    <w:rsid w:val="00A50AD2"/>
    <w:rsid w:val="00A50F5C"/>
    <w:rsid w:val="00A5235A"/>
    <w:rsid w:val="00A52E4C"/>
    <w:rsid w:val="00A53B56"/>
    <w:rsid w:val="00A53E7C"/>
    <w:rsid w:val="00A546CA"/>
    <w:rsid w:val="00A54A2B"/>
    <w:rsid w:val="00A54AB9"/>
    <w:rsid w:val="00A5584C"/>
    <w:rsid w:val="00A56A79"/>
    <w:rsid w:val="00A56B35"/>
    <w:rsid w:val="00A572E1"/>
    <w:rsid w:val="00A578E2"/>
    <w:rsid w:val="00A61FEE"/>
    <w:rsid w:val="00A6404B"/>
    <w:rsid w:val="00A641CA"/>
    <w:rsid w:val="00A656EF"/>
    <w:rsid w:val="00A65AA6"/>
    <w:rsid w:val="00A679E3"/>
    <w:rsid w:val="00A70311"/>
    <w:rsid w:val="00A70419"/>
    <w:rsid w:val="00A71937"/>
    <w:rsid w:val="00A71FC5"/>
    <w:rsid w:val="00A72A3B"/>
    <w:rsid w:val="00A7461D"/>
    <w:rsid w:val="00A74DBB"/>
    <w:rsid w:val="00A814D6"/>
    <w:rsid w:val="00A8268C"/>
    <w:rsid w:val="00A8275B"/>
    <w:rsid w:val="00A82E32"/>
    <w:rsid w:val="00A84361"/>
    <w:rsid w:val="00A84904"/>
    <w:rsid w:val="00A852F0"/>
    <w:rsid w:val="00A85C05"/>
    <w:rsid w:val="00A87177"/>
    <w:rsid w:val="00A923B7"/>
    <w:rsid w:val="00A94BDB"/>
    <w:rsid w:val="00A95B45"/>
    <w:rsid w:val="00A95D9F"/>
    <w:rsid w:val="00A95F5F"/>
    <w:rsid w:val="00A97342"/>
    <w:rsid w:val="00AA005C"/>
    <w:rsid w:val="00AA03C4"/>
    <w:rsid w:val="00AA077E"/>
    <w:rsid w:val="00AA18DB"/>
    <w:rsid w:val="00AA195D"/>
    <w:rsid w:val="00AA27E1"/>
    <w:rsid w:val="00AA3DEF"/>
    <w:rsid w:val="00AA442B"/>
    <w:rsid w:val="00AA55B8"/>
    <w:rsid w:val="00AA671A"/>
    <w:rsid w:val="00AA6CC1"/>
    <w:rsid w:val="00AB00BD"/>
    <w:rsid w:val="00AB0D4D"/>
    <w:rsid w:val="00AB14CE"/>
    <w:rsid w:val="00AB1580"/>
    <w:rsid w:val="00AB1690"/>
    <w:rsid w:val="00AB196B"/>
    <w:rsid w:val="00AB1AC8"/>
    <w:rsid w:val="00AB1CC8"/>
    <w:rsid w:val="00AB214B"/>
    <w:rsid w:val="00AB30DF"/>
    <w:rsid w:val="00AB3E40"/>
    <w:rsid w:val="00AB47E2"/>
    <w:rsid w:val="00AB4996"/>
    <w:rsid w:val="00AB4B1B"/>
    <w:rsid w:val="00AB4DF6"/>
    <w:rsid w:val="00AB769D"/>
    <w:rsid w:val="00AB7F25"/>
    <w:rsid w:val="00AC0EEB"/>
    <w:rsid w:val="00AC1272"/>
    <w:rsid w:val="00AC1646"/>
    <w:rsid w:val="00AC1887"/>
    <w:rsid w:val="00AC19BD"/>
    <w:rsid w:val="00AC3414"/>
    <w:rsid w:val="00AC3ACC"/>
    <w:rsid w:val="00AC3B09"/>
    <w:rsid w:val="00AD0B1D"/>
    <w:rsid w:val="00AD22FC"/>
    <w:rsid w:val="00AD2E44"/>
    <w:rsid w:val="00AD2F7B"/>
    <w:rsid w:val="00AD47FB"/>
    <w:rsid w:val="00AD48B1"/>
    <w:rsid w:val="00AD493D"/>
    <w:rsid w:val="00AD53DD"/>
    <w:rsid w:val="00AD5A03"/>
    <w:rsid w:val="00AD5E7A"/>
    <w:rsid w:val="00AD6135"/>
    <w:rsid w:val="00AD73E8"/>
    <w:rsid w:val="00AD7A11"/>
    <w:rsid w:val="00AD7C52"/>
    <w:rsid w:val="00AE0AC7"/>
    <w:rsid w:val="00AE1289"/>
    <w:rsid w:val="00AE19FC"/>
    <w:rsid w:val="00AE31D4"/>
    <w:rsid w:val="00AE3710"/>
    <w:rsid w:val="00AE3A7C"/>
    <w:rsid w:val="00AE3E75"/>
    <w:rsid w:val="00AE4072"/>
    <w:rsid w:val="00AE4119"/>
    <w:rsid w:val="00AE4E69"/>
    <w:rsid w:val="00AE5307"/>
    <w:rsid w:val="00AE5B43"/>
    <w:rsid w:val="00AE65B9"/>
    <w:rsid w:val="00AE6719"/>
    <w:rsid w:val="00AE6D68"/>
    <w:rsid w:val="00AE7610"/>
    <w:rsid w:val="00AF1383"/>
    <w:rsid w:val="00AF152E"/>
    <w:rsid w:val="00AF1ED8"/>
    <w:rsid w:val="00AF28FF"/>
    <w:rsid w:val="00AF51A0"/>
    <w:rsid w:val="00AF5402"/>
    <w:rsid w:val="00AF5CE1"/>
    <w:rsid w:val="00AF6D47"/>
    <w:rsid w:val="00AF713D"/>
    <w:rsid w:val="00AF7204"/>
    <w:rsid w:val="00AF7D35"/>
    <w:rsid w:val="00AF7FCE"/>
    <w:rsid w:val="00B00819"/>
    <w:rsid w:val="00B00EF6"/>
    <w:rsid w:val="00B00F9B"/>
    <w:rsid w:val="00B0119D"/>
    <w:rsid w:val="00B01850"/>
    <w:rsid w:val="00B02601"/>
    <w:rsid w:val="00B04843"/>
    <w:rsid w:val="00B055C7"/>
    <w:rsid w:val="00B0560B"/>
    <w:rsid w:val="00B06243"/>
    <w:rsid w:val="00B07B14"/>
    <w:rsid w:val="00B07BE4"/>
    <w:rsid w:val="00B101EE"/>
    <w:rsid w:val="00B1060D"/>
    <w:rsid w:val="00B10643"/>
    <w:rsid w:val="00B118E9"/>
    <w:rsid w:val="00B12054"/>
    <w:rsid w:val="00B120C2"/>
    <w:rsid w:val="00B12669"/>
    <w:rsid w:val="00B1288F"/>
    <w:rsid w:val="00B12A7B"/>
    <w:rsid w:val="00B12C69"/>
    <w:rsid w:val="00B1351D"/>
    <w:rsid w:val="00B16C38"/>
    <w:rsid w:val="00B16D08"/>
    <w:rsid w:val="00B16E58"/>
    <w:rsid w:val="00B17763"/>
    <w:rsid w:val="00B17AA5"/>
    <w:rsid w:val="00B17C06"/>
    <w:rsid w:val="00B21D6C"/>
    <w:rsid w:val="00B22B06"/>
    <w:rsid w:val="00B22E22"/>
    <w:rsid w:val="00B23B33"/>
    <w:rsid w:val="00B243F7"/>
    <w:rsid w:val="00B258A0"/>
    <w:rsid w:val="00B25E2E"/>
    <w:rsid w:val="00B26374"/>
    <w:rsid w:val="00B270B2"/>
    <w:rsid w:val="00B273B5"/>
    <w:rsid w:val="00B305CF"/>
    <w:rsid w:val="00B32C0B"/>
    <w:rsid w:val="00B32D09"/>
    <w:rsid w:val="00B32DE6"/>
    <w:rsid w:val="00B33D08"/>
    <w:rsid w:val="00B34069"/>
    <w:rsid w:val="00B340FE"/>
    <w:rsid w:val="00B346CC"/>
    <w:rsid w:val="00B351B5"/>
    <w:rsid w:val="00B360BE"/>
    <w:rsid w:val="00B36547"/>
    <w:rsid w:val="00B36E67"/>
    <w:rsid w:val="00B371E9"/>
    <w:rsid w:val="00B401D0"/>
    <w:rsid w:val="00B403DE"/>
    <w:rsid w:val="00B40A2A"/>
    <w:rsid w:val="00B41939"/>
    <w:rsid w:val="00B41BBF"/>
    <w:rsid w:val="00B42172"/>
    <w:rsid w:val="00B42467"/>
    <w:rsid w:val="00B42A55"/>
    <w:rsid w:val="00B43109"/>
    <w:rsid w:val="00B439B4"/>
    <w:rsid w:val="00B43AA5"/>
    <w:rsid w:val="00B43C9B"/>
    <w:rsid w:val="00B46798"/>
    <w:rsid w:val="00B46BC7"/>
    <w:rsid w:val="00B50315"/>
    <w:rsid w:val="00B512C3"/>
    <w:rsid w:val="00B513FE"/>
    <w:rsid w:val="00B51451"/>
    <w:rsid w:val="00B5146F"/>
    <w:rsid w:val="00B51689"/>
    <w:rsid w:val="00B5178D"/>
    <w:rsid w:val="00B525CB"/>
    <w:rsid w:val="00B531D7"/>
    <w:rsid w:val="00B538EE"/>
    <w:rsid w:val="00B53F68"/>
    <w:rsid w:val="00B54113"/>
    <w:rsid w:val="00B54213"/>
    <w:rsid w:val="00B5556E"/>
    <w:rsid w:val="00B55682"/>
    <w:rsid w:val="00B56EAA"/>
    <w:rsid w:val="00B60926"/>
    <w:rsid w:val="00B610D5"/>
    <w:rsid w:val="00B613B5"/>
    <w:rsid w:val="00B613B9"/>
    <w:rsid w:val="00B6143C"/>
    <w:rsid w:val="00B6197F"/>
    <w:rsid w:val="00B62CA6"/>
    <w:rsid w:val="00B630A6"/>
    <w:rsid w:val="00B6341F"/>
    <w:rsid w:val="00B6352C"/>
    <w:rsid w:val="00B637F3"/>
    <w:rsid w:val="00B63CB2"/>
    <w:rsid w:val="00B64278"/>
    <w:rsid w:val="00B6444C"/>
    <w:rsid w:val="00B64B73"/>
    <w:rsid w:val="00B66866"/>
    <w:rsid w:val="00B66D78"/>
    <w:rsid w:val="00B70169"/>
    <w:rsid w:val="00B70283"/>
    <w:rsid w:val="00B70735"/>
    <w:rsid w:val="00B710C4"/>
    <w:rsid w:val="00B71561"/>
    <w:rsid w:val="00B7345C"/>
    <w:rsid w:val="00B737A3"/>
    <w:rsid w:val="00B73B11"/>
    <w:rsid w:val="00B754CA"/>
    <w:rsid w:val="00B75795"/>
    <w:rsid w:val="00B75BAA"/>
    <w:rsid w:val="00B75C7C"/>
    <w:rsid w:val="00B76761"/>
    <w:rsid w:val="00B77ADE"/>
    <w:rsid w:val="00B77C1C"/>
    <w:rsid w:val="00B77D93"/>
    <w:rsid w:val="00B80316"/>
    <w:rsid w:val="00B80794"/>
    <w:rsid w:val="00B80903"/>
    <w:rsid w:val="00B80D60"/>
    <w:rsid w:val="00B81ACB"/>
    <w:rsid w:val="00B81F14"/>
    <w:rsid w:val="00B8385C"/>
    <w:rsid w:val="00B83F84"/>
    <w:rsid w:val="00B84B3E"/>
    <w:rsid w:val="00B854FE"/>
    <w:rsid w:val="00B85623"/>
    <w:rsid w:val="00B85CA1"/>
    <w:rsid w:val="00B86EC1"/>
    <w:rsid w:val="00B90205"/>
    <w:rsid w:val="00B90B34"/>
    <w:rsid w:val="00B91A64"/>
    <w:rsid w:val="00B91B7E"/>
    <w:rsid w:val="00B91EAD"/>
    <w:rsid w:val="00B92CB6"/>
    <w:rsid w:val="00B93287"/>
    <w:rsid w:val="00B94B1F"/>
    <w:rsid w:val="00B9556D"/>
    <w:rsid w:val="00B95D2C"/>
    <w:rsid w:val="00BA101A"/>
    <w:rsid w:val="00BA1433"/>
    <w:rsid w:val="00BA2BEC"/>
    <w:rsid w:val="00BA32EF"/>
    <w:rsid w:val="00BA3ED0"/>
    <w:rsid w:val="00BA4904"/>
    <w:rsid w:val="00BA4B5B"/>
    <w:rsid w:val="00BA549C"/>
    <w:rsid w:val="00BA54F0"/>
    <w:rsid w:val="00BA5B4B"/>
    <w:rsid w:val="00BA6306"/>
    <w:rsid w:val="00BB069D"/>
    <w:rsid w:val="00BB16AA"/>
    <w:rsid w:val="00BB359A"/>
    <w:rsid w:val="00BB37BD"/>
    <w:rsid w:val="00BB5B30"/>
    <w:rsid w:val="00BB5C7A"/>
    <w:rsid w:val="00BC0112"/>
    <w:rsid w:val="00BC0980"/>
    <w:rsid w:val="00BC1901"/>
    <w:rsid w:val="00BC20AF"/>
    <w:rsid w:val="00BC22F1"/>
    <w:rsid w:val="00BC2F8F"/>
    <w:rsid w:val="00BC3610"/>
    <w:rsid w:val="00BC3A7B"/>
    <w:rsid w:val="00BC46FA"/>
    <w:rsid w:val="00BC4CFC"/>
    <w:rsid w:val="00BC5E6E"/>
    <w:rsid w:val="00BC638A"/>
    <w:rsid w:val="00BC7A70"/>
    <w:rsid w:val="00BD0942"/>
    <w:rsid w:val="00BD09C9"/>
    <w:rsid w:val="00BD16E4"/>
    <w:rsid w:val="00BD3ADF"/>
    <w:rsid w:val="00BD404B"/>
    <w:rsid w:val="00BD4104"/>
    <w:rsid w:val="00BD418A"/>
    <w:rsid w:val="00BD484B"/>
    <w:rsid w:val="00BD5979"/>
    <w:rsid w:val="00BD5F91"/>
    <w:rsid w:val="00BD78FE"/>
    <w:rsid w:val="00BE1B2E"/>
    <w:rsid w:val="00BE1EB7"/>
    <w:rsid w:val="00BE3B1F"/>
    <w:rsid w:val="00BE43C0"/>
    <w:rsid w:val="00BE4C31"/>
    <w:rsid w:val="00BE5743"/>
    <w:rsid w:val="00BE60C5"/>
    <w:rsid w:val="00BE68A7"/>
    <w:rsid w:val="00BE7972"/>
    <w:rsid w:val="00BF0945"/>
    <w:rsid w:val="00BF0F80"/>
    <w:rsid w:val="00BF1D7F"/>
    <w:rsid w:val="00BF2195"/>
    <w:rsid w:val="00BF239F"/>
    <w:rsid w:val="00BF26EF"/>
    <w:rsid w:val="00BF2870"/>
    <w:rsid w:val="00BF2E6F"/>
    <w:rsid w:val="00BF3E3E"/>
    <w:rsid w:val="00BF3E9C"/>
    <w:rsid w:val="00BF46EB"/>
    <w:rsid w:val="00BF52BB"/>
    <w:rsid w:val="00BF59DD"/>
    <w:rsid w:val="00BF6F68"/>
    <w:rsid w:val="00BF77A1"/>
    <w:rsid w:val="00BF7FBC"/>
    <w:rsid w:val="00C008E2"/>
    <w:rsid w:val="00C01713"/>
    <w:rsid w:val="00C01888"/>
    <w:rsid w:val="00C02EB2"/>
    <w:rsid w:val="00C0300E"/>
    <w:rsid w:val="00C03968"/>
    <w:rsid w:val="00C03D7A"/>
    <w:rsid w:val="00C05044"/>
    <w:rsid w:val="00C06AA8"/>
    <w:rsid w:val="00C06C24"/>
    <w:rsid w:val="00C06D8D"/>
    <w:rsid w:val="00C06F4E"/>
    <w:rsid w:val="00C074ED"/>
    <w:rsid w:val="00C07813"/>
    <w:rsid w:val="00C07969"/>
    <w:rsid w:val="00C07BA3"/>
    <w:rsid w:val="00C07EFC"/>
    <w:rsid w:val="00C1063D"/>
    <w:rsid w:val="00C108FF"/>
    <w:rsid w:val="00C128D8"/>
    <w:rsid w:val="00C13117"/>
    <w:rsid w:val="00C140C5"/>
    <w:rsid w:val="00C14392"/>
    <w:rsid w:val="00C14CDE"/>
    <w:rsid w:val="00C14D9E"/>
    <w:rsid w:val="00C16340"/>
    <w:rsid w:val="00C1755A"/>
    <w:rsid w:val="00C202DA"/>
    <w:rsid w:val="00C20311"/>
    <w:rsid w:val="00C210EA"/>
    <w:rsid w:val="00C215F9"/>
    <w:rsid w:val="00C21979"/>
    <w:rsid w:val="00C2235E"/>
    <w:rsid w:val="00C22C1C"/>
    <w:rsid w:val="00C2341D"/>
    <w:rsid w:val="00C236F1"/>
    <w:rsid w:val="00C23EB2"/>
    <w:rsid w:val="00C248E6"/>
    <w:rsid w:val="00C24CB7"/>
    <w:rsid w:val="00C25356"/>
    <w:rsid w:val="00C260AE"/>
    <w:rsid w:val="00C262BE"/>
    <w:rsid w:val="00C26FF5"/>
    <w:rsid w:val="00C2785E"/>
    <w:rsid w:val="00C301D9"/>
    <w:rsid w:val="00C3050E"/>
    <w:rsid w:val="00C32E42"/>
    <w:rsid w:val="00C35C94"/>
    <w:rsid w:val="00C35CCA"/>
    <w:rsid w:val="00C36B79"/>
    <w:rsid w:val="00C3789F"/>
    <w:rsid w:val="00C37E77"/>
    <w:rsid w:val="00C40850"/>
    <w:rsid w:val="00C40C20"/>
    <w:rsid w:val="00C41A44"/>
    <w:rsid w:val="00C41D28"/>
    <w:rsid w:val="00C41FEE"/>
    <w:rsid w:val="00C420C0"/>
    <w:rsid w:val="00C421D2"/>
    <w:rsid w:val="00C4266A"/>
    <w:rsid w:val="00C4281E"/>
    <w:rsid w:val="00C42841"/>
    <w:rsid w:val="00C42DC4"/>
    <w:rsid w:val="00C43FAA"/>
    <w:rsid w:val="00C44120"/>
    <w:rsid w:val="00C445C0"/>
    <w:rsid w:val="00C44882"/>
    <w:rsid w:val="00C4553B"/>
    <w:rsid w:val="00C46C7E"/>
    <w:rsid w:val="00C46DAD"/>
    <w:rsid w:val="00C470DB"/>
    <w:rsid w:val="00C474F7"/>
    <w:rsid w:val="00C4794E"/>
    <w:rsid w:val="00C5029B"/>
    <w:rsid w:val="00C50FFB"/>
    <w:rsid w:val="00C51383"/>
    <w:rsid w:val="00C52AA0"/>
    <w:rsid w:val="00C52E69"/>
    <w:rsid w:val="00C53904"/>
    <w:rsid w:val="00C539FA"/>
    <w:rsid w:val="00C53C40"/>
    <w:rsid w:val="00C54A9A"/>
    <w:rsid w:val="00C54E31"/>
    <w:rsid w:val="00C55BA1"/>
    <w:rsid w:val="00C5659C"/>
    <w:rsid w:val="00C566EB"/>
    <w:rsid w:val="00C579C6"/>
    <w:rsid w:val="00C606C0"/>
    <w:rsid w:val="00C60A58"/>
    <w:rsid w:val="00C63537"/>
    <w:rsid w:val="00C63B97"/>
    <w:rsid w:val="00C63E4C"/>
    <w:rsid w:val="00C64C51"/>
    <w:rsid w:val="00C67675"/>
    <w:rsid w:val="00C713D7"/>
    <w:rsid w:val="00C71798"/>
    <w:rsid w:val="00C743F8"/>
    <w:rsid w:val="00C74D7F"/>
    <w:rsid w:val="00C75515"/>
    <w:rsid w:val="00C75E7F"/>
    <w:rsid w:val="00C76A33"/>
    <w:rsid w:val="00C8023B"/>
    <w:rsid w:val="00C80B95"/>
    <w:rsid w:val="00C80DCC"/>
    <w:rsid w:val="00C8107E"/>
    <w:rsid w:val="00C81309"/>
    <w:rsid w:val="00C81676"/>
    <w:rsid w:val="00C818C5"/>
    <w:rsid w:val="00C81AC2"/>
    <w:rsid w:val="00C8219B"/>
    <w:rsid w:val="00C82754"/>
    <w:rsid w:val="00C8292A"/>
    <w:rsid w:val="00C83D45"/>
    <w:rsid w:val="00C845E6"/>
    <w:rsid w:val="00C847FA"/>
    <w:rsid w:val="00C84D6B"/>
    <w:rsid w:val="00C8577F"/>
    <w:rsid w:val="00C859B3"/>
    <w:rsid w:val="00C85F67"/>
    <w:rsid w:val="00C878E8"/>
    <w:rsid w:val="00C8796D"/>
    <w:rsid w:val="00C87A79"/>
    <w:rsid w:val="00C87FB1"/>
    <w:rsid w:val="00C92306"/>
    <w:rsid w:val="00C926B9"/>
    <w:rsid w:val="00C94383"/>
    <w:rsid w:val="00C95026"/>
    <w:rsid w:val="00C969DD"/>
    <w:rsid w:val="00C974E8"/>
    <w:rsid w:val="00C97546"/>
    <w:rsid w:val="00CA0AB5"/>
    <w:rsid w:val="00CA0C3E"/>
    <w:rsid w:val="00CA131B"/>
    <w:rsid w:val="00CA1540"/>
    <w:rsid w:val="00CA287E"/>
    <w:rsid w:val="00CA3F40"/>
    <w:rsid w:val="00CA44C0"/>
    <w:rsid w:val="00CA44E6"/>
    <w:rsid w:val="00CA4B84"/>
    <w:rsid w:val="00CA5926"/>
    <w:rsid w:val="00CA5FFD"/>
    <w:rsid w:val="00CA6B80"/>
    <w:rsid w:val="00CA73A8"/>
    <w:rsid w:val="00CB084F"/>
    <w:rsid w:val="00CB127A"/>
    <w:rsid w:val="00CB1D4D"/>
    <w:rsid w:val="00CB21C6"/>
    <w:rsid w:val="00CB22AF"/>
    <w:rsid w:val="00CB393E"/>
    <w:rsid w:val="00CB3DAB"/>
    <w:rsid w:val="00CB4B63"/>
    <w:rsid w:val="00CB4C30"/>
    <w:rsid w:val="00CB532E"/>
    <w:rsid w:val="00CB5663"/>
    <w:rsid w:val="00CB7FCB"/>
    <w:rsid w:val="00CC00CD"/>
    <w:rsid w:val="00CC14C5"/>
    <w:rsid w:val="00CC1A35"/>
    <w:rsid w:val="00CC2C34"/>
    <w:rsid w:val="00CC2D5F"/>
    <w:rsid w:val="00CC54C5"/>
    <w:rsid w:val="00CC5BE0"/>
    <w:rsid w:val="00CC5E3E"/>
    <w:rsid w:val="00CC670C"/>
    <w:rsid w:val="00CC6C9C"/>
    <w:rsid w:val="00CC786F"/>
    <w:rsid w:val="00CD080F"/>
    <w:rsid w:val="00CD0CB5"/>
    <w:rsid w:val="00CD1434"/>
    <w:rsid w:val="00CD1A2C"/>
    <w:rsid w:val="00CD2058"/>
    <w:rsid w:val="00CD2200"/>
    <w:rsid w:val="00CD22B2"/>
    <w:rsid w:val="00CD2B02"/>
    <w:rsid w:val="00CD3F02"/>
    <w:rsid w:val="00CD4833"/>
    <w:rsid w:val="00CD4CEE"/>
    <w:rsid w:val="00CD542B"/>
    <w:rsid w:val="00CD5978"/>
    <w:rsid w:val="00CD59EC"/>
    <w:rsid w:val="00CD5AB4"/>
    <w:rsid w:val="00CD5C2C"/>
    <w:rsid w:val="00CD5F34"/>
    <w:rsid w:val="00CD6EED"/>
    <w:rsid w:val="00CD7A66"/>
    <w:rsid w:val="00CD7C5F"/>
    <w:rsid w:val="00CE026A"/>
    <w:rsid w:val="00CE041B"/>
    <w:rsid w:val="00CE1111"/>
    <w:rsid w:val="00CE170E"/>
    <w:rsid w:val="00CE2F86"/>
    <w:rsid w:val="00CE33FA"/>
    <w:rsid w:val="00CE3652"/>
    <w:rsid w:val="00CE50B8"/>
    <w:rsid w:val="00CE5DD2"/>
    <w:rsid w:val="00CE70D7"/>
    <w:rsid w:val="00CE72E3"/>
    <w:rsid w:val="00CE79BA"/>
    <w:rsid w:val="00CE7D43"/>
    <w:rsid w:val="00CF2CA1"/>
    <w:rsid w:val="00CF2EF6"/>
    <w:rsid w:val="00CF397F"/>
    <w:rsid w:val="00CF404E"/>
    <w:rsid w:val="00CF42B9"/>
    <w:rsid w:val="00CF4690"/>
    <w:rsid w:val="00CF4DAF"/>
    <w:rsid w:val="00CF52EF"/>
    <w:rsid w:val="00CF532E"/>
    <w:rsid w:val="00CF5675"/>
    <w:rsid w:val="00CF6B14"/>
    <w:rsid w:val="00CF7DE3"/>
    <w:rsid w:val="00D004A0"/>
    <w:rsid w:val="00D005ED"/>
    <w:rsid w:val="00D02660"/>
    <w:rsid w:val="00D03273"/>
    <w:rsid w:val="00D04268"/>
    <w:rsid w:val="00D047D3"/>
    <w:rsid w:val="00D0488F"/>
    <w:rsid w:val="00D04F45"/>
    <w:rsid w:val="00D054BD"/>
    <w:rsid w:val="00D05E28"/>
    <w:rsid w:val="00D063D2"/>
    <w:rsid w:val="00D06D43"/>
    <w:rsid w:val="00D07E72"/>
    <w:rsid w:val="00D07F68"/>
    <w:rsid w:val="00D111AF"/>
    <w:rsid w:val="00D1185B"/>
    <w:rsid w:val="00D11E53"/>
    <w:rsid w:val="00D12348"/>
    <w:rsid w:val="00D14A78"/>
    <w:rsid w:val="00D150E7"/>
    <w:rsid w:val="00D159F4"/>
    <w:rsid w:val="00D15D40"/>
    <w:rsid w:val="00D16345"/>
    <w:rsid w:val="00D16E21"/>
    <w:rsid w:val="00D16E36"/>
    <w:rsid w:val="00D16E39"/>
    <w:rsid w:val="00D20355"/>
    <w:rsid w:val="00D20690"/>
    <w:rsid w:val="00D20C61"/>
    <w:rsid w:val="00D2159B"/>
    <w:rsid w:val="00D224A9"/>
    <w:rsid w:val="00D22D82"/>
    <w:rsid w:val="00D24CC2"/>
    <w:rsid w:val="00D24E22"/>
    <w:rsid w:val="00D250D0"/>
    <w:rsid w:val="00D259A3"/>
    <w:rsid w:val="00D25CCD"/>
    <w:rsid w:val="00D27D62"/>
    <w:rsid w:val="00D30416"/>
    <w:rsid w:val="00D31F4A"/>
    <w:rsid w:val="00D32C9D"/>
    <w:rsid w:val="00D32E84"/>
    <w:rsid w:val="00D34946"/>
    <w:rsid w:val="00D3549C"/>
    <w:rsid w:val="00D356F9"/>
    <w:rsid w:val="00D35D5C"/>
    <w:rsid w:val="00D361D0"/>
    <w:rsid w:val="00D37454"/>
    <w:rsid w:val="00D376C1"/>
    <w:rsid w:val="00D40159"/>
    <w:rsid w:val="00D40DDB"/>
    <w:rsid w:val="00D429EC"/>
    <w:rsid w:val="00D43978"/>
    <w:rsid w:val="00D44846"/>
    <w:rsid w:val="00D44D80"/>
    <w:rsid w:val="00D454B6"/>
    <w:rsid w:val="00D4636B"/>
    <w:rsid w:val="00D478EC"/>
    <w:rsid w:val="00D50796"/>
    <w:rsid w:val="00D5088B"/>
    <w:rsid w:val="00D51DD8"/>
    <w:rsid w:val="00D521EA"/>
    <w:rsid w:val="00D52852"/>
    <w:rsid w:val="00D52E37"/>
    <w:rsid w:val="00D53EA2"/>
    <w:rsid w:val="00D542C3"/>
    <w:rsid w:val="00D542E3"/>
    <w:rsid w:val="00D544C5"/>
    <w:rsid w:val="00D5455B"/>
    <w:rsid w:val="00D55E8F"/>
    <w:rsid w:val="00D56AB8"/>
    <w:rsid w:val="00D57255"/>
    <w:rsid w:val="00D577D1"/>
    <w:rsid w:val="00D60192"/>
    <w:rsid w:val="00D60372"/>
    <w:rsid w:val="00D6148F"/>
    <w:rsid w:val="00D626A3"/>
    <w:rsid w:val="00D63081"/>
    <w:rsid w:val="00D63787"/>
    <w:rsid w:val="00D64115"/>
    <w:rsid w:val="00D6420F"/>
    <w:rsid w:val="00D64459"/>
    <w:rsid w:val="00D644AA"/>
    <w:rsid w:val="00D64797"/>
    <w:rsid w:val="00D64CCE"/>
    <w:rsid w:val="00D65161"/>
    <w:rsid w:val="00D65554"/>
    <w:rsid w:val="00D66450"/>
    <w:rsid w:val="00D70679"/>
    <w:rsid w:val="00D70901"/>
    <w:rsid w:val="00D70DEA"/>
    <w:rsid w:val="00D710DF"/>
    <w:rsid w:val="00D729F6"/>
    <w:rsid w:val="00D72E9D"/>
    <w:rsid w:val="00D73D07"/>
    <w:rsid w:val="00D73D62"/>
    <w:rsid w:val="00D74389"/>
    <w:rsid w:val="00D74E75"/>
    <w:rsid w:val="00D7538F"/>
    <w:rsid w:val="00D7663C"/>
    <w:rsid w:val="00D76689"/>
    <w:rsid w:val="00D7722E"/>
    <w:rsid w:val="00D80C89"/>
    <w:rsid w:val="00D80E2D"/>
    <w:rsid w:val="00D80EB6"/>
    <w:rsid w:val="00D81188"/>
    <w:rsid w:val="00D81B3A"/>
    <w:rsid w:val="00D828D7"/>
    <w:rsid w:val="00D82CE5"/>
    <w:rsid w:val="00D8329B"/>
    <w:rsid w:val="00D83D88"/>
    <w:rsid w:val="00D8437F"/>
    <w:rsid w:val="00D84C74"/>
    <w:rsid w:val="00D84D9D"/>
    <w:rsid w:val="00D854F8"/>
    <w:rsid w:val="00D856F4"/>
    <w:rsid w:val="00D90230"/>
    <w:rsid w:val="00D907AE"/>
    <w:rsid w:val="00D90A4E"/>
    <w:rsid w:val="00D90C79"/>
    <w:rsid w:val="00D913E1"/>
    <w:rsid w:val="00D9244A"/>
    <w:rsid w:val="00D9294F"/>
    <w:rsid w:val="00D9457C"/>
    <w:rsid w:val="00D96A62"/>
    <w:rsid w:val="00D9727E"/>
    <w:rsid w:val="00D97A59"/>
    <w:rsid w:val="00DA01E8"/>
    <w:rsid w:val="00DA09A7"/>
    <w:rsid w:val="00DA0AC7"/>
    <w:rsid w:val="00DA0FD1"/>
    <w:rsid w:val="00DA17CF"/>
    <w:rsid w:val="00DA1A20"/>
    <w:rsid w:val="00DA1E8F"/>
    <w:rsid w:val="00DA2FF5"/>
    <w:rsid w:val="00DA3222"/>
    <w:rsid w:val="00DA3452"/>
    <w:rsid w:val="00DA3794"/>
    <w:rsid w:val="00DA499F"/>
    <w:rsid w:val="00DA5253"/>
    <w:rsid w:val="00DA5456"/>
    <w:rsid w:val="00DA5AB1"/>
    <w:rsid w:val="00DA6996"/>
    <w:rsid w:val="00DA6ED2"/>
    <w:rsid w:val="00DA6EE1"/>
    <w:rsid w:val="00DA7078"/>
    <w:rsid w:val="00DA72B4"/>
    <w:rsid w:val="00DA7C09"/>
    <w:rsid w:val="00DB12BD"/>
    <w:rsid w:val="00DB2EB1"/>
    <w:rsid w:val="00DB3448"/>
    <w:rsid w:val="00DB3601"/>
    <w:rsid w:val="00DB3C24"/>
    <w:rsid w:val="00DB44D8"/>
    <w:rsid w:val="00DB49AA"/>
    <w:rsid w:val="00DB5ED4"/>
    <w:rsid w:val="00DB6093"/>
    <w:rsid w:val="00DB61B2"/>
    <w:rsid w:val="00DB6C54"/>
    <w:rsid w:val="00DB768D"/>
    <w:rsid w:val="00DB796B"/>
    <w:rsid w:val="00DB7D2D"/>
    <w:rsid w:val="00DC32BD"/>
    <w:rsid w:val="00DC33DC"/>
    <w:rsid w:val="00DC3D67"/>
    <w:rsid w:val="00DC40BD"/>
    <w:rsid w:val="00DC443C"/>
    <w:rsid w:val="00DC4962"/>
    <w:rsid w:val="00DC578F"/>
    <w:rsid w:val="00DC5D0C"/>
    <w:rsid w:val="00DC62E5"/>
    <w:rsid w:val="00DC6ACC"/>
    <w:rsid w:val="00DC6C76"/>
    <w:rsid w:val="00DC7561"/>
    <w:rsid w:val="00DD160B"/>
    <w:rsid w:val="00DD1C18"/>
    <w:rsid w:val="00DD21A2"/>
    <w:rsid w:val="00DD2D30"/>
    <w:rsid w:val="00DD31A9"/>
    <w:rsid w:val="00DD3432"/>
    <w:rsid w:val="00DD5E33"/>
    <w:rsid w:val="00DD71A9"/>
    <w:rsid w:val="00DD735D"/>
    <w:rsid w:val="00DD7778"/>
    <w:rsid w:val="00DD7D8D"/>
    <w:rsid w:val="00DE0618"/>
    <w:rsid w:val="00DE0A17"/>
    <w:rsid w:val="00DE1FEF"/>
    <w:rsid w:val="00DE24A2"/>
    <w:rsid w:val="00DE3119"/>
    <w:rsid w:val="00DE4434"/>
    <w:rsid w:val="00DE4C72"/>
    <w:rsid w:val="00DE4CF0"/>
    <w:rsid w:val="00DE4D23"/>
    <w:rsid w:val="00DE5084"/>
    <w:rsid w:val="00DE5723"/>
    <w:rsid w:val="00DE683C"/>
    <w:rsid w:val="00DE6B11"/>
    <w:rsid w:val="00DE6E79"/>
    <w:rsid w:val="00DE6FE1"/>
    <w:rsid w:val="00DE70DC"/>
    <w:rsid w:val="00DF0AB4"/>
    <w:rsid w:val="00DF0AE3"/>
    <w:rsid w:val="00DF16DA"/>
    <w:rsid w:val="00DF1DAA"/>
    <w:rsid w:val="00DF236B"/>
    <w:rsid w:val="00DF29D3"/>
    <w:rsid w:val="00DF3E38"/>
    <w:rsid w:val="00DF5090"/>
    <w:rsid w:val="00DF6ACD"/>
    <w:rsid w:val="00DF78DE"/>
    <w:rsid w:val="00DF79C3"/>
    <w:rsid w:val="00E000C8"/>
    <w:rsid w:val="00E008F1"/>
    <w:rsid w:val="00E01453"/>
    <w:rsid w:val="00E017C4"/>
    <w:rsid w:val="00E048EE"/>
    <w:rsid w:val="00E04B11"/>
    <w:rsid w:val="00E04C9B"/>
    <w:rsid w:val="00E056B2"/>
    <w:rsid w:val="00E06F42"/>
    <w:rsid w:val="00E0740A"/>
    <w:rsid w:val="00E07843"/>
    <w:rsid w:val="00E10A6D"/>
    <w:rsid w:val="00E113F7"/>
    <w:rsid w:val="00E116A9"/>
    <w:rsid w:val="00E13AB8"/>
    <w:rsid w:val="00E13FD3"/>
    <w:rsid w:val="00E14299"/>
    <w:rsid w:val="00E144AB"/>
    <w:rsid w:val="00E14548"/>
    <w:rsid w:val="00E17C49"/>
    <w:rsid w:val="00E17EE1"/>
    <w:rsid w:val="00E206ED"/>
    <w:rsid w:val="00E21256"/>
    <w:rsid w:val="00E21494"/>
    <w:rsid w:val="00E217A5"/>
    <w:rsid w:val="00E21B32"/>
    <w:rsid w:val="00E238B4"/>
    <w:rsid w:val="00E240CB"/>
    <w:rsid w:val="00E240E7"/>
    <w:rsid w:val="00E251D4"/>
    <w:rsid w:val="00E2553E"/>
    <w:rsid w:val="00E25DC3"/>
    <w:rsid w:val="00E3090F"/>
    <w:rsid w:val="00E30BAF"/>
    <w:rsid w:val="00E329F7"/>
    <w:rsid w:val="00E3308C"/>
    <w:rsid w:val="00E335CF"/>
    <w:rsid w:val="00E33B62"/>
    <w:rsid w:val="00E33CB5"/>
    <w:rsid w:val="00E33CC4"/>
    <w:rsid w:val="00E3568A"/>
    <w:rsid w:val="00E36BAD"/>
    <w:rsid w:val="00E36E37"/>
    <w:rsid w:val="00E36FBA"/>
    <w:rsid w:val="00E37D12"/>
    <w:rsid w:val="00E37E82"/>
    <w:rsid w:val="00E40158"/>
    <w:rsid w:val="00E41410"/>
    <w:rsid w:val="00E417D3"/>
    <w:rsid w:val="00E41A26"/>
    <w:rsid w:val="00E42CEA"/>
    <w:rsid w:val="00E42F9D"/>
    <w:rsid w:val="00E43A2C"/>
    <w:rsid w:val="00E43A34"/>
    <w:rsid w:val="00E449E0"/>
    <w:rsid w:val="00E44D4E"/>
    <w:rsid w:val="00E45104"/>
    <w:rsid w:val="00E453B7"/>
    <w:rsid w:val="00E45D1C"/>
    <w:rsid w:val="00E46467"/>
    <w:rsid w:val="00E467FE"/>
    <w:rsid w:val="00E4777A"/>
    <w:rsid w:val="00E50019"/>
    <w:rsid w:val="00E52D01"/>
    <w:rsid w:val="00E53467"/>
    <w:rsid w:val="00E5557F"/>
    <w:rsid w:val="00E5588F"/>
    <w:rsid w:val="00E60196"/>
    <w:rsid w:val="00E60756"/>
    <w:rsid w:val="00E618EA"/>
    <w:rsid w:val="00E61E09"/>
    <w:rsid w:val="00E61FC0"/>
    <w:rsid w:val="00E62ACD"/>
    <w:rsid w:val="00E6457F"/>
    <w:rsid w:val="00E64B60"/>
    <w:rsid w:val="00E657D3"/>
    <w:rsid w:val="00E66E98"/>
    <w:rsid w:val="00E6724C"/>
    <w:rsid w:val="00E67E83"/>
    <w:rsid w:val="00E7057D"/>
    <w:rsid w:val="00E71154"/>
    <w:rsid w:val="00E72E97"/>
    <w:rsid w:val="00E733DF"/>
    <w:rsid w:val="00E737A7"/>
    <w:rsid w:val="00E7503A"/>
    <w:rsid w:val="00E764A7"/>
    <w:rsid w:val="00E768B7"/>
    <w:rsid w:val="00E76D76"/>
    <w:rsid w:val="00E76F51"/>
    <w:rsid w:val="00E76F61"/>
    <w:rsid w:val="00E776ED"/>
    <w:rsid w:val="00E80C3F"/>
    <w:rsid w:val="00E8112D"/>
    <w:rsid w:val="00E816D3"/>
    <w:rsid w:val="00E81AFD"/>
    <w:rsid w:val="00E82795"/>
    <w:rsid w:val="00E832F8"/>
    <w:rsid w:val="00E8330E"/>
    <w:rsid w:val="00E83789"/>
    <w:rsid w:val="00E83DA6"/>
    <w:rsid w:val="00E854A0"/>
    <w:rsid w:val="00E87315"/>
    <w:rsid w:val="00E90A32"/>
    <w:rsid w:val="00E91477"/>
    <w:rsid w:val="00E915AC"/>
    <w:rsid w:val="00E9178F"/>
    <w:rsid w:val="00E917AE"/>
    <w:rsid w:val="00E91DA5"/>
    <w:rsid w:val="00E92488"/>
    <w:rsid w:val="00E94951"/>
    <w:rsid w:val="00E94DA3"/>
    <w:rsid w:val="00E95B10"/>
    <w:rsid w:val="00E9754A"/>
    <w:rsid w:val="00E9760B"/>
    <w:rsid w:val="00E97CC7"/>
    <w:rsid w:val="00E97E46"/>
    <w:rsid w:val="00EA0021"/>
    <w:rsid w:val="00EA04EF"/>
    <w:rsid w:val="00EA1131"/>
    <w:rsid w:val="00EA3483"/>
    <w:rsid w:val="00EA6BEE"/>
    <w:rsid w:val="00EA704D"/>
    <w:rsid w:val="00EA79EB"/>
    <w:rsid w:val="00EB0DF1"/>
    <w:rsid w:val="00EB3AB3"/>
    <w:rsid w:val="00EB473E"/>
    <w:rsid w:val="00EB7836"/>
    <w:rsid w:val="00EB7A7B"/>
    <w:rsid w:val="00EB7E20"/>
    <w:rsid w:val="00EC0E31"/>
    <w:rsid w:val="00EC3B81"/>
    <w:rsid w:val="00EC443D"/>
    <w:rsid w:val="00EC468B"/>
    <w:rsid w:val="00EC4988"/>
    <w:rsid w:val="00EC4A47"/>
    <w:rsid w:val="00EC5E1B"/>
    <w:rsid w:val="00EC5F41"/>
    <w:rsid w:val="00EC60CB"/>
    <w:rsid w:val="00EC7091"/>
    <w:rsid w:val="00EC7470"/>
    <w:rsid w:val="00EC7B4C"/>
    <w:rsid w:val="00ED009B"/>
    <w:rsid w:val="00ED0667"/>
    <w:rsid w:val="00ED0F19"/>
    <w:rsid w:val="00ED125B"/>
    <w:rsid w:val="00ED242F"/>
    <w:rsid w:val="00ED2EFF"/>
    <w:rsid w:val="00ED3700"/>
    <w:rsid w:val="00ED3AC7"/>
    <w:rsid w:val="00ED3BF4"/>
    <w:rsid w:val="00ED4234"/>
    <w:rsid w:val="00ED42A5"/>
    <w:rsid w:val="00ED59A5"/>
    <w:rsid w:val="00ED7F90"/>
    <w:rsid w:val="00EE094E"/>
    <w:rsid w:val="00EE1CCD"/>
    <w:rsid w:val="00EE21F9"/>
    <w:rsid w:val="00EE4855"/>
    <w:rsid w:val="00EE4BFC"/>
    <w:rsid w:val="00EE4DB7"/>
    <w:rsid w:val="00EE5189"/>
    <w:rsid w:val="00EE6E21"/>
    <w:rsid w:val="00EE7272"/>
    <w:rsid w:val="00EE776B"/>
    <w:rsid w:val="00EF15DA"/>
    <w:rsid w:val="00EF16DD"/>
    <w:rsid w:val="00EF1B7F"/>
    <w:rsid w:val="00EF3555"/>
    <w:rsid w:val="00EF51E8"/>
    <w:rsid w:val="00EF62A6"/>
    <w:rsid w:val="00EF66D5"/>
    <w:rsid w:val="00EF66D6"/>
    <w:rsid w:val="00EF7EB1"/>
    <w:rsid w:val="00F01322"/>
    <w:rsid w:val="00F013A1"/>
    <w:rsid w:val="00F02183"/>
    <w:rsid w:val="00F026B1"/>
    <w:rsid w:val="00F038E5"/>
    <w:rsid w:val="00F03B2B"/>
    <w:rsid w:val="00F04CC2"/>
    <w:rsid w:val="00F058FE"/>
    <w:rsid w:val="00F05D63"/>
    <w:rsid w:val="00F05F75"/>
    <w:rsid w:val="00F06B15"/>
    <w:rsid w:val="00F06C51"/>
    <w:rsid w:val="00F0755F"/>
    <w:rsid w:val="00F109B1"/>
    <w:rsid w:val="00F10F67"/>
    <w:rsid w:val="00F1157D"/>
    <w:rsid w:val="00F11EDA"/>
    <w:rsid w:val="00F121A8"/>
    <w:rsid w:val="00F1301C"/>
    <w:rsid w:val="00F134D2"/>
    <w:rsid w:val="00F13DF7"/>
    <w:rsid w:val="00F13E07"/>
    <w:rsid w:val="00F155B7"/>
    <w:rsid w:val="00F160B9"/>
    <w:rsid w:val="00F161D6"/>
    <w:rsid w:val="00F16C53"/>
    <w:rsid w:val="00F23A10"/>
    <w:rsid w:val="00F24361"/>
    <w:rsid w:val="00F246FE"/>
    <w:rsid w:val="00F26EF6"/>
    <w:rsid w:val="00F277D0"/>
    <w:rsid w:val="00F27A52"/>
    <w:rsid w:val="00F30A5C"/>
    <w:rsid w:val="00F3240B"/>
    <w:rsid w:val="00F3473D"/>
    <w:rsid w:val="00F355D3"/>
    <w:rsid w:val="00F35BAE"/>
    <w:rsid w:val="00F36050"/>
    <w:rsid w:val="00F368C1"/>
    <w:rsid w:val="00F36B58"/>
    <w:rsid w:val="00F36E11"/>
    <w:rsid w:val="00F37460"/>
    <w:rsid w:val="00F379A3"/>
    <w:rsid w:val="00F37C6E"/>
    <w:rsid w:val="00F41D25"/>
    <w:rsid w:val="00F421CA"/>
    <w:rsid w:val="00F42730"/>
    <w:rsid w:val="00F4386F"/>
    <w:rsid w:val="00F445D8"/>
    <w:rsid w:val="00F449FE"/>
    <w:rsid w:val="00F44CA3"/>
    <w:rsid w:val="00F46903"/>
    <w:rsid w:val="00F469BF"/>
    <w:rsid w:val="00F46AAC"/>
    <w:rsid w:val="00F470A9"/>
    <w:rsid w:val="00F47B8F"/>
    <w:rsid w:val="00F50393"/>
    <w:rsid w:val="00F5072C"/>
    <w:rsid w:val="00F50F9E"/>
    <w:rsid w:val="00F517D0"/>
    <w:rsid w:val="00F52B19"/>
    <w:rsid w:val="00F52D4A"/>
    <w:rsid w:val="00F53DC2"/>
    <w:rsid w:val="00F555DB"/>
    <w:rsid w:val="00F55AA3"/>
    <w:rsid w:val="00F56095"/>
    <w:rsid w:val="00F562BD"/>
    <w:rsid w:val="00F56FA4"/>
    <w:rsid w:val="00F57B5D"/>
    <w:rsid w:val="00F60049"/>
    <w:rsid w:val="00F608B9"/>
    <w:rsid w:val="00F60DB7"/>
    <w:rsid w:val="00F60E91"/>
    <w:rsid w:val="00F61159"/>
    <w:rsid w:val="00F6156F"/>
    <w:rsid w:val="00F62302"/>
    <w:rsid w:val="00F62DA6"/>
    <w:rsid w:val="00F62E77"/>
    <w:rsid w:val="00F63153"/>
    <w:rsid w:val="00F701A7"/>
    <w:rsid w:val="00F71570"/>
    <w:rsid w:val="00F7163A"/>
    <w:rsid w:val="00F7173E"/>
    <w:rsid w:val="00F71883"/>
    <w:rsid w:val="00F71EFC"/>
    <w:rsid w:val="00F726FC"/>
    <w:rsid w:val="00F728C3"/>
    <w:rsid w:val="00F72BAE"/>
    <w:rsid w:val="00F7558E"/>
    <w:rsid w:val="00F76205"/>
    <w:rsid w:val="00F801B3"/>
    <w:rsid w:val="00F803F1"/>
    <w:rsid w:val="00F809EF"/>
    <w:rsid w:val="00F81111"/>
    <w:rsid w:val="00F8133A"/>
    <w:rsid w:val="00F8177B"/>
    <w:rsid w:val="00F81B47"/>
    <w:rsid w:val="00F83810"/>
    <w:rsid w:val="00F83B75"/>
    <w:rsid w:val="00F84899"/>
    <w:rsid w:val="00F8492C"/>
    <w:rsid w:val="00F85499"/>
    <w:rsid w:val="00F855E2"/>
    <w:rsid w:val="00F859F0"/>
    <w:rsid w:val="00F86A1B"/>
    <w:rsid w:val="00F8789E"/>
    <w:rsid w:val="00F91CA6"/>
    <w:rsid w:val="00F92E29"/>
    <w:rsid w:val="00F930F6"/>
    <w:rsid w:val="00F93448"/>
    <w:rsid w:val="00F9349F"/>
    <w:rsid w:val="00FA06A3"/>
    <w:rsid w:val="00FA0AD1"/>
    <w:rsid w:val="00FA2ACB"/>
    <w:rsid w:val="00FA2EEB"/>
    <w:rsid w:val="00FA310C"/>
    <w:rsid w:val="00FA3B5A"/>
    <w:rsid w:val="00FA40C0"/>
    <w:rsid w:val="00FA4A30"/>
    <w:rsid w:val="00FA4B7C"/>
    <w:rsid w:val="00FA540E"/>
    <w:rsid w:val="00FA6587"/>
    <w:rsid w:val="00FA6DE2"/>
    <w:rsid w:val="00FA723D"/>
    <w:rsid w:val="00FB0D40"/>
    <w:rsid w:val="00FB301D"/>
    <w:rsid w:val="00FB42FF"/>
    <w:rsid w:val="00FB47F3"/>
    <w:rsid w:val="00FB516F"/>
    <w:rsid w:val="00FB58AF"/>
    <w:rsid w:val="00FB5BF9"/>
    <w:rsid w:val="00FB7AE7"/>
    <w:rsid w:val="00FC0B6A"/>
    <w:rsid w:val="00FC2244"/>
    <w:rsid w:val="00FC3D45"/>
    <w:rsid w:val="00FC5492"/>
    <w:rsid w:val="00FC6EB3"/>
    <w:rsid w:val="00FC711A"/>
    <w:rsid w:val="00FC7299"/>
    <w:rsid w:val="00FD019A"/>
    <w:rsid w:val="00FD140C"/>
    <w:rsid w:val="00FD1C05"/>
    <w:rsid w:val="00FD2533"/>
    <w:rsid w:val="00FD3213"/>
    <w:rsid w:val="00FD3A2E"/>
    <w:rsid w:val="00FD3FAD"/>
    <w:rsid w:val="00FD4AFF"/>
    <w:rsid w:val="00FD50F2"/>
    <w:rsid w:val="00FD54C7"/>
    <w:rsid w:val="00FD674C"/>
    <w:rsid w:val="00FD7A75"/>
    <w:rsid w:val="00FD7C89"/>
    <w:rsid w:val="00FE0395"/>
    <w:rsid w:val="00FE0DC4"/>
    <w:rsid w:val="00FE0E9C"/>
    <w:rsid w:val="00FE125A"/>
    <w:rsid w:val="00FE141E"/>
    <w:rsid w:val="00FE1AF1"/>
    <w:rsid w:val="00FE2144"/>
    <w:rsid w:val="00FE24F4"/>
    <w:rsid w:val="00FE2A33"/>
    <w:rsid w:val="00FE46AA"/>
    <w:rsid w:val="00FE5ECC"/>
    <w:rsid w:val="00FE674D"/>
    <w:rsid w:val="00FE762B"/>
    <w:rsid w:val="00FF0FA2"/>
    <w:rsid w:val="00FF10B9"/>
    <w:rsid w:val="00FF166F"/>
    <w:rsid w:val="00FF2832"/>
    <w:rsid w:val="00FF3657"/>
    <w:rsid w:val="00FF417D"/>
    <w:rsid w:val="00FF49BD"/>
    <w:rsid w:val="00FF4A64"/>
    <w:rsid w:val="00FF521D"/>
    <w:rsid w:val="00FF5C43"/>
    <w:rsid w:val="00FF60FB"/>
    <w:rsid w:val="00FF66DD"/>
    <w:rsid w:val="00FF6F65"/>
    <w:rsid w:val="00FF7737"/>
    <w:rsid w:val="00FF7E87"/>
    <w:rsid w:val="03C30222"/>
    <w:rsid w:val="4AD1925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8BF37DFE-8CD5-43FD-8C55-5CAC91795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2A0"/>
    <w:rPr>
      <w:sz w:val="24"/>
      <w:lang w:val="es-MX"/>
    </w:rPr>
  </w:style>
  <w:style w:type="paragraph" w:styleId="Ttulo1">
    <w:name w:val="heading 1"/>
    <w:basedOn w:val="Normal"/>
    <w:next w:val="Normal"/>
    <w:link w:val="Ttulo1Car"/>
    <w:qFormat/>
    <w:rsid w:val="00050E2C"/>
    <w:pPr>
      <w:keepNext/>
      <w:numPr>
        <w:numId w:val="17"/>
      </w:numPr>
      <w:spacing w:before="240" w:after="60" w:line="240" w:lineRule="auto"/>
      <w:jc w:val="left"/>
      <w:outlineLvl w:val="0"/>
    </w:pPr>
    <w:rPr>
      <w:rFonts w:ascii="Arial" w:eastAsia="Times New Roman" w:hAnsi="Arial" w:cs="Arial"/>
      <w:b/>
      <w:bCs/>
      <w:kern w:val="32"/>
      <w:sz w:val="32"/>
      <w:szCs w:val="32"/>
      <w:lang w:val="es-ES" w:eastAsia="es-ES"/>
    </w:rPr>
  </w:style>
  <w:style w:type="paragraph" w:styleId="Ttulo2">
    <w:name w:val="heading 2"/>
    <w:basedOn w:val="Normal"/>
    <w:next w:val="Normal"/>
    <w:link w:val="Ttulo2Car"/>
    <w:qFormat/>
    <w:rsid w:val="00050E2C"/>
    <w:pPr>
      <w:keepNext/>
      <w:numPr>
        <w:ilvl w:val="1"/>
        <w:numId w:val="17"/>
      </w:numPr>
      <w:spacing w:before="240" w:after="60" w:line="240" w:lineRule="auto"/>
      <w:jc w:val="left"/>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qFormat/>
    <w:rsid w:val="00050E2C"/>
    <w:pPr>
      <w:keepNext/>
      <w:numPr>
        <w:ilvl w:val="2"/>
        <w:numId w:val="17"/>
      </w:numPr>
      <w:spacing w:before="240" w:after="60" w:line="240" w:lineRule="auto"/>
      <w:jc w:val="left"/>
      <w:outlineLvl w:val="2"/>
    </w:pPr>
    <w:rPr>
      <w:rFonts w:ascii="Arial" w:eastAsia="Times New Roman" w:hAnsi="Arial" w:cs="Arial"/>
      <w:b/>
      <w:bCs/>
      <w:sz w:val="26"/>
      <w:szCs w:val="26"/>
      <w:lang w:val="es-ES" w:eastAsia="es-ES"/>
    </w:rPr>
  </w:style>
  <w:style w:type="paragraph" w:styleId="Ttulo4">
    <w:name w:val="heading 4"/>
    <w:basedOn w:val="Normal"/>
    <w:next w:val="Normal"/>
    <w:link w:val="Ttulo4Car"/>
    <w:qFormat/>
    <w:rsid w:val="00050E2C"/>
    <w:pPr>
      <w:keepNext/>
      <w:numPr>
        <w:ilvl w:val="3"/>
        <w:numId w:val="17"/>
      </w:numPr>
      <w:spacing w:before="240" w:after="60" w:line="240" w:lineRule="auto"/>
      <w:jc w:val="left"/>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050E2C"/>
    <w:pPr>
      <w:numPr>
        <w:ilvl w:val="4"/>
        <w:numId w:val="17"/>
      </w:numPr>
      <w:spacing w:before="240" w:after="60" w:line="240" w:lineRule="auto"/>
      <w:jc w:val="left"/>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050E2C"/>
    <w:pPr>
      <w:numPr>
        <w:ilvl w:val="5"/>
        <w:numId w:val="17"/>
      </w:numPr>
      <w:spacing w:before="240" w:after="60" w:line="240" w:lineRule="auto"/>
      <w:jc w:val="left"/>
      <w:outlineLvl w:val="5"/>
    </w:pPr>
    <w:rPr>
      <w:rFonts w:ascii="Times New Roman" w:eastAsia="Times New Roman" w:hAnsi="Times New Roman" w:cs="Times New Roman"/>
      <w:b/>
      <w:bCs/>
      <w:sz w:val="22"/>
      <w:lang w:val="es-ES" w:eastAsia="es-ES"/>
    </w:rPr>
  </w:style>
  <w:style w:type="paragraph" w:styleId="Ttulo7">
    <w:name w:val="heading 7"/>
    <w:basedOn w:val="Normal"/>
    <w:next w:val="Normal"/>
    <w:link w:val="Ttulo7Car"/>
    <w:qFormat/>
    <w:rsid w:val="00050E2C"/>
    <w:pPr>
      <w:numPr>
        <w:ilvl w:val="6"/>
        <w:numId w:val="17"/>
      </w:numPr>
      <w:spacing w:before="240" w:after="60" w:line="240" w:lineRule="auto"/>
      <w:jc w:val="left"/>
      <w:outlineLvl w:val="6"/>
    </w:pPr>
    <w:rPr>
      <w:rFonts w:ascii="Times New Roman" w:eastAsia="Times New Roman" w:hAnsi="Times New Roman" w:cs="Times New Roman"/>
      <w:szCs w:val="24"/>
      <w:lang w:val="es-ES" w:eastAsia="es-ES"/>
    </w:rPr>
  </w:style>
  <w:style w:type="paragraph" w:styleId="Ttulo8">
    <w:name w:val="heading 8"/>
    <w:basedOn w:val="Normal"/>
    <w:next w:val="Normal"/>
    <w:link w:val="Ttulo8Car"/>
    <w:qFormat/>
    <w:rsid w:val="00050E2C"/>
    <w:pPr>
      <w:numPr>
        <w:ilvl w:val="7"/>
        <w:numId w:val="17"/>
      </w:numPr>
      <w:spacing w:before="240" w:after="60" w:line="240" w:lineRule="auto"/>
      <w:jc w:val="left"/>
      <w:outlineLvl w:val="7"/>
    </w:pPr>
    <w:rPr>
      <w:rFonts w:ascii="Times New Roman" w:eastAsia="Times New Roman" w:hAnsi="Times New Roman" w:cs="Times New Roman"/>
      <w:i/>
      <w:iCs/>
      <w:szCs w:val="24"/>
      <w:lang w:val="es-ES" w:eastAsia="es-ES"/>
    </w:rPr>
  </w:style>
  <w:style w:type="paragraph" w:styleId="Ttulo9">
    <w:name w:val="heading 9"/>
    <w:basedOn w:val="Normal"/>
    <w:next w:val="Normal"/>
    <w:link w:val="Ttulo9Car"/>
    <w:qFormat/>
    <w:rsid w:val="00050E2C"/>
    <w:pPr>
      <w:numPr>
        <w:ilvl w:val="8"/>
        <w:numId w:val="17"/>
      </w:numPr>
      <w:spacing w:before="240" w:after="60" w:line="240" w:lineRule="auto"/>
      <w:jc w:val="left"/>
      <w:outlineLvl w:val="8"/>
    </w:pPr>
    <w:rPr>
      <w:rFonts w:ascii="Arial" w:eastAsia="Times New Roman" w:hAnsi="Arial" w:cs="Arial"/>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paragraph" w:styleId="Textoindependiente">
    <w:name w:val="Body Text"/>
    <w:basedOn w:val="Normal"/>
    <w:link w:val="TextoindependienteCar"/>
    <w:uiPriority w:val="1"/>
    <w:qFormat/>
    <w:rsid w:val="008E0A7E"/>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8E0A7E"/>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A8268C"/>
    <w:rPr>
      <w:sz w:val="20"/>
      <w:szCs w:val="20"/>
    </w:rPr>
  </w:style>
  <w:style w:type="character" w:customStyle="1" w:styleId="TextonotaalfinalCar">
    <w:name w:val="Texto nota al final Car"/>
    <w:basedOn w:val="Fuentedeprrafopredeter"/>
    <w:link w:val="Textonotaalfinal"/>
    <w:uiPriority w:val="99"/>
    <w:semiHidden/>
    <w:rsid w:val="00A8268C"/>
    <w:rPr>
      <w:sz w:val="20"/>
      <w:szCs w:val="20"/>
      <w:lang w:val="es-MX"/>
    </w:rPr>
  </w:style>
  <w:style w:type="character" w:styleId="Refdenotaalfinal">
    <w:name w:val="endnote reference"/>
    <w:basedOn w:val="Fuentedeprrafopredeter"/>
    <w:uiPriority w:val="99"/>
    <w:semiHidden/>
    <w:unhideWhenUsed/>
    <w:rsid w:val="00A8268C"/>
    <w:rPr>
      <w:vertAlign w:val="superscript"/>
    </w:rPr>
  </w:style>
  <w:style w:type="table" w:customStyle="1" w:styleId="Tablaconcuadrcula1">
    <w:name w:val="Tabla con cuadrícula1"/>
    <w:basedOn w:val="Tablanormal"/>
    <w:next w:val="Tablaconcuadrcula"/>
    <w:uiPriority w:val="39"/>
    <w:rsid w:val="00FE0395"/>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22085C"/>
  </w:style>
  <w:style w:type="table" w:customStyle="1" w:styleId="Tablaconcuadrcula2">
    <w:name w:val="Tabla con cuadrícula2"/>
    <w:basedOn w:val="Tablanormal"/>
    <w:next w:val="Tablaconcuadrcula"/>
    <w:uiPriority w:val="39"/>
    <w:rsid w:val="000C00B6"/>
    <w:pPr>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050E2C"/>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050E2C"/>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rsid w:val="00050E2C"/>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050E2C"/>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050E2C"/>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050E2C"/>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050E2C"/>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050E2C"/>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050E2C"/>
    <w:rPr>
      <w:rFonts w:ascii="Arial" w:eastAsia="Times New Roman" w:hAnsi="Arial" w:cs="Arial"/>
      <w:lang w:val="es-ES" w:eastAsia="es-ES"/>
    </w:rPr>
  </w:style>
  <w:style w:type="table" w:customStyle="1" w:styleId="Tablaconcuadrcula3">
    <w:name w:val="Tabla con cuadrícula3"/>
    <w:basedOn w:val="Tablanormal"/>
    <w:next w:val="Tablaconcuadrcula"/>
    <w:uiPriority w:val="39"/>
    <w:rsid w:val="000751BB"/>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qFormat/>
    <w:rsid w:val="001F59AB"/>
    <w:pPr>
      <w:overflowPunct w:val="0"/>
      <w:autoSpaceDE w:val="0"/>
      <w:autoSpaceDN w:val="0"/>
      <w:adjustRightInd w:val="0"/>
      <w:spacing w:after="0" w:line="240" w:lineRule="auto"/>
      <w:jc w:val="right"/>
      <w:textAlignment w:val="baseline"/>
    </w:pPr>
    <w:rPr>
      <w:rFonts w:ascii="Verdana" w:eastAsia="Times New Roman" w:hAnsi="Verdana" w:cs="Times New Roman"/>
      <w:b/>
      <w:sz w:val="28"/>
      <w:szCs w:val="20"/>
      <w:lang w:val="es-ES_tradnl" w:eastAsia="es-ES"/>
    </w:rPr>
  </w:style>
  <w:style w:type="paragraph" w:customStyle="1" w:styleId="Default">
    <w:name w:val="Default"/>
    <w:rsid w:val="001F59AB"/>
    <w:pPr>
      <w:autoSpaceDE w:val="0"/>
      <w:autoSpaceDN w:val="0"/>
      <w:adjustRightInd w:val="0"/>
      <w:spacing w:after="0" w:line="240" w:lineRule="auto"/>
      <w:jc w:val="left"/>
    </w:pPr>
    <w:rPr>
      <w:rFonts w:ascii="Arial" w:hAnsi="Arial" w:cs="Arial"/>
      <w:color w:val="000000"/>
      <w:sz w:val="24"/>
      <w:szCs w:val="24"/>
      <w:lang w:val="es-ES"/>
    </w:rPr>
  </w:style>
  <w:style w:type="paragraph" w:customStyle="1" w:styleId="CM203">
    <w:name w:val="CM203"/>
    <w:basedOn w:val="Normal"/>
    <w:next w:val="Normal"/>
    <w:uiPriority w:val="99"/>
    <w:rsid w:val="001F59AB"/>
    <w:pPr>
      <w:widowControl w:val="0"/>
      <w:autoSpaceDE w:val="0"/>
      <w:autoSpaceDN w:val="0"/>
      <w:adjustRightInd w:val="0"/>
      <w:spacing w:after="0" w:line="240" w:lineRule="auto"/>
      <w:jc w:val="left"/>
    </w:pPr>
    <w:rPr>
      <w:rFonts w:ascii="Times New Roman" w:eastAsia="Times New Roman" w:hAnsi="Times New Roman" w:cs="Times New Roman"/>
      <w:szCs w:val="24"/>
      <w:lang w:val="es-ES" w:eastAsia="es-ES"/>
    </w:rPr>
  </w:style>
  <w:style w:type="paragraph" w:styleId="Textoindependiente2">
    <w:name w:val="Body Text 2"/>
    <w:basedOn w:val="Normal"/>
    <w:link w:val="Textoindependiente2Car"/>
    <w:uiPriority w:val="99"/>
    <w:semiHidden/>
    <w:unhideWhenUsed/>
    <w:rsid w:val="00C1755A"/>
    <w:pPr>
      <w:spacing w:after="120" w:line="480" w:lineRule="auto"/>
    </w:pPr>
  </w:style>
  <w:style w:type="character" w:customStyle="1" w:styleId="Textoindependiente2Car">
    <w:name w:val="Texto independiente 2 Car"/>
    <w:basedOn w:val="Fuentedeprrafopredeter"/>
    <w:link w:val="Textoindependiente2"/>
    <w:uiPriority w:val="99"/>
    <w:semiHidden/>
    <w:rsid w:val="00C1755A"/>
    <w:rPr>
      <w:sz w:val="24"/>
      <w:lang w:val="es-MX"/>
    </w:rPr>
  </w:style>
  <w:style w:type="character" w:customStyle="1" w:styleId="apple-converted-space">
    <w:name w:val="apple-converted-space"/>
    <w:basedOn w:val="Fuentedeprrafopredeter"/>
    <w:rsid w:val="00FE2144"/>
  </w:style>
  <w:style w:type="paragraph" w:customStyle="1" w:styleId="BodyText22">
    <w:name w:val="Body Text 22"/>
    <w:basedOn w:val="Normal"/>
    <w:rsid w:val="000B6837"/>
    <w:pPr>
      <w:overflowPunct w:val="0"/>
      <w:autoSpaceDE w:val="0"/>
      <w:autoSpaceDN w:val="0"/>
      <w:adjustRightInd w:val="0"/>
      <w:spacing w:after="0" w:line="360" w:lineRule="auto"/>
      <w:ind w:right="-425"/>
      <w:jc w:val="left"/>
      <w:textAlignment w:val="baseline"/>
    </w:pPr>
    <w:rPr>
      <w:rFonts w:ascii="Garamond" w:eastAsia="Times New Roman" w:hAnsi="Garamond" w:cs="Times New Roman"/>
      <w:sz w:val="28"/>
      <w:szCs w:val="20"/>
      <w:lang w:val="es-ES_tradnl"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6068">
      <w:bodyDiv w:val="1"/>
      <w:marLeft w:val="0"/>
      <w:marRight w:val="0"/>
      <w:marTop w:val="0"/>
      <w:marBottom w:val="0"/>
      <w:divBdr>
        <w:top w:val="none" w:sz="0" w:space="0" w:color="auto"/>
        <w:left w:val="none" w:sz="0" w:space="0" w:color="auto"/>
        <w:bottom w:val="none" w:sz="0" w:space="0" w:color="auto"/>
        <w:right w:val="none" w:sz="0" w:space="0" w:color="auto"/>
      </w:divBdr>
    </w:div>
    <w:div w:id="3809418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61102756">
      <w:bodyDiv w:val="1"/>
      <w:marLeft w:val="0"/>
      <w:marRight w:val="0"/>
      <w:marTop w:val="0"/>
      <w:marBottom w:val="0"/>
      <w:divBdr>
        <w:top w:val="none" w:sz="0" w:space="0" w:color="auto"/>
        <w:left w:val="none" w:sz="0" w:space="0" w:color="auto"/>
        <w:bottom w:val="none" w:sz="0" w:space="0" w:color="auto"/>
        <w:right w:val="none" w:sz="0" w:space="0" w:color="auto"/>
      </w:divBdr>
    </w:div>
    <w:div w:id="65686981">
      <w:bodyDiv w:val="1"/>
      <w:marLeft w:val="0"/>
      <w:marRight w:val="0"/>
      <w:marTop w:val="0"/>
      <w:marBottom w:val="0"/>
      <w:divBdr>
        <w:top w:val="none" w:sz="0" w:space="0" w:color="auto"/>
        <w:left w:val="none" w:sz="0" w:space="0" w:color="auto"/>
        <w:bottom w:val="none" w:sz="0" w:space="0" w:color="auto"/>
        <w:right w:val="none" w:sz="0" w:space="0" w:color="auto"/>
      </w:divBdr>
      <w:divsChild>
        <w:div w:id="1127549938">
          <w:marLeft w:val="0"/>
          <w:marRight w:val="0"/>
          <w:marTop w:val="0"/>
          <w:marBottom w:val="0"/>
          <w:divBdr>
            <w:top w:val="none" w:sz="0" w:space="0" w:color="auto"/>
            <w:left w:val="none" w:sz="0" w:space="0" w:color="auto"/>
            <w:bottom w:val="none" w:sz="0" w:space="0" w:color="auto"/>
            <w:right w:val="none" w:sz="0" w:space="0" w:color="auto"/>
          </w:divBdr>
        </w:div>
        <w:div w:id="1403675036">
          <w:marLeft w:val="0"/>
          <w:marRight w:val="0"/>
          <w:marTop w:val="0"/>
          <w:marBottom w:val="0"/>
          <w:divBdr>
            <w:top w:val="none" w:sz="0" w:space="0" w:color="auto"/>
            <w:left w:val="none" w:sz="0" w:space="0" w:color="auto"/>
            <w:bottom w:val="none" w:sz="0" w:space="0" w:color="auto"/>
            <w:right w:val="none" w:sz="0" w:space="0" w:color="auto"/>
          </w:divBdr>
        </w:div>
      </w:divsChild>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55221">
      <w:bodyDiv w:val="1"/>
      <w:marLeft w:val="0"/>
      <w:marRight w:val="0"/>
      <w:marTop w:val="0"/>
      <w:marBottom w:val="0"/>
      <w:divBdr>
        <w:top w:val="none" w:sz="0" w:space="0" w:color="auto"/>
        <w:left w:val="none" w:sz="0" w:space="0" w:color="auto"/>
        <w:bottom w:val="none" w:sz="0" w:space="0" w:color="auto"/>
        <w:right w:val="none" w:sz="0" w:space="0" w:color="auto"/>
      </w:divBdr>
    </w:div>
    <w:div w:id="89275642">
      <w:bodyDiv w:val="1"/>
      <w:marLeft w:val="0"/>
      <w:marRight w:val="0"/>
      <w:marTop w:val="0"/>
      <w:marBottom w:val="0"/>
      <w:divBdr>
        <w:top w:val="none" w:sz="0" w:space="0" w:color="auto"/>
        <w:left w:val="none" w:sz="0" w:space="0" w:color="auto"/>
        <w:bottom w:val="none" w:sz="0" w:space="0" w:color="auto"/>
        <w:right w:val="none" w:sz="0" w:space="0" w:color="auto"/>
      </w:divBdr>
      <w:divsChild>
        <w:div w:id="2089033513">
          <w:marLeft w:val="0"/>
          <w:marRight w:val="0"/>
          <w:marTop w:val="0"/>
          <w:marBottom w:val="0"/>
          <w:divBdr>
            <w:top w:val="none" w:sz="0" w:space="0" w:color="auto"/>
            <w:left w:val="none" w:sz="0" w:space="0" w:color="auto"/>
            <w:bottom w:val="none" w:sz="0" w:space="0" w:color="auto"/>
            <w:right w:val="none" w:sz="0" w:space="0" w:color="auto"/>
          </w:divBdr>
          <w:divsChild>
            <w:div w:id="563024260">
              <w:marLeft w:val="0"/>
              <w:marRight w:val="0"/>
              <w:marTop w:val="0"/>
              <w:marBottom w:val="0"/>
              <w:divBdr>
                <w:top w:val="none" w:sz="0" w:space="0" w:color="auto"/>
                <w:left w:val="none" w:sz="0" w:space="0" w:color="auto"/>
                <w:bottom w:val="none" w:sz="0" w:space="0" w:color="auto"/>
                <w:right w:val="none" w:sz="0" w:space="0" w:color="auto"/>
              </w:divBdr>
              <w:divsChild>
                <w:div w:id="1068923680">
                  <w:marLeft w:val="0"/>
                  <w:marRight w:val="0"/>
                  <w:marTop w:val="0"/>
                  <w:marBottom w:val="0"/>
                  <w:divBdr>
                    <w:top w:val="none" w:sz="0" w:space="0" w:color="auto"/>
                    <w:left w:val="none" w:sz="0" w:space="0" w:color="auto"/>
                    <w:bottom w:val="none" w:sz="0" w:space="0" w:color="auto"/>
                    <w:right w:val="none" w:sz="0" w:space="0" w:color="auto"/>
                  </w:divBdr>
                  <w:divsChild>
                    <w:div w:id="75034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00354">
      <w:bodyDiv w:val="1"/>
      <w:marLeft w:val="0"/>
      <w:marRight w:val="0"/>
      <w:marTop w:val="0"/>
      <w:marBottom w:val="0"/>
      <w:divBdr>
        <w:top w:val="none" w:sz="0" w:space="0" w:color="auto"/>
        <w:left w:val="none" w:sz="0" w:space="0" w:color="auto"/>
        <w:bottom w:val="none" w:sz="0" w:space="0" w:color="auto"/>
        <w:right w:val="none" w:sz="0" w:space="0" w:color="auto"/>
      </w:divBdr>
    </w:div>
    <w:div w:id="184907079">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65328396">
      <w:bodyDiv w:val="1"/>
      <w:marLeft w:val="0"/>
      <w:marRight w:val="0"/>
      <w:marTop w:val="0"/>
      <w:marBottom w:val="0"/>
      <w:divBdr>
        <w:top w:val="none" w:sz="0" w:space="0" w:color="auto"/>
        <w:left w:val="none" w:sz="0" w:space="0" w:color="auto"/>
        <w:bottom w:val="none" w:sz="0" w:space="0" w:color="auto"/>
        <w:right w:val="none" w:sz="0" w:space="0" w:color="auto"/>
      </w:divBdr>
    </w:div>
    <w:div w:id="375550731">
      <w:bodyDiv w:val="1"/>
      <w:marLeft w:val="0"/>
      <w:marRight w:val="0"/>
      <w:marTop w:val="0"/>
      <w:marBottom w:val="0"/>
      <w:divBdr>
        <w:top w:val="none" w:sz="0" w:space="0" w:color="auto"/>
        <w:left w:val="none" w:sz="0" w:space="0" w:color="auto"/>
        <w:bottom w:val="none" w:sz="0" w:space="0" w:color="auto"/>
        <w:right w:val="none" w:sz="0" w:space="0" w:color="auto"/>
      </w:divBdr>
    </w:div>
    <w:div w:id="497162667">
      <w:bodyDiv w:val="1"/>
      <w:marLeft w:val="0"/>
      <w:marRight w:val="0"/>
      <w:marTop w:val="0"/>
      <w:marBottom w:val="0"/>
      <w:divBdr>
        <w:top w:val="none" w:sz="0" w:space="0" w:color="auto"/>
        <w:left w:val="none" w:sz="0" w:space="0" w:color="auto"/>
        <w:bottom w:val="none" w:sz="0" w:space="0" w:color="auto"/>
        <w:right w:val="none" w:sz="0" w:space="0" w:color="auto"/>
      </w:divBdr>
    </w:div>
    <w:div w:id="528690911">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692535740">
      <w:bodyDiv w:val="1"/>
      <w:marLeft w:val="0"/>
      <w:marRight w:val="0"/>
      <w:marTop w:val="0"/>
      <w:marBottom w:val="0"/>
      <w:divBdr>
        <w:top w:val="none" w:sz="0" w:space="0" w:color="auto"/>
        <w:left w:val="none" w:sz="0" w:space="0" w:color="auto"/>
        <w:bottom w:val="none" w:sz="0" w:space="0" w:color="auto"/>
        <w:right w:val="none" w:sz="0" w:space="0" w:color="auto"/>
      </w:divBdr>
      <w:divsChild>
        <w:div w:id="1831284163">
          <w:marLeft w:val="0"/>
          <w:marRight w:val="0"/>
          <w:marTop w:val="0"/>
          <w:marBottom w:val="0"/>
          <w:divBdr>
            <w:top w:val="none" w:sz="0" w:space="0" w:color="auto"/>
            <w:left w:val="none" w:sz="0" w:space="0" w:color="auto"/>
            <w:bottom w:val="none" w:sz="0" w:space="0" w:color="auto"/>
            <w:right w:val="none" w:sz="0" w:space="0" w:color="auto"/>
          </w:divBdr>
          <w:divsChild>
            <w:div w:id="1199708528">
              <w:marLeft w:val="0"/>
              <w:marRight w:val="0"/>
              <w:marTop w:val="0"/>
              <w:marBottom w:val="0"/>
              <w:divBdr>
                <w:top w:val="none" w:sz="0" w:space="0" w:color="auto"/>
                <w:left w:val="none" w:sz="0" w:space="0" w:color="auto"/>
                <w:bottom w:val="none" w:sz="0" w:space="0" w:color="auto"/>
                <w:right w:val="none" w:sz="0" w:space="0" w:color="auto"/>
              </w:divBdr>
              <w:divsChild>
                <w:div w:id="73847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141978">
      <w:bodyDiv w:val="1"/>
      <w:marLeft w:val="0"/>
      <w:marRight w:val="0"/>
      <w:marTop w:val="0"/>
      <w:marBottom w:val="0"/>
      <w:divBdr>
        <w:top w:val="none" w:sz="0" w:space="0" w:color="auto"/>
        <w:left w:val="none" w:sz="0" w:space="0" w:color="auto"/>
        <w:bottom w:val="none" w:sz="0" w:space="0" w:color="auto"/>
        <w:right w:val="none" w:sz="0" w:space="0" w:color="auto"/>
      </w:divBdr>
    </w:div>
    <w:div w:id="727343051">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66732768">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283082">
      <w:bodyDiv w:val="1"/>
      <w:marLeft w:val="0"/>
      <w:marRight w:val="0"/>
      <w:marTop w:val="0"/>
      <w:marBottom w:val="0"/>
      <w:divBdr>
        <w:top w:val="none" w:sz="0" w:space="0" w:color="auto"/>
        <w:left w:val="none" w:sz="0" w:space="0" w:color="auto"/>
        <w:bottom w:val="none" w:sz="0" w:space="0" w:color="auto"/>
        <w:right w:val="none" w:sz="0" w:space="0" w:color="auto"/>
      </w:divBdr>
      <w:divsChild>
        <w:div w:id="1154177919">
          <w:marLeft w:val="0"/>
          <w:marRight w:val="0"/>
          <w:marTop w:val="0"/>
          <w:marBottom w:val="0"/>
          <w:divBdr>
            <w:top w:val="none" w:sz="0" w:space="0" w:color="auto"/>
            <w:left w:val="none" w:sz="0" w:space="0" w:color="auto"/>
            <w:bottom w:val="none" w:sz="0" w:space="0" w:color="auto"/>
            <w:right w:val="none" w:sz="0" w:space="0" w:color="auto"/>
          </w:divBdr>
          <w:divsChild>
            <w:div w:id="1235509670">
              <w:marLeft w:val="0"/>
              <w:marRight w:val="0"/>
              <w:marTop w:val="0"/>
              <w:marBottom w:val="0"/>
              <w:divBdr>
                <w:top w:val="none" w:sz="0" w:space="0" w:color="auto"/>
                <w:left w:val="none" w:sz="0" w:space="0" w:color="auto"/>
                <w:bottom w:val="none" w:sz="0" w:space="0" w:color="auto"/>
                <w:right w:val="none" w:sz="0" w:space="0" w:color="auto"/>
              </w:divBdr>
              <w:divsChild>
                <w:div w:id="8612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873192">
      <w:bodyDiv w:val="1"/>
      <w:marLeft w:val="0"/>
      <w:marRight w:val="0"/>
      <w:marTop w:val="0"/>
      <w:marBottom w:val="0"/>
      <w:divBdr>
        <w:top w:val="none" w:sz="0" w:space="0" w:color="auto"/>
        <w:left w:val="none" w:sz="0" w:space="0" w:color="auto"/>
        <w:bottom w:val="none" w:sz="0" w:space="0" w:color="auto"/>
        <w:right w:val="none" w:sz="0" w:space="0" w:color="auto"/>
      </w:divBdr>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10164740">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042632758">
      <w:bodyDiv w:val="1"/>
      <w:marLeft w:val="0"/>
      <w:marRight w:val="0"/>
      <w:marTop w:val="0"/>
      <w:marBottom w:val="0"/>
      <w:divBdr>
        <w:top w:val="none" w:sz="0" w:space="0" w:color="auto"/>
        <w:left w:val="none" w:sz="0" w:space="0" w:color="auto"/>
        <w:bottom w:val="none" w:sz="0" w:space="0" w:color="auto"/>
        <w:right w:val="none" w:sz="0" w:space="0" w:color="auto"/>
      </w:divBdr>
      <w:divsChild>
        <w:div w:id="331303432">
          <w:marLeft w:val="0"/>
          <w:marRight w:val="0"/>
          <w:marTop w:val="0"/>
          <w:marBottom w:val="0"/>
          <w:divBdr>
            <w:top w:val="none" w:sz="0" w:space="0" w:color="auto"/>
            <w:left w:val="none" w:sz="0" w:space="0" w:color="auto"/>
            <w:bottom w:val="none" w:sz="0" w:space="0" w:color="auto"/>
            <w:right w:val="none" w:sz="0" w:space="0" w:color="auto"/>
          </w:divBdr>
          <w:divsChild>
            <w:div w:id="1160542981">
              <w:marLeft w:val="0"/>
              <w:marRight w:val="0"/>
              <w:marTop w:val="0"/>
              <w:marBottom w:val="0"/>
              <w:divBdr>
                <w:top w:val="none" w:sz="0" w:space="0" w:color="auto"/>
                <w:left w:val="none" w:sz="0" w:space="0" w:color="auto"/>
                <w:bottom w:val="none" w:sz="0" w:space="0" w:color="auto"/>
                <w:right w:val="none" w:sz="0" w:space="0" w:color="auto"/>
              </w:divBdr>
              <w:divsChild>
                <w:div w:id="188366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396124">
      <w:bodyDiv w:val="1"/>
      <w:marLeft w:val="0"/>
      <w:marRight w:val="0"/>
      <w:marTop w:val="0"/>
      <w:marBottom w:val="0"/>
      <w:divBdr>
        <w:top w:val="none" w:sz="0" w:space="0" w:color="auto"/>
        <w:left w:val="none" w:sz="0" w:space="0" w:color="auto"/>
        <w:bottom w:val="none" w:sz="0" w:space="0" w:color="auto"/>
        <w:right w:val="none" w:sz="0" w:space="0" w:color="auto"/>
      </w:divBdr>
    </w:div>
    <w:div w:id="1161699058">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251231622">
      <w:bodyDiv w:val="1"/>
      <w:marLeft w:val="0"/>
      <w:marRight w:val="0"/>
      <w:marTop w:val="0"/>
      <w:marBottom w:val="0"/>
      <w:divBdr>
        <w:top w:val="none" w:sz="0" w:space="0" w:color="auto"/>
        <w:left w:val="none" w:sz="0" w:space="0" w:color="auto"/>
        <w:bottom w:val="none" w:sz="0" w:space="0" w:color="auto"/>
        <w:right w:val="none" w:sz="0" w:space="0" w:color="auto"/>
      </w:divBdr>
    </w:div>
    <w:div w:id="1264339739">
      <w:bodyDiv w:val="1"/>
      <w:marLeft w:val="0"/>
      <w:marRight w:val="0"/>
      <w:marTop w:val="0"/>
      <w:marBottom w:val="0"/>
      <w:divBdr>
        <w:top w:val="none" w:sz="0" w:space="0" w:color="auto"/>
        <w:left w:val="none" w:sz="0" w:space="0" w:color="auto"/>
        <w:bottom w:val="none" w:sz="0" w:space="0" w:color="auto"/>
        <w:right w:val="none" w:sz="0" w:space="0" w:color="auto"/>
      </w:divBdr>
    </w:div>
    <w:div w:id="1304039823">
      <w:bodyDiv w:val="1"/>
      <w:marLeft w:val="0"/>
      <w:marRight w:val="0"/>
      <w:marTop w:val="0"/>
      <w:marBottom w:val="0"/>
      <w:divBdr>
        <w:top w:val="none" w:sz="0" w:space="0" w:color="auto"/>
        <w:left w:val="none" w:sz="0" w:space="0" w:color="auto"/>
        <w:bottom w:val="none" w:sz="0" w:space="0" w:color="auto"/>
        <w:right w:val="none" w:sz="0" w:space="0" w:color="auto"/>
      </w:divBdr>
      <w:divsChild>
        <w:div w:id="1969234531">
          <w:marLeft w:val="0"/>
          <w:marRight w:val="0"/>
          <w:marTop w:val="0"/>
          <w:marBottom w:val="0"/>
          <w:divBdr>
            <w:top w:val="none" w:sz="0" w:space="0" w:color="auto"/>
            <w:left w:val="none" w:sz="0" w:space="0" w:color="auto"/>
            <w:bottom w:val="none" w:sz="0" w:space="0" w:color="auto"/>
            <w:right w:val="none" w:sz="0" w:space="0" w:color="auto"/>
          </w:divBdr>
          <w:divsChild>
            <w:div w:id="182404294">
              <w:marLeft w:val="0"/>
              <w:marRight w:val="0"/>
              <w:marTop w:val="0"/>
              <w:marBottom w:val="0"/>
              <w:divBdr>
                <w:top w:val="none" w:sz="0" w:space="0" w:color="auto"/>
                <w:left w:val="none" w:sz="0" w:space="0" w:color="auto"/>
                <w:bottom w:val="none" w:sz="0" w:space="0" w:color="auto"/>
                <w:right w:val="none" w:sz="0" w:space="0" w:color="auto"/>
              </w:divBdr>
              <w:divsChild>
                <w:div w:id="68721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840554">
      <w:bodyDiv w:val="1"/>
      <w:marLeft w:val="0"/>
      <w:marRight w:val="0"/>
      <w:marTop w:val="0"/>
      <w:marBottom w:val="0"/>
      <w:divBdr>
        <w:top w:val="none" w:sz="0" w:space="0" w:color="auto"/>
        <w:left w:val="none" w:sz="0" w:space="0" w:color="auto"/>
        <w:bottom w:val="none" w:sz="0" w:space="0" w:color="auto"/>
        <w:right w:val="none" w:sz="0" w:space="0" w:color="auto"/>
      </w:divBdr>
      <w:divsChild>
        <w:div w:id="1767458251">
          <w:marLeft w:val="0"/>
          <w:marRight w:val="0"/>
          <w:marTop w:val="0"/>
          <w:marBottom w:val="0"/>
          <w:divBdr>
            <w:top w:val="none" w:sz="0" w:space="0" w:color="auto"/>
            <w:left w:val="none" w:sz="0" w:space="0" w:color="auto"/>
            <w:bottom w:val="none" w:sz="0" w:space="0" w:color="auto"/>
            <w:right w:val="none" w:sz="0" w:space="0" w:color="auto"/>
          </w:divBdr>
          <w:divsChild>
            <w:div w:id="864363815">
              <w:marLeft w:val="0"/>
              <w:marRight w:val="0"/>
              <w:marTop w:val="0"/>
              <w:marBottom w:val="0"/>
              <w:divBdr>
                <w:top w:val="none" w:sz="0" w:space="0" w:color="auto"/>
                <w:left w:val="none" w:sz="0" w:space="0" w:color="auto"/>
                <w:bottom w:val="none" w:sz="0" w:space="0" w:color="auto"/>
                <w:right w:val="none" w:sz="0" w:space="0" w:color="auto"/>
              </w:divBdr>
            </w:div>
          </w:divsChild>
        </w:div>
        <w:div w:id="2142262079">
          <w:marLeft w:val="0"/>
          <w:marRight w:val="0"/>
          <w:marTop w:val="0"/>
          <w:marBottom w:val="0"/>
          <w:divBdr>
            <w:top w:val="none" w:sz="0" w:space="0" w:color="auto"/>
            <w:left w:val="none" w:sz="0" w:space="0" w:color="auto"/>
            <w:bottom w:val="none" w:sz="0" w:space="0" w:color="auto"/>
            <w:right w:val="none" w:sz="0" w:space="0" w:color="auto"/>
          </w:divBdr>
          <w:divsChild>
            <w:div w:id="558857798">
              <w:marLeft w:val="0"/>
              <w:marRight w:val="0"/>
              <w:marTop w:val="0"/>
              <w:marBottom w:val="0"/>
              <w:divBdr>
                <w:top w:val="none" w:sz="0" w:space="0" w:color="auto"/>
                <w:left w:val="none" w:sz="0" w:space="0" w:color="auto"/>
                <w:bottom w:val="none" w:sz="0" w:space="0" w:color="auto"/>
                <w:right w:val="none" w:sz="0" w:space="0" w:color="auto"/>
              </w:divBdr>
            </w:div>
          </w:divsChild>
        </w:div>
        <w:div w:id="756903398">
          <w:marLeft w:val="0"/>
          <w:marRight w:val="0"/>
          <w:marTop w:val="0"/>
          <w:marBottom w:val="0"/>
          <w:divBdr>
            <w:top w:val="none" w:sz="0" w:space="0" w:color="auto"/>
            <w:left w:val="none" w:sz="0" w:space="0" w:color="auto"/>
            <w:bottom w:val="none" w:sz="0" w:space="0" w:color="auto"/>
            <w:right w:val="none" w:sz="0" w:space="0" w:color="auto"/>
          </w:divBdr>
          <w:divsChild>
            <w:div w:id="874393945">
              <w:marLeft w:val="0"/>
              <w:marRight w:val="0"/>
              <w:marTop w:val="0"/>
              <w:marBottom w:val="0"/>
              <w:divBdr>
                <w:top w:val="none" w:sz="0" w:space="0" w:color="auto"/>
                <w:left w:val="none" w:sz="0" w:space="0" w:color="auto"/>
                <w:bottom w:val="none" w:sz="0" w:space="0" w:color="auto"/>
                <w:right w:val="none" w:sz="0" w:space="0" w:color="auto"/>
              </w:divBdr>
            </w:div>
          </w:divsChild>
        </w:div>
        <w:div w:id="1660888175">
          <w:marLeft w:val="0"/>
          <w:marRight w:val="0"/>
          <w:marTop w:val="0"/>
          <w:marBottom w:val="0"/>
          <w:divBdr>
            <w:top w:val="none" w:sz="0" w:space="0" w:color="auto"/>
            <w:left w:val="none" w:sz="0" w:space="0" w:color="auto"/>
            <w:bottom w:val="none" w:sz="0" w:space="0" w:color="auto"/>
            <w:right w:val="none" w:sz="0" w:space="0" w:color="auto"/>
          </w:divBdr>
          <w:divsChild>
            <w:div w:id="72472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838250">
      <w:bodyDiv w:val="1"/>
      <w:marLeft w:val="0"/>
      <w:marRight w:val="0"/>
      <w:marTop w:val="0"/>
      <w:marBottom w:val="0"/>
      <w:divBdr>
        <w:top w:val="none" w:sz="0" w:space="0" w:color="auto"/>
        <w:left w:val="none" w:sz="0" w:space="0" w:color="auto"/>
        <w:bottom w:val="none" w:sz="0" w:space="0" w:color="auto"/>
        <w:right w:val="none" w:sz="0" w:space="0" w:color="auto"/>
      </w:divBdr>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445074877">
      <w:bodyDiv w:val="1"/>
      <w:marLeft w:val="0"/>
      <w:marRight w:val="0"/>
      <w:marTop w:val="0"/>
      <w:marBottom w:val="0"/>
      <w:divBdr>
        <w:top w:val="none" w:sz="0" w:space="0" w:color="auto"/>
        <w:left w:val="none" w:sz="0" w:space="0" w:color="auto"/>
        <w:bottom w:val="none" w:sz="0" w:space="0" w:color="auto"/>
        <w:right w:val="none" w:sz="0" w:space="0" w:color="auto"/>
      </w:divBdr>
    </w:div>
    <w:div w:id="1461218254">
      <w:bodyDiv w:val="1"/>
      <w:marLeft w:val="0"/>
      <w:marRight w:val="0"/>
      <w:marTop w:val="0"/>
      <w:marBottom w:val="0"/>
      <w:divBdr>
        <w:top w:val="none" w:sz="0" w:space="0" w:color="auto"/>
        <w:left w:val="none" w:sz="0" w:space="0" w:color="auto"/>
        <w:bottom w:val="none" w:sz="0" w:space="0" w:color="auto"/>
        <w:right w:val="none" w:sz="0" w:space="0" w:color="auto"/>
      </w:divBdr>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571423430">
      <w:bodyDiv w:val="1"/>
      <w:marLeft w:val="0"/>
      <w:marRight w:val="0"/>
      <w:marTop w:val="0"/>
      <w:marBottom w:val="0"/>
      <w:divBdr>
        <w:top w:val="none" w:sz="0" w:space="0" w:color="auto"/>
        <w:left w:val="none" w:sz="0" w:space="0" w:color="auto"/>
        <w:bottom w:val="none" w:sz="0" w:space="0" w:color="auto"/>
        <w:right w:val="none" w:sz="0" w:space="0" w:color="auto"/>
      </w:divBdr>
    </w:div>
    <w:div w:id="1588343173">
      <w:bodyDiv w:val="1"/>
      <w:marLeft w:val="0"/>
      <w:marRight w:val="0"/>
      <w:marTop w:val="0"/>
      <w:marBottom w:val="0"/>
      <w:divBdr>
        <w:top w:val="none" w:sz="0" w:space="0" w:color="auto"/>
        <w:left w:val="none" w:sz="0" w:space="0" w:color="auto"/>
        <w:bottom w:val="none" w:sz="0" w:space="0" w:color="auto"/>
        <w:right w:val="none" w:sz="0" w:space="0" w:color="auto"/>
      </w:divBdr>
    </w:div>
    <w:div w:id="1594314269">
      <w:bodyDiv w:val="1"/>
      <w:marLeft w:val="0"/>
      <w:marRight w:val="0"/>
      <w:marTop w:val="0"/>
      <w:marBottom w:val="0"/>
      <w:divBdr>
        <w:top w:val="none" w:sz="0" w:space="0" w:color="auto"/>
        <w:left w:val="none" w:sz="0" w:space="0" w:color="auto"/>
        <w:bottom w:val="none" w:sz="0" w:space="0" w:color="auto"/>
        <w:right w:val="none" w:sz="0" w:space="0" w:color="auto"/>
      </w:divBdr>
    </w:div>
    <w:div w:id="1612132252">
      <w:bodyDiv w:val="1"/>
      <w:marLeft w:val="0"/>
      <w:marRight w:val="0"/>
      <w:marTop w:val="0"/>
      <w:marBottom w:val="0"/>
      <w:divBdr>
        <w:top w:val="none" w:sz="0" w:space="0" w:color="auto"/>
        <w:left w:val="none" w:sz="0" w:space="0" w:color="auto"/>
        <w:bottom w:val="none" w:sz="0" w:space="0" w:color="auto"/>
        <w:right w:val="none" w:sz="0" w:space="0" w:color="auto"/>
      </w:divBdr>
    </w:div>
    <w:div w:id="1621758903">
      <w:bodyDiv w:val="1"/>
      <w:marLeft w:val="0"/>
      <w:marRight w:val="0"/>
      <w:marTop w:val="0"/>
      <w:marBottom w:val="0"/>
      <w:divBdr>
        <w:top w:val="none" w:sz="0" w:space="0" w:color="auto"/>
        <w:left w:val="none" w:sz="0" w:space="0" w:color="auto"/>
        <w:bottom w:val="none" w:sz="0" w:space="0" w:color="auto"/>
        <w:right w:val="none" w:sz="0" w:space="0" w:color="auto"/>
      </w:divBdr>
    </w:div>
    <w:div w:id="1621762058">
      <w:bodyDiv w:val="1"/>
      <w:marLeft w:val="0"/>
      <w:marRight w:val="0"/>
      <w:marTop w:val="0"/>
      <w:marBottom w:val="0"/>
      <w:divBdr>
        <w:top w:val="none" w:sz="0" w:space="0" w:color="auto"/>
        <w:left w:val="none" w:sz="0" w:space="0" w:color="auto"/>
        <w:bottom w:val="none" w:sz="0" w:space="0" w:color="auto"/>
        <w:right w:val="none" w:sz="0" w:space="0" w:color="auto"/>
      </w:divBdr>
    </w:div>
    <w:div w:id="1706515860">
      <w:bodyDiv w:val="1"/>
      <w:marLeft w:val="0"/>
      <w:marRight w:val="0"/>
      <w:marTop w:val="0"/>
      <w:marBottom w:val="0"/>
      <w:divBdr>
        <w:top w:val="none" w:sz="0" w:space="0" w:color="auto"/>
        <w:left w:val="none" w:sz="0" w:space="0" w:color="auto"/>
        <w:bottom w:val="none" w:sz="0" w:space="0" w:color="auto"/>
        <w:right w:val="none" w:sz="0" w:space="0" w:color="auto"/>
      </w:divBdr>
    </w:div>
    <w:div w:id="1757092349">
      <w:bodyDiv w:val="1"/>
      <w:marLeft w:val="0"/>
      <w:marRight w:val="0"/>
      <w:marTop w:val="0"/>
      <w:marBottom w:val="0"/>
      <w:divBdr>
        <w:top w:val="none" w:sz="0" w:space="0" w:color="auto"/>
        <w:left w:val="none" w:sz="0" w:space="0" w:color="auto"/>
        <w:bottom w:val="none" w:sz="0" w:space="0" w:color="auto"/>
        <w:right w:val="none" w:sz="0" w:space="0" w:color="auto"/>
      </w:divBdr>
    </w:div>
    <w:div w:id="1804958937">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362898">
      <w:bodyDiv w:val="1"/>
      <w:marLeft w:val="0"/>
      <w:marRight w:val="0"/>
      <w:marTop w:val="0"/>
      <w:marBottom w:val="0"/>
      <w:divBdr>
        <w:top w:val="none" w:sz="0" w:space="0" w:color="auto"/>
        <w:left w:val="none" w:sz="0" w:space="0" w:color="auto"/>
        <w:bottom w:val="none" w:sz="0" w:space="0" w:color="auto"/>
        <w:right w:val="none" w:sz="0" w:space="0" w:color="auto"/>
      </w:divBdr>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42030291">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2998314">
      <w:bodyDiv w:val="1"/>
      <w:marLeft w:val="0"/>
      <w:marRight w:val="0"/>
      <w:marTop w:val="0"/>
      <w:marBottom w:val="0"/>
      <w:divBdr>
        <w:top w:val="none" w:sz="0" w:space="0" w:color="auto"/>
        <w:left w:val="none" w:sz="0" w:space="0" w:color="auto"/>
        <w:bottom w:val="none" w:sz="0" w:space="0" w:color="auto"/>
        <w:right w:val="none" w:sz="0" w:space="0" w:color="auto"/>
      </w:divBdr>
      <w:divsChild>
        <w:div w:id="1587031573">
          <w:marLeft w:val="0"/>
          <w:marRight w:val="0"/>
          <w:marTop w:val="0"/>
          <w:marBottom w:val="0"/>
          <w:divBdr>
            <w:top w:val="none" w:sz="0" w:space="0" w:color="auto"/>
            <w:left w:val="none" w:sz="0" w:space="0" w:color="auto"/>
            <w:bottom w:val="none" w:sz="0" w:space="0" w:color="auto"/>
            <w:right w:val="none" w:sz="0" w:space="0" w:color="auto"/>
          </w:divBdr>
          <w:divsChild>
            <w:div w:id="268124567">
              <w:marLeft w:val="0"/>
              <w:marRight w:val="0"/>
              <w:marTop w:val="0"/>
              <w:marBottom w:val="0"/>
              <w:divBdr>
                <w:top w:val="none" w:sz="0" w:space="0" w:color="auto"/>
                <w:left w:val="none" w:sz="0" w:space="0" w:color="auto"/>
                <w:bottom w:val="none" w:sz="0" w:space="0" w:color="auto"/>
                <w:right w:val="none" w:sz="0" w:space="0" w:color="auto"/>
              </w:divBdr>
              <w:divsChild>
                <w:div w:id="113825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324342">
      <w:bodyDiv w:val="1"/>
      <w:marLeft w:val="0"/>
      <w:marRight w:val="0"/>
      <w:marTop w:val="0"/>
      <w:marBottom w:val="0"/>
      <w:divBdr>
        <w:top w:val="none" w:sz="0" w:space="0" w:color="auto"/>
        <w:left w:val="none" w:sz="0" w:space="0" w:color="auto"/>
        <w:bottom w:val="none" w:sz="0" w:space="0" w:color="auto"/>
        <w:right w:val="none" w:sz="0" w:space="0" w:color="auto"/>
      </w:divBdr>
    </w:div>
    <w:div w:id="1992564049">
      <w:bodyDiv w:val="1"/>
      <w:marLeft w:val="0"/>
      <w:marRight w:val="0"/>
      <w:marTop w:val="0"/>
      <w:marBottom w:val="0"/>
      <w:divBdr>
        <w:top w:val="none" w:sz="0" w:space="0" w:color="auto"/>
        <w:left w:val="none" w:sz="0" w:space="0" w:color="auto"/>
        <w:bottom w:val="none" w:sz="0" w:space="0" w:color="auto"/>
        <w:right w:val="none" w:sz="0" w:space="0" w:color="auto"/>
      </w:divBdr>
    </w:div>
    <w:div w:id="2042198160">
      <w:bodyDiv w:val="1"/>
      <w:marLeft w:val="0"/>
      <w:marRight w:val="0"/>
      <w:marTop w:val="0"/>
      <w:marBottom w:val="0"/>
      <w:divBdr>
        <w:top w:val="none" w:sz="0" w:space="0" w:color="auto"/>
        <w:left w:val="none" w:sz="0" w:space="0" w:color="auto"/>
        <w:bottom w:val="none" w:sz="0" w:space="0" w:color="auto"/>
        <w:right w:val="none" w:sz="0" w:space="0" w:color="auto"/>
      </w:divBdr>
    </w:div>
    <w:div w:id="2047414404">
      <w:bodyDiv w:val="1"/>
      <w:marLeft w:val="0"/>
      <w:marRight w:val="0"/>
      <w:marTop w:val="0"/>
      <w:marBottom w:val="0"/>
      <w:divBdr>
        <w:top w:val="none" w:sz="0" w:space="0" w:color="auto"/>
        <w:left w:val="none" w:sz="0" w:space="0" w:color="auto"/>
        <w:bottom w:val="none" w:sz="0" w:space="0" w:color="auto"/>
        <w:right w:val="none" w:sz="0" w:space="0" w:color="auto"/>
      </w:divBdr>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DC9FE9F6-B92F-4F28-AB1B-1778E8CA0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EDE741-CF28-4C09-9D1E-C16175622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945</TotalTime>
  <Pages>20</Pages>
  <Words>6066</Words>
  <Characters>33369</Characters>
  <Application>Microsoft Office Word</Application>
  <DocSecurity>0</DocSecurity>
  <Lines>278</Lines>
  <Paragraphs>78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39357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anv</dc:creator>
  <cp:keywords/>
  <dc:description/>
  <cp:lastModifiedBy>Andrea Ramírez Castañeda</cp:lastModifiedBy>
  <cp:revision>150</cp:revision>
  <dcterms:created xsi:type="dcterms:W3CDTF">2022-02-17T16:52:00Z</dcterms:created>
  <dcterms:modified xsi:type="dcterms:W3CDTF">2022-03-29T22:59:00Z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