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B6CE" w14:textId="78193BAF" w:rsidR="004107AA" w:rsidRPr="004107AA" w:rsidRDefault="004107AA" w:rsidP="004107AA">
      <w:pPr>
        <w:spacing w:after="0"/>
        <w:jc w:val="both"/>
        <w:rPr>
          <w:rFonts w:ascii="Verdana" w:hAnsi="Verdana"/>
        </w:rPr>
      </w:pPr>
      <w:bookmarkStart w:id="0" w:name="_Hlk143780582"/>
      <w:r w:rsidRPr="004107AA">
        <w:rPr>
          <w:rFonts w:ascii="Verdana" w:eastAsia="Calibri" w:hAnsi="Verdana" w:cs="Arial"/>
          <w:b/>
          <w:color w:val="000000"/>
          <w:lang w:val="es-ES"/>
        </w:rPr>
        <w:t xml:space="preserve">GARANTÍAS – Contratación estatal – Constitución de garantías – Finalidad – Cumplimiento – Obligaciones contractuales </w:t>
      </w:r>
    </w:p>
    <w:p w14:paraId="16E6E0A5" w14:textId="77777777" w:rsidR="004107AA" w:rsidRPr="00412235" w:rsidRDefault="004107AA" w:rsidP="00B91020">
      <w:pPr>
        <w:spacing w:after="0" w:line="276" w:lineRule="auto"/>
        <w:jc w:val="both"/>
        <w:rPr>
          <w:rFonts w:ascii="Verdana" w:eastAsia="Calibri" w:hAnsi="Verdana" w:cs="Arial"/>
          <w:bCs/>
          <w:color w:val="000000"/>
          <w:lang w:val="es-ES"/>
        </w:rPr>
      </w:pPr>
    </w:p>
    <w:p w14:paraId="6D1CA195" w14:textId="59CE97D1" w:rsidR="00057AEB" w:rsidRPr="00AC34F1" w:rsidRDefault="00057AEB" w:rsidP="00AC34F1">
      <w:pPr>
        <w:spacing w:after="0" w:line="240" w:lineRule="auto"/>
        <w:jc w:val="both"/>
        <w:rPr>
          <w:rFonts w:ascii="Verdana" w:eastAsia="Calibri" w:hAnsi="Verdana" w:cs="Arial"/>
          <w:color w:val="000000"/>
          <w:sz w:val="20"/>
          <w:szCs w:val="20"/>
          <w:lang w:val="es-ES"/>
        </w:rPr>
      </w:pPr>
      <w:r w:rsidRPr="00AC34F1">
        <w:rPr>
          <w:rFonts w:ascii="Verdana" w:eastAsia="Calibri" w:hAnsi="Verdana" w:cs="Arial"/>
          <w:color w:val="000000"/>
          <w:sz w:val="20"/>
          <w:szCs w:val="20"/>
          <w:shd w:val="clear" w:color="auto" w:fill="FFFFFF"/>
        </w:rPr>
        <w:t>Por regla, para seleccionar contratistas y para ejecutar contratos se requiere la constitución de garantías. Por un lado, l</w:t>
      </w:r>
      <w:r w:rsidRPr="00AC34F1">
        <w:rPr>
          <w:rFonts w:ascii="Verdana" w:eastAsia="Calibri" w:hAnsi="Verdana" w:cs="Arial"/>
          <w:color w:val="000000"/>
          <w:sz w:val="20"/>
          <w:szCs w:val="20"/>
          <w:lang w:val="es-ES"/>
        </w:rPr>
        <w:t xml:space="preserve">a </w:t>
      </w:r>
      <w:r w:rsidRPr="00AC34F1">
        <w:rPr>
          <w:rFonts w:ascii="Verdana" w:eastAsia="Calibri" w:hAnsi="Verdana" w:cs="Arial"/>
          <w:i/>
          <w:iCs/>
          <w:color w:val="000000"/>
          <w:sz w:val="20"/>
          <w:szCs w:val="20"/>
          <w:lang w:val="es-ES"/>
        </w:rPr>
        <w:t>garantía de seriedad</w:t>
      </w:r>
      <w:r w:rsidRPr="00AC34F1">
        <w:rPr>
          <w:rFonts w:ascii="Verdana" w:eastAsia="Calibri" w:hAnsi="Verdana" w:cs="Arial"/>
          <w:color w:val="000000"/>
          <w:sz w:val="20"/>
          <w:szCs w:val="20"/>
          <w:lang w:val="es-ES"/>
        </w:rPr>
        <w:t xml:space="preserve"> respalda el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w:t>
      </w:r>
      <w:r w:rsidR="00AC34F1" w:rsidRPr="00AC34F1">
        <w:rPr>
          <w:rFonts w:ascii="Verdana" w:eastAsia="Calibri" w:hAnsi="Verdana" w:cs="Arial"/>
          <w:color w:val="000000"/>
          <w:sz w:val="20"/>
          <w:szCs w:val="20"/>
          <w:lang w:val="es-ES"/>
        </w:rPr>
        <w:t>s</w:t>
      </w:r>
      <w:r w:rsidRPr="00AC34F1">
        <w:rPr>
          <w:rFonts w:ascii="Verdana" w:eastAsia="Calibri" w:hAnsi="Verdana" w:cs="Arial"/>
          <w:color w:val="000000"/>
          <w:sz w:val="20"/>
          <w:szCs w:val="20"/>
          <w:lang w:val="es-ES"/>
        </w:rPr>
        <w:t xml:space="preserve">. </w:t>
      </w:r>
      <w:r w:rsidR="00AC34F1" w:rsidRPr="00AC34F1">
        <w:rPr>
          <w:rFonts w:ascii="Verdana" w:eastAsia="Calibri" w:hAnsi="Verdana" w:cs="Arial"/>
          <w:color w:val="000000"/>
          <w:sz w:val="20"/>
          <w:szCs w:val="20"/>
          <w:lang w:val="es-ES"/>
        </w:rPr>
        <w:t>[…]</w:t>
      </w:r>
    </w:p>
    <w:p w14:paraId="1438D72B" w14:textId="77777777" w:rsidR="004107AA" w:rsidRPr="00412235" w:rsidRDefault="004107AA" w:rsidP="00B91020">
      <w:pPr>
        <w:spacing w:after="0" w:line="276" w:lineRule="auto"/>
        <w:rPr>
          <w:rFonts w:ascii="Verdana" w:eastAsia="Geomanist Light" w:hAnsi="Verdana" w:cs="Arial"/>
          <w:color w:val="000000"/>
          <w:lang w:val="es-ES_tradnl"/>
        </w:rPr>
      </w:pPr>
    </w:p>
    <w:p w14:paraId="63A33FF2" w14:textId="77777777" w:rsidR="004107AA" w:rsidRPr="004107AA" w:rsidRDefault="004107AA" w:rsidP="004107AA">
      <w:pPr>
        <w:spacing w:after="0" w:line="240" w:lineRule="auto"/>
        <w:jc w:val="both"/>
        <w:rPr>
          <w:rFonts w:ascii="Verdana" w:eastAsia="Calibri" w:hAnsi="Verdana" w:cs="Arial"/>
          <w:b/>
          <w:lang w:val="es-ES"/>
        </w:rPr>
      </w:pPr>
      <w:r w:rsidRPr="004107AA">
        <w:rPr>
          <w:rFonts w:ascii="Verdana" w:eastAsia="Calibri" w:hAnsi="Verdana" w:cs="Arial"/>
          <w:b/>
          <w:lang w:val="es-ES"/>
        </w:rPr>
        <w:t>GARANTÍA DE CUMPLIMIENTO – Amparos – Finalidad</w:t>
      </w:r>
    </w:p>
    <w:p w14:paraId="08D91104" w14:textId="77777777" w:rsidR="004107AA" w:rsidRPr="00412235" w:rsidRDefault="004107AA" w:rsidP="00B91020">
      <w:pPr>
        <w:spacing w:after="0" w:line="276" w:lineRule="auto"/>
        <w:jc w:val="both"/>
        <w:rPr>
          <w:rFonts w:ascii="Verdana" w:eastAsia="Calibri" w:hAnsi="Verdana" w:cs="Arial"/>
          <w:b/>
          <w:lang w:val="es-ES"/>
        </w:rPr>
      </w:pPr>
    </w:p>
    <w:p w14:paraId="3EBE7387" w14:textId="19FFA6BB" w:rsidR="005127C8" w:rsidRPr="00AC34F1" w:rsidRDefault="00057AEB" w:rsidP="00AC34F1">
      <w:pPr>
        <w:spacing w:after="0" w:line="240" w:lineRule="auto"/>
        <w:jc w:val="both"/>
        <w:rPr>
          <w:rFonts w:ascii="Verdana" w:eastAsia="Calibri" w:hAnsi="Verdana" w:cs="Arial"/>
          <w:color w:val="000000"/>
          <w:sz w:val="20"/>
          <w:szCs w:val="20"/>
          <w:lang w:val="es-ES_tradnl"/>
        </w:rPr>
      </w:pPr>
      <w:r w:rsidRPr="00AC34F1">
        <w:rPr>
          <w:rFonts w:ascii="Verdana" w:eastAsia="Calibri" w:hAnsi="Verdana" w:cs="Arial"/>
          <w:color w:val="000000"/>
          <w:sz w:val="20"/>
          <w:szCs w:val="20"/>
          <w:lang w:val="es-ES"/>
        </w:rPr>
        <w:t xml:space="preserve">En contraste, mediante la </w:t>
      </w:r>
      <w:r w:rsidRPr="00AC34F1">
        <w:rPr>
          <w:rFonts w:ascii="Verdana" w:eastAsia="Calibri" w:hAnsi="Verdana" w:cs="Arial"/>
          <w:i/>
          <w:iCs/>
          <w:color w:val="000000"/>
          <w:sz w:val="20"/>
          <w:szCs w:val="20"/>
          <w:lang w:val="es-ES"/>
        </w:rPr>
        <w:t>garantía única de cumplimiento</w:t>
      </w:r>
      <w:r w:rsidRPr="00AC34F1">
        <w:rPr>
          <w:rFonts w:ascii="Verdana" w:eastAsia="Calibri" w:hAnsi="Verdana" w:cs="Arial"/>
          <w:color w:val="000000"/>
          <w:sz w:val="20"/>
          <w:szCs w:val="20"/>
          <w:lang w:val="es-ES"/>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w:t>
      </w:r>
      <w:r w:rsidRPr="00AC34F1">
        <w:rPr>
          <w:rFonts w:ascii="Verdana" w:eastAsia="Calibri" w:hAnsi="Verdana" w:cs="Arial"/>
          <w:color w:val="000000"/>
          <w:sz w:val="20"/>
          <w:szCs w:val="20"/>
          <w:lang w:val="es-ES_tradnl"/>
        </w:rPr>
        <w:t xml:space="preserve">Para estos efectos es única, ya que “[…] La prioridad […] es que no haya garantías separadas para los diferentes riesgos, aunque existan varias garantías para diferentes proporciones del interés asegurado […]”.   </w:t>
      </w:r>
    </w:p>
    <w:p w14:paraId="097DD755" w14:textId="77777777" w:rsidR="00AC34F1" w:rsidRPr="00AC34F1" w:rsidRDefault="00AC34F1" w:rsidP="00AC34F1">
      <w:pPr>
        <w:spacing w:after="0" w:line="240" w:lineRule="auto"/>
        <w:jc w:val="both"/>
        <w:rPr>
          <w:rFonts w:ascii="Verdana" w:eastAsia="Calibri" w:hAnsi="Verdana" w:cs="Arial"/>
          <w:color w:val="000000"/>
          <w:sz w:val="20"/>
          <w:szCs w:val="20"/>
          <w:lang w:val="es-ES_tradnl"/>
        </w:rPr>
      </w:pPr>
    </w:p>
    <w:p w14:paraId="22DD08DC" w14:textId="0E44ADF5" w:rsidR="00057AEB" w:rsidRPr="00AC34F1" w:rsidRDefault="005127C8" w:rsidP="00AC34F1">
      <w:pPr>
        <w:spacing w:after="0" w:line="240" w:lineRule="auto"/>
        <w:jc w:val="both"/>
        <w:rPr>
          <w:rFonts w:ascii="Verdana" w:eastAsia="Calibri" w:hAnsi="Verdana" w:cs="Arial"/>
          <w:color w:val="000000"/>
          <w:sz w:val="20"/>
          <w:szCs w:val="20"/>
          <w:lang w:val="es-ES"/>
        </w:rPr>
      </w:pPr>
      <w:r w:rsidRPr="00AC34F1">
        <w:rPr>
          <w:rFonts w:ascii="Verdana" w:eastAsia="Calibri" w:hAnsi="Verdana" w:cs="Arial"/>
          <w:color w:val="000000"/>
          <w:sz w:val="20"/>
          <w:szCs w:val="20"/>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AC34F1">
        <w:rPr>
          <w:rFonts w:ascii="Verdana" w:eastAsia="Calibri" w:hAnsi="Verdana" w:cs="Arial"/>
          <w:color w:val="000000"/>
          <w:sz w:val="20"/>
          <w:szCs w:val="20"/>
          <w:lang w:val="es-ES"/>
        </w:rPr>
        <w:t>ii</w:t>
      </w:r>
      <w:proofErr w:type="spellEnd"/>
      <w:r w:rsidRPr="00AC34F1">
        <w:rPr>
          <w:rFonts w:ascii="Verdana" w:eastAsia="Calibri" w:hAnsi="Verdana" w:cs="Arial"/>
          <w:color w:val="000000"/>
          <w:sz w:val="20"/>
          <w:szCs w:val="20"/>
          <w:lang w:val="es-ES"/>
        </w:rPr>
        <w:t xml:space="preserve">) garantías bancarias o </w:t>
      </w:r>
      <w:proofErr w:type="spellStart"/>
      <w:r w:rsidRPr="00AC34F1">
        <w:rPr>
          <w:rFonts w:ascii="Verdana" w:eastAsia="Calibri" w:hAnsi="Verdana" w:cs="Arial"/>
          <w:color w:val="000000"/>
          <w:sz w:val="20"/>
          <w:szCs w:val="20"/>
          <w:lang w:val="es-ES"/>
        </w:rPr>
        <w:t>iii</w:t>
      </w:r>
      <w:proofErr w:type="spellEnd"/>
      <w:r w:rsidRPr="00AC34F1">
        <w:rPr>
          <w:rFonts w:ascii="Verdana" w:eastAsia="Calibri" w:hAnsi="Verdana" w:cs="Arial"/>
          <w:color w:val="000000"/>
          <w:sz w:val="20"/>
          <w:szCs w:val="20"/>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57C22256" w14:textId="77777777" w:rsidR="004107AA" w:rsidRPr="00AC34F1" w:rsidRDefault="004107AA" w:rsidP="00AC34F1">
      <w:pPr>
        <w:spacing w:after="0" w:line="276" w:lineRule="auto"/>
        <w:rPr>
          <w:rFonts w:ascii="Verdana" w:eastAsia="Geomanist Light" w:hAnsi="Verdana" w:cs="Arial"/>
          <w:color w:val="000000"/>
          <w:lang w:val="es-ES_tradnl"/>
        </w:rPr>
      </w:pPr>
    </w:p>
    <w:p w14:paraId="4DAC1A61" w14:textId="77777777" w:rsidR="004107AA" w:rsidRPr="004107AA" w:rsidRDefault="004107AA" w:rsidP="00AC34F1">
      <w:pPr>
        <w:tabs>
          <w:tab w:val="left" w:pos="426"/>
        </w:tabs>
        <w:spacing w:after="0" w:line="240" w:lineRule="auto"/>
        <w:jc w:val="both"/>
        <w:rPr>
          <w:rFonts w:ascii="Verdana" w:eastAsia="Calibri" w:hAnsi="Verdana" w:cs="Arial"/>
          <w:b/>
          <w:lang w:eastAsia="es-CO"/>
        </w:rPr>
      </w:pPr>
      <w:r w:rsidRPr="004107AA">
        <w:rPr>
          <w:rFonts w:ascii="Verdana" w:eastAsia="Calibri" w:hAnsi="Verdana" w:cs="Arial"/>
          <w:b/>
          <w:lang w:eastAsia="es-CO"/>
        </w:rPr>
        <w:t xml:space="preserve">GARANTÍA DE ESTABILIDAD Y CALIDAD DE LA OBRA – Suficiencia  </w:t>
      </w:r>
    </w:p>
    <w:p w14:paraId="5E7CE39D" w14:textId="77777777" w:rsidR="004107AA" w:rsidRPr="00B91020" w:rsidRDefault="004107AA" w:rsidP="00B91020">
      <w:pPr>
        <w:tabs>
          <w:tab w:val="left" w:pos="426"/>
        </w:tabs>
        <w:spacing w:after="0" w:line="276" w:lineRule="auto"/>
        <w:jc w:val="both"/>
        <w:rPr>
          <w:rFonts w:ascii="Verdana" w:eastAsia="Calibri" w:hAnsi="Verdana" w:cs="Arial"/>
          <w:b/>
          <w:lang w:eastAsia="es-CO"/>
        </w:rPr>
      </w:pPr>
    </w:p>
    <w:p w14:paraId="55B7E433" w14:textId="74E7E139" w:rsidR="00AC34F1" w:rsidRPr="00412235" w:rsidRDefault="00AC34F1" w:rsidP="00412235">
      <w:pPr>
        <w:spacing w:after="0" w:line="240" w:lineRule="auto"/>
        <w:jc w:val="both"/>
        <w:rPr>
          <w:rFonts w:ascii="Verdana" w:eastAsia="Times New Roman" w:hAnsi="Verdana" w:cs="Arial"/>
          <w:color w:val="000000"/>
          <w:sz w:val="20"/>
          <w:szCs w:val="20"/>
          <w:lang w:eastAsia="es-CO"/>
        </w:rPr>
      </w:pPr>
      <w:r w:rsidRPr="00412235">
        <w:rPr>
          <w:rFonts w:ascii="Verdana" w:eastAsia="Times New Roman" w:hAnsi="Verdana" w:cs="Arial"/>
          <w:color w:val="000000"/>
          <w:sz w:val="20"/>
          <w:szCs w:val="20"/>
          <w:lang w:eastAsia="es-CO"/>
        </w:rPr>
        <w:t xml:space="preserve">Respecto a la garantía de estabilidad y calidad de la obra, el artículo 2.2.1.2.3.1.14 del Decreto 1082 de 2015 –después de la modificación del artículo 3 del Decreto 399 de 2021– regula la suficiencia del amparo. Para efectos de la vigencia y el monto, el inciso </w:t>
      </w:r>
      <w:r w:rsidRPr="00412235">
        <w:rPr>
          <w:rFonts w:ascii="Verdana" w:eastAsia="Times New Roman" w:hAnsi="Verdana" w:cs="Arial"/>
          <w:color w:val="000000"/>
          <w:sz w:val="20"/>
          <w:szCs w:val="20"/>
          <w:lang w:eastAsia="es-CO"/>
        </w:rPr>
        <w:lastRenderedPageBreak/>
        <w:t xml:space="preserve">primero dispone que “Esta garantía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No obstante, en lo que atañe al plazo, la norma consagra una excepción, puesto que la norma faculta a la entidad para establecer una garantía por un plazo inferior a cinco (5) años, sin que la misma tenga una duración inferior a uno (1). </w:t>
      </w:r>
      <w:r w:rsidR="00412235" w:rsidRPr="00412235">
        <w:rPr>
          <w:rFonts w:ascii="Verdana" w:eastAsia="Times New Roman" w:hAnsi="Verdana" w:cs="Arial"/>
          <w:color w:val="000000"/>
          <w:sz w:val="20"/>
          <w:szCs w:val="20"/>
          <w:lang w:eastAsia="es-CO"/>
        </w:rPr>
        <w:t>[…]</w:t>
      </w:r>
    </w:p>
    <w:p w14:paraId="30E76EC8" w14:textId="77777777" w:rsidR="00AC34F1" w:rsidRPr="004107AA" w:rsidRDefault="00AC34F1" w:rsidP="00AC34F1">
      <w:pPr>
        <w:spacing w:after="0" w:line="276" w:lineRule="auto"/>
        <w:jc w:val="both"/>
        <w:rPr>
          <w:rFonts w:ascii="Verdana" w:eastAsia="Times New Roman" w:hAnsi="Verdana" w:cs="Arial"/>
          <w:color w:val="000000"/>
          <w:lang w:eastAsia="es-CO"/>
        </w:rPr>
      </w:pPr>
    </w:p>
    <w:p w14:paraId="4670B67F" w14:textId="77777777" w:rsidR="004107AA" w:rsidRPr="004107AA" w:rsidRDefault="004107AA" w:rsidP="004107AA">
      <w:pPr>
        <w:spacing w:after="0"/>
        <w:jc w:val="both"/>
        <w:rPr>
          <w:rFonts w:ascii="Verdana" w:eastAsia="Calibri" w:hAnsi="Verdana" w:cs="Arial"/>
          <w:b/>
          <w:color w:val="000000"/>
          <w:lang w:val="es-ES_tradnl"/>
        </w:rPr>
      </w:pPr>
      <w:r w:rsidRPr="004107AA">
        <w:rPr>
          <w:rFonts w:ascii="Verdana" w:eastAsia="Calibri" w:hAnsi="Verdana" w:cs="Arial"/>
          <w:b/>
          <w:color w:val="000000"/>
          <w:lang w:val="es-ES_tradnl"/>
        </w:rPr>
        <w:t xml:space="preserve">SINIESTRO </w:t>
      </w:r>
      <w:r w:rsidRPr="004107AA">
        <w:rPr>
          <w:rFonts w:ascii="Verdana" w:eastAsia="Calibri" w:hAnsi="Verdana" w:cs="Arial"/>
          <w:b/>
          <w:color w:val="000000"/>
        </w:rPr>
        <w:t>–</w:t>
      </w:r>
      <w:r w:rsidRPr="004107AA">
        <w:rPr>
          <w:rFonts w:ascii="Verdana" w:eastAsia="Calibri" w:hAnsi="Verdana" w:cs="Arial"/>
          <w:b/>
          <w:color w:val="000000"/>
          <w:lang w:val="es-ES_tradnl"/>
        </w:rPr>
        <w:t xml:space="preserve"> </w:t>
      </w:r>
      <w:bookmarkStart w:id="1" w:name="_Hlk36233079"/>
      <w:r w:rsidRPr="004107AA">
        <w:rPr>
          <w:rFonts w:ascii="Verdana" w:eastAsia="Calibri" w:hAnsi="Verdana" w:cs="Arial"/>
          <w:b/>
          <w:color w:val="000000"/>
          <w:lang w:val="es-ES_tradnl"/>
        </w:rPr>
        <w:t xml:space="preserve">Amparo de estabilidad de la obra </w:t>
      </w:r>
      <w:r w:rsidRPr="004107AA">
        <w:rPr>
          <w:rFonts w:ascii="Verdana" w:eastAsia="Calibri" w:hAnsi="Verdana" w:cs="Arial"/>
          <w:b/>
          <w:color w:val="000000"/>
        </w:rPr>
        <w:t>–</w:t>
      </w:r>
      <w:r w:rsidRPr="004107AA">
        <w:rPr>
          <w:rFonts w:ascii="Verdana" w:eastAsia="Calibri" w:hAnsi="Verdana" w:cs="Arial"/>
          <w:b/>
          <w:color w:val="000000"/>
          <w:lang w:val="es-ES_tradnl"/>
        </w:rPr>
        <w:t xml:space="preserve"> Procedimiento   </w:t>
      </w:r>
    </w:p>
    <w:bookmarkEnd w:id="1"/>
    <w:p w14:paraId="6D160DAF" w14:textId="77777777" w:rsidR="004107AA" w:rsidRPr="00412235" w:rsidRDefault="004107AA" w:rsidP="00B91020">
      <w:pPr>
        <w:spacing w:after="0" w:line="276" w:lineRule="auto"/>
        <w:jc w:val="both"/>
        <w:rPr>
          <w:rFonts w:ascii="Verdana" w:eastAsia="Calibri" w:hAnsi="Verdana" w:cs="Arial"/>
          <w:color w:val="000000"/>
          <w:szCs w:val="28"/>
          <w:lang w:val="es-ES_tradnl"/>
        </w:rPr>
      </w:pPr>
    </w:p>
    <w:p w14:paraId="0217F3D4" w14:textId="62B5FB0C" w:rsidR="004107AA" w:rsidRPr="00412235" w:rsidRDefault="004107AA" w:rsidP="00412235">
      <w:pPr>
        <w:spacing w:after="0" w:line="240" w:lineRule="auto"/>
        <w:jc w:val="both"/>
        <w:rPr>
          <w:rFonts w:ascii="Verdana" w:eastAsia="Calibri" w:hAnsi="Verdana" w:cs="Arial"/>
          <w:color w:val="000000"/>
          <w:sz w:val="20"/>
          <w:szCs w:val="20"/>
          <w:lang w:val="es-ES_tradnl"/>
        </w:rPr>
      </w:pPr>
      <w:r w:rsidRPr="00412235">
        <w:rPr>
          <w:rFonts w:ascii="Verdana" w:eastAsia="Calibri" w:hAnsi="Verdana" w:cs="Arial"/>
          <w:color w:val="000000"/>
          <w:sz w:val="20"/>
          <w:szCs w:val="20"/>
          <w:lang w:val="es-ES"/>
        </w:rPr>
        <w:t>[…]</w:t>
      </w:r>
      <w:r w:rsidR="00AC34F1" w:rsidRPr="00412235">
        <w:rPr>
          <w:rFonts w:ascii="Verdana" w:eastAsia="Calibri" w:hAnsi="Verdana" w:cs="Arial"/>
          <w:color w:val="000000"/>
          <w:sz w:val="20"/>
          <w:szCs w:val="20"/>
          <w:lang w:val="es-ES"/>
        </w:rPr>
        <w:t xml:space="preserve"> </w:t>
      </w:r>
      <w:proofErr w:type="spellStart"/>
      <w:r w:rsidR="00AC34F1" w:rsidRPr="00412235">
        <w:rPr>
          <w:rFonts w:ascii="Verdana" w:eastAsia="Calibri" w:hAnsi="Verdana" w:cs="Arial"/>
          <w:color w:val="000000"/>
          <w:sz w:val="20"/>
          <w:szCs w:val="20"/>
          <w:lang w:val="es-ES_tradnl"/>
        </w:rPr>
        <w:t>como</w:t>
      </w:r>
      <w:proofErr w:type="spellEnd"/>
      <w:r w:rsidR="00AC34F1" w:rsidRPr="00412235">
        <w:rPr>
          <w:rFonts w:ascii="Verdana" w:eastAsia="Calibri" w:hAnsi="Verdana" w:cs="Arial"/>
          <w:color w:val="000000"/>
          <w:sz w:val="20"/>
          <w:szCs w:val="20"/>
          <w:lang w:val="es-ES_tradnl"/>
        </w:rPr>
        <w:t xml:space="preserve"> no aplica el artículo 86 de la Ley 1474 de 2011 y el artículo 29 superior prohíbe decisiones de plano, la Subdirección de Gestión Contractual considera que el trámite de la declaratoria del siniestro de estabilidad y calidad de la obra se rige por el procedimiento administrativo general dispuesto en los artículos 34 y siguientes de la Ley 1437 de 2011. Dicha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inciso primero del artículo 77 de la Ley 80 de 1993. Para estos efectos, el Código de Procedimiento Administrativo exige que cuando las entidades procedan de oficio la actuación comience con un escrito que debe comunicarse al interesado para que ejerza el derecho de defensa –art. 35, inc. 2–. Lo anterior, sin perjuicio de informar a terceros cuando la Administración advierta la posibilidad de que otras personas resulten afectadas con la decisión –art. 37–. Dicho procedimiento concreta el respeto a las formalidades propias de cada juicio de que trata el artículo 29 superior, garantizando que el contratista y la aseguradora sean escuchados antes de que la entidad declare el siniestro de la garantía.</w:t>
      </w:r>
    </w:p>
    <w:p w14:paraId="6BF1CC3A" w14:textId="77777777" w:rsidR="004107AA" w:rsidRPr="00412235" w:rsidRDefault="004107AA" w:rsidP="00B91020">
      <w:pPr>
        <w:spacing w:after="0" w:line="276" w:lineRule="auto"/>
        <w:jc w:val="both"/>
        <w:rPr>
          <w:rFonts w:ascii="Verdana" w:eastAsia="Calibri" w:hAnsi="Verdana" w:cs="Arial"/>
          <w:color w:val="000000"/>
          <w:szCs w:val="28"/>
          <w:lang w:val="es-ES_tradnl"/>
        </w:rPr>
      </w:pPr>
    </w:p>
    <w:p w14:paraId="3634C077" w14:textId="77777777" w:rsidR="004107AA" w:rsidRPr="004107AA" w:rsidRDefault="004107AA" w:rsidP="004107AA">
      <w:pPr>
        <w:spacing w:after="0"/>
        <w:jc w:val="both"/>
        <w:rPr>
          <w:rFonts w:ascii="Verdana" w:eastAsia="Calibri" w:hAnsi="Verdana" w:cs="Arial"/>
          <w:b/>
          <w:color w:val="000000"/>
          <w:lang w:val="es-ES_tradnl"/>
        </w:rPr>
      </w:pPr>
      <w:r w:rsidRPr="004107AA">
        <w:rPr>
          <w:rFonts w:ascii="Verdana" w:eastAsia="Calibri" w:hAnsi="Verdana" w:cs="Arial"/>
          <w:b/>
          <w:color w:val="000000"/>
          <w:lang w:val="es-ES_tradnl"/>
        </w:rPr>
        <w:t xml:space="preserve">SINIESTRO </w:t>
      </w:r>
      <w:r w:rsidRPr="004107AA">
        <w:rPr>
          <w:rFonts w:ascii="Verdana" w:eastAsia="Calibri" w:hAnsi="Verdana" w:cs="Arial"/>
          <w:b/>
          <w:color w:val="000000"/>
        </w:rPr>
        <w:t>–</w:t>
      </w:r>
      <w:r w:rsidRPr="004107AA">
        <w:rPr>
          <w:rFonts w:ascii="Verdana" w:eastAsia="Calibri" w:hAnsi="Verdana" w:cs="Arial"/>
          <w:b/>
          <w:color w:val="000000"/>
          <w:lang w:val="es-ES_tradnl"/>
        </w:rPr>
        <w:t xml:space="preserve"> Amparo de estabilidad de la obra </w:t>
      </w:r>
      <w:r w:rsidRPr="004107AA">
        <w:rPr>
          <w:rFonts w:ascii="Verdana" w:eastAsia="Calibri" w:hAnsi="Verdana" w:cs="Arial"/>
          <w:b/>
          <w:color w:val="000000"/>
        </w:rPr>
        <w:t>–</w:t>
      </w:r>
      <w:r w:rsidRPr="004107AA">
        <w:rPr>
          <w:rFonts w:ascii="Verdana" w:eastAsia="Calibri" w:hAnsi="Verdana" w:cs="Arial"/>
          <w:b/>
          <w:color w:val="000000"/>
          <w:lang w:val="es-ES_tradnl"/>
        </w:rPr>
        <w:t xml:space="preserve"> Competencia temporal </w:t>
      </w:r>
    </w:p>
    <w:p w14:paraId="20C8554C" w14:textId="77777777" w:rsidR="004107AA" w:rsidRPr="00B91020" w:rsidRDefault="004107AA" w:rsidP="00B91020">
      <w:pPr>
        <w:spacing w:after="0" w:line="276" w:lineRule="auto"/>
        <w:jc w:val="both"/>
        <w:rPr>
          <w:rFonts w:ascii="Verdana" w:eastAsia="Calibri" w:hAnsi="Verdana" w:cs="Arial"/>
          <w:color w:val="000000"/>
          <w:szCs w:val="28"/>
          <w:lang w:val="es-ES_tradnl"/>
        </w:rPr>
      </w:pPr>
    </w:p>
    <w:p w14:paraId="30C9D2B2" w14:textId="50600438" w:rsidR="00AC34F1" w:rsidRPr="00CD1F77" w:rsidRDefault="00AC34F1" w:rsidP="00CD1F77">
      <w:pPr>
        <w:spacing w:after="0" w:line="240" w:lineRule="auto"/>
        <w:jc w:val="both"/>
        <w:rPr>
          <w:rFonts w:ascii="Verdana" w:eastAsia="Calibri" w:hAnsi="Verdana" w:cs="Arial"/>
          <w:color w:val="000000"/>
          <w:sz w:val="20"/>
          <w:szCs w:val="20"/>
          <w:lang w:val="es-ES"/>
        </w:rPr>
      </w:pPr>
      <w:r w:rsidRPr="00CD1F77">
        <w:rPr>
          <w:rFonts w:ascii="Verdana" w:eastAsia="Calibri" w:hAnsi="Verdana" w:cs="Arial"/>
          <w:color w:val="000000"/>
          <w:sz w:val="20"/>
          <w:szCs w:val="20"/>
          <w:lang w:val="es-ES"/>
        </w:rPr>
        <w:t xml:space="preserve">En lo que respecta a la </w:t>
      </w:r>
      <w:r w:rsidRPr="00CD1F77">
        <w:rPr>
          <w:rFonts w:ascii="Verdana" w:eastAsia="Calibri" w:hAnsi="Verdana" w:cs="Arial"/>
          <w:i/>
          <w:iCs/>
          <w:color w:val="000000"/>
          <w:sz w:val="20"/>
          <w:szCs w:val="20"/>
          <w:lang w:val="es-ES"/>
        </w:rPr>
        <w:t>competencia temporal</w:t>
      </w:r>
      <w:r w:rsidRPr="00CD1F77">
        <w:rPr>
          <w:rFonts w:ascii="Verdana" w:eastAsia="Calibri" w:hAnsi="Verdana" w:cs="Arial"/>
          <w:color w:val="000000"/>
          <w:sz w:val="20"/>
          <w:szCs w:val="20"/>
          <w:lang w:val="es-ES"/>
        </w:rPr>
        <w:t>, la Administración no dispone de un término ilimitado para ejercer sus prerrogativas. Ahora bien, podría pensarse que tanto el “siniestro” como la “declaratoria” deben ocurrir dentro del mismo plazo. Sin embargo, esta impresión es equivocada, en la medida que el “siniestro”, entendido como la realización del riesgo asegurado, es el único que se debe dar dentro de dicha vigencia. Mientras tanto, el acto administrativo que declara su ocurrencia debe expedirse antes de la prescripción del contrato de seguro. En otras palabras, aunque la vigencia de la garantía está relacionada con la ocurrencia del siniestro, es independiente del plazo que tiene la Administración para hacerla efectiva, máxime cuando se limita a declarar una situación prexistente. Sobre el tema, la jurisprudencia explica que:</w:t>
      </w:r>
    </w:p>
    <w:p w14:paraId="3BC5D376" w14:textId="77777777" w:rsidR="004107AA" w:rsidRPr="004107AA" w:rsidRDefault="004107AA" w:rsidP="004107AA">
      <w:pPr>
        <w:spacing w:after="0" w:line="240" w:lineRule="auto"/>
        <w:rPr>
          <w:rFonts w:ascii="Verdana" w:eastAsia="Geomanist Light" w:hAnsi="Verdana" w:cs="Arial"/>
          <w:color w:val="000000"/>
          <w:lang w:val="es-ES_tradnl"/>
        </w:rPr>
      </w:pPr>
    </w:p>
    <w:p w14:paraId="2F4E18DB" w14:textId="77777777" w:rsidR="004107AA" w:rsidRPr="004107AA" w:rsidRDefault="004107AA" w:rsidP="004107AA">
      <w:pPr>
        <w:spacing w:after="0" w:line="240" w:lineRule="auto"/>
        <w:rPr>
          <w:rFonts w:ascii="Verdana" w:eastAsia="Geomanist Light" w:hAnsi="Verdana" w:cs="Arial"/>
          <w:color w:val="000000"/>
          <w:lang w:val="es-MX"/>
        </w:rPr>
      </w:pPr>
    </w:p>
    <w:p w14:paraId="621C4BDE" w14:textId="77777777" w:rsidR="004107AA" w:rsidRPr="004107AA" w:rsidRDefault="004107AA" w:rsidP="004107AA">
      <w:pPr>
        <w:spacing w:after="0" w:line="240" w:lineRule="auto"/>
        <w:rPr>
          <w:rFonts w:ascii="Verdana" w:eastAsia="Geomanist Light" w:hAnsi="Verdana" w:cs="Arial"/>
          <w:color w:val="000000"/>
          <w:lang w:val="es-MX"/>
        </w:rPr>
      </w:pPr>
    </w:p>
    <w:p w14:paraId="08C213D1" w14:textId="77777777" w:rsidR="004107AA" w:rsidRDefault="004107AA" w:rsidP="004107AA">
      <w:pPr>
        <w:spacing w:after="0" w:line="240" w:lineRule="auto"/>
        <w:rPr>
          <w:rFonts w:ascii="Verdana" w:eastAsia="Geomanist Light" w:hAnsi="Verdana" w:cs="Arial"/>
          <w:color w:val="000000"/>
          <w:lang w:val="es-MX"/>
        </w:rPr>
      </w:pPr>
    </w:p>
    <w:p w14:paraId="59680FC5" w14:textId="77777777" w:rsidR="004107AA" w:rsidRPr="004107AA" w:rsidRDefault="004107AA" w:rsidP="004107AA">
      <w:pPr>
        <w:spacing w:after="0" w:line="240" w:lineRule="auto"/>
        <w:rPr>
          <w:rFonts w:ascii="Verdana" w:eastAsia="Geomanist Light" w:hAnsi="Verdana" w:cs="Arial"/>
          <w:color w:val="000000"/>
          <w:lang w:val="es-MX"/>
        </w:rPr>
      </w:pPr>
    </w:p>
    <w:p w14:paraId="724C1665" w14:textId="6D7BE75E" w:rsidR="004107AA" w:rsidRDefault="004107AA" w:rsidP="004107AA">
      <w:pPr>
        <w:spacing w:after="0" w:line="240" w:lineRule="auto"/>
        <w:rPr>
          <w:rFonts w:ascii="Verdana" w:hAnsi="Verdana"/>
        </w:rPr>
      </w:pPr>
      <w:r w:rsidRPr="0044528D">
        <w:rPr>
          <w:rFonts w:ascii="Verdana" w:hAnsi="Verdana"/>
        </w:rPr>
        <w:lastRenderedPageBreak/>
        <w:t>Bogotá D.C.</w:t>
      </w:r>
    </w:p>
    <w:p w14:paraId="7D02062C" w14:textId="77777777" w:rsidR="004A3A69" w:rsidRPr="004107AA" w:rsidRDefault="004A3A69" w:rsidP="004107AA">
      <w:pPr>
        <w:spacing w:after="0" w:line="240" w:lineRule="auto"/>
        <w:rPr>
          <w:rFonts w:ascii="Verdana" w:eastAsia="Calibri" w:hAnsi="Verdana" w:cs="Arial"/>
          <w:color w:val="000000"/>
          <w:lang w:val="es-ES"/>
        </w:rPr>
      </w:pPr>
    </w:p>
    <w:p w14:paraId="6C04107B" w14:textId="4FBBDEA4" w:rsidR="004107AA" w:rsidRDefault="004A3A69" w:rsidP="004A3A69">
      <w:pPr>
        <w:spacing w:after="0" w:line="240" w:lineRule="auto"/>
        <w:jc w:val="right"/>
        <w:rPr>
          <w:rFonts w:ascii="Verdana" w:eastAsia="Calibri" w:hAnsi="Verdana" w:cs="Arial"/>
          <w:color w:val="000000"/>
          <w:lang w:val="es-ES"/>
        </w:rPr>
      </w:pPr>
      <w:r>
        <w:rPr>
          <w:rFonts w:ascii="Verdana" w:eastAsia="Calibri" w:hAnsi="Verdana" w:cs="Arial"/>
          <w:noProof/>
          <w:color w:val="000000"/>
          <w:lang w:val="es-ES"/>
        </w:rPr>
        <w:drawing>
          <wp:inline distT="0" distB="0" distL="0" distR="0" wp14:anchorId="7559075A" wp14:editId="082397A6">
            <wp:extent cx="3772471" cy="1136909"/>
            <wp:effectExtent l="0" t="0" r="0" b="6350"/>
            <wp:docPr id="714216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16688" name="Imagen 714216688"/>
                    <pic:cNvPicPr/>
                  </pic:nvPicPr>
                  <pic:blipFill>
                    <a:blip r:embed="rId10">
                      <a:extLst>
                        <a:ext uri="{28A0092B-C50C-407E-A947-70E740481C1C}">
                          <a14:useLocalDpi xmlns:a14="http://schemas.microsoft.com/office/drawing/2010/main" val="0"/>
                        </a:ext>
                      </a:extLst>
                    </a:blip>
                    <a:stretch>
                      <a:fillRect/>
                    </a:stretch>
                  </pic:blipFill>
                  <pic:spPr>
                    <a:xfrm>
                      <a:off x="0" y="0"/>
                      <a:ext cx="3794333" cy="1143498"/>
                    </a:xfrm>
                    <a:prstGeom prst="rect">
                      <a:avLst/>
                    </a:prstGeom>
                  </pic:spPr>
                </pic:pic>
              </a:graphicData>
            </a:graphic>
          </wp:inline>
        </w:drawing>
      </w:r>
    </w:p>
    <w:p w14:paraId="79F1967E" w14:textId="77777777" w:rsidR="004107AA" w:rsidRPr="004107AA" w:rsidRDefault="004107AA" w:rsidP="004107AA">
      <w:pPr>
        <w:spacing w:after="0" w:line="240" w:lineRule="auto"/>
        <w:jc w:val="both"/>
        <w:rPr>
          <w:rFonts w:ascii="Verdana" w:eastAsia="Calibri" w:hAnsi="Verdana" w:cs="Arial"/>
          <w:color w:val="000000"/>
          <w:lang w:val="es-ES"/>
        </w:rPr>
      </w:pPr>
    </w:p>
    <w:p w14:paraId="72F93F2F" w14:textId="77777777" w:rsidR="004107AA" w:rsidRPr="004107AA" w:rsidRDefault="004107AA" w:rsidP="004107AA">
      <w:pPr>
        <w:spacing w:after="0" w:line="240" w:lineRule="auto"/>
        <w:jc w:val="both"/>
        <w:rPr>
          <w:rFonts w:ascii="Verdana" w:eastAsia="Calibri" w:hAnsi="Verdana" w:cs="Arial"/>
          <w:lang w:val="es-ES" w:eastAsia="es-ES"/>
        </w:rPr>
      </w:pPr>
      <w:r w:rsidRPr="004107AA">
        <w:rPr>
          <w:rFonts w:ascii="Verdana" w:eastAsia="Calibri" w:hAnsi="Verdana" w:cs="Arial"/>
          <w:lang w:val="es-ES" w:eastAsia="es-ES"/>
        </w:rPr>
        <w:t>Señor</w:t>
      </w:r>
    </w:p>
    <w:p w14:paraId="5EF9DBB1" w14:textId="77777777" w:rsidR="004107AA" w:rsidRPr="004107AA" w:rsidRDefault="004107AA" w:rsidP="004107AA">
      <w:pPr>
        <w:spacing w:after="0" w:line="240" w:lineRule="auto"/>
        <w:rPr>
          <w:rFonts w:ascii="Verdana" w:eastAsia="Calibri" w:hAnsi="Verdana" w:cs="Arial"/>
          <w:b/>
          <w:lang w:val="es-ES" w:eastAsia="es-ES"/>
        </w:rPr>
      </w:pPr>
      <w:r w:rsidRPr="004107AA">
        <w:rPr>
          <w:rFonts w:ascii="Verdana" w:eastAsia="Calibri" w:hAnsi="Verdana" w:cs="Arial"/>
          <w:b/>
          <w:lang w:val="es-ES" w:eastAsia="es-ES"/>
        </w:rPr>
        <w:t xml:space="preserve">Kevin Alexander Jiménez Molina  </w:t>
      </w:r>
    </w:p>
    <w:p w14:paraId="326E0B9D" w14:textId="77777777" w:rsidR="004107AA" w:rsidRPr="004107AA" w:rsidRDefault="004107AA" w:rsidP="004107AA">
      <w:pPr>
        <w:spacing w:after="0" w:line="240" w:lineRule="auto"/>
        <w:rPr>
          <w:rFonts w:ascii="Verdana" w:eastAsia="Calibri" w:hAnsi="Verdana" w:cs="Arial"/>
          <w:b/>
          <w:lang w:val="es-ES" w:eastAsia="es-ES"/>
        </w:rPr>
      </w:pPr>
      <w:r w:rsidRPr="004107AA">
        <w:rPr>
          <w:rFonts w:ascii="Verdana" w:eastAsia="Calibri" w:hAnsi="Verdana" w:cs="Times New Roman"/>
        </w:rPr>
        <w:t xml:space="preserve">Concejal de La Ceja, Antioquia        </w:t>
      </w:r>
      <w:r w:rsidRPr="004107AA">
        <w:rPr>
          <w:rFonts w:ascii="Verdana" w:eastAsia="Calibri" w:hAnsi="Verdana" w:cs="Arial"/>
          <w:lang w:val="es-ES" w:eastAsia="es-ES"/>
        </w:rPr>
        <w:t xml:space="preserve">    </w:t>
      </w:r>
    </w:p>
    <w:p w14:paraId="42C0589B" w14:textId="77777777" w:rsidR="004107AA" w:rsidRPr="004107AA" w:rsidRDefault="004107AA" w:rsidP="004107AA">
      <w:pPr>
        <w:spacing w:after="0" w:line="240" w:lineRule="auto"/>
        <w:rPr>
          <w:rFonts w:ascii="Verdana" w:eastAsia="Calibri" w:hAnsi="Verdana" w:cs="Arial"/>
          <w:lang w:val="es-ES" w:eastAsia="es-ES"/>
        </w:rPr>
      </w:pPr>
      <w:r w:rsidRPr="004107AA">
        <w:rPr>
          <w:rFonts w:ascii="Verdana" w:eastAsia="Calibri" w:hAnsi="Verdana" w:cs="Arial"/>
          <w:lang w:val="es-ES" w:eastAsia="es-ES"/>
        </w:rPr>
        <w:t>Ciudad</w:t>
      </w:r>
    </w:p>
    <w:p w14:paraId="68141297" w14:textId="77777777" w:rsidR="004107AA" w:rsidRPr="004107AA" w:rsidRDefault="004107AA" w:rsidP="004107AA">
      <w:pPr>
        <w:spacing w:after="0" w:line="240" w:lineRule="auto"/>
        <w:rPr>
          <w:rFonts w:ascii="Verdana" w:eastAsia="Calibri" w:hAnsi="Verdana" w:cs="Arial"/>
          <w:b/>
          <w:bCs/>
          <w:color w:val="000000"/>
          <w:lang w:val="es-ES_tradnl" w:eastAsia="es-ES_tradnl"/>
        </w:rPr>
      </w:pPr>
    </w:p>
    <w:p w14:paraId="651A145A" w14:textId="77777777" w:rsidR="004107AA" w:rsidRPr="004107AA" w:rsidRDefault="004107AA" w:rsidP="004107A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107AA" w:rsidRPr="004107AA" w14:paraId="0B5DDD75" w14:textId="77777777" w:rsidTr="000C1575">
        <w:trPr>
          <w:trHeight w:val="884"/>
        </w:trPr>
        <w:tc>
          <w:tcPr>
            <w:tcW w:w="2689" w:type="dxa"/>
          </w:tcPr>
          <w:p w14:paraId="348BB74F" w14:textId="77777777" w:rsidR="004107AA" w:rsidRPr="004107AA" w:rsidRDefault="004107AA" w:rsidP="004107AA">
            <w:pPr>
              <w:jc w:val="both"/>
              <w:rPr>
                <w:rFonts w:ascii="Verdana" w:eastAsia="Calibri" w:hAnsi="Verdana" w:cs="Arial"/>
                <w:b/>
                <w:bCs/>
                <w:color w:val="7030A0"/>
                <w:lang w:val="es-ES_tradnl" w:eastAsia="es-ES_tradnl"/>
              </w:rPr>
            </w:pPr>
          </w:p>
        </w:tc>
        <w:tc>
          <w:tcPr>
            <w:tcW w:w="6100" w:type="dxa"/>
          </w:tcPr>
          <w:p w14:paraId="6F0419C7" w14:textId="77777777" w:rsidR="004107AA" w:rsidRPr="004107AA" w:rsidRDefault="004107AA" w:rsidP="004107AA">
            <w:pPr>
              <w:jc w:val="both"/>
              <w:rPr>
                <w:rFonts w:ascii="Verdana" w:eastAsia="Calibri" w:hAnsi="Verdana" w:cs="Arial"/>
                <w:b/>
                <w:bCs/>
                <w:color w:val="7030A0"/>
                <w:lang w:val="es-ES" w:eastAsia="es-ES"/>
              </w:rPr>
            </w:pPr>
            <w:r w:rsidRPr="004107AA">
              <w:rPr>
                <w:rFonts w:ascii="Verdana" w:eastAsia="Calibri" w:hAnsi="Verdana" w:cs="Arial"/>
                <w:b/>
                <w:bCs/>
                <w:lang w:val="es-ES" w:eastAsia="es-ES"/>
              </w:rPr>
              <w:t>Concepto C – 096 de 2025</w:t>
            </w:r>
          </w:p>
        </w:tc>
      </w:tr>
      <w:tr w:rsidR="004107AA" w:rsidRPr="004107AA" w14:paraId="529DFB23" w14:textId="77777777" w:rsidTr="000C1575">
        <w:trPr>
          <w:trHeight w:val="884"/>
        </w:trPr>
        <w:tc>
          <w:tcPr>
            <w:tcW w:w="2689" w:type="dxa"/>
          </w:tcPr>
          <w:p w14:paraId="2B059637" w14:textId="77777777" w:rsidR="004107AA" w:rsidRPr="004107AA" w:rsidRDefault="004107AA" w:rsidP="004107AA">
            <w:pPr>
              <w:jc w:val="both"/>
              <w:rPr>
                <w:rFonts w:ascii="Verdana" w:eastAsia="Calibri" w:hAnsi="Verdana" w:cs="Arial"/>
                <w:color w:val="000000"/>
                <w:lang w:val="es-ES_tradnl" w:eastAsia="es-ES_tradnl"/>
              </w:rPr>
            </w:pPr>
            <w:r w:rsidRPr="004107AA">
              <w:rPr>
                <w:rFonts w:ascii="Verdana" w:eastAsia="Calibri" w:hAnsi="Verdana" w:cs="Arial"/>
                <w:b/>
                <w:color w:val="000000"/>
                <w:lang w:val="es-ES_tradnl" w:eastAsia="es-ES_tradnl"/>
              </w:rPr>
              <w:t>Temas:</w:t>
            </w:r>
            <w:r w:rsidRPr="004107AA">
              <w:rPr>
                <w:rFonts w:ascii="Verdana" w:eastAsia="Calibri" w:hAnsi="Verdana" w:cs="Arial"/>
                <w:color w:val="000000"/>
                <w:lang w:val="es-ES_tradnl" w:eastAsia="es-ES_tradnl"/>
              </w:rPr>
              <w:t xml:space="preserve">                   </w:t>
            </w:r>
          </w:p>
        </w:tc>
        <w:tc>
          <w:tcPr>
            <w:tcW w:w="6100" w:type="dxa"/>
          </w:tcPr>
          <w:p w14:paraId="1060851D" w14:textId="77777777" w:rsidR="004107AA" w:rsidRPr="004107AA" w:rsidRDefault="004107AA" w:rsidP="004107AA">
            <w:pPr>
              <w:spacing w:line="276" w:lineRule="auto"/>
              <w:jc w:val="both"/>
              <w:rPr>
                <w:rFonts w:ascii="Verdana" w:eastAsia="Calibri" w:hAnsi="Verdana" w:cs="Arial"/>
                <w:lang w:val="es-ES" w:eastAsia="es-ES"/>
              </w:rPr>
            </w:pPr>
            <w:r w:rsidRPr="004107AA">
              <w:rPr>
                <w:rFonts w:ascii="Verdana" w:eastAsia="Calibri" w:hAnsi="Verdana" w:cs="Arial"/>
                <w:lang w:val="es-ES" w:eastAsia="es-ES"/>
              </w:rPr>
              <w:t xml:space="preserve">GARANTÍAS – Contratación estatal – Constitución de garantías – Finalidad – Cumplimiento – Obligaciones contractuales / GARANTÍA DE CUMPLIMIENTO – Amparos – Finalidad / GARANTÍA DE ESTABILIDAD Y CALIDAD DE LA OBRA – Suficiencia / SINIESTRO – Amparo de estabilidad de la obra – Procedimiento    / SINIESTRO – Amparo de estabilidad de la obra – Competencia temporal              </w:t>
            </w:r>
          </w:p>
          <w:p w14:paraId="61DF67CD" w14:textId="77777777" w:rsidR="004107AA" w:rsidRPr="004107AA" w:rsidRDefault="004107AA" w:rsidP="004107AA">
            <w:pPr>
              <w:spacing w:line="276" w:lineRule="auto"/>
              <w:jc w:val="both"/>
              <w:rPr>
                <w:rFonts w:ascii="Verdana" w:eastAsia="Calibri" w:hAnsi="Verdana" w:cs="Arial"/>
                <w:lang w:val="es-ES" w:eastAsia="es-ES"/>
              </w:rPr>
            </w:pPr>
            <w:r w:rsidRPr="004107AA">
              <w:rPr>
                <w:rFonts w:ascii="Verdana" w:eastAsia="Calibri" w:hAnsi="Verdana" w:cs="Arial"/>
                <w:lang w:val="es-ES" w:eastAsia="es-ES"/>
              </w:rPr>
              <w:t xml:space="preserve">  </w:t>
            </w:r>
          </w:p>
        </w:tc>
      </w:tr>
      <w:tr w:rsidR="004107AA" w:rsidRPr="004107AA" w14:paraId="0A749849" w14:textId="77777777" w:rsidTr="000C1575">
        <w:tc>
          <w:tcPr>
            <w:tcW w:w="2689" w:type="dxa"/>
          </w:tcPr>
          <w:p w14:paraId="11B85B7D" w14:textId="77777777" w:rsidR="004107AA" w:rsidRPr="004107AA" w:rsidRDefault="004107AA" w:rsidP="004107AA">
            <w:pPr>
              <w:jc w:val="both"/>
              <w:rPr>
                <w:rFonts w:ascii="Verdana" w:eastAsia="Calibri" w:hAnsi="Verdana" w:cs="Arial"/>
                <w:b/>
                <w:lang w:val="es-ES_tradnl" w:eastAsia="es-ES_tradnl"/>
              </w:rPr>
            </w:pPr>
            <w:r w:rsidRPr="004107AA">
              <w:rPr>
                <w:rFonts w:ascii="Verdana" w:eastAsia="Calibri" w:hAnsi="Verdana" w:cs="Arial"/>
                <w:b/>
                <w:lang w:val="es-ES_tradnl" w:eastAsia="es-ES_tradnl"/>
              </w:rPr>
              <w:t>Radicación:</w:t>
            </w:r>
            <w:r w:rsidRPr="004107AA">
              <w:rPr>
                <w:rFonts w:ascii="Verdana" w:eastAsia="Calibri" w:hAnsi="Verdana" w:cs="Arial"/>
                <w:lang w:val="es-ES_tradnl" w:eastAsia="es-ES_tradnl"/>
              </w:rPr>
              <w:t xml:space="preserve">               </w:t>
            </w:r>
          </w:p>
        </w:tc>
        <w:tc>
          <w:tcPr>
            <w:tcW w:w="6100" w:type="dxa"/>
          </w:tcPr>
          <w:p w14:paraId="689A81DB" w14:textId="77777777" w:rsidR="004107AA" w:rsidRPr="004107AA" w:rsidRDefault="004107AA" w:rsidP="004107AA">
            <w:pPr>
              <w:spacing w:line="276" w:lineRule="auto"/>
              <w:jc w:val="both"/>
              <w:rPr>
                <w:rFonts w:ascii="Verdana" w:eastAsia="Calibri" w:hAnsi="Verdana" w:cs="Arial"/>
                <w:lang w:eastAsia="es-ES_tradnl"/>
              </w:rPr>
            </w:pPr>
            <w:r w:rsidRPr="004107AA">
              <w:rPr>
                <w:rFonts w:ascii="Verdana" w:eastAsia="Calibri" w:hAnsi="Verdana" w:cs="Arial"/>
                <w:lang w:val="es-ES_tradnl" w:eastAsia="es-ES_tradnl"/>
              </w:rPr>
              <w:t>Respuesta a la consulta con radicado No. P20250129000811</w:t>
            </w:r>
          </w:p>
        </w:tc>
      </w:tr>
    </w:tbl>
    <w:p w14:paraId="3602E74F" w14:textId="77777777" w:rsidR="004107AA" w:rsidRPr="004107AA" w:rsidRDefault="004107AA" w:rsidP="004107AA">
      <w:pPr>
        <w:spacing w:after="0" w:line="240" w:lineRule="auto"/>
        <w:jc w:val="both"/>
        <w:rPr>
          <w:rFonts w:ascii="Verdana" w:eastAsia="Calibri" w:hAnsi="Verdana" w:cs="Arial"/>
          <w:color w:val="000000"/>
          <w:lang w:val="es-ES_tradnl" w:eastAsia="es-ES_tradnl"/>
        </w:rPr>
      </w:pPr>
    </w:p>
    <w:p w14:paraId="2870A3C8" w14:textId="77777777" w:rsidR="004107AA" w:rsidRPr="004107AA" w:rsidRDefault="004107AA" w:rsidP="004107AA">
      <w:pPr>
        <w:spacing w:after="0" w:line="240" w:lineRule="auto"/>
        <w:jc w:val="both"/>
        <w:rPr>
          <w:rFonts w:ascii="Verdana" w:eastAsia="Calibri" w:hAnsi="Verdana" w:cs="Arial"/>
          <w:color w:val="000000"/>
          <w:lang w:val="es-ES_tradnl" w:eastAsia="es-ES_tradnl"/>
        </w:rPr>
      </w:pPr>
    </w:p>
    <w:p w14:paraId="04480095" w14:textId="77777777" w:rsidR="004107AA" w:rsidRPr="004107AA" w:rsidRDefault="004107AA" w:rsidP="004107AA">
      <w:pPr>
        <w:spacing w:after="0" w:line="276" w:lineRule="auto"/>
        <w:jc w:val="both"/>
        <w:rPr>
          <w:rFonts w:ascii="Verdana" w:eastAsia="Calibri" w:hAnsi="Verdana" w:cs="Arial"/>
          <w:lang w:val="es-ES" w:eastAsia="es-ES"/>
        </w:rPr>
      </w:pPr>
      <w:r w:rsidRPr="004107AA">
        <w:rPr>
          <w:rFonts w:ascii="Verdana" w:eastAsia="Calibri" w:hAnsi="Verdana" w:cs="Arial"/>
          <w:lang w:val="es-ES" w:eastAsia="es-ES"/>
        </w:rPr>
        <w:t xml:space="preserve">Estimado señor Jiménez Molina: </w:t>
      </w:r>
    </w:p>
    <w:p w14:paraId="594B0E32" w14:textId="77777777" w:rsidR="004107AA" w:rsidRPr="004107AA" w:rsidRDefault="004107AA" w:rsidP="004107AA">
      <w:pPr>
        <w:tabs>
          <w:tab w:val="left" w:pos="3768"/>
        </w:tabs>
        <w:spacing w:after="0" w:line="276" w:lineRule="auto"/>
        <w:jc w:val="both"/>
        <w:rPr>
          <w:rFonts w:ascii="Verdana" w:eastAsia="Calibri" w:hAnsi="Verdana" w:cs="Arial"/>
          <w:color w:val="000000"/>
          <w:lang w:val="es-ES" w:eastAsia="es-ES"/>
        </w:rPr>
      </w:pPr>
      <w:r w:rsidRPr="004107AA">
        <w:rPr>
          <w:rFonts w:ascii="Verdana" w:eastAsia="Calibri" w:hAnsi="Verdana" w:cs="Arial"/>
          <w:color w:val="000000"/>
          <w:lang w:val="es-ES" w:eastAsia="es-ES"/>
        </w:rPr>
        <w:tab/>
      </w:r>
    </w:p>
    <w:p w14:paraId="2F6C8B9A" w14:textId="77777777" w:rsidR="004107AA" w:rsidRPr="004107AA" w:rsidRDefault="004107AA" w:rsidP="004107AA">
      <w:pPr>
        <w:spacing w:after="0" w:line="276" w:lineRule="auto"/>
        <w:jc w:val="both"/>
        <w:rPr>
          <w:rFonts w:ascii="Verdana" w:eastAsia="Calibri" w:hAnsi="Verdana" w:cs="Arial"/>
          <w:color w:val="7030A0"/>
          <w:lang w:val="es-ES" w:eastAsia="es-ES"/>
        </w:rPr>
      </w:pPr>
      <w:r w:rsidRPr="004107AA">
        <w:rPr>
          <w:rFonts w:ascii="Verdana" w:eastAsia="Calibri" w:hAnsi="Verdana" w:cs="Arial"/>
          <w:color w:val="000000"/>
          <w:lang w:val="es-ES" w:eastAsia="es-ES"/>
        </w:rPr>
        <w:t>En ejercicio de la competencia otorgada por los artículos 3, numeral 5º, y 11, numeral 8º, del Decreto Ley 4170 de 2011,</w:t>
      </w:r>
      <w:r w:rsidRPr="004107AA">
        <w:rPr>
          <w:rFonts w:ascii="Verdana" w:eastAsia="Arial MT" w:hAnsi="Verdana" w:cs="Arial MT"/>
          <w:lang w:val="es-ES" w:eastAsia="es-ES"/>
        </w:rPr>
        <w:t xml:space="preserve"> </w:t>
      </w:r>
      <w:r w:rsidRPr="004107AA">
        <w:rPr>
          <w:rFonts w:ascii="Verdana" w:eastAsia="Calibri" w:hAnsi="Verdana" w:cs="Arial"/>
        </w:rPr>
        <w:t xml:space="preserve">así como lo establecido en el artículo 4 de la Resolución 1707 de 2018 expedida por esta Entidad, </w:t>
      </w:r>
      <w:r w:rsidRPr="004107AA">
        <w:rPr>
          <w:rFonts w:ascii="Verdana" w:eastAsia="Calibri" w:hAnsi="Verdana" w:cs="Arial"/>
          <w:color w:val="000000"/>
          <w:lang w:val="es-ES" w:eastAsia="es-ES"/>
        </w:rPr>
        <w:t xml:space="preserve">la Agencia Nacional de Contratación Pública – Colombia Compra Eficiente responde su solicitud de consulta de </w:t>
      </w:r>
      <w:r w:rsidRPr="004107AA">
        <w:rPr>
          <w:rFonts w:ascii="Verdana" w:eastAsia="Calibri" w:hAnsi="Verdana" w:cs="Arial"/>
          <w:lang w:val="es-ES" w:eastAsia="es-ES"/>
        </w:rPr>
        <w:t xml:space="preserve">fecha 29 de enero de 2025. Esta consulta fue remitida por el </w:t>
      </w:r>
      <w:r w:rsidRPr="004107AA">
        <w:rPr>
          <w:rFonts w:ascii="Verdana" w:eastAsia="Calibri" w:hAnsi="Verdana" w:cs="Arial"/>
          <w:lang w:val="es-ES" w:eastAsia="es-ES"/>
        </w:rPr>
        <w:lastRenderedPageBreak/>
        <w:t xml:space="preserve">Departamento Administrativo de la Función Pública, mediante oficio con radicado No. 20252060066912 de la misma fecha. En esta, usted pregunta lo siguiente: </w:t>
      </w:r>
    </w:p>
    <w:p w14:paraId="72345AF3" w14:textId="77777777" w:rsidR="004107AA" w:rsidRPr="004107AA" w:rsidRDefault="004107AA" w:rsidP="004107AA">
      <w:pPr>
        <w:tabs>
          <w:tab w:val="left" w:pos="142"/>
          <w:tab w:val="left" w:pos="284"/>
        </w:tabs>
        <w:spacing w:after="0" w:line="276" w:lineRule="auto"/>
        <w:contextualSpacing/>
        <w:jc w:val="both"/>
        <w:rPr>
          <w:rFonts w:ascii="Verdana" w:eastAsia="Century Gothic" w:hAnsi="Verdana" w:cs="Century Gothic"/>
          <w:b/>
          <w:bCs/>
          <w:lang w:val="es-ES"/>
        </w:rPr>
      </w:pPr>
    </w:p>
    <w:p w14:paraId="5D920B78" w14:textId="77777777" w:rsidR="004107AA" w:rsidRPr="004107AA" w:rsidRDefault="004107AA" w:rsidP="004107AA">
      <w:pPr>
        <w:spacing w:after="0" w:line="240" w:lineRule="auto"/>
        <w:ind w:left="709" w:right="709"/>
        <w:jc w:val="both"/>
        <w:rPr>
          <w:rFonts w:ascii="Verdana" w:eastAsia="Century Gothic" w:hAnsi="Verdana" w:cs="Century Gothic"/>
          <w:sz w:val="21"/>
          <w:szCs w:val="21"/>
          <w:lang w:val="es-ES"/>
        </w:rPr>
      </w:pPr>
      <w:bookmarkStart w:id="2" w:name="_Hlk95313578"/>
      <w:r w:rsidRPr="004107AA">
        <w:rPr>
          <w:rFonts w:ascii="Verdana" w:eastAsia="Century Gothic" w:hAnsi="Verdana" w:cs="Century Gothic"/>
          <w:sz w:val="21"/>
          <w:szCs w:val="21"/>
          <w:lang w:val="es-ES"/>
        </w:rPr>
        <w:t>“</w:t>
      </w:r>
      <w:bookmarkEnd w:id="2"/>
      <w:r w:rsidRPr="004107AA">
        <w:rPr>
          <w:rFonts w:ascii="Verdana" w:eastAsia="Century Gothic" w:hAnsi="Verdana" w:cs="Century Gothic"/>
          <w:sz w:val="21"/>
          <w:szCs w:val="21"/>
          <w:lang w:val="es-ES"/>
        </w:rPr>
        <w:t>1. Solicito conocer cuáles son los términos (tiempo), según la normativa vigente y el principio de celeridad, para la activación de pólizas de obras públicas municipales, después de que la Secretaría Infraestructura o dependencia encargada haya evidenciado fallas en dichas obras y haya requerido a los contratistas de obra.</w:t>
      </w:r>
    </w:p>
    <w:p w14:paraId="46CEE9B6" w14:textId="77777777" w:rsidR="004107AA" w:rsidRPr="004107AA" w:rsidRDefault="004107AA" w:rsidP="004107AA">
      <w:pPr>
        <w:spacing w:after="0" w:line="240" w:lineRule="auto"/>
        <w:ind w:left="709" w:right="709"/>
        <w:jc w:val="both"/>
        <w:rPr>
          <w:rFonts w:ascii="Verdana" w:eastAsia="Century Gothic" w:hAnsi="Verdana" w:cs="Century Gothic"/>
          <w:sz w:val="21"/>
          <w:szCs w:val="21"/>
          <w:lang w:val="es-ES"/>
        </w:rPr>
      </w:pPr>
      <w:r w:rsidRPr="004107AA">
        <w:rPr>
          <w:rFonts w:ascii="Verdana" w:eastAsia="Century Gothic" w:hAnsi="Verdana" w:cs="Century Gothic"/>
          <w:sz w:val="21"/>
          <w:szCs w:val="21"/>
          <w:lang w:val="es-ES"/>
        </w:rPr>
        <w:t>Favor referenciar dichas normas.</w:t>
      </w:r>
    </w:p>
    <w:p w14:paraId="0AE8D345" w14:textId="77777777" w:rsidR="004107AA" w:rsidRPr="004107AA" w:rsidRDefault="004107AA" w:rsidP="004107AA">
      <w:pPr>
        <w:spacing w:after="0" w:line="240" w:lineRule="auto"/>
        <w:ind w:left="709" w:right="709"/>
        <w:jc w:val="both"/>
        <w:rPr>
          <w:rFonts w:ascii="Verdana" w:eastAsia="Century Gothic" w:hAnsi="Verdana" w:cs="Century Gothic"/>
          <w:sz w:val="21"/>
          <w:szCs w:val="21"/>
          <w:lang w:val="es-ES"/>
        </w:rPr>
      </w:pPr>
    </w:p>
    <w:p w14:paraId="20FDC3FA" w14:textId="77777777" w:rsidR="004107AA" w:rsidRPr="004107AA" w:rsidRDefault="004107AA" w:rsidP="004107AA">
      <w:pPr>
        <w:spacing w:after="0" w:line="240" w:lineRule="auto"/>
        <w:ind w:left="709" w:right="709"/>
        <w:jc w:val="both"/>
        <w:rPr>
          <w:rFonts w:ascii="Verdana" w:eastAsia="Century Gothic" w:hAnsi="Verdana" w:cs="Century Gothic"/>
          <w:sz w:val="21"/>
          <w:szCs w:val="21"/>
          <w:lang w:val="es-ES"/>
        </w:rPr>
      </w:pPr>
      <w:r w:rsidRPr="004107AA">
        <w:rPr>
          <w:rFonts w:ascii="Verdana" w:eastAsia="Century Gothic" w:hAnsi="Verdana" w:cs="Century Gothic"/>
          <w:sz w:val="21"/>
          <w:szCs w:val="21"/>
          <w:lang w:val="es-ES"/>
        </w:rPr>
        <w:t>2. ¿Cuál es el debido proceso detallado para que las administraciones requieran al contratista tanto la póliza, como la garantía contemplada en los contratos de obra? Solicito conocer en qué norma se ampara.</w:t>
      </w:r>
    </w:p>
    <w:p w14:paraId="4254135B" w14:textId="77777777" w:rsidR="004107AA" w:rsidRPr="004107AA" w:rsidRDefault="004107AA" w:rsidP="004107AA">
      <w:pPr>
        <w:spacing w:after="0" w:line="240" w:lineRule="auto"/>
        <w:ind w:left="709" w:right="709"/>
        <w:jc w:val="both"/>
        <w:rPr>
          <w:rFonts w:ascii="Verdana" w:eastAsia="Century Gothic" w:hAnsi="Verdana" w:cs="Century Gothic"/>
          <w:sz w:val="21"/>
          <w:szCs w:val="21"/>
          <w:lang w:val="es-ES"/>
        </w:rPr>
      </w:pPr>
    </w:p>
    <w:p w14:paraId="2E77531D" w14:textId="77777777" w:rsidR="004107AA" w:rsidRPr="004107AA" w:rsidRDefault="004107AA" w:rsidP="004107AA">
      <w:pPr>
        <w:spacing w:after="0" w:line="240" w:lineRule="auto"/>
        <w:ind w:left="709" w:right="709"/>
        <w:jc w:val="both"/>
        <w:rPr>
          <w:rFonts w:ascii="Verdana" w:eastAsia="Century Gothic" w:hAnsi="Verdana" w:cs="Century Gothic"/>
          <w:sz w:val="21"/>
          <w:szCs w:val="21"/>
          <w:lang w:val="es-ES"/>
        </w:rPr>
      </w:pPr>
      <w:r w:rsidRPr="004107AA">
        <w:rPr>
          <w:rFonts w:ascii="Verdana" w:eastAsia="Century Gothic" w:hAnsi="Verdana" w:cs="Century Gothic"/>
          <w:sz w:val="21"/>
          <w:szCs w:val="21"/>
          <w:lang w:val="es-ES"/>
        </w:rPr>
        <w:t xml:space="preserve">3. Solicito conocer, según el ordenamiento jurídico, cuánto tiempo tiene el contratista para reparar la obra, luego de su requerimiento. Asimismo, poner en mi conocimiento en qué tiempo podría la administración municipal requerir a la aseguradora de la obra, en caso de demoras del contratista o la no entrega a satisfacción de </w:t>
      </w:r>
      <w:proofErr w:type="gramStart"/>
      <w:r w:rsidRPr="004107AA">
        <w:rPr>
          <w:rFonts w:ascii="Verdana" w:eastAsia="Century Gothic" w:hAnsi="Verdana" w:cs="Century Gothic"/>
          <w:sz w:val="21"/>
          <w:szCs w:val="21"/>
          <w:lang w:val="es-ES"/>
        </w:rPr>
        <w:t>la misma</w:t>
      </w:r>
      <w:proofErr w:type="gramEnd"/>
      <w:r w:rsidRPr="004107AA">
        <w:rPr>
          <w:rFonts w:ascii="Verdana" w:eastAsia="Century Gothic" w:hAnsi="Verdana" w:cs="Century Gothic"/>
          <w:sz w:val="21"/>
          <w:szCs w:val="21"/>
          <w:lang w:val="es-ES"/>
        </w:rPr>
        <w:t>.”</w:t>
      </w:r>
    </w:p>
    <w:p w14:paraId="32BC5D32" w14:textId="77777777" w:rsidR="004107AA" w:rsidRPr="004107AA" w:rsidRDefault="004107AA" w:rsidP="004107AA">
      <w:pPr>
        <w:tabs>
          <w:tab w:val="left" w:pos="142"/>
          <w:tab w:val="left" w:pos="284"/>
        </w:tabs>
        <w:spacing w:after="0" w:line="276" w:lineRule="auto"/>
        <w:contextualSpacing/>
        <w:jc w:val="both"/>
        <w:rPr>
          <w:rFonts w:ascii="Verdana" w:eastAsia="Century Gothic" w:hAnsi="Verdana" w:cs="Century Gothic"/>
          <w:b/>
          <w:bCs/>
          <w:lang w:val="es-ES"/>
        </w:rPr>
      </w:pPr>
    </w:p>
    <w:p w14:paraId="7F5022F3" w14:textId="77777777" w:rsidR="004107AA" w:rsidRPr="004107AA" w:rsidRDefault="004107AA" w:rsidP="004107AA">
      <w:pPr>
        <w:spacing w:after="120" w:line="276" w:lineRule="auto"/>
        <w:ind w:firstLine="709"/>
        <w:jc w:val="both"/>
        <w:rPr>
          <w:rFonts w:ascii="Verdana" w:eastAsia="Calibri" w:hAnsi="Verdana" w:cs="Arial"/>
          <w:kern w:val="2"/>
          <w:lang w:val="es-ES" w:eastAsia="es-ES"/>
          <w14:ligatures w14:val="standardContextual"/>
        </w:rPr>
      </w:pPr>
      <w:r w:rsidRPr="004107AA">
        <w:rPr>
          <w:rFonts w:ascii="Verdana" w:eastAsia="Calibri" w:hAnsi="Verdana" w:cs="Arial"/>
          <w:kern w:val="2"/>
          <w:lang w:val="es-ES" w:eastAsia="es-ES"/>
          <w14:ligatures w14:val="standardContextual"/>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107AA">
        <w:rPr>
          <w:rFonts w:ascii="Aptos" w:eastAsia="Aptos" w:hAnsi="Aptos" w:cs="Times New Roman"/>
          <w:kern w:val="2"/>
          <w14:ligatures w14:val="standardContextual"/>
        </w:rPr>
        <w:tab/>
      </w:r>
    </w:p>
    <w:p w14:paraId="4059B1AC" w14:textId="77777777" w:rsidR="004107AA" w:rsidRPr="004107AA" w:rsidRDefault="004107AA" w:rsidP="004107AA">
      <w:pPr>
        <w:snapToGrid w:val="0"/>
        <w:spacing w:after="0" w:line="276" w:lineRule="auto"/>
        <w:ind w:firstLine="709"/>
        <w:jc w:val="both"/>
        <w:rPr>
          <w:rFonts w:ascii="Verdana" w:eastAsia="Calibri" w:hAnsi="Verdana" w:cs="Arial"/>
          <w:kern w:val="2"/>
          <w:lang w:val="es-ES_tradnl" w:eastAsia="es-ES"/>
          <w14:ligatures w14:val="standardContextual"/>
        </w:rPr>
      </w:pPr>
      <w:r w:rsidRPr="004107AA">
        <w:rPr>
          <w:rFonts w:ascii="Verdana" w:eastAsia="Calibri" w:hAnsi="Verdana" w:cs="Arial"/>
          <w:kern w:val="2"/>
          <w:lang w:val="es-ES_tradnl" w:eastAsia="es-ES"/>
          <w14:ligatures w14:val="standardContextual"/>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C01F4D1" w14:textId="77777777" w:rsidR="004107AA" w:rsidRPr="004107AA" w:rsidRDefault="004107AA" w:rsidP="004107AA">
      <w:pPr>
        <w:spacing w:after="0" w:line="276" w:lineRule="auto"/>
        <w:ind w:firstLine="708"/>
        <w:jc w:val="both"/>
        <w:rPr>
          <w:rFonts w:ascii="Verdana" w:eastAsia="Calibri" w:hAnsi="Verdana" w:cs="Arial"/>
          <w:lang w:val="es-ES" w:eastAsia="es-ES"/>
        </w:rPr>
      </w:pPr>
    </w:p>
    <w:p w14:paraId="0219CDE5" w14:textId="77777777" w:rsidR="004107AA" w:rsidRPr="004107AA" w:rsidRDefault="004107AA" w:rsidP="004107AA">
      <w:pPr>
        <w:tabs>
          <w:tab w:val="left" w:pos="142"/>
          <w:tab w:val="left" w:pos="284"/>
        </w:tabs>
        <w:spacing w:after="0" w:line="276" w:lineRule="auto"/>
        <w:contextualSpacing/>
        <w:jc w:val="both"/>
        <w:rPr>
          <w:rFonts w:ascii="Verdana" w:eastAsia="Century Gothic" w:hAnsi="Verdana" w:cs="Century Gothic"/>
          <w:b/>
          <w:bCs/>
          <w:lang w:val="es-ES"/>
        </w:rPr>
      </w:pPr>
      <w:r w:rsidRPr="004107AA">
        <w:rPr>
          <w:rFonts w:ascii="Verdana" w:eastAsia="Century Gothic" w:hAnsi="Verdana" w:cs="Century Gothic"/>
          <w:b/>
          <w:bCs/>
          <w:lang w:val="es-ES"/>
        </w:rPr>
        <w:t>1. Problema planteado:</w:t>
      </w:r>
    </w:p>
    <w:p w14:paraId="32FC871C" w14:textId="77777777" w:rsidR="004107AA" w:rsidRPr="004107AA" w:rsidRDefault="004107AA" w:rsidP="004107AA">
      <w:pPr>
        <w:tabs>
          <w:tab w:val="left" w:pos="426"/>
        </w:tabs>
        <w:spacing w:after="0" w:line="276" w:lineRule="auto"/>
        <w:jc w:val="both"/>
        <w:rPr>
          <w:rFonts w:ascii="Verdana" w:eastAsia="Century Gothic" w:hAnsi="Verdana" w:cs="Century Gothic"/>
          <w:lang w:val="es-ES"/>
        </w:rPr>
      </w:pPr>
    </w:p>
    <w:p w14:paraId="1CD80A81" w14:textId="77777777" w:rsidR="004107AA" w:rsidRPr="004107AA" w:rsidRDefault="004107AA" w:rsidP="004107AA">
      <w:pPr>
        <w:spacing w:after="0" w:line="276" w:lineRule="auto"/>
        <w:jc w:val="both"/>
        <w:rPr>
          <w:rFonts w:ascii="Verdana" w:eastAsia="Century Gothic" w:hAnsi="Verdana" w:cs="Century Gothic"/>
        </w:rPr>
      </w:pPr>
      <w:r w:rsidRPr="004107AA">
        <w:rPr>
          <w:rFonts w:ascii="Verdana" w:eastAsia="Century Gothic" w:hAnsi="Verdana" w:cs="Century Gothic"/>
        </w:rPr>
        <w:lastRenderedPageBreak/>
        <w:t xml:space="preserve">De acuerdo con el contenido de su solicitud, esta Agencia resolverá el siguiente problema jurídico: ¿cuál es el marco jurídico para declarar el siniestro del amparo de estabilidad y calidad de las obras en el sistema de compras públicas?       </w:t>
      </w:r>
      <w:r w:rsidRPr="004107AA">
        <w:rPr>
          <w:rFonts w:ascii="Verdana" w:eastAsia="Century Gothic" w:hAnsi="Verdana" w:cs="Century Gothic"/>
          <w:color w:val="7030A0"/>
        </w:rPr>
        <w:t xml:space="preserve"> </w:t>
      </w:r>
    </w:p>
    <w:p w14:paraId="2717AC5D" w14:textId="77777777" w:rsidR="004107AA" w:rsidRPr="004107AA" w:rsidRDefault="004107AA" w:rsidP="004107AA">
      <w:pPr>
        <w:spacing w:after="0" w:line="276" w:lineRule="auto"/>
        <w:jc w:val="both"/>
        <w:rPr>
          <w:rFonts w:ascii="Verdana" w:eastAsia="Calibri" w:hAnsi="Verdana" w:cs="Arial"/>
          <w:color w:val="7030A0"/>
        </w:rPr>
      </w:pPr>
    </w:p>
    <w:p w14:paraId="523C39C9" w14:textId="77777777" w:rsidR="004107AA" w:rsidRPr="004107AA" w:rsidRDefault="004107AA" w:rsidP="004107AA">
      <w:pPr>
        <w:tabs>
          <w:tab w:val="left" w:pos="142"/>
          <w:tab w:val="left" w:pos="284"/>
        </w:tabs>
        <w:spacing w:after="0" w:line="276" w:lineRule="auto"/>
        <w:jc w:val="both"/>
        <w:rPr>
          <w:rFonts w:ascii="Verdana" w:eastAsia="Century Gothic" w:hAnsi="Verdana" w:cs="Century Gothic"/>
          <w:b/>
          <w:bCs/>
          <w:lang w:val="es-ES"/>
        </w:rPr>
      </w:pPr>
      <w:r w:rsidRPr="004107AA">
        <w:rPr>
          <w:rFonts w:ascii="Verdana" w:eastAsia="Century Gothic" w:hAnsi="Verdana" w:cs="Century Gothic"/>
          <w:b/>
          <w:bCs/>
          <w:lang w:val="es-ES"/>
        </w:rPr>
        <w:t>2. Respuesta:</w:t>
      </w:r>
    </w:p>
    <w:p w14:paraId="6B81B13A" w14:textId="77777777" w:rsidR="004107AA" w:rsidRPr="004107AA" w:rsidRDefault="004107AA" w:rsidP="004107A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107AA" w:rsidRPr="004107AA" w14:paraId="743308CD" w14:textId="77777777" w:rsidTr="000C1575">
        <w:trPr>
          <w:jc w:val="center"/>
        </w:trPr>
        <w:tc>
          <w:tcPr>
            <w:tcW w:w="8828" w:type="dxa"/>
            <w:shd w:val="clear" w:color="auto" w:fill="auto"/>
          </w:tcPr>
          <w:p w14:paraId="6978FCC6" w14:textId="77777777" w:rsidR="004107AA" w:rsidRPr="004107AA" w:rsidRDefault="004107AA" w:rsidP="004107AA">
            <w:pPr>
              <w:spacing w:line="276" w:lineRule="auto"/>
              <w:jc w:val="both"/>
              <w:rPr>
                <w:rFonts w:ascii="Verdana" w:eastAsia="Calibri" w:hAnsi="Verdana" w:cs="Arial"/>
                <w:color w:val="000000"/>
              </w:rPr>
            </w:pPr>
            <w:bookmarkStart w:id="3" w:name="_Hlk171694685"/>
            <w:r w:rsidRPr="004107AA">
              <w:rPr>
                <w:rFonts w:ascii="Verdana" w:eastAsia="Calibri" w:hAnsi="Verdana" w:cs="Arial"/>
                <w:color w:val="000000"/>
              </w:rPr>
              <w:t>Conforme a la interpretación general de las normas del sistema de compras públicas, considerando que la declaración del siniestro del amparo de estabilidad de la obra no deriva del ejercicio una potestad sancionadora y que el artículo 29 de la Constitución Política prohíbe decisiones de plano, el trámite se rige por el procedimiento administrativo general dispuesto en los artículos 34 y siguientes de la Ley 1437 de 2011.</w:t>
            </w:r>
          </w:p>
          <w:p w14:paraId="618617C3" w14:textId="77777777" w:rsidR="004107AA" w:rsidRPr="004107AA" w:rsidRDefault="004107AA" w:rsidP="004107AA">
            <w:pPr>
              <w:spacing w:line="276" w:lineRule="auto"/>
              <w:jc w:val="both"/>
              <w:rPr>
                <w:rFonts w:ascii="Verdana" w:eastAsia="Calibri" w:hAnsi="Verdana" w:cs="Arial"/>
                <w:color w:val="000000"/>
                <w:lang w:val="es-ES"/>
              </w:rPr>
            </w:pPr>
          </w:p>
          <w:p w14:paraId="704A79E4" w14:textId="77777777" w:rsidR="004107AA" w:rsidRPr="004107AA" w:rsidRDefault="004107AA" w:rsidP="004107AA">
            <w:pPr>
              <w:spacing w:line="276" w:lineRule="auto"/>
              <w:jc w:val="both"/>
              <w:rPr>
                <w:rFonts w:ascii="Verdana" w:eastAsia="Calibri" w:hAnsi="Verdana" w:cs="Arial"/>
                <w:color w:val="000000"/>
              </w:rPr>
            </w:pPr>
            <w:r w:rsidRPr="004107AA">
              <w:rPr>
                <w:rFonts w:ascii="Verdana" w:eastAsia="Calibri" w:hAnsi="Verdana" w:cs="Arial"/>
                <w:color w:val="000000"/>
                <w:lang w:val="es-ES"/>
              </w:rPr>
              <w:t>En todo caso, conforme los términos de prescripción ordinaria y extraordinaria del contrato de seguro, el acto administrativo que lo declara deberá expedirse, a más tardar, dentro de los plazos previstos en el artículo 1081 del Código de Comercio. De todas formas, el siniestro debe ocurrir durante la vigencia del amparo, aunque su declaración se produzca después del vencimiento. Por ello, es indiferente que el contrato se encuentre liquidado, pues el contratista garantiza la estabilidad de la obra durante la vigencia de la póliza.</w:t>
            </w:r>
          </w:p>
        </w:tc>
      </w:tr>
    </w:tbl>
    <w:p w14:paraId="64E58CBE" w14:textId="77777777" w:rsidR="004107AA" w:rsidRPr="004107AA" w:rsidRDefault="004107AA" w:rsidP="004107AA">
      <w:pPr>
        <w:tabs>
          <w:tab w:val="left" w:pos="142"/>
          <w:tab w:val="left" w:pos="284"/>
        </w:tabs>
        <w:spacing w:after="0" w:line="276" w:lineRule="auto"/>
        <w:jc w:val="both"/>
        <w:rPr>
          <w:rFonts w:ascii="Verdana" w:eastAsia="Century Gothic" w:hAnsi="Verdana" w:cs="Century Gothic"/>
          <w:b/>
          <w:bCs/>
          <w:lang w:val="es-ES"/>
        </w:rPr>
      </w:pPr>
    </w:p>
    <w:bookmarkEnd w:id="3"/>
    <w:p w14:paraId="555540FE" w14:textId="77777777" w:rsidR="004107AA" w:rsidRPr="004107AA" w:rsidRDefault="004107AA" w:rsidP="004107AA">
      <w:pPr>
        <w:tabs>
          <w:tab w:val="left" w:pos="142"/>
          <w:tab w:val="left" w:pos="284"/>
        </w:tabs>
        <w:spacing w:after="0" w:line="276" w:lineRule="auto"/>
        <w:jc w:val="both"/>
        <w:rPr>
          <w:rFonts w:ascii="Verdana" w:eastAsia="Century Gothic" w:hAnsi="Verdana" w:cs="Century Gothic"/>
          <w:b/>
          <w:bCs/>
          <w:lang w:val="es-ES"/>
        </w:rPr>
      </w:pPr>
      <w:r w:rsidRPr="004107AA">
        <w:rPr>
          <w:rFonts w:ascii="Verdana" w:eastAsia="Century Gothic" w:hAnsi="Verdana" w:cs="Century Gothic"/>
          <w:b/>
          <w:bCs/>
          <w:lang w:val="es-ES"/>
        </w:rPr>
        <w:t>3. Razones de la respuesta:</w:t>
      </w:r>
    </w:p>
    <w:p w14:paraId="42AB46A9" w14:textId="77777777" w:rsidR="004107AA" w:rsidRPr="004107AA" w:rsidRDefault="004107AA" w:rsidP="004107AA">
      <w:pPr>
        <w:spacing w:after="0" w:line="276" w:lineRule="auto"/>
        <w:jc w:val="both"/>
        <w:rPr>
          <w:rFonts w:ascii="Verdana" w:eastAsia="Calibri" w:hAnsi="Verdana" w:cs="Arial"/>
          <w:color w:val="7030A0"/>
          <w:lang w:val="es-ES"/>
        </w:rPr>
      </w:pPr>
    </w:p>
    <w:p w14:paraId="3FC29AEF" w14:textId="77777777" w:rsidR="004107AA" w:rsidRPr="004107AA" w:rsidRDefault="004107AA" w:rsidP="004107AA">
      <w:pPr>
        <w:spacing w:after="0" w:line="276" w:lineRule="auto"/>
        <w:jc w:val="both"/>
        <w:rPr>
          <w:rFonts w:ascii="Verdana" w:eastAsia="Calibri" w:hAnsi="Verdana" w:cs="Arial"/>
          <w:lang w:val="es-ES"/>
        </w:rPr>
      </w:pPr>
      <w:r w:rsidRPr="004107AA">
        <w:rPr>
          <w:rFonts w:ascii="Verdana" w:eastAsia="Calibri" w:hAnsi="Verdana" w:cs="Arial"/>
          <w:lang w:val="es-ES"/>
        </w:rPr>
        <w:t>Lo anterior se sustenta en las siguientes consideraciones:</w:t>
      </w:r>
    </w:p>
    <w:p w14:paraId="27BE9EFD" w14:textId="77777777" w:rsidR="004107AA" w:rsidRPr="004107AA" w:rsidRDefault="004107AA" w:rsidP="004107AA">
      <w:pPr>
        <w:spacing w:after="0" w:line="276" w:lineRule="auto"/>
        <w:jc w:val="both"/>
        <w:rPr>
          <w:rFonts w:ascii="Verdana" w:eastAsia="Calibri" w:hAnsi="Verdana" w:cs="Arial"/>
          <w:lang w:val="es-ES"/>
        </w:rPr>
      </w:pPr>
    </w:p>
    <w:p w14:paraId="56E6136B" w14:textId="77777777" w:rsidR="004107AA" w:rsidRPr="004107AA" w:rsidRDefault="004107AA" w:rsidP="004107AA">
      <w:pPr>
        <w:spacing w:after="0" w:line="276" w:lineRule="auto"/>
        <w:jc w:val="both"/>
        <w:rPr>
          <w:rFonts w:ascii="Verdana" w:eastAsia="Calibri" w:hAnsi="Verdana" w:cs="Arial"/>
          <w:color w:val="000000"/>
          <w:lang w:val="es-ES"/>
        </w:rPr>
      </w:pPr>
      <w:r w:rsidRPr="004107AA">
        <w:rPr>
          <w:rFonts w:ascii="Verdana" w:eastAsia="Calibri" w:hAnsi="Verdana" w:cs="Arial"/>
          <w:lang w:val="es-ES"/>
        </w:rPr>
        <w:t xml:space="preserve">i. </w:t>
      </w:r>
      <w:r w:rsidRPr="004107AA">
        <w:rPr>
          <w:rFonts w:ascii="Verdana" w:eastAsia="Calibri" w:hAnsi="Verdana" w:cs="Arial"/>
          <w:color w:val="000000"/>
          <w:shd w:val="clear" w:color="auto" w:fill="FFFFFF"/>
        </w:rPr>
        <w:t xml:space="preserve">Por regla, para seleccionar contratistas y para ejecutar contratos se requiere la constitución de garantías. </w:t>
      </w:r>
      <w:bookmarkStart w:id="4" w:name="_Hlk47893233"/>
      <w:r w:rsidRPr="004107AA">
        <w:rPr>
          <w:rFonts w:ascii="Verdana" w:eastAsia="Calibri" w:hAnsi="Verdana" w:cs="Arial"/>
          <w:color w:val="000000"/>
          <w:shd w:val="clear" w:color="auto" w:fill="FFFFFF"/>
        </w:rPr>
        <w:t>Por un lado, l</w:t>
      </w:r>
      <w:r w:rsidRPr="004107AA">
        <w:rPr>
          <w:rFonts w:ascii="Verdana" w:eastAsia="Calibri" w:hAnsi="Verdana" w:cs="Arial"/>
          <w:color w:val="000000"/>
          <w:lang w:val="es-ES"/>
        </w:rPr>
        <w:t xml:space="preserve">a </w:t>
      </w:r>
      <w:r w:rsidRPr="004107AA">
        <w:rPr>
          <w:rFonts w:ascii="Verdana" w:eastAsia="Calibri" w:hAnsi="Verdana" w:cs="Arial"/>
          <w:i/>
          <w:iCs/>
          <w:color w:val="000000"/>
          <w:lang w:val="es-ES"/>
        </w:rPr>
        <w:t>garantía de seriedad</w:t>
      </w:r>
      <w:r w:rsidRPr="004107AA">
        <w:rPr>
          <w:rFonts w:ascii="Verdana" w:eastAsia="Calibri" w:hAnsi="Verdana" w:cs="Arial"/>
          <w:color w:val="000000"/>
          <w:lang w:val="es-ES"/>
        </w:rPr>
        <w:t xml:space="preserve"> respalda el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w:t>
      </w:r>
      <w:r w:rsidRPr="004107AA">
        <w:rPr>
          <w:rFonts w:ascii="Verdana" w:eastAsia="Calibri" w:hAnsi="Verdana" w:cs="Arial"/>
          <w:color w:val="000000"/>
          <w:lang w:val="es-ES"/>
        </w:rPr>
        <w:lastRenderedPageBreak/>
        <w:t>Administración, y en especial la celeridad y eficiencia de los procedimientos contractuales</w:t>
      </w:r>
      <w:bookmarkEnd w:id="4"/>
      <w:r w:rsidRPr="004107AA">
        <w:rPr>
          <w:rFonts w:ascii="Verdana" w:eastAsia="Calibri" w:hAnsi="Verdana" w:cs="Arial"/>
          <w:color w:val="000000"/>
          <w:vertAlign w:val="superscript"/>
        </w:rPr>
        <w:footnoteReference w:id="2"/>
      </w:r>
      <w:r w:rsidRPr="004107AA">
        <w:rPr>
          <w:rFonts w:ascii="Verdana" w:eastAsia="Calibri" w:hAnsi="Verdana" w:cs="Arial"/>
          <w:color w:val="000000"/>
          <w:lang w:val="es-ES"/>
        </w:rPr>
        <w:t>. Sobre este aspecto, la doctrina explica que:</w:t>
      </w:r>
    </w:p>
    <w:p w14:paraId="5383E2F6" w14:textId="77777777" w:rsidR="004107AA" w:rsidRPr="004107AA" w:rsidRDefault="004107AA" w:rsidP="004107AA">
      <w:pPr>
        <w:spacing w:after="0" w:line="276" w:lineRule="auto"/>
        <w:jc w:val="both"/>
        <w:rPr>
          <w:rFonts w:ascii="Verdana" w:eastAsia="Calibri" w:hAnsi="Verdana" w:cs="Arial"/>
          <w:color w:val="000000"/>
          <w:lang w:val="es-ES"/>
        </w:rPr>
      </w:pPr>
    </w:p>
    <w:p w14:paraId="05A6D136" w14:textId="77777777" w:rsidR="004107AA" w:rsidRPr="004107AA" w:rsidRDefault="004107AA" w:rsidP="004107AA">
      <w:pPr>
        <w:spacing w:after="0" w:line="240" w:lineRule="auto"/>
        <w:ind w:left="709" w:right="709"/>
        <w:jc w:val="both"/>
        <w:rPr>
          <w:rFonts w:ascii="Verdana" w:eastAsia="Calibri" w:hAnsi="Verdana" w:cs="Arial"/>
          <w:color w:val="000000"/>
          <w:sz w:val="21"/>
          <w:szCs w:val="21"/>
          <w:lang w:val="es-ES"/>
        </w:rPr>
      </w:pPr>
      <w:r w:rsidRPr="004107AA">
        <w:rPr>
          <w:rFonts w:ascii="Verdana" w:eastAsia="Calibri" w:hAnsi="Verdana" w:cs="Arial"/>
          <w:color w:val="000000"/>
          <w:sz w:val="21"/>
          <w:szCs w:val="21"/>
          <w:lang w:val="es-ES"/>
        </w:rPr>
        <w:t xml:space="preserve">“Las </w:t>
      </w:r>
      <w:r w:rsidRPr="004107AA">
        <w:rPr>
          <w:rFonts w:ascii="Verdana" w:eastAsia="Calibri" w:hAnsi="Verdana" w:cs="Arial"/>
          <w:i/>
          <w:iCs/>
          <w:color w:val="000000"/>
          <w:sz w:val="21"/>
          <w:szCs w:val="21"/>
          <w:lang w:val="es-ES"/>
        </w:rPr>
        <w:t>garantías provisionales</w:t>
      </w:r>
      <w:r w:rsidRPr="004107AA">
        <w:rPr>
          <w:rFonts w:ascii="Verdana" w:eastAsia="Calibri" w:hAnsi="Verdana" w:cs="Arial"/>
          <w:color w:val="000000"/>
          <w:sz w:val="21"/>
          <w:szCs w:val="21"/>
          <w:lang w:val="es-ES"/>
        </w:rPr>
        <w:t xml:space="preserve"> ‘avalan la solemnidad de la oferta por parte del contratista’; constituyen una seña pre-contractual destinada a </w:t>
      </w:r>
      <w:r w:rsidRPr="004107AA">
        <w:rPr>
          <w:rFonts w:ascii="Verdana" w:eastAsia="Calibri" w:hAnsi="Verdana" w:cs="Arial"/>
          <w:i/>
          <w:iCs/>
          <w:color w:val="000000"/>
          <w:sz w:val="21"/>
          <w:szCs w:val="21"/>
          <w:lang w:val="es-ES"/>
        </w:rPr>
        <w:t>asegurar la celebración del contrato</w:t>
      </w:r>
      <w:r w:rsidRPr="004107AA">
        <w:rPr>
          <w:rFonts w:ascii="Verdana" w:eastAsia="Calibri" w:hAnsi="Verdana" w:cs="Arial"/>
          <w:color w:val="000000"/>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004107AA">
        <w:rPr>
          <w:rFonts w:ascii="Verdana" w:eastAsia="Calibri" w:hAnsi="Verdana" w:cs="Arial"/>
          <w:i/>
          <w:iCs/>
          <w:color w:val="000000"/>
          <w:sz w:val="21"/>
          <w:szCs w:val="21"/>
          <w:lang w:val="es-ES"/>
        </w:rPr>
        <w:t>arras</w:t>
      </w:r>
      <w:r w:rsidRPr="004107AA">
        <w:rPr>
          <w:rFonts w:ascii="Verdana" w:eastAsia="Calibri" w:hAnsi="Verdana" w:cs="Arial"/>
          <w:color w:val="000000"/>
          <w:sz w:val="21"/>
          <w:szCs w:val="21"/>
          <w:lang w:val="es-ES"/>
        </w:rPr>
        <w:t xml:space="preserve"> no forman parte del precio, ni son por tanto arras confirmatorias […], sino puramente penitenciales […] como garantías y compensación del </w:t>
      </w:r>
      <w:r w:rsidRPr="004107AA">
        <w:rPr>
          <w:rFonts w:ascii="Verdana" w:eastAsia="Calibri" w:hAnsi="Verdana" w:cs="Arial"/>
          <w:i/>
          <w:iCs/>
          <w:color w:val="000000"/>
          <w:sz w:val="21"/>
          <w:szCs w:val="21"/>
          <w:lang w:val="es-ES"/>
        </w:rPr>
        <w:t xml:space="preserve">ius </w:t>
      </w:r>
      <w:proofErr w:type="spellStart"/>
      <w:r w:rsidRPr="004107AA">
        <w:rPr>
          <w:rFonts w:ascii="Verdana" w:eastAsia="Calibri" w:hAnsi="Verdana" w:cs="Arial"/>
          <w:i/>
          <w:iCs/>
          <w:color w:val="000000"/>
          <w:sz w:val="21"/>
          <w:szCs w:val="21"/>
          <w:lang w:val="es-ES"/>
        </w:rPr>
        <w:t>poenitendi</w:t>
      </w:r>
      <w:proofErr w:type="spellEnd"/>
      <w:r w:rsidRPr="004107AA">
        <w:rPr>
          <w:rFonts w:ascii="Verdana" w:eastAsia="Calibri" w:hAnsi="Verdana" w:cs="Arial"/>
          <w:color w:val="000000"/>
          <w:sz w:val="21"/>
          <w:szCs w:val="21"/>
          <w:lang w:val="es-ES"/>
        </w:rPr>
        <w:t xml:space="preserve"> del licitante. Son, en consecuencia, ‘la medida de la responsabilidad pre-contractual del oferente’; o, más bien, la garantía de oferta representa en definitiva la medida de la responsabilidad”</w:t>
      </w:r>
      <w:r w:rsidRPr="004107AA">
        <w:rPr>
          <w:rFonts w:ascii="Verdana" w:eastAsia="Calibri" w:hAnsi="Verdana" w:cs="Arial"/>
          <w:color w:val="000000"/>
          <w:sz w:val="21"/>
          <w:szCs w:val="21"/>
          <w:vertAlign w:val="superscript"/>
        </w:rPr>
        <w:footnoteReference w:id="3"/>
      </w:r>
      <w:r w:rsidRPr="004107AA">
        <w:rPr>
          <w:rFonts w:ascii="Verdana" w:eastAsia="Calibri" w:hAnsi="Verdana" w:cs="Arial"/>
          <w:color w:val="000000"/>
          <w:sz w:val="21"/>
          <w:szCs w:val="21"/>
          <w:lang w:val="es-ES"/>
        </w:rPr>
        <w:t xml:space="preserve">. (Cursivas dentro del texto)   </w:t>
      </w:r>
    </w:p>
    <w:p w14:paraId="6BB4AFEC" w14:textId="77777777" w:rsidR="004107AA" w:rsidRPr="004107AA" w:rsidRDefault="004107AA" w:rsidP="004107AA">
      <w:pPr>
        <w:spacing w:after="0" w:line="276" w:lineRule="auto"/>
        <w:jc w:val="both"/>
        <w:rPr>
          <w:rFonts w:ascii="Verdana" w:eastAsia="Calibri" w:hAnsi="Verdana" w:cs="Arial"/>
          <w:color w:val="000000"/>
          <w:lang w:val="es-ES"/>
        </w:rPr>
      </w:pPr>
    </w:p>
    <w:p w14:paraId="0DCDF07E" w14:textId="77777777" w:rsidR="004107AA" w:rsidRPr="004107AA" w:rsidRDefault="004107AA" w:rsidP="004107AA">
      <w:pPr>
        <w:spacing w:after="120" w:line="276" w:lineRule="auto"/>
        <w:ind w:firstLine="709"/>
        <w:jc w:val="both"/>
        <w:rPr>
          <w:rFonts w:ascii="Verdana" w:eastAsia="Calibri" w:hAnsi="Verdana" w:cs="Arial"/>
          <w:color w:val="000000"/>
          <w:lang w:val="es-ES"/>
        </w:rPr>
      </w:pPr>
      <w:r w:rsidRPr="004107AA">
        <w:rPr>
          <w:rFonts w:ascii="Verdana" w:eastAsia="Calibri" w:hAnsi="Verdana" w:cs="Arial"/>
          <w:color w:val="000000"/>
          <w:lang w:val="es-ES"/>
        </w:rPr>
        <w:t xml:space="preserve">En contraste, mediante la </w:t>
      </w:r>
      <w:r w:rsidRPr="004107AA">
        <w:rPr>
          <w:rFonts w:ascii="Verdana" w:eastAsia="Calibri" w:hAnsi="Verdana" w:cs="Arial"/>
          <w:i/>
          <w:iCs/>
          <w:color w:val="000000"/>
          <w:lang w:val="es-ES"/>
        </w:rPr>
        <w:t>garantía única de cumplimiento</w:t>
      </w:r>
      <w:r w:rsidRPr="004107AA">
        <w:rPr>
          <w:rFonts w:ascii="Verdana" w:eastAsia="Calibri" w:hAnsi="Verdana" w:cs="Arial"/>
          <w:color w:val="000000"/>
          <w:lang w:val="es-ES"/>
        </w:rPr>
        <w:t>, el contratista ampara los perjuicios que le pueda generar a la entidad el incumplimiento de las obligaciones derivadas del contrato</w:t>
      </w:r>
      <w:r w:rsidRPr="004107AA">
        <w:rPr>
          <w:rFonts w:ascii="Verdana" w:eastAsia="Calibri" w:hAnsi="Verdana" w:cs="Arial"/>
          <w:color w:val="000000"/>
          <w:vertAlign w:val="superscript"/>
        </w:rPr>
        <w:footnoteReference w:id="4"/>
      </w:r>
      <w:r w:rsidRPr="004107AA">
        <w:rPr>
          <w:rFonts w:ascii="Verdana" w:eastAsia="Calibri" w:hAnsi="Verdana" w:cs="Arial"/>
          <w:color w:val="000000"/>
          <w:lang w:val="es-ES"/>
        </w:rPr>
        <w:t xml:space="preserve">. En esta medida, tienen como objetivo reparar los perjuicios causados por conductas atribuibles al contratista, por lo que estos últimos son un presupuesto necesario para el pago que cubre la garantía. </w:t>
      </w:r>
      <w:r w:rsidRPr="004107AA">
        <w:rPr>
          <w:rFonts w:ascii="Verdana" w:eastAsia="Calibri" w:hAnsi="Verdana" w:cs="Arial"/>
          <w:color w:val="000000"/>
          <w:lang w:val="es-ES_tradnl"/>
        </w:rPr>
        <w:t>Para estos efectos es única, ya que “[…] La prioridad […] es que no haya garantías separadas para los diferentes riesgos, aunque existan varias garantías para diferentes proporciones del interés asegurado […]”</w:t>
      </w:r>
      <w:r w:rsidRPr="004107AA">
        <w:rPr>
          <w:rFonts w:ascii="Verdana" w:eastAsia="Calibri" w:hAnsi="Verdana" w:cs="Arial"/>
          <w:color w:val="000000"/>
          <w:vertAlign w:val="superscript"/>
          <w:lang w:val="es-ES_tradnl"/>
        </w:rPr>
        <w:footnoteReference w:id="5"/>
      </w:r>
      <w:r w:rsidRPr="004107AA">
        <w:rPr>
          <w:rFonts w:ascii="Verdana" w:eastAsia="Calibri" w:hAnsi="Verdana" w:cs="Arial"/>
          <w:color w:val="000000"/>
          <w:lang w:val="es-ES_tradnl"/>
        </w:rPr>
        <w:t xml:space="preserve">.    </w:t>
      </w:r>
    </w:p>
    <w:p w14:paraId="308FB9B6" w14:textId="77777777" w:rsidR="004107AA" w:rsidRPr="004107AA" w:rsidRDefault="004107AA" w:rsidP="004107AA">
      <w:pPr>
        <w:spacing w:after="120" w:line="276" w:lineRule="auto"/>
        <w:ind w:firstLine="708"/>
        <w:jc w:val="both"/>
        <w:rPr>
          <w:rFonts w:ascii="Verdana" w:eastAsia="Calibri" w:hAnsi="Verdana" w:cs="Arial"/>
          <w:color w:val="000000"/>
          <w:lang w:val="es-ES"/>
        </w:rPr>
      </w:pPr>
      <w:r w:rsidRPr="004107AA">
        <w:rPr>
          <w:rFonts w:ascii="Verdana" w:eastAsia="Calibri" w:hAnsi="Verdana" w:cs="Arial"/>
          <w:color w:val="000000"/>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4107AA">
        <w:rPr>
          <w:rFonts w:ascii="Verdana" w:eastAsia="Calibri" w:hAnsi="Verdana" w:cs="Arial"/>
          <w:color w:val="000000"/>
          <w:lang w:val="es-ES"/>
        </w:rPr>
        <w:t>ii</w:t>
      </w:r>
      <w:proofErr w:type="spellEnd"/>
      <w:r w:rsidRPr="004107AA">
        <w:rPr>
          <w:rFonts w:ascii="Verdana" w:eastAsia="Calibri" w:hAnsi="Verdana" w:cs="Arial"/>
          <w:color w:val="000000"/>
          <w:lang w:val="es-ES"/>
        </w:rPr>
        <w:t xml:space="preserve">) garantías bancarias o </w:t>
      </w:r>
      <w:proofErr w:type="spellStart"/>
      <w:r w:rsidRPr="004107AA">
        <w:rPr>
          <w:rFonts w:ascii="Verdana" w:eastAsia="Calibri" w:hAnsi="Verdana" w:cs="Arial"/>
          <w:color w:val="000000"/>
          <w:lang w:val="es-ES"/>
        </w:rPr>
        <w:t>iii</w:t>
      </w:r>
      <w:proofErr w:type="spellEnd"/>
      <w:r w:rsidRPr="004107AA">
        <w:rPr>
          <w:rFonts w:ascii="Verdana" w:eastAsia="Calibri" w:hAnsi="Verdana" w:cs="Arial"/>
          <w:color w:val="000000"/>
          <w:lang w:val="es-ES"/>
        </w:rPr>
        <w:t xml:space="preserve">) los demás mecanismos de cobertura del </w:t>
      </w:r>
      <w:r w:rsidRPr="004107AA">
        <w:rPr>
          <w:rFonts w:ascii="Verdana" w:eastAsia="Calibri" w:hAnsi="Verdana" w:cs="Arial"/>
          <w:color w:val="000000"/>
          <w:lang w:val="es-ES"/>
        </w:rPr>
        <w:lastRenderedPageBreak/>
        <w:t>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4107AA">
        <w:rPr>
          <w:rFonts w:ascii="Verdana" w:eastAsia="Calibri" w:hAnsi="Verdana" w:cs="Arial"/>
          <w:color w:val="000000"/>
          <w:vertAlign w:val="superscript"/>
          <w:lang w:val="es-ES"/>
        </w:rPr>
        <w:footnoteReference w:id="6"/>
      </w:r>
      <w:r w:rsidRPr="004107AA">
        <w:rPr>
          <w:rFonts w:ascii="Verdana" w:eastAsia="Calibri" w:hAnsi="Verdana" w:cs="Arial"/>
          <w:color w:val="000000"/>
          <w:lang w:val="es-ES"/>
        </w:rPr>
        <w:t>. De esta manera, las garantías previstas en la ley tienen como objetivo asegurar la solvencia del garante</w:t>
      </w:r>
      <w:r w:rsidRPr="004107AA">
        <w:rPr>
          <w:rFonts w:ascii="Verdana" w:eastAsia="Calibri" w:hAnsi="Verdana" w:cs="Arial"/>
          <w:color w:val="000000"/>
          <w:vertAlign w:val="superscript"/>
          <w:lang w:val="es-ES"/>
        </w:rPr>
        <w:footnoteReference w:id="7"/>
      </w:r>
      <w:r w:rsidRPr="004107AA">
        <w:rPr>
          <w:rFonts w:ascii="Verdana" w:eastAsia="Calibri" w:hAnsi="Verdana" w:cs="Arial"/>
          <w:color w:val="000000"/>
          <w:lang w:val="es-ES"/>
        </w:rPr>
        <w:t>.</w:t>
      </w:r>
    </w:p>
    <w:p w14:paraId="14D44DD7" w14:textId="77777777" w:rsidR="004107AA" w:rsidRPr="004107AA" w:rsidRDefault="004107AA" w:rsidP="004107AA">
      <w:pPr>
        <w:spacing w:after="120" w:line="276" w:lineRule="auto"/>
        <w:ind w:firstLine="708"/>
        <w:jc w:val="both"/>
        <w:rPr>
          <w:rFonts w:ascii="Verdana" w:eastAsia="Calibri" w:hAnsi="Verdana" w:cs="Arial"/>
          <w:color w:val="000000"/>
        </w:rPr>
      </w:pPr>
      <w:r w:rsidRPr="004107AA">
        <w:rPr>
          <w:rFonts w:ascii="Verdana" w:eastAsia="Calibri" w:hAnsi="Verdana" w:cs="Arial"/>
          <w:color w:val="000000"/>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2FBAF8F7" w14:textId="77777777" w:rsidR="004107AA" w:rsidRPr="004107AA" w:rsidRDefault="004107AA" w:rsidP="004107AA">
      <w:pPr>
        <w:spacing w:before="120" w:after="0" w:line="276" w:lineRule="auto"/>
        <w:ind w:firstLine="708"/>
        <w:jc w:val="both"/>
        <w:rPr>
          <w:rFonts w:ascii="Verdana" w:eastAsia="Times New Roman" w:hAnsi="Verdana" w:cs="Arial"/>
          <w:color w:val="000000"/>
          <w:lang w:eastAsia="es-CO"/>
        </w:rPr>
      </w:pPr>
      <w:r w:rsidRPr="004107AA">
        <w:rPr>
          <w:rFonts w:ascii="Verdana" w:eastAsia="Calibri" w:hAnsi="Verdana" w:cs="Arial"/>
          <w:color w:val="000000"/>
        </w:rPr>
        <w:t>El artículo 2.2.1.2.3.1.3, por ejemplo, establece que la “garantía de cobertura del Riesgo es indivisible”, además de la obligación de los contratantes de establecer en los pliegos de condiciones las garantías exigidas para cada periodo contractual</w:t>
      </w:r>
      <w:r w:rsidRPr="004107AA">
        <w:rPr>
          <w:rFonts w:ascii="Verdana" w:eastAsia="Calibri" w:hAnsi="Verdana" w:cs="Arial"/>
          <w:color w:val="000000"/>
          <w:vertAlign w:val="superscript"/>
        </w:rPr>
        <w:footnoteReference w:id="8"/>
      </w:r>
      <w:r w:rsidRPr="004107AA">
        <w:rPr>
          <w:rFonts w:ascii="Verdana" w:eastAsia="Calibri" w:hAnsi="Verdana" w:cs="Arial"/>
          <w:color w:val="000000"/>
        </w:rPr>
        <w:t xml:space="preserve">. Por su parte, el artículo 2.2.1.3.1.7 prescribe que la </w:t>
      </w:r>
      <w:r w:rsidRPr="004107AA">
        <w:rPr>
          <w:rFonts w:ascii="Verdana" w:eastAsia="Calibri" w:hAnsi="Verdana" w:cs="Arial"/>
          <w:color w:val="000000"/>
        </w:rPr>
        <w:lastRenderedPageBreak/>
        <w:t xml:space="preserve">garantía de cumplimiento debe cubrir: i) el buen manejo y correcta inversión del anticipo; </w:t>
      </w:r>
      <w:proofErr w:type="spellStart"/>
      <w:r w:rsidRPr="004107AA">
        <w:rPr>
          <w:rFonts w:ascii="Verdana" w:eastAsia="Calibri" w:hAnsi="Verdana" w:cs="Arial"/>
          <w:color w:val="000000"/>
        </w:rPr>
        <w:t>ii</w:t>
      </w:r>
      <w:proofErr w:type="spellEnd"/>
      <w:r w:rsidRPr="004107AA">
        <w:rPr>
          <w:rFonts w:ascii="Verdana" w:eastAsia="Calibri" w:hAnsi="Verdana" w:cs="Arial"/>
          <w:color w:val="000000"/>
        </w:rPr>
        <w:t xml:space="preserve">) la devolución del pago anticipado; </w:t>
      </w:r>
      <w:proofErr w:type="spellStart"/>
      <w:r w:rsidRPr="004107AA">
        <w:rPr>
          <w:rFonts w:ascii="Verdana" w:eastAsia="Calibri" w:hAnsi="Verdana" w:cs="Arial"/>
          <w:color w:val="000000"/>
        </w:rPr>
        <w:t>iii</w:t>
      </w:r>
      <w:proofErr w:type="spellEnd"/>
      <w:r w:rsidRPr="004107AA">
        <w:rPr>
          <w:rFonts w:ascii="Verdana" w:eastAsia="Calibri" w:hAnsi="Verdana" w:cs="Arial"/>
          <w:color w:val="000000"/>
        </w:rPr>
        <w:t xml:space="preserve">) el cumplimiento del contrato; </w:t>
      </w:r>
      <w:proofErr w:type="spellStart"/>
      <w:r w:rsidRPr="004107AA">
        <w:rPr>
          <w:rFonts w:ascii="Verdana" w:eastAsia="Calibri" w:hAnsi="Verdana" w:cs="Arial"/>
          <w:color w:val="000000"/>
        </w:rPr>
        <w:t>iv</w:t>
      </w:r>
      <w:proofErr w:type="spellEnd"/>
      <w:r w:rsidRPr="004107AA">
        <w:rPr>
          <w:rFonts w:ascii="Verdana" w:eastAsia="Calibri" w:hAnsi="Verdana" w:cs="Arial"/>
          <w:color w:val="000000"/>
        </w:rPr>
        <w:t xml:space="preserve">) el pago de salarios, prestaciones sociales legales e indemnizaciones laborales; v)  la estabilidad y calidad de la obra; vi) la </w:t>
      </w:r>
      <w:r w:rsidRPr="004107AA">
        <w:rPr>
          <w:rFonts w:ascii="Verdana" w:eastAsia="Times New Roman" w:hAnsi="Verdana" w:cs="Arial"/>
          <w:color w:val="000000"/>
          <w:lang w:eastAsia="es-CO"/>
        </w:rPr>
        <w:t xml:space="preserve">calidad del servicio; </w:t>
      </w:r>
      <w:proofErr w:type="spellStart"/>
      <w:r w:rsidRPr="004107AA">
        <w:rPr>
          <w:rFonts w:ascii="Verdana" w:eastAsia="Times New Roman" w:hAnsi="Verdana" w:cs="Arial"/>
          <w:color w:val="000000"/>
          <w:lang w:eastAsia="es-CO"/>
        </w:rPr>
        <w:t>vii</w:t>
      </w:r>
      <w:proofErr w:type="spellEnd"/>
      <w:r w:rsidRPr="004107AA">
        <w:rPr>
          <w:rFonts w:ascii="Verdana" w:eastAsia="Times New Roman" w:hAnsi="Verdana" w:cs="Arial"/>
          <w:color w:val="000000"/>
          <w:lang w:eastAsia="es-CO"/>
        </w:rPr>
        <w:t xml:space="preserve">) la calidad y correcto funcionamiento de los bienes, y </w:t>
      </w:r>
      <w:proofErr w:type="spellStart"/>
      <w:r w:rsidRPr="004107AA">
        <w:rPr>
          <w:rFonts w:ascii="Verdana" w:eastAsia="Times New Roman" w:hAnsi="Verdana" w:cs="Arial"/>
          <w:color w:val="000000"/>
          <w:lang w:eastAsia="es-CO"/>
        </w:rPr>
        <w:t>viii</w:t>
      </w:r>
      <w:proofErr w:type="spellEnd"/>
      <w:r w:rsidRPr="004107AA">
        <w:rPr>
          <w:rFonts w:ascii="Verdana" w:eastAsia="Times New Roman" w:hAnsi="Verdana" w:cs="Arial"/>
          <w:color w:val="000000"/>
          <w:lang w:eastAsia="es-CO"/>
        </w:rPr>
        <w:t>) los demás incumplimientos de las obligaciones que la entidad estatal considere deben ser amparados</w:t>
      </w:r>
      <w:r w:rsidRPr="004107AA">
        <w:rPr>
          <w:rFonts w:ascii="Verdana" w:eastAsia="Times New Roman" w:hAnsi="Verdana" w:cs="Arial"/>
          <w:color w:val="000000"/>
          <w:vertAlign w:val="superscript"/>
          <w:lang w:eastAsia="es-CO"/>
        </w:rPr>
        <w:footnoteReference w:id="9"/>
      </w:r>
      <w:r w:rsidRPr="004107AA">
        <w:rPr>
          <w:rFonts w:ascii="Verdana" w:eastAsia="Times New Roman" w:hAnsi="Verdana" w:cs="Arial"/>
          <w:color w:val="000000"/>
          <w:lang w:eastAsia="es-CO"/>
        </w:rPr>
        <w:t xml:space="preserve">. Esto además de la póliza de responsabilidad civil extracontractual en los contratos de obra, así como en aquellos en que por su objeto o naturaleza se considere necesario con ocasión de los riesgos previstos en el negocio, de acuerdo con el artículo 2.2.1.2.3.1.8 </w:t>
      </w:r>
      <w:r w:rsidRPr="004107AA">
        <w:rPr>
          <w:rFonts w:ascii="Verdana" w:eastAsia="Times New Roman" w:hAnsi="Verdana" w:cs="Arial"/>
          <w:i/>
          <w:iCs/>
          <w:color w:val="000000"/>
          <w:lang w:eastAsia="es-CO"/>
        </w:rPr>
        <w:t>ibidem</w:t>
      </w:r>
      <w:r w:rsidRPr="004107AA">
        <w:rPr>
          <w:rFonts w:ascii="Verdana" w:eastAsia="Times New Roman" w:hAnsi="Verdana" w:cs="Arial"/>
          <w:color w:val="000000"/>
          <w:lang w:eastAsia="es-CO"/>
        </w:rPr>
        <w:t>.</w:t>
      </w:r>
    </w:p>
    <w:p w14:paraId="32EDD6A0" w14:textId="77777777" w:rsidR="004107AA" w:rsidRPr="004107AA" w:rsidRDefault="004107AA" w:rsidP="004107AA">
      <w:pPr>
        <w:spacing w:after="0" w:line="276" w:lineRule="auto"/>
        <w:ind w:firstLine="708"/>
        <w:jc w:val="both"/>
        <w:rPr>
          <w:rFonts w:ascii="Verdana" w:eastAsia="Times New Roman" w:hAnsi="Verdana" w:cs="Arial"/>
          <w:color w:val="000000"/>
          <w:lang w:eastAsia="es-CO"/>
        </w:rPr>
      </w:pPr>
    </w:p>
    <w:p w14:paraId="694F891F" w14:textId="77777777" w:rsidR="004107AA" w:rsidRPr="004107AA" w:rsidRDefault="004107AA" w:rsidP="004107AA">
      <w:pPr>
        <w:spacing w:after="0" w:line="276" w:lineRule="auto"/>
        <w:jc w:val="both"/>
        <w:rPr>
          <w:rFonts w:ascii="Verdana" w:eastAsia="Times New Roman" w:hAnsi="Verdana" w:cs="Arial"/>
          <w:color w:val="000000"/>
          <w:lang w:eastAsia="es-CO"/>
        </w:rPr>
      </w:pPr>
      <w:proofErr w:type="spellStart"/>
      <w:r w:rsidRPr="004107AA">
        <w:rPr>
          <w:rFonts w:ascii="Verdana" w:eastAsia="Times New Roman" w:hAnsi="Verdana" w:cs="Arial"/>
          <w:color w:val="000000"/>
          <w:lang w:eastAsia="es-CO"/>
        </w:rPr>
        <w:t>ii</w:t>
      </w:r>
      <w:proofErr w:type="spellEnd"/>
      <w:r w:rsidRPr="004107AA">
        <w:rPr>
          <w:rFonts w:ascii="Verdana" w:eastAsia="Times New Roman" w:hAnsi="Verdana" w:cs="Arial"/>
          <w:color w:val="000000"/>
          <w:lang w:eastAsia="es-CO"/>
        </w:rPr>
        <w:t xml:space="preserve">. Respecto a la garantía de estabilidad y calidad de la obra, el artículo 2.2.1.2.3.1.14 del Decreto 1082 de 2015 –después de la modificación del </w:t>
      </w:r>
      <w:r w:rsidRPr="004107AA">
        <w:rPr>
          <w:rFonts w:ascii="Verdana" w:eastAsia="Times New Roman" w:hAnsi="Verdana" w:cs="Arial"/>
          <w:color w:val="000000"/>
          <w:lang w:eastAsia="es-CO"/>
        </w:rPr>
        <w:lastRenderedPageBreak/>
        <w:t>artículo 3 del Decreto 399 de 2021– regula la suficiencia del amparo. Para efectos de la vigencia y el monto, el inciso primero dispone que “Esta garantía debe estar vigente por un término no inferior a cinco (5) años contados a partir de la fecha en la cual la Entidad Estatal recibe a satisfacción la obra. La Entidad Estatal debe determinar el valor asegurado de esta garantía en los documentos del proceso, de acuerdo con el objeto, la cuantía, la naturaleza y las obligaciones contenidas en el contrato a celebrar”. No obstante, en lo que atañe al plazo, la norma consagra una excepción, puesto que la norma faculta a la entidad para establecer una garantía por un plazo inferior a cinco (5) años, sin que la misma tenga una duración inferior a uno (1). Para estos efectos, los incisos segundo y tercero disponen lo siguiente:</w:t>
      </w:r>
    </w:p>
    <w:p w14:paraId="2B4C51AA" w14:textId="77777777" w:rsidR="004107AA" w:rsidRPr="004107AA" w:rsidRDefault="004107AA" w:rsidP="004107AA">
      <w:pPr>
        <w:spacing w:after="0" w:line="276" w:lineRule="auto"/>
        <w:ind w:firstLine="708"/>
        <w:jc w:val="both"/>
        <w:rPr>
          <w:rFonts w:ascii="Verdana" w:eastAsia="Times New Roman" w:hAnsi="Verdana" w:cs="Arial"/>
          <w:color w:val="000000"/>
          <w:lang w:eastAsia="es-CO"/>
        </w:rPr>
      </w:pPr>
    </w:p>
    <w:p w14:paraId="29E5B3B6" w14:textId="77777777" w:rsidR="004107AA" w:rsidRPr="004107AA" w:rsidRDefault="004107AA" w:rsidP="004107AA">
      <w:pPr>
        <w:spacing w:after="120" w:line="240" w:lineRule="auto"/>
        <w:ind w:left="709" w:right="709"/>
        <w:jc w:val="both"/>
        <w:rPr>
          <w:rFonts w:ascii="Verdana" w:eastAsia="Times New Roman" w:hAnsi="Verdana" w:cs="Arial"/>
          <w:color w:val="000000"/>
          <w:sz w:val="21"/>
          <w:szCs w:val="21"/>
          <w:lang w:eastAsia="es-CO"/>
        </w:rPr>
      </w:pPr>
      <w:r w:rsidRPr="004107AA">
        <w:rPr>
          <w:rFonts w:ascii="Verdana" w:eastAsia="Times New Roman" w:hAnsi="Verdana" w:cs="Arial"/>
          <w:color w:val="000000"/>
          <w:sz w:val="21"/>
          <w:szCs w:val="21"/>
          <w:lang w:eastAsia="es-CO"/>
        </w:rPr>
        <w:t xml:space="preserve">“La Entidad Estatal puede aceptar que esta garantía tenga una vigencia inferior a cinco (5) años previa justificación técnica de un experto en la materia objeto del contrato, lo cual </w:t>
      </w:r>
      <w:bookmarkStart w:id="8" w:name="_Hlk171000426"/>
      <w:r w:rsidRPr="004107AA">
        <w:rPr>
          <w:rFonts w:ascii="Verdana" w:eastAsia="Times New Roman" w:hAnsi="Verdana" w:cs="Arial"/>
          <w:color w:val="000000"/>
          <w:sz w:val="21"/>
          <w:szCs w:val="21"/>
          <w:lang w:eastAsia="es-CO"/>
        </w:rPr>
        <w:t>se debe reflejar en los documentos del proceso</w:t>
      </w:r>
      <w:bookmarkEnd w:id="8"/>
      <w:r w:rsidRPr="004107AA">
        <w:rPr>
          <w:rFonts w:ascii="Verdana" w:eastAsia="Times New Roman" w:hAnsi="Verdana" w:cs="Arial"/>
          <w:color w:val="000000"/>
          <w:sz w:val="21"/>
          <w:szCs w:val="21"/>
          <w:lang w:eastAsia="es-CO"/>
        </w:rPr>
        <w:t>. Como consecuencia del análisis anterior y según la complejidad técnica del contrato a celebrar, esta garantía podrá tener una vigencia inferior a cinco (5) años y en todo caso de mínimo un (1) año.</w:t>
      </w:r>
    </w:p>
    <w:p w14:paraId="6C2C157F" w14:textId="77777777" w:rsidR="004107AA" w:rsidRPr="004107AA" w:rsidRDefault="004107AA" w:rsidP="004107AA">
      <w:pPr>
        <w:spacing w:before="120" w:after="0" w:line="240" w:lineRule="auto"/>
        <w:ind w:left="709" w:right="709"/>
        <w:jc w:val="both"/>
        <w:rPr>
          <w:rFonts w:ascii="Verdana" w:eastAsia="Times New Roman" w:hAnsi="Verdana" w:cs="Arial"/>
          <w:color w:val="000000"/>
          <w:sz w:val="21"/>
          <w:szCs w:val="21"/>
          <w:lang w:eastAsia="es-CO"/>
        </w:rPr>
      </w:pPr>
      <w:r w:rsidRPr="004107AA">
        <w:rPr>
          <w:rFonts w:ascii="Verdana" w:eastAsia="Times New Roman" w:hAnsi="Verdana" w:cs="Arial"/>
          <w:color w:val="000000"/>
          <w:sz w:val="21"/>
          <w:szCs w:val="21"/>
          <w:lang w:eastAsia="es-CO"/>
        </w:rPr>
        <w:t xml:space="preserve">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 </w:t>
      </w:r>
    </w:p>
    <w:p w14:paraId="724194CE" w14:textId="77777777" w:rsidR="004107AA" w:rsidRPr="004107AA" w:rsidRDefault="004107AA" w:rsidP="004107AA">
      <w:pPr>
        <w:spacing w:after="0" w:line="276" w:lineRule="auto"/>
        <w:jc w:val="both"/>
        <w:rPr>
          <w:rFonts w:ascii="Verdana" w:eastAsia="Times New Roman" w:hAnsi="Verdana" w:cs="Arial"/>
          <w:color w:val="000000"/>
          <w:lang w:eastAsia="es-CO"/>
        </w:rPr>
      </w:pPr>
    </w:p>
    <w:p w14:paraId="58F6A3C9" w14:textId="77777777" w:rsidR="004107AA" w:rsidRPr="004107AA" w:rsidRDefault="004107AA" w:rsidP="004107AA">
      <w:pPr>
        <w:spacing w:after="120" w:line="276" w:lineRule="auto"/>
        <w:ind w:firstLine="708"/>
        <w:jc w:val="both"/>
        <w:rPr>
          <w:rFonts w:ascii="Verdana" w:eastAsia="Times New Roman" w:hAnsi="Verdana" w:cs="Arial"/>
          <w:color w:val="000000"/>
          <w:lang w:eastAsia="es-CO"/>
        </w:rPr>
      </w:pPr>
      <w:r w:rsidRPr="004107AA">
        <w:rPr>
          <w:rFonts w:ascii="Verdana" w:eastAsia="Times New Roman" w:hAnsi="Verdana" w:cs="Arial"/>
          <w:color w:val="000000"/>
          <w:lang w:eastAsia="es-CO"/>
        </w:rPr>
        <w:t xml:space="preserve">Para precisar el alcance de este apartado, es necesario tener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De esta manera, dentro de las definiciones del Diccionario de la Real Academia Española, puede entenderse la palabra “experto” como una persona “Especializada o con grandes conocimientos en una materia”, quien deberá entender los aspectos involucrados en el objeto del contrato. </w:t>
      </w:r>
    </w:p>
    <w:p w14:paraId="08F64717" w14:textId="77777777" w:rsidR="004107AA" w:rsidRPr="004107AA" w:rsidRDefault="004107AA" w:rsidP="004107AA">
      <w:pPr>
        <w:spacing w:after="120" w:line="276" w:lineRule="auto"/>
        <w:ind w:firstLine="708"/>
        <w:jc w:val="both"/>
        <w:rPr>
          <w:rFonts w:ascii="Verdana" w:eastAsia="Times New Roman" w:hAnsi="Verdana" w:cs="Arial"/>
          <w:color w:val="000000"/>
          <w:lang w:eastAsia="es-CO"/>
        </w:rPr>
      </w:pPr>
      <w:r w:rsidRPr="004107AA">
        <w:rPr>
          <w:rFonts w:ascii="Verdana" w:eastAsia="Times New Roman" w:hAnsi="Verdana" w:cs="Arial"/>
          <w:color w:val="000000"/>
          <w:lang w:eastAsia="es-CO"/>
        </w:rPr>
        <w:t xml:space="preserve">Esta persona deberá emitir la “justificación”, entendida como la “Prueba convincente de algo”, de acuerdo con su área profesional. Sin limitarse a la cuantía del proceso, la justificación técnica se relaciona con “[…] el tipo de </w:t>
      </w:r>
      <w:r w:rsidRPr="004107AA">
        <w:rPr>
          <w:rFonts w:ascii="Verdana" w:eastAsia="Times New Roman" w:hAnsi="Verdana" w:cs="Arial"/>
          <w:color w:val="000000"/>
          <w:lang w:eastAsia="es-CO"/>
        </w:rPr>
        <w:lastRenderedPageBreak/>
        <w:t>actividades que serán realizadas, la experticia técnica requerida, el alcance físico de las obras, entre otros […]”. Con fundamento en la opinión del experto, la entidad encargada del proceso de selección definirá si existe una justificación razonable para constituir la garantía de estabilidad y calidad de la obra por un término inferior a cinco (5) años.</w:t>
      </w:r>
    </w:p>
    <w:p w14:paraId="6B11F480" w14:textId="77777777" w:rsidR="004107AA" w:rsidRPr="004107AA" w:rsidRDefault="004107AA" w:rsidP="004107AA">
      <w:pPr>
        <w:spacing w:after="120" w:line="276" w:lineRule="auto"/>
        <w:ind w:firstLine="708"/>
        <w:jc w:val="both"/>
        <w:rPr>
          <w:rFonts w:ascii="Verdana" w:eastAsia="Times New Roman" w:hAnsi="Verdana" w:cs="Arial"/>
          <w:color w:val="000000"/>
          <w:lang w:eastAsia="es-CO"/>
        </w:rPr>
      </w:pPr>
      <w:r w:rsidRPr="004107AA">
        <w:rPr>
          <w:rFonts w:ascii="Verdana" w:eastAsia="Times New Roman" w:hAnsi="Verdana" w:cs="Arial"/>
          <w:color w:val="000000"/>
          <w:lang w:eastAsia="es-CO"/>
        </w:rPr>
        <w:t xml:space="preserve">Como dispone la norma en comento, este análisis “[…] se debe reflejar en los documentos del proceso […]”. Dicho concepto se encuentra definido en el artículo 2.2.1.1.1.3.1 del Decreto 1082 de 2015, modificado por el artículo 1° del Decreto 142 de 2023. Esta norma dispone que son documentos del proceso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ADDC6B7" w14:textId="77777777" w:rsidR="004107AA" w:rsidRPr="004107AA" w:rsidRDefault="004107AA" w:rsidP="004107AA">
      <w:pPr>
        <w:spacing w:after="120" w:line="276" w:lineRule="auto"/>
        <w:ind w:firstLine="709"/>
        <w:jc w:val="both"/>
        <w:rPr>
          <w:rFonts w:ascii="Verdana" w:eastAsia="Times New Roman" w:hAnsi="Verdana" w:cs="Arial"/>
          <w:color w:val="000000"/>
          <w:lang w:eastAsia="es-CO"/>
        </w:rPr>
      </w:pPr>
      <w:r w:rsidRPr="004107AA">
        <w:rPr>
          <w:rFonts w:ascii="Verdana" w:eastAsia="Times New Roman" w:hAnsi="Verdana" w:cs="Arial"/>
          <w:color w:val="000000"/>
          <w:lang w:eastAsia="es-CO"/>
        </w:rPr>
        <w:t>Finalmente, conforme a los artículos 2.2.1.1.1.6.1, 2.2.1.1.2.1.1 y 2.2.1.1.2.1.3 del Decreto 1082 de 2015, las entidades deben realizar el análisis de los riesgos y de la forma de mitigarlos en los estudios del sector, en los estudios previos y en el pliego de condiciones, documentos propios de la etapa precontractual. Allí deben precisar la cobertura de las garantías, sin perjuicio de las observaciones que formulen los interesados y de los ajustes realizados al pliego de condiciones definitivo cuando estas se aceptan.</w:t>
      </w:r>
    </w:p>
    <w:p w14:paraId="191D29D5" w14:textId="77777777" w:rsidR="004107AA" w:rsidRPr="004107AA" w:rsidRDefault="004107AA" w:rsidP="004107AA">
      <w:pPr>
        <w:spacing w:after="0" w:line="276" w:lineRule="auto"/>
        <w:ind w:firstLine="708"/>
        <w:jc w:val="both"/>
        <w:rPr>
          <w:rFonts w:ascii="Verdana" w:eastAsia="Times New Roman" w:hAnsi="Verdana" w:cs="Arial"/>
          <w:color w:val="000000"/>
          <w:lang w:eastAsia="es-CO"/>
        </w:rPr>
      </w:pPr>
      <w:r w:rsidRPr="004107AA">
        <w:rPr>
          <w:rFonts w:ascii="Verdana" w:eastAsia="Times New Roman" w:hAnsi="Verdana" w:cs="Arial"/>
          <w:color w:val="000000"/>
          <w:lang w:eastAsia="es-CO"/>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 Dentro de este marco, es necesario analizar el trámite y el término para declarar el siniestro de la póliza.</w:t>
      </w:r>
    </w:p>
    <w:p w14:paraId="0EDA9192" w14:textId="77777777" w:rsidR="004107AA" w:rsidRPr="004107AA" w:rsidRDefault="004107AA" w:rsidP="004107AA">
      <w:pPr>
        <w:spacing w:after="0" w:line="276" w:lineRule="auto"/>
        <w:ind w:firstLine="708"/>
        <w:jc w:val="both"/>
        <w:rPr>
          <w:rFonts w:ascii="Verdana" w:eastAsia="Times New Roman" w:hAnsi="Verdana" w:cs="Arial"/>
          <w:color w:val="000000"/>
          <w:lang w:eastAsia="es-CO"/>
        </w:rPr>
      </w:pPr>
    </w:p>
    <w:p w14:paraId="720F4290" w14:textId="77777777" w:rsidR="004107AA" w:rsidRPr="004107AA" w:rsidRDefault="004107AA" w:rsidP="004107AA">
      <w:pPr>
        <w:spacing w:line="276" w:lineRule="auto"/>
        <w:jc w:val="both"/>
        <w:rPr>
          <w:rFonts w:ascii="Verdana" w:eastAsia="Calibri" w:hAnsi="Verdana" w:cs="Arial"/>
          <w:color w:val="000000"/>
          <w:lang w:val="es-ES"/>
        </w:rPr>
      </w:pPr>
      <w:proofErr w:type="spellStart"/>
      <w:r w:rsidRPr="004107AA">
        <w:rPr>
          <w:rFonts w:ascii="Verdana" w:eastAsia="Times New Roman" w:hAnsi="Verdana" w:cs="Arial"/>
          <w:color w:val="000000"/>
          <w:lang w:eastAsia="es-CO"/>
        </w:rPr>
        <w:t>iii</w:t>
      </w:r>
      <w:proofErr w:type="spellEnd"/>
      <w:r w:rsidRPr="004107AA">
        <w:rPr>
          <w:rFonts w:ascii="Verdana" w:eastAsia="Times New Roman" w:hAnsi="Verdana" w:cs="Arial"/>
          <w:color w:val="000000"/>
          <w:lang w:eastAsia="es-CO"/>
        </w:rPr>
        <w:t xml:space="preserve">. </w:t>
      </w:r>
      <w:r w:rsidRPr="004107AA">
        <w:rPr>
          <w:rFonts w:ascii="Verdana" w:eastAsia="Calibri" w:hAnsi="Verdana" w:cs="Arial"/>
          <w:color w:val="000000"/>
          <w:lang w:val="es-ES"/>
        </w:rPr>
        <w:t xml:space="preserve">En lo que respecta al </w:t>
      </w:r>
      <w:r w:rsidRPr="004107AA">
        <w:rPr>
          <w:rFonts w:ascii="Verdana" w:eastAsia="Calibri" w:hAnsi="Verdana" w:cs="Arial"/>
          <w:i/>
          <w:iCs/>
          <w:color w:val="000000"/>
          <w:lang w:val="es-ES"/>
        </w:rPr>
        <w:t>procedimiento</w:t>
      </w:r>
      <w:r w:rsidRPr="004107AA">
        <w:rPr>
          <w:rFonts w:ascii="Verdana" w:eastAsia="Calibri" w:hAnsi="Verdana" w:cs="Arial"/>
          <w:color w:val="000000"/>
          <w:lang w:val="es-ES"/>
        </w:rPr>
        <w:t>, la jurisprudencia explica que, al declarar el siniestro, la Administración no ejerce una potestad sancionadora</w:t>
      </w:r>
      <w:r w:rsidRPr="004107AA">
        <w:rPr>
          <w:rFonts w:ascii="Verdana" w:eastAsia="Calibri" w:hAnsi="Verdana" w:cs="Arial"/>
          <w:color w:val="000000"/>
          <w:vertAlign w:val="superscript"/>
          <w:lang w:val="es-ES"/>
        </w:rPr>
        <w:footnoteReference w:id="10"/>
      </w:r>
      <w:r w:rsidRPr="004107AA">
        <w:rPr>
          <w:rFonts w:ascii="Verdana" w:eastAsia="Calibri" w:hAnsi="Verdana" w:cs="Arial"/>
          <w:color w:val="000000"/>
          <w:lang w:val="es-ES"/>
        </w:rPr>
        <w:t xml:space="preserve">. En esta medida, no se trata de una pena de carácter legal o convencional, porque no pretende terminar anormalmente el contrato –caducidad–, ni estima anticipadamente los perjuicios derivados del incumplimiento –cláusula penal–, </w:t>
      </w:r>
      <w:r w:rsidRPr="004107AA">
        <w:rPr>
          <w:rFonts w:ascii="Verdana" w:eastAsia="Calibri" w:hAnsi="Verdana" w:cs="Arial"/>
          <w:color w:val="000000"/>
          <w:lang w:val="es-ES"/>
        </w:rPr>
        <w:lastRenderedPageBreak/>
        <w:t xml:space="preserve">como tampoco son medios coercitivos de apremio –multas–. Todo lo contrario, su función es salvaguardar el interés público y proteger patrimonialmente a la Administración frente a los eventuales incumplimientos imputables al contratista. </w:t>
      </w:r>
    </w:p>
    <w:p w14:paraId="4E7974D0" w14:textId="77777777" w:rsidR="004107AA" w:rsidRPr="004107AA" w:rsidRDefault="004107AA" w:rsidP="004107AA">
      <w:pPr>
        <w:spacing w:before="120" w:line="276" w:lineRule="auto"/>
        <w:ind w:firstLine="708"/>
        <w:jc w:val="both"/>
        <w:rPr>
          <w:rFonts w:ascii="Verdana" w:eastAsia="Calibri" w:hAnsi="Verdana" w:cs="Arial"/>
          <w:color w:val="000000"/>
          <w:lang w:val="es-ES"/>
        </w:rPr>
      </w:pPr>
      <w:r w:rsidRPr="004107AA">
        <w:rPr>
          <w:rFonts w:ascii="Verdana" w:eastAsia="Calibri" w:hAnsi="Verdana" w:cs="Arial"/>
          <w:color w:val="000000"/>
          <w:lang w:val="es-ES"/>
        </w:rPr>
        <w:t xml:space="preserve">Por ello, impuesta cualquier sanción contractual –multa, cláusula penal o caducidad–, la entidad –previa citación de la aseguradora– está facultada para afectar el amparo de cumplimiento, siniestrando la póliza conforme al procedimiento del artículo 86 de la Ley 1474 de 2011. Dicho trámite se establece para declarar el incumplimiento, cuantificando los perjuicios </w:t>
      </w:r>
      <w:proofErr w:type="gramStart"/>
      <w:r w:rsidRPr="004107AA">
        <w:rPr>
          <w:rFonts w:ascii="Verdana" w:eastAsia="Calibri" w:hAnsi="Verdana" w:cs="Arial"/>
          <w:color w:val="000000"/>
          <w:lang w:val="es-ES"/>
        </w:rPr>
        <w:t>del mismo</w:t>
      </w:r>
      <w:proofErr w:type="gramEnd"/>
      <w:r w:rsidRPr="004107AA">
        <w:rPr>
          <w:rFonts w:ascii="Verdana" w:eastAsia="Calibri" w:hAnsi="Verdana" w:cs="Arial"/>
          <w:color w:val="000000"/>
          <w:lang w:val="es-ES"/>
        </w:rPr>
        <w:t>, imponer las multas y sanciones pactadas en el contrato, y hacer efectiva la cláusula penal. En esta medida, dicha norma no aplica para declarar el siniestro del amparo de estabilidad de la obra, el cual supone que el contratista ejecutó las actividades pactadas y que la entidad las recibió a satisfacción, encontrando posteriormente vicios que afectan su calidad y obligan al saneamiento</w:t>
      </w:r>
      <w:r w:rsidRPr="004107AA">
        <w:rPr>
          <w:rFonts w:ascii="Verdana" w:eastAsia="Calibri" w:hAnsi="Verdana" w:cs="Arial"/>
          <w:color w:val="000000"/>
          <w:vertAlign w:val="superscript"/>
          <w:lang w:val="es-ES"/>
        </w:rPr>
        <w:footnoteReference w:id="11"/>
      </w:r>
      <w:r w:rsidRPr="004107AA">
        <w:rPr>
          <w:rFonts w:ascii="Verdana" w:eastAsia="Calibri" w:hAnsi="Verdana" w:cs="Arial"/>
          <w:color w:val="000000"/>
          <w:lang w:val="es-ES"/>
        </w:rPr>
        <w:t>.</w:t>
      </w:r>
    </w:p>
    <w:p w14:paraId="24833BFC" w14:textId="77777777" w:rsidR="004107AA" w:rsidRPr="004107AA" w:rsidRDefault="004107AA" w:rsidP="004107AA">
      <w:pPr>
        <w:spacing w:before="120" w:after="0" w:line="276" w:lineRule="auto"/>
        <w:ind w:firstLine="708"/>
        <w:jc w:val="both"/>
        <w:rPr>
          <w:rFonts w:ascii="Verdana" w:eastAsia="Calibri" w:hAnsi="Verdana" w:cs="Arial"/>
          <w:color w:val="000000"/>
          <w:lang w:val="es-ES_tradnl"/>
        </w:rPr>
      </w:pPr>
      <w:r w:rsidRPr="004107AA">
        <w:rPr>
          <w:rFonts w:ascii="Verdana" w:eastAsia="Calibri" w:hAnsi="Verdana" w:cs="Arial"/>
          <w:color w:val="000000"/>
          <w:lang w:val="es-ES_tradnl"/>
        </w:rPr>
        <w:t xml:space="preserve">En todo caso, el artículo 29 de la Constitución Política de 1991 dispone que el debido proceso rige en todas las actuaciones judiciales y administrativas. En concordancia, el numeral 1 del artículo 3 de la Ley 1437 prescribe que “En virtud del principio del debido proceso, las actuaciones administrativas se adelantarán de conformidad con las normas de procedimiento y competencia establecidas en la Constitución y la ley, con plena garantía de los derechos de representación, defensa y contradicción […]”. Por tanto, sin perjuicio de los recursos y los medios de control procedentes, este derecho fundamental permite que tanto el contratista como la aseguradora conozcan la actuación, ejerciendo el derecho de audiencia y defensa antes de que la Administración afecte la póliza. La jurisprudencia mayoritaria del Consejo de Estado acoge esta idea al explicar que, si bien las entidades tienen competencia para declarar el siniestro, esta prerrogativa no limita el debido proceso, razón por la cual: </w:t>
      </w:r>
    </w:p>
    <w:p w14:paraId="59A10604" w14:textId="77777777" w:rsidR="004107AA" w:rsidRPr="004107AA" w:rsidRDefault="004107AA" w:rsidP="004107AA">
      <w:pPr>
        <w:spacing w:after="0" w:line="276" w:lineRule="auto"/>
        <w:ind w:firstLine="708"/>
        <w:jc w:val="both"/>
        <w:rPr>
          <w:rFonts w:ascii="Verdana" w:eastAsia="Calibri" w:hAnsi="Verdana" w:cs="Arial"/>
          <w:color w:val="000000"/>
          <w:lang w:val="es-ES_tradnl"/>
        </w:rPr>
      </w:pPr>
    </w:p>
    <w:p w14:paraId="1170AEA2" w14:textId="77777777" w:rsidR="004107AA" w:rsidRPr="004107AA" w:rsidRDefault="004107AA" w:rsidP="004107AA">
      <w:pPr>
        <w:spacing w:line="240" w:lineRule="auto"/>
        <w:ind w:left="709" w:right="760"/>
        <w:jc w:val="both"/>
        <w:rPr>
          <w:rFonts w:ascii="Verdana" w:eastAsia="Calibri" w:hAnsi="Verdana" w:cs="Arial"/>
          <w:color w:val="000000"/>
          <w:sz w:val="21"/>
          <w:szCs w:val="21"/>
          <w:lang w:val="es-ES"/>
        </w:rPr>
      </w:pPr>
      <w:r w:rsidRPr="004107AA">
        <w:rPr>
          <w:rFonts w:ascii="Verdana" w:eastAsia="Calibri" w:hAnsi="Verdana" w:cs="Arial"/>
          <w:color w:val="000000"/>
          <w:sz w:val="21"/>
          <w:szCs w:val="21"/>
          <w:lang w:val="es-ES_tradnl"/>
        </w:rPr>
        <w:t>“</w:t>
      </w:r>
      <w:r w:rsidRPr="004107AA">
        <w:rPr>
          <w:rFonts w:ascii="Verdana" w:eastAsia="Calibri" w:hAnsi="Verdana" w:cs="Arial"/>
          <w:color w:val="000000"/>
          <w:sz w:val="21"/>
          <w:szCs w:val="21"/>
          <w:lang w:val="es-ES"/>
        </w:rPr>
        <w:t xml:space="preserve">[…] tampoco es exclusiva de los procedimientos sancionatorios contractuales, sino de los demás trámites administrativos que se surten al interior de la actividad contractual, que también deben </w:t>
      </w:r>
      <w:r w:rsidRPr="004107AA">
        <w:rPr>
          <w:rFonts w:ascii="Verdana" w:eastAsia="Calibri" w:hAnsi="Verdana" w:cs="Arial"/>
          <w:color w:val="000000"/>
          <w:sz w:val="21"/>
          <w:szCs w:val="21"/>
          <w:lang w:val="es-ES"/>
        </w:rPr>
        <w:lastRenderedPageBreak/>
        <w:t xml:space="preserve">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w:t>
      </w:r>
    </w:p>
    <w:p w14:paraId="2AE834E6" w14:textId="77777777" w:rsidR="004107AA" w:rsidRPr="004107AA" w:rsidRDefault="004107AA" w:rsidP="004107AA">
      <w:pPr>
        <w:spacing w:before="120" w:after="0" w:line="240" w:lineRule="auto"/>
        <w:ind w:left="709" w:right="709"/>
        <w:jc w:val="both"/>
        <w:rPr>
          <w:rFonts w:ascii="Verdana" w:eastAsia="Calibri" w:hAnsi="Verdana" w:cs="Arial"/>
          <w:color w:val="000000"/>
          <w:sz w:val="21"/>
          <w:szCs w:val="21"/>
          <w:lang w:val="es-ES"/>
        </w:rPr>
      </w:pPr>
      <w:r w:rsidRPr="004107AA">
        <w:rPr>
          <w:rFonts w:ascii="Verdana" w:eastAsia="Calibri" w:hAnsi="Verdana" w:cs="Arial"/>
          <w:color w:val="000000"/>
          <w:sz w:val="21"/>
          <w:szCs w:val="21"/>
          <w:lang w:val="es-ES"/>
        </w:rPr>
        <w:t xml:space="preserve">El artículo 17 de la ley 1.150 exaltó aún más esta garantía, al disponer sobre la imposición de las sanciones que ‘Esta decisión deberá estar precedida de audiencia del afectado que deberá tener un procedimiento mínimo que garantice el derecho al debido proceso del contratista’. Sobra insistir en que este derecho no sólo es predicable de las sanciones de multa o cláusula penal, sino de cualquiera otra, por aplicación analógica de esta disposición –analogía in </w:t>
      </w:r>
      <w:proofErr w:type="spellStart"/>
      <w:r w:rsidRPr="004107AA">
        <w:rPr>
          <w:rFonts w:ascii="Verdana" w:eastAsia="Calibri" w:hAnsi="Verdana" w:cs="Arial"/>
          <w:i/>
          <w:iCs/>
          <w:color w:val="000000"/>
          <w:sz w:val="21"/>
          <w:szCs w:val="21"/>
          <w:lang w:val="es-ES"/>
        </w:rPr>
        <w:t>bonam</w:t>
      </w:r>
      <w:proofErr w:type="spellEnd"/>
      <w:r w:rsidRPr="004107AA">
        <w:rPr>
          <w:rFonts w:ascii="Verdana" w:eastAsia="Calibri" w:hAnsi="Verdana" w:cs="Arial"/>
          <w:i/>
          <w:iCs/>
          <w:color w:val="000000"/>
          <w:sz w:val="21"/>
          <w:szCs w:val="21"/>
          <w:lang w:val="es-ES"/>
        </w:rPr>
        <w:t xml:space="preserve"> </w:t>
      </w:r>
      <w:proofErr w:type="spellStart"/>
      <w:r w:rsidRPr="004107AA">
        <w:rPr>
          <w:rFonts w:ascii="Verdana" w:eastAsia="Calibri" w:hAnsi="Verdana" w:cs="Arial"/>
          <w:i/>
          <w:iCs/>
          <w:color w:val="000000"/>
          <w:sz w:val="21"/>
          <w:szCs w:val="21"/>
          <w:lang w:val="es-ES"/>
        </w:rPr>
        <w:t>partem</w:t>
      </w:r>
      <w:proofErr w:type="spellEnd"/>
      <w:r w:rsidRPr="004107AA">
        <w:rPr>
          <w:rFonts w:ascii="Verdana" w:eastAsia="Calibri" w:hAnsi="Verdana" w:cs="Arial"/>
          <w:color w:val="000000"/>
          <w:sz w:val="21"/>
          <w:szCs w:val="21"/>
          <w:lang w:val="es-ES"/>
        </w:rPr>
        <w:t xml:space="preserve">- y por aplicación directa del art. 29 CP. En otras palabras, para la Sala no cabe duda </w:t>
      </w:r>
      <w:proofErr w:type="gramStart"/>
      <w:r w:rsidRPr="004107AA">
        <w:rPr>
          <w:rFonts w:ascii="Verdana" w:eastAsia="Calibri" w:hAnsi="Verdana" w:cs="Arial"/>
          <w:color w:val="000000"/>
          <w:sz w:val="21"/>
          <w:szCs w:val="21"/>
          <w:lang w:val="es-ES"/>
        </w:rPr>
        <w:t>que</w:t>
      </w:r>
      <w:proofErr w:type="gramEnd"/>
      <w:r w:rsidRPr="004107AA">
        <w:rPr>
          <w:rFonts w:ascii="Verdana" w:eastAsia="Calibri" w:hAnsi="Verdana" w:cs="Arial"/>
          <w:color w:val="000000"/>
          <w:sz w:val="21"/>
          <w:szCs w:val="21"/>
          <w:lang w:val="es-ES"/>
        </w:rPr>
        <w:t xml:space="preserve"> también cuando se ejercen los poderes exorbitantes, como la terminación, modificación o interpretación unilateral, caducidad, reversión, así como cuando se declara un siniestro, y en general cuando se adopta cualquier otra decisión unilateral de naturaleza contractual, es necesario que la administración observe el debido proceso a lo largo del procedimiento correspondiente”</w:t>
      </w:r>
      <w:r w:rsidRPr="004107AA">
        <w:rPr>
          <w:rFonts w:ascii="Verdana" w:eastAsia="Calibri" w:hAnsi="Verdana" w:cs="Arial"/>
          <w:color w:val="000000"/>
          <w:sz w:val="21"/>
          <w:szCs w:val="21"/>
          <w:vertAlign w:val="superscript"/>
          <w:lang w:val="es-ES"/>
        </w:rPr>
        <w:footnoteReference w:id="12"/>
      </w:r>
      <w:r w:rsidRPr="004107AA">
        <w:rPr>
          <w:rFonts w:ascii="Verdana" w:eastAsia="Calibri" w:hAnsi="Verdana" w:cs="Arial"/>
          <w:color w:val="000000"/>
          <w:sz w:val="21"/>
          <w:szCs w:val="21"/>
          <w:lang w:val="es-ES"/>
        </w:rPr>
        <w:t>.</w:t>
      </w:r>
    </w:p>
    <w:p w14:paraId="2942304D" w14:textId="77777777" w:rsidR="004107AA" w:rsidRPr="004107AA" w:rsidRDefault="004107AA" w:rsidP="004107AA">
      <w:pPr>
        <w:spacing w:after="0" w:line="276" w:lineRule="auto"/>
        <w:jc w:val="both"/>
        <w:rPr>
          <w:rFonts w:ascii="Verdana" w:eastAsia="Calibri" w:hAnsi="Verdana" w:cs="Arial"/>
          <w:color w:val="000000"/>
          <w:lang w:val="es-ES_tradnl"/>
        </w:rPr>
      </w:pPr>
    </w:p>
    <w:p w14:paraId="6B43BE28" w14:textId="77777777" w:rsidR="004107AA" w:rsidRPr="004107AA" w:rsidRDefault="004107AA" w:rsidP="004107AA">
      <w:pPr>
        <w:spacing w:after="0" w:line="276" w:lineRule="auto"/>
        <w:ind w:firstLine="709"/>
        <w:jc w:val="both"/>
        <w:rPr>
          <w:rFonts w:ascii="Verdana" w:eastAsia="Calibri" w:hAnsi="Verdana" w:cs="Arial"/>
          <w:color w:val="000000"/>
          <w:lang w:val="es-ES_tradnl"/>
        </w:rPr>
      </w:pPr>
      <w:r w:rsidRPr="004107AA">
        <w:rPr>
          <w:rFonts w:ascii="Verdana" w:eastAsia="Calibri" w:hAnsi="Verdana" w:cs="Arial"/>
          <w:color w:val="000000"/>
          <w:lang w:val="es-ES_tradnl"/>
        </w:rPr>
        <w:t xml:space="preserve">En este contexto, </w:t>
      </w:r>
      <w:bookmarkStart w:id="9" w:name="_Hlk37703813"/>
      <w:r w:rsidRPr="004107AA">
        <w:rPr>
          <w:rFonts w:ascii="Verdana" w:eastAsia="Calibri" w:hAnsi="Verdana" w:cs="Arial"/>
          <w:color w:val="000000"/>
          <w:lang w:val="es-ES_tradnl"/>
        </w:rPr>
        <w:t xml:space="preserve">como no aplica el artículo 86 de la Ley 1474 de 2011 y el artículo 29 superior prohíbe decisiones de plano, la Subdirección de Gestión Contractual considera que el trámite de la declaratoria del siniestro de estabilidad y calidad de la obra </w:t>
      </w:r>
      <w:bookmarkStart w:id="10" w:name="_Hlk37701904"/>
      <w:r w:rsidRPr="004107AA">
        <w:rPr>
          <w:rFonts w:ascii="Verdana" w:eastAsia="Calibri" w:hAnsi="Verdana" w:cs="Arial"/>
          <w:color w:val="000000"/>
          <w:lang w:val="es-ES_tradnl"/>
        </w:rPr>
        <w:t>se rige por el procedimiento administrativo general dispuesto en los artículos 34 y siguientes de la Ley 1437 de 2011</w:t>
      </w:r>
      <w:bookmarkEnd w:id="10"/>
      <w:r w:rsidRPr="004107AA">
        <w:rPr>
          <w:rFonts w:ascii="Verdana" w:eastAsia="Calibri" w:hAnsi="Verdana" w:cs="Arial"/>
          <w:color w:val="000000"/>
          <w:lang w:val="es-ES_tradnl"/>
        </w:rPr>
        <w:t>. Dicha norma prescribe que “Las actuaciones administrativas se sujetarán al procedimiento administrativo común y principal que se establece en este Código, sin perjuicio de los procedimientos administrativos regulados por leyes especiales […]”, disposición aplicable a los temas contractuales por la remisión del inciso primero del artículo 77 de la Ley 80 de 1993</w:t>
      </w:r>
      <w:r w:rsidRPr="004107AA">
        <w:rPr>
          <w:rFonts w:ascii="Verdana" w:eastAsia="Calibri" w:hAnsi="Verdana" w:cs="Arial"/>
          <w:color w:val="000000"/>
          <w:vertAlign w:val="superscript"/>
          <w:lang w:val="es-ES_tradnl"/>
        </w:rPr>
        <w:footnoteReference w:id="13"/>
      </w:r>
      <w:r w:rsidRPr="004107AA">
        <w:rPr>
          <w:rFonts w:ascii="Verdana" w:eastAsia="Calibri" w:hAnsi="Verdana" w:cs="Arial"/>
          <w:color w:val="000000"/>
          <w:lang w:val="es-ES_tradnl"/>
        </w:rPr>
        <w:t xml:space="preserve">. Para estos efectos, el Código de Procedimiento Administrativo exige que cuando las entidades </w:t>
      </w:r>
      <w:r w:rsidRPr="004107AA">
        <w:rPr>
          <w:rFonts w:ascii="Verdana" w:eastAsia="Calibri" w:hAnsi="Verdana" w:cs="Arial"/>
          <w:color w:val="000000"/>
          <w:lang w:val="es-ES_tradnl"/>
        </w:rPr>
        <w:lastRenderedPageBreak/>
        <w:t>procedan de oficio la actuación comience con un escrito que debe comunicarse al interesado para que ejerza el derecho de defensa –art. 35, inc. 2–. Lo anterior, sin perjuicio de informar a terceros cuando la Administración advierta la posibilidad de que otras personas resulten afectadas con la decisión –art. 37–. Dicho procedimiento concreta el respeto a las formalidades propias de cada juicio de que trata el artículo 29 superior, garantizando que el contratista y la aseguradora sean escuchados antes de que la entidad declare el siniestro de la garantía.</w:t>
      </w:r>
    </w:p>
    <w:p w14:paraId="20E2E99D" w14:textId="77777777" w:rsidR="004107AA" w:rsidRPr="004107AA" w:rsidRDefault="004107AA" w:rsidP="004107AA">
      <w:pPr>
        <w:spacing w:after="0" w:line="276" w:lineRule="auto"/>
        <w:ind w:firstLine="709"/>
        <w:jc w:val="both"/>
        <w:rPr>
          <w:rFonts w:ascii="Verdana" w:eastAsia="Calibri" w:hAnsi="Verdana" w:cs="Arial"/>
          <w:color w:val="000000"/>
          <w:lang w:val="es-ES_tradnl"/>
        </w:rPr>
      </w:pPr>
    </w:p>
    <w:p w14:paraId="3C28E0DC" w14:textId="77777777" w:rsidR="004107AA" w:rsidRPr="004107AA" w:rsidRDefault="004107AA" w:rsidP="004107AA">
      <w:pPr>
        <w:spacing w:after="0" w:line="276" w:lineRule="auto"/>
        <w:jc w:val="both"/>
        <w:rPr>
          <w:rFonts w:ascii="Verdana" w:eastAsia="Calibri" w:hAnsi="Verdana" w:cs="Arial"/>
          <w:color w:val="000000"/>
          <w:lang w:val="es-ES"/>
        </w:rPr>
      </w:pPr>
      <w:proofErr w:type="spellStart"/>
      <w:r w:rsidRPr="004107AA">
        <w:rPr>
          <w:rFonts w:ascii="Verdana" w:eastAsia="Calibri" w:hAnsi="Verdana" w:cs="Arial"/>
          <w:color w:val="000000"/>
          <w:lang w:val="es-ES_tradnl"/>
        </w:rPr>
        <w:t>iv</w:t>
      </w:r>
      <w:proofErr w:type="spellEnd"/>
      <w:r w:rsidRPr="004107AA">
        <w:rPr>
          <w:rFonts w:ascii="Verdana" w:eastAsia="Calibri" w:hAnsi="Verdana" w:cs="Arial"/>
          <w:color w:val="000000"/>
          <w:lang w:val="es-ES_tradnl"/>
        </w:rPr>
        <w:t xml:space="preserve">. </w:t>
      </w:r>
      <w:r w:rsidRPr="004107AA">
        <w:rPr>
          <w:rFonts w:ascii="Verdana" w:eastAsia="Calibri" w:hAnsi="Verdana" w:cs="Arial"/>
          <w:color w:val="000000"/>
          <w:lang w:val="es-ES"/>
        </w:rPr>
        <w:t xml:space="preserve">En lo que respecta a la </w:t>
      </w:r>
      <w:r w:rsidRPr="004107AA">
        <w:rPr>
          <w:rFonts w:ascii="Verdana" w:eastAsia="Calibri" w:hAnsi="Verdana" w:cs="Arial"/>
          <w:i/>
          <w:iCs/>
          <w:color w:val="000000"/>
          <w:lang w:val="es-ES"/>
        </w:rPr>
        <w:t>competencia temporal</w:t>
      </w:r>
      <w:r w:rsidRPr="004107AA">
        <w:rPr>
          <w:rFonts w:ascii="Verdana" w:eastAsia="Calibri" w:hAnsi="Verdana" w:cs="Arial"/>
          <w:color w:val="000000"/>
          <w:lang w:val="es-ES"/>
        </w:rPr>
        <w:t xml:space="preserve">, la Administración no dispone de un término ilimitado para ejercer sus prerrogativas. </w:t>
      </w:r>
      <w:bookmarkStart w:id="11" w:name="_Hlk37703948"/>
      <w:r w:rsidRPr="004107AA">
        <w:rPr>
          <w:rFonts w:ascii="Verdana" w:eastAsia="Calibri" w:hAnsi="Verdana" w:cs="Arial"/>
          <w:color w:val="000000"/>
          <w:lang w:val="es-ES"/>
        </w:rPr>
        <w:t>Ahora bien, podría pensarse que tanto el “siniestro” como la “declaratoria” deben ocurrir dentro del mismo plazo. Sin embargo, esta impresión es equivocada, en la medida que el “siniestro”, entendido como la realización del riesgo asegurado, es el único que se debe dar dentro de dicha vigencia. Mientras tanto, el acto administrativo que declara su ocurrencia debe expedirse antes de la prescripción del contrato de seguro</w:t>
      </w:r>
      <w:r w:rsidRPr="004107AA">
        <w:rPr>
          <w:rFonts w:ascii="Verdana" w:eastAsia="Calibri" w:hAnsi="Verdana" w:cs="Arial"/>
          <w:color w:val="000000"/>
          <w:vertAlign w:val="superscript"/>
          <w:lang w:val="es-ES"/>
        </w:rPr>
        <w:footnoteReference w:id="14"/>
      </w:r>
      <w:r w:rsidRPr="004107AA">
        <w:rPr>
          <w:rFonts w:ascii="Verdana" w:eastAsia="Calibri" w:hAnsi="Verdana" w:cs="Arial"/>
          <w:color w:val="000000"/>
          <w:lang w:val="es-ES"/>
        </w:rPr>
        <w:t>. En otras palabras, aunque la vigencia de la garantía está relacionada con la ocurrencia del siniestro, es independiente del plazo que tiene la Administración para hacerla efectiva, máxime cuando se limita a declarar una situación prexistente</w:t>
      </w:r>
      <w:bookmarkEnd w:id="11"/>
      <w:r w:rsidRPr="004107AA">
        <w:rPr>
          <w:rFonts w:ascii="Verdana" w:eastAsia="Calibri" w:hAnsi="Verdana" w:cs="Arial"/>
          <w:color w:val="000000"/>
          <w:sz w:val="21"/>
          <w:szCs w:val="21"/>
          <w:vertAlign w:val="superscript"/>
          <w:lang w:val="es-ES"/>
        </w:rPr>
        <w:footnoteReference w:id="15"/>
      </w:r>
      <w:r w:rsidRPr="004107AA">
        <w:rPr>
          <w:rFonts w:ascii="Verdana" w:eastAsia="Calibri" w:hAnsi="Verdana" w:cs="Arial"/>
          <w:color w:val="000000"/>
          <w:lang w:val="es-ES"/>
        </w:rPr>
        <w:t>. Sobre el tema, la jurisprudencia explica que:</w:t>
      </w:r>
    </w:p>
    <w:p w14:paraId="074733F0" w14:textId="77777777" w:rsidR="004107AA" w:rsidRPr="004107AA" w:rsidRDefault="004107AA" w:rsidP="004107AA">
      <w:pPr>
        <w:spacing w:after="0" w:line="276" w:lineRule="auto"/>
        <w:jc w:val="both"/>
        <w:rPr>
          <w:rFonts w:ascii="Verdana" w:eastAsia="Calibri" w:hAnsi="Verdana" w:cs="Arial"/>
          <w:color w:val="000000"/>
          <w:lang w:val="es-ES_tradnl"/>
        </w:rPr>
      </w:pPr>
    </w:p>
    <w:p w14:paraId="51A033C3" w14:textId="77777777" w:rsidR="004107AA" w:rsidRPr="004107AA" w:rsidRDefault="004107AA" w:rsidP="004107AA">
      <w:pPr>
        <w:snapToGrid w:val="0"/>
        <w:spacing w:after="0" w:line="240" w:lineRule="auto"/>
        <w:ind w:left="709" w:right="709"/>
        <w:jc w:val="both"/>
        <w:rPr>
          <w:rFonts w:ascii="Verdana" w:eastAsia="Calibri" w:hAnsi="Verdana" w:cs="Arial"/>
          <w:color w:val="000000"/>
          <w:sz w:val="21"/>
          <w:szCs w:val="21"/>
          <w:lang w:val="es-ES_tradnl"/>
        </w:rPr>
      </w:pPr>
      <w:bookmarkStart w:id="12" w:name="_Hlk38541092"/>
      <w:r w:rsidRPr="004107AA">
        <w:rPr>
          <w:rFonts w:ascii="Verdana" w:eastAsia="Calibri" w:hAnsi="Verdana" w:cs="Arial"/>
          <w:color w:val="000000"/>
          <w:sz w:val="21"/>
          <w:szCs w:val="21"/>
          <w:lang w:val="es-ES_tradnl"/>
        </w:rPr>
        <w:t xml:space="preserve">“[…] la Administración tiene como termino máximo para declarar el siniestro, el de dos años después de haber tenido conocimiento de la ocurrencia de los hechos constitutivos del mismo, de tal suerte que expedido el acto administrativo que lo declara y ejecutoriado el mismo, mediante el agotamiento de la vía gubernativa, empezará a correr el término de los dos años que la ley ha previsto para el ejercicio de la acción contractual. Lo anterior no significa que el acto administrativo </w:t>
      </w:r>
      <w:r w:rsidRPr="004107AA">
        <w:rPr>
          <w:rFonts w:ascii="Verdana" w:eastAsia="Calibri" w:hAnsi="Verdana" w:cs="Arial"/>
          <w:color w:val="000000"/>
          <w:sz w:val="21"/>
          <w:szCs w:val="21"/>
          <w:lang w:val="es-ES_tradnl"/>
        </w:rPr>
        <w:lastRenderedPageBreak/>
        <w:t>que declara el siniestro deba encontrarse en firme dentro de los dos años siguientes al conocimiento del hecho por parte de la Administración, sino basta con que haya sido declarado por ella dentro de este término; lo contrario significaría limitar la competencia de la Administración para expedir el acto”</w:t>
      </w:r>
      <w:r w:rsidRPr="004107AA">
        <w:rPr>
          <w:rFonts w:ascii="Verdana" w:eastAsia="Calibri" w:hAnsi="Verdana" w:cs="Arial"/>
          <w:color w:val="000000"/>
          <w:sz w:val="21"/>
          <w:szCs w:val="21"/>
          <w:vertAlign w:val="superscript"/>
          <w:lang w:val="es-ES_tradnl"/>
        </w:rPr>
        <w:footnoteReference w:id="16"/>
      </w:r>
      <w:r w:rsidRPr="004107AA">
        <w:rPr>
          <w:rFonts w:ascii="Verdana" w:eastAsia="Calibri" w:hAnsi="Verdana" w:cs="Arial"/>
          <w:color w:val="000000"/>
          <w:sz w:val="21"/>
          <w:szCs w:val="21"/>
          <w:lang w:val="es-ES_tradnl"/>
        </w:rPr>
        <w:t>.</w:t>
      </w:r>
    </w:p>
    <w:bookmarkEnd w:id="12"/>
    <w:p w14:paraId="09EE94D0" w14:textId="77777777" w:rsidR="004107AA" w:rsidRPr="004107AA" w:rsidRDefault="004107AA" w:rsidP="004107AA">
      <w:pPr>
        <w:snapToGrid w:val="0"/>
        <w:spacing w:after="0" w:line="240" w:lineRule="auto"/>
        <w:jc w:val="both"/>
        <w:rPr>
          <w:rFonts w:ascii="Verdana" w:eastAsia="Calibri" w:hAnsi="Verdana" w:cs="Arial"/>
          <w:color w:val="000000"/>
          <w:lang w:val="es-ES_tradnl"/>
        </w:rPr>
      </w:pPr>
    </w:p>
    <w:p w14:paraId="20CFA24B" w14:textId="77777777" w:rsidR="004107AA" w:rsidRPr="004107AA" w:rsidRDefault="004107AA" w:rsidP="004107AA">
      <w:pPr>
        <w:snapToGrid w:val="0"/>
        <w:spacing w:after="0" w:line="276" w:lineRule="auto"/>
        <w:ind w:firstLine="708"/>
        <w:jc w:val="both"/>
        <w:rPr>
          <w:rFonts w:ascii="Verdana" w:eastAsia="Calibri" w:hAnsi="Verdana" w:cs="Arial"/>
          <w:color w:val="000000"/>
          <w:lang w:val="es-ES"/>
        </w:rPr>
      </w:pPr>
      <w:r w:rsidRPr="004107AA">
        <w:rPr>
          <w:rFonts w:ascii="Verdana" w:eastAsia="Calibri" w:hAnsi="Verdana" w:cs="Arial"/>
          <w:color w:val="000000"/>
          <w:lang w:val="es-ES"/>
        </w:rPr>
        <w:t>Así las cosas, el “siniestro” debe ocurrir durante la vigencia del seguro, aunque su “declaratoria” se produzca después del vencimiento de la garantía. Lo importante es que el acto administrativo se expida antes de la prescripción del contrato de seguro. Para estos efectos, es necesario precisar que el citado artículo 1081 del Código de Comercio consagra un término de dos años (2) para la prescripción ordinaria y uno de cinco (5) años para la extraordinaria. La primera empieza desde el momento en que el interesado conozca o deba conocer del hecho que da base a la acción, mientras que la extraordinaria –por ser objetiva– correrá contra toda clase de personas sin consideración alguna del citado conocimiento, desde el momento en que nace el respectivo derecho. Dichos términos corren paralelamente, lo cual implica que no puede acogerse indistintamente alguno de ellos, pues el primero que se agote produce el efecto extintivo</w:t>
      </w:r>
      <w:r w:rsidRPr="004107AA">
        <w:rPr>
          <w:rFonts w:ascii="Verdana" w:eastAsia="Calibri" w:hAnsi="Verdana" w:cs="Arial"/>
          <w:color w:val="000000"/>
          <w:vertAlign w:val="superscript"/>
          <w:lang w:val="es-ES"/>
        </w:rPr>
        <w:footnoteReference w:id="17"/>
      </w:r>
      <w:r w:rsidRPr="004107AA">
        <w:rPr>
          <w:rFonts w:ascii="Verdana" w:eastAsia="Calibri" w:hAnsi="Verdana" w:cs="Arial"/>
          <w:color w:val="000000"/>
          <w:lang w:val="es-ES"/>
        </w:rPr>
        <w:t>. En esta medida, vencido alguno de estos plazos, la Administración pierde competencia para declarar el siniestro.</w:t>
      </w:r>
    </w:p>
    <w:bookmarkEnd w:id="9"/>
    <w:p w14:paraId="5891C999" w14:textId="77777777" w:rsidR="004107AA" w:rsidRPr="004107AA" w:rsidRDefault="004107AA" w:rsidP="004107AA">
      <w:pPr>
        <w:spacing w:after="0" w:line="276" w:lineRule="auto"/>
        <w:jc w:val="both"/>
        <w:rPr>
          <w:rFonts w:ascii="Verdana" w:eastAsia="Calibri" w:hAnsi="Verdana" w:cs="Arial"/>
          <w:color w:val="000000"/>
        </w:rPr>
      </w:pPr>
    </w:p>
    <w:p w14:paraId="6BEFCED1" w14:textId="77777777" w:rsidR="004107AA" w:rsidRPr="004107AA" w:rsidRDefault="004107AA" w:rsidP="004107AA">
      <w:pPr>
        <w:tabs>
          <w:tab w:val="left" w:pos="142"/>
          <w:tab w:val="left" w:pos="284"/>
        </w:tabs>
        <w:spacing w:after="0" w:line="276" w:lineRule="auto"/>
        <w:jc w:val="both"/>
        <w:rPr>
          <w:rFonts w:ascii="Verdana" w:eastAsia="Century Gothic" w:hAnsi="Verdana" w:cs="Century Gothic"/>
          <w:b/>
          <w:bCs/>
          <w:lang w:val="es-ES"/>
        </w:rPr>
      </w:pPr>
      <w:r w:rsidRPr="004107AA">
        <w:rPr>
          <w:rFonts w:ascii="Verdana" w:eastAsia="Century Gothic" w:hAnsi="Verdana" w:cs="Century Gothic"/>
          <w:b/>
          <w:bCs/>
          <w:lang w:val="es-ES"/>
        </w:rPr>
        <w:t>4. Referencias normativas, jurisprudenciales y otras fuentes:</w:t>
      </w:r>
    </w:p>
    <w:p w14:paraId="69DE18C4" w14:textId="77777777" w:rsidR="004107AA" w:rsidRPr="004107AA" w:rsidRDefault="004107AA" w:rsidP="004107AA">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107AA" w:rsidRPr="004107AA" w14:paraId="5486882F" w14:textId="77777777" w:rsidTr="000C1575">
        <w:trPr>
          <w:trHeight w:val="870"/>
          <w:jc w:val="center"/>
        </w:trPr>
        <w:tc>
          <w:tcPr>
            <w:tcW w:w="8647" w:type="dxa"/>
          </w:tcPr>
          <w:p w14:paraId="08690653" w14:textId="77777777" w:rsidR="004107AA" w:rsidRPr="004107AA" w:rsidRDefault="004107AA" w:rsidP="004107AA">
            <w:pPr>
              <w:widowControl w:val="0"/>
              <w:numPr>
                <w:ilvl w:val="0"/>
                <w:numId w:val="16"/>
              </w:numPr>
              <w:autoSpaceDE w:val="0"/>
              <w:autoSpaceDN w:val="0"/>
              <w:spacing w:after="120" w:line="276" w:lineRule="auto"/>
              <w:ind w:left="714" w:hanging="357"/>
              <w:jc w:val="both"/>
              <w:rPr>
                <w:rFonts w:ascii="Verdana" w:eastAsia="Calibri" w:hAnsi="Verdana" w:cs="Arial"/>
                <w:lang w:val="es-ES"/>
              </w:rPr>
            </w:pPr>
            <w:r w:rsidRPr="004107AA">
              <w:rPr>
                <w:rFonts w:ascii="Verdana" w:eastAsia="Calibri" w:hAnsi="Verdana" w:cs="Arial"/>
                <w:lang w:val="es-ES"/>
              </w:rPr>
              <w:t>Constitución Política de 1991, artículo 29.</w:t>
            </w:r>
          </w:p>
          <w:p w14:paraId="40245FF1" w14:textId="77777777" w:rsidR="004107AA" w:rsidRPr="004107AA" w:rsidRDefault="004107AA" w:rsidP="004107AA">
            <w:pPr>
              <w:widowControl w:val="0"/>
              <w:numPr>
                <w:ilvl w:val="0"/>
                <w:numId w:val="16"/>
              </w:numPr>
              <w:autoSpaceDE w:val="0"/>
              <w:autoSpaceDN w:val="0"/>
              <w:spacing w:after="120" w:line="276" w:lineRule="auto"/>
              <w:ind w:left="714" w:hanging="357"/>
              <w:jc w:val="both"/>
              <w:rPr>
                <w:rFonts w:ascii="Verdana" w:eastAsia="Calibri" w:hAnsi="Verdana" w:cs="Arial"/>
                <w:lang w:val="es-ES"/>
              </w:rPr>
            </w:pPr>
            <w:r w:rsidRPr="004107AA">
              <w:rPr>
                <w:rFonts w:ascii="Verdana" w:eastAsia="Calibri" w:hAnsi="Verdana" w:cs="Arial"/>
                <w:lang w:val="es-ES"/>
              </w:rPr>
              <w:t>Ley 80 de 1993, artículo 77.</w:t>
            </w:r>
          </w:p>
          <w:p w14:paraId="4E816675" w14:textId="77777777" w:rsidR="004107AA" w:rsidRPr="004107AA" w:rsidRDefault="004107AA" w:rsidP="004107AA">
            <w:pPr>
              <w:widowControl w:val="0"/>
              <w:numPr>
                <w:ilvl w:val="0"/>
                <w:numId w:val="16"/>
              </w:numPr>
              <w:autoSpaceDE w:val="0"/>
              <w:autoSpaceDN w:val="0"/>
              <w:spacing w:after="120" w:line="276" w:lineRule="auto"/>
              <w:ind w:left="714" w:hanging="357"/>
              <w:contextualSpacing/>
              <w:jc w:val="both"/>
              <w:rPr>
                <w:rFonts w:ascii="Verdana" w:eastAsia="Calibri" w:hAnsi="Verdana" w:cs="Arial"/>
                <w:lang w:val="es-ES"/>
              </w:rPr>
            </w:pPr>
            <w:r w:rsidRPr="004107AA">
              <w:rPr>
                <w:rFonts w:ascii="Verdana" w:eastAsia="Calibri" w:hAnsi="Verdana" w:cs="Arial"/>
                <w:lang w:val="es-ES"/>
              </w:rPr>
              <w:t xml:space="preserve">Ley 1150 de 2007, artículo 7. </w:t>
            </w:r>
          </w:p>
          <w:p w14:paraId="55448266" w14:textId="77777777" w:rsidR="004107AA" w:rsidRPr="004107AA" w:rsidRDefault="004107AA" w:rsidP="004107AA">
            <w:pPr>
              <w:widowControl w:val="0"/>
              <w:autoSpaceDE w:val="0"/>
              <w:autoSpaceDN w:val="0"/>
              <w:spacing w:after="120" w:line="276" w:lineRule="auto"/>
              <w:ind w:left="714"/>
              <w:contextualSpacing/>
              <w:jc w:val="both"/>
              <w:rPr>
                <w:rFonts w:ascii="Verdana" w:eastAsia="Calibri" w:hAnsi="Verdana" w:cs="Arial"/>
                <w:sz w:val="12"/>
                <w:szCs w:val="12"/>
                <w:lang w:val="es-ES"/>
              </w:rPr>
            </w:pPr>
          </w:p>
          <w:p w14:paraId="404B7279" w14:textId="77777777" w:rsidR="004107AA" w:rsidRPr="004107AA" w:rsidRDefault="004107AA" w:rsidP="004107AA">
            <w:pPr>
              <w:widowControl w:val="0"/>
              <w:numPr>
                <w:ilvl w:val="0"/>
                <w:numId w:val="16"/>
              </w:numPr>
              <w:autoSpaceDE w:val="0"/>
              <w:autoSpaceDN w:val="0"/>
              <w:spacing w:line="276" w:lineRule="auto"/>
              <w:contextualSpacing/>
              <w:jc w:val="both"/>
              <w:rPr>
                <w:rFonts w:ascii="Verdana" w:eastAsia="Calibri" w:hAnsi="Verdana" w:cs="Arial"/>
                <w:lang w:val="es-ES"/>
              </w:rPr>
            </w:pPr>
            <w:r w:rsidRPr="004107AA">
              <w:rPr>
                <w:rFonts w:ascii="Verdana" w:eastAsia="Calibri" w:hAnsi="Verdana" w:cs="Arial"/>
                <w:lang w:val="es-ES"/>
              </w:rPr>
              <w:lastRenderedPageBreak/>
              <w:t>Ley 1437 de 2011, artículos 3, 34, 35 y 37.</w:t>
            </w:r>
          </w:p>
          <w:p w14:paraId="2973699E" w14:textId="77777777" w:rsidR="004107AA" w:rsidRPr="004107AA" w:rsidRDefault="004107AA" w:rsidP="004107AA">
            <w:pPr>
              <w:ind w:left="720"/>
              <w:contextualSpacing/>
              <w:rPr>
                <w:rFonts w:ascii="Verdana" w:eastAsia="Calibri" w:hAnsi="Verdana" w:cs="Arial"/>
                <w:sz w:val="6"/>
                <w:szCs w:val="6"/>
                <w:lang w:val="es-ES"/>
              </w:rPr>
            </w:pPr>
          </w:p>
          <w:p w14:paraId="4BA7AE2F" w14:textId="77777777" w:rsidR="004107AA" w:rsidRPr="004107AA" w:rsidRDefault="004107AA" w:rsidP="004107AA">
            <w:pPr>
              <w:widowControl w:val="0"/>
              <w:autoSpaceDE w:val="0"/>
              <w:autoSpaceDN w:val="0"/>
              <w:spacing w:line="276" w:lineRule="auto"/>
              <w:ind w:left="720"/>
              <w:contextualSpacing/>
              <w:jc w:val="both"/>
              <w:rPr>
                <w:rFonts w:ascii="Verdana" w:eastAsia="Calibri" w:hAnsi="Verdana" w:cs="Arial"/>
                <w:sz w:val="6"/>
                <w:szCs w:val="6"/>
                <w:lang w:val="es-ES"/>
              </w:rPr>
            </w:pPr>
          </w:p>
          <w:p w14:paraId="7AD22E77" w14:textId="77777777" w:rsidR="004107AA" w:rsidRPr="004107AA" w:rsidRDefault="004107AA" w:rsidP="004107AA">
            <w:pPr>
              <w:widowControl w:val="0"/>
              <w:numPr>
                <w:ilvl w:val="0"/>
                <w:numId w:val="16"/>
              </w:numPr>
              <w:autoSpaceDE w:val="0"/>
              <w:autoSpaceDN w:val="0"/>
              <w:spacing w:after="120" w:line="276" w:lineRule="auto"/>
              <w:contextualSpacing/>
              <w:jc w:val="both"/>
              <w:rPr>
                <w:rFonts w:ascii="Verdana" w:eastAsia="Calibri" w:hAnsi="Verdana" w:cs="Arial"/>
                <w:lang w:val="es-ES"/>
              </w:rPr>
            </w:pPr>
            <w:r w:rsidRPr="004107AA">
              <w:rPr>
                <w:rFonts w:ascii="Verdana" w:eastAsia="Calibri" w:hAnsi="Verdana" w:cs="Arial"/>
                <w:lang w:val="es-ES"/>
              </w:rPr>
              <w:t>Ley 1474 de 2011, artículo 86.</w:t>
            </w:r>
          </w:p>
          <w:p w14:paraId="6C4D92EC" w14:textId="77777777" w:rsidR="004107AA" w:rsidRPr="004107AA" w:rsidRDefault="004107AA" w:rsidP="004107AA">
            <w:pPr>
              <w:widowControl w:val="0"/>
              <w:autoSpaceDE w:val="0"/>
              <w:autoSpaceDN w:val="0"/>
              <w:spacing w:after="120" w:line="276" w:lineRule="auto"/>
              <w:ind w:left="720"/>
              <w:contextualSpacing/>
              <w:jc w:val="both"/>
              <w:rPr>
                <w:rFonts w:ascii="Verdana" w:eastAsia="Calibri" w:hAnsi="Verdana" w:cs="Arial"/>
                <w:sz w:val="12"/>
                <w:szCs w:val="12"/>
                <w:lang w:val="es-ES"/>
              </w:rPr>
            </w:pPr>
          </w:p>
          <w:p w14:paraId="770A6623" w14:textId="77777777" w:rsidR="004107AA" w:rsidRPr="004107AA" w:rsidRDefault="004107AA" w:rsidP="004107AA">
            <w:pPr>
              <w:widowControl w:val="0"/>
              <w:numPr>
                <w:ilvl w:val="0"/>
                <w:numId w:val="16"/>
              </w:numPr>
              <w:autoSpaceDE w:val="0"/>
              <w:autoSpaceDN w:val="0"/>
              <w:spacing w:after="120" w:line="276" w:lineRule="auto"/>
              <w:jc w:val="both"/>
              <w:rPr>
                <w:rFonts w:ascii="Verdana" w:eastAsia="Calibri" w:hAnsi="Verdana" w:cs="Arial"/>
                <w:lang w:val="es-ES"/>
              </w:rPr>
            </w:pPr>
            <w:r w:rsidRPr="004107AA">
              <w:rPr>
                <w:rFonts w:ascii="Verdana" w:eastAsia="Calibri" w:hAnsi="Verdana" w:cs="Arial"/>
                <w:lang w:val="es-ES"/>
              </w:rPr>
              <w:t>Código Civil, artículo 28.</w:t>
            </w:r>
          </w:p>
          <w:p w14:paraId="64FD3709" w14:textId="77777777" w:rsidR="004107AA" w:rsidRPr="004107AA" w:rsidRDefault="004107AA" w:rsidP="004107AA">
            <w:pPr>
              <w:widowControl w:val="0"/>
              <w:numPr>
                <w:ilvl w:val="0"/>
                <w:numId w:val="16"/>
              </w:numPr>
              <w:autoSpaceDE w:val="0"/>
              <w:autoSpaceDN w:val="0"/>
              <w:spacing w:after="120" w:line="276" w:lineRule="auto"/>
              <w:jc w:val="both"/>
              <w:rPr>
                <w:rFonts w:ascii="Verdana" w:eastAsia="Calibri" w:hAnsi="Verdana" w:cs="Arial"/>
                <w:lang w:val="es-ES"/>
              </w:rPr>
            </w:pPr>
            <w:r w:rsidRPr="004107AA">
              <w:rPr>
                <w:rFonts w:ascii="Verdana" w:eastAsia="Calibri" w:hAnsi="Verdana" w:cs="Arial"/>
                <w:lang w:val="es-ES"/>
              </w:rPr>
              <w:t>Código de Comercio, artículos 1068, 1071 y 1081.</w:t>
            </w:r>
          </w:p>
          <w:p w14:paraId="61354AE1" w14:textId="77777777" w:rsidR="004107AA" w:rsidRPr="004107AA" w:rsidRDefault="004107AA" w:rsidP="004107AA">
            <w:pPr>
              <w:widowControl w:val="0"/>
              <w:numPr>
                <w:ilvl w:val="0"/>
                <w:numId w:val="16"/>
              </w:numPr>
              <w:autoSpaceDE w:val="0"/>
              <w:autoSpaceDN w:val="0"/>
              <w:spacing w:line="276" w:lineRule="auto"/>
              <w:ind w:left="714" w:hanging="357"/>
              <w:jc w:val="both"/>
              <w:rPr>
                <w:rFonts w:ascii="Verdana" w:eastAsia="Calibri" w:hAnsi="Verdana" w:cs="Arial"/>
                <w:lang w:val="es-ES"/>
              </w:rPr>
            </w:pPr>
            <w:r w:rsidRPr="004107AA">
              <w:rPr>
                <w:rFonts w:ascii="Verdana" w:eastAsia="Calibri" w:hAnsi="Verdana" w:cs="Arial"/>
                <w:lang w:val="es-ES"/>
              </w:rPr>
              <w:t xml:space="preserve">Decreto 1082 de 2015, artículos 2.2.1.1.1.6.1, 2.2.1.1.2.1.1 y 2.2.1.1.2.1.3 y 2.2.1.2.3.1.1 a 2.2.1.2.3.1.19.  </w:t>
            </w:r>
          </w:p>
        </w:tc>
      </w:tr>
    </w:tbl>
    <w:p w14:paraId="482342DF" w14:textId="77777777" w:rsidR="004107AA" w:rsidRPr="004107AA" w:rsidRDefault="004107AA" w:rsidP="004107AA">
      <w:pPr>
        <w:widowControl w:val="0"/>
        <w:autoSpaceDE w:val="0"/>
        <w:autoSpaceDN w:val="0"/>
        <w:spacing w:after="0" w:line="276" w:lineRule="auto"/>
        <w:jc w:val="both"/>
        <w:rPr>
          <w:rFonts w:ascii="Verdana" w:eastAsia="Calibri" w:hAnsi="Verdana" w:cs="Arial"/>
        </w:rPr>
      </w:pPr>
    </w:p>
    <w:p w14:paraId="0BC95003" w14:textId="77777777" w:rsidR="004107AA" w:rsidRPr="004107AA" w:rsidRDefault="004107AA" w:rsidP="004107AA">
      <w:pPr>
        <w:tabs>
          <w:tab w:val="left" w:pos="142"/>
          <w:tab w:val="left" w:pos="284"/>
        </w:tabs>
        <w:spacing w:after="0" w:line="276" w:lineRule="auto"/>
        <w:jc w:val="both"/>
        <w:rPr>
          <w:rFonts w:ascii="Verdana" w:eastAsia="Century Gothic" w:hAnsi="Verdana" w:cs="Century Gothic"/>
          <w:b/>
          <w:bCs/>
          <w:lang w:val="es-ES"/>
        </w:rPr>
      </w:pPr>
      <w:r w:rsidRPr="004107AA">
        <w:rPr>
          <w:rFonts w:ascii="Verdana" w:eastAsia="Century Gothic" w:hAnsi="Verdana" w:cs="Century Gothic"/>
          <w:b/>
          <w:bCs/>
          <w:lang w:val="es-ES"/>
        </w:rPr>
        <w:t>5. Doctrina de la Agencia Nacional de Contratación Pública:</w:t>
      </w:r>
    </w:p>
    <w:p w14:paraId="450F4540" w14:textId="77777777" w:rsidR="004107AA" w:rsidRPr="004107AA" w:rsidRDefault="004107AA" w:rsidP="004107AA">
      <w:pPr>
        <w:widowControl w:val="0"/>
        <w:autoSpaceDE w:val="0"/>
        <w:autoSpaceDN w:val="0"/>
        <w:spacing w:after="0" w:line="276" w:lineRule="auto"/>
        <w:jc w:val="both"/>
        <w:rPr>
          <w:rFonts w:ascii="Verdana" w:eastAsia="Calibri" w:hAnsi="Verdana" w:cs="Arial"/>
        </w:rPr>
      </w:pPr>
    </w:p>
    <w:p w14:paraId="75E090FF" w14:textId="77777777" w:rsidR="004107AA" w:rsidRPr="004107AA" w:rsidRDefault="004107AA" w:rsidP="004107AA">
      <w:pPr>
        <w:widowControl w:val="0"/>
        <w:autoSpaceDE w:val="0"/>
        <w:autoSpaceDN w:val="0"/>
        <w:spacing w:after="0" w:line="276" w:lineRule="auto"/>
        <w:jc w:val="both"/>
        <w:rPr>
          <w:rFonts w:ascii="Verdana" w:eastAsia="Calibri" w:hAnsi="Verdana" w:cs="Arial"/>
          <w:shd w:val="clear" w:color="auto" w:fill="FFFFFF"/>
        </w:rPr>
      </w:pPr>
      <w:r w:rsidRPr="004107AA">
        <w:rPr>
          <w:rFonts w:ascii="Verdana" w:eastAsia="Calibri" w:hAnsi="Verdana" w:cs="Arial"/>
          <w:shd w:val="clear" w:color="auto" w:fill="FFFFFF"/>
          <w:lang w:val="es-ES"/>
        </w:rPr>
        <w:t>Esta Subdirección se ha pronunciado sobre el régimen de garantías en los conceptos</w:t>
      </w:r>
      <w:r w:rsidRPr="004107AA">
        <w:rPr>
          <w:rFonts w:ascii="Verdana" w:eastAsia="Calibri" w:hAnsi="Verdana" w:cs="Calibri"/>
          <w:shd w:val="clear" w:color="auto" w:fill="FFFFFF"/>
        </w:rPr>
        <w:t xml:space="preserve"> </w:t>
      </w:r>
      <w:r w:rsidRPr="004107AA">
        <w:rPr>
          <w:rFonts w:ascii="Verdana" w:eastAsia="Calibri" w:hAnsi="Verdana" w:cs="Arial"/>
          <w:shd w:val="clear" w:color="auto" w:fill="FFFFFF"/>
          <w:lang w:val="es-ES"/>
        </w:rPr>
        <w:t>2201913000009075 del 9 de diciembre de 2019, C-080 del 8 de abril de 2021, C-525 del 27 de septiembre de 2021, C-567 del 08 de octubre del 2021, C-036 del 28 de febrero del 2022, C-126 de 25 de marzo de 2022, C-583 del 19 de octubre de 2022, C-584 del 26 de septiembre de 2022, C-712 del 13 de octubre de 2022 y C-845 del 7 de diciembre de 2022, C-036 del 31 de marzo de 2023, C-386 del 31 de enero de 2024, C-133 del 11 de julio de 2024, C-919 del 10 de diciembre de 2024 y C-055 del 30 de enero de 2025</w:t>
      </w:r>
      <w:r w:rsidRPr="004107AA">
        <w:rPr>
          <w:rFonts w:ascii="Verdana" w:eastAsia="Calibri" w:hAnsi="Verdana" w:cs="Times New Roman"/>
        </w:rPr>
        <w:t>.</w:t>
      </w:r>
      <w:r w:rsidRPr="004107AA">
        <w:rPr>
          <w:rFonts w:ascii="Verdana" w:eastAsia="Calibri" w:hAnsi="Verdana" w:cs="Arial"/>
          <w:shd w:val="clear" w:color="auto" w:fill="FFFFFF"/>
        </w:rPr>
        <w:t xml:space="preserve"> Estos y otros se encuentran disponibles para consulta en el Sistema de Relatoría de la Agencia, al cual puede accederse a través del siguiente enlace: </w:t>
      </w:r>
      <w:hyperlink r:id="rId11" w:history="1">
        <w:r w:rsidRPr="004107AA">
          <w:rPr>
            <w:rFonts w:ascii="Verdana" w:eastAsia="Calibri" w:hAnsi="Verdana" w:cs="Arial"/>
            <w:color w:val="0000FF"/>
            <w:u w:val="single"/>
            <w:shd w:val="clear" w:color="auto" w:fill="FFFFFF"/>
          </w:rPr>
          <w:t>https://relatoria.colombiacompra.gov.co/busqueda/conceptos</w:t>
        </w:r>
      </w:hyperlink>
      <w:r w:rsidRPr="004107AA">
        <w:rPr>
          <w:rFonts w:ascii="Verdana" w:eastAsia="Calibri" w:hAnsi="Verdana" w:cs="Arial"/>
          <w:shd w:val="clear" w:color="auto" w:fill="FFFFFF"/>
        </w:rPr>
        <w:t xml:space="preserve">. </w:t>
      </w:r>
      <w:r w:rsidRPr="004107AA">
        <w:rPr>
          <w:rFonts w:ascii="Verdana" w:eastAsia="Calibri" w:hAnsi="Verdana" w:cs="Arial"/>
          <w:color w:val="FF0000"/>
          <w:shd w:val="clear" w:color="auto" w:fill="FFFFFF"/>
          <w:lang w:val="es-ES"/>
        </w:rPr>
        <w:t xml:space="preserve"> </w:t>
      </w:r>
    </w:p>
    <w:p w14:paraId="4327844B"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FF0000"/>
          <w:shd w:val="clear" w:color="auto" w:fill="FFFFFF"/>
          <w:lang w:val="es-ES"/>
        </w:rPr>
      </w:pPr>
    </w:p>
    <w:p w14:paraId="5E0AFC3F"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000000"/>
          <w:u w:val="single"/>
          <w:shd w:val="clear" w:color="auto" w:fill="FFFFFF"/>
        </w:rPr>
      </w:pPr>
      <w:r w:rsidRPr="004107AA">
        <w:rPr>
          <w:rFonts w:ascii="Verdana" w:eastAsia="Calibri" w:hAnsi="Verdana" w:cs="Arial"/>
          <w:color w:val="000000"/>
          <w:shd w:val="clear" w:color="auto" w:fill="FFFFFF"/>
        </w:rPr>
        <w:t>Le informamos que ya se encuentra disponible la </w:t>
      </w:r>
      <w:r w:rsidRPr="004107AA">
        <w:rPr>
          <w:rFonts w:ascii="Verdana" w:eastAsia="Calibri" w:hAnsi="Verdana" w:cs="Arial"/>
          <w:b/>
          <w:bCs/>
          <w:color w:val="000000"/>
          <w:shd w:val="clear" w:color="auto" w:fill="FFFFFF"/>
        </w:rPr>
        <w:t>Guía para el manejo de ofertas artificialmente bajas en Procesos de Contratación.</w:t>
      </w:r>
      <w:r w:rsidRPr="004107AA">
        <w:rPr>
          <w:rFonts w:ascii="Verdana" w:eastAsia="Calibri" w:hAnsi="Verdana" w:cs="Arial"/>
          <w:color w:val="000000"/>
          <w:shd w:val="clear" w:color="auto" w:fill="FFFFFF"/>
        </w:rPr>
        <w:t> En este  documento podrá consultar una serie de pautas para el manejo ofertas artificialmente bajas, en línea con las mejores prácticas internacionales en la materia. Puede consultar la versión actualizada en el siguiente enlace: </w:t>
      </w:r>
      <w:hyperlink r:id="rId12" w:tooltip="Original URL:&#10;https://www.colombiacompra.gov.co/manuales-guias-y-pliegos-tipo/manuales-y-guias/guia-para-el-manejo-de-ofertas-artificialmente-baja-0&#10;&#10;Click to follow link." w:history="1">
        <w:r w:rsidRPr="004107AA">
          <w:rPr>
            <w:rFonts w:ascii="Verdana" w:eastAsia="Calibri" w:hAnsi="Verdana" w:cs="Arial"/>
            <w:color w:val="0000FF"/>
            <w:u w:val="single"/>
            <w:shd w:val="clear" w:color="auto" w:fill="FFFFFF"/>
          </w:rPr>
          <w:t>https://www.colombiacompra.gov.co/manuales-guias-y-pliegos-tipo/manuales-y-guias/guia-para-el-manejo-de-ofertas-artificialmente-baja-0</w:t>
        </w:r>
      </w:hyperlink>
      <w:r w:rsidRPr="004107AA">
        <w:rPr>
          <w:rFonts w:ascii="Verdana" w:eastAsia="Calibri" w:hAnsi="Verdana" w:cs="Arial"/>
          <w:color w:val="000000"/>
          <w:shd w:val="clear" w:color="auto" w:fill="FFFFFF"/>
          <w:lang w:val="es-ES"/>
        </w:rPr>
        <w:t>.</w:t>
      </w:r>
    </w:p>
    <w:p w14:paraId="667BF645"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000000"/>
          <w:shd w:val="clear" w:color="auto" w:fill="FFFFFF"/>
        </w:rPr>
      </w:pPr>
    </w:p>
    <w:p w14:paraId="3CA398CC"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000000"/>
          <w:shd w:val="clear" w:color="auto" w:fill="FFFFFF"/>
          <w:lang w:val="es-ES"/>
        </w:rPr>
      </w:pPr>
      <w:r w:rsidRPr="004107AA">
        <w:rPr>
          <w:rFonts w:ascii="Verdana" w:eastAsia="Calibri" w:hAnsi="Verdana" w:cs="Arial"/>
          <w:color w:val="000000"/>
          <w:shd w:val="clear" w:color="auto" w:fill="FFFFFF"/>
        </w:rPr>
        <w:t>De otra parte, le contamos que ya publicamos la </w:t>
      </w:r>
      <w:r w:rsidRPr="004107AA">
        <w:rPr>
          <w:rFonts w:ascii="Verdana" w:eastAsia="Calibri" w:hAnsi="Verdana" w:cs="Arial"/>
          <w:b/>
          <w:bCs/>
          <w:color w:val="000000"/>
          <w:shd w:val="clear" w:color="auto" w:fill="FFFFFF"/>
        </w:rPr>
        <w:t>Guía para incentivar la participación de Mujeres en el Sistema de Compras y Contratación Pública</w:t>
      </w:r>
      <w:r w:rsidRPr="004107AA">
        <w:rPr>
          <w:rFonts w:ascii="Verdana" w:eastAsia="Calibri" w:hAnsi="Verdana" w:cs="Arial"/>
          <w:color w:val="000000"/>
          <w:shd w:val="clear" w:color="auto" w:fill="FFFFFF"/>
        </w:rPr>
        <w:t>. Esta guía tiene como finalidad ofrecer información de valor para que las Entidades Estatales fomenten de manera efectiva la participación de las mujeres en el mercado de compras públicas. Puede consultar la guía en el siguiente enlace: </w:t>
      </w:r>
      <w:hyperlink r:id="rId13" w:tooltip="Original URL:&#10;https://www.colombiacompra.gov.co/manuales-guias-y-pliegos-tipo/manuales-y-guias/guia-para-incentivar-la-participacion-de-las-mujeres&#10;&#10;Click to follow link." w:history="1">
        <w:r w:rsidRPr="004107AA">
          <w:rPr>
            <w:rFonts w:ascii="Verdana" w:eastAsia="Calibri" w:hAnsi="Verdana" w:cs="Arial"/>
            <w:color w:val="0000FF"/>
            <w:u w:val="single"/>
            <w:shd w:val="clear" w:color="auto" w:fill="FFFFFF"/>
          </w:rPr>
          <w:t>https://www.colombiacompra.gov.co/manuales-guias-y-</w:t>
        </w:r>
        <w:r w:rsidRPr="004107AA">
          <w:rPr>
            <w:rFonts w:ascii="Verdana" w:eastAsia="Calibri" w:hAnsi="Verdana" w:cs="Arial"/>
            <w:color w:val="0000FF"/>
            <w:u w:val="single"/>
            <w:shd w:val="clear" w:color="auto" w:fill="FFFFFF"/>
          </w:rPr>
          <w:lastRenderedPageBreak/>
          <w:t>pliegos-tipo/manuales-y-guias/guia-para-incentivar-la-participacion-de-las-mujeres</w:t>
        </w:r>
      </w:hyperlink>
      <w:r w:rsidRPr="004107AA">
        <w:rPr>
          <w:rFonts w:ascii="Verdana" w:eastAsia="Calibri" w:hAnsi="Verdana" w:cs="Arial"/>
          <w:color w:val="000000"/>
          <w:shd w:val="clear" w:color="auto" w:fill="FFFFFF"/>
          <w:lang w:val="es-ES"/>
        </w:rPr>
        <w:t>.</w:t>
      </w:r>
    </w:p>
    <w:p w14:paraId="6B299AE1"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000000"/>
          <w:shd w:val="clear" w:color="auto" w:fill="FFFFFF"/>
        </w:rPr>
      </w:pPr>
    </w:p>
    <w:p w14:paraId="3627A299"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000000"/>
          <w:shd w:val="clear" w:color="auto" w:fill="FFFFFF"/>
        </w:rPr>
      </w:pPr>
      <w:r w:rsidRPr="004107AA">
        <w:rPr>
          <w:rFonts w:ascii="Verdana" w:eastAsia="Calibri" w:hAnsi="Verdana" w:cs="Arial"/>
          <w:color w:val="000000"/>
          <w:shd w:val="clear" w:color="auto" w:fill="FFFFFF"/>
        </w:rPr>
        <w:t>También lo invitamos a consultar la </w:t>
      </w:r>
      <w:r w:rsidRPr="004107AA">
        <w:rPr>
          <w:rFonts w:ascii="Verdana" w:eastAsia="Calibri" w:hAnsi="Verdana" w:cs="Arial"/>
          <w:b/>
          <w:bCs/>
          <w:color w:val="000000"/>
          <w:shd w:val="clear" w:color="auto" w:fill="FFFFFF"/>
        </w:rPr>
        <w:t>versión VIII de 2024</w:t>
      </w:r>
      <w:r w:rsidRPr="004107AA">
        <w:rPr>
          <w:rFonts w:ascii="Verdana" w:eastAsia="Calibri" w:hAnsi="Verdana" w:cs="Arial"/>
          <w:color w:val="000000"/>
          <w:shd w:val="clear" w:color="auto" w:fill="FFFFFF"/>
        </w:rPr>
        <w:t>, del </w:t>
      </w:r>
      <w:r w:rsidRPr="004107AA">
        <w:rPr>
          <w:rFonts w:ascii="Verdana" w:eastAsia="Calibri" w:hAnsi="Verdana" w:cs="Arial"/>
          <w:b/>
          <w:bCs/>
          <w:color w:val="000000"/>
          <w:shd w:val="clear" w:color="auto" w:fill="FFFFFF"/>
        </w:rPr>
        <w:t>Boletín de Relatoría</w:t>
      </w:r>
      <w:r w:rsidRPr="004107AA">
        <w:rPr>
          <w:rFonts w:ascii="Verdana" w:eastAsia="Calibri" w:hAnsi="Verdana" w:cs="Arial"/>
          <w:color w:val="000000"/>
          <w:shd w:val="clear" w:color="auto" w:fill="FFFFFF"/>
        </w:rPr>
        <w:t> de la Subdirección de Gestión Contractual relacionado con la participación de las MIPYMES en los procesos de compra y contratación pública, el cual se puede descargar en la página web de la Agencia: </w:t>
      </w:r>
      <w:hyperlink r:id="rId14" w:tooltip="Original URL:&#10;https://www.colombiacompra.gov.co/sites/cce_public/files/files_2020/boletin_de_realtoria_viii.pdf&#10;&#10;Click to follow link." w:history="1">
        <w:r w:rsidRPr="004107AA">
          <w:rPr>
            <w:rFonts w:ascii="Verdana" w:eastAsia="Calibri" w:hAnsi="Verdana" w:cs="Arial"/>
            <w:color w:val="0000FF"/>
            <w:u w:val="single"/>
            <w:shd w:val="clear" w:color="auto" w:fill="FFFFFF"/>
          </w:rPr>
          <w:t>https://www.colombiacompra.gov.co/sites/cce_public/files/files_2020/boletin_de_realtoria_viii.pdf</w:t>
        </w:r>
      </w:hyperlink>
      <w:r w:rsidRPr="004107AA">
        <w:rPr>
          <w:rFonts w:ascii="Verdana" w:eastAsia="Calibri" w:hAnsi="Verdana" w:cs="Arial"/>
          <w:color w:val="000000"/>
          <w:shd w:val="clear" w:color="auto" w:fill="FFFFFF"/>
          <w:lang w:val="es-ES"/>
        </w:rPr>
        <w:t>.</w:t>
      </w:r>
    </w:p>
    <w:p w14:paraId="2995A0F9" w14:textId="77777777" w:rsidR="004107AA" w:rsidRPr="004107AA" w:rsidRDefault="004107AA" w:rsidP="004107AA">
      <w:pPr>
        <w:widowControl w:val="0"/>
        <w:autoSpaceDE w:val="0"/>
        <w:autoSpaceDN w:val="0"/>
        <w:spacing w:after="0" w:line="276" w:lineRule="auto"/>
        <w:jc w:val="both"/>
        <w:rPr>
          <w:rFonts w:ascii="Verdana" w:eastAsia="Calibri" w:hAnsi="Verdana" w:cs="Arial"/>
          <w:color w:val="FF0000"/>
          <w:shd w:val="clear" w:color="auto" w:fill="FFFFFF"/>
          <w:lang w:val="es-MX"/>
        </w:rPr>
      </w:pPr>
      <w:r w:rsidRPr="004107AA">
        <w:rPr>
          <w:rFonts w:ascii="Verdana" w:eastAsia="Calibri" w:hAnsi="Verdana" w:cs="Arial"/>
          <w:color w:val="000000"/>
          <w:shd w:val="clear" w:color="auto" w:fill="FFFFFF"/>
        </w:rPr>
        <w:t> </w:t>
      </w:r>
      <w:r w:rsidRPr="004107AA">
        <w:rPr>
          <w:rFonts w:ascii="Verdana" w:eastAsia="Calibri" w:hAnsi="Verdana" w:cs="Arial"/>
          <w:color w:val="FF0000"/>
          <w:shd w:val="clear" w:color="auto" w:fill="FFFFFF"/>
          <w:lang w:val="es-ES"/>
        </w:rPr>
        <w:t xml:space="preserve">      </w:t>
      </w:r>
    </w:p>
    <w:p w14:paraId="6C4D3EAE" w14:textId="77777777" w:rsidR="004107AA" w:rsidRPr="004107AA" w:rsidRDefault="004107AA" w:rsidP="004107AA">
      <w:pPr>
        <w:widowControl w:val="0"/>
        <w:autoSpaceDE w:val="0"/>
        <w:autoSpaceDN w:val="0"/>
        <w:spacing w:after="0" w:line="276" w:lineRule="auto"/>
        <w:jc w:val="both"/>
        <w:rPr>
          <w:rFonts w:ascii="Verdana" w:eastAsia="Calibri" w:hAnsi="Verdana" w:cs="Arial"/>
          <w:lang w:val="es-ES_tradnl"/>
        </w:rPr>
      </w:pPr>
      <w:r w:rsidRPr="004107AA">
        <w:rPr>
          <w:rFonts w:ascii="Verdana" w:eastAsia="Calibri" w:hAnsi="Verdana" w:cs="Arial"/>
        </w:rPr>
        <w:t xml:space="preserve">Este concepto tiene el alcance previsto en el artículo 28 del Código de Procedimiento Administrativo y de lo Contencioso Administrativo </w:t>
      </w:r>
      <w:r w:rsidRPr="004107AA">
        <w:rPr>
          <w:rFonts w:ascii="Verdana" w:eastAsia="Calibri" w:hAnsi="Verdana" w:cs="Arial"/>
          <w:lang w:val="es-ES_tradnl"/>
        </w:rPr>
        <w:t xml:space="preserve">y las expresiones aquí utilizadas con mayúscula inicial deben ser entendidas con el significado que les otorga el artículo 2.2.1.1.1.3.1. del Decreto 1082 de 2015. </w:t>
      </w:r>
    </w:p>
    <w:p w14:paraId="6A6A8B53" w14:textId="77777777" w:rsidR="004107AA" w:rsidRPr="004107AA" w:rsidRDefault="004107AA" w:rsidP="004107AA">
      <w:pPr>
        <w:widowControl w:val="0"/>
        <w:autoSpaceDE w:val="0"/>
        <w:autoSpaceDN w:val="0"/>
        <w:spacing w:after="0" w:line="276" w:lineRule="auto"/>
        <w:jc w:val="both"/>
        <w:rPr>
          <w:rFonts w:ascii="Verdana" w:eastAsia="Calibri" w:hAnsi="Verdana" w:cs="Arial"/>
          <w:lang w:val="es-ES_tradnl"/>
        </w:rPr>
      </w:pPr>
    </w:p>
    <w:p w14:paraId="146FE192" w14:textId="77777777" w:rsidR="004107AA" w:rsidRPr="004107AA" w:rsidRDefault="004107AA" w:rsidP="004107AA">
      <w:pPr>
        <w:spacing w:after="0" w:line="240" w:lineRule="auto"/>
        <w:rPr>
          <w:rFonts w:ascii="Verdana" w:eastAsia="Calibri" w:hAnsi="Verdana" w:cs="Arial"/>
          <w:lang w:eastAsia="es-CO"/>
        </w:rPr>
      </w:pPr>
      <w:r w:rsidRPr="004107AA">
        <w:rPr>
          <w:rFonts w:ascii="Verdana" w:eastAsia="Times New Roman" w:hAnsi="Verdana" w:cs="Arial"/>
          <w:lang w:eastAsia="es-CO"/>
        </w:rPr>
        <w:t>Atentamente,</w:t>
      </w:r>
      <w:r w:rsidRPr="004107AA">
        <w:rPr>
          <w:rFonts w:ascii="Verdana" w:eastAsia="Calibri" w:hAnsi="Verdana" w:cs="Arial"/>
          <w:lang w:eastAsia="es-CO"/>
        </w:rPr>
        <w:t xml:space="preserve"> </w:t>
      </w:r>
    </w:p>
    <w:p w14:paraId="232D5F87" w14:textId="3D0A22F7" w:rsidR="004107AA" w:rsidRPr="004107AA" w:rsidRDefault="00C37056" w:rsidP="004107AA">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48EC3BEA" wp14:editId="29C36636">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560419" cy="13216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107AA" w:rsidRPr="004107AA" w14:paraId="3E1D4977" w14:textId="77777777" w:rsidTr="000C1575">
        <w:trPr>
          <w:trHeight w:val="315"/>
        </w:trPr>
        <w:tc>
          <w:tcPr>
            <w:tcW w:w="893" w:type="dxa"/>
            <w:vAlign w:val="center"/>
            <w:hideMark/>
          </w:tcPr>
          <w:p w14:paraId="1EB68E72" w14:textId="77777777" w:rsidR="004107AA" w:rsidRPr="004107AA" w:rsidRDefault="004107AA" w:rsidP="004107AA">
            <w:pPr>
              <w:contextualSpacing/>
              <w:rPr>
                <w:rFonts w:ascii="Verdana" w:eastAsia="Calibri" w:hAnsi="Verdana" w:cs="Arial"/>
                <w:sz w:val="16"/>
                <w:szCs w:val="16"/>
                <w:lang w:val="es-ES" w:eastAsia="es-ES"/>
              </w:rPr>
            </w:pPr>
            <w:r w:rsidRPr="004107AA">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C835B11" w14:textId="77777777" w:rsidR="004107AA" w:rsidRPr="004107AA" w:rsidRDefault="004107AA" w:rsidP="004107AA">
            <w:pPr>
              <w:contextualSpacing/>
              <w:rPr>
                <w:rFonts w:ascii="Verdana" w:eastAsia="Calibri" w:hAnsi="Verdana" w:cs="Times New Roman"/>
                <w:sz w:val="16"/>
                <w:szCs w:val="16"/>
              </w:rPr>
            </w:pPr>
            <w:r w:rsidRPr="004107AA">
              <w:rPr>
                <w:rFonts w:ascii="Verdana" w:eastAsia="Calibri" w:hAnsi="Verdana" w:cs="Times New Roman"/>
                <w:sz w:val="16"/>
                <w:szCs w:val="16"/>
              </w:rPr>
              <w:t xml:space="preserve">Kevin </w:t>
            </w:r>
            <w:proofErr w:type="spellStart"/>
            <w:r w:rsidRPr="004107AA">
              <w:rPr>
                <w:rFonts w:ascii="Verdana" w:eastAsia="Calibri" w:hAnsi="Verdana" w:cs="Times New Roman"/>
                <w:sz w:val="16"/>
                <w:szCs w:val="16"/>
              </w:rPr>
              <w:t>Arlid</w:t>
            </w:r>
            <w:proofErr w:type="spellEnd"/>
            <w:r w:rsidRPr="004107AA">
              <w:rPr>
                <w:rFonts w:ascii="Verdana" w:eastAsia="Calibri" w:hAnsi="Verdana" w:cs="Times New Roman"/>
                <w:sz w:val="16"/>
                <w:szCs w:val="16"/>
              </w:rPr>
              <w:t xml:space="preserve"> Herrera Santa</w:t>
            </w:r>
          </w:p>
          <w:p w14:paraId="36498919" w14:textId="77777777" w:rsidR="004107AA" w:rsidRPr="004107AA" w:rsidRDefault="004107AA" w:rsidP="004107AA">
            <w:pPr>
              <w:contextualSpacing/>
              <w:rPr>
                <w:rFonts w:ascii="Verdana" w:eastAsia="Arial" w:hAnsi="Verdana" w:cs="Arial"/>
                <w:sz w:val="16"/>
                <w:szCs w:val="16"/>
              </w:rPr>
            </w:pPr>
            <w:r w:rsidRPr="004107AA">
              <w:rPr>
                <w:rFonts w:ascii="Verdana" w:eastAsia="Calibri" w:hAnsi="Verdana" w:cs="Times New Roman"/>
                <w:sz w:val="16"/>
                <w:szCs w:val="16"/>
              </w:rPr>
              <w:t>Contratista de la Subdirección de Gestión Contractual</w:t>
            </w:r>
          </w:p>
        </w:tc>
      </w:tr>
      <w:tr w:rsidR="004107AA" w:rsidRPr="004107AA" w14:paraId="691244A2" w14:textId="77777777" w:rsidTr="000C1575">
        <w:trPr>
          <w:trHeight w:val="330"/>
        </w:trPr>
        <w:tc>
          <w:tcPr>
            <w:tcW w:w="893" w:type="dxa"/>
            <w:vAlign w:val="center"/>
            <w:hideMark/>
          </w:tcPr>
          <w:p w14:paraId="04983BB7" w14:textId="77777777" w:rsidR="004107AA" w:rsidRPr="004107AA" w:rsidRDefault="004107AA" w:rsidP="004107AA">
            <w:pPr>
              <w:contextualSpacing/>
              <w:rPr>
                <w:rFonts w:ascii="Verdana" w:eastAsia="Calibri" w:hAnsi="Verdana" w:cs="Arial"/>
                <w:sz w:val="16"/>
                <w:szCs w:val="16"/>
                <w:lang w:val="es-ES" w:eastAsia="es-ES"/>
              </w:rPr>
            </w:pPr>
            <w:r w:rsidRPr="004107AA">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F379B05" w14:textId="77777777" w:rsidR="004107AA" w:rsidRPr="004107AA" w:rsidRDefault="004107AA" w:rsidP="004107AA">
            <w:pPr>
              <w:spacing w:before="100" w:beforeAutospacing="1" w:afterAutospacing="1"/>
              <w:contextualSpacing/>
              <w:textAlignment w:val="baseline"/>
              <w:rPr>
                <w:rFonts w:ascii="Verdana" w:eastAsia="Times New Roman" w:hAnsi="Verdana" w:cs="Arial"/>
                <w:sz w:val="16"/>
                <w:szCs w:val="16"/>
                <w:lang w:val="es-ES" w:eastAsia="es-CO"/>
              </w:rPr>
            </w:pPr>
            <w:r w:rsidRPr="004107AA">
              <w:rPr>
                <w:rFonts w:ascii="Verdana" w:eastAsia="Times New Roman" w:hAnsi="Verdana" w:cs="Arial"/>
                <w:sz w:val="16"/>
                <w:szCs w:val="16"/>
                <w:lang w:val="es-ES" w:eastAsia="es-CO"/>
              </w:rPr>
              <w:t>Juan David Cárdenas Cabeza</w:t>
            </w:r>
          </w:p>
          <w:p w14:paraId="7342E9DA" w14:textId="77777777" w:rsidR="004107AA" w:rsidRPr="004107AA" w:rsidRDefault="004107AA" w:rsidP="004107AA">
            <w:pPr>
              <w:contextualSpacing/>
              <w:textAlignment w:val="baseline"/>
              <w:rPr>
                <w:rFonts w:ascii="Verdana" w:eastAsia="Times New Roman" w:hAnsi="Verdana" w:cs="Segoe UI"/>
                <w:sz w:val="16"/>
                <w:szCs w:val="16"/>
                <w:lang w:eastAsia="es-CO"/>
              </w:rPr>
            </w:pPr>
            <w:r w:rsidRPr="004107AA">
              <w:rPr>
                <w:rFonts w:ascii="Verdana" w:eastAsia="Times New Roman" w:hAnsi="Verdana" w:cs="Arial"/>
                <w:sz w:val="16"/>
                <w:szCs w:val="16"/>
                <w:lang w:val="es-ES" w:eastAsia="es-CO"/>
              </w:rPr>
              <w:t>Contratista de la Subdirección de Gestión Contractual</w:t>
            </w:r>
          </w:p>
        </w:tc>
      </w:tr>
      <w:tr w:rsidR="004107AA" w:rsidRPr="004107AA" w14:paraId="0C5B4730" w14:textId="77777777" w:rsidTr="000C1575">
        <w:trPr>
          <w:trHeight w:val="300"/>
        </w:trPr>
        <w:tc>
          <w:tcPr>
            <w:tcW w:w="893" w:type="dxa"/>
            <w:vAlign w:val="center"/>
          </w:tcPr>
          <w:p w14:paraId="7CDFDF2D" w14:textId="77777777" w:rsidR="004107AA" w:rsidRPr="004107AA" w:rsidRDefault="004107AA" w:rsidP="004107AA">
            <w:pPr>
              <w:contextualSpacing/>
              <w:rPr>
                <w:rFonts w:ascii="Verdana" w:eastAsia="Calibri" w:hAnsi="Verdana" w:cs="Arial"/>
                <w:sz w:val="16"/>
                <w:szCs w:val="16"/>
                <w:lang w:val="es-ES" w:eastAsia="es-ES"/>
              </w:rPr>
            </w:pPr>
            <w:r w:rsidRPr="004107AA">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381C9DE" w14:textId="77777777" w:rsidR="004107AA" w:rsidRPr="004107AA" w:rsidRDefault="004107AA" w:rsidP="004107AA">
            <w:pPr>
              <w:contextualSpacing/>
              <w:rPr>
                <w:rFonts w:ascii="Verdana" w:eastAsia="Calibri" w:hAnsi="Verdana" w:cs="Arial"/>
                <w:sz w:val="16"/>
                <w:szCs w:val="16"/>
                <w:lang w:val="pt-BR" w:eastAsia="es-ES"/>
              </w:rPr>
            </w:pPr>
            <w:r w:rsidRPr="004107AA">
              <w:rPr>
                <w:rFonts w:ascii="Verdana" w:eastAsia="Calibri" w:hAnsi="Verdana" w:cs="Arial"/>
                <w:sz w:val="16"/>
                <w:szCs w:val="16"/>
                <w:lang w:val="pt-BR" w:eastAsia="es-ES"/>
              </w:rPr>
              <w:t xml:space="preserve">Carolina Quintero </w:t>
            </w:r>
            <w:proofErr w:type="spellStart"/>
            <w:r w:rsidRPr="004107AA">
              <w:rPr>
                <w:rFonts w:ascii="Verdana" w:eastAsia="Calibri" w:hAnsi="Verdana" w:cs="Arial"/>
                <w:sz w:val="16"/>
                <w:szCs w:val="16"/>
                <w:lang w:val="pt-BR" w:eastAsia="es-ES"/>
              </w:rPr>
              <w:t>Gacharná</w:t>
            </w:r>
            <w:proofErr w:type="spellEnd"/>
          </w:p>
          <w:p w14:paraId="152A21B1" w14:textId="77777777" w:rsidR="004107AA" w:rsidRPr="004107AA" w:rsidRDefault="004107AA" w:rsidP="004107AA">
            <w:pPr>
              <w:contextualSpacing/>
              <w:rPr>
                <w:rFonts w:ascii="Verdana" w:eastAsia="Calibri" w:hAnsi="Verdana" w:cs="Arial"/>
                <w:sz w:val="16"/>
                <w:szCs w:val="16"/>
                <w:lang w:val="pt-BR" w:eastAsia="es-ES"/>
              </w:rPr>
            </w:pPr>
            <w:r w:rsidRPr="004107AA">
              <w:rPr>
                <w:rFonts w:ascii="Verdana" w:eastAsia="Calibri" w:hAnsi="Verdana" w:cs="Arial"/>
                <w:sz w:val="16"/>
                <w:szCs w:val="16"/>
                <w:lang w:eastAsia="es-ES"/>
              </w:rPr>
              <w:t>Subdirectora</w:t>
            </w:r>
            <w:r w:rsidRPr="004107AA">
              <w:rPr>
                <w:rFonts w:ascii="Verdana" w:eastAsia="Calibri" w:hAnsi="Verdana" w:cs="Arial"/>
                <w:sz w:val="16"/>
                <w:szCs w:val="16"/>
                <w:lang w:val="pt-BR" w:eastAsia="es-ES"/>
              </w:rPr>
              <w:t xml:space="preserve"> de Gestión </w:t>
            </w:r>
            <w:proofErr w:type="spellStart"/>
            <w:r w:rsidRPr="004107AA">
              <w:rPr>
                <w:rFonts w:ascii="Verdana" w:eastAsia="Calibri" w:hAnsi="Verdana" w:cs="Arial"/>
                <w:sz w:val="16"/>
                <w:szCs w:val="16"/>
                <w:lang w:val="pt-BR" w:eastAsia="es-ES"/>
              </w:rPr>
              <w:t>Contractual</w:t>
            </w:r>
            <w:proofErr w:type="spellEnd"/>
            <w:r w:rsidRPr="004107AA">
              <w:rPr>
                <w:rFonts w:ascii="Verdana" w:eastAsia="Calibri" w:hAnsi="Verdana" w:cs="Arial"/>
                <w:sz w:val="16"/>
                <w:szCs w:val="16"/>
                <w:lang w:val="pt-BR" w:eastAsia="es-ES"/>
              </w:rPr>
              <w:t xml:space="preserve"> ANCP – CCE</w:t>
            </w:r>
          </w:p>
        </w:tc>
      </w:tr>
    </w:tbl>
    <w:p w14:paraId="24C6C5A5" w14:textId="77777777" w:rsidR="004107AA" w:rsidRPr="004107AA" w:rsidRDefault="004107AA" w:rsidP="004107AA">
      <w:pPr>
        <w:rPr>
          <w:rFonts w:ascii="Calibri" w:eastAsia="Calibri" w:hAnsi="Calibri" w:cs="Times New Roman"/>
        </w:rPr>
      </w:pPr>
    </w:p>
    <w:p w14:paraId="7899102C" w14:textId="77777777" w:rsidR="004107AA" w:rsidRPr="004107AA" w:rsidRDefault="004107AA" w:rsidP="004107AA">
      <w:pPr>
        <w:spacing w:line="278" w:lineRule="auto"/>
        <w:rPr>
          <w:rFonts w:ascii="Aptos" w:eastAsia="Aptos" w:hAnsi="Aptos" w:cs="Times New Roman"/>
          <w:kern w:val="2"/>
          <w:sz w:val="24"/>
          <w:szCs w:val="24"/>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64AEB" w14:textId="77777777" w:rsidR="006E5756" w:rsidRDefault="006E5756" w:rsidP="004A1847">
      <w:pPr>
        <w:spacing w:after="0" w:line="240" w:lineRule="auto"/>
      </w:pPr>
      <w:r>
        <w:separator/>
      </w:r>
    </w:p>
  </w:endnote>
  <w:endnote w:type="continuationSeparator" w:id="0">
    <w:p w14:paraId="204822C9" w14:textId="77777777" w:rsidR="006E5756" w:rsidRDefault="006E5756" w:rsidP="004A1847">
      <w:pPr>
        <w:spacing w:after="0" w:line="240" w:lineRule="auto"/>
      </w:pPr>
      <w:r>
        <w:continuationSeparator/>
      </w:r>
    </w:p>
  </w:endnote>
  <w:endnote w:type="continuationNotice" w:id="1">
    <w:p w14:paraId="24FB9AFC" w14:textId="77777777" w:rsidR="00CF1DAA" w:rsidRDefault="00CF1D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AD4DF" w14:textId="77777777" w:rsidR="006E5756" w:rsidRDefault="006E5756" w:rsidP="004A1847">
      <w:pPr>
        <w:spacing w:after="0" w:line="240" w:lineRule="auto"/>
      </w:pPr>
      <w:r>
        <w:separator/>
      </w:r>
    </w:p>
  </w:footnote>
  <w:footnote w:type="continuationSeparator" w:id="0">
    <w:p w14:paraId="5071AA27" w14:textId="77777777" w:rsidR="006E5756" w:rsidRDefault="006E5756" w:rsidP="004A1847">
      <w:pPr>
        <w:spacing w:after="0" w:line="240" w:lineRule="auto"/>
      </w:pPr>
      <w:r>
        <w:continuationSeparator/>
      </w:r>
    </w:p>
  </w:footnote>
  <w:footnote w:type="continuationNotice" w:id="1">
    <w:p w14:paraId="375DB694" w14:textId="77777777" w:rsidR="00CF1DAA" w:rsidRDefault="00CF1DAA">
      <w:pPr>
        <w:spacing w:after="0" w:line="240" w:lineRule="auto"/>
      </w:pPr>
    </w:p>
  </w:footnote>
  <w:footnote w:id="2">
    <w:p w14:paraId="7BC7EB9D" w14:textId="77777777" w:rsidR="004107AA" w:rsidRPr="00953D40" w:rsidRDefault="004107AA" w:rsidP="004107AA">
      <w:pPr>
        <w:pStyle w:val="Textonotapie"/>
        <w:ind w:firstLine="708"/>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CORTE CONSTITUCIONAL. Sentencia C-452 de 1999. M.P. Eduardo Cifuentes Muñoz. </w:t>
      </w:r>
    </w:p>
  </w:footnote>
  <w:footnote w:id="3">
    <w:p w14:paraId="3FA6DD8C" w14:textId="77777777" w:rsidR="004107AA" w:rsidRPr="00953D40" w:rsidRDefault="004107AA" w:rsidP="004107AA">
      <w:pPr>
        <w:pStyle w:val="Textonotapie"/>
        <w:ind w:firstLine="708"/>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rPr>
        <w:t>DROMI, José Roberto. La licitación pública. Buenos Aires: Ciudad Argentina, 1980. pp. 288-289.</w:t>
      </w:r>
    </w:p>
  </w:footnote>
  <w:footnote w:id="4">
    <w:p w14:paraId="7F8E12E8" w14:textId="77777777" w:rsidR="004107AA" w:rsidRPr="00B365C1" w:rsidRDefault="004107AA" w:rsidP="004107AA">
      <w:pPr>
        <w:pStyle w:val="Textonotapie"/>
        <w:ind w:firstLine="708"/>
        <w:jc w:val="both"/>
        <w:rPr>
          <w:rFonts w:ascii="Verdana" w:hAnsi="Verdana" w:cs="Arial"/>
          <w:sz w:val="16"/>
          <w:szCs w:val="16"/>
        </w:rPr>
      </w:pPr>
      <w:r w:rsidRPr="00B365C1">
        <w:rPr>
          <w:rStyle w:val="Refdenotaalpie"/>
          <w:rFonts w:ascii="Verdana" w:hAnsi="Verdana" w:cs="Arial"/>
          <w:sz w:val="16"/>
          <w:szCs w:val="16"/>
        </w:rPr>
        <w:footnoteRef/>
      </w:r>
      <w:r w:rsidRPr="00B365C1">
        <w:rPr>
          <w:rFonts w:ascii="Verdana" w:hAnsi="Verdana" w:cs="Arial"/>
          <w:sz w:val="16"/>
          <w:szCs w:val="16"/>
        </w:rPr>
        <w:t xml:space="preserve"> </w:t>
      </w:r>
      <w:r w:rsidRPr="00B365C1">
        <w:rPr>
          <w:rFonts w:ascii="Verdana" w:hAnsi="Verdana" w:cs="Arial"/>
          <w:sz w:val="16"/>
          <w:szCs w:val="16"/>
        </w:rPr>
        <w:t>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5">
    <w:p w14:paraId="08784053" w14:textId="77777777" w:rsidR="004107AA" w:rsidRPr="00953D40" w:rsidRDefault="004107AA" w:rsidP="004107AA">
      <w:pPr>
        <w:pStyle w:val="Textonotapie"/>
        <w:ind w:firstLine="709"/>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rPr>
        <w:t>ORDÓÑEZ ORDÓÑEZ, Andrés E. Seguro de cumplimiento de los contratos estatales en Colombia. Bogotá: Universidad Externado de Colombia, 2011. p. 44.</w:t>
      </w:r>
    </w:p>
  </w:footnote>
  <w:footnote w:id="6">
    <w:p w14:paraId="08487551" w14:textId="77777777" w:rsidR="004107AA" w:rsidRPr="00953D40" w:rsidRDefault="004107AA" w:rsidP="004107AA">
      <w:pPr>
        <w:pStyle w:val="Textonotapie"/>
        <w:ind w:firstLine="709"/>
        <w:jc w:val="both"/>
        <w:rPr>
          <w:rFonts w:ascii="Verdana" w:hAnsi="Verdana" w:cs="Arial"/>
          <w:color w:val="000000"/>
          <w:sz w:val="16"/>
          <w:szCs w:val="16"/>
          <w:lang w:val="es-ES"/>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rPr>
        <w:t xml:space="preserve">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953D40">
        <w:rPr>
          <w:rFonts w:ascii="Verdana" w:hAnsi="Verdana" w:cs="Arial"/>
          <w:color w:val="000000"/>
          <w:sz w:val="16"/>
          <w:szCs w:val="16"/>
          <w:lang w:val="es-ES"/>
        </w:rPr>
        <w:t xml:space="preserve">Igualmente, el inciso primero del artículo 1071 </w:t>
      </w:r>
      <w:r w:rsidRPr="00953D40">
        <w:rPr>
          <w:rFonts w:ascii="Verdana" w:hAnsi="Verdana" w:cs="Arial"/>
          <w:i/>
          <w:iCs/>
          <w:color w:val="000000"/>
          <w:sz w:val="16"/>
          <w:szCs w:val="16"/>
          <w:lang w:val="es-ES"/>
        </w:rPr>
        <w:t>ibidem</w:t>
      </w:r>
      <w:r w:rsidRPr="00953D40">
        <w:rPr>
          <w:rFonts w:ascii="Verdana" w:hAnsi="Verdana" w:cs="Arial"/>
          <w:color w:val="000000"/>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7">
    <w:p w14:paraId="5EC94AA3" w14:textId="77777777" w:rsidR="004107AA" w:rsidRPr="00953D40" w:rsidRDefault="004107AA" w:rsidP="004107AA">
      <w:pPr>
        <w:pStyle w:val="Textonotapie"/>
        <w:ind w:firstLine="709"/>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8">
    <w:p w14:paraId="6B41417A"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4179E599"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En consecuencia, la Entidad Estatal en los pliegos de condiciones para la Contratación debe indicar las garantías que exige en cada Etapa del Contrato o cada Periodo Contractual así: </w:t>
      </w:r>
    </w:p>
    <w:p w14:paraId="7C69F738"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083E1AFB"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519DB792"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2A983235"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9">
    <w:p w14:paraId="2BCAF0C0"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hAnsi="Verdana" w:cs="Arial"/>
          <w:color w:val="000000"/>
          <w:sz w:val="16"/>
          <w:szCs w:val="16"/>
          <w:lang w:val="es-CO"/>
        </w:rPr>
        <w:t xml:space="preserve">“Artículo </w:t>
      </w:r>
      <w:bookmarkStart w:id="5" w:name="_Hlk67919994"/>
      <w:r w:rsidRPr="00953D40">
        <w:rPr>
          <w:rFonts w:ascii="Verdana" w:hAnsi="Verdana" w:cs="Arial"/>
          <w:color w:val="000000"/>
          <w:sz w:val="16"/>
          <w:szCs w:val="16"/>
          <w:lang w:val="es-CO"/>
        </w:rPr>
        <w:t>2.2.1.2.3.1.7</w:t>
      </w:r>
      <w:bookmarkEnd w:id="5"/>
      <w:r w:rsidRPr="00953D40">
        <w:rPr>
          <w:rFonts w:ascii="Verdana" w:hAnsi="Verdana" w:cs="Arial"/>
          <w:color w:val="000000"/>
          <w:sz w:val="16"/>
          <w:szCs w:val="16"/>
          <w:lang w:val="es-CO"/>
        </w:rPr>
        <w:t xml:space="preserve">. Garantía de cumplimiento. La garantía de cumplimiento del contrato debe cubrir: </w:t>
      </w:r>
    </w:p>
    <w:p w14:paraId="2382B2E5" w14:textId="77777777" w:rsidR="004107AA" w:rsidRPr="00953D40" w:rsidRDefault="004107AA" w:rsidP="004107AA">
      <w:pPr>
        <w:pStyle w:val="Textonotapie"/>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  </w:t>
      </w:r>
      <w:r w:rsidRPr="00953D40">
        <w:rPr>
          <w:rFonts w:ascii="Verdana" w:hAnsi="Verdana" w:cs="Arial"/>
          <w:color w:val="000000"/>
          <w:sz w:val="16"/>
          <w:szCs w:val="16"/>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6815B70F"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241C994F"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 Cumplimiento del contrato. Este amparo cubre a la Entidad Estatal de los perjuicios derivados de: </w:t>
      </w:r>
    </w:p>
    <w:p w14:paraId="783243E3" w14:textId="77777777" w:rsidR="004107AA" w:rsidRPr="00953D40" w:rsidRDefault="004107AA" w:rsidP="004107AA">
      <w:pPr>
        <w:pStyle w:val="Textonotapie"/>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  </w:t>
      </w:r>
      <w:r w:rsidRPr="00953D40">
        <w:rPr>
          <w:rFonts w:ascii="Verdana" w:hAnsi="Verdana" w:cs="Arial"/>
          <w:color w:val="000000"/>
          <w:sz w:val="16"/>
          <w:szCs w:val="16"/>
          <w:lang w:val="es-CO"/>
        </w:rPr>
        <w:tab/>
        <w:t xml:space="preserve">3.1. </w:t>
      </w:r>
      <w:bookmarkStart w:id="6" w:name="_Hlk67920056"/>
      <w:r w:rsidRPr="00953D40">
        <w:rPr>
          <w:rFonts w:ascii="Verdana" w:hAnsi="Verdana" w:cs="Arial"/>
          <w:color w:val="000000"/>
          <w:sz w:val="16"/>
          <w:szCs w:val="16"/>
          <w:lang w:val="es-CO"/>
        </w:rPr>
        <w:t xml:space="preserve">El incumplimiento total o parcial del contrato, cuando el incumplimiento es imputable al contratista; </w:t>
      </w:r>
    </w:p>
    <w:p w14:paraId="3B6353A7" w14:textId="77777777" w:rsidR="004107AA" w:rsidRPr="00953D40" w:rsidRDefault="004107AA" w:rsidP="004107AA">
      <w:pPr>
        <w:pStyle w:val="Textonotapie"/>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  </w:t>
      </w:r>
      <w:r w:rsidRPr="00953D40">
        <w:rPr>
          <w:rFonts w:ascii="Verdana" w:hAnsi="Verdana" w:cs="Arial"/>
          <w:color w:val="000000"/>
          <w:sz w:val="16"/>
          <w:szCs w:val="16"/>
          <w:lang w:val="es-CO"/>
        </w:rPr>
        <w:tab/>
        <w:t xml:space="preserve">3.2. El cumplimiento tardío o defectuoso del contrato, cuando el incumplimiento es imputable al contratista; </w:t>
      </w:r>
    </w:p>
    <w:p w14:paraId="6C8CEEA1"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3.3. Los daños imputables al contratista por entregas parciales de la obra, cuando el contrato no prevé entregas parciales; y </w:t>
      </w:r>
    </w:p>
    <w:bookmarkEnd w:id="6"/>
    <w:p w14:paraId="75AB82D5"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3.4. El pago del valor de las multas y de la cláusula penal pecuniaria. </w:t>
      </w:r>
    </w:p>
    <w:p w14:paraId="4FC71865"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23FFADA4"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22B522FA"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1A0BA5B7"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6. Calidad del servicio. Este amparo cubre a la Entidad Estatal por los perjuicios derivados de la deficiente calidad del servicio prestado. </w:t>
      </w:r>
    </w:p>
    <w:p w14:paraId="4BE12F9A"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7. Calidad y correcto funcionamiento de los bienes. Este amparo debe cubrir la calidad y el correcto funcionamiento de los bienes que recibe la Entidad Estatal en cumplimiento de un contrato. </w:t>
      </w:r>
    </w:p>
    <w:p w14:paraId="18EC03C9" w14:textId="77777777" w:rsidR="004107AA" w:rsidRPr="00953D40" w:rsidRDefault="004107AA" w:rsidP="004107AA">
      <w:pPr>
        <w:pStyle w:val="Textonotapie"/>
        <w:ind w:firstLine="708"/>
        <w:jc w:val="both"/>
        <w:rPr>
          <w:rFonts w:ascii="Verdana" w:hAnsi="Verdana" w:cs="Arial"/>
          <w:color w:val="000000"/>
          <w:sz w:val="16"/>
          <w:szCs w:val="16"/>
          <w:lang w:val="es-CO"/>
        </w:rPr>
      </w:pPr>
      <w:r w:rsidRPr="00953D40">
        <w:rPr>
          <w:rFonts w:ascii="Verdana" w:hAnsi="Verdana" w:cs="Arial"/>
          <w:color w:val="000000"/>
          <w:sz w:val="16"/>
          <w:szCs w:val="16"/>
          <w:lang w:val="es-CO"/>
        </w:rPr>
        <w:t xml:space="preserve">8. </w:t>
      </w:r>
      <w:bookmarkStart w:id="7" w:name="_Hlk143267015"/>
      <w:r w:rsidRPr="00953D40">
        <w:rPr>
          <w:rFonts w:ascii="Verdana" w:hAnsi="Verdana" w:cs="Arial"/>
          <w:color w:val="000000"/>
          <w:sz w:val="16"/>
          <w:szCs w:val="16"/>
          <w:lang w:val="es-CO"/>
        </w:rPr>
        <w:t>Los demás incumplimientos de obligaciones que la Entidad Estatal considere deben ser amparados de manera proporcional y acorde a la naturaleza del contrato</w:t>
      </w:r>
      <w:bookmarkEnd w:id="7"/>
      <w:r w:rsidRPr="00953D40">
        <w:rPr>
          <w:rFonts w:ascii="Verdana" w:hAnsi="Verdana" w:cs="Arial"/>
          <w:color w:val="000000"/>
          <w:sz w:val="16"/>
          <w:szCs w:val="16"/>
          <w:lang w:val="es-CO"/>
        </w:rPr>
        <w:t>”.</w:t>
      </w:r>
    </w:p>
    <w:p w14:paraId="3159EB85" w14:textId="77777777" w:rsidR="004107AA" w:rsidRPr="00953D40" w:rsidRDefault="004107AA" w:rsidP="004107AA">
      <w:pPr>
        <w:pStyle w:val="Textonotapie"/>
        <w:ind w:firstLine="708"/>
        <w:jc w:val="both"/>
        <w:rPr>
          <w:rFonts w:ascii="Verdana" w:hAnsi="Verdana" w:cs="Arial"/>
          <w:color w:val="000000"/>
          <w:sz w:val="16"/>
          <w:szCs w:val="16"/>
          <w:lang w:val="es-CO"/>
        </w:rPr>
      </w:pPr>
    </w:p>
  </w:footnote>
  <w:footnote w:id="10">
    <w:p w14:paraId="61AD1B51"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Cfr.</w:t>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CONSEJO DE ESTADO. Sección Tercera. Subsección B. Sentencia del 30 de noviembre de 2016. Rad. 29.368. C.P. Ramiro Pazos Guerrero; Subsección B. Sentencia del 5 de diciembre de 2016. Rad. 35.057. C.P. Ramiro Pazos Guerrero; Subsección A. Sentencia del 27 de noviembre de 2013. Rad. 25.742. C.P. Mauricio Fajardo Gómez; Subsección C. Sentencia del 7 de junio de 2012. Rad. 22.899. C.P. Olga Melida Valle de De La Hoz, entre otras.</w:t>
      </w:r>
    </w:p>
  </w:footnote>
  <w:footnote w:id="11">
    <w:p w14:paraId="48FDCFA3" w14:textId="77777777" w:rsidR="004107AA" w:rsidRPr="00953D40" w:rsidRDefault="004107AA" w:rsidP="004107AA">
      <w:pPr>
        <w:pStyle w:val="Textonotapie"/>
        <w:ind w:firstLine="709"/>
        <w:jc w:val="both"/>
        <w:rPr>
          <w:rFonts w:ascii="Verdana" w:hAnsi="Verdana" w:cs="Arial"/>
          <w:color w:val="000000"/>
          <w:sz w:val="16"/>
          <w:szCs w:val="16"/>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En esta medida, recibida la obra, no es posible alegar la inejecución de las obligaciones a cargo del contratista, pues la recepción “[…] es un acto jurídico y patrimonial, por el cual ‘el comitente acepta la entrega de la obra ejecutada’ y ‘declara extinguida la obligación de hacer que debía cumplir el constructor’. Esta extinción, en la medida en que el comitente no manifieste reservas acerca de su alcance, implica la conformidad total y definitiva con la obra o con su producto, incluso en relación con el plazo de ejecución. Es la culminación del contrato desde el punto de vista del objeto perseguido por el comitente al celebrarlo. Es también la consumación plena de las obligaciones asumidas por el constructor” (PODETTI, Humberto. El contrato de construcción. Buenos Aires: Editorial Astrea, 2004, p. 446).</w:t>
      </w:r>
      <w:r w:rsidRPr="00953D40">
        <w:rPr>
          <w:rFonts w:ascii="Verdana" w:hAnsi="Verdana" w:cs="Arial"/>
          <w:color w:val="000000"/>
          <w:sz w:val="16"/>
          <w:szCs w:val="16"/>
        </w:rPr>
        <w:t xml:space="preserve">   </w:t>
      </w:r>
    </w:p>
  </w:footnote>
  <w:footnote w:id="12">
    <w:p w14:paraId="4C13788E"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CONSEJO DE ESTADO. Sección Tercera. Sentencia del 23 de junio de 2010. Rad. 16.367. C.P. Enrique Gil Botero. En el mismo sentido, Subsección C. Sentencia del 30 de marzo de 2011. Rad. 20.917. C.P. Enrique Gil Botero, Subsección A. Sentencia del 29 de mayo de 2014. Rad. 27.721. C.P. Hernán Andrade Rincón, Subsección B. Sentencia del 7 de septiembre de 2015. Rad. 45.907. C.P. Jaime Orlando Santofimio Gamboa. Posición contraria, Subsección B. Sentencia del 26 de agosto de 2019. Rad. 44.170. C.P. Alberto Montaña Plata.</w:t>
      </w:r>
    </w:p>
  </w:footnote>
  <w:footnote w:id="13">
    <w:p w14:paraId="2204BF59"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Allí se dispone lo siguiente: “Artículo 77.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p>
  </w:footnote>
  <w:footnote w:id="14">
    <w:p w14:paraId="2B2D720E"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Para estos efectos, el artículo 1081 del Código de Comercio dispone que “La prescripción de las acciones que se derivan del contrato de seguro o de las disposiciones que lo rigen podrá ser ordinaria o extraordinaria.</w:t>
      </w:r>
    </w:p>
    <w:p w14:paraId="097D49D2"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Fonts w:ascii="Verdana" w:eastAsia="Calibri" w:hAnsi="Verdana" w:cs="Arial"/>
          <w:color w:val="000000"/>
          <w:sz w:val="16"/>
          <w:szCs w:val="16"/>
          <w:lang w:val="es-ES_tradnl"/>
        </w:rPr>
        <w:t>La prescripción ordinaria será de dos años y empezará a correr desde el momento en que el interesado haya tenido o debido tener conocimiento del hecho que da base a la acción.</w:t>
      </w:r>
    </w:p>
    <w:p w14:paraId="2685C2C0"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Fonts w:ascii="Verdana" w:eastAsia="Calibri" w:hAnsi="Verdana" w:cs="Arial"/>
          <w:color w:val="000000"/>
          <w:sz w:val="16"/>
          <w:szCs w:val="16"/>
          <w:lang w:val="es-ES_tradnl"/>
        </w:rPr>
        <w:t>La prescripción extraordinaria será de cinco años, correrá contra toda clase de personas y empezará a contarse desde el momento en que nace el respectivo derecho.</w:t>
      </w:r>
    </w:p>
    <w:p w14:paraId="748D01D5"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Fonts w:ascii="Verdana" w:eastAsia="Calibri" w:hAnsi="Verdana" w:cs="Arial"/>
          <w:color w:val="000000"/>
          <w:sz w:val="16"/>
          <w:szCs w:val="16"/>
          <w:lang w:val="es-ES_tradnl"/>
        </w:rPr>
        <w:t>Estos términos no pueden ser modificados por las partes”.</w:t>
      </w:r>
    </w:p>
  </w:footnote>
  <w:footnote w:id="15">
    <w:p w14:paraId="608C5086"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No en vano, “Cuando la administración declara la existencia del siniestro u ocurrencia del riesgo asegurado, concluye que se dio u ocurrieron antecedentes precavidos en el contrato de seguro del que es beneficiario; no significa que el acto jurídico que declara la existencia del siniestro hace que en la vida jurídica el siniestro se dé en ese momento; lo que ocurre es, que previo a proferir ese acto jurídico, el riesgo asegurado ha acaecido; la ocurrencia del siniestro es en lógica, anterior al acto que reconoce su ocurrencia” (CONSEJO DE ESTADO. Sección Tercera. Subsección A. Sentencia del 22 de mayo de 2013. Rad. 24.810. C.P. Olga Mélida Valle de De La Hoz).</w:t>
      </w:r>
    </w:p>
  </w:footnote>
  <w:footnote w:id="16">
    <w:p w14:paraId="01FA002C"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CONSEJO DE ESTADO. Sección Tercera. Sentencia del 22 de abril de 2009. Rad. 14.667. C.P. Myriam Guerrero De Escobar.</w:t>
      </w:r>
    </w:p>
  </w:footnote>
  <w:footnote w:id="17">
    <w:p w14:paraId="6EE54324"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Style w:val="Refdenotaalpie"/>
          <w:rFonts w:ascii="Verdana" w:hAnsi="Verdana" w:cs="Arial"/>
          <w:color w:val="000000"/>
          <w:sz w:val="16"/>
          <w:szCs w:val="16"/>
        </w:rPr>
        <w:footnoteRef/>
      </w:r>
      <w:r w:rsidRPr="00953D40">
        <w:rPr>
          <w:rFonts w:ascii="Verdana" w:hAnsi="Verdana" w:cs="Arial"/>
          <w:color w:val="000000"/>
          <w:sz w:val="16"/>
          <w:szCs w:val="16"/>
        </w:rPr>
        <w:t xml:space="preserve"> </w:t>
      </w:r>
      <w:r w:rsidRPr="00953D40">
        <w:rPr>
          <w:rFonts w:ascii="Verdana" w:eastAsia="Calibri" w:hAnsi="Verdana" w:cs="Arial"/>
          <w:color w:val="000000"/>
          <w:sz w:val="16"/>
          <w:szCs w:val="16"/>
          <w:lang w:val="es-ES_tradnl"/>
        </w:rPr>
        <w:t xml:space="preserve">Al respecto, la jurisprudencia explica lo siguiente: “[…] la prescripción ordinaria y la extraordinaria corren por igual contra todos los interesados. La ordinaria cuando ellos son personas capaces, a partir del momento en que han tenido conocimiento del siniestro o han podido conocerlo, y su término es de dos años; no corre contra el interesado cuando éste es persona incapaz, según los artículos 2530 y 2541 del C.C., ni tampoco contra el que no ha conocido ni podido conocer el siniestro. </w:t>
      </w:r>
    </w:p>
    <w:p w14:paraId="6C4DADE5" w14:textId="77777777" w:rsidR="004107AA" w:rsidRPr="00953D40" w:rsidRDefault="004107AA" w:rsidP="004107AA">
      <w:pPr>
        <w:pStyle w:val="Textonotapie"/>
        <w:ind w:firstLine="709"/>
        <w:jc w:val="both"/>
        <w:rPr>
          <w:rFonts w:ascii="Verdana" w:eastAsia="Calibri" w:hAnsi="Verdana" w:cs="Arial"/>
          <w:color w:val="000000"/>
          <w:sz w:val="16"/>
          <w:szCs w:val="16"/>
          <w:lang w:val="es-ES_tradnl"/>
        </w:rPr>
      </w:pPr>
      <w:r w:rsidRPr="00953D40">
        <w:rPr>
          <w:rFonts w:ascii="Verdana" w:eastAsia="Calibri" w:hAnsi="Verdana" w:cs="Arial"/>
          <w:color w:val="000000"/>
          <w:sz w:val="16"/>
          <w:szCs w:val="16"/>
          <w:lang w:val="es-ES_tradnl"/>
        </w:rPr>
        <w:t xml:space="preserve">Pero contra estas personas si corre la prescripción extraordinaria, a partir del momento en que nace el derecho, o sea desde la fecha del siniestro. Por tanto, las correspondientes acciones prescriben en contra del respectivo interesado así: a) cuando se consuma el término de dos años de la prescripción ordinaria, a partir del conocimiento real o presunto del siniestro; y b) en todo caso, cuando transcurren cinco años a partir del siniestro, a menos que se haya consumado antes la prescripción ordinaria; la extraordinaria –se repite– corre aún contra personas incapaces o aquellas que no tuvieron ni pudieron tener conocimiento del hecho que da origen a la acción” (CORTE SUPREMA DE JUSTICIA. Sala de Casación Civil. Sentencia del 7 de julio de 1977. M.P. José María Esguerra Samper. Publicada en la Gaceta Judicial. Tomo CLV. Nº 2396. p. 153).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8A5C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97654511" o:spid="_x0000_i1025" type="#_x0000_t75" style="width:11.55pt;height:11.55pt;visibility:visible;mso-wrap-style:square">
            <v:imagedata r:id="rId1" o:title=""/>
          </v:shape>
        </w:pict>
      </mc:Choice>
      <mc:Fallback>
        <w:drawing>
          <wp:inline distT="0" distB="0" distL="0" distR="0" wp14:anchorId="021B6D89" wp14:editId="021B6D8A">
            <wp:extent cx="146685" cy="146685"/>
            <wp:effectExtent l="0" t="0" r="0" b="0"/>
            <wp:docPr id="497654511" name="Imagen 497654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7AEB"/>
    <w:rsid w:val="00061B2A"/>
    <w:rsid w:val="00082362"/>
    <w:rsid w:val="000A683E"/>
    <w:rsid w:val="000B19B9"/>
    <w:rsid w:val="000D0334"/>
    <w:rsid w:val="000F6486"/>
    <w:rsid w:val="00104B0B"/>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7175"/>
    <w:rsid w:val="00374F5E"/>
    <w:rsid w:val="00377E3E"/>
    <w:rsid w:val="003A779E"/>
    <w:rsid w:val="003D0F4D"/>
    <w:rsid w:val="003D5B0D"/>
    <w:rsid w:val="003E0499"/>
    <w:rsid w:val="003F3941"/>
    <w:rsid w:val="00406575"/>
    <w:rsid w:val="004107AA"/>
    <w:rsid w:val="00412235"/>
    <w:rsid w:val="00414C74"/>
    <w:rsid w:val="0042722E"/>
    <w:rsid w:val="0044528D"/>
    <w:rsid w:val="004557CE"/>
    <w:rsid w:val="004A1847"/>
    <w:rsid w:val="004A305D"/>
    <w:rsid w:val="004A3A69"/>
    <w:rsid w:val="004F21C4"/>
    <w:rsid w:val="004F685F"/>
    <w:rsid w:val="005127C8"/>
    <w:rsid w:val="005566E8"/>
    <w:rsid w:val="00574867"/>
    <w:rsid w:val="00591460"/>
    <w:rsid w:val="005B3816"/>
    <w:rsid w:val="005C3777"/>
    <w:rsid w:val="005C5599"/>
    <w:rsid w:val="005C5CDC"/>
    <w:rsid w:val="005D476C"/>
    <w:rsid w:val="006219F8"/>
    <w:rsid w:val="00665D70"/>
    <w:rsid w:val="006900D9"/>
    <w:rsid w:val="006E5756"/>
    <w:rsid w:val="00706C16"/>
    <w:rsid w:val="00756841"/>
    <w:rsid w:val="007649AB"/>
    <w:rsid w:val="00771D0C"/>
    <w:rsid w:val="007833AC"/>
    <w:rsid w:val="007B268C"/>
    <w:rsid w:val="007B7171"/>
    <w:rsid w:val="007C0C0F"/>
    <w:rsid w:val="007C3DC2"/>
    <w:rsid w:val="007E5497"/>
    <w:rsid w:val="0080471E"/>
    <w:rsid w:val="00806F5F"/>
    <w:rsid w:val="00820278"/>
    <w:rsid w:val="00837BF3"/>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C7B21"/>
    <w:rsid w:val="009D3058"/>
    <w:rsid w:val="009F3A13"/>
    <w:rsid w:val="00A122D3"/>
    <w:rsid w:val="00A17F13"/>
    <w:rsid w:val="00A20739"/>
    <w:rsid w:val="00A248D4"/>
    <w:rsid w:val="00A33C78"/>
    <w:rsid w:val="00AB0ADB"/>
    <w:rsid w:val="00AC34F1"/>
    <w:rsid w:val="00AF27BF"/>
    <w:rsid w:val="00B01B1A"/>
    <w:rsid w:val="00B66319"/>
    <w:rsid w:val="00B72CD3"/>
    <w:rsid w:val="00B72FFF"/>
    <w:rsid w:val="00B91020"/>
    <w:rsid w:val="00BC3D36"/>
    <w:rsid w:val="00BD7F72"/>
    <w:rsid w:val="00C04FB3"/>
    <w:rsid w:val="00C330EB"/>
    <w:rsid w:val="00C37056"/>
    <w:rsid w:val="00C41061"/>
    <w:rsid w:val="00C754BE"/>
    <w:rsid w:val="00C76B1C"/>
    <w:rsid w:val="00CB6357"/>
    <w:rsid w:val="00CC1B26"/>
    <w:rsid w:val="00CD1F77"/>
    <w:rsid w:val="00CF1DAA"/>
    <w:rsid w:val="00D423A2"/>
    <w:rsid w:val="00D520D8"/>
    <w:rsid w:val="00D63AC2"/>
    <w:rsid w:val="00D7383B"/>
    <w:rsid w:val="00D87B95"/>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4FF8486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107AA"/>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para-incentivar-la-participacion-de-las-mujeres&amp;data=05%7C02%7Cjuan.montoya%40colombiacompra.gov.co%7C925ae1c2336243aecb2908dd21173dd2%7C7b09041e245149d08cb179d5e3d8c1be%7C0%7C0%7C638703105895204231%7CUnknown%7CTWFpbGZsb3d8eyJFbXB0eU1hcGkiOnRydWUsIlYiOiIwLjAuMDAwMCIsIlAiOiJXaW4zMiIsIkFOIjoiTWFpbCIsIldUIjoyfQ%3D%3D%7C0%7C%7C%7C&amp;sdata=FVxVRA1OLrYs0kToF8HEu4D%2BSXkwN%2BKPRARSi4Pk574%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manuales-guias-y-pliegos-tipo%2Fmanuales-y-guias%2Fguia-para-el-manejo-de-ofertas-artificialmente-baja-0&amp;data=05%7C02%7Cjuan.montoya%40colombiacompra.gov.co%7C925ae1c2336243aecb2908dd21173dd2%7C7b09041e245149d08cb179d5e3d8c1be%7C0%7C0%7C638703105895182015%7CUnknown%7CTWFpbGZsb3d8eyJFbXB0eU1hcGkiOnRydWUsIlYiOiIwLjAuMDAwMCIsIlAiOiJXaW4zMiIsIkFOIjoiTWFpbCIsIldUIjoyfQ%3D%3D%7C0%7C%7C%7C&amp;sdata=HlGFbtWnhxQQFe3ygDSyPlK2cdKe1Ks6vhc65aNB0FU%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ites%2Fcce_public%2Ffiles%2Ffiles_2020%2Fboletin_de_realtoria_viii.pdf&amp;data=05%7C02%7Cjuan.montoya%40colombiacompra.gov.co%7C925ae1c2336243aecb2908dd21173dd2%7C7b09041e245149d08cb179d5e3d8c1be%7C0%7C0%7C638703105895220768%7CUnknown%7CTWFpbGZsb3d8eyJFbXB0eU1hcGkiOnRydWUsIlYiOiIwLjAuMDAwMCIsIlAiOiJXaW4zMiIsIkFOIjoiTWFpbCIsIldUIjoyfQ%3D%3D%7C0%7C%7C%7C&amp;sdata=qNBG%2BaYTy3VBiBSkZN4PWqvfCyO9k4rvo2wl3QqpAW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AF6BD908-2C67-4CC3-AD52-6E0AB18B2DE6}"/>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5206</Words>
  <Characters>28636</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2025-03-25T23:00:00Z</dcterms:created>
  <dcterms:modified xsi:type="dcterms:W3CDTF">2025-03-25T23:15:00Z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