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AC9A1" w14:textId="77777777" w:rsidR="00E51A98" w:rsidRPr="00077A34" w:rsidRDefault="00E51A98" w:rsidP="00E51A98">
      <w:pPr>
        <w:spacing w:after="0" w:line="276" w:lineRule="auto"/>
        <w:jc w:val="both"/>
        <w:rPr>
          <w:rFonts w:ascii="Verdana" w:eastAsia="Calibri" w:hAnsi="Verdana" w:cs="Arial"/>
          <w:b/>
          <w:bCs/>
          <w:lang w:val="es-ES" w:eastAsia="es-ES_tradnl"/>
        </w:rPr>
      </w:pPr>
      <w:bookmarkStart w:id="0" w:name="_Hlk143780582"/>
      <w:r w:rsidRPr="00077A34">
        <w:rPr>
          <w:rFonts w:ascii="Verdana" w:eastAsia="Calibri" w:hAnsi="Verdana" w:cs="Arial"/>
          <w:b/>
          <w:bCs/>
          <w:lang w:val="es-ES" w:eastAsia="es-ES_tradnl"/>
        </w:rPr>
        <w:t>REQUISITOS HABILITANTES – Capacidad financiera – Autonomía</w:t>
      </w:r>
    </w:p>
    <w:p w14:paraId="2B8611C3" w14:textId="77777777" w:rsidR="00E51A98" w:rsidRPr="00077A34" w:rsidRDefault="00E51A98" w:rsidP="00E51A98">
      <w:pPr>
        <w:spacing w:after="0" w:line="276" w:lineRule="auto"/>
        <w:jc w:val="both"/>
        <w:rPr>
          <w:rFonts w:ascii="Verdana" w:eastAsia="Calibri" w:hAnsi="Verdana" w:cs="Arial"/>
          <w:b/>
          <w:bCs/>
          <w:sz w:val="20"/>
          <w:szCs w:val="20"/>
          <w:lang w:val="es-ES" w:eastAsia="es-ES_tradnl"/>
        </w:rPr>
      </w:pPr>
    </w:p>
    <w:p w14:paraId="51642B5F" w14:textId="06362F45" w:rsidR="00E51A98" w:rsidRPr="00077A34" w:rsidRDefault="00320DCF" w:rsidP="00E51A98">
      <w:pPr>
        <w:spacing w:after="0" w:line="240" w:lineRule="auto"/>
        <w:jc w:val="both"/>
        <w:rPr>
          <w:rFonts w:ascii="Verdana" w:eastAsia="Calibri" w:hAnsi="Verdana" w:cs="Arial"/>
          <w:sz w:val="20"/>
          <w:szCs w:val="20"/>
          <w:lang w:val="es-MX"/>
        </w:rPr>
      </w:pPr>
      <w:r w:rsidRPr="00077A34">
        <w:rPr>
          <w:rFonts w:ascii="Verdana" w:eastAsia="Calibri" w:hAnsi="Verdana" w:cs="Arial"/>
          <w:sz w:val="20"/>
          <w:szCs w:val="20"/>
          <w:lang w:val="es-MX"/>
        </w:rPr>
        <w:t>“</w:t>
      </w:r>
      <w:r w:rsidR="00E51A98" w:rsidRPr="00077A34">
        <w:rPr>
          <w:rFonts w:ascii="Verdana" w:eastAsia="Calibri" w:hAnsi="Verdana" w:cs="Arial"/>
          <w:sz w:val="20"/>
          <w:szCs w:val="20"/>
          <w:lang w:val="es-MX"/>
        </w:rPr>
        <w:t>[…]</w:t>
      </w:r>
      <w:r w:rsidRPr="00077A34">
        <w:rPr>
          <w:rFonts w:ascii="Verdana" w:eastAsia="Calibri" w:hAnsi="Verdana" w:cs="Arial"/>
          <w:sz w:val="20"/>
          <w:szCs w:val="20"/>
          <w:lang w:val="es-MX"/>
        </w:rPr>
        <w:t xml:space="preserve"> </w:t>
      </w:r>
      <w:r w:rsidR="00E51A98" w:rsidRPr="00077A34">
        <w:rPr>
          <w:rFonts w:ascii="Verdana" w:eastAsia="Calibri" w:hAnsi="Verdana" w:cs="Arial"/>
          <w:sz w:val="20"/>
          <w:szCs w:val="20"/>
          <w:lang w:val="es-MX"/>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5129A3B1" w14:textId="77777777" w:rsidR="00E51A98" w:rsidRPr="00077A34" w:rsidRDefault="00E51A98" w:rsidP="00E51A98">
      <w:pPr>
        <w:spacing w:after="0" w:line="240" w:lineRule="auto"/>
        <w:jc w:val="both"/>
        <w:rPr>
          <w:rFonts w:ascii="Verdana" w:eastAsia="Calibri" w:hAnsi="Verdana" w:cs="Arial"/>
          <w:sz w:val="20"/>
          <w:szCs w:val="20"/>
          <w:lang w:val="es-MX"/>
        </w:rPr>
      </w:pPr>
    </w:p>
    <w:p w14:paraId="0AE0CAEF" w14:textId="77777777" w:rsidR="00E51A98" w:rsidRPr="00077A34" w:rsidRDefault="00E51A98" w:rsidP="00E51A98">
      <w:pPr>
        <w:spacing w:after="0" w:line="240" w:lineRule="auto"/>
        <w:jc w:val="both"/>
        <w:rPr>
          <w:rFonts w:ascii="Verdana" w:eastAsia="Calibri" w:hAnsi="Verdana" w:cs="Arial"/>
          <w:sz w:val="20"/>
          <w:szCs w:val="20"/>
          <w:lang w:val="es-MX"/>
        </w:rPr>
      </w:pPr>
      <w:r w:rsidRPr="00077A34">
        <w:rPr>
          <w:rFonts w:ascii="Verdana" w:eastAsia="Calibri" w:hAnsi="Verdana" w:cs="Arial"/>
          <w:sz w:val="20"/>
          <w:szCs w:val="20"/>
          <w:lang w:val="es-MX"/>
        </w:rPr>
        <w:t>[…]</w:t>
      </w:r>
    </w:p>
    <w:p w14:paraId="687685E8" w14:textId="77777777" w:rsidR="00E51A98" w:rsidRPr="00077A34" w:rsidRDefault="00E51A98" w:rsidP="00E51A98">
      <w:pPr>
        <w:spacing w:after="0" w:line="240" w:lineRule="auto"/>
        <w:jc w:val="both"/>
        <w:rPr>
          <w:rFonts w:ascii="Verdana" w:eastAsia="Calibri" w:hAnsi="Verdana" w:cs="Arial"/>
          <w:color w:val="000000"/>
          <w:sz w:val="20"/>
          <w:szCs w:val="20"/>
          <w:lang w:val="es-MX" w:eastAsia="es-ES_tradnl"/>
        </w:rPr>
      </w:pPr>
    </w:p>
    <w:p w14:paraId="4E1527DE" w14:textId="2E527D52" w:rsidR="00320DCF" w:rsidRPr="00077A34" w:rsidRDefault="00E51A98" w:rsidP="00320DCF">
      <w:pPr>
        <w:spacing w:after="0" w:line="240" w:lineRule="auto"/>
        <w:jc w:val="both"/>
        <w:rPr>
          <w:rFonts w:ascii="Verdana" w:eastAsia="Calibri" w:hAnsi="Verdana" w:cs="Arial"/>
          <w:sz w:val="20"/>
          <w:szCs w:val="20"/>
          <w:lang w:val="es-MX"/>
        </w:rPr>
      </w:pPr>
      <w:r w:rsidRPr="00077A34">
        <w:rPr>
          <w:rFonts w:ascii="Verdana" w:eastAsia="Calibri" w:hAnsi="Verdana" w:cs="Arial"/>
          <w:color w:val="000000"/>
          <w:sz w:val="20"/>
          <w:szCs w:val="20"/>
          <w:lang w:val="es-MX" w:eastAsia="es-ES_tradnl"/>
        </w:rPr>
        <w:t xml:space="preserve">Ahora bien, dentro de los requisitos habilitantes se destaca la capacidad financiera, la cual </w:t>
      </w:r>
      <w:r w:rsidRPr="00077A34">
        <w:rPr>
          <w:rFonts w:ascii="Verdana" w:eastAsia="Calibri" w:hAnsi="Verdana" w:cs="Arial"/>
          <w:sz w:val="20"/>
          <w:szCs w:val="20"/>
          <w:lang w:val="es-MX"/>
        </w:rPr>
        <w:t xml:space="preserve">se deriva del comportamiento contable de la empresa, su liquidez y endeudamiento, para determinar que sus recursos y solidez financiera le permita cumplir los compromisos que adquiera. Como explica esta Agencia en el </w:t>
      </w:r>
      <w:r w:rsidRPr="00077A34">
        <w:rPr>
          <w:rFonts w:ascii="Verdana" w:eastAsia="Calibri" w:hAnsi="Verdana" w:cs="Arial"/>
          <w:i/>
          <w:iCs/>
          <w:sz w:val="20"/>
          <w:szCs w:val="20"/>
          <w:lang w:val="es-MX"/>
        </w:rPr>
        <w:t>Manual para determinar y verificar los requisitos habilitantes en los procesos de contratación</w:t>
      </w:r>
      <w:r w:rsidRPr="00077A34">
        <w:rPr>
          <w:rFonts w:ascii="Verdana" w:eastAsia="Calibri" w:hAnsi="Verdana" w:cs="Arial"/>
          <w:sz w:val="20"/>
          <w:szCs w:val="20"/>
          <w:lang w:val="es-MX"/>
        </w:rPr>
        <w:t xml:space="preserve">: </w:t>
      </w:r>
      <w:r w:rsidRPr="00077A34">
        <w:rPr>
          <w:rFonts w:ascii="Verdana" w:eastAsia="Calibri" w:hAnsi="Verdana" w:cs="Arial"/>
          <w:i/>
          <w:iCs/>
          <w:sz w:val="20"/>
          <w:szCs w:val="20"/>
          <w:lang w:val="es-MX"/>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077A34">
        <w:rPr>
          <w:rFonts w:ascii="Verdana" w:eastAsia="Calibri" w:hAnsi="Verdana" w:cs="Arial"/>
          <w:i/>
          <w:iCs/>
          <w:color w:val="000000"/>
          <w:sz w:val="20"/>
          <w:szCs w:val="20"/>
          <w:lang w:val="es-ES_tradnl" w:eastAsia="es-ES_tradnl"/>
        </w:rPr>
        <w:t>.</w:t>
      </w:r>
      <w:r w:rsidRPr="00077A34">
        <w:rPr>
          <w:rFonts w:ascii="Verdana" w:eastAsia="Calibri" w:hAnsi="Verdana" w:cs="Arial"/>
          <w:color w:val="000000"/>
          <w:sz w:val="20"/>
          <w:szCs w:val="20"/>
          <w:lang w:val="es-MX" w:eastAsia="es-ES_tradnl"/>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r w:rsidR="00320DCF" w:rsidRPr="00077A34">
        <w:rPr>
          <w:rFonts w:ascii="Verdana" w:eastAsia="Calibri" w:hAnsi="Verdana" w:cs="Arial"/>
          <w:color w:val="000000"/>
          <w:sz w:val="20"/>
          <w:szCs w:val="20"/>
          <w:lang w:val="es-MX" w:eastAsia="es-ES_tradnl"/>
        </w:rPr>
        <w:t xml:space="preserve"> </w:t>
      </w:r>
      <w:r w:rsidR="00320DCF" w:rsidRPr="00077A34">
        <w:rPr>
          <w:rFonts w:ascii="Verdana" w:eastAsia="Calibri" w:hAnsi="Verdana" w:cs="Arial"/>
          <w:sz w:val="20"/>
          <w:szCs w:val="20"/>
          <w:lang w:val="es-MX"/>
        </w:rPr>
        <w:t>[…]”</w:t>
      </w:r>
    </w:p>
    <w:p w14:paraId="6CD5EA1E" w14:textId="1CA75CE5" w:rsidR="00E51A98" w:rsidRPr="00077A34" w:rsidRDefault="00E51A98" w:rsidP="00E51A98">
      <w:pPr>
        <w:spacing w:after="0" w:line="240" w:lineRule="auto"/>
        <w:jc w:val="both"/>
        <w:rPr>
          <w:rFonts w:ascii="Verdana" w:eastAsia="Calibri" w:hAnsi="Verdana" w:cs="Arial"/>
          <w:sz w:val="20"/>
          <w:szCs w:val="20"/>
          <w:lang w:val="es-MX"/>
        </w:rPr>
      </w:pPr>
    </w:p>
    <w:p w14:paraId="44696BAB" w14:textId="77777777" w:rsidR="00C02EF0" w:rsidRPr="00077A34" w:rsidRDefault="00C02EF0" w:rsidP="00C02EF0">
      <w:pPr>
        <w:spacing w:after="0" w:line="276" w:lineRule="auto"/>
        <w:jc w:val="both"/>
        <w:rPr>
          <w:rFonts w:ascii="Verdana" w:eastAsia="Calibri" w:hAnsi="Verdana" w:cs="Arial"/>
          <w:b/>
          <w:color w:val="000000" w:themeColor="text1"/>
          <w:szCs w:val="24"/>
          <w:lang w:val="es-MX" w:eastAsia="es-ES_tradnl"/>
        </w:rPr>
      </w:pPr>
      <w:r w:rsidRPr="00077A34">
        <w:rPr>
          <w:rFonts w:ascii="Verdana" w:eastAsia="Calibri" w:hAnsi="Verdana" w:cs="Arial"/>
          <w:b/>
          <w:color w:val="000000" w:themeColor="text1"/>
          <w:szCs w:val="24"/>
          <w:lang w:val="es-MX" w:eastAsia="es-ES_tradnl"/>
        </w:rPr>
        <w:t>CAPACIDAD FINANCIERA – Indicadores financieros</w:t>
      </w:r>
    </w:p>
    <w:p w14:paraId="1B5467F3" w14:textId="77777777" w:rsidR="00C02EF0" w:rsidRPr="00077A34" w:rsidRDefault="00C02EF0" w:rsidP="00C02EF0">
      <w:pPr>
        <w:spacing w:after="0" w:line="276" w:lineRule="auto"/>
        <w:jc w:val="both"/>
        <w:rPr>
          <w:rFonts w:ascii="Verdana" w:eastAsia="Calibri" w:hAnsi="Verdana" w:cs="Arial"/>
          <w:b/>
          <w:color w:val="000000" w:themeColor="text1"/>
          <w:szCs w:val="24"/>
          <w:lang w:val="es-MX" w:eastAsia="es-ES_tradnl"/>
        </w:rPr>
      </w:pPr>
    </w:p>
    <w:p w14:paraId="10248D2D" w14:textId="1662C8C9" w:rsidR="00C02EF0" w:rsidRPr="00077A34" w:rsidRDefault="00C02EF0" w:rsidP="00C02EF0">
      <w:pPr>
        <w:spacing w:after="0" w:line="240" w:lineRule="auto"/>
        <w:jc w:val="both"/>
        <w:rPr>
          <w:rFonts w:ascii="Verdana" w:eastAsia="Calibri" w:hAnsi="Verdana" w:cs="Arial"/>
          <w:color w:val="000000"/>
          <w:sz w:val="20"/>
          <w:szCs w:val="20"/>
          <w:lang w:val="es-ES_tradnl" w:eastAsia="es-ES_tradnl"/>
        </w:rPr>
      </w:pPr>
      <w:r w:rsidRPr="00077A34">
        <w:rPr>
          <w:rFonts w:ascii="Verdana" w:eastAsia="Calibri" w:hAnsi="Verdana" w:cs="Arial"/>
          <w:sz w:val="20"/>
          <w:szCs w:val="20"/>
          <w:lang w:val="es-MX"/>
        </w:rPr>
        <w:t>“[…]</w:t>
      </w:r>
      <w:r w:rsidR="001F3449" w:rsidRPr="00077A34">
        <w:rPr>
          <w:rFonts w:ascii="Verdana" w:eastAsia="Calibri" w:hAnsi="Verdana" w:cs="Arial"/>
          <w:sz w:val="20"/>
          <w:szCs w:val="20"/>
          <w:lang w:val="es-MX"/>
        </w:rPr>
        <w:t xml:space="preserve"> </w:t>
      </w:r>
      <w:r w:rsidRPr="00077A34">
        <w:rPr>
          <w:rFonts w:ascii="Verdana" w:eastAsia="Calibri" w:hAnsi="Verdana" w:cs="Arial"/>
          <w:color w:val="000000"/>
          <w:sz w:val="20"/>
          <w:szCs w:val="20"/>
          <w:lang w:val="es-ES_tradnl" w:eastAsia="es-ES_tradnl"/>
        </w:rPr>
        <w:t xml:space="preserve">Según el artículo 2.2.1.1.1.5.3. del Decreto 1082 de 2015, el RUP contempla como indicadores de capacidad financiera los siguientes: i) el </w:t>
      </w:r>
      <w:r w:rsidRPr="00077A34">
        <w:rPr>
          <w:rFonts w:ascii="Verdana" w:eastAsia="Calibri" w:hAnsi="Verdana" w:cs="Arial"/>
          <w:i/>
          <w:iCs/>
          <w:color w:val="000000"/>
          <w:sz w:val="20"/>
          <w:szCs w:val="20"/>
          <w:lang w:val="es-ES_tradnl" w:eastAsia="es-ES_tradnl"/>
        </w:rPr>
        <w:t>índice de liquidez</w:t>
      </w:r>
      <w:r w:rsidRPr="00077A34">
        <w:rPr>
          <w:rFonts w:ascii="Verdana" w:eastAsia="Calibri" w:hAnsi="Verdana" w:cs="Arial"/>
          <w:color w:val="000000"/>
          <w:sz w:val="20"/>
          <w:szCs w:val="20"/>
          <w:lang w:val="es-ES_tradnl" w:eastAsia="es-ES_tradnl"/>
        </w:rPr>
        <w:t xml:space="preserve">, que corresponde a la división entre el activo corriente y el pasivo corriente, y que determina la capacidad que tiene el proponente para cumplir con sus obligaciones de corto plazo; ii) el </w:t>
      </w:r>
      <w:r w:rsidRPr="00077A34">
        <w:rPr>
          <w:rFonts w:ascii="Verdana" w:eastAsia="Calibri" w:hAnsi="Verdana" w:cs="Arial"/>
          <w:i/>
          <w:iCs/>
          <w:color w:val="000000"/>
          <w:sz w:val="20"/>
          <w:szCs w:val="20"/>
          <w:lang w:val="es-ES_tradnl" w:eastAsia="es-ES_tradnl"/>
        </w:rPr>
        <w:t>índice de endeudamiento</w:t>
      </w:r>
      <w:r w:rsidRPr="00077A34">
        <w:rPr>
          <w:rFonts w:ascii="Verdana" w:eastAsia="Calibri" w:hAnsi="Verdana" w:cs="Arial"/>
          <w:color w:val="000000"/>
          <w:sz w:val="20"/>
          <w:szCs w:val="20"/>
          <w:lang w:val="es-ES_tradnl" w:eastAsia="es-ES_tradnl"/>
        </w:rPr>
        <w:t xml:space="preserve">, que se calcula dividiendo el pasivo total por el activo total, el cual determina el grado de endeudamiento en la estructura de financiación del proponente; y iii) la </w:t>
      </w:r>
      <w:r w:rsidRPr="00077A34">
        <w:rPr>
          <w:rFonts w:ascii="Verdana" w:eastAsia="Calibri" w:hAnsi="Verdana" w:cs="Arial"/>
          <w:i/>
          <w:iCs/>
          <w:color w:val="000000"/>
          <w:sz w:val="20"/>
          <w:szCs w:val="20"/>
          <w:lang w:val="es-ES_tradnl" w:eastAsia="es-ES_tradnl"/>
        </w:rPr>
        <w:t>razón de cobertura de intereses</w:t>
      </w:r>
      <w:r w:rsidRPr="00077A34">
        <w:rPr>
          <w:rFonts w:ascii="Verdana" w:eastAsia="Calibri" w:hAnsi="Verdana" w:cs="Arial"/>
          <w:color w:val="000000"/>
          <w:sz w:val="20"/>
          <w:szCs w:val="20"/>
          <w:lang w:val="es-ES_tradnl" w:eastAsia="es-ES_tradnl"/>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077A34">
        <w:rPr>
          <w:rFonts w:ascii="Verdana" w:eastAsia="Calibri" w:hAnsi="Verdana" w:cs="Arial"/>
          <w:i/>
          <w:iCs/>
          <w:color w:val="000000"/>
          <w:sz w:val="20"/>
          <w:szCs w:val="20"/>
          <w:lang w:val="es-ES_tradnl" w:eastAsia="es-ES_tradnl"/>
        </w:rPr>
        <w:t>capital de trabajo</w:t>
      </w:r>
      <w:r w:rsidRPr="00077A34">
        <w:rPr>
          <w:rFonts w:ascii="Verdana" w:eastAsia="Calibri" w:hAnsi="Verdana" w:cs="Arial"/>
          <w:color w:val="000000"/>
          <w:sz w:val="20"/>
          <w:szCs w:val="20"/>
          <w:lang w:val="es-ES_tradnl" w:eastAsia="es-ES_tradnl"/>
        </w:rPr>
        <w:t xml:space="preserve">, la </w:t>
      </w:r>
      <w:r w:rsidRPr="00077A34">
        <w:rPr>
          <w:rFonts w:ascii="Verdana" w:eastAsia="Calibri" w:hAnsi="Verdana" w:cs="Arial"/>
          <w:i/>
          <w:iCs/>
          <w:color w:val="000000"/>
          <w:sz w:val="20"/>
          <w:szCs w:val="20"/>
          <w:lang w:val="es-ES_tradnl" w:eastAsia="es-ES_tradnl"/>
        </w:rPr>
        <w:t>razón de efectivo</w:t>
      </w:r>
      <w:r w:rsidRPr="00077A34">
        <w:rPr>
          <w:rFonts w:ascii="Verdana" w:eastAsia="Calibri" w:hAnsi="Verdana" w:cs="Arial"/>
          <w:color w:val="000000"/>
          <w:sz w:val="20"/>
          <w:szCs w:val="20"/>
          <w:lang w:val="es-ES_tradnl" w:eastAsia="es-ES_tradnl"/>
        </w:rPr>
        <w:t xml:space="preserve">, la denominada </w:t>
      </w:r>
      <w:r w:rsidRPr="00077A34">
        <w:rPr>
          <w:rFonts w:ascii="Verdana" w:eastAsia="Calibri" w:hAnsi="Verdana" w:cs="Arial"/>
          <w:i/>
          <w:iCs/>
          <w:color w:val="000000"/>
          <w:sz w:val="20"/>
          <w:szCs w:val="20"/>
          <w:lang w:val="es-ES_tradnl" w:eastAsia="es-ES_tradnl"/>
        </w:rPr>
        <w:t>prueba ácida</w:t>
      </w:r>
      <w:r w:rsidRPr="00077A34">
        <w:rPr>
          <w:rFonts w:ascii="Verdana" w:eastAsia="Calibri" w:hAnsi="Verdana" w:cs="Arial"/>
          <w:color w:val="000000"/>
          <w:sz w:val="20"/>
          <w:szCs w:val="20"/>
          <w:lang w:val="es-ES_tradnl" w:eastAsia="es-ES_tradnl"/>
        </w:rPr>
        <w:t xml:space="preserve">, la </w:t>
      </w:r>
      <w:r w:rsidRPr="00077A34">
        <w:rPr>
          <w:rFonts w:ascii="Verdana" w:eastAsia="Calibri" w:hAnsi="Verdana" w:cs="Arial"/>
          <w:i/>
          <w:iCs/>
          <w:color w:val="000000"/>
          <w:sz w:val="20"/>
          <w:szCs w:val="20"/>
          <w:lang w:val="es-ES_tradnl" w:eastAsia="es-ES_tradnl"/>
        </w:rPr>
        <w:t xml:space="preserve">concentración de endeudamiento a corto </w:t>
      </w:r>
      <w:r w:rsidRPr="00077A34">
        <w:rPr>
          <w:rFonts w:ascii="Verdana" w:eastAsia="Calibri" w:hAnsi="Verdana" w:cs="Arial"/>
          <w:color w:val="000000"/>
          <w:sz w:val="20"/>
          <w:szCs w:val="20"/>
          <w:lang w:val="es-ES_tradnl" w:eastAsia="es-ES_tradnl"/>
        </w:rPr>
        <w:t>y</w:t>
      </w:r>
      <w:r w:rsidRPr="00077A34">
        <w:rPr>
          <w:rFonts w:ascii="Verdana" w:eastAsia="Calibri" w:hAnsi="Verdana" w:cs="Arial"/>
          <w:i/>
          <w:iCs/>
          <w:color w:val="000000"/>
          <w:sz w:val="20"/>
          <w:szCs w:val="20"/>
          <w:lang w:val="es-ES_tradnl" w:eastAsia="es-ES_tradnl"/>
        </w:rPr>
        <w:t xml:space="preserve"> a largo plazo</w:t>
      </w:r>
      <w:r w:rsidRPr="00077A34">
        <w:rPr>
          <w:rFonts w:ascii="Verdana" w:eastAsia="Calibri" w:hAnsi="Verdana" w:cs="Arial"/>
          <w:color w:val="000000"/>
          <w:sz w:val="20"/>
          <w:szCs w:val="20"/>
          <w:lang w:val="es-ES_tradnl" w:eastAsia="es-ES_tradnl"/>
        </w:rPr>
        <w:t xml:space="preserve"> y el </w:t>
      </w:r>
      <w:r w:rsidRPr="00077A34">
        <w:rPr>
          <w:rFonts w:ascii="Verdana" w:eastAsia="Calibri" w:hAnsi="Verdana" w:cs="Arial"/>
          <w:i/>
          <w:iCs/>
          <w:color w:val="000000"/>
          <w:sz w:val="20"/>
          <w:szCs w:val="20"/>
          <w:lang w:val="es-ES_tradnl" w:eastAsia="es-ES_tradnl"/>
        </w:rPr>
        <w:t>patrimonio</w:t>
      </w:r>
      <w:r w:rsidRPr="00077A34">
        <w:rPr>
          <w:rFonts w:ascii="Verdana" w:eastAsia="Calibri" w:hAnsi="Verdana" w:cs="Arial"/>
          <w:color w:val="000000"/>
          <w:sz w:val="20"/>
          <w:szCs w:val="20"/>
          <w:lang w:val="es-ES_tradnl" w:eastAsia="es-ES_tradnl"/>
        </w:rPr>
        <w:t>.</w:t>
      </w:r>
    </w:p>
    <w:p w14:paraId="6548BE27" w14:textId="77777777" w:rsidR="00C02EF0" w:rsidRPr="00077A34" w:rsidRDefault="00C02EF0" w:rsidP="00C02EF0">
      <w:pPr>
        <w:spacing w:after="0" w:line="240" w:lineRule="auto"/>
        <w:jc w:val="both"/>
        <w:rPr>
          <w:rFonts w:ascii="Verdana" w:eastAsia="Calibri" w:hAnsi="Verdana" w:cs="Arial"/>
          <w:color w:val="000000"/>
          <w:sz w:val="20"/>
          <w:szCs w:val="20"/>
          <w:lang w:val="es-ES_tradnl" w:eastAsia="es-ES_tradnl"/>
        </w:rPr>
      </w:pPr>
    </w:p>
    <w:p w14:paraId="32B3D0F6" w14:textId="123300DF" w:rsidR="00C02EF0" w:rsidRPr="00077A34" w:rsidRDefault="00C02EF0" w:rsidP="00C02EF0">
      <w:pPr>
        <w:spacing w:after="0" w:line="240" w:lineRule="auto"/>
        <w:jc w:val="both"/>
        <w:rPr>
          <w:rFonts w:ascii="Verdana" w:eastAsia="Calibri" w:hAnsi="Verdana" w:cs="Arial"/>
          <w:color w:val="000000"/>
          <w:sz w:val="20"/>
          <w:szCs w:val="20"/>
          <w:lang w:val="es-ES_tradnl" w:eastAsia="es-ES_tradnl"/>
        </w:rPr>
      </w:pPr>
      <w:r w:rsidRPr="00077A34">
        <w:rPr>
          <w:rFonts w:ascii="Verdana" w:eastAsia="Calibri" w:hAnsi="Verdana" w:cs="Arial"/>
          <w:color w:val="000000" w:themeColor="text1"/>
          <w:sz w:val="20"/>
          <w:szCs w:val="20"/>
          <w:lang w:val="es-ES_tradnl" w:eastAsia="es-ES_tradnl"/>
        </w:rPr>
        <w:t xml:space="preserve">De igual forma, es importante tener en cuenta que el numeral 3 del artículo 2.2.1.1.1.5.3. del Decreto 1082 de 2015 se refiere a los aspectos de la capacidad </w:t>
      </w:r>
      <w:r w:rsidRPr="00077A34">
        <w:rPr>
          <w:rFonts w:ascii="Verdana" w:eastAsia="Calibri" w:hAnsi="Verdana" w:cs="Arial"/>
          <w:color w:val="000000" w:themeColor="text1"/>
          <w:sz w:val="20"/>
          <w:szCs w:val="20"/>
          <w:lang w:val="es-ES_tradnl" w:eastAsia="es-ES_tradnl"/>
        </w:rPr>
        <w:lastRenderedPageBreak/>
        <w:t>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r w:rsidRPr="00077A34">
        <w:rPr>
          <w:rFonts w:ascii="Verdana" w:eastAsia="Calibri" w:hAnsi="Verdana" w:cs="Arial"/>
          <w:sz w:val="20"/>
          <w:szCs w:val="20"/>
          <w:lang w:val="es-MX"/>
        </w:rPr>
        <w:t xml:space="preserve"> […]”</w:t>
      </w:r>
    </w:p>
    <w:p w14:paraId="586F6458" w14:textId="77777777" w:rsidR="00C02EF0" w:rsidRPr="00077A34" w:rsidRDefault="00C02EF0" w:rsidP="00E51A98">
      <w:pPr>
        <w:spacing w:after="0" w:line="240" w:lineRule="auto"/>
        <w:jc w:val="both"/>
        <w:rPr>
          <w:rFonts w:ascii="Verdana" w:eastAsia="Calibri" w:hAnsi="Verdana" w:cs="Arial"/>
          <w:sz w:val="20"/>
          <w:szCs w:val="20"/>
          <w:lang w:val="es-ES_tradnl"/>
        </w:rPr>
      </w:pPr>
    </w:p>
    <w:p w14:paraId="4942D76C" w14:textId="77777777" w:rsidR="00E51A98" w:rsidRPr="00077A34" w:rsidRDefault="00E51A98" w:rsidP="00E245AB">
      <w:pPr>
        <w:spacing w:after="0"/>
        <w:rPr>
          <w:rFonts w:ascii="Verdana" w:hAnsi="Verdana"/>
          <w:lang w:val="es-MX"/>
        </w:rPr>
      </w:pPr>
    </w:p>
    <w:p w14:paraId="10670DD5" w14:textId="77777777" w:rsidR="00C02EF0" w:rsidRPr="00077A34" w:rsidRDefault="00C02EF0" w:rsidP="00E245AB">
      <w:pPr>
        <w:spacing w:after="0"/>
        <w:rPr>
          <w:rFonts w:ascii="Verdana" w:hAnsi="Verdana"/>
          <w:lang w:val="es-MX"/>
        </w:rPr>
      </w:pPr>
    </w:p>
    <w:p w14:paraId="460533F1" w14:textId="77777777" w:rsidR="00C02EF0" w:rsidRPr="00077A34" w:rsidRDefault="00C02EF0" w:rsidP="00E245AB">
      <w:pPr>
        <w:spacing w:after="0"/>
        <w:rPr>
          <w:rFonts w:ascii="Verdana" w:hAnsi="Verdana"/>
          <w:lang w:val="es-MX"/>
        </w:rPr>
      </w:pPr>
    </w:p>
    <w:p w14:paraId="1D7F7D2F" w14:textId="77777777" w:rsidR="00C02EF0" w:rsidRPr="00077A34" w:rsidRDefault="00C02EF0" w:rsidP="00E245AB">
      <w:pPr>
        <w:spacing w:after="0"/>
        <w:rPr>
          <w:rFonts w:ascii="Verdana" w:hAnsi="Verdana"/>
          <w:lang w:val="es-MX"/>
        </w:rPr>
      </w:pPr>
    </w:p>
    <w:p w14:paraId="6E6D9528" w14:textId="77777777" w:rsidR="00C02EF0" w:rsidRPr="00077A34" w:rsidRDefault="00C02EF0" w:rsidP="00E245AB">
      <w:pPr>
        <w:spacing w:after="0"/>
        <w:rPr>
          <w:rFonts w:ascii="Verdana" w:hAnsi="Verdana"/>
          <w:lang w:val="es-MX"/>
        </w:rPr>
      </w:pPr>
    </w:p>
    <w:p w14:paraId="03EBD93B" w14:textId="77777777" w:rsidR="00C02EF0" w:rsidRPr="00077A34" w:rsidRDefault="00C02EF0" w:rsidP="00E245AB">
      <w:pPr>
        <w:spacing w:after="0"/>
        <w:rPr>
          <w:rFonts w:ascii="Verdana" w:hAnsi="Verdana"/>
          <w:lang w:val="es-MX"/>
        </w:rPr>
      </w:pPr>
    </w:p>
    <w:p w14:paraId="3D4351F1" w14:textId="77777777" w:rsidR="00C02EF0" w:rsidRPr="00077A34" w:rsidRDefault="00C02EF0" w:rsidP="00E245AB">
      <w:pPr>
        <w:spacing w:after="0"/>
        <w:rPr>
          <w:rFonts w:ascii="Verdana" w:hAnsi="Verdana"/>
          <w:lang w:val="es-MX"/>
        </w:rPr>
      </w:pPr>
    </w:p>
    <w:p w14:paraId="791805F3" w14:textId="77777777" w:rsidR="00C02EF0" w:rsidRPr="00077A34" w:rsidRDefault="00C02EF0" w:rsidP="00E245AB">
      <w:pPr>
        <w:spacing w:after="0"/>
        <w:rPr>
          <w:rFonts w:ascii="Verdana" w:hAnsi="Verdana"/>
          <w:lang w:val="es-MX"/>
        </w:rPr>
      </w:pPr>
    </w:p>
    <w:p w14:paraId="5B813942" w14:textId="77777777" w:rsidR="00C02EF0" w:rsidRPr="00077A34" w:rsidRDefault="00C02EF0" w:rsidP="00E245AB">
      <w:pPr>
        <w:spacing w:after="0"/>
        <w:rPr>
          <w:rFonts w:ascii="Verdana" w:hAnsi="Verdana"/>
          <w:lang w:val="es-MX"/>
        </w:rPr>
      </w:pPr>
    </w:p>
    <w:p w14:paraId="1AF3177C" w14:textId="77777777" w:rsidR="00C02EF0" w:rsidRPr="00077A34" w:rsidRDefault="00C02EF0" w:rsidP="00E245AB">
      <w:pPr>
        <w:spacing w:after="0"/>
        <w:rPr>
          <w:rFonts w:ascii="Verdana" w:hAnsi="Verdana"/>
          <w:lang w:val="es-MX"/>
        </w:rPr>
      </w:pPr>
    </w:p>
    <w:p w14:paraId="6795545A" w14:textId="77777777" w:rsidR="00C02EF0" w:rsidRPr="00077A34" w:rsidRDefault="00C02EF0" w:rsidP="00E245AB">
      <w:pPr>
        <w:spacing w:after="0"/>
        <w:rPr>
          <w:rFonts w:ascii="Verdana" w:hAnsi="Verdana"/>
          <w:lang w:val="es-MX"/>
        </w:rPr>
      </w:pPr>
    </w:p>
    <w:p w14:paraId="211D4D5E" w14:textId="77777777" w:rsidR="00C02EF0" w:rsidRPr="00077A34" w:rsidRDefault="00C02EF0" w:rsidP="00E245AB">
      <w:pPr>
        <w:spacing w:after="0"/>
        <w:rPr>
          <w:rFonts w:ascii="Verdana" w:hAnsi="Verdana"/>
          <w:lang w:val="es-MX"/>
        </w:rPr>
      </w:pPr>
    </w:p>
    <w:p w14:paraId="0502E99C" w14:textId="77777777" w:rsidR="00C02EF0" w:rsidRPr="00077A34" w:rsidRDefault="00C02EF0" w:rsidP="00E245AB">
      <w:pPr>
        <w:spacing w:after="0"/>
        <w:rPr>
          <w:rFonts w:ascii="Verdana" w:hAnsi="Verdana"/>
          <w:lang w:val="es-MX"/>
        </w:rPr>
      </w:pPr>
    </w:p>
    <w:p w14:paraId="3BFB54EE" w14:textId="77777777" w:rsidR="00C02EF0" w:rsidRPr="00077A34" w:rsidRDefault="00C02EF0" w:rsidP="00E245AB">
      <w:pPr>
        <w:spacing w:after="0"/>
        <w:rPr>
          <w:rFonts w:ascii="Verdana" w:hAnsi="Verdana"/>
          <w:lang w:val="es-MX"/>
        </w:rPr>
      </w:pPr>
    </w:p>
    <w:p w14:paraId="7E7B9CBB" w14:textId="77777777" w:rsidR="00C02EF0" w:rsidRPr="00077A34" w:rsidRDefault="00C02EF0" w:rsidP="00E245AB">
      <w:pPr>
        <w:spacing w:after="0"/>
        <w:rPr>
          <w:rFonts w:ascii="Verdana" w:hAnsi="Verdana"/>
          <w:lang w:val="es-MX"/>
        </w:rPr>
      </w:pPr>
    </w:p>
    <w:p w14:paraId="0419C5D9" w14:textId="77777777" w:rsidR="00C02EF0" w:rsidRPr="00077A34" w:rsidRDefault="00C02EF0" w:rsidP="00E245AB">
      <w:pPr>
        <w:spacing w:after="0"/>
        <w:rPr>
          <w:rFonts w:ascii="Verdana" w:hAnsi="Verdana"/>
          <w:lang w:val="es-MX"/>
        </w:rPr>
      </w:pPr>
    </w:p>
    <w:p w14:paraId="6857E654" w14:textId="77777777" w:rsidR="00C02EF0" w:rsidRPr="00077A34" w:rsidRDefault="00C02EF0" w:rsidP="00E245AB">
      <w:pPr>
        <w:spacing w:after="0"/>
        <w:rPr>
          <w:rFonts w:ascii="Verdana" w:hAnsi="Verdana"/>
          <w:lang w:val="es-MX"/>
        </w:rPr>
      </w:pPr>
    </w:p>
    <w:p w14:paraId="29F14AE2" w14:textId="77777777" w:rsidR="00C02EF0" w:rsidRPr="00077A34" w:rsidRDefault="00C02EF0" w:rsidP="00E245AB">
      <w:pPr>
        <w:spacing w:after="0"/>
        <w:rPr>
          <w:rFonts w:ascii="Verdana" w:hAnsi="Verdana"/>
          <w:lang w:val="es-MX"/>
        </w:rPr>
      </w:pPr>
    </w:p>
    <w:p w14:paraId="2E0D3667" w14:textId="77777777" w:rsidR="00C02EF0" w:rsidRPr="00077A34" w:rsidRDefault="00C02EF0" w:rsidP="00E245AB">
      <w:pPr>
        <w:spacing w:after="0"/>
        <w:rPr>
          <w:rFonts w:ascii="Verdana" w:hAnsi="Verdana"/>
          <w:lang w:val="es-MX"/>
        </w:rPr>
      </w:pPr>
    </w:p>
    <w:p w14:paraId="5887F6A2" w14:textId="77777777" w:rsidR="00C02EF0" w:rsidRPr="00077A34" w:rsidRDefault="00C02EF0" w:rsidP="00E245AB">
      <w:pPr>
        <w:spacing w:after="0"/>
        <w:rPr>
          <w:rFonts w:ascii="Verdana" w:hAnsi="Verdana"/>
          <w:lang w:val="es-MX"/>
        </w:rPr>
      </w:pPr>
    </w:p>
    <w:p w14:paraId="69320D6B" w14:textId="77777777" w:rsidR="00C02EF0" w:rsidRPr="00077A34" w:rsidRDefault="00C02EF0" w:rsidP="00E245AB">
      <w:pPr>
        <w:spacing w:after="0"/>
        <w:rPr>
          <w:rFonts w:ascii="Verdana" w:hAnsi="Verdana"/>
          <w:lang w:val="es-MX"/>
        </w:rPr>
      </w:pPr>
    </w:p>
    <w:p w14:paraId="7E7BD6C0" w14:textId="77777777" w:rsidR="00C02EF0" w:rsidRPr="00077A34" w:rsidRDefault="00C02EF0" w:rsidP="00E245AB">
      <w:pPr>
        <w:spacing w:after="0"/>
        <w:rPr>
          <w:rFonts w:ascii="Verdana" w:hAnsi="Verdana"/>
          <w:lang w:val="es-MX"/>
        </w:rPr>
      </w:pPr>
    </w:p>
    <w:p w14:paraId="10EC4F60" w14:textId="77777777" w:rsidR="00C02EF0" w:rsidRPr="00077A34" w:rsidRDefault="00C02EF0" w:rsidP="00E245AB">
      <w:pPr>
        <w:spacing w:after="0"/>
        <w:rPr>
          <w:rFonts w:ascii="Verdana" w:hAnsi="Verdana"/>
          <w:lang w:val="es-MX"/>
        </w:rPr>
      </w:pPr>
    </w:p>
    <w:p w14:paraId="2C9076A9" w14:textId="77777777" w:rsidR="00C02EF0" w:rsidRPr="00077A34" w:rsidRDefault="00C02EF0" w:rsidP="00E245AB">
      <w:pPr>
        <w:spacing w:after="0"/>
        <w:rPr>
          <w:rFonts w:ascii="Verdana" w:hAnsi="Verdana"/>
          <w:lang w:val="es-MX"/>
        </w:rPr>
      </w:pPr>
    </w:p>
    <w:p w14:paraId="4C3C075F" w14:textId="77777777" w:rsidR="00C02EF0" w:rsidRPr="00077A34" w:rsidRDefault="00C02EF0" w:rsidP="00E245AB">
      <w:pPr>
        <w:spacing w:after="0"/>
        <w:rPr>
          <w:rFonts w:ascii="Verdana" w:hAnsi="Verdana"/>
          <w:lang w:val="es-MX"/>
        </w:rPr>
      </w:pPr>
    </w:p>
    <w:p w14:paraId="5FF77A8E" w14:textId="77777777" w:rsidR="00C02EF0" w:rsidRPr="00077A34" w:rsidRDefault="00C02EF0" w:rsidP="00E245AB">
      <w:pPr>
        <w:spacing w:after="0"/>
        <w:rPr>
          <w:rFonts w:ascii="Verdana" w:hAnsi="Verdana"/>
          <w:lang w:val="es-MX"/>
        </w:rPr>
      </w:pPr>
    </w:p>
    <w:p w14:paraId="1BEC6CB8" w14:textId="77777777" w:rsidR="00C02EF0" w:rsidRPr="00077A34" w:rsidRDefault="00C02EF0" w:rsidP="00E245AB">
      <w:pPr>
        <w:spacing w:after="0"/>
        <w:rPr>
          <w:rFonts w:ascii="Verdana" w:hAnsi="Verdana"/>
          <w:lang w:val="es-MX"/>
        </w:rPr>
      </w:pPr>
    </w:p>
    <w:p w14:paraId="0380672B" w14:textId="77777777" w:rsidR="00C02EF0" w:rsidRPr="00077A34" w:rsidRDefault="00C02EF0" w:rsidP="00E245AB">
      <w:pPr>
        <w:spacing w:after="0"/>
        <w:rPr>
          <w:rFonts w:ascii="Verdana" w:hAnsi="Verdana"/>
          <w:lang w:val="es-MX"/>
        </w:rPr>
      </w:pPr>
    </w:p>
    <w:p w14:paraId="2AACFFCB" w14:textId="77777777" w:rsidR="00C02EF0" w:rsidRPr="00077A34" w:rsidRDefault="00C02EF0" w:rsidP="00E245AB">
      <w:pPr>
        <w:spacing w:after="0"/>
        <w:rPr>
          <w:rFonts w:ascii="Verdana" w:hAnsi="Verdana"/>
          <w:lang w:val="es-MX"/>
        </w:rPr>
      </w:pPr>
    </w:p>
    <w:p w14:paraId="0E5AF9B8" w14:textId="77777777" w:rsidR="00E51A98" w:rsidRPr="00077A34" w:rsidRDefault="00E51A98" w:rsidP="00E245AB">
      <w:pPr>
        <w:spacing w:after="0"/>
        <w:rPr>
          <w:rFonts w:ascii="Verdana" w:hAnsi="Verdana"/>
        </w:rPr>
      </w:pPr>
    </w:p>
    <w:p w14:paraId="3FE2184B" w14:textId="1C428C7C" w:rsidR="00E245AB" w:rsidRPr="00077A34" w:rsidRDefault="00E245AB" w:rsidP="00E245AB">
      <w:pPr>
        <w:spacing w:after="0"/>
        <w:rPr>
          <w:rFonts w:ascii="Verdana" w:hAnsi="Verdana"/>
        </w:rPr>
      </w:pPr>
      <w:r w:rsidRPr="00077A34">
        <w:rPr>
          <w:rFonts w:ascii="Verdana" w:hAnsi="Verdana"/>
        </w:rPr>
        <w:lastRenderedPageBreak/>
        <w:t xml:space="preserve">Bogotá D.C., </w:t>
      </w:r>
      <w:r w:rsidR="001679F6">
        <w:rPr>
          <w:rFonts w:ascii="Verdana" w:hAnsi="Verdana"/>
        </w:rPr>
        <w:t>05 de marzo del 2025</w:t>
      </w:r>
      <w:r w:rsidR="00891928" w:rsidRPr="00077A34">
        <w:rPr>
          <w:rFonts w:ascii="Verdana" w:hAnsi="Verdana"/>
        </w:rPr>
        <w:tab/>
      </w:r>
    </w:p>
    <w:p w14:paraId="5FCADBF9" w14:textId="77777777" w:rsidR="00E245AB" w:rsidRPr="00077A34" w:rsidRDefault="00E245AB" w:rsidP="00E245AB">
      <w:pPr>
        <w:spacing w:after="0"/>
        <w:rPr>
          <w:rFonts w:ascii="Verdana" w:hAnsi="Verdana"/>
        </w:rPr>
      </w:pPr>
    </w:p>
    <w:p w14:paraId="0465BA6D" w14:textId="7B0DB2ED" w:rsidR="00E245AB" w:rsidRPr="00077A34" w:rsidRDefault="001679F6" w:rsidP="001679F6">
      <w:pPr>
        <w:spacing w:after="0"/>
        <w:jc w:val="right"/>
        <w:rPr>
          <w:rFonts w:ascii="Verdana" w:hAnsi="Verdana"/>
        </w:rPr>
      </w:pPr>
      <w:r w:rsidRPr="001679F6">
        <w:rPr>
          <w:rFonts w:ascii="Verdana" w:hAnsi="Verdana"/>
        </w:rPr>
        <w:drawing>
          <wp:inline distT="0" distB="0" distL="0" distR="0" wp14:anchorId="57961EA4" wp14:editId="0B174CFD">
            <wp:extent cx="3190875" cy="962025"/>
            <wp:effectExtent l="0" t="0" r="9525" b="9525"/>
            <wp:docPr id="770697212"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97212" name="Imagen 1" descr="Interfaz de usuario gráfica, Texto&#10;&#10;El contenido generado por IA puede ser incorrecto."/>
                    <pic:cNvPicPr/>
                  </pic:nvPicPr>
                  <pic:blipFill>
                    <a:blip r:embed="rId11"/>
                    <a:stretch>
                      <a:fillRect/>
                    </a:stretch>
                  </pic:blipFill>
                  <pic:spPr>
                    <a:xfrm>
                      <a:off x="0" y="0"/>
                      <a:ext cx="3190875" cy="962025"/>
                    </a:xfrm>
                    <a:prstGeom prst="rect">
                      <a:avLst/>
                    </a:prstGeom>
                  </pic:spPr>
                </pic:pic>
              </a:graphicData>
            </a:graphic>
          </wp:inline>
        </w:drawing>
      </w:r>
    </w:p>
    <w:p w14:paraId="6658F324" w14:textId="77777777" w:rsidR="00D61565" w:rsidRPr="00077A34" w:rsidRDefault="00D61565" w:rsidP="00D61565">
      <w:pPr>
        <w:spacing w:after="0" w:line="240" w:lineRule="auto"/>
        <w:jc w:val="both"/>
        <w:rPr>
          <w:rFonts w:ascii="Verdana" w:eastAsia="Calibri" w:hAnsi="Verdana" w:cs="Arial"/>
          <w:lang w:val="es-ES" w:eastAsia="es-ES"/>
        </w:rPr>
      </w:pPr>
      <w:r w:rsidRPr="00077A34">
        <w:rPr>
          <w:rFonts w:ascii="Verdana" w:eastAsia="Calibri" w:hAnsi="Verdana" w:cs="Arial"/>
          <w:lang w:val="es-ES" w:eastAsia="es-ES"/>
        </w:rPr>
        <w:t>Señor</w:t>
      </w:r>
    </w:p>
    <w:p w14:paraId="7D749BDE" w14:textId="761E10F6" w:rsidR="00D61565" w:rsidRPr="00077A34" w:rsidRDefault="00037BF1" w:rsidP="00D61565">
      <w:pPr>
        <w:spacing w:after="0" w:line="240" w:lineRule="auto"/>
        <w:rPr>
          <w:rFonts w:ascii="Verdana" w:eastAsia="Calibri" w:hAnsi="Verdana" w:cs="Arial"/>
          <w:b/>
          <w:lang w:val="es-ES" w:eastAsia="es-ES"/>
        </w:rPr>
      </w:pPr>
      <w:r w:rsidRPr="00077A34">
        <w:rPr>
          <w:rFonts w:ascii="Verdana" w:eastAsia="Calibri" w:hAnsi="Verdana" w:cs="Arial"/>
          <w:b/>
          <w:lang w:val="es-ES" w:eastAsia="es-ES"/>
        </w:rPr>
        <w:t xml:space="preserve">Anónimo </w:t>
      </w:r>
    </w:p>
    <w:p w14:paraId="13448977" w14:textId="6A42AF6F" w:rsidR="00B96CD6" w:rsidRPr="00077A34" w:rsidRDefault="00B96CD6" w:rsidP="00D61565">
      <w:pPr>
        <w:spacing w:after="0" w:line="240" w:lineRule="auto"/>
        <w:rPr>
          <w:rFonts w:ascii="Verdana" w:hAnsi="Verdana"/>
        </w:rPr>
      </w:pPr>
      <w:hyperlink r:id="rId12" w:history="1">
        <w:r w:rsidRPr="00077A34">
          <w:rPr>
            <w:rStyle w:val="Hipervnculo"/>
            <w:rFonts w:ascii="Verdana" w:hAnsi="Verdana"/>
          </w:rPr>
          <w:t>dimitriausake28@gmail.com</w:t>
        </w:r>
      </w:hyperlink>
    </w:p>
    <w:p w14:paraId="151C636D" w14:textId="70DE17D0" w:rsidR="00D61565" w:rsidRPr="00077A34" w:rsidRDefault="00D61565" w:rsidP="00D61565">
      <w:pPr>
        <w:spacing w:after="0" w:line="240" w:lineRule="auto"/>
        <w:rPr>
          <w:rFonts w:ascii="Verdana" w:hAnsi="Verdana" w:cs="Arial"/>
        </w:rPr>
      </w:pPr>
      <w:r w:rsidRPr="00077A34">
        <w:rPr>
          <w:rFonts w:ascii="Verdana" w:hAnsi="Verdana" w:cs="Arial"/>
        </w:rPr>
        <w:t>Bogotá D.C.</w:t>
      </w:r>
    </w:p>
    <w:p w14:paraId="7D1F1C8B" w14:textId="77777777" w:rsidR="00D61565" w:rsidRPr="00077A34" w:rsidRDefault="00D61565" w:rsidP="00D61565">
      <w:pPr>
        <w:spacing w:after="0" w:line="240" w:lineRule="auto"/>
        <w:rPr>
          <w:rFonts w:ascii="Verdana" w:eastAsia="Calibri" w:hAnsi="Verdana" w:cs="Arial"/>
          <w:b/>
          <w:bCs/>
          <w:highlight w:val="cyan"/>
          <w:lang w:val="es-ES_tradnl" w:eastAsia="es-ES_tradnl"/>
        </w:rPr>
      </w:pPr>
    </w:p>
    <w:p w14:paraId="2D96F96F" w14:textId="77777777" w:rsidR="00D61565" w:rsidRPr="00077A34" w:rsidRDefault="00D61565" w:rsidP="00D61565">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D61565" w:rsidRPr="00077A34" w14:paraId="46D78736" w14:textId="77777777" w:rsidTr="00D8669F">
        <w:trPr>
          <w:trHeight w:val="747"/>
        </w:trPr>
        <w:tc>
          <w:tcPr>
            <w:tcW w:w="2160" w:type="dxa"/>
          </w:tcPr>
          <w:p w14:paraId="13EBD166" w14:textId="77777777" w:rsidR="00D61565" w:rsidRPr="00077A34" w:rsidRDefault="00D61565" w:rsidP="00D8669F">
            <w:pPr>
              <w:jc w:val="both"/>
              <w:rPr>
                <w:rFonts w:ascii="Verdana" w:eastAsia="Calibri" w:hAnsi="Verdana" w:cs="Arial"/>
                <w:b/>
                <w:bCs/>
                <w:highlight w:val="cyan"/>
                <w:lang w:val="es-ES_tradnl" w:eastAsia="es-ES_tradnl"/>
              </w:rPr>
            </w:pPr>
          </w:p>
        </w:tc>
        <w:tc>
          <w:tcPr>
            <w:tcW w:w="6629" w:type="dxa"/>
          </w:tcPr>
          <w:p w14:paraId="58CCE0C3" w14:textId="357A7DBE" w:rsidR="00D61565" w:rsidRPr="00077A34" w:rsidRDefault="00D61565" w:rsidP="00D8669F">
            <w:pPr>
              <w:jc w:val="both"/>
              <w:rPr>
                <w:rFonts w:ascii="Verdana" w:eastAsia="Calibri" w:hAnsi="Verdana" w:cs="Arial"/>
                <w:b/>
                <w:bCs/>
                <w:lang w:eastAsia="es-ES"/>
              </w:rPr>
            </w:pPr>
            <w:r w:rsidRPr="00077A34">
              <w:rPr>
                <w:rFonts w:ascii="Verdana" w:eastAsia="Calibri" w:hAnsi="Verdana" w:cs="Arial"/>
                <w:b/>
                <w:bCs/>
                <w:lang w:val="es-ES" w:eastAsia="es-ES"/>
              </w:rPr>
              <w:t xml:space="preserve">Concepto </w:t>
            </w:r>
            <w:r w:rsidR="00775EA0" w:rsidRPr="00077A34">
              <w:rPr>
                <w:rFonts w:ascii="Verdana" w:eastAsia="Calibri" w:hAnsi="Verdana" w:cs="Arial"/>
                <w:b/>
                <w:bCs/>
                <w:lang w:eastAsia="es-ES"/>
              </w:rPr>
              <w:t xml:space="preserve">C-097 </w:t>
            </w:r>
            <w:r w:rsidRPr="00077A34">
              <w:rPr>
                <w:rFonts w:ascii="Verdana" w:eastAsia="Calibri" w:hAnsi="Verdana" w:cs="Arial"/>
                <w:b/>
                <w:bCs/>
                <w:lang w:val="es-ES" w:eastAsia="es-ES"/>
              </w:rPr>
              <w:t>de 2025</w:t>
            </w:r>
          </w:p>
        </w:tc>
      </w:tr>
      <w:tr w:rsidR="00D61565" w:rsidRPr="00077A34" w14:paraId="3F12408F" w14:textId="77777777" w:rsidTr="00D8669F">
        <w:trPr>
          <w:trHeight w:val="884"/>
        </w:trPr>
        <w:tc>
          <w:tcPr>
            <w:tcW w:w="2160" w:type="dxa"/>
            <w:shd w:val="clear" w:color="auto" w:fill="auto"/>
          </w:tcPr>
          <w:p w14:paraId="556AEB72" w14:textId="77777777" w:rsidR="00D61565" w:rsidRPr="00077A34" w:rsidRDefault="00D61565" w:rsidP="00D8669F">
            <w:pPr>
              <w:jc w:val="both"/>
              <w:rPr>
                <w:rFonts w:ascii="Verdana" w:eastAsia="Calibri" w:hAnsi="Verdana" w:cs="Arial"/>
                <w:b/>
                <w:highlight w:val="cyan"/>
                <w:lang w:val="es-ES_tradnl" w:eastAsia="es-ES_tradnl"/>
              </w:rPr>
            </w:pPr>
            <w:r w:rsidRPr="00077A34">
              <w:rPr>
                <w:rFonts w:ascii="Verdana" w:eastAsia="Calibri" w:hAnsi="Verdana" w:cs="Arial"/>
                <w:b/>
                <w:lang w:val="es-ES_tradnl" w:eastAsia="es-ES_tradnl"/>
              </w:rPr>
              <w:t xml:space="preserve">Temas:                   </w:t>
            </w:r>
          </w:p>
        </w:tc>
        <w:tc>
          <w:tcPr>
            <w:tcW w:w="6629" w:type="dxa"/>
            <w:shd w:val="clear" w:color="auto" w:fill="auto"/>
          </w:tcPr>
          <w:p w14:paraId="01D76389" w14:textId="0213B2B8" w:rsidR="00D61565" w:rsidRPr="00077A34" w:rsidRDefault="00320DCF" w:rsidP="00D8669F">
            <w:pPr>
              <w:spacing w:after="120" w:line="276" w:lineRule="auto"/>
              <w:jc w:val="both"/>
              <w:rPr>
                <w:rFonts w:ascii="Verdana" w:hAnsi="Verdana" w:cs="Arial"/>
                <w:highlight w:val="cyan"/>
                <w:lang w:val="es-MX"/>
              </w:rPr>
            </w:pPr>
            <w:r w:rsidRPr="00077A34">
              <w:rPr>
                <w:rFonts w:ascii="Verdana" w:eastAsia="Calibri" w:hAnsi="Verdana" w:cs="Arial"/>
                <w:lang w:val="es-ES" w:eastAsia="es-ES"/>
              </w:rPr>
              <w:t xml:space="preserve">REQUISITOS HABILITANTES – Capacidad financiera – Autonomía / </w:t>
            </w:r>
            <w:r w:rsidR="00C02EF0" w:rsidRPr="00077A34">
              <w:rPr>
                <w:rFonts w:ascii="Verdana" w:eastAsia="Calibri" w:hAnsi="Verdana" w:cs="Arial"/>
                <w:lang w:val="es-ES" w:eastAsia="es-ES"/>
              </w:rPr>
              <w:t>CAPACIDAD FINANCIERA – Indicadores financieros</w:t>
            </w:r>
          </w:p>
        </w:tc>
      </w:tr>
      <w:tr w:rsidR="00D61565" w:rsidRPr="00077A34" w14:paraId="2018BDDC" w14:textId="77777777" w:rsidTr="00D8669F">
        <w:trPr>
          <w:trHeight w:val="368"/>
        </w:trPr>
        <w:tc>
          <w:tcPr>
            <w:tcW w:w="2160" w:type="dxa"/>
            <w:shd w:val="clear" w:color="auto" w:fill="auto"/>
          </w:tcPr>
          <w:p w14:paraId="3A4373DC" w14:textId="77777777" w:rsidR="00D61565" w:rsidRPr="00077A34" w:rsidRDefault="00D61565" w:rsidP="00D8669F">
            <w:pPr>
              <w:jc w:val="both"/>
              <w:rPr>
                <w:rFonts w:ascii="Verdana" w:eastAsia="Calibri" w:hAnsi="Verdana" w:cs="Arial"/>
                <w:b/>
                <w:lang w:val="es-ES_tradnl" w:eastAsia="es-ES_tradnl"/>
              </w:rPr>
            </w:pPr>
            <w:r w:rsidRPr="00077A34">
              <w:rPr>
                <w:rFonts w:ascii="Verdana" w:eastAsia="Calibri" w:hAnsi="Verdana" w:cs="Arial"/>
                <w:b/>
                <w:lang w:val="es-ES_tradnl" w:eastAsia="es-ES_tradnl"/>
              </w:rPr>
              <w:t>Radicación:</w:t>
            </w:r>
            <w:r w:rsidRPr="00077A34">
              <w:rPr>
                <w:rFonts w:ascii="Verdana" w:eastAsia="Calibri" w:hAnsi="Verdana" w:cs="Arial"/>
                <w:lang w:val="es-ES_tradnl" w:eastAsia="es-ES_tradnl"/>
              </w:rPr>
              <w:t xml:space="preserve">               </w:t>
            </w:r>
          </w:p>
        </w:tc>
        <w:tc>
          <w:tcPr>
            <w:tcW w:w="6629" w:type="dxa"/>
            <w:shd w:val="clear" w:color="auto" w:fill="auto"/>
          </w:tcPr>
          <w:p w14:paraId="48C09B75" w14:textId="7A9DED34" w:rsidR="00D61565" w:rsidRPr="00077A34" w:rsidRDefault="00D61565" w:rsidP="00D8669F">
            <w:pPr>
              <w:jc w:val="both"/>
              <w:rPr>
                <w:rFonts w:ascii="Verdana" w:eastAsia="Calibri" w:hAnsi="Verdana" w:cs="Arial"/>
                <w:lang w:eastAsia="es-ES_tradnl"/>
              </w:rPr>
            </w:pPr>
            <w:r w:rsidRPr="00077A34">
              <w:rPr>
                <w:rFonts w:ascii="Verdana" w:eastAsia="Calibri" w:hAnsi="Verdana" w:cs="Arial"/>
                <w:lang w:val="es-ES_tradnl" w:eastAsia="es-ES_tradnl"/>
              </w:rPr>
              <w:t xml:space="preserve">Respuesta a consulta con radicado No. </w:t>
            </w:r>
            <w:r w:rsidR="00CF729A" w:rsidRPr="00077A34">
              <w:rPr>
                <w:rFonts w:ascii="Verdana" w:eastAsia="Calibri" w:hAnsi="Verdana" w:cs="Arial"/>
                <w:lang w:eastAsia="es-ES_tradnl"/>
              </w:rPr>
              <w:t>P20250129000812.</w:t>
            </w:r>
          </w:p>
        </w:tc>
      </w:tr>
    </w:tbl>
    <w:p w14:paraId="7038590A" w14:textId="77777777" w:rsidR="00D61565" w:rsidRPr="00077A34" w:rsidRDefault="00D61565" w:rsidP="00D61565">
      <w:pPr>
        <w:spacing w:after="0" w:line="240" w:lineRule="auto"/>
        <w:jc w:val="both"/>
        <w:rPr>
          <w:rFonts w:ascii="Verdana" w:eastAsia="Calibri" w:hAnsi="Verdana" w:cs="Arial"/>
          <w:highlight w:val="cyan"/>
          <w:lang w:val="es-ES_tradnl" w:eastAsia="es-ES_tradnl"/>
        </w:rPr>
      </w:pPr>
    </w:p>
    <w:p w14:paraId="3CBCD6B5" w14:textId="77777777" w:rsidR="00D61565" w:rsidRPr="00077A34" w:rsidRDefault="00D61565" w:rsidP="00D61565">
      <w:pPr>
        <w:spacing w:after="0" w:line="240" w:lineRule="auto"/>
        <w:jc w:val="both"/>
        <w:rPr>
          <w:rFonts w:ascii="Verdana" w:eastAsia="Calibri" w:hAnsi="Verdana" w:cs="Arial"/>
          <w:highlight w:val="cyan"/>
          <w:lang w:val="es-ES_tradnl" w:eastAsia="es-ES_tradnl"/>
        </w:rPr>
      </w:pPr>
    </w:p>
    <w:p w14:paraId="3385C42F" w14:textId="7A7D9883" w:rsidR="00D61565" w:rsidRPr="00077A34" w:rsidRDefault="00D61565" w:rsidP="00D61565">
      <w:pPr>
        <w:spacing w:after="0" w:line="276" w:lineRule="auto"/>
        <w:jc w:val="both"/>
        <w:rPr>
          <w:rFonts w:ascii="Verdana" w:eastAsia="Calibri" w:hAnsi="Verdana" w:cs="Arial"/>
          <w:lang w:val="es-ES" w:eastAsia="es-ES"/>
        </w:rPr>
      </w:pPr>
      <w:r w:rsidRPr="00077A34">
        <w:rPr>
          <w:rFonts w:ascii="Verdana" w:eastAsia="Calibri" w:hAnsi="Verdana" w:cs="Arial"/>
          <w:lang w:val="es-ES" w:eastAsia="es-ES"/>
        </w:rPr>
        <w:t>Estimado;</w:t>
      </w:r>
    </w:p>
    <w:p w14:paraId="2DC3FE2A" w14:textId="77777777" w:rsidR="00D61565" w:rsidRPr="00077A34" w:rsidRDefault="00D61565" w:rsidP="00D61565">
      <w:pPr>
        <w:spacing w:after="0"/>
        <w:jc w:val="both"/>
        <w:rPr>
          <w:rStyle w:val="Hipervnculo"/>
          <w:rFonts w:ascii="Verdana" w:hAnsi="Verdana" w:cs="Arial"/>
          <w:highlight w:val="cyan"/>
        </w:rPr>
      </w:pPr>
    </w:p>
    <w:p w14:paraId="52FA68D9" w14:textId="298544BF" w:rsidR="00D61565" w:rsidRPr="00077A34" w:rsidRDefault="00D61565" w:rsidP="00D61565">
      <w:pPr>
        <w:spacing w:after="0" w:line="276" w:lineRule="auto"/>
        <w:jc w:val="both"/>
        <w:rPr>
          <w:rFonts w:ascii="Verdana" w:eastAsia="Calibri" w:hAnsi="Verdana" w:cs="Arial"/>
          <w:lang w:val="es-ES" w:eastAsia="es-ES"/>
        </w:rPr>
      </w:pPr>
      <w:r w:rsidRPr="00077A34">
        <w:rPr>
          <w:rFonts w:ascii="Verdana" w:eastAsia="Calibri" w:hAnsi="Verdana" w:cs="Arial"/>
          <w:lang w:val="es-ES" w:eastAsia="es-ES"/>
        </w:rPr>
        <w:t>En ejercicio de la competencia otorgada por los artículos 3, numeral 5º, y 11, numeral 8º, del Decreto Ley 4170 de 2011,</w:t>
      </w:r>
      <w:r w:rsidRPr="00077A34">
        <w:rPr>
          <w:rFonts w:ascii="Verdana" w:eastAsia="Arial MT" w:hAnsi="Verdana" w:cs="Arial"/>
          <w:lang w:val="es-ES" w:eastAsia="es-ES"/>
        </w:rPr>
        <w:t xml:space="preserve"> </w:t>
      </w:r>
      <w:r w:rsidRPr="00077A34">
        <w:rPr>
          <w:rFonts w:ascii="Verdana" w:hAnsi="Verdana" w:cs="Arial"/>
        </w:rPr>
        <w:t xml:space="preserve">así como lo establecido en el artículo 4 de la Resolución 1707 de 2018 expedida por esta Entidad, </w:t>
      </w:r>
      <w:r w:rsidRPr="00077A34">
        <w:rPr>
          <w:rFonts w:ascii="Verdana" w:eastAsia="Calibri" w:hAnsi="Verdana" w:cs="Arial"/>
          <w:lang w:val="es-ES" w:eastAsia="es-ES"/>
        </w:rPr>
        <w:t xml:space="preserve">la Agencia Nacional de Contratación Pública – Colombia Compra Eficiente– responde su solicitud, trasladada por Función Pública el </w:t>
      </w:r>
      <w:r w:rsidR="006520AF" w:rsidRPr="00077A34">
        <w:rPr>
          <w:rFonts w:ascii="Verdana" w:eastAsia="Calibri" w:hAnsi="Verdana" w:cs="Arial"/>
          <w:lang w:val="es-ES" w:eastAsia="es-ES"/>
        </w:rPr>
        <w:t>29 de enero del 2025</w:t>
      </w:r>
      <w:r w:rsidRPr="00077A34">
        <w:rPr>
          <w:rFonts w:ascii="Verdana" w:eastAsia="Calibri" w:hAnsi="Verdana" w:cs="Arial"/>
          <w:lang w:val="es-ES" w:eastAsia="es-ES"/>
        </w:rPr>
        <w:t xml:space="preserve">, en la cual manifiesta lo siguiente: </w:t>
      </w:r>
    </w:p>
    <w:p w14:paraId="6B9533A2" w14:textId="77777777" w:rsidR="00D61565" w:rsidRPr="00077A34" w:rsidRDefault="00D61565" w:rsidP="00D61565">
      <w:pPr>
        <w:spacing w:after="0" w:line="276" w:lineRule="auto"/>
        <w:jc w:val="both"/>
        <w:rPr>
          <w:rFonts w:ascii="Verdana" w:eastAsia="Calibri" w:hAnsi="Verdana" w:cs="Arial"/>
          <w:lang w:val="es-ES" w:eastAsia="es-ES"/>
        </w:rPr>
      </w:pPr>
    </w:p>
    <w:p w14:paraId="5E4816D0" w14:textId="709DF92D" w:rsidR="00A51206" w:rsidRPr="00077A34" w:rsidRDefault="00D61565" w:rsidP="00D61565">
      <w:pPr>
        <w:spacing w:after="0" w:line="240" w:lineRule="auto"/>
        <w:ind w:left="709" w:right="709"/>
        <w:jc w:val="both"/>
        <w:rPr>
          <w:rFonts w:ascii="Verdana" w:hAnsi="Verdana" w:cs="Arial"/>
          <w:sz w:val="20"/>
          <w:szCs w:val="20"/>
        </w:rPr>
      </w:pPr>
      <w:r w:rsidRPr="00077A34">
        <w:rPr>
          <w:rFonts w:ascii="Verdana" w:eastAsia="Century Gothic" w:hAnsi="Verdana" w:cs="Arial"/>
          <w:sz w:val="20"/>
          <w:szCs w:val="20"/>
        </w:rPr>
        <w:t>“[…]</w:t>
      </w:r>
      <w:r w:rsidRPr="00077A34">
        <w:rPr>
          <w:rFonts w:ascii="Verdana" w:hAnsi="Verdana" w:cs="Arial"/>
          <w:sz w:val="20"/>
          <w:szCs w:val="20"/>
        </w:rPr>
        <w:t xml:space="preserve"> </w:t>
      </w:r>
      <w:r w:rsidR="00A51206" w:rsidRPr="00077A34">
        <w:rPr>
          <w:rFonts w:ascii="Verdana" w:hAnsi="Verdana" w:cs="Arial"/>
          <w:sz w:val="20"/>
          <w:szCs w:val="20"/>
        </w:rPr>
        <w:t>1. Los indicadores financieros que la entidad estatal establece como condición mínima de requisitos habilitantes para un proceso de contratación a ofertar, se establecen anualmente, periódicamente o es de acuerdo con el objeto de la contratación?</w:t>
      </w:r>
    </w:p>
    <w:p w14:paraId="2C2AF288" w14:textId="77777777" w:rsidR="00A51206" w:rsidRPr="00077A34" w:rsidRDefault="00A51206" w:rsidP="00D61565">
      <w:pPr>
        <w:spacing w:after="0" w:line="240" w:lineRule="auto"/>
        <w:ind w:left="709" w:right="709"/>
        <w:jc w:val="both"/>
        <w:rPr>
          <w:rFonts w:ascii="Verdana" w:hAnsi="Verdana" w:cs="Arial"/>
          <w:sz w:val="20"/>
          <w:szCs w:val="20"/>
        </w:rPr>
      </w:pPr>
    </w:p>
    <w:p w14:paraId="7536F4F1" w14:textId="72401A3B" w:rsidR="00A51206" w:rsidRPr="00077A34" w:rsidRDefault="00A51206" w:rsidP="00D61565">
      <w:pPr>
        <w:spacing w:after="0" w:line="240" w:lineRule="auto"/>
        <w:ind w:left="709" w:right="709"/>
        <w:jc w:val="both"/>
        <w:rPr>
          <w:rFonts w:ascii="Verdana" w:hAnsi="Verdana" w:cs="Arial"/>
          <w:sz w:val="20"/>
          <w:szCs w:val="20"/>
        </w:rPr>
      </w:pPr>
      <w:r w:rsidRPr="00077A34">
        <w:rPr>
          <w:rFonts w:ascii="Verdana" w:hAnsi="Verdana" w:cs="Arial"/>
          <w:sz w:val="20"/>
          <w:szCs w:val="20"/>
        </w:rPr>
        <w:t>2. Cada proceso de contratación durante la vigencia que estructure la entidad puede establecer sus indicadores financieros de acuerdo con el objeto del contrato?</w:t>
      </w:r>
    </w:p>
    <w:p w14:paraId="68B9278D" w14:textId="77777777" w:rsidR="00A51206" w:rsidRPr="00077A34" w:rsidRDefault="00A51206" w:rsidP="00D61565">
      <w:pPr>
        <w:spacing w:after="0" w:line="240" w:lineRule="auto"/>
        <w:ind w:left="709" w:right="709"/>
        <w:jc w:val="both"/>
        <w:rPr>
          <w:rFonts w:ascii="Verdana" w:hAnsi="Verdana" w:cs="Arial"/>
          <w:sz w:val="20"/>
          <w:szCs w:val="20"/>
        </w:rPr>
      </w:pPr>
    </w:p>
    <w:p w14:paraId="55EAAFC8" w14:textId="7E8B696C" w:rsidR="00D61565" w:rsidRPr="00077A34" w:rsidRDefault="00A51206" w:rsidP="00D61565">
      <w:pPr>
        <w:spacing w:after="0" w:line="240" w:lineRule="auto"/>
        <w:ind w:left="709" w:right="709"/>
        <w:jc w:val="both"/>
        <w:rPr>
          <w:rFonts w:ascii="Verdana" w:eastAsia="Century Gothic" w:hAnsi="Verdana" w:cs="Arial"/>
          <w:sz w:val="20"/>
          <w:szCs w:val="20"/>
        </w:rPr>
      </w:pPr>
      <w:r w:rsidRPr="00077A34">
        <w:rPr>
          <w:rFonts w:ascii="Verdana" w:hAnsi="Verdana" w:cs="Arial"/>
          <w:sz w:val="20"/>
          <w:szCs w:val="20"/>
        </w:rPr>
        <w:lastRenderedPageBreak/>
        <w:t>3. Se puede establecer indicadores fijos de acuerdo con las cuantías? O se establecen de acuerdo con lo que arroje el estudio del sector o estudio del mercado?</w:t>
      </w:r>
      <w:r w:rsidR="00D61565" w:rsidRPr="00077A34">
        <w:rPr>
          <w:rFonts w:ascii="Verdana" w:hAnsi="Verdana" w:cs="Arial"/>
          <w:sz w:val="20"/>
          <w:szCs w:val="20"/>
        </w:rPr>
        <w:t xml:space="preserve"> </w:t>
      </w:r>
      <w:r w:rsidR="00D61565" w:rsidRPr="00077A34">
        <w:rPr>
          <w:rFonts w:ascii="Verdana" w:eastAsia="Century Gothic" w:hAnsi="Verdana" w:cs="Arial"/>
          <w:sz w:val="20"/>
          <w:szCs w:val="20"/>
        </w:rPr>
        <w:t>[…]”</w:t>
      </w:r>
    </w:p>
    <w:p w14:paraId="27667515" w14:textId="77777777" w:rsidR="00D61565" w:rsidRPr="00077A34" w:rsidRDefault="00D61565" w:rsidP="00D61565">
      <w:pPr>
        <w:spacing w:after="0"/>
        <w:jc w:val="both"/>
        <w:rPr>
          <w:rFonts w:ascii="Verdana" w:hAnsi="Verdana" w:cs="Arial"/>
          <w:highlight w:val="cyan"/>
          <w:lang w:val="es-ES"/>
        </w:rPr>
      </w:pPr>
    </w:p>
    <w:p w14:paraId="20A66FE9" w14:textId="77777777" w:rsidR="00D61565" w:rsidRPr="00077A34" w:rsidRDefault="00D61565" w:rsidP="00D61565">
      <w:pPr>
        <w:spacing w:after="120" w:line="276" w:lineRule="auto"/>
        <w:ind w:firstLine="709"/>
        <w:jc w:val="both"/>
        <w:rPr>
          <w:rFonts w:ascii="Verdana" w:eastAsia="Calibri" w:hAnsi="Verdana" w:cs="Arial"/>
          <w:color w:val="000000"/>
          <w:lang w:val="es-ES_tradnl" w:eastAsia="es-ES_tradnl"/>
        </w:rPr>
      </w:pPr>
      <w:r w:rsidRPr="00077A34">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2C2009D9" w14:textId="77777777" w:rsidR="00D61565" w:rsidRPr="00077A34" w:rsidRDefault="00D61565" w:rsidP="00D61565">
      <w:pPr>
        <w:spacing w:after="0" w:line="276" w:lineRule="auto"/>
        <w:ind w:firstLine="709"/>
        <w:jc w:val="both"/>
        <w:rPr>
          <w:rFonts w:ascii="Verdana" w:eastAsia="Calibri" w:hAnsi="Verdana" w:cs="Arial"/>
          <w:color w:val="000000"/>
          <w:lang w:val="es-ES" w:eastAsia="es-ES"/>
        </w:rPr>
      </w:pPr>
      <w:r w:rsidRPr="00077A34">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4269941" w14:textId="77777777" w:rsidR="00D61565" w:rsidRPr="00077A34" w:rsidRDefault="00D61565" w:rsidP="00D61565">
      <w:pPr>
        <w:spacing w:after="0"/>
        <w:jc w:val="both"/>
        <w:rPr>
          <w:rStyle w:val="Hipervnculo"/>
          <w:rFonts w:ascii="Verdana" w:hAnsi="Verdana"/>
          <w:lang w:val="es-ES"/>
        </w:rPr>
      </w:pPr>
    </w:p>
    <w:p w14:paraId="37D24122" w14:textId="77777777" w:rsidR="00D61565" w:rsidRPr="00077A34" w:rsidRDefault="00D61565" w:rsidP="00D61565">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077A34">
        <w:rPr>
          <w:rFonts w:ascii="Verdana" w:eastAsia="Century Gothic" w:hAnsi="Verdana" w:cs="Arial"/>
          <w:b/>
          <w:bCs/>
        </w:rPr>
        <w:t>Problema planteado:</w:t>
      </w:r>
    </w:p>
    <w:p w14:paraId="18198C1F" w14:textId="77777777" w:rsidR="00D61565" w:rsidRPr="00077A34" w:rsidRDefault="00D61565" w:rsidP="00D61565">
      <w:pPr>
        <w:spacing w:after="0"/>
        <w:jc w:val="both"/>
        <w:rPr>
          <w:rStyle w:val="Hipervnculo"/>
          <w:rFonts w:ascii="Verdana" w:hAnsi="Verdana" w:cs="Arial"/>
          <w:highlight w:val="cyan"/>
        </w:rPr>
      </w:pPr>
    </w:p>
    <w:p w14:paraId="272141C7" w14:textId="1AE62200" w:rsidR="00D61565" w:rsidRPr="00077A34" w:rsidRDefault="00D61565" w:rsidP="00D61565">
      <w:pPr>
        <w:spacing w:after="0" w:line="276" w:lineRule="auto"/>
        <w:jc w:val="both"/>
        <w:rPr>
          <w:rFonts w:ascii="Verdana" w:eastAsia="Verdana" w:hAnsi="Verdana" w:cs="Verdana"/>
          <w:lang w:val="es-ES"/>
        </w:rPr>
      </w:pPr>
      <w:r w:rsidRPr="00077A34">
        <w:rPr>
          <w:rFonts w:ascii="Verdana" w:eastAsia="Century Gothic" w:hAnsi="Verdana" w:cs="Arial"/>
        </w:rPr>
        <w:t xml:space="preserve">De acuerdo con el contenido de su solicitud, esta Agencia resolverá el siguiente problema jurídico: </w:t>
      </w:r>
      <w:r w:rsidR="00D14DA4" w:rsidRPr="00077A34">
        <w:rPr>
          <w:rFonts w:ascii="Verdana" w:eastAsia="Verdana" w:hAnsi="Verdana" w:cs="Verdana"/>
          <w:lang w:val="es-ES"/>
        </w:rPr>
        <w:t>¿</w:t>
      </w:r>
      <w:r w:rsidR="00DF65EB">
        <w:rPr>
          <w:rFonts w:ascii="Verdana" w:eastAsia="Verdana" w:hAnsi="Verdana" w:cs="Verdana"/>
          <w:lang w:val="es-ES"/>
        </w:rPr>
        <w:t>D</w:t>
      </w:r>
      <w:r w:rsidR="5FA09DCF" w:rsidRPr="6AF64649">
        <w:rPr>
          <w:rFonts w:ascii="Verdana" w:eastAsia="Verdana" w:hAnsi="Verdana" w:cs="Verdana"/>
          <w:lang w:val="es-ES"/>
        </w:rPr>
        <w:t>e qué manera</w:t>
      </w:r>
      <w:r w:rsidR="00D14DA4" w:rsidRPr="00077A34">
        <w:rPr>
          <w:rFonts w:ascii="Verdana" w:eastAsia="Verdana" w:hAnsi="Verdana" w:cs="Verdana"/>
          <w:lang w:val="es-ES"/>
        </w:rPr>
        <w:t xml:space="preserve"> </w:t>
      </w:r>
      <w:r w:rsidR="0051645D" w:rsidRPr="00077A34">
        <w:rPr>
          <w:rFonts w:ascii="Verdana" w:eastAsia="Verdana" w:hAnsi="Verdana" w:cs="Verdana"/>
          <w:lang w:val="es-ES"/>
        </w:rPr>
        <w:t xml:space="preserve">las Entidades Estatales </w:t>
      </w:r>
      <w:r w:rsidR="49E60268" w:rsidRPr="6AF64649">
        <w:rPr>
          <w:rFonts w:ascii="Verdana" w:eastAsia="Verdana" w:hAnsi="Verdana" w:cs="Verdana"/>
          <w:lang w:val="es-ES"/>
        </w:rPr>
        <w:t xml:space="preserve">deben establecer </w:t>
      </w:r>
      <w:r w:rsidR="46D37B0D" w:rsidRPr="6AF64649">
        <w:rPr>
          <w:rFonts w:ascii="Verdana" w:eastAsia="Verdana" w:hAnsi="Verdana" w:cs="Verdana"/>
          <w:lang w:val="es-ES"/>
        </w:rPr>
        <w:t>los indicadores de</w:t>
      </w:r>
      <w:r w:rsidR="00D14DA4" w:rsidRPr="00077A34">
        <w:rPr>
          <w:rFonts w:ascii="Verdana" w:eastAsia="Verdana" w:hAnsi="Verdana" w:cs="Verdana"/>
          <w:lang w:val="es-ES"/>
        </w:rPr>
        <w:t xml:space="preserve"> la capacidad financiera como requisito habilitante en un Proceso de Contratación?</w:t>
      </w:r>
    </w:p>
    <w:p w14:paraId="41E531D4" w14:textId="77777777" w:rsidR="00D61565" w:rsidRPr="00077A34" w:rsidRDefault="00D61565" w:rsidP="00D61565">
      <w:pPr>
        <w:spacing w:after="0" w:line="276" w:lineRule="auto"/>
        <w:jc w:val="both"/>
        <w:rPr>
          <w:rStyle w:val="Hipervnculo"/>
          <w:rFonts w:ascii="Verdana" w:hAnsi="Verdana" w:cs="Arial"/>
          <w:lang w:val="es-ES"/>
        </w:rPr>
      </w:pPr>
    </w:p>
    <w:p w14:paraId="10B5773F" w14:textId="77777777" w:rsidR="00D61565" w:rsidRPr="00077A34" w:rsidRDefault="00D61565" w:rsidP="00D61565">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077A34">
        <w:rPr>
          <w:rFonts w:ascii="Verdana" w:eastAsia="Arial" w:hAnsi="Verdana" w:cs="Arial"/>
          <w:b/>
          <w:bCs/>
        </w:rPr>
        <w:t>Respuesta:</w:t>
      </w:r>
    </w:p>
    <w:p w14:paraId="0F4F73CA" w14:textId="77777777" w:rsidR="00514AAA" w:rsidRPr="00077A34" w:rsidRDefault="00514AAA" w:rsidP="00514AAA">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14AAA" w:rsidRPr="00077A34" w14:paraId="62B44564" w14:textId="77777777" w:rsidTr="00D8669F">
        <w:tc>
          <w:tcPr>
            <w:tcW w:w="8828" w:type="dxa"/>
            <w:shd w:val="clear" w:color="auto" w:fill="auto"/>
          </w:tcPr>
          <w:p w14:paraId="7619CB78" w14:textId="77777777" w:rsidR="00514AAA" w:rsidRPr="00077A34" w:rsidRDefault="00514AAA" w:rsidP="00D8669F">
            <w:pPr>
              <w:spacing w:after="120" w:line="276" w:lineRule="auto"/>
              <w:jc w:val="both"/>
              <w:rPr>
                <w:rFonts w:ascii="Verdana" w:eastAsia="Calibri" w:hAnsi="Verdana" w:cs="Arial"/>
                <w:lang w:val="es-ES"/>
              </w:rPr>
            </w:pPr>
            <w:bookmarkStart w:id="1" w:name="_Hlk171067516"/>
            <w:r w:rsidRPr="00077A34">
              <w:rPr>
                <w:rFonts w:ascii="Verdana" w:eastAsia="Calibri" w:hAnsi="Verdana" w:cs="Arial"/>
                <w:lang w:val="es-ES"/>
              </w:rPr>
              <w:t>En respuesta al problema planteado esta Subdirección manifiesta:</w:t>
            </w:r>
          </w:p>
          <w:p w14:paraId="76A18CD9" w14:textId="77777777" w:rsidR="00763829" w:rsidRPr="00077A34" w:rsidRDefault="00763829" w:rsidP="00763829">
            <w:pPr>
              <w:spacing w:after="120" w:line="276" w:lineRule="auto"/>
              <w:ind w:firstLine="709"/>
              <w:jc w:val="both"/>
              <w:rPr>
                <w:rFonts w:ascii="Verdana" w:eastAsia="Calibri" w:hAnsi="Verdana" w:cs="Arial"/>
                <w:lang w:eastAsia="es-MX"/>
              </w:rPr>
            </w:pPr>
            <w:r w:rsidRPr="00077A34">
              <w:rPr>
                <w:rFonts w:ascii="Verdana" w:eastAsia="Calibri" w:hAnsi="Verdana" w:cs="Arial"/>
                <w:lang w:eastAsia="es-MX"/>
              </w:rPr>
              <w:t xml:space="preserve">Para fijar los requisitos habilitantes la Entidad Estatal debe tener como parámetros: (i) el Riesgo del Proceso de Contratación; (ii) el valor del contrato objeto del Proceso de Contratación; (iii) el análisis del sector económico respectivo; y (iv) el conocimiento de fondo de los posibles oferentes desde la perspectiva comercial. </w:t>
            </w:r>
          </w:p>
          <w:p w14:paraId="2EA55ABE" w14:textId="5B12738A" w:rsidR="00763829" w:rsidRPr="00077A34" w:rsidRDefault="00763829" w:rsidP="00763829">
            <w:pPr>
              <w:spacing w:after="120" w:line="276" w:lineRule="auto"/>
              <w:ind w:firstLine="709"/>
              <w:jc w:val="both"/>
              <w:rPr>
                <w:rFonts w:ascii="Verdana" w:eastAsia="Calibri" w:hAnsi="Verdana" w:cs="Arial"/>
                <w:lang w:eastAsia="es-MX"/>
              </w:rPr>
            </w:pPr>
            <w:r w:rsidRPr="00077A34">
              <w:rPr>
                <w:rFonts w:ascii="Verdana" w:eastAsia="Calibri" w:hAnsi="Verdana" w:cs="Arial"/>
                <w:lang w:eastAsia="es-MX"/>
              </w:rPr>
              <w:lastRenderedPageBreak/>
              <w:t>Así las cosas, las Entidades Estatales deben fijar los requisitos habilitantes que se incluirán en los pliegos de condiciones o documentos equivalentes durante la etapa de planeación del contrato estatal, después de haber adelantado el análisis del sector relativo al objeto del Proceso de Contratación, de tal manera que la determinación de las condiciones habilitantes se realice a partir del conocimiento de fondo de los posibles oferentes desde el punto de vista comercial y el análisis de Riesgo</w:t>
            </w:r>
            <w:r w:rsidRPr="00077A34">
              <w:rPr>
                <w:rFonts w:ascii="Verdana" w:eastAsia="Calibri" w:hAnsi="Verdana" w:cs="Arial"/>
                <w:sz w:val="16"/>
                <w:szCs w:val="16"/>
                <w:lang w:eastAsia="es-MX"/>
              </w:rPr>
              <w:t>.</w:t>
            </w:r>
            <w:r w:rsidRPr="00077A34">
              <w:rPr>
                <w:rFonts w:ascii="Verdana" w:eastAsia="Calibri" w:hAnsi="Verdana" w:cs="Arial"/>
                <w:lang w:eastAsia="es-MX"/>
              </w:rPr>
              <w:t xml:space="preserve"> Este análisis permite conocer las particularidades correspondientes a cada sector económico, como el tamaño empresarial de los posibles oferentes, su modelo de negocio y si es posible que se presenten proponentes plurales. Estas particularidades deben ser tenidas en cuenta para evitar direccionar los requisitos habilitantes hacia un tipo de proponente.</w:t>
            </w:r>
          </w:p>
          <w:p w14:paraId="607F8242" w14:textId="729D4D79" w:rsidR="007749AE" w:rsidRPr="00077A34" w:rsidRDefault="007749AE" w:rsidP="00763829">
            <w:pPr>
              <w:spacing w:after="120" w:line="276" w:lineRule="auto"/>
              <w:ind w:firstLine="709"/>
              <w:jc w:val="both"/>
              <w:rPr>
                <w:rFonts w:ascii="Verdana" w:eastAsia="Calibri" w:hAnsi="Verdana" w:cs="Arial"/>
                <w:lang w:eastAsia="es-MX"/>
              </w:rPr>
            </w:pPr>
            <w:r w:rsidRPr="00077A34">
              <w:rPr>
                <w:rFonts w:ascii="Verdana" w:eastAsia="Calibri" w:hAnsi="Verdana" w:cs="Arial"/>
                <w:lang w:eastAsia="es-MX"/>
              </w:rPr>
              <w:t xml:space="preserve">Ahora bien, frente a la capacidad financiera </w:t>
            </w:r>
            <w:r w:rsidR="00B00BA2" w:rsidRPr="00077A34">
              <w:rPr>
                <w:rFonts w:ascii="Verdana" w:eastAsia="Calibri" w:hAnsi="Verdana" w:cs="Arial"/>
                <w:lang w:eastAsia="es-MX"/>
              </w:rPr>
              <w:t>que una entidad requiera para un proceso de contratación</w:t>
            </w:r>
            <w:r w:rsidR="00FC79C7" w:rsidRPr="00077A34">
              <w:rPr>
                <w:rFonts w:ascii="Verdana" w:eastAsia="Calibri" w:hAnsi="Verdana" w:cs="Arial"/>
                <w:lang w:eastAsia="es-MX"/>
              </w:rPr>
              <w:t xml:space="preserve">, esta </w:t>
            </w:r>
            <w:r w:rsidR="002E686C" w:rsidRPr="00077A34">
              <w:rPr>
                <w:rFonts w:ascii="Verdana" w:eastAsia="Calibri" w:hAnsi="Verdana" w:cs="Arial"/>
                <w:lang w:eastAsia="es-MX"/>
              </w:rPr>
              <w:t>deberá ser adecuada y proporcional a la naturaleza, forma de pago, plazo</w:t>
            </w:r>
            <w:r w:rsidR="009F0523" w:rsidRPr="00077A34">
              <w:rPr>
                <w:rFonts w:ascii="Verdana" w:eastAsia="Calibri" w:hAnsi="Verdana" w:cs="Arial"/>
                <w:lang w:eastAsia="es-MX"/>
              </w:rPr>
              <w:t xml:space="preserve">, complejidad, riesgo y al valor del contrato. Además los requisitos de capacidad financiera deben ser establecidos con fundamento en los estudios del sector, para cuya elaboración </w:t>
            </w:r>
            <w:r w:rsidR="00F53AD3" w:rsidRPr="00077A34">
              <w:rPr>
                <w:rFonts w:ascii="Verdana" w:eastAsia="Calibri" w:hAnsi="Verdana" w:cs="Arial"/>
                <w:lang w:eastAsia="es-MX"/>
              </w:rPr>
              <w:t>se recomienda la aplicación de lo dispuesto en la “</w:t>
            </w:r>
            <w:r w:rsidR="00F53AD3" w:rsidRPr="00077A34">
              <w:rPr>
                <w:rFonts w:ascii="Verdana" w:eastAsia="Calibri" w:hAnsi="Verdana" w:cs="Arial"/>
                <w:i/>
                <w:iCs/>
                <w:lang w:eastAsia="es-MX"/>
              </w:rPr>
              <w:t>Guía para la Elaboración de Estudios del Sector</w:t>
            </w:r>
            <w:r w:rsidR="00F53AD3" w:rsidRPr="00077A34">
              <w:rPr>
                <w:rFonts w:ascii="Verdana" w:eastAsia="Calibri" w:hAnsi="Verdana" w:cs="Arial"/>
                <w:lang w:eastAsia="es-MX"/>
              </w:rPr>
              <w:t xml:space="preserve">”, expedida por esta Agencia. </w:t>
            </w:r>
          </w:p>
          <w:p w14:paraId="557FA8C8" w14:textId="1B8D587B" w:rsidR="00EE337E" w:rsidRPr="00077A34" w:rsidRDefault="00EE337E" w:rsidP="00763829">
            <w:pPr>
              <w:spacing w:after="120" w:line="276" w:lineRule="auto"/>
              <w:ind w:firstLine="709"/>
              <w:jc w:val="both"/>
              <w:rPr>
                <w:rFonts w:ascii="Verdana" w:eastAsia="Calibri" w:hAnsi="Verdana" w:cs="Arial"/>
                <w:lang w:eastAsia="es-MX"/>
              </w:rPr>
            </w:pPr>
            <w:r w:rsidRPr="00077A34">
              <w:rPr>
                <w:rFonts w:ascii="Verdana" w:eastAsia="Calibri" w:hAnsi="Verdana" w:cs="Arial"/>
                <w:lang w:eastAsia="es-MX"/>
              </w:rPr>
              <w:t>En atención a la naturaleza del contrato a suscribir y su valor, plazo y forma de pago, la Entidad debe hacer uso de los indicadores que considere adecuados respecto del objeto del proceso de contratación para lo cual no es suficiente la aplicación mecánica de fórmulas financieras</w:t>
            </w:r>
            <w:r w:rsidR="00BA222D" w:rsidRPr="00077A34">
              <w:rPr>
                <w:rFonts w:ascii="Verdana" w:eastAsia="Calibri" w:hAnsi="Verdana" w:cs="Arial"/>
                <w:lang w:eastAsia="es-MX"/>
              </w:rPr>
              <w:t>.</w:t>
            </w:r>
          </w:p>
          <w:p w14:paraId="3A09E606" w14:textId="77777777" w:rsidR="00514AAA" w:rsidRDefault="00634A7A" w:rsidP="00763829">
            <w:pPr>
              <w:spacing w:before="120" w:after="120" w:line="276" w:lineRule="auto"/>
              <w:ind w:firstLine="708"/>
              <w:jc w:val="both"/>
              <w:rPr>
                <w:rFonts w:ascii="Verdana" w:eastAsia="Calibri" w:hAnsi="Verdana" w:cs="Arial"/>
                <w:lang w:eastAsia="es-MX"/>
              </w:rPr>
            </w:pPr>
            <w:r>
              <w:rPr>
                <w:rFonts w:ascii="Verdana" w:eastAsia="Calibri" w:hAnsi="Verdana" w:cs="Arial"/>
                <w:lang w:eastAsia="es-MX"/>
              </w:rPr>
              <w:t>Por otro lado</w:t>
            </w:r>
            <w:r w:rsidR="00B556F4" w:rsidRPr="00077A34">
              <w:rPr>
                <w:rFonts w:ascii="Verdana" w:eastAsia="Calibri" w:hAnsi="Verdana" w:cs="Arial"/>
                <w:lang w:eastAsia="es-MX"/>
              </w:rPr>
              <w:t>, es preciso advertir que e</w:t>
            </w:r>
            <w:r w:rsidR="00763829" w:rsidRPr="00077A34">
              <w:rPr>
                <w:rFonts w:ascii="Verdana" w:eastAsia="Calibri" w:hAnsi="Verdana" w:cs="Arial"/>
                <w:lang w:eastAsia="es-MX"/>
              </w:rPr>
              <w:t>sta Agencia puso a disposición de los interesados el “</w:t>
            </w:r>
            <w:r w:rsidR="00763829" w:rsidRPr="00077A34">
              <w:rPr>
                <w:rFonts w:ascii="Verdana" w:eastAsia="Calibri" w:hAnsi="Verdana" w:cs="Arial"/>
                <w:i/>
                <w:iCs/>
                <w:lang w:eastAsia="es-MX"/>
              </w:rPr>
              <w:t>Manual para determinar y verificar los requisitos habilitantes en los procesos de contratación</w:t>
            </w:r>
            <w:r w:rsidR="00763829" w:rsidRPr="00077A34">
              <w:rPr>
                <w:rFonts w:ascii="Verdana" w:eastAsia="Calibri" w:hAnsi="Verdana" w:cs="Arial"/>
                <w:lang w:eastAsia="es-MX"/>
              </w:rPr>
              <w:t>”</w:t>
            </w:r>
            <w:r w:rsidR="00763829" w:rsidRPr="00077A34">
              <w:rPr>
                <w:rFonts w:ascii="Verdana" w:eastAsia="Calibri" w:hAnsi="Verdana" w:cs="Arial"/>
                <w:lang w:eastAsia="es-MX"/>
              </w:rPr>
              <w:footnoteReference w:id="2"/>
            </w:r>
            <w:r w:rsidR="00763829" w:rsidRPr="00077A34">
              <w:rPr>
                <w:rFonts w:ascii="Verdana" w:eastAsia="Calibri" w:hAnsi="Verdana" w:cs="Arial"/>
                <w:lang w:eastAsia="es-MX"/>
              </w:rPr>
              <w:t>. En dicho Manual se plantean definiciones para cada requisito habilitante y se indican lineamientos orientadores que la Entidad Estatal puede considerar para establecerlos, pero en todo caso es ella quien los define, de forma proporcional a la naturaleza y al valor del contrato, por lo que para ello deberán observarse los resultados de los Estudios del Sector que se hayan realizado para el respectivo Proceso de Contratación.</w:t>
            </w:r>
          </w:p>
          <w:p w14:paraId="7AFC8FF6" w14:textId="51E096B0" w:rsidR="0016376A" w:rsidRDefault="00041E3B" w:rsidP="0016376A">
            <w:pPr>
              <w:spacing w:before="120" w:after="120" w:line="276" w:lineRule="auto"/>
              <w:ind w:firstLine="708"/>
              <w:jc w:val="both"/>
              <w:rPr>
                <w:rFonts w:ascii="Verdana" w:eastAsia="Calibri" w:hAnsi="Verdana" w:cs="Arial"/>
                <w:lang w:eastAsia="es-MX"/>
              </w:rPr>
            </w:pPr>
            <w:r>
              <w:rPr>
                <w:rFonts w:ascii="Verdana" w:eastAsia="Calibri" w:hAnsi="Verdana" w:cs="Arial"/>
                <w:lang w:eastAsia="es-MX"/>
              </w:rPr>
              <w:lastRenderedPageBreak/>
              <w:t>Finalmente</w:t>
            </w:r>
            <w:r w:rsidR="00896C87">
              <w:rPr>
                <w:rFonts w:ascii="Verdana" w:eastAsia="Calibri" w:hAnsi="Verdana" w:cs="Arial"/>
                <w:lang w:eastAsia="es-MX"/>
              </w:rPr>
              <w:t xml:space="preserve">, </w:t>
            </w:r>
            <w:r w:rsidR="003F17CD" w:rsidRPr="00375E93">
              <w:rPr>
                <w:rFonts w:ascii="Verdana" w:eastAsia="Calibri" w:hAnsi="Verdana" w:cs="Arial"/>
                <w:lang w:eastAsia="es-MX"/>
              </w:rPr>
              <w:t>debe tenerse en cuenta que tratándose de los documentos tipo las condiciones</w:t>
            </w:r>
            <w:r w:rsidR="003F17CD">
              <w:rPr>
                <w:rFonts w:ascii="Verdana" w:eastAsia="Calibri" w:hAnsi="Verdana" w:cs="Arial"/>
                <w:lang w:eastAsia="es-MX"/>
              </w:rPr>
              <w:t xml:space="preserve"> habilitantes, factores técnicos, económicos y otros de escogencia </w:t>
            </w:r>
            <w:r w:rsidR="005067A7">
              <w:rPr>
                <w:rFonts w:ascii="Verdana" w:eastAsia="Calibri" w:hAnsi="Verdana" w:cs="Arial"/>
                <w:lang w:eastAsia="es-MX"/>
              </w:rPr>
              <w:t xml:space="preserve">son de carácter obligatorio para las Entidades Estatales sometidas al régimen general de contratación pública, esto sin </w:t>
            </w:r>
            <w:r w:rsidR="00375E93" w:rsidRPr="00375E93">
              <w:rPr>
                <w:rFonts w:ascii="Verdana" w:eastAsia="Calibri" w:hAnsi="Verdana" w:cs="Arial"/>
                <w:lang w:eastAsia="es-MX"/>
              </w:rPr>
              <w:t>perjuicio de lo establecido en el artículo 56 de la Ley 2195 de 2022, mediante el cual se amplió el ámbito de aplicación de los Documentos Tipo para Entidades Exceptuadas del Estatuto.</w:t>
            </w:r>
            <w:r w:rsidR="00D84EBA">
              <w:rPr>
                <w:rFonts w:ascii="Verdana" w:eastAsia="Calibri" w:hAnsi="Verdana" w:cs="Arial"/>
                <w:lang w:eastAsia="es-MX"/>
              </w:rPr>
              <w:t xml:space="preserve"> </w:t>
            </w:r>
            <w:r w:rsidR="009712C1">
              <w:rPr>
                <w:rFonts w:ascii="Verdana" w:eastAsia="Calibri" w:hAnsi="Verdana" w:cs="Arial"/>
                <w:lang w:eastAsia="es-MX"/>
              </w:rPr>
              <w:t xml:space="preserve"> </w:t>
            </w:r>
          </w:p>
          <w:p w14:paraId="341D4A33" w14:textId="7D6DDE78" w:rsidR="0016376A" w:rsidRPr="00077A34" w:rsidRDefault="0016376A" w:rsidP="0016376A">
            <w:pPr>
              <w:spacing w:before="120" w:after="120" w:line="276" w:lineRule="auto"/>
              <w:ind w:firstLine="708"/>
              <w:jc w:val="both"/>
              <w:rPr>
                <w:rFonts w:ascii="Verdana" w:eastAsia="Calibri" w:hAnsi="Verdana" w:cs="Arial"/>
                <w:lang w:eastAsia="es-MX"/>
              </w:rPr>
            </w:pPr>
            <w:r w:rsidRPr="0016376A">
              <w:rPr>
                <w:rFonts w:ascii="Verdana" w:eastAsia="Calibri" w:hAnsi="Verdana" w:cs="Arial"/>
                <w:lang w:eastAsia="es-MX"/>
              </w:rPr>
              <w:t>Dentro de las condiciones habilitantes exigidas se encuentran los requisitos de capacidad financiera y organizacional, los cuales, por ejemplo, para el documento tipo de infraestructura de trasporte en la modalidad de licitación pública, se encuentran definidos en los numerales 3.6 CAPACIDAD FINANCIERA, 3.7 CAPITAL DE TRABAJO, 3.8 PATRIMONIO Y 3.9 CAPACIDAD ORGANIZACIONAL del documento base y en la matriz 2. INDICADORES FINANCIEROS Y ORGANIZACIONALES OBRAS PARA INFRAESTRUCTURA DE TRANSPORTE.</w:t>
            </w:r>
          </w:p>
        </w:tc>
      </w:tr>
      <w:bookmarkEnd w:id="1"/>
    </w:tbl>
    <w:p w14:paraId="38D6F661" w14:textId="77777777" w:rsidR="00514AAA" w:rsidRPr="00077A34" w:rsidRDefault="00514AAA" w:rsidP="00514AAA">
      <w:pPr>
        <w:widowControl w:val="0"/>
        <w:autoSpaceDE w:val="0"/>
        <w:autoSpaceDN w:val="0"/>
        <w:spacing w:before="1" w:after="0" w:line="240" w:lineRule="auto"/>
        <w:ind w:left="360" w:hanging="360"/>
        <w:outlineLvl w:val="0"/>
        <w:rPr>
          <w:rFonts w:ascii="Verdana" w:eastAsia="Arial" w:hAnsi="Verdana" w:cs="Arial"/>
          <w:b/>
          <w:bCs/>
          <w:lang w:val="es-ES"/>
        </w:rPr>
      </w:pPr>
    </w:p>
    <w:p w14:paraId="29B6B40B" w14:textId="77777777" w:rsidR="00514AAA" w:rsidRPr="00077A34" w:rsidRDefault="00514AAA" w:rsidP="00514AAA">
      <w:pPr>
        <w:widowControl w:val="0"/>
        <w:autoSpaceDE w:val="0"/>
        <w:autoSpaceDN w:val="0"/>
        <w:spacing w:before="1" w:after="0" w:line="240" w:lineRule="auto"/>
        <w:ind w:left="360" w:hanging="360"/>
        <w:outlineLvl w:val="0"/>
        <w:rPr>
          <w:rFonts w:ascii="Verdana" w:eastAsia="Arial" w:hAnsi="Verdana" w:cs="Arial"/>
          <w:b/>
          <w:bCs/>
          <w:lang w:val="es-ES"/>
        </w:rPr>
      </w:pPr>
      <w:r w:rsidRPr="00077A34">
        <w:rPr>
          <w:rFonts w:ascii="Verdana" w:eastAsia="Arial" w:hAnsi="Verdana" w:cs="Arial"/>
          <w:b/>
          <w:bCs/>
          <w:lang w:val="es-ES"/>
        </w:rPr>
        <w:t>3. Razones de la respuesta:</w:t>
      </w:r>
    </w:p>
    <w:p w14:paraId="6125C470" w14:textId="77777777" w:rsidR="00514AAA" w:rsidRPr="00077A34" w:rsidRDefault="00514AAA" w:rsidP="00514AAA">
      <w:pPr>
        <w:spacing w:after="0" w:line="276" w:lineRule="auto"/>
        <w:jc w:val="both"/>
        <w:rPr>
          <w:rFonts w:ascii="Verdana" w:eastAsia="Calibri" w:hAnsi="Verdana" w:cs="Arial"/>
          <w:lang w:val="es-ES"/>
        </w:rPr>
      </w:pPr>
    </w:p>
    <w:p w14:paraId="00EDF09B" w14:textId="77777777" w:rsidR="00514AAA" w:rsidRPr="00077A34" w:rsidRDefault="00514AAA" w:rsidP="00514AAA">
      <w:pPr>
        <w:spacing w:after="0" w:line="276" w:lineRule="auto"/>
        <w:jc w:val="both"/>
        <w:rPr>
          <w:rFonts w:ascii="Verdana" w:eastAsia="Calibri" w:hAnsi="Verdana" w:cs="Arial"/>
          <w:lang w:val="es-ES"/>
        </w:rPr>
      </w:pPr>
      <w:r w:rsidRPr="00077A34">
        <w:rPr>
          <w:rFonts w:ascii="Verdana" w:eastAsia="Calibri" w:hAnsi="Verdana" w:cs="Arial"/>
          <w:lang w:val="es-ES"/>
        </w:rPr>
        <w:t xml:space="preserve">La respuesta anterior se sustenta en las siguientes consideraciones: </w:t>
      </w:r>
    </w:p>
    <w:p w14:paraId="4962ACFD" w14:textId="77777777" w:rsidR="004740CC" w:rsidRPr="00077A34" w:rsidRDefault="004740CC" w:rsidP="00514AAA">
      <w:pPr>
        <w:spacing w:after="0" w:line="276" w:lineRule="auto"/>
        <w:jc w:val="both"/>
        <w:rPr>
          <w:rFonts w:ascii="Verdana" w:eastAsia="Calibri" w:hAnsi="Verdana" w:cs="Arial"/>
          <w:lang w:val="es-ES"/>
        </w:rPr>
      </w:pPr>
    </w:p>
    <w:p w14:paraId="3CB16421" w14:textId="77777777" w:rsidR="004740CC" w:rsidRPr="00077A34" w:rsidRDefault="006A5B70" w:rsidP="004740CC">
      <w:pPr>
        <w:pStyle w:val="Prrafodelista"/>
        <w:numPr>
          <w:ilvl w:val="0"/>
          <w:numId w:val="19"/>
        </w:numPr>
        <w:spacing w:after="120" w:line="276" w:lineRule="auto"/>
        <w:jc w:val="both"/>
        <w:rPr>
          <w:rFonts w:ascii="Verdana" w:eastAsia="Calibri" w:hAnsi="Verdana" w:cs="Arial"/>
          <w:color w:val="000000" w:themeColor="text1"/>
          <w:lang w:val="es-ES_tradnl" w:eastAsia="es-ES_tradnl"/>
        </w:rPr>
      </w:pPr>
      <w:r w:rsidRPr="00077A34">
        <w:rPr>
          <w:rFonts w:ascii="Verdana" w:eastAsia="Calibri" w:hAnsi="Verdana" w:cs="Arial"/>
          <w:color w:val="000000" w:themeColor="text1"/>
          <w:lang w:val="es-ES_tradnl" w:eastAsia="es-ES_tradnl"/>
        </w:rPr>
        <w:t xml:space="preserve">Los </w:t>
      </w:r>
      <w:r w:rsidRPr="00077A34">
        <w:rPr>
          <w:rFonts w:ascii="Verdana" w:eastAsia="Calibri" w:hAnsi="Verdana" w:cs="Arial"/>
          <w:i/>
          <w:iCs/>
          <w:color w:val="000000" w:themeColor="text1"/>
          <w:lang w:val="es-ES_tradnl" w:eastAsia="es-ES_tradnl"/>
        </w:rPr>
        <w:t>requisitos habilitantes</w:t>
      </w:r>
      <w:r w:rsidRPr="00077A34">
        <w:rPr>
          <w:rFonts w:ascii="Verdana" w:eastAsia="Calibri" w:hAnsi="Verdana" w:cs="Arial"/>
          <w:color w:val="000000" w:themeColor="text1"/>
          <w:lang w:val="es-ES_tradnl" w:eastAsia="es-ES_tradnl"/>
        </w:rPr>
        <w:t xml:space="preserve">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077A34">
        <w:rPr>
          <w:rFonts w:ascii="Verdana" w:eastAsia="Calibri" w:hAnsi="Verdana" w:cs="Arial"/>
          <w:i/>
          <w:iCs/>
          <w:color w:val="000000" w:themeColor="text1"/>
          <w:lang w:val="es-ES_tradnl" w:eastAsia="es-ES_tradnl"/>
        </w:rPr>
        <w:t>criterios de evaluación</w:t>
      </w:r>
      <w:r w:rsidRPr="00077A34">
        <w:rPr>
          <w:rFonts w:ascii="Verdana" w:eastAsia="Calibri" w:hAnsi="Verdana" w:cs="Arial"/>
          <w:color w:val="000000" w:themeColor="text1"/>
          <w:lang w:val="es-ES_tradnl" w:eastAsia="es-ES_tradnl"/>
        </w:rPr>
        <w:t xml:space="preserve"> –también conocidos como </w:t>
      </w:r>
      <w:r w:rsidRPr="00077A34">
        <w:rPr>
          <w:rFonts w:ascii="Verdana" w:eastAsia="Calibri" w:hAnsi="Verdana" w:cs="Arial"/>
          <w:i/>
          <w:iCs/>
          <w:color w:val="000000" w:themeColor="text1"/>
          <w:lang w:val="es-ES_tradnl" w:eastAsia="es-ES_tradnl"/>
        </w:rPr>
        <w:t>criterios de calificación</w:t>
      </w:r>
      <w:r w:rsidRPr="00077A34">
        <w:rPr>
          <w:rFonts w:ascii="Verdana" w:eastAsia="Calibri" w:hAnsi="Verdana" w:cs="Arial"/>
          <w:color w:val="000000" w:themeColor="text1"/>
          <w:lang w:val="es-ES_tradnl" w:eastAsia="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5323A1D9" w14:textId="77777777" w:rsidR="004740CC" w:rsidRPr="00077A34" w:rsidRDefault="004740CC" w:rsidP="004740CC">
      <w:pPr>
        <w:pStyle w:val="Prrafodelista"/>
        <w:spacing w:after="120" w:line="276" w:lineRule="auto"/>
        <w:jc w:val="both"/>
        <w:rPr>
          <w:rFonts w:ascii="Verdana" w:eastAsia="Calibri" w:hAnsi="Verdana" w:cs="Arial"/>
          <w:color w:val="000000" w:themeColor="text1"/>
          <w:lang w:val="es-ES_tradnl" w:eastAsia="es-ES_tradnl"/>
        </w:rPr>
      </w:pPr>
    </w:p>
    <w:p w14:paraId="301B440B" w14:textId="40AADCD3" w:rsidR="004740CC" w:rsidRPr="00077A34" w:rsidRDefault="004740CC" w:rsidP="004740CC">
      <w:pPr>
        <w:pStyle w:val="Prrafodelista"/>
        <w:numPr>
          <w:ilvl w:val="0"/>
          <w:numId w:val="19"/>
        </w:numPr>
        <w:spacing w:after="120" w:line="276" w:lineRule="auto"/>
        <w:jc w:val="both"/>
        <w:rPr>
          <w:rFonts w:ascii="Verdana" w:eastAsia="Calibri" w:hAnsi="Verdana" w:cs="Arial"/>
          <w:color w:val="000000" w:themeColor="text1"/>
          <w:lang w:val="es-ES_tradnl" w:eastAsia="es-ES_tradnl"/>
        </w:rPr>
      </w:pPr>
      <w:r w:rsidRPr="00077A34">
        <w:rPr>
          <w:rFonts w:ascii="Verdana" w:eastAsia="Calibri" w:hAnsi="Verdana" w:cs="Arial"/>
          <w:color w:val="000000" w:themeColor="text1"/>
          <w:lang w:eastAsia="es-ES"/>
        </w:rPr>
        <w:t xml:space="preserve">A partir de lo </w:t>
      </w:r>
      <w:r w:rsidR="00A308E2" w:rsidRPr="00077A34">
        <w:rPr>
          <w:rFonts w:ascii="Verdana" w:eastAsia="Calibri" w:hAnsi="Verdana" w:cs="Arial"/>
          <w:color w:val="000000" w:themeColor="text1"/>
          <w:lang w:eastAsia="es-ES"/>
        </w:rPr>
        <w:t>anterior</w:t>
      </w:r>
      <w:r w:rsidRPr="00077A34">
        <w:rPr>
          <w:rFonts w:ascii="Verdana" w:eastAsia="Calibri" w:hAnsi="Verdana" w:cs="Arial"/>
          <w:color w:val="000000" w:themeColor="text1"/>
          <w:lang w:eastAsia="es-ES"/>
        </w:rPr>
        <w:t xml:space="preserve">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w:t>
      </w:r>
      <w:r w:rsidRPr="00077A34">
        <w:rPr>
          <w:rFonts w:ascii="Verdana" w:eastAsia="Calibri" w:hAnsi="Verdana" w:cs="Arial"/>
          <w:color w:val="000000" w:themeColor="text1"/>
          <w:lang w:eastAsia="es-ES"/>
        </w:rPr>
        <w:lastRenderedPageBreak/>
        <w:t>selección, o sea, incurren en causal de rechazo. Esto sin perjuicio del derecho que tienen los oferentes de subsanar los defectos que se presenten en la prueba de tales requisitos, de conformidad con el artículo 5, parágrafos 1º al 4º, de la Ley 1150 de 2007.</w:t>
      </w:r>
    </w:p>
    <w:p w14:paraId="5D2D5B7A" w14:textId="77777777" w:rsidR="004740CC" w:rsidRPr="00077A34" w:rsidRDefault="004740CC" w:rsidP="004740CC">
      <w:pPr>
        <w:pStyle w:val="Prrafodelista"/>
        <w:spacing w:after="120" w:line="276" w:lineRule="auto"/>
        <w:jc w:val="both"/>
        <w:rPr>
          <w:rFonts w:ascii="Verdana" w:eastAsia="Calibri" w:hAnsi="Verdana" w:cs="Arial"/>
          <w:color w:val="000000" w:themeColor="text1"/>
          <w:lang w:val="es-ES_tradnl" w:eastAsia="es-ES_tradnl"/>
        </w:rPr>
      </w:pPr>
    </w:p>
    <w:p w14:paraId="190DD9B8" w14:textId="77777777" w:rsidR="00EF548F" w:rsidRPr="00077A34" w:rsidRDefault="00EF548F" w:rsidP="00EF548F">
      <w:pPr>
        <w:pStyle w:val="Prrafodelista"/>
        <w:numPr>
          <w:ilvl w:val="0"/>
          <w:numId w:val="19"/>
        </w:numPr>
        <w:spacing w:after="0" w:line="276" w:lineRule="auto"/>
        <w:jc w:val="both"/>
        <w:rPr>
          <w:rFonts w:ascii="Verdana" w:eastAsia="Calibri" w:hAnsi="Verdana" w:cs="Arial"/>
          <w:color w:val="000000" w:themeColor="text1"/>
          <w:lang w:eastAsia="es-ES"/>
        </w:rPr>
      </w:pPr>
      <w:r w:rsidRPr="00077A34">
        <w:rPr>
          <w:rFonts w:ascii="Verdana" w:eastAsia="Calibri" w:hAnsi="Verdana" w:cs="Arial"/>
          <w:color w:val="000000" w:themeColor="text1"/>
          <w:lang w:eastAsia="es-ES"/>
        </w:rPr>
        <w:t xml:space="preserve">El mencionado artículo dispone que se considera </w:t>
      </w:r>
      <w:r w:rsidRPr="00077A34">
        <w:rPr>
          <w:rFonts w:ascii="Verdana" w:eastAsia="Calibri" w:hAnsi="Verdana" w:cs="Arial"/>
          <w:i/>
          <w:iCs/>
          <w:color w:val="000000" w:themeColor="text1"/>
          <w:lang w:eastAsia="es-ES"/>
        </w:rPr>
        <w:t>“objetiva la selección en la cual la escogencia se haga al ofrecimiento más favorable a la entidad y a los fines que ella busca, sin tener en consideración factores de afecto o de interés y, en general, cualquier clase de motivación subjetiva”.</w:t>
      </w:r>
      <w:r w:rsidRPr="00077A34">
        <w:rPr>
          <w:rFonts w:ascii="Verdana" w:eastAsia="Calibri" w:hAnsi="Verdana" w:cs="Arial"/>
          <w:color w:val="000000" w:themeColor="text1"/>
          <w:lang w:eastAsia="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077A34">
        <w:rPr>
          <w:rFonts w:ascii="Verdana" w:eastAsia="Calibri" w:hAnsi="Verdana" w:cs="Arial"/>
          <w:i/>
          <w:iCs/>
          <w:color w:val="000000" w:themeColor="text1"/>
          <w:lang w:eastAsia="es-ES"/>
        </w:rPr>
        <w:t>entre otros</w:t>
      </w:r>
      <w:r w:rsidRPr="00077A34">
        <w:rPr>
          <w:rFonts w:ascii="Verdana" w:eastAsia="Calibri" w:hAnsi="Verdana" w:cs="Arial"/>
          <w:color w:val="000000" w:themeColor="text1"/>
          <w:lang w:eastAsia="es-ES"/>
        </w:rPr>
        <w:t>, los siguientes: i) la capacidad jurídica; ii) la experiencia; iii) la capacidad financiera y iv) la capacidad de organización. En efecto, la normativa citada prescribe lo siguiente:</w:t>
      </w:r>
    </w:p>
    <w:p w14:paraId="355DACF2" w14:textId="77777777" w:rsidR="00EF548F" w:rsidRPr="00077A34" w:rsidRDefault="00EF548F" w:rsidP="00D266DD">
      <w:pPr>
        <w:spacing w:after="0" w:line="240" w:lineRule="auto"/>
        <w:jc w:val="both"/>
        <w:rPr>
          <w:rFonts w:ascii="Verdana" w:eastAsia="Calibri" w:hAnsi="Verdana" w:cs="Arial"/>
          <w:lang w:val="es-ES_tradnl"/>
        </w:rPr>
      </w:pPr>
    </w:p>
    <w:p w14:paraId="28CB0A38" w14:textId="77777777" w:rsidR="00D266DD" w:rsidRPr="00077A34" w:rsidRDefault="00D266DD" w:rsidP="00D266DD">
      <w:pPr>
        <w:spacing w:after="0" w:line="240" w:lineRule="auto"/>
        <w:ind w:left="1134" w:right="709"/>
        <w:jc w:val="both"/>
        <w:rPr>
          <w:rFonts w:ascii="Verdana" w:eastAsia="Calibri" w:hAnsi="Verdana" w:cs="Arial"/>
          <w:color w:val="000000" w:themeColor="text1"/>
          <w:sz w:val="20"/>
          <w:szCs w:val="20"/>
          <w:lang w:val="es-ES_tradnl" w:eastAsia="es-ES_tradnl"/>
        </w:rPr>
      </w:pPr>
      <w:r w:rsidRPr="00077A34">
        <w:rPr>
          <w:rFonts w:ascii="Verdana" w:eastAsia="Calibri" w:hAnsi="Verdana" w:cs="Arial"/>
          <w:i/>
          <w:iCs/>
          <w:color w:val="000000" w:themeColor="text1"/>
          <w:sz w:val="20"/>
          <w:szCs w:val="20"/>
          <w:lang w:val="es-ES_tradnl" w:eastAsia="es-ES_tradnl"/>
        </w:rPr>
        <w:t>“</w:t>
      </w:r>
      <w:r w:rsidRPr="00077A34">
        <w:rPr>
          <w:rFonts w:ascii="Verdana" w:eastAsia="Calibri" w:hAnsi="Verdana" w:cs="Arial"/>
          <w:color w:val="000000" w:themeColor="text1"/>
          <w:sz w:val="20"/>
          <w:szCs w:val="20"/>
          <w:lang w:val="es-ES_tradnl" w:eastAsia="es-ES_tradnl"/>
        </w:rPr>
        <w:t xml:space="preserve">Artículo 5. De la Selección Objetiva. </w:t>
      </w:r>
    </w:p>
    <w:p w14:paraId="14AEE11D" w14:textId="77777777" w:rsidR="00D266DD" w:rsidRPr="00077A34" w:rsidRDefault="00D266DD" w:rsidP="00D266DD">
      <w:pPr>
        <w:spacing w:after="0" w:line="240" w:lineRule="auto"/>
        <w:ind w:left="1134" w:right="709"/>
        <w:jc w:val="both"/>
        <w:rPr>
          <w:rFonts w:ascii="Verdana" w:eastAsia="Calibri" w:hAnsi="Verdana" w:cs="Arial"/>
          <w:color w:val="000000" w:themeColor="text1"/>
          <w:sz w:val="20"/>
          <w:szCs w:val="20"/>
          <w:lang w:val="es-ES_tradnl" w:eastAsia="es-ES_tradnl"/>
        </w:rPr>
      </w:pPr>
    </w:p>
    <w:p w14:paraId="1053C729" w14:textId="77777777" w:rsidR="00D266DD" w:rsidRPr="00077A34" w:rsidRDefault="00D266DD" w:rsidP="00D266DD">
      <w:pPr>
        <w:spacing w:after="0" w:line="240" w:lineRule="auto"/>
        <w:ind w:left="1134" w:right="709"/>
        <w:jc w:val="both"/>
        <w:rPr>
          <w:rFonts w:ascii="Verdana" w:eastAsia="Calibri" w:hAnsi="Verdana" w:cs="Arial"/>
          <w:color w:val="000000" w:themeColor="text1"/>
          <w:sz w:val="20"/>
          <w:szCs w:val="20"/>
          <w:lang w:val="es-ES_tradnl" w:eastAsia="es-ES_tradnl"/>
        </w:rPr>
      </w:pPr>
      <w:r w:rsidRPr="00077A34">
        <w:rPr>
          <w:rFonts w:ascii="Verdana" w:eastAsia="Calibri" w:hAnsi="Verdana" w:cs="Arial"/>
          <w:color w:val="000000" w:themeColor="text1"/>
          <w:sz w:val="20"/>
          <w:szCs w:val="20"/>
          <w:lang w:val="es-ES_tradnl" w:eastAsia="es-ES_tradnl"/>
        </w:rPr>
        <w:t>[…]</w:t>
      </w:r>
    </w:p>
    <w:p w14:paraId="2F83B47F" w14:textId="77777777" w:rsidR="00D266DD" w:rsidRPr="00077A34" w:rsidRDefault="00D266DD" w:rsidP="00D266DD">
      <w:pPr>
        <w:spacing w:after="0" w:line="240" w:lineRule="auto"/>
        <w:ind w:left="1134" w:right="709"/>
        <w:jc w:val="both"/>
        <w:rPr>
          <w:rFonts w:ascii="Verdana" w:eastAsia="Calibri" w:hAnsi="Verdana" w:cs="Arial"/>
          <w:color w:val="000000" w:themeColor="text1"/>
          <w:sz w:val="20"/>
          <w:szCs w:val="20"/>
          <w:lang w:val="es-ES_tradnl" w:eastAsia="es-ES_tradnl"/>
        </w:rPr>
      </w:pPr>
    </w:p>
    <w:p w14:paraId="790C27F0" w14:textId="77777777" w:rsidR="00D266DD" w:rsidRPr="00077A34" w:rsidRDefault="00D266DD" w:rsidP="00D266DD">
      <w:pPr>
        <w:pStyle w:val="Prrafodelista"/>
        <w:numPr>
          <w:ilvl w:val="0"/>
          <w:numId w:val="21"/>
        </w:numPr>
        <w:spacing w:after="0" w:line="240" w:lineRule="auto"/>
        <w:ind w:right="709"/>
        <w:jc w:val="both"/>
        <w:rPr>
          <w:rFonts w:ascii="Verdana" w:eastAsia="Calibri" w:hAnsi="Verdana" w:cs="Arial"/>
          <w:color w:val="000000" w:themeColor="text1"/>
          <w:sz w:val="20"/>
          <w:szCs w:val="20"/>
        </w:rPr>
      </w:pPr>
      <w:r w:rsidRPr="00077A34">
        <w:rPr>
          <w:rFonts w:ascii="Verdana" w:eastAsia="Calibri" w:hAnsi="Verdana" w:cs="Arial"/>
          <w:color w:val="000000" w:themeColor="text1"/>
          <w:sz w:val="20"/>
          <w:szCs w:val="20"/>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2651D4B" w14:textId="77777777" w:rsidR="00D266DD" w:rsidRPr="00077A34" w:rsidRDefault="00D266DD" w:rsidP="00D266DD">
      <w:pPr>
        <w:pStyle w:val="Prrafodelista"/>
        <w:spacing w:after="0" w:line="240" w:lineRule="auto"/>
        <w:ind w:left="1494" w:right="709"/>
        <w:jc w:val="both"/>
        <w:rPr>
          <w:rFonts w:ascii="Verdana" w:eastAsia="Calibri" w:hAnsi="Verdana" w:cs="Arial"/>
          <w:color w:val="000000" w:themeColor="text1"/>
          <w:sz w:val="20"/>
          <w:szCs w:val="20"/>
          <w:lang w:val="es-ES_tradnl"/>
        </w:rPr>
      </w:pPr>
    </w:p>
    <w:p w14:paraId="5C21B0DE" w14:textId="77777777" w:rsidR="00D266DD" w:rsidRPr="00077A34" w:rsidRDefault="00D266DD" w:rsidP="00D266DD">
      <w:pPr>
        <w:pStyle w:val="Prrafodelista"/>
        <w:numPr>
          <w:ilvl w:val="0"/>
          <w:numId w:val="20"/>
        </w:numPr>
        <w:spacing w:after="120" w:line="276" w:lineRule="auto"/>
        <w:jc w:val="both"/>
        <w:rPr>
          <w:rFonts w:ascii="Verdana" w:eastAsia="Calibri" w:hAnsi="Verdana" w:cs="Arial"/>
          <w:lang w:val="es-MX"/>
        </w:rPr>
      </w:pPr>
      <w:r w:rsidRPr="00077A34">
        <w:rPr>
          <w:rFonts w:ascii="Verdana" w:eastAsia="Calibri" w:hAnsi="Verdana" w:cs="Arial"/>
          <w:lang w:val="es-MX"/>
        </w:rPr>
        <w:t xml:space="preserve">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w:t>
      </w:r>
      <w:r w:rsidRPr="00077A34">
        <w:rPr>
          <w:rFonts w:ascii="Verdana" w:eastAsia="Calibri" w:hAnsi="Verdana" w:cs="Arial"/>
          <w:lang w:val="es-MX"/>
        </w:rPr>
        <w:lastRenderedPageBreak/>
        <w:t>Único de Proponentes –RUP</w:t>
      </w:r>
      <w:r w:rsidRPr="00077A34">
        <w:rPr>
          <w:rFonts w:ascii="Verdana" w:hAnsi="Verdana"/>
          <w:color w:val="000000" w:themeColor="text1"/>
          <w:vertAlign w:val="superscript"/>
          <w:lang w:val="es-ES_tradnl" w:eastAsia="es-ES_tradnl"/>
        </w:rPr>
        <w:footnoteReference w:id="3"/>
      </w:r>
      <w:r w:rsidRPr="00077A34">
        <w:rPr>
          <w:rFonts w:ascii="Verdana" w:eastAsia="Calibri" w:hAnsi="Verdana" w:cs="Arial"/>
          <w:lang w:val="es-MX"/>
        </w:rPr>
        <w:t xml:space="preserve">–, se pondrá de presente toda la información relacionada con la experiencia, capacidad jurídica, capacidad financiera y organizacional, así como la clasificación del proponente. </w:t>
      </w:r>
    </w:p>
    <w:p w14:paraId="5AEFB0F6" w14:textId="77777777" w:rsidR="00D266DD" w:rsidRPr="00077A34" w:rsidRDefault="00D266DD" w:rsidP="00D266DD">
      <w:pPr>
        <w:pStyle w:val="Prrafodelista"/>
        <w:spacing w:after="120" w:line="276" w:lineRule="auto"/>
        <w:jc w:val="both"/>
        <w:rPr>
          <w:rFonts w:ascii="Verdana" w:eastAsia="Calibri" w:hAnsi="Verdana" w:cs="Arial"/>
          <w:lang w:val="es-MX"/>
        </w:rPr>
      </w:pPr>
    </w:p>
    <w:p w14:paraId="1FA9CFD7" w14:textId="77777777" w:rsidR="00060CE2" w:rsidRPr="00077A34" w:rsidRDefault="00D266DD" w:rsidP="00D266DD">
      <w:pPr>
        <w:pStyle w:val="Prrafodelista"/>
        <w:numPr>
          <w:ilvl w:val="0"/>
          <w:numId w:val="20"/>
        </w:numPr>
        <w:spacing w:after="120" w:line="276" w:lineRule="auto"/>
        <w:jc w:val="both"/>
        <w:rPr>
          <w:rFonts w:ascii="Verdana" w:eastAsia="Calibri" w:hAnsi="Verdana" w:cs="Arial"/>
          <w:lang w:val="es-MX"/>
        </w:rPr>
      </w:pPr>
      <w:r w:rsidRPr="00077A34">
        <w:rPr>
          <w:rFonts w:ascii="Verdana" w:eastAsia="Calibri" w:hAnsi="Verdana" w:cs="Arial"/>
          <w:lang w:val="es-MX"/>
        </w:rPr>
        <w:t xml:space="preserve">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w:t>
      </w:r>
    </w:p>
    <w:p w14:paraId="509724BA" w14:textId="77777777" w:rsidR="00060CE2" w:rsidRPr="00077A34" w:rsidRDefault="00060CE2" w:rsidP="00060CE2">
      <w:pPr>
        <w:pStyle w:val="Prrafodelista"/>
        <w:rPr>
          <w:rFonts w:ascii="Verdana" w:eastAsia="Calibri" w:hAnsi="Verdana" w:cs="Arial"/>
          <w:lang w:val="es-MX"/>
        </w:rPr>
      </w:pPr>
    </w:p>
    <w:p w14:paraId="4650EF25" w14:textId="08FE5259" w:rsidR="00D266DD" w:rsidRPr="00077A34" w:rsidRDefault="00D266DD" w:rsidP="00D266DD">
      <w:pPr>
        <w:pStyle w:val="Prrafodelista"/>
        <w:numPr>
          <w:ilvl w:val="0"/>
          <w:numId w:val="20"/>
        </w:numPr>
        <w:spacing w:after="120" w:line="276" w:lineRule="auto"/>
        <w:jc w:val="both"/>
        <w:rPr>
          <w:rFonts w:ascii="Verdana" w:eastAsia="Calibri" w:hAnsi="Verdana" w:cs="Arial"/>
          <w:lang w:val="es-MX"/>
        </w:rPr>
      </w:pPr>
      <w:r w:rsidRPr="00077A34">
        <w:rPr>
          <w:rFonts w:ascii="Verdana" w:eastAsia="Calibri" w:hAnsi="Verdana" w:cs="Arial"/>
          <w:lang w:val="es-MX"/>
        </w:rPr>
        <w:t xml:space="preserve">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dispuestos por la ley y el pliego de condiciones que haya determinado previamente la </w:t>
      </w:r>
      <w:r w:rsidRPr="00077A34">
        <w:rPr>
          <w:rFonts w:ascii="Verdana" w:eastAsia="Calibri" w:hAnsi="Verdana" w:cs="Arial"/>
          <w:lang w:val="es-MX"/>
        </w:rPr>
        <w:lastRenderedPageBreak/>
        <w:t>Entidad Estatal, para que sirvan de prueba, y la Entidad Estatal deberá realizar una verificación directa del cumplimiento de los requisitos habilitantes.</w:t>
      </w:r>
    </w:p>
    <w:p w14:paraId="3BAFBAA4" w14:textId="77777777" w:rsidR="00D266DD" w:rsidRPr="00077A34" w:rsidRDefault="00D266DD" w:rsidP="00D266DD">
      <w:pPr>
        <w:pStyle w:val="Prrafodelista"/>
        <w:spacing w:after="120" w:line="276" w:lineRule="auto"/>
        <w:jc w:val="both"/>
        <w:rPr>
          <w:rFonts w:ascii="Verdana" w:eastAsia="Calibri" w:hAnsi="Verdana" w:cs="Arial"/>
          <w:lang w:val="es-MX"/>
        </w:rPr>
      </w:pPr>
    </w:p>
    <w:p w14:paraId="5B7223A8" w14:textId="77777777" w:rsidR="00D266DD" w:rsidRPr="00077A34" w:rsidRDefault="00D266DD" w:rsidP="00D266DD">
      <w:pPr>
        <w:pStyle w:val="Prrafodelista"/>
        <w:numPr>
          <w:ilvl w:val="0"/>
          <w:numId w:val="20"/>
        </w:numPr>
        <w:spacing w:after="120" w:line="276" w:lineRule="auto"/>
        <w:jc w:val="both"/>
        <w:rPr>
          <w:rFonts w:ascii="Verdana" w:eastAsia="Calibri" w:hAnsi="Verdana" w:cs="Arial"/>
          <w:lang w:val="es-MX"/>
        </w:rPr>
      </w:pPr>
      <w:r w:rsidRPr="00077A34">
        <w:rPr>
          <w:rFonts w:ascii="Verdana" w:eastAsia="Calibri" w:hAnsi="Verdana" w:cs="Arial"/>
          <w:color w:val="000000"/>
          <w:lang w:val="es-MX" w:eastAsia="es-ES_tradnl"/>
        </w:rPr>
        <w:t xml:space="preserve">Ahora bien, dentro de los requisitos habilitantes se destaca la capacidad financiera, la cual </w:t>
      </w:r>
      <w:r w:rsidRPr="00077A34">
        <w:rPr>
          <w:rFonts w:ascii="Verdana" w:eastAsia="Calibri" w:hAnsi="Verdana" w:cs="Arial"/>
          <w:lang w:val="es-MX"/>
        </w:rPr>
        <w:t xml:space="preserve">se deriva del comportamiento contable de la empresa, su liquidez y endeudamiento, para determinar que sus recursos y solidez financiera le permita cumplir los compromisos que adquiera. Como explica esta Agencia en el </w:t>
      </w:r>
      <w:r w:rsidRPr="00077A34">
        <w:rPr>
          <w:rFonts w:ascii="Verdana" w:eastAsia="Calibri" w:hAnsi="Verdana" w:cs="Arial"/>
          <w:i/>
          <w:iCs/>
          <w:lang w:val="es-MX"/>
        </w:rPr>
        <w:t>Manual para determinar y verificar los requisitos habilitantes en los procesos de contratación</w:t>
      </w:r>
      <w:r w:rsidRPr="00077A34">
        <w:rPr>
          <w:rFonts w:ascii="Verdana" w:eastAsia="Calibri" w:hAnsi="Verdana" w:cs="Arial"/>
          <w:lang w:val="es-MX"/>
        </w:rPr>
        <w:t xml:space="preserve">: </w:t>
      </w:r>
      <w:r w:rsidRPr="00077A34">
        <w:rPr>
          <w:rFonts w:ascii="Verdana" w:eastAsia="Calibri" w:hAnsi="Verdana" w:cs="Arial"/>
          <w:i/>
          <w:iCs/>
          <w:lang w:val="es-MX"/>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077A34">
        <w:rPr>
          <w:rFonts w:ascii="Verdana" w:hAnsi="Verdana"/>
          <w:i/>
          <w:iCs/>
          <w:color w:val="000000"/>
          <w:vertAlign w:val="superscript"/>
          <w:lang w:val="es-ES_tradnl" w:eastAsia="es-ES_tradnl"/>
        </w:rPr>
        <w:footnoteReference w:id="4"/>
      </w:r>
      <w:r w:rsidRPr="00077A34">
        <w:rPr>
          <w:rFonts w:ascii="Verdana" w:eastAsia="Calibri" w:hAnsi="Verdana" w:cs="Arial"/>
          <w:i/>
          <w:iCs/>
          <w:color w:val="000000"/>
          <w:lang w:val="es-ES_tradnl" w:eastAsia="es-ES_tradnl"/>
        </w:rPr>
        <w:t>.</w:t>
      </w:r>
      <w:r w:rsidRPr="00077A34">
        <w:rPr>
          <w:rFonts w:ascii="Verdana" w:eastAsia="Calibri" w:hAnsi="Verdana" w:cs="Arial"/>
          <w:color w:val="000000"/>
          <w:lang w:val="es-MX" w:eastAsia="es-ES_tradnl"/>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077A34">
        <w:rPr>
          <w:rFonts w:ascii="Verdana" w:hAnsi="Verdana"/>
          <w:color w:val="000000"/>
          <w:vertAlign w:val="superscript"/>
          <w:lang w:val="es-MX" w:eastAsia="es-ES_tradnl"/>
        </w:rPr>
        <w:footnoteReference w:id="5"/>
      </w:r>
      <w:r w:rsidRPr="00077A34">
        <w:rPr>
          <w:rFonts w:ascii="Verdana" w:eastAsia="Calibri" w:hAnsi="Verdana" w:cs="Arial"/>
          <w:color w:val="000000"/>
          <w:lang w:val="es-MX" w:eastAsia="es-ES_tradnl"/>
        </w:rPr>
        <w:t xml:space="preserve"> y sus componentes como la identificación de riesgos, el mercado y precio del bien, obra o servicio a contratar</w:t>
      </w:r>
      <w:r w:rsidRPr="00077A34">
        <w:rPr>
          <w:rFonts w:ascii="Verdana" w:hAnsi="Verdana"/>
          <w:color w:val="000000"/>
          <w:vertAlign w:val="superscript"/>
          <w:lang w:val="es-MX" w:eastAsia="es-ES_tradnl"/>
        </w:rPr>
        <w:footnoteReference w:id="6"/>
      </w:r>
      <w:r w:rsidRPr="00077A34">
        <w:rPr>
          <w:rFonts w:ascii="Verdana" w:eastAsia="Calibri" w:hAnsi="Verdana" w:cs="Arial"/>
          <w:color w:val="000000"/>
          <w:lang w:val="es-MX" w:eastAsia="es-ES_tradnl"/>
        </w:rPr>
        <w:t>.</w:t>
      </w:r>
    </w:p>
    <w:p w14:paraId="6C82110C" w14:textId="77777777" w:rsidR="00CC3535" w:rsidRPr="00077A34" w:rsidRDefault="00CC3535" w:rsidP="00CC3535">
      <w:pPr>
        <w:pStyle w:val="Prrafodelista"/>
        <w:spacing w:after="120" w:line="276" w:lineRule="auto"/>
        <w:jc w:val="both"/>
        <w:rPr>
          <w:rFonts w:ascii="Verdana" w:eastAsia="Calibri" w:hAnsi="Verdana" w:cs="Arial"/>
          <w:lang w:val="es-MX"/>
        </w:rPr>
      </w:pPr>
    </w:p>
    <w:p w14:paraId="0A5CB355" w14:textId="77777777" w:rsidR="00D266DD" w:rsidRPr="00077A34" w:rsidRDefault="00D266DD" w:rsidP="00D266DD">
      <w:pPr>
        <w:pStyle w:val="Prrafodelista"/>
        <w:numPr>
          <w:ilvl w:val="0"/>
          <w:numId w:val="20"/>
        </w:numPr>
        <w:spacing w:before="120" w:after="120" w:line="276" w:lineRule="auto"/>
        <w:jc w:val="both"/>
        <w:rPr>
          <w:rFonts w:ascii="Verdana" w:eastAsia="Calibri" w:hAnsi="Verdana" w:cs="Arial"/>
          <w:color w:val="000000"/>
          <w:lang w:val="es-ES_tradnl" w:eastAsia="es-ES_tradnl"/>
        </w:rPr>
      </w:pPr>
      <w:r w:rsidRPr="00077A34">
        <w:rPr>
          <w:rFonts w:ascii="Verdana" w:eastAsia="Calibri" w:hAnsi="Verdana" w:cs="Arial"/>
          <w:color w:val="000000"/>
          <w:lang w:val="es-ES_tradnl" w:eastAsia="es-ES_tradnl"/>
        </w:rPr>
        <w:t xml:space="preserve">De conformidad con lo dispuesto en los artículos 5, numeral 1 de la Ley 1150 de 2007 y 2.2.1.1.1.5.3 del Decreto 1082 de 2015, por regla general, la acreditación del requisito habilitante de capacidad financiera </w:t>
      </w:r>
      <w:r w:rsidRPr="00077A34">
        <w:rPr>
          <w:rFonts w:ascii="Verdana" w:eastAsia="Calibri" w:hAnsi="Verdana" w:cs="Arial"/>
          <w:color w:val="000000"/>
          <w:lang w:val="es-ES_tradnl" w:eastAsia="es-ES_tradnl"/>
        </w:rPr>
        <w:lastRenderedPageBreak/>
        <w:t xml:space="preserve">se realiza a través del RUP. En atención a esto, para los tramites de inscripción, renovación y actualización el numeral 2.3 del artículo 2.2.1.1.1.5.2 del Decreto 1082 de 2015 exige la presentación de los </w:t>
      </w:r>
      <w:r w:rsidRPr="00077A34">
        <w:rPr>
          <w:rFonts w:ascii="Verdana" w:eastAsia="Calibri" w:hAnsi="Verdana" w:cs="Arial"/>
          <w:i/>
          <w:iCs/>
          <w:color w:val="000000"/>
          <w:lang w:val="es-ES_tradnl" w:eastAsia="es-ES_tradnl"/>
        </w:rPr>
        <w:t>“</w:t>
      </w:r>
      <w:r w:rsidRPr="00077A34">
        <w:rPr>
          <w:rFonts w:ascii="Verdana" w:hAnsi="Verdana" w:cs="Arial"/>
          <w:i/>
          <w:iCs/>
          <w:color w:val="000000"/>
        </w:rPr>
        <w:t>Estados financieros de la sociedad y los estados financieros consolidados del grupo empresarial, cuando la norma aplicable lo exige, auditados con sus notas […]”</w:t>
      </w:r>
      <w:r w:rsidRPr="00077A34">
        <w:rPr>
          <w:rFonts w:ascii="Verdana" w:eastAsia="Calibri" w:hAnsi="Verdana" w:cs="Arial"/>
          <w:color w:val="000000"/>
          <w:lang w:val="es-ES_tradnl" w:eastAsia="es-ES_tradnl"/>
        </w:rPr>
        <w:t>, además de unos anexos dirigidos a servir de medio de verificación de la salud financiera de los proponentes</w:t>
      </w:r>
      <w:r w:rsidRPr="00077A34">
        <w:rPr>
          <w:rStyle w:val="Refdenotaalpie"/>
          <w:rFonts w:ascii="Verdana" w:eastAsia="Calibri" w:hAnsi="Verdana" w:cs="Arial"/>
          <w:color w:val="000000"/>
          <w:lang w:val="es-ES_tradnl" w:eastAsia="es-ES_tradnl"/>
        </w:rPr>
        <w:footnoteReference w:id="7"/>
      </w:r>
      <w:r w:rsidRPr="00077A34">
        <w:rPr>
          <w:rFonts w:ascii="Verdana" w:eastAsia="Calibri" w:hAnsi="Verdana" w:cs="Arial"/>
          <w:color w:val="000000"/>
          <w:lang w:val="es-ES_tradnl" w:eastAsia="es-ES_tradnl"/>
        </w:rPr>
        <w:t xml:space="preserve">.  De este modo, lo que se verifica con el registro es que el proponente cumpla con los indicadores financieros solicitados por la entidad para medir la capacidad financiera requerida para el procedimiento de selección. </w:t>
      </w:r>
    </w:p>
    <w:p w14:paraId="5C601347" w14:textId="77777777" w:rsidR="00D266DD" w:rsidRPr="00077A34" w:rsidRDefault="00D266DD" w:rsidP="00D266DD">
      <w:pPr>
        <w:pStyle w:val="Prrafodelista"/>
        <w:spacing w:before="120" w:after="120" w:line="276" w:lineRule="auto"/>
        <w:jc w:val="both"/>
        <w:rPr>
          <w:rFonts w:ascii="Verdana" w:eastAsia="Calibri" w:hAnsi="Verdana" w:cs="Arial"/>
          <w:color w:val="000000"/>
          <w:lang w:val="es-ES_tradnl" w:eastAsia="es-ES_tradnl"/>
        </w:rPr>
      </w:pPr>
    </w:p>
    <w:p w14:paraId="19674426" w14:textId="77777777" w:rsidR="00D266DD" w:rsidRPr="00077A34" w:rsidRDefault="00D266DD" w:rsidP="00D266DD">
      <w:pPr>
        <w:pStyle w:val="Prrafodelista"/>
        <w:numPr>
          <w:ilvl w:val="0"/>
          <w:numId w:val="20"/>
        </w:numPr>
        <w:spacing w:before="120" w:after="120" w:line="276" w:lineRule="auto"/>
        <w:jc w:val="both"/>
        <w:rPr>
          <w:rFonts w:ascii="Verdana" w:eastAsia="Calibri" w:hAnsi="Verdana" w:cs="Arial"/>
          <w:color w:val="000000"/>
          <w:lang w:val="es-ES_tradnl" w:eastAsia="es-ES_tradnl"/>
        </w:rPr>
      </w:pPr>
      <w:r w:rsidRPr="00077A34">
        <w:rPr>
          <w:rFonts w:ascii="Verdana" w:eastAsia="Calibri" w:hAnsi="Verdana" w:cs="Arial"/>
          <w:color w:val="000000"/>
          <w:lang w:eastAsia="es-ES"/>
        </w:rPr>
        <w:t xml:space="preserve">Según el artículo 2.2.1.1.1.5.3. del Decreto 1082 de 2015, el RUP contempla como indicadores de capacidad financiera los siguientes: i) el </w:t>
      </w:r>
      <w:r w:rsidRPr="00077A34">
        <w:rPr>
          <w:rFonts w:ascii="Verdana" w:eastAsia="Calibri" w:hAnsi="Verdana" w:cs="Arial"/>
          <w:i/>
          <w:iCs/>
          <w:color w:val="000000"/>
          <w:lang w:eastAsia="es-ES"/>
        </w:rPr>
        <w:t>índice de liquidez</w:t>
      </w:r>
      <w:r w:rsidRPr="00077A34">
        <w:rPr>
          <w:rFonts w:ascii="Verdana" w:eastAsia="Calibri" w:hAnsi="Verdana" w:cs="Arial"/>
          <w:color w:val="000000"/>
          <w:lang w:eastAsia="es-ES"/>
        </w:rPr>
        <w:t xml:space="preserve">, que corresponde a la división entre el activo corriente y el pasivo corriente, y que determina la capacidad que tiene el proponente para cumplir con sus obligaciones de corto plazo; ii) el </w:t>
      </w:r>
      <w:r w:rsidRPr="00077A34">
        <w:rPr>
          <w:rFonts w:ascii="Verdana" w:eastAsia="Calibri" w:hAnsi="Verdana" w:cs="Arial"/>
          <w:i/>
          <w:iCs/>
          <w:color w:val="000000"/>
          <w:lang w:eastAsia="es-ES"/>
        </w:rPr>
        <w:t>índice de endeudamiento</w:t>
      </w:r>
      <w:r w:rsidRPr="00077A34">
        <w:rPr>
          <w:rFonts w:ascii="Verdana" w:eastAsia="Calibri" w:hAnsi="Verdana" w:cs="Arial"/>
          <w:color w:val="000000"/>
          <w:lang w:eastAsia="es-ES"/>
        </w:rPr>
        <w:t xml:space="preserve">, que se calcula dividiendo el pasivo total por el activo total, el cual determina el grado de endeudamiento en la estructura de financiación del proponente; y iii) la </w:t>
      </w:r>
      <w:r w:rsidRPr="00077A34">
        <w:rPr>
          <w:rFonts w:ascii="Verdana" w:eastAsia="Calibri" w:hAnsi="Verdana" w:cs="Arial"/>
          <w:i/>
          <w:iCs/>
          <w:color w:val="000000"/>
          <w:lang w:eastAsia="es-ES"/>
        </w:rPr>
        <w:t>razón de cobertura de intereses</w:t>
      </w:r>
      <w:r w:rsidRPr="00077A34">
        <w:rPr>
          <w:rFonts w:ascii="Verdana" w:eastAsia="Calibri" w:hAnsi="Verdana" w:cs="Arial"/>
          <w:color w:val="000000"/>
          <w:lang w:eastAsia="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w:t>
      </w:r>
      <w:r w:rsidRPr="00077A34">
        <w:rPr>
          <w:rFonts w:ascii="Verdana" w:eastAsia="Calibri" w:hAnsi="Verdana" w:cs="Arial"/>
          <w:color w:val="000000"/>
          <w:lang w:eastAsia="es-ES"/>
        </w:rPr>
        <w:lastRenderedPageBreak/>
        <w:t xml:space="preserve">como el </w:t>
      </w:r>
      <w:r w:rsidRPr="00077A34">
        <w:rPr>
          <w:rFonts w:ascii="Verdana" w:eastAsia="Calibri" w:hAnsi="Verdana" w:cs="Arial"/>
          <w:i/>
          <w:iCs/>
          <w:color w:val="000000"/>
          <w:lang w:eastAsia="es-ES"/>
        </w:rPr>
        <w:t>capital de trabajo</w:t>
      </w:r>
      <w:r w:rsidRPr="00077A34">
        <w:rPr>
          <w:rFonts w:ascii="Verdana" w:eastAsia="Calibri" w:hAnsi="Verdana" w:cs="Arial"/>
          <w:color w:val="000000"/>
          <w:lang w:eastAsia="es-ES"/>
        </w:rPr>
        <w:t xml:space="preserve">, la </w:t>
      </w:r>
      <w:r w:rsidRPr="00077A34">
        <w:rPr>
          <w:rFonts w:ascii="Verdana" w:eastAsia="Calibri" w:hAnsi="Verdana" w:cs="Arial"/>
          <w:i/>
          <w:iCs/>
          <w:color w:val="000000"/>
          <w:lang w:eastAsia="es-ES"/>
        </w:rPr>
        <w:t>razón de efectivo</w:t>
      </w:r>
      <w:r w:rsidRPr="00077A34">
        <w:rPr>
          <w:rFonts w:ascii="Verdana" w:eastAsia="Calibri" w:hAnsi="Verdana" w:cs="Arial"/>
          <w:color w:val="000000"/>
          <w:lang w:eastAsia="es-ES"/>
        </w:rPr>
        <w:t xml:space="preserve">, la denominada </w:t>
      </w:r>
      <w:r w:rsidRPr="00077A34">
        <w:rPr>
          <w:rFonts w:ascii="Verdana" w:eastAsia="Calibri" w:hAnsi="Verdana" w:cs="Arial"/>
          <w:i/>
          <w:iCs/>
          <w:color w:val="000000"/>
          <w:lang w:eastAsia="es-ES"/>
        </w:rPr>
        <w:t>prueba ácida</w:t>
      </w:r>
      <w:r w:rsidRPr="00077A34">
        <w:rPr>
          <w:rFonts w:ascii="Verdana" w:hAnsi="Verdana"/>
          <w:vertAlign w:val="superscript"/>
          <w:lang w:eastAsia="es-ES"/>
        </w:rPr>
        <w:footnoteReference w:id="8"/>
      </w:r>
      <w:r w:rsidRPr="00077A34">
        <w:rPr>
          <w:rFonts w:ascii="Verdana" w:eastAsia="Calibri" w:hAnsi="Verdana" w:cs="Arial"/>
          <w:color w:val="000000"/>
          <w:lang w:eastAsia="es-ES"/>
        </w:rPr>
        <w:t xml:space="preserve">, la </w:t>
      </w:r>
      <w:r w:rsidRPr="00077A34">
        <w:rPr>
          <w:rFonts w:ascii="Verdana" w:eastAsia="Calibri" w:hAnsi="Verdana" w:cs="Arial"/>
          <w:i/>
          <w:iCs/>
          <w:color w:val="000000"/>
          <w:lang w:eastAsia="es-ES"/>
        </w:rPr>
        <w:t xml:space="preserve">concentración de endeudamiento a corto </w:t>
      </w:r>
      <w:r w:rsidRPr="00077A34">
        <w:rPr>
          <w:rFonts w:ascii="Verdana" w:eastAsia="Calibri" w:hAnsi="Verdana" w:cs="Arial"/>
          <w:color w:val="000000"/>
          <w:lang w:eastAsia="es-ES"/>
        </w:rPr>
        <w:t>y</w:t>
      </w:r>
      <w:r w:rsidRPr="00077A34">
        <w:rPr>
          <w:rFonts w:ascii="Verdana" w:eastAsia="Calibri" w:hAnsi="Verdana" w:cs="Arial"/>
          <w:i/>
          <w:iCs/>
          <w:color w:val="000000"/>
          <w:lang w:eastAsia="es-ES"/>
        </w:rPr>
        <w:t xml:space="preserve"> a largo plazo</w:t>
      </w:r>
      <w:r w:rsidRPr="00077A34">
        <w:rPr>
          <w:rFonts w:ascii="Verdana" w:eastAsia="Calibri" w:hAnsi="Verdana" w:cs="Arial"/>
          <w:color w:val="000000"/>
          <w:lang w:eastAsia="es-ES"/>
        </w:rPr>
        <w:t xml:space="preserve"> y el </w:t>
      </w:r>
      <w:r w:rsidRPr="00077A34">
        <w:rPr>
          <w:rFonts w:ascii="Verdana" w:eastAsia="Calibri" w:hAnsi="Verdana" w:cs="Arial"/>
          <w:i/>
          <w:iCs/>
          <w:color w:val="000000"/>
          <w:lang w:eastAsia="es-ES"/>
        </w:rPr>
        <w:t>patrimonio</w:t>
      </w:r>
      <w:r w:rsidRPr="00077A34">
        <w:rPr>
          <w:rFonts w:ascii="Verdana" w:hAnsi="Verdana"/>
          <w:i/>
          <w:iCs/>
          <w:vertAlign w:val="superscript"/>
          <w:lang w:eastAsia="es-ES"/>
        </w:rPr>
        <w:footnoteReference w:id="9"/>
      </w:r>
      <w:r w:rsidRPr="00077A34">
        <w:rPr>
          <w:rFonts w:ascii="Verdana" w:eastAsia="Calibri" w:hAnsi="Verdana" w:cs="Arial"/>
          <w:color w:val="000000"/>
          <w:lang w:eastAsia="es-ES"/>
        </w:rPr>
        <w:t>.</w:t>
      </w:r>
    </w:p>
    <w:p w14:paraId="29AE1790" w14:textId="77777777" w:rsidR="00D266DD" w:rsidRPr="00077A34" w:rsidRDefault="00D266DD" w:rsidP="00D266DD">
      <w:pPr>
        <w:pStyle w:val="Prrafodelista"/>
        <w:rPr>
          <w:rFonts w:ascii="Verdana" w:eastAsia="Calibri" w:hAnsi="Verdana" w:cs="Arial"/>
          <w:color w:val="000000" w:themeColor="text1"/>
          <w:lang w:val="es-ES_tradnl" w:eastAsia="es-ES_tradnl"/>
        </w:rPr>
      </w:pPr>
    </w:p>
    <w:p w14:paraId="187BDC6B" w14:textId="7802F2FC" w:rsidR="00D266DD" w:rsidRPr="00077A34" w:rsidRDefault="00D266DD" w:rsidP="00D266DD">
      <w:pPr>
        <w:pStyle w:val="Prrafodelista"/>
        <w:numPr>
          <w:ilvl w:val="0"/>
          <w:numId w:val="20"/>
        </w:numPr>
        <w:spacing w:before="120" w:after="120" w:line="276" w:lineRule="auto"/>
        <w:jc w:val="both"/>
        <w:rPr>
          <w:rFonts w:ascii="Verdana" w:eastAsia="Calibri" w:hAnsi="Verdana" w:cs="Arial"/>
          <w:color w:val="000000"/>
          <w:lang w:eastAsia="es-ES"/>
        </w:rPr>
      </w:pPr>
      <w:r w:rsidRPr="6AF64649">
        <w:rPr>
          <w:rFonts w:ascii="Verdana" w:eastAsia="Calibri" w:hAnsi="Verdana" w:cs="Arial"/>
          <w:color w:val="000000" w:themeColor="text1"/>
          <w:lang w:eastAsia="es-ES"/>
        </w:rPr>
        <w:t>En línea con lo expuesto, es importante tener en cuenta que el numeral 3 del artículo 2.2.1.1.1.5.3. del Decreto 1082 de 2015 se refiere a los aspectos 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58AE2BA8" w14:textId="77777777" w:rsidR="002707A2" w:rsidRPr="00077A34" w:rsidRDefault="002707A2" w:rsidP="00E245AB">
      <w:pPr>
        <w:spacing w:after="0"/>
        <w:jc w:val="both"/>
        <w:rPr>
          <w:rStyle w:val="Hipervnculo"/>
          <w:rFonts w:ascii="Verdana" w:hAnsi="Verdana"/>
        </w:rPr>
      </w:pPr>
    </w:p>
    <w:p w14:paraId="17DD841C" w14:textId="77777777" w:rsidR="00BF3A62" w:rsidRPr="00077A34" w:rsidRDefault="00BF3A62" w:rsidP="00BF3A62">
      <w:pPr>
        <w:pStyle w:val="Prrafodelista"/>
        <w:numPr>
          <w:ilvl w:val="0"/>
          <w:numId w:val="18"/>
        </w:numPr>
        <w:tabs>
          <w:tab w:val="left" w:pos="142"/>
          <w:tab w:val="left" w:pos="284"/>
        </w:tabs>
        <w:spacing w:after="0" w:line="276" w:lineRule="auto"/>
        <w:ind w:left="360"/>
        <w:jc w:val="both"/>
        <w:rPr>
          <w:rFonts w:ascii="Verdana" w:eastAsia="Century Gothic" w:hAnsi="Verdana" w:cs="Arial"/>
          <w:b/>
          <w:bCs/>
        </w:rPr>
      </w:pPr>
      <w:r w:rsidRPr="00077A34">
        <w:rPr>
          <w:rFonts w:ascii="Verdana" w:eastAsia="Century Gothic" w:hAnsi="Verdana" w:cs="Arial"/>
          <w:b/>
          <w:bCs/>
        </w:rPr>
        <w:t>Referencias normativas, jurisprudenciales y otras fuentes:</w:t>
      </w:r>
    </w:p>
    <w:p w14:paraId="2821EDBB" w14:textId="77777777" w:rsidR="00BF3A62" w:rsidRPr="00077A34" w:rsidRDefault="00BF3A62" w:rsidP="00BF3A6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F3A62" w:rsidRPr="00077A34" w14:paraId="7886E197" w14:textId="77777777" w:rsidTr="00D8669F">
        <w:trPr>
          <w:trHeight w:val="870"/>
        </w:trPr>
        <w:tc>
          <w:tcPr>
            <w:tcW w:w="8647" w:type="dxa"/>
          </w:tcPr>
          <w:p w14:paraId="7547D051" w14:textId="318FB00B" w:rsidR="00760D3B" w:rsidRPr="00077A34" w:rsidRDefault="00760D3B" w:rsidP="00D866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077A34">
              <w:rPr>
                <w:rFonts w:ascii="Verdana" w:eastAsia="Calibri" w:hAnsi="Verdana" w:cs="Arial"/>
                <w:color w:val="000000" w:themeColor="text1"/>
                <w:lang w:eastAsia="es-ES"/>
              </w:rPr>
              <w:t xml:space="preserve">Ley 1150 de 2007. Artículo </w:t>
            </w:r>
            <w:r w:rsidR="00994A74" w:rsidRPr="00077A34">
              <w:rPr>
                <w:rFonts w:ascii="Verdana" w:eastAsia="Calibri" w:hAnsi="Verdana" w:cs="Arial"/>
                <w:color w:val="000000" w:themeColor="text1"/>
                <w:lang w:eastAsia="es-ES"/>
              </w:rPr>
              <w:t>5. Parágrafos del 1º al 4º. Artículo 6</w:t>
            </w:r>
          </w:p>
          <w:p w14:paraId="68A8D8E8" w14:textId="41DBA623" w:rsidR="00BF3A62" w:rsidRPr="00077A34" w:rsidRDefault="003F21FA" w:rsidP="00D866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077A34">
              <w:rPr>
                <w:rFonts w:ascii="Verdana" w:hAnsi="Verdana" w:cs="Arial"/>
                <w:color w:val="000000" w:themeColor="text1"/>
              </w:rPr>
              <w:t>Decreto 1082 de 2015. Artículo</w:t>
            </w:r>
            <w:r w:rsidR="00656138" w:rsidRPr="00077A34">
              <w:rPr>
                <w:rFonts w:ascii="Verdana" w:hAnsi="Verdana" w:cs="Arial"/>
                <w:color w:val="000000" w:themeColor="text1"/>
              </w:rPr>
              <w:t>s</w:t>
            </w:r>
            <w:r w:rsidRPr="00077A34">
              <w:rPr>
                <w:rFonts w:ascii="Verdana" w:hAnsi="Verdana" w:cs="Arial"/>
                <w:color w:val="000000" w:themeColor="text1"/>
              </w:rPr>
              <w:t xml:space="preserve"> </w:t>
            </w:r>
            <w:r w:rsidR="00746B9D" w:rsidRPr="00077A34">
              <w:rPr>
                <w:rFonts w:ascii="Verdana" w:eastAsia="Calibri" w:hAnsi="Verdana" w:cs="Arial"/>
                <w:color w:val="000000"/>
                <w:lang w:val="es-MX" w:eastAsia="es-ES_tradnl"/>
              </w:rPr>
              <w:t>2.2.1.1.1.6.2</w:t>
            </w:r>
            <w:r w:rsidR="00656138" w:rsidRPr="00077A34">
              <w:rPr>
                <w:rFonts w:ascii="Verdana" w:eastAsia="Calibri" w:hAnsi="Verdana" w:cs="Arial"/>
                <w:color w:val="000000"/>
                <w:lang w:val="es-MX" w:eastAsia="es-ES_tradnl"/>
              </w:rPr>
              <w:t xml:space="preserve"> y </w:t>
            </w:r>
            <w:r w:rsidR="006B72EC" w:rsidRPr="00077A34">
              <w:rPr>
                <w:rFonts w:ascii="Verdana" w:eastAsia="Calibri" w:hAnsi="Verdana" w:cs="Arial"/>
                <w:color w:val="000000"/>
                <w:lang w:val="es-ES_tradnl" w:eastAsia="es-ES_tradnl"/>
              </w:rPr>
              <w:t xml:space="preserve">2.2.1.1.1.5.2 </w:t>
            </w:r>
            <w:r w:rsidR="00656138" w:rsidRPr="00077A34">
              <w:rPr>
                <w:rFonts w:ascii="Verdana" w:eastAsia="Calibri" w:hAnsi="Verdana" w:cs="Arial"/>
                <w:color w:val="000000"/>
                <w:lang w:val="es-ES_tradnl" w:eastAsia="es-ES_tradnl"/>
              </w:rPr>
              <w:t>numeral 2.3.</w:t>
            </w:r>
          </w:p>
          <w:p w14:paraId="634C66FC" w14:textId="77FE3A8A" w:rsidR="00BF3A62" w:rsidRPr="00077A34" w:rsidRDefault="00077A34" w:rsidP="00D866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520012">
              <w:rPr>
                <w:rFonts w:ascii="Verdana" w:hAnsi="Verdana" w:cs="Arial"/>
                <w:b/>
                <w:bCs/>
                <w:lang w:val="es-CO"/>
              </w:rPr>
              <w:t>Guía de Elaboración de Estudios del Sector</w:t>
            </w:r>
            <w:r w:rsidRPr="00077A34">
              <w:rPr>
                <w:rFonts w:ascii="Verdana" w:hAnsi="Verdana" w:cs="Arial"/>
                <w:lang w:val="es-CO"/>
              </w:rPr>
              <w:t xml:space="preserve">. Disponible en: </w:t>
            </w:r>
            <w:hyperlink r:id="rId13" w:history="1">
              <w:r w:rsidRPr="00077A34">
                <w:rPr>
                  <w:rStyle w:val="Hipervnculo"/>
                  <w:rFonts w:ascii="Verdana" w:hAnsi="Verdana" w:cs="Arial"/>
                  <w:lang w:val="es-CO"/>
                </w:rPr>
                <w:t>GUÍA DE ELABORACIÓN DE ESTUDIOS DEL SECTOR</w:t>
              </w:r>
            </w:hyperlink>
          </w:p>
          <w:p w14:paraId="0517AE50" w14:textId="1DB37363" w:rsidR="00BF3A62" w:rsidRPr="00077A34" w:rsidRDefault="00077A34" w:rsidP="00D8669F">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520012">
              <w:rPr>
                <w:rFonts w:ascii="Verdana" w:hAnsi="Verdana" w:cs="Arial"/>
                <w:b/>
                <w:bCs/>
                <w:lang w:val="es-CO"/>
              </w:rPr>
              <w:t>Guía para Determinar y verificar los requisitos habilitantes en los procesos de contratación</w:t>
            </w:r>
            <w:r w:rsidR="00BF3A62" w:rsidRPr="00077A34">
              <w:rPr>
                <w:rFonts w:ascii="Verdana" w:hAnsi="Verdana" w:cs="Arial"/>
                <w:lang w:val="es-CO"/>
              </w:rPr>
              <w:t>.</w:t>
            </w:r>
            <w:r w:rsidRPr="00077A34">
              <w:rPr>
                <w:rFonts w:ascii="Verdana" w:hAnsi="Verdana" w:cs="Arial"/>
                <w:lang w:val="es-CO"/>
              </w:rPr>
              <w:t xml:space="preserve"> Disponible en: </w:t>
            </w:r>
            <w:hyperlink r:id="rId14" w:history="1">
              <w:r w:rsidRPr="00077A34">
                <w:rPr>
                  <w:rStyle w:val="Hipervnculo"/>
                  <w:rFonts w:ascii="Verdana" w:hAnsi="Verdana" w:cs="Arial"/>
                  <w:lang w:val="es-CO"/>
                </w:rPr>
                <w:t>GUÍA PARA DETERMINAR Y VERIFICAR LOS REQUISITOS HABILITANTES</w:t>
              </w:r>
            </w:hyperlink>
          </w:p>
        </w:tc>
      </w:tr>
    </w:tbl>
    <w:p w14:paraId="69895657" w14:textId="77777777" w:rsidR="00BF3A62" w:rsidRPr="00077A34" w:rsidRDefault="00BF3A62" w:rsidP="00BF3A62">
      <w:pPr>
        <w:spacing w:before="120" w:line="276" w:lineRule="auto"/>
        <w:jc w:val="both"/>
        <w:rPr>
          <w:rFonts w:ascii="Verdana" w:eastAsia="Calibri" w:hAnsi="Verdana" w:cs="Arial"/>
          <w:color w:val="000000"/>
          <w:lang w:eastAsia="es-ES" w:bidi="es-ES"/>
        </w:rPr>
      </w:pPr>
    </w:p>
    <w:p w14:paraId="54C22471" w14:textId="77777777" w:rsidR="00BF3A62" w:rsidRPr="00077A34" w:rsidRDefault="00BF3A62" w:rsidP="00BF3A62">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077A34">
        <w:rPr>
          <w:rFonts w:ascii="Verdana" w:eastAsia="Century Gothic" w:hAnsi="Verdana" w:cs="Arial"/>
          <w:b/>
          <w:bCs/>
        </w:rPr>
        <w:t>Doctrina de la Agencia Nacional de Contratación Pública:</w:t>
      </w:r>
    </w:p>
    <w:p w14:paraId="36FCDEEA" w14:textId="77777777" w:rsidR="00BF3A62" w:rsidRPr="00077A34" w:rsidRDefault="00BF3A62" w:rsidP="00BF3A62">
      <w:pPr>
        <w:widowControl w:val="0"/>
        <w:autoSpaceDE w:val="0"/>
        <w:autoSpaceDN w:val="0"/>
        <w:spacing w:after="0" w:line="276" w:lineRule="auto"/>
        <w:jc w:val="both"/>
        <w:rPr>
          <w:rFonts w:ascii="Verdana" w:hAnsi="Verdana" w:cs="Arial"/>
        </w:rPr>
      </w:pPr>
    </w:p>
    <w:p w14:paraId="1E008503" w14:textId="272932EE" w:rsidR="00BF3A62" w:rsidRPr="00077A34" w:rsidRDefault="00BF3A62" w:rsidP="00BF3A62">
      <w:pPr>
        <w:widowControl w:val="0"/>
        <w:autoSpaceDE w:val="0"/>
        <w:autoSpaceDN w:val="0"/>
        <w:spacing w:after="0" w:line="276" w:lineRule="auto"/>
        <w:jc w:val="both"/>
        <w:rPr>
          <w:rFonts w:ascii="Verdana" w:hAnsi="Verdana" w:cs="Arial"/>
        </w:rPr>
      </w:pPr>
      <w:r w:rsidRPr="00077A34">
        <w:rPr>
          <w:rFonts w:ascii="Verdana" w:hAnsi="Verdana" w:cs="Arial"/>
        </w:rPr>
        <w:t>Sobre el ámbito de la consulta, esta Subdirección se ha pronunciado sobre</w:t>
      </w:r>
      <w:r w:rsidR="00202BDE" w:rsidRPr="00077A34">
        <w:rPr>
          <w:rFonts w:ascii="Verdana" w:hAnsi="Verdana" w:cs="Arial"/>
        </w:rPr>
        <w:t xml:space="preserve"> la capacidad financiera como requisito habilitante en los conceptos Nro.</w:t>
      </w:r>
      <w:r w:rsidR="00837D36" w:rsidRPr="00077A34">
        <w:rPr>
          <w:rFonts w:ascii="Verdana" w:hAnsi="Verdana" w:cs="Arial"/>
        </w:rPr>
        <w:t xml:space="preserve"> 4201912000006798 del 24 de octubre de 2019, C-002 del 12 de febrero de 2020, C-089 del 4 de marzo de 2020, C-099 del 06 de abril de 2020, C-166 del 14 de abril de 2020, C-233 del 16 de abril de 2020, C-326 del 9 de junio de 2020, C-140 del 9 de abril de 2021</w:t>
      </w:r>
      <w:r w:rsidR="006E0999" w:rsidRPr="00077A34">
        <w:rPr>
          <w:rFonts w:ascii="Verdana" w:hAnsi="Verdana" w:cs="Arial"/>
        </w:rPr>
        <w:t xml:space="preserve">, C-215 del 27 de junio del 2023, </w:t>
      </w:r>
      <w:r w:rsidR="004C3831" w:rsidRPr="00077A34">
        <w:rPr>
          <w:rFonts w:ascii="Verdana" w:hAnsi="Verdana" w:cs="Arial"/>
        </w:rPr>
        <w:t>C-006</w:t>
      </w:r>
      <w:r w:rsidR="00D724D7" w:rsidRPr="00077A34">
        <w:rPr>
          <w:rFonts w:ascii="Verdana" w:hAnsi="Verdana" w:cs="Arial"/>
        </w:rPr>
        <w:t xml:space="preserve"> del 14 de marzo del 2024, C-026 del 02 de abril del 2024, </w:t>
      </w:r>
      <w:r w:rsidR="00C2782E" w:rsidRPr="00077A34">
        <w:rPr>
          <w:rFonts w:ascii="Verdana" w:hAnsi="Verdana" w:cs="Arial"/>
        </w:rPr>
        <w:t>C-028 del 22 de marzo del 2024, C-029</w:t>
      </w:r>
      <w:r w:rsidR="004617E1" w:rsidRPr="00077A34">
        <w:rPr>
          <w:rFonts w:ascii="Verdana" w:hAnsi="Verdana" w:cs="Arial"/>
        </w:rPr>
        <w:t xml:space="preserve"> 02 de abril del 2024, C-333 del 27 de agosto del 2024,</w:t>
      </w:r>
      <w:r w:rsidR="002124D9" w:rsidRPr="00077A34">
        <w:rPr>
          <w:rFonts w:ascii="Verdana" w:hAnsi="Verdana" w:cs="Arial"/>
        </w:rPr>
        <w:t xml:space="preserve"> C-334 del  27 de agosto del 2024, C-530 del 04 de octubre del 2024, </w:t>
      </w:r>
      <w:r w:rsidR="0027503A" w:rsidRPr="00077A34">
        <w:rPr>
          <w:rFonts w:ascii="Verdana" w:hAnsi="Verdana" w:cs="Arial"/>
        </w:rPr>
        <w:t>C-595 del 24 de octubre del 2024, C-865</w:t>
      </w:r>
      <w:r w:rsidR="00DE595D" w:rsidRPr="00077A34">
        <w:rPr>
          <w:rFonts w:ascii="Verdana" w:hAnsi="Verdana" w:cs="Arial"/>
        </w:rPr>
        <w:t xml:space="preserve"> del 30 de diciembre del 2024, C-899 del 30 de diciembre del 2024 y </w:t>
      </w:r>
      <w:r w:rsidR="00D66873" w:rsidRPr="00077A34">
        <w:rPr>
          <w:rFonts w:ascii="Verdana" w:hAnsi="Verdana" w:cs="Arial"/>
        </w:rPr>
        <w:t>C-996 del 29 de enero del 2025</w:t>
      </w:r>
      <w:r w:rsidRPr="00077A34">
        <w:rPr>
          <w:rFonts w:ascii="Verdana" w:hAnsi="Verdana" w:cs="Arial"/>
        </w:rPr>
        <w:t xml:space="preserve">. </w:t>
      </w:r>
      <w:r w:rsidRPr="00077A34">
        <w:rPr>
          <w:rStyle w:val="normaltextrun"/>
          <w:rFonts w:ascii="Verdana" w:hAnsi="Verdana" w:cs="Arial"/>
          <w:shd w:val="clear" w:color="auto" w:fill="FFFFFF"/>
          <w:lang w:val="es-ES"/>
        </w:rPr>
        <w:t>Es</w:t>
      </w:r>
      <w:r w:rsidRPr="00077A34">
        <w:rPr>
          <w:rFonts w:ascii="Verdana" w:hAnsi="Verdana" w:cs="Arial"/>
        </w:rPr>
        <w:t>tos y otros conceptos se encuentran disponibles para consulta en el Sistema de relatoría de la Agencia, al cual se puede acceder a través del siguiente enlace:</w:t>
      </w:r>
      <w:r w:rsidRPr="00077A34">
        <w:rPr>
          <w:rStyle w:val="normaltextrun"/>
          <w:rFonts w:ascii="Verdana" w:hAnsi="Verdana" w:cs="Arial"/>
          <w:shd w:val="clear" w:color="auto" w:fill="FFFFFF"/>
          <w:lang w:val="es-ES"/>
        </w:rPr>
        <w:t xml:space="preserve"> </w:t>
      </w:r>
      <w:hyperlink r:id="rId15" w:history="1">
        <w:r w:rsidRPr="00077A34">
          <w:rPr>
            <w:rStyle w:val="Hipervnculo"/>
            <w:rFonts w:ascii="Verdana" w:hAnsi="Verdana" w:cs="Arial"/>
            <w:shd w:val="clear" w:color="auto" w:fill="FFFFFF"/>
            <w:lang w:val="es-ES"/>
          </w:rPr>
          <w:t>https://relatoria.colombiacompra.gov.co/busqueda/conceptos</w:t>
        </w:r>
      </w:hyperlink>
    </w:p>
    <w:p w14:paraId="14FB7AF1" w14:textId="77777777" w:rsidR="00BF3A62" w:rsidRPr="00077A34" w:rsidRDefault="00BF3A62" w:rsidP="00BF3A62">
      <w:pPr>
        <w:widowControl w:val="0"/>
        <w:autoSpaceDE w:val="0"/>
        <w:autoSpaceDN w:val="0"/>
        <w:spacing w:after="0" w:line="276" w:lineRule="auto"/>
        <w:jc w:val="both"/>
        <w:rPr>
          <w:rFonts w:ascii="Verdana" w:hAnsi="Verdana"/>
        </w:rPr>
      </w:pPr>
    </w:p>
    <w:p w14:paraId="0EA82188" w14:textId="77777777" w:rsidR="00BF3A62" w:rsidRPr="00077A34" w:rsidRDefault="00BF3A62" w:rsidP="00BF3A62">
      <w:pPr>
        <w:widowControl w:val="0"/>
        <w:autoSpaceDE w:val="0"/>
        <w:autoSpaceDN w:val="0"/>
        <w:spacing w:after="0" w:line="276" w:lineRule="auto"/>
        <w:jc w:val="both"/>
        <w:rPr>
          <w:rFonts w:ascii="Verdana" w:hAnsi="Verdana"/>
        </w:rPr>
      </w:pPr>
      <w:r w:rsidRPr="00077A34">
        <w:rPr>
          <w:rFonts w:ascii="Verdana" w:hAnsi="Verdana"/>
        </w:rPr>
        <w:t>Informamos que ya se encuentra disponible la </w:t>
      </w:r>
      <w:r w:rsidRPr="00077A34">
        <w:rPr>
          <w:rFonts w:ascii="Verdana" w:hAnsi="Verdana"/>
          <w:b/>
          <w:bCs/>
        </w:rPr>
        <w:t>Cartilla para incentivar y fortalecer el acceso a las compras y contratación pública de los pueblos y comunidades étnicas en Colombia.</w:t>
      </w:r>
      <w:r w:rsidRPr="00077A34">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Dirección URL original: https://www.colombiacompra.gov.co/manuales-guias-y-pliegos-tipo/manuales-y-guias/cartilla-para-incentivar-y-fortalecer-el-acceso-las. Haga clic o pulse si confía en este vínculo." w:history="1">
        <w:r w:rsidRPr="00077A34">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631B17CD" w14:textId="77777777" w:rsidR="00BF3A62" w:rsidRPr="00077A34" w:rsidRDefault="00BF3A62" w:rsidP="00BF3A62">
      <w:pPr>
        <w:widowControl w:val="0"/>
        <w:autoSpaceDE w:val="0"/>
        <w:autoSpaceDN w:val="0"/>
        <w:spacing w:after="0" w:line="276" w:lineRule="auto"/>
        <w:jc w:val="both"/>
        <w:rPr>
          <w:rFonts w:ascii="Verdana" w:hAnsi="Verdana"/>
        </w:rPr>
      </w:pPr>
    </w:p>
    <w:p w14:paraId="216CF28F" w14:textId="77777777" w:rsidR="00BF3A62" w:rsidRPr="00077A34" w:rsidRDefault="00BF3A62" w:rsidP="00BF3A62">
      <w:pPr>
        <w:widowControl w:val="0"/>
        <w:autoSpaceDE w:val="0"/>
        <w:autoSpaceDN w:val="0"/>
        <w:spacing w:after="0" w:line="276" w:lineRule="auto"/>
        <w:jc w:val="both"/>
        <w:rPr>
          <w:rFonts w:ascii="Verdana" w:hAnsi="Verdana" w:cs="Arial"/>
        </w:rPr>
      </w:pPr>
      <w:r w:rsidRPr="00077A34">
        <w:rPr>
          <w:rFonts w:ascii="Verdana" w:hAnsi="Verdana" w:cs="Arial"/>
        </w:rPr>
        <w:t>De otra parte, informamos que, con el objetivo de garantizar un conocimiento adecuado de las </w:t>
      </w:r>
      <w:r w:rsidRPr="00077A34">
        <w:rPr>
          <w:rFonts w:ascii="Verdana" w:hAnsi="Verdana" w:cs="Arial"/>
          <w:b/>
          <w:bCs/>
        </w:rPr>
        <w:t>modificaciones y/o actualizaciones realizadas a los Documentos Tipo</w:t>
      </w:r>
      <w:r w:rsidRPr="00077A34">
        <w:rPr>
          <w:rFonts w:ascii="Verdana" w:hAnsi="Verdana" w:cs="Arial"/>
        </w:rPr>
        <w:t>, hemos programado una serie de </w:t>
      </w:r>
      <w:r w:rsidRPr="00077A34">
        <w:rPr>
          <w:rFonts w:ascii="Verdana" w:hAnsi="Verdana" w:cs="Arial"/>
          <w:b/>
          <w:bCs/>
        </w:rPr>
        <w:t>capacitaciones </w:t>
      </w:r>
      <w:r w:rsidRPr="00077A34">
        <w:rPr>
          <w:rFonts w:ascii="Verdana" w:hAnsi="Verdana" w:cs="Arial"/>
        </w:rPr>
        <w:t>dirigidas a todos los actores involucrados en los procesos de selección. Para conocer la programación y realizar la inscripción a estas capacitaciones lo invitamos a dirigirse al siguiente enlace: </w:t>
      </w:r>
      <w:hyperlink r:id="rId17" w:tgtFrame="_blank" w:tooltip="Dirección URL original: https://www.colombiacompra.gov.co/ciudadanos/calendario. Haga clic o pulse si confía en este vínculo." w:history="1">
        <w:r w:rsidRPr="00077A34">
          <w:rPr>
            <w:rStyle w:val="Hipervnculo"/>
            <w:rFonts w:ascii="Verdana" w:hAnsi="Verdana" w:cs="Arial"/>
          </w:rPr>
          <w:t>Calendario | Colombia Compra Eficiente | Agencia Nacional de Contratación Pública</w:t>
        </w:r>
      </w:hyperlink>
    </w:p>
    <w:p w14:paraId="6BA21EAE" w14:textId="77777777" w:rsidR="00BF3A62" w:rsidRPr="00077A34" w:rsidRDefault="00BF3A62" w:rsidP="00BF3A62">
      <w:pPr>
        <w:widowControl w:val="0"/>
        <w:autoSpaceDE w:val="0"/>
        <w:autoSpaceDN w:val="0"/>
        <w:spacing w:after="0" w:line="276" w:lineRule="auto"/>
        <w:jc w:val="both"/>
        <w:rPr>
          <w:rFonts w:ascii="Verdana" w:hAnsi="Verdana"/>
        </w:rPr>
      </w:pPr>
    </w:p>
    <w:p w14:paraId="457FE508" w14:textId="77777777" w:rsidR="00BF3A62" w:rsidRPr="00077A34" w:rsidRDefault="00BF3A62" w:rsidP="00BF3A62">
      <w:pPr>
        <w:widowControl w:val="0"/>
        <w:autoSpaceDE w:val="0"/>
        <w:autoSpaceDN w:val="0"/>
        <w:spacing w:after="0" w:line="276" w:lineRule="auto"/>
        <w:jc w:val="both"/>
        <w:rPr>
          <w:rStyle w:val="normaltextrun"/>
          <w:rFonts w:ascii="Verdana" w:hAnsi="Verdana"/>
        </w:rPr>
      </w:pPr>
      <w:r w:rsidRPr="00077A34">
        <w:rPr>
          <w:rFonts w:ascii="Verdana" w:hAnsi="Verdana" w:cs="Arial"/>
        </w:rPr>
        <w:lastRenderedPageBreak/>
        <w:t>También, comunicamos que ya publicamos </w:t>
      </w:r>
      <w:r w:rsidRPr="00077A34">
        <w:rPr>
          <w:rFonts w:ascii="Verdana" w:hAnsi="Verdana" w:cs="Arial"/>
          <w:b/>
          <w:bCs/>
        </w:rPr>
        <w:t>la nueva Guía de Contratación Pública Sostenible y Socialmente Responsable</w:t>
      </w:r>
      <w:r w:rsidRPr="00077A34">
        <w:rPr>
          <w:rFonts w:ascii="Verdana"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077A34">
          <w:rPr>
            <w:rStyle w:val="Hipervnculo"/>
            <w:rFonts w:ascii="Verdana" w:hAnsi="Verdana" w:cs="Arial"/>
          </w:rPr>
          <w:t>Guía de Contratación Pública Sostenible y Socialmente Responsable | Colombia Compra Eficiente | Agencia Nacional de Contratación Pública</w:t>
        </w:r>
      </w:hyperlink>
    </w:p>
    <w:p w14:paraId="56824C6E" w14:textId="77777777" w:rsidR="00BF3A62" w:rsidRPr="00077A34" w:rsidRDefault="00BF3A62" w:rsidP="00BF3A62">
      <w:pPr>
        <w:widowControl w:val="0"/>
        <w:autoSpaceDE w:val="0"/>
        <w:autoSpaceDN w:val="0"/>
        <w:spacing w:after="0" w:line="276" w:lineRule="auto"/>
        <w:jc w:val="both"/>
        <w:rPr>
          <w:rFonts w:ascii="Verdana" w:hAnsi="Verdana"/>
        </w:rPr>
      </w:pPr>
    </w:p>
    <w:p w14:paraId="5FBB00B6" w14:textId="77777777" w:rsidR="00BF3A62" w:rsidRPr="00077A34" w:rsidRDefault="00BF3A62" w:rsidP="00BF3A62">
      <w:pPr>
        <w:widowControl w:val="0"/>
        <w:autoSpaceDE w:val="0"/>
        <w:autoSpaceDN w:val="0"/>
        <w:spacing w:after="120" w:line="276" w:lineRule="auto"/>
        <w:jc w:val="both"/>
        <w:rPr>
          <w:rFonts w:ascii="Verdana" w:hAnsi="Verdana" w:cs="Arial"/>
          <w:color w:val="000000" w:themeColor="text1"/>
          <w:shd w:val="clear" w:color="auto" w:fill="FFFFFF"/>
        </w:rPr>
      </w:pPr>
      <w:r w:rsidRPr="00077A34">
        <w:rPr>
          <w:rFonts w:ascii="Verdana" w:hAnsi="Verdana" w:cs="Arial"/>
        </w:rPr>
        <w:t xml:space="preserve">Por último, lo invitamos a seguirnos en las redes sociales en las cuales se difunde información institucional: </w:t>
      </w:r>
    </w:p>
    <w:p w14:paraId="24171D69" w14:textId="77777777" w:rsidR="00BF3A62" w:rsidRPr="00077A34" w:rsidRDefault="00BF3A62" w:rsidP="00BF3A62">
      <w:pPr>
        <w:spacing w:after="0" w:line="240" w:lineRule="auto"/>
        <w:jc w:val="both"/>
        <w:rPr>
          <w:rFonts w:ascii="Verdana" w:hAnsi="Verdana" w:cs="Arial"/>
        </w:rPr>
      </w:pPr>
      <w:r w:rsidRPr="00077A34">
        <w:rPr>
          <w:rFonts w:ascii="Verdana" w:hAnsi="Verdana" w:cs="Arial"/>
        </w:rPr>
        <w:t xml:space="preserve">Twitter: </w:t>
      </w:r>
      <w:r w:rsidRPr="00077A34">
        <w:rPr>
          <w:rStyle w:val="Hipervnculo"/>
          <w:rFonts w:ascii="Verdana" w:hAnsi="Verdana" w:cs="Arial"/>
          <w:shd w:val="clear" w:color="auto" w:fill="FFFFFF"/>
          <w:lang w:val="es-ES"/>
        </w:rPr>
        <w:t>@colombiacompra</w:t>
      </w:r>
      <w:r w:rsidRPr="00077A34">
        <w:rPr>
          <w:rFonts w:ascii="Verdana" w:eastAsia="Aptos" w:hAnsi="Verdana" w:cs="Arial"/>
          <w:color w:val="156082"/>
        </w:rPr>
        <w:t xml:space="preserve"> </w:t>
      </w:r>
    </w:p>
    <w:p w14:paraId="25D01013" w14:textId="77777777" w:rsidR="00BF3A62" w:rsidRPr="00077A34" w:rsidRDefault="00BF3A62" w:rsidP="00BF3A62">
      <w:pPr>
        <w:spacing w:after="0" w:line="240" w:lineRule="auto"/>
        <w:jc w:val="both"/>
        <w:rPr>
          <w:rFonts w:ascii="Verdana" w:hAnsi="Verdana" w:cs="Arial"/>
        </w:rPr>
      </w:pPr>
      <w:r w:rsidRPr="00077A34">
        <w:rPr>
          <w:rFonts w:ascii="Verdana" w:hAnsi="Verdana" w:cs="Arial"/>
        </w:rPr>
        <w:t xml:space="preserve">Facebook: </w:t>
      </w:r>
      <w:r w:rsidRPr="00077A34">
        <w:rPr>
          <w:rStyle w:val="Hipervnculo"/>
          <w:rFonts w:ascii="Verdana" w:hAnsi="Verdana" w:cs="Arial"/>
          <w:shd w:val="clear" w:color="auto" w:fill="FFFFFF"/>
          <w:lang w:val="es-ES"/>
        </w:rPr>
        <w:t>ColombiaCompraEficiente</w:t>
      </w:r>
    </w:p>
    <w:p w14:paraId="3A0574F5" w14:textId="77777777" w:rsidR="00BF3A62" w:rsidRPr="00077A34" w:rsidRDefault="00BF3A62" w:rsidP="00BF3A62">
      <w:pPr>
        <w:spacing w:after="0" w:line="240" w:lineRule="auto"/>
        <w:jc w:val="both"/>
        <w:rPr>
          <w:rFonts w:ascii="Verdana" w:hAnsi="Verdana" w:cs="Arial"/>
        </w:rPr>
      </w:pPr>
      <w:r w:rsidRPr="00077A34">
        <w:rPr>
          <w:rFonts w:ascii="Verdana" w:hAnsi="Verdana" w:cs="Arial"/>
        </w:rPr>
        <w:t xml:space="preserve">LinkedIn: </w:t>
      </w:r>
      <w:r w:rsidRPr="00077A34">
        <w:rPr>
          <w:rStyle w:val="Hipervnculo"/>
          <w:rFonts w:ascii="Verdana" w:hAnsi="Verdana" w:cs="Arial"/>
          <w:shd w:val="clear" w:color="auto" w:fill="FFFFFF"/>
          <w:lang w:val="es-ES"/>
        </w:rPr>
        <w:t>Agencia Nacional de Contratación Pública - Colombia Compra Eficiente</w:t>
      </w:r>
      <w:r w:rsidRPr="00077A34">
        <w:rPr>
          <w:rFonts w:ascii="Verdana" w:eastAsia="Aptos" w:hAnsi="Verdana" w:cs="Arial"/>
          <w:color w:val="156082"/>
        </w:rPr>
        <w:t xml:space="preserve"> </w:t>
      </w:r>
      <w:r w:rsidRPr="00077A34">
        <w:rPr>
          <w:rFonts w:ascii="Verdana" w:hAnsi="Verdana" w:cs="Arial"/>
        </w:rPr>
        <w:t xml:space="preserve">Instagram: </w:t>
      </w:r>
      <w:r w:rsidRPr="00077A34">
        <w:rPr>
          <w:rStyle w:val="Hipervnculo"/>
          <w:rFonts w:ascii="Verdana" w:hAnsi="Verdana" w:cs="Arial"/>
          <w:shd w:val="clear" w:color="auto" w:fill="FFFFFF"/>
          <w:lang w:val="es-ES"/>
        </w:rPr>
        <w:t>@colombiacompraeficiente_cce</w:t>
      </w:r>
    </w:p>
    <w:p w14:paraId="7E649C7D" w14:textId="77777777" w:rsidR="00BF3A62" w:rsidRPr="00077A34" w:rsidRDefault="00BF3A62" w:rsidP="00BF3A62">
      <w:pPr>
        <w:widowControl w:val="0"/>
        <w:autoSpaceDE w:val="0"/>
        <w:autoSpaceDN w:val="0"/>
        <w:spacing w:after="0" w:line="276" w:lineRule="auto"/>
        <w:jc w:val="both"/>
        <w:rPr>
          <w:rFonts w:ascii="Verdana" w:hAnsi="Verdana" w:cs="Arial"/>
        </w:rPr>
      </w:pPr>
    </w:p>
    <w:p w14:paraId="74D45E2B" w14:textId="77777777" w:rsidR="00BF3A62" w:rsidRPr="00077A34" w:rsidRDefault="00BF3A62" w:rsidP="00BF3A62">
      <w:pPr>
        <w:widowControl w:val="0"/>
        <w:autoSpaceDE w:val="0"/>
        <w:autoSpaceDN w:val="0"/>
        <w:spacing w:after="0" w:line="276" w:lineRule="auto"/>
        <w:jc w:val="both"/>
        <w:rPr>
          <w:rFonts w:ascii="Verdana" w:eastAsia="Aptos" w:hAnsi="Verdana" w:cs="Arial"/>
          <w:lang w:val="es-ES_tradnl"/>
        </w:rPr>
      </w:pPr>
      <w:r w:rsidRPr="00077A34">
        <w:rPr>
          <w:rFonts w:ascii="Verdana" w:eastAsia="Aptos" w:hAnsi="Verdana" w:cs="Arial"/>
        </w:rPr>
        <w:t xml:space="preserve">Este concepto tiene el alcance previsto en el artículo 28 del Código de Procedimiento Administrativo y de lo Contencioso Administrativo </w:t>
      </w:r>
      <w:r w:rsidRPr="00077A34">
        <w:rPr>
          <w:rFonts w:ascii="Verdana" w:eastAsia="Aptos" w:hAnsi="Verdana" w:cs="Arial"/>
          <w:lang w:val="es-ES_tradnl"/>
        </w:rPr>
        <w:t>y las expresiones aquí utilizadas con mayúscula inicial deben ser entendidas con el significado que les otorga el artículo 2.2.1.1.1.3.1. del Decreto 1082 de 2015.</w:t>
      </w:r>
    </w:p>
    <w:p w14:paraId="122D9415" w14:textId="77777777" w:rsidR="00BF3A62" w:rsidRPr="00077A34" w:rsidRDefault="00BF3A62" w:rsidP="00BF3A62">
      <w:pPr>
        <w:widowControl w:val="0"/>
        <w:autoSpaceDE w:val="0"/>
        <w:autoSpaceDN w:val="0"/>
        <w:spacing w:after="0" w:line="276" w:lineRule="auto"/>
        <w:jc w:val="both"/>
        <w:rPr>
          <w:rFonts w:ascii="Verdana" w:eastAsia="Aptos" w:hAnsi="Verdana" w:cs="Arial"/>
        </w:rPr>
      </w:pPr>
    </w:p>
    <w:p w14:paraId="799691DD" w14:textId="77777777" w:rsidR="00BF3A62" w:rsidRPr="00077A34" w:rsidRDefault="00BF3A62" w:rsidP="00BF3A62">
      <w:pPr>
        <w:spacing w:after="0" w:line="240" w:lineRule="auto"/>
        <w:rPr>
          <w:rFonts w:ascii="Verdana" w:hAnsi="Verdana" w:cs="Arial"/>
          <w:lang w:eastAsia="es-CO"/>
        </w:rPr>
      </w:pPr>
      <w:r w:rsidRPr="00077A34">
        <w:rPr>
          <w:rFonts w:ascii="Verdana" w:eastAsia="Times New Roman" w:hAnsi="Verdana" w:cs="Arial"/>
          <w:lang w:eastAsia="es-CO"/>
        </w:rPr>
        <w:t>Atentamente,</w:t>
      </w:r>
      <w:r w:rsidRPr="00077A34">
        <w:rPr>
          <w:rFonts w:ascii="Verdana" w:hAnsi="Verdana" w:cs="Arial"/>
          <w:lang w:eastAsia="es-CO"/>
        </w:rPr>
        <w:t xml:space="preserve"> </w:t>
      </w:r>
    </w:p>
    <w:p w14:paraId="2066B9E2" w14:textId="07052AE3" w:rsidR="00BF3A62" w:rsidRPr="00077A34" w:rsidRDefault="000323FA" w:rsidP="00BF3A62">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C4AFCC9" wp14:editId="13D09F5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F3A62" w:rsidRPr="00077A34" w14:paraId="409A0709" w14:textId="77777777" w:rsidTr="00D8669F">
        <w:trPr>
          <w:trHeight w:val="315"/>
        </w:trPr>
        <w:tc>
          <w:tcPr>
            <w:tcW w:w="893" w:type="dxa"/>
            <w:vAlign w:val="center"/>
            <w:hideMark/>
          </w:tcPr>
          <w:p w14:paraId="1FF5CA7A" w14:textId="77777777" w:rsidR="00BF3A62" w:rsidRPr="00077A34" w:rsidRDefault="00BF3A62" w:rsidP="00D8669F">
            <w:pPr>
              <w:contextualSpacing/>
              <w:rPr>
                <w:rFonts w:ascii="Verdana" w:hAnsi="Verdana" w:cs="Arial"/>
                <w:sz w:val="16"/>
                <w:szCs w:val="16"/>
                <w:lang w:val="es-ES" w:eastAsia="es-ES"/>
              </w:rPr>
            </w:pPr>
            <w:r w:rsidRPr="00077A3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36566B7" w14:textId="77777777" w:rsidR="00BF3A62" w:rsidRPr="00077A34" w:rsidRDefault="00BF3A62" w:rsidP="00D8669F">
            <w:pPr>
              <w:contextualSpacing/>
              <w:rPr>
                <w:rFonts w:ascii="Verdana" w:eastAsia="Arial" w:hAnsi="Verdana" w:cs="Arial"/>
                <w:sz w:val="16"/>
                <w:szCs w:val="16"/>
              </w:rPr>
            </w:pPr>
            <w:r w:rsidRPr="00077A34">
              <w:rPr>
                <w:rFonts w:ascii="Verdana" w:eastAsia="Arial" w:hAnsi="Verdana" w:cs="Arial"/>
                <w:sz w:val="16"/>
                <w:szCs w:val="16"/>
              </w:rPr>
              <w:t>Ana María Ortiz Ballesteros</w:t>
            </w:r>
          </w:p>
          <w:p w14:paraId="54223D64" w14:textId="77777777" w:rsidR="00BF3A62" w:rsidRPr="00077A34" w:rsidRDefault="00BF3A62" w:rsidP="00D8669F">
            <w:pPr>
              <w:contextualSpacing/>
              <w:rPr>
                <w:rFonts w:ascii="Verdana" w:eastAsia="Arial" w:hAnsi="Verdana" w:cs="Arial"/>
                <w:sz w:val="16"/>
                <w:szCs w:val="16"/>
              </w:rPr>
            </w:pPr>
            <w:r w:rsidRPr="00077A34">
              <w:rPr>
                <w:rStyle w:val="normaltextrun"/>
                <w:rFonts w:ascii="Verdana" w:eastAsia="Arial" w:hAnsi="Verdana" w:cs="Arial"/>
                <w:sz w:val="16"/>
                <w:szCs w:val="16"/>
              </w:rPr>
              <w:t>C</w:t>
            </w:r>
            <w:r w:rsidRPr="00077A34">
              <w:rPr>
                <w:rStyle w:val="normaltextrun"/>
                <w:rFonts w:ascii="Verdana" w:hAnsi="Verdana" w:cs="Arial"/>
                <w:sz w:val="16"/>
                <w:szCs w:val="16"/>
              </w:rPr>
              <w:t>ontratista</w:t>
            </w:r>
            <w:r w:rsidRPr="00077A34">
              <w:rPr>
                <w:rStyle w:val="normaltextrun"/>
                <w:rFonts w:ascii="Verdana" w:eastAsia="Arial" w:hAnsi="Verdana" w:cs="Arial"/>
                <w:sz w:val="16"/>
                <w:szCs w:val="16"/>
              </w:rPr>
              <w:t xml:space="preserve"> de la Subdirección de Gestión Contractual</w:t>
            </w:r>
          </w:p>
        </w:tc>
      </w:tr>
      <w:tr w:rsidR="00BF3A62" w:rsidRPr="00077A34" w14:paraId="0E96034B" w14:textId="77777777" w:rsidTr="00D8669F">
        <w:trPr>
          <w:trHeight w:val="330"/>
        </w:trPr>
        <w:tc>
          <w:tcPr>
            <w:tcW w:w="893" w:type="dxa"/>
            <w:vAlign w:val="center"/>
            <w:hideMark/>
          </w:tcPr>
          <w:p w14:paraId="700CB8B6" w14:textId="77777777" w:rsidR="00BF3A62" w:rsidRPr="00077A34" w:rsidRDefault="00BF3A62" w:rsidP="00D8669F">
            <w:pPr>
              <w:contextualSpacing/>
              <w:rPr>
                <w:rFonts w:ascii="Verdana" w:hAnsi="Verdana" w:cs="Arial"/>
                <w:sz w:val="16"/>
                <w:szCs w:val="16"/>
                <w:lang w:val="es-ES" w:eastAsia="es-ES"/>
              </w:rPr>
            </w:pPr>
            <w:r w:rsidRPr="00077A34">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3E3FA9A" w14:textId="0DB2D641" w:rsidR="00FD5F1E" w:rsidRPr="00077A34" w:rsidRDefault="00FD5F1E" w:rsidP="00D8669F">
            <w:pPr>
              <w:pStyle w:val="paragraph"/>
              <w:contextualSpacing/>
              <w:rPr>
                <w:rStyle w:val="normaltextrun"/>
                <w:rFonts w:ascii="Verdana" w:eastAsia="Arial" w:hAnsi="Verdana" w:cs="Arial"/>
                <w:sz w:val="16"/>
                <w:szCs w:val="16"/>
              </w:rPr>
            </w:pPr>
            <w:r w:rsidRPr="00077A34">
              <w:rPr>
                <w:rFonts w:ascii="Verdana" w:hAnsi="Verdana" w:cs="Arial"/>
                <w:sz w:val="16"/>
                <w:szCs w:val="16"/>
              </w:rPr>
              <w:t>Juan Carlos González Vásquez</w:t>
            </w:r>
            <w:r w:rsidRPr="00077A34">
              <w:rPr>
                <w:rStyle w:val="normaltextrun"/>
                <w:rFonts w:ascii="Verdana" w:eastAsia="Arial" w:hAnsi="Verdana" w:cs="Arial"/>
                <w:sz w:val="16"/>
                <w:szCs w:val="16"/>
              </w:rPr>
              <w:t xml:space="preserve"> </w:t>
            </w:r>
          </w:p>
          <w:p w14:paraId="1746B4E2" w14:textId="3686291C" w:rsidR="00BF3A62" w:rsidRPr="00077A34" w:rsidRDefault="00BF3A62" w:rsidP="00D8669F">
            <w:pPr>
              <w:pStyle w:val="paragraph"/>
              <w:contextualSpacing/>
              <w:rPr>
                <w:rFonts w:ascii="Verdana" w:eastAsia="Arial" w:hAnsi="Verdana" w:cs="Arial"/>
                <w:sz w:val="16"/>
                <w:szCs w:val="16"/>
              </w:rPr>
            </w:pPr>
            <w:r w:rsidRPr="00077A34">
              <w:rPr>
                <w:rStyle w:val="normaltextrun"/>
                <w:rFonts w:ascii="Verdana" w:eastAsia="Arial" w:hAnsi="Verdana" w:cs="Arial"/>
                <w:sz w:val="16"/>
                <w:szCs w:val="16"/>
              </w:rPr>
              <w:t>C</w:t>
            </w:r>
            <w:r w:rsidRPr="00077A34">
              <w:rPr>
                <w:rStyle w:val="normaltextrun"/>
                <w:rFonts w:ascii="Verdana" w:hAnsi="Verdana" w:cs="Arial"/>
                <w:sz w:val="16"/>
                <w:szCs w:val="16"/>
              </w:rPr>
              <w:t>ontratista</w:t>
            </w:r>
            <w:r w:rsidRPr="00077A34">
              <w:rPr>
                <w:rStyle w:val="normaltextrun"/>
                <w:rFonts w:ascii="Verdana" w:eastAsia="Arial" w:hAnsi="Verdana" w:cs="Arial"/>
                <w:sz w:val="16"/>
                <w:szCs w:val="16"/>
              </w:rPr>
              <w:t xml:space="preserve"> de la Subdirección de Gestión Contractual</w:t>
            </w:r>
          </w:p>
        </w:tc>
      </w:tr>
      <w:tr w:rsidR="00BF3A62" w:rsidRPr="00077A34" w14:paraId="780A4D20" w14:textId="77777777" w:rsidTr="00D8669F">
        <w:trPr>
          <w:trHeight w:val="300"/>
        </w:trPr>
        <w:tc>
          <w:tcPr>
            <w:tcW w:w="893" w:type="dxa"/>
            <w:vAlign w:val="center"/>
          </w:tcPr>
          <w:p w14:paraId="2C0908C6" w14:textId="77777777" w:rsidR="00BF3A62" w:rsidRPr="00077A34" w:rsidRDefault="00BF3A62" w:rsidP="00D8669F">
            <w:pPr>
              <w:contextualSpacing/>
              <w:rPr>
                <w:rFonts w:ascii="Verdana" w:hAnsi="Verdana" w:cs="Arial"/>
                <w:sz w:val="16"/>
                <w:szCs w:val="16"/>
                <w:lang w:val="es-ES" w:eastAsia="es-ES"/>
              </w:rPr>
            </w:pPr>
            <w:r w:rsidRPr="00077A3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1A25411" w14:textId="77777777" w:rsidR="00BF3A62" w:rsidRPr="00077A34" w:rsidRDefault="00BF3A62" w:rsidP="00D8669F">
            <w:pPr>
              <w:contextualSpacing/>
              <w:rPr>
                <w:rFonts w:ascii="Verdana" w:eastAsia="Calibri" w:hAnsi="Verdana" w:cs="Arial"/>
                <w:sz w:val="16"/>
                <w:szCs w:val="16"/>
                <w:lang w:val="pt-BR" w:eastAsia="es-ES"/>
              </w:rPr>
            </w:pPr>
            <w:r w:rsidRPr="00077A34">
              <w:rPr>
                <w:rFonts w:ascii="Verdana" w:eastAsia="Calibri" w:hAnsi="Verdana" w:cs="Arial"/>
                <w:sz w:val="16"/>
                <w:szCs w:val="16"/>
                <w:lang w:val="pt-BR" w:eastAsia="es-ES"/>
              </w:rPr>
              <w:t>Carolina Quintero Gacharná</w:t>
            </w:r>
          </w:p>
          <w:p w14:paraId="7B7FFC98" w14:textId="77777777" w:rsidR="00BF3A62" w:rsidRPr="00077A34" w:rsidRDefault="00BF3A62" w:rsidP="00D8669F">
            <w:pPr>
              <w:contextualSpacing/>
              <w:rPr>
                <w:rFonts w:ascii="Verdana" w:eastAsia="Calibri" w:hAnsi="Verdana" w:cs="Arial"/>
                <w:sz w:val="16"/>
                <w:szCs w:val="16"/>
                <w:lang w:val="pt-BR" w:eastAsia="es-ES"/>
              </w:rPr>
            </w:pPr>
            <w:r w:rsidRPr="00077A34">
              <w:rPr>
                <w:rFonts w:ascii="Verdana" w:eastAsia="Calibri" w:hAnsi="Verdana" w:cs="Arial"/>
                <w:sz w:val="16"/>
                <w:szCs w:val="16"/>
                <w:lang w:eastAsia="es-ES"/>
              </w:rPr>
              <w:t>Subdirectora</w:t>
            </w:r>
            <w:r w:rsidRPr="00077A34">
              <w:rPr>
                <w:rFonts w:ascii="Verdana" w:eastAsia="Calibri" w:hAnsi="Verdana" w:cs="Arial"/>
                <w:sz w:val="16"/>
                <w:szCs w:val="16"/>
                <w:lang w:val="pt-BR" w:eastAsia="es-ES"/>
              </w:rPr>
              <w:t xml:space="preserve"> de Gestión Contractual ANCP – CCE</w:t>
            </w:r>
          </w:p>
        </w:tc>
      </w:tr>
      <w:bookmarkEnd w:id="0"/>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EA2E7" w14:textId="77777777" w:rsidR="007D1B26" w:rsidRDefault="007D1B26" w:rsidP="004A1847">
      <w:pPr>
        <w:spacing w:after="0" w:line="240" w:lineRule="auto"/>
      </w:pPr>
      <w:r>
        <w:separator/>
      </w:r>
    </w:p>
  </w:endnote>
  <w:endnote w:type="continuationSeparator" w:id="0">
    <w:p w14:paraId="301D407C" w14:textId="77777777" w:rsidR="007D1B26" w:rsidRDefault="007D1B26" w:rsidP="004A1847">
      <w:pPr>
        <w:spacing w:after="0" w:line="240" w:lineRule="auto"/>
      </w:pPr>
      <w:r>
        <w:continuationSeparator/>
      </w:r>
    </w:p>
  </w:endnote>
  <w:endnote w:type="continuationNotice" w:id="1">
    <w:p w14:paraId="3B25BA2D" w14:textId="77777777" w:rsidR="007D1B26" w:rsidRDefault="007D1B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00AB1" w14:textId="77777777" w:rsidR="007D1B26" w:rsidRDefault="007D1B26" w:rsidP="004A1847">
      <w:pPr>
        <w:spacing w:after="0" w:line="240" w:lineRule="auto"/>
      </w:pPr>
      <w:r>
        <w:separator/>
      </w:r>
    </w:p>
  </w:footnote>
  <w:footnote w:type="continuationSeparator" w:id="0">
    <w:p w14:paraId="71C6A50D" w14:textId="77777777" w:rsidR="007D1B26" w:rsidRDefault="007D1B26" w:rsidP="004A1847">
      <w:pPr>
        <w:spacing w:after="0" w:line="240" w:lineRule="auto"/>
      </w:pPr>
      <w:r>
        <w:continuationSeparator/>
      </w:r>
    </w:p>
  </w:footnote>
  <w:footnote w:type="continuationNotice" w:id="1">
    <w:p w14:paraId="3E7B44DB" w14:textId="77777777" w:rsidR="007D1B26" w:rsidRDefault="007D1B26">
      <w:pPr>
        <w:spacing w:after="0" w:line="240" w:lineRule="auto"/>
      </w:pPr>
    </w:p>
  </w:footnote>
  <w:footnote w:id="2">
    <w:p w14:paraId="71F082FE" w14:textId="77777777" w:rsidR="00763829" w:rsidRPr="007943BF" w:rsidRDefault="00763829" w:rsidP="00B47498">
      <w:pPr>
        <w:pStyle w:val="Textonotapie"/>
        <w:ind w:firstLine="709"/>
        <w:jc w:val="both"/>
        <w:rPr>
          <w:rFonts w:ascii="Verdana" w:hAnsi="Verdana" w:cs="Arial"/>
          <w:sz w:val="18"/>
          <w:szCs w:val="18"/>
        </w:rPr>
      </w:pPr>
      <w:r w:rsidRPr="007F3253">
        <w:rPr>
          <w:rStyle w:val="Refdenotaalpie"/>
          <w:rFonts w:ascii="Verdana" w:hAnsi="Verdana" w:cs="Arial"/>
          <w:sz w:val="18"/>
          <w:szCs w:val="18"/>
        </w:rPr>
        <w:footnoteRef/>
      </w:r>
      <w:r w:rsidRPr="007F3253">
        <w:rPr>
          <w:rFonts w:ascii="Verdana" w:hAnsi="Verdana" w:cs="Arial"/>
          <w:sz w:val="18"/>
          <w:szCs w:val="18"/>
        </w:rPr>
        <w:t xml:space="preserve"> </w:t>
      </w:r>
      <w:r w:rsidRPr="007943BF">
        <w:rPr>
          <w:rFonts w:ascii="Verdana" w:eastAsia="Calibri" w:hAnsi="Verdana" w:cs="Arial"/>
          <w:color w:val="000000"/>
          <w:sz w:val="18"/>
          <w:szCs w:val="18"/>
          <w:lang w:val="es-ES_tradnl" w:eastAsia="es-ES_tradnl"/>
        </w:rPr>
        <w:t xml:space="preserve">El “Manual para verificar y determinar los requisitos habilitantes en los Procesos de Contratación” puede ser consultado en el siguiente link: </w:t>
      </w:r>
      <w:hyperlink r:id="rId1" w:history="1">
        <w:r w:rsidRPr="007943BF">
          <w:rPr>
            <w:rFonts w:ascii="Verdana" w:eastAsia="Calibri" w:hAnsi="Verdana" w:cs="Arial"/>
            <w:color w:val="000000"/>
            <w:sz w:val="18"/>
            <w:szCs w:val="18"/>
            <w:u w:val="single"/>
            <w:lang w:val="es-ES_tradnl" w:eastAsia="es-ES_tradnl"/>
          </w:rPr>
          <w:t>https://www.colombiacompra.gov.co/sites/cce_public/files/cce_documents/cce_manual_requisitos_habilitantes.pdf</w:t>
        </w:r>
      </w:hyperlink>
      <w:r w:rsidRPr="007943BF">
        <w:rPr>
          <w:rFonts w:ascii="Verdana" w:hAnsi="Verdana" w:cs="Arial"/>
          <w:sz w:val="18"/>
          <w:szCs w:val="18"/>
        </w:rPr>
        <w:t xml:space="preserve"> </w:t>
      </w:r>
    </w:p>
  </w:footnote>
  <w:footnote w:id="3">
    <w:p w14:paraId="62C3ACFE" w14:textId="77777777" w:rsidR="00D266DD" w:rsidRPr="007943BF" w:rsidRDefault="00D266DD" w:rsidP="00B47498">
      <w:pPr>
        <w:pStyle w:val="NormalWeb"/>
        <w:spacing w:before="0" w:beforeAutospacing="0" w:after="0" w:afterAutospacing="0"/>
        <w:ind w:firstLine="708"/>
        <w:jc w:val="both"/>
        <w:rPr>
          <w:rFonts w:ascii="Verdana" w:eastAsia="Calibri" w:hAnsi="Verdana" w:cs="Arial"/>
          <w:color w:val="000000"/>
          <w:sz w:val="18"/>
          <w:szCs w:val="18"/>
          <w:lang w:val="es-ES_tradnl" w:eastAsia="es-ES_tradnl"/>
        </w:rPr>
      </w:pPr>
      <w:r w:rsidRPr="007943BF">
        <w:rPr>
          <w:rStyle w:val="Refdenotaalpie"/>
          <w:rFonts w:ascii="Verdana" w:hAnsi="Verdana" w:cs="Arial"/>
          <w:color w:val="000000" w:themeColor="text1"/>
          <w:sz w:val="18"/>
          <w:szCs w:val="18"/>
        </w:rPr>
        <w:footnoteRef/>
      </w:r>
      <w:r w:rsidRPr="007943BF">
        <w:rPr>
          <w:rFonts w:ascii="Verdana" w:hAnsi="Verdana" w:cs="Arial"/>
          <w:color w:val="000000" w:themeColor="text1"/>
          <w:sz w:val="18"/>
          <w:szCs w:val="18"/>
        </w:rPr>
        <w:t xml:space="preserve"> </w:t>
      </w:r>
      <w:r w:rsidRPr="007943BF">
        <w:rPr>
          <w:rFonts w:ascii="Verdana" w:eastAsia="Calibri" w:hAnsi="Verdana" w:cs="Arial"/>
          <w:color w:val="000000"/>
          <w:sz w:val="18"/>
          <w:szCs w:val="18"/>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AAD64BC" w14:textId="77777777" w:rsidR="00060CE2" w:rsidRPr="007943BF" w:rsidRDefault="00060CE2" w:rsidP="00B47498">
      <w:pPr>
        <w:pStyle w:val="NormalWeb"/>
        <w:spacing w:before="0" w:beforeAutospacing="0" w:after="0" w:afterAutospacing="0"/>
        <w:ind w:firstLine="708"/>
        <w:jc w:val="both"/>
        <w:rPr>
          <w:rFonts w:ascii="Verdana" w:eastAsia="Calibri" w:hAnsi="Verdana" w:cs="Arial"/>
          <w:color w:val="000000"/>
          <w:sz w:val="18"/>
          <w:szCs w:val="18"/>
          <w:lang w:val="es-ES_tradnl" w:eastAsia="es-ES_tradnl"/>
        </w:rPr>
      </w:pPr>
    </w:p>
    <w:p w14:paraId="07D067FD" w14:textId="77777777" w:rsidR="00D266DD" w:rsidRPr="007943BF" w:rsidRDefault="00D266DD" w:rsidP="00B47498">
      <w:pPr>
        <w:pStyle w:val="NormalWeb"/>
        <w:spacing w:before="0" w:beforeAutospacing="0" w:after="0" w:afterAutospacing="0"/>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13214F9" w14:textId="77777777" w:rsidR="00D266DD" w:rsidRPr="007943BF" w:rsidRDefault="00D266DD" w:rsidP="00B47498">
      <w:pPr>
        <w:pStyle w:val="NormalWeb"/>
        <w:spacing w:before="0" w:beforeAutospacing="0" w:after="0" w:afterAutospacing="0"/>
        <w:ind w:firstLine="708"/>
        <w:jc w:val="both"/>
        <w:rPr>
          <w:rFonts w:ascii="Verdana" w:hAnsi="Verdana" w:cs="Arial"/>
          <w:color w:val="000000" w:themeColor="text1"/>
          <w:sz w:val="18"/>
          <w:szCs w:val="18"/>
        </w:rPr>
      </w:pPr>
      <w:r w:rsidRPr="007943BF">
        <w:rPr>
          <w:rFonts w:ascii="Verdana" w:eastAsia="Calibri" w:hAnsi="Verdana" w:cs="Arial"/>
          <w:color w:val="000000"/>
          <w:sz w:val="18"/>
          <w:szCs w:val="18"/>
          <w:lang w:val="es-ES_tradnl" w:eastAsia="es-ES_tradnl"/>
        </w:rPr>
        <w:t>En dicho registro constará la información relacionada con la experiencia, capacidad jurídica, financiera y de organización del proponente y su clasificación”.</w:t>
      </w:r>
    </w:p>
  </w:footnote>
  <w:footnote w:id="4">
    <w:p w14:paraId="595B79E9" w14:textId="77777777" w:rsidR="00D266DD" w:rsidRPr="007943BF" w:rsidRDefault="00D266DD" w:rsidP="00B47498">
      <w:pPr>
        <w:pStyle w:val="Textonotapie"/>
        <w:ind w:firstLine="709"/>
        <w:jc w:val="both"/>
        <w:rPr>
          <w:rFonts w:ascii="Verdana" w:hAnsi="Verdana" w:cs="Arial"/>
          <w:sz w:val="18"/>
          <w:szCs w:val="18"/>
        </w:rPr>
      </w:pPr>
    </w:p>
    <w:p w14:paraId="2560B73D" w14:textId="77777777" w:rsidR="00D266DD" w:rsidRPr="007943BF" w:rsidRDefault="00D266DD" w:rsidP="00B47498">
      <w:pPr>
        <w:pStyle w:val="Textonotapie"/>
        <w:ind w:firstLine="709"/>
        <w:jc w:val="both"/>
        <w:rPr>
          <w:rFonts w:ascii="Verdana" w:hAnsi="Verdana" w:cs="Arial"/>
          <w:sz w:val="18"/>
          <w:szCs w:val="18"/>
          <w:lang w:val="es-ES"/>
        </w:rPr>
      </w:pPr>
      <w:r w:rsidRPr="007943BF">
        <w:rPr>
          <w:rStyle w:val="Refdenotaalpie"/>
          <w:rFonts w:ascii="Verdana" w:hAnsi="Verdana" w:cs="Arial"/>
          <w:sz w:val="18"/>
          <w:szCs w:val="18"/>
        </w:rPr>
        <w:footnoteRef/>
      </w:r>
      <w:r w:rsidRPr="007943BF">
        <w:rPr>
          <w:rFonts w:ascii="Verdana" w:hAnsi="Verdana" w:cs="Arial"/>
          <w:sz w:val="18"/>
          <w:szCs w:val="18"/>
        </w:rPr>
        <w:t xml:space="preserve"> </w:t>
      </w:r>
      <w:r w:rsidRPr="007943BF">
        <w:rPr>
          <w:rFonts w:ascii="Verdana" w:eastAsia="Calibri" w:hAnsi="Verdana" w:cs="Arial"/>
          <w:color w:val="000000"/>
          <w:sz w:val="18"/>
          <w:szCs w:val="18"/>
          <w:lang w:val="es-ES_tradnl" w:eastAsia="es-ES_tradnl"/>
        </w:rPr>
        <w:t>Ibídem.</w:t>
      </w:r>
    </w:p>
    <w:p w14:paraId="0A625F9A" w14:textId="77777777" w:rsidR="00D266DD" w:rsidRPr="007943BF" w:rsidRDefault="00D266DD" w:rsidP="00B47498">
      <w:pPr>
        <w:pStyle w:val="Textonotapie"/>
        <w:ind w:firstLine="709"/>
        <w:jc w:val="both"/>
        <w:rPr>
          <w:rFonts w:ascii="Verdana" w:hAnsi="Verdana" w:cs="Arial"/>
          <w:sz w:val="18"/>
          <w:szCs w:val="18"/>
          <w:lang w:val="es-ES"/>
        </w:rPr>
      </w:pPr>
    </w:p>
  </w:footnote>
  <w:footnote w:id="5">
    <w:p w14:paraId="7AFA5283"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olor w:val="000000"/>
          <w:sz w:val="18"/>
          <w:szCs w:val="18"/>
          <w:lang w:val="es-ES_tradnl" w:eastAsia="es-ES_tradnl"/>
        </w:rPr>
        <w:footnoteRef/>
      </w:r>
      <w:r w:rsidRPr="007943BF">
        <w:rPr>
          <w:rFonts w:ascii="Verdana" w:eastAsia="Calibri" w:hAnsi="Verdana" w:cs="Arial"/>
          <w:color w:val="000000"/>
          <w:sz w:val="18"/>
          <w:szCs w:val="18"/>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 </w:t>
      </w:r>
      <w:hyperlink r:id="rId2" w:history="1">
        <w:r w:rsidRPr="007943BF">
          <w:rPr>
            <w:rFonts w:ascii="Verdana" w:hAnsi="Verdana"/>
            <w:color w:val="000000"/>
            <w:sz w:val="18"/>
            <w:szCs w:val="18"/>
            <w:lang w:val="es-ES_tradnl" w:eastAsia="es-ES_tradnl"/>
          </w:rPr>
          <w:t>https://www.colombiacompra.gov.co/sites/cce_public/files/cce_documentos/cce-eicp-gi-18._gees_v.2_2.pdf</w:t>
        </w:r>
      </w:hyperlink>
      <w:r w:rsidRPr="007943BF">
        <w:rPr>
          <w:rFonts w:ascii="Verdana" w:eastAsia="Calibri" w:hAnsi="Verdana" w:cs="Arial"/>
          <w:color w:val="000000"/>
          <w:sz w:val="18"/>
          <w:szCs w:val="18"/>
          <w:lang w:val="es-ES_tradnl" w:eastAsia="es-ES_tradnl"/>
        </w:rPr>
        <w:t xml:space="preserve"> </w:t>
      </w:r>
    </w:p>
    <w:p w14:paraId="703C54F0"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p>
  </w:footnote>
  <w:footnote w:id="6">
    <w:p w14:paraId="55936403"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olor w:val="000000"/>
          <w:sz w:val="18"/>
          <w:szCs w:val="18"/>
          <w:lang w:val="es-ES_tradnl" w:eastAsia="es-ES_tradnl"/>
        </w:rPr>
        <w:footnoteRef/>
      </w:r>
      <w:r w:rsidRPr="007943BF">
        <w:rPr>
          <w:rFonts w:ascii="Verdana" w:eastAsia="Calibri" w:hAnsi="Verdana" w:cs="Arial"/>
          <w:color w:val="000000"/>
          <w:sz w:val="18"/>
          <w:szCs w:val="18"/>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7">
    <w:p w14:paraId="1270A56D" w14:textId="77777777" w:rsidR="00D266DD" w:rsidRPr="007943BF" w:rsidRDefault="00D266DD" w:rsidP="00B47498">
      <w:pPr>
        <w:pStyle w:val="Textonotapie"/>
        <w:ind w:firstLine="708"/>
        <w:rPr>
          <w:rFonts w:ascii="Verdana" w:eastAsia="Calibri" w:hAnsi="Verdana" w:cs="Arial"/>
          <w:color w:val="000000"/>
          <w:sz w:val="18"/>
          <w:szCs w:val="18"/>
          <w:lang w:val="es-ES_tradnl" w:eastAsia="es-ES_tradnl"/>
        </w:rPr>
      </w:pPr>
    </w:p>
    <w:p w14:paraId="06871461"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olor w:val="000000"/>
          <w:sz w:val="18"/>
          <w:szCs w:val="18"/>
          <w:lang w:val="es-ES_tradnl" w:eastAsia="es-ES_tradnl"/>
        </w:rPr>
        <w:footnoteRef/>
      </w:r>
      <w:r w:rsidRPr="007943BF">
        <w:rPr>
          <w:rFonts w:ascii="Verdana" w:eastAsia="Calibri" w:hAnsi="Verdana" w:cs="Arial"/>
          <w:color w:val="000000"/>
          <w:sz w:val="18"/>
          <w:szCs w:val="18"/>
          <w:lang w:val="es-ES_tradnl" w:eastAsia="es-ES_tradnl"/>
        </w:rPr>
        <w:t xml:space="preserve"> Decreto 1082 de 2015: “</w:t>
      </w:r>
      <w:r w:rsidRPr="007943BF">
        <w:rPr>
          <w:rFonts w:ascii="Verdana" w:eastAsia="Calibri" w:hAnsi="Verdana"/>
          <w:sz w:val="18"/>
          <w:szCs w:val="18"/>
          <w:lang w:val="es-ES_tradnl" w:eastAsia="es-ES_tradnl"/>
        </w:rPr>
        <w:t>Artículo 2.2.1.1.1.5.2. </w:t>
      </w:r>
      <w:r w:rsidRPr="007943BF">
        <w:rPr>
          <w:rFonts w:ascii="Verdana" w:eastAsia="Calibri" w:hAnsi="Verdana"/>
          <w:i/>
          <w:iCs/>
          <w:sz w:val="18"/>
          <w:szCs w:val="18"/>
          <w:lang w:val="es-ES_tradnl" w:eastAsia="es-ES_tradnl"/>
        </w:rPr>
        <w:t>Información para inscripción, renovación o actualización. </w:t>
      </w:r>
      <w:r w:rsidRPr="007943BF">
        <w:rPr>
          <w:rFonts w:ascii="Verdana" w:eastAsia="Calibri" w:hAnsi="Verdana" w:cs="Arial"/>
          <w:color w:val="000000"/>
          <w:sz w:val="18"/>
          <w:szCs w:val="18"/>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7256F2F"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w:t>
      </w:r>
    </w:p>
    <w:p w14:paraId="42271C6A"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7179ED24"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 xml:space="preserve">I. Principales cuentas detalladas del balance general. </w:t>
      </w:r>
    </w:p>
    <w:p w14:paraId="6D8B67B9"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 xml:space="preserve">II. Principales cuentas del estado de pérdidas y ganancias. </w:t>
      </w:r>
    </w:p>
    <w:p w14:paraId="181728E8"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s="Arial"/>
          <w:color w:val="000000"/>
          <w:sz w:val="18"/>
          <w:szCs w:val="18"/>
          <w:lang w:val="es-ES_tradnl" w:eastAsia="es-ES_tradnl"/>
        </w:rPr>
        <w:t xml:space="preserve">III. Cuentas contingentes deudoras y acreedoras. </w:t>
      </w:r>
    </w:p>
    <w:p w14:paraId="4B891A22" w14:textId="77777777" w:rsidR="00D266DD" w:rsidRPr="007943BF" w:rsidRDefault="00D266DD" w:rsidP="00B47498">
      <w:pPr>
        <w:pStyle w:val="Textonotapie"/>
        <w:ind w:firstLine="708"/>
        <w:jc w:val="both"/>
        <w:rPr>
          <w:rFonts w:ascii="Verdana" w:hAnsi="Verdana" w:cs="Arial"/>
          <w:sz w:val="18"/>
          <w:szCs w:val="18"/>
        </w:rPr>
      </w:pPr>
      <w:r w:rsidRPr="007943BF">
        <w:rPr>
          <w:rFonts w:ascii="Verdana" w:eastAsia="Calibri" w:hAnsi="Verdana" w:cs="Arial"/>
          <w:color w:val="000000"/>
          <w:sz w:val="18"/>
          <w:szCs w:val="18"/>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7943BF">
        <w:rPr>
          <w:rFonts w:ascii="Verdana" w:hAnsi="Verdana" w:cs="Arial"/>
          <w:sz w:val="18"/>
          <w:szCs w:val="18"/>
        </w:rPr>
        <w:t xml:space="preserve">  </w:t>
      </w:r>
    </w:p>
    <w:p w14:paraId="0990B9D3" w14:textId="77777777" w:rsidR="00CC3535" w:rsidRPr="007943BF" w:rsidRDefault="00CC3535" w:rsidP="00B47498">
      <w:pPr>
        <w:pStyle w:val="Textonotapie"/>
        <w:ind w:firstLine="708"/>
        <w:jc w:val="both"/>
        <w:rPr>
          <w:rFonts w:ascii="Verdana" w:hAnsi="Verdana" w:cs="Arial"/>
          <w:sz w:val="18"/>
          <w:szCs w:val="18"/>
        </w:rPr>
      </w:pPr>
    </w:p>
  </w:footnote>
  <w:footnote w:id="8">
    <w:p w14:paraId="65BC59A0"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Style w:val="Refdenotaalpie"/>
          <w:rFonts w:ascii="Verdana" w:hAnsi="Verdana" w:cs="Arial"/>
          <w:sz w:val="18"/>
          <w:szCs w:val="18"/>
        </w:rPr>
        <w:footnoteRef/>
      </w:r>
      <w:r w:rsidRPr="007943BF">
        <w:rPr>
          <w:rFonts w:ascii="Verdana" w:hAnsi="Verdana" w:cs="Arial"/>
          <w:sz w:val="18"/>
          <w:szCs w:val="18"/>
        </w:rPr>
        <w:t xml:space="preserve"> </w:t>
      </w:r>
      <w:r w:rsidRPr="007943BF">
        <w:rPr>
          <w:rFonts w:ascii="Verdana" w:eastAsia="Calibri" w:hAnsi="Verdana" w:cs="Arial"/>
          <w:color w:val="000000"/>
          <w:sz w:val="18"/>
          <w:szCs w:val="18"/>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05C72FB6" w14:textId="77777777"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p>
  </w:footnote>
  <w:footnote w:id="9">
    <w:p w14:paraId="107C4BF8" w14:textId="3CD4A55E" w:rsidR="00D266DD" w:rsidRPr="007943BF" w:rsidRDefault="00D266DD" w:rsidP="00B47498">
      <w:pPr>
        <w:pStyle w:val="Textonotapie"/>
        <w:ind w:firstLine="708"/>
        <w:jc w:val="both"/>
        <w:rPr>
          <w:rFonts w:ascii="Verdana" w:eastAsia="Calibri" w:hAnsi="Verdana" w:cs="Arial"/>
          <w:color w:val="000000"/>
          <w:sz w:val="18"/>
          <w:szCs w:val="18"/>
          <w:lang w:val="es-ES_tradnl" w:eastAsia="es-ES_tradnl"/>
        </w:rPr>
      </w:pPr>
      <w:r w:rsidRPr="007943BF">
        <w:rPr>
          <w:rFonts w:ascii="Verdana" w:eastAsia="Calibri" w:hAnsi="Verdana"/>
          <w:color w:val="000000"/>
          <w:sz w:val="18"/>
          <w:szCs w:val="18"/>
          <w:vertAlign w:val="superscript"/>
          <w:lang w:val="es-ES_tradnl" w:eastAsia="es-ES_tradnl"/>
        </w:rPr>
        <w:footnoteRef/>
      </w:r>
      <w:r w:rsidRPr="007943BF">
        <w:rPr>
          <w:rFonts w:ascii="Verdana" w:eastAsia="Calibri" w:hAnsi="Verdana" w:cs="Arial"/>
          <w:color w:val="000000"/>
          <w:sz w:val="18"/>
          <w:szCs w:val="18"/>
          <w:vertAlign w:val="superscript"/>
          <w:lang w:val="es-ES_tradnl" w:eastAsia="es-ES_tradnl"/>
        </w:rPr>
        <w:t xml:space="preserve"> </w:t>
      </w:r>
      <w:r w:rsidRPr="007943BF">
        <w:rPr>
          <w:rFonts w:ascii="Verdana" w:eastAsia="Calibri" w:hAnsi="Verdana" w:cs="Arial"/>
          <w:color w:val="000000"/>
          <w:sz w:val="18"/>
          <w:szCs w:val="18"/>
          <w:lang w:val="es-ES_tradnl" w:eastAsia="es-ES_tradnl"/>
        </w:rPr>
        <w:t>Agencia Nacional de Contratación Pública – Colombia Compra Eficiente, “Manual para determinar y verificar los requisitos habilitantes en los Procesos de Contratación”.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55154CA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723096840" o:spid="_x0000_i1025" type="#_x0000_t75" style="width:11.25pt;height:11.25pt;visibility:visible;mso-wrap-style:square">
            <v:imagedata r:id="rId1" o:title=""/>
          </v:shape>
        </w:pict>
      </mc:Choice>
      <mc:Fallback>
        <w:drawing>
          <wp:inline distT="0" distB="0" distL="0" distR="0" wp14:anchorId="325BE285" wp14:editId="0A0DD8B8">
            <wp:extent cx="142875" cy="142875"/>
            <wp:effectExtent l="0" t="0" r="0" b="0"/>
            <wp:docPr id="723096840" name="Imagen 723096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578" w:hanging="360"/>
      </w:pPr>
      <w:rPr>
        <w:rFonts w:ascii="Symbol" w:hAnsi="Symbol" w:hint="default"/>
      </w:rPr>
    </w:lvl>
    <w:lvl w:ilvl="1" w:tplc="040A0003" w:tentative="1">
      <w:start w:val="1"/>
      <w:numFmt w:val="bullet"/>
      <w:lvlText w:val="o"/>
      <w:lvlJc w:val="left"/>
      <w:pPr>
        <w:ind w:left="1298" w:hanging="360"/>
      </w:pPr>
      <w:rPr>
        <w:rFonts w:ascii="Courier New" w:hAnsi="Courier New" w:cs="Courier New" w:hint="default"/>
      </w:rPr>
    </w:lvl>
    <w:lvl w:ilvl="2" w:tplc="040A0005" w:tentative="1">
      <w:start w:val="1"/>
      <w:numFmt w:val="bullet"/>
      <w:lvlText w:val=""/>
      <w:lvlJc w:val="left"/>
      <w:pPr>
        <w:ind w:left="2018" w:hanging="360"/>
      </w:pPr>
      <w:rPr>
        <w:rFonts w:ascii="Wingdings" w:hAnsi="Wingdings" w:hint="default"/>
      </w:rPr>
    </w:lvl>
    <w:lvl w:ilvl="3" w:tplc="040A0001" w:tentative="1">
      <w:start w:val="1"/>
      <w:numFmt w:val="bullet"/>
      <w:lvlText w:val=""/>
      <w:lvlJc w:val="left"/>
      <w:pPr>
        <w:ind w:left="2738" w:hanging="360"/>
      </w:pPr>
      <w:rPr>
        <w:rFonts w:ascii="Symbol" w:hAnsi="Symbol" w:hint="default"/>
      </w:rPr>
    </w:lvl>
    <w:lvl w:ilvl="4" w:tplc="040A0003" w:tentative="1">
      <w:start w:val="1"/>
      <w:numFmt w:val="bullet"/>
      <w:lvlText w:val="o"/>
      <w:lvlJc w:val="left"/>
      <w:pPr>
        <w:ind w:left="3458" w:hanging="360"/>
      </w:pPr>
      <w:rPr>
        <w:rFonts w:ascii="Courier New" w:hAnsi="Courier New" w:cs="Courier New" w:hint="default"/>
      </w:rPr>
    </w:lvl>
    <w:lvl w:ilvl="5" w:tplc="040A0005" w:tentative="1">
      <w:start w:val="1"/>
      <w:numFmt w:val="bullet"/>
      <w:lvlText w:val=""/>
      <w:lvlJc w:val="left"/>
      <w:pPr>
        <w:ind w:left="4178" w:hanging="360"/>
      </w:pPr>
      <w:rPr>
        <w:rFonts w:ascii="Wingdings" w:hAnsi="Wingdings" w:hint="default"/>
      </w:rPr>
    </w:lvl>
    <w:lvl w:ilvl="6" w:tplc="040A0001" w:tentative="1">
      <w:start w:val="1"/>
      <w:numFmt w:val="bullet"/>
      <w:lvlText w:val=""/>
      <w:lvlJc w:val="left"/>
      <w:pPr>
        <w:ind w:left="4898" w:hanging="360"/>
      </w:pPr>
      <w:rPr>
        <w:rFonts w:ascii="Symbol" w:hAnsi="Symbol" w:hint="default"/>
      </w:rPr>
    </w:lvl>
    <w:lvl w:ilvl="7" w:tplc="040A0003" w:tentative="1">
      <w:start w:val="1"/>
      <w:numFmt w:val="bullet"/>
      <w:lvlText w:val="o"/>
      <w:lvlJc w:val="left"/>
      <w:pPr>
        <w:ind w:left="5618" w:hanging="360"/>
      </w:pPr>
      <w:rPr>
        <w:rFonts w:ascii="Courier New" w:hAnsi="Courier New" w:cs="Courier New" w:hint="default"/>
      </w:rPr>
    </w:lvl>
    <w:lvl w:ilvl="8" w:tplc="040A0005" w:tentative="1">
      <w:start w:val="1"/>
      <w:numFmt w:val="bullet"/>
      <w:lvlText w:val=""/>
      <w:lvlJc w:val="left"/>
      <w:pPr>
        <w:ind w:left="6338" w:hanging="360"/>
      </w:pPr>
      <w:rPr>
        <w:rFonts w:ascii="Wingdings" w:hAnsi="Wingdings" w:hint="default"/>
      </w:rPr>
    </w:lvl>
  </w:abstractNum>
  <w:abstractNum w:abstractNumId="10"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1"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EB34F84"/>
    <w:multiLevelType w:val="hybridMultilevel"/>
    <w:tmpl w:val="DBC80B18"/>
    <w:lvl w:ilvl="0" w:tplc="B6CE9E64">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5"/>
  </w:num>
  <w:num w:numId="8" w16cid:durableId="152644682">
    <w:abstractNumId w:val="16"/>
  </w:num>
  <w:num w:numId="9" w16cid:durableId="1317221377">
    <w:abstractNumId w:val="7"/>
  </w:num>
  <w:num w:numId="10" w16cid:durableId="1471245386">
    <w:abstractNumId w:val="15"/>
  </w:num>
  <w:num w:numId="11" w16cid:durableId="289172385">
    <w:abstractNumId w:val="8"/>
  </w:num>
  <w:num w:numId="12" w16cid:durableId="1470781324">
    <w:abstractNumId w:val="1"/>
  </w:num>
  <w:num w:numId="13" w16cid:durableId="1512908409">
    <w:abstractNumId w:val="3"/>
  </w:num>
  <w:num w:numId="14" w16cid:durableId="895897244">
    <w:abstractNumId w:val="18"/>
  </w:num>
  <w:num w:numId="15" w16cid:durableId="390349800">
    <w:abstractNumId w:val="14"/>
  </w:num>
  <w:num w:numId="16" w16cid:durableId="341274352">
    <w:abstractNumId w:val="0"/>
  </w:num>
  <w:num w:numId="17" w16cid:durableId="679089576">
    <w:abstractNumId w:val="9"/>
  </w:num>
  <w:num w:numId="18" w16cid:durableId="154034371">
    <w:abstractNumId w:val="12"/>
  </w:num>
  <w:num w:numId="19" w16cid:durableId="2097506960">
    <w:abstractNumId w:val="13"/>
  </w:num>
  <w:num w:numId="20" w16cid:durableId="1977490869">
    <w:abstractNumId w:val="11"/>
  </w:num>
  <w:num w:numId="21" w16cid:durableId="1586632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3FA"/>
    <w:rsid w:val="00037BF1"/>
    <w:rsid w:val="00041E3B"/>
    <w:rsid w:val="00046945"/>
    <w:rsid w:val="00060CE2"/>
    <w:rsid w:val="00061B2A"/>
    <w:rsid w:val="00077A34"/>
    <w:rsid w:val="00082362"/>
    <w:rsid w:val="000A683E"/>
    <w:rsid w:val="000B19B9"/>
    <w:rsid w:val="000D0334"/>
    <w:rsid w:val="000D75C0"/>
    <w:rsid w:val="000D7D07"/>
    <w:rsid w:val="000F6486"/>
    <w:rsid w:val="00125105"/>
    <w:rsid w:val="00127233"/>
    <w:rsid w:val="001511A0"/>
    <w:rsid w:val="0016376A"/>
    <w:rsid w:val="001679F6"/>
    <w:rsid w:val="001C613D"/>
    <w:rsid w:val="001E4177"/>
    <w:rsid w:val="001F3449"/>
    <w:rsid w:val="001F7DC6"/>
    <w:rsid w:val="00202BDE"/>
    <w:rsid w:val="002124D9"/>
    <w:rsid w:val="002421BB"/>
    <w:rsid w:val="0025796E"/>
    <w:rsid w:val="002707A2"/>
    <w:rsid w:val="0027503A"/>
    <w:rsid w:val="002951A0"/>
    <w:rsid w:val="002962BC"/>
    <w:rsid w:val="002A093D"/>
    <w:rsid w:val="002A0DD0"/>
    <w:rsid w:val="002A49AC"/>
    <w:rsid w:val="002A64FD"/>
    <w:rsid w:val="002C7A84"/>
    <w:rsid w:val="002E4FD9"/>
    <w:rsid w:val="002E686C"/>
    <w:rsid w:val="00320DCF"/>
    <w:rsid w:val="00321183"/>
    <w:rsid w:val="00322A85"/>
    <w:rsid w:val="00324168"/>
    <w:rsid w:val="003448F4"/>
    <w:rsid w:val="00372557"/>
    <w:rsid w:val="00374F5E"/>
    <w:rsid w:val="00375E93"/>
    <w:rsid w:val="00377E3E"/>
    <w:rsid w:val="003A779E"/>
    <w:rsid w:val="003B5607"/>
    <w:rsid w:val="003D0F4D"/>
    <w:rsid w:val="003D5B0D"/>
    <w:rsid w:val="003E0499"/>
    <w:rsid w:val="003E4EDA"/>
    <w:rsid w:val="003F17CD"/>
    <w:rsid w:val="003F21FA"/>
    <w:rsid w:val="003F3941"/>
    <w:rsid w:val="00406575"/>
    <w:rsid w:val="00414C74"/>
    <w:rsid w:val="0042722E"/>
    <w:rsid w:val="0044528D"/>
    <w:rsid w:val="004617E1"/>
    <w:rsid w:val="004625DF"/>
    <w:rsid w:val="004740CC"/>
    <w:rsid w:val="004A1847"/>
    <w:rsid w:val="004A305D"/>
    <w:rsid w:val="004B3909"/>
    <w:rsid w:val="004C3831"/>
    <w:rsid w:val="004D6486"/>
    <w:rsid w:val="004E2C83"/>
    <w:rsid w:val="004F21C4"/>
    <w:rsid w:val="004F685F"/>
    <w:rsid w:val="005067A7"/>
    <w:rsid w:val="00514AAA"/>
    <w:rsid w:val="0051645D"/>
    <w:rsid w:val="00520012"/>
    <w:rsid w:val="005566E8"/>
    <w:rsid w:val="00571055"/>
    <w:rsid w:val="00574867"/>
    <w:rsid w:val="00591460"/>
    <w:rsid w:val="005B3816"/>
    <w:rsid w:val="005C3777"/>
    <w:rsid w:val="005C5CDC"/>
    <w:rsid w:val="005D476C"/>
    <w:rsid w:val="006219F8"/>
    <w:rsid w:val="00634A7A"/>
    <w:rsid w:val="006520AF"/>
    <w:rsid w:val="00656138"/>
    <w:rsid w:val="00665D70"/>
    <w:rsid w:val="006900D9"/>
    <w:rsid w:val="006A5B70"/>
    <w:rsid w:val="006B72EC"/>
    <w:rsid w:val="006D6D44"/>
    <w:rsid w:val="006E0999"/>
    <w:rsid w:val="00706C16"/>
    <w:rsid w:val="00725C02"/>
    <w:rsid w:val="00746B9D"/>
    <w:rsid w:val="00756841"/>
    <w:rsid w:val="00760D3B"/>
    <w:rsid w:val="00763829"/>
    <w:rsid w:val="007649AB"/>
    <w:rsid w:val="00771D0C"/>
    <w:rsid w:val="007749AE"/>
    <w:rsid w:val="00775EA0"/>
    <w:rsid w:val="007833AC"/>
    <w:rsid w:val="007943BF"/>
    <w:rsid w:val="007A2962"/>
    <w:rsid w:val="007A6E7F"/>
    <w:rsid w:val="007B268C"/>
    <w:rsid w:val="007B7171"/>
    <w:rsid w:val="007C0C0F"/>
    <w:rsid w:val="007C3DC2"/>
    <w:rsid w:val="007D1B26"/>
    <w:rsid w:val="007D2F49"/>
    <w:rsid w:val="007E5497"/>
    <w:rsid w:val="007F3253"/>
    <w:rsid w:val="007F7376"/>
    <w:rsid w:val="00806F5F"/>
    <w:rsid w:val="00820278"/>
    <w:rsid w:val="00837D36"/>
    <w:rsid w:val="00867F95"/>
    <w:rsid w:val="008843B6"/>
    <w:rsid w:val="00891928"/>
    <w:rsid w:val="00896C87"/>
    <w:rsid w:val="008A446D"/>
    <w:rsid w:val="008D180B"/>
    <w:rsid w:val="008F0EA7"/>
    <w:rsid w:val="00923EEF"/>
    <w:rsid w:val="009419F9"/>
    <w:rsid w:val="0095685E"/>
    <w:rsid w:val="00961B09"/>
    <w:rsid w:val="00965334"/>
    <w:rsid w:val="0097093E"/>
    <w:rsid w:val="009712C1"/>
    <w:rsid w:val="00986AC5"/>
    <w:rsid w:val="00987189"/>
    <w:rsid w:val="00994A74"/>
    <w:rsid w:val="009A0DFA"/>
    <w:rsid w:val="009B2D26"/>
    <w:rsid w:val="009C71FA"/>
    <w:rsid w:val="009C72E7"/>
    <w:rsid w:val="009D3058"/>
    <w:rsid w:val="009F0523"/>
    <w:rsid w:val="009F3A13"/>
    <w:rsid w:val="00A122D3"/>
    <w:rsid w:val="00A17F13"/>
    <w:rsid w:val="00A20739"/>
    <w:rsid w:val="00A308E2"/>
    <w:rsid w:val="00A33C78"/>
    <w:rsid w:val="00A36AAF"/>
    <w:rsid w:val="00A51206"/>
    <w:rsid w:val="00A5325D"/>
    <w:rsid w:val="00AB0ADB"/>
    <w:rsid w:val="00B00BA2"/>
    <w:rsid w:val="00B01B1A"/>
    <w:rsid w:val="00B30651"/>
    <w:rsid w:val="00B47498"/>
    <w:rsid w:val="00B556F4"/>
    <w:rsid w:val="00B66319"/>
    <w:rsid w:val="00B72CD3"/>
    <w:rsid w:val="00B72FFF"/>
    <w:rsid w:val="00B96CD6"/>
    <w:rsid w:val="00BA222D"/>
    <w:rsid w:val="00BC3D36"/>
    <w:rsid w:val="00BD7F72"/>
    <w:rsid w:val="00BF3A62"/>
    <w:rsid w:val="00C02EF0"/>
    <w:rsid w:val="00C04FB3"/>
    <w:rsid w:val="00C2782E"/>
    <w:rsid w:val="00C330EB"/>
    <w:rsid w:val="00C41061"/>
    <w:rsid w:val="00C754BE"/>
    <w:rsid w:val="00C76B1C"/>
    <w:rsid w:val="00CA29BB"/>
    <w:rsid w:val="00CB6357"/>
    <w:rsid w:val="00CC1B26"/>
    <w:rsid w:val="00CC3535"/>
    <w:rsid w:val="00CF729A"/>
    <w:rsid w:val="00D0719B"/>
    <w:rsid w:val="00D14DA4"/>
    <w:rsid w:val="00D266DD"/>
    <w:rsid w:val="00D34855"/>
    <w:rsid w:val="00D423A2"/>
    <w:rsid w:val="00D520D8"/>
    <w:rsid w:val="00D61565"/>
    <w:rsid w:val="00D63AC2"/>
    <w:rsid w:val="00D66873"/>
    <w:rsid w:val="00D724D7"/>
    <w:rsid w:val="00D7383B"/>
    <w:rsid w:val="00D84EBA"/>
    <w:rsid w:val="00DA231B"/>
    <w:rsid w:val="00DB0B40"/>
    <w:rsid w:val="00DB7D90"/>
    <w:rsid w:val="00DC1587"/>
    <w:rsid w:val="00DC39FC"/>
    <w:rsid w:val="00DE595D"/>
    <w:rsid w:val="00DF5254"/>
    <w:rsid w:val="00DF65EB"/>
    <w:rsid w:val="00E16408"/>
    <w:rsid w:val="00E20894"/>
    <w:rsid w:val="00E245AB"/>
    <w:rsid w:val="00E2764C"/>
    <w:rsid w:val="00E27F2E"/>
    <w:rsid w:val="00E50AFE"/>
    <w:rsid w:val="00E51A98"/>
    <w:rsid w:val="00E75C92"/>
    <w:rsid w:val="00E771DC"/>
    <w:rsid w:val="00E8772A"/>
    <w:rsid w:val="00E90F6B"/>
    <w:rsid w:val="00E92C27"/>
    <w:rsid w:val="00EA0E3D"/>
    <w:rsid w:val="00EC38A7"/>
    <w:rsid w:val="00ED6958"/>
    <w:rsid w:val="00ED7384"/>
    <w:rsid w:val="00EE1AA8"/>
    <w:rsid w:val="00EE337E"/>
    <w:rsid w:val="00EF548F"/>
    <w:rsid w:val="00EF5536"/>
    <w:rsid w:val="00F31EDC"/>
    <w:rsid w:val="00F462B3"/>
    <w:rsid w:val="00F53AD3"/>
    <w:rsid w:val="00F5664F"/>
    <w:rsid w:val="00F57788"/>
    <w:rsid w:val="00F666C4"/>
    <w:rsid w:val="00F76AFC"/>
    <w:rsid w:val="00F9656C"/>
    <w:rsid w:val="00FA47C0"/>
    <w:rsid w:val="00FB5DD1"/>
    <w:rsid w:val="00FC2B5D"/>
    <w:rsid w:val="00FC79C7"/>
    <w:rsid w:val="00FD5F1E"/>
    <w:rsid w:val="00FE2E3D"/>
    <w:rsid w:val="00FE4F9D"/>
    <w:rsid w:val="00FF1449"/>
    <w:rsid w:val="46D37B0D"/>
    <w:rsid w:val="49E60268"/>
    <w:rsid w:val="5FA09DCF"/>
    <w:rsid w:val="687707A3"/>
    <w:rsid w:val="6AF64649"/>
    <w:rsid w:val="7E01F3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61565"/>
    <w:rPr>
      <w:rFonts w:ascii="Geomanist Light" w:hAnsi="Geomanist Light"/>
      <w:lang w:val="es-ES"/>
    </w:rPr>
  </w:style>
  <w:style w:type="paragraph" w:customStyle="1" w:styleId="Appelnotedebasde">
    <w:name w:val="Appel note de bas de..."/>
    <w:basedOn w:val="Normal"/>
    <w:link w:val="Refdenotaalpie"/>
    <w:uiPriority w:val="99"/>
    <w:rsid w:val="00763829"/>
    <w:pPr>
      <w:spacing w:line="240" w:lineRule="exact"/>
    </w:pPr>
    <w:rPr>
      <w:vertAlign w:val="superscript"/>
    </w:rPr>
  </w:style>
  <w:style w:type="paragraph" w:styleId="Textocomentario">
    <w:name w:val="annotation text"/>
    <w:basedOn w:val="Normal"/>
    <w:link w:val="TextocomentarioCar"/>
    <w:uiPriority w:val="99"/>
    <w:semiHidden/>
    <w:unhideWhenUsed/>
    <w:rsid w:val="000D7D0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D7D07"/>
    <w:rPr>
      <w:sz w:val="20"/>
      <w:szCs w:val="20"/>
    </w:rPr>
  </w:style>
  <w:style w:type="character" w:styleId="Refdecomentario">
    <w:name w:val="annotation reference"/>
    <w:basedOn w:val="Fuentedeprrafopredeter"/>
    <w:uiPriority w:val="99"/>
    <w:semiHidden/>
    <w:unhideWhenUsed/>
    <w:rsid w:val="000D7D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23527">
      <w:bodyDiv w:val="1"/>
      <w:marLeft w:val="0"/>
      <w:marRight w:val="0"/>
      <w:marTop w:val="0"/>
      <w:marBottom w:val="0"/>
      <w:divBdr>
        <w:top w:val="none" w:sz="0" w:space="0" w:color="auto"/>
        <w:left w:val="none" w:sz="0" w:space="0" w:color="auto"/>
        <w:bottom w:val="none" w:sz="0" w:space="0" w:color="auto"/>
        <w:right w:val="none" w:sz="0" w:space="0" w:color="auto"/>
      </w:divBdr>
    </w:div>
    <w:div w:id="86731969">
      <w:bodyDiv w:val="1"/>
      <w:marLeft w:val="0"/>
      <w:marRight w:val="0"/>
      <w:marTop w:val="0"/>
      <w:marBottom w:val="0"/>
      <w:divBdr>
        <w:top w:val="none" w:sz="0" w:space="0" w:color="auto"/>
        <w:left w:val="none" w:sz="0" w:space="0" w:color="auto"/>
        <w:bottom w:val="none" w:sz="0" w:space="0" w:color="auto"/>
        <w:right w:val="none" w:sz="0" w:space="0" w:color="auto"/>
      </w:divBdr>
      <w:divsChild>
        <w:div w:id="247228046">
          <w:marLeft w:val="0"/>
          <w:marRight w:val="0"/>
          <w:marTop w:val="0"/>
          <w:marBottom w:val="0"/>
          <w:divBdr>
            <w:top w:val="none" w:sz="0" w:space="0" w:color="auto"/>
            <w:left w:val="none" w:sz="0" w:space="0" w:color="auto"/>
            <w:bottom w:val="none" w:sz="0" w:space="0" w:color="auto"/>
            <w:right w:val="none" w:sz="0" w:space="0" w:color="auto"/>
          </w:divBdr>
        </w:div>
      </w:divsChild>
    </w:div>
    <w:div w:id="549343628">
      <w:bodyDiv w:val="1"/>
      <w:marLeft w:val="0"/>
      <w:marRight w:val="0"/>
      <w:marTop w:val="0"/>
      <w:marBottom w:val="0"/>
      <w:divBdr>
        <w:top w:val="none" w:sz="0" w:space="0" w:color="auto"/>
        <w:left w:val="none" w:sz="0" w:space="0" w:color="auto"/>
        <w:bottom w:val="none" w:sz="0" w:space="0" w:color="auto"/>
        <w:right w:val="none" w:sz="0" w:space="0" w:color="auto"/>
      </w:divBdr>
    </w:div>
    <w:div w:id="564878407">
      <w:bodyDiv w:val="1"/>
      <w:marLeft w:val="0"/>
      <w:marRight w:val="0"/>
      <w:marTop w:val="0"/>
      <w:marBottom w:val="0"/>
      <w:divBdr>
        <w:top w:val="none" w:sz="0" w:space="0" w:color="auto"/>
        <w:left w:val="none" w:sz="0" w:space="0" w:color="auto"/>
        <w:bottom w:val="none" w:sz="0" w:space="0" w:color="auto"/>
        <w:right w:val="none" w:sz="0" w:space="0" w:color="auto"/>
      </w:divBdr>
      <w:divsChild>
        <w:div w:id="44909473">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8173639">
      <w:bodyDiv w:val="1"/>
      <w:marLeft w:val="0"/>
      <w:marRight w:val="0"/>
      <w:marTop w:val="0"/>
      <w:marBottom w:val="0"/>
      <w:divBdr>
        <w:top w:val="none" w:sz="0" w:space="0" w:color="auto"/>
        <w:left w:val="none" w:sz="0" w:space="0" w:color="auto"/>
        <w:bottom w:val="none" w:sz="0" w:space="0" w:color="auto"/>
        <w:right w:val="none" w:sz="0" w:space="0" w:color="auto"/>
      </w:divBdr>
    </w:div>
    <w:div w:id="632250500">
      <w:bodyDiv w:val="1"/>
      <w:marLeft w:val="0"/>
      <w:marRight w:val="0"/>
      <w:marTop w:val="0"/>
      <w:marBottom w:val="0"/>
      <w:divBdr>
        <w:top w:val="none" w:sz="0" w:space="0" w:color="auto"/>
        <w:left w:val="none" w:sz="0" w:space="0" w:color="auto"/>
        <w:bottom w:val="none" w:sz="0" w:space="0" w:color="auto"/>
        <w:right w:val="none" w:sz="0" w:space="0" w:color="auto"/>
      </w:divBdr>
    </w:div>
    <w:div w:id="642858200">
      <w:bodyDiv w:val="1"/>
      <w:marLeft w:val="0"/>
      <w:marRight w:val="0"/>
      <w:marTop w:val="0"/>
      <w:marBottom w:val="0"/>
      <w:divBdr>
        <w:top w:val="none" w:sz="0" w:space="0" w:color="auto"/>
        <w:left w:val="none" w:sz="0" w:space="0" w:color="auto"/>
        <w:bottom w:val="none" w:sz="0" w:space="0" w:color="auto"/>
        <w:right w:val="none" w:sz="0" w:space="0" w:color="auto"/>
      </w:divBdr>
      <w:divsChild>
        <w:div w:id="1266308523">
          <w:marLeft w:val="0"/>
          <w:marRight w:val="0"/>
          <w:marTop w:val="0"/>
          <w:marBottom w:val="0"/>
          <w:divBdr>
            <w:top w:val="none" w:sz="0" w:space="0" w:color="auto"/>
            <w:left w:val="none" w:sz="0" w:space="0" w:color="auto"/>
            <w:bottom w:val="none" w:sz="0" w:space="0" w:color="auto"/>
            <w:right w:val="none" w:sz="0" w:space="0" w:color="auto"/>
          </w:divBdr>
        </w:div>
      </w:divsChild>
    </w:div>
    <w:div w:id="67210215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56763035">
      <w:bodyDiv w:val="1"/>
      <w:marLeft w:val="0"/>
      <w:marRight w:val="0"/>
      <w:marTop w:val="0"/>
      <w:marBottom w:val="0"/>
      <w:divBdr>
        <w:top w:val="none" w:sz="0" w:space="0" w:color="auto"/>
        <w:left w:val="none" w:sz="0" w:space="0" w:color="auto"/>
        <w:bottom w:val="none" w:sz="0" w:space="0" w:color="auto"/>
        <w:right w:val="none" w:sz="0" w:space="0" w:color="auto"/>
      </w:divBdr>
      <w:divsChild>
        <w:div w:id="1402604039">
          <w:marLeft w:val="0"/>
          <w:marRight w:val="0"/>
          <w:marTop w:val="0"/>
          <w:marBottom w:val="0"/>
          <w:divBdr>
            <w:top w:val="none" w:sz="0" w:space="0" w:color="auto"/>
            <w:left w:val="none" w:sz="0" w:space="0" w:color="auto"/>
            <w:bottom w:val="none" w:sz="0" w:space="0" w:color="auto"/>
            <w:right w:val="none" w:sz="0" w:space="0" w:color="auto"/>
          </w:divBdr>
        </w:div>
      </w:divsChild>
    </w:div>
    <w:div w:id="1063989246">
      <w:bodyDiv w:val="1"/>
      <w:marLeft w:val="0"/>
      <w:marRight w:val="0"/>
      <w:marTop w:val="0"/>
      <w:marBottom w:val="0"/>
      <w:divBdr>
        <w:top w:val="none" w:sz="0" w:space="0" w:color="auto"/>
        <w:left w:val="none" w:sz="0" w:space="0" w:color="auto"/>
        <w:bottom w:val="none" w:sz="0" w:space="0" w:color="auto"/>
        <w:right w:val="none" w:sz="0" w:space="0" w:color="auto"/>
      </w:divBdr>
      <w:divsChild>
        <w:div w:id="1783647602">
          <w:marLeft w:val="0"/>
          <w:marRight w:val="0"/>
          <w:marTop w:val="0"/>
          <w:marBottom w:val="0"/>
          <w:divBdr>
            <w:top w:val="none" w:sz="0" w:space="0" w:color="auto"/>
            <w:left w:val="none" w:sz="0" w:space="0" w:color="auto"/>
            <w:bottom w:val="none" w:sz="0" w:space="0" w:color="auto"/>
            <w:right w:val="none" w:sz="0" w:space="0" w:color="auto"/>
          </w:divBdr>
        </w:div>
      </w:divsChild>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70752388">
      <w:bodyDiv w:val="1"/>
      <w:marLeft w:val="0"/>
      <w:marRight w:val="0"/>
      <w:marTop w:val="0"/>
      <w:marBottom w:val="0"/>
      <w:divBdr>
        <w:top w:val="none" w:sz="0" w:space="0" w:color="auto"/>
        <w:left w:val="none" w:sz="0" w:space="0" w:color="auto"/>
        <w:bottom w:val="none" w:sz="0" w:space="0" w:color="auto"/>
        <w:right w:val="none" w:sz="0" w:space="0" w:color="auto"/>
      </w:divBdr>
    </w:div>
    <w:div w:id="1223104269">
      <w:bodyDiv w:val="1"/>
      <w:marLeft w:val="0"/>
      <w:marRight w:val="0"/>
      <w:marTop w:val="0"/>
      <w:marBottom w:val="0"/>
      <w:divBdr>
        <w:top w:val="none" w:sz="0" w:space="0" w:color="auto"/>
        <w:left w:val="none" w:sz="0" w:space="0" w:color="auto"/>
        <w:bottom w:val="none" w:sz="0" w:space="0" w:color="auto"/>
        <w:right w:val="none" w:sz="0" w:space="0" w:color="auto"/>
      </w:divBdr>
    </w:div>
    <w:div w:id="1227031363">
      <w:bodyDiv w:val="1"/>
      <w:marLeft w:val="0"/>
      <w:marRight w:val="0"/>
      <w:marTop w:val="0"/>
      <w:marBottom w:val="0"/>
      <w:divBdr>
        <w:top w:val="none" w:sz="0" w:space="0" w:color="auto"/>
        <w:left w:val="none" w:sz="0" w:space="0" w:color="auto"/>
        <w:bottom w:val="none" w:sz="0" w:space="0" w:color="auto"/>
        <w:right w:val="none" w:sz="0" w:space="0" w:color="auto"/>
      </w:divBdr>
      <w:divsChild>
        <w:div w:id="704447750">
          <w:marLeft w:val="0"/>
          <w:marRight w:val="0"/>
          <w:marTop w:val="0"/>
          <w:marBottom w:val="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8003422">
      <w:bodyDiv w:val="1"/>
      <w:marLeft w:val="0"/>
      <w:marRight w:val="0"/>
      <w:marTop w:val="0"/>
      <w:marBottom w:val="0"/>
      <w:divBdr>
        <w:top w:val="none" w:sz="0" w:space="0" w:color="auto"/>
        <w:left w:val="none" w:sz="0" w:space="0" w:color="auto"/>
        <w:bottom w:val="none" w:sz="0" w:space="0" w:color="auto"/>
        <w:right w:val="none" w:sz="0" w:space="0" w:color="auto"/>
      </w:divBdr>
      <w:divsChild>
        <w:div w:id="652372181">
          <w:marLeft w:val="0"/>
          <w:marRight w:val="0"/>
          <w:marTop w:val="0"/>
          <w:marBottom w:val="0"/>
          <w:divBdr>
            <w:top w:val="none" w:sz="0" w:space="0" w:color="auto"/>
            <w:left w:val="none" w:sz="0" w:space="0" w:color="auto"/>
            <w:bottom w:val="none" w:sz="0" w:space="0" w:color="auto"/>
            <w:right w:val="none" w:sz="0" w:space="0" w:color="auto"/>
          </w:divBdr>
        </w:div>
      </w:divsChild>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10744979">
      <w:bodyDiv w:val="1"/>
      <w:marLeft w:val="0"/>
      <w:marRight w:val="0"/>
      <w:marTop w:val="0"/>
      <w:marBottom w:val="0"/>
      <w:divBdr>
        <w:top w:val="none" w:sz="0" w:space="0" w:color="auto"/>
        <w:left w:val="none" w:sz="0" w:space="0" w:color="auto"/>
        <w:bottom w:val="none" w:sz="0" w:space="0" w:color="auto"/>
        <w:right w:val="none" w:sz="0" w:space="0" w:color="auto"/>
      </w:divBdr>
      <w:divsChild>
        <w:div w:id="1443458692">
          <w:marLeft w:val="0"/>
          <w:marRight w:val="0"/>
          <w:marTop w:val="0"/>
          <w:marBottom w:val="0"/>
          <w:divBdr>
            <w:top w:val="none" w:sz="0" w:space="0" w:color="auto"/>
            <w:left w:val="none" w:sz="0" w:space="0" w:color="auto"/>
            <w:bottom w:val="none" w:sz="0" w:space="0" w:color="auto"/>
            <w:right w:val="none" w:sz="0" w:space="0" w:color="auto"/>
          </w:divBdr>
        </w:div>
      </w:divsChild>
    </w:div>
    <w:div w:id="1663192427">
      <w:bodyDiv w:val="1"/>
      <w:marLeft w:val="0"/>
      <w:marRight w:val="0"/>
      <w:marTop w:val="0"/>
      <w:marBottom w:val="0"/>
      <w:divBdr>
        <w:top w:val="none" w:sz="0" w:space="0" w:color="auto"/>
        <w:left w:val="none" w:sz="0" w:space="0" w:color="auto"/>
        <w:bottom w:val="none" w:sz="0" w:space="0" w:color="auto"/>
        <w:right w:val="none" w:sz="0" w:space="0" w:color="auto"/>
      </w:divBdr>
      <w:divsChild>
        <w:div w:id="154928838">
          <w:marLeft w:val="0"/>
          <w:marRight w:val="0"/>
          <w:marTop w:val="0"/>
          <w:marBottom w:val="0"/>
          <w:divBdr>
            <w:top w:val="none" w:sz="0" w:space="0" w:color="auto"/>
            <w:left w:val="none" w:sz="0" w:space="0" w:color="auto"/>
            <w:bottom w:val="none" w:sz="0" w:space="0" w:color="auto"/>
            <w:right w:val="none" w:sz="0" w:space="0" w:color="auto"/>
          </w:divBdr>
        </w:div>
      </w:divsChild>
    </w:div>
    <w:div w:id="1828862552">
      <w:bodyDiv w:val="1"/>
      <w:marLeft w:val="0"/>
      <w:marRight w:val="0"/>
      <w:marTop w:val="0"/>
      <w:marBottom w:val="0"/>
      <w:divBdr>
        <w:top w:val="none" w:sz="0" w:space="0" w:color="auto"/>
        <w:left w:val="none" w:sz="0" w:space="0" w:color="auto"/>
        <w:bottom w:val="none" w:sz="0" w:space="0" w:color="auto"/>
        <w:right w:val="none" w:sz="0" w:space="0" w:color="auto"/>
      </w:divBdr>
    </w:div>
    <w:div w:id="1847473948">
      <w:bodyDiv w:val="1"/>
      <w:marLeft w:val="0"/>
      <w:marRight w:val="0"/>
      <w:marTop w:val="0"/>
      <w:marBottom w:val="0"/>
      <w:divBdr>
        <w:top w:val="none" w:sz="0" w:space="0" w:color="auto"/>
        <w:left w:val="none" w:sz="0" w:space="0" w:color="auto"/>
        <w:bottom w:val="none" w:sz="0" w:space="0" w:color="auto"/>
        <w:right w:val="none" w:sz="0" w:space="0" w:color="auto"/>
      </w:divBdr>
    </w:div>
    <w:div w:id="1874493031">
      <w:bodyDiv w:val="1"/>
      <w:marLeft w:val="0"/>
      <w:marRight w:val="0"/>
      <w:marTop w:val="0"/>
      <w:marBottom w:val="0"/>
      <w:divBdr>
        <w:top w:val="none" w:sz="0" w:space="0" w:color="auto"/>
        <w:left w:val="none" w:sz="0" w:space="0" w:color="auto"/>
        <w:bottom w:val="none" w:sz="0" w:space="0" w:color="auto"/>
        <w:right w:val="none" w:sz="0" w:space="0" w:color="auto"/>
      </w:divBdr>
      <w:divsChild>
        <w:div w:id="1050229473">
          <w:marLeft w:val="0"/>
          <w:marRight w:val="0"/>
          <w:marTop w:val="0"/>
          <w:marBottom w:val="0"/>
          <w:divBdr>
            <w:top w:val="none" w:sz="0" w:space="0" w:color="auto"/>
            <w:left w:val="none" w:sz="0" w:space="0" w:color="auto"/>
            <w:bottom w:val="none" w:sz="0" w:space="0" w:color="auto"/>
            <w:right w:val="none" w:sz="0" w:space="0" w:color="auto"/>
          </w:divBdr>
        </w:div>
      </w:divsChild>
    </w:div>
    <w:div w:id="2057965810">
      <w:bodyDiv w:val="1"/>
      <w:marLeft w:val="0"/>
      <w:marRight w:val="0"/>
      <w:marTop w:val="0"/>
      <w:marBottom w:val="0"/>
      <w:divBdr>
        <w:top w:val="none" w:sz="0" w:space="0" w:color="auto"/>
        <w:left w:val="none" w:sz="0" w:space="0" w:color="auto"/>
        <w:bottom w:val="none" w:sz="0" w:space="0" w:color="auto"/>
        <w:right w:val="none" w:sz="0" w:space="0" w:color="auto"/>
      </w:divBdr>
      <w:divsChild>
        <w:div w:id="1246108457">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os/cce-eicp-gi-18._gees_v.2_2.pdf"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eb0fd05604104aa4d3bc08dd4c4ad35e%7C7b09041e245149d08cb179d5e3d8c1be%7C0%7C0%7C638750606446335712%7CUnknown%7CTWFpbGZsb3d8eyJFbXB0eU1hcGkiOnRydWUsIlYiOiIwLjAuMDAwMCIsIlAiOiJXaW4zMiIsIkFOIjoiTWFpbCIsIldUIjoyfQ%3D%3D%7C0%7C%7C%7C&amp;sdata=bpTAQiuYjVcUoeFgz%2FO%2BFaxhCu3HCNDiMz1gGhMVcV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dimitriausake28@gmail.com" TargetMode="External"/><Relationship Id="rId17" Type="http://schemas.openxmlformats.org/officeDocument/2006/relationships/hyperlink" Target="https://nam02.safelinks.protection.outlook.com/?url=https%3A%2F%2Fwww.colombiacompra.gov.co%2Fciudadanos%2Fcalendario&amp;data=05%7C02%7Cana.ortizb%40colombiacompra.gov.co%7Ceb0fd05604104aa4d3bc08dd4c4ad35e%7C7b09041e245149d08cb179d5e3d8c1be%7C0%7C0%7C638750606446306096%7CUnknown%7CTWFpbGZsb3d8eyJFbXB0eU1hcGkiOnRydWUsIlYiOiIwLjAuMDAwMCIsIlAiOiJXaW4zMiIsIkFOIjoiTWFpbCIsIldUIjoyfQ%3D%3D%7C0%7C%7C%7C&amp;sdata=xlRfJTYNHDqY9oLKq6fFhwacClq2TIfYtpBol2OtcI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ortizb%40colombiacompra.gov.co%7Ceb0fd05604104aa4d3bc08dd4c4ad35e%7C7b09041e245149d08cb179d5e3d8c1be%7C0%7C0%7C638750606446270835%7CUnknown%7CTWFpbGZsb3d8eyJFbXB0eU1hcGkiOnRydWUsIlYiOiIwLjAuMDAwMCIsIlAiOiJXaW4zMiIsIkFOIjoiTWFpbCIsIldUIjoyfQ%3D%3D%7C0%7C%7C%7C&amp;sdata=lgU%2FwGIvhOUWp620wiePskCKBiVcjoMQGZs60PE3Yo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eicp-ma-04._manual_requisitos_habilitantes_v3_29-09-2023.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documentos/cce-eicp-gi-18._gees_v.2_2.pdf" TargetMode="External"/><Relationship Id="rId1" Type="http://schemas.openxmlformats.org/officeDocument/2006/relationships/hyperlink" Target="https://www.colombiacompra.gov.co/sites/cce_public/files/cce_documents/cce_manual_requisitos_habilitant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796A0008-C1CD-421B-B1D4-2A069AEBCBC1}">
  <ds:schemaRefs>
    <ds:schemaRef ds:uri="http://schemas.openxmlformats.org/officeDocument/2006/bibliography"/>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738B211-6BF5-4666-AF3C-F5DE980AF430}"/>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4104</Words>
  <Characters>22578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25</cp:revision>
  <cp:lastPrinted>2023-01-10T21:18:00Z</cp:lastPrinted>
  <dcterms:created xsi:type="dcterms:W3CDTF">2025-03-05T14:21:00Z</dcterms:created>
  <dcterms:modified xsi:type="dcterms:W3CDTF">2025-03-05T14:59:00Z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