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58477" w14:textId="4E0B7C62" w:rsidR="00385E4A" w:rsidRDefault="00385E4A" w:rsidP="00385E4A">
      <w:pPr>
        <w:spacing w:line="276" w:lineRule="auto"/>
        <w:jc w:val="right"/>
        <w:rPr>
          <w:rFonts w:ascii="Arial" w:eastAsia="Times New Roman" w:hAnsi="Arial" w:cs="Arial"/>
          <w:b/>
          <w:bCs/>
          <w:color w:val="000000" w:themeColor="text1"/>
          <w:sz w:val="16"/>
          <w:szCs w:val="16"/>
          <w:lang w:eastAsia="es-ES"/>
        </w:rPr>
      </w:pPr>
      <w:r w:rsidRPr="00411C1A">
        <w:rPr>
          <w:rFonts w:ascii="Arial" w:eastAsia="Times New Roman" w:hAnsi="Arial" w:cs="Arial"/>
          <w:b/>
          <w:bCs/>
          <w:color w:val="000000" w:themeColor="text1"/>
          <w:sz w:val="16"/>
          <w:szCs w:val="16"/>
          <w:lang w:eastAsia="es-ES"/>
        </w:rPr>
        <w:t>CCE-DES-FM-17</w:t>
      </w:r>
    </w:p>
    <w:p w14:paraId="29AF8C87" w14:textId="77777777" w:rsidR="00411C1A" w:rsidRPr="00782714" w:rsidRDefault="00411C1A" w:rsidP="00385E4A">
      <w:pPr>
        <w:spacing w:line="276" w:lineRule="auto"/>
        <w:jc w:val="right"/>
        <w:rPr>
          <w:rFonts w:ascii="Arial" w:eastAsia="Calibri" w:hAnsi="Arial" w:cs="Arial"/>
          <w:b/>
          <w:bCs/>
          <w:color w:val="000000" w:themeColor="text1"/>
          <w:sz w:val="16"/>
          <w:szCs w:val="16"/>
        </w:rPr>
      </w:pPr>
    </w:p>
    <w:p w14:paraId="70C7A8D6" w14:textId="190B163B" w:rsidR="00385E4A" w:rsidRPr="00411C1A" w:rsidRDefault="00385E4A" w:rsidP="00411C1A">
      <w:pPr>
        <w:jc w:val="both"/>
        <w:rPr>
          <w:rFonts w:ascii="Arial" w:eastAsia="Calibri" w:hAnsi="Arial" w:cs="Arial"/>
          <w:b/>
          <w:color w:val="000000" w:themeColor="text1"/>
          <w:sz w:val="22"/>
        </w:rPr>
      </w:pPr>
      <w:r w:rsidRPr="00411C1A">
        <w:rPr>
          <w:rFonts w:ascii="Arial" w:eastAsia="Calibri" w:hAnsi="Arial" w:cs="Arial"/>
          <w:b/>
          <w:color w:val="000000" w:themeColor="text1"/>
          <w:sz w:val="22"/>
        </w:rPr>
        <w:t xml:space="preserve">PLIEGO DE CONDICIONES </w:t>
      </w:r>
      <w:r w:rsidR="00105785" w:rsidRPr="006C15D5">
        <w:rPr>
          <w:rFonts w:ascii="Arial" w:eastAsia="Calibri" w:hAnsi="Arial" w:cs="Arial"/>
          <w:b/>
          <w:color w:val="000000" w:themeColor="text1"/>
          <w:sz w:val="22"/>
        </w:rPr>
        <w:t>–</w:t>
      </w:r>
      <w:r w:rsidRPr="00411C1A">
        <w:rPr>
          <w:rFonts w:ascii="Arial" w:eastAsia="Calibri" w:hAnsi="Arial" w:cs="Arial"/>
          <w:b/>
          <w:color w:val="000000" w:themeColor="text1"/>
          <w:sz w:val="22"/>
        </w:rPr>
        <w:t xml:space="preserve"> Contenido </w:t>
      </w:r>
      <w:r w:rsidR="00105785" w:rsidRPr="006C15D5">
        <w:rPr>
          <w:rFonts w:ascii="Arial" w:eastAsia="Calibri" w:hAnsi="Arial" w:cs="Arial"/>
          <w:b/>
          <w:color w:val="000000" w:themeColor="text1"/>
          <w:sz w:val="22"/>
        </w:rPr>
        <w:t>–</w:t>
      </w:r>
      <w:r w:rsidRPr="00411C1A">
        <w:rPr>
          <w:rFonts w:ascii="Arial" w:eastAsia="Calibri" w:hAnsi="Arial" w:cs="Arial"/>
          <w:b/>
          <w:color w:val="000000" w:themeColor="text1"/>
          <w:sz w:val="22"/>
        </w:rPr>
        <w:t xml:space="preserve"> Características</w:t>
      </w:r>
    </w:p>
    <w:p w14:paraId="36A51141" w14:textId="77777777" w:rsidR="00385E4A" w:rsidRPr="005E20B2" w:rsidRDefault="00385E4A" w:rsidP="00411C1A">
      <w:pPr>
        <w:jc w:val="both"/>
        <w:rPr>
          <w:rFonts w:ascii="Arial" w:hAnsi="Arial" w:cs="Arial"/>
          <w:color w:val="000000" w:themeColor="text1"/>
          <w:sz w:val="20"/>
          <w:szCs w:val="20"/>
        </w:rPr>
      </w:pPr>
    </w:p>
    <w:p w14:paraId="1DF10E6B" w14:textId="483103A3" w:rsidR="00105785" w:rsidRDefault="00385E4A" w:rsidP="00105785">
      <w:pPr>
        <w:spacing w:after="120"/>
        <w:jc w:val="both"/>
        <w:rPr>
          <w:rFonts w:ascii="Arial" w:eastAsia="Calibri" w:hAnsi="Arial" w:cs="Arial"/>
          <w:color w:val="000000" w:themeColor="text1"/>
          <w:sz w:val="20"/>
          <w:szCs w:val="20"/>
        </w:rPr>
      </w:pPr>
      <w:r w:rsidRPr="005E20B2">
        <w:rPr>
          <w:rFonts w:ascii="Arial" w:eastAsia="Calibri" w:hAnsi="Arial" w:cs="Arial"/>
          <w:color w:val="000000" w:themeColor="text1"/>
          <w:sz w:val="20"/>
          <w:szCs w:val="20"/>
        </w:rPr>
        <w:t>Sumado a lo anterior, la Corte Constitucional ha señalado, frente a la selección objetiva, que la entidad no puede establecer reglas subjetivas, sino que deben ser razonables, de acuerdo con las normas que rigen la actividad contractual; y en otro pronunciamiento el Consejo de Estado ha considerado que la autonomía que tienen las entidades frente a la configuración de los pliegos de condiciones y los criterios de selección de los procedimientos de contratación no es absoluta, y debe tener relación con los fines de la contratación estatal</w:t>
      </w:r>
      <w:r w:rsidR="00105785">
        <w:rPr>
          <w:rFonts w:ascii="Arial" w:eastAsia="Calibri" w:hAnsi="Arial" w:cs="Arial"/>
          <w:color w:val="000000" w:themeColor="text1"/>
          <w:sz w:val="20"/>
          <w:szCs w:val="20"/>
        </w:rPr>
        <w:t>.</w:t>
      </w:r>
    </w:p>
    <w:p w14:paraId="0DD3DFDA" w14:textId="1E0416F2" w:rsidR="00385E4A" w:rsidRPr="005E20B2" w:rsidRDefault="00385E4A" w:rsidP="00105785">
      <w:pPr>
        <w:jc w:val="both"/>
        <w:rPr>
          <w:rFonts w:ascii="Arial" w:eastAsia="Calibri" w:hAnsi="Arial" w:cs="Arial"/>
          <w:color w:val="000000" w:themeColor="text1"/>
          <w:sz w:val="20"/>
          <w:szCs w:val="20"/>
        </w:rPr>
      </w:pPr>
      <w:r w:rsidRPr="005E20B2">
        <w:rPr>
          <w:rFonts w:ascii="Arial" w:eastAsia="Calibri" w:hAnsi="Arial" w:cs="Arial"/>
          <w:color w:val="000000" w:themeColor="text1"/>
          <w:sz w:val="20"/>
          <w:szCs w:val="20"/>
        </w:rPr>
        <w:t>También, el Consejo de Estado ha determinado que el pliego de condiciones es ley para las partes, y en él se debe establecer todo el reglamento del procedimiento de contratación, conforme a la ley, garantizando la selección objetiva del contratista. 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p>
    <w:p w14:paraId="143F5469" w14:textId="77777777" w:rsidR="00385E4A" w:rsidRPr="00105785" w:rsidRDefault="00385E4A" w:rsidP="00411C1A">
      <w:pPr>
        <w:pStyle w:val="Prrafodelista"/>
        <w:ind w:left="0"/>
        <w:jc w:val="both"/>
        <w:rPr>
          <w:rFonts w:ascii="Arial" w:eastAsia="Calibri" w:hAnsi="Arial" w:cs="Arial"/>
          <w:color w:val="000000" w:themeColor="text1"/>
          <w:sz w:val="20"/>
          <w:szCs w:val="20"/>
        </w:rPr>
      </w:pPr>
    </w:p>
    <w:p w14:paraId="5C960C0C" w14:textId="3CDCC960" w:rsidR="00385E4A" w:rsidRPr="00105785" w:rsidRDefault="00385E4A" w:rsidP="00411C1A">
      <w:pPr>
        <w:pStyle w:val="Prrafodelista"/>
        <w:ind w:left="0"/>
        <w:jc w:val="both"/>
        <w:rPr>
          <w:rFonts w:ascii="Arial" w:eastAsia="Calibri" w:hAnsi="Arial" w:cs="Arial"/>
          <w:b/>
          <w:color w:val="000000" w:themeColor="text1"/>
          <w:sz w:val="22"/>
        </w:rPr>
      </w:pPr>
      <w:r w:rsidRPr="00105785">
        <w:rPr>
          <w:rFonts w:ascii="Arial" w:eastAsia="Calibri" w:hAnsi="Arial" w:cs="Arial"/>
          <w:b/>
          <w:color w:val="000000" w:themeColor="text1"/>
          <w:sz w:val="22"/>
        </w:rPr>
        <w:t xml:space="preserve">EXPERIENCIA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Características </w:t>
      </w:r>
      <w:r w:rsidR="00105785" w:rsidRPr="00105785">
        <w:rPr>
          <w:rFonts w:ascii="Arial" w:eastAsia="Calibri" w:hAnsi="Arial" w:cs="Arial"/>
          <w:b/>
          <w:color w:val="000000" w:themeColor="text1"/>
          <w:sz w:val="22"/>
        </w:rPr>
        <w:t xml:space="preserve">– </w:t>
      </w:r>
      <w:r w:rsidRPr="00105785">
        <w:rPr>
          <w:rFonts w:ascii="Arial" w:eastAsia="Calibri" w:hAnsi="Arial" w:cs="Arial"/>
          <w:b/>
          <w:color w:val="000000" w:themeColor="text1"/>
          <w:sz w:val="22"/>
        </w:rPr>
        <w:t>Proponente plural</w:t>
      </w:r>
    </w:p>
    <w:p w14:paraId="03590247" w14:textId="77777777" w:rsidR="00385E4A" w:rsidRPr="00105785" w:rsidRDefault="00385E4A" w:rsidP="00411C1A">
      <w:pPr>
        <w:pStyle w:val="Prrafodelista"/>
        <w:ind w:left="0"/>
        <w:jc w:val="both"/>
        <w:rPr>
          <w:rFonts w:ascii="Arial" w:eastAsia="Calibri" w:hAnsi="Arial" w:cs="Arial"/>
          <w:color w:val="000000" w:themeColor="text1"/>
          <w:sz w:val="22"/>
        </w:rPr>
      </w:pPr>
    </w:p>
    <w:p w14:paraId="08B91013" w14:textId="77777777" w:rsidR="00385E4A" w:rsidRPr="005E20B2" w:rsidRDefault="00385E4A" w:rsidP="00411C1A">
      <w:pPr>
        <w:jc w:val="both"/>
        <w:rPr>
          <w:rFonts w:ascii="Arial" w:eastAsia="Calibri" w:hAnsi="Arial" w:cs="Arial"/>
          <w:color w:val="000000" w:themeColor="text1"/>
          <w:sz w:val="20"/>
          <w:szCs w:val="20"/>
        </w:rPr>
      </w:pPr>
      <w:r w:rsidRPr="005E20B2">
        <w:rPr>
          <w:rFonts w:ascii="Arial" w:eastAsia="Calibri" w:hAnsi="Arial" w:cs="Arial"/>
          <w:color w:val="000000" w:themeColor="text1"/>
          <w:sz w:val="20"/>
          <w:szCs w:val="20"/>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habrá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w:t>
      </w:r>
    </w:p>
    <w:p w14:paraId="3EAA57CF" w14:textId="77777777" w:rsidR="00385E4A" w:rsidRPr="005E20B2" w:rsidRDefault="00385E4A" w:rsidP="00411C1A">
      <w:pPr>
        <w:jc w:val="both"/>
        <w:rPr>
          <w:rFonts w:ascii="Arial" w:eastAsia="Calibri" w:hAnsi="Arial" w:cs="Arial"/>
          <w:b/>
          <w:color w:val="000000" w:themeColor="text1"/>
          <w:sz w:val="20"/>
          <w:szCs w:val="20"/>
        </w:rPr>
      </w:pPr>
    </w:p>
    <w:p w14:paraId="27F76ECD" w14:textId="3E552AEE" w:rsidR="00385E4A" w:rsidRPr="00105785" w:rsidRDefault="00385E4A" w:rsidP="00411C1A">
      <w:pPr>
        <w:jc w:val="both"/>
        <w:rPr>
          <w:rFonts w:ascii="Arial" w:hAnsi="Arial" w:cs="Arial"/>
          <w:b/>
          <w:color w:val="000000" w:themeColor="text1"/>
          <w:sz w:val="22"/>
        </w:rPr>
      </w:pPr>
      <w:r w:rsidRPr="00105785">
        <w:rPr>
          <w:rFonts w:ascii="Arial" w:eastAsia="Calibri" w:hAnsi="Arial" w:cs="Arial"/>
          <w:b/>
          <w:color w:val="000000" w:themeColor="text1"/>
          <w:sz w:val="22"/>
        </w:rPr>
        <w:t xml:space="preserve">PROPONENTE PLURAL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Requisitos habilitantes</w:t>
      </w:r>
    </w:p>
    <w:p w14:paraId="5A6276B4" w14:textId="77777777" w:rsidR="00385E4A" w:rsidRPr="005E20B2" w:rsidRDefault="00385E4A" w:rsidP="00411C1A">
      <w:pPr>
        <w:jc w:val="both"/>
        <w:rPr>
          <w:rFonts w:ascii="Arial" w:hAnsi="Arial" w:cs="Arial"/>
          <w:color w:val="000000" w:themeColor="text1"/>
          <w:sz w:val="20"/>
          <w:szCs w:val="20"/>
        </w:rPr>
      </w:pPr>
    </w:p>
    <w:p w14:paraId="0E70B521" w14:textId="77777777" w:rsidR="00385E4A" w:rsidRPr="005E20B2" w:rsidRDefault="00385E4A" w:rsidP="00411C1A">
      <w:pPr>
        <w:jc w:val="both"/>
        <w:rPr>
          <w:rFonts w:ascii="Arial" w:eastAsia="Calibri" w:hAnsi="Arial" w:cs="Arial"/>
          <w:color w:val="000000" w:themeColor="text1"/>
          <w:sz w:val="20"/>
          <w:szCs w:val="20"/>
        </w:rPr>
      </w:pPr>
      <w:r w:rsidRPr="005E20B2">
        <w:rPr>
          <w:rFonts w:ascii="Arial" w:eastAsia="Calibri" w:hAnsi="Arial" w:cs="Arial"/>
          <w:color w:val="000000" w:themeColor="text1"/>
          <w:sz w:val="20"/>
          <w:szCs w:val="20"/>
        </w:rPr>
        <w:t>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14E16F62" w14:textId="77777777" w:rsidR="00385E4A" w:rsidRPr="005E20B2" w:rsidRDefault="00385E4A" w:rsidP="00411C1A">
      <w:pPr>
        <w:jc w:val="both"/>
        <w:rPr>
          <w:rFonts w:ascii="Arial" w:eastAsia="Calibri" w:hAnsi="Arial" w:cs="Arial"/>
          <w:color w:val="000000" w:themeColor="text1"/>
          <w:sz w:val="20"/>
          <w:szCs w:val="20"/>
        </w:rPr>
      </w:pPr>
    </w:p>
    <w:p w14:paraId="277AC584" w14:textId="0214A45F" w:rsidR="00385E4A" w:rsidRPr="00105785" w:rsidRDefault="00385E4A" w:rsidP="00411C1A">
      <w:pPr>
        <w:jc w:val="both"/>
        <w:rPr>
          <w:rFonts w:ascii="Arial" w:eastAsia="Calibri" w:hAnsi="Arial" w:cs="Arial"/>
          <w:b/>
          <w:color w:val="000000" w:themeColor="text1"/>
          <w:sz w:val="22"/>
        </w:rPr>
      </w:pPr>
      <w:r w:rsidRPr="00105785">
        <w:rPr>
          <w:rFonts w:ascii="Arial" w:eastAsia="Calibri" w:hAnsi="Arial" w:cs="Arial"/>
          <w:b/>
          <w:color w:val="000000" w:themeColor="text1"/>
          <w:sz w:val="22"/>
        </w:rPr>
        <w:t xml:space="preserve">PROPONENTE PLURAL </w:t>
      </w:r>
      <w:r w:rsidR="00105785" w:rsidRPr="00105785">
        <w:rPr>
          <w:rFonts w:ascii="Arial" w:eastAsia="Calibri" w:hAnsi="Arial" w:cs="Arial"/>
          <w:b/>
          <w:color w:val="000000" w:themeColor="text1"/>
          <w:sz w:val="22"/>
        </w:rPr>
        <w:t xml:space="preserve">– </w:t>
      </w:r>
      <w:r w:rsidRPr="00105785">
        <w:rPr>
          <w:rFonts w:ascii="Arial" w:eastAsia="Calibri" w:hAnsi="Arial" w:cs="Arial"/>
          <w:b/>
          <w:color w:val="000000" w:themeColor="text1"/>
          <w:sz w:val="22"/>
        </w:rPr>
        <w:t xml:space="preserve">Experiencia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Pliego de condiciones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Conflicto</w:t>
      </w:r>
    </w:p>
    <w:p w14:paraId="2BF8144C" w14:textId="77777777" w:rsidR="00385E4A" w:rsidRPr="005E20B2" w:rsidRDefault="00385E4A" w:rsidP="00411C1A">
      <w:pPr>
        <w:jc w:val="both"/>
        <w:rPr>
          <w:rFonts w:ascii="Arial" w:hAnsi="Arial" w:cs="Arial"/>
          <w:color w:val="000000" w:themeColor="text1"/>
          <w:sz w:val="20"/>
          <w:szCs w:val="20"/>
        </w:rPr>
      </w:pPr>
    </w:p>
    <w:p w14:paraId="23B6F3C3" w14:textId="7BC56577" w:rsidR="00385E4A" w:rsidRPr="005E20B2" w:rsidRDefault="00385E4A" w:rsidP="00105785">
      <w:pPr>
        <w:spacing w:after="120"/>
        <w:jc w:val="both"/>
        <w:rPr>
          <w:rFonts w:ascii="Arial" w:eastAsia="Calibri" w:hAnsi="Arial" w:cs="Arial"/>
          <w:color w:val="000000" w:themeColor="text1"/>
          <w:sz w:val="20"/>
          <w:szCs w:val="20"/>
        </w:rPr>
      </w:pPr>
      <w:r w:rsidRPr="005E20B2">
        <w:rPr>
          <w:rFonts w:ascii="Arial" w:eastAsia="Calibri" w:hAnsi="Arial" w:cs="Arial"/>
          <w:color w:val="000000" w:themeColor="text1"/>
          <w:sz w:val="20"/>
          <w:szCs w:val="20"/>
        </w:rPr>
        <w:t xml:space="preserve">En consecuencia, la entidad puede establecer como regla del pliego de condiciones que cada miembro del proponente plural deba acreditar la experiencia requerida en el procedimiento, o la sumatoria de la experiencia como lo sugirió el Manual, o que un miembro del proponente plural acredite la experiencia, ya que ninguna de estas opciones está prohibida por las normas </w:t>
      </w:r>
      <w:r w:rsidRPr="005E20B2">
        <w:rPr>
          <w:rFonts w:ascii="Arial" w:eastAsia="Calibri" w:hAnsi="Arial" w:cs="Arial"/>
          <w:color w:val="000000" w:themeColor="text1"/>
          <w:sz w:val="20"/>
          <w:szCs w:val="20"/>
        </w:rPr>
        <w:lastRenderedPageBreak/>
        <w:t>aplicables, y la facultad discrecional de la entidad para señalar las reglas de su procedimiento, que son ley para la entidad y para quienes se presenten, permite que esta decida la forma de acreditación de la experiencia por los proponentes plurales.</w:t>
      </w:r>
    </w:p>
    <w:p w14:paraId="3CB24F0A" w14:textId="77777777" w:rsidR="00385E4A" w:rsidRPr="005E20B2" w:rsidRDefault="00385E4A" w:rsidP="00411C1A">
      <w:pPr>
        <w:jc w:val="both"/>
        <w:rPr>
          <w:rFonts w:ascii="Arial" w:eastAsia="Calibri" w:hAnsi="Arial" w:cs="Arial"/>
          <w:color w:val="000000" w:themeColor="text1"/>
          <w:sz w:val="20"/>
          <w:szCs w:val="20"/>
        </w:rPr>
      </w:pPr>
      <w:r w:rsidRPr="005E20B2">
        <w:rPr>
          <w:rFonts w:ascii="Arial" w:eastAsia="Calibri" w:hAnsi="Arial" w:cs="Arial"/>
          <w:color w:val="000000" w:themeColor="text1"/>
          <w:sz w:val="20"/>
          <w:szCs w:val="20"/>
        </w:rPr>
        <w:t>Esto puede estar en contraposición del derecho de los proponentes de decidir la forma de presentar oferta en un procedimiento de selección, sea individualmente o conformando un proponente plural, ya que si deciden ser parte de un consorcio o unión temporal pueden fijar las reglas de la figura en el documento privado de constitución, determinando los aportes de cada miembro y la forma en la que van a colaborarse mutuamente para participar y ejecutar el contrato. Pero cuando la entidad dispone que los miembros del proponente plural deben acreditar la experiencia, esto riñe con lo señalado en el documento privado de constitución, si allí se decidió que un miembro aportara la experiencia de la figura asociativa.</w:t>
      </w:r>
    </w:p>
    <w:p w14:paraId="1F8F0C40" w14:textId="77777777" w:rsidR="00385E4A" w:rsidRPr="005E20B2" w:rsidRDefault="00385E4A" w:rsidP="00411C1A">
      <w:pPr>
        <w:jc w:val="both"/>
        <w:rPr>
          <w:rFonts w:ascii="Arial" w:eastAsia="Calibri" w:hAnsi="Arial" w:cs="Arial"/>
          <w:color w:val="000000" w:themeColor="text1"/>
          <w:sz w:val="20"/>
          <w:szCs w:val="20"/>
        </w:rPr>
      </w:pPr>
    </w:p>
    <w:p w14:paraId="4DD5B004" w14:textId="21F745FE" w:rsidR="00385E4A" w:rsidRPr="00105785" w:rsidRDefault="00385E4A" w:rsidP="00411C1A">
      <w:pPr>
        <w:jc w:val="both"/>
        <w:rPr>
          <w:rFonts w:ascii="Arial" w:eastAsia="Calibri" w:hAnsi="Arial" w:cs="Arial"/>
          <w:b/>
          <w:color w:val="000000" w:themeColor="text1"/>
          <w:sz w:val="22"/>
        </w:rPr>
      </w:pPr>
      <w:r w:rsidRPr="00105785">
        <w:rPr>
          <w:rFonts w:ascii="Arial" w:eastAsia="Calibri" w:hAnsi="Arial" w:cs="Arial"/>
          <w:b/>
          <w:color w:val="000000" w:themeColor="text1"/>
          <w:sz w:val="22"/>
        </w:rPr>
        <w:t xml:space="preserve">PROPONENTE PLURAL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Experiencia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Pliego de condiciones </w:t>
      </w:r>
      <w:r w:rsidR="00105785" w:rsidRPr="00105785">
        <w:rPr>
          <w:rFonts w:ascii="Arial" w:eastAsia="Calibri" w:hAnsi="Arial" w:cs="Arial"/>
          <w:b/>
          <w:color w:val="000000" w:themeColor="text1"/>
          <w:sz w:val="22"/>
        </w:rPr>
        <w:t>–</w:t>
      </w:r>
      <w:r w:rsidRPr="00105785">
        <w:rPr>
          <w:rFonts w:ascii="Arial" w:eastAsia="Calibri" w:hAnsi="Arial" w:cs="Arial"/>
          <w:b/>
          <w:color w:val="000000" w:themeColor="text1"/>
          <w:sz w:val="22"/>
        </w:rPr>
        <w:t xml:space="preserve"> Ponderación</w:t>
      </w:r>
    </w:p>
    <w:p w14:paraId="19CE6F35" w14:textId="77777777" w:rsidR="00385E4A" w:rsidRPr="005E20B2" w:rsidRDefault="00385E4A" w:rsidP="00411C1A">
      <w:pPr>
        <w:jc w:val="both"/>
        <w:rPr>
          <w:rFonts w:ascii="Arial" w:hAnsi="Arial" w:cs="Arial"/>
          <w:color w:val="000000" w:themeColor="text1"/>
          <w:sz w:val="20"/>
          <w:szCs w:val="20"/>
        </w:rPr>
      </w:pPr>
    </w:p>
    <w:p w14:paraId="1F8D115C" w14:textId="77777777" w:rsidR="00385E4A" w:rsidRPr="005E20B2" w:rsidRDefault="00385E4A" w:rsidP="00411C1A">
      <w:pPr>
        <w:jc w:val="both"/>
        <w:rPr>
          <w:rFonts w:ascii="Arial" w:hAnsi="Arial" w:cs="Arial"/>
          <w:color w:val="000000" w:themeColor="text1"/>
          <w:sz w:val="22"/>
        </w:rPr>
      </w:pPr>
      <w:r w:rsidRPr="005E20B2">
        <w:rPr>
          <w:rFonts w:ascii="Arial" w:eastAsia="Calibri" w:hAnsi="Arial" w:cs="Arial"/>
          <w:color w:val="000000" w:themeColor="text1"/>
          <w:sz w:val="20"/>
          <w:szCs w:val="20"/>
        </w:rPr>
        <w:t>Lo anterior evidencia que la posición de la entidad le permite exigir que los miembros de un proponente plural aporten la experiencia y no solo uno, por considerar que esto beneficia la ejecución del contrato, lo cual es razonable si se recuerda la solidaridad que existe entre quienes conforman la figura asociativa, es decir, que a cada miembro se le puede exigir el cumplimiento total del contrato y debe estar en posición de responder por las obligaciones, sin depender de los otros. Por tanto, la entidad debe asegurar que la solidaridad se pueda materializar para garantizar los fines estatales, que son un interés superior frente al interés de los particulares de tener negocios con el Estado . El Consejo de Estado confirma las consideraciones de este concepto, señalando la necesidad de que la entidad busque el cumplimiento del contrato fijando los requisitos que sean necesarios para lograrlo.</w:t>
      </w:r>
    </w:p>
    <w:p w14:paraId="01DFA661" w14:textId="77777777" w:rsidR="00385E4A" w:rsidRPr="005E20B2" w:rsidRDefault="00385E4A" w:rsidP="00385E4A">
      <w:pPr>
        <w:rPr>
          <w:rFonts w:ascii="Arial" w:hAnsi="Arial" w:cs="Arial"/>
          <w:color w:val="000000" w:themeColor="text1"/>
          <w:sz w:val="22"/>
        </w:rPr>
      </w:pPr>
    </w:p>
    <w:p w14:paraId="5FB370E5" w14:textId="77777777" w:rsidR="00FA0B97" w:rsidRPr="00105785" w:rsidRDefault="00FA0B97" w:rsidP="00FA0B97">
      <w:pPr>
        <w:pStyle w:val="Default"/>
        <w:rPr>
          <w:sz w:val="20"/>
          <w:szCs w:val="20"/>
        </w:rPr>
      </w:pPr>
    </w:p>
    <w:p w14:paraId="01FEED9E" w14:textId="445B0633" w:rsidR="00FA0B97" w:rsidRPr="00FA0B97" w:rsidRDefault="00FA0B97" w:rsidP="00FA0B97">
      <w:pPr>
        <w:pStyle w:val="Default"/>
        <w:rPr>
          <w:sz w:val="22"/>
          <w:szCs w:val="22"/>
        </w:rPr>
      </w:pPr>
      <w:r w:rsidRPr="00FA0B97">
        <w:rPr>
          <w:sz w:val="22"/>
          <w:szCs w:val="22"/>
        </w:rPr>
        <w:t xml:space="preserve">Bogotá D.C., </w:t>
      </w:r>
      <w:r w:rsidRPr="00FA0B97">
        <w:rPr>
          <w:b/>
          <w:bCs/>
          <w:sz w:val="22"/>
          <w:szCs w:val="22"/>
        </w:rPr>
        <w:t xml:space="preserve">06/04/2020 Hora 2:23:32s </w:t>
      </w:r>
    </w:p>
    <w:p w14:paraId="30F75B5F" w14:textId="6581EC81" w:rsidR="00385E4A" w:rsidRPr="00FA0B97" w:rsidRDefault="00FA0B97" w:rsidP="00FA0B97">
      <w:pPr>
        <w:tabs>
          <w:tab w:val="left" w:pos="3374"/>
        </w:tabs>
        <w:jc w:val="right"/>
        <w:rPr>
          <w:rFonts w:ascii="Arial" w:eastAsia="Calibri" w:hAnsi="Arial" w:cs="Arial"/>
          <w:color w:val="000000" w:themeColor="text1"/>
          <w:sz w:val="22"/>
        </w:rPr>
      </w:pPr>
      <w:r w:rsidRPr="00FA0B97">
        <w:rPr>
          <w:rFonts w:ascii="Arial" w:hAnsi="Arial" w:cs="Arial"/>
          <w:b/>
          <w:bCs/>
          <w:sz w:val="22"/>
        </w:rPr>
        <w:t>N° Radicado: 2202013000002448</w:t>
      </w:r>
    </w:p>
    <w:p w14:paraId="42074506" w14:textId="77777777" w:rsidR="00782714" w:rsidRDefault="00782714" w:rsidP="00385E4A">
      <w:pPr>
        <w:rPr>
          <w:rFonts w:ascii="Arial" w:eastAsia="Calibri" w:hAnsi="Arial" w:cs="Arial"/>
          <w:color w:val="000000" w:themeColor="text1"/>
          <w:sz w:val="22"/>
        </w:rPr>
      </w:pPr>
    </w:p>
    <w:p w14:paraId="1C792487" w14:textId="34E7F74E" w:rsidR="00385E4A" w:rsidRPr="005E20B2" w:rsidRDefault="00385E4A" w:rsidP="00385E4A">
      <w:pPr>
        <w:rPr>
          <w:rFonts w:ascii="Arial" w:eastAsia="Calibri" w:hAnsi="Arial" w:cs="Arial"/>
          <w:color w:val="000000" w:themeColor="text1"/>
          <w:sz w:val="22"/>
        </w:rPr>
      </w:pPr>
      <w:r w:rsidRPr="005E20B2">
        <w:rPr>
          <w:rFonts w:ascii="Arial" w:eastAsia="Calibri" w:hAnsi="Arial" w:cs="Arial"/>
          <w:color w:val="000000" w:themeColor="text1"/>
          <w:sz w:val="22"/>
        </w:rPr>
        <w:t>Señor</w:t>
      </w:r>
    </w:p>
    <w:p w14:paraId="6E7B20CA" w14:textId="2BEFE148" w:rsidR="00385E4A" w:rsidRDefault="00385E4A" w:rsidP="00385E4A">
      <w:pPr>
        <w:rPr>
          <w:rFonts w:ascii="Arial" w:eastAsia="Calibri" w:hAnsi="Arial" w:cs="Arial"/>
          <w:b/>
          <w:color w:val="000000" w:themeColor="text1"/>
          <w:sz w:val="22"/>
        </w:rPr>
      </w:pPr>
      <w:r w:rsidRPr="005E20B2">
        <w:rPr>
          <w:rFonts w:ascii="Arial" w:eastAsia="Calibri" w:hAnsi="Arial" w:cs="Arial"/>
          <w:b/>
          <w:color w:val="000000" w:themeColor="text1"/>
          <w:sz w:val="22"/>
        </w:rPr>
        <w:t xml:space="preserve">Christian Camilo Rodríguez Duarte </w:t>
      </w:r>
    </w:p>
    <w:p w14:paraId="04A5C5BF" w14:textId="35AD85DA" w:rsidR="00385E4A" w:rsidRDefault="00385E4A" w:rsidP="00385E4A">
      <w:pPr>
        <w:rPr>
          <w:rFonts w:ascii="Arial" w:eastAsia="Calibri" w:hAnsi="Arial" w:cs="Arial"/>
          <w:color w:val="000000" w:themeColor="text1"/>
          <w:sz w:val="22"/>
        </w:rPr>
      </w:pPr>
      <w:r w:rsidRPr="005E20B2">
        <w:rPr>
          <w:rFonts w:ascii="Arial" w:eastAsia="Calibri" w:hAnsi="Arial" w:cs="Arial"/>
          <w:color w:val="000000" w:themeColor="text1"/>
          <w:sz w:val="22"/>
        </w:rPr>
        <w:t>Ciudad</w:t>
      </w:r>
    </w:p>
    <w:p w14:paraId="5CF4D954" w14:textId="77777777" w:rsidR="00782714" w:rsidRPr="005E20B2" w:rsidRDefault="00782714" w:rsidP="00385E4A">
      <w:pPr>
        <w:rPr>
          <w:rFonts w:ascii="Arial" w:eastAsia="Calibri" w:hAnsi="Arial" w:cs="Arial"/>
          <w:color w:val="000000" w:themeColor="text1"/>
          <w:sz w:val="22"/>
        </w:rPr>
      </w:pPr>
    </w:p>
    <w:p w14:paraId="669FD446" w14:textId="38426340" w:rsidR="00385E4A" w:rsidRDefault="00385E4A" w:rsidP="00385E4A">
      <w:pPr>
        <w:jc w:val="center"/>
        <w:rPr>
          <w:rFonts w:ascii="Arial" w:eastAsia="Calibri" w:hAnsi="Arial" w:cs="Arial"/>
          <w:b/>
          <w:color w:val="000000" w:themeColor="text1"/>
          <w:sz w:val="22"/>
        </w:rPr>
      </w:pPr>
      <w:r w:rsidRPr="005E20B2">
        <w:rPr>
          <w:rFonts w:ascii="Arial" w:eastAsia="Calibri" w:hAnsi="Arial" w:cs="Arial"/>
          <w:b/>
          <w:color w:val="000000" w:themeColor="text1"/>
          <w:sz w:val="22"/>
        </w:rPr>
        <w:t>Concepto C ─ 099 de 2020</w:t>
      </w:r>
    </w:p>
    <w:p w14:paraId="65E67221" w14:textId="77777777" w:rsidR="00782714" w:rsidRPr="005E20B2" w:rsidRDefault="00782714" w:rsidP="00385E4A">
      <w:pPr>
        <w:jc w:val="center"/>
        <w:rPr>
          <w:rFonts w:ascii="Arial" w:eastAsia="Calibri" w:hAnsi="Arial" w:cs="Arial"/>
          <w:b/>
          <w:color w:val="000000" w:themeColor="text1"/>
          <w:sz w:val="22"/>
        </w:rPr>
      </w:pPr>
    </w:p>
    <w:p w14:paraId="1C9F81DC" w14:textId="77777777" w:rsidR="00385E4A" w:rsidRPr="005E20B2" w:rsidRDefault="00385E4A" w:rsidP="00385E4A">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E20B2" w:rsidRPr="005E20B2" w14:paraId="74D7D80F" w14:textId="77777777" w:rsidTr="00A12492">
        <w:tc>
          <w:tcPr>
            <w:tcW w:w="2689" w:type="dxa"/>
            <w:hideMark/>
          </w:tcPr>
          <w:p w14:paraId="2E459523" w14:textId="77777777" w:rsidR="00385E4A" w:rsidRPr="005E20B2" w:rsidRDefault="00385E4A" w:rsidP="00A12492">
            <w:pPr>
              <w:rPr>
                <w:rFonts w:ascii="Arial" w:eastAsia="Calibri" w:hAnsi="Arial" w:cs="Arial"/>
                <w:color w:val="000000" w:themeColor="text1"/>
                <w:sz w:val="22"/>
              </w:rPr>
            </w:pPr>
            <w:r w:rsidRPr="005E20B2">
              <w:rPr>
                <w:rFonts w:ascii="Arial" w:eastAsia="Calibri" w:hAnsi="Arial" w:cs="Arial"/>
                <w:b/>
                <w:color w:val="000000" w:themeColor="text1"/>
                <w:sz w:val="22"/>
              </w:rPr>
              <w:t>Temas:</w:t>
            </w:r>
            <w:r w:rsidRPr="005E20B2">
              <w:rPr>
                <w:rFonts w:ascii="Arial" w:eastAsia="Calibri" w:hAnsi="Arial" w:cs="Arial"/>
                <w:color w:val="000000" w:themeColor="text1"/>
                <w:sz w:val="22"/>
              </w:rPr>
              <w:t xml:space="preserve">           </w:t>
            </w:r>
          </w:p>
          <w:p w14:paraId="3E772CBE" w14:textId="77777777" w:rsidR="00385E4A" w:rsidRPr="005E20B2" w:rsidRDefault="00385E4A" w:rsidP="00A12492">
            <w:pPr>
              <w:rPr>
                <w:rFonts w:ascii="Arial" w:eastAsia="Calibri" w:hAnsi="Arial" w:cs="Arial"/>
                <w:color w:val="000000" w:themeColor="text1"/>
                <w:sz w:val="22"/>
              </w:rPr>
            </w:pPr>
            <w:r w:rsidRPr="005E20B2">
              <w:rPr>
                <w:rFonts w:ascii="Arial" w:eastAsia="Calibri" w:hAnsi="Arial" w:cs="Arial"/>
                <w:color w:val="000000" w:themeColor="text1"/>
                <w:sz w:val="22"/>
              </w:rPr>
              <w:t xml:space="preserve">                           </w:t>
            </w:r>
          </w:p>
        </w:tc>
        <w:tc>
          <w:tcPr>
            <w:tcW w:w="6237" w:type="dxa"/>
            <w:hideMark/>
          </w:tcPr>
          <w:p w14:paraId="7CFC445E" w14:textId="77777777" w:rsidR="00385E4A" w:rsidRPr="005E20B2" w:rsidRDefault="00385E4A" w:rsidP="00A12492">
            <w:pPr>
              <w:jc w:val="both"/>
              <w:rPr>
                <w:rFonts w:ascii="Arial" w:eastAsia="Calibri" w:hAnsi="Arial" w:cs="Arial"/>
                <w:color w:val="000000" w:themeColor="text1"/>
                <w:sz w:val="22"/>
              </w:rPr>
            </w:pPr>
            <w:r w:rsidRPr="005E20B2">
              <w:rPr>
                <w:rFonts w:ascii="Arial" w:eastAsia="Calibri" w:hAnsi="Arial" w:cs="Arial"/>
                <w:color w:val="000000" w:themeColor="text1"/>
                <w:sz w:val="22"/>
              </w:rPr>
              <w:t>PLIEGO DE CONDICIONES – Contenido – Características / EXPERIENCIA – Características – Proponente plural / PROPONENTE PLURAL – Requisitos habilitantes – Experiencia – Pliego de condiciones – Conflicto – Ponderación</w:t>
            </w:r>
          </w:p>
        </w:tc>
      </w:tr>
      <w:tr w:rsidR="00385E4A" w:rsidRPr="005E20B2" w14:paraId="6CC5881D" w14:textId="77777777" w:rsidTr="00A12492">
        <w:tc>
          <w:tcPr>
            <w:tcW w:w="2689" w:type="dxa"/>
          </w:tcPr>
          <w:p w14:paraId="1788B8DA" w14:textId="77777777" w:rsidR="00385E4A" w:rsidRPr="005E20B2" w:rsidRDefault="00385E4A" w:rsidP="00A12492">
            <w:pPr>
              <w:rPr>
                <w:rFonts w:ascii="Arial" w:eastAsia="Calibri" w:hAnsi="Arial" w:cs="Arial"/>
                <w:b/>
                <w:color w:val="000000" w:themeColor="text1"/>
                <w:sz w:val="22"/>
              </w:rPr>
            </w:pPr>
            <w:r w:rsidRPr="005E20B2">
              <w:rPr>
                <w:rFonts w:ascii="Arial" w:eastAsia="Calibri" w:hAnsi="Arial" w:cs="Arial"/>
                <w:b/>
                <w:color w:val="000000" w:themeColor="text1"/>
                <w:sz w:val="22"/>
              </w:rPr>
              <w:t>Radicación:</w:t>
            </w:r>
            <w:r w:rsidRPr="005E20B2">
              <w:rPr>
                <w:rFonts w:ascii="Arial" w:eastAsia="Calibri" w:hAnsi="Arial" w:cs="Arial"/>
                <w:color w:val="000000" w:themeColor="text1"/>
                <w:sz w:val="22"/>
              </w:rPr>
              <w:t xml:space="preserve">                              </w:t>
            </w:r>
          </w:p>
        </w:tc>
        <w:tc>
          <w:tcPr>
            <w:tcW w:w="6237" w:type="dxa"/>
          </w:tcPr>
          <w:p w14:paraId="73285158" w14:textId="77777777" w:rsidR="00385E4A" w:rsidRPr="005E20B2" w:rsidRDefault="00385E4A" w:rsidP="00A12492">
            <w:pPr>
              <w:jc w:val="both"/>
              <w:rPr>
                <w:rFonts w:ascii="Arial" w:eastAsia="Calibri" w:hAnsi="Arial" w:cs="Arial"/>
                <w:color w:val="000000" w:themeColor="text1"/>
                <w:sz w:val="22"/>
              </w:rPr>
            </w:pPr>
            <w:r w:rsidRPr="005E20B2">
              <w:rPr>
                <w:rFonts w:ascii="Arial" w:eastAsia="Calibri" w:hAnsi="Arial" w:cs="Arial"/>
                <w:color w:val="000000" w:themeColor="text1"/>
                <w:sz w:val="22"/>
              </w:rPr>
              <w:t>Respuesta a consulta # 4202013000001330</w:t>
            </w:r>
          </w:p>
        </w:tc>
      </w:tr>
    </w:tbl>
    <w:p w14:paraId="7103B725" w14:textId="77777777" w:rsidR="00385E4A" w:rsidRPr="005E20B2" w:rsidRDefault="00385E4A" w:rsidP="00385E4A">
      <w:pPr>
        <w:jc w:val="both"/>
        <w:rPr>
          <w:rFonts w:ascii="Arial" w:eastAsia="Calibri" w:hAnsi="Arial" w:cs="Arial"/>
          <w:color w:val="000000" w:themeColor="text1"/>
          <w:sz w:val="22"/>
        </w:rPr>
      </w:pPr>
    </w:p>
    <w:p w14:paraId="3695F4F6" w14:textId="77777777" w:rsidR="00385E4A" w:rsidRPr="005E20B2" w:rsidRDefault="00385E4A" w:rsidP="00385E4A">
      <w:pPr>
        <w:rPr>
          <w:rFonts w:ascii="Arial" w:eastAsia="Calibri" w:hAnsi="Arial" w:cs="Arial"/>
          <w:color w:val="000000" w:themeColor="text1"/>
          <w:sz w:val="22"/>
        </w:rPr>
      </w:pPr>
    </w:p>
    <w:p w14:paraId="31E35836" w14:textId="77777777" w:rsidR="00385E4A" w:rsidRPr="005E20B2" w:rsidRDefault="00385E4A" w:rsidP="00385E4A">
      <w:pPr>
        <w:rPr>
          <w:rFonts w:ascii="Arial" w:eastAsia="Calibri" w:hAnsi="Arial" w:cs="Arial"/>
          <w:color w:val="000000" w:themeColor="text1"/>
          <w:sz w:val="22"/>
        </w:rPr>
      </w:pPr>
      <w:r w:rsidRPr="005E20B2">
        <w:rPr>
          <w:rFonts w:ascii="Arial" w:eastAsia="Calibri" w:hAnsi="Arial" w:cs="Arial"/>
          <w:color w:val="000000" w:themeColor="text1"/>
          <w:sz w:val="22"/>
        </w:rPr>
        <w:t>Estimado señor Rodríguez,</w:t>
      </w:r>
    </w:p>
    <w:p w14:paraId="79BBD718" w14:textId="77777777" w:rsidR="00385E4A" w:rsidRPr="005E20B2" w:rsidRDefault="00385E4A" w:rsidP="00385E4A">
      <w:pPr>
        <w:rPr>
          <w:rFonts w:ascii="Arial" w:eastAsia="Calibri" w:hAnsi="Arial" w:cs="Arial"/>
          <w:color w:val="000000" w:themeColor="text1"/>
          <w:sz w:val="22"/>
        </w:rPr>
      </w:pPr>
    </w:p>
    <w:p w14:paraId="3637BEDD" w14:textId="77777777" w:rsidR="00385E4A" w:rsidRPr="005E20B2" w:rsidRDefault="00385E4A" w:rsidP="00385E4A">
      <w:pPr>
        <w:spacing w:line="276" w:lineRule="auto"/>
        <w:ind w:right="49"/>
        <w:jc w:val="both"/>
        <w:rPr>
          <w:rFonts w:ascii="Arial" w:eastAsia="Calibri" w:hAnsi="Arial" w:cs="Arial"/>
          <w:color w:val="000000" w:themeColor="text1"/>
          <w:sz w:val="22"/>
        </w:rPr>
      </w:pPr>
      <w:r w:rsidRPr="005E20B2">
        <w:rPr>
          <w:rFonts w:ascii="Arial" w:eastAsia="Calibri" w:hAnsi="Arial" w:cs="Arial"/>
          <w:color w:val="000000" w:themeColor="text1"/>
          <w:sz w:val="22"/>
        </w:rPr>
        <w:t xml:space="preserve">La Agencia Nacional de Contratación Pública - Colombia Compra Eficiente responde su consulta del 21 de febrero de 2020, en ejercicio de la competencia otorgada por el numeral 8 del artículo 11 y el numeral 5 del artículo 3 del Decreto Ley 4170 de 2011. </w:t>
      </w:r>
    </w:p>
    <w:p w14:paraId="44A55114" w14:textId="77777777" w:rsidR="00385E4A" w:rsidRPr="005E20B2" w:rsidRDefault="00385E4A" w:rsidP="00385E4A">
      <w:pPr>
        <w:spacing w:line="276" w:lineRule="auto"/>
        <w:jc w:val="both"/>
        <w:rPr>
          <w:rFonts w:ascii="Arial" w:eastAsia="Calibri" w:hAnsi="Arial" w:cs="Arial"/>
          <w:color w:val="000000" w:themeColor="text1"/>
          <w:sz w:val="22"/>
        </w:rPr>
      </w:pPr>
    </w:p>
    <w:p w14:paraId="152446B5" w14:textId="77777777" w:rsidR="00385E4A" w:rsidRPr="005E20B2" w:rsidRDefault="00385E4A" w:rsidP="00385E4A">
      <w:pPr>
        <w:pStyle w:val="Prrafodelista"/>
        <w:tabs>
          <w:tab w:val="left" w:pos="284"/>
        </w:tabs>
        <w:spacing w:line="276" w:lineRule="auto"/>
        <w:ind w:left="0"/>
        <w:jc w:val="both"/>
        <w:rPr>
          <w:rFonts w:ascii="Arial" w:eastAsia="Calibri" w:hAnsi="Arial" w:cs="Arial"/>
          <w:b/>
          <w:color w:val="000000" w:themeColor="text1"/>
          <w:sz w:val="22"/>
        </w:rPr>
      </w:pPr>
      <w:r w:rsidRPr="005E20B2">
        <w:rPr>
          <w:rFonts w:ascii="Arial" w:eastAsia="Calibri" w:hAnsi="Arial" w:cs="Arial"/>
          <w:b/>
          <w:color w:val="000000" w:themeColor="text1"/>
          <w:sz w:val="22"/>
        </w:rPr>
        <w:t xml:space="preserve">1. Problema planteado </w:t>
      </w:r>
    </w:p>
    <w:p w14:paraId="2BB94A73" w14:textId="77777777" w:rsidR="00385E4A" w:rsidRPr="005E20B2" w:rsidRDefault="00385E4A" w:rsidP="00385E4A">
      <w:pPr>
        <w:tabs>
          <w:tab w:val="left" w:pos="426"/>
        </w:tabs>
        <w:spacing w:line="276" w:lineRule="auto"/>
        <w:jc w:val="both"/>
        <w:rPr>
          <w:rFonts w:ascii="Arial" w:eastAsia="Calibri" w:hAnsi="Arial" w:cs="Arial"/>
          <w:b/>
          <w:color w:val="000000" w:themeColor="text1"/>
          <w:sz w:val="22"/>
        </w:rPr>
      </w:pPr>
    </w:p>
    <w:p w14:paraId="7E69D632" w14:textId="77777777" w:rsidR="00385E4A" w:rsidRPr="005E20B2" w:rsidRDefault="00385E4A" w:rsidP="00385E4A">
      <w:pPr>
        <w:tabs>
          <w:tab w:val="left" w:pos="426"/>
        </w:tabs>
        <w:spacing w:line="276" w:lineRule="auto"/>
        <w:jc w:val="both"/>
        <w:rPr>
          <w:rFonts w:ascii="Arial" w:eastAsia="Calibri" w:hAnsi="Arial" w:cs="Arial"/>
          <w:color w:val="000000" w:themeColor="text1"/>
          <w:sz w:val="22"/>
        </w:rPr>
      </w:pPr>
      <w:r w:rsidRPr="005E20B2">
        <w:rPr>
          <w:rFonts w:ascii="Arial" w:eastAsia="Calibri" w:hAnsi="Arial" w:cs="Arial"/>
          <w:color w:val="000000" w:themeColor="text1"/>
          <w:sz w:val="22"/>
        </w:rPr>
        <w:t>Usted realiza la siguiente pregunta: ¿las entidades pueden exigir en el pliego de condiciones que todos los integrantes de un proponente plural aporten la experiencia requerida en un procedimiento contractual, a pesar de que pueda ser acreditada por uno de los miembros del proponente plural?</w:t>
      </w:r>
    </w:p>
    <w:p w14:paraId="3D4B33C0" w14:textId="77777777" w:rsidR="00385E4A" w:rsidRPr="005E20B2" w:rsidRDefault="00385E4A" w:rsidP="00385E4A">
      <w:pPr>
        <w:tabs>
          <w:tab w:val="left" w:pos="426"/>
        </w:tabs>
        <w:spacing w:line="276" w:lineRule="auto"/>
        <w:jc w:val="both"/>
        <w:rPr>
          <w:rFonts w:ascii="Arial" w:eastAsia="Calibri" w:hAnsi="Arial" w:cs="Arial"/>
          <w:color w:val="000000" w:themeColor="text1"/>
          <w:sz w:val="22"/>
        </w:rPr>
      </w:pPr>
    </w:p>
    <w:p w14:paraId="090D22B2" w14:textId="77777777" w:rsidR="00385E4A" w:rsidRPr="005E20B2" w:rsidRDefault="00385E4A" w:rsidP="00385E4A">
      <w:pPr>
        <w:tabs>
          <w:tab w:val="left" w:pos="426"/>
        </w:tabs>
        <w:spacing w:line="276" w:lineRule="auto"/>
        <w:jc w:val="both"/>
        <w:rPr>
          <w:rFonts w:ascii="Arial" w:eastAsia="Calibri" w:hAnsi="Arial" w:cs="Arial"/>
          <w:b/>
          <w:color w:val="000000" w:themeColor="text1"/>
          <w:sz w:val="22"/>
        </w:rPr>
      </w:pPr>
      <w:r w:rsidRPr="005E20B2">
        <w:rPr>
          <w:rFonts w:ascii="Arial" w:eastAsia="Calibri" w:hAnsi="Arial" w:cs="Arial"/>
          <w:b/>
          <w:color w:val="000000" w:themeColor="text1"/>
          <w:sz w:val="22"/>
        </w:rPr>
        <w:t>2. Consideraciones</w:t>
      </w:r>
    </w:p>
    <w:p w14:paraId="57F8C740" w14:textId="77777777" w:rsidR="00385E4A" w:rsidRPr="005E20B2" w:rsidRDefault="00385E4A" w:rsidP="00385E4A">
      <w:pPr>
        <w:tabs>
          <w:tab w:val="left" w:pos="426"/>
        </w:tabs>
        <w:spacing w:line="276" w:lineRule="auto"/>
        <w:jc w:val="both"/>
        <w:rPr>
          <w:rFonts w:ascii="Arial" w:eastAsia="Calibri" w:hAnsi="Arial" w:cs="Arial"/>
          <w:b/>
          <w:color w:val="000000" w:themeColor="text1"/>
          <w:sz w:val="22"/>
        </w:rPr>
      </w:pPr>
    </w:p>
    <w:p w14:paraId="7E00D21D" w14:textId="77777777" w:rsidR="00385E4A" w:rsidRPr="005E20B2" w:rsidRDefault="00385E4A" w:rsidP="00385E4A">
      <w:pPr>
        <w:spacing w:after="120" w:line="276" w:lineRule="auto"/>
        <w:jc w:val="both"/>
        <w:rPr>
          <w:rFonts w:ascii="Arial" w:eastAsia="Calibri" w:hAnsi="Arial" w:cs="Arial"/>
          <w:color w:val="000000" w:themeColor="text1"/>
          <w:sz w:val="22"/>
        </w:rPr>
      </w:pPr>
      <w:r w:rsidRPr="005E20B2">
        <w:rPr>
          <w:rFonts w:ascii="Arial" w:hAnsi="Arial" w:cs="Arial"/>
          <w:color w:val="000000" w:themeColor="text1"/>
          <w:sz w:val="22"/>
        </w:rPr>
        <w:t xml:space="preserve">La Agencia Nacional de Contratación Pública - Colombia Compra Eficiente, </w:t>
      </w:r>
      <w:r w:rsidRPr="005E20B2">
        <w:rPr>
          <w:rFonts w:ascii="Arial" w:eastAsia="Calibri" w:hAnsi="Arial" w:cs="Arial"/>
          <w:color w:val="000000" w:themeColor="text1"/>
          <w:sz w:val="22"/>
        </w:rPr>
        <w:t xml:space="preserve">en el concepto con radicado No. 4201913000006736 del 15 de noviembre de 2011, reiterado y desarrollado en los conceptos No. 4201912000006798 del 24 de octubre de 2019, C – 002 del 12 de febrero de 2020 y C – 089 del 4 de marzo de 2020 estudió la experiencia y los proponentes plurales. La tesis desarrollada se expone a continuación. </w:t>
      </w:r>
    </w:p>
    <w:p w14:paraId="0089AA02" w14:textId="77777777" w:rsidR="00385E4A" w:rsidRPr="005E20B2" w:rsidRDefault="00385E4A" w:rsidP="00385E4A">
      <w:pPr>
        <w:spacing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La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fin de procurar un equilibrio y el cumplimiento de sus principios, entre otros objetivos.</w:t>
      </w:r>
    </w:p>
    <w:p w14:paraId="3C4BD1CA" w14:textId="77777777" w:rsidR="00385E4A" w:rsidRPr="005E20B2" w:rsidRDefault="00385E4A" w:rsidP="00385E4A">
      <w:pPr>
        <w:spacing w:before="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r w:rsidRPr="005E20B2">
        <w:rPr>
          <w:rStyle w:val="Refdenotaalpie"/>
          <w:rFonts w:ascii="Arial" w:eastAsia="Calibri" w:hAnsi="Arial" w:cs="Arial"/>
          <w:color w:val="000000" w:themeColor="text1"/>
          <w:sz w:val="22"/>
        </w:rPr>
        <w:footnoteReference w:id="2"/>
      </w:r>
      <w:r w:rsidRPr="005E20B2">
        <w:rPr>
          <w:rFonts w:ascii="Arial" w:eastAsia="Calibri" w:hAnsi="Arial" w:cs="Arial"/>
          <w:color w:val="000000" w:themeColor="text1"/>
          <w:sz w:val="22"/>
        </w:rPr>
        <w:t>. La Ley 80 de 1993, en el artículo 24, regula el principio de transparencia, sobre el cual se indican reglas para el contenido del pliego de condiciones:</w:t>
      </w:r>
    </w:p>
    <w:p w14:paraId="43BBFBAA" w14:textId="77777777" w:rsidR="00385E4A" w:rsidRPr="005E20B2" w:rsidRDefault="00385E4A" w:rsidP="00385E4A">
      <w:pPr>
        <w:ind w:left="709" w:right="709"/>
        <w:jc w:val="both"/>
        <w:rPr>
          <w:rFonts w:ascii="Arial" w:hAnsi="Arial" w:cs="Arial"/>
          <w:color w:val="000000" w:themeColor="text1"/>
          <w:sz w:val="21"/>
          <w:szCs w:val="21"/>
        </w:rPr>
      </w:pPr>
    </w:p>
    <w:p w14:paraId="1DB2806D"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w:t>
      </w:r>
    </w:p>
    <w:p w14:paraId="63F59D01"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5o. En los pliegos de condiciones:</w:t>
      </w:r>
    </w:p>
    <w:p w14:paraId="60950D2C" w14:textId="77777777" w:rsidR="00385E4A" w:rsidRPr="005E20B2" w:rsidRDefault="00385E4A" w:rsidP="00385E4A">
      <w:pPr>
        <w:ind w:left="709" w:right="709"/>
        <w:jc w:val="both"/>
        <w:rPr>
          <w:rFonts w:ascii="Arial" w:hAnsi="Arial" w:cs="Arial"/>
          <w:color w:val="000000" w:themeColor="text1"/>
          <w:sz w:val="21"/>
          <w:szCs w:val="21"/>
        </w:rPr>
      </w:pPr>
    </w:p>
    <w:p w14:paraId="51273AB5" w14:textId="77777777" w:rsidR="00385E4A" w:rsidRPr="005E20B2" w:rsidRDefault="00385E4A" w:rsidP="00385E4A">
      <w:pPr>
        <w:pStyle w:val="Prrafodelista"/>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a) Se indicarán los requisitos objetivos necesarios para participar en el correspondiente proceso de selección.</w:t>
      </w:r>
    </w:p>
    <w:p w14:paraId="690416E8" w14:textId="77777777" w:rsidR="00385E4A" w:rsidRPr="005E20B2" w:rsidRDefault="00385E4A" w:rsidP="00385E4A">
      <w:pPr>
        <w:pStyle w:val="Prrafodelista"/>
        <w:ind w:left="709" w:right="709"/>
        <w:jc w:val="both"/>
        <w:rPr>
          <w:rFonts w:ascii="Arial" w:hAnsi="Arial" w:cs="Arial"/>
          <w:color w:val="000000" w:themeColor="text1"/>
          <w:sz w:val="21"/>
          <w:szCs w:val="21"/>
        </w:rPr>
      </w:pPr>
    </w:p>
    <w:p w14:paraId="5CEFA45C"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b) Se definirán reglas objetivas, justas, claras y completas que permitan la confección de ofrecimientos de la misma índole, aseguren una escogencia objetiva y eviten la declaratoria de desierta de la licitación.</w:t>
      </w:r>
    </w:p>
    <w:p w14:paraId="708154B4"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w:t>
      </w:r>
    </w:p>
    <w:p w14:paraId="2C9B8430" w14:textId="77777777" w:rsidR="00385E4A" w:rsidRPr="005E20B2" w:rsidRDefault="00385E4A" w:rsidP="00385E4A">
      <w:pPr>
        <w:ind w:left="709" w:right="709"/>
        <w:jc w:val="both"/>
        <w:rPr>
          <w:rFonts w:ascii="Arial" w:hAnsi="Arial" w:cs="Arial"/>
          <w:color w:val="000000" w:themeColor="text1"/>
          <w:sz w:val="21"/>
          <w:szCs w:val="21"/>
        </w:rPr>
      </w:pPr>
    </w:p>
    <w:p w14:paraId="652AF695"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d) No se incluirán condiciones y exigencias de imposible cumplimiento, ni exenciones de la responsabilidad derivada de los datos, informes y documentos que se suministren.</w:t>
      </w:r>
    </w:p>
    <w:p w14:paraId="3C42A778" w14:textId="77777777" w:rsidR="00385E4A" w:rsidRPr="005E20B2" w:rsidRDefault="00385E4A" w:rsidP="00385E4A">
      <w:pPr>
        <w:ind w:left="709" w:right="709"/>
        <w:jc w:val="both"/>
        <w:rPr>
          <w:rFonts w:ascii="Arial" w:hAnsi="Arial" w:cs="Arial"/>
          <w:color w:val="000000" w:themeColor="text1"/>
          <w:sz w:val="21"/>
          <w:szCs w:val="21"/>
        </w:rPr>
      </w:pPr>
    </w:p>
    <w:p w14:paraId="641F6B4D"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e) Se definirán reglas que no induzcan a error a los proponentes y contratistas y que impidan la formulación de ofrecimientos de extensión ilimitada o que dependan de la voluntad exclusiva de la entidad.</w:t>
      </w:r>
    </w:p>
    <w:p w14:paraId="24645878"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w:t>
      </w:r>
    </w:p>
    <w:p w14:paraId="38A2B1DC" w14:textId="77777777" w:rsidR="00385E4A" w:rsidRPr="005E20B2" w:rsidRDefault="00385E4A" w:rsidP="00385E4A">
      <w:pPr>
        <w:spacing w:line="276" w:lineRule="auto"/>
        <w:jc w:val="both"/>
        <w:rPr>
          <w:rFonts w:ascii="Arial" w:hAnsi="Arial" w:cs="Arial"/>
          <w:color w:val="000000" w:themeColor="text1"/>
          <w:sz w:val="20"/>
          <w:szCs w:val="20"/>
        </w:rPr>
      </w:pPr>
    </w:p>
    <w:p w14:paraId="548E1C96" w14:textId="77777777" w:rsidR="00385E4A" w:rsidRPr="005E20B2" w:rsidRDefault="00385E4A" w:rsidP="00385E4A">
      <w:pPr>
        <w:spacing w:line="276" w:lineRule="auto"/>
        <w:ind w:firstLine="708"/>
        <w:jc w:val="both"/>
        <w:rPr>
          <w:rFonts w:ascii="Arial" w:hAnsi="Arial" w:cs="Arial"/>
          <w:color w:val="000000" w:themeColor="text1"/>
          <w:sz w:val="20"/>
          <w:szCs w:val="20"/>
        </w:rPr>
      </w:pPr>
      <w:r w:rsidRPr="005E20B2">
        <w:rPr>
          <w:rFonts w:ascii="Arial" w:eastAsia="Calibri" w:hAnsi="Arial" w:cs="Arial"/>
          <w:color w:val="000000" w:themeColor="text1"/>
          <w:sz w:val="22"/>
        </w:rPr>
        <w:t>Sumado a lo anterior, la Corte Constitucional ha señalado, frente a la selección objetiva, que la entidad no puede establecer reglas subjetivas, sino que deben ser razonables, de acuerdo con las normas que rigen la actividad contractual</w:t>
      </w:r>
      <w:r w:rsidRPr="005E20B2">
        <w:rPr>
          <w:rStyle w:val="Refdenotaalpie"/>
          <w:rFonts w:ascii="Arial" w:eastAsia="Calibri" w:hAnsi="Arial" w:cs="Arial"/>
          <w:color w:val="000000" w:themeColor="text1"/>
          <w:sz w:val="22"/>
        </w:rPr>
        <w:footnoteReference w:id="3"/>
      </w:r>
      <w:r w:rsidRPr="005E20B2">
        <w:rPr>
          <w:rFonts w:ascii="Arial" w:eastAsia="Calibri" w:hAnsi="Arial" w:cs="Arial"/>
          <w:color w:val="000000" w:themeColor="text1"/>
          <w:sz w:val="22"/>
        </w:rPr>
        <w:t>; y en otro pronunciamiento,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w:t>
      </w:r>
      <w:r w:rsidRPr="005E20B2">
        <w:rPr>
          <w:rFonts w:ascii="Arial" w:hAnsi="Arial" w:cs="Arial"/>
          <w:color w:val="000000" w:themeColor="text1"/>
          <w:sz w:val="20"/>
          <w:szCs w:val="20"/>
        </w:rPr>
        <w:t xml:space="preserve"> </w:t>
      </w:r>
    </w:p>
    <w:p w14:paraId="6AEB9443" w14:textId="77777777" w:rsidR="00385E4A" w:rsidRPr="005E20B2" w:rsidRDefault="00385E4A" w:rsidP="00385E4A">
      <w:pPr>
        <w:spacing w:line="276" w:lineRule="auto"/>
        <w:jc w:val="both"/>
        <w:rPr>
          <w:rFonts w:ascii="Arial" w:hAnsi="Arial" w:cs="Arial"/>
          <w:color w:val="000000" w:themeColor="text1"/>
          <w:sz w:val="20"/>
          <w:szCs w:val="20"/>
        </w:rPr>
      </w:pPr>
    </w:p>
    <w:p w14:paraId="6AA3AC26" w14:textId="77777777" w:rsidR="00385E4A" w:rsidRPr="005E20B2" w:rsidRDefault="00385E4A" w:rsidP="00385E4A">
      <w:pPr>
        <w:ind w:left="709" w:right="709"/>
        <w:jc w:val="both"/>
        <w:rPr>
          <w:rFonts w:ascii="Arial" w:hAnsi="Arial" w:cs="Arial"/>
          <w:color w:val="000000" w:themeColor="text1"/>
          <w:sz w:val="21"/>
          <w:szCs w:val="21"/>
        </w:rPr>
      </w:pPr>
      <w:r w:rsidRPr="005E20B2">
        <w:rPr>
          <w:rFonts w:ascii="Arial" w:hAnsi="Arial" w:cs="Arial"/>
          <w:color w:val="000000" w:themeColor="text1"/>
          <w:sz w:val="21"/>
          <w:szCs w:val="21"/>
        </w:rPr>
        <w:t xml:space="preserve">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w:t>
      </w:r>
      <w:r w:rsidRPr="005E20B2">
        <w:rPr>
          <w:rFonts w:ascii="Arial" w:hAnsi="Arial" w:cs="Arial"/>
          <w:color w:val="000000" w:themeColor="text1"/>
          <w:sz w:val="21"/>
          <w:szCs w:val="21"/>
        </w:rPr>
        <w:lastRenderedPageBreak/>
        <w:t>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5E20B2">
        <w:rPr>
          <w:rStyle w:val="Refdenotaalpie"/>
          <w:rFonts w:ascii="Arial" w:hAnsi="Arial" w:cs="Arial"/>
          <w:color w:val="000000" w:themeColor="text1"/>
          <w:sz w:val="21"/>
          <w:szCs w:val="21"/>
        </w:rPr>
        <w:footnoteReference w:id="4"/>
      </w:r>
      <w:r w:rsidRPr="005E20B2">
        <w:rPr>
          <w:rFonts w:ascii="Arial" w:hAnsi="Arial" w:cs="Arial"/>
          <w:color w:val="000000" w:themeColor="text1"/>
          <w:sz w:val="21"/>
          <w:szCs w:val="21"/>
        </w:rPr>
        <w:t>.</w:t>
      </w:r>
    </w:p>
    <w:p w14:paraId="24101788" w14:textId="77777777" w:rsidR="00385E4A" w:rsidRPr="005E20B2" w:rsidRDefault="00385E4A" w:rsidP="00385E4A">
      <w:pPr>
        <w:spacing w:line="276" w:lineRule="auto"/>
        <w:jc w:val="both"/>
        <w:rPr>
          <w:rFonts w:ascii="Arial" w:hAnsi="Arial" w:cs="Arial"/>
          <w:color w:val="000000" w:themeColor="text1"/>
          <w:sz w:val="20"/>
          <w:szCs w:val="20"/>
        </w:rPr>
      </w:pPr>
    </w:p>
    <w:p w14:paraId="18637B33" w14:textId="77777777" w:rsidR="00385E4A" w:rsidRPr="005E20B2" w:rsidRDefault="00385E4A" w:rsidP="00385E4A">
      <w:pPr>
        <w:spacing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También, el Consejo de Estado ha determinado que el pliego de condiciones es ley para las partes, y en él se debe establecer la regulación del procedimiento de contratación, conforme a la ley, garantizando la selección objetiva del contratista</w:t>
      </w:r>
      <w:r w:rsidRPr="005E20B2">
        <w:rPr>
          <w:rStyle w:val="Refdenotaalpie"/>
          <w:rFonts w:ascii="Arial" w:eastAsia="Calibri" w:hAnsi="Arial" w:cs="Arial"/>
          <w:color w:val="000000" w:themeColor="text1"/>
          <w:sz w:val="22"/>
        </w:rPr>
        <w:footnoteReference w:id="5"/>
      </w:r>
      <w:r w:rsidRPr="005E20B2">
        <w:rPr>
          <w:rFonts w:ascii="Arial" w:eastAsia="Calibri" w:hAnsi="Arial" w:cs="Arial"/>
          <w:color w:val="000000" w:themeColor="text1"/>
          <w:sz w:val="22"/>
        </w:rPr>
        <w:t>.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r w:rsidRPr="005E20B2">
        <w:rPr>
          <w:rStyle w:val="Refdenotaalpie"/>
          <w:rFonts w:ascii="Arial" w:eastAsia="Calibri" w:hAnsi="Arial" w:cs="Arial"/>
          <w:color w:val="000000" w:themeColor="text1"/>
          <w:sz w:val="22"/>
        </w:rPr>
        <w:footnoteReference w:id="6"/>
      </w:r>
      <w:r w:rsidRPr="005E20B2">
        <w:rPr>
          <w:rFonts w:ascii="Arial" w:eastAsia="Calibri" w:hAnsi="Arial" w:cs="Arial"/>
          <w:color w:val="000000" w:themeColor="text1"/>
          <w:sz w:val="22"/>
        </w:rPr>
        <w:t>.</w:t>
      </w:r>
    </w:p>
    <w:p w14:paraId="3B7A0F3F" w14:textId="77777777" w:rsidR="00385E4A" w:rsidRPr="005E20B2" w:rsidRDefault="00385E4A" w:rsidP="00385E4A">
      <w:pPr>
        <w:spacing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lastRenderedPageBreak/>
        <w:t xml:space="preserve">Para resolver su consulta, relacionada con la acreditación de la experiencia por proponentes plurales: i) en primer lugar, se citará la regulación sobre los requisitos habilitantes y su acreditación, analizando el derecho de las entidades de establecer las reglas y requisitos de sus procedimientos de contratación en el pliego de condiciones; ii) se revisará el derecho de los proveedores de conformar proponentes plurales para presentar oferta y iii) se determinará si es posible que la entidad exija que cada miembro del proponente plural acredite la experiencia exigida en el procedimiento. </w:t>
      </w:r>
    </w:p>
    <w:p w14:paraId="54A7B4CF" w14:textId="77777777" w:rsidR="00385E4A" w:rsidRPr="005E20B2" w:rsidRDefault="00385E4A" w:rsidP="00385E4A">
      <w:pPr>
        <w:spacing w:line="276" w:lineRule="auto"/>
        <w:jc w:val="both"/>
        <w:rPr>
          <w:rFonts w:ascii="Arial" w:eastAsia="Calibri" w:hAnsi="Arial" w:cs="Arial"/>
          <w:color w:val="000000" w:themeColor="text1"/>
          <w:sz w:val="22"/>
        </w:rPr>
      </w:pPr>
    </w:p>
    <w:p w14:paraId="40D049A2" w14:textId="77777777" w:rsidR="00385E4A" w:rsidRPr="005E20B2" w:rsidRDefault="00385E4A" w:rsidP="00385E4A">
      <w:pPr>
        <w:spacing w:line="276" w:lineRule="auto"/>
        <w:jc w:val="both"/>
        <w:rPr>
          <w:rFonts w:ascii="Arial" w:eastAsia="Calibri" w:hAnsi="Arial" w:cs="Arial"/>
          <w:b/>
          <w:bCs/>
          <w:color w:val="000000" w:themeColor="text1"/>
          <w:sz w:val="22"/>
        </w:rPr>
      </w:pPr>
      <w:r w:rsidRPr="005E20B2">
        <w:rPr>
          <w:rFonts w:ascii="Arial" w:eastAsia="Calibri" w:hAnsi="Arial" w:cs="Arial"/>
          <w:b/>
          <w:bCs/>
          <w:color w:val="000000" w:themeColor="text1"/>
          <w:sz w:val="22"/>
        </w:rPr>
        <w:t>2.1. Reglas y requisitos del procedimiento contractual: la experiencia y su acreditación</w:t>
      </w:r>
    </w:p>
    <w:p w14:paraId="11A59CED" w14:textId="77777777" w:rsidR="00385E4A" w:rsidRPr="005E20B2" w:rsidRDefault="00385E4A" w:rsidP="00385E4A">
      <w:pPr>
        <w:spacing w:line="276" w:lineRule="auto"/>
        <w:jc w:val="both"/>
        <w:rPr>
          <w:rFonts w:ascii="Arial" w:eastAsia="Calibri" w:hAnsi="Arial" w:cs="Arial"/>
          <w:b/>
          <w:bCs/>
          <w:color w:val="000000" w:themeColor="text1"/>
          <w:sz w:val="22"/>
        </w:rPr>
      </w:pPr>
    </w:p>
    <w:p w14:paraId="1981F81B" w14:textId="77777777" w:rsidR="00385E4A" w:rsidRPr="005E20B2" w:rsidRDefault="00385E4A" w:rsidP="00385E4A">
      <w:pPr>
        <w:spacing w:line="276" w:lineRule="auto"/>
        <w:jc w:val="both"/>
        <w:rPr>
          <w:rFonts w:ascii="Arial" w:eastAsia="Calibri" w:hAnsi="Arial" w:cs="Arial"/>
          <w:color w:val="000000" w:themeColor="text1"/>
          <w:sz w:val="22"/>
          <w:highlight w:val="yellow"/>
        </w:rPr>
      </w:pPr>
      <w:r w:rsidRPr="005E20B2">
        <w:rPr>
          <w:rFonts w:ascii="Arial" w:eastAsia="Calibri" w:hAnsi="Arial" w:cs="Arial"/>
          <w:color w:val="000000" w:themeColor="text1"/>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5E20B2">
        <w:rPr>
          <w:rStyle w:val="Refdenotaalpie"/>
          <w:rFonts w:ascii="Arial" w:eastAsia="Calibri" w:hAnsi="Arial" w:cs="Arial"/>
          <w:color w:val="000000" w:themeColor="text1"/>
          <w:sz w:val="22"/>
        </w:rPr>
        <w:footnoteReference w:id="7"/>
      </w:r>
      <w:r w:rsidRPr="005E20B2">
        <w:rPr>
          <w:rFonts w:ascii="Arial" w:eastAsia="Calibri" w:hAnsi="Arial" w:cs="Arial"/>
          <w:color w:val="000000" w:themeColor="text1"/>
          <w:sz w:val="22"/>
        </w:rPr>
        <w:t xml:space="preserve">. En ese sentido, la entidad, como responsable de la estructuración de su procedimiento de selección, es autónoma para requerir la experiencia necesaria de acuerdo con el objeto contractual que se pretende satisfacer, para lo cual la entidad, según el artículo 2.2.1.1.1.6.2. del Decreto 1082 de 2015, debe tener en cuenta el estudio del sector y sus </w:t>
      </w:r>
      <w:r w:rsidRPr="005E20B2">
        <w:rPr>
          <w:rFonts w:ascii="Arial" w:eastAsia="Calibri" w:hAnsi="Arial" w:cs="Arial"/>
          <w:color w:val="000000" w:themeColor="text1"/>
          <w:sz w:val="22"/>
        </w:rPr>
        <w:lastRenderedPageBreak/>
        <w:t>componentes como la identificación de riesgos y el mercado y precio del bien, obra o servicio a contratar</w:t>
      </w:r>
      <w:r w:rsidRPr="005E20B2">
        <w:rPr>
          <w:rStyle w:val="Refdenotaalpie"/>
          <w:rFonts w:ascii="Arial" w:eastAsia="Calibri" w:hAnsi="Arial" w:cs="Arial"/>
          <w:color w:val="000000" w:themeColor="text1"/>
          <w:sz w:val="22"/>
        </w:rPr>
        <w:footnoteReference w:id="8"/>
      </w:r>
      <w:r w:rsidRPr="005E20B2">
        <w:rPr>
          <w:rFonts w:ascii="Arial" w:eastAsia="Calibri" w:hAnsi="Arial" w:cs="Arial"/>
          <w:color w:val="000000" w:themeColor="text1"/>
          <w:sz w:val="22"/>
        </w:rPr>
        <w:t>.</w:t>
      </w:r>
    </w:p>
    <w:p w14:paraId="2A17ECA4" w14:textId="77777777" w:rsidR="00385E4A" w:rsidRPr="005E20B2" w:rsidRDefault="00385E4A" w:rsidP="00385E4A">
      <w:pPr>
        <w:spacing w:before="120"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La experiencia que se deriva de los contratos que el proponente ha celebrado y ejecutado con diferentes contratantes, sin importar la naturaleza de estos, se verifica con el Registro Único de Proponentes (RUP)</w:t>
      </w:r>
      <w:r w:rsidRPr="005E20B2">
        <w:rPr>
          <w:rStyle w:val="Refdenotaalpie"/>
          <w:rFonts w:ascii="Arial" w:eastAsia="Calibri" w:hAnsi="Arial" w:cs="Arial"/>
          <w:color w:val="000000" w:themeColor="text1"/>
          <w:sz w:val="22"/>
        </w:rPr>
        <w:footnoteReference w:id="9"/>
      </w:r>
      <w:r w:rsidRPr="005E20B2">
        <w:rPr>
          <w:rFonts w:ascii="Arial" w:eastAsia="Calibri" w:hAnsi="Arial" w:cs="Arial"/>
          <w:color w:val="000000" w:themeColor="text1"/>
          <w:sz w:val="22"/>
        </w:rPr>
        <w:t>,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Pr="005E20B2">
        <w:rPr>
          <w:rStyle w:val="Refdenotaalpie"/>
          <w:rFonts w:ascii="Arial" w:eastAsia="Calibri" w:hAnsi="Arial" w:cs="Arial"/>
          <w:color w:val="000000" w:themeColor="text1"/>
          <w:sz w:val="22"/>
        </w:rPr>
        <w:footnoteReference w:id="10"/>
      </w:r>
      <w:r w:rsidRPr="005E20B2">
        <w:rPr>
          <w:rFonts w:ascii="Arial" w:hAnsi="Arial" w:cs="Arial"/>
          <w:color w:val="000000" w:themeColor="text1"/>
          <w:sz w:val="22"/>
        </w:rPr>
        <w:t>. Así también lo confirmó el Consejo de Estado</w:t>
      </w:r>
      <w:r w:rsidRPr="005E20B2">
        <w:rPr>
          <w:rStyle w:val="Refdenotaalpie"/>
          <w:rFonts w:ascii="Arial" w:hAnsi="Arial" w:cs="Arial"/>
          <w:color w:val="000000" w:themeColor="text1"/>
          <w:sz w:val="22"/>
        </w:rPr>
        <w:footnoteReference w:id="11"/>
      </w:r>
      <w:r w:rsidRPr="005E20B2">
        <w:rPr>
          <w:rFonts w:ascii="Arial" w:hAnsi="Arial" w:cs="Arial"/>
          <w:color w:val="000000" w:themeColor="text1"/>
          <w:sz w:val="22"/>
        </w:rPr>
        <w:t>.</w:t>
      </w:r>
    </w:p>
    <w:p w14:paraId="72DE1855" w14:textId="77777777" w:rsidR="00385E4A" w:rsidRPr="005E20B2" w:rsidRDefault="00385E4A" w:rsidP="00385E4A">
      <w:pPr>
        <w:spacing w:before="120"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5E20B2">
        <w:rPr>
          <w:rStyle w:val="Refdenotaalpie"/>
          <w:rFonts w:ascii="Arial" w:eastAsia="Calibri" w:hAnsi="Arial" w:cs="Arial"/>
          <w:color w:val="000000" w:themeColor="text1"/>
          <w:sz w:val="22"/>
        </w:rPr>
        <w:footnoteReference w:id="12"/>
      </w:r>
      <w:r w:rsidRPr="005E20B2">
        <w:rPr>
          <w:rFonts w:ascii="Arial" w:eastAsia="Calibri" w:hAnsi="Arial" w:cs="Arial"/>
          <w:color w:val="000000" w:themeColor="text1"/>
          <w:sz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4D585D07" w14:textId="77777777" w:rsidR="00385E4A" w:rsidRPr="005E20B2" w:rsidRDefault="00385E4A" w:rsidP="00385E4A">
      <w:pPr>
        <w:spacing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para exigir la experiencia. Sobre el particular, para la experiencia, como requisito habilitante señalado en su consulta, el Manual se centra en una de sus cualidades y es que es «personal», lo cual significa que la experiencia se tiene por la participación, con anterioridad, en actividades que le permitieron conocer cómo ejecutar el objeto contractual, que la entidad pretende satisfacer ahora</w:t>
      </w:r>
      <w:r w:rsidRPr="005E20B2">
        <w:rPr>
          <w:rStyle w:val="Refdenotaalpie"/>
          <w:rFonts w:ascii="Arial" w:eastAsia="Calibri" w:hAnsi="Arial" w:cs="Arial"/>
          <w:color w:val="000000" w:themeColor="text1"/>
          <w:sz w:val="22"/>
        </w:rPr>
        <w:footnoteReference w:id="13"/>
      </w:r>
      <w:r w:rsidRPr="005E20B2">
        <w:rPr>
          <w:rFonts w:ascii="Arial" w:eastAsia="Calibri" w:hAnsi="Arial" w:cs="Arial"/>
          <w:color w:val="000000" w:themeColor="text1"/>
          <w:sz w:val="22"/>
        </w:rPr>
        <w:t>.</w:t>
      </w:r>
    </w:p>
    <w:p w14:paraId="51F5C1F7" w14:textId="77777777" w:rsidR="00385E4A" w:rsidRPr="005E20B2" w:rsidRDefault="00385E4A" w:rsidP="00385E4A">
      <w:pPr>
        <w:spacing w:before="120"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lastRenderedPageBreak/>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habrá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Finalmente, se pueden extraer las siguientes conclusiones relevantes para evaluar a los proponentes plurales, respecto de la experiencia: </w:t>
      </w:r>
    </w:p>
    <w:p w14:paraId="5C1EF433" w14:textId="77777777" w:rsidR="00385E4A" w:rsidRPr="005E20B2" w:rsidRDefault="00385E4A" w:rsidP="00385E4A">
      <w:pPr>
        <w:spacing w:before="120"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2A8B2FB5" w14:textId="77777777" w:rsidR="00385E4A" w:rsidRPr="005E20B2" w:rsidRDefault="00385E4A" w:rsidP="00385E4A">
      <w:pPr>
        <w:spacing w:before="120"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p>
    <w:p w14:paraId="38B1EACD" w14:textId="77777777" w:rsidR="00385E4A" w:rsidRPr="005E20B2" w:rsidRDefault="00385E4A" w:rsidP="00385E4A">
      <w:pPr>
        <w:spacing w:before="120"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iii)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1C898F38" w14:textId="77777777" w:rsidR="00385E4A" w:rsidRPr="005E20B2" w:rsidRDefault="00385E4A" w:rsidP="00385E4A">
      <w:pPr>
        <w:spacing w:before="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 xml:space="preserve">No obstante, las entidades son autónomas en la estructuración de sus procedimientos contractuales, por lo cual en sus pliegos de condiciones pueden </w:t>
      </w:r>
      <w:r w:rsidRPr="005E20B2">
        <w:rPr>
          <w:rFonts w:ascii="Arial" w:eastAsia="Calibri" w:hAnsi="Arial" w:cs="Arial"/>
          <w:color w:val="000000" w:themeColor="text1"/>
          <w:sz w:val="22"/>
        </w:rPr>
        <w:lastRenderedPageBreak/>
        <w:t>establecer las reglas de acreditación de la experiencia de los proponentes, siempre que estas sean proporcionales.</w:t>
      </w:r>
    </w:p>
    <w:p w14:paraId="64481B87" w14:textId="77777777" w:rsidR="00385E4A" w:rsidRPr="005E20B2" w:rsidRDefault="00385E4A" w:rsidP="00385E4A">
      <w:pPr>
        <w:spacing w:line="276" w:lineRule="auto"/>
        <w:jc w:val="both"/>
        <w:rPr>
          <w:rFonts w:ascii="Arial" w:eastAsia="Calibri" w:hAnsi="Arial" w:cs="Arial"/>
          <w:color w:val="000000" w:themeColor="text1"/>
          <w:sz w:val="22"/>
        </w:rPr>
      </w:pPr>
    </w:p>
    <w:p w14:paraId="3D54EF1F" w14:textId="77777777" w:rsidR="00385E4A" w:rsidRPr="005E20B2" w:rsidRDefault="00385E4A" w:rsidP="00385E4A">
      <w:pPr>
        <w:spacing w:line="276" w:lineRule="auto"/>
        <w:jc w:val="both"/>
        <w:rPr>
          <w:rFonts w:ascii="Arial" w:eastAsia="Calibri" w:hAnsi="Arial" w:cs="Arial"/>
          <w:b/>
          <w:bCs/>
          <w:color w:val="000000" w:themeColor="text1"/>
          <w:sz w:val="22"/>
        </w:rPr>
      </w:pPr>
      <w:r w:rsidRPr="005E20B2">
        <w:rPr>
          <w:rFonts w:ascii="Arial" w:eastAsia="Calibri" w:hAnsi="Arial" w:cs="Arial"/>
          <w:b/>
          <w:bCs/>
          <w:color w:val="000000" w:themeColor="text1"/>
          <w:sz w:val="22"/>
        </w:rPr>
        <w:t>2.2. La conformación de proponentes plurales frente a las exigencias del pliego de condiciones</w:t>
      </w:r>
    </w:p>
    <w:p w14:paraId="7E66535F" w14:textId="77777777" w:rsidR="00385E4A" w:rsidRPr="005E20B2" w:rsidRDefault="00385E4A" w:rsidP="00385E4A">
      <w:pPr>
        <w:spacing w:line="276" w:lineRule="auto"/>
        <w:jc w:val="both"/>
        <w:rPr>
          <w:rFonts w:ascii="Arial" w:eastAsia="Calibri" w:hAnsi="Arial" w:cs="Arial"/>
          <w:b/>
          <w:bCs/>
          <w:color w:val="000000" w:themeColor="text1"/>
          <w:sz w:val="22"/>
        </w:rPr>
      </w:pPr>
    </w:p>
    <w:p w14:paraId="36995EEB" w14:textId="77777777" w:rsidR="00385E4A" w:rsidRPr="005E20B2" w:rsidRDefault="00385E4A" w:rsidP="00385E4A">
      <w:pPr>
        <w:spacing w:after="120" w:line="276" w:lineRule="auto"/>
        <w:jc w:val="both"/>
        <w:rPr>
          <w:rFonts w:ascii="Arial" w:eastAsia="Calibri" w:hAnsi="Arial" w:cs="Arial"/>
          <w:color w:val="000000" w:themeColor="text1"/>
          <w:sz w:val="22"/>
        </w:rPr>
      </w:pPr>
      <w:r w:rsidRPr="005E20B2">
        <w:rPr>
          <w:rFonts w:ascii="Arial" w:eastAsia="Calibri" w:hAnsi="Arial" w:cs="Arial"/>
          <w:color w:val="000000" w:themeColor="text1"/>
          <w:sz w:val="22"/>
        </w:rPr>
        <w:t>De acuerdo con la Ley 80 de 1993, quienes pueden ser proveedores del Estado son las personas consideradas legalmente capaces, como las personas naturales y jurídicas</w:t>
      </w:r>
      <w:r w:rsidRPr="005E20B2">
        <w:rPr>
          <w:rStyle w:val="Refdenotaalpie"/>
          <w:rFonts w:ascii="Arial" w:eastAsia="Calibri" w:hAnsi="Arial" w:cs="Arial"/>
          <w:color w:val="000000" w:themeColor="text1"/>
          <w:sz w:val="22"/>
        </w:rPr>
        <w:footnoteReference w:id="14"/>
      </w:r>
      <w:r w:rsidRPr="005E20B2">
        <w:rPr>
          <w:rFonts w:ascii="Arial" w:eastAsia="Calibri" w:hAnsi="Arial" w:cs="Arial"/>
          <w:color w:val="000000" w:themeColor="text1"/>
          <w:sz w:val="22"/>
        </w:rPr>
        <w:t>, que de acuerdo con el Código Civil tienen capacidad para ejercer derechos y contraer obligaciones, por ende tienen capacidad jurídica. Además, se advierte que el artículo 7 de la Ley 80 de 1993 define al consorcio y a la unión temporal como la unión de dos o más personas que presentan la misma propuesta para la adjudicación, celebración y ejecución de un contrato, pero su responsabilidad por las sanciones es diferente</w:t>
      </w:r>
      <w:r w:rsidRPr="005E20B2">
        <w:rPr>
          <w:rStyle w:val="Refdenotaalpie"/>
          <w:rFonts w:ascii="Arial" w:eastAsia="Calibri" w:hAnsi="Arial" w:cs="Arial"/>
          <w:color w:val="000000" w:themeColor="text1"/>
          <w:sz w:val="22"/>
        </w:rPr>
        <w:footnoteReference w:id="15"/>
      </w:r>
      <w:r w:rsidRPr="005E20B2">
        <w:rPr>
          <w:rFonts w:ascii="Arial" w:eastAsia="Calibri" w:hAnsi="Arial" w:cs="Arial"/>
          <w:color w:val="000000" w:themeColor="text1"/>
          <w:sz w:val="22"/>
        </w:rPr>
        <w:t>. Por su parte, la Corte Constitucional señala que el consorcio es una figura propia del derecho privado, utilizado como un instrumento de cooperación entre empresas, que les permita unir esfuerzos para la celebración y ejecución de un contrato con el Estado, sin que por ello pierdan su individualidad jurídica</w:t>
      </w:r>
      <w:r w:rsidRPr="005E20B2">
        <w:rPr>
          <w:rStyle w:val="Refdenotaalpie"/>
          <w:rFonts w:ascii="Arial" w:eastAsia="Calibri" w:hAnsi="Arial" w:cs="Arial"/>
          <w:color w:val="000000" w:themeColor="text1"/>
          <w:sz w:val="22"/>
        </w:rPr>
        <w:footnoteReference w:id="16"/>
      </w:r>
      <w:r w:rsidRPr="005E20B2">
        <w:rPr>
          <w:rFonts w:ascii="Arial" w:eastAsia="Calibri" w:hAnsi="Arial" w:cs="Arial"/>
          <w:color w:val="000000" w:themeColor="text1"/>
          <w:sz w:val="22"/>
        </w:rPr>
        <w:t>.</w:t>
      </w:r>
    </w:p>
    <w:p w14:paraId="34DB3D81" w14:textId="77777777" w:rsidR="00385E4A" w:rsidRPr="005E20B2" w:rsidRDefault="00385E4A" w:rsidP="00385E4A">
      <w:pPr>
        <w:spacing w:before="120" w:after="120"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lastRenderedPageBreak/>
        <w:t>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59D3596D" w14:textId="77777777" w:rsidR="00385E4A" w:rsidRPr="005E20B2" w:rsidRDefault="00385E4A" w:rsidP="00385E4A">
      <w:pPr>
        <w:spacing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El Manual para determinar y verificar requisitos habilitantes en los procesos de contratación, de Colombia Compra Eficiente, sugiere que se debe sumar lo acreditado por cada miembro del consorcio o de la unión temporal. No obstante, teniendo en cuenta su consulta, se hace necesario destacar que las consideraciones de este documento han señalado que la entidad tiene discrecionalidad para fijar las reglas del procedimiento de selección en el pliego de condiciones, que es ley para las partes y que surge del estudio de la necesidad que se pretende satisfacer, lo cual es un límite a la discrecionalidad de la entidad, porque las condiciones deben ser razonables, proporcionales al objeto contractual y objetivas, de acuerdo con el artículo 24 de la Ley 80 de 1993 citado.</w:t>
      </w:r>
    </w:p>
    <w:p w14:paraId="1C1A8317" w14:textId="77777777" w:rsidR="00385E4A" w:rsidRPr="005E20B2" w:rsidRDefault="00385E4A" w:rsidP="00385E4A">
      <w:pPr>
        <w:spacing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En consecuencia, la entidad puede establecer como regla del pliego de condiciones que cada miembro del proponente plural deba acreditar la experiencia requerida en el procedimiento, o la sumatoria de la experiencia, como lo sugirió el Manual, o que un miembro del proponente plural acredite la experiencia, ya que ninguna de estas opciones está prohibida por las normas aplicables, y la facultad discrecional de la entidad para señalar las reglas de su procedimiento, que son ley para la entidad y para quienes se presenten, permite que esta decida la forma de acreditación de la experiencia por los proponentes plurales.</w:t>
      </w:r>
    </w:p>
    <w:p w14:paraId="4023D0B0" w14:textId="77777777" w:rsidR="00385E4A" w:rsidRPr="005E20B2" w:rsidRDefault="00385E4A" w:rsidP="00385E4A">
      <w:pPr>
        <w:spacing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 xml:space="preserve">Es cierto que aquí se presenta una tensión entre la discrecionalidad de la entidad para exigir la experiencia y el derecho de los proponentes de decidir la forma de presentar oferta en un procedimiento de selección, sea individualmente o conformando un proponente plural, ya que, en principio, si deciden ser parte de un consorcio o unión </w:t>
      </w:r>
      <w:r w:rsidRPr="005E20B2">
        <w:rPr>
          <w:rFonts w:ascii="Arial" w:eastAsia="Calibri" w:hAnsi="Arial" w:cs="Arial"/>
          <w:color w:val="000000" w:themeColor="text1"/>
          <w:sz w:val="22"/>
        </w:rPr>
        <w:lastRenderedPageBreak/>
        <w:t xml:space="preserve">temporal, pueden fijar las reglas de la figura en el documento privado de constitución, determinando los aportes de cada miembro y la forma en la que van a colaborarse mutuamente para participar y ejecutar el contrato. </w:t>
      </w:r>
    </w:p>
    <w:p w14:paraId="3909C6C8" w14:textId="77777777" w:rsidR="00385E4A" w:rsidRPr="005E20B2" w:rsidRDefault="00385E4A" w:rsidP="00385E4A">
      <w:pPr>
        <w:spacing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En otras palabras, pareciera desdibujarse el propósito de los proponentes plurales, que son conformados por quienes de forma individual no cumplen los requisitos mínimos, y por ende se unen para que, si un miembro no tiene experiencia, otro miembro la aporte y sea viable su participación en la contratación; pero si la entidad exige que todos tengan experiencia no es posible la colaboración mutua propia de estas formas de asociación. Además, la ley no prohíbe que un miembro aporte la experiencia porque precisamente ese es el objetivo de los proponentes plurales, lo cual entra en conflicto con la discrecionalidad de la entidad para establecer los requisitos del procedimiento y su alcance.</w:t>
      </w:r>
    </w:p>
    <w:p w14:paraId="471BAE23" w14:textId="77777777" w:rsidR="00385E4A" w:rsidRPr="005E20B2" w:rsidRDefault="00385E4A" w:rsidP="00385E4A">
      <w:pPr>
        <w:spacing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Sin embargo, la tensión entre el derecho de los proveedores de conformar proponentes plurales y decidir sus aportes, y la facultad discrecional de la entidad para señalar las reglas del procedimiento de selección, debe resolverse ponderando estos derechos en cada caso, según los elementos que aporta el principio de proporcionalidad</w:t>
      </w:r>
      <w:r w:rsidRPr="005E20B2">
        <w:rPr>
          <w:rStyle w:val="Refdenotaalpie"/>
          <w:rFonts w:ascii="Arial" w:hAnsi="Arial" w:cs="Arial"/>
          <w:color w:val="000000" w:themeColor="text1"/>
          <w:sz w:val="22"/>
        </w:rPr>
        <w:footnoteReference w:id="17"/>
      </w:r>
      <w:r w:rsidRPr="005E20B2">
        <w:rPr>
          <w:rFonts w:ascii="Arial" w:eastAsia="Calibri" w:hAnsi="Arial" w:cs="Arial"/>
          <w:color w:val="000000" w:themeColor="text1"/>
          <w:sz w:val="22"/>
        </w:rPr>
        <w:t xml:space="preserve">. De este modo, en ciertos casos se podría considerar proporcional que la entidad estatal exija el 100% de la experiencia a cada uno de los miembros del consorcio o de la unión temporal, y, en tales eventos prevalecerá la autonomía de la voluntad sobre el derecho de los particulares, derivado de la libertad de asociación, para disponer las reglas de participación en los consorcios y uniones temporales. Ello, por cuanto la entidad abre un procedimiento contractual porque tiene una necesidad que debe satisfacer, y que está llamada a conocer, ya que la ley le exige adelantar una planeación adecuada que soporte la contratación. En ese sentido, al actuar en el mercado como compradora, puede decidir el bien, obra o servicio que satisface su necesidad y en qué condiciones lo quiere adquirir, de acuerdo con el resultado de la </w:t>
      </w:r>
      <w:r w:rsidRPr="005E20B2">
        <w:rPr>
          <w:rFonts w:ascii="Arial" w:eastAsia="Calibri" w:hAnsi="Arial" w:cs="Arial"/>
          <w:color w:val="000000" w:themeColor="text1"/>
          <w:sz w:val="22"/>
        </w:rPr>
        <w:lastRenderedPageBreak/>
        <w:t>planeación, para lograr optimizar sus recursos; y los vendedores deben sujetarse a esto, puesto que las dinámicas del mercado determinan la posición de sus actores, sin que ello obste para que los proveedores realicen recomendaciones a la entidad. Sin embargo, en otros casos podría ser una medida más proporcional que la entidad no exija el 100% de la experiencia a cada uno de los miembros de la forma asociativa, porque analizado este requisito en relación con el objeto, el alcance técnico y, en general los aspectos del contrato, no resulta necesario dicho requisito.</w:t>
      </w:r>
    </w:p>
    <w:p w14:paraId="0BF4597F" w14:textId="77777777" w:rsidR="00385E4A" w:rsidRPr="005E20B2" w:rsidRDefault="00385E4A" w:rsidP="00385E4A">
      <w:pPr>
        <w:spacing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Lo anterior evidencia que, de satisfacer las exigencias del test de ponderación, la entidad podría exigir que los miembros de un proponente plural aporten la experiencia y no solo uno, por considerar que esto beneficia la ejecución del contrato, lo cual es razonable si se recuerda la solidaridad que existe entre quienes conforman la figura asociativa, es decir, que a cada miembro se le puede exigir el cumplimiento total del contrato y debe estar en posición de responder por las obligaciones, sin depender de los otros. Por tanto, la entidad debe asegurar que la solidaridad se pueda materializar para garantizar los fines estatales, que son un interés superior frente al interés de los particulares de tener negocios con el Estado</w:t>
      </w:r>
      <w:r w:rsidRPr="005E20B2">
        <w:rPr>
          <w:rStyle w:val="Refdenotaalpie"/>
          <w:rFonts w:ascii="Arial" w:eastAsia="Calibri" w:hAnsi="Arial" w:cs="Arial"/>
          <w:color w:val="000000" w:themeColor="text1"/>
          <w:sz w:val="22"/>
        </w:rPr>
        <w:footnoteReference w:id="18"/>
      </w:r>
      <w:r w:rsidRPr="005E20B2">
        <w:rPr>
          <w:rFonts w:ascii="Arial" w:eastAsia="Calibri" w:hAnsi="Arial" w:cs="Arial"/>
          <w:color w:val="000000" w:themeColor="text1"/>
          <w:sz w:val="22"/>
        </w:rPr>
        <w:t>. El Consejo de Estado confirma las consideraciones de este concepto, señalando la necesidad de que la entidad busque el cumplimiento del contrato fijando los requisitos que sean necesarios para lograrlo:</w:t>
      </w:r>
    </w:p>
    <w:p w14:paraId="381A1C61" w14:textId="77777777" w:rsidR="00385E4A" w:rsidRPr="005E20B2" w:rsidRDefault="00385E4A" w:rsidP="00385E4A">
      <w:pPr>
        <w:spacing w:line="276" w:lineRule="auto"/>
        <w:ind w:firstLine="708"/>
        <w:jc w:val="both"/>
        <w:rPr>
          <w:rFonts w:ascii="Arial" w:eastAsia="Calibri" w:hAnsi="Arial" w:cs="Arial"/>
          <w:color w:val="000000" w:themeColor="text1"/>
          <w:sz w:val="22"/>
        </w:rPr>
      </w:pPr>
    </w:p>
    <w:p w14:paraId="5CBF7467" w14:textId="77777777" w:rsidR="00385E4A" w:rsidRPr="005E20B2" w:rsidRDefault="00385E4A" w:rsidP="00385E4A">
      <w:pPr>
        <w:ind w:left="709" w:right="709"/>
        <w:jc w:val="both"/>
        <w:rPr>
          <w:rFonts w:ascii="Arial" w:eastAsia="Calibri" w:hAnsi="Arial" w:cs="Arial"/>
          <w:color w:val="000000" w:themeColor="text1"/>
          <w:sz w:val="21"/>
          <w:szCs w:val="21"/>
        </w:rPr>
      </w:pPr>
      <w:r w:rsidRPr="005E20B2">
        <w:rPr>
          <w:rFonts w:ascii="Arial" w:eastAsia="Calibri" w:hAnsi="Arial" w:cs="Arial"/>
          <w:color w:val="000000" w:themeColor="text1"/>
          <w:sz w:val="21"/>
          <w:szCs w:val="21"/>
        </w:rPr>
        <w:t xml:space="preserve">Podrá entonces la Administración determinar en los pliegos de condiciones requisitos de esa cualificación, esto es OBJETIVOS, tendientes a proteger a la Administración Contratante y a evitar su desmedro futuro, [...] previniendo así que la solidaridad legal de los consorcios y uniones temporales no se torne ineficaz. Es así como cada consorciado y cada uno de los unidos temporalmente tiene una capacidad real individual, que no tiene alcance real de garantía efectiva sobre la solidaridad fijada en la ley a favor del contratante, precisamente porque en esas formas de asociación si bien se ve HACIA FUERA la capacidad del consorcio y de la unión temporal, resulta que HACIA ADENTRO del CONSORCIO y de la UNIÓN TEMPORAL, se aprecia la real </w:t>
      </w:r>
      <w:r w:rsidRPr="005E20B2">
        <w:rPr>
          <w:rFonts w:ascii="Arial" w:eastAsia="Calibri" w:hAnsi="Arial" w:cs="Arial"/>
          <w:color w:val="000000" w:themeColor="text1"/>
          <w:sz w:val="21"/>
          <w:szCs w:val="21"/>
        </w:rPr>
        <w:lastRenderedPageBreak/>
        <w:t>capacidad de cada uno de sus miembros, por razones obvias, siempre inferior a la de la asociación, por consorcio o por unión temporal. La solidaridad fijada en la ley para los consorciados y para los unidos temporalmente, según el caso, puede dar lugar al requerimiento administrativo o a la declaración judicial de exigir el cumplimiento o la indemnización, según el evento, y muy seguramente en la realidad material, la previsión legal de solidaridad no tendrá la eficacia buscada por el legislador, en la medida que acrezca el número de participantes, pues si bien a mayor número de participantes es mayor la capacidad del consorcio o de la unión temporal, también a mayor el número de participantes es menor la capacidad individual de estos y, por tanto, aunque la ley predica la solidaridad, que es indiscutible, la realidad de eficacia se torna en improbable en la medida en que la capacidad de cada consorciado y de cada una de las personas que integran la unión temporal es menor. Por ello aunque la ley los hace solidarios, para los aspectos vistos, la solidaridad jurídica prevista en la ley no augura, por si sola, la eficacia material de ese tipo de obligaciones, porque cada consorciado o cada integrante de la unión temporal tiene medida cada una de sus capacidades</w:t>
      </w:r>
      <w:r w:rsidRPr="005E20B2">
        <w:rPr>
          <w:rStyle w:val="Refdenotaalpie"/>
          <w:rFonts w:ascii="Arial" w:eastAsia="Calibri" w:hAnsi="Arial" w:cs="Arial"/>
          <w:color w:val="000000" w:themeColor="text1"/>
          <w:sz w:val="21"/>
          <w:szCs w:val="21"/>
        </w:rPr>
        <w:footnoteReference w:id="19"/>
      </w:r>
      <w:r w:rsidRPr="005E20B2">
        <w:rPr>
          <w:rFonts w:ascii="Arial" w:eastAsia="Calibri" w:hAnsi="Arial" w:cs="Arial"/>
          <w:color w:val="000000" w:themeColor="text1"/>
          <w:sz w:val="21"/>
          <w:szCs w:val="21"/>
        </w:rPr>
        <w:t>.</w:t>
      </w:r>
    </w:p>
    <w:p w14:paraId="37E171FA" w14:textId="77777777" w:rsidR="00385E4A" w:rsidRPr="005E20B2" w:rsidRDefault="00385E4A" w:rsidP="00385E4A">
      <w:pPr>
        <w:ind w:right="709"/>
        <w:jc w:val="both"/>
        <w:rPr>
          <w:rFonts w:ascii="Arial" w:eastAsia="Calibri" w:hAnsi="Arial" w:cs="Arial"/>
          <w:color w:val="000000" w:themeColor="text1"/>
          <w:sz w:val="21"/>
          <w:szCs w:val="21"/>
        </w:rPr>
      </w:pPr>
    </w:p>
    <w:p w14:paraId="5EDE6680" w14:textId="77777777" w:rsidR="00385E4A" w:rsidRPr="005E20B2" w:rsidRDefault="00385E4A" w:rsidP="00385E4A">
      <w:pPr>
        <w:spacing w:after="120" w:line="276" w:lineRule="auto"/>
        <w:ind w:firstLine="709"/>
        <w:jc w:val="both"/>
        <w:rPr>
          <w:rFonts w:ascii="Arial" w:eastAsia="Calibri" w:hAnsi="Arial" w:cs="Arial"/>
          <w:color w:val="000000" w:themeColor="text1"/>
          <w:sz w:val="22"/>
        </w:rPr>
      </w:pPr>
      <w:r w:rsidRPr="005E20B2">
        <w:rPr>
          <w:rFonts w:ascii="Arial" w:eastAsia="Calibri" w:hAnsi="Arial" w:cs="Arial"/>
          <w:color w:val="000000" w:themeColor="text1"/>
          <w:sz w:val="22"/>
        </w:rPr>
        <w:t>Para finalizar, como argumento adicional, es pertinente mencionar el desarrollo de los negocios que se rigen por el derecho privado y la forma de contratación de las empresas privadas, ya que allí se privilegia el interés del comprador en el cumplimiento de la prestación y se busca la mejor posición del contratista para cumplir, siendo evidente que es preferible que todos los miembros de un proponente plural tengan experiencia a que uno la aporte, porque existe mayor garantía de un mejor cumplimiento, al incrementarse el conocimiento en la ejecución de las obligaciones, existiendo un menor riesgo de improvisación o sobrecostos por errores que se evitan con personas expertas en la materia. Lo anterior sirve de ejemplo para los negocios del Estado, que se pueden desarrollar en igualdad de condiciones con la empresa privada, teniendo en cuenta que esta busca la mayor calidad, lo cual también merece el sector público por tratarse de recursos de la ciudadanía.</w:t>
      </w:r>
    </w:p>
    <w:p w14:paraId="150F1ECF" w14:textId="77777777" w:rsidR="00385E4A" w:rsidRPr="005E20B2" w:rsidRDefault="00385E4A" w:rsidP="00385E4A">
      <w:pPr>
        <w:spacing w:line="276" w:lineRule="auto"/>
        <w:ind w:firstLine="708"/>
        <w:jc w:val="both"/>
        <w:rPr>
          <w:rFonts w:ascii="Arial" w:eastAsia="Calibri" w:hAnsi="Arial" w:cs="Arial"/>
          <w:color w:val="000000" w:themeColor="text1"/>
          <w:sz w:val="22"/>
        </w:rPr>
      </w:pPr>
      <w:r w:rsidRPr="005E20B2">
        <w:rPr>
          <w:rFonts w:ascii="Arial" w:eastAsia="Calibri" w:hAnsi="Arial" w:cs="Arial"/>
          <w:color w:val="000000" w:themeColor="text1"/>
          <w:sz w:val="22"/>
        </w:rPr>
        <w:t xml:space="preserve">Las razones expuestas resuelven la tensión de derechos en favor de la entidad y su facultad discrecional de fijar las reglas del pliego de condiciones, puesto que se busca el cumplimiento de los fines estatales y la satisfacción del interés general, como objetivos superiores al derecho de los proponentes de asociarse para presentar ofertas en los procedimientos contractuales del Estado, ya que este derecho se limita razonablemente cuando la entidad señala condiciones que buscan una mejor ejecución del contrato y evitar riesgos de incumplimiento que afectan derechos colectivos. </w:t>
      </w:r>
    </w:p>
    <w:p w14:paraId="001DAAAB" w14:textId="77777777" w:rsidR="00385E4A" w:rsidRPr="005E20B2" w:rsidRDefault="00385E4A" w:rsidP="00385E4A">
      <w:pPr>
        <w:spacing w:line="276" w:lineRule="auto"/>
        <w:ind w:firstLine="708"/>
        <w:jc w:val="both"/>
        <w:rPr>
          <w:rFonts w:ascii="Arial" w:eastAsia="Calibri" w:hAnsi="Arial" w:cs="Arial"/>
          <w:color w:val="000000" w:themeColor="text1"/>
          <w:sz w:val="22"/>
        </w:rPr>
      </w:pPr>
    </w:p>
    <w:p w14:paraId="0D290FD5" w14:textId="77777777" w:rsidR="00385E4A" w:rsidRPr="005E20B2" w:rsidRDefault="00385E4A" w:rsidP="00385E4A">
      <w:pPr>
        <w:pStyle w:val="Prrafodelista"/>
        <w:tabs>
          <w:tab w:val="left" w:pos="284"/>
        </w:tabs>
        <w:spacing w:line="276" w:lineRule="auto"/>
        <w:ind w:left="0"/>
        <w:jc w:val="both"/>
        <w:rPr>
          <w:rFonts w:ascii="Arial" w:eastAsia="Calibri" w:hAnsi="Arial" w:cs="Arial"/>
          <w:color w:val="000000" w:themeColor="text1"/>
          <w:sz w:val="22"/>
        </w:rPr>
      </w:pPr>
      <w:r w:rsidRPr="005E20B2">
        <w:rPr>
          <w:rFonts w:ascii="Arial" w:eastAsia="Calibri" w:hAnsi="Arial" w:cs="Arial"/>
          <w:b/>
          <w:color w:val="000000" w:themeColor="text1"/>
          <w:sz w:val="22"/>
        </w:rPr>
        <w:t>3. Respuesta</w:t>
      </w:r>
    </w:p>
    <w:p w14:paraId="7B510A36" w14:textId="77777777" w:rsidR="00385E4A" w:rsidRPr="005E20B2" w:rsidRDefault="00385E4A" w:rsidP="00385E4A">
      <w:pPr>
        <w:spacing w:line="276" w:lineRule="auto"/>
        <w:ind w:left="709" w:right="709"/>
        <w:jc w:val="both"/>
        <w:rPr>
          <w:rFonts w:ascii="Arial" w:eastAsia="Calibri" w:hAnsi="Arial" w:cs="Arial"/>
          <w:i/>
          <w:color w:val="000000" w:themeColor="text1"/>
          <w:sz w:val="22"/>
        </w:rPr>
      </w:pPr>
    </w:p>
    <w:p w14:paraId="6F01ABCC" w14:textId="77777777" w:rsidR="00385E4A" w:rsidRPr="005E20B2" w:rsidRDefault="00385E4A" w:rsidP="00385E4A">
      <w:pPr>
        <w:spacing w:line="276" w:lineRule="auto"/>
        <w:ind w:left="709" w:right="709"/>
        <w:jc w:val="both"/>
        <w:rPr>
          <w:rFonts w:ascii="Arial" w:eastAsia="Calibri" w:hAnsi="Arial" w:cs="Arial"/>
          <w:color w:val="000000" w:themeColor="text1"/>
          <w:sz w:val="22"/>
        </w:rPr>
      </w:pPr>
      <w:r w:rsidRPr="005E20B2">
        <w:rPr>
          <w:rFonts w:ascii="Arial" w:eastAsia="Calibri" w:hAnsi="Arial" w:cs="Arial"/>
          <w:color w:val="000000" w:themeColor="text1"/>
          <w:sz w:val="22"/>
        </w:rPr>
        <w:lastRenderedPageBreak/>
        <w:t>¿Las entidades pueden exigir en el pliego de condiciones que todos los integrantes de un proponente plural aporten la experiencia requerida en un procedimiento contractual, a pesar de que pueda ser acreditada por uno de los miembros del proponente plural?</w:t>
      </w:r>
    </w:p>
    <w:p w14:paraId="2E289B49" w14:textId="77777777" w:rsidR="00385E4A" w:rsidRPr="005E20B2" w:rsidRDefault="00385E4A" w:rsidP="00385E4A">
      <w:pPr>
        <w:spacing w:line="276" w:lineRule="auto"/>
        <w:ind w:left="708" w:right="709"/>
        <w:jc w:val="both"/>
        <w:rPr>
          <w:rFonts w:ascii="Arial" w:eastAsia="Calibri" w:hAnsi="Arial" w:cs="Arial"/>
          <w:color w:val="000000" w:themeColor="text1"/>
          <w:sz w:val="22"/>
          <w:highlight w:val="yellow"/>
        </w:rPr>
      </w:pPr>
    </w:p>
    <w:p w14:paraId="66DA01D4" w14:textId="77777777" w:rsidR="00385E4A" w:rsidRPr="005E20B2" w:rsidRDefault="00385E4A" w:rsidP="00385E4A">
      <w:pPr>
        <w:spacing w:line="276" w:lineRule="auto"/>
        <w:jc w:val="both"/>
        <w:rPr>
          <w:rFonts w:ascii="Arial" w:eastAsia="Calibri" w:hAnsi="Arial" w:cs="Arial"/>
          <w:color w:val="000000" w:themeColor="text1"/>
          <w:sz w:val="22"/>
        </w:rPr>
      </w:pPr>
      <w:r w:rsidRPr="005E20B2">
        <w:rPr>
          <w:rFonts w:ascii="Arial" w:eastAsia="Calibri" w:hAnsi="Arial" w:cs="Arial"/>
          <w:color w:val="000000" w:themeColor="text1"/>
          <w:sz w:val="22"/>
        </w:rPr>
        <w:t>La entidad tiene la facultad discrecional de señalar los requisitos y reglas del procedimiento de selección en el pliego de condiciones, los cuales deben ser razonables y proporcionales al objeto contractual. Dicha autonomía puede, en principio, entrar en tensión con el derecho de los proponentes de asociarse mediante consorcios o uniones temporales y decidir los aportes de cada miembro. Por ello, la entidad debe efectuar un test de ponderación, para decidir si en el caso concreto es proporcional y adecuado exigir que cada uno de los miembros de la forma asociativa acredite la experiencia exigida en el procedimiento de selección o si basta con que alguno de ellos lo haga. Como se indicó, dicha ponderación debe efectuarse en cada supuesto, considerando el objeto, el alcance, las obligaciones y, en general, las características del contrato.</w:t>
      </w:r>
    </w:p>
    <w:p w14:paraId="548518B3" w14:textId="77777777" w:rsidR="00385E4A" w:rsidRPr="005E20B2" w:rsidRDefault="00385E4A" w:rsidP="00385E4A">
      <w:pPr>
        <w:spacing w:line="276" w:lineRule="auto"/>
        <w:jc w:val="both"/>
        <w:rPr>
          <w:rFonts w:ascii="Arial" w:eastAsia="Calibri" w:hAnsi="Arial" w:cs="Arial"/>
          <w:color w:val="000000" w:themeColor="text1"/>
          <w:sz w:val="22"/>
        </w:rPr>
      </w:pPr>
    </w:p>
    <w:p w14:paraId="11118071" w14:textId="77777777" w:rsidR="00385E4A" w:rsidRPr="005E20B2" w:rsidRDefault="00385E4A" w:rsidP="00385E4A">
      <w:pPr>
        <w:spacing w:line="276" w:lineRule="auto"/>
        <w:jc w:val="both"/>
        <w:rPr>
          <w:rFonts w:ascii="Arial" w:eastAsia="Calibri" w:hAnsi="Arial" w:cs="Arial"/>
          <w:color w:val="000000" w:themeColor="text1"/>
          <w:sz w:val="22"/>
        </w:rPr>
      </w:pPr>
    </w:p>
    <w:p w14:paraId="67793ABA" w14:textId="77777777" w:rsidR="00385E4A" w:rsidRPr="005E20B2" w:rsidRDefault="00385E4A" w:rsidP="00385E4A">
      <w:pPr>
        <w:spacing w:line="276" w:lineRule="auto"/>
        <w:jc w:val="both"/>
        <w:rPr>
          <w:rFonts w:ascii="Arial" w:eastAsia="Calibri" w:hAnsi="Arial" w:cs="Arial"/>
          <w:color w:val="000000" w:themeColor="text1"/>
          <w:sz w:val="22"/>
        </w:rPr>
      </w:pPr>
      <w:r w:rsidRPr="005E20B2">
        <w:rPr>
          <w:rFonts w:ascii="Arial" w:eastAsia="Calibri" w:hAnsi="Arial" w:cs="Arial"/>
          <w:color w:val="000000" w:themeColor="text1"/>
          <w:sz w:val="22"/>
        </w:rPr>
        <w:t>Este concepto tiene el alcance previsto en el artículo 28 del Código de Procedimiento Administrativo y de lo Contencioso Administrativo.</w:t>
      </w:r>
    </w:p>
    <w:p w14:paraId="30CEDCF2" w14:textId="77777777" w:rsidR="00385E4A" w:rsidRPr="005E20B2" w:rsidRDefault="00385E4A" w:rsidP="00385E4A">
      <w:pPr>
        <w:spacing w:line="276" w:lineRule="auto"/>
        <w:jc w:val="both"/>
        <w:rPr>
          <w:rFonts w:ascii="Arial" w:eastAsia="Calibri" w:hAnsi="Arial" w:cs="Arial"/>
          <w:color w:val="000000" w:themeColor="text1"/>
          <w:sz w:val="22"/>
        </w:rPr>
      </w:pPr>
    </w:p>
    <w:p w14:paraId="0AFEEE8F" w14:textId="77777777" w:rsidR="00385E4A" w:rsidRPr="005E20B2" w:rsidRDefault="00385E4A" w:rsidP="00385E4A">
      <w:pPr>
        <w:jc w:val="both"/>
        <w:rPr>
          <w:rFonts w:ascii="Arial" w:eastAsia="Calibri" w:hAnsi="Arial" w:cs="Arial"/>
          <w:color w:val="000000" w:themeColor="text1"/>
          <w:sz w:val="22"/>
        </w:rPr>
      </w:pPr>
      <w:r w:rsidRPr="005E20B2">
        <w:rPr>
          <w:noProof/>
          <w:color w:val="000000" w:themeColor="text1"/>
          <w:lang w:val="en-US"/>
        </w:rPr>
        <mc:AlternateContent>
          <mc:Choice Requires="wps">
            <w:drawing>
              <wp:anchor distT="0" distB="0" distL="114300" distR="114300" simplePos="0" relativeHeight="251659264" behindDoc="0" locked="0" layoutInCell="1" allowOverlap="1" wp14:anchorId="53A983CD" wp14:editId="293242CA">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ED45D0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711291BA" w14:textId="77777777" w:rsidR="00385E4A" w:rsidRPr="005E20B2" w:rsidRDefault="00385E4A" w:rsidP="00385E4A">
      <w:pPr>
        <w:rPr>
          <w:rFonts w:ascii="Arial" w:eastAsia="Times New Roman" w:hAnsi="Arial" w:cs="Arial"/>
          <w:color w:val="000000" w:themeColor="text1"/>
          <w:sz w:val="22"/>
          <w:lang w:eastAsia="es-CO"/>
        </w:rPr>
      </w:pPr>
      <w:r w:rsidRPr="005E20B2">
        <w:rPr>
          <w:rFonts w:ascii="Arial" w:eastAsia="Times New Roman" w:hAnsi="Arial" w:cs="Arial"/>
          <w:color w:val="000000" w:themeColor="text1"/>
          <w:sz w:val="22"/>
          <w:lang w:eastAsia="es-CO"/>
        </w:rPr>
        <w:t>Atentamente,</w:t>
      </w:r>
    </w:p>
    <w:p w14:paraId="35A47AEB" w14:textId="676ECDA8" w:rsidR="00385E4A" w:rsidRPr="005E20B2" w:rsidRDefault="009D4BDD" w:rsidP="009D4BDD">
      <w:pPr>
        <w:jc w:val="center"/>
        <w:rPr>
          <w:rFonts w:ascii="Arial" w:eastAsia="Times New Roman" w:hAnsi="Arial" w:cs="Arial"/>
          <w:color w:val="000000" w:themeColor="text1"/>
          <w:sz w:val="22"/>
          <w:lang w:eastAsia="es-CO"/>
        </w:rPr>
      </w:pPr>
      <w:r>
        <w:rPr>
          <w:noProof/>
          <w:lang w:val="en-US"/>
        </w:rPr>
        <w:drawing>
          <wp:inline distT="0" distB="0" distL="0" distR="0" wp14:anchorId="605B39F5" wp14:editId="26CB43F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bookmarkStart w:id="0" w:name="_GoBack"/>
      <w:bookmarkEnd w:id="0"/>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20B2" w:rsidRPr="005E20B2" w14:paraId="5FB26C18" w14:textId="77777777" w:rsidTr="00A12492">
        <w:trPr>
          <w:trHeight w:val="315"/>
        </w:trPr>
        <w:tc>
          <w:tcPr>
            <w:tcW w:w="812" w:type="dxa"/>
            <w:vAlign w:val="center"/>
            <w:hideMark/>
          </w:tcPr>
          <w:p w14:paraId="020C4924"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C5E8D4C"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Ximena Ríos López</w:t>
            </w:r>
          </w:p>
          <w:p w14:paraId="425F5E53"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Gestor T1-11</w:t>
            </w:r>
          </w:p>
        </w:tc>
      </w:tr>
      <w:tr w:rsidR="005E20B2" w:rsidRPr="005E20B2" w14:paraId="02252FE2" w14:textId="77777777" w:rsidTr="00A12492">
        <w:trPr>
          <w:trHeight w:val="330"/>
        </w:trPr>
        <w:tc>
          <w:tcPr>
            <w:tcW w:w="812" w:type="dxa"/>
            <w:vAlign w:val="center"/>
            <w:hideMark/>
          </w:tcPr>
          <w:p w14:paraId="5AE9BBAB"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D17EFD"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Cristian Andrés Díaz Díez</w:t>
            </w:r>
          </w:p>
          <w:p w14:paraId="27019105"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Contratista Subdirección de Gestión Contractual</w:t>
            </w:r>
          </w:p>
        </w:tc>
      </w:tr>
      <w:tr w:rsidR="005E20B2" w:rsidRPr="005E20B2" w14:paraId="6DA34DF9" w14:textId="77777777" w:rsidTr="00A12492">
        <w:trPr>
          <w:trHeight w:val="300"/>
        </w:trPr>
        <w:tc>
          <w:tcPr>
            <w:tcW w:w="812" w:type="dxa"/>
            <w:vAlign w:val="center"/>
            <w:hideMark/>
          </w:tcPr>
          <w:p w14:paraId="67AA9404"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FD5006"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Fabián Gonzalo Marín Cortés</w:t>
            </w:r>
          </w:p>
          <w:p w14:paraId="31F3B63F"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Subdirector de Gestión Contractual</w:t>
            </w:r>
          </w:p>
        </w:tc>
      </w:tr>
      <w:tr w:rsidR="00385E4A" w:rsidRPr="005E20B2" w14:paraId="14149EB8" w14:textId="77777777" w:rsidTr="00A12492">
        <w:trPr>
          <w:trHeight w:val="300"/>
        </w:trPr>
        <w:tc>
          <w:tcPr>
            <w:tcW w:w="812" w:type="dxa"/>
            <w:vAlign w:val="center"/>
            <w:hideMark/>
          </w:tcPr>
          <w:p w14:paraId="2CF3476A"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076E06" w14:textId="77777777" w:rsidR="00385E4A" w:rsidRPr="005E20B2" w:rsidRDefault="00385E4A" w:rsidP="00A12492">
            <w:pPr>
              <w:rPr>
                <w:rFonts w:ascii="Arial" w:eastAsia="Times New Roman" w:hAnsi="Arial" w:cs="Arial"/>
                <w:color w:val="000000" w:themeColor="text1"/>
                <w:sz w:val="16"/>
                <w:szCs w:val="16"/>
                <w:lang w:eastAsia="es-ES"/>
              </w:rPr>
            </w:pPr>
            <w:r w:rsidRPr="005E20B2">
              <w:rPr>
                <w:rFonts w:ascii="Arial" w:eastAsia="Times New Roman" w:hAnsi="Arial" w:cs="Arial"/>
                <w:color w:val="000000" w:themeColor="text1"/>
                <w:sz w:val="16"/>
                <w:szCs w:val="16"/>
                <w:lang w:eastAsia="es-ES"/>
              </w:rPr>
              <w:t>0</w:t>
            </w:r>
          </w:p>
        </w:tc>
      </w:tr>
    </w:tbl>
    <w:p w14:paraId="7619B7B5" w14:textId="77777777" w:rsidR="00385E4A" w:rsidRPr="005E20B2" w:rsidRDefault="00385E4A" w:rsidP="00385E4A">
      <w:pPr>
        <w:jc w:val="both"/>
        <w:rPr>
          <w:rFonts w:ascii="Arial" w:eastAsia="Calibri" w:hAnsi="Arial" w:cs="Arial"/>
          <w:color w:val="000000" w:themeColor="text1"/>
          <w:sz w:val="22"/>
        </w:rPr>
      </w:pPr>
      <w:bookmarkStart w:id="1" w:name="_Hlk29890381"/>
      <w:bookmarkEnd w:id="1"/>
    </w:p>
    <w:p w14:paraId="7EBF297E" w14:textId="77777777" w:rsidR="007B0854" w:rsidRPr="005E20B2" w:rsidRDefault="007B0854" w:rsidP="00385E4A">
      <w:pPr>
        <w:rPr>
          <w:color w:val="000000" w:themeColor="text1"/>
        </w:rPr>
      </w:pPr>
    </w:p>
    <w:sectPr w:rsidR="007B0854" w:rsidRPr="005E20B2"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E5569" w14:textId="77777777" w:rsidR="00D13DAF" w:rsidRDefault="00D13DAF">
      <w:r>
        <w:separator/>
      </w:r>
    </w:p>
  </w:endnote>
  <w:endnote w:type="continuationSeparator" w:id="0">
    <w:p w14:paraId="2A93F6D7" w14:textId="77777777" w:rsidR="00D13DAF" w:rsidRDefault="00D13DAF">
      <w:r>
        <w:continuationSeparator/>
      </w:r>
    </w:p>
  </w:endnote>
  <w:endnote w:type="continuationNotice" w:id="1">
    <w:p w14:paraId="5FDAA8D8" w14:textId="77777777" w:rsidR="00D13DAF" w:rsidRDefault="00D13D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DD30" w14:textId="77777777" w:rsidR="00411C1A" w:rsidRPr="007B2F85" w:rsidRDefault="00411C1A" w:rsidP="007B0854">
    <w:pPr>
      <w:pStyle w:val="Sinespaciado"/>
      <w:jc w:val="center"/>
      <w:rPr>
        <w:rFonts w:ascii="Arial" w:hAnsi="Arial" w:cs="Arial"/>
        <w:sz w:val="20"/>
        <w:szCs w:val="20"/>
      </w:rPr>
    </w:pPr>
  </w:p>
  <w:p w14:paraId="312C4A14" w14:textId="21D19FF7" w:rsidR="00F92043" w:rsidRPr="005A79FE" w:rsidRDefault="00F92043"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D4BDD">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D4BDD">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0E0B8C38" w:rsidR="00F92043" w:rsidRDefault="00F92043"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F92043" w:rsidRPr="007B2F85" w:rsidRDefault="00F92043"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D4580" w14:textId="77777777" w:rsidR="00D13DAF" w:rsidRDefault="00D13DAF">
      <w:r>
        <w:separator/>
      </w:r>
    </w:p>
  </w:footnote>
  <w:footnote w:type="continuationSeparator" w:id="0">
    <w:p w14:paraId="405C633B" w14:textId="77777777" w:rsidR="00D13DAF" w:rsidRDefault="00D13DAF">
      <w:r>
        <w:continuationSeparator/>
      </w:r>
    </w:p>
  </w:footnote>
  <w:footnote w:type="continuationNotice" w:id="1">
    <w:p w14:paraId="46AB4269" w14:textId="77777777" w:rsidR="00D13DAF" w:rsidRDefault="00D13DAF"/>
  </w:footnote>
  <w:footnote w:id="2">
    <w:p w14:paraId="02B90F1B"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10854279"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6353D042"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21695C94"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6211631E" w14:textId="77777777" w:rsidR="00385E4A" w:rsidRPr="005E20B2" w:rsidRDefault="00385E4A" w:rsidP="00385E4A">
      <w:pPr>
        <w:pStyle w:val="Textonotapie"/>
        <w:jc w:val="both"/>
        <w:rPr>
          <w:rFonts w:ascii="Arial" w:hAnsi="Arial" w:cs="Arial"/>
          <w:color w:val="000000" w:themeColor="text1"/>
          <w:sz w:val="19"/>
          <w:szCs w:val="19"/>
          <w:lang w:val="es-ES"/>
        </w:rPr>
      </w:pPr>
    </w:p>
  </w:footnote>
  <w:footnote w:id="3">
    <w:p w14:paraId="50146F6E"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Corte Constitucional.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p w14:paraId="3B03C0A1"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p>
  </w:footnote>
  <w:footnote w:id="4">
    <w:p w14:paraId="1A01A906"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Consejo de Estado. Sala de lo Contencioso Administrativo. Sección Tercera. Sentencia del 11 de noviembre de 2009. Exp. 17.366. C.P. Mauricio Fajardo Gomez.</w:t>
      </w:r>
    </w:p>
  </w:footnote>
  <w:footnote w:id="5">
    <w:p w14:paraId="4CBDF810" w14:textId="77777777" w:rsidR="00385E4A" w:rsidRPr="005E20B2" w:rsidRDefault="00385E4A" w:rsidP="00385E4A">
      <w:pPr>
        <w:pStyle w:val="Textonotapie"/>
        <w:ind w:firstLine="708"/>
        <w:jc w:val="both"/>
        <w:rPr>
          <w:rFonts w:ascii="Arial" w:hAnsi="Arial" w:cs="Arial"/>
          <w:color w:val="000000" w:themeColor="text1"/>
          <w:sz w:val="19"/>
          <w:szCs w:val="19"/>
        </w:rPr>
      </w:pPr>
    </w:p>
    <w:p w14:paraId="2EE25016"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Consejo de Estado. Sala de lo Contencioso Administrativo.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3B272067"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p>
  </w:footnote>
  <w:footnote w:id="6">
    <w:p w14:paraId="6712E309"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Decreto 1082 de 2015: «Artículo 2.2.1.1.2.1.3. Pliegos de condiciones. Los pliegos de condiciones deben contener por lo menos la siguiente información:</w:t>
      </w:r>
    </w:p>
    <w:p w14:paraId="5A9CC562"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 La descripción técnica, detallada y completa del bien o servicio objeto del contrato, identificado con el cuarto nivel del Clasificador de Bienes y Servicios, de ser posible o de lo contrario con el tercer nivel del mismo.</w:t>
      </w:r>
    </w:p>
    <w:p w14:paraId="4B4D16C5"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»2. La modalidad del proceso de selección y su justificación.</w:t>
      </w:r>
    </w:p>
    <w:p w14:paraId="676F590F"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»3. Los criterios de selección, incluyendo los factores de desempate y los incentivos cuando a ello haya lugar.</w:t>
      </w:r>
    </w:p>
    <w:p w14:paraId="35B877F4"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»4. Las condiciones de costo y/o calidad que la Entidad Estatal debe tener en cuenta para la selección objetiva, de acuerdo con la modalidad de selección del contratista.</w:t>
      </w:r>
    </w:p>
    <w:p w14:paraId="00DEADE0"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»5.    Las reglas aplicables a la presentación de las ofertas, su evaluación y a la adjudicación del contrato.</w:t>
      </w:r>
    </w:p>
    <w:p w14:paraId="79C122DE"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»6. Las causas que dan lugar a rechazar una oferta.</w:t>
      </w:r>
    </w:p>
    <w:p w14:paraId="01639D35"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»7. El valor del contrato, el plazo, el cronograma de pagos y la determinación de si debe haber lugar a la entrega de anticipo, y si hubiere, indicar su valor, el cual debe tener en cuenta los rendimientos que este pueda generar.</w:t>
      </w:r>
    </w:p>
    <w:p w14:paraId="6592B153"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»8. Los Riesgos asociados al contrato, la forma de mitigarlos y la asignación del Riesgo entre las partes contratantes.</w:t>
      </w:r>
    </w:p>
    <w:p w14:paraId="47A9AA66"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»9. Las garantías exigidas en el Proceso de Contratación y sus condiciones.</w:t>
      </w:r>
    </w:p>
    <w:p w14:paraId="52FAE9EA"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»10. La mención de si la Entidad Estatal y el contrato objeto de los pliegos de condiciones están cubiertos por un Acuerdo Comercial.</w:t>
      </w:r>
    </w:p>
    <w:p w14:paraId="7EEC8E32"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»11. Los términos, condiciones y minuta del contrato.</w:t>
      </w:r>
    </w:p>
    <w:p w14:paraId="54180C59"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»12. Los términos de la supervisión y/o de la interventoría del contrato.</w:t>
      </w:r>
    </w:p>
    <w:p w14:paraId="399E99A9"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»13. El plazo dentro del cual la Entidad Estatal puede expedir Adendas.</w:t>
      </w:r>
    </w:p>
    <w:p w14:paraId="1479AE61"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»14. El Cronograma».</w:t>
      </w:r>
    </w:p>
    <w:p w14:paraId="1B238BBE" w14:textId="77777777" w:rsidR="00385E4A" w:rsidRPr="005E20B2" w:rsidRDefault="00385E4A" w:rsidP="00385E4A">
      <w:pPr>
        <w:pStyle w:val="Textonotapie"/>
        <w:jc w:val="both"/>
        <w:rPr>
          <w:rFonts w:ascii="Arial" w:hAnsi="Arial" w:cs="Arial"/>
          <w:color w:val="000000" w:themeColor="text1"/>
          <w:sz w:val="19"/>
          <w:szCs w:val="19"/>
        </w:rPr>
      </w:pPr>
    </w:p>
  </w:footnote>
  <w:footnote w:id="7">
    <w:p w14:paraId="3DB4BCF5"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9C1E10A"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DE314E5"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0BA59459" w14:textId="77777777" w:rsidR="00385E4A" w:rsidRPr="005E20B2" w:rsidRDefault="00385E4A" w:rsidP="00385E4A">
      <w:pPr>
        <w:pStyle w:val="Textonotapie"/>
        <w:jc w:val="both"/>
        <w:rPr>
          <w:rFonts w:ascii="Arial" w:hAnsi="Arial" w:cs="Arial"/>
          <w:color w:val="000000" w:themeColor="text1"/>
          <w:sz w:val="19"/>
          <w:szCs w:val="19"/>
          <w:lang w:val="es-ES"/>
        </w:rPr>
      </w:pPr>
    </w:p>
  </w:footnote>
  <w:footnote w:id="8">
    <w:p w14:paraId="6A38D73F"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1A67F94"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p>
  </w:footnote>
  <w:footnote w:id="9">
    <w:p w14:paraId="0B7915A1"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F3F7231"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000C9E31"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7F1D6FD9"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p>
  </w:footnote>
  <w:footnote w:id="10">
    <w:p w14:paraId="2758E4ED"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8531A69"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4728FE78"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AB710A6"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C06559F" w14:textId="77777777" w:rsidR="00385E4A" w:rsidRPr="005E20B2" w:rsidRDefault="00385E4A" w:rsidP="00385E4A">
      <w:pPr>
        <w:pStyle w:val="Textonotapie"/>
        <w:jc w:val="both"/>
        <w:rPr>
          <w:rFonts w:ascii="Arial" w:hAnsi="Arial" w:cs="Arial"/>
          <w:color w:val="000000" w:themeColor="text1"/>
          <w:sz w:val="19"/>
          <w:szCs w:val="19"/>
          <w:lang w:val="es-ES"/>
        </w:rPr>
      </w:pPr>
    </w:p>
  </w:footnote>
  <w:footnote w:id="11">
    <w:p w14:paraId="0A0F79C6"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w:t>
      </w:r>
      <w:r w:rsidRPr="005E20B2">
        <w:rPr>
          <w:rFonts w:ascii="Arial" w:eastAsia="Times New Roman" w:hAnsi="Arial" w:cs="Arial"/>
          <w:color w:val="000000" w:themeColor="text1"/>
          <w:sz w:val="19"/>
          <w:szCs w:val="19"/>
          <w:lang w:val="es-CO"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0EBF5F93" w14:textId="77777777" w:rsidR="00385E4A" w:rsidRPr="005E20B2" w:rsidRDefault="00385E4A" w:rsidP="00385E4A">
      <w:pPr>
        <w:pStyle w:val="Textonotapie"/>
        <w:jc w:val="both"/>
        <w:rPr>
          <w:rFonts w:ascii="Arial" w:hAnsi="Arial" w:cs="Arial"/>
          <w:color w:val="000000" w:themeColor="text1"/>
          <w:sz w:val="19"/>
          <w:szCs w:val="19"/>
          <w:lang w:val="es-ES"/>
        </w:rPr>
      </w:pPr>
    </w:p>
  </w:footnote>
  <w:footnote w:id="12">
    <w:p w14:paraId="5EC2382F"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BF23C3D"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 Si es una persona natural:</w:t>
      </w:r>
    </w:p>
    <w:p w14:paraId="76FDCFD7"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»1.1. Bienes, obras y servicios que ofrecerá a las Entidades Estatales, identificados con el Clasificador de Bienes y Servicios en el tercer nivel.</w:t>
      </w:r>
    </w:p>
    <w:p w14:paraId="021B6997"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0AE6A58"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6E329D6A"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p>
  </w:footnote>
  <w:footnote w:id="13">
    <w:p w14:paraId="26CDEE8F"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4545B1F3"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DC8947E"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32F557C0"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9344083"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349B9A50"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507BB5CB" w14:textId="77777777" w:rsidR="00385E4A" w:rsidRPr="005E20B2" w:rsidRDefault="00385E4A" w:rsidP="00385E4A">
      <w:pPr>
        <w:pStyle w:val="Textonotapie"/>
        <w:jc w:val="both"/>
        <w:rPr>
          <w:rFonts w:ascii="Arial" w:hAnsi="Arial" w:cs="Arial"/>
          <w:color w:val="000000" w:themeColor="text1"/>
          <w:sz w:val="19"/>
          <w:szCs w:val="19"/>
          <w:lang w:val="es-ES"/>
        </w:rPr>
      </w:pPr>
    </w:p>
  </w:footnote>
  <w:footnote w:id="14">
    <w:p w14:paraId="34FA1892"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798D5B1F"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»Las personas jurídicas nacionales y extranjeras deberán acreditar que su duración no será inferior a la del plazo del contrato y un año más».</w:t>
      </w:r>
    </w:p>
    <w:p w14:paraId="3EEDBC68" w14:textId="77777777" w:rsidR="00385E4A" w:rsidRPr="005E20B2" w:rsidRDefault="00385E4A" w:rsidP="00385E4A">
      <w:pPr>
        <w:pStyle w:val="Textonotapie"/>
        <w:jc w:val="both"/>
        <w:rPr>
          <w:rFonts w:ascii="Arial" w:hAnsi="Arial" w:cs="Arial"/>
          <w:color w:val="000000" w:themeColor="text1"/>
          <w:sz w:val="19"/>
          <w:szCs w:val="19"/>
          <w:lang w:val="es-CO"/>
        </w:rPr>
      </w:pPr>
      <w:r w:rsidRPr="005E20B2">
        <w:rPr>
          <w:rFonts w:ascii="Arial" w:hAnsi="Arial" w:cs="Arial"/>
          <w:color w:val="000000" w:themeColor="text1"/>
          <w:sz w:val="19"/>
          <w:szCs w:val="19"/>
        </w:rPr>
        <w:t xml:space="preserve"> </w:t>
      </w:r>
    </w:p>
  </w:footnote>
  <w:footnote w:id="15">
    <w:p w14:paraId="4161BD45"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Ley 80 de 1993: «Artículo 7. De los consorcios y uniones temporales. Para los efectos de esta ley se entiende por:</w:t>
      </w:r>
    </w:p>
    <w:p w14:paraId="5DA6D196"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 xml:space="preserve">»1. Consorcio: </w:t>
      </w:r>
    </w:p>
    <w:p w14:paraId="63C3594E"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846022A"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»2. Unión Temporal:</w:t>
      </w:r>
    </w:p>
    <w:p w14:paraId="10CDF6A1"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487B2B25"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w:t>
      </w:r>
    </w:p>
    <w:p w14:paraId="38330E2C" w14:textId="77777777" w:rsidR="00385E4A" w:rsidRPr="005E20B2" w:rsidRDefault="00385E4A" w:rsidP="00385E4A">
      <w:pPr>
        <w:pStyle w:val="Textonotapie"/>
        <w:jc w:val="both"/>
        <w:rPr>
          <w:rFonts w:ascii="Arial" w:hAnsi="Arial" w:cs="Arial"/>
          <w:color w:val="000000" w:themeColor="text1"/>
          <w:sz w:val="19"/>
          <w:szCs w:val="19"/>
        </w:rPr>
      </w:pPr>
    </w:p>
  </w:footnote>
  <w:footnote w:id="16">
    <w:p w14:paraId="19B37EC2"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vertAlign w:val="superscript"/>
        </w:rPr>
        <w:footnoteRef/>
      </w:r>
      <w:r w:rsidRPr="005E20B2">
        <w:rPr>
          <w:rFonts w:ascii="Arial" w:hAnsi="Arial" w:cs="Arial"/>
          <w:color w:val="000000" w:themeColor="text1"/>
          <w:sz w:val="19"/>
          <w:szCs w:val="19"/>
        </w:rPr>
        <w:t xml:space="preserve"> Corte Constitucional. Sentencia C-414 del 22 de septiembre de 1996. M.P.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14:paraId="1612AAFA" w14:textId="77777777" w:rsidR="00385E4A" w:rsidRPr="005E20B2" w:rsidRDefault="00385E4A" w:rsidP="00385E4A">
      <w:pPr>
        <w:pStyle w:val="Textonotapie"/>
        <w:ind w:firstLine="708"/>
        <w:jc w:val="both"/>
        <w:rPr>
          <w:rFonts w:ascii="Arial" w:hAnsi="Arial" w:cs="Arial"/>
          <w:color w:val="000000" w:themeColor="text1"/>
          <w:sz w:val="19"/>
          <w:szCs w:val="19"/>
        </w:rPr>
      </w:pPr>
      <w:r w:rsidRPr="005E20B2">
        <w:rPr>
          <w:rFonts w:ascii="Arial" w:hAnsi="Arial" w:cs="Arial"/>
          <w:color w:val="000000" w:themeColor="text1"/>
          <w:sz w:val="19"/>
          <w:szCs w:val="19"/>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p>
    <w:p w14:paraId="6535EBC5" w14:textId="77777777" w:rsidR="00385E4A" w:rsidRPr="005E20B2" w:rsidRDefault="00385E4A" w:rsidP="00385E4A">
      <w:pPr>
        <w:pStyle w:val="Textonotapie"/>
        <w:jc w:val="both"/>
        <w:rPr>
          <w:rFonts w:ascii="Arial" w:hAnsi="Arial" w:cs="Arial"/>
          <w:color w:val="000000" w:themeColor="text1"/>
          <w:sz w:val="19"/>
          <w:szCs w:val="19"/>
          <w:lang w:val="es-ES"/>
        </w:rPr>
      </w:pPr>
    </w:p>
  </w:footnote>
  <w:footnote w:id="17">
    <w:p w14:paraId="60A2D22F" w14:textId="77777777" w:rsidR="00385E4A" w:rsidRPr="005E20B2" w:rsidRDefault="00385E4A" w:rsidP="00385E4A">
      <w:pPr>
        <w:pStyle w:val="Textonotapie"/>
        <w:ind w:firstLine="709"/>
        <w:jc w:val="both"/>
        <w:rPr>
          <w:rFonts w:ascii="Arial" w:hAnsi="Arial" w:cs="Arial"/>
          <w:color w:val="000000" w:themeColor="text1"/>
          <w:sz w:val="19"/>
          <w:szCs w:val="19"/>
          <w:lang w:val="es-ES"/>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w:t>
      </w:r>
      <w:r w:rsidRPr="005E20B2">
        <w:rPr>
          <w:rFonts w:ascii="Arial" w:hAnsi="Arial" w:cs="Arial"/>
          <w:color w:val="000000" w:themeColor="text1"/>
          <w:sz w:val="19"/>
          <w:szCs w:val="19"/>
          <w:lang w:val="es-ES"/>
        </w:rPr>
        <w:t xml:space="preserve">Principio que se compone a su vez de «tres subprincipios, etapas o mandatos parciales: el </w:t>
      </w:r>
      <w:r w:rsidRPr="005E20B2">
        <w:rPr>
          <w:rFonts w:ascii="Arial" w:hAnsi="Arial" w:cs="Arial"/>
          <w:i/>
          <w:iCs/>
          <w:color w:val="000000" w:themeColor="text1"/>
          <w:sz w:val="19"/>
          <w:szCs w:val="19"/>
          <w:lang w:val="es-ES"/>
        </w:rPr>
        <w:t>subprincipio o mandato de adecuación, de idoneidad o de congruencia</w:t>
      </w:r>
      <w:r w:rsidRPr="005E20B2">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5E20B2">
        <w:rPr>
          <w:rFonts w:ascii="Arial" w:hAnsi="Arial" w:cs="Arial"/>
          <w:i/>
          <w:iCs/>
          <w:color w:val="000000" w:themeColor="text1"/>
          <w:sz w:val="19"/>
          <w:szCs w:val="19"/>
          <w:lang w:val="es-ES"/>
        </w:rPr>
        <w:t>subprincipio o mandato de necesidad, intervención mínima o menor lesividad</w:t>
      </w:r>
      <w:r w:rsidRPr="005E20B2">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5E20B2">
        <w:rPr>
          <w:rFonts w:ascii="Arial" w:hAnsi="Arial" w:cs="Arial"/>
          <w:i/>
          <w:iCs/>
          <w:color w:val="000000" w:themeColor="text1"/>
          <w:sz w:val="19"/>
          <w:szCs w:val="19"/>
          <w:lang w:val="es-ES"/>
        </w:rPr>
        <w:t>el subprincipio o mandato de proporcionalidad en sentido estricto</w:t>
      </w:r>
      <w:r w:rsidRPr="005E20B2">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61664B4F" w14:textId="77777777" w:rsidR="00385E4A" w:rsidRPr="005E20B2" w:rsidRDefault="00385E4A" w:rsidP="00385E4A">
      <w:pPr>
        <w:pStyle w:val="Textonotapie"/>
        <w:ind w:firstLine="709"/>
        <w:jc w:val="both"/>
        <w:rPr>
          <w:rFonts w:ascii="Arial" w:hAnsi="Arial" w:cs="Arial"/>
          <w:color w:val="000000" w:themeColor="text1"/>
          <w:sz w:val="19"/>
          <w:szCs w:val="19"/>
          <w:lang w:val="es-ES"/>
        </w:rPr>
      </w:pPr>
    </w:p>
  </w:footnote>
  <w:footnote w:id="18">
    <w:p w14:paraId="2C6407AB" w14:textId="77777777" w:rsidR="00385E4A" w:rsidRPr="005E20B2" w:rsidRDefault="00385E4A" w:rsidP="00385E4A">
      <w:pPr>
        <w:pStyle w:val="Textonotapie"/>
        <w:ind w:firstLine="708"/>
        <w:jc w:val="both"/>
        <w:rPr>
          <w:rFonts w:ascii="Arial" w:eastAsia="Times New Roman" w:hAnsi="Arial" w:cs="Arial"/>
          <w:color w:val="000000" w:themeColor="text1"/>
          <w:sz w:val="19"/>
          <w:szCs w:val="19"/>
          <w:lang w:val="es-CO" w:eastAsia="es-CO"/>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w:t>
      </w:r>
      <w:r w:rsidRPr="005E20B2">
        <w:rPr>
          <w:rFonts w:ascii="Arial" w:eastAsia="Times New Roman" w:hAnsi="Arial" w:cs="Arial"/>
          <w:color w:val="000000" w:themeColor="text1"/>
          <w:sz w:val="19"/>
          <w:szCs w:val="19"/>
          <w:lang w:val="es-CO" w:eastAsia="es-CO"/>
        </w:rPr>
        <w:t>Consejo de Estado. Sala de lo Contencioso Administrativo. Sección Tercera. Sentencia del 26 de abril de 2006. Exp. 15.188. C.P. Maria Elena Giraldo Gomez: «[...] la libre concurrencia como principio no absoluto, garante de la participación de todas las personas, quienes a más de interesadas deben acreditar la habilitación que para tal efecto determine la entidad contratante que propende exclusivamente por encontrar el proponente idóneo. Interesante resulta el planteamiento doctrinario de excepción al principio general de concurrencia, que deriva de la necesidad de asegurar la capacidad y la idoneidad del contratista, las calidades técnicas, económicas, financieras y profesionales del contratista en aras de garantizar el cumplimiento del objeto contractual: “es legítimo que atendiendo las características propias del objeto del contrato, la entidad pública circunscriba la participación a una determinada categoría de contratistas... esta restricción será válida siempre y cuando, sea razonable y adecuada al objeto del contrato. Lo que es censurable, es que se limite la participación de los proponentes con la exigencia de calidades profesionales que resulten inocuas para el cumplimiento de las prestaciones a cargo del contratista, lo que genera la nulidad del procedimiento licitatorio».</w:t>
      </w:r>
    </w:p>
    <w:p w14:paraId="1486E92A"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p>
  </w:footnote>
  <w:footnote w:id="19">
    <w:p w14:paraId="16ABB306" w14:textId="77777777" w:rsidR="00385E4A" w:rsidRPr="005E20B2" w:rsidRDefault="00385E4A" w:rsidP="00385E4A">
      <w:pPr>
        <w:pStyle w:val="Textonotapie"/>
        <w:ind w:firstLine="708"/>
        <w:jc w:val="both"/>
        <w:rPr>
          <w:rFonts w:ascii="Arial" w:hAnsi="Arial" w:cs="Arial"/>
          <w:color w:val="000000" w:themeColor="text1"/>
          <w:sz w:val="19"/>
          <w:szCs w:val="19"/>
          <w:lang w:val="es-ES"/>
        </w:rPr>
      </w:pPr>
      <w:r w:rsidRPr="005E20B2">
        <w:rPr>
          <w:rStyle w:val="Refdenotaalpie"/>
          <w:rFonts w:ascii="Arial" w:hAnsi="Arial" w:cs="Arial"/>
          <w:color w:val="000000" w:themeColor="text1"/>
          <w:sz w:val="19"/>
          <w:szCs w:val="19"/>
        </w:rPr>
        <w:footnoteRef/>
      </w:r>
      <w:r w:rsidRPr="005E20B2">
        <w:rPr>
          <w:rFonts w:ascii="Arial" w:hAnsi="Arial" w:cs="Arial"/>
          <w:color w:val="000000" w:themeColor="text1"/>
          <w:sz w:val="19"/>
          <w:szCs w:val="19"/>
        </w:rPr>
        <w:t xml:space="preserve"> </w:t>
      </w:r>
      <w:r w:rsidRPr="005E20B2">
        <w:rPr>
          <w:rFonts w:ascii="Arial" w:eastAsia="Times New Roman" w:hAnsi="Arial" w:cs="Arial"/>
          <w:color w:val="000000" w:themeColor="text1"/>
          <w:sz w:val="19"/>
          <w:szCs w:val="19"/>
          <w:lang w:val="es-CO" w:eastAsia="es-CO"/>
        </w:rPr>
        <w:t xml:space="preserve">Ibidem.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F92043" w:rsidRDefault="00F92043">
    <w:pPr>
      <w:pStyle w:val="Encabezado"/>
    </w:pPr>
  </w:p>
  <w:p w14:paraId="6A4C7F2C" w14:textId="7D093DBB" w:rsidR="00F92043" w:rsidRDefault="00F92043">
    <w:pPr>
      <w:pStyle w:val="Encabezado"/>
    </w:pPr>
  </w:p>
  <w:p w14:paraId="055F2E1F" w14:textId="0B935ADD" w:rsidR="00F92043" w:rsidRDefault="00F92043">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F92043" w:rsidRDefault="00F92043">
    <w:pPr>
      <w:pStyle w:val="Encabezado"/>
    </w:pPr>
  </w:p>
  <w:p w14:paraId="3D323BDB" w14:textId="04AF0DE6" w:rsidR="00F92043" w:rsidRDefault="00F92043">
    <w:pPr>
      <w:pStyle w:val="Encabezado"/>
    </w:pPr>
  </w:p>
  <w:p w14:paraId="6520770B" w14:textId="18EB07B5" w:rsidR="00F92043" w:rsidRDefault="00F9204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83A4309"/>
    <w:multiLevelType w:val="hybridMultilevel"/>
    <w:tmpl w:val="8812AAEC"/>
    <w:lvl w:ilvl="0" w:tplc="8EB65134">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403C1"/>
    <w:rsid w:val="000736E3"/>
    <w:rsid w:val="00085BFA"/>
    <w:rsid w:val="00090137"/>
    <w:rsid w:val="00090C7C"/>
    <w:rsid w:val="000942EB"/>
    <w:rsid w:val="000B103F"/>
    <w:rsid w:val="000C056B"/>
    <w:rsid w:val="000D12CB"/>
    <w:rsid w:val="000D5463"/>
    <w:rsid w:val="000F14E8"/>
    <w:rsid w:val="00101590"/>
    <w:rsid w:val="00103915"/>
    <w:rsid w:val="00105785"/>
    <w:rsid w:val="00110EDA"/>
    <w:rsid w:val="00122B23"/>
    <w:rsid w:val="00137FFA"/>
    <w:rsid w:val="00145391"/>
    <w:rsid w:val="001769D0"/>
    <w:rsid w:val="00186C30"/>
    <w:rsid w:val="00195068"/>
    <w:rsid w:val="001A0EFF"/>
    <w:rsid w:val="001E1548"/>
    <w:rsid w:val="001F3450"/>
    <w:rsid w:val="00215864"/>
    <w:rsid w:val="00234B84"/>
    <w:rsid w:val="00270749"/>
    <w:rsid w:val="00271E58"/>
    <w:rsid w:val="00276FAC"/>
    <w:rsid w:val="002B2B68"/>
    <w:rsid w:val="002C1716"/>
    <w:rsid w:val="002E64FC"/>
    <w:rsid w:val="002F31DD"/>
    <w:rsid w:val="003033BA"/>
    <w:rsid w:val="00324841"/>
    <w:rsid w:val="00346461"/>
    <w:rsid w:val="0034680A"/>
    <w:rsid w:val="00385E4A"/>
    <w:rsid w:val="00386456"/>
    <w:rsid w:val="003A581E"/>
    <w:rsid w:val="003B2DB7"/>
    <w:rsid w:val="003C1448"/>
    <w:rsid w:val="003C605B"/>
    <w:rsid w:val="003F3791"/>
    <w:rsid w:val="003F3B09"/>
    <w:rsid w:val="00400D85"/>
    <w:rsid w:val="00411C1A"/>
    <w:rsid w:val="004422D6"/>
    <w:rsid w:val="00470AAC"/>
    <w:rsid w:val="004A34D2"/>
    <w:rsid w:val="004F47F9"/>
    <w:rsid w:val="0051074C"/>
    <w:rsid w:val="00513345"/>
    <w:rsid w:val="00513AF2"/>
    <w:rsid w:val="0054413A"/>
    <w:rsid w:val="005564CA"/>
    <w:rsid w:val="005964FB"/>
    <w:rsid w:val="005A066D"/>
    <w:rsid w:val="005A79FE"/>
    <w:rsid w:val="005E20B2"/>
    <w:rsid w:val="005F21C3"/>
    <w:rsid w:val="005F7498"/>
    <w:rsid w:val="00602336"/>
    <w:rsid w:val="00655371"/>
    <w:rsid w:val="00697665"/>
    <w:rsid w:val="00697678"/>
    <w:rsid w:val="0069788F"/>
    <w:rsid w:val="006A1A50"/>
    <w:rsid w:val="006A3A82"/>
    <w:rsid w:val="006A7FD0"/>
    <w:rsid w:val="006D7687"/>
    <w:rsid w:val="006E0572"/>
    <w:rsid w:val="00700FFF"/>
    <w:rsid w:val="00701021"/>
    <w:rsid w:val="00705631"/>
    <w:rsid w:val="0073580F"/>
    <w:rsid w:val="00742DD2"/>
    <w:rsid w:val="0075647A"/>
    <w:rsid w:val="007634AD"/>
    <w:rsid w:val="0078122E"/>
    <w:rsid w:val="00782714"/>
    <w:rsid w:val="007A0383"/>
    <w:rsid w:val="007B0854"/>
    <w:rsid w:val="007B2F85"/>
    <w:rsid w:val="007D05C1"/>
    <w:rsid w:val="007F591F"/>
    <w:rsid w:val="007F72CB"/>
    <w:rsid w:val="008003E4"/>
    <w:rsid w:val="0083119B"/>
    <w:rsid w:val="00836EAB"/>
    <w:rsid w:val="0085092D"/>
    <w:rsid w:val="00852A62"/>
    <w:rsid w:val="00885E93"/>
    <w:rsid w:val="0089174A"/>
    <w:rsid w:val="008E1C15"/>
    <w:rsid w:val="0090402F"/>
    <w:rsid w:val="009047C5"/>
    <w:rsid w:val="00910F53"/>
    <w:rsid w:val="0095385A"/>
    <w:rsid w:val="009A0FE1"/>
    <w:rsid w:val="009D40D1"/>
    <w:rsid w:val="009D4BDD"/>
    <w:rsid w:val="009D7D8E"/>
    <w:rsid w:val="00A14C86"/>
    <w:rsid w:val="00A24560"/>
    <w:rsid w:val="00A33D8B"/>
    <w:rsid w:val="00A33EB9"/>
    <w:rsid w:val="00A34538"/>
    <w:rsid w:val="00A44E57"/>
    <w:rsid w:val="00A83FB6"/>
    <w:rsid w:val="00AA442B"/>
    <w:rsid w:val="00AF6230"/>
    <w:rsid w:val="00B04F43"/>
    <w:rsid w:val="00B22E22"/>
    <w:rsid w:val="00B245E7"/>
    <w:rsid w:val="00B33FC9"/>
    <w:rsid w:val="00B525CB"/>
    <w:rsid w:val="00B63CB2"/>
    <w:rsid w:val="00B87CD9"/>
    <w:rsid w:val="00BC19BB"/>
    <w:rsid w:val="00BD78FE"/>
    <w:rsid w:val="00BE0664"/>
    <w:rsid w:val="00BE76F0"/>
    <w:rsid w:val="00C324DA"/>
    <w:rsid w:val="00C339BE"/>
    <w:rsid w:val="00C62913"/>
    <w:rsid w:val="00C740B0"/>
    <w:rsid w:val="00CA287E"/>
    <w:rsid w:val="00CA2A48"/>
    <w:rsid w:val="00CB34BB"/>
    <w:rsid w:val="00CC00CD"/>
    <w:rsid w:val="00CD68F4"/>
    <w:rsid w:val="00CD6DC8"/>
    <w:rsid w:val="00CE5F7E"/>
    <w:rsid w:val="00CF58F9"/>
    <w:rsid w:val="00D05C2F"/>
    <w:rsid w:val="00D13DAF"/>
    <w:rsid w:val="00D16E39"/>
    <w:rsid w:val="00D504D0"/>
    <w:rsid w:val="00D72E9D"/>
    <w:rsid w:val="00D816B5"/>
    <w:rsid w:val="00D82CE5"/>
    <w:rsid w:val="00DA5AB1"/>
    <w:rsid w:val="00DC62E5"/>
    <w:rsid w:val="00DD526B"/>
    <w:rsid w:val="00DD735D"/>
    <w:rsid w:val="00DE0735"/>
    <w:rsid w:val="00DE3119"/>
    <w:rsid w:val="00DF236B"/>
    <w:rsid w:val="00DF5778"/>
    <w:rsid w:val="00E01436"/>
    <w:rsid w:val="00E13AB8"/>
    <w:rsid w:val="00E22B7E"/>
    <w:rsid w:val="00E2356A"/>
    <w:rsid w:val="00E33B62"/>
    <w:rsid w:val="00E44EF1"/>
    <w:rsid w:val="00E45C68"/>
    <w:rsid w:val="00E63558"/>
    <w:rsid w:val="00EA040A"/>
    <w:rsid w:val="00EB04E8"/>
    <w:rsid w:val="00EF7D27"/>
    <w:rsid w:val="00F055C8"/>
    <w:rsid w:val="00F1544E"/>
    <w:rsid w:val="00F84899"/>
    <w:rsid w:val="00F859F0"/>
    <w:rsid w:val="00F90583"/>
    <w:rsid w:val="00F92043"/>
    <w:rsid w:val="00F97BCF"/>
    <w:rsid w:val="00FA0B97"/>
    <w:rsid w:val="00FE0DD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paragraph" w:customStyle="1" w:styleId="Default">
    <w:name w:val="Default"/>
    <w:rsid w:val="00FA0B9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86414AD-47C2-4910-864A-F347DB528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E8B8C8-96B7-4C77-97CD-F5C347B1F0A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A94F4488-3A06-4408-B6D0-D000B713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17</TotalTime>
  <Pages>15</Pages>
  <Words>4399</Words>
  <Characters>25075</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10</cp:revision>
  <dcterms:created xsi:type="dcterms:W3CDTF">2020-04-06T07:30:00Z</dcterms:created>
  <dcterms:modified xsi:type="dcterms:W3CDTF">2020-07-13T19:34:00Z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