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53F82DA8" w14:textId="77777777" w:rsidR="00CE6BFB" w:rsidRPr="002E7A97" w:rsidRDefault="00CE6BFB" w:rsidP="00CE6BFB">
      <w:pPr>
        <w:tabs>
          <w:tab w:val="left" w:pos="426"/>
        </w:tabs>
        <w:contextualSpacing/>
        <w:jc w:val="both"/>
        <w:rPr>
          <w:rFonts w:ascii="Arial" w:eastAsia="Calibri" w:hAnsi="Arial" w:cs="Arial"/>
          <w:b/>
          <w:bCs/>
          <w:lang w:val="es-MX"/>
        </w:rPr>
      </w:pPr>
      <w:bookmarkStart w:id="0" w:name="_Hlk77152637"/>
      <w:bookmarkStart w:id="1" w:name="_Hlk77157066"/>
      <w:bookmarkStart w:id="2" w:name="_Hlk78821436"/>
      <w:r w:rsidRPr="002E7A97">
        <w:rPr>
          <w:rFonts w:ascii="Arial" w:eastAsia="Calibri" w:hAnsi="Arial" w:cs="Arial"/>
          <w:b/>
          <w:bCs/>
          <w:lang w:val="es-MX"/>
        </w:rPr>
        <w:t>LEY DE GARANTÍAS ELECTORALES ‒ Finalidad</w:t>
      </w:r>
    </w:p>
    <w:p w14:paraId="72FC6C3B" w14:textId="77777777" w:rsidR="00CE6BFB" w:rsidRPr="006C314F" w:rsidRDefault="00CE6BFB" w:rsidP="00CE6BFB">
      <w:pPr>
        <w:tabs>
          <w:tab w:val="left" w:pos="426"/>
        </w:tabs>
        <w:contextualSpacing/>
        <w:jc w:val="both"/>
        <w:rPr>
          <w:rFonts w:ascii="Arial" w:eastAsia="Calibri" w:hAnsi="Arial" w:cs="Arial"/>
          <w:b/>
          <w:bCs/>
          <w:sz w:val="20"/>
          <w:szCs w:val="20"/>
          <w:lang w:val="es-MX"/>
        </w:rPr>
      </w:pPr>
    </w:p>
    <w:p w14:paraId="58D10A58" w14:textId="5893ED4A" w:rsidR="00CE6BFB" w:rsidRPr="006C314F" w:rsidRDefault="00CE6BFB" w:rsidP="00CE6BFB">
      <w:pPr>
        <w:tabs>
          <w:tab w:val="left" w:pos="426"/>
        </w:tabs>
        <w:contextualSpacing/>
        <w:jc w:val="both"/>
        <w:rPr>
          <w:rFonts w:ascii="Arial" w:eastAsia="Calibri" w:hAnsi="Arial" w:cs="Arial"/>
          <w:b/>
          <w:bCs/>
          <w:sz w:val="20"/>
          <w:szCs w:val="20"/>
          <w:lang w:val="es-MX"/>
        </w:rPr>
      </w:pPr>
      <w:r w:rsidRPr="006C314F">
        <w:rPr>
          <w:rFonts w:ascii="Arial" w:eastAsia="Calibri" w:hAnsi="Arial" w:cs="Arial"/>
          <w:noProof/>
          <w:sz w:val="20"/>
          <w:szCs w:val="20"/>
          <w:lang w:val="es-ES_tradnl"/>
        </w:rPr>
        <w:t xml:space="preserve">[…] la Ley 996 de 2005, conocida como </w:t>
      </w:r>
      <w:r w:rsidR="00CA38C0">
        <w:rPr>
          <w:rFonts w:ascii="Arial" w:eastAsia="Calibri" w:hAnsi="Arial" w:cs="Arial"/>
          <w:noProof/>
          <w:sz w:val="20"/>
          <w:szCs w:val="20"/>
          <w:lang w:val="es-ES_tradnl"/>
        </w:rPr>
        <w:t>“</w:t>
      </w:r>
      <w:r w:rsidRPr="006C314F">
        <w:rPr>
          <w:rFonts w:ascii="Arial" w:eastAsia="Calibri" w:hAnsi="Arial" w:cs="Arial"/>
          <w:noProof/>
          <w:sz w:val="20"/>
          <w:szCs w:val="20"/>
          <w:lang w:val="es-ES_tradnl"/>
        </w:rPr>
        <w:t>Ley de Garantías Electorales</w:t>
      </w:r>
      <w:r w:rsidR="00CA38C0">
        <w:rPr>
          <w:rFonts w:ascii="Arial" w:eastAsia="Calibri" w:hAnsi="Arial" w:cs="Arial"/>
          <w:noProof/>
          <w:sz w:val="20"/>
          <w:szCs w:val="20"/>
          <w:lang w:val="es-ES_tradnl"/>
        </w:rPr>
        <w:t>”</w:t>
      </w:r>
      <w:r w:rsidRPr="006C314F">
        <w:rPr>
          <w:rFonts w:ascii="Arial" w:eastAsia="Calibri" w:hAnsi="Arial" w:cs="Arial"/>
          <w:noProof/>
          <w:sz w:val="20"/>
          <w:szCs w:val="20"/>
          <w:lang w:val="es-ES_tradnl"/>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6C314F">
        <w:rPr>
          <w:rFonts w:ascii="Arial" w:hAnsi="Arial" w:cs="Arial"/>
          <w:bCs/>
          <w:sz w:val="20"/>
          <w:szCs w:val="20"/>
          <w:lang w:val="es-MX" w:eastAsia="es-CO"/>
        </w:rPr>
        <w:t>.</w:t>
      </w:r>
    </w:p>
    <w:p w14:paraId="6686B5FF" w14:textId="77777777" w:rsidR="00CE6BFB" w:rsidRPr="006C314F" w:rsidRDefault="00CE6BFB" w:rsidP="00CE6BFB">
      <w:pPr>
        <w:tabs>
          <w:tab w:val="left" w:pos="426"/>
        </w:tabs>
        <w:contextualSpacing/>
        <w:jc w:val="both"/>
        <w:rPr>
          <w:rFonts w:ascii="Arial" w:eastAsia="Calibri" w:hAnsi="Arial" w:cs="Arial"/>
          <w:b/>
          <w:bCs/>
          <w:sz w:val="20"/>
          <w:szCs w:val="20"/>
          <w:lang w:val="es-MX"/>
        </w:rPr>
      </w:pPr>
    </w:p>
    <w:p w14:paraId="5900E448" w14:textId="77777777" w:rsidR="00CE6BFB" w:rsidRPr="002E7A97" w:rsidRDefault="00CE6BFB" w:rsidP="00CE6BFB">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LEY DE GARANTÍAS ELECTORALES ‒</w:t>
      </w:r>
      <w:bookmarkEnd w:id="0"/>
      <w:r w:rsidRPr="002E7A97">
        <w:rPr>
          <w:rFonts w:ascii="Arial" w:eastAsia="Calibri" w:hAnsi="Arial" w:cs="Arial"/>
          <w:b/>
          <w:bCs/>
          <w:lang w:val="es-MX"/>
        </w:rPr>
        <w:t xml:space="preserve"> Tipos de restricciones </w:t>
      </w:r>
      <w:bookmarkStart w:id="3" w:name="_Hlk77157034"/>
      <w:r w:rsidRPr="002E7A97">
        <w:rPr>
          <w:rFonts w:ascii="Arial" w:eastAsia="Calibri" w:hAnsi="Arial" w:cs="Arial"/>
          <w:b/>
          <w:bCs/>
          <w:lang w:val="es-MX"/>
        </w:rPr>
        <w:t xml:space="preserve">‒ </w:t>
      </w:r>
      <w:bookmarkStart w:id="4" w:name="_Hlk77153098"/>
      <w:bookmarkEnd w:id="3"/>
      <w:r w:rsidRPr="002E7A97">
        <w:rPr>
          <w:rFonts w:ascii="Arial" w:eastAsia="Calibri" w:hAnsi="Arial" w:cs="Arial"/>
          <w:b/>
          <w:bCs/>
          <w:lang w:val="es-MX"/>
        </w:rPr>
        <w:t xml:space="preserve">Ámbito temporal </w:t>
      </w:r>
      <w:bookmarkEnd w:id="4"/>
    </w:p>
    <w:p w14:paraId="12428689" w14:textId="77777777" w:rsidR="00CE6BFB" w:rsidRPr="006C314F" w:rsidRDefault="00CE6BFB" w:rsidP="00CE6BFB">
      <w:pPr>
        <w:tabs>
          <w:tab w:val="left" w:pos="426"/>
        </w:tabs>
        <w:contextualSpacing/>
        <w:jc w:val="both"/>
        <w:rPr>
          <w:rFonts w:ascii="Arial" w:eastAsia="Calibri" w:hAnsi="Arial" w:cs="Arial"/>
          <w:b/>
          <w:bCs/>
          <w:sz w:val="20"/>
          <w:szCs w:val="20"/>
          <w:lang w:val="es-MX"/>
        </w:rPr>
      </w:pPr>
    </w:p>
    <w:bookmarkEnd w:id="1"/>
    <w:p w14:paraId="1D2FEA39" w14:textId="77777777" w:rsidR="00CE6BFB" w:rsidRPr="006C314F" w:rsidRDefault="00CE6BFB" w:rsidP="00CE6BFB">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23945E0" w14:textId="77777777" w:rsidR="00CE6BFB" w:rsidRPr="006C314F" w:rsidRDefault="00CE6BFB" w:rsidP="00CE6BFB">
      <w:pPr>
        <w:tabs>
          <w:tab w:val="left" w:pos="426"/>
        </w:tabs>
        <w:contextualSpacing/>
        <w:jc w:val="both"/>
        <w:rPr>
          <w:rFonts w:ascii="Arial" w:eastAsia="Calibri" w:hAnsi="Arial" w:cs="Arial"/>
          <w:noProof/>
          <w:sz w:val="20"/>
          <w:szCs w:val="20"/>
          <w:lang w:val="es-ES_tradnl"/>
        </w:rPr>
      </w:pPr>
    </w:p>
    <w:p w14:paraId="7A3A92EA" w14:textId="77777777" w:rsidR="00CE6BFB" w:rsidRPr="002E7A97" w:rsidRDefault="00CE6BFB" w:rsidP="00CE6BFB">
      <w:pPr>
        <w:tabs>
          <w:tab w:val="left" w:pos="426"/>
        </w:tabs>
        <w:contextualSpacing/>
        <w:jc w:val="both"/>
        <w:rPr>
          <w:rFonts w:ascii="Arial" w:eastAsia="Calibri" w:hAnsi="Arial" w:cs="Arial"/>
          <w:b/>
          <w:bCs/>
          <w:lang w:val="es-MX"/>
        </w:rPr>
      </w:pPr>
      <w:bookmarkStart w:id="5" w:name="_Hlk77165666"/>
      <w:r w:rsidRPr="002E7A97">
        <w:rPr>
          <w:rFonts w:ascii="Arial" w:eastAsia="Calibri" w:hAnsi="Arial" w:cs="Arial"/>
          <w:b/>
          <w:bCs/>
          <w:lang w:val="es-MX"/>
        </w:rPr>
        <w:t xml:space="preserve">LEY DE GARANTÍAS ELECTORALES ─ Prohibición ‒ </w:t>
      </w:r>
      <w:bookmarkEnd w:id="5"/>
      <w:r w:rsidRPr="002E7A97">
        <w:rPr>
          <w:rFonts w:ascii="Arial" w:eastAsia="Calibri" w:hAnsi="Arial" w:cs="Arial"/>
          <w:b/>
          <w:bCs/>
          <w:lang w:val="es-MX"/>
        </w:rPr>
        <w:t>Contratación directa ‒ Alcance</w:t>
      </w:r>
    </w:p>
    <w:p w14:paraId="34231478" w14:textId="77777777" w:rsidR="00CE6BFB" w:rsidRPr="006C314F" w:rsidRDefault="00CE6BFB" w:rsidP="00CE6BFB">
      <w:pPr>
        <w:tabs>
          <w:tab w:val="left" w:pos="426"/>
        </w:tabs>
        <w:contextualSpacing/>
        <w:jc w:val="both"/>
        <w:rPr>
          <w:rFonts w:ascii="Arial" w:eastAsia="Calibri" w:hAnsi="Arial" w:cs="Arial"/>
          <w:noProof/>
          <w:sz w:val="20"/>
          <w:szCs w:val="20"/>
          <w:lang w:val="es-MX"/>
        </w:rPr>
      </w:pPr>
    </w:p>
    <w:p w14:paraId="40D50401" w14:textId="5BEA3097" w:rsidR="00CE6BFB" w:rsidRPr="006C314F" w:rsidRDefault="00CE6BFB" w:rsidP="00CE6BFB">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xml:space="preserve">[…] ha de entenderse que, para los efectos de la Ley de Garantías Electorales y, en particular, para la prohibición o restricción temporal contenida en su artículo 33, </w:t>
      </w:r>
      <w:r w:rsidR="00CA38C0">
        <w:rPr>
          <w:rFonts w:ascii="Arial" w:eastAsia="Calibri" w:hAnsi="Arial" w:cs="Arial"/>
          <w:noProof/>
          <w:sz w:val="20"/>
          <w:szCs w:val="20"/>
          <w:lang w:val="es-ES_tradnl"/>
        </w:rPr>
        <w:t>“</w:t>
      </w:r>
      <w:r w:rsidRPr="006C314F">
        <w:rPr>
          <w:rFonts w:ascii="Arial" w:eastAsia="Calibri" w:hAnsi="Arial" w:cs="Arial"/>
          <w:noProof/>
          <w:sz w:val="20"/>
          <w:szCs w:val="20"/>
          <w:lang w:val="es-ES_tradnl"/>
        </w:rPr>
        <w:t>contratación directa</w:t>
      </w:r>
      <w:r w:rsidR="00CA38C0">
        <w:rPr>
          <w:rFonts w:ascii="Arial" w:eastAsia="Calibri" w:hAnsi="Arial" w:cs="Arial"/>
          <w:noProof/>
          <w:sz w:val="20"/>
          <w:szCs w:val="20"/>
          <w:lang w:val="es-ES_tradnl"/>
        </w:rPr>
        <w:t>”</w:t>
      </w:r>
      <w:r w:rsidRPr="006C314F">
        <w:rPr>
          <w:rFonts w:ascii="Arial" w:eastAsia="Calibri" w:hAnsi="Arial" w:cs="Arial"/>
          <w:noProof/>
          <w:sz w:val="20"/>
          <w:szCs w:val="20"/>
          <w:lang w:val="es-ES_tradnl"/>
        </w:rPr>
        <w:t xml:space="preserve"> es cualquier sistema de selección o procedimiento de contratación utilizado por las entidades estatales que no incluya la convocatoria pública en alguna de sus etapas, ni permita la participación de una pluralidad de oferentes.</w:t>
      </w:r>
    </w:p>
    <w:p w14:paraId="47076DFC" w14:textId="77777777" w:rsidR="00CE6BFB" w:rsidRPr="006C314F" w:rsidRDefault="00CE6BFB" w:rsidP="00CE6BFB">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xml:space="preserve"> </w:t>
      </w:r>
    </w:p>
    <w:p w14:paraId="03132B4D" w14:textId="77777777" w:rsidR="00CE6BFB" w:rsidRPr="006C314F" w:rsidRDefault="00CE6BFB" w:rsidP="00CE6BFB">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1170D8C8" w14:textId="77777777" w:rsidR="00CE6BFB" w:rsidRPr="006C314F" w:rsidRDefault="00CE6BFB" w:rsidP="00CE6BFB">
      <w:pPr>
        <w:tabs>
          <w:tab w:val="left" w:pos="426"/>
        </w:tabs>
        <w:contextualSpacing/>
        <w:jc w:val="both"/>
        <w:rPr>
          <w:rFonts w:ascii="Arial" w:eastAsia="Calibri" w:hAnsi="Arial" w:cs="Arial"/>
          <w:noProof/>
          <w:sz w:val="20"/>
          <w:szCs w:val="20"/>
          <w:lang w:val="es-ES_tradnl"/>
        </w:rPr>
      </w:pPr>
    </w:p>
    <w:p w14:paraId="31391FCA" w14:textId="77777777" w:rsidR="00CE6BFB" w:rsidRPr="002E7A97" w:rsidRDefault="00CE6BFB" w:rsidP="00CE6BFB">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 xml:space="preserve">LEY DE GARANTÍAS ELECTORALES ─ Prohibición ‒ Contratación directa ‒ </w:t>
      </w:r>
      <w:r w:rsidRPr="002E7A97">
        <w:rPr>
          <w:rFonts w:ascii="Arial" w:hAnsi="Arial" w:cs="Arial"/>
          <w:b/>
          <w:bCs/>
          <w:lang w:eastAsia="es-CO"/>
        </w:rPr>
        <w:t>Excepciones</w:t>
      </w:r>
      <w:r w:rsidRPr="002E7A97">
        <w:rPr>
          <w:rFonts w:ascii="Arial" w:eastAsia="Calibri" w:hAnsi="Arial" w:cs="Arial"/>
          <w:b/>
          <w:bCs/>
          <w:lang w:val="es-MX"/>
        </w:rPr>
        <w:t xml:space="preserve"> </w:t>
      </w:r>
    </w:p>
    <w:p w14:paraId="77855C86" w14:textId="77777777" w:rsidR="00CE6BFB" w:rsidRPr="006C314F" w:rsidRDefault="00CE6BFB" w:rsidP="00CE6BFB">
      <w:pPr>
        <w:tabs>
          <w:tab w:val="left" w:pos="426"/>
        </w:tabs>
        <w:contextualSpacing/>
        <w:jc w:val="both"/>
        <w:rPr>
          <w:rFonts w:ascii="Arial" w:hAnsi="Arial" w:cs="Arial"/>
          <w:sz w:val="20"/>
          <w:szCs w:val="20"/>
          <w:lang w:eastAsia="x-none"/>
        </w:rPr>
      </w:pPr>
    </w:p>
    <w:p w14:paraId="523B8035" w14:textId="77777777" w:rsidR="00CE6BFB" w:rsidRPr="006C314F" w:rsidRDefault="00CE6BFB" w:rsidP="00CE6BFB">
      <w:pPr>
        <w:tabs>
          <w:tab w:val="left" w:pos="426"/>
        </w:tabs>
        <w:contextualSpacing/>
        <w:jc w:val="both"/>
        <w:rPr>
          <w:rFonts w:ascii="Arial" w:eastAsia="Calibri" w:hAnsi="Arial" w:cs="Arial"/>
          <w:noProof/>
          <w:sz w:val="20"/>
          <w:szCs w:val="20"/>
          <w:lang w:val="es-ES_tradnl"/>
        </w:rPr>
      </w:pPr>
      <w:r w:rsidRPr="006C314F">
        <w:rPr>
          <w:rFonts w:ascii="Arial" w:eastAsia="Calibri" w:hAnsi="Arial" w:cs="Arial"/>
          <w:noProof/>
          <w:sz w:val="20"/>
          <w:szCs w:val="20"/>
          <w:lang w:val="es-ES_tradnl"/>
        </w:rPr>
        <w:t xml:space="preserve">[…]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w:t>
      </w:r>
      <w:r w:rsidRPr="006C314F">
        <w:rPr>
          <w:rFonts w:ascii="Arial" w:eastAsia="Calibri" w:hAnsi="Arial" w:cs="Arial"/>
          <w:noProof/>
          <w:sz w:val="20"/>
          <w:szCs w:val="20"/>
          <w:lang w:val="es-ES_tradnl"/>
        </w:rPr>
        <w:lastRenderedPageBreak/>
        <w:t>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La misma disposición señala que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FB25116" w14:textId="77777777" w:rsidR="00CE6BFB" w:rsidRPr="006C314F" w:rsidRDefault="00CE6BFB" w:rsidP="00CE6BFB">
      <w:pPr>
        <w:tabs>
          <w:tab w:val="left" w:pos="426"/>
        </w:tabs>
        <w:contextualSpacing/>
        <w:jc w:val="both"/>
        <w:rPr>
          <w:rFonts w:ascii="Arial" w:eastAsia="Calibri" w:hAnsi="Arial" w:cs="Arial"/>
          <w:noProof/>
          <w:sz w:val="20"/>
          <w:szCs w:val="20"/>
        </w:rPr>
      </w:pPr>
    </w:p>
    <w:p w14:paraId="06DD9F0C" w14:textId="77777777" w:rsidR="00CE6BFB" w:rsidRPr="002E7A97" w:rsidRDefault="00CE6BFB" w:rsidP="00CE6BFB">
      <w:pPr>
        <w:contextualSpacing/>
        <w:jc w:val="both"/>
        <w:rPr>
          <w:rFonts w:ascii="Arial" w:hAnsi="Arial" w:cs="Arial"/>
          <w:b/>
          <w:lang w:val="es-ES" w:eastAsia="es-CO"/>
        </w:rPr>
      </w:pPr>
      <w:r w:rsidRPr="002E7A97">
        <w:rPr>
          <w:rFonts w:ascii="Arial" w:hAnsi="Arial" w:cs="Arial"/>
          <w:b/>
          <w:bCs/>
          <w:lang w:eastAsia="es-CO"/>
        </w:rPr>
        <w:t xml:space="preserve">LEY DE GARANTÍAS ELECTORALES </w:t>
      </w:r>
      <w:bookmarkStart w:id="6" w:name="_Hlk77166669"/>
      <w:r w:rsidRPr="002E7A97">
        <w:rPr>
          <w:rFonts w:ascii="Arial" w:hAnsi="Arial" w:cs="Arial"/>
          <w:b/>
          <w:bCs/>
          <w:lang w:eastAsia="es-CO"/>
        </w:rPr>
        <w:t>‒</w:t>
      </w:r>
      <w:bookmarkEnd w:id="6"/>
      <w:r w:rsidRPr="002E7A97">
        <w:rPr>
          <w:rFonts w:ascii="Arial" w:hAnsi="Arial" w:cs="Arial"/>
          <w:b/>
          <w:bCs/>
          <w:lang w:eastAsia="es-CO"/>
        </w:rPr>
        <w:t xml:space="preserve"> </w:t>
      </w:r>
      <w:r w:rsidRPr="002E7A97">
        <w:rPr>
          <w:rFonts w:ascii="Arial" w:hAnsi="Arial" w:cs="Arial"/>
          <w:b/>
          <w:lang w:val="es-ES" w:eastAsia="es-CO"/>
        </w:rPr>
        <w:t xml:space="preserve">Prohibición del artículo 33 </w:t>
      </w:r>
      <w:r w:rsidRPr="002E7A97">
        <w:rPr>
          <w:rFonts w:ascii="Arial" w:hAnsi="Arial" w:cs="Arial"/>
          <w:b/>
          <w:bCs/>
          <w:lang w:eastAsia="es-CO"/>
        </w:rPr>
        <w:t>‒ Destinatarios</w:t>
      </w:r>
    </w:p>
    <w:p w14:paraId="7F2B51F8" w14:textId="77777777" w:rsidR="00CE6BFB" w:rsidRPr="006C314F" w:rsidRDefault="00CE6BFB" w:rsidP="00CE6BFB">
      <w:pPr>
        <w:tabs>
          <w:tab w:val="left" w:pos="426"/>
        </w:tabs>
        <w:contextualSpacing/>
        <w:jc w:val="both"/>
        <w:rPr>
          <w:rFonts w:ascii="Arial" w:eastAsia="Calibri" w:hAnsi="Arial" w:cs="Arial"/>
          <w:noProof/>
          <w:sz w:val="20"/>
          <w:szCs w:val="20"/>
          <w:lang w:val="es-ES"/>
        </w:rPr>
      </w:pPr>
    </w:p>
    <w:p w14:paraId="3BF4834A" w14:textId="5B0A611D" w:rsidR="00CE6BFB" w:rsidRPr="006C314F" w:rsidRDefault="00CE6BFB" w:rsidP="00CE6BFB">
      <w:pPr>
        <w:tabs>
          <w:tab w:val="left" w:pos="426"/>
        </w:tabs>
        <w:contextualSpacing/>
        <w:jc w:val="both"/>
        <w:rPr>
          <w:rFonts w:ascii="Arial" w:eastAsia="Calibri" w:hAnsi="Arial" w:cs="Arial"/>
          <w:sz w:val="20"/>
          <w:szCs w:val="20"/>
          <w:lang w:val="es-MX"/>
        </w:rPr>
      </w:pPr>
      <w:r w:rsidRPr="006C314F">
        <w:rPr>
          <w:rFonts w:ascii="Arial" w:eastAsia="Calibri" w:hAnsi="Arial" w:cs="Arial"/>
          <w:sz w:val="20"/>
          <w:szCs w:val="20"/>
          <w:lang w:val="es-MX"/>
        </w:rPr>
        <w:t xml:space="preserve">El artículo 33 de la Ley 996 de 2005 señala expresamente a los destinatarios de la prohibición, en el sentido de que son </w:t>
      </w:r>
      <w:r w:rsidR="00CA38C0">
        <w:rPr>
          <w:rFonts w:ascii="Arial" w:eastAsia="Calibri" w:hAnsi="Arial" w:cs="Arial"/>
          <w:sz w:val="20"/>
          <w:szCs w:val="20"/>
          <w:lang w:val="es-MX"/>
        </w:rPr>
        <w:t>“</w:t>
      </w:r>
      <w:r w:rsidRPr="006C314F">
        <w:rPr>
          <w:rFonts w:ascii="Arial" w:eastAsia="Calibri" w:hAnsi="Arial" w:cs="Arial"/>
          <w:sz w:val="20"/>
          <w:szCs w:val="20"/>
          <w:lang w:val="es-MX"/>
        </w:rPr>
        <w:t>todos los entes del Estado</w:t>
      </w:r>
      <w:r w:rsidR="00CA38C0">
        <w:rPr>
          <w:rFonts w:ascii="Arial" w:eastAsia="Calibri" w:hAnsi="Arial" w:cs="Arial"/>
          <w:sz w:val="20"/>
          <w:szCs w:val="20"/>
          <w:lang w:val="es-MX"/>
        </w:rPr>
        <w:t>”</w:t>
      </w:r>
      <w:r w:rsidRPr="006C314F">
        <w:rPr>
          <w:rFonts w:ascii="Arial" w:eastAsia="Calibri" w:hAnsi="Arial" w:cs="Arial"/>
          <w:sz w:val="20"/>
          <w:szCs w:val="20"/>
          <w:lang w:val="es-MX"/>
        </w:rPr>
        <w:t xml:space="preserve">, expresión que contempla a los diferentes organismos o entidades autorizadas por la ley para suscribir contratos. En efecto, tal como lo ha sostenido el Consejo de Estado, el vocablo </w:t>
      </w:r>
      <w:r w:rsidR="00CA38C0">
        <w:rPr>
          <w:rFonts w:ascii="Arial" w:eastAsia="Calibri" w:hAnsi="Arial" w:cs="Arial"/>
          <w:sz w:val="20"/>
          <w:szCs w:val="20"/>
          <w:lang w:val="es-MX"/>
        </w:rPr>
        <w:t>“</w:t>
      </w:r>
      <w:r w:rsidRPr="006C314F">
        <w:rPr>
          <w:rFonts w:ascii="Arial" w:eastAsia="Calibri" w:hAnsi="Arial" w:cs="Arial"/>
          <w:sz w:val="20"/>
          <w:szCs w:val="20"/>
          <w:lang w:val="es-MX"/>
        </w:rPr>
        <w:t>todos</w:t>
      </w:r>
      <w:r w:rsidR="00CA38C0">
        <w:rPr>
          <w:rFonts w:ascii="Arial" w:eastAsia="Calibri" w:hAnsi="Arial" w:cs="Arial"/>
          <w:sz w:val="20"/>
          <w:szCs w:val="20"/>
          <w:lang w:val="es-MX"/>
        </w:rPr>
        <w:t>”</w:t>
      </w:r>
      <w:r w:rsidRPr="006C314F">
        <w:rPr>
          <w:rFonts w:ascii="Arial" w:eastAsia="Calibri" w:hAnsi="Arial" w:cs="Arial"/>
          <w:sz w:val="20"/>
          <w:szCs w:val="20"/>
          <w:lang w:val="es-MX"/>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2E5D92D0" w14:textId="77777777" w:rsidR="00CE6BFB" w:rsidRPr="006C314F" w:rsidRDefault="00CE6BFB" w:rsidP="00CE6BFB">
      <w:pPr>
        <w:tabs>
          <w:tab w:val="left" w:pos="426"/>
        </w:tabs>
        <w:contextualSpacing/>
        <w:jc w:val="both"/>
        <w:rPr>
          <w:rFonts w:ascii="Arial" w:eastAsia="Calibri" w:hAnsi="Arial" w:cs="Arial"/>
          <w:sz w:val="20"/>
          <w:szCs w:val="20"/>
          <w:lang w:val="es-MX"/>
        </w:rPr>
      </w:pPr>
    </w:p>
    <w:p w14:paraId="56D602BD" w14:textId="77777777" w:rsidR="00CE6BFB" w:rsidRPr="002E7A97" w:rsidRDefault="00CE6BFB" w:rsidP="00CE6BFB">
      <w:pPr>
        <w:tabs>
          <w:tab w:val="left" w:pos="426"/>
        </w:tabs>
        <w:contextualSpacing/>
        <w:jc w:val="both"/>
        <w:rPr>
          <w:rFonts w:ascii="Arial" w:eastAsia="Calibri" w:hAnsi="Arial" w:cs="Arial"/>
          <w:b/>
          <w:bCs/>
          <w:lang w:val="es-MX"/>
        </w:rPr>
      </w:pPr>
      <w:r w:rsidRPr="002E7A97">
        <w:rPr>
          <w:rFonts w:ascii="Arial" w:eastAsia="Calibri" w:hAnsi="Arial" w:cs="Arial"/>
          <w:b/>
          <w:bCs/>
          <w:lang w:val="es-MX"/>
        </w:rPr>
        <w:t xml:space="preserve">LEY DE GARANTÍAS ELECTORALES ‒ Prohibición por elección de cargos populares – Convenios y contratos interadministrativos </w:t>
      </w:r>
      <w:r w:rsidRPr="002E7A97">
        <w:rPr>
          <w:rFonts w:ascii="Arial" w:eastAsia="Calibri" w:hAnsi="Arial" w:cs="Arial"/>
          <w:b/>
          <w:lang w:val="es-MX"/>
        </w:rPr>
        <w:t>– Definición – Criterio orgánico</w:t>
      </w:r>
    </w:p>
    <w:p w14:paraId="6B33E9F2" w14:textId="77777777" w:rsidR="00CE6BFB" w:rsidRPr="006C314F" w:rsidRDefault="00CE6BFB" w:rsidP="00CE6BFB">
      <w:pPr>
        <w:tabs>
          <w:tab w:val="left" w:pos="426"/>
        </w:tabs>
        <w:contextualSpacing/>
        <w:jc w:val="both"/>
        <w:rPr>
          <w:rFonts w:ascii="Arial" w:eastAsia="Calibri" w:hAnsi="Arial" w:cs="Arial"/>
          <w:sz w:val="20"/>
          <w:szCs w:val="20"/>
          <w:lang w:val="es-MX"/>
        </w:rPr>
      </w:pPr>
    </w:p>
    <w:p w14:paraId="41A2C839" w14:textId="77777777" w:rsidR="00CE6BFB" w:rsidRPr="006C314F" w:rsidRDefault="00CE6BFB" w:rsidP="00CE6BFB">
      <w:pPr>
        <w:tabs>
          <w:tab w:val="left" w:pos="426"/>
        </w:tabs>
        <w:contextualSpacing/>
        <w:jc w:val="both"/>
        <w:rPr>
          <w:rFonts w:ascii="Arial" w:eastAsia="Calibri" w:hAnsi="Arial" w:cs="Arial"/>
          <w:sz w:val="20"/>
          <w:szCs w:val="20"/>
          <w:lang w:val="es-MX"/>
        </w:rPr>
      </w:pPr>
      <w:r w:rsidRPr="006C314F">
        <w:rPr>
          <w:rFonts w:ascii="Arial" w:eastAsia="Calibri" w:hAnsi="Arial"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1CE80E59" w14:textId="77777777" w:rsidR="00CE6BFB" w:rsidRPr="006C314F" w:rsidRDefault="00CE6BFB" w:rsidP="00CE6BFB">
      <w:pPr>
        <w:tabs>
          <w:tab w:val="left" w:pos="426"/>
        </w:tabs>
        <w:contextualSpacing/>
        <w:jc w:val="both"/>
        <w:rPr>
          <w:rFonts w:ascii="Arial" w:eastAsia="Calibri" w:hAnsi="Arial" w:cs="Arial"/>
          <w:sz w:val="20"/>
          <w:szCs w:val="20"/>
          <w:lang w:val="es-MX"/>
        </w:rPr>
      </w:pPr>
    </w:p>
    <w:p w14:paraId="0D7B256E" w14:textId="77777777" w:rsidR="00CE6BFB" w:rsidRPr="006C314F" w:rsidRDefault="00CE6BFB" w:rsidP="00CE6BFB">
      <w:pPr>
        <w:tabs>
          <w:tab w:val="left" w:pos="426"/>
        </w:tabs>
        <w:contextualSpacing/>
        <w:jc w:val="both"/>
        <w:rPr>
          <w:rFonts w:ascii="Arial" w:eastAsia="Calibri" w:hAnsi="Arial" w:cs="Arial"/>
          <w:sz w:val="20"/>
          <w:szCs w:val="20"/>
          <w:lang w:val="es-MX"/>
        </w:rPr>
      </w:pPr>
      <w:r w:rsidRPr="006C314F">
        <w:rPr>
          <w:rFonts w:ascii="Arial" w:eastAsia="Calibri" w:hAnsi="Arial" w:cs="Arial"/>
          <w:sz w:val="20"/>
          <w:szCs w:val="20"/>
          <w:lang w:val="es-MX"/>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4857B02C" w14:textId="77777777" w:rsidR="00CE6BFB" w:rsidRPr="006C314F" w:rsidRDefault="00CE6BFB" w:rsidP="00CE6BFB">
      <w:pPr>
        <w:tabs>
          <w:tab w:val="left" w:pos="426"/>
        </w:tabs>
        <w:contextualSpacing/>
        <w:jc w:val="both"/>
        <w:rPr>
          <w:rFonts w:ascii="Arial" w:eastAsia="Calibri" w:hAnsi="Arial" w:cs="Arial"/>
          <w:sz w:val="20"/>
          <w:szCs w:val="20"/>
          <w:lang w:val="es-MX"/>
        </w:rPr>
      </w:pPr>
    </w:p>
    <w:bookmarkEnd w:id="2"/>
    <w:p w14:paraId="670E5F33" w14:textId="77777777" w:rsidR="00CE6BFB" w:rsidRPr="006C314F" w:rsidRDefault="00CE6BFB" w:rsidP="00CE6BFB">
      <w:pPr>
        <w:contextualSpacing/>
        <w:jc w:val="both"/>
        <w:rPr>
          <w:rFonts w:ascii="Arial" w:eastAsia="Calibri" w:hAnsi="Arial" w:cs="Arial"/>
          <w:sz w:val="20"/>
          <w:szCs w:val="20"/>
          <w:lang w:val="es-MX"/>
        </w:rPr>
      </w:pPr>
    </w:p>
    <w:p w14:paraId="2D6711DA" w14:textId="77777777" w:rsidR="00CE6BFB" w:rsidRPr="004D7FDF" w:rsidRDefault="00CE6BFB" w:rsidP="00CE6BFB">
      <w:pPr>
        <w:jc w:val="both"/>
        <w:textAlignment w:val="baseline"/>
        <w:rPr>
          <w:rFonts w:ascii="Segoe UI" w:hAnsi="Segoe UI" w:cs="Segoe UI"/>
          <w:sz w:val="18"/>
          <w:szCs w:val="18"/>
          <w:lang w:eastAsia="es-CO"/>
        </w:rPr>
      </w:pPr>
      <w:r w:rsidRPr="004D7FDF">
        <w:rPr>
          <w:rFonts w:ascii="Arial" w:hAnsi="Arial" w:cs="Arial"/>
          <w:b/>
          <w:bCs/>
          <w:lang w:val="es-ES" w:eastAsia="es-CO"/>
        </w:rPr>
        <w:t>LEY DE GARANTÍAS ELECTORALES – Ley 996 de 2005 – Parágrafo del artículo 38 – Restricciones para elecciones – Cargos de elección popular</w:t>
      </w:r>
      <w:r w:rsidRPr="004D7FDF">
        <w:rPr>
          <w:rFonts w:ascii="Arial" w:hAnsi="Arial" w:cs="Arial"/>
          <w:lang w:eastAsia="es-CO"/>
        </w:rPr>
        <w:t> </w:t>
      </w:r>
    </w:p>
    <w:p w14:paraId="6624A85E" w14:textId="77777777" w:rsidR="00CE6BFB" w:rsidRPr="004D7FDF" w:rsidRDefault="00CE6BFB" w:rsidP="00CE6BFB">
      <w:pPr>
        <w:jc w:val="both"/>
        <w:textAlignment w:val="baseline"/>
        <w:rPr>
          <w:rFonts w:ascii="Segoe UI" w:hAnsi="Segoe UI" w:cs="Segoe UI"/>
          <w:sz w:val="18"/>
          <w:szCs w:val="18"/>
          <w:lang w:eastAsia="es-CO"/>
        </w:rPr>
      </w:pPr>
      <w:r w:rsidRPr="004D7FDF">
        <w:rPr>
          <w:rFonts w:ascii="Arial" w:hAnsi="Arial" w:cs="Arial"/>
          <w:lang w:eastAsia="es-CO"/>
        </w:rPr>
        <w:t> </w:t>
      </w:r>
    </w:p>
    <w:p w14:paraId="275C05A0" w14:textId="02473F04" w:rsidR="00CE6BFB" w:rsidRPr="004D7FDF" w:rsidRDefault="00CE6BFB" w:rsidP="00CE6BFB">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 xml:space="preserve">El parágrafo del artículo 38 de la Ley 996 de 2005 dispone que </w:t>
      </w:r>
      <w:r w:rsidR="00CA38C0">
        <w:rPr>
          <w:rFonts w:ascii="Arial" w:hAnsi="Arial" w:cs="Arial"/>
          <w:sz w:val="20"/>
          <w:szCs w:val="20"/>
          <w:lang w:val="es-ES" w:eastAsia="es-CO"/>
        </w:rPr>
        <w:t>“</w:t>
      </w:r>
      <w:r w:rsidRPr="004D7FDF">
        <w:rPr>
          <w:rFonts w:ascii="Arial" w:hAnsi="Arial" w:cs="Arial"/>
          <w:sz w:val="20"/>
          <w:szCs w:val="20"/>
          <w:lang w:val="es-ES" w:eastAsia="es-CO"/>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00CA38C0">
        <w:rPr>
          <w:rFonts w:ascii="Arial" w:hAnsi="Arial" w:cs="Arial"/>
          <w:sz w:val="20"/>
          <w:szCs w:val="20"/>
          <w:lang w:val="es-ES" w:eastAsia="es-CO"/>
        </w:rPr>
        <w:t>”</w:t>
      </w:r>
      <w:r w:rsidRPr="004D7FDF">
        <w:rPr>
          <w:rFonts w:ascii="Arial" w:hAnsi="Arial" w:cs="Arial"/>
          <w:sz w:val="20"/>
          <w:szCs w:val="20"/>
          <w:lang w:val="es-ES" w:eastAsia="es-CO"/>
        </w:rPr>
        <w:t xml:space="preserve">. Los convenios o contratos </w:t>
      </w:r>
      <w:r w:rsidRPr="004D7FDF">
        <w:rPr>
          <w:rFonts w:ascii="Arial" w:hAnsi="Arial" w:cs="Arial"/>
          <w:sz w:val="20"/>
          <w:szCs w:val="20"/>
          <w:lang w:val="es-ES" w:eastAsia="es-CO"/>
        </w:rPr>
        <w:lastRenderedPageBreak/>
        <w:t>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r w:rsidRPr="004D7FDF">
        <w:rPr>
          <w:rFonts w:ascii="Arial" w:hAnsi="Arial" w:cs="Arial"/>
          <w:sz w:val="20"/>
          <w:szCs w:val="20"/>
          <w:lang w:eastAsia="es-CO"/>
        </w:rPr>
        <w:t> </w:t>
      </w:r>
    </w:p>
    <w:p w14:paraId="10509F0C" w14:textId="77777777" w:rsidR="00CE6BFB" w:rsidRPr="004D7FDF" w:rsidRDefault="00CE6BFB" w:rsidP="00CE6BFB">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w:t>
      </w:r>
      <w:r w:rsidRPr="004D7FDF">
        <w:rPr>
          <w:rFonts w:ascii="Arial" w:hAnsi="Arial" w:cs="Arial"/>
          <w:sz w:val="20"/>
          <w:szCs w:val="20"/>
          <w:lang w:eastAsia="es-CO"/>
        </w:rPr>
        <w:t> </w:t>
      </w:r>
    </w:p>
    <w:p w14:paraId="7FF2539E" w14:textId="77777777" w:rsidR="00CE6BFB" w:rsidRPr="004D7FDF" w:rsidRDefault="00CE6BFB" w:rsidP="00CE6BFB">
      <w:pPr>
        <w:jc w:val="both"/>
        <w:textAlignment w:val="baseline"/>
        <w:rPr>
          <w:rFonts w:ascii="Segoe UI" w:hAnsi="Segoe UI" w:cs="Segoe UI"/>
          <w:sz w:val="18"/>
          <w:szCs w:val="18"/>
          <w:lang w:eastAsia="es-CO"/>
        </w:rPr>
      </w:pPr>
      <w:r w:rsidRPr="004D7FDF">
        <w:rPr>
          <w:rFonts w:ascii="Arial" w:hAnsi="Arial" w:cs="Arial"/>
          <w:sz w:val="20"/>
          <w:szCs w:val="20"/>
          <w:lang w:val="es-ES"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D7FDF">
        <w:rPr>
          <w:rFonts w:ascii="Arial" w:hAnsi="Arial" w:cs="Arial"/>
          <w:i/>
          <w:iCs/>
          <w:sz w:val="20"/>
          <w:szCs w:val="20"/>
          <w:lang w:val="es-ES" w:eastAsia="es-CO"/>
        </w:rPr>
        <w:t>ibidem</w:t>
      </w:r>
      <w:r w:rsidRPr="004D7FDF">
        <w:rPr>
          <w:rFonts w:ascii="Arial" w:hAnsi="Arial" w:cs="Arial"/>
          <w:sz w:val="20"/>
          <w:szCs w:val="20"/>
          <w:lang w:val="es-ES"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r w:rsidRPr="004D7FDF">
        <w:rPr>
          <w:rFonts w:ascii="Arial" w:hAnsi="Arial" w:cs="Arial"/>
          <w:sz w:val="20"/>
          <w:szCs w:val="20"/>
          <w:lang w:eastAsia="es-CO"/>
        </w:rPr>
        <w:t> </w:t>
      </w:r>
    </w:p>
    <w:p w14:paraId="0D0A3FD9" w14:textId="77777777" w:rsidR="00CE6BFB" w:rsidRDefault="00CE6BFB" w:rsidP="00CE6BFB">
      <w:pPr>
        <w:rPr>
          <w:rFonts w:ascii="Arial" w:hAnsi="Arial" w:cs="Arial"/>
          <w:b/>
          <w:bCs/>
        </w:rPr>
      </w:pPr>
      <w:r>
        <w:rPr>
          <w:rFonts w:ascii="Arial" w:hAnsi="Arial" w:cs="Arial"/>
          <w:b/>
          <w:bCs/>
        </w:rPr>
        <w:br w:type="page"/>
      </w:r>
    </w:p>
    <w:p w14:paraId="5D402892" w14:textId="77777777" w:rsidR="00CE6BFB" w:rsidRPr="00706C03" w:rsidRDefault="00CE6BFB" w:rsidP="00CE6BFB">
      <w:pPr>
        <w:spacing w:after="0" w:line="276" w:lineRule="auto"/>
        <w:contextualSpacing/>
        <w:jc w:val="right"/>
        <w:rPr>
          <w:rFonts w:ascii="Arial" w:hAnsi="Arial" w:cs="Arial"/>
          <w:b/>
          <w:bCs/>
        </w:rPr>
      </w:pPr>
    </w:p>
    <w:p w14:paraId="0161407C" w14:textId="10291B00" w:rsidR="00CE6BFB" w:rsidRPr="00500AD4" w:rsidRDefault="00CE6BFB" w:rsidP="00CE6BFB">
      <w:pPr>
        <w:spacing w:after="0" w:line="276" w:lineRule="auto"/>
        <w:contextualSpacing/>
        <w:rPr>
          <w:rFonts w:ascii="Arial" w:eastAsia="Geomanist Light" w:hAnsi="Arial" w:cs="Arial"/>
          <w:color w:val="201F1E"/>
          <w:lang w:val="es-MX"/>
        </w:rPr>
      </w:pPr>
      <w:r w:rsidRPr="00500AD4">
        <w:rPr>
          <w:rFonts w:ascii="Arial" w:eastAsia="Geomanist Light" w:hAnsi="Arial" w:cs="Arial"/>
          <w:color w:val="000000" w:themeColor="text1"/>
          <w:lang w:val="es-MX"/>
        </w:rPr>
        <w:t>Bogotá D.C., </w:t>
      </w:r>
      <w:r w:rsidR="00CA38C0">
        <w:rPr>
          <w:rFonts w:ascii="Arial" w:eastAsia="Geomanist Light" w:hAnsi="Arial" w:cs="Arial"/>
          <w:color w:val="201F1E"/>
          <w:lang w:val="es-MX"/>
        </w:rPr>
        <w:t>20</w:t>
      </w:r>
      <w:r w:rsidRPr="00500AD4">
        <w:rPr>
          <w:rFonts w:ascii="Arial" w:eastAsia="Geomanist Light" w:hAnsi="Arial" w:cs="Arial"/>
          <w:color w:val="201F1E"/>
          <w:lang w:val="es-MX"/>
        </w:rPr>
        <w:t xml:space="preserve"> de </w:t>
      </w:r>
      <w:r w:rsidR="00CA38C0">
        <w:rPr>
          <w:rFonts w:ascii="Arial" w:eastAsia="Geomanist Light" w:hAnsi="Arial" w:cs="Arial"/>
          <w:color w:val="201F1E"/>
          <w:lang w:val="es-MX"/>
        </w:rPr>
        <w:t>junio</w:t>
      </w:r>
      <w:r w:rsidRPr="00500AD4">
        <w:rPr>
          <w:rFonts w:ascii="Arial" w:eastAsia="Geomanist Light" w:hAnsi="Arial" w:cs="Arial"/>
          <w:color w:val="201F1E"/>
          <w:lang w:val="es-MX"/>
        </w:rPr>
        <w:t xml:space="preserve"> de </w:t>
      </w:r>
      <w:r w:rsidR="00CA38C0">
        <w:rPr>
          <w:rFonts w:ascii="Arial" w:eastAsia="Geomanist Light" w:hAnsi="Arial" w:cs="Arial"/>
          <w:color w:val="201F1E"/>
          <w:lang w:val="es-MX"/>
        </w:rPr>
        <w:t>2023</w:t>
      </w:r>
    </w:p>
    <w:p w14:paraId="0AF3878D" w14:textId="77777777" w:rsidR="00CE6BFB" w:rsidRPr="00706C03" w:rsidRDefault="00CE6BFB" w:rsidP="00CE6BFB">
      <w:pPr>
        <w:spacing w:after="0" w:line="276" w:lineRule="auto"/>
        <w:contextualSpacing/>
        <w:rPr>
          <w:rFonts w:ascii="Arial" w:eastAsia="Calibri" w:hAnsi="Arial" w:cs="Arial"/>
        </w:rPr>
      </w:pPr>
    </w:p>
    <w:p w14:paraId="3BA3F009" w14:textId="77777777" w:rsidR="00CE6BFB" w:rsidRPr="00706C03" w:rsidRDefault="00CE6BFB" w:rsidP="00CE6BFB">
      <w:pPr>
        <w:spacing w:after="0" w:line="276" w:lineRule="auto"/>
        <w:contextualSpacing/>
        <w:rPr>
          <w:rFonts w:ascii="Arial" w:eastAsia="Calibri" w:hAnsi="Arial" w:cs="Arial"/>
          <w:color w:val="000000" w:themeColor="text1"/>
        </w:rPr>
      </w:pPr>
      <w:r w:rsidRPr="00706C03">
        <w:rPr>
          <w:rFonts w:ascii="Arial" w:eastAsia="Calibri" w:hAnsi="Arial" w:cs="Arial"/>
          <w:color w:val="000000" w:themeColor="text1"/>
        </w:rPr>
        <w:t>Señor</w:t>
      </w:r>
    </w:p>
    <w:p w14:paraId="1B3C5703" w14:textId="2AE37DA0" w:rsidR="00CE6BFB" w:rsidRPr="00706C03" w:rsidRDefault="00EE36AD" w:rsidP="00CE6BFB">
      <w:pPr>
        <w:spacing w:after="0" w:line="276" w:lineRule="auto"/>
        <w:contextualSpacing/>
        <w:rPr>
          <w:rFonts w:ascii="Arial" w:eastAsia="Calibri" w:hAnsi="Arial" w:cs="Arial"/>
          <w:b/>
          <w:bCs/>
          <w:color w:val="000000" w:themeColor="text1"/>
        </w:rPr>
      </w:pPr>
      <w:r>
        <w:rPr>
          <w:rFonts w:ascii="Arial" w:eastAsia="Calibri" w:hAnsi="Arial" w:cs="Arial"/>
          <w:b/>
          <w:bCs/>
          <w:color w:val="000000" w:themeColor="text1"/>
        </w:rPr>
        <w:t>Ricardo Agudelo Cedano</w:t>
      </w:r>
    </w:p>
    <w:p w14:paraId="74E2BFB1" w14:textId="1C05C24D" w:rsidR="00CE6BFB" w:rsidRPr="00706C03" w:rsidRDefault="00CA38C0" w:rsidP="00CE6BFB">
      <w:pPr>
        <w:spacing w:after="0" w:line="276" w:lineRule="auto"/>
        <w:contextualSpacing/>
        <w:rPr>
          <w:rFonts w:ascii="Arial" w:eastAsia="Calibri" w:hAnsi="Arial" w:cs="Arial"/>
          <w:color w:val="000000" w:themeColor="text1"/>
        </w:rPr>
      </w:pPr>
      <w:r>
        <w:rPr>
          <w:rFonts w:ascii="Arial" w:eastAsia="Calibri" w:hAnsi="Arial" w:cs="Arial"/>
          <w:color w:val="000000" w:themeColor="text1"/>
        </w:rPr>
        <w:t>Ciudad.</w:t>
      </w:r>
    </w:p>
    <w:p w14:paraId="39E0CC95" w14:textId="77777777" w:rsidR="00CE6BFB" w:rsidRPr="00706C03" w:rsidRDefault="00CE6BFB" w:rsidP="00CE6BFB">
      <w:pPr>
        <w:spacing w:after="0" w:line="276" w:lineRule="auto"/>
        <w:contextualSpacing/>
        <w:rPr>
          <w:rFonts w:ascii="Arial" w:eastAsia="Calibri" w:hAnsi="Arial" w:cs="Arial"/>
          <w:color w:val="000000" w:themeColor="text1"/>
        </w:rPr>
      </w:pPr>
    </w:p>
    <w:p w14:paraId="00153D89" w14:textId="75F90C04" w:rsidR="00CE6BFB" w:rsidRPr="00706C03" w:rsidRDefault="00CE6BFB" w:rsidP="00CE6BFB">
      <w:pPr>
        <w:spacing w:after="0" w:line="276" w:lineRule="auto"/>
        <w:contextualSpacing/>
        <w:rPr>
          <w:rFonts w:ascii="Arial" w:eastAsia="Calibri" w:hAnsi="Arial" w:cs="Arial"/>
          <w:b/>
          <w:color w:val="000000" w:themeColor="text1"/>
        </w:rPr>
      </w:pPr>
      <w:r w:rsidRPr="00706C03">
        <w:rPr>
          <w:rFonts w:ascii="Arial" w:eastAsia="Calibri" w:hAnsi="Arial" w:cs="Arial"/>
          <w:b/>
          <w:color w:val="000000" w:themeColor="text1"/>
        </w:rPr>
        <w:t xml:space="preserve">                                Concepto C – </w:t>
      </w:r>
      <w:r w:rsidR="00EE36AD">
        <w:rPr>
          <w:rFonts w:ascii="Arial" w:eastAsia="Calibri" w:hAnsi="Arial" w:cs="Arial"/>
          <w:b/>
          <w:color w:val="000000" w:themeColor="text1"/>
        </w:rPr>
        <w:t>099</w:t>
      </w:r>
      <w:r w:rsidRPr="00706C03">
        <w:rPr>
          <w:rFonts w:ascii="Arial" w:eastAsia="Calibri" w:hAnsi="Arial" w:cs="Arial"/>
          <w:b/>
          <w:color w:val="000000" w:themeColor="text1"/>
        </w:rPr>
        <w:t xml:space="preserve"> de 2023 </w:t>
      </w:r>
    </w:p>
    <w:p w14:paraId="49E6563C" w14:textId="77777777" w:rsidR="00CE6BFB" w:rsidRPr="00706C03" w:rsidRDefault="00CE6BFB" w:rsidP="00CE6BFB">
      <w:pPr>
        <w:spacing w:after="0" w:line="276" w:lineRule="auto"/>
        <w:contextualSpacing/>
        <w:rPr>
          <w:rFonts w:ascii="Arial" w:eastAsia="Calibri" w:hAnsi="Arial"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799"/>
      </w:tblGrid>
      <w:tr w:rsidR="00CE6BFB" w:rsidRPr="00706C03" w14:paraId="19FB0C70" w14:textId="77777777" w:rsidTr="003E75D3">
        <w:trPr>
          <w:trHeight w:val="822"/>
        </w:trPr>
        <w:tc>
          <w:tcPr>
            <w:tcW w:w="1985" w:type="dxa"/>
          </w:tcPr>
          <w:p w14:paraId="24870EBF" w14:textId="77777777" w:rsidR="00CE6BFB" w:rsidRPr="00706C03" w:rsidRDefault="00CE6BFB" w:rsidP="003E75D3">
            <w:pPr>
              <w:pStyle w:val="Textoindependiente"/>
              <w:spacing w:line="276" w:lineRule="auto"/>
              <w:contextualSpacing/>
              <w:jc w:val="both"/>
              <w:rPr>
                <w:rFonts w:eastAsia="Calibri"/>
                <w:b/>
                <w:bCs/>
                <w:sz w:val="22"/>
                <w:szCs w:val="22"/>
                <w:lang w:val="es-CO"/>
              </w:rPr>
            </w:pPr>
            <w:r w:rsidRPr="00706C03">
              <w:rPr>
                <w:rFonts w:eastAsia="Calibri"/>
                <w:b/>
                <w:color w:val="000000" w:themeColor="text1"/>
                <w:sz w:val="22"/>
                <w:szCs w:val="22"/>
              </w:rPr>
              <w:t>Temas:</w:t>
            </w:r>
          </w:p>
          <w:p w14:paraId="6C4D796B" w14:textId="77777777" w:rsidR="00CE6BFB" w:rsidRPr="00706C03" w:rsidRDefault="00CE6BFB" w:rsidP="003E75D3">
            <w:pPr>
              <w:pStyle w:val="Textoindependiente"/>
              <w:spacing w:line="276" w:lineRule="auto"/>
              <w:contextualSpacing/>
              <w:jc w:val="both"/>
              <w:rPr>
                <w:rFonts w:eastAsia="Calibri"/>
                <w:b/>
                <w:bCs/>
                <w:sz w:val="22"/>
                <w:szCs w:val="22"/>
                <w:lang w:val="es-CO"/>
              </w:rPr>
            </w:pPr>
          </w:p>
          <w:p w14:paraId="7337FB60" w14:textId="77777777" w:rsidR="00CE6BFB" w:rsidRPr="00706C03" w:rsidRDefault="00CE6BFB" w:rsidP="003E75D3">
            <w:pPr>
              <w:spacing w:line="276" w:lineRule="auto"/>
              <w:contextualSpacing/>
              <w:jc w:val="both"/>
              <w:rPr>
                <w:rFonts w:ascii="Arial" w:eastAsia="Calibri" w:hAnsi="Arial" w:cs="Arial"/>
                <w:color w:val="000000" w:themeColor="text1"/>
              </w:rPr>
            </w:pPr>
            <w:r w:rsidRPr="00706C03">
              <w:rPr>
                <w:rFonts w:ascii="Arial" w:eastAsia="Calibri" w:hAnsi="Arial" w:cs="Arial"/>
                <w:color w:val="000000" w:themeColor="text1"/>
              </w:rPr>
              <w:t xml:space="preserve">        </w:t>
            </w:r>
          </w:p>
        </w:tc>
        <w:tc>
          <w:tcPr>
            <w:tcW w:w="6799" w:type="dxa"/>
          </w:tcPr>
          <w:p w14:paraId="45B3754E" w14:textId="61361444" w:rsidR="00CE6BFB" w:rsidRDefault="00CE6BFB" w:rsidP="003E75D3">
            <w:pPr>
              <w:pStyle w:val="Textoindependiente"/>
              <w:spacing w:line="276" w:lineRule="auto"/>
              <w:contextualSpacing/>
              <w:jc w:val="both"/>
              <w:rPr>
                <w:rFonts w:eastAsia="Calibri"/>
                <w:color w:val="000000" w:themeColor="text1"/>
                <w:sz w:val="22"/>
                <w:szCs w:val="22"/>
                <w:lang w:val="es-CO"/>
              </w:rPr>
            </w:pPr>
            <w:r w:rsidRPr="00706C03">
              <w:rPr>
                <w:rFonts w:eastAsia="Calibri"/>
                <w:bCs/>
                <w:color w:val="000000" w:themeColor="text1"/>
                <w:sz w:val="22"/>
                <w:szCs w:val="22"/>
              </w:rPr>
              <w:t xml:space="preserve">LEY DE GARANTÍAS ELECTORALES ‒ Finalidad / LEY DE GARANTÍAS ELECTORALES ‒ Tipos de restricciones ‒ Ámbito temporal / LEY DE GARANTÍAS ELECTORALES ─ Prohibición ‒ Contratación directa ‒ Alcance / LEY DE GARANTÍAS ELECTORALES ─ Prohibición ‒ Contratación directa ‒ Excepciones / LEY DE GARANTÍAS ELECTORALES ‒ Prohibición del artículo 33 ‒ Destinatarios / LEY DE GARANTÍAS ELECTORALES ‒ Prohibición por elección de cargos populares – Modalidad de selección / </w:t>
            </w:r>
            <w:r w:rsidR="000B3C96" w:rsidRPr="000B3C96">
              <w:rPr>
                <w:rFonts w:eastAsia="Calibri"/>
                <w:bCs/>
                <w:color w:val="000000" w:themeColor="text1"/>
                <w:sz w:val="22"/>
                <w:szCs w:val="22"/>
              </w:rPr>
              <w:t>LEY DE GARANTÍAS ELECTORALES ─ Destinatarios ─ Órganos de control</w:t>
            </w:r>
          </w:p>
          <w:p w14:paraId="10A80CAD" w14:textId="77777777" w:rsidR="00CE6BFB" w:rsidRPr="00706C03" w:rsidRDefault="00CE6BFB" w:rsidP="003E75D3">
            <w:pPr>
              <w:pStyle w:val="Textoindependiente"/>
              <w:spacing w:line="276" w:lineRule="auto"/>
              <w:contextualSpacing/>
              <w:jc w:val="both"/>
              <w:rPr>
                <w:rFonts w:eastAsia="Calibri"/>
                <w:bCs/>
                <w:color w:val="000000" w:themeColor="text1"/>
                <w:sz w:val="22"/>
                <w:szCs w:val="22"/>
                <w:highlight w:val="yellow"/>
              </w:rPr>
            </w:pPr>
          </w:p>
        </w:tc>
      </w:tr>
      <w:tr w:rsidR="00CE6BFB" w:rsidRPr="00706C03" w14:paraId="0EB55CD2" w14:textId="77777777" w:rsidTr="003E75D3">
        <w:tc>
          <w:tcPr>
            <w:tcW w:w="1985" w:type="dxa"/>
          </w:tcPr>
          <w:p w14:paraId="4F18D205" w14:textId="77777777" w:rsidR="00CE6BFB" w:rsidRPr="00706C03" w:rsidRDefault="00CE6BFB" w:rsidP="003E75D3">
            <w:pPr>
              <w:spacing w:line="276" w:lineRule="auto"/>
              <w:contextualSpacing/>
              <w:jc w:val="both"/>
              <w:rPr>
                <w:rFonts w:ascii="Arial" w:eastAsia="Calibri" w:hAnsi="Arial" w:cs="Arial"/>
                <w:color w:val="000000" w:themeColor="text1"/>
              </w:rPr>
            </w:pPr>
            <w:r w:rsidRPr="00706C03">
              <w:rPr>
                <w:rFonts w:ascii="Arial" w:eastAsia="Calibri" w:hAnsi="Arial" w:cs="Arial"/>
                <w:b/>
                <w:color w:val="000000" w:themeColor="text1"/>
              </w:rPr>
              <w:t>Radicación:</w:t>
            </w:r>
            <w:r w:rsidRPr="00706C03">
              <w:rPr>
                <w:rFonts w:ascii="Arial" w:eastAsia="Calibri" w:hAnsi="Arial" w:cs="Arial"/>
                <w:color w:val="000000" w:themeColor="text1"/>
              </w:rPr>
              <w:t xml:space="preserve">                              </w:t>
            </w:r>
          </w:p>
        </w:tc>
        <w:tc>
          <w:tcPr>
            <w:tcW w:w="6799" w:type="dxa"/>
          </w:tcPr>
          <w:p w14:paraId="063DDF8A" w14:textId="2B9C8C5B" w:rsidR="00CE6BFB" w:rsidRPr="00706C03" w:rsidRDefault="00CE6BFB" w:rsidP="003E75D3">
            <w:pPr>
              <w:spacing w:line="276" w:lineRule="auto"/>
              <w:contextualSpacing/>
              <w:jc w:val="both"/>
              <w:rPr>
                <w:rFonts w:ascii="Arial" w:eastAsia="Calibri" w:hAnsi="Arial" w:cs="Arial"/>
                <w:color w:val="000000" w:themeColor="text1"/>
              </w:rPr>
            </w:pPr>
            <w:r w:rsidRPr="00706C03">
              <w:rPr>
                <w:rFonts w:ascii="Arial" w:eastAsia="Calibri" w:hAnsi="Arial" w:cs="Arial"/>
                <w:color w:val="000000" w:themeColor="text1"/>
              </w:rPr>
              <w:t>Respuesta a la consulta</w:t>
            </w:r>
            <w:r w:rsidR="00F64276">
              <w:rPr>
                <w:rFonts w:ascii="Arial" w:eastAsia="Calibri" w:hAnsi="Arial" w:cs="Arial"/>
                <w:color w:val="000000" w:themeColor="text1"/>
              </w:rPr>
              <w:t xml:space="preserve"> relacionada con Ley de Garantías Electorales</w:t>
            </w:r>
          </w:p>
        </w:tc>
      </w:tr>
    </w:tbl>
    <w:p w14:paraId="5EB693CB" w14:textId="77777777" w:rsidR="00CE6BFB" w:rsidRPr="00706C03" w:rsidRDefault="00CE6BFB" w:rsidP="00CE6BFB">
      <w:pPr>
        <w:spacing w:after="0" w:line="276" w:lineRule="auto"/>
        <w:contextualSpacing/>
        <w:rPr>
          <w:rFonts w:ascii="Arial" w:eastAsia="Calibri" w:hAnsi="Arial" w:cs="Arial"/>
          <w:color w:val="000000" w:themeColor="text1"/>
        </w:rPr>
      </w:pPr>
    </w:p>
    <w:p w14:paraId="1D50B2BB" w14:textId="77777777" w:rsidR="00CE6BFB" w:rsidRPr="00706C03" w:rsidRDefault="00CE6BFB" w:rsidP="00CE6BFB">
      <w:pPr>
        <w:spacing w:after="0" w:line="276" w:lineRule="auto"/>
        <w:contextualSpacing/>
        <w:rPr>
          <w:rFonts w:ascii="Arial" w:eastAsia="Calibri" w:hAnsi="Arial" w:cs="Arial"/>
          <w:color w:val="000000" w:themeColor="text1"/>
        </w:rPr>
      </w:pPr>
    </w:p>
    <w:p w14:paraId="3BE57D8F" w14:textId="7C79625B" w:rsidR="00CE6BFB" w:rsidRPr="00706C03" w:rsidRDefault="00CE6BFB" w:rsidP="00CE6BFB">
      <w:pPr>
        <w:tabs>
          <w:tab w:val="left" w:pos="3736"/>
        </w:tabs>
        <w:spacing w:after="0" w:line="276" w:lineRule="auto"/>
        <w:contextualSpacing/>
        <w:rPr>
          <w:rFonts w:ascii="Arial" w:eastAsia="Calibri" w:hAnsi="Arial" w:cs="Arial"/>
          <w:color w:val="000000" w:themeColor="text1"/>
        </w:rPr>
      </w:pPr>
      <w:r w:rsidRPr="00706C03">
        <w:rPr>
          <w:rFonts w:ascii="Arial" w:eastAsia="Calibri" w:hAnsi="Arial" w:cs="Arial"/>
          <w:color w:val="000000" w:themeColor="text1"/>
        </w:rPr>
        <w:t>Estimad</w:t>
      </w:r>
      <w:r>
        <w:rPr>
          <w:rFonts w:ascii="Arial" w:eastAsia="Calibri" w:hAnsi="Arial" w:cs="Arial"/>
          <w:color w:val="000000" w:themeColor="text1"/>
        </w:rPr>
        <w:t>o</w:t>
      </w:r>
      <w:r w:rsidRPr="00706C03">
        <w:rPr>
          <w:rFonts w:ascii="Arial" w:eastAsia="Calibri" w:hAnsi="Arial" w:cs="Arial"/>
          <w:color w:val="000000" w:themeColor="text1"/>
        </w:rPr>
        <w:t xml:space="preserve"> señor</w:t>
      </w:r>
      <w:r w:rsidR="00EE36AD">
        <w:rPr>
          <w:rFonts w:ascii="Arial" w:eastAsia="Calibri" w:hAnsi="Arial" w:cs="Arial"/>
          <w:color w:val="000000" w:themeColor="text1"/>
        </w:rPr>
        <w:t xml:space="preserve"> Agudelo</w:t>
      </w:r>
      <w:r w:rsidRPr="00706C03">
        <w:rPr>
          <w:rFonts w:ascii="Arial" w:eastAsia="Calibri" w:hAnsi="Arial" w:cs="Arial"/>
          <w:color w:val="000000" w:themeColor="text1"/>
        </w:rPr>
        <w:t>:</w:t>
      </w:r>
      <w:r w:rsidRPr="00706C03">
        <w:rPr>
          <w:rFonts w:ascii="Arial" w:eastAsia="Calibri" w:hAnsi="Arial" w:cs="Arial"/>
          <w:color w:val="000000" w:themeColor="text1"/>
        </w:rPr>
        <w:tab/>
      </w:r>
    </w:p>
    <w:p w14:paraId="6E0EB7AE" w14:textId="77777777" w:rsidR="00CE6BFB" w:rsidRPr="00706C03" w:rsidRDefault="00CE6BFB" w:rsidP="00CE6BFB">
      <w:pPr>
        <w:spacing w:after="0" w:line="276" w:lineRule="auto"/>
        <w:contextualSpacing/>
        <w:rPr>
          <w:rFonts w:ascii="Arial" w:eastAsia="Calibri" w:hAnsi="Arial" w:cs="Arial"/>
          <w:color w:val="000000" w:themeColor="text1"/>
        </w:rPr>
      </w:pPr>
    </w:p>
    <w:p w14:paraId="45A97B28" w14:textId="3CDEF6D2" w:rsidR="00CE6BFB" w:rsidRPr="00706C03" w:rsidRDefault="00CE6BFB" w:rsidP="00CE6BFB">
      <w:pPr>
        <w:pStyle w:val="Prrafodelista"/>
        <w:spacing w:after="0" w:line="276" w:lineRule="auto"/>
        <w:ind w:left="0"/>
        <w:jc w:val="both"/>
        <w:rPr>
          <w:rFonts w:ascii="Arial" w:eastAsia="Calibri" w:hAnsi="Arial" w:cs="Arial"/>
          <w:lang w:val="es-ES_tradnl"/>
        </w:rPr>
      </w:pPr>
      <w:r w:rsidRPr="00706C03">
        <w:rPr>
          <w:rFonts w:ascii="Arial" w:eastAsia="Calibri" w:hAnsi="Arial" w:cs="Arial"/>
          <w:lang w:val="es-ES_tradnl"/>
        </w:rPr>
        <w:t xml:space="preserve">En ejercicio de la competencia otorgada por </w:t>
      </w:r>
      <w:r w:rsidRPr="00706C03">
        <w:rPr>
          <w:rFonts w:ascii="Arial" w:eastAsia="Calibri" w:hAnsi="Arial" w:cs="Arial"/>
          <w:color w:val="000000" w:themeColor="text1"/>
          <w:lang w:val="es-ES_tradnl"/>
        </w:rPr>
        <w:t>el numeral 8 del artículo 11 y el numeral 5 del artículo 3 del Decreto Ley 4170 de 2011</w:t>
      </w:r>
      <w:r w:rsidRPr="00706C03">
        <w:rPr>
          <w:rFonts w:ascii="Arial" w:eastAsia="Calibri" w:hAnsi="Arial" w:cs="Arial"/>
          <w:lang w:val="es-ES_tradnl"/>
        </w:rPr>
        <w:t xml:space="preserve">, la Agencia Nacional de Contratación Pública − Colombia Compra Eficiente responde su consulta </w:t>
      </w:r>
      <w:r w:rsidR="00EE36AD">
        <w:rPr>
          <w:rFonts w:ascii="Arial" w:eastAsia="Calibri" w:hAnsi="Arial" w:cs="Arial"/>
          <w:lang w:val="es-ES_tradnl"/>
        </w:rPr>
        <w:t xml:space="preserve">traslada por competencia por el Departamento Administrativo de la Función Pública </w:t>
      </w:r>
      <w:r w:rsidRPr="00706C03">
        <w:rPr>
          <w:rFonts w:ascii="Arial" w:eastAsia="Calibri" w:hAnsi="Arial" w:cs="Arial"/>
          <w:lang w:val="es-CO"/>
        </w:rPr>
        <w:t xml:space="preserve">el </w:t>
      </w:r>
      <w:r w:rsidR="00EE36AD">
        <w:rPr>
          <w:rFonts w:ascii="Arial" w:eastAsia="Calibri" w:hAnsi="Arial" w:cs="Arial"/>
          <w:lang w:val="es-CO"/>
        </w:rPr>
        <w:t>pasado 04</w:t>
      </w:r>
      <w:r w:rsidR="00BB2AA9" w:rsidRPr="00706C03">
        <w:rPr>
          <w:rFonts w:ascii="Arial" w:eastAsia="Calibri" w:hAnsi="Arial" w:cs="Arial"/>
          <w:lang w:val="es-CO"/>
        </w:rPr>
        <w:t xml:space="preserve"> </w:t>
      </w:r>
      <w:r w:rsidRPr="00706C03">
        <w:rPr>
          <w:rFonts w:ascii="Arial" w:eastAsia="Calibri" w:hAnsi="Arial" w:cs="Arial"/>
          <w:lang w:val="es-CO"/>
        </w:rPr>
        <w:t xml:space="preserve">de </w:t>
      </w:r>
      <w:r w:rsidR="00EE36AD">
        <w:rPr>
          <w:rFonts w:ascii="Arial" w:eastAsia="Calibri" w:hAnsi="Arial" w:cs="Arial"/>
          <w:lang w:val="es-CO"/>
        </w:rPr>
        <w:t>mayo</w:t>
      </w:r>
      <w:r w:rsidRPr="00706C03">
        <w:rPr>
          <w:rFonts w:ascii="Arial" w:eastAsia="Calibri" w:hAnsi="Arial" w:cs="Arial"/>
          <w:lang w:val="es-CO"/>
        </w:rPr>
        <w:t xml:space="preserve"> de 2023. </w:t>
      </w:r>
    </w:p>
    <w:p w14:paraId="11E68B92" w14:textId="77777777" w:rsidR="00CE6BFB" w:rsidRPr="00706C03" w:rsidRDefault="00CE6BFB" w:rsidP="00CE6BFB">
      <w:pPr>
        <w:pStyle w:val="Prrafodelista"/>
        <w:spacing w:after="0" w:line="276" w:lineRule="auto"/>
        <w:ind w:left="0"/>
        <w:rPr>
          <w:rFonts w:ascii="Arial" w:eastAsia="Calibri" w:hAnsi="Arial" w:cs="Arial"/>
          <w:color w:val="000000" w:themeColor="text1"/>
        </w:rPr>
      </w:pPr>
    </w:p>
    <w:p w14:paraId="548511F1" w14:textId="77777777" w:rsidR="00CE6BFB" w:rsidRPr="00706C03" w:rsidRDefault="00CE6BFB" w:rsidP="00CE6BFB">
      <w:pPr>
        <w:tabs>
          <w:tab w:val="left" w:pos="0"/>
        </w:tabs>
        <w:spacing w:after="0" w:line="276" w:lineRule="auto"/>
        <w:contextualSpacing/>
        <w:jc w:val="both"/>
        <w:rPr>
          <w:rFonts w:ascii="Arial" w:eastAsia="Calibri" w:hAnsi="Arial" w:cs="Arial"/>
          <w:b/>
          <w:color w:val="000000" w:themeColor="text1"/>
        </w:rPr>
      </w:pPr>
      <w:r w:rsidRPr="00706C03">
        <w:rPr>
          <w:rFonts w:ascii="Arial" w:eastAsia="Calibri" w:hAnsi="Arial" w:cs="Arial"/>
          <w:b/>
          <w:color w:val="000000" w:themeColor="text1"/>
        </w:rPr>
        <w:t>1. Problema planteado</w:t>
      </w:r>
    </w:p>
    <w:p w14:paraId="100E2358" w14:textId="77777777" w:rsidR="00CE6BFB" w:rsidRPr="0093085B" w:rsidRDefault="00CE6BFB" w:rsidP="00CE6BFB">
      <w:pPr>
        <w:spacing w:after="0" w:line="276" w:lineRule="auto"/>
        <w:contextualSpacing/>
        <w:rPr>
          <w:rFonts w:ascii="Arial" w:eastAsia="Calibri" w:hAnsi="Arial" w:cs="Arial"/>
          <w:color w:val="000000" w:themeColor="text1"/>
        </w:rPr>
      </w:pPr>
    </w:p>
    <w:p w14:paraId="096EA3D0" w14:textId="77777777" w:rsidR="00CE6BFB" w:rsidRDefault="00CE6BFB" w:rsidP="00CE6BFB">
      <w:pPr>
        <w:spacing w:after="0" w:line="276" w:lineRule="auto"/>
        <w:contextualSpacing/>
        <w:jc w:val="both"/>
        <w:rPr>
          <w:rFonts w:ascii="Arial" w:eastAsia="Calibri" w:hAnsi="Arial" w:cs="Arial"/>
        </w:rPr>
      </w:pPr>
      <w:r>
        <w:rPr>
          <w:rFonts w:ascii="Arial" w:eastAsia="Calibri" w:hAnsi="Arial" w:cs="Arial"/>
        </w:rPr>
        <w:t xml:space="preserve">En relación con la Ley de Garantías Electorales, usted consulta lo siguiente: </w:t>
      </w:r>
    </w:p>
    <w:p w14:paraId="748F28EB" w14:textId="77777777" w:rsidR="00CE6BFB" w:rsidRDefault="00CE6BFB" w:rsidP="00CE6BFB">
      <w:pPr>
        <w:spacing w:after="0" w:line="276" w:lineRule="auto"/>
        <w:contextualSpacing/>
        <w:jc w:val="both"/>
        <w:rPr>
          <w:rFonts w:ascii="Arial" w:eastAsia="Calibri" w:hAnsi="Arial" w:cs="Arial"/>
        </w:rPr>
      </w:pPr>
    </w:p>
    <w:p w14:paraId="7BF805B5" w14:textId="4523DF7B" w:rsidR="00EE36AD" w:rsidRDefault="00F64276" w:rsidP="00CA38C0">
      <w:pPr>
        <w:spacing w:after="0" w:line="240" w:lineRule="auto"/>
        <w:ind w:left="709" w:right="709"/>
        <w:jc w:val="both"/>
        <w:rPr>
          <w:rFonts w:ascii="Arial" w:hAnsi="Arial" w:cs="Arial"/>
          <w:sz w:val="21"/>
          <w:szCs w:val="21"/>
        </w:rPr>
      </w:pPr>
      <w:bookmarkStart w:id="7" w:name="_Hlk136419030"/>
      <w:r w:rsidRPr="008921EC">
        <w:rPr>
          <w:rFonts w:ascii="Arial" w:eastAsia="Calibri" w:hAnsi="Arial" w:cs="Arial"/>
          <w:sz w:val="21"/>
          <w:szCs w:val="21"/>
        </w:rPr>
        <w:t>“1</w:t>
      </w:r>
      <w:r w:rsidR="00EE36AD" w:rsidRPr="008921EC">
        <w:rPr>
          <w:rFonts w:ascii="Arial" w:hAnsi="Arial" w:cs="Arial"/>
          <w:sz w:val="21"/>
          <w:szCs w:val="21"/>
        </w:rPr>
        <w:t xml:space="preserve">. ¿Teniendo en cuenta las elecciones programadas para el año 2023 qué restricciones en materia de contratación regirán de conformidad con lo dispuesto en la Ley 996 de 2005? </w:t>
      </w:r>
    </w:p>
    <w:p w14:paraId="2D4A3B9A" w14:textId="77777777" w:rsidR="00CA38C0" w:rsidRPr="008921EC" w:rsidRDefault="00CA38C0" w:rsidP="008921EC">
      <w:pPr>
        <w:spacing w:after="0" w:line="240" w:lineRule="auto"/>
        <w:ind w:left="709" w:right="709"/>
        <w:jc w:val="both"/>
        <w:rPr>
          <w:rFonts w:ascii="Arial" w:hAnsi="Arial" w:cs="Arial"/>
          <w:sz w:val="21"/>
          <w:szCs w:val="21"/>
        </w:rPr>
      </w:pPr>
    </w:p>
    <w:p w14:paraId="169B5D7B" w14:textId="77777777" w:rsidR="00EE36AD" w:rsidRPr="008921EC" w:rsidRDefault="00EE36AD" w:rsidP="008921EC">
      <w:pPr>
        <w:spacing w:after="0" w:line="240" w:lineRule="auto"/>
        <w:ind w:left="709" w:right="709"/>
        <w:jc w:val="both"/>
        <w:rPr>
          <w:rFonts w:ascii="Arial" w:hAnsi="Arial" w:cs="Arial"/>
          <w:sz w:val="21"/>
          <w:szCs w:val="21"/>
        </w:rPr>
      </w:pPr>
      <w:r w:rsidRPr="008921EC">
        <w:rPr>
          <w:rFonts w:ascii="Arial" w:hAnsi="Arial" w:cs="Arial"/>
          <w:sz w:val="21"/>
          <w:szCs w:val="21"/>
        </w:rPr>
        <w:t xml:space="preserve">2. ¿Frente a la aplicación del artículo 38 de la Ley de Garantías Electorales, ruego aclarar si dentro de esta restricción se encuentran cobijados los Contratos y/o Convenios de Asociación suscritos con Entidades Privadas? </w:t>
      </w:r>
    </w:p>
    <w:p w14:paraId="0CCA661C" w14:textId="26D0976C" w:rsidR="00CE6BFB" w:rsidRPr="008921EC" w:rsidRDefault="00EE36AD" w:rsidP="008921EC">
      <w:pPr>
        <w:spacing w:after="0" w:line="240" w:lineRule="auto"/>
        <w:ind w:left="709" w:right="709"/>
        <w:jc w:val="both"/>
        <w:rPr>
          <w:rFonts w:ascii="Arial" w:eastAsia="Calibri" w:hAnsi="Arial" w:cs="Arial"/>
          <w:sz w:val="21"/>
          <w:szCs w:val="21"/>
        </w:rPr>
      </w:pPr>
      <w:r w:rsidRPr="008921EC">
        <w:rPr>
          <w:rFonts w:ascii="Arial" w:hAnsi="Arial" w:cs="Arial"/>
          <w:sz w:val="21"/>
          <w:szCs w:val="21"/>
        </w:rPr>
        <w:lastRenderedPageBreak/>
        <w:t>3. ¿Frente a la aplicación del artículo 38 de la Ley de Garantías Electorales, ruego aclarar si dentro de esta restricción se encuentra la celebración de contratos de prestación de servicios profesionales y de apoyo a la gestión</w:t>
      </w:r>
      <w:r w:rsidR="005D799C" w:rsidRPr="008921EC">
        <w:rPr>
          <w:rFonts w:ascii="Arial" w:hAnsi="Arial" w:cs="Arial"/>
          <w:sz w:val="21"/>
          <w:szCs w:val="21"/>
        </w:rPr>
        <w:t>?”</w:t>
      </w:r>
      <w:r w:rsidR="00CE6BFB" w:rsidRPr="00CA38C0">
        <w:rPr>
          <w:rFonts w:ascii="Arial" w:hAnsi="Arial" w:cs="Arial"/>
          <w:sz w:val="21"/>
          <w:szCs w:val="21"/>
          <w:lang w:val="es-ES_tradnl"/>
        </w:rPr>
        <w:t>.</w:t>
      </w:r>
      <w:r w:rsidR="005D799C" w:rsidRPr="008921EC">
        <w:rPr>
          <w:rFonts w:ascii="Arial" w:hAnsi="Arial" w:cs="Arial"/>
          <w:sz w:val="21"/>
          <w:szCs w:val="21"/>
          <w:lang w:val="es-ES_tradnl"/>
        </w:rPr>
        <w:t xml:space="preserve"> (…)</w:t>
      </w:r>
    </w:p>
    <w:bookmarkEnd w:id="7"/>
    <w:p w14:paraId="4BBBE4F6" w14:textId="77777777" w:rsidR="00CE6BFB" w:rsidRPr="001B0D3D" w:rsidRDefault="00CE6BFB" w:rsidP="00CE6BFB">
      <w:pPr>
        <w:spacing w:after="0" w:line="276" w:lineRule="auto"/>
        <w:contextualSpacing/>
        <w:rPr>
          <w:rFonts w:ascii="Arial" w:eastAsia="Calibri" w:hAnsi="Arial" w:cs="Arial"/>
          <w:b/>
          <w:color w:val="000000" w:themeColor="text1"/>
        </w:rPr>
      </w:pPr>
    </w:p>
    <w:p w14:paraId="024B9254" w14:textId="77777777" w:rsidR="00CE6BFB" w:rsidRDefault="00CE6BFB" w:rsidP="00CE6BFB">
      <w:pPr>
        <w:spacing w:after="0" w:line="276" w:lineRule="auto"/>
        <w:contextualSpacing/>
        <w:jc w:val="both"/>
        <w:rPr>
          <w:rFonts w:ascii="Arial" w:eastAsia="Calibri" w:hAnsi="Arial" w:cs="Arial"/>
          <w:color w:val="000000" w:themeColor="text1"/>
        </w:rPr>
      </w:pPr>
      <w:r>
        <w:rPr>
          <w:rFonts w:ascii="Arial" w:eastAsia="Calibri" w:hAnsi="Arial" w:cs="Arial"/>
          <w:b/>
          <w:color w:val="000000" w:themeColor="text1"/>
        </w:rPr>
        <w:t xml:space="preserve">2. </w:t>
      </w:r>
      <w:r w:rsidRPr="006C0EA1">
        <w:rPr>
          <w:rFonts w:ascii="Arial" w:eastAsia="Calibri" w:hAnsi="Arial" w:cs="Arial"/>
          <w:b/>
          <w:color w:val="000000" w:themeColor="text1"/>
        </w:rPr>
        <w:t>Consideraciones</w:t>
      </w:r>
    </w:p>
    <w:p w14:paraId="283955A4" w14:textId="77777777" w:rsidR="00CE6BFB" w:rsidRDefault="00CE6BFB" w:rsidP="00CE6BFB">
      <w:pPr>
        <w:tabs>
          <w:tab w:val="left" w:pos="426"/>
        </w:tabs>
        <w:spacing w:after="0" w:line="276" w:lineRule="auto"/>
        <w:contextualSpacing/>
        <w:jc w:val="both"/>
        <w:rPr>
          <w:rFonts w:ascii="Arial" w:eastAsia="Calibri" w:hAnsi="Arial" w:cs="Arial"/>
          <w:color w:val="000000" w:themeColor="text1"/>
        </w:rPr>
      </w:pPr>
    </w:p>
    <w:p w14:paraId="2318D835" w14:textId="77777777" w:rsidR="001F5E5D" w:rsidRPr="001F5E5D" w:rsidRDefault="001F5E5D" w:rsidP="001F5E5D">
      <w:pPr>
        <w:spacing w:after="120" w:line="276" w:lineRule="auto"/>
        <w:jc w:val="both"/>
        <w:rPr>
          <w:rFonts w:ascii="Arial" w:hAnsi="Arial" w:cs="Arial"/>
          <w:bCs/>
          <w:lang w:val="es-MX"/>
        </w:rPr>
      </w:pPr>
      <w:r w:rsidRPr="001F5E5D">
        <w:rPr>
          <w:rFonts w:ascii="Arial" w:hAnsi="Arial" w:cs="Arial"/>
          <w:bCs/>
          <w:lang w:val="es-MX"/>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B2B29FF" w14:textId="77777777" w:rsidR="001F5E5D" w:rsidRPr="001F5E5D" w:rsidRDefault="001F5E5D" w:rsidP="001F5E5D">
      <w:pPr>
        <w:spacing w:after="120" w:line="276" w:lineRule="auto"/>
        <w:ind w:firstLine="708"/>
        <w:jc w:val="both"/>
        <w:rPr>
          <w:rFonts w:ascii="Arial" w:hAnsi="Arial" w:cs="Arial"/>
          <w:lang w:val="es-ES"/>
        </w:rPr>
      </w:pPr>
      <w:bookmarkStart w:id="8" w:name="_Hlk61701014"/>
      <w:bookmarkStart w:id="9" w:name="_Hlk62136649"/>
      <w:r w:rsidRPr="001F5E5D">
        <w:rPr>
          <w:rFonts w:ascii="Arial" w:hAnsi="Arial" w:cs="Arial"/>
          <w:lang w:val="es-ES"/>
        </w:rPr>
        <w:t xml:space="preserve">Es necesario tener en cuenta que </w:t>
      </w:r>
      <w:bookmarkStart w:id="10" w:name="_Hlk61026958"/>
      <w:r w:rsidRPr="001F5E5D">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1F5E5D">
        <w:rPr>
          <w:rFonts w:ascii="Arial" w:hAnsi="Arial" w:cs="Arial"/>
          <w:bCs/>
          <w:lang w:val="es-MX"/>
        </w:rPr>
        <w:t xml:space="preserve"> de todos los partícipes de la contratación estatal.</w:t>
      </w:r>
      <w:r w:rsidRPr="001F5E5D">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F5E5D">
        <w:rPr>
          <w:rFonts w:ascii="Arial" w:hAnsi="Arial" w:cs="Arial"/>
          <w:vertAlign w:val="superscript"/>
          <w:lang w:val="es-ES"/>
        </w:rPr>
        <w:footnoteReference w:id="2"/>
      </w:r>
      <w:r w:rsidRPr="001F5E5D">
        <w:rPr>
          <w:rFonts w:ascii="Arial" w:hAnsi="Arial" w:cs="Arial"/>
          <w:lang w:val="es-ES"/>
        </w:rPr>
        <w:t xml:space="preserve">. </w:t>
      </w:r>
    </w:p>
    <w:p w14:paraId="11F6CCB8" w14:textId="77777777" w:rsidR="001F5E5D" w:rsidRPr="001F5E5D" w:rsidRDefault="001F5E5D" w:rsidP="001F5E5D">
      <w:pPr>
        <w:spacing w:after="120" w:line="276" w:lineRule="auto"/>
        <w:ind w:firstLine="708"/>
        <w:jc w:val="both"/>
        <w:rPr>
          <w:rFonts w:ascii="Arial" w:eastAsia="Calibri" w:hAnsi="Arial" w:cs="Arial"/>
          <w:color w:val="000000" w:themeColor="text1"/>
          <w:lang w:val="es-ES"/>
        </w:rPr>
      </w:pPr>
      <w:r w:rsidRPr="001F5E5D">
        <w:rPr>
          <w:rFonts w:ascii="Arial" w:hAnsi="Arial" w:cs="Arial"/>
          <w:lang w:val="es-ES"/>
        </w:rPr>
        <w:t>Esta competencia de interpretación de normas generales, por definición, no puede extenderse a la resolución de controversias, ni a brindar asesorías sobre casos puntuales.</w:t>
      </w:r>
      <w:bookmarkEnd w:id="10"/>
      <w:r w:rsidRPr="001F5E5D">
        <w:rPr>
          <w:rFonts w:ascii="Arial" w:hAnsi="Arial" w:cs="Arial"/>
          <w:lang w:val="es-ES"/>
        </w:rPr>
        <w:t xml:space="preserve"> Por lo anterior, previo concepto de sus órganos asesores, la solución de estos temas corresponde a la entidad que adelanta el procedimiento de selección y, en caso de que se presenten irregularidades, a las autoridades judiciales, fiscales y disciplinarias</w:t>
      </w:r>
      <w:bookmarkEnd w:id="8"/>
      <w:r w:rsidRPr="001F5E5D">
        <w:rPr>
          <w:rFonts w:ascii="Arial" w:hAnsi="Arial" w:cs="Arial"/>
          <w:lang w:val="es-ES"/>
        </w:rPr>
        <w:t>.</w:t>
      </w:r>
      <w:r w:rsidRPr="001F5E5D">
        <w:rPr>
          <w:rFonts w:ascii="Arial" w:eastAsia="Calibri" w:hAnsi="Arial" w:cs="Arial"/>
          <w:color w:val="000000" w:themeColor="text1"/>
          <w:lang w:val="es-MX"/>
        </w:rPr>
        <w:t xml:space="preserve"> </w:t>
      </w:r>
      <w:bookmarkEnd w:id="9"/>
      <w:r w:rsidRPr="001F5E5D">
        <w:rPr>
          <w:rFonts w:ascii="Arial" w:eastAsia="Calibri" w:hAnsi="Arial" w:cs="Arial"/>
          <w:color w:val="000000" w:themeColor="text1"/>
          <w:lang w:val="es-MX"/>
        </w:rPr>
        <w:t xml:space="preserve">En todo caso, </w:t>
      </w:r>
      <w:r w:rsidRPr="001F5E5D">
        <w:rPr>
          <w:rFonts w:ascii="Arial" w:eastAsia="Calibri" w:hAnsi="Arial" w:cs="Arial"/>
          <w:color w:val="000000" w:themeColor="text1"/>
          <w:lang w:val="es-ES"/>
        </w:rPr>
        <w:t xml:space="preserve">la Subdirección –dentro de los límites de sus atribuciones, esto es, haciendo abstracción del caso puntual objeto de consulta– resolverá la petición conforme a las normas generales en materia de contratación estatal. </w:t>
      </w:r>
    </w:p>
    <w:p w14:paraId="3A97461A" w14:textId="23307352" w:rsidR="00CE6BFB" w:rsidRDefault="00CE6BFB" w:rsidP="00EE36AD">
      <w:pPr>
        <w:ind w:firstLine="708"/>
        <w:jc w:val="both"/>
      </w:pPr>
      <w:r>
        <w:rPr>
          <w:rFonts w:ascii="Arial" w:hAnsi="Arial" w:cs="Arial"/>
          <w:bCs/>
        </w:rPr>
        <w:t xml:space="preserve">Con el objetivo de resolver el problema planteado, </w:t>
      </w:r>
      <w:r w:rsidRPr="00A23BDA">
        <w:rPr>
          <w:rFonts w:ascii="Arial" w:hAnsi="Arial" w:cs="Arial"/>
          <w:bCs/>
          <w:lang w:val="es-ES"/>
        </w:rPr>
        <w:t>se analizarán los siguientes temas:</w:t>
      </w:r>
      <w:r w:rsidRPr="00C84F90">
        <w:rPr>
          <w:rFonts w:ascii="Arial" w:eastAsia="Calibri" w:hAnsi="Arial" w:cs="Arial"/>
          <w:bCs/>
        </w:rPr>
        <w:t xml:space="preserve"> </w:t>
      </w:r>
      <w:bookmarkStart w:id="11" w:name="_Hlk136419519"/>
      <w:r w:rsidRPr="000D153E">
        <w:rPr>
          <w:rFonts w:ascii="Arial" w:eastAsia="Calibri" w:hAnsi="Arial" w:cs="Arial"/>
          <w:bCs/>
        </w:rPr>
        <w:t xml:space="preserve">i) </w:t>
      </w:r>
      <w:r w:rsidRPr="00A40894">
        <w:rPr>
          <w:rFonts w:ascii="Arial" w:eastAsia="Calibri" w:hAnsi="Arial" w:cs="Arial"/>
          <w:bCs/>
        </w:rPr>
        <w:t>Definición y finalidad de la Ley de Garantías Electorales: alcance de las restricciones</w:t>
      </w:r>
      <w:r w:rsidRPr="000D153E">
        <w:rPr>
          <w:rFonts w:ascii="Arial" w:eastAsia="Calibri" w:hAnsi="Arial" w:cs="Arial"/>
          <w:bCs/>
        </w:rPr>
        <w:t xml:space="preserve">, ii) </w:t>
      </w:r>
      <w:r w:rsidRPr="00A40894">
        <w:rPr>
          <w:rFonts w:ascii="Arial" w:eastAsia="Calibri" w:hAnsi="Arial" w:cs="Arial"/>
          <w:bCs/>
        </w:rPr>
        <w:t xml:space="preserve">Restricciones en elecciones presidenciales: </w:t>
      </w:r>
      <w:r w:rsidR="00014FDA" w:rsidRPr="00A40894">
        <w:rPr>
          <w:rFonts w:ascii="Arial" w:eastAsia="Calibri" w:hAnsi="Arial" w:cs="Arial"/>
          <w:bCs/>
        </w:rPr>
        <w:t>prohibicion</w:t>
      </w:r>
      <w:r w:rsidR="00014FDA">
        <w:rPr>
          <w:rFonts w:ascii="Arial" w:eastAsia="Calibri" w:hAnsi="Arial" w:cs="Arial"/>
          <w:bCs/>
        </w:rPr>
        <w:t>es</w:t>
      </w:r>
      <w:r w:rsidRPr="00A40894">
        <w:rPr>
          <w:rFonts w:ascii="Arial" w:eastAsia="Calibri" w:hAnsi="Arial" w:cs="Arial"/>
          <w:bCs/>
        </w:rPr>
        <w:t xml:space="preserve"> del artículo 33 </w:t>
      </w:r>
      <w:r w:rsidR="00014FDA">
        <w:rPr>
          <w:rFonts w:ascii="Arial" w:eastAsia="Calibri" w:hAnsi="Arial" w:cs="Arial"/>
          <w:bCs/>
        </w:rPr>
        <w:t xml:space="preserve">y 38 </w:t>
      </w:r>
      <w:r w:rsidRPr="00A40894">
        <w:rPr>
          <w:rFonts w:ascii="Arial" w:eastAsia="Calibri" w:hAnsi="Arial" w:cs="Arial"/>
          <w:bCs/>
        </w:rPr>
        <w:t>de la Ley 996 de 2005</w:t>
      </w:r>
      <w:r w:rsidRPr="000D153E">
        <w:rPr>
          <w:rFonts w:ascii="Arial" w:eastAsia="Calibri" w:hAnsi="Arial" w:cs="Arial"/>
          <w:bCs/>
          <w:lang w:val="es-MX"/>
        </w:rPr>
        <w:t xml:space="preserve">, iii) </w:t>
      </w:r>
      <w:bookmarkStart w:id="12" w:name="_Hlk76110351"/>
      <w:r w:rsidRPr="00A40894">
        <w:rPr>
          <w:rFonts w:ascii="Arial" w:eastAsia="Calibri" w:hAnsi="Arial" w:cs="Arial"/>
          <w:bCs/>
          <w:lang w:val="es-MX"/>
        </w:rPr>
        <w:t>Restricciones para la celebración de contratos y convenios interadministrativos en los comicios de cargos de elección popular</w:t>
      </w:r>
      <w:r w:rsidR="00014FDA">
        <w:rPr>
          <w:rFonts w:ascii="Arial" w:eastAsia="Calibri" w:hAnsi="Arial" w:cs="Arial"/>
          <w:bCs/>
          <w:lang w:val="es-MX"/>
        </w:rPr>
        <w:t>.</w:t>
      </w:r>
      <w:r w:rsidRPr="00A40894">
        <w:rPr>
          <w:rFonts w:ascii="Arial" w:eastAsia="Calibri" w:hAnsi="Arial" w:cs="Arial"/>
          <w:bCs/>
          <w:lang w:val="es-MX"/>
        </w:rPr>
        <w:t xml:space="preserve"> </w:t>
      </w:r>
      <w:bookmarkEnd w:id="12"/>
    </w:p>
    <w:bookmarkEnd w:id="11"/>
    <w:p w14:paraId="586935E6" w14:textId="39CC56C0" w:rsidR="00CE6BFB" w:rsidRDefault="0078485F" w:rsidP="00CE6BFB">
      <w:pPr>
        <w:tabs>
          <w:tab w:val="left" w:pos="426"/>
        </w:tabs>
        <w:spacing w:after="0" w:line="276" w:lineRule="auto"/>
        <w:jc w:val="both"/>
        <w:rPr>
          <w:rFonts w:ascii="Arial" w:eastAsia="Calibri" w:hAnsi="Arial" w:cs="Arial"/>
          <w:bCs/>
        </w:rPr>
      </w:pPr>
      <w:r>
        <w:rPr>
          <w:rFonts w:ascii="Arial" w:eastAsia="Calibri" w:hAnsi="Arial" w:cs="Arial"/>
          <w:bCs/>
        </w:rPr>
        <w:lastRenderedPageBreak/>
        <w:tab/>
      </w:r>
      <w:r w:rsidR="00CE6BFB" w:rsidRPr="00446B03">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w:t>
      </w:r>
      <w:r w:rsidR="00CE6BFB">
        <w:rPr>
          <w:rFonts w:ascii="Arial" w:eastAsia="Calibri" w:hAnsi="Arial" w:cs="Arial"/>
          <w:bCs/>
        </w:rPr>
        <w:t xml:space="preserve">C-074 del 17 de marzo de 2021, C-075 del 16 de marzo de 2021, </w:t>
      </w:r>
      <w:r w:rsidR="00CE6BFB" w:rsidRPr="00446B03">
        <w:rPr>
          <w:rFonts w:ascii="Arial" w:eastAsia="Calibri" w:hAnsi="Arial" w:cs="Arial"/>
          <w:bCs/>
        </w:rPr>
        <w:t>C-227 de 2021 del 5 de mayo de 2021</w:t>
      </w:r>
      <w:r w:rsidR="00CE6BFB">
        <w:rPr>
          <w:rFonts w:ascii="Arial" w:eastAsia="Calibri" w:hAnsi="Arial" w:cs="Arial"/>
          <w:bCs/>
        </w:rPr>
        <w:t>,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C-726 del 24 de enero de 2022, C-023 del 22 de febrero de 2022, C-094 del 16 de marzo de 2022, C-147 del 25 de marzo de 2022, C-153 del 25 de marzo de 2022, C-229 del 26 de abril de 2022</w:t>
      </w:r>
      <w:r w:rsidR="00CE6BFB">
        <w:rPr>
          <w:rStyle w:val="Refdenotaalpie"/>
          <w:rFonts w:ascii="Arial" w:eastAsia="Calibri" w:hAnsi="Arial" w:cs="Arial"/>
          <w:bCs/>
        </w:rPr>
        <w:footnoteReference w:id="3"/>
      </w:r>
      <w:r w:rsidR="00CE6BFB">
        <w:rPr>
          <w:rFonts w:ascii="Arial" w:eastAsia="Calibri" w:hAnsi="Arial" w:cs="Arial"/>
          <w:bCs/>
        </w:rPr>
        <w:t xml:space="preserve">. </w:t>
      </w:r>
      <w:r w:rsidR="00CE6BFB" w:rsidRPr="007A0C25">
        <w:rPr>
          <w:rFonts w:ascii="Arial" w:eastAsia="Calibri" w:hAnsi="Arial" w:cs="Arial"/>
          <w:lang w:val="es-ES_tradnl"/>
        </w:rPr>
        <w:t>La tesis desarrollada en estos conceptos se reitera y complementa a continuación:</w:t>
      </w:r>
    </w:p>
    <w:p w14:paraId="5745AC51" w14:textId="77777777" w:rsidR="00CE6BFB" w:rsidRDefault="00CE6BFB" w:rsidP="00CE6BFB">
      <w:pPr>
        <w:tabs>
          <w:tab w:val="left" w:pos="426"/>
        </w:tabs>
        <w:spacing w:after="0" w:line="276" w:lineRule="auto"/>
        <w:contextualSpacing/>
        <w:jc w:val="both"/>
        <w:rPr>
          <w:rFonts w:ascii="Arial" w:eastAsia="Calibri" w:hAnsi="Arial" w:cs="Arial"/>
          <w:b/>
          <w:bCs/>
        </w:rPr>
      </w:pPr>
    </w:p>
    <w:p w14:paraId="26F0919E" w14:textId="521ADA11" w:rsidR="00CE6BFB" w:rsidRDefault="00343749" w:rsidP="00CE6BFB">
      <w:pPr>
        <w:tabs>
          <w:tab w:val="left" w:pos="426"/>
        </w:tabs>
        <w:spacing w:after="0" w:line="276" w:lineRule="auto"/>
        <w:contextualSpacing/>
        <w:jc w:val="both"/>
        <w:rPr>
          <w:rFonts w:ascii="Arial" w:eastAsia="Calibri" w:hAnsi="Arial" w:cs="Arial"/>
          <w:b/>
          <w:bCs/>
        </w:rPr>
      </w:pPr>
      <w:r>
        <w:rPr>
          <w:rFonts w:ascii="Arial" w:eastAsia="Calibri" w:hAnsi="Arial" w:cs="Arial"/>
          <w:b/>
          <w:bCs/>
        </w:rPr>
        <w:t>2.1</w:t>
      </w:r>
      <w:r w:rsidR="00CE6BFB">
        <w:rPr>
          <w:rFonts w:ascii="Arial" w:eastAsia="Calibri" w:hAnsi="Arial" w:cs="Arial"/>
          <w:b/>
          <w:bCs/>
        </w:rPr>
        <w:t>.</w:t>
      </w:r>
      <w:r w:rsidR="00CE6BFB" w:rsidRPr="00C84F90">
        <w:rPr>
          <w:rFonts w:ascii="Arial" w:eastAsia="Calibri" w:hAnsi="Arial" w:cs="Arial"/>
          <w:b/>
          <w:bCs/>
        </w:rPr>
        <w:t xml:space="preserve"> </w:t>
      </w:r>
      <w:bookmarkStart w:id="13" w:name="_Hlk136422411"/>
      <w:r w:rsidR="00CE6BFB" w:rsidRPr="00C84F90">
        <w:rPr>
          <w:rFonts w:ascii="Arial" w:eastAsia="Calibri" w:hAnsi="Arial" w:cs="Arial"/>
          <w:b/>
          <w:bCs/>
        </w:rPr>
        <w:t>Definición y finalidad de la Ley de Garantías Electorales: alcance de las restricciones</w:t>
      </w:r>
      <w:bookmarkEnd w:id="13"/>
    </w:p>
    <w:p w14:paraId="760F2D57" w14:textId="77777777" w:rsidR="00CE6BFB" w:rsidRPr="00C84F90" w:rsidRDefault="00CE6BFB" w:rsidP="00CE6BFB">
      <w:pPr>
        <w:tabs>
          <w:tab w:val="left" w:pos="426"/>
        </w:tabs>
        <w:spacing w:after="0" w:line="276" w:lineRule="auto"/>
        <w:contextualSpacing/>
        <w:jc w:val="both"/>
        <w:rPr>
          <w:rFonts w:ascii="Arial" w:eastAsia="Calibri" w:hAnsi="Arial" w:cs="Arial"/>
          <w:b/>
          <w:bCs/>
        </w:rPr>
      </w:pPr>
    </w:p>
    <w:p w14:paraId="3F4B65BB" w14:textId="77777777" w:rsidR="00CE6BFB" w:rsidRPr="00471C67" w:rsidRDefault="00CE6BFB" w:rsidP="00CE6BFB">
      <w:pPr>
        <w:tabs>
          <w:tab w:val="left" w:pos="426"/>
        </w:tabs>
        <w:spacing w:after="120" w:line="276" w:lineRule="auto"/>
        <w:jc w:val="both"/>
        <w:rPr>
          <w:rFonts w:ascii="Arial" w:hAnsi="Arial" w:cs="Arial"/>
          <w:bCs/>
          <w:lang w:eastAsia="es-CO"/>
        </w:rPr>
      </w:pPr>
      <w:r w:rsidRPr="00471C67">
        <w:rPr>
          <w:rFonts w:ascii="Arial" w:eastAsia="Calibri" w:hAnsi="Arial" w:cs="Arial"/>
          <w:bCs/>
        </w:rPr>
        <w:t>El ordenamiento jurídico colombiano contempla previsiones claras para evitar la obtención de beneficios personales en asuntos propios de la administración pública</w:t>
      </w:r>
      <w:r w:rsidRPr="00471C67">
        <w:rPr>
          <w:rFonts w:ascii="Arial" w:eastAsia="Calibri" w:hAnsi="Arial" w:cs="Arial"/>
          <w:bCs/>
          <w:i/>
          <w:iCs/>
        </w:rPr>
        <w:t xml:space="preserve">. </w:t>
      </w:r>
      <w:r w:rsidRPr="00471C67">
        <w:rPr>
          <w:rFonts w:ascii="Arial" w:eastAsia="Calibri" w:hAnsi="Arial"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471C67">
        <w:rPr>
          <w:rFonts w:ascii="Arial" w:eastAsia="Calibri" w:hAnsi="Arial" w:cs="Arial"/>
          <w:bCs/>
          <w:vertAlign w:val="superscript"/>
        </w:rPr>
        <w:footnoteReference w:id="4"/>
      </w:r>
      <w:r w:rsidRPr="00471C67">
        <w:rPr>
          <w:rFonts w:ascii="Arial" w:eastAsia="Calibri" w:hAnsi="Arial" w:cs="Arial"/>
          <w:bCs/>
        </w:rPr>
        <w:t xml:space="preserve">. </w:t>
      </w:r>
    </w:p>
    <w:p w14:paraId="4A8A8BFA" w14:textId="2CD4F560" w:rsidR="00CE6BFB" w:rsidRDefault="00724B39" w:rsidP="00CE6BFB">
      <w:pPr>
        <w:tabs>
          <w:tab w:val="left" w:pos="426"/>
        </w:tabs>
        <w:spacing w:after="0" w:line="276" w:lineRule="auto"/>
        <w:jc w:val="both"/>
        <w:rPr>
          <w:rFonts w:ascii="Arial" w:hAnsi="Arial" w:cs="Arial"/>
          <w:bCs/>
          <w:lang w:val="es-MX" w:eastAsia="es-CO"/>
        </w:rPr>
      </w:pPr>
      <w:r>
        <w:rPr>
          <w:rFonts w:ascii="Arial" w:hAnsi="Arial" w:cs="Arial"/>
          <w:bCs/>
          <w:lang w:eastAsia="es-CO"/>
        </w:rPr>
        <w:lastRenderedPageBreak/>
        <w:tab/>
      </w:r>
      <w:r w:rsidR="00CE6BFB" w:rsidRPr="00471C67">
        <w:rPr>
          <w:rFonts w:ascii="Arial" w:hAnsi="Arial" w:cs="Arial"/>
          <w:bCs/>
          <w:lang w:eastAsia="es-CO"/>
        </w:rPr>
        <w:t>En el mismo sentido</w:t>
      </w:r>
      <w:r w:rsidR="00CE6BFB" w:rsidRPr="00471C67">
        <w:rPr>
          <w:rFonts w:ascii="Arial" w:hAnsi="Arial" w:cs="Arial"/>
          <w:bCs/>
          <w:lang w:val="es-MX" w:eastAsia="es-CO"/>
        </w:rPr>
        <w:t xml:space="preserve">, </w:t>
      </w:r>
      <w:bookmarkStart w:id="14" w:name="_Hlk99576829"/>
      <w:r w:rsidR="00CE6BFB" w:rsidRPr="00471C67">
        <w:rPr>
          <w:rFonts w:ascii="Arial" w:hAnsi="Arial" w:cs="Arial"/>
          <w:bCs/>
          <w:lang w:val="es-MX" w:eastAsia="es-CO"/>
        </w:rPr>
        <w:t xml:space="preserve">la Ley 996 de 2005, conocida como </w:t>
      </w:r>
      <w:r w:rsidR="00CA38C0">
        <w:rPr>
          <w:rFonts w:ascii="Arial" w:hAnsi="Arial" w:cs="Arial"/>
          <w:bCs/>
          <w:lang w:val="es-MX" w:eastAsia="es-CO"/>
        </w:rPr>
        <w:t>“</w:t>
      </w:r>
      <w:r w:rsidR="00CE6BFB" w:rsidRPr="00471C67">
        <w:rPr>
          <w:rFonts w:ascii="Arial" w:hAnsi="Arial" w:cs="Arial"/>
          <w:bCs/>
          <w:lang w:val="es-MX" w:eastAsia="es-CO"/>
        </w:rPr>
        <w:t>Ley de Garantías Electorales</w:t>
      </w:r>
      <w:r w:rsidR="00CA38C0">
        <w:rPr>
          <w:rFonts w:ascii="Arial" w:hAnsi="Arial" w:cs="Arial"/>
          <w:bCs/>
          <w:lang w:val="es-MX" w:eastAsia="es-CO"/>
        </w:rPr>
        <w:t>”</w:t>
      </w:r>
      <w:r w:rsidR="00CE6BFB" w:rsidRPr="00471C67">
        <w:rPr>
          <w:rFonts w:ascii="Arial" w:hAnsi="Arial" w:cs="Arial"/>
          <w:bCs/>
          <w:lang w:val="es-MX"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CE6BFB" w:rsidRPr="00471C67">
        <w:rPr>
          <w:rFonts w:ascii="Arial" w:hAnsi="Arial" w:cs="Arial"/>
          <w:bCs/>
          <w:vertAlign w:val="superscript"/>
          <w:lang w:val="es-MX" w:eastAsia="es-CO"/>
        </w:rPr>
        <w:footnoteReference w:id="5"/>
      </w:r>
      <w:r w:rsidR="00CE6BFB" w:rsidRPr="00471C67">
        <w:rPr>
          <w:rFonts w:ascii="Arial"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00CE6BFB" w:rsidRPr="00471C67">
        <w:rPr>
          <w:rFonts w:ascii="Arial" w:eastAsia="Calibri" w:hAnsi="Arial" w:cs="Arial"/>
          <w:noProof/>
          <w:lang w:val="es-ES_tradnl"/>
        </w:rPr>
        <w:t xml:space="preserve"> </w:t>
      </w:r>
      <w:bookmarkEnd w:id="14"/>
      <w:r w:rsidR="00CE6BFB" w:rsidRPr="00471C67">
        <w:rPr>
          <w:rFonts w:ascii="Arial" w:hAnsi="Arial" w:cs="Arial"/>
          <w:bCs/>
          <w:lang w:val="es-MX" w:eastAsia="es-CO"/>
        </w:rPr>
        <w:t>En armonía con lo anterior, la Corte Constitucional ha abordado la definición de la Ley de Garantías Electorales. De esta manera, explica que tiene como propósito:</w:t>
      </w:r>
    </w:p>
    <w:p w14:paraId="4028D5E1" w14:textId="77777777" w:rsidR="00CE6BFB" w:rsidRPr="00471C67" w:rsidRDefault="00CE6BFB" w:rsidP="00CE6BFB">
      <w:pPr>
        <w:tabs>
          <w:tab w:val="left" w:pos="426"/>
        </w:tabs>
        <w:spacing w:after="0" w:line="276" w:lineRule="auto"/>
        <w:ind w:firstLine="709"/>
        <w:jc w:val="both"/>
        <w:rPr>
          <w:rFonts w:ascii="Arial" w:hAnsi="Arial" w:cs="Arial"/>
          <w:bCs/>
          <w:lang w:val="es-MX" w:eastAsia="es-CO"/>
        </w:rPr>
      </w:pPr>
    </w:p>
    <w:p w14:paraId="79A1ED54" w14:textId="5D9EAC98" w:rsidR="00CE6BFB" w:rsidRPr="00D878C8" w:rsidRDefault="00CA38C0" w:rsidP="00CE6BFB">
      <w:pPr>
        <w:spacing w:after="0" w:line="240" w:lineRule="auto"/>
        <w:ind w:left="709" w:right="709"/>
        <w:contextualSpacing/>
        <w:jc w:val="both"/>
        <w:rPr>
          <w:rFonts w:ascii="Arial" w:hAnsi="Arial" w:cs="Arial"/>
          <w:bCs/>
          <w:sz w:val="21"/>
          <w:szCs w:val="21"/>
          <w:lang w:val="es-MX" w:eastAsia="es-CO"/>
        </w:rPr>
      </w:pPr>
      <w:r>
        <w:rPr>
          <w:rFonts w:ascii="Arial" w:hAnsi="Arial" w:cs="Arial"/>
          <w:bCs/>
          <w:sz w:val="21"/>
          <w:szCs w:val="21"/>
          <w:lang w:val="es-MX" w:eastAsia="es-CO"/>
        </w:rPr>
        <w:t>“</w:t>
      </w:r>
      <w:r w:rsidR="00CE6BFB" w:rsidRPr="00D878C8">
        <w:rPr>
          <w:rFonts w:ascii="Arial" w:hAnsi="Arial" w:cs="Arial"/>
          <w:sz w:val="21"/>
          <w:szCs w:val="21"/>
          <w:lang w:val="es-ES" w:eastAsia="es-CO"/>
        </w:rPr>
        <w:t xml:space="preserve">[…] </w:t>
      </w:r>
      <w:r w:rsidR="00CE6BFB" w:rsidRPr="00D878C8">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541AB27D" w14:textId="77777777" w:rsidR="00CE6BFB" w:rsidRDefault="00CE6BFB" w:rsidP="00CE6BFB">
      <w:pPr>
        <w:spacing w:after="0" w:line="240" w:lineRule="auto"/>
        <w:ind w:left="709" w:right="709"/>
        <w:contextualSpacing/>
        <w:jc w:val="both"/>
        <w:rPr>
          <w:rFonts w:ascii="Arial" w:hAnsi="Arial" w:cs="Arial"/>
          <w:bCs/>
          <w:sz w:val="21"/>
          <w:szCs w:val="21"/>
          <w:lang w:val="es-MX" w:eastAsia="es-CO"/>
        </w:rPr>
      </w:pPr>
    </w:p>
    <w:p w14:paraId="1F3E52BC" w14:textId="77777777" w:rsidR="00CE6BFB" w:rsidRPr="00D878C8" w:rsidRDefault="00CE6BFB" w:rsidP="00CE6BFB">
      <w:pPr>
        <w:spacing w:after="0" w:line="240" w:lineRule="auto"/>
        <w:ind w:left="709" w:right="709"/>
        <w:contextualSpacing/>
        <w:jc w:val="both"/>
        <w:rPr>
          <w:rFonts w:ascii="Arial" w:hAnsi="Arial" w:cs="Arial"/>
          <w:bCs/>
          <w:sz w:val="21"/>
          <w:szCs w:val="21"/>
          <w:lang w:val="es-MX" w:eastAsia="es-CO"/>
        </w:rPr>
      </w:pPr>
      <w:r w:rsidRPr="00D878C8">
        <w:rPr>
          <w:rFonts w:ascii="Arial" w:hAnsi="Arial" w:cs="Arial"/>
          <w:bCs/>
          <w:sz w:val="21"/>
          <w:szCs w:val="21"/>
          <w:lang w:val="es-MX" w:eastAsia="es-CO"/>
        </w:rPr>
        <w:t xml:space="preserve">[…] </w:t>
      </w:r>
    </w:p>
    <w:p w14:paraId="34F8AA4C" w14:textId="77777777" w:rsidR="00CE6BFB" w:rsidRPr="00D878C8" w:rsidRDefault="00CE6BFB" w:rsidP="00CE6BFB">
      <w:pPr>
        <w:spacing w:after="0" w:line="240" w:lineRule="auto"/>
        <w:ind w:left="709" w:right="709"/>
        <w:contextualSpacing/>
        <w:jc w:val="both"/>
        <w:rPr>
          <w:rFonts w:ascii="Arial" w:hAnsi="Arial" w:cs="Arial"/>
          <w:bCs/>
          <w:sz w:val="21"/>
          <w:szCs w:val="21"/>
          <w:lang w:val="es-MX" w:eastAsia="es-CO"/>
        </w:rPr>
      </w:pPr>
    </w:p>
    <w:p w14:paraId="42AA01B2" w14:textId="2B503470" w:rsidR="00CE6BFB" w:rsidRPr="00D878C8" w:rsidRDefault="00CE6BFB" w:rsidP="00CE6BFB">
      <w:pPr>
        <w:spacing w:after="0" w:line="240" w:lineRule="auto"/>
        <w:ind w:left="709" w:right="709"/>
        <w:contextualSpacing/>
        <w:jc w:val="both"/>
        <w:rPr>
          <w:rFonts w:ascii="Arial" w:hAnsi="Arial" w:cs="Arial"/>
          <w:bCs/>
          <w:sz w:val="21"/>
          <w:szCs w:val="21"/>
          <w:lang w:val="es-MX" w:eastAsia="es-CO"/>
        </w:rPr>
      </w:pPr>
      <w:r w:rsidRPr="00D878C8">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00CA38C0">
        <w:rPr>
          <w:rFonts w:ascii="Arial" w:hAnsi="Arial" w:cs="Arial"/>
          <w:bCs/>
          <w:sz w:val="21"/>
          <w:szCs w:val="21"/>
          <w:lang w:val="es-MX" w:eastAsia="es-CO"/>
        </w:rPr>
        <w:t>”</w:t>
      </w:r>
      <w:r w:rsidRPr="00500AD4">
        <w:rPr>
          <w:rFonts w:ascii="Arial" w:eastAsia="Calibri" w:hAnsi="Arial" w:cs="Arial"/>
          <w:sz w:val="21"/>
          <w:szCs w:val="21"/>
          <w:vertAlign w:val="superscript"/>
          <w:lang w:val="es-MX"/>
        </w:rPr>
        <w:footnoteReference w:id="6"/>
      </w:r>
      <w:r w:rsidRPr="00D878C8">
        <w:rPr>
          <w:rFonts w:ascii="Arial" w:hAnsi="Arial" w:cs="Arial"/>
          <w:bCs/>
          <w:sz w:val="21"/>
          <w:szCs w:val="21"/>
          <w:lang w:val="es-MX" w:eastAsia="es-CO"/>
        </w:rPr>
        <w:t xml:space="preserve">. </w:t>
      </w:r>
    </w:p>
    <w:p w14:paraId="0F0FEC93" w14:textId="77777777" w:rsidR="00CE6BFB" w:rsidRPr="00471C67" w:rsidRDefault="00CE6BFB" w:rsidP="00CE6BFB">
      <w:pPr>
        <w:spacing w:line="276" w:lineRule="auto"/>
        <w:ind w:left="709" w:right="709"/>
        <w:contextualSpacing/>
        <w:jc w:val="both"/>
        <w:rPr>
          <w:rFonts w:ascii="Arial" w:hAnsi="Arial" w:cs="Arial"/>
          <w:bCs/>
          <w:lang w:val="es-MX" w:eastAsia="es-CO"/>
        </w:rPr>
      </w:pPr>
    </w:p>
    <w:p w14:paraId="70F36DE2" w14:textId="77777777" w:rsidR="00CE6BFB" w:rsidRPr="00471C67" w:rsidRDefault="00CE6BFB" w:rsidP="00CE6BFB">
      <w:pPr>
        <w:spacing w:after="0" w:line="276" w:lineRule="auto"/>
        <w:ind w:firstLine="709"/>
        <w:jc w:val="both"/>
        <w:rPr>
          <w:rFonts w:ascii="Arial" w:hAnsi="Arial" w:cs="Arial"/>
          <w:bCs/>
          <w:lang w:val="es-MX" w:eastAsia="es-CO"/>
        </w:rPr>
      </w:pPr>
      <w:bookmarkStart w:id="15" w:name="_Hlk78818186"/>
      <w:r w:rsidRPr="00471C67">
        <w:rPr>
          <w:rFonts w:ascii="Arial" w:hAnsi="Arial" w:cs="Arial"/>
          <w:bCs/>
          <w:lang w:val="es-MX" w:eastAsia="es-CO"/>
        </w:rPr>
        <w:t>En este contexto, la Ley de Garantías Electorales establece el marco jurídico para el desarrollo de las elecciones, procurando condiciones de igualdad y transparencia para los aspirantes y</w:t>
      </w:r>
      <w:r>
        <w:rPr>
          <w:rFonts w:ascii="Arial" w:hAnsi="Arial" w:cs="Arial"/>
          <w:bCs/>
          <w:lang w:val="es-MX" w:eastAsia="es-CO"/>
        </w:rPr>
        <w:t>,</w:t>
      </w:r>
      <w:r w:rsidRPr="00471C67">
        <w:rPr>
          <w:rFonts w:ascii="Arial" w:hAnsi="Arial" w:cs="Arial"/>
          <w:bCs/>
          <w:lang w:val="es-MX" w:eastAsia="es-CO"/>
        </w:rPr>
        <w:t xml:space="preserve"> paralelamente</w:t>
      </w:r>
      <w:r>
        <w:rPr>
          <w:rFonts w:ascii="Arial" w:hAnsi="Arial" w:cs="Arial"/>
          <w:bCs/>
          <w:lang w:val="es-MX" w:eastAsia="es-CO"/>
        </w:rPr>
        <w:t>,</w:t>
      </w:r>
      <w:r w:rsidRPr="00471C67">
        <w:rPr>
          <w:rFonts w:ascii="Arial" w:hAnsi="Arial" w:cs="Arial"/>
          <w:bCs/>
          <w:lang w:val="es-MX" w:eastAsia="es-CO"/>
        </w:rPr>
        <w:t xml:space="preserve"> se incluyen restricciones en el actuar de los servidores públicos, evitando interferencias en la contienda electoral, así como la posible desviación de recursos públicos en aspiraciones electorales. </w:t>
      </w:r>
      <w:bookmarkEnd w:id="15"/>
      <w:r w:rsidRPr="00471C67">
        <w:rPr>
          <w:rFonts w:ascii="Arial"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45CB76EE" w14:textId="77777777" w:rsidR="00CE6BFB" w:rsidRPr="00471C67" w:rsidRDefault="00CE6BFB" w:rsidP="00CE6BFB">
      <w:pPr>
        <w:spacing w:after="0" w:line="276" w:lineRule="auto"/>
        <w:ind w:firstLine="709"/>
        <w:contextualSpacing/>
        <w:jc w:val="both"/>
        <w:rPr>
          <w:rFonts w:ascii="Arial" w:hAnsi="Arial" w:cs="Arial"/>
          <w:bCs/>
          <w:lang w:val="es-MX" w:eastAsia="es-CO"/>
        </w:rPr>
      </w:pPr>
    </w:p>
    <w:p w14:paraId="299E5DCE" w14:textId="3EF871C6" w:rsidR="00CE6BFB" w:rsidRPr="00A70DD3" w:rsidRDefault="00CA38C0" w:rsidP="00CE6BFB">
      <w:pPr>
        <w:spacing w:after="0" w:line="240" w:lineRule="auto"/>
        <w:ind w:left="709" w:right="709"/>
        <w:contextualSpacing/>
        <w:jc w:val="both"/>
        <w:rPr>
          <w:rFonts w:ascii="Arial" w:hAnsi="Arial" w:cs="Arial"/>
          <w:bCs/>
          <w:sz w:val="21"/>
          <w:szCs w:val="21"/>
          <w:lang w:val="es-MX" w:eastAsia="es-CO"/>
        </w:rPr>
      </w:pPr>
      <w:r>
        <w:rPr>
          <w:rFonts w:ascii="Arial" w:hAnsi="Arial" w:cs="Arial"/>
          <w:bCs/>
          <w:sz w:val="21"/>
          <w:szCs w:val="21"/>
          <w:lang w:val="es-MX" w:eastAsia="es-CO"/>
        </w:rPr>
        <w:t>“</w:t>
      </w:r>
      <w:r w:rsidR="00CE6BFB" w:rsidRPr="00A70DD3">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w:t>
      </w:r>
      <w:r w:rsidR="00CE6BFB" w:rsidRPr="00A70DD3">
        <w:rPr>
          <w:rFonts w:ascii="Arial" w:hAnsi="Arial" w:cs="Arial"/>
          <w:bCs/>
          <w:sz w:val="21"/>
          <w:szCs w:val="21"/>
          <w:lang w:val="es-MX" w:eastAsia="es-CO"/>
        </w:rPr>
        <w:lastRenderedPageBreak/>
        <w:t>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817D68" w14:textId="77777777" w:rsidR="00CE6BFB" w:rsidRPr="00A70DD3" w:rsidRDefault="00CE6BFB" w:rsidP="00CE6BFB">
      <w:pPr>
        <w:spacing w:after="0" w:line="240" w:lineRule="auto"/>
        <w:ind w:left="709" w:right="709"/>
        <w:contextualSpacing/>
        <w:jc w:val="both"/>
        <w:rPr>
          <w:rFonts w:ascii="Arial" w:hAnsi="Arial" w:cs="Arial"/>
          <w:bCs/>
          <w:sz w:val="21"/>
          <w:szCs w:val="21"/>
          <w:lang w:val="es-MX" w:eastAsia="es-CO"/>
        </w:rPr>
      </w:pPr>
    </w:p>
    <w:p w14:paraId="71B4C2E3" w14:textId="5C317E89" w:rsidR="00CE6BFB" w:rsidRPr="00A70DD3" w:rsidRDefault="00CE6BFB" w:rsidP="00CE6BFB">
      <w:pPr>
        <w:spacing w:after="0" w:line="240" w:lineRule="auto"/>
        <w:ind w:left="709" w:right="709"/>
        <w:contextualSpacing/>
        <w:jc w:val="both"/>
        <w:rPr>
          <w:rFonts w:ascii="Arial" w:hAnsi="Arial" w:cs="Arial"/>
          <w:bCs/>
          <w:sz w:val="21"/>
          <w:szCs w:val="21"/>
          <w:lang w:val="es-MX" w:eastAsia="es-CO"/>
        </w:rPr>
      </w:pPr>
      <w:r w:rsidRPr="00A70DD3">
        <w:rPr>
          <w:rFonts w:ascii="Arial" w:hAnsi="Arial" w:cs="Arial"/>
          <w:bCs/>
          <w:sz w:val="21"/>
          <w:szCs w:val="21"/>
          <w:lang w:val="es-MX" w:eastAsia="es-CO"/>
        </w:rPr>
        <w:t>La jurisprudencia de la Corte Constitucional</w:t>
      </w:r>
      <w:r w:rsidRPr="00A70DD3">
        <w:rPr>
          <w:rFonts w:ascii="Arial" w:hAnsi="Arial" w:cs="Arial"/>
          <w:bCs/>
          <w:sz w:val="21"/>
          <w:szCs w:val="21"/>
          <w:vertAlign w:val="superscript"/>
          <w:lang w:val="es-MX" w:eastAsia="es-CO"/>
        </w:rPr>
        <w:footnoteReference w:id="7"/>
      </w:r>
      <w:r w:rsidRPr="00A70DD3">
        <w:rPr>
          <w:rFonts w:ascii="Arial" w:hAnsi="Arial" w:cs="Arial"/>
          <w:bCs/>
          <w:sz w:val="21"/>
          <w:szCs w:val="21"/>
          <w:lang w:val="es-MX" w:eastAsia="es-CO"/>
        </w:rPr>
        <w:t> y del Consejo de Estado</w:t>
      </w:r>
      <w:r w:rsidRPr="00A70DD3">
        <w:rPr>
          <w:rFonts w:ascii="Arial" w:hAnsi="Arial" w:cs="Arial"/>
          <w:bCs/>
          <w:sz w:val="21"/>
          <w:szCs w:val="21"/>
          <w:vertAlign w:val="superscript"/>
          <w:lang w:val="es-MX" w:eastAsia="es-CO"/>
        </w:rPr>
        <w:footnoteReference w:id="8"/>
      </w:r>
      <w:r w:rsidRPr="00A70DD3">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CA38C0">
        <w:rPr>
          <w:rFonts w:ascii="Arial" w:hAnsi="Arial" w:cs="Arial"/>
          <w:bCs/>
          <w:sz w:val="21"/>
          <w:szCs w:val="21"/>
          <w:lang w:val="es-MX" w:eastAsia="es-CO"/>
        </w:rPr>
        <w:t>”</w:t>
      </w:r>
      <w:r w:rsidRPr="00500AD4">
        <w:rPr>
          <w:rFonts w:ascii="Arial" w:hAnsi="Arial" w:cs="Arial"/>
          <w:bCs/>
          <w:sz w:val="21"/>
          <w:szCs w:val="21"/>
          <w:vertAlign w:val="superscript"/>
          <w:lang w:val="es-MX" w:eastAsia="es-CO"/>
        </w:rPr>
        <w:footnoteReference w:id="9"/>
      </w:r>
      <w:r w:rsidRPr="00A70DD3">
        <w:rPr>
          <w:rFonts w:ascii="Arial" w:hAnsi="Arial" w:cs="Arial"/>
          <w:bCs/>
          <w:sz w:val="21"/>
          <w:szCs w:val="21"/>
          <w:lang w:val="es-MX" w:eastAsia="es-CO"/>
        </w:rPr>
        <w:t>.</w:t>
      </w:r>
    </w:p>
    <w:p w14:paraId="3EA582F0" w14:textId="77777777" w:rsidR="00CE6BFB" w:rsidRPr="00471C67" w:rsidRDefault="00CE6BFB" w:rsidP="00CE6BFB">
      <w:pPr>
        <w:spacing w:after="0" w:line="276" w:lineRule="auto"/>
        <w:ind w:right="709"/>
        <w:contextualSpacing/>
        <w:jc w:val="both"/>
        <w:rPr>
          <w:rFonts w:ascii="Arial" w:hAnsi="Arial" w:cs="Arial"/>
          <w:bCs/>
          <w:lang w:val="es-MX" w:eastAsia="es-CO"/>
        </w:rPr>
      </w:pPr>
    </w:p>
    <w:p w14:paraId="6E9D106B" w14:textId="77777777" w:rsidR="00CE6BFB" w:rsidRPr="00471C67" w:rsidRDefault="00CE6BFB" w:rsidP="00CE6BFB">
      <w:pPr>
        <w:spacing w:after="120" w:line="276" w:lineRule="auto"/>
        <w:jc w:val="both"/>
        <w:rPr>
          <w:rFonts w:ascii="Arial" w:eastAsia="Arial" w:hAnsi="Arial" w:cs="Arial"/>
          <w:lang w:val="es-ES" w:eastAsia="es-ES" w:bidi="es-ES"/>
        </w:rPr>
      </w:pPr>
      <w:r w:rsidRPr="00471C67">
        <w:rPr>
          <w:rFonts w:ascii="Arial" w:hAnsi="Arial" w:cs="Arial"/>
          <w:bCs/>
          <w:lang w:val="es-MX" w:eastAsia="es-CO"/>
        </w:rPr>
        <w:tab/>
        <w:t>De</w:t>
      </w:r>
      <w:r w:rsidRPr="00471C67">
        <w:rPr>
          <w:rFonts w:ascii="Arial" w:eastAsia="Arial" w:hAnsi="Arial" w:cs="Arial"/>
          <w:lang w:val="es-ES" w:eastAsia="es-ES" w:bidi="es-ES"/>
        </w:rPr>
        <w:t xml:space="preserve"> conformidad con lo anterior, </w:t>
      </w:r>
      <w:bookmarkStart w:id="16" w:name="_Hlk77236098"/>
      <w:r w:rsidRPr="00471C67">
        <w:rPr>
          <w:rFonts w:ascii="Arial" w:eastAsia="Arial" w:hAnsi="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w:t>
      </w:r>
      <w:r>
        <w:rPr>
          <w:rFonts w:ascii="Arial" w:eastAsia="Arial" w:hAnsi="Arial" w:cs="Arial"/>
          <w:lang w:val="es-ES" w:eastAsia="es-ES" w:bidi="es-ES"/>
        </w:rPr>
        <w:t>n</w:t>
      </w:r>
      <w:r w:rsidRPr="00471C67">
        <w:rPr>
          <w:rFonts w:ascii="Arial" w:eastAsia="Arial" w:hAnsi="Arial" w:cs="Arial"/>
          <w:lang w:val="es-ES" w:eastAsia="es-ES" w:bidi="es-ES"/>
        </w:rPr>
        <w:t xml:space="preserve"> las condiciones de igualdad entre los candidatos. Específicamente, las restricciones consagradas en la citada ley se dirigen a dos (2) tipos de campañas electorales claramente diferenciadas: </w:t>
      </w:r>
      <w:r>
        <w:rPr>
          <w:rFonts w:ascii="Arial" w:eastAsia="Arial" w:hAnsi="Arial" w:cs="Arial"/>
          <w:lang w:val="es-ES" w:eastAsia="es-ES" w:bidi="es-ES"/>
        </w:rPr>
        <w:t xml:space="preserve">i) </w:t>
      </w:r>
      <w:r w:rsidRPr="00471C67">
        <w:rPr>
          <w:rFonts w:ascii="Arial" w:eastAsia="Arial" w:hAnsi="Arial" w:cs="Arial"/>
          <w:lang w:val="es-ES" w:eastAsia="es-ES" w:bidi="es-ES"/>
        </w:rPr>
        <w:t xml:space="preserve">las presidenciales y </w:t>
      </w:r>
      <w:r>
        <w:rPr>
          <w:rFonts w:ascii="Arial" w:eastAsia="Arial" w:hAnsi="Arial" w:cs="Arial"/>
          <w:lang w:val="es-ES" w:eastAsia="es-ES" w:bidi="es-ES"/>
        </w:rPr>
        <w:t xml:space="preserve">ii) </w:t>
      </w:r>
      <w:r w:rsidRPr="00471C67">
        <w:rPr>
          <w:rFonts w:ascii="Arial" w:eastAsia="Arial" w:hAnsi="Arial" w:cs="Arial"/>
          <w:lang w:val="es-ES" w:eastAsia="es-ES" w:bidi="es-ES"/>
        </w:rPr>
        <w:t>las demás que se adelanten para la elección de los demás cargos de elección popular, tanto a nivel nacional como territorial.</w:t>
      </w:r>
      <w:bookmarkEnd w:id="16"/>
    </w:p>
    <w:p w14:paraId="1A8BD3E8" w14:textId="0C5A1EC6" w:rsidR="00CE6BFB" w:rsidRPr="00471C67" w:rsidRDefault="00CE6BFB" w:rsidP="00CE6BFB">
      <w:pPr>
        <w:spacing w:after="120" w:line="276" w:lineRule="auto"/>
        <w:ind w:firstLine="708"/>
        <w:jc w:val="both"/>
        <w:rPr>
          <w:rFonts w:ascii="Arial" w:eastAsia="Calibri" w:hAnsi="Arial" w:cs="Arial"/>
        </w:rPr>
      </w:pPr>
      <w:r w:rsidRPr="00471C67">
        <w:rPr>
          <w:rFonts w:ascii="Arial" w:eastAsia="Calibri" w:hAnsi="Arial" w:cs="Arial"/>
        </w:rPr>
        <w:t xml:space="preserve">Por un lado, el artículo 33 de la Ley 996 de 2005 prohíbe </w:t>
      </w:r>
      <w:r w:rsidR="00CA38C0">
        <w:rPr>
          <w:rFonts w:ascii="Arial" w:eastAsia="Calibri" w:hAnsi="Arial" w:cs="Arial"/>
          <w:bCs/>
        </w:rPr>
        <w:t>“</w:t>
      </w:r>
      <w:r w:rsidRPr="00471C67">
        <w:rPr>
          <w:rFonts w:ascii="Arial" w:eastAsia="Calibri" w:hAnsi="Arial" w:cs="Arial"/>
          <w:bCs/>
        </w:rPr>
        <w:t xml:space="preserve">[…] </w:t>
      </w:r>
      <w:r w:rsidRPr="00471C67">
        <w:rPr>
          <w:rFonts w:ascii="Arial" w:eastAsia="Calibri" w:hAnsi="Arial" w:cs="Arial"/>
        </w:rPr>
        <w:t>la contratación directa por parte de todos los entes del Estado</w:t>
      </w:r>
      <w:r w:rsidR="00CA38C0">
        <w:rPr>
          <w:rFonts w:ascii="Arial" w:eastAsia="Calibri" w:hAnsi="Arial" w:cs="Arial"/>
          <w:bCs/>
        </w:rPr>
        <w:t>”</w:t>
      </w:r>
      <w:r w:rsidRPr="00471C67">
        <w:rPr>
          <w:rFonts w:ascii="Arial" w:eastAsia="Calibri" w:hAnsi="Arial" w:cs="Arial"/>
        </w:rPr>
        <w:t xml:space="preserve"> durante los cuatro (4) meses anteriores a las elecciones presidenciales, salvo </w:t>
      </w:r>
      <w:r w:rsidR="00CA38C0">
        <w:rPr>
          <w:rFonts w:ascii="Arial" w:eastAsia="Calibri" w:hAnsi="Arial" w:cs="Arial"/>
          <w:bCs/>
        </w:rPr>
        <w:t>“</w:t>
      </w:r>
      <w:r w:rsidRPr="00471C67">
        <w:rPr>
          <w:rFonts w:ascii="Arial" w:eastAsia="Calibri" w:hAnsi="Arial" w:cs="Arial"/>
          <w:bCs/>
        </w:rPr>
        <w:t xml:space="preserve">[…] </w:t>
      </w:r>
      <w:r w:rsidRPr="00471C67">
        <w:rPr>
          <w:rFonts w:ascii="Arial" w:eastAsia="Calibri" w:hAnsi="Arial"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w:t>
      </w:r>
      <w:r w:rsidRPr="00471C67">
        <w:rPr>
          <w:rFonts w:ascii="Arial" w:eastAsia="Calibri" w:hAnsi="Arial" w:cs="Arial"/>
        </w:rPr>
        <w:lastRenderedPageBreak/>
        <w:t>terroristas, desastres naturales o casos de fuerza mayor, y los que deban realizar las entidades sanitarias y hospitalarias</w:t>
      </w:r>
      <w:r w:rsidR="00CA38C0">
        <w:rPr>
          <w:rFonts w:ascii="Arial" w:eastAsia="Calibri" w:hAnsi="Arial" w:cs="Arial"/>
          <w:bCs/>
        </w:rPr>
        <w:t>”</w:t>
      </w:r>
      <w:r w:rsidRPr="00471C67">
        <w:rPr>
          <w:rFonts w:ascii="Arial" w:eastAsia="Calibri" w:hAnsi="Arial" w:cs="Arial"/>
          <w:bCs/>
          <w:vertAlign w:val="superscript"/>
        </w:rPr>
        <w:footnoteReference w:id="10"/>
      </w:r>
      <w:r w:rsidRPr="00471C67">
        <w:rPr>
          <w:rFonts w:ascii="Arial" w:eastAsia="Calibri" w:hAnsi="Arial" w:cs="Arial"/>
        </w:rPr>
        <w:t>.</w:t>
      </w:r>
    </w:p>
    <w:p w14:paraId="014D28A7" w14:textId="63AD13FB" w:rsidR="00CE6BFB" w:rsidRDefault="00CE6BFB" w:rsidP="00CE6BFB">
      <w:pPr>
        <w:widowControl w:val="0"/>
        <w:autoSpaceDE w:val="0"/>
        <w:autoSpaceDN w:val="0"/>
        <w:spacing w:after="120" w:line="276" w:lineRule="auto"/>
        <w:ind w:right="113" w:firstLine="709"/>
        <w:jc w:val="both"/>
        <w:rPr>
          <w:rFonts w:ascii="Arial" w:eastAsia="Arial" w:hAnsi="Arial" w:cs="Arial"/>
          <w:lang w:val="es-ES" w:eastAsia="es-ES" w:bidi="es-ES"/>
        </w:rPr>
      </w:pPr>
      <w:r w:rsidRPr="00471C67">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00CA38C0">
        <w:rPr>
          <w:rFonts w:ascii="Arial" w:eastAsia="Calibri" w:hAnsi="Arial" w:cs="Arial"/>
          <w:bCs/>
        </w:rPr>
        <w:t>“</w:t>
      </w:r>
      <w:r w:rsidRPr="00471C67">
        <w:rPr>
          <w:rFonts w:ascii="Arial" w:eastAsia="Calibri" w:hAnsi="Arial" w:cs="Arial"/>
          <w:bCs/>
        </w:rPr>
        <w:t xml:space="preserve">[…] </w:t>
      </w:r>
      <w:r w:rsidRPr="00471C67">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CA38C0">
        <w:rPr>
          <w:rFonts w:ascii="Arial" w:eastAsia="Calibri" w:hAnsi="Arial" w:cs="Arial"/>
          <w:bCs/>
        </w:rPr>
        <w:t>”</w:t>
      </w:r>
      <w:r w:rsidRPr="00471C67">
        <w:rPr>
          <w:rFonts w:ascii="Arial" w:eastAsia="Calibri" w:hAnsi="Arial" w:cs="Arial"/>
          <w:bCs/>
          <w:vertAlign w:val="superscript"/>
        </w:rPr>
        <w:footnoteReference w:id="11"/>
      </w:r>
      <w:r w:rsidRPr="00471C67">
        <w:rPr>
          <w:rFonts w:ascii="Arial" w:eastAsia="Calibri" w:hAnsi="Arial" w:cs="Arial"/>
          <w:lang w:val="es-MX"/>
        </w:rPr>
        <w:t>.</w:t>
      </w:r>
      <w:r w:rsidRPr="00471C67">
        <w:rPr>
          <w:rFonts w:ascii="Arial" w:eastAsia="Arial" w:hAnsi="Arial" w:cs="Arial"/>
          <w:lang w:val="es-ES" w:eastAsia="es-ES" w:bidi="es-ES"/>
        </w:rPr>
        <w:t xml:space="preserve"> </w:t>
      </w:r>
    </w:p>
    <w:p w14:paraId="081D3915" w14:textId="77777777" w:rsidR="00CE6BFB" w:rsidRPr="00471C67" w:rsidRDefault="00CE6BFB" w:rsidP="00CE6BFB">
      <w:pPr>
        <w:widowControl w:val="0"/>
        <w:autoSpaceDE w:val="0"/>
        <w:autoSpaceDN w:val="0"/>
        <w:spacing w:after="0" w:line="276" w:lineRule="auto"/>
        <w:ind w:right="113" w:firstLine="709"/>
        <w:contextualSpacing/>
        <w:jc w:val="both"/>
        <w:rPr>
          <w:rFonts w:ascii="Arial" w:eastAsia="Arial" w:hAnsi="Arial" w:cs="Arial"/>
          <w:lang w:val="es-ES" w:eastAsia="es-ES" w:bidi="es-ES"/>
        </w:rPr>
      </w:pPr>
      <w:r w:rsidRPr="00471C67">
        <w:rPr>
          <w:rFonts w:ascii="Arial" w:eastAsia="Arial" w:hAnsi="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642386C3" w14:textId="77777777" w:rsidR="00CE6BFB" w:rsidRPr="00471C67" w:rsidRDefault="00CE6BFB" w:rsidP="00CE6BFB">
      <w:pPr>
        <w:widowControl w:val="0"/>
        <w:autoSpaceDE w:val="0"/>
        <w:autoSpaceDN w:val="0"/>
        <w:spacing w:after="0" w:line="276" w:lineRule="auto"/>
        <w:ind w:left="805" w:right="811"/>
        <w:contextualSpacing/>
        <w:jc w:val="both"/>
        <w:rPr>
          <w:rFonts w:ascii="Arial" w:eastAsia="Arial" w:hAnsi="Arial" w:cs="Arial"/>
          <w:lang w:val="es-ES" w:eastAsia="es-ES" w:bidi="es-ES"/>
        </w:rPr>
      </w:pPr>
    </w:p>
    <w:p w14:paraId="41F5CBA8" w14:textId="34F72FD0" w:rsidR="00CE6BFB" w:rsidRPr="006C314F" w:rsidRDefault="00CA38C0" w:rsidP="00CE6BFB">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Pr>
          <w:rFonts w:ascii="Arial" w:hAnsi="Arial" w:cs="Arial"/>
          <w:bCs/>
          <w:sz w:val="21"/>
          <w:szCs w:val="21"/>
          <w:lang w:val="es-MX" w:eastAsia="es-CO"/>
        </w:rPr>
        <w:t>“</w:t>
      </w:r>
      <w:r w:rsidR="00CE6BFB" w:rsidRPr="006C314F">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9" w:name="_Hlk76109421"/>
      <w:r w:rsidR="00CE6BFB" w:rsidRPr="006C314F">
        <w:rPr>
          <w:rFonts w:ascii="Arial" w:eastAsia="Arial" w:hAnsi="Arial" w:cs="Arial"/>
          <w:sz w:val="21"/>
          <w:szCs w:val="21"/>
          <w:lang w:val="es-ES" w:eastAsia="es-ES" w:bidi="es-ES"/>
        </w:rPr>
        <w:t>se integran parcialmente</w:t>
      </w:r>
      <w:bookmarkEnd w:id="19"/>
      <w:r w:rsidR="00CE6BFB" w:rsidRPr="006C314F">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00CE6BFB" w:rsidRPr="006C314F">
        <w:rPr>
          <w:rFonts w:ascii="Arial" w:eastAsia="Arial" w:hAnsi="Arial" w:cs="Arial"/>
          <w:bCs/>
          <w:sz w:val="21"/>
          <w:szCs w:val="21"/>
          <w:lang w:val="es-ES" w:eastAsia="es-ES" w:bidi="es-ES"/>
        </w:rPr>
        <w:t xml:space="preserve">En cambio, para elecciones en general, excluyendo las correspondientes a Presidente de la República, a las autoridades territoriales allí mencionadas sólo se aplican las restricciones contenidas </w:t>
      </w:r>
      <w:r w:rsidR="00CE6BFB" w:rsidRPr="006C314F">
        <w:rPr>
          <w:rFonts w:ascii="Arial" w:eastAsia="Arial" w:hAnsi="Arial" w:cs="Arial"/>
          <w:bCs/>
          <w:sz w:val="21"/>
          <w:szCs w:val="21"/>
          <w:lang w:val="es-ES" w:eastAsia="es-ES" w:bidi="es-ES"/>
        </w:rPr>
        <w:lastRenderedPageBreak/>
        <w:t>en el parágrafo del artículo 38</w:t>
      </w:r>
      <w:r>
        <w:rPr>
          <w:rFonts w:ascii="Arial" w:hAnsi="Arial" w:cs="Arial"/>
          <w:bCs/>
          <w:sz w:val="21"/>
          <w:szCs w:val="21"/>
          <w:lang w:val="es-MX" w:eastAsia="es-CO"/>
        </w:rPr>
        <w:t>”</w:t>
      </w:r>
      <w:r w:rsidR="00CE6BFB" w:rsidRPr="006C314F">
        <w:rPr>
          <w:rFonts w:ascii="Arial" w:eastAsia="Arial" w:hAnsi="Arial" w:cs="Arial"/>
          <w:sz w:val="21"/>
          <w:szCs w:val="21"/>
          <w:lang w:val="es-ES" w:eastAsia="es-ES" w:bidi="es-ES"/>
        </w:rPr>
        <w:t>.</w:t>
      </w:r>
      <w:r w:rsidR="00CE6BFB" w:rsidRPr="006C314F">
        <w:rPr>
          <w:rFonts w:ascii="Arial" w:eastAsia="Arial" w:hAnsi="Arial" w:cs="Arial"/>
          <w:sz w:val="21"/>
          <w:szCs w:val="21"/>
          <w:vertAlign w:val="superscript"/>
          <w:lang w:val="es-ES" w:eastAsia="es-ES" w:bidi="es-ES"/>
        </w:rPr>
        <w:footnoteReference w:id="12"/>
      </w:r>
    </w:p>
    <w:p w14:paraId="0D92C1E7" w14:textId="77777777" w:rsidR="00CE6BFB" w:rsidRPr="00471C67" w:rsidRDefault="00CE6BFB" w:rsidP="00CE6BFB">
      <w:pPr>
        <w:widowControl w:val="0"/>
        <w:autoSpaceDE w:val="0"/>
        <w:autoSpaceDN w:val="0"/>
        <w:spacing w:line="276" w:lineRule="auto"/>
        <w:contextualSpacing/>
        <w:rPr>
          <w:rFonts w:ascii="Arial" w:eastAsia="Arial" w:hAnsi="Arial" w:cs="Arial"/>
          <w:lang w:val="es-ES" w:eastAsia="es-ES" w:bidi="es-ES"/>
        </w:rPr>
      </w:pPr>
    </w:p>
    <w:p w14:paraId="52257489" w14:textId="77777777" w:rsidR="00CE6BFB" w:rsidRPr="00471C67" w:rsidRDefault="00CE6BFB" w:rsidP="00CE6BFB">
      <w:pPr>
        <w:spacing w:after="12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 xml:space="preserve">De conformidad con lo anterior, </w:t>
      </w:r>
      <w:bookmarkStart w:id="20" w:name="_Hlk77236420"/>
      <w:bookmarkStart w:id="21" w:name="_Hlk78818435"/>
      <w:r w:rsidRPr="00471C67">
        <w:rPr>
          <w:rFonts w:ascii="Arial" w:eastAsia="Arial" w:hAnsi="Arial" w:cs="Arial"/>
          <w:lang w:val="es-ES" w:eastAsia="es-ES" w:bidi="es-ES"/>
        </w:rPr>
        <w:t xml:space="preserve">la Ley 996 de 2005 establece dos (2) tipos de restricciones en materia de contratación, las cuales coinciden parcialmente. </w:t>
      </w:r>
      <w:r w:rsidRPr="00471C67">
        <w:rPr>
          <w:rFonts w:ascii="Arial" w:eastAsia="Arial" w:hAnsi="Arial" w:cs="Arial"/>
          <w:i/>
          <w:iCs/>
          <w:lang w:val="es-ES" w:eastAsia="es-ES" w:bidi="es-ES"/>
        </w:rPr>
        <w:t>En primer lugar</w:t>
      </w:r>
      <w:r w:rsidRPr="00471C67">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71C67">
        <w:rPr>
          <w:rFonts w:ascii="Arial" w:eastAsia="Arial" w:hAnsi="Arial" w:cs="Arial"/>
          <w:i/>
          <w:iCs/>
          <w:lang w:val="es-ES" w:eastAsia="es-ES" w:bidi="es-ES"/>
        </w:rPr>
        <w:t>En segundo lugar</w:t>
      </w:r>
      <w:r w:rsidRPr="00471C67">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Arial" w:eastAsia="Arial" w:hAnsi="Arial" w:cs="Arial"/>
          <w:lang w:val="es-ES" w:eastAsia="es-ES" w:bidi="es-ES"/>
        </w:rPr>
        <w:t>, como por ejemplo, las que se van a llevar a cabo en el año 2023.</w:t>
      </w:r>
      <w:bookmarkEnd w:id="20"/>
    </w:p>
    <w:bookmarkEnd w:id="21"/>
    <w:p w14:paraId="01F49FC3" w14:textId="77777777" w:rsidR="00CE6BFB" w:rsidRPr="00471C67" w:rsidRDefault="00CE6BFB" w:rsidP="00CE6BFB">
      <w:pPr>
        <w:spacing w:after="12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20A1B636" w14:textId="3DD1D934" w:rsidR="00CE6BFB" w:rsidRDefault="00CE6BFB" w:rsidP="00CE6BFB">
      <w:pPr>
        <w:spacing w:after="0" w:line="276" w:lineRule="auto"/>
        <w:ind w:firstLine="709"/>
        <w:jc w:val="both"/>
        <w:rPr>
          <w:rFonts w:ascii="Arial" w:eastAsia="Arial" w:hAnsi="Arial" w:cs="Arial"/>
          <w:lang w:val="es-ES" w:eastAsia="es-ES" w:bidi="es-ES"/>
        </w:rPr>
      </w:pPr>
      <w:r w:rsidRPr="00471C67">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68684E5" w14:textId="77777777" w:rsidR="00CA38C0" w:rsidRDefault="00CA38C0" w:rsidP="00CE6BFB">
      <w:pPr>
        <w:spacing w:after="0" w:line="276" w:lineRule="auto"/>
        <w:ind w:firstLine="709"/>
        <w:jc w:val="both"/>
        <w:rPr>
          <w:rFonts w:ascii="Arial" w:eastAsia="Arial" w:hAnsi="Arial" w:cs="Arial"/>
          <w:lang w:val="es-ES" w:eastAsia="es-ES" w:bidi="es-ES"/>
        </w:rPr>
      </w:pPr>
    </w:p>
    <w:p w14:paraId="556DADA7" w14:textId="77777777" w:rsidR="00014FDA" w:rsidRDefault="00014FDA" w:rsidP="00CE6BFB">
      <w:pPr>
        <w:spacing w:after="0" w:line="276" w:lineRule="auto"/>
        <w:ind w:firstLine="709"/>
        <w:jc w:val="both"/>
        <w:rPr>
          <w:rFonts w:ascii="Arial" w:eastAsia="Arial" w:hAnsi="Arial" w:cs="Arial"/>
          <w:lang w:val="es-ES" w:eastAsia="es-ES" w:bidi="es-ES"/>
        </w:rPr>
      </w:pPr>
    </w:p>
    <w:p w14:paraId="56F3256A" w14:textId="2187B6FE" w:rsidR="00CE6BFB" w:rsidRDefault="003D4FBA" w:rsidP="00CE6BFB">
      <w:pPr>
        <w:spacing w:after="0" w:line="276" w:lineRule="auto"/>
        <w:contextualSpacing/>
        <w:jc w:val="both"/>
        <w:rPr>
          <w:rFonts w:ascii="Arial" w:hAnsi="Arial" w:cs="Arial"/>
          <w:b/>
          <w:bCs/>
          <w:lang w:val="es-MX" w:eastAsia="es-CO"/>
        </w:rPr>
      </w:pPr>
      <w:r w:rsidRPr="00014FDA">
        <w:rPr>
          <w:rFonts w:ascii="Arial" w:eastAsia="Arial" w:hAnsi="Arial" w:cs="Arial"/>
          <w:b/>
          <w:bCs/>
          <w:lang w:val="es-ES" w:eastAsia="es-ES" w:bidi="es-ES"/>
        </w:rPr>
        <w:lastRenderedPageBreak/>
        <w:t>2.2</w:t>
      </w:r>
      <w:r>
        <w:rPr>
          <w:rFonts w:ascii="Arial" w:eastAsia="Arial" w:hAnsi="Arial" w:cs="Arial"/>
          <w:lang w:val="es-ES" w:eastAsia="es-ES" w:bidi="es-ES"/>
        </w:rPr>
        <w:t xml:space="preserve"> </w:t>
      </w:r>
      <w:r w:rsidR="00CE6BFB">
        <w:rPr>
          <w:rFonts w:ascii="Arial" w:hAnsi="Arial" w:cs="Arial"/>
          <w:b/>
          <w:lang w:val="es-ES" w:eastAsia="es-CO"/>
        </w:rPr>
        <w:t xml:space="preserve"> </w:t>
      </w:r>
      <w:r w:rsidR="00CE6BFB" w:rsidRPr="00C84F90">
        <w:rPr>
          <w:rFonts w:ascii="Arial" w:hAnsi="Arial" w:cs="Arial"/>
          <w:b/>
          <w:lang w:val="es-ES" w:eastAsia="es-CO"/>
        </w:rPr>
        <w:t xml:space="preserve"> </w:t>
      </w:r>
      <w:r w:rsidR="00CE6BFB" w:rsidRPr="00C84F90">
        <w:rPr>
          <w:rFonts w:ascii="Arial" w:hAnsi="Arial" w:cs="Arial"/>
          <w:b/>
          <w:bCs/>
          <w:lang w:val="es-MX" w:eastAsia="es-CO"/>
        </w:rPr>
        <w:t>Restricciones en elecciones presidenciales</w:t>
      </w:r>
      <w:r w:rsidR="00CE6BFB" w:rsidRPr="007A0C25">
        <w:rPr>
          <w:rFonts w:ascii="Arial" w:hAnsi="Arial" w:cs="Arial"/>
          <w:b/>
          <w:bCs/>
          <w:lang w:eastAsia="es-CO"/>
        </w:rPr>
        <w:t>: prohibición del artículo 33</w:t>
      </w:r>
      <w:r w:rsidR="00014FDA">
        <w:rPr>
          <w:rFonts w:ascii="Arial" w:hAnsi="Arial" w:cs="Arial"/>
          <w:b/>
          <w:bCs/>
          <w:lang w:eastAsia="es-CO"/>
        </w:rPr>
        <w:t xml:space="preserve"> y 38</w:t>
      </w:r>
      <w:r w:rsidR="00CE6BFB" w:rsidRPr="007A0C25">
        <w:rPr>
          <w:rFonts w:ascii="Arial" w:hAnsi="Arial" w:cs="Arial"/>
          <w:b/>
          <w:bCs/>
          <w:lang w:eastAsia="es-CO"/>
        </w:rPr>
        <w:t xml:space="preserve"> de la Ley 996 de 2005</w:t>
      </w:r>
      <w:r w:rsidR="00CE6BFB" w:rsidRPr="00C84F90">
        <w:rPr>
          <w:rFonts w:ascii="Arial" w:hAnsi="Arial" w:cs="Arial"/>
          <w:b/>
          <w:bCs/>
          <w:lang w:val="es-MX" w:eastAsia="es-CO"/>
        </w:rPr>
        <w:t xml:space="preserve"> </w:t>
      </w:r>
    </w:p>
    <w:p w14:paraId="48EF3B22" w14:textId="77777777" w:rsidR="00CE6BFB" w:rsidRPr="00C84F90" w:rsidRDefault="00CE6BFB" w:rsidP="00CE6BFB">
      <w:pPr>
        <w:spacing w:after="0" w:line="276" w:lineRule="auto"/>
        <w:contextualSpacing/>
        <w:jc w:val="both"/>
        <w:rPr>
          <w:rFonts w:ascii="Arial" w:hAnsi="Arial" w:cs="Arial"/>
          <w:b/>
          <w:lang w:val="es-ES" w:eastAsia="es-CO"/>
        </w:rPr>
      </w:pPr>
    </w:p>
    <w:p w14:paraId="1CBC6936" w14:textId="262960E8" w:rsidR="00CE6BFB" w:rsidRPr="009311DA" w:rsidRDefault="00CE6BFB" w:rsidP="00CE6BFB">
      <w:pPr>
        <w:spacing w:after="0" w:line="276" w:lineRule="auto"/>
        <w:contextualSpacing/>
        <w:jc w:val="both"/>
        <w:rPr>
          <w:rFonts w:ascii="Arial" w:hAnsi="Arial" w:cs="Arial"/>
          <w:bCs/>
          <w:lang w:val="es-MX" w:eastAsia="es-CO"/>
        </w:rPr>
      </w:pPr>
      <w:bookmarkStart w:id="22" w:name="_Hlk75783800"/>
      <w:r>
        <w:rPr>
          <w:rFonts w:ascii="Arial" w:hAnsi="Arial" w:cs="Arial"/>
          <w:bCs/>
          <w:lang w:val="es-MX" w:eastAsia="x-none"/>
        </w:rPr>
        <w:t xml:space="preserve">Teniendo que en la consulta presentada por usted hace referencia a la contratación directa, es pertinente referirse a la limitación consagrada en el artículo 33 de la Ley 996 de 2005. </w:t>
      </w:r>
      <w:r w:rsidRPr="009311DA">
        <w:rPr>
          <w:rFonts w:ascii="Arial" w:hAnsi="Arial" w:cs="Arial"/>
          <w:bCs/>
          <w:lang w:val="es-MX" w:eastAsia="x-none"/>
        </w:rPr>
        <w:t xml:space="preserve">El ámbito material de la prohibición contenida </w:t>
      </w:r>
      <w:bookmarkStart w:id="23" w:name="_Hlk75628761"/>
      <w:r w:rsidRPr="009311DA">
        <w:rPr>
          <w:rFonts w:ascii="Arial" w:hAnsi="Arial" w:cs="Arial"/>
          <w:bCs/>
          <w:lang w:val="es-MX" w:eastAsia="x-none"/>
        </w:rPr>
        <w:t xml:space="preserve">en el artículo 33 de la Ley 996 de 2005 </w:t>
      </w:r>
      <w:bookmarkEnd w:id="23"/>
      <w:r w:rsidRPr="009311DA">
        <w:rPr>
          <w:rFonts w:ascii="Arial" w:hAnsi="Arial" w:cs="Arial"/>
          <w:bCs/>
          <w:lang w:val="es-MX" w:eastAsia="x-none"/>
        </w:rPr>
        <w:t xml:space="preserve">está delimitado por la expresión </w:t>
      </w:r>
      <w:r w:rsidR="00CA38C0">
        <w:rPr>
          <w:rFonts w:ascii="Arial" w:eastAsia="Calibri" w:hAnsi="Arial" w:cs="Arial"/>
          <w:bCs/>
          <w:lang w:val="es-MX"/>
        </w:rPr>
        <w:t>“</w:t>
      </w:r>
      <w:r w:rsidRPr="009311DA">
        <w:rPr>
          <w:rFonts w:ascii="Arial" w:hAnsi="Arial" w:cs="Arial"/>
          <w:bCs/>
          <w:lang w:val="es-MX" w:eastAsia="x-none"/>
        </w:rPr>
        <w:t>queda prohibida la contratación directa</w:t>
      </w:r>
      <w:r w:rsidR="00CA38C0">
        <w:rPr>
          <w:rFonts w:ascii="Arial" w:eastAsia="Calibri" w:hAnsi="Arial" w:cs="Arial"/>
          <w:lang w:val="es-MX"/>
        </w:rPr>
        <w:t>”</w:t>
      </w:r>
      <w:r w:rsidRPr="009311DA">
        <w:rPr>
          <w:rFonts w:ascii="Arial" w:hAnsi="Arial" w:cs="Arial"/>
          <w:bCs/>
          <w:lang w:val="es-MX" w:eastAsia="x-none"/>
        </w:rPr>
        <w:t>.</w:t>
      </w:r>
      <w:r w:rsidRPr="009311DA">
        <w:rPr>
          <w:rFonts w:ascii="Arial" w:hAnsi="Arial" w:cs="Arial"/>
          <w:lang w:val="es-MX" w:eastAsia="es-CO"/>
        </w:rPr>
        <w:t xml:space="preserve"> A propósito de </w:t>
      </w:r>
      <w:r w:rsidRPr="009311DA">
        <w:rPr>
          <w:rFonts w:ascii="Arial" w:hAnsi="Arial" w:cs="Arial"/>
          <w:lang w:eastAsia="es-CO"/>
        </w:rPr>
        <w:t>esta restricción de la Ley de Garantías Electorales, la Sala de Consulta y Servicio Civil del Consejo de Estado ha considerado que:</w:t>
      </w:r>
    </w:p>
    <w:p w14:paraId="031CF8A4" w14:textId="77777777" w:rsidR="00CE6BFB" w:rsidRPr="009311DA" w:rsidRDefault="00CE6BFB" w:rsidP="00CE6BFB">
      <w:pPr>
        <w:spacing w:after="0" w:line="276" w:lineRule="auto"/>
        <w:ind w:left="709" w:right="709"/>
        <w:contextualSpacing/>
        <w:jc w:val="both"/>
        <w:rPr>
          <w:rFonts w:ascii="Arial" w:eastAsia="Calibri" w:hAnsi="Arial" w:cs="Arial"/>
          <w:lang w:val="es-MX"/>
        </w:rPr>
      </w:pPr>
    </w:p>
    <w:p w14:paraId="097B4BA7" w14:textId="1C777342" w:rsidR="00CE6BFB" w:rsidRPr="005A5DA9" w:rsidRDefault="00CA38C0" w:rsidP="00CE6BFB">
      <w:pPr>
        <w:spacing w:after="0" w:line="240" w:lineRule="auto"/>
        <w:ind w:left="709" w:right="709"/>
        <w:contextualSpacing/>
        <w:jc w:val="both"/>
        <w:rPr>
          <w:rFonts w:ascii="Arial" w:eastAsia="Calibri" w:hAnsi="Arial" w:cs="Arial"/>
          <w:sz w:val="21"/>
          <w:szCs w:val="21"/>
          <w:lang w:val="es-MX"/>
        </w:rPr>
      </w:pPr>
      <w:r>
        <w:rPr>
          <w:rFonts w:ascii="Arial" w:eastAsia="Calibri" w:hAnsi="Arial" w:cs="Arial"/>
          <w:bCs/>
          <w:sz w:val="21"/>
          <w:szCs w:val="21"/>
          <w:lang w:val="es-MX"/>
        </w:rPr>
        <w:t>“</w:t>
      </w:r>
      <w:r w:rsidR="00CE6BFB" w:rsidRPr="005A5DA9">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00CE6BFB" w:rsidRPr="00500AD4">
        <w:rPr>
          <w:rFonts w:ascii="Arial" w:hAnsi="Arial" w:cs="Arial"/>
          <w:sz w:val="21"/>
          <w:szCs w:val="21"/>
          <w:vertAlign w:val="superscript"/>
          <w:lang w:eastAsia="es-CO"/>
        </w:rPr>
        <w:footnoteReference w:id="13"/>
      </w:r>
      <w:r w:rsidR="00CE6BFB" w:rsidRPr="005A5DA9">
        <w:rPr>
          <w:rFonts w:ascii="Arial" w:eastAsia="Calibri" w:hAnsi="Arial" w:cs="Arial"/>
          <w:sz w:val="21"/>
          <w:szCs w:val="21"/>
          <w:lang w:val="es-MX"/>
        </w:rPr>
        <w:t>.</w:t>
      </w:r>
    </w:p>
    <w:p w14:paraId="5A11EF41" w14:textId="77777777" w:rsidR="00CE6BFB" w:rsidRPr="005A5DA9" w:rsidRDefault="00CE6BFB" w:rsidP="00CE6BFB">
      <w:pPr>
        <w:spacing w:after="0" w:line="240" w:lineRule="auto"/>
        <w:ind w:left="709" w:right="709"/>
        <w:contextualSpacing/>
        <w:jc w:val="both"/>
        <w:rPr>
          <w:rFonts w:ascii="Arial" w:eastAsia="Calibri" w:hAnsi="Arial" w:cs="Arial"/>
          <w:sz w:val="21"/>
          <w:szCs w:val="21"/>
          <w:lang w:val="es-MX"/>
        </w:rPr>
      </w:pPr>
    </w:p>
    <w:p w14:paraId="7D147A2D" w14:textId="2D8D6FB0" w:rsidR="00CE6BFB" w:rsidRPr="005A5DA9" w:rsidRDefault="00CE6BFB" w:rsidP="00CE6BFB">
      <w:pPr>
        <w:spacing w:after="0" w:line="240" w:lineRule="auto"/>
        <w:ind w:left="708" w:right="709"/>
        <w:contextualSpacing/>
        <w:jc w:val="both"/>
        <w:rPr>
          <w:rFonts w:ascii="Arial" w:eastAsia="Calibri" w:hAnsi="Arial" w:cs="Arial"/>
          <w:sz w:val="21"/>
          <w:szCs w:val="21"/>
          <w:lang w:val="es-MX"/>
        </w:rPr>
      </w:pPr>
      <w:r w:rsidRPr="005A5DA9">
        <w:rPr>
          <w:rFonts w:ascii="Arial" w:eastAsia="Calibri" w:hAnsi="Arial" w:cs="Arial"/>
          <w:sz w:val="21"/>
          <w:szCs w:val="21"/>
          <w:lang w:val="es-MX"/>
        </w:rPr>
        <w:t xml:space="preserve">Esta Sala ha entendido que para los efectos de la ley de garantías, y dada su finalidad, el enunciado ´contratación directa´ es sinónimo </w:t>
      </w:r>
      <w:bookmarkStart w:id="24" w:name="_Hlk75741738"/>
      <w:r w:rsidRPr="005A5DA9">
        <w:rPr>
          <w:rFonts w:ascii="Arial" w:eastAsia="Calibri" w:hAnsi="Arial" w:cs="Arial"/>
          <w:sz w:val="21"/>
          <w:szCs w:val="21"/>
          <w:lang w:val="es-MX"/>
        </w:rPr>
        <w:t xml:space="preserve">de cualquier sistema que no implique convocatoria pública y posibilidad de pluralidad de oferentes, </w:t>
      </w:r>
      <w:bookmarkEnd w:id="24"/>
      <w:r w:rsidRPr="005A5DA9">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5A5DA9">
        <w:rPr>
          <w:rFonts w:ascii="Arial" w:hAnsi="Arial" w:cs="Arial"/>
          <w:sz w:val="21"/>
          <w:szCs w:val="21"/>
          <w:vertAlign w:val="superscript"/>
          <w:lang w:val="es-MX"/>
        </w:rPr>
        <w:footnoteReference w:id="14"/>
      </w:r>
      <w:r w:rsidRPr="005A5DA9">
        <w:rPr>
          <w:rFonts w:ascii="Arial" w:hAnsi="Arial" w:cs="Arial"/>
          <w:sz w:val="21"/>
          <w:szCs w:val="21"/>
          <w:vertAlign w:val="superscript"/>
          <w:lang w:val="es-MX"/>
        </w:rPr>
        <w:t>.</w:t>
      </w:r>
      <w:r w:rsidRPr="005A5DA9">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CA38C0">
        <w:rPr>
          <w:rFonts w:ascii="Arial" w:eastAsia="Calibri" w:hAnsi="Arial" w:cs="Arial"/>
          <w:sz w:val="21"/>
          <w:szCs w:val="21"/>
          <w:lang w:val="es-MX"/>
        </w:rPr>
        <w:t>”</w:t>
      </w:r>
      <w:r w:rsidRPr="00500AD4">
        <w:rPr>
          <w:rFonts w:ascii="Arial" w:hAnsi="Arial" w:cs="Arial"/>
          <w:sz w:val="21"/>
          <w:szCs w:val="21"/>
          <w:vertAlign w:val="superscript"/>
          <w:lang w:eastAsia="es-CO"/>
        </w:rPr>
        <w:footnoteReference w:id="15"/>
      </w:r>
      <w:r w:rsidRPr="005A5DA9">
        <w:rPr>
          <w:rFonts w:ascii="Arial" w:eastAsia="Calibri" w:hAnsi="Arial" w:cs="Arial"/>
          <w:sz w:val="21"/>
          <w:szCs w:val="21"/>
          <w:lang w:val="es-MX"/>
        </w:rPr>
        <w:t xml:space="preserve"> .</w:t>
      </w:r>
    </w:p>
    <w:p w14:paraId="159FFEA5" w14:textId="77777777" w:rsidR="00CE6BFB" w:rsidRPr="009311DA" w:rsidRDefault="00CE6BFB" w:rsidP="00CE6BFB">
      <w:pPr>
        <w:shd w:val="clear" w:color="auto" w:fill="FFFFFF"/>
        <w:spacing w:after="0" w:line="276" w:lineRule="auto"/>
        <w:ind w:firstLine="709"/>
        <w:contextualSpacing/>
        <w:jc w:val="both"/>
        <w:rPr>
          <w:rFonts w:ascii="Arial" w:hAnsi="Arial" w:cs="Arial"/>
          <w:lang w:eastAsia="x-none"/>
        </w:rPr>
      </w:pPr>
    </w:p>
    <w:p w14:paraId="35F8C1CE" w14:textId="485E7CCE" w:rsidR="00CE6BFB" w:rsidRPr="009311DA" w:rsidRDefault="00CE6BFB" w:rsidP="00CE6BFB">
      <w:pPr>
        <w:spacing w:after="120" w:line="276" w:lineRule="auto"/>
        <w:ind w:firstLine="709"/>
        <w:jc w:val="both"/>
        <w:rPr>
          <w:rFonts w:ascii="Arial" w:hAnsi="Arial" w:cs="Arial"/>
          <w:bCs/>
          <w:lang w:eastAsia="x-none"/>
        </w:rPr>
      </w:pPr>
      <w:bookmarkStart w:id="26" w:name="_Hlk94521748"/>
      <w:r w:rsidRPr="009311DA">
        <w:rPr>
          <w:rFonts w:ascii="Arial" w:hAnsi="Arial" w:cs="Arial"/>
          <w:lang w:eastAsia="x-none"/>
        </w:rPr>
        <w:t xml:space="preserve">De conformidad con el citado concepto, </w:t>
      </w:r>
      <w:bookmarkStart w:id="27" w:name="_Hlk78818702"/>
      <w:r w:rsidRPr="009311DA">
        <w:rPr>
          <w:rFonts w:ascii="Arial" w:hAnsi="Arial" w:cs="Arial"/>
          <w:lang w:eastAsia="x-none"/>
        </w:rPr>
        <w:t xml:space="preserve">la prohibición del artículo 33 de la Ley de Garantías Electorales se refiere a </w:t>
      </w:r>
      <w:r w:rsidR="00CA38C0">
        <w:rPr>
          <w:rFonts w:ascii="Arial" w:hAnsi="Arial" w:cs="Arial"/>
          <w:lang w:eastAsia="en-GB"/>
        </w:rPr>
        <w:t>“</w:t>
      </w:r>
      <w:r w:rsidRPr="009311DA">
        <w:rPr>
          <w:rFonts w:ascii="Arial" w:hAnsi="Arial" w:cs="Arial"/>
          <w:lang w:eastAsia="x-none"/>
        </w:rPr>
        <w:t>cualquier sistema que no implique convocatoria pública y posibilidad de pluralidad de oferentes</w:t>
      </w:r>
      <w:r w:rsidR="00CA38C0">
        <w:rPr>
          <w:rFonts w:ascii="Arial" w:hAnsi="Arial" w:cs="Arial"/>
          <w:lang w:eastAsia="en-GB"/>
        </w:rPr>
        <w:t>”</w:t>
      </w:r>
      <w:r w:rsidRPr="009311DA">
        <w:rPr>
          <w:rFonts w:ascii="Arial" w:hAnsi="Arial"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6"/>
      <w:bookmarkEnd w:id="27"/>
      <w:r w:rsidRPr="009311DA">
        <w:rPr>
          <w:rFonts w:ascii="Arial" w:hAnsi="Arial" w:cs="Arial"/>
          <w:lang w:eastAsia="x-none"/>
        </w:rPr>
        <w:t xml:space="preserve">Esta posición es congruente con la expedición de la Ley 1150 de 2007 que, entre otras reformas, introdujo la selección abreviada, </w:t>
      </w:r>
      <w:r w:rsidRPr="009311DA">
        <w:rPr>
          <w:rFonts w:ascii="Arial" w:hAnsi="Arial" w:cs="Arial"/>
          <w:lang w:eastAsia="x-none"/>
        </w:rPr>
        <w:lastRenderedPageBreak/>
        <w:t>rediseñó el concurso de méritos</w:t>
      </w:r>
      <w:r w:rsidRPr="009311DA">
        <w:rPr>
          <w:rFonts w:ascii="Arial" w:hAnsi="Arial" w:cs="Arial"/>
          <w:vertAlign w:val="superscript"/>
          <w:lang w:val="en-GB" w:eastAsia="x-none"/>
        </w:rPr>
        <w:footnoteReference w:id="16"/>
      </w:r>
      <w:r w:rsidRPr="009311DA">
        <w:rPr>
          <w:rFonts w:ascii="Arial" w:hAnsi="Arial" w:cs="Arial"/>
          <w:lang w:eastAsia="x-none"/>
        </w:rPr>
        <w:t xml:space="preserve"> y sistematizó las causales de contratación directa</w:t>
      </w:r>
      <w:r w:rsidRPr="009311DA">
        <w:rPr>
          <w:rFonts w:ascii="Arial" w:hAnsi="Arial" w:cs="Arial"/>
          <w:vertAlign w:val="superscript"/>
          <w:lang w:val="en-GB" w:eastAsia="x-none"/>
        </w:rPr>
        <w:footnoteReference w:id="17"/>
      </w:r>
      <w:r w:rsidRPr="007A0C25">
        <w:rPr>
          <w:rFonts w:ascii="Arial" w:hAnsi="Arial" w:cs="Arial"/>
          <w:lang w:eastAsia="x-none"/>
        </w:rPr>
        <w:t>, además lo es con la posterior creación de la modalidad de mínima cuantía establecida actualmente en el numeral 5 del artículo2 de la Ley 1150 de 2007, de acuerdo con las modificaciones realizadas por las leyes posteriores</w:t>
      </w:r>
      <w:r w:rsidRPr="009311DA">
        <w:rPr>
          <w:rFonts w:ascii="Arial" w:hAnsi="Arial" w:cs="Arial"/>
          <w:lang w:eastAsia="x-none"/>
        </w:rPr>
        <w:t xml:space="preserve">. </w:t>
      </w:r>
    </w:p>
    <w:p w14:paraId="232FC8B7" w14:textId="124B04F9" w:rsidR="00CE6BFB" w:rsidRPr="009311DA" w:rsidRDefault="00CE6BFB" w:rsidP="00CE6BFB">
      <w:pPr>
        <w:spacing w:after="120" w:line="276" w:lineRule="auto"/>
        <w:ind w:firstLine="709"/>
        <w:jc w:val="both"/>
        <w:rPr>
          <w:rFonts w:ascii="Arial" w:hAnsi="Arial" w:cs="Arial"/>
          <w:lang w:val="es-MX" w:eastAsia="x-none"/>
        </w:rPr>
      </w:pPr>
      <w:r w:rsidRPr="009311DA">
        <w:rPr>
          <w:rFonts w:ascii="Arial" w:hAnsi="Arial" w:cs="Arial"/>
          <w:lang w:eastAsia="x-none"/>
        </w:rPr>
        <w:t xml:space="preserve">De esta forma, se ha depurado la noción de </w:t>
      </w:r>
      <w:r w:rsidR="00CA38C0">
        <w:rPr>
          <w:rFonts w:ascii="Arial" w:hAnsi="Arial" w:cs="Arial"/>
          <w:lang w:eastAsia="en-GB"/>
        </w:rPr>
        <w:t>“</w:t>
      </w:r>
      <w:r w:rsidRPr="009311DA">
        <w:rPr>
          <w:rFonts w:ascii="Arial" w:hAnsi="Arial" w:cs="Arial"/>
          <w:lang w:eastAsia="x-none"/>
        </w:rPr>
        <w:t>contratación directa</w:t>
      </w:r>
      <w:r w:rsidR="00CA38C0">
        <w:rPr>
          <w:rFonts w:ascii="Arial" w:hAnsi="Arial" w:cs="Arial"/>
          <w:lang w:eastAsia="en-GB"/>
        </w:rPr>
        <w:t>”</w:t>
      </w:r>
      <w:r w:rsidRPr="009311DA">
        <w:rPr>
          <w:rFonts w:ascii="Arial" w:hAnsi="Arial" w:cs="Arial"/>
          <w:lang w:eastAsia="x-none"/>
        </w:rPr>
        <w:t xml:space="preserve">, precisando el Consejo de Estado –en el concepto citado– que, </w:t>
      </w:r>
      <w:r w:rsidR="00CA38C0">
        <w:rPr>
          <w:rFonts w:ascii="Arial" w:hAnsi="Arial" w:cs="Arial"/>
          <w:lang w:eastAsia="x-none"/>
        </w:rPr>
        <w:t>“</w:t>
      </w:r>
      <w:r w:rsidRPr="009311DA">
        <w:rPr>
          <w:rFonts w:ascii="Arial" w:hAnsi="Arial"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311DA">
        <w:rPr>
          <w:rFonts w:ascii="Arial" w:hAnsi="Arial" w:cs="Arial"/>
          <w:vertAlign w:val="superscript"/>
          <w:lang w:val="en-GB" w:eastAsia="x-none"/>
        </w:rPr>
        <w:footnoteReference w:id="18"/>
      </w:r>
      <w:r w:rsidRPr="009311DA">
        <w:rPr>
          <w:rFonts w:ascii="Arial" w:hAnsi="Arial" w:cs="Arial"/>
          <w:lang w:eastAsia="x-none"/>
        </w:rPr>
        <w:t>, han establecido sistemas de contratación que implican convocatoria pública y participación de varios oferentes</w:t>
      </w:r>
      <w:r w:rsidR="00CA38C0">
        <w:rPr>
          <w:rFonts w:ascii="Arial" w:hAnsi="Arial" w:cs="Arial"/>
          <w:lang w:eastAsia="en-GB"/>
        </w:rPr>
        <w:t>”</w:t>
      </w:r>
      <w:r w:rsidRPr="009311DA">
        <w:rPr>
          <w:rFonts w:ascii="Arial" w:hAnsi="Arial" w:cs="Arial"/>
          <w:lang w:eastAsia="x-none"/>
        </w:rPr>
        <w:t xml:space="preserve">. </w:t>
      </w:r>
    </w:p>
    <w:p w14:paraId="7B33D5E4" w14:textId="24BBD115" w:rsidR="00CE6BFB" w:rsidRPr="009311DA" w:rsidRDefault="00CE6BFB" w:rsidP="00CE6BFB">
      <w:pPr>
        <w:spacing w:after="120" w:line="276" w:lineRule="auto"/>
        <w:ind w:firstLine="709"/>
        <w:jc w:val="both"/>
        <w:rPr>
          <w:rFonts w:ascii="Arial" w:hAnsi="Arial" w:cs="Arial"/>
          <w:bCs/>
          <w:lang w:val="es-MX" w:eastAsia="es-CO"/>
        </w:rPr>
      </w:pPr>
      <w:r w:rsidRPr="009311DA">
        <w:rPr>
          <w:rFonts w:ascii="Arial" w:hAnsi="Arial" w:cs="Arial"/>
          <w:bCs/>
          <w:lang w:val="es-MX" w:eastAsia="x-none"/>
        </w:rPr>
        <w:t>E</w:t>
      </w:r>
      <w:r w:rsidRPr="009311DA">
        <w:rPr>
          <w:rFonts w:ascii="Arial" w:hAnsi="Arial" w:cs="Arial"/>
          <w:lang w:eastAsia="x-none"/>
        </w:rPr>
        <w:t xml:space="preserve">n efecto, vale la pena mencionar que, </w:t>
      </w:r>
      <w:bookmarkStart w:id="28" w:name="_Hlk75636073"/>
      <w:r w:rsidRPr="009311DA">
        <w:rPr>
          <w:rFonts w:ascii="Arial" w:hAnsi="Arial"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00CA38C0">
        <w:rPr>
          <w:rFonts w:ascii="Arial" w:hAnsi="Arial" w:cs="Arial"/>
          <w:lang w:eastAsia="x-none"/>
        </w:rPr>
        <w:t>“</w:t>
      </w:r>
      <w:r w:rsidRPr="009311DA">
        <w:rPr>
          <w:rFonts w:ascii="Arial" w:hAnsi="Arial" w:cs="Arial"/>
          <w:lang w:eastAsia="x-none"/>
        </w:rPr>
        <w:t>contratación directa</w:t>
      </w:r>
      <w:r w:rsidR="00CA38C0">
        <w:rPr>
          <w:rFonts w:ascii="Arial" w:hAnsi="Arial" w:cs="Arial"/>
          <w:lang w:eastAsia="x-none"/>
        </w:rPr>
        <w:t>”</w:t>
      </w:r>
      <w:r w:rsidRPr="009311DA">
        <w:rPr>
          <w:rFonts w:ascii="Arial" w:hAnsi="Arial" w:cs="Arial"/>
          <w:lang w:eastAsia="x-none"/>
        </w:rPr>
        <w:t>, es que la convocatoria para inscribirse en forma previa se haga de manera pública, y que se permita la participación de una pluralidad de oferentes</w:t>
      </w:r>
      <w:bookmarkEnd w:id="28"/>
      <w:r w:rsidRPr="009311DA">
        <w:rPr>
          <w:rFonts w:ascii="Arial" w:hAnsi="Arial" w:cs="Arial"/>
          <w:vertAlign w:val="superscript"/>
          <w:lang w:eastAsia="x-none"/>
        </w:rPr>
        <w:footnoteReference w:id="19"/>
      </w:r>
      <w:r w:rsidRPr="009311DA">
        <w:rPr>
          <w:rFonts w:ascii="Arial" w:hAnsi="Arial" w:cs="Arial"/>
          <w:lang w:eastAsia="x-none"/>
        </w:rPr>
        <w:t xml:space="preserve">. </w:t>
      </w:r>
    </w:p>
    <w:p w14:paraId="0EA17BA0" w14:textId="3DAF5EBC" w:rsidR="00CE6BFB" w:rsidRPr="009311DA" w:rsidRDefault="00CE6BFB" w:rsidP="00CE6BFB">
      <w:pPr>
        <w:spacing w:after="120" w:line="276" w:lineRule="auto"/>
        <w:ind w:firstLine="709"/>
        <w:jc w:val="both"/>
        <w:rPr>
          <w:rFonts w:ascii="Arial" w:hAnsi="Arial" w:cs="Arial"/>
          <w:bCs/>
          <w:lang w:val="es-MX" w:eastAsia="es-CO"/>
        </w:rPr>
      </w:pPr>
      <w:r w:rsidRPr="009311DA">
        <w:rPr>
          <w:rFonts w:ascii="Arial" w:hAnsi="Arial" w:cs="Arial"/>
          <w:bCs/>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Pr>
          <w:rFonts w:ascii="Arial" w:hAnsi="Arial" w:cs="Arial"/>
          <w:bCs/>
          <w:lang w:val="es-MX" w:eastAsia="es-CO"/>
        </w:rPr>
        <w:t xml:space="preserve"> -en adelante EGCAP-</w:t>
      </w:r>
      <w:r w:rsidRPr="009311DA">
        <w:rPr>
          <w:rFonts w:ascii="Arial" w:hAnsi="Arial" w:cs="Arial"/>
          <w:bCs/>
          <w:lang w:val="es-MX" w:eastAsia="es-CO"/>
        </w:rPr>
        <w:t xml:space="preserve">, sino también frente a las entidades que tengan un régimen especial de contratación. No obstante, también se observa que luego de la expedición de Ley 1150 de 2007, el Consejo de Estado comenzó a delimitar con mayor precisión el término de </w:t>
      </w:r>
      <w:r w:rsidR="00CA38C0">
        <w:rPr>
          <w:rFonts w:ascii="Arial" w:hAnsi="Arial" w:cs="Arial"/>
          <w:bCs/>
          <w:lang w:val="es-MX" w:eastAsia="es-CO"/>
        </w:rPr>
        <w:t>“</w:t>
      </w:r>
      <w:r w:rsidRPr="009311DA">
        <w:rPr>
          <w:rFonts w:ascii="Arial" w:hAnsi="Arial" w:cs="Arial"/>
          <w:bCs/>
          <w:lang w:val="es-MX" w:eastAsia="es-CO"/>
        </w:rPr>
        <w:t>contratación directa</w:t>
      </w:r>
      <w:r w:rsidR="00CA38C0">
        <w:rPr>
          <w:rFonts w:ascii="Arial" w:hAnsi="Arial" w:cs="Arial"/>
          <w:bCs/>
          <w:lang w:val="es-MX" w:eastAsia="es-CO"/>
        </w:rPr>
        <w:t>”</w:t>
      </w:r>
      <w:r w:rsidRPr="009311DA">
        <w:rPr>
          <w:rFonts w:ascii="Arial" w:hAnsi="Arial" w:cs="Arial"/>
          <w:bCs/>
          <w:lang w:val="es-MX" w:eastAsia="es-CO"/>
        </w:rPr>
        <w:t>.</w:t>
      </w:r>
    </w:p>
    <w:p w14:paraId="64105CE6" w14:textId="17EB984A" w:rsidR="00CE6BFB" w:rsidRPr="009311DA" w:rsidRDefault="00CE6BFB" w:rsidP="00CE6BFB">
      <w:pPr>
        <w:spacing w:after="120" w:line="276" w:lineRule="auto"/>
        <w:ind w:firstLine="709"/>
        <w:jc w:val="both"/>
        <w:rPr>
          <w:rFonts w:ascii="Arial" w:hAnsi="Arial" w:cs="Arial"/>
          <w:bCs/>
          <w:lang w:val="es-MX" w:eastAsia="x-none"/>
        </w:rPr>
      </w:pPr>
      <w:bookmarkStart w:id="29" w:name="_Hlk78818796"/>
      <w:r w:rsidRPr="009311DA">
        <w:rPr>
          <w:rFonts w:ascii="Arial" w:hAnsi="Arial" w:cs="Arial"/>
          <w:bCs/>
          <w:lang w:val="es-MX" w:eastAsia="x-none"/>
        </w:rPr>
        <w:t xml:space="preserve"> Así las cosas, </w:t>
      </w:r>
      <w:bookmarkStart w:id="30" w:name="_Hlk99577798"/>
      <w:r w:rsidRPr="009311DA">
        <w:rPr>
          <w:rFonts w:ascii="Arial" w:hAnsi="Arial" w:cs="Arial"/>
          <w:bCs/>
          <w:lang w:val="es-MX" w:eastAsia="x-none"/>
        </w:rPr>
        <w:t xml:space="preserve">ha de entenderse que, para los efectos de la Ley de Garantías Electorales y, en particular, para la restricción temporal contenida en su artículo 33, </w:t>
      </w:r>
      <w:r w:rsidR="00CA38C0">
        <w:rPr>
          <w:rFonts w:ascii="Arial" w:hAnsi="Arial" w:cs="Arial"/>
          <w:bCs/>
          <w:lang w:val="es-MX" w:eastAsia="x-none"/>
        </w:rPr>
        <w:t>“</w:t>
      </w:r>
      <w:r w:rsidRPr="009311DA">
        <w:rPr>
          <w:rFonts w:ascii="Arial" w:hAnsi="Arial" w:cs="Arial"/>
          <w:bCs/>
          <w:lang w:val="es-MX" w:eastAsia="x-none"/>
        </w:rPr>
        <w:t>contratación directa</w:t>
      </w:r>
      <w:r w:rsidR="00CA38C0">
        <w:rPr>
          <w:rFonts w:ascii="Arial" w:hAnsi="Arial" w:cs="Arial"/>
          <w:bCs/>
          <w:lang w:val="es-MX" w:eastAsia="x-none"/>
        </w:rPr>
        <w:t>”</w:t>
      </w:r>
      <w:r w:rsidRPr="009311DA">
        <w:rPr>
          <w:rFonts w:ascii="Arial" w:hAnsi="Arial" w:cs="Arial"/>
          <w:bCs/>
          <w:lang w:val="es-MX" w:eastAsia="x-none"/>
        </w:rPr>
        <w:t xml:space="preserve"> es cualquier sistema de selección o procedimiento de contratación utilizado por las entidades </w:t>
      </w:r>
      <w:r w:rsidRPr="009311DA">
        <w:rPr>
          <w:rFonts w:ascii="Arial" w:hAnsi="Arial" w:cs="Arial"/>
          <w:bCs/>
          <w:lang w:val="es-MX" w:eastAsia="x-none"/>
        </w:rPr>
        <w:lastRenderedPageBreak/>
        <w:t>estatales que no incluya la convocatoria pública en alguna de sus etapas, ni permita la participación de una pluralidad de oferentes</w:t>
      </w:r>
      <w:r w:rsidRPr="009311DA">
        <w:rPr>
          <w:rFonts w:ascii="Arial" w:hAnsi="Arial" w:cs="Arial"/>
          <w:vertAlign w:val="superscript"/>
          <w:lang w:eastAsia="x-none"/>
        </w:rPr>
        <w:footnoteReference w:id="20"/>
      </w:r>
      <w:r w:rsidRPr="009311DA">
        <w:rPr>
          <w:rFonts w:ascii="Arial" w:hAnsi="Arial" w:cs="Arial"/>
          <w:bCs/>
          <w:lang w:val="es-MX" w:eastAsia="x-none"/>
        </w:rPr>
        <w:t>.</w:t>
      </w:r>
      <w:r w:rsidRPr="009311DA">
        <w:rPr>
          <w:rFonts w:ascii="Arial" w:hAnsi="Arial" w:cs="Arial"/>
          <w:vertAlign w:val="superscript"/>
          <w:lang w:eastAsia="x-none"/>
        </w:rPr>
        <w:t xml:space="preserve"> </w:t>
      </w:r>
    </w:p>
    <w:bookmarkEnd w:id="29"/>
    <w:p w14:paraId="62C8D119" w14:textId="77777777" w:rsidR="00CE6BFB" w:rsidRPr="009311DA" w:rsidRDefault="00CE6BFB" w:rsidP="00CE6BFB">
      <w:pPr>
        <w:spacing w:after="120" w:line="276" w:lineRule="auto"/>
        <w:ind w:firstLine="709"/>
        <w:jc w:val="both"/>
        <w:rPr>
          <w:rFonts w:ascii="Arial" w:hAnsi="Arial" w:cs="Arial"/>
          <w:lang w:eastAsia="x-none"/>
        </w:rPr>
      </w:pPr>
      <w:r w:rsidRPr="009311DA">
        <w:rPr>
          <w:rFonts w:ascii="Arial"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9311DA">
        <w:rPr>
          <w:rFonts w:ascii="Arial" w:hAnsi="Arial"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4D0A9B5A" w14:textId="77777777" w:rsidR="00CE6BFB" w:rsidRPr="009311DA" w:rsidRDefault="00CE6BFB" w:rsidP="00CE6BFB">
      <w:pPr>
        <w:spacing w:after="120" w:line="276" w:lineRule="auto"/>
        <w:ind w:firstLine="709"/>
        <w:jc w:val="both"/>
        <w:rPr>
          <w:rFonts w:ascii="Arial" w:hAnsi="Arial" w:cs="Arial"/>
          <w:bCs/>
          <w:lang w:val="es-MX" w:eastAsia="x-none"/>
        </w:rPr>
      </w:pPr>
      <w:bookmarkStart w:id="31" w:name="_Hlk77237094"/>
      <w:bookmarkEnd w:id="30"/>
      <w:r w:rsidRPr="009311DA">
        <w:rPr>
          <w:rFonts w:ascii="Arial" w:hAnsi="Arial" w:cs="Arial"/>
          <w:bCs/>
          <w:lang w:val="es-MX" w:eastAsia="es-CO"/>
        </w:rPr>
        <w:t xml:space="preserve">Como en otras oportunidades lo ha manifestado esta Agencia, </w:t>
      </w:r>
      <w:r>
        <w:rPr>
          <w:rFonts w:ascii="Arial" w:hAnsi="Arial" w:cs="Arial"/>
          <w:bCs/>
          <w:lang w:val="es-MX" w:eastAsia="es-CO"/>
        </w:rPr>
        <w:t xml:space="preserve">e incluso quedo consagrado en la Circular Externa Única de esta Entidad, </w:t>
      </w:r>
      <w:r w:rsidRPr="009311DA">
        <w:rPr>
          <w:rFonts w:ascii="Arial" w:hAnsi="Arial" w:cs="Arial"/>
          <w:bCs/>
          <w:lang w:val="es-MX" w:eastAsia="es-CO"/>
        </w:rPr>
        <w:t>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1"/>
    </w:p>
    <w:p w14:paraId="2AF69B6C" w14:textId="77777777" w:rsidR="00CE6BFB" w:rsidRPr="009311DA" w:rsidRDefault="00CE6BFB" w:rsidP="00CE6BFB">
      <w:pPr>
        <w:spacing w:after="120" w:line="276" w:lineRule="auto"/>
        <w:ind w:firstLine="709"/>
        <w:jc w:val="both"/>
        <w:rPr>
          <w:rFonts w:ascii="Arial" w:hAnsi="Arial" w:cs="Arial"/>
          <w:bCs/>
          <w:lang w:val="es-MX" w:eastAsia="es-CO"/>
        </w:rPr>
      </w:pPr>
      <w:r w:rsidRPr="009311DA">
        <w:rPr>
          <w:rFonts w:ascii="Arial" w:hAnsi="Arial" w:cs="Arial"/>
          <w:bCs/>
          <w:lang w:val="es-MX" w:eastAsia="x-none"/>
        </w:rPr>
        <w:t xml:space="preserve">De otro lado, </w:t>
      </w:r>
      <w:bookmarkStart w:id="32" w:name="_Hlk99577887"/>
      <w:r w:rsidRPr="009311DA">
        <w:rPr>
          <w:rFonts w:ascii="Arial" w:hAnsi="Arial" w:cs="Arial"/>
          <w:bCs/>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311DA">
        <w:rPr>
          <w:rFonts w:ascii="Arial" w:hAnsi="Arial"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32"/>
    </w:p>
    <w:p w14:paraId="51B53BE6" w14:textId="192F9DA2" w:rsidR="00CE6BFB" w:rsidRDefault="00CE6BFB" w:rsidP="00CE6BFB">
      <w:pPr>
        <w:spacing w:after="0" w:line="276" w:lineRule="auto"/>
        <w:ind w:firstLine="709"/>
        <w:jc w:val="both"/>
        <w:rPr>
          <w:rFonts w:ascii="Arial" w:hAnsi="Arial" w:cs="Arial"/>
          <w:bCs/>
          <w:lang w:val="es-MX" w:eastAsia="x-none"/>
        </w:rPr>
      </w:pPr>
      <w:r w:rsidRPr="009311DA">
        <w:rPr>
          <w:rFonts w:ascii="Arial" w:hAnsi="Arial" w:cs="Arial"/>
          <w:bCs/>
          <w:lang w:val="es-MX" w:eastAsia="x-none"/>
        </w:rPr>
        <w:t>En esta labor es importante tener en cuenta, como lo anotó la Corte Constitucional, en Sentencia C-1153 de noviembre 11 de 2005</w:t>
      </w:r>
      <w:r w:rsidRPr="009311DA">
        <w:rPr>
          <w:rFonts w:ascii="Arial" w:eastAsia="Calibri" w:hAnsi="Arial" w:cs="Arial"/>
          <w:lang w:val="es-MX"/>
        </w:rPr>
        <w:t>,</w:t>
      </w:r>
      <w:r w:rsidRPr="009311DA">
        <w:rPr>
          <w:rFonts w:ascii="Arial" w:hAnsi="Arial" w:cs="Arial"/>
          <w:bCs/>
          <w:lang w:val="es-MX" w:eastAsia="x-none"/>
        </w:rPr>
        <w:t xml:space="preserve"> </w:t>
      </w:r>
      <w:bookmarkStart w:id="33" w:name="_Hlk74309042"/>
      <w:r w:rsidRPr="009311DA">
        <w:rPr>
          <w:rFonts w:ascii="Arial" w:hAnsi="Arial" w:cs="Arial"/>
          <w:bCs/>
          <w:lang w:val="es-MX" w:eastAsia="x-none"/>
        </w:rPr>
        <w:t xml:space="preserve">que </w:t>
      </w:r>
      <w:bookmarkEnd w:id="33"/>
      <w:r w:rsidR="00CA38C0">
        <w:rPr>
          <w:rFonts w:ascii="Arial" w:hAnsi="Arial" w:cs="Arial"/>
          <w:bCs/>
          <w:lang w:val="es-MX" w:eastAsia="x-none"/>
        </w:rPr>
        <w:t>“</w:t>
      </w:r>
      <w:r w:rsidRPr="009311DA">
        <w:rPr>
          <w:rFonts w:ascii="Arial" w:hAnsi="Arial" w:cs="Arial"/>
          <w:bCs/>
          <w:lang w:val="es-MX" w:eastAsia="x-none"/>
        </w:rPr>
        <w:t xml:space="preserve">si bien la limitación garantiza la igualdad de condiciones, también es necesario que tal limitación que pretende la igualdad </w:t>
      </w:r>
      <w:bookmarkStart w:id="34" w:name="_Hlk75768308"/>
      <w:r w:rsidRPr="009311DA">
        <w:rPr>
          <w:rFonts w:ascii="Arial" w:hAnsi="Arial" w:cs="Arial"/>
          <w:bCs/>
          <w:lang w:val="es-MX" w:eastAsia="x-none"/>
        </w:rPr>
        <w:t>no termine yendo en detrimento de intereses públicos, cuya garantía está en cabeza del ejecutivo, como son los inmersos en las excepciones para la prohibición de contratación</w:t>
      </w:r>
      <w:r w:rsidR="00CA38C0">
        <w:rPr>
          <w:rFonts w:ascii="Arial" w:hAnsi="Arial" w:cs="Arial"/>
          <w:bCs/>
          <w:lang w:val="es-MX" w:eastAsia="x-none"/>
        </w:rPr>
        <w:t>”</w:t>
      </w:r>
      <w:r w:rsidRPr="009311DA">
        <w:rPr>
          <w:rFonts w:ascii="Arial" w:eastAsia="Calibri" w:hAnsi="Arial" w:cs="Arial"/>
          <w:vertAlign w:val="superscript"/>
          <w:lang w:val="es-MX"/>
        </w:rPr>
        <w:footnoteReference w:id="21"/>
      </w:r>
      <w:r w:rsidRPr="009311DA">
        <w:rPr>
          <w:rFonts w:ascii="Arial" w:hAnsi="Arial" w:cs="Arial"/>
          <w:bCs/>
          <w:lang w:val="es-MX" w:eastAsia="x-none"/>
        </w:rPr>
        <w:t xml:space="preserve">. De ahí que la Corte haya hecho particular énfasis en que las excepciones a la restricción protegen diversos tipos de urgencias de defensa, salud, educación, infraestructura vial y de servicios públicos y ecológicas, </w:t>
      </w:r>
      <w:r w:rsidRPr="009311DA">
        <w:rPr>
          <w:rFonts w:ascii="Arial" w:hAnsi="Arial" w:cs="Arial"/>
          <w:bCs/>
          <w:lang w:val="es-MX" w:eastAsia="x-none"/>
        </w:rPr>
        <w:lastRenderedPageBreak/>
        <w:t>que tienden a no limitar desproporcionadamente la acción del Estado en el cumplimiento de sus fines, en procura de la igualdad entre los candidatos como garantía electoral.</w:t>
      </w:r>
      <w:bookmarkEnd w:id="34"/>
    </w:p>
    <w:p w14:paraId="30C7D334" w14:textId="77777777" w:rsidR="00CE6BFB" w:rsidRPr="002A6732" w:rsidRDefault="00CE6BFB" w:rsidP="00CE6BFB">
      <w:pPr>
        <w:spacing w:after="0" w:line="276" w:lineRule="auto"/>
        <w:ind w:firstLine="709"/>
        <w:contextualSpacing/>
        <w:jc w:val="both"/>
        <w:rPr>
          <w:rFonts w:ascii="Arial" w:hAnsi="Arial" w:cs="Arial"/>
          <w:bCs/>
          <w:lang w:val="es-MX" w:eastAsia="x-none"/>
        </w:rPr>
      </w:pPr>
    </w:p>
    <w:p w14:paraId="7CFE33E6" w14:textId="29EA5674" w:rsidR="00CE6BFB" w:rsidRDefault="0058573F" w:rsidP="00CE6BFB">
      <w:pPr>
        <w:spacing w:after="0" w:line="276" w:lineRule="auto"/>
        <w:contextualSpacing/>
        <w:jc w:val="both"/>
        <w:rPr>
          <w:rFonts w:ascii="Arial" w:hAnsi="Arial" w:cs="Arial"/>
          <w:b/>
          <w:bCs/>
          <w:lang w:val="es-MX" w:eastAsia="es-CO"/>
        </w:rPr>
      </w:pPr>
      <w:r>
        <w:rPr>
          <w:rFonts w:ascii="Arial" w:hAnsi="Arial" w:cs="Arial"/>
          <w:b/>
          <w:lang w:val="es-MX" w:eastAsia="x-none"/>
        </w:rPr>
        <w:t xml:space="preserve">2.3 </w:t>
      </w:r>
      <w:r w:rsidR="00CE6BFB" w:rsidRPr="002A6732">
        <w:rPr>
          <w:rFonts w:ascii="Arial" w:hAnsi="Arial" w:cs="Arial"/>
          <w:b/>
          <w:lang w:val="es-MX" w:eastAsia="x-none"/>
        </w:rPr>
        <w:t xml:space="preserve">  </w:t>
      </w:r>
      <w:bookmarkStart w:id="35" w:name="_Hlk136419722"/>
      <w:bookmarkStart w:id="36" w:name="_Hlk77153296"/>
      <w:bookmarkStart w:id="37" w:name="_Hlk75784645"/>
      <w:bookmarkEnd w:id="22"/>
      <w:r w:rsidR="00CE6BFB" w:rsidRPr="002A6732">
        <w:rPr>
          <w:rFonts w:ascii="Arial" w:hAnsi="Arial" w:cs="Arial"/>
          <w:b/>
          <w:bCs/>
          <w:lang w:val="es-MX" w:eastAsia="es-CO"/>
        </w:rPr>
        <w:t xml:space="preserve">Restricciones </w:t>
      </w:r>
      <w:bookmarkStart w:id="38" w:name="_Hlk75643279"/>
      <w:r w:rsidR="00CE6BFB" w:rsidRPr="002A6732">
        <w:rPr>
          <w:rFonts w:ascii="Arial" w:hAnsi="Arial" w:cs="Arial"/>
          <w:b/>
          <w:bCs/>
          <w:lang w:val="es-MX" w:eastAsia="es-CO"/>
        </w:rPr>
        <w:t>para la celebración de contratos y convenios interadministrativos en los comicios de cargos de elección popular</w:t>
      </w:r>
      <w:bookmarkEnd w:id="35"/>
    </w:p>
    <w:p w14:paraId="3F19FFBB" w14:textId="77777777" w:rsidR="00CE6BFB" w:rsidRPr="002A6732" w:rsidRDefault="00CE6BFB" w:rsidP="00CE6BFB">
      <w:pPr>
        <w:spacing w:after="0" w:line="276" w:lineRule="auto"/>
        <w:contextualSpacing/>
        <w:jc w:val="both"/>
        <w:rPr>
          <w:rFonts w:ascii="Arial" w:hAnsi="Arial" w:cs="Arial"/>
          <w:b/>
          <w:bCs/>
          <w:lang w:val="es-MX"/>
        </w:rPr>
      </w:pPr>
    </w:p>
    <w:p w14:paraId="63748877" w14:textId="05627A05" w:rsidR="00CE6BFB" w:rsidRPr="00C84F90" w:rsidRDefault="00CE6BFB" w:rsidP="00CE6BFB">
      <w:pPr>
        <w:tabs>
          <w:tab w:val="left" w:pos="426"/>
        </w:tabs>
        <w:spacing w:after="120" w:line="276" w:lineRule="auto"/>
        <w:jc w:val="both"/>
        <w:rPr>
          <w:rFonts w:ascii="Arial" w:eastAsia="Calibri" w:hAnsi="Arial" w:cs="Arial"/>
          <w:bCs/>
        </w:rPr>
      </w:pPr>
      <w:bookmarkStart w:id="39" w:name="_Hlk101885981"/>
      <w:bookmarkEnd w:id="36"/>
      <w:bookmarkEnd w:id="38"/>
      <w:r w:rsidRPr="00C84F90">
        <w:rPr>
          <w:rFonts w:ascii="Arial" w:eastAsia="Calibri" w:hAnsi="Arial" w:cs="Arial"/>
          <w:bCs/>
        </w:rPr>
        <w:t xml:space="preserve">El parágrafo del artículo 38 de la Ley 996 de 2005 dispone que </w:t>
      </w:r>
      <w:r w:rsidR="00CA38C0">
        <w:rPr>
          <w:rFonts w:ascii="Arial" w:eastAsia="Calibri" w:hAnsi="Arial" w:cs="Arial"/>
          <w:bCs/>
        </w:rPr>
        <w:t>“</w:t>
      </w:r>
      <w:r w:rsidRPr="00C84F90">
        <w:rPr>
          <w:rFonts w:ascii="Arial" w:eastAsia="Calibri" w:hAnsi="Arial" w:cs="Arial"/>
          <w:bCs/>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00CA38C0">
        <w:rPr>
          <w:rFonts w:ascii="Arial" w:eastAsia="Calibri" w:hAnsi="Arial" w:cs="Arial"/>
          <w:bCs/>
        </w:rPr>
        <w:t>”</w:t>
      </w:r>
      <w:r w:rsidRPr="00C84F90">
        <w:rPr>
          <w:rFonts w:ascii="Arial" w:eastAsia="Calibri" w:hAnsi="Arial" w:cs="Arial"/>
          <w:bCs/>
        </w:rPr>
        <w:t>.</w:t>
      </w:r>
      <w:r w:rsidRPr="00C84F90">
        <w:rPr>
          <w:rFonts w:ascii="Arial" w:hAnsi="Arial" w:cs="Arial"/>
          <w:bCs/>
          <w:iCs/>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39"/>
      <w:r w:rsidRPr="00C84F90">
        <w:rPr>
          <w:rFonts w:ascii="Arial" w:hAnsi="Arial" w:cs="Arial"/>
          <w:bCs/>
          <w:iCs/>
          <w:vertAlign w:val="superscript"/>
          <w:lang w:val="es-MX" w:eastAsia="x-none"/>
        </w:rPr>
        <w:footnoteReference w:id="22"/>
      </w:r>
      <w:r w:rsidRPr="00C84F90">
        <w:rPr>
          <w:rFonts w:ascii="Arial" w:hAnsi="Arial" w:cs="Arial"/>
          <w:bCs/>
          <w:iCs/>
          <w:lang w:val="es-MX" w:eastAsia="x-none"/>
        </w:rPr>
        <w:t>.</w:t>
      </w:r>
      <w:r w:rsidRPr="00C84F90">
        <w:rPr>
          <w:rFonts w:ascii="Arial" w:hAnsi="Arial" w:cs="Arial"/>
          <w:lang w:val="es-MX"/>
        </w:rPr>
        <w:t xml:space="preserve"> </w:t>
      </w:r>
    </w:p>
    <w:p w14:paraId="08A42DC7" w14:textId="77777777" w:rsidR="00CE6BFB" w:rsidRPr="00C84F90" w:rsidRDefault="00CE6BFB" w:rsidP="00CE6BFB">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Calibri" w:hAnsi="Arial" w:cs="Arial"/>
          <w:bCs/>
          <w:lang w:eastAsia="es-ES" w:bidi="es-ES"/>
        </w:rPr>
        <w:t xml:space="preserve">Ahora bien, </w:t>
      </w:r>
      <w:bookmarkStart w:id="40" w:name="_Hlk78820161"/>
      <w:r w:rsidRPr="00C84F90">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C84F90">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C84F90">
        <w:rPr>
          <w:rFonts w:ascii="Arial" w:eastAsia="Arial" w:hAnsi="Arial" w:cs="Arial"/>
          <w:vertAlign w:val="superscript"/>
          <w:lang w:val="es-ES" w:eastAsia="es-ES" w:bidi="es-ES"/>
        </w:rPr>
        <w:footnoteReference w:id="23"/>
      </w:r>
      <w:r w:rsidRPr="00C84F90">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84F90">
        <w:rPr>
          <w:rFonts w:ascii="Arial" w:eastAsia="Arial" w:hAnsi="Arial" w:cs="Arial"/>
          <w:spacing w:val="-6"/>
          <w:lang w:val="es-ES" w:eastAsia="es-ES" w:bidi="es-ES"/>
        </w:rPr>
        <w:t xml:space="preserve"> </w:t>
      </w:r>
      <w:r w:rsidRPr="00C84F90">
        <w:rPr>
          <w:rFonts w:ascii="Arial" w:eastAsia="Arial" w:hAnsi="Arial" w:cs="Arial"/>
          <w:lang w:val="es-ES" w:eastAsia="es-ES" w:bidi="es-ES"/>
        </w:rPr>
        <w:t>estatales.</w:t>
      </w:r>
    </w:p>
    <w:p w14:paraId="1D7CD807" w14:textId="77777777" w:rsidR="00CE6BFB" w:rsidRPr="00C84F90" w:rsidRDefault="00CE6BFB" w:rsidP="00CE6BFB">
      <w:pPr>
        <w:widowControl w:val="0"/>
        <w:autoSpaceDE w:val="0"/>
        <w:autoSpaceDN w:val="0"/>
        <w:spacing w:after="120" w:line="276" w:lineRule="auto"/>
        <w:ind w:firstLine="707"/>
        <w:jc w:val="both"/>
        <w:rPr>
          <w:rFonts w:ascii="Arial" w:eastAsia="Arial" w:hAnsi="Arial" w:cs="Arial"/>
          <w:lang w:val="es-ES" w:eastAsia="es-ES" w:bidi="es-ES"/>
        </w:rPr>
      </w:pPr>
      <w:bookmarkStart w:id="41" w:name="_Hlk78820654"/>
      <w:bookmarkEnd w:id="40"/>
      <w:r w:rsidRPr="00C84F90">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41"/>
    <w:p w14:paraId="597848E0" w14:textId="77777777" w:rsidR="00CE6BFB" w:rsidRPr="00C84F90" w:rsidRDefault="00CE6BFB" w:rsidP="00CE6BFB">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t xml:space="preserve">Un contrato o convenio interadministrativo no está determinado por la modalidad de </w:t>
      </w:r>
      <w:r w:rsidRPr="00C84F90">
        <w:rPr>
          <w:rFonts w:ascii="Arial" w:eastAsia="Arial" w:hAnsi="Arial" w:cs="Arial"/>
          <w:lang w:val="es-ES" w:eastAsia="es-ES" w:bidi="es-ES"/>
        </w:rPr>
        <w:lastRenderedPageBreak/>
        <w:t>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84F90">
        <w:rPr>
          <w:rFonts w:ascii="Arial" w:eastAsia="Arial" w:hAnsi="Arial" w:cs="Arial"/>
          <w:vertAlign w:val="superscript"/>
          <w:lang w:val="es-ES" w:eastAsia="es-ES" w:bidi="es-ES"/>
        </w:rPr>
        <w:footnoteReference w:id="24"/>
      </w:r>
      <w:r w:rsidRPr="00C84F90">
        <w:rPr>
          <w:rFonts w:ascii="Arial" w:eastAsia="Arial" w:hAnsi="Arial" w:cs="Arial"/>
          <w:lang w:val="es-ES" w:eastAsia="es-ES" w:bidi="es-ES"/>
        </w:rPr>
        <w:t>. Nótese que, en este caso, lo que cambia es la modalidad de selección y no la naturaleza de contrato</w:t>
      </w:r>
      <w:r w:rsidRPr="00C84F90">
        <w:rPr>
          <w:rFonts w:ascii="Arial" w:eastAsia="Arial" w:hAnsi="Arial" w:cs="Arial"/>
          <w:spacing w:val="-18"/>
          <w:lang w:val="es-ES" w:eastAsia="es-ES" w:bidi="es-ES"/>
        </w:rPr>
        <w:t xml:space="preserve"> </w:t>
      </w:r>
      <w:r w:rsidRPr="00C84F90">
        <w:rPr>
          <w:rFonts w:ascii="Arial" w:eastAsia="Arial" w:hAnsi="Arial" w:cs="Arial"/>
          <w:lang w:val="es-ES" w:eastAsia="es-ES" w:bidi="es-ES"/>
        </w:rPr>
        <w:t>interadministrativo.</w:t>
      </w:r>
    </w:p>
    <w:p w14:paraId="7690AC63" w14:textId="60AA745A" w:rsidR="00CE6BFB" w:rsidRDefault="00CE6BFB" w:rsidP="00CE6BFB">
      <w:pPr>
        <w:widowControl w:val="0"/>
        <w:autoSpaceDE w:val="0"/>
        <w:autoSpaceDN w:val="0"/>
        <w:spacing w:after="0" w:line="276" w:lineRule="auto"/>
        <w:ind w:firstLine="709"/>
        <w:contextualSpacing/>
        <w:jc w:val="both"/>
        <w:rPr>
          <w:rFonts w:ascii="Arial" w:eastAsia="Arial" w:hAnsi="Arial" w:cs="Arial"/>
          <w:lang w:val="es-ES" w:eastAsia="es-ES" w:bidi="es-ES"/>
        </w:rPr>
      </w:pPr>
      <w:r w:rsidRPr="00C84F90">
        <w:rPr>
          <w:rFonts w:ascii="Arial" w:eastAsia="Arial" w:hAnsi="Arial" w:cs="Arial"/>
          <w:lang w:val="es-ES" w:eastAsia="es-ES" w:bidi="es-ES"/>
        </w:rPr>
        <w:t xml:space="preserve">La Corte Constitucional expresó en la Sentencia C–671 de 2015 que </w:t>
      </w:r>
      <w:r w:rsidR="00CA38C0">
        <w:rPr>
          <w:rFonts w:ascii="Arial" w:eastAsia="Arial" w:hAnsi="Arial" w:cs="Arial"/>
          <w:lang w:val="es-ES" w:eastAsia="es-ES" w:bidi="es-ES"/>
        </w:rPr>
        <w:t>“</w:t>
      </w:r>
      <w:r w:rsidRPr="00C84F90">
        <w:rPr>
          <w:rFonts w:ascii="Arial" w:eastAsia="Arial" w:hAnsi="Arial" w:cs="Arial"/>
          <w:lang w:val="es-ES" w:eastAsia="es-ES" w:bidi="es-ES"/>
        </w:rPr>
        <w:t>Lo que hace interadministrativo a un contrato o convenio no es el procedimiento de selección aplicable, sino la calidad de los sujetos contratantes, esto es que las dos partes de la relación jurídica contractual formen parte de la administración pública</w:t>
      </w:r>
      <w:r w:rsidR="00CA38C0">
        <w:rPr>
          <w:rFonts w:ascii="Arial" w:eastAsia="Arial" w:hAnsi="Arial" w:cs="Arial"/>
          <w:lang w:val="es-ES" w:eastAsia="es-ES" w:bidi="es-ES"/>
        </w:rPr>
        <w:t>”</w:t>
      </w:r>
      <w:r w:rsidRPr="00C84F90">
        <w:rPr>
          <w:rFonts w:ascii="Arial" w:eastAsia="Arial" w:hAnsi="Arial" w:cs="Arial"/>
          <w:lang w:val="es-ES" w:eastAsia="es-ES" w:bidi="es-ES"/>
        </w:rPr>
        <w:t>.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84F90">
        <w:rPr>
          <w:rFonts w:ascii="Arial" w:eastAsia="Arial" w:hAnsi="Arial" w:cs="Arial"/>
          <w:spacing w:val="-13"/>
          <w:lang w:val="es-ES" w:eastAsia="es-ES" w:bidi="es-ES"/>
        </w:rPr>
        <w:t xml:space="preserve"> </w:t>
      </w:r>
      <w:r w:rsidRPr="00C84F90">
        <w:rPr>
          <w:rFonts w:ascii="Arial" w:eastAsia="Arial" w:hAnsi="Arial" w:cs="Arial"/>
          <w:lang w:val="es-ES" w:eastAsia="es-ES" w:bidi="es-ES"/>
        </w:rPr>
        <w:t>que:</w:t>
      </w:r>
    </w:p>
    <w:p w14:paraId="27324B33" w14:textId="77777777" w:rsidR="00CE6BFB" w:rsidRPr="00C84F90" w:rsidRDefault="00CE6BFB" w:rsidP="00CE6BFB">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4F7BB978" w14:textId="25B62E08" w:rsidR="00CE6BFB" w:rsidRDefault="00CA38C0" w:rsidP="00CE6BFB">
      <w:pPr>
        <w:spacing w:after="0"/>
        <w:ind w:left="709" w:right="709"/>
        <w:contextualSpacing/>
        <w:jc w:val="both"/>
        <w:rPr>
          <w:rFonts w:ascii="Arial" w:hAnsi="Arial" w:cs="Arial"/>
          <w:sz w:val="21"/>
          <w:lang w:val="es-MX"/>
        </w:rPr>
      </w:pPr>
      <w:r>
        <w:rPr>
          <w:rFonts w:ascii="Arial" w:eastAsia="Calibri" w:hAnsi="Arial" w:cs="Arial"/>
          <w:bCs/>
          <w:sz w:val="21"/>
          <w:szCs w:val="21"/>
          <w:lang w:val="es-MX"/>
        </w:rPr>
        <w:t>“</w:t>
      </w:r>
      <w:r w:rsidR="00CE6BFB" w:rsidRPr="00C84F90">
        <w:rPr>
          <w:rFonts w:ascii="Arial"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Pr>
          <w:rFonts w:ascii="Arial" w:eastAsia="Calibri" w:hAnsi="Arial" w:cs="Arial"/>
          <w:sz w:val="21"/>
          <w:szCs w:val="21"/>
          <w:lang w:val="es-MX"/>
        </w:rPr>
        <w:t>”</w:t>
      </w:r>
      <w:r w:rsidR="00CE6BFB" w:rsidRPr="00C84F90">
        <w:rPr>
          <w:rFonts w:ascii="Arial" w:hAnsi="Arial" w:cs="Arial"/>
          <w:sz w:val="21"/>
          <w:vertAlign w:val="superscript"/>
          <w:lang w:val="es-MX"/>
        </w:rPr>
        <w:footnoteReference w:id="25"/>
      </w:r>
      <w:r w:rsidR="00CE6BFB" w:rsidRPr="00C84F90">
        <w:rPr>
          <w:rFonts w:ascii="Arial" w:hAnsi="Arial" w:cs="Arial"/>
          <w:sz w:val="21"/>
          <w:lang w:val="es-MX"/>
        </w:rPr>
        <w:t>.</w:t>
      </w:r>
    </w:p>
    <w:p w14:paraId="5887178B" w14:textId="77777777" w:rsidR="00CE6BFB" w:rsidRPr="00500AD4" w:rsidRDefault="00CE6BFB" w:rsidP="00CE6BFB">
      <w:pPr>
        <w:spacing w:after="0" w:line="276" w:lineRule="auto"/>
        <w:ind w:left="709" w:right="709"/>
        <w:contextualSpacing/>
        <w:jc w:val="both"/>
        <w:rPr>
          <w:rFonts w:ascii="Arial" w:hAnsi="Arial" w:cs="Arial"/>
          <w:lang w:val="es-MX"/>
        </w:rPr>
      </w:pPr>
    </w:p>
    <w:p w14:paraId="519F1F5D" w14:textId="77777777" w:rsidR="00CE6BFB" w:rsidRPr="00C84F90" w:rsidRDefault="00CE6BFB" w:rsidP="00CE6BFB">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lastRenderedPageBreak/>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EGC</w:t>
      </w:r>
      <w:r>
        <w:rPr>
          <w:rFonts w:ascii="Arial" w:eastAsia="Arial" w:hAnsi="Arial" w:cs="Arial"/>
          <w:lang w:val="es-ES" w:eastAsia="es-ES" w:bidi="es-ES"/>
        </w:rPr>
        <w:t xml:space="preserve">AP </w:t>
      </w:r>
      <w:r w:rsidRPr="00C84F90">
        <w:rPr>
          <w:rFonts w:ascii="Arial" w:eastAsia="Arial" w:hAnsi="Arial" w:cs="Arial"/>
          <w:lang w:val="es-ES" w:eastAsia="es-ES" w:bidi="es-ES"/>
        </w:rPr>
        <w:t>establece la contratación directa como la modalidad de selección aplicable, por regla general, a la celebración de los contratos interadministrativos.</w:t>
      </w:r>
    </w:p>
    <w:p w14:paraId="608313E4" w14:textId="77777777" w:rsidR="00CE6BFB" w:rsidRPr="00C84F90" w:rsidRDefault="00CE6BFB" w:rsidP="00CE6BFB">
      <w:pPr>
        <w:widowControl w:val="0"/>
        <w:autoSpaceDE w:val="0"/>
        <w:autoSpaceDN w:val="0"/>
        <w:spacing w:after="120" w:line="276" w:lineRule="auto"/>
        <w:ind w:firstLine="707"/>
        <w:jc w:val="both"/>
        <w:rPr>
          <w:rFonts w:ascii="Arial" w:eastAsia="Arial" w:hAnsi="Arial" w:cs="Arial"/>
          <w:lang w:val="es-ES" w:eastAsia="es-ES" w:bidi="es-ES"/>
        </w:rPr>
      </w:pPr>
      <w:r w:rsidRPr="00C84F90">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84F90">
        <w:rPr>
          <w:rFonts w:ascii="Arial" w:eastAsia="Arial" w:hAnsi="Arial" w:cs="Arial"/>
          <w:spacing w:val="-3"/>
          <w:lang w:val="es-ES" w:eastAsia="es-ES" w:bidi="es-ES"/>
        </w:rPr>
        <w:t xml:space="preserve"> </w:t>
      </w:r>
      <w:r w:rsidRPr="00C84F90">
        <w:rPr>
          <w:rFonts w:ascii="Arial" w:eastAsia="Arial" w:hAnsi="Arial" w:cs="Arial"/>
          <w:lang w:val="es-ES" w:eastAsia="es-ES" w:bidi="es-ES"/>
        </w:rPr>
        <w:t>estatales.</w:t>
      </w:r>
    </w:p>
    <w:p w14:paraId="1F9EFB41" w14:textId="77777777" w:rsidR="00CE6BFB" w:rsidRPr="00C84F90" w:rsidRDefault="00CE6BFB" w:rsidP="00CE6BFB">
      <w:pPr>
        <w:widowControl w:val="0"/>
        <w:autoSpaceDE w:val="0"/>
        <w:autoSpaceDN w:val="0"/>
        <w:spacing w:after="120" w:line="276" w:lineRule="auto"/>
        <w:ind w:firstLine="709"/>
        <w:jc w:val="both"/>
        <w:rPr>
          <w:rFonts w:ascii="Arial" w:eastAsia="Arial" w:hAnsi="Arial" w:cs="Arial"/>
          <w:lang w:val="es-ES" w:eastAsia="es-ES" w:bidi="es-ES"/>
        </w:rPr>
      </w:pPr>
      <w:r w:rsidRPr="00C84F90">
        <w:rPr>
          <w:rFonts w:ascii="Arial" w:eastAsia="Arial" w:hAnsi="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C84F90">
        <w:rPr>
          <w:rFonts w:ascii="Arial" w:eastAsia="Arial" w:hAnsi="Arial" w:cs="Arial"/>
          <w:spacing w:val="-4"/>
          <w:lang w:val="es-ES" w:eastAsia="es-ES" w:bidi="es-ES"/>
        </w:rPr>
        <w:t xml:space="preserve"> </w:t>
      </w:r>
      <w:r w:rsidRPr="00C84F90">
        <w:rPr>
          <w:rFonts w:ascii="Arial" w:eastAsia="Arial" w:hAnsi="Arial" w:cs="Arial"/>
          <w:lang w:val="es-ES" w:eastAsia="es-ES" w:bidi="es-ES"/>
        </w:rPr>
        <w:t>estatales.</w:t>
      </w:r>
    </w:p>
    <w:p w14:paraId="3119B5E5" w14:textId="77777777" w:rsidR="00CE6BFB" w:rsidRPr="00C84F90" w:rsidRDefault="00CE6BFB" w:rsidP="00CE6BFB">
      <w:pPr>
        <w:widowControl w:val="0"/>
        <w:autoSpaceDE w:val="0"/>
        <w:autoSpaceDN w:val="0"/>
        <w:spacing w:after="120" w:line="276" w:lineRule="auto"/>
        <w:ind w:firstLine="708"/>
        <w:jc w:val="both"/>
        <w:rPr>
          <w:rFonts w:ascii="Arial" w:eastAsia="Arial" w:hAnsi="Arial" w:cs="Arial"/>
          <w:lang w:val="es-ES" w:eastAsia="es-ES" w:bidi="es-ES"/>
        </w:rPr>
      </w:pPr>
      <w:r w:rsidRPr="00C84F90">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263DE65" w14:textId="7150C7C8" w:rsidR="00CE6BFB" w:rsidRPr="00C84F90" w:rsidRDefault="00CE6BFB" w:rsidP="00CE6BFB">
      <w:pPr>
        <w:widowControl w:val="0"/>
        <w:autoSpaceDE w:val="0"/>
        <w:autoSpaceDN w:val="0"/>
        <w:spacing w:after="120" w:line="276" w:lineRule="auto"/>
        <w:ind w:firstLine="708"/>
        <w:jc w:val="both"/>
        <w:rPr>
          <w:rFonts w:ascii="Arial" w:eastAsia="Calibri" w:hAnsi="Arial" w:cs="Arial"/>
          <w:bCs/>
          <w:lang w:eastAsia="es-ES" w:bidi="es-ES"/>
        </w:rPr>
      </w:pPr>
      <w:r w:rsidRPr="00C84F90">
        <w:rPr>
          <w:rFonts w:ascii="Arial" w:eastAsia="Arial" w:hAnsi="Arial" w:cs="Arial"/>
          <w:lang w:val="es-ES" w:eastAsia="es-ES" w:bidi="es-ES"/>
        </w:rPr>
        <w:t xml:space="preserve">Por tanto, aunque el artículo 95 de la Ley 489 de 1998 dispone que </w:t>
      </w:r>
      <w:r w:rsidR="00CA38C0">
        <w:rPr>
          <w:rFonts w:ascii="Arial" w:eastAsia="Arial" w:hAnsi="Arial" w:cs="Arial"/>
          <w:lang w:val="es-ES" w:eastAsia="es-ES" w:bidi="es-ES"/>
        </w:rPr>
        <w:t>“</w:t>
      </w:r>
      <w:r w:rsidRPr="00C84F90">
        <w:rPr>
          <w:rFonts w:ascii="Arial" w:eastAsia="Arial" w:hAnsi="Arial" w:cs="Arial"/>
          <w:lang w:val="es-ES" w:eastAsia="es-ES" w:bidi="es-ES"/>
        </w:rPr>
        <w:t xml:space="preserve">Las entidades públicas podrán asociarse con el fin de cooperar en el cumplimiento de funciones administrativas o de prestar conjuntamente servicios que se hallen a su cargo, mediante la celebración de </w:t>
      </w:r>
      <w:r w:rsidRPr="00C84F90">
        <w:rPr>
          <w:rFonts w:ascii="Arial" w:eastAsia="Arial" w:hAnsi="Arial" w:cs="Arial"/>
          <w:lang w:val="es-ES" w:eastAsia="es-ES" w:bidi="es-ES"/>
        </w:rPr>
        <w:lastRenderedPageBreak/>
        <w:t>convenios interadministrativos […]</w:t>
      </w:r>
      <w:r w:rsidR="00CA38C0">
        <w:rPr>
          <w:rFonts w:ascii="Arial" w:eastAsia="Arial" w:hAnsi="Arial" w:cs="Arial"/>
          <w:lang w:val="es-ES" w:eastAsia="es-ES" w:bidi="es-ES"/>
        </w:rPr>
        <w:t>”</w:t>
      </w:r>
      <w:r w:rsidRPr="00C84F90">
        <w:rPr>
          <w:rFonts w:ascii="Arial" w:eastAsia="Arial" w:hAnsi="Arial" w:cs="Arial"/>
          <w:lang w:val="es-ES" w:eastAsia="es-ES" w:bidi="es-ES"/>
        </w:rPr>
        <w:t>, esto no significa que dichos acuerdos estén exceptuados del EGCAP</w:t>
      </w:r>
      <w:r>
        <w:rPr>
          <w:rFonts w:ascii="Arial" w:eastAsia="Arial" w:hAnsi="Arial" w:cs="Arial"/>
          <w:lang w:val="es-ES" w:eastAsia="es-ES" w:bidi="es-ES"/>
        </w:rPr>
        <w:t xml:space="preserve"> </w:t>
      </w:r>
      <w:r w:rsidRPr="00C84F90">
        <w:rPr>
          <w:rFonts w:ascii="Arial" w:eastAsia="Arial" w:hAnsi="Arial" w:cs="Arial"/>
          <w:lang w:val="es-ES" w:eastAsia="es-ES" w:bidi="es-ES"/>
        </w:rPr>
        <w:t xml:space="preserve">por no tener carácter contractual. Por ello, la jurisprudencia considera que </w:t>
      </w:r>
      <w:r w:rsidR="00CA38C0">
        <w:rPr>
          <w:rFonts w:ascii="Arial" w:eastAsia="Arial" w:hAnsi="Arial" w:cs="Arial"/>
          <w:lang w:val="es-ES" w:eastAsia="es-ES" w:bidi="es-ES"/>
        </w:rPr>
        <w:t>“</w:t>
      </w:r>
      <w:r w:rsidRPr="00C84F90">
        <w:rPr>
          <w:rFonts w:ascii="Arial" w:eastAsia="Arial" w:hAnsi="Arial" w:cs="Arial"/>
          <w:lang w:val="es-ES" w:eastAsia="es-ES" w:bidi="es-ES"/>
        </w:rPr>
        <w:t>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84F90">
        <w:rPr>
          <w:rFonts w:ascii="Arial" w:eastAsia="Arial" w:hAnsi="Arial" w:cs="Arial"/>
          <w:spacing w:val="-4"/>
          <w:lang w:val="es-ES" w:eastAsia="es-ES" w:bidi="es-ES"/>
        </w:rPr>
        <w:t xml:space="preserve"> </w:t>
      </w:r>
      <w:r w:rsidRPr="00C84F90">
        <w:rPr>
          <w:rFonts w:ascii="Arial" w:eastAsia="Arial" w:hAnsi="Arial" w:cs="Arial"/>
          <w:lang w:val="es-ES" w:eastAsia="es-ES" w:bidi="es-ES"/>
        </w:rPr>
        <w:t>[…]</w:t>
      </w:r>
      <w:r w:rsidR="00CA38C0">
        <w:rPr>
          <w:rFonts w:ascii="Arial" w:eastAsia="Arial" w:hAnsi="Arial" w:cs="Arial"/>
          <w:lang w:val="es-ES" w:eastAsia="es-ES" w:bidi="es-ES"/>
        </w:rPr>
        <w:t>”</w:t>
      </w:r>
      <w:r w:rsidRPr="00C84F90">
        <w:rPr>
          <w:rFonts w:ascii="Arial" w:eastAsia="Arial" w:hAnsi="Arial" w:cs="Arial"/>
          <w:vertAlign w:val="superscript"/>
          <w:lang w:val="es-ES" w:eastAsia="es-ES" w:bidi="es-ES"/>
        </w:rPr>
        <w:footnoteReference w:id="26"/>
      </w:r>
      <w:r w:rsidRPr="00C84F90">
        <w:rPr>
          <w:rFonts w:ascii="Arial" w:eastAsia="Arial" w:hAnsi="Arial" w:cs="Arial"/>
          <w:lang w:val="es-ES" w:eastAsia="es-ES" w:bidi="es-ES"/>
        </w:rPr>
        <w:t>.</w:t>
      </w:r>
      <w:bookmarkStart w:id="42" w:name="_Hlk77171241"/>
    </w:p>
    <w:p w14:paraId="0C57981E" w14:textId="77777777" w:rsidR="00CE6BFB" w:rsidRPr="00C84F90" w:rsidRDefault="00CE6BFB" w:rsidP="00CE6BFB">
      <w:pPr>
        <w:widowControl w:val="0"/>
        <w:autoSpaceDE w:val="0"/>
        <w:autoSpaceDN w:val="0"/>
        <w:spacing w:before="122" w:after="0" w:line="276" w:lineRule="auto"/>
        <w:ind w:firstLine="709"/>
        <w:jc w:val="both"/>
        <w:rPr>
          <w:rFonts w:ascii="Arial" w:eastAsia="Arial" w:hAnsi="Arial" w:cs="Arial"/>
          <w:lang w:val="es-ES" w:eastAsia="es-ES" w:bidi="es-ES"/>
        </w:rPr>
      </w:pPr>
      <w:r w:rsidRPr="00C84F90">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w:t>
      </w:r>
      <w:r>
        <w:rPr>
          <w:rFonts w:ascii="Arial" w:eastAsia="Arial" w:hAnsi="Arial" w:cs="Arial"/>
          <w:lang w:val="es-ES" w:eastAsia="es-ES" w:bidi="es-ES"/>
        </w:rPr>
        <w:t xml:space="preserve"> en</w:t>
      </w:r>
      <w:r w:rsidRPr="00C84F90">
        <w:rPr>
          <w:rFonts w:ascii="Arial" w:eastAsia="Arial" w:hAnsi="Arial" w:cs="Arial"/>
          <w:lang w:val="es-ES" w:eastAsia="es-ES" w:bidi="es-ES"/>
        </w:rPr>
        <w:t xml:space="preserve"> sentencia del 14 de junio de 2019 expresó:</w:t>
      </w:r>
    </w:p>
    <w:p w14:paraId="17737F0F" w14:textId="77777777" w:rsidR="00CE6BFB" w:rsidRPr="00500AD4" w:rsidRDefault="00CE6BFB" w:rsidP="00CE6BFB">
      <w:pPr>
        <w:spacing w:after="0" w:line="276" w:lineRule="auto"/>
        <w:ind w:left="709" w:right="709"/>
        <w:jc w:val="both"/>
        <w:rPr>
          <w:rFonts w:ascii="Arial" w:hAnsi="Arial" w:cs="Arial"/>
          <w:lang w:val="es-ES_tradnl"/>
        </w:rPr>
      </w:pPr>
    </w:p>
    <w:p w14:paraId="44DE12DA" w14:textId="430D2C68" w:rsidR="00CE6BFB" w:rsidRDefault="00CA38C0" w:rsidP="00CE6BFB">
      <w:pPr>
        <w:spacing w:after="0" w:line="240" w:lineRule="auto"/>
        <w:ind w:left="709" w:right="709"/>
        <w:contextualSpacing/>
        <w:jc w:val="both"/>
        <w:rPr>
          <w:rFonts w:ascii="Arial" w:hAnsi="Arial" w:cs="Arial"/>
          <w:sz w:val="21"/>
          <w:szCs w:val="21"/>
          <w:lang w:val="es-ES_tradnl"/>
        </w:rPr>
      </w:pPr>
      <w:r>
        <w:rPr>
          <w:rFonts w:ascii="Arial" w:eastAsia="Calibri" w:hAnsi="Arial" w:cs="Arial"/>
          <w:bCs/>
          <w:sz w:val="21"/>
          <w:szCs w:val="21"/>
          <w:lang w:val="es-MX"/>
        </w:rPr>
        <w:t>“</w:t>
      </w:r>
      <w:r w:rsidR="00CE6BFB" w:rsidRPr="00C84F90">
        <w:rPr>
          <w:rFonts w:ascii="Arial" w:hAnsi="Arial" w:cs="Arial"/>
          <w:sz w:val="21"/>
          <w:szCs w:val="21"/>
          <w:lang w:val="es-ES_tradnl"/>
        </w:rPr>
        <w:t>La Sala de Consulta y Servicio Civil</w:t>
      </w:r>
      <w:r w:rsidR="00CE6BFB" w:rsidRPr="00C84F90">
        <w:rPr>
          <w:rFonts w:ascii="Arial" w:hAnsi="Arial" w:cs="Arial"/>
          <w:sz w:val="21"/>
          <w:szCs w:val="21"/>
          <w:vertAlign w:val="superscript"/>
          <w:lang w:val="es-ES_tradnl"/>
        </w:rPr>
        <w:footnoteReference w:id="27"/>
      </w:r>
      <w:r w:rsidR="00CE6BFB" w:rsidRPr="00C84F90">
        <w:rPr>
          <w:rFonts w:ascii="Arial" w:hAnsi="Arial" w:cs="Arial"/>
          <w:sz w:val="21"/>
          <w:szCs w:val="21"/>
          <w:lang w:val="es-ES_tradnl"/>
        </w:rPr>
        <w:t xml:space="preserve"> de esta Corporación se ha referido a los </w:t>
      </w:r>
      <w:r w:rsidR="00CE6BFB" w:rsidRPr="00C84F90">
        <w:rPr>
          <w:rFonts w:ascii="Arial" w:hAnsi="Arial" w:cs="Arial"/>
          <w:i/>
          <w:sz w:val="21"/>
          <w:szCs w:val="21"/>
          <w:lang w:val="es-ES_tradnl"/>
        </w:rPr>
        <w:t>“convenios interadministrativos”</w:t>
      </w:r>
      <w:r w:rsidR="00CE6BFB" w:rsidRPr="00C84F90">
        <w:rPr>
          <w:rFonts w:ascii="Arial" w:hAnsi="Arial" w:cs="Arial"/>
          <w:sz w:val="21"/>
          <w:szCs w:val="21"/>
          <w:lang w:val="es-ES_tradnl"/>
        </w:rPr>
        <w:t xml:space="preserve"> a los cuales alude el artículo 95 de la Ley 489 de 1998, calificándolos de </w:t>
      </w:r>
      <w:r w:rsidR="00CE6BFB" w:rsidRPr="00C84F90">
        <w:rPr>
          <w:rFonts w:ascii="Arial" w:hAnsi="Arial" w:cs="Arial"/>
          <w:i/>
          <w:sz w:val="21"/>
          <w:szCs w:val="21"/>
          <w:lang w:val="es-ES_tradnl"/>
        </w:rPr>
        <w:t xml:space="preserve">“puros” </w:t>
      </w:r>
      <w:r w:rsidR="00CE6BFB" w:rsidRPr="00C84F90">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00CE6BFB" w:rsidRPr="00C84F90">
        <w:rPr>
          <w:rFonts w:ascii="Arial" w:hAnsi="Arial" w:cs="Arial"/>
          <w:i/>
          <w:sz w:val="21"/>
          <w:szCs w:val="21"/>
          <w:lang w:val="es-ES_tradnl"/>
        </w:rPr>
        <w:t>“intercambio patrimonial”</w:t>
      </w:r>
      <w:r w:rsidR="00CE6BFB" w:rsidRPr="00C84F90">
        <w:rPr>
          <w:rFonts w:ascii="Arial" w:hAnsi="Arial" w:cs="Arial"/>
          <w:sz w:val="21"/>
          <w:szCs w:val="21"/>
          <w:lang w:val="es-ES_tradnl"/>
        </w:rPr>
        <w:t>. Sin perjuicio de lo anterior, en otra oportunidad, la misma Sala</w:t>
      </w:r>
      <w:r w:rsidR="00CE6BFB" w:rsidRPr="00C84F90">
        <w:rPr>
          <w:rFonts w:ascii="Arial" w:hAnsi="Arial" w:cs="Arial"/>
          <w:sz w:val="21"/>
          <w:szCs w:val="21"/>
          <w:vertAlign w:val="superscript"/>
          <w:lang w:val="es-ES_tradnl"/>
        </w:rPr>
        <w:footnoteReference w:id="28"/>
      </w:r>
      <w:r w:rsidR="00CE6BFB" w:rsidRPr="00C84F90">
        <w:rPr>
          <w:rFonts w:ascii="Arial" w:hAnsi="Arial" w:cs="Arial"/>
          <w:sz w:val="21"/>
          <w:szCs w:val="21"/>
          <w:lang w:val="es-ES_tradnl"/>
        </w:rPr>
        <w:t xml:space="preserve"> había indicado que, si bien en dichos convenios no se daba un </w:t>
      </w:r>
      <w:r w:rsidR="00CE6BFB" w:rsidRPr="00C84F90">
        <w:rPr>
          <w:rFonts w:ascii="Arial" w:hAnsi="Arial" w:cs="Arial"/>
          <w:i/>
          <w:sz w:val="21"/>
          <w:szCs w:val="21"/>
          <w:lang w:val="es-ES_tradnl"/>
        </w:rPr>
        <w:t>“verdadero intercambio de bienes o servicios (contrato conmutativo)”</w:t>
      </w:r>
      <w:r w:rsidR="00CE6BFB" w:rsidRPr="00C84F90">
        <w:rPr>
          <w:rFonts w:ascii="Arial" w:hAnsi="Arial" w:cs="Arial"/>
          <w:sz w:val="21"/>
          <w:szCs w:val="21"/>
          <w:lang w:val="es-ES_tradnl"/>
        </w:rPr>
        <w:t>, ello no impedía que se conviniera una remuneración a cargo de alguna(s) entidad(es).</w:t>
      </w:r>
    </w:p>
    <w:p w14:paraId="16861C13" w14:textId="77777777" w:rsidR="00CE6BFB" w:rsidRPr="00C84F90" w:rsidRDefault="00CE6BFB" w:rsidP="00CE6BFB">
      <w:pPr>
        <w:spacing w:after="0" w:line="240" w:lineRule="auto"/>
        <w:ind w:left="709" w:right="709"/>
        <w:contextualSpacing/>
        <w:jc w:val="both"/>
        <w:rPr>
          <w:rFonts w:ascii="Arial" w:hAnsi="Arial" w:cs="Arial"/>
          <w:sz w:val="21"/>
          <w:szCs w:val="21"/>
          <w:lang w:val="es-ES_tradnl"/>
        </w:rPr>
      </w:pPr>
    </w:p>
    <w:p w14:paraId="31EFC771" w14:textId="6B6D6938" w:rsidR="00CE6BFB" w:rsidRPr="00C84F90" w:rsidRDefault="00CE6BFB" w:rsidP="00CE6BFB">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C84F90">
        <w:rPr>
          <w:rFonts w:ascii="Arial" w:eastAsia="Arial" w:hAnsi="Arial" w:cs="Arial"/>
          <w:sz w:val="21"/>
          <w:szCs w:val="21"/>
          <w:lang w:val="es-ES_tradnl" w:eastAsia="es-ES" w:bidi="es-ES"/>
        </w:rPr>
        <w:t xml:space="preserve">Lo expuesto evidencia que, en general, las interpretaciones en torno a los </w:t>
      </w:r>
      <w:r w:rsidRPr="00C84F90">
        <w:rPr>
          <w:rFonts w:ascii="Arial" w:eastAsia="Arial" w:hAnsi="Arial" w:cs="Arial"/>
          <w:i/>
          <w:sz w:val="21"/>
          <w:szCs w:val="21"/>
          <w:lang w:val="es-ES_tradnl" w:eastAsia="es-ES" w:bidi="es-ES"/>
        </w:rPr>
        <w:t>“convenios interadministrativos”</w:t>
      </w:r>
      <w:r w:rsidRPr="00C84F90">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00CA38C0">
        <w:rPr>
          <w:rFonts w:ascii="Arial" w:eastAsia="Calibri" w:hAnsi="Arial" w:cs="Arial"/>
          <w:sz w:val="21"/>
          <w:szCs w:val="21"/>
          <w:lang w:val="es-MX"/>
        </w:rPr>
        <w:t>”</w:t>
      </w:r>
      <w:r w:rsidRPr="00C84F90">
        <w:rPr>
          <w:rFonts w:ascii="Arial" w:eastAsia="Arial" w:hAnsi="Arial" w:cs="Arial"/>
          <w:sz w:val="21"/>
          <w:szCs w:val="21"/>
          <w:vertAlign w:val="superscript"/>
          <w:lang w:val="es-ES_tradnl" w:eastAsia="es-ES" w:bidi="es-ES"/>
        </w:rPr>
        <w:footnoteReference w:id="29"/>
      </w:r>
      <w:r w:rsidRPr="00C84F90">
        <w:rPr>
          <w:rFonts w:ascii="Arial" w:eastAsia="Arial" w:hAnsi="Arial" w:cs="Arial"/>
          <w:sz w:val="21"/>
          <w:szCs w:val="21"/>
          <w:vertAlign w:val="superscript"/>
          <w:lang w:val="es-ES_tradnl" w:eastAsia="es-ES" w:bidi="es-ES"/>
        </w:rPr>
        <w:footnoteReference w:id="30"/>
      </w:r>
      <w:r w:rsidRPr="00C84F90">
        <w:rPr>
          <w:rFonts w:ascii="Arial" w:eastAsia="Arial" w:hAnsi="Arial" w:cs="Arial"/>
          <w:sz w:val="21"/>
          <w:szCs w:val="21"/>
          <w:lang w:val="es-ES_tradnl" w:eastAsia="es-ES" w:bidi="es-ES"/>
        </w:rPr>
        <w:t>.</w:t>
      </w:r>
    </w:p>
    <w:p w14:paraId="56C2F8EA" w14:textId="77777777" w:rsidR="00CE6BFB" w:rsidRPr="00C84F90" w:rsidRDefault="00CE6BFB" w:rsidP="00CE6BFB">
      <w:pPr>
        <w:widowControl w:val="0"/>
        <w:autoSpaceDE w:val="0"/>
        <w:autoSpaceDN w:val="0"/>
        <w:spacing w:after="0" w:line="276" w:lineRule="auto"/>
        <w:jc w:val="both"/>
        <w:rPr>
          <w:rFonts w:ascii="Arial" w:eastAsia="Arial" w:hAnsi="Arial" w:cs="Arial"/>
          <w:lang w:val="es-ES" w:eastAsia="es-ES" w:bidi="es-ES"/>
        </w:rPr>
      </w:pPr>
    </w:p>
    <w:p w14:paraId="10D4120F" w14:textId="77777777" w:rsidR="00CE6BFB" w:rsidRPr="00674165" w:rsidRDefault="00CE6BFB" w:rsidP="00CE6BFB">
      <w:pPr>
        <w:widowControl w:val="0"/>
        <w:autoSpaceDE w:val="0"/>
        <w:autoSpaceDN w:val="0"/>
        <w:spacing w:after="120" w:line="276" w:lineRule="auto"/>
        <w:jc w:val="both"/>
        <w:rPr>
          <w:rFonts w:ascii="Arial" w:eastAsia="Arial" w:hAnsi="Arial" w:cs="Arial"/>
          <w:lang w:val="es-ES" w:eastAsia="es-ES" w:bidi="es-ES"/>
        </w:rPr>
      </w:pPr>
      <w:r w:rsidRPr="00C84F90">
        <w:rPr>
          <w:rFonts w:ascii="Arial" w:eastAsia="Arial" w:hAnsi="Arial" w:cs="Arial"/>
          <w:lang w:val="es-ES" w:eastAsia="es-ES" w:bidi="es-ES"/>
        </w:rPr>
        <w:tab/>
      </w:r>
      <w:r w:rsidRPr="00674165">
        <w:rPr>
          <w:rFonts w:ascii="Arial" w:eastAsia="Arial" w:hAnsi="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674165">
        <w:rPr>
          <w:rFonts w:ascii="Arial" w:eastAsia="Arial" w:hAnsi="Arial" w:cs="Arial"/>
          <w:vertAlign w:val="superscript"/>
          <w:lang w:val="es-ES" w:eastAsia="es-ES" w:bidi="es-ES"/>
        </w:rPr>
        <w:footnoteReference w:id="31"/>
      </w:r>
      <w:r w:rsidRPr="00674165">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674165">
        <w:rPr>
          <w:rFonts w:ascii="Arial" w:eastAsia="Arial" w:hAnsi="Arial" w:cs="Arial"/>
          <w:vertAlign w:val="superscript"/>
          <w:lang w:val="es-ES" w:eastAsia="es-ES" w:bidi="es-ES"/>
        </w:rPr>
        <w:footnoteReference w:id="32"/>
      </w:r>
      <w:r w:rsidRPr="00674165">
        <w:rPr>
          <w:rFonts w:ascii="Arial" w:eastAsia="Arial" w:hAnsi="Arial" w:cs="Arial"/>
          <w:lang w:val="es-ES" w:eastAsia="es-ES" w:bidi="es-ES"/>
        </w:rPr>
        <w:t>.</w:t>
      </w:r>
    </w:p>
    <w:p w14:paraId="32C59640" w14:textId="77777777" w:rsidR="00CE6BFB" w:rsidRPr="00674165" w:rsidRDefault="00CE6BFB" w:rsidP="00CE6BFB">
      <w:pPr>
        <w:widowControl w:val="0"/>
        <w:autoSpaceDE w:val="0"/>
        <w:autoSpaceDN w:val="0"/>
        <w:spacing w:after="120" w:line="276" w:lineRule="auto"/>
        <w:jc w:val="both"/>
        <w:rPr>
          <w:rFonts w:ascii="Arial" w:eastAsia="Calibri" w:hAnsi="Arial" w:cs="Arial"/>
          <w:bCs/>
          <w:lang w:eastAsia="es-ES" w:bidi="es-ES"/>
        </w:rPr>
      </w:pPr>
      <w:r w:rsidRPr="00674165">
        <w:rPr>
          <w:rFonts w:ascii="Arial" w:eastAsia="Arial" w:hAnsi="Arial" w:cs="Arial"/>
          <w:lang w:val="es-ES" w:eastAsia="es-ES" w:bidi="es-ES"/>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w:t>
      </w:r>
      <w:bookmarkEnd w:id="42"/>
    </w:p>
    <w:p w14:paraId="6121F60E" w14:textId="77777777" w:rsidR="00CE6BFB" w:rsidRDefault="00CE6BFB" w:rsidP="00CE6BFB">
      <w:pPr>
        <w:tabs>
          <w:tab w:val="left" w:pos="426"/>
        </w:tabs>
        <w:spacing w:after="120" w:line="276" w:lineRule="auto"/>
        <w:ind w:firstLine="709"/>
        <w:jc w:val="both"/>
        <w:rPr>
          <w:rFonts w:ascii="Arial" w:eastAsia="Calibri" w:hAnsi="Arial" w:cs="Arial"/>
          <w:color w:val="000000" w:themeColor="text1"/>
        </w:rPr>
      </w:pPr>
      <w:r>
        <w:rPr>
          <w:rFonts w:ascii="Arial" w:hAnsi="Arial" w:cs="Arial"/>
          <w:bCs/>
          <w:lang w:eastAsia="es-CO"/>
        </w:rPr>
        <w:t>Conforme lo expuesto, de cara a la pregunta planteada, en relación con las restricciones que en materia de contratación aplica para las elecciones de este año</w:t>
      </w:r>
      <w:r w:rsidRPr="00674165">
        <w:rPr>
          <w:rFonts w:ascii="Arial" w:hAnsi="Arial" w:cs="Arial"/>
          <w:bCs/>
          <w:lang w:eastAsia="es-CO"/>
        </w:rPr>
        <w:t xml:space="preserve"> que</w:t>
      </w:r>
      <w:r>
        <w:rPr>
          <w:rFonts w:ascii="Arial" w:hAnsi="Arial" w:cs="Arial"/>
          <w:bCs/>
          <w:lang w:eastAsia="es-CO"/>
        </w:rPr>
        <w:t>, a partir del 29 de junio de 2023, en virtud</w:t>
      </w:r>
      <w:r w:rsidRPr="00674165">
        <w:rPr>
          <w:rFonts w:ascii="Arial" w:hAnsi="Arial" w:cs="Arial"/>
          <w:bCs/>
          <w:lang w:eastAsia="es-CO"/>
        </w:rPr>
        <w:t xml:space="preserve"> </w:t>
      </w:r>
      <w:r>
        <w:rPr>
          <w:rFonts w:ascii="Arial" w:hAnsi="Arial" w:cs="Arial"/>
          <w:bCs/>
          <w:lang w:eastAsia="es-CO"/>
        </w:rPr>
        <w:t>d</w:t>
      </w:r>
      <w:r w:rsidRPr="00674165">
        <w:rPr>
          <w:rFonts w:ascii="Arial" w:hAnsi="Arial" w:cs="Arial"/>
          <w:bCs/>
          <w:lang w:val="es-MX" w:eastAsia="es-CO"/>
        </w:rPr>
        <w:t xml:space="preserve">el parágrafo del artículo 38 de la Ley 996 de 2005 </w:t>
      </w:r>
      <w:r>
        <w:rPr>
          <w:rFonts w:ascii="Arial" w:hAnsi="Arial" w:cs="Arial"/>
          <w:bCs/>
          <w:lang w:val="es-MX" w:eastAsia="es-CO"/>
        </w:rPr>
        <w:t xml:space="preserve">se </w:t>
      </w:r>
      <w:r w:rsidRPr="00674165">
        <w:rPr>
          <w:rFonts w:ascii="Arial" w:hAnsi="Arial" w:cs="Arial"/>
          <w:bCs/>
          <w:lang w:val="es-MX" w:eastAsia="es-CO"/>
        </w:rPr>
        <w:t xml:space="preserve">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674165">
        <w:rPr>
          <w:rFonts w:ascii="Arial" w:hAnsi="Arial" w:cs="Arial"/>
          <w:bCs/>
          <w:i/>
          <w:iCs/>
          <w:lang w:val="es-MX" w:eastAsia="es-CO"/>
        </w:rPr>
        <w:t>ibidem</w:t>
      </w:r>
      <w:r w:rsidRPr="00674165">
        <w:rPr>
          <w:rFonts w:ascii="Arial" w:hAnsi="Arial" w:cs="Arial"/>
          <w:bCs/>
          <w:lang w:val="es-MX"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674165">
        <w:rPr>
          <w:rStyle w:val="Refdenotaalpie"/>
          <w:rFonts w:ascii="Arial" w:hAnsi="Arial" w:cs="Arial"/>
          <w:bCs/>
          <w:lang w:val="es-MX" w:eastAsia="es-CO"/>
        </w:rPr>
        <w:footnoteReference w:id="33"/>
      </w:r>
      <w:r w:rsidRPr="00674165">
        <w:rPr>
          <w:rFonts w:ascii="Arial" w:hAnsi="Arial" w:cs="Arial"/>
          <w:bCs/>
          <w:lang w:val="es-MX" w:eastAsia="es-CO"/>
        </w:rPr>
        <w:t xml:space="preserve">. </w:t>
      </w:r>
      <w:r w:rsidRPr="00172738">
        <w:rPr>
          <w:rFonts w:ascii="Arial" w:eastAsia="Times New Roman" w:hAnsi="Arial" w:cs="Arial"/>
          <w:bCs/>
          <w:lang w:eastAsia="es-CO"/>
        </w:rPr>
        <w:t>De esta manera, la prohibición aplica a todos los contratos interadministrativos con independencia de que estén o no precedidos de un procedimiento de selección con pluralidad de oferentes.</w:t>
      </w:r>
      <w:r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sidRPr="007A0C25">
        <w:rPr>
          <w:rFonts w:ascii="Arial" w:eastAsia="Calibri" w:hAnsi="Arial" w:cs="Arial"/>
          <w:color w:val="000000" w:themeColor="text1"/>
        </w:rPr>
        <w:t> </w:t>
      </w:r>
    </w:p>
    <w:p w14:paraId="6EE96AFF" w14:textId="759C1C2A" w:rsidR="00CE6BFB" w:rsidRDefault="00CE6BFB" w:rsidP="00F64276">
      <w:pPr>
        <w:widowControl w:val="0"/>
        <w:autoSpaceDE w:val="0"/>
        <w:autoSpaceDN w:val="0"/>
        <w:spacing w:after="120" w:line="276" w:lineRule="auto"/>
        <w:ind w:firstLine="709"/>
        <w:jc w:val="both"/>
        <w:rPr>
          <w:rFonts w:ascii="Arial" w:eastAsia="Calibri" w:hAnsi="Arial" w:cs="Arial"/>
          <w:lang w:eastAsia="es-ES" w:bidi="es-ES"/>
        </w:rPr>
      </w:pPr>
      <w:r w:rsidRPr="002F0981">
        <w:rPr>
          <w:rFonts w:ascii="Arial" w:hAnsi="Arial" w:cs="Arial"/>
          <w:bCs/>
          <w:lang w:val="es-ES" w:eastAsia="es-CO" w:bidi="es-ES"/>
        </w:rPr>
        <w:t>En todo caso</w:t>
      </w:r>
      <w:bookmarkStart w:id="43" w:name="_Hlk77154098"/>
      <w:r w:rsidRPr="002F0981">
        <w:rPr>
          <w:rFonts w:ascii="Arial" w:eastAsia="Arial" w:hAnsi="Arial" w:cs="Arial"/>
          <w:lang w:val="es-ES" w:eastAsia="es-ES" w:bidi="es-ES"/>
        </w:rPr>
        <w:t xml:space="preserve">, es importante resaltar que la Sala de Consulta y Servicio Civil del Consejo de Estado se ha pronunciado en el sentido de que </w:t>
      </w:r>
      <w:bookmarkStart w:id="44" w:name="_Hlk78820889"/>
      <w:r w:rsidRPr="002F0981">
        <w:rPr>
          <w:rFonts w:ascii="Arial" w:eastAsia="Arial" w:hAnsi="Arial" w:cs="Arial"/>
          <w:lang w:val="es-ES" w:eastAsia="es-ES" w:bidi="es-ES"/>
        </w:rPr>
        <w:t xml:space="preserve">no se les aplica la restricción de la Ley de Garantías a los convenios o contratos interadministrativos que deben celebrarse en virtud de un </w:t>
      </w:r>
      <w:r w:rsidRPr="002F0981">
        <w:rPr>
          <w:rFonts w:ascii="Arial" w:eastAsia="Arial" w:hAnsi="Arial" w:cs="Arial"/>
          <w:lang w:val="es-ES" w:eastAsia="es-ES" w:bidi="es-ES"/>
        </w:rPr>
        <w:lastRenderedPageBreak/>
        <w:t>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4"/>
      <w:r w:rsidRPr="002F0981">
        <w:rPr>
          <w:rFonts w:ascii="Arial" w:eastAsia="Arial" w:hAnsi="Arial" w:cs="Arial"/>
          <w:vertAlign w:val="superscript"/>
          <w:lang w:val="es-ES" w:eastAsia="es-ES" w:bidi="es-ES"/>
        </w:rPr>
        <w:footnoteReference w:id="34"/>
      </w:r>
      <w:r w:rsidRPr="002F0981">
        <w:rPr>
          <w:rFonts w:ascii="Arial" w:eastAsia="Calibri" w:hAnsi="Arial" w:cs="Arial"/>
          <w:lang w:eastAsia="es-ES" w:bidi="es-ES"/>
        </w:rPr>
        <w:t>.</w:t>
      </w:r>
      <w:bookmarkEnd w:id="43"/>
    </w:p>
    <w:p w14:paraId="3FE1F99B" w14:textId="14599651" w:rsidR="007D0A3A" w:rsidRDefault="007D0A3A" w:rsidP="00F64276">
      <w:pPr>
        <w:widowControl w:val="0"/>
        <w:autoSpaceDE w:val="0"/>
        <w:autoSpaceDN w:val="0"/>
        <w:spacing w:after="120" w:line="276" w:lineRule="auto"/>
        <w:ind w:firstLine="709"/>
        <w:jc w:val="both"/>
        <w:rPr>
          <w:rFonts w:ascii="Arial" w:eastAsia="Calibri" w:hAnsi="Arial" w:cs="Arial"/>
          <w:lang w:eastAsia="es-ES" w:bidi="es-ES"/>
        </w:rPr>
      </w:pPr>
      <w:r>
        <w:rPr>
          <w:rFonts w:ascii="Arial" w:eastAsia="Calibri" w:hAnsi="Arial" w:cs="Arial"/>
          <w:lang w:eastAsia="es-ES" w:bidi="es-ES"/>
        </w:rPr>
        <w:t>De acuerdo con lo explicado, la restricción establecida en el parágrafo del artículo 38</w:t>
      </w:r>
      <w:r w:rsidRPr="00F64276">
        <w:rPr>
          <w:rFonts w:ascii="Arial" w:eastAsia="Calibri" w:hAnsi="Arial" w:cs="Arial"/>
          <w:i/>
          <w:iCs/>
          <w:lang w:eastAsia="es-ES" w:bidi="es-ES"/>
        </w:rPr>
        <w:t xml:space="preserve"> ejusdem</w:t>
      </w:r>
      <w:r>
        <w:rPr>
          <w:rFonts w:ascii="Arial" w:eastAsia="Calibri" w:hAnsi="Arial" w:cs="Arial"/>
          <w:lang w:eastAsia="es-ES" w:bidi="es-ES"/>
        </w:rPr>
        <w:t xml:space="preserve"> no resultaría aplicable a los </w:t>
      </w:r>
      <w:r w:rsidRPr="00F64276">
        <w:rPr>
          <w:rFonts w:ascii="Arial" w:eastAsia="Calibri" w:hAnsi="Arial" w:cs="Arial"/>
          <w:i/>
          <w:iCs/>
          <w:lang w:eastAsia="es-ES" w:bidi="es-ES"/>
        </w:rPr>
        <w:t>convenios de asociación</w:t>
      </w:r>
      <w:r>
        <w:rPr>
          <w:rFonts w:ascii="Arial" w:eastAsia="Calibri" w:hAnsi="Arial" w:cs="Arial"/>
          <w:lang w:eastAsia="es-ES" w:bidi="es-ES"/>
        </w:rPr>
        <w:t xml:space="preserve"> a los que se refiere el artículo 96 de la Ley 489 de 1998</w:t>
      </w:r>
      <w:r w:rsidR="00DE688E">
        <w:rPr>
          <w:rStyle w:val="Refdenotaalpie"/>
          <w:rFonts w:ascii="Arial" w:eastAsia="Calibri" w:hAnsi="Arial" w:cs="Arial"/>
          <w:lang w:eastAsia="es-ES" w:bidi="es-ES"/>
        </w:rPr>
        <w:footnoteReference w:id="35"/>
      </w:r>
      <w:r>
        <w:rPr>
          <w:rFonts w:ascii="Arial" w:eastAsia="Calibri" w:hAnsi="Arial" w:cs="Arial"/>
          <w:lang w:eastAsia="es-ES" w:bidi="es-ES"/>
        </w:rPr>
        <w:t>, reglamentado en el artículo 5 del Decreto 092 de 2017</w:t>
      </w:r>
      <w:r w:rsidR="00734CD0">
        <w:rPr>
          <w:rStyle w:val="Refdenotaalpie"/>
          <w:rFonts w:ascii="Arial" w:eastAsia="Calibri" w:hAnsi="Arial" w:cs="Arial"/>
          <w:lang w:eastAsia="es-ES" w:bidi="es-ES"/>
        </w:rPr>
        <w:footnoteReference w:id="36"/>
      </w:r>
      <w:r>
        <w:rPr>
          <w:rFonts w:ascii="Arial" w:eastAsia="Calibri" w:hAnsi="Arial" w:cs="Arial"/>
          <w:lang w:eastAsia="es-ES" w:bidi="es-ES"/>
        </w:rPr>
        <w:t xml:space="preserve">, por cuanto en este tipo de contratos no se cumple el referido criterio orgánico que exige que ambos extremos de la relación contractual sean entidades estatales. Esto comoquiera que, por definición, este tipo de convenios solo pueden ser celebrados con entidades privadas sin ánimo de lucro.  </w:t>
      </w:r>
    </w:p>
    <w:p w14:paraId="1A51CAE1" w14:textId="3B56D0B5" w:rsidR="00DE688E" w:rsidRDefault="007D0A3A" w:rsidP="007D0A3A">
      <w:pPr>
        <w:widowControl w:val="0"/>
        <w:tabs>
          <w:tab w:val="left" w:pos="4488"/>
        </w:tabs>
        <w:autoSpaceDE w:val="0"/>
        <w:autoSpaceDN w:val="0"/>
        <w:spacing w:after="0" w:line="276" w:lineRule="auto"/>
        <w:ind w:firstLine="709"/>
        <w:contextualSpacing/>
        <w:jc w:val="both"/>
        <w:rPr>
          <w:rFonts w:ascii="Arial" w:eastAsia="Calibri" w:hAnsi="Arial" w:cs="Arial"/>
          <w:lang w:eastAsia="es-ES" w:bidi="es-ES"/>
        </w:rPr>
      </w:pPr>
      <w:r>
        <w:rPr>
          <w:rFonts w:ascii="Arial" w:eastAsia="Calibri" w:hAnsi="Arial" w:cs="Arial"/>
          <w:lang w:eastAsia="es-ES" w:bidi="es-ES"/>
        </w:rPr>
        <w:t xml:space="preserve"> Por su parte, en lo relativo a los contratos de prestación de servicios </w:t>
      </w:r>
      <w:r w:rsidR="00DE688E">
        <w:rPr>
          <w:rFonts w:ascii="Arial" w:eastAsia="Calibri" w:hAnsi="Arial" w:cs="Arial"/>
          <w:lang w:eastAsia="es-ES" w:bidi="es-ES"/>
        </w:rPr>
        <w:t xml:space="preserve">modalidad contractual establecida </w:t>
      </w:r>
      <w:r>
        <w:rPr>
          <w:rFonts w:ascii="Arial" w:eastAsia="Calibri" w:hAnsi="Arial" w:cs="Arial"/>
          <w:lang w:eastAsia="es-ES" w:bidi="es-ES"/>
        </w:rPr>
        <w:t>en el artículo 32, numeral 3 de la Ley 80 de 1993</w:t>
      </w:r>
      <w:r w:rsidR="00577EB7">
        <w:rPr>
          <w:rStyle w:val="Refdenotaalpie"/>
          <w:rFonts w:ascii="Arial" w:eastAsia="Calibri" w:hAnsi="Arial" w:cs="Arial"/>
          <w:lang w:eastAsia="es-ES" w:bidi="es-ES"/>
        </w:rPr>
        <w:footnoteReference w:id="37"/>
      </w:r>
      <w:r>
        <w:rPr>
          <w:rFonts w:ascii="Arial" w:eastAsia="Calibri" w:hAnsi="Arial" w:cs="Arial"/>
          <w:lang w:eastAsia="es-ES" w:bidi="es-ES"/>
        </w:rPr>
        <w:t xml:space="preserve">, se advierte que, </w:t>
      </w:r>
      <w:r w:rsidR="00DE688E">
        <w:rPr>
          <w:rFonts w:ascii="Arial" w:eastAsia="Calibri" w:hAnsi="Arial" w:cs="Arial"/>
          <w:lang w:eastAsia="es-ES" w:bidi="es-ES"/>
        </w:rPr>
        <w:t xml:space="preserve">los </w:t>
      </w:r>
      <w:r w:rsidR="00DE688E">
        <w:rPr>
          <w:rFonts w:ascii="Arial" w:eastAsia="Calibri" w:hAnsi="Arial" w:cs="Arial"/>
          <w:lang w:eastAsia="es-ES" w:bidi="es-ES"/>
        </w:rPr>
        <w:lastRenderedPageBreak/>
        <w:t>dispuesto en el primer inciso del</w:t>
      </w:r>
      <w:r>
        <w:rPr>
          <w:rFonts w:ascii="Arial" w:eastAsia="Calibri" w:hAnsi="Arial" w:cs="Arial"/>
          <w:lang w:eastAsia="es-ES" w:bidi="es-ES"/>
        </w:rPr>
        <w:t xml:space="preserve"> parágrafo del artículo 38 de la Ley 996 de 2005</w:t>
      </w:r>
      <w:r w:rsidR="00DE688E">
        <w:rPr>
          <w:rFonts w:ascii="Arial" w:eastAsia="Calibri" w:hAnsi="Arial" w:cs="Arial"/>
          <w:lang w:eastAsia="es-ES" w:bidi="es-ES"/>
        </w:rPr>
        <w:t xml:space="preserve"> no le aplica </w:t>
      </w:r>
      <w:r w:rsidR="00DE688E" w:rsidRPr="00F64276">
        <w:rPr>
          <w:rFonts w:ascii="Arial" w:eastAsia="Calibri" w:hAnsi="Arial" w:cs="Arial"/>
          <w:i/>
          <w:iCs/>
          <w:lang w:eastAsia="es-ES" w:bidi="es-ES"/>
        </w:rPr>
        <w:t>per se</w:t>
      </w:r>
      <w:r w:rsidR="00DE688E">
        <w:rPr>
          <w:rFonts w:ascii="Arial" w:eastAsia="Calibri" w:hAnsi="Arial" w:cs="Arial"/>
          <w:lang w:eastAsia="es-ES" w:bidi="es-ES"/>
        </w:rPr>
        <w:t xml:space="preserve"> a esta tipología contractual. No obstante, en la medida en que este tipo de contratos pueden ser celebrados con personas naturales y jurídicas, es necesario analizar en cada caso concreto si la restricción tiene o no efecto. Esto comoquiera que la norma no excluye la celebración de esta tipología con personas jurídicas con la naturaleza de entidad estatal, caso en el cual, al cumplirse el criterio orgánico, devendría en tal contrato el carácter de interadministrativo.</w:t>
      </w:r>
    </w:p>
    <w:bookmarkEnd w:id="37"/>
    <w:p w14:paraId="0BBAB8C5" w14:textId="77777777" w:rsidR="00CE6BFB" w:rsidRDefault="00CE6BFB" w:rsidP="00CE6BFB">
      <w:pPr>
        <w:tabs>
          <w:tab w:val="left" w:pos="709"/>
        </w:tabs>
        <w:spacing w:after="0" w:line="276" w:lineRule="auto"/>
        <w:contextualSpacing/>
        <w:jc w:val="both"/>
        <w:rPr>
          <w:rFonts w:ascii="Arial" w:eastAsia="Calibri" w:hAnsi="Arial" w:cs="Arial"/>
          <w:b/>
          <w:lang w:val="es-ES_tradnl"/>
        </w:rPr>
      </w:pPr>
    </w:p>
    <w:p w14:paraId="7AC4BD3E" w14:textId="77777777" w:rsidR="00CE6BFB" w:rsidRDefault="00CE6BFB" w:rsidP="00CE6BFB">
      <w:pPr>
        <w:tabs>
          <w:tab w:val="left" w:pos="709"/>
        </w:tabs>
        <w:spacing w:after="0" w:line="276" w:lineRule="auto"/>
        <w:contextualSpacing/>
        <w:jc w:val="both"/>
        <w:rPr>
          <w:rFonts w:ascii="Arial" w:eastAsia="Calibri" w:hAnsi="Arial" w:cs="Arial"/>
          <w:b/>
          <w:lang w:val="es-ES_tradnl"/>
        </w:rPr>
      </w:pPr>
      <w:r w:rsidRPr="002F0981">
        <w:rPr>
          <w:rFonts w:ascii="Arial" w:eastAsia="Calibri" w:hAnsi="Arial" w:cs="Arial"/>
          <w:b/>
          <w:lang w:val="es-ES_tradnl"/>
        </w:rPr>
        <w:t>3. Respuesta</w:t>
      </w:r>
      <w:r>
        <w:rPr>
          <w:rFonts w:ascii="Arial" w:eastAsia="Calibri" w:hAnsi="Arial" w:cs="Arial"/>
          <w:b/>
          <w:lang w:val="es-ES_tradnl"/>
        </w:rPr>
        <w:t>s:</w:t>
      </w:r>
    </w:p>
    <w:p w14:paraId="689CFBF7" w14:textId="77777777" w:rsidR="00CE6BFB" w:rsidRDefault="00CE6BFB" w:rsidP="00CE6BFB">
      <w:pPr>
        <w:tabs>
          <w:tab w:val="left" w:pos="709"/>
        </w:tabs>
        <w:spacing w:after="0" w:line="276" w:lineRule="auto"/>
        <w:contextualSpacing/>
        <w:jc w:val="both"/>
        <w:rPr>
          <w:rFonts w:ascii="Arial" w:eastAsia="Calibri" w:hAnsi="Arial" w:cs="Arial"/>
          <w:b/>
          <w:lang w:val="es-ES_tradnl"/>
        </w:rPr>
      </w:pPr>
    </w:p>
    <w:p w14:paraId="1C94E60B" w14:textId="567B3156" w:rsidR="007F7E76" w:rsidRPr="0099081D" w:rsidRDefault="00CA38C0" w:rsidP="0099081D">
      <w:pPr>
        <w:spacing w:line="240" w:lineRule="auto"/>
        <w:ind w:left="709" w:right="48"/>
        <w:jc w:val="both"/>
        <w:rPr>
          <w:rFonts w:ascii="Arial" w:hAnsi="Arial" w:cs="Arial"/>
          <w:b/>
          <w:bCs/>
          <w:i/>
          <w:iCs/>
        </w:rPr>
      </w:pPr>
      <w:r w:rsidRPr="0099081D">
        <w:rPr>
          <w:rFonts w:ascii="Arial" w:hAnsi="Arial" w:cs="Arial"/>
          <w:b/>
          <w:bCs/>
          <w:i/>
          <w:iCs/>
        </w:rPr>
        <w:t>“</w:t>
      </w:r>
      <w:r w:rsidR="007F7E76" w:rsidRPr="0099081D">
        <w:rPr>
          <w:rFonts w:ascii="Arial" w:hAnsi="Arial" w:cs="Arial"/>
          <w:b/>
          <w:bCs/>
          <w:i/>
          <w:iCs/>
        </w:rPr>
        <w:t xml:space="preserve">1. ¿Teniendo en cuenta las elecciones programadas para el año 2023 qué restricciones en materia de contratación regirán de conformidad con lo dispuesto en la Ley 996 de 2005? </w:t>
      </w:r>
    </w:p>
    <w:p w14:paraId="6C26890C" w14:textId="48045B22" w:rsidR="00CE6BFB" w:rsidRDefault="00CE6BFB" w:rsidP="00CE6BFB">
      <w:pPr>
        <w:pStyle w:val="xmsonospacing"/>
        <w:spacing w:before="0" w:beforeAutospacing="0" w:after="120" w:afterAutospacing="0" w:line="276" w:lineRule="auto"/>
        <w:jc w:val="both"/>
        <w:rPr>
          <w:rStyle w:val="eop"/>
          <w:rFonts w:ascii="Arial" w:eastAsiaTheme="minorHAnsi" w:hAnsi="Arial" w:cs="Arial"/>
          <w:color w:val="000000"/>
          <w:sz w:val="22"/>
          <w:szCs w:val="22"/>
          <w:shd w:val="clear" w:color="auto" w:fill="FFFFFF"/>
          <w:lang w:eastAsia="en-US"/>
        </w:rPr>
      </w:pPr>
      <w:r>
        <w:rPr>
          <w:rStyle w:val="normaltextrun"/>
          <w:rFonts w:ascii="Arial" w:hAnsi="Arial" w:cs="Arial"/>
          <w:color w:val="000000"/>
          <w:sz w:val="22"/>
          <w:szCs w:val="22"/>
          <w:shd w:val="clear" w:color="auto" w:fill="FFFFFF"/>
          <w:lang w:val="es-MX"/>
        </w:rPr>
        <w:t>Conforme a las consideraciones precedentes, la Ley 996 de 2005 establece dos (2) tipos de restricciones en materia de contratación, de las cuales solo aplica para efectos de las elecciones del presente año las del articulo 38 y no las del artículo 33. Lo anterior teniendo en cuenta que las del artículo 33 opera solo respecto de las elecciones presidenciales en virtud de la cual queda proscrita la contratación directa dentro de los cuatro (4) meses anteriores a la celebración de los comicios. Esto sin perjuicio de la prohibición del parágrafo del artículo 38, el cual debe aplicarse respecto de cualquier tipo de contienda electoral, como las elecciones que se llevaran a cabo en el presente año, y que prohíbe la celebración de convenios interadministrativos que impliquen la ejecución de recursos públicos dentro de los cuatro (4) meses anteriores a la respectiva jornada de votaciones.</w:t>
      </w:r>
      <w:r>
        <w:rPr>
          <w:rStyle w:val="eop"/>
          <w:rFonts w:ascii="Arial" w:hAnsi="Arial" w:cs="Arial"/>
          <w:color w:val="000000"/>
          <w:sz w:val="22"/>
          <w:szCs w:val="22"/>
          <w:shd w:val="clear" w:color="auto" w:fill="FFFFFF"/>
        </w:rPr>
        <w:t> </w:t>
      </w:r>
    </w:p>
    <w:p w14:paraId="3AD24ADC" w14:textId="0C8E3E9A" w:rsidR="00F64276" w:rsidRPr="0099081D" w:rsidRDefault="00CE6BFB" w:rsidP="003F37EF">
      <w:pPr>
        <w:tabs>
          <w:tab w:val="left" w:pos="426"/>
        </w:tabs>
        <w:spacing w:after="120" w:line="276" w:lineRule="auto"/>
        <w:ind w:firstLine="709"/>
        <w:jc w:val="both"/>
        <w:rPr>
          <w:rFonts w:ascii="Arial" w:hAnsi="Arial" w:cs="Arial"/>
          <w:b/>
          <w:bCs/>
          <w:i/>
          <w:iCs/>
        </w:rPr>
      </w:pPr>
      <w:r w:rsidRPr="0041726D">
        <w:rPr>
          <w:rFonts w:ascii="Arial" w:hAnsi="Arial" w:cs="Arial"/>
          <w:lang w:val="es-ES" w:eastAsia="es-CO"/>
        </w:rPr>
        <w:t> </w:t>
      </w:r>
      <w:r w:rsidRPr="0041726D">
        <w:rPr>
          <w:rFonts w:ascii="Arial" w:hAnsi="Arial" w:cs="Arial"/>
          <w:lang w:eastAsia="es-CO"/>
        </w:rPr>
        <w:t> </w:t>
      </w:r>
      <w:r w:rsidR="00F64276" w:rsidRPr="0099081D">
        <w:rPr>
          <w:rFonts w:ascii="Arial" w:hAnsi="Arial" w:cs="Arial"/>
          <w:b/>
          <w:bCs/>
          <w:i/>
          <w:iCs/>
        </w:rPr>
        <w:t xml:space="preserve">2. ¿Frente a la aplicación del artículo 38 de la Ley de Garantías Electorales, ruego aclarar si dentro de esta restricción se encuentran cobijados los Contratos y/o Convenios de Asociación suscritos con Entidades Privadas? </w:t>
      </w:r>
    </w:p>
    <w:p w14:paraId="60A795C3" w14:textId="6F5683ED" w:rsidR="0099081D" w:rsidRDefault="0099081D" w:rsidP="0099081D">
      <w:pPr>
        <w:tabs>
          <w:tab w:val="left" w:pos="426"/>
        </w:tabs>
        <w:spacing w:after="120" w:line="276" w:lineRule="auto"/>
        <w:ind w:firstLine="709"/>
        <w:jc w:val="both"/>
        <w:rPr>
          <w:rFonts w:ascii="Arial" w:eastAsia="Calibri" w:hAnsi="Arial" w:cs="Arial"/>
          <w:color w:val="000000" w:themeColor="text1"/>
        </w:rPr>
      </w:pPr>
      <w:r>
        <w:rPr>
          <w:rFonts w:ascii="Arial" w:hAnsi="Arial" w:cs="Arial"/>
          <w:bCs/>
          <w:lang w:eastAsia="es-CO"/>
        </w:rPr>
        <w:t>En virtud d</w:t>
      </w:r>
      <w:bookmarkStart w:id="45" w:name="_Hlk114828165"/>
      <w:r w:rsidRPr="00172738">
        <w:rPr>
          <w:rFonts w:ascii="Arial" w:hAnsi="Arial" w:cs="Arial"/>
          <w:bCs/>
          <w:lang w:eastAsia="es-CO"/>
        </w:rPr>
        <w:t>el parágrafo del artículo 38 de la Ley 996 de 2005</w:t>
      </w:r>
      <w:r>
        <w:rPr>
          <w:rFonts w:ascii="Arial" w:hAnsi="Arial" w:cs="Arial"/>
          <w:bCs/>
          <w:lang w:eastAsia="es-CO"/>
        </w:rPr>
        <w:t>, se</w:t>
      </w:r>
      <w:r w:rsidRPr="00172738">
        <w:rPr>
          <w:rFonts w:ascii="Arial" w:hAnsi="Arial" w:cs="Arial"/>
          <w:bCs/>
          <w:lang w:eastAsia="es-CO"/>
        </w:rPr>
        <w:t xml:space="preserve"> prohíbe a los alcaldes, gobernadores, secretarios, gerentes y directores de las entidades del orden municipal, departamental o distrital celebrar convenios y contratos interadministrativos para la ejecución de recursos públicos. En este sentido, los municipios no podrán celebrar tales convenios o contratos durante el periodo de aplicación de la Ley de Garantías Electorales, toda vez que la citada disposición hace referencia a dicha tipología contractual sin que el legislador hubiere contemplado excepción alguna frente a la modalidad de selección o naturaleza de su objeto.</w:t>
      </w:r>
      <w:r w:rsidRPr="007A0C25">
        <w:rPr>
          <w:rFonts w:ascii="Arial" w:eastAsia="Times New Roman" w:hAnsi="Arial" w:cs="Arial"/>
          <w:bCs/>
          <w:lang w:eastAsia="es-CO"/>
        </w:rPr>
        <w:t xml:space="preserve"> </w:t>
      </w:r>
      <w:r w:rsidRPr="00172738">
        <w:rPr>
          <w:rFonts w:ascii="Arial" w:eastAsia="Times New Roman" w:hAnsi="Arial" w:cs="Arial"/>
          <w:bCs/>
          <w:lang w:eastAsia="es-CO"/>
        </w:rPr>
        <w:t xml:space="preserve">De </w:t>
      </w:r>
      <w:r w:rsidRPr="00172738">
        <w:rPr>
          <w:rFonts w:ascii="Arial" w:eastAsia="Times New Roman" w:hAnsi="Arial" w:cs="Arial"/>
          <w:bCs/>
          <w:lang w:eastAsia="es-CO"/>
        </w:rPr>
        <w:lastRenderedPageBreak/>
        <w:t>esta manera, la prohibición aplica a todos los contratos</w:t>
      </w:r>
      <w:r w:rsidRPr="1645D236">
        <w:rPr>
          <w:rFonts w:ascii="Arial" w:eastAsia="Times New Roman" w:hAnsi="Arial" w:cs="Arial"/>
          <w:lang w:eastAsia="es-CO"/>
        </w:rPr>
        <w:t xml:space="preserve"> o convenios</w:t>
      </w:r>
      <w:r w:rsidRPr="00172738">
        <w:rPr>
          <w:rFonts w:ascii="Arial" w:eastAsia="Times New Roman" w:hAnsi="Arial" w:cs="Arial"/>
          <w:bCs/>
          <w:lang w:eastAsia="es-CO"/>
        </w:rPr>
        <w:t xml:space="preserve"> interadministrativos con independencia de que estén o no precedidos de un procedimiento de selección con pluralidad de oferentes.</w:t>
      </w:r>
      <w:r w:rsidRPr="007A0C25">
        <w:rPr>
          <w:rFonts w:ascii="Arial" w:eastAsia="Times New Roman" w:hAnsi="Arial" w:cs="Arial"/>
          <w:bCs/>
          <w:lang w:eastAsia="es-CO"/>
        </w:rPr>
        <w:t xml:space="preserve"> Esto por cuanto, como se indicó, el contrato o convenio interadministrativo no se define por la modalidad de selección, sino por la naturaleza pública de quienes lo celebran, es decir, por un criterio orgánico.</w:t>
      </w:r>
      <w:r w:rsidRPr="007A0C25">
        <w:rPr>
          <w:rFonts w:ascii="Arial" w:eastAsia="Calibri" w:hAnsi="Arial" w:cs="Arial"/>
          <w:color w:val="000000" w:themeColor="text1"/>
        </w:rPr>
        <w:t> </w:t>
      </w:r>
      <w:bookmarkEnd w:id="45"/>
    </w:p>
    <w:p w14:paraId="18293687" w14:textId="77777777" w:rsidR="0099081D" w:rsidRDefault="0099081D" w:rsidP="0099081D">
      <w:pPr>
        <w:widowControl w:val="0"/>
        <w:autoSpaceDE w:val="0"/>
        <w:autoSpaceDN w:val="0"/>
        <w:spacing w:after="120" w:line="276" w:lineRule="auto"/>
        <w:ind w:firstLine="709"/>
        <w:jc w:val="both"/>
        <w:rPr>
          <w:rFonts w:ascii="Arial" w:eastAsia="Calibri" w:hAnsi="Arial" w:cs="Arial"/>
          <w:lang w:eastAsia="es-ES" w:bidi="es-ES"/>
        </w:rPr>
      </w:pPr>
      <w:r>
        <w:rPr>
          <w:rFonts w:ascii="Arial" w:eastAsia="Calibri" w:hAnsi="Arial" w:cs="Arial"/>
          <w:lang w:eastAsia="es-ES" w:bidi="es-ES"/>
        </w:rPr>
        <w:t>Según lo explicado, la restricción del primer inciso del parágrafo del artículo 38</w:t>
      </w:r>
      <w:r w:rsidRPr="00665991">
        <w:rPr>
          <w:rFonts w:ascii="Arial" w:eastAsia="Calibri" w:hAnsi="Arial" w:cs="Arial"/>
          <w:i/>
          <w:iCs/>
          <w:lang w:eastAsia="es-ES" w:bidi="es-ES"/>
        </w:rPr>
        <w:t xml:space="preserve"> </w:t>
      </w:r>
      <w:r>
        <w:rPr>
          <w:rFonts w:ascii="Arial" w:eastAsia="Calibri" w:hAnsi="Arial" w:cs="Arial"/>
          <w:lang w:eastAsia="es-ES" w:bidi="es-ES"/>
        </w:rPr>
        <w:t xml:space="preserve">de la Ley 996 de 1998 no es aplicable a los </w:t>
      </w:r>
      <w:r w:rsidRPr="00F64276">
        <w:rPr>
          <w:rFonts w:ascii="Arial" w:eastAsia="Calibri" w:hAnsi="Arial" w:cs="Arial"/>
          <w:lang w:eastAsia="es-ES" w:bidi="es-ES"/>
        </w:rPr>
        <w:t>convenios de asociación</w:t>
      </w:r>
      <w:r>
        <w:rPr>
          <w:rFonts w:ascii="Arial" w:eastAsia="Calibri" w:hAnsi="Arial" w:cs="Arial"/>
          <w:lang w:eastAsia="es-ES" w:bidi="es-ES"/>
        </w:rPr>
        <w:t xml:space="preserve"> regulados por el artículo 96 de la Ley 489 de 1998, reglamentados en el artículo 5 del Decreto 092 de 2017, por cuanto en este tipo de contratos no se cumple el referido criterio orgánico que exige que ambos extremos de la relación contractual sean entidades estatales. Esto comoquiera que, por definición, este tipo de convenios solo pueden ser celebrados con entidades privadas sin ánimo de lucro.  </w:t>
      </w:r>
    </w:p>
    <w:p w14:paraId="3A61F50C" w14:textId="77777777" w:rsidR="00F64276" w:rsidRPr="00F64276" w:rsidRDefault="00F64276" w:rsidP="00AE4A71">
      <w:pPr>
        <w:spacing w:line="240" w:lineRule="auto"/>
        <w:ind w:right="48"/>
        <w:jc w:val="both"/>
        <w:rPr>
          <w:rFonts w:ascii="Arial" w:hAnsi="Arial" w:cs="Arial"/>
          <w:sz w:val="21"/>
          <w:szCs w:val="21"/>
        </w:rPr>
      </w:pPr>
    </w:p>
    <w:p w14:paraId="308EAD3E" w14:textId="2EDB5E17" w:rsidR="00F64276" w:rsidRPr="0099081D" w:rsidRDefault="00AE4A71" w:rsidP="00AE4A71">
      <w:pPr>
        <w:spacing w:after="0" w:line="240" w:lineRule="auto"/>
        <w:ind w:right="48"/>
        <w:jc w:val="both"/>
        <w:rPr>
          <w:rFonts w:ascii="Arial" w:eastAsia="Calibri" w:hAnsi="Arial" w:cs="Arial"/>
          <w:b/>
          <w:bCs/>
          <w:i/>
          <w:iCs/>
        </w:rPr>
      </w:pPr>
      <w:r>
        <w:rPr>
          <w:rFonts w:ascii="Arial" w:hAnsi="Arial" w:cs="Arial"/>
          <w:b/>
          <w:bCs/>
          <w:i/>
          <w:iCs/>
        </w:rPr>
        <w:t xml:space="preserve">             </w:t>
      </w:r>
      <w:r w:rsidR="00F64276" w:rsidRPr="0099081D">
        <w:rPr>
          <w:rFonts w:ascii="Arial" w:hAnsi="Arial" w:cs="Arial"/>
          <w:b/>
          <w:bCs/>
          <w:i/>
          <w:iCs/>
        </w:rPr>
        <w:t>3. ¿Frente a la aplicación del artículo 38 de la Ley de Garantías Electorales, ruego aclarar si dentro de esta restricción se encuentra la celebración de contratos de prestación de servicios profesionales y de apoyo a la gestión?”</w:t>
      </w:r>
      <w:r w:rsidR="00F64276" w:rsidRPr="0099081D">
        <w:rPr>
          <w:rFonts w:ascii="Arial" w:hAnsi="Arial" w:cs="Arial"/>
          <w:b/>
          <w:bCs/>
          <w:i/>
          <w:iCs/>
          <w:lang w:val="es-ES_tradnl"/>
        </w:rPr>
        <w:t>.</w:t>
      </w:r>
    </w:p>
    <w:p w14:paraId="31D7C802" w14:textId="77777777" w:rsidR="00F64276" w:rsidRDefault="00F64276" w:rsidP="00EE36AD">
      <w:pPr>
        <w:spacing w:after="0" w:line="276" w:lineRule="auto"/>
        <w:ind w:firstLine="708"/>
        <w:jc w:val="both"/>
        <w:rPr>
          <w:rFonts w:ascii="Arial" w:eastAsia="Calibri" w:hAnsi="Arial" w:cs="Arial"/>
          <w:bCs/>
          <w:lang w:eastAsia="es-CO"/>
        </w:rPr>
      </w:pPr>
    </w:p>
    <w:p w14:paraId="0A9EADFE" w14:textId="17D66160" w:rsidR="00F64276" w:rsidRDefault="003F37EF" w:rsidP="003F37EF">
      <w:pPr>
        <w:spacing w:after="0" w:line="276" w:lineRule="auto"/>
        <w:jc w:val="both"/>
        <w:rPr>
          <w:rFonts w:ascii="Arial" w:eastAsia="Calibri" w:hAnsi="Arial" w:cs="Arial"/>
          <w:bCs/>
          <w:lang w:eastAsia="es-CO"/>
        </w:rPr>
      </w:pPr>
      <w:r w:rsidRPr="003F37EF">
        <w:rPr>
          <w:rFonts w:ascii="Arial" w:eastAsia="Calibri" w:hAnsi="Arial" w:cs="Arial"/>
          <w:bCs/>
          <w:lang w:eastAsia="es-CO"/>
        </w:rPr>
        <w:t>Por su parte, en lo relativo a los contratos de prestación de servicios modalidad contractual establecida en el artículo 32, numeral 3 de la Ley 80 de 1993, se advierte que, lo dispuesto en el primer inciso del parágrafo del artículo 38 de la Ley 996 de 2005 no le aplica per se a esta tipología contractual. No obstante, en la medida en que este tipo de contratos pueden ser celebrados con personas naturales y jurídicas, es necesario analizar en cada caso concreto si la restricción tiene o no efecto. Esto comoquiera que la norma no excluye la celebración de esta tipología con personas jurídicas con la naturaleza de entidad estatal, caso en el cual, al cumplirse el criterio orgánico, devendría en tal contrato el carácter de interadministrativo</w:t>
      </w:r>
      <w:r w:rsidR="0053285C">
        <w:rPr>
          <w:rFonts w:ascii="Arial" w:eastAsia="Calibri" w:hAnsi="Arial" w:cs="Arial"/>
          <w:bCs/>
          <w:lang w:eastAsia="es-CO"/>
        </w:rPr>
        <w:t>.</w:t>
      </w:r>
    </w:p>
    <w:p w14:paraId="12E15A30" w14:textId="77777777" w:rsidR="00F64276" w:rsidRDefault="00F64276" w:rsidP="00EE36AD">
      <w:pPr>
        <w:spacing w:after="0" w:line="276" w:lineRule="auto"/>
        <w:ind w:firstLine="708"/>
        <w:jc w:val="both"/>
        <w:rPr>
          <w:rFonts w:ascii="Arial" w:eastAsia="Calibri" w:hAnsi="Arial" w:cs="Arial"/>
          <w:bCs/>
          <w:lang w:eastAsia="es-CO"/>
        </w:rPr>
      </w:pPr>
    </w:p>
    <w:p w14:paraId="242FAAFA" w14:textId="5311A6C2" w:rsidR="00F64276" w:rsidRPr="0053285C" w:rsidRDefault="0053285C" w:rsidP="00EE36AD">
      <w:pPr>
        <w:spacing w:after="0" w:line="276" w:lineRule="auto"/>
        <w:ind w:firstLine="708"/>
        <w:jc w:val="both"/>
        <w:rPr>
          <w:rFonts w:ascii="Arial" w:hAnsi="Arial" w:cs="Arial"/>
        </w:rPr>
      </w:pPr>
      <w:r>
        <w:rPr>
          <w:rFonts w:ascii="Arial" w:hAnsi="Arial" w:cs="Arial"/>
        </w:rPr>
        <w:t>En este orden de ideas e</w:t>
      </w:r>
      <w:r w:rsidR="005D2271" w:rsidRPr="0053285C">
        <w:rPr>
          <w:rFonts w:ascii="Arial" w:hAnsi="Arial" w:cs="Arial"/>
        </w:rPr>
        <w:t>s bueno señalar que corresponde a las autoridades administrativas de manera autónoma e independiente, como responsables de sus procedimientos contractuales y conforme a las disposiciones que rigen la contratación estatal, adoptar las decisiones y/o adelantar las actuaciones que estimen pertinentes en el desarrollo de sus procesos de contratación.</w:t>
      </w:r>
    </w:p>
    <w:p w14:paraId="6FCC2B18" w14:textId="77777777" w:rsidR="005D2271" w:rsidRPr="0053285C" w:rsidRDefault="005D2271" w:rsidP="00EE36AD">
      <w:pPr>
        <w:spacing w:after="0" w:line="276" w:lineRule="auto"/>
        <w:ind w:firstLine="708"/>
        <w:jc w:val="both"/>
        <w:rPr>
          <w:rFonts w:ascii="Arial" w:hAnsi="Arial" w:cs="Arial"/>
        </w:rPr>
      </w:pPr>
    </w:p>
    <w:p w14:paraId="7D0DFEE9" w14:textId="5D80E8B6" w:rsidR="005D2271" w:rsidRPr="0053285C" w:rsidRDefault="005D2271" w:rsidP="00EE36AD">
      <w:pPr>
        <w:spacing w:after="0" w:line="276" w:lineRule="auto"/>
        <w:ind w:firstLine="708"/>
        <w:jc w:val="both"/>
        <w:rPr>
          <w:rFonts w:ascii="Arial" w:eastAsia="Calibri" w:hAnsi="Arial" w:cs="Arial"/>
          <w:bCs/>
          <w:lang w:eastAsia="es-CO"/>
        </w:rPr>
      </w:pPr>
      <w:r w:rsidRPr="0053285C">
        <w:rPr>
          <w:rFonts w:ascii="Arial" w:hAnsi="Arial" w:cs="Arial"/>
        </w:rPr>
        <w:t xml:space="preserve">En consecuencia, en este caso, de manera autónoma e independiente, con la asesoría de sus equipos jurídicos y en consideración del régimen contractual aplicable, le corresponde a la Entidad pública ejecutora determinar la observancia de las disposiciones legales dentro de cualquier actuación que pretenda adelantar. Teniendo en cuenta las disposiciones constitucionales y legales que rigen nuestro ordenamiento jurídico, particularmente lo estipulado en el numeral 1º del artículo 2º de la Ley 80 de 1993. Con todo se reitera, la imposibilidad de este ente en involucrarse, directa o indirectamente, en la actividad contractual de las entidades estatales, teniendo en cuenta las disposiciones constitucionales y legales que rigen nuestro </w:t>
      </w:r>
      <w:r w:rsidRPr="0053285C">
        <w:rPr>
          <w:rFonts w:ascii="Arial" w:hAnsi="Arial" w:cs="Arial"/>
        </w:rPr>
        <w:lastRenderedPageBreak/>
        <w:t>ordenamiento jurídico, particularmente lo estipulado en el numeral 1º del artículo 2º de la Ley 80 de 1993.</w:t>
      </w:r>
    </w:p>
    <w:p w14:paraId="6278635E" w14:textId="77777777" w:rsidR="00F64276" w:rsidRDefault="00F64276" w:rsidP="00EE36AD">
      <w:pPr>
        <w:spacing w:after="0" w:line="276" w:lineRule="auto"/>
        <w:ind w:firstLine="708"/>
        <w:jc w:val="both"/>
        <w:rPr>
          <w:rFonts w:ascii="Arial" w:eastAsia="Calibri" w:hAnsi="Arial" w:cs="Arial"/>
          <w:bCs/>
          <w:lang w:eastAsia="es-CO"/>
        </w:rPr>
      </w:pPr>
    </w:p>
    <w:p w14:paraId="1C6291FF" w14:textId="2CFBA433" w:rsidR="00CE6BFB" w:rsidRDefault="00CE6BFB" w:rsidP="00CE6BFB">
      <w:pPr>
        <w:spacing w:after="0" w:line="276" w:lineRule="auto"/>
        <w:jc w:val="both"/>
        <w:rPr>
          <w:rFonts w:ascii="Arial" w:hAnsi="Arial" w:cs="Arial"/>
          <w:lang w:val="es-MX" w:eastAsia="es-CO"/>
        </w:rPr>
      </w:pPr>
      <w:r w:rsidRPr="0041726D">
        <w:rPr>
          <w:rFonts w:ascii="Arial" w:hAnsi="Arial" w:cs="Arial"/>
          <w:lang w:val="es-MX" w:eastAsia="es-CO"/>
        </w:rPr>
        <w:t>Este concepto tiene el alcance previsto en el artículo 28 del Código de Procedimiento Administrativo y de lo Contencioso Administrativo.</w:t>
      </w:r>
    </w:p>
    <w:p w14:paraId="4CD70448" w14:textId="77777777" w:rsidR="00577EB7" w:rsidRPr="009A46D7" w:rsidRDefault="00577EB7" w:rsidP="00CE6BFB">
      <w:pPr>
        <w:spacing w:after="0" w:line="276" w:lineRule="auto"/>
        <w:jc w:val="both"/>
        <w:rPr>
          <w:rFonts w:ascii="Arial" w:hAnsi="Arial" w:cs="Arial"/>
          <w:bCs/>
          <w:lang w:val="es-ES"/>
        </w:rPr>
      </w:pPr>
    </w:p>
    <w:p w14:paraId="0C879E16" w14:textId="77777777" w:rsidR="00CE6BFB" w:rsidRPr="00CD211F" w:rsidRDefault="00CE6BFB" w:rsidP="00CE6BFB">
      <w:pPr>
        <w:spacing w:after="0" w:line="276" w:lineRule="auto"/>
        <w:contextualSpacing/>
        <w:jc w:val="both"/>
        <w:textAlignment w:val="baseline"/>
        <w:rPr>
          <w:rFonts w:ascii="Arial" w:eastAsia="Times New Roman" w:hAnsi="Arial" w:cs="Arial"/>
          <w:lang w:eastAsia="es-CO"/>
        </w:rPr>
      </w:pPr>
      <w:r w:rsidRPr="00CD211F">
        <w:rPr>
          <w:rFonts w:ascii="Arial" w:hAnsi="Arial" w:cs="Arial"/>
          <w:lang w:val="es-ES"/>
        </w:rPr>
        <w:t>Atentamente</w:t>
      </w:r>
      <w:r w:rsidRPr="00CD211F">
        <w:rPr>
          <w:rFonts w:ascii="Arial" w:eastAsia="Times New Roman" w:hAnsi="Arial" w:cs="Arial"/>
          <w:lang w:val="es-MX" w:eastAsia="es-CO"/>
        </w:rPr>
        <w:t>,</w:t>
      </w:r>
      <w:r w:rsidRPr="00CD211F">
        <w:rPr>
          <w:rFonts w:ascii="Arial" w:eastAsia="Times New Roman" w:hAnsi="Arial" w:cs="Arial"/>
          <w:lang w:eastAsia="es-CO"/>
        </w:rPr>
        <w:t> </w:t>
      </w:r>
    </w:p>
    <w:p w14:paraId="49C8592E" w14:textId="77777777" w:rsidR="00CE6BFB" w:rsidRPr="00CD211F" w:rsidRDefault="00CE6BFB" w:rsidP="00CE6BFB">
      <w:pPr>
        <w:spacing w:after="0" w:line="276" w:lineRule="auto"/>
        <w:contextualSpacing/>
        <w:jc w:val="center"/>
        <w:textAlignment w:val="baseline"/>
        <w:rPr>
          <w:rFonts w:ascii="Arial" w:eastAsia="Times New Roman" w:hAnsi="Arial" w:cs="Arial"/>
          <w:lang w:eastAsia="es-CO"/>
        </w:rPr>
      </w:pPr>
    </w:p>
    <w:p w14:paraId="2612137A" w14:textId="4C39D788" w:rsidR="00CE6BFB" w:rsidRPr="00CD211F" w:rsidRDefault="006A5AF9" w:rsidP="00CE6BFB">
      <w:pPr>
        <w:spacing w:after="0" w:line="276" w:lineRule="auto"/>
        <w:jc w:val="center"/>
        <w:textAlignment w:val="baseline"/>
        <w:rPr>
          <w:rFonts w:ascii="Arial" w:eastAsia="Times New Roman" w:hAnsi="Arial" w:cs="Arial"/>
          <w:sz w:val="18"/>
          <w:szCs w:val="18"/>
          <w:lang w:eastAsia="es-CO"/>
        </w:rPr>
      </w:pPr>
      <w:r>
        <w:rPr>
          <w:rFonts w:ascii="Arial" w:hAnsi="Arial" w:cs="Arial"/>
          <w:noProof/>
        </w:rPr>
        <w:drawing>
          <wp:inline distT="0" distB="0" distL="0" distR="0" wp14:anchorId="620E4F80" wp14:editId="5A0CCC32">
            <wp:extent cx="2773680" cy="1066800"/>
            <wp:effectExtent l="0" t="0" r="7620" b="0"/>
            <wp:docPr id="210653797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37974" name="Imagen 1"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680" cy="1066800"/>
                    </a:xfrm>
                    <a:prstGeom prst="rect">
                      <a:avLst/>
                    </a:prstGeom>
                    <a:noFill/>
                  </pic:spPr>
                </pic:pic>
              </a:graphicData>
            </a:graphic>
          </wp:inline>
        </w:drawing>
      </w:r>
    </w:p>
    <w:p w14:paraId="1E81FA07" w14:textId="77777777" w:rsidR="00CE6BFB" w:rsidRPr="00CD211F" w:rsidRDefault="00CE6BFB" w:rsidP="00CE6BFB">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eastAsia="es-CO"/>
        </w:rPr>
        <w:t> </w:t>
      </w:r>
    </w:p>
    <w:tbl>
      <w:tblPr>
        <w:tblW w:w="85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5"/>
        <w:gridCol w:w="7706"/>
      </w:tblGrid>
      <w:tr w:rsidR="00CE6BFB" w:rsidRPr="00CD211F" w14:paraId="30E63781" w14:textId="77777777" w:rsidTr="003E75D3">
        <w:trPr>
          <w:trHeight w:val="383"/>
        </w:trPr>
        <w:tc>
          <w:tcPr>
            <w:tcW w:w="875" w:type="dxa"/>
            <w:tcBorders>
              <w:top w:val="nil"/>
              <w:left w:val="nil"/>
              <w:bottom w:val="nil"/>
              <w:right w:val="nil"/>
            </w:tcBorders>
            <w:vAlign w:val="center"/>
            <w:hideMark/>
          </w:tcPr>
          <w:p w14:paraId="7B6195B0" w14:textId="77777777" w:rsidR="00CE6BFB" w:rsidRPr="00CD211F" w:rsidRDefault="00CE6BFB" w:rsidP="003E75D3">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Elaboró:</w:t>
            </w:r>
            <w:r w:rsidRPr="00CD211F">
              <w:rPr>
                <w:rFonts w:ascii="Arial" w:eastAsia="Times New Roman" w:hAnsi="Arial" w:cs="Arial"/>
                <w:sz w:val="16"/>
                <w:szCs w:val="16"/>
                <w:lang w:eastAsia="es-CO"/>
              </w:rPr>
              <w:t> </w:t>
            </w:r>
          </w:p>
        </w:tc>
        <w:tc>
          <w:tcPr>
            <w:tcW w:w="7706" w:type="dxa"/>
            <w:tcBorders>
              <w:top w:val="nil"/>
              <w:left w:val="nil"/>
              <w:bottom w:val="dotted" w:sz="6" w:space="0" w:color="7F7F7F"/>
              <w:right w:val="nil"/>
            </w:tcBorders>
            <w:vAlign w:val="center"/>
            <w:hideMark/>
          </w:tcPr>
          <w:p w14:paraId="69B87526" w14:textId="77777777" w:rsidR="00CE6BFB" w:rsidRPr="00CD211F" w:rsidRDefault="00CE6BFB" w:rsidP="003E75D3">
            <w:pPr>
              <w:spacing w:after="0" w:line="240"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Christian Camilo Orjuela Galeano</w:t>
            </w:r>
            <w:r w:rsidRPr="00CD211F">
              <w:rPr>
                <w:rFonts w:ascii="Arial" w:eastAsia="Times New Roman" w:hAnsi="Arial" w:cs="Arial"/>
                <w:sz w:val="16"/>
                <w:szCs w:val="16"/>
                <w:lang w:val="es-MX" w:eastAsia="es-CO"/>
              </w:rPr>
              <w:t xml:space="preserve"> </w:t>
            </w:r>
          </w:p>
          <w:p w14:paraId="64732884" w14:textId="6D2C4E35" w:rsidR="00CE6BFB" w:rsidRPr="00CD211F" w:rsidRDefault="00CE6BFB" w:rsidP="003E75D3">
            <w:pPr>
              <w:spacing w:after="0" w:line="240" w:lineRule="auto"/>
              <w:textAlignment w:val="baseline"/>
              <w:rPr>
                <w:rFonts w:ascii="Arial" w:eastAsia="Times New Roman" w:hAnsi="Arial" w:cs="Arial"/>
                <w:sz w:val="16"/>
                <w:szCs w:val="16"/>
                <w:lang w:eastAsia="es-CO"/>
              </w:rPr>
            </w:pPr>
            <w:r>
              <w:rPr>
                <w:rFonts w:ascii="Arial" w:eastAsia="Times New Roman" w:hAnsi="Arial" w:cs="Arial"/>
                <w:sz w:val="16"/>
                <w:szCs w:val="16"/>
                <w:lang w:val="es-MX" w:eastAsia="es-CO"/>
              </w:rPr>
              <w:t>Contratista</w:t>
            </w:r>
            <w:r w:rsidRPr="00CD211F">
              <w:rPr>
                <w:rFonts w:ascii="Arial" w:eastAsia="Times New Roman" w:hAnsi="Arial" w:cs="Arial"/>
                <w:sz w:val="16"/>
                <w:szCs w:val="16"/>
                <w:lang w:val="es-MX" w:eastAsia="es-CO"/>
              </w:rPr>
              <w:t xml:space="preserve"> </w:t>
            </w:r>
            <w:r w:rsidR="00CA38C0">
              <w:rPr>
                <w:rFonts w:ascii="Arial" w:eastAsia="Times New Roman" w:hAnsi="Arial" w:cs="Arial"/>
                <w:sz w:val="16"/>
                <w:szCs w:val="16"/>
                <w:lang w:val="es-MX" w:eastAsia="es-CO"/>
              </w:rPr>
              <w:t xml:space="preserve">de la </w:t>
            </w:r>
            <w:r w:rsidRPr="00CD211F">
              <w:rPr>
                <w:rFonts w:ascii="Arial" w:eastAsia="Times New Roman" w:hAnsi="Arial" w:cs="Arial"/>
                <w:sz w:val="16"/>
                <w:szCs w:val="16"/>
                <w:lang w:eastAsia="es-CO"/>
              </w:rPr>
              <w:t>Subdirección de Gestión Contractual</w:t>
            </w:r>
          </w:p>
        </w:tc>
      </w:tr>
      <w:tr w:rsidR="00CE6BFB" w:rsidRPr="00CD211F" w14:paraId="0AE70EF5" w14:textId="77777777" w:rsidTr="003E75D3">
        <w:trPr>
          <w:trHeight w:val="383"/>
        </w:trPr>
        <w:tc>
          <w:tcPr>
            <w:tcW w:w="875" w:type="dxa"/>
            <w:tcBorders>
              <w:top w:val="nil"/>
              <w:left w:val="nil"/>
              <w:bottom w:val="nil"/>
              <w:right w:val="nil"/>
            </w:tcBorders>
            <w:vAlign w:val="center"/>
            <w:hideMark/>
          </w:tcPr>
          <w:p w14:paraId="0AEC2AC1" w14:textId="77777777" w:rsidR="00CE6BFB" w:rsidRPr="00CD211F" w:rsidRDefault="00CE6BFB" w:rsidP="003E75D3">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Revisó:</w:t>
            </w:r>
            <w:r w:rsidRPr="00CD211F">
              <w:rPr>
                <w:rFonts w:ascii="Arial" w:eastAsia="Times New Roman" w:hAnsi="Arial"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2130EE41" w14:textId="0C7DF660" w:rsidR="00CE6BFB" w:rsidRPr="00CD211F" w:rsidRDefault="00CA38C0" w:rsidP="003E75D3">
            <w:pPr>
              <w:spacing w:after="0" w:line="276"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Alejandro Sarmiento Cantillo</w:t>
            </w:r>
          </w:p>
          <w:p w14:paraId="6D30F9AB" w14:textId="50FB8F64" w:rsidR="00CE6BFB" w:rsidRPr="00CD211F" w:rsidRDefault="00CA38C0" w:rsidP="003E75D3">
            <w:pPr>
              <w:spacing w:after="0" w:line="240" w:lineRule="auto"/>
              <w:textAlignment w:val="baseline"/>
              <w:rPr>
                <w:rFonts w:ascii="Arial" w:eastAsia="Times New Roman" w:hAnsi="Arial" w:cs="Arial"/>
                <w:sz w:val="16"/>
                <w:szCs w:val="16"/>
                <w:lang w:eastAsia="es-CO"/>
              </w:rPr>
            </w:pPr>
            <w:r>
              <w:rPr>
                <w:rFonts w:ascii="Arial" w:eastAsia="Times New Roman" w:hAnsi="Arial" w:cs="Arial"/>
                <w:sz w:val="16"/>
                <w:szCs w:val="16"/>
                <w:lang w:val="es-MX" w:eastAsia="es-CO"/>
              </w:rPr>
              <w:t>Gestor T1-15</w:t>
            </w:r>
            <w:r w:rsidRPr="00CD211F">
              <w:rPr>
                <w:rFonts w:ascii="Arial" w:eastAsia="Times New Roman" w:hAnsi="Arial" w:cs="Arial"/>
                <w:sz w:val="16"/>
                <w:szCs w:val="16"/>
                <w:lang w:val="es-MX" w:eastAsia="es-CO"/>
              </w:rPr>
              <w:t xml:space="preserve"> </w:t>
            </w:r>
            <w:r>
              <w:rPr>
                <w:rFonts w:ascii="Arial" w:eastAsia="Times New Roman" w:hAnsi="Arial" w:cs="Arial"/>
                <w:sz w:val="16"/>
                <w:szCs w:val="16"/>
                <w:lang w:val="es-MX" w:eastAsia="es-CO"/>
              </w:rPr>
              <w:t xml:space="preserve">de la </w:t>
            </w:r>
            <w:r w:rsidR="00CE6BFB" w:rsidRPr="00CD211F">
              <w:rPr>
                <w:rFonts w:ascii="Arial" w:eastAsia="Times New Roman" w:hAnsi="Arial" w:cs="Arial"/>
                <w:sz w:val="16"/>
                <w:szCs w:val="16"/>
                <w:lang w:val="es-MX" w:eastAsia="es-CO"/>
              </w:rPr>
              <w:t>Subdirección de Gestión Contractual</w:t>
            </w:r>
          </w:p>
        </w:tc>
      </w:tr>
      <w:tr w:rsidR="00CE6BFB" w:rsidRPr="00CD211F" w14:paraId="6FA23A7F" w14:textId="77777777" w:rsidTr="003E75D3">
        <w:trPr>
          <w:trHeight w:val="365"/>
        </w:trPr>
        <w:tc>
          <w:tcPr>
            <w:tcW w:w="875" w:type="dxa"/>
            <w:tcBorders>
              <w:top w:val="nil"/>
              <w:left w:val="nil"/>
              <w:bottom w:val="nil"/>
              <w:right w:val="nil"/>
            </w:tcBorders>
            <w:vAlign w:val="center"/>
            <w:hideMark/>
          </w:tcPr>
          <w:p w14:paraId="5D358DF7" w14:textId="77777777" w:rsidR="00CE6BFB" w:rsidRPr="00CD211F" w:rsidRDefault="00CE6BFB" w:rsidP="003E75D3">
            <w:pPr>
              <w:spacing w:after="0" w:line="276"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MX" w:eastAsia="es-CO"/>
              </w:rPr>
              <w:t>Aprobó:</w:t>
            </w:r>
            <w:r w:rsidRPr="00CD211F">
              <w:rPr>
                <w:rFonts w:ascii="Arial" w:eastAsia="Times New Roman" w:hAnsi="Arial" w:cs="Arial"/>
                <w:sz w:val="16"/>
                <w:szCs w:val="16"/>
                <w:lang w:eastAsia="es-CO"/>
              </w:rPr>
              <w:t> </w:t>
            </w:r>
          </w:p>
        </w:tc>
        <w:tc>
          <w:tcPr>
            <w:tcW w:w="7706" w:type="dxa"/>
            <w:tcBorders>
              <w:top w:val="dotted" w:sz="6" w:space="0" w:color="7F7F7F"/>
              <w:left w:val="nil"/>
              <w:bottom w:val="dotted" w:sz="6" w:space="0" w:color="7F7F7F"/>
              <w:right w:val="nil"/>
            </w:tcBorders>
            <w:vAlign w:val="center"/>
            <w:hideMark/>
          </w:tcPr>
          <w:p w14:paraId="6A942913" w14:textId="77777777" w:rsidR="00CE6BFB" w:rsidRPr="00CD211F" w:rsidRDefault="00CE6BFB" w:rsidP="003E75D3">
            <w:pPr>
              <w:spacing w:after="0" w:line="240" w:lineRule="auto"/>
              <w:textAlignment w:val="baseline"/>
              <w:rPr>
                <w:rFonts w:ascii="Arial" w:eastAsia="Times New Roman" w:hAnsi="Arial" w:cs="Arial"/>
                <w:sz w:val="16"/>
                <w:szCs w:val="16"/>
                <w:lang w:val="es-ES_tradnl" w:eastAsia="es-CO"/>
              </w:rPr>
            </w:pPr>
            <w:r w:rsidRPr="00CD211F">
              <w:rPr>
                <w:rFonts w:ascii="Arial" w:eastAsia="Times New Roman" w:hAnsi="Arial" w:cs="Arial"/>
                <w:sz w:val="16"/>
                <w:szCs w:val="16"/>
                <w:lang w:val="es-ES_tradnl" w:eastAsia="es-CO"/>
              </w:rPr>
              <w:t>Nohelia del Carmen Zawady Palacio</w:t>
            </w:r>
          </w:p>
          <w:p w14:paraId="50F8B0C4" w14:textId="77777777" w:rsidR="00CE6BFB" w:rsidRPr="00CD211F" w:rsidRDefault="00CE6BFB" w:rsidP="003E75D3">
            <w:pPr>
              <w:spacing w:after="0" w:line="240" w:lineRule="auto"/>
              <w:textAlignment w:val="baseline"/>
              <w:rPr>
                <w:rFonts w:ascii="Arial" w:eastAsia="Times New Roman" w:hAnsi="Arial" w:cs="Arial"/>
                <w:sz w:val="16"/>
                <w:szCs w:val="16"/>
                <w:lang w:eastAsia="es-CO"/>
              </w:rPr>
            </w:pPr>
            <w:r w:rsidRPr="00CD211F">
              <w:rPr>
                <w:rFonts w:ascii="Arial" w:eastAsia="Times New Roman" w:hAnsi="Arial" w:cs="Arial"/>
                <w:sz w:val="16"/>
                <w:szCs w:val="16"/>
                <w:lang w:val="es-ES_tradnl" w:eastAsia="es-CO"/>
              </w:rPr>
              <w:t>Subdirectora de Gestión Contractual ANCP-CCE</w:t>
            </w:r>
          </w:p>
        </w:tc>
      </w:tr>
    </w:tbl>
    <w:p w14:paraId="3DAB1E89" w14:textId="77777777" w:rsidR="00CE6BFB" w:rsidRPr="007566FE" w:rsidRDefault="00CE6BFB" w:rsidP="00CE6BFB">
      <w:pPr>
        <w:rPr>
          <w:rFonts w:ascii="Geomanist Light" w:eastAsia="Geomanist Light" w:hAnsi="Geomanist Light" w:cs="Geomanist Light"/>
          <w:color w:val="201F1E"/>
          <w:lang w:val="es-MX"/>
        </w:rPr>
      </w:pPr>
    </w:p>
    <w:p w14:paraId="3FBFE565" w14:textId="77777777" w:rsidR="00CE6BFB" w:rsidRPr="007566FE" w:rsidRDefault="00CE6BFB" w:rsidP="6B8BD3AC">
      <w:pPr>
        <w:rPr>
          <w:rFonts w:ascii="Geomanist Light" w:eastAsia="Geomanist Light" w:hAnsi="Geomanist Light" w:cs="Geomanist Light"/>
          <w:color w:val="201F1E"/>
          <w:lang w:val="es-MX"/>
        </w:rPr>
      </w:pPr>
    </w:p>
    <w:sectPr w:rsidR="00CE6BFB" w:rsidRPr="007566FE" w:rsidSect="0039439C">
      <w:headerReference w:type="default" r:id="rId12"/>
      <w:footerReference w:type="default" r:id="rId13"/>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80B5D" w14:textId="77777777" w:rsidR="00E661D2" w:rsidRDefault="00E661D2" w:rsidP="004A1847">
      <w:pPr>
        <w:spacing w:after="0" w:line="240" w:lineRule="auto"/>
      </w:pPr>
      <w:r>
        <w:separator/>
      </w:r>
    </w:p>
  </w:endnote>
  <w:endnote w:type="continuationSeparator" w:id="0">
    <w:p w14:paraId="42D1DB8F" w14:textId="77777777" w:rsidR="00E661D2" w:rsidRDefault="00E661D2" w:rsidP="004A1847">
      <w:pPr>
        <w:spacing w:after="0" w:line="240" w:lineRule="auto"/>
      </w:pPr>
      <w:r>
        <w:continuationSeparator/>
      </w:r>
    </w:p>
  </w:endnote>
  <w:endnote w:type="continuationNotice" w:id="1">
    <w:p w14:paraId="577A569B" w14:textId="77777777" w:rsidR="00E661D2" w:rsidRDefault="00E66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7B73F" w14:textId="77777777" w:rsidR="00E661D2" w:rsidRDefault="00E661D2" w:rsidP="004A1847">
      <w:pPr>
        <w:spacing w:after="0" w:line="240" w:lineRule="auto"/>
      </w:pPr>
      <w:r>
        <w:separator/>
      </w:r>
    </w:p>
  </w:footnote>
  <w:footnote w:type="continuationSeparator" w:id="0">
    <w:p w14:paraId="3D63D130" w14:textId="77777777" w:rsidR="00E661D2" w:rsidRDefault="00E661D2" w:rsidP="004A1847">
      <w:pPr>
        <w:spacing w:after="0" w:line="240" w:lineRule="auto"/>
      </w:pPr>
      <w:r>
        <w:continuationSeparator/>
      </w:r>
    </w:p>
  </w:footnote>
  <w:footnote w:type="continuationNotice" w:id="1">
    <w:p w14:paraId="3E968E80" w14:textId="77777777" w:rsidR="00E661D2" w:rsidRDefault="00E661D2">
      <w:pPr>
        <w:spacing w:after="0" w:line="240" w:lineRule="auto"/>
      </w:pPr>
    </w:p>
  </w:footnote>
  <w:footnote w:id="2">
    <w:p w14:paraId="44186158" w14:textId="0FAE40EA" w:rsidR="001F5E5D" w:rsidRPr="00F64276" w:rsidRDefault="001F5E5D" w:rsidP="00577EB7">
      <w:pPr>
        <w:pStyle w:val="Textonotapie"/>
        <w:ind w:firstLine="708"/>
        <w:jc w:val="both"/>
        <w:rPr>
          <w:rFonts w:ascii="Arial" w:hAnsi="Arial" w:cs="Arial"/>
          <w:sz w:val="18"/>
          <w:szCs w:val="18"/>
          <w:lang w:val="es-ES"/>
        </w:rPr>
      </w:pPr>
      <w:r w:rsidRPr="00F64276">
        <w:rPr>
          <w:rStyle w:val="Refdenotaalpie"/>
          <w:rFonts w:ascii="Arial" w:hAnsi="Arial" w:cs="Arial"/>
          <w:sz w:val="18"/>
          <w:szCs w:val="18"/>
        </w:rPr>
        <w:footnoteRef/>
      </w:r>
      <w:r w:rsidRPr="00F64276">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64276">
        <w:rPr>
          <w:rFonts w:ascii="Arial" w:hAnsi="Arial" w:cs="Arial"/>
          <w:i/>
          <w:iCs/>
          <w:sz w:val="18"/>
          <w:szCs w:val="18"/>
        </w:rPr>
        <w:t xml:space="preserve">ibidem </w:t>
      </w:r>
      <w:r w:rsidRPr="00F64276">
        <w:rPr>
          <w:rFonts w:ascii="Arial" w:hAnsi="Arial" w:cs="Arial"/>
          <w:sz w:val="18"/>
          <w:szCs w:val="18"/>
        </w:rPr>
        <w:t xml:space="preserve">señala, de manera precisa, las funciones de Colombia Compra Eficiente. Concretamente, el numeral 5º de este artículo establece que le corresponde a esta entidad: </w:t>
      </w:r>
      <w:r w:rsidR="00CA38C0" w:rsidRPr="00F64276">
        <w:rPr>
          <w:rFonts w:ascii="Arial" w:hAnsi="Arial" w:cs="Arial"/>
          <w:sz w:val="18"/>
          <w:szCs w:val="18"/>
        </w:rPr>
        <w:t>“</w:t>
      </w:r>
      <w:r w:rsidRPr="00F64276">
        <w:rPr>
          <w:rFonts w:ascii="Arial" w:hAnsi="Arial" w:cs="Arial"/>
          <w:sz w:val="18"/>
          <w:szCs w:val="18"/>
        </w:rPr>
        <w:t>[a]bsolver consultas sobre la aplicación de normas de carácter general y expedir circulares externas en materia de compras y contratación pública</w:t>
      </w:r>
      <w:r w:rsidR="00CA38C0" w:rsidRPr="00F64276">
        <w:rPr>
          <w:rFonts w:ascii="Arial" w:hAnsi="Arial" w:cs="Arial"/>
          <w:sz w:val="18"/>
          <w:szCs w:val="18"/>
        </w:rPr>
        <w:t>”</w:t>
      </w:r>
      <w:r w:rsidRPr="00F64276">
        <w:rPr>
          <w:rFonts w:ascii="Arial" w:hAnsi="Arial" w:cs="Arial"/>
          <w:sz w:val="18"/>
          <w:szCs w:val="18"/>
        </w:rPr>
        <w:t xml:space="preserve">. Seguidamente, el numeral 8º del artículo 11 </w:t>
      </w:r>
      <w:r w:rsidRPr="00F64276">
        <w:rPr>
          <w:rFonts w:ascii="Arial" w:hAnsi="Arial" w:cs="Arial"/>
          <w:i/>
          <w:iCs/>
          <w:sz w:val="18"/>
          <w:szCs w:val="18"/>
        </w:rPr>
        <w:t>ibidem</w:t>
      </w:r>
      <w:r w:rsidRPr="00F64276">
        <w:rPr>
          <w:rFonts w:ascii="Arial" w:hAnsi="Arial" w:cs="Arial"/>
          <w:sz w:val="18"/>
          <w:szCs w:val="18"/>
        </w:rPr>
        <w:t xml:space="preserve"> señala que es función de la Subdirección de Gestión Contractual: </w:t>
      </w:r>
      <w:r w:rsidR="00CA38C0" w:rsidRPr="00F64276">
        <w:rPr>
          <w:rFonts w:ascii="Arial" w:hAnsi="Arial" w:cs="Arial"/>
          <w:sz w:val="18"/>
          <w:szCs w:val="18"/>
        </w:rPr>
        <w:t>“</w:t>
      </w:r>
      <w:r w:rsidRPr="00F64276">
        <w:rPr>
          <w:rFonts w:ascii="Arial" w:hAnsi="Arial" w:cs="Arial"/>
          <w:sz w:val="18"/>
          <w:szCs w:val="18"/>
        </w:rPr>
        <w:t>[a]bsolver consultas sobre la aplicación de normas de carácter general</w:t>
      </w:r>
      <w:r w:rsidR="00CA38C0" w:rsidRPr="00F64276">
        <w:rPr>
          <w:rFonts w:ascii="Arial" w:hAnsi="Arial" w:cs="Arial"/>
          <w:sz w:val="18"/>
          <w:szCs w:val="18"/>
        </w:rPr>
        <w:t>”</w:t>
      </w:r>
      <w:r w:rsidRPr="00F64276">
        <w:rPr>
          <w:rFonts w:ascii="Arial" w:hAnsi="Arial" w:cs="Arial"/>
          <w:sz w:val="18"/>
          <w:szCs w:val="18"/>
        </w:rPr>
        <w:t>.</w:t>
      </w:r>
    </w:p>
  </w:footnote>
  <w:footnote w:id="3">
    <w:p w14:paraId="27C5AC8C" w14:textId="77777777" w:rsidR="00CE6BFB" w:rsidRPr="00577EB7" w:rsidRDefault="00CE6BFB" w:rsidP="00577EB7">
      <w:pPr>
        <w:pStyle w:val="Textonotapie"/>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w:t>
      </w:r>
      <w:r w:rsidRPr="00577EB7">
        <w:rPr>
          <w:rFonts w:ascii="Arial" w:hAnsi="Arial" w:cs="Arial"/>
          <w:sz w:val="18"/>
          <w:szCs w:val="18"/>
          <w:lang w:val="es-CO"/>
        </w:rPr>
        <w:t xml:space="preserve">Estos conceptos pueden ser consultados en: </w:t>
      </w:r>
      <w:hyperlink r:id="rId1" w:history="1">
        <w:r w:rsidRPr="00577EB7">
          <w:rPr>
            <w:rStyle w:val="Hipervnculo"/>
            <w:rFonts w:ascii="Arial" w:hAnsi="Arial" w:cs="Arial"/>
            <w:sz w:val="18"/>
            <w:szCs w:val="18"/>
          </w:rPr>
          <w:t>https://relatoria.colombiacompra.gov.co/busqueda/conceptos#</w:t>
        </w:r>
      </w:hyperlink>
    </w:p>
  </w:footnote>
  <w:footnote w:id="4">
    <w:p w14:paraId="65793D97" w14:textId="73A90AB0"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El artículo 127 de la Constitución Política señala: </w:t>
      </w:r>
      <w:r w:rsidR="00CA38C0" w:rsidRPr="00577EB7">
        <w:rPr>
          <w:rFonts w:ascii="Arial" w:hAnsi="Arial" w:cs="Arial"/>
          <w:sz w:val="18"/>
          <w:szCs w:val="18"/>
        </w:rPr>
        <w:t>“</w:t>
      </w:r>
      <w:r w:rsidRPr="00577EB7">
        <w:rPr>
          <w:rFonts w:ascii="Arial" w:hAnsi="Arial" w:cs="Arial"/>
          <w:sz w:val="18"/>
          <w:szCs w:val="18"/>
        </w:rPr>
        <w:t xml:space="preserve">Los servidores públicos no podrán celebrar, por si o por interpuesta persona, o en representación de otro, contrato alguno con entidades públicas o con personas privadas que manejen o administren recursos públicos, salvo las excepciones legales. </w:t>
      </w:r>
    </w:p>
    <w:p w14:paraId="773CB5AD" w14:textId="636F1E19" w:rsidR="00CE6BFB" w:rsidRPr="00577EB7" w:rsidRDefault="00CA38C0" w:rsidP="00577EB7">
      <w:pPr>
        <w:pStyle w:val="Textonotapie"/>
        <w:ind w:firstLine="709"/>
        <w:contextualSpacing/>
        <w:jc w:val="both"/>
        <w:rPr>
          <w:rFonts w:ascii="Arial" w:hAnsi="Arial" w:cs="Arial"/>
          <w:sz w:val="18"/>
          <w:szCs w:val="18"/>
        </w:rPr>
      </w:pPr>
      <w:r w:rsidRPr="00577EB7">
        <w:rPr>
          <w:rFonts w:ascii="Arial" w:hAnsi="Arial" w:cs="Arial"/>
          <w:sz w:val="18"/>
          <w:szCs w:val="18"/>
        </w:rPr>
        <w:t>“</w:t>
      </w:r>
      <w:r w:rsidR="00CE6BFB" w:rsidRPr="00577EB7">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r w:rsidRPr="00577EB7">
        <w:rPr>
          <w:rFonts w:ascii="Arial" w:hAnsi="Arial" w:cs="Arial"/>
          <w:sz w:val="18"/>
          <w:szCs w:val="18"/>
        </w:rPr>
        <w:t>”</w:t>
      </w:r>
      <w:r w:rsidR="00CE6BFB" w:rsidRPr="00577EB7">
        <w:rPr>
          <w:rFonts w:ascii="Arial" w:hAnsi="Arial" w:cs="Arial"/>
          <w:sz w:val="18"/>
          <w:szCs w:val="18"/>
        </w:rPr>
        <w:t>.</w:t>
      </w:r>
    </w:p>
  </w:footnote>
  <w:footnote w:id="5">
    <w:p w14:paraId="6F12964C" w14:textId="77777777"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Gaceta del Congreso de la República No. 71 del 2005.</w:t>
      </w:r>
    </w:p>
  </w:footnote>
  <w:footnote w:id="6">
    <w:p w14:paraId="371CC38B" w14:textId="77777777"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Corte Constitucional, Sentencia C- 1153 de 2005, M.P. Marco Gerardo Monroy Cabra.</w:t>
      </w:r>
    </w:p>
  </w:footnote>
  <w:footnote w:id="7">
    <w:p w14:paraId="65866E8E" w14:textId="77777777"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14:paraId="714C2D3A" w14:textId="77777777" w:rsidR="00CE6BFB" w:rsidRPr="00577EB7" w:rsidRDefault="00CE6BFB" w:rsidP="00577EB7">
      <w:pPr>
        <w:pStyle w:val="Textonotapie"/>
        <w:ind w:firstLine="709"/>
        <w:contextualSpacing/>
        <w:jc w:val="both"/>
        <w:rPr>
          <w:rFonts w:ascii="Arial" w:hAnsi="Arial" w:cs="Arial"/>
          <w:sz w:val="18"/>
          <w:szCs w:val="18"/>
          <w:lang w:val="es-CO"/>
        </w:rPr>
      </w:pPr>
      <w:r w:rsidRPr="00577EB7">
        <w:rPr>
          <w:rStyle w:val="Refdenotaalpie"/>
          <w:rFonts w:ascii="Arial" w:hAnsi="Arial" w:cs="Arial"/>
          <w:sz w:val="18"/>
          <w:szCs w:val="18"/>
        </w:rPr>
        <w:footnoteRef/>
      </w:r>
      <w:r w:rsidRPr="00577EB7">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14:paraId="126FFCA4" w14:textId="77777777"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Consejo de Estado, Sala de Consulta y Servicio Civil de fecha 24 de julio de 2013, radicado 2166, Consejero Ponente: Álvaro Namén Vargas.  </w:t>
      </w:r>
    </w:p>
  </w:footnote>
  <w:footnote w:id="10">
    <w:p w14:paraId="6D3BC8B6" w14:textId="776E36F8" w:rsidR="00CE6BFB" w:rsidRPr="00577EB7" w:rsidRDefault="00CE6BFB" w:rsidP="00577EB7">
      <w:pPr>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w:t>
      </w:r>
      <w:bookmarkStart w:id="17" w:name="33"/>
      <w:r w:rsidR="00CA38C0" w:rsidRPr="00577EB7">
        <w:rPr>
          <w:rFonts w:ascii="Arial" w:eastAsia="Calibri" w:hAnsi="Arial" w:cs="Arial"/>
          <w:bCs/>
          <w:color w:val="000000"/>
          <w:sz w:val="18"/>
          <w:szCs w:val="18"/>
        </w:rPr>
        <w:t>“</w:t>
      </w:r>
      <w:r w:rsidRPr="00577EB7">
        <w:rPr>
          <w:rFonts w:ascii="Arial" w:hAnsi="Arial" w:cs="Arial"/>
          <w:sz w:val="18"/>
          <w:szCs w:val="18"/>
        </w:rPr>
        <w:t>Artículo 33. Restricciones a la contratación pública.</w:t>
      </w:r>
      <w:bookmarkEnd w:id="17"/>
      <w:r w:rsidRPr="00577EB7">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298FE39B" w14:textId="6F83B93C" w:rsidR="00CE6BFB" w:rsidRPr="00577EB7" w:rsidRDefault="00CA38C0" w:rsidP="00577EB7">
      <w:pPr>
        <w:ind w:firstLine="709"/>
        <w:contextualSpacing/>
        <w:jc w:val="both"/>
        <w:rPr>
          <w:rFonts w:ascii="Arial" w:hAnsi="Arial" w:cs="Arial"/>
          <w:sz w:val="18"/>
          <w:szCs w:val="18"/>
        </w:rPr>
      </w:pPr>
      <w:r w:rsidRPr="00577EB7">
        <w:rPr>
          <w:rFonts w:ascii="Arial" w:eastAsia="Calibri" w:hAnsi="Arial" w:cs="Arial"/>
          <w:bCs/>
          <w:color w:val="000000"/>
          <w:sz w:val="18"/>
          <w:szCs w:val="18"/>
        </w:rPr>
        <w:t>“</w:t>
      </w:r>
      <w:r w:rsidR="00CE6BFB" w:rsidRPr="00577EB7">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77EB7">
        <w:rPr>
          <w:rFonts w:ascii="Arial" w:eastAsia="Calibri" w:hAnsi="Arial" w:cs="Arial"/>
          <w:bCs/>
          <w:color w:val="000000"/>
          <w:sz w:val="18"/>
          <w:szCs w:val="18"/>
        </w:rPr>
        <w:t>”</w:t>
      </w:r>
      <w:r w:rsidR="00CE6BFB" w:rsidRPr="00577EB7">
        <w:rPr>
          <w:rFonts w:ascii="Arial" w:hAnsi="Arial" w:cs="Arial"/>
          <w:sz w:val="18"/>
          <w:szCs w:val="18"/>
        </w:rPr>
        <w:t>.</w:t>
      </w:r>
    </w:p>
  </w:footnote>
  <w:footnote w:id="11">
    <w:p w14:paraId="101B83F5" w14:textId="50C64248" w:rsidR="00CE6BFB" w:rsidRPr="00577EB7" w:rsidRDefault="00CE6BFB" w:rsidP="00577EB7">
      <w:pPr>
        <w:pStyle w:val="NormalWeb"/>
        <w:spacing w:before="0" w:beforeAutospacing="0" w:after="0" w:afterAutospacing="0"/>
        <w:ind w:firstLine="709"/>
        <w:contextualSpacing/>
        <w:jc w:val="both"/>
        <w:rPr>
          <w:rFonts w:ascii="Arial" w:hAnsi="Arial" w:cs="Arial"/>
          <w:sz w:val="18"/>
          <w:szCs w:val="18"/>
          <w:lang w:val="es-MX"/>
        </w:rPr>
      </w:pPr>
      <w:r w:rsidRPr="00577EB7">
        <w:rPr>
          <w:rStyle w:val="Refdenotaalpie"/>
          <w:rFonts w:ascii="Arial" w:hAnsi="Arial" w:cs="Arial"/>
          <w:sz w:val="18"/>
          <w:szCs w:val="18"/>
        </w:rPr>
        <w:footnoteRef/>
      </w:r>
      <w:r w:rsidRPr="00577EB7">
        <w:rPr>
          <w:rFonts w:ascii="Arial" w:hAnsi="Arial" w:cs="Arial"/>
          <w:sz w:val="18"/>
          <w:szCs w:val="18"/>
        </w:rPr>
        <w:t xml:space="preserve"> </w:t>
      </w:r>
      <w:bookmarkStart w:id="18" w:name="38"/>
      <w:r w:rsidR="00CA38C0" w:rsidRPr="00577EB7">
        <w:rPr>
          <w:rFonts w:ascii="Arial" w:eastAsia="Calibri" w:hAnsi="Arial" w:cs="Arial"/>
          <w:bCs/>
          <w:color w:val="000000"/>
          <w:sz w:val="18"/>
          <w:szCs w:val="18"/>
        </w:rPr>
        <w:t>“</w:t>
      </w:r>
      <w:r w:rsidRPr="00577EB7">
        <w:rPr>
          <w:rFonts w:ascii="Arial" w:hAnsi="Arial" w:cs="Arial"/>
          <w:sz w:val="18"/>
          <w:szCs w:val="18"/>
          <w:lang w:val="es-MX"/>
        </w:rPr>
        <w:t>Artículo 38. Prohibiciones para los servidores públicos. A los empleados del Estado les está prohibido:</w:t>
      </w:r>
      <w:bookmarkEnd w:id="18"/>
    </w:p>
    <w:p w14:paraId="0AA20EE5" w14:textId="2F5832FE" w:rsidR="00CE6BFB" w:rsidRPr="00577EB7" w:rsidRDefault="00CA38C0" w:rsidP="00577EB7">
      <w:pPr>
        <w:pStyle w:val="NormalWeb"/>
        <w:spacing w:before="0" w:beforeAutospacing="0" w:after="0" w:afterAutospacing="0"/>
        <w:ind w:firstLine="709"/>
        <w:contextualSpacing/>
        <w:jc w:val="both"/>
        <w:rPr>
          <w:rFonts w:ascii="Arial" w:hAnsi="Arial" w:cs="Arial"/>
          <w:sz w:val="18"/>
          <w:szCs w:val="18"/>
          <w:lang w:val="es-MX"/>
        </w:rPr>
      </w:pPr>
      <w:r w:rsidRPr="00577EB7">
        <w:rPr>
          <w:rFonts w:ascii="Arial" w:eastAsia="Calibri" w:hAnsi="Arial" w:cs="Arial"/>
          <w:bCs/>
          <w:color w:val="000000"/>
          <w:sz w:val="18"/>
          <w:szCs w:val="18"/>
        </w:rPr>
        <w:t>“</w:t>
      </w:r>
      <w:r w:rsidR="00CE6BFB" w:rsidRPr="00577EB7">
        <w:rPr>
          <w:rFonts w:ascii="Arial" w:hAnsi="Arial" w:cs="Arial"/>
          <w:sz w:val="18"/>
          <w:szCs w:val="18"/>
          <w:lang w:val="es-MX"/>
        </w:rPr>
        <w:t xml:space="preserve"> […]</w:t>
      </w:r>
    </w:p>
    <w:p w14:paraId="06222636" w14:textId="6A458F13" w:rsidR="00CE6BFB" w:rsidRPr="00577EB7" w:rsidRDefault="00CA38C0" w:rsidP="00577EB7">
      <w:pPr>
        <w:pStyle w:val="NormalWeb"/>
        <w:spacing w:before="0" w:beforeAutospacing="0" w:after="0" w:afterAutospacing="0"/>
        <w:ind w:firstLine="709"/>
        <w:contextualSpacing/>
        <w:jc w:val="both"/>
        <w:rPr>
          <w:rFonts w:ascii="Arial" w:hAnsi="Arial" w:cs="Arial"/>
          <w:sz w:val="18"/>
          <w:szCs w:val="18"/>
          <w:lang w:val="es-MX"/>
        </w:rPr>
      </w:pPr>
      <w:r w:rsidRPr="00577EB7">
        <w:rPr>
          <w:rFonts w:ascii="Arial" w:eastAsia="Calibri" w:hAnsi="Arial" w:cs="Arial"/>
          <w:bCs/>
          <w:color w:val="000000"/>
          <w:sz w:val="18"/>
          <w:szCs w:val="18"/>
        </w:rPr>
        <w:t>“</w:t>
      </w:r>
      <w:r w:rsidR="00CE6BFB" w:rsidRPr="00577EB7">
        <w:rPr>
          <w:rStyle w:val="baj"/>
          <w:rFonts w:ascii="Arial" w:hAnsi="Arial" w:cs="Arial"/>
          <w:sz w:val="18"/>
          <w:szCs w:val="18"/>
          <w:lang w:val="es-MX"/>
        </w:rPr>
        <w:t xml:space="preserve"> Parágrafo.</w:t>
      </w:r>
      <w:r w:rsidR="00CE6BFB" w:rsidRPr="00577EB7">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77EB7">
        <w:rPr>
          <w:rFonts w:ascii="Arial" w:eastAsia="Calibri" w:hAnsi="Arial" w:cs="Arial"/>
          <w:bCs/>
          <w:color w:val="000000"/>
          <w:sz w:val="18"/>
          <w:szCs w:val="18"/>
        </w:rPr>
        <w:t>”</w:t>
      </w:r>
      <w:r w:rsidR="00CE6BFB" w:rsidRPr="00577EB7">
        <w:rPr>
          <w:rFonts w:ascii="Arial" w:hAnsi="Arial" w:cs="Arial"/>
          <w:sz w:val="18"/>
          <w:szCs w:val="18"/>
          <w:lang w:val="es-MX"/>
        </w:rPr>
        <w:t>.</w:t>
      </w:r>
    </w:p>
  </w:footnote>
  <w:footnote w:id="12">
    <w:p w14:paraId="67208FE0" w14:textId="77777777" w:rsidR="00CE6BFB" w:rsidRPr="00577EB7" w:rsidRDefault="00CE6BFB" w:rsidP="00577EB7">
      <w:pPr>
        <w:ind w:firstLine="709"/>
        <w:contextualSpacing/>
        <w:jc w:val="both"/>
        <w:rPr>
          <w:rFonts w:ascii="Arial" w:hAnsi="Arial" w:cs="Arial"/>
          <w:sz w:val="18"/>
          <w:szCs w:val="18"/>
          <w:lang w:val="es-ES"/>
        </w:rPr>
      </w:pPr>
      <w:r w:rsidRPr="00577EB7">
        <w:rPr>
          <w:rStyle w:val="Refdenotaalpie"/>
          <w:rFonts w:ascii="Arial" w:hAnsi="Arial" w:cs="Arial"/>
          <w:sz w:val="18"/>
          <w:szCs w:val="18"/>
        </w:rPr>
        <w:footnoteRef/>
      </w:r>
      <w:r w:rsidRPr="00577EB7">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3">
    <w:p w14:paraId="673C6F4C" w14:textId="3412EDBE" w:rsidR="00CE6BFB" w:rsidRPr="00577EB7" w:rsidRDefault="00CE6BFB" w:rsidP="00577EB7">
      <w:pPr>
        <w:pStyle w:val="Textonotapie"/>
        <w:ind w:right="51"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w:t>
      </w:r>
      <w:r w:rsidR="00CA38C0" w:rsidRPr="00577EB7">
        <w:rPr>
          <w:rFonts w:ascii="Arial" w:hAnsi="Arial" w:cs="Arial"/>
          <w:sz w:val="18"/>
          <w:szCs w:val="18"/>
        </w:rPr>
        <w:t>“</w:t>
      </w:r>
      <w:r w:rsidRPr="00577EB7">
        <w:rPr>
          <w:rFonts w:ascii="Arial" w:hAnsi="Arial" w:cs="Arial"/>
          <w:sz w:val="18"/>
          <w:szCs w:val="18"/>
          <w:lang w:val="es-ES"/>
        </w:rPr>
        <w:t xml:space="preserve">[25] </w:t>
      </w:r>
      <w:r w:rsidRPr="00577EB7">
        <w:rPr>
          <w:rFonts w:ascii="Arial" w:hAnsi="Arial" w:cs="Arial"/>
          <w:sz w:val="18"/>
          <w:szCs w:val="18"/>
        </w:rPr>
        <w:t>Cfr. Consejo de Estado. Sección Tercera. Sentencia de 3 de diciembre de 2007. Radicados: 24.715, 25.206, 25.409, 24.524, 27.834, 25.410, 26.105, 28.244, 31.447 -acumulados-</w:t>
      </w:r>
      <w:r w:rsidR="00CA38C0" w:rsidRPr="00577EB7">
        <w:rPr>
          <w:rFonts w:ascii="Arial" w:hAnsi="Arial" w:cs="Arial"/>
          <w:sz w:val="18"/>
          <w:szCs w:val="18"/>
        </w:rPr>
        <w:t>”</w:t>
      </w:r>
      <w:r w:rsidRPr="00577EB7">
        <w:rPr>
          <w:rFonts w:ascii="Arial" w:hAnsi="Arial" w:cs="Arial"/>
          <w:sz w:val="18"/>
          <w:szCs w:val="18"/>
        </w:rPr>
        <w:t>.</w:t>
      </w:r>
    </w:p>
  </w:footnote>
  <w:footnote w:id="14">
    <w:p w14:paraId="31A35C12" w14:textId="77777777" w:rsidR="00CA38C0" w:rsidRPr="00577EB7" w:rsidRDefault="00CA38C0" w:rsidP="00577EB7">
      <w:pPr>
        <w:pStyle w:val="Textonotapie"/>
        <w:ind w:right="51" w:firstLine="709"/>
        <w:contextualSpacing/>
        <w:jc w:val="both"/>
        <w:rPr>
          <w:rFonts w:ascii="Arial" w:hAnsi="Arial" w:cs="Arial"/>
          <w:sz w:val="18"/>
          <w:szCs w:val="18"/>
        </w:rPr>
      </w:pPr>
    </w:p>
    <w:p w14:paraId="1486982B" w14:textId="3CCE8582" w:rsidR="00CE6BFB" w:rsidRPr="00577EB7" w:rsidRDefault="00CE6BFB" w:rsidP="00577EB7">
      <w:pPr>
        <w:pStyle w:val="Textonotapie"/>
        <w:ind w:right="51"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w:t>
      </w:r>
      <w:bookmarkStart w:id="25" w:name="_Hlk74294506"/>
      <w:r w:rsidR="00CA38C0" w:rsidRPr="00577EB7">
        <w:rPr>
          <w:rFonts w:ascii="Arial" w:hAnsi="Arial" w:cs="Arial"/>
          <w:sz w:val="18"/>
          <w:szCs w:val="18"/>
        </w:rPr>
        <w:t>“</w:t>
      </w:r>
      <w:r w:rsidRPr="00577EB7">
        <w:rPr>
          <w:rFonts w:ascii="Arial" w:hAnsi="Arial" w:cs="Arial"/>
          <w:sz w:val="18"/>
          <w:szCs w:val="18"/>
          <w:lang w:val="es-ES"/>
        </w:rPr>
        <w:t xml:space="preserve">[26] </w:t>
      </w:r>
      <w:bookmarkEnd w:id="25"/>
      <w:r w:rsidRPr="00577EB7">
        <w:rPr>
          <w:rFonts w:ascii="Arial" w:hAnsi="Arial" w:cs="Arial"/>
          <w:sz w:val="18"/>
          <w:szCs w:val="18"/>
        </w:rPr>
        <w:t>Al respecto ver el concepto 1712 de 2 de febrero de 2006. Consejo de Estado Sala de Consulta y Servicio Civil</w:t>
      </w:r>
      <w:r w:rsidR="00CA38C0" w:rsidRPr="00577EB7">
        <w:rPr>
          <w:rFonts w:ascii="Arial" w:hAnsi="Arial" w:cs="Arial"/>
          <w:sz w:val="18"/>
          <w:szCs w:val="18"/>
        </w:rPr>
        <w:t>”</w:t>
      </w:r>
      <w:r w:rsidRPr="00577EB7">
        <w:rPr>
          <w:rFonts w:ascii="Arial" w:hAnsi="Arial" w:cs="Arial"/>
          <w:sz w:val="18"/>
          <w:szCs w:val="18"/>
        </w:rPr>
        <w:t>.</w:t>
      </w:r>
    </w:p>
  </w:footnote>
  <w:footnote w:id="15">
    <w:p w14:paraId="5BFE9237" w14:textId="77777777" w:rsidR="00CA38C0" w:rsidRPr="00577EB7" w:rsidRDefault="00CA38C0" w:rsidP="00577EB7">
      <w:pPr>
        <w:pStyle w:val="Textonotapie"/>
        <w:ind w:firstLine="709"/>
        <w:contextualSpacing/>
        <w:jc w:val="both"/>
        <w:rPr>
          <w:rFonts w:ascii="Arial" w:hAnsi="Arial" w:cs="Arial"/>
          <w:sz w:val="18"/>
          <w:szCs w:val="18"/>
        </w:rPr>
      </w:pPr>
    </w:p>
    <w:p w14:paraId="0A887022" w14:textId="18BB1418"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6">
    <w:p w14:paraId="2F4278E8" w14:textId="77777777" w:rsidR="00CE6BFB" w:rsidRPr="00577EB7" w:rsidRDefault="00CE6BFB" w:rsidP="00577EB7">
      <w:pPr>
        <w:pStyle w:val="Textonotapie"/>
        <w:ind w:firstLine="709"/>
        <w:contextualSpacing/>
        <w:jc w:val="both"/>
        <w:rPr>
          <w:rFonts w:ascii="Arial" w:hAnsi="Arial" w:cs="Arial"/>
          <w:sz w:val="18"/>
          <w:szCs w:val="18"/>
          <w:lang w:val="es-ES"/>
        </w:rPr>
      </w:pPr>
      <w:r w:rsidRPr="00577EB7">
        <w:rPr>
          <w:rStyle w:val="Refdenotaalpie"/>
          <w:rFonts w:ascii="Arial" w:hAnsi="Arial" w:cs="Arial"/>
          <w:sz w:val="18"/>
          <w:szCs w:val="18"/>
        </w:rPr>
        <w:footnoteRef/>
      </w:r>
      <w:r w:rsidRPr="00577EB7">
        <w:rPr>
          <w:rFonts w:ascii="Arial" w:hAnsi="Arial" w:cs="Arial"/>
          <w:sz w:val="18"/>
          <w:szCs w:val="18"/>
        </w:rPr>
        <w:t xml:space="preserve"> </w:t>
      </w:r>
      <w:r w:rsidRPr="00577EB7">
        <w:rPr>
          <w:rFonts w:ascii="Arial" w:hAnsi="Arial" w:cs="Arial"/>
          <w:sz w:val="18"/>
          <w:szCs w:val="18"/>
          <w:lang w:val="es-ES"/>
        </w:rPr>
        <w:t xml:space="preserve">Artículo 2. </w:t>
      </w:r>
    </w:p>
  </w:footnote>
  <w:footnote w:id="17">
    <w:p w14:paraId="53C447A8" w14:textId="77777777" w:rsidR="00CA38C0" w:rsidRPr="00577EB7" w:rsidRDefault="00CA38C0" w:rsidP="00577EB7">
      <w:pPr>
        <w:pStyle w:val="Textonotapie"/>
        <w:ind w:firstLine="709"/>
        <w:contextualSpacing/>
        <w:jc w:val="both"/>
        <w:rPr>
          <w:rFonts w:ascii="Arial" w:hAnsi="Arial" w:cs="Arial"/>
          <w:sz w:val="18"/>
          <w:szCs w:val="18"/>
        </w:rPr>
      </w:pPr>
    </w:p>
    <w:p w14:paraId="24252ABC" w14:textId="18C4DFA4" w:rsidR="00CE6BFB" w:rsidRPr="00577EB7" w:rsidRDefault="00CE6BFB" w:rsidP="00577EB7">
      <w:pPr>
        <w:pStyle w:val="Textonotapie"/>
        <w:ind w:firstLine="709"/>
        <w:contextualSpacing/>
        <w:jc w:val="both"/>
        <w:rPr>
          <w:rFonts w:ascii="Arial" w:hAnsi="Arial" w:cs="Arial"/>
          <w:sz w:val="18"/>
          <w:szCs w:val="18"/>
          <w:lang w:val="es-ES"/>
        </w:rPr>
      </w:pPr>
      <w:r w:rsidRPr="00577EB7">
        <w:rPr>
          <w:rStyle w:val="Refdenotaalpie"/>
          <w:rFonts w:ascii="Arial" w:hAnsi="Arial" w:cs="Arial"/>
          <w:sz w:val="18"/>
          <w:szCs w:val="18"/>
        </w:rPr>
        <w:footnoteRef/>
      </w:r>
      <w:r w:rsidRPr="00577EB7">
        <w:rPr>
          <w:rFonts w:ascii="Arial" w:hAnsi="Arial" w:cs="Arial"/>
          <w:sz w:val="18"/>
          <w:szCs w:val="18"/>
        </w:rPr>
        <w:t xml:space="preserve"> </w:t>
      </w:r>
      <w:r w:rsidRPr="00577EB7">
        <w:rPr>
          <w:rFonts w:ascii="Arial" w:hAnsi="Arial" w:cs="Arial"/>
          <w:i/>
          <w:sz w:val="18"/>
          <w:szCs w:val="18"/>
          <w:lang w:val="es-ES"/>
        </w:rPr>
        <w:t>Ídem</w:t>
      </w:r>
      <w:r w:rsidRPr="00577EB7">
        <w:rPr>
          <w:rFonts w:ascii="Arial" w:hAnsi="Arial" w:cs="Arial"/>
          <w:sz w:val="18"/>
          <w:szCs w:val="18"/>
          <w:lang w:val="es-ES"/>
        </w:rPr>
        <w:t>.</w:t>
      </w:r>
    </w:p>
  </w:footnote>
  <w:footnote w:id="18">
    <w:p w14:paraId="6A5C42B1" w14:textId="77777777" w:rsidR="00CA38C0" w:rsidRPr="00577EB7" w:rsidRDefault="00CA38C0" w:rsidP="00577EB7">
      <w:pPr>
        <w:pStyle w:val="Textonotapie"/>
        <w:ind w:firstLine="709"/>
        <w:contextualSpacing/>
        <w:jc w:val="both"/>
        <w:rPr>
          <w:rFonts w:ascii="Arial" w:hAnsi="Arial" w:cs="Arial"/>
          <w:sz w:val="18"/>
          <w:szCs w:val="18"/>
        </w:rPr>
      </w:pPr>
    </w:p>
    <w:p w14:paraId="40E52897" w14:textId="4462C72C" w:rsidR="00CE6BFB" w:rsidRPr="00577EB7" w:rsidRDefault="00CE6BFB" w:rsidP="00577EB7">
      <w:pPr>
        <w:pStyle w:val="Textonotapie"/>
        <w:ind w:firstLine="709"/>
        <w:contextualSpacing/>
        <w:jc w:val="both"/>
        <w:rPr>
          <w:rFonts w:ascii="Arial" w:hAnsi="Arial" w:cs="Arial"/>
          <w:sz w:val="18"/>
          <w:szCs w:val="18"/>
          <w:lang w:val="es-ES"/>
        </w:rPr>
      </w:pPr>
      <w:r w:rsidRPr="00577EB7">
        <w:rPr>
          <w:rStyle w:val="Refdenotaalpie"/>
          <w:rFonts w:ascii="Arial" w:hAnsi="Arial" w:cs="Arial"/>
          <w:sz w:val="18"/>
          <w:szCs w:val="18"/>
        </w:rPr>
        <w:footnoteRef/>
      </w:r>
      <w:r w:rsidRPr="00577EB7">
        <w:rPr>
          <w:rStyle w:val="Refdenotaalpie"/>
          <w:rFonts w:ascii="Arial" w:hAnsi="Arial" w:cs="Arial"/>
          <w:sz w:val="18"/>
          <w:szCs w:val="18"/>
        </w:rPr>
        <w:t xml:space="preserve"> </w:t>
      </w:r>
      <w:r w:rsidR="00CA38C0" w:rsidRPr="00577EB7">
        <w:rPr>
          <w:rFonts w:ascii="Arial" w:hAnsi="Arial" w:cs="Arial"/>
          <w:sz w:val="18"/>
          <w:szCs w:val="18"/>
          <w:lang w:val="es-ES"/>
        </w:rPr>
        <w:t>“</w:t>
      </w:r>
      <w:r w:rsidRPr="00577EB7">
        <w:rPr>
          <w:rFonts w:ascii="Arial" w:hAnsi="Arial" w:cs="Arial"/>
          <w:sz w:val="18"/>
          <w:szCs w:val="18"/>
          <w:lang w:val="es-ES"/>
        </w:rPr>
        <w:t>[…] A este respecto, cabe recordar que el artículo 860 del Código de Comercio regula la licitación en el derecho privado</w:t>
      </w:r>
      <w:r w:rsidR="00CA38C0" w:rsidRPr="00577EB7">
        <w:rPr>
          <w:rFonts w:ascii="Arial" w:hAnsi="Arial" w:cs="Arial"/>
          <w:sz w:val="18"/>
          <w:szCs w:val="18"/>
          <w:lang w:val="es-ES"/>
        </w:rPr>
        <w:t>”</w:t>
      </w:r>
      <w:r w:rsidRPr="00577EB7">
        <w:rPr>
          <w:rFonts w:ascii="Arial" w:hAnsi="Arial" w:cs="Arial"/>
          <w:sz w:val="18"/>
          <w:szCs w:val="18"/>
          <w:lang w:val="es-ES"/>
        </w:rPr>
        <w:t xml:space="preserve">. </w:t>
      </w:r>
    </w:p>
  </w:footnote>
  <w:footnote w:id="19">
    <w:p w14:paraId="0D921B6D" w14:textId="77777777" w:rsidR="00CA38C0" w:rsidRPr="00577EB7" w:rsidRDefault="00CA38C0" w:rsidP="00577EB7">
      <w:pPr>
        <w:shd w:val="clear" w:color="auto" w:fill="FFFFFF"/>
        <w:ind w:firstLine="709"/>
        <w:contextualSpacing/>
        <w:jc w:val="both"/>
        <w:rPr>
          <w:rFonts w:ascii="Arial" w:hAnsi="Arial" w:cs="Arial"/>
          <w:sz w:val="18"/>
          <w:szCs w:val="18"/>
        </w:rPr>
      </w:pPr>
    </w:p>
    <w:p w14:paraId="32530ED6" w14:textId="050435D7" w:rsidR="00CE6BFB" w:rsidRPr="00577EB7" w:rsidRDefault="00CE6BFB" w:rsidP="00577EB7">
      <w:pPr>
        <w:shd w:val="clear" w:color="auto" w:fill="FFFFFF"/>
        <w:ind w:firstLine="709"/>
        <w:contextualSpacing/>
        <w:jc w:val="both"/>
        <w:rPr>
          <w:rFonts w:ascii="Arial" w:hAnsi="Arial" w:cs="Arial"/>
          <w:sz w:val="18"/>
          <w:szCs w:val="18"/>
          <w:lang w:val="es-ES"/>
        </w:rPr>
      </w:pPr>
      <w:r w:rsidRPr="00577EB7">
        <w:rPr>
          <w:rStyle w:val="Refdenotaalpie"/>
          <w:rFonts w:ascii="Arial" w:hAnsi="Arial" w:cs="Arial"/>
          <w:sz w:val="18"/>
          <w:szCs w:val="18"/>
        </w:rPr>
        <w:footnoteRef/>
      </w:r>
      <w:r w:rsidRPr="00577EB7">
        <w:rPr>
          <w:rStyle w:val="Refdenotaalpie"/>
          <w:rFonts w:ascii="Arial" w:hAnsi="Arial" w:cs="Arial"/>
          <w:sz w:val="18"/>
          <w:szCs w:val="18"/>
        </w:rPr>
        <w:t xml:space="preserve"> </w:t>
      </w:r>
      <w:r w:rsidRPr="00577EB7">
        <w:rPr>
          <w:rFonts w:ascii="Arial" w:hAnsi="Arial" w:cs="Arial"/>
          <w:sz w:val="18"/>
          <w:szCs w:val="18"/>
          <w:lang w:val="es-ES"/>
        </w:rPr>
        <w:t>Consejo de Estado. Sala de Consulta y Servicio Civil, Concepto de 8 de mayo de 2018. Radicación Número: 11001-03-06-000-2018-00095-00(2382). Consejero Ponente: Álvaro Namén Vargas.</w:t>
      </w:r>
    </w:p>
  </w:footnote>
  <w:footnote w:id="20">
    <w:p w14:paraId="376CE363" w14:textId="77777777"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Consejo de Estado. Sala de Consulta y Servicio Civil. Concepto del 08 de mayo de 2018. Exp. 2.382. C.P. Álvaro Namén Vargas.</w:t>
      </w:r>
    </w:p>
  </w:footnote>
  <w:footnote w:id="21">
    <w:p w14:paraId="675C16EB" w14:textId="77777777" w:rsidR="00CE6BFB" w:rsidRPr="00577EB7" w:rsidRDefault="00CE6BFB" w:rsidP="00577EB7">
      <w:pPr>
        <w:pStyle w:val="Textonotapie"/>
        <w:ind w:firstLine="709"/>
        <w:contextualSpacing/>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52E819ED" w14:textId="77777777" w:rsidR="00CE6BFB" w:rsidRPr="00577EB7" w:rsidRDefault="00CE6BFB" w:rsidP="00577EB7">
      <w:pPr>
        <w:pStyle w:val="Textonotapie"/>
        <w:ind w:firstLine="709"/>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Consejo de Estado. Sala de Consulta y Servicio Civil. Concepto de 20 de febrero de2006. Radicación 11001-03-06-000-2006-00023-00(1724). Consejero Ponente: Flavio Augusto Rodríguez Arce.</w:t>
      </w:r>
    </w:p>
  </w:footnote>
  <w:footnote w:id="23">
    <w:p w14:paraId="2D3769CC" w14:textId="1C7FC8AA" w:rsidR="00CE6BFB" w:rsidRPr="00577EB7" w:rsidRDefault="00CE6BFB" w:rsidP="00577EB7">
      <w:pPr>
        <w:spacing w:before="78"/>
        <w:ind w:firstLine="709"/>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Decreto 1082 de 2015: </w:t>
      </w:r>
      <w:r w:rsidR="00CA38C0" w:rsidRPr="00577EB7">
        <w:rPr>
          <w:rFonts w:ascii="Arial" w:hAnsi="Arial" w:cs="Arial"/>
          <w:sz w:val="18"/>
          <w:szCs w:val="18"/>
        </w:rPr>
        <w:t>“</w:t>
      </w:r>
      <w:r w:rsidRPr="00577EB7">
        <w:rPr>
          <w:rFonts w:ascii="Arial" w:hAnsi="Arial" w:cs="Arial"/>
          <w:sz w:val="18"/>
          <w:szCs w:val="18"/>
        </w:rPr>
        <w:t>Artículo 2.2.1.2.1.4.4. Convenios o contratos interadministrativos. La modalidad de selección para la contratación entre Entidades Estatales es la contratación directa; y en consecuencia, le es aplicable lo establecido en el artículo 2.2.1.2.1.4.1 del presente decreto.</w:t>
      </w:r>
    </w:p>
    <w:p w14:paraId="41E282A3" w14:textId="1469F045" w:rsidR="00CE6BFB" w:rsidRPr="00577EB7" w:rsidRDefault="00CA38C0" w:rsidP="00577EB7">
      <w:pPr>
        <w:ind w:firstLine="709"/>
        <w:jc w:val="both"/>
        <w:rPr>
          <w:rFonts w:ascii="Arial" w:hAnsi="Arial" w:cs="Arial"/>
          <w:sz w:val="18"/>
          <w:szCs w:val="18"/>
        </w:rPr>
      </w:pPr>
      <w:r w:rsidRPr="00577EB7">
        <w:rPr>
          <w:rFonts w:ascii="Arial" w:hAnsi="Arial" w:cs="Arial"/>
          <w:sz w:val="18"/>
          <w:szCs w:val="18"/>
        </w:rPr>
        <w:t>“</w:t>
      </w:r>
      <w:r w:rsidR="00CE6BFB" w:rsidRPr="00577EB7">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00CE6BFB" w:rsidRPr="00577EB7">
        <w:rPr>
          <w:rFonts w:ascii="Arial" w:hAnsi="Arial" w:cs="Arial"/>
          <w:spacing w:val="-1"/>
          <w:sz w:val="18"/>
          <w:szCs w:val="18"/>
        </w:rPr>
        <w:t xml:space="preserve"> </w:t>
      </w:r>
      <w:r w:rsidR="00CE6BFB" w:rsidRPr="00577EB7">
        <w:rPr>
          <w:rFonts w:ascii="Arial" w:hAnsi="Arial" w:cs="Arial"/>
          <w:sz w:val="18"/>
          <w:szCs w:val="18"/>
        </w:rPr>
        <w:t>Estatales</w:t>
      </w:r>
      <w:r w:rsidRPr="00577EB7">
        <w:rPr>
          <w:rFonts w:ascii="Arial" w:hAnsi="Arial" w:cs="Arial"/>
          <w:sz w:val="18"/>
          <w:szCs w:val="18"/>
        </w:rPr>
        <w:t>”</w:t>
      </w:r>
      <w:r w:rsidR="00CE6BFB" w:rsidRPr="00577EB7">
        <w:rPr>
          <w:rFonts w:ascii="Arial" w:hAnsi="Arial" w:cs="Arial"/>
          <w:sz w:val="18"/>
          <w:szCs w:val="18"/>
        </w:rPr>
        <w:t>.</w:t>
      </w:r>
    </w:p>
  </w:footnote>
  <w:footnote w:id="24">
    <w:p w14:paraId="29BA84A7" w14:textId="2CBE2822" w:rsidR="00CE6BFB" w:rsidRPr="00577EB7" w:rsidRDefault="00CE6BFB" w:rsidP="00577EB7">
      <w:pPr>
        <w:ind w:firstLine="709"/>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Ley 1150 de 2007: </w:t>
      </w:r>
      <w:r w:rsidR="00CA38C0" w:rsidRPr="00577EB7">
        <w:rPr>
          <w:rFonts w:ascii="Arial" w:hAnsi="Arial" w:cs="Arial"/>
          <w:sz w:val="18"/>
          <w:szCs w:val="18"/>
        </w:rPr>
        <w:t>“</w:t>
      </w:r>
      <w:r w:rsidRPr="00577EB7">
        <w:rPr>
          <w:rFonts w:ascii="Arial" w:hAnsi="Arial" w:cs="Arial"/>
          <w:sz w:val="18"/>
          <w:szCs w:val="18"/>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77EB7">
        <w:rPr>
          <w:rFonts w:ascii="Arial" w:hAnsi="Arial" w:cs="Arial"/>
          <w:spacing w:val="-6"/>
          <w:sz w:val="18"/>
          <w:szCs w:val="18"/>
        </w:rPr>
        <w:t xml:space="preserve"> </w:t>
      </w:r>
      <w:r w:rsidRPr="00577EB7">
        <w:rPr>
          <w:rFonts w:ascii="Arial" w:hAnsi="Arial" w:cs="Arial"/>
          <w:sz w:val="18"/>
          <w:szCs w:val="18"/>
        </w:rPr>
        <w:t>artículo</w:t>
      </w:r>
      <w:r w:rsidR="00CA38C0" w:rsidRPr="00577EB7">
        <w:rPr>
          <w:rFonts w:ascii="Arial" w:hAnsi="Arial" w:cs="Arial"/>
          <w:sz w:val="18"/>
          <w:szCs w:val="18"/>
        </w:rPr>
        <w:t>”</w:t>
      </w:r>
      <w:r w:rsidRPr="00577EB7">
        <w:rPr>
          <w:rFonts w:ascii="Arial" w:hAnsi="Arial" w:cs="Arial"/>
          <w:sz w:val="18"/>
          <w:szCs w:val="18"/>
        </w:rPr>
        <w:t>.</w:t>
      </w:r>
    </w:p>
  </w:footnote>
  <w:footnote w:id="25">
    <w:p w14:paraId="737FC18C" w14:textId="77777777" w:rsidR="00CE6BFB" w:rsidRPr="00577EB7" w:rsidRDefault="00CE6BFB" w:rsidP="00577EB7">
      <w:pPr>
        <w:ind w:firstLine="709"/>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position w:val="7"/>
          <w:sz w:val="18"/>
          <w:szCs w:val="18"/>
        </w:rPr>
        <w:t xml:space="preserve"> </w:t>
      </w:r>
      <w:r w:rsidRPr="00577EB7">
        <w:rPr>
          <w:rFonts w:ascii="Arial" w:hAnsi="Arial" w:cs="Arial"/>
          <w:sz w:val="18"/>
          <w:szCs w:val="18"/>
        </w:rPr>
        <w:t>Consejo de Estado. Sección Tercera. Sentencia del 23 de junio de 2010. Radicación No. 66001-23-31-000-1998-00261-01(17.860). Consejero Ponente: Mauricio Fajardo Gómez.</w:t>
      </w:r>
    </w:p>
  </w:footnote>
  <w:footnote w:id="26">
    <w:p w14:paraId="0731119F" w14:textId="77777777" w:rsidR="00CE6BFB" w:rsidRPr="00577EB7" w:rsidRDefault="00CE6BFB" w:rsidP="00577EB7">
      <w:pPr>
        <w:ind w:firstLine="709"/>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Consejo de Estado. Sección Tercera. Subsección C. Sentencia del 11 de diciembre de 2019. Exp. 46.986. C.P. Jaime Enrique Rodríguez Navas.</w:t>
      </w:r>
    </w:p>
  </w:footnote>
  <w:footnote w:id="27">
    <w:p w14:paraId="007DBAAF" w14:textId="7571D175" w:rsidR="00CE6BFB" w:rsidRPr="00577EB7" w:rsidRDefault="00CE6BFB" w:rsidP="00577EB7">
      <w:pPr>
        <w:pStyle w:val="Textonotapie"/>
        <w:ind w:firstLine="708"/>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[Referencia propia de la cita] </w:t>
      </w:r>
      <w:r w:rsidR="00CA38C0" w:rsidRPr="00577EB7">
        <w:rPr>
          <w:rFonts w:ascii="Arial" w:hAnsi="Arial" w:cs="Arial"/>
          <w:sz w:val="18"/>
          <w:szCs w:val="18"/>
        </w:rPr>
        <w:t>“</w:t>
      </w:r>
      <w:r w:rsidRPr="00577EB7">
        <w:rPr>
          <w:rFonts w:ascii="Arial" w:hAnsi="Arial" w:cs="Arial"/>
          <w:sz w:val="18"/>
          <w:szCs w:val="18"/>
        </w:rPr>
        <w:t>CE. SCSC. Concepto de 1 de noviembre de 2016 [Rad. 11001-03-06-000-2016-00125-00(2305)]. MP. Germán Alberto Bula Escobar</w:t>
      </w:r>
      <w:r w:rsidR="00CA38C0" w:rsidRPr="00577EB7">
        <w:rPr>
          <w:rFonts w:ascii="Arial" w:hAnsi="Arial" w:cs="Arial"/>
          <w:sz w:val="18"/>
          <w:szCs w:val="18"/>
        </w:rPr>
        <w:t>”</w:t>
      </w:r>
      <w:r w:rsidRPr="00577EB7">
        <w:rPr>
          <w:rFonts w:ascii="Arial" w:hAnsi="Arial" w:cs="Arial"/>
          <w:sz w:val="18"/>
          <w:szCs w:val="18"/>
        </w:rPr>
        <w:t>.</w:t>
      </w:r>
    </w:p>
  </w:footnote>
  <w:footnote w:id="28">
    <w:p w14:paraId="726F8EB5" w14:textId="25C9A42A" w:rsidR="00CE6BFB" w:rsidRPr="00577EB7" w:rsidRDefault="00CE6BFB" w:rsidP="00577EB7">
      <w:pPr>
        <w:pStyle w:val="Textonotapie"/>
        <w:ind w:firstLine="708"/>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[Referencia propia de la cita] </w:t>
      </w:r>
      <w:r w:rsidR="00CA38C0" w:rsidRPr="00577EB7">
        <w:rPr>
          <w:rFonts w:ascii="Arial" w:hAnsi="Arial" w:cs="Arial"/>
          <w:sz w:val="18"/>
          <w:szCs w:val="18"/>
        </w:rPr>
        <w:t>“</w:t>
      </w:r>
      <w:r w:rsidRPr="00577EB7">
        <w:rPr>
          <w:rFonts w:ascii="Arial" w:hAnsi="Arial" w:cs="Arial"/>
          <w:sz w:val="18"/>
          <w:szCs w:val="18"/>
        </w:rPr>
        <w:t xml:space="preserve">CE. SCSC. Concepto de 30 de abril de 2008 [Rad. 11001-03-06-000-2008-00013-00(1881)]. MP. Enrique José Arboleda Perdomo. En esta oportunidad, la Sala indicó que el contenido </w:t>
      </w:r>
      <w:r w:rsidRPr="00577EB7">
        <w:rPr>
          <w:rFonts w:ascii="Arial" w:hAnsi="Arial" w:cs="Arial"/>
          <w:i/>
          <w:sz w:val="18"/>
          <w:szCs w:val="18"/>
        </w:rPr>
        <w:t>“obligacional”</w:t>
      </w:r>
      <w:r w:rsidRPr="00577EB7">
        <w:rPr>
          <w:rFonts w:ascii="Arial" w:hAnsi="Arial" w:cs="Arial"/>
          <w:sz w:val="18"/>
          <w:szCs w:val="18"/>
        </w:rPr>
        <w:t xml:space="preserve"> de los convenios se estructura definiendo el resultado querido por las partes y los medios que cada entidad despliega para la obtención del respectivo objeto</w:t>
      </w:r>
      <w:r w:rsidR="00CA38C0" w:rsidRPr="00577EB7">
        <w:rPr>
          <w:rFonts w:ascii="Arial" w:hAnsi="Arial" w:cs="Arial"/>
          <w:sz w:val="18"/>
          <w:szCs w:val="18"/>
        </w:rPr>
        <w:t>”</w:t>
      </w:r>
      <w:r w:rsidRPr="00577EB7">
        <w:rPr>
          <w:rFonts w:ascii="Arial" w:hAnsi="Arial" w:cs="Arial"/>
          <w:sz w:val="18"/>
          <w:szCs w:val="18"/>
        </w:rPr>
        <w:t>.</w:t>
      </w:r>
    </w:p>
  </w:footnote>
  <w:footnote w:id="29">
    <w:p w14:paraId="3CC2AC5E" w14:textId="2A930C2A" w:rsidR="00CE6BFB" w:rsidRPr="00577EB7" w:rsidRDefault="00CE6BFB" w:rsidP="00577EB7">
      <w:pPr>
        <w:pStyle w:val="Textonotapie"/>
        <w:ind w:firstLine="708"/>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[Referencia propia de la cita] </w:t>
      </w:r>
      <w:r w:rsidR="00CA38C0" w:rsidRPr="00577EB7">
        <w:rPr>
          <w:rFonts w:ascii="Arial" w:hAnsi="Arial" w:cs="Arial"/>
          <w:sz w:val="18"/>
          <w:szCs w:val="18"/>
        </w:rPr>
        <w:t>“</w:t>
      </w:r>
      <w:r w:rsidRPr="00577EB7">
        <w:rPr>
          <w:rFonts w:ascii="Arial" w:hAnsi="Arial" w:cs="Arial"/>
          <w:sz w:val="18"/>
          <w:szCs w:val="18"/>
        </w:rPr>
        <w:t xml:space="preserve">La normativa vigente del EGCAP </w:t>
      </w:r>
      <w:r w:rsidRPr="00577EB7">
        <w:rPr>
          <w:rFonts w:ascii="Arial" w:hAnsi="Arial" w:cs="Arial"/>
          <w:i/>
          <w:sz w:val="18"/>
          <w:szCs w:val="18"/>
        </w:rPr>
        <w:t>[literal c) del numeral 4. del artículo 2 de la Ley 1150/07]</w:t>
      </w:r>
      <w:r w:rsidRPr="00577EB7">
        <w:rPr>
          <w:rFonts w:ascii="Arial" w:hAnsi="Arial" w:cs="Arial"/>
          <w:sz w:val="18"/>
          <w:szCs w:val="18"/>
        </w:rPr>
        <w:t xml:space="preserve"> se refiere a </w:t>
      </w:r>
      <w:r w:rsidRPr="00577EB7">
        <w:rPr>
          <w:rFonts w:ascii="Arial" w:hAnsi="Arial" w:cs="Arial"/>
          <w:i/>
          <w:sz w:val="18"/>
          <w:szCs w:val="18"/>
        </w:rPr>
        <w:t>“contratos interadministrativos”</w:t>
      </w:r>
      <w:r w:rsidRPr="00577EB7">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r w:rsidR="00CA38C0" w:rsidRPr="00577EB7">
        <w:rPr>
          <w:rFonts w:ascii="Arial" w:hAnsi="Arial" w:cs="Arial"/>
          <w:sz w:val="18"/>
          <w:szCs w:val="18"/>
        </w:rPr>
        <w:t>”</w:t>
      </w:r>
      <w:r w:rsidRPr="00577EB7">
        <w:rPr>
          <w:rFonts w:ascii="Arial" w:hAnsi="Arial" w:cs="Arial"/>
          <w:sz w:val="18"/>
          <w:szCs w:val="18"/>
        </w:rPr>
        <w:t>.</w:t>
      </w:r>
    </w:p>
  </w:footnote>
  <w:footnote w:id="30">
    <w:p w14:paraId="135B65D9" w14:textId="393554DE" w:rsidR="00CE6BFB" w:rsidRPr="00577EB7" w:rsidRDefault="00CE6BFB" w:rsidP="00577EB7">
      <w:pPr>
        <w:pStyle w:val="Textonotapie"/>
        <w:ind w:firstLine="708"/>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En línea con lo anterior, la Sala de Consulta y Servicio Civil del Consejo de Estado expresó lo siguiente: </w:t>
      </w:r>
      <w:r w:rsidR="00CA38C0" w:rsidRPr="00577EB7">
        <w:rPr>
          <w:rFonts w:ascii="Arial" w:hAnsi="Arial" w:cs="Arial"/>
          <w:sz w:val="18"/>
          <w:szCs w:val="18"/>
        </w:rPr>
        <w:t>“</w:t>
      </w:r>
      <w:r w:rsidRPr="00577EB7">
        <w:rPr>
          <w:rFonts w:ascii="Arial" w:hAnsi="Arial" w:cs="Arial"/>
          <w:sz w:val="18"/>
          <w:szCs w:val="18"/>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00CA38C0" w:rsidRPr="00577EB7">
        <w:rPr>
          <w:rFonts w:ascii="Arial" w:hAnsi="Arial" w:cs="Arial"/>
          <w:sz w:val="18"/>
          <w:szCs w:val="18"/>
        </w:rPr>
        <w:t>”</w:t>
      </w:r>
      <w:r w:rsidRPr="00577EB7">
        <w:rPr>
          <w:rFonts w:ascii="Arial" w:hAnsi="Arial" w:cs="Arial"/>
          <w:sz w:val="18"/>
          <w:szCs w:val="18"/>
        </w:rPr>
        <w:t>. (Consejo de Estado. Sala de Consulta y Servicio Civil. Concepto 26 de julio de 2016. Exp. 2.257. M.P. Álvaro Namén Vargas).</w:t>
      </w:r>
    </w:p>
  </w:footnote>
  <w:footnote w:id="31">
    <w:p w14:paraId="345EE530" w14:textId="5D75754B" w:rsidR="00CE6BFB" w:rsidRPr="00577EB7" w:rsidRDefault="00CE6BFB" w:rsidP="00577EB7">
      <w:pPr>
        <w:pStyle w:val="Textonotapie"/>
        <w:ind w:firstLine="708"/>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Es lo que sucede, por ejemplo, con el Decreto 092 de 2017, que en su desarrollo hace referencia tanto a los </w:t>
      </w:r>
      <w:r w:rsidR="00CA38C0" w:rsidRPr="00577EB7">
        <w:rPr>
          <w:rFonts w:ascii="Arial" w:hAnsi="Arial" w:cs="Arial"/>
          <w:sz w:val="18"/>
          <w:szCs w:val="18"/>
        </w:rPr>
        <w:t>“</w:t>
      </w:r>
      <w:r w:rsidRPr="00577EB7">
        <w:rPr>
          <w:rFonts w:ascii="Arial" w:hAnsi="Arial" w:cs="Arial"/>
          <w:sz w:val="18"/>
          <w:szCs w:val="18"/>
        </w:rPr>
        <w:t>contratos</w:t>
      </w:r>
      <w:r w:rsidR="00CA38C0" w:rsidRPr="00577EB7">
        <w:rPr>
          <w:rFonts w:ascii="Arial" w:hAnsi="Arial" w:cs="Arial"/>
          <w:sz w:val="18"/>
          <w:szCs w:val="18"/>
        </w:rPr>
        <w:t>”</w:t>
      </w:r>
      <w:r w:rsidRPr="00577EB7">
        <w:rPr>
          <w:rFonts w:ascii="Arial" w:hAnsi="Arial" w:cs="Arial"/>
          <w:sz w:val="18"/>
          <w:szCs w:val="18"/>
        </w:rPr>
        <w:t xml:space="preserve"> como a los </w:t>
      </w:r>
      <w:r w:rsidR="00CA38C0" w:rsidRPr="00577EB7">
        <w:rPr>
          <w:rFonts w:ascii="Arial" w:hAnsi="Arial" w:cs="Arial"/>
          <w:sz w:val="18"/>
          <w:szCs w:val="18"/>
        </w:rPr>
        <w:t>“</w:t>
      </w:r>
      <w:r w:rsidRPr="00577EB7">
        <w:rPr>
          <w:rFonts w:ascii="Arial" w:hAnsi="Arial" w:cs="Arial"/>
          <w:sz w:val="18"/>
          <w:szCs w:val="18"/>
        </w:rPr>
        <w:t>convenios</w:t>
      </w:r>
      <w:r w:rsidR="00CA38C0" w:rsidRPr="00577EB7">
        <w:rPr>
          <w:rFonts w:ascii="Arial" w:hAnsi="Arial" w:cs="Arial"/>
          <w:sz w:val="18"/>
          <w:szCs w:val="18"/>
        </w:rPr>
        <w:t>”</w:t>
      </w:r>
      <w:r w:rsidRPr="00577EB7">
        <w:rPr>
          <w:rFonts w:ascii="Arial" w:hAnsi="Arial" w:cs="Arial"/>
          <w:sz w:val="18"/>
          <w:szCs w:val="18"/>
        </w:rPr>
        <w:t xml:space="preserve">. </w:t>
      </w:r>
    </w:p>
  </w:footnote>
  <w:footnote w:id="32">
    <w:p w14:paraId="378B347C" w14:textId="7E21AB30" w:rsidR="00CE6BFB" w:rsidRPr="00577EB7" w:rsidRDefault="00CE6BFB" w:rsidP="00577EB7">
      <w:pPr>
        <w:pStyle w:val="Textonotapie"/>
        <w:ind w:firstLine="708"/>
        <w:jc w:val="both"/>
        <w:rPr>
          <w:rFonts w:ascii="Arial" w:hAnsi="Arial" w:cs="Arial"/>
          <w:sz w:val="18"/>
          <w:szCs w:val="18"/>
          <w:lang w:val="es-CO"/>
        </w:rPr>
      </w:pPr>
      <w:r w:rsidRPr="00577EB7">
        <w:rPr>
          <w:rStyle w:val="Refdenotaalpie"/>
          <w:rFonts w:ascii="Arial" w:hAnsi="Arial" w:cs="Arial"/>
          <w:sz w:val="18"/>
          <w:szCs w:val="18"/>
        </w:rPr>
        <w:footnoteRef/>
      </w:r>
      <w:r w:rsidRPr="00577EB7">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w:t>
      </w:r>
      <w:r w:rsidR="00CA38C0" w:rsidRPr="00577EB7">
        <w:rPr>
          <w:rFonts w:ascii="Arial" w:hAnsi="Arial" w:cs="Arial"/>
          <w:sz w:val="18"/>
          <w:szCs w:val="18"/>
        </w:rPr>
        <w:t>”</w:t>
      </w:r>
      <w:r w:rsidRPr="00577EB7">
        <w:rPr>
          <w:rFonts w:ascii="Arial" w:hAnsi="Arial" w:cs="Arial"/>
          <w:sz w:val="18"/>
          <w:szCs w:val="18"/>
        </w:rPr>
        <w:t>. (Corte Constitucional. Sentencia C-671 de 2015. M.P. Alberto Rojas Ríos).</w:t>
      </w:r>
    </w:p>
  </w:footnote>
  <w:footnote w:id="33">
    <w:p w14:paraId="72694EE9" w14:textId="77777777" w:rsidR="00CE6BFB" w:rsidRPr="00577EB7" w:rsidRDefault="00CE6BFB" w:rsidP="00577EB7">
      <w:pPr>
        <w:pStyle w:val="Textonotapie"/>
        <w:ind w:firstLine="708"/>
        <w:jc w:val="both"/>
        <w:rPr>
          <w:rFonts w:ascii="Arial" w:hAnsi="Arial" w:cs="Arial"/>
          <w:sz w:val="18"/>
          <w:szCs w:val="18"/>
        </w:rPr>
      </w:pPr>
      <w:r w:rsidRPr="00577EB7">
        <w:rPr>
          <w:rStyle w:val="Refdenotaalpie"/>
          <w:rFonts w:ascii="Arial" w:hAnsi="Arial" w:cs="Arial"/>
          <w:sz w:val="18"/>
          <w:szCs w:val="18"/>
        </w:rPr>
        <w:footnoteRef/>
      </w:r>
      <w:r w:rsidRPr="00577EB7">
        <w:rPr>
          <w:rFonts w:ascii="Arial" w:hAnsi="Arial" w:cs="Arial"/>
          <w:sz w:val="18"/>
          <w:szCs w:val="18"/>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4">
    <w:p w14:paraId="4D0546FE" w14:textId="77777777" w:rsidR="00CE6BFB" w:rsidRPr="00577EB7" w:rsidRDefault="00CE6BFB" w:rsidP="00577EB7">
      <w:pPr>
        <w:pStyle w:val="Textonotapie"/>
        <w:ind w:firstLine="709"/>
        <w:jc w:val="both"/>
        <w:rPr>
          <w:rFonts w:ascii="Arial" w:hAnsi="Arial" w:cs="Arial"/>
          <w:sz w:val="18"/>
          <w:szCs w:val="18"/>
          <w:lang w:val="es-CO"/>
        </w:rPr>
      </w:pPr>
      <w:r w:rsidRPr="00577EB7">
        <w:rPr>
          <w:rStyle w:val="Refdenotaalpie"/>
          <w:rFonts w:ascii="Arial" w:hAnsi="Arial" w:cs="Arial"/>
          <w:sz w:val="18"/>
          <w:szCs w:val="18"/>
        </w:rPr>
        <w:footnoteRef/>
      </w:r>
      <w:r w:rsidRPr="00577EB7">
        <w:rPr>
          <w:rFonts w:ascii="Arial" w:hAnsi="Arial" w:cs="Arial"/>
          <w:sz w:val="18"/>
          <w:szCs w:val="18"/>
        </w:rPr>
        <w:t xml:space="preserve"> Consejo de Estado. Sala de Consulta y Servicio Civil. Concepto del 15 de noviembre de 2007. Expediente número 1863. Consejero Ponente: Luis Fernando Álvarez Jaramillo.</w:t>
      </w:r>
    </w:p>
  </w:footnote>
  <w:footnote w:id="35">
    <w:p w14:paraId="58E7B4AC" w14:textId="77777777" w:rsidR="00DE688E" w:rsidRPr="00F64276" w:rsidRDefault="00DE688E" w:rsidP="00F64276">
      <w:pPr>
        <w:pStyle w:val="Textonotapie"/>
        <w:ind w:firstLine="708"/>
        <w:jc w:val="both"/>
        <w:rPr>
          <w:rFonts w:ascii="Arial" w:hAnsi="Arial" w:cs="Arial"/>
          <w:sz w:val="18"/>
          <w:szCs w:val="18"/>
        </w:rPr>
      </w:pPr>
    </w:p>
    <w:p w14:paraId="1FA037C3" w14:textId="44CAF54F" w:rsidR="00DE688E" w:rsidRPr="00F64276" w:rsidRDefault="00DE688E" w:rsidP="00F64276">
      <w:pPr>
        <w:pStyle w:val="Textonotapie"/>
        <w:ind w:firstLine="708"/>
        <w:jc w:val="both"/>
        <w:rPr>
          <w:rFonts w:ascii="Arial" w:hAnsi="Arial" w:cs="Arial"/>
          <w:sz w:val="18"/>
          <w:szCs w:val="18"/>
        </w:rPr>
      </w:pPr>
      <w:r w:rsidRPr="00F64276">
        <w:rPr>
          <w:rStyle w:val="Refdenotaalpie"/>
          <w:rFonts w:ascii="Arial" w:hAnsi="Arial" w:cs="Arial"/>
          <w:sz w:val="18"/>
          <w:szCs w:val="18"/>
        </w:rPr>
        <w:footnoteRef/>
      </w:r>
      <w:r w:rsidRPr="00F64276">
        <w:rPr>
          <w:rFonts w:ascii="Arial" w:hAnsi="Arial" w:cs="Arial"/>
          <w:sz w:val="18"/>
          <w:szCs w:val="18"/>
        </w:rPr>
        <w:t xml:space="preserve"> Ley 489 de 1998: “Artículo 96.Constitución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 </w:t>
      </w:r>
    </w:p>
    <w:p w14:paraId="5CAB05D4" w14:textId="606DACFD" w:rsidR="00DE688E" w:rsidRPr="00F64276" w:rsidRDefault="00DE688E" w:rsidP="00F64276">
      <w:pPr>
        <w:pStyle w:val="Textonotapie"/>
        <w:ind w:firstLine="708"/>
        <w:jc w:val="both"/>
        <w:rPr>
          <w:rFonts w:ascii="Arial" w:hAnsi="Arial" w:cs="Arial"/>
          <w:sz w:val="18"/>
          <w:szCs w:val="18"/>
          <w:lang w:val="es-CO"/>
        </w:rPr>
      </w:pPr>
      <w:r w:rsidRPr="00F64276">
        <w:rPr>
          <w:rFonts w:ascii="Arial" w:hAnsi="Arial" w:cs="Arial"/>
          <w:sz w:val="18"/>
          <w:szCs w:val="18"/>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  (…)”</w:t>
      </w:r>
    </w:p>
  </w:footnote>
  <w:footnote w:id="36">
    <w:p w14:paraId="3190B8FD" w14:textId="77777777" w:rsidR="00734CD0" w:rsidRPr="00F64276" w:rsidRDefault="00734CD0" w:rsidP="00F64276">
      <w:pPr>
        <w:pStyle w:val="Textonotapie"/>
        <w:ind w:firstLine="708"/>
        <w:jc w:val="both"/>
        <w:rPr>
          <w:rFonts w:ascii="Arial" w:hAnsi="Arial" w:cs="Arial"/>
          <w:sz w:val="18"/>
          <w:szCs w:val="18"/>
        </w:rPr>
      </w:pPr>
    </w:p>
    <w:p w14:paraId="0BACC39B" w14:textId="50595E92" w:rsidR="00734CD0" w:rsidRPr="00F64276" w:rsidRDefault="00734CD0" w:rsidP="00F64276">
      <w:pPr>
        <w:pStyle w:val="Textonotapie"/>
        <w:ind w:firstLine="708"/>
        <w:jc w:val="both"/>
        <w:rPr>
          <w:rFonts w:ascii="Arial" w:hAnsi="Arial" w:cs="Arial"/>
          <w:sz w:val="18"/>
          <w:szCs w:val="18"/>
        </w:rPr>
      </w:pPr>
      <w:r w:rsidRPr="00F64276">
        <w:rPr>
          <w:rStyle w:val="Refdenotaalpie"/>
          <w:rFonts w:ascii="Arial" w:hAnsi="Arial" w:cs="Arial"/>
          <w:sz w:val="18"/>
          <w:szCs w:val="18"/>
        </w:rPr>
        <w:footnoteRef/>
      </w:r>
      <w:r w:rsidRPr="00F64276">
        <w:rPr>
          <w:rFonts w:ascii="Arial" w:hAnsi="Arial" w:cs="Arial"/>
          <w:sz w:val="18"/>
          <w:szCs w:val="18"/>
        </w:rPr>
        <w:t xml:space="preserve"> Decreto 092 de 2017: “Artículo 5°.Asociación con entidades privadas sin ánimo de lucro para cumplir ac­tividades propias de las Entidades Estatales.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 </w:t>
      </w:r>
    </w:p>
    <w:p w14:paraId="003D7F83" w14:textId="77777777" w:rsidR="00734CD0" w:rsidRPr="00F64276" w:rsidRDefault="00734CD0" w:rsidP="00F64276">
      <w:pPr>
        <w:pStyle w:val="Textonotapie"/>
        <w:ind w:firstLine="708"/>
        <w:jc w:val="both"/>
        <w:rPr>
          <w:rFonts w:ascii="Arial" w:hAnsi="Arial" w:cs="Arial"/>
          <w:sz w:val="18"/>
          <w:szCs w:val="18"/>
        </w:rPr>
      </w:pPr>
      <w:r w:rsidRPr="00F64276">
        <w:rPr>
          <w:rFonts w:ascii="Arial" w:hAnsi="Arial" w:cs="Arial"/>
          <w:sz w:val="18"/>
          <w:szCs w:val="18"/>
        </w:rPr>
        <w:t xml:space="preserve">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w:t>
      </w:r>
    </w:p>
    <w:p w14:paraId="4BE85A25" w14:textId="1DE6F51E" w:rsidR="00734CD0" w:rsidRPr="00F64276" w:rsidRDefault="00734CD0" w:rsidP="00F64276">
      <w:pPr>
        <w:pStyle w:val="Textonotapie"/>
        <w:ind w:firstLine="708"/>
        <w:jc w:val="both"/>
        <w:rPr>
          <w:rFonts w:ascii="Arial" w:hAnsi="Arial" w:cs="Arial"/>
          <w:sz w:val="18"/>
          <w:szCs w:val="18"/>
          <w:lang w:val="es-CO"/>
        </w:rPr>
      </w:pPr>
      <w:r w:rsidRPr="00F64276">
        <w:rPr>
          <w:rFonts w:ascii="Arial" w:hAnsi="Arial" w:cs="Arial"/>
          <w:sz w:val="18"/>
          <w:szCs w:val="18"/>
        </w:rPr>
        <w:t>Estos convenios de asociación son distintos a los contratos a los que hace referencia el artículo 2° y están regidos por el artículo 96 de la Ley 489 de 1998 y los artículos 5°, 6°, 7° y 8° del presente decreto”.</w:t>
      </w:r>
    </w:p>
  </w:footnote>
  <w:footnote w:id="37">
    <w:p w14:paraId="57F73ACF" w14:textId="3C8A5570" w:rsidR="00577EB7" w:rsidRPr="00F64276" w:rsidRDefault="00577EB7" w:rsidP="00F64276">
      <w:pPr>
        <w:pStyle w:val="Textonotapie"/>
        <w:ind w:firstLine="708"/>
        <w:jc w:val="both"/>
        <w:rPr>
          <w:rFonts w:ascii="Arial" w:hAnsi="Arial" w:cs="Arial"/>
          <w:sz w:val="18"/>
          <w:szCs w:val="18"/>
        </w:rPr>
      </w:pPr>
      <w:r w:rsidRPr="00F64276">
        <w:rPr>
          <w:rStyle w:val="Refdenotaalpie"/>
          <w:rFonts w:ascii="Arial" w:hAnsi="Arial" w:cs="Arial"/>
          <w:sz w:val="18"/>
          <w:szCs w:val="18"/>
        </w:rPr>
        <w:footnoteRef/>
      </w:r>
      <w:r w:rsidRPr="00F64276">
        <w:rPr>
          <w:rFonts w:ascii="Arial" w:hAnsi="Arial" w:cs="Arial"/>
          <w:sz w:val="18"/>
          <w:szCs w:val="18"/>
        </w:rPr>
        <w:t xml:space="preserve"> Ley 80 de 1993: “Articulo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3643949B" w14:textId="24240470" w:rsidR="00577EB7" w:rsidRPr="00F64276" w:rsidRDefault="00577EB7" w:rsidP="00F64276">
      <w:pPr>
        <w:pStyle w:val="Textonotapie"/>
        <w:ind w:firstLine="708"/>
        <w:jc w:val="both"/>
        <w:rPr>
          <w:rFonts w:ascii="Arial" w:hAnsi="Arial" w:cs="Arial"/>
          <w:sz w:val="18"/>
          <w:szCs w:val="18"/>
        </w:rPr>
      </w:pPr>
      <w:r w:rsidRPr="00F64276">
        <w:rPr>
          <w:rFonts w:ascii="Arial" w:hAnsi="Arial" w:cs="Arial"/>
          <w:sz w:val="18"/>
          <w:szCs w:val="18"/>
        </w:rPr>
        <w:t xml:space="preserve">(….). </w:t>
      </w:r>
    </w:p>
    <w:p w14:paraId="17339003" w14:textId="77777777" w:rsidR="00577EB7" w:rsidRPr="00F64276" w:rsidRDefault="00577EB7" w:rsidP="00F64276">
      <w:pPr>
        <w:pStyle w:val="Textonotapie"/>
        <w:ind w:firstLine="708"/>
        <w:jc w:val="both"/>
        <w:rPr>
          <w:rFonts w:ascii="Arial" w:hAnsi="Arial" w:cs="Arial"/>
          <w:sz w:val="18"/>
          <w:szCs w:val="18"/>
        </w:rPr>
      </w:pPr>
      <w:r w:rsidRPr="00F64276">
        <w:rPr>
          <w:rFonts w:ascii="Arial" w:hAnsi="Arial" w:cs="Arial"/>
          <w:sz w:val="18"/>
          <w:szCs w:val="18"/>
        </w:rPr>
        <w:t xml:space="preserve">3. Contrato de prestación de servicios. </w:t>
      </w:r>
    </w:p>
    <w:p w14:paraId="28DAFF70" w14:textId="77777777" w:rsidR="00577EB7" w:rsidRPr="00F64276" w:rsidRDefault="00577EB7" w:rsidP="00F64276">
      <w:pPr>
        <w:pStyle w:val="Textonotapie"/>
        <w:ind w:firstLine="708"/>
        <w:jc w:val="both"/>
        <w:rPr>
          <w:rFonts w:ascii="Arial" w:hAnsi="Arial" w:cs="Arial"/>
          <w:sz w:val="18"/>
          <w:szCs w:val="18"/>
        </w:rPr>
      </w:pPr>
      <w:r w:rsidRPr="00F64276">
        <w:rPr>
          <w:rFonts w:ascii="Arial" w:hAnsi="Arial" w:cs="Arial"/>
          <w:sz w:val="18"/>
          <w:szCs w:val="18"/>
        </w:rPr>
        <w:t xml:space="preserve">Son contratos de prestación de servicios los que celebren las entidades estatales para desarrollar actividades relacionadas con la administración o funcionamiento de la entidad. Estos contratos sólo podrán celebrarse con personas naturales o jurídicas cuando dichas actividades no puedan realizarse con personal de planta o requieran conocimientos especializados. </w:t>
      </w:r>
    </w:p>
    <w:p w14:paraId="1E2D16CC" w14:textId="51EE995C" w:rsidR="00577EB7" w:rsidRPr="00F64276" w:rsidRDefault="00577EB7" w:rsidP="00F64276">
      <w:pPr>
        <w:pStyle w:val="Textonotapie"/>
        <w:ind w:firstLine="708"/>
        <w:jc w:val="both"/>
        <w:rPr>
          <w:rFonts w:ascii="Arial" w:hAnsi="Arial" w:cs="Arial"/>
          <w:sz w:val="18"/>
          <w:szCs w:val="18"/>
        </w:rPr>
      </w:pPr>
      <w:r w:rsidRPr="00F64276">
        <w:rPr>
          <w:rFonts w:ascii="Arial" w:hAnsi="Arial" w:cs="Arial"/>
          <w:sz w:val="18"/>
          <w:szCs w:val="18"/>
        </w:rPr>
        <w:t xml:space="preserve"> Estos contratos no generan en ningún caso relación laboral ni prestaciones sociales. Los contratos a que se refiere este </w:t>
      </w:r>
      <w:r w:rsidR="003F37EF" w:rsidRPr="00F64276">
        <w:rPr>
          <w:rFonts w:ascii="Arial" w:hAnsi="Arial" w:cs="Arial"/>
          <w:sz w:val="18"/>
          <w:szCs w:val="18"/>
        </w:rPr>
        <w:t>ordinal</w:t>
      </w:r>
      <w:r w:rsidRPr="00F64276">
        <w:rPr>
          <w:rFonts w:ascii="Arial" w:hAnsi="Arial" w:cs="Arial"/>
          <w:sz w:val="18"/>
          <w:szCs w:val="18"/>
        </w:rPr>
        <w:t xml:space="preserve"> se celebrarán por el término estrictamente indispensable. </w:t>
      </w:r>
    </w:p>
    <w:p w14:paraId="7DCC1B89" w14:textId="236C1A0A" w:rsidR="00577EB7" w:rsidRPr="00F64276" w:rsidRDefault="00577EB7" w:rsidP="00F64276">
      <w:pPr>
        <w:pStyle w:val="Textonotapie"/>
        <w:ind w:firstLine="708"/>
        <w:jc w:val="both"/>
        <w:rPr>
          <w:rFonts w:ascii="Arial" w:hAnsi="Arial" w:cs="Arial"/>
          <w:sz w:val="18"/>
          <w:szCs w:val="18"/>
        </w:rPr>
      </w:pPr>
      <w:r w:rsidRPr="00F64276">
        <w:rPr>
          <w:rFonts w:ascii="Arial" w:hAnsi="Arial" w:cs="Arial"/>
          <w:sz w:val="18"/>
          <w:szCs w:val="18"/>
        </w:rPr>
        <w:t xml:space="preserve">Parágrafo 1. A los contratos de consultoría, de prestación de servicios o de asesoría de cualquier clase, deberá anexarse certificación expedida por el jefe de la entidad, acerca de la inexistencia de personal de planta para desarrollar las actividades que se pretendan contratar”. </w:t>
      </w:r>
    </w:p>
    <w:p w14:paraId="0C9172AB" w14:textId="1A4958C6" w:rsidR="00577EB7" w:rsidRPr="00F64276" w:rsidRDefault="00577EB7" w:rsidP="00F64276">
      <w:pPr>
        <w:pStyle w:val="Textonotapie"/>
        <w:ind w:firstLine="708"/>
        <w:jc w:val="both"/>
        <w:rPr>
          <w:rFonts w:ascii="Arial" w:hAnsi="Arial" w:cs="Arial"/>
          <w:sz w:val="18"/>
          <w:szCs w:val="18"/>
          <w:lang w:val="es-CO"/>
        </w:rPr>
      </w:pPr>
      <w:r w:rsidRPr="00F64276">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FDA"/>
    <w:rsid w:val="00083334"/>
    <w:rsid w:val="000956CF"/>
    <w:rsid w:val="000A683E"/>
    <w:rsid w:val="000B3C96"/>
    <w:rsid w:val="0011595A"/>
    <w:rsid w:val="001220C5"/>
    <w:rsid w:val="001267F7"/>
    <w:rsid w:val="00127233"/>
    <w:rsid w:val="00130999"/>
    <w:rsid w:val="00164D81"/>
    <w:rsid w:val="001A1011"/>
    <w:rsid w:val="001A48D0"/>
    <w:rsid w:val="001F5E5D"/>
    <w:rsid w:val="002653C1"/>
    <w:rsid w:val="0026611D"/>
    <w:rsid w:val="002951A0"/>
    <w:rsid w:val="002A64FD"/>
    <w:rsid w:val="002F0839"/>
    <w:rsid w:val="002F20E9"/>
    <w:rsid w:val="00301469"/>
    <w:rsid w:val="00306EE1"/>
    <w:rsid w:val="00310B9B"/>
    <w:rsid w:val="00343749"/>
    <w:rsid w:val="0036461C"/>
    <w:rsid w:val="00367884"/>
    <w:rsid w:val="0039439C"/>
    <w:rsid w:val="003B69E7"/>
    <w:rsid w:val="003C013B"/>
    <w:rsid w:val="003D0F4D"/>
    <w:rsid w:val="003D4FBA"/>
    <w:rsid w:val="003F37EF"/>
    <w:rsid w:val="003F58A1"/>
    <w:rsid w:val="00410DD6"/>
    <w:rsid w:val="004134C9"/>
    <w:rsid w:val="0043138C"/>
    <w:rsid w:val="00462A59"/>
    <w:rsid w:val="00487856"/>
    <w:rsid w:val="004A1847"/>
    <w:rsid w:val="004B6B0E"/>
    <w:rsid w:val="004D25B3"/>
    <w:rsid w:val="004F09A4"/>
    <w:rsid w:val="00511405"/>
    <w:rsid w:val="00526E9D"/>
    <w:rsid w:val="0053285C"/>
    <w:rsid w:val="00547856"/>
    <w:rsid w:val="00547A74"/>
    <w:rsid w:val="005566E8"/>
    <w:rsid w:val="005658FC"/>
    <w:rsid w:val="005746AB"/>
    <w:rsid w:val="00577EB7"/>
    <w:rsid w:val="0058573F"/>
    <w:rsid w:val="0059357F"/>
    <w:rsid w:val="005A1130"/>
    <w:rsid w:val="005D2271"/>
    <w:rsid w:val="005D65C8"/>
    <w:rsid w:val="005D799C"/>
    <w:rsid w:val="006219F8"/>
    <w:rsid w:val="00634E3F"/>
    <w:rsid w:val="006758A5"/>
    <w:rsid w:val="00681FDB"/>
    <w:rsid w:val="006A2552"/>
    <w:rsid w:val="006A5AF9"/>
    <w:rsid w:val="006A7DAD"/>
    <w:rsid w:val="006D70BA"/>
    <w:rsid w:val="00724B39"/>
    <w:rsid w:val="00734CD0"/>
    <w:rsid w:val="007566FE"/>
    <w:rsid w:val="0076726F"/>
    <w:rsid w:val="0077144B"/>
    <w:rsid w:val="0078485F"/>
    <w:rsid w:val="00793403"/>
    <w:rsid w:val="007C0CDF"/>
    <w:rsid w:val="007D0A3A"/>
    <w:rsid w:val="007E2A2F"/>
    <w:rsid w:val="007F2B7C"/>
    <w:rsid w:val="007F7E76"/>
    <w:rsid w:val="00811651"/>
    <w:rsid w:val="00820F5B"/>
    <w:rsid w:val="00833452"/>
    <w:rsid w:val="008614E5"/>
    <w:rsid w:val="008678EB"/>
    <w:rsid w:val="00875894"/>
    <w:rsid w:val="00881C10"/>
    <w:rsid w:val="00890411"/>
    <w:rsid w:val="008921EC"/>
    <w:rsid w:val="00893663"/>
    <w:rsid w:val="008D5C70"/>
    <w:rsid w:val="009025AF"/>
    <w:rsid w:val="00904F23"/>
    <w:rsid w:val="00906B3C"/>
    <w:rsid w:val="0095342C"/>
    <w:rsid w:val="0099081D"/>
    <w:rsid w:val="009B7B13"/>
    <w:rsid w:val="009F33F2"/>
    <w:rsid w:val="009F6C77"/>
    <w:rsid w:val="00A07532"/>
    <w:rsid w:val="00A1085C"/>
    <w:rsid w:val="00A309E2"/>
    <w:rsid w:val="00A8066E"/>
    <w:rsid w:val="00A941E1"/>
    <w:rsid w:val="00AA4B8A"/>
    <w:rsid w:val="00AA6BF7"/>
    <w:rsid w:val="00AE4A71"/>
    <w:rsid w:val="00AF4030"/>
    <w:rsid w:val="00B01ED6"/>
    <w:rsid w:val="00B06D09"/>
    <w:rsid w:val="00B771A9"/>
    <w:rsid w:val="00B809BB"/>
    <w:rsid w:val="00B8248A"/>
    <w:rsid w:val="00BB2AA9"/>
    <w:rsid w:val="00BB7726"/>
    <w:rsid w:val="00C2329E"/>
    <w:rsid w:val="00C30461"/>
    <w:rsid w:val="00C369B4"/>
    <w:rsid w:val="00C754BE"/>
    <w:rsid w:val="00C87572"/>
    <w:rsid w:val="00C9405D"/>
    <w:rsid w:val="00CA38C0"/>
    <w:rsid w:val="00CC1B26"/>
    <w:rsid w:val="00CD284F"/>
    <w:rsid w:val="00CE6BFB"/>
    <w:rsid w:val="00CF23AA"/>
    <w:rsid w:val="00D01921"/>
    <w:rsid w:val="00D752B7"/>
    <w:rsid w:val="00DA1854"/>
    <w:rsid w:val="00DB0887"/>
    <w:rsid w:val="00DB0DBE"/>
    <w:rsid w:val="00DD4C3B"/>
    <w:rsid w:val="00DE688E"/>
    <w:rsid w:val="00DF1E43"/>
    <w:rsid w:val="00E20894"/>
    <w:rsid w:val="00E26B7C"/>
    <w:rsid w:val="00E63B7C"/>
    <w:rsid w:val="00E661D2"/>
    <w:rsid w:val="00E66D4F"/>
    <w:rsid w:val="00EA3003"/>
    <w:rsid w:val="00EB3C91"/>
    <w:rsid w:val="00EB66DA"/>
    <w:rsid w:val="00EE36AD"/>
    <w:rsid w:val="00F041F7"/>
    <w:rsid w:val="00F1442E"/>
    <w:rsid w:val="00F605F2"/>
    <w:rsid w:val="00F64276"/>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E6BFB"/>
    <w:rPr>
      <w:rFonts w:ascii="Geomanist Light" w:hAnsi="Geomanist Light"/>
      <w:lang w:val="es-ES"/>
    </w:rPr>
  </w:style>
  <w:style w:type="paragraph" w:styleId="Textoindependiente">
    <w:name w:val="Body Text"/>
    <w:basedOn w:val="Normal"/>
    <w:link w:val="TextoindependienteCar"/>
    <w:uiPriority w:val="1"/>
    <w:qFormat/>
    <w:rsid w:val="00CE6BFB"/>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CE6BFB"/>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CE6BFB"/>
    <w:pPr>
      <w:spacing w:line="240" w:lineRule="exact"/>
    </w:pPr>
    <w:rPr>
      <w:vertAlign w:val="superscript"/>
    </w:rPr>
  </w:style>
  <w:style w:type="paragraph" w:styleId="NormalWeb">
    <w:name w:val="Normal (Web)"/>
    <w:basedOn w:val="Normal"/>
    <w:link w:val="NormalWebCar"/>
    <w:uiPriority w:val="99"/>
    <w:unhideWhenUsed/>
    <w:rsid w:val="00CE6BF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eop">
    <w:name w:val="eop"/>
    <w:basedOn w:val="Fuentedeprrafopredeter"/>
    <w:rsid w:val="00CE6BFB"/>
  </w:style>
  <w:style w:type="character" w:customStyle="1" w:styleId="NormalWebCar">
    <w:name w:val="Normal (Web) Car"/>
    <w:link w:val="NormalWeb"/>
    <w:uiPriority w:val="99"/>
    <w:rsid w:val="00CE6BFB"/>
    <w:rPr>
      <w:rFonts w:ascii="Times New Roman" w:eastAsia="Times New Roman" w:hAnsi="Times New Roman" w:cs="Times New Roman"/>
      <w:sz w:val="24"/>
      <w:szCs w:val="24"/>
      <w:lang w:eastAsia="es-MX"/>
    </w:rPr>
  </w:style>
  <w:style w:type="paragraph" w:customStyle="1" w:styleId="xmsonospacing">
    <w:name w:val="x_msonospacing"/>
    <w:basedOn w:val="Normal"/>
    <w:rsid w:val="00CE6BF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aj">
    <w:name w:val="b_aj"/>
    <w:basedOn w:val="Fuentedeprrafopredeter"/>
    <w:rsid w:val="00CE6BFB"/>
  </w:style>
  <w:style w:type="character" w:styleId="Hipervnculo">
    <w:name w:val="Hyperlink"/>
    <w:basedOn w:val="Fuentedeprrafopredeter"/>
    <w:uiPriority w:val="99"/>
    <w:unhideWhenUsed/>
    <w:rsid w:val="00CE6BFB"/>
    <w:rPr>
      <w:color w:val="0000FF"/>
      <w:u w:val="single"/>
    </w:rPr>
  </w:style>
  <w:style w:type="character" w:styleId="Textoennegrita">
    <w:name w:val="Strong"/>
    <w:uiPriority w:val="22"/>
    <w:qFormat/>
    <w:rsid w:val="00CE6B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88570">
      <w:bodyDiv w:val="1"/>
      <w:marLeft w:val="0"/>
      <w:marRight w:val="0"/>
      <w:marTop w:val="0"/>
      <w:marBottom w:val="0"/>
      <w:divBdr>
        <w:top w:val="none" w:sz="0" w:space="0" w:color="auto"/>
        <w:left w:val="none" w:sz="0" w:space="0" w:color="auto"/>
        <w:bottom w:val="none" w:sz="0" w:space="0" w:color="auto"/>
        <w:right w:val="none" w:sz="0" w:space="0" w:color="auto"/>
      </w:divBdr>
    </w:div>
    <w:div w:id="1785073980">
      <w:bodyDiv w:val="1"/>
      <w:marLeft w:val="0"/>
      <w:marRight w:val="0"/>
      <w:marTop w:val="0"/>
      <w:marBottom w:val="0"/>
      <w:divBdr>
        <w:top w:val="none" w:sz="0" w:space="0" w:color="auto"/>
        <w:left w:val="none" w:sz="0" w:space="0" w:color="auto"/>
        <w:bottom w:val="none" w:sz="0" w:space="0" w:color="auto"/>
        <w:right w:val="none" w:sz="0" w:space="0" w:color="auto"/>
      </w:divBdr>
    </w:div>
    <w:div w:id="203118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A162C1DA-3FA2-45AE-932A-013776F67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22</Pages>
  <Words>8092</Words>
  <Characters>44512</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6</cp:revision>
  <dcterms:created xsi:type="dcterms:W3CDTF">2023-06-20T15:22:00Z</dcterms:created>
  <dcterms:modified xsi:type="dcterms:W3CDTF">2023-07-05T15:08:00Z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