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9F7A69" w:rsidR="00B74AE9" w:rsidP="00B74AE9" w:rsidRDefault="00B74AE9" w14:paraId="1E61A2DB" w14:textId="77777777">
      <w:pPr>
        <w:spacing w:after="0" w:line="240" w:lineRule="auto"/>
        <w:contextualSpacing/>
        <w:jc w:val="both"/>
        <w:rPr>
          <w:rFonts w:ascii="Century Gothic" w:hAnsi="Century Gothic" w:eastAsia="Calibri" w:cs="Arial"/>
          <w:b/>
          <w:lang w:val="es-ES_tradnl" w:eastAsia="es-ES_tradnl"/>
        </w:rPr>
      </w:pPr>
      <w:r w:rsidRPr="009F7A69">
        <w:rPr>
          <w:rFonts w:ascii="Century Gothic" w:hAnsi="Century Gothic" w:eastAsia="Calibri" w:cs="Arial"/>
          <w:b/>
          <w:lang w:val="es-ES_tradnl" w:eastAsia="es-ES_tradnl"/>
        </w:rPr>
        <w:t>SOCIEDADES PÚBLICAS – Naturaleza – Régimen jurídico</w:t>
      </w:r>
    </w:p>
    <w:p w:rsidR="00B74AE9" w:rsidP="00B74AE9" w:rsidRDefault="00B74AE9" w14:paraId="22B16E79" w14:textId="77777777">
      <w:pPr>
        <w:spacing w:after="0" w:line="240" w:lineRule="auto"/>
        <w:contextualSpacing/>
        <w:jc w:val="both"/>
        <w:rPr>
          <w:rFonts w:ascii="Century Gothic" w:hAnsi="Century Gothic" w:eastAsia="Times New Roman" w:cs="Times New Roman"/>
          <w:color w:val="000000" w:themeColor="text1"/>
          <w:sz w:val="20"/>
          <w:szCs w:val="20"/>
          <w:lang w:eastAsia="es-ES_tradnl"/>
        </w:rPr>
      </w:pPr>
    </w:p>
    <w:p w:rsidRPr="00C93210" w:rsidR="00B74AE9" w:rsidP="00B74AE9" w:rsidRDefault="00B74AE9" w14:paraId="0BE7D34E" w14:textId="77777777">
      <w:pPr>
        <w:spacing w:after="0" w:line="240" w:lineRule="auto"/>
        <w:contextualSpacing/>
        <w:jc w:val="both"/>
        <w:rPr>
          <w:rFonts w:ascii="Century Gothic" w:hAnsi="Century Gothic" w:eastAsia="Times New Roman" w:cs="Times New Roman"/>
          <w:color w:val="000000" w:themeColor="text1"/>
          <w:sz w:val="20"/>
          <w:szCs w:val="20"/>
          <w:lang w:eastAsia="es-ES_tradnl"/>
        </w:rPr>
      </w:pPr>
      <w:r w:rsidRPr="00C93210">
        <w:rPr>
          <w:rFonts w:ascii="Century Gothic" w:hAnsi="Century Gothic" w:eastAsia="Times New Roman" w:cs="Times New Roman"/>
          <w:color w:val="000000" w:themeColor="text1"/>
          <w:sz w:val="20"/>
          <w:szCs w:val="20"/>
          <w:lang w:eastAsia="es-ES_tradnl"/>
        </w:rPr>
        <w:t xml:space="preserve">La rama ejecutiva del poder público en el orden nacional está integrada, entre otras, por los organismos y entidades relacionados en el artículo 38 de la Ley 489 de 1998, entre la cuales se encuentran las sociedades públicas – a las cuales hace referencia en su consulta. </w:t>
      </w:r>
    </w:p>
    <w:p w:rsidR="00B74AE9" w:rsidP="00B74AE9" w:rsidRDefault="00B74AE9" w14:paraId="57A2056A" w14:textId="77777777">
      <w:pPr>
        <w:spacing w:after="0" w:line="240" w:lineRule="auto"/>
        <w:contextualSpacing/>
        <w:jc w:val="both"/>
        <w:rPr>
          <w:rFonts w:ascii="Century Gothic" w:hAnsi="Century Gothic" w:eastAsia="Times New Roman" w:cs="Times New Roman"/>
          <w:color w:val="000000" w:themeColor="text1"/>
          <w:sz w:val="20"/>
          <w:szCs w:val="20"/>
          <w:lang w:eastAsia="es-ES_tradnl"/>
        </w:rPr>
      </w:pPr>
    </w:p>
    <w:p w:rsidRPr="00C93210" w:rsidR="00B74AE9" w:rsidP="00B74AE9" w:rsidRDefault="00B74AE9" w14:paraId="7DB6A88B" w14:textId="77777777">
      <w:pPr>
        <w:spacing w:after="0" w:line="240" w:lineRule="auto"/>
        <w:contextualSpacing/>
        <w:jc w:val="both"/>
        <w:rPr>
          <w:rFonts w:ascii="Century Gothic" w:hAnsi="Century Gothic" w:eastAsia="Times New Roman" w:cs="Times New Roman"/>
          <w:color w:val="000000" w:themeColor="text1"/>
          <w:sz w:val="20"/>
          <w:szCs w:val="20"/>
          <w:lang w:eastAsia="es-ES_tradnl"/>
        </w:rPr>
      </w:pPr>
      <w:r w:rsidRPr="00C93210">
        <w:rPr>
          <w:rFonts w:ascii="Century Gothic" w:hAnsi="Century Gothic" w:eastAsia="Times New Roman" w:cs="Times New Roman"/>
          <w:color w:val="000000" w:themeColor="text1"/>
          <w:sz w:val="20"/>
          <w:szCs w:val="20"/>
          <w:lang w:eastAsia="es-ES_tradnl"/>
        </w:rPr>
        <w:t xml:space="preserve">De conformidad con el parágrafo 1ª del artículo antes citado, las sociedades públicas, en las que el Estado posea el noventa por ciento (90%) o más de su capital social, se someten al régimen previsto para las empresas industriales y comerciales del Estado. De acuerdo con el artículo 93 </w:t>
      </w:r>
      <w:proofErr w:type="spellStart"/>
      <w:r w:rsidRPr="00C93210">
        <w:rPr>
          <w:rFonts w:ascii="Century Gothic" w:hAnsi="Century Gothic" w:eastAsia="Times New Roman" w:cs="Times New Roman"/>
          <w:color w:val="000000" w:themeColor="text1"/>
          <w:sz w:val="20"/>
          <w:szCs w:val="20"/>
          <w:lang w:eastAsia="es-ES_tradnl"/>
        </w:rPr>
        <w:t>ibídem</w:t>
      </w:r>
      <w:proofErr w:type="spellEnd"/>
      <w:r w:rsidRPr="00C93210">
        <w:rPr>
          <w:rFonts w:ascii="Century Gothic" w:hAnsi="Century Gothic" w:eastAsia="Times New Roman" w:cs="Times New Roman"/>
          <w:color w:val="000000" w:themeColor="text1"/>
          <w:sz w:val="20"/>
          <w:szCs w:val="20"/>
          <w:lang w:eastAsia="es-ES_tradnl"/>
        </w:rPr>
        <w:t>, l</w:t>
      </w:r>
      <w:r w:rsidRPr="00C93210">
        <w:rPr>
          <w:rFonts w:ascii="Century Gothic" w:hAnsi="Century Gothic" w:eastAsia="Times New Roman" w:cs="Open Sans"/>
          <w:color w:val="000000" w:themeColor="text1"/>
          <w:sz w:val="20"/>
          <w:szCs w:val="20"/>
          <w:lang w:eastAsia="es-ES_tradnl"/>
        </w:rPr>
        <w:t xml:space="preserve">os actos que expidan las empresas industriales y comerciales del Estado para el desarrollo de su actividad propia, industrial o comercial o de gestión económica se sujetarán a las disposiciones del derecho privado. </w:t>
      </w:r>
      <w:r w:rsidRPr="00C93210">
        <w:rPr>
          <w:rFonts w:ascii="Century Gothic" w:hAnsi="Century Gothic" w:eastAsia="Times New Roman" w:cs="Times New Roman"/>
          <w:color w:val="000000" w:themeColor="text1"/>
          <w:sz w:val="20"/>
          <w:szCs w:val="20"/>
          <w:lang w:eastAsia="es-ES_tradnl"/>
        </w:rPr>
        <w:t>Es decir, que para el caso de las sociedades públicas los actos que ejecute para el desarrollo de su actividad propia, industrial o comercial o de gestión económica se sujetarán a las disposiciones del derecho privado, de conformidad con el parágrafo 1ª del artículo 38 de la Ley 489 de 1998, en consonancia con el artículo 93 de la misma Ley.</w:t>
      </w:r>
    </w:p>
    <w:p w:rsidR="00B74AE9" w:rsidP="00B74AE9" w:rsidRDefault="00B74AE9" w14:paraId="636CD20F" w14:textId="77777777">
      <w:pPr>
        <w:spacing w:after="0" w:line="240" w:lineRule="auto"/>
        <w:contextualSpacing/>
        <w:jc w:val="both"/>
        <w:rPr>
          <w:rFonts w:ascii="Century Gothic" w:hAnsi="Century Gothic" w:eastAsia="Times New Roman" w:cs="Times New Roman"/>
          <w:sz w:val="20"/>
          <w:szCs w:val="20"/>
          <w:lang w:eastAsia="es-ES_tradnl"/>
        </w:rPr>
      </w:pPr>
    </w:p>
    <w:p w:rsidRPr="00C93210" w:rsidR="00B74AE9" w:rsidP="00B74AE9" w:rsidRDefault="00B74AE9" w14:paraId="60C36323" w14:textId="77777777">
      <w:pPr>
        <w:spacing w:after="0" w:line="240" w:lineRule="auto"/>
        <w:contextualSpacing/>
        <w:jc w:val="both"/>
        <w:rPr>
          <w:rFonts w:ascii="Century Gothic" w:hAnsi="Century Gothic" w:eastAsia="Times New Roman" w:cs="Times New Roman"/>
          <w:sz w:val="20"/>
          <w:szCs w:val="20"/>
          <w:lang w:eastAsia="es-ES_tradnl"/>
        </w:rPr>
      </w:pPr>
      <w:r w:rsidRPr="00C93210">
        <w:rPr>
          <w:rFonts w:ascii="Century Gothic" w:hAnsi="Century Gothic" w:eastAsia="Times New Roman" w:cs="Times New Roman"/>
          <w:sz w:val="20"/>
          <w:szCs w:val="20"/>
          <w:lang w:eastAsia="es-ES_tradnl"/>
        </w:rPr>
        <w:t>[…] Conforme las anteriores consideraciones, es posible concluir que, las sociedades públicas o las sociedades entre Entidades Públicas que se crean con el fin de desarrollar actividades de naturaleza industrial o comercial son un tipo de entidad diferente a las empresas industriales y comerciales del Estado y a las sociedades de economía mixta, cuyo régimen jurídico se sujeta a las disposiciones del derecho privado.</w:t>
      </w:r>
    </w:p>
    <w:p w:rsidRPr="00C93210" w:rsidR="00B74AE9" w:rsidP="00B74AE9" w:rsidRDefault="00B74AE9" w14:paraId="42BF1FD0" w14:textId="77777777">
      <w:pPr>
        <w:spacing w:after="0" w:line="240" w:lineRule="auto"/>
        <w:contextualSpacing/>
        <w:jc w:val="both"/>
        <w:rPr>
          <w:rFonts w:ascii="Century Gothic" w:hAnsi="Century Gothic" w:eastAsia="Calibri" w:cs="Arial"/>
          <w:bCs/>
          <w:sz w:val="20"/>
          <w:szCs w:val="20"/>
          <w:lang w:eastAsia="es-ES_tradnl"/>
        </w:rPr>
      </w:pPr>
    </w:p>
    <w:p w:rsidRPr="009F7A69" w:rsidR="00B74AE9" w:rsidP="00B74AE9" w:rsidRDefault="009F7A69" w14:paraId="39345032" w14:textId="521657BC">
      <w:pPr>
        <w:spacing w:after="0" w:line="240" w:lineRule="auto"/>
        <w:contextualSpacing/>
        <w:jc w:val="both"/>
        <w:rPr>
          <w:rFonts w:ascii="Century Gothic" w:hAnsi="Century Gothic" w:eastAsia="Times New Roman" w:cs="Arial"/>
          <w:b/>
          <w:bCs/>
          <w:lang w:eastAsia="es-ES_tradnl"/>
        </w:rPr>
      </w:pPr>
      <w:r w:rsidRPr="009F7A69">
        <w:rPr>
          <w:rFonts w:ascii="Century Gothic" w:hAnsi="Century Gothic" w:eastAsia="Times New Roman" w:cs="Arial"/>
          <w:b/>
          <w:bCs/>
          <w:lang w:eastAsia="es-ES_tradnl"/>
        </w:rPr>
        <w:t xml:space="preserve">DOCUMENTOS </w:t>
      </w:r>
      <w:r w:rsidRPr="009F7A69" w:rsidR="00B74AE9">
        <w:rPr>
          <w:rFonts w:ascii="Century Gothic" w:hAnsi="Century Gothic" w:eastAsia="Times New Roman" w:cs="Arial"/>
          <w:b/>
          <w:bCs/>
          <w:lang w:eastAsia="es-ES_tradnl"/>
        </w:rPr>
        <w:t xml:space="preserve">TIPO – Fundamento normativo – Obligatoriedad – Ámbito de aplicación – Entidades sometidas  </w:t>
      </w:r>
    </w:p>
    <w:p w:rsidRPr="00C93210" w:rsidR="00B74AE9" w:rsidP="00B74AE9" w:rsidRDefault="00B74AE9" w14:paraId="26F55BA4" w14:textId="77777777">
      <w:pPr>
        <w:spacing w:after="0" w:line="240" w:lineRule="auto"/>
        <w:contextualSpacing/>
        <w:jc w:val="both"/>
        <w:rPr>
          <w:rFonts w:ascii="Century Gothic" w:hAnsi="Century Gothic" w:eastAsia="Times New Roman" w:cs="Arial"/>
          <w:b/>
          <w:bCs/>
          <w:sz w:val="20"/>
          <w:szCs w:val="20"/>
          <w:lang w:eastAsia="es-ES_tradnl"/>
        </w:rPr>
      </w:pPr>
    </w:p>
    <w:p w:rsidRPr="00C93210" w:rsidR="00B74AE9" w:rsidP="00B74AE9" w:rsidRDefault="00B74AE9" w14:paraId="2DC97560" w14:textId="77777777">
      <w:pPr>
        <w:spacing w:after="0" w:line="240" w:lineRule="auto"/>
        <w:contextualSpacing/>
        <w:jc w:val="both"/>
        <w:rPr>
          <w:rFonts w:ascii="Century Gothic" w:hAnsi="Century Gothic" w:eastAsia="Calibri" w:cs="Arial"/>
          <w:sz w:val="20"/>
          <w:szCs w:val="20"/>
          <w:lang w:val="es-ES_tradnl" w:eastAsia="es-ES"/>
        </w:rPr>
      </w:pPr>
      <w:r w:rsidRPr="00C93210">
        <w:rPr>
          <w:rFonts w:ascii="Century Gothic" w:hAnsi="Century Gothic" w:eastAsia="Calibri"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C93210">
        <w:rPr>
          <w:rFonts w:ascii="Century Gothic" w:hAnsi="Century Gothic" w:eastAsia="Calibri" w:cs="Arial"/>
          <w:bCs/>
          <w:sz w:val="20"/>
          <w:szCs w:val="20"/>
          <w:lang w:val="es-ES_tradnl" w:eastAsia="es-ES_tradnl"/>
        </w:rPr>
        <w:t>EGCAP</w:t>
      </w:r>
      <w:r w:rsidRPr="00C93210">
        <w:rPr>
          <w:rFonts w:ascii="Century Gothic" w:hAnsi="Century Gothic" w:eastAsia="Calibri" w:cs="Arial"/>
          <w:sz w:val="20"/>
          <w:szCs w:val="20"/>
          <w:lang w:val="es-ES_tradnl" w:eastAsia="es-ES"/>
        </w:rPr>
        <w:t xml:space="preserve">, se atribuyó a la </w:t>
      </w:r>
      <w:r w:rsidRPr="00C93210">
        <w:rPr>
          <w:rFonts w:ascii="Century Gothic" w:hAnsi="Century Gothic" w:eastAsia="Calibri" w:cs="Arial"/>
          <w:sz w:val="20"/>
          <w:szCs w:val="20"/>
          <w:lang w:val="es-ES_tradnl" w:eastAsia="es-ES_tradnl"/>
        </w:rPr>
        <w:t xml:space="preserve">Agencia Nacional de Contratación Pública – Colombia Compra Eficiente la competencia para su expedición. </w:t>
      </w:r>
      <w:r w:rsidRPr="00C93210">
        <w:rPr>
          <w:rFonts w:ascii="Century Gothic" w:hAnsi="Century Gothic" w:eastAsia="Calibri" w:cs="Arial"/>
          <w:sz w:val="20"/>
          <w:szCs w:val="20"/>
          <w:lang w:val="es-ES_tradnl" w:eastAsia="es-ES"/>
        </w:rPr>
        <w:t xml:space="preserve">En este marco, con la finalidad de realizar un desarrollo armónico y ajustado de la ley que le otorga la mencionada competencia, esta Agencia expidió la Resolución 160 del 15 de septiembre de 2020, </w:t>
      </w:r>
      <w:r w:rsidRPr="00C93210">
        <w:rPr>
          <w:rFonts w:ascii="Century Gothic" w:hAnsi="Century Gothic" w:eastAsia="Calibri" w:cs="Arial"/>
          <w:i/>
          <w:iCs/>
          <w:sz w:val="20"/>
          <w:szCs w:val="20"/>
          <w:lang w:val="es-ES_tradnl" w:eastAsia="es-ES"/>
        </w:rPr>
        <w:t>“Por la cual se adopta el procedimiento para implementar los documentos tipo y se define el sistema para su revisión”.</w:t>
      </w:r>
    </w:p>
    <w:p w:rsidRPr="00C93210" w:rsidR="00B74AE9" w:rsidP="00B74AE9" w:rsidRDefault="00B74AE9" w14:paraId="24A8B2B4" w14:textId="77777777">
      <w:pPr>
        <w:spacing w:after="0" w:line="240" w:lineRule="auto"/>
        <w:contextualSpacing/>
        <w:jc w:val="both"/>
        <w:rPr>
          <w:rFonts w:ascii="Century Gothic" w:hAnsi="Century Gothic" w:eastAsia="Calibri" w:cs="Arial"/>
          <w:sz w:val="20"/>
          <w:szCs w:val="20"/>
          <w:lang w:val="es-ES_tradnl" w:eastAsia="es-ES"/>
        </w:rPr>
      </w:pPr>
    </w:p>
    <w:p w:rsidRPr="00C93210" w:rsidR="00B74AE9" w:rsidP="00B74AE9" w:rsidRDefault="00B74AE9" w14:paraId="76DC5A29" w14:textId="77777777">
      <w:pPr>
        <w:spacing w:after="0" w:line="240" w:lineRule="auto"/>
        <w:contextualSpacing/>
        <w:jc w:val="both"/>
        <w:rPr>
          <w:rFonts w:ascii="Century Gothic" w:hAnsi="Century Gothic" w:eastAsia="Calibri" w:cs="Arial"/>
          <w:sz w:val="20"/>
          <w:szCs w:val="20"/>
        </w:rPr>
      </w:pPr>
      <w:r w:rsidRPr="00C93210">
        <w:rPr>
          <w:rFonts w:ascii="Century Gothic" w:hAnsi="Century Gothic" w:eastAsia="Calibri" w:cs="Arial"/>
          <w:sz w:val="20"/>
          <w:szCs w:val="20"/>
          <w:lang w:eastAsia="es-ES_tradnl"/>
        </w:rPr>
        <w:t xml:space="preserve">De acuerdo con lo expuesto, </w:t>
      </w:r>
      <w:r w:rsidRPr="00C93210">
        <w:rPr>
          <w:rFonts w:ascii="Century Gothic" w:hAnsi="Century Gothic" w:eastAsia="Calibri" w:cs="Arial"/>
          <w:sz w:val="20"/>
          <w:szCs w:val="20"/>
          <w:bdr w:val="none" w:color="auto" w:sz="0" w:space="0" w:frame="1"/>
          <w:lang w:eastAsia="es-ES_tradnl"/>
        </w:rPr>
        <w:t xml:space="preserve">los Documentos Tipo adoptados son obligatorios para las Entidades Estatales regidas por el </w:t>
      </w:r>
      <w:r w:rsidRPr="00C93210">
        <w:rPr>
          <w:rFonts w:ascii="Century Gothic" w:hAnsi="Century Gothic" w:eastAsia="Calibri" w:cs="Arial"/>
          <w:bCs/>
          <w:sz w:val="20"/>
          <w:szCs w:val="20"/>
          <w:lang w:val="es-ES_tradnl" w:eastAsia="es-ES_tradnl"/>
        </w:rPr>
        <w:t>EGCAP</w:t>
      </w:r>
      <w:r w:rsidRPr="00C93210">
        <w:rPr>
          <w:rFonts w:ascii="Century Gothic" w:hAnsi="Century Gothic" w:eastAsia="Calibri" w:cs="Arial"/>
          <w:sz w:val="20"/>
          <w:szCs w:val="20"/>
          <w:bdr w:val="none" w:color="auto" w:sz="0" w:space="0" w:frame="1"/>
          <w:lang w:eastAsia="es-ES_tradnl"/>
        </w:rPr>
        <w:t xml:space="preserve"> que adelanten Procesos de Contratación mediante las modalidades de selección y objetos contractuales cobijados por alguno de los Documentos Tipo vigentes en los diferentes sectores. </w:t>
      </w:r>
      <w:r w:rsidRPr="00C93210">
        <w:rPr>
          <w:rFonts w:ascii="Century Gothic" w:hAnsi="Century Gothic" w:eastAsia="Calibri" w:cs="Arial"/>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rsidRPr="00C93210" w:rsidR="00B74AE9" w:rsidP="00B74AE9" w:rsidRDefault="00B74AE9" w14:paraId="7E7BCEA0" w14:textId="77777777">
      <w:pPr>
        <w:spacing w:after="0" w:line="240" w:lineRule="auto"/>
        <w:contextualSpacing/>
        <w:jc w:val="both"/>
        <w:rPr>
          <w:rFonts w:ascii="Century Gothic" w:hAnsi="Century Gothic" w:eastAsia="Times New Roman" w:cs="Arial"/>
          <w:noProof/>
          <w:sz w:val="20"/>
          <w:szCs w:val="20"/>
          <w:lang w:val="es-ES_tradnl" w:eastAsia="es-ES_tradnl"/>
        </w:rPr>
      </w:pPr>
    </w:p>
    <w:p w:rsidRPr="009F7A69" w:rsidR="00B74AE9" w:rsidP="00B74AE9" w:rsidRDefault="00B74AE9" w14:paraId="6EB2DA84" w14:textId="77777777">
      <w:pPr>
        <w:spacing w:after="0" w:line="240" w:lineRule="auto"/>
        <w:contextualSpacing/>
        <w:jc w:val="both"/>
        <w:rPr>
          <w:rFonts w:ascii="Century Gothic" w:hAnsi="Century Gothic" w:eastAsia="Calibri" w:cs="Arial"/>
          <w:b/>
          <w:lang w:val="es-ES_tradnl" w:eastAsia="es-ES_tradnl"/>
        </w:rPr>
      </w:pPr>
      <w:r w:rsidRPr="009F7A69">
        <w:rPr>
          <w:rFonts w:ascii="Century Gothic" w:hAnsi="Century Gothic" w:eastAsia="Calibri" w:cs="Arial"/>
          <w:b/>
          <w:lang w:val="es-ES_tradnl" w:eastAsia="es-ES_tradnl"/>
        </w:rPr>
        <w:t xml:space="preserve">LEY 2195 DE 2022 – Artículo 56 – Ámbito de aplicación </w:t>
      </w:r>
    </w:p>
    <w:p w:rsidRPr="00C93210" w:rsidR="00B74AE9" w:rsidP="00B74AE9" w:rsidRDefault="00B74AE9" w14:paraId="5E75E6AC" w14:textId="77777777">
      <w:pPr>
        <w:spacing w:after="0" w:line="240" w:lineRule="auto"/>
        <w:contextualSpacing/>
        <w:jc w:val="both"/>
        <w:rPr>
          <w:rFonts w:ascii="Century Gothic" w:hAnsi="Century Gothic" w:eastAsia="Calibri" w:cs="Arial"/>
          <w:bCs/>
          <w:sz w:val="20"/>
          <w:szCs w:val="20"/>
          <w:lang w:val="es-ES_tradnl" w:eastAsia="es-ES_tradnl"/>
        </w:rPr>
      </w:pPr>
    </w:p>
    <w:p w:rsidRPr="00C93210" w:rsidR="00B74AE9" w:rsidP="00B74AE9" w:rsidRDefault="00B74AE9" w14:paraId="6C1F43E6"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r w:rsidRPr="00C93210">
        <w:rPr>
          <w:rFonts w:ascii="Century Gothic" w:hAnsi="Century Gothic" w:eastAsia="Calibri" w:cs="Arial"/>
          <w:bCs/>
          <w:sz w:val="20"/>
          <w:szCs w:val="20"/>
          <w:lang w:val="es-ES_tradnl" w:eastAsia="es-ES_tradnl"/>
        </w:rPr>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Por esto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rsidRPr="00C93210" w:rsidR="00B74AE9" w:rsidP="00B74AE9" w:rsidRDefault="00B74AE9" w14:paraId="067CD295" w14:textId="77777777">
      <w:pPr>
        <w:spacing w:after="0" w:line="240" w:lineRule="auto"/>
        <w:contextualSpacing/>
        <w:jc w:val="both"/>
        <w:rPr>
          <w:rFonts w:ascii="Century Gothic" w:hAnsi="Century Gothic" w:eastAsia="Times New Roman" w:cs="Arial"/>
          <w:sz w:val="20"/>
          <w:szCs w:val="20"/>
          <w:lang w:val="es-ES_tradnl" w:eastAsia="es-ES_tradnl"/>
        </w:rPr>
      </w:pPr>
    </w:p>
    <w:p w:rsidRPr="00C93210" w:rsidR="00B74AE9" w:rsidP="00B74AE9" w:rsidRDefault="00B74AE9" w14:paraId="7DA753B3" w14:textId="77777777">
      <w:pPr>
        <w:spacing w:after="0" w:line="240" w:lineRule="auto"/>
        <w:contextualSpacing/>
        <w:jc w:val="both"/>
        <w:rPr>
          <w:rFonts w:ascii="Century Gothic" w:hAnsi="Century Gothic" w:eastAsia="Calibri" w:cs="Arial"/>
          <w:sz w:val="20"/>
          <w:szCs w:val="20"/>
          <w:lang w:val="es-ES_tradnl" w:eastAsia="es-ES_tradnl"/>
        </w:rPr>
      </w:pPr>
      <w:r w:rsidRPr="00C93210">
        <w:rPr>
          <w:rFonts w:ascii="Century Gothic" w:hAnsi="Century Gothic" w:eastAsia="Times New Roman" w:cs="Arial"/>
          <w:sz w:val="20"/>
          <w:szCs w:val="20"/>
          <w:lang w:val="es-ES_tradnl" w:eastAsia="es-ES_tradnl"/>
        </w:rPr>
        <w:t>[…]</w:t>
      </w:r>
    </w:p>
    <w:p w:rsidRPr="00C93210" w:rsidR="00B74AE9" w:rsidP="00B74AE9" w:rsidRDefault="00B74AE9" w14:paraId="1742F55D" w14:textId="77777777">
      <w:pPr>
        <w:spacing w:after="0" w:line="240" w:lineRule="auto"/>
        <w:contextualSpacing/>
        <w:jc w:val="both"/>
        <w:rPr>
          <w:rFonts w:ascii="Century Gothic" w:hAnsi="Century Gothic" w:eastAsia="Calibri" w:cs="Arial"/>
          <w:sz w:val="20"/>
          <w:szCs w:val="20"/>
          <w:lang w:val="es-ES_tradnl" w:eastAsia="es-ES_tradnl"/>
        </w:rPr>
      </w:pPr>
    </w:p>
    <w:p w:rsidRPr="00C93210" w:rsidR="00B74AE9" w:rsidP="00B74AE9" w:rsidRDefault="00B74AE9" w14:paraId="7ECBA3A8" w14:textId="77777777">
      <w:pPr>
        <w:spacing w:after="0" w:line="240" w:lineRule="auto"/>
        <w:contextualSpacing/>
        <w:jc w:val="both"/>
        <w:rPr>
          <w:rFonts w:ascii="Century Gothic" w:hAnsi="Century Gothic" w:eastAsia="Calibri" w:cs="Arial"/>
          <w:sz w:val="20"/>
          <w:szCs w:val="20"/>
          <w:lang w:val="es-ES_tradnl" w:eastAsia="es-ES_tradnl"/>
        </w:rPr>
      </w:pPr>
      <w:r w:rsidRPr="00C93210">
        <w:rPr>
          <w:rFonts w:ascii="Century Gothic" w:hAnsi="Century Gothic" w:eastAsia="Calibri" w:cs="Arial"/>
          <w:sz w:val="20"/>
          <w:szCs w:val="20"/>
          <w:lang w:val="es-ES_tradnl" w:eastAsia="es-ES_tradnl"/>
        </w:rPr>
        <w:t>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w:t>
      </w:r>
      <w:r w:rsidRPr="00C93210">
        <w:rPr>
          <w:rFonts w:ascii="Century Gothic" w:hAnsi="Century Gothic" w:eastAsia="Times New Roman" w:cs="Arial"/>
          <w:sz w:val="20"/>
          <w:szCs w:val="20"/>
          <w:lang w:val="es-ES_tradnl" w:eastAsia="es-ES_tradnl"/>
        </w:rPr>
        <w:t xml:space="preserve"> […].</w:t>
      </w:r>
    </w:p>
    <w:p w:rsidRPr="00C93210" w:rsidR="00B74AE9" w:rsidP="00B74AE9" w:rsidRDefault="00B74AE9" w14:paraId="6552710B" w14:textId="77777777">
      <w:pPr>
        <w:spacing w:after="0" w:line="240" w:lineRule="auto"/>
        <w:contextualSpacing/>
        <w:jc w:val="both"/>
        <w:rPr>
          <w:rFonts w:ascii="Century Gothic" w:hAnsi="Century Gothic" w:eastAsia="Calibri" w:cs="Arial"/>
          <w:b/>
          <w:sz w:val="20"/>
          <w:szCs w:val="20"/>
          <w:lang w:val="es-ES_tradnl" w:eastAsia="es-ES_tradnl"/>
        </w:rPr>
      </w:pPr>
    </w:p>
    <w:p w:rsidRPr="009F7A69" w:rsidR="00B74AE9" w:rsidP="00B74AE9" w:rsidRDefault="00B74AE9" w14:paraId="26C7AD81" w14:textId="77777777">
      <w:pPr>
        <w:spacing w:after="0" w:line="240" w:lineRule="auto"/>
        <w:contextualSpacing/>
        <w:jc w:val="both"/>
        <w:rPr>
          <w:rFonts w:ascii="Century Gothic" w:hAnsi="Century Gothic" w:eastAsia="Calibri" w:cs="Arial"/>
          <w:b/>
          <w:lang w:val="es-ES_tradnl" w:eastAsia="es-ES_tradnl"/>
        </w:rPr>
      </w:pPr>
      <w:r w:rsidRPr="009F7A69">
        <w:rPr>
          <w:rFonts w:ascii="Century Gothic" w:hAnsi="Century Gothic" w:eastAsia="Calibri" w:cs="Arial"/>
          <w:b/>
          <w:lang w:val="es-ES_tradnl" w:eastAsia="es-ES_tradnl"/>
        </w:rPr>
        <w:t xml:space="preserve">LEY 2195 DE 2022 – Artículo 56 – Finalidad </w:t>
      </w:r>
    </w:p>
    <w:p w:rsidRPr="00C93210" w:rsidR="00B74AE9" w:rsidP="00B74AE9" w:rsidRDefault="00B74AE9" w14:paraId="55580707" w14:textId="77777777">
      <w:pPr>
        <w:spacing w:after="0" w:line="240" w:lineRule="auto"/>
        <w:contextualSpacing/>
        <w:jc w:val="both"/>
        <w:rPr>
          <w:rFonts w:ascii="Century Gothic" w:hAnsi="Century Gothic" w:eastAsia="Times New Roman" w:cs="Arial"/>
          <w:sz w:val="20"/>
          <w:szCs w:val="20"/>
          <w:lang w:val="es-ES_tradnl" w:eastAsia="es-ES_tradnl"/>
        </w:rPr>
      </w:pPr>
    </w:p>
    <w:p w:rsidRPr="00C93210" w:rsidR="00B74AE9" w:rsidP="00B74AE9" w:rsidRDefault="00B74AE9" w14:paraId="2D12773A" w14:textId="77777777">
      <w:pPr>
        <w:spacing w:after="0" w:line="240" w:lineRule="auto"/>
        <w:contextualSpacing/>
        <w:jc w:val="both"/>
        <w:rPr>
          <w:rFonts w:ascii="Century Gothic" w:hAnsi="Century Gothic" w:eastAsia="Times New Roman" w:cs="Arial"/>
          <w:sz w:val="20"/>
          <w:szCs w:val="20"/>
          <w:lang w:eastAsia="es-ES_tradnl"/>
        </w:rPr>
      </w:pPr>
      <w:r w:rsidRPr="00C93210">
        <w:rPr>
          <w:rFonts w:ascii="Century Gothic" w:hAnsi="Century Gothic" w:eastAsia="Times New Roman" w:cs="Arial"/>
          <w:sz w:val="20"/>
          <w:szCs w:val="20"/>
          <w:lang w:val="es-ES_tradnl" w:eastAsia="es-ES_tradnl"/>
        </w:rPr>
        <w:t xml:space="preserve">[…] </w:t>
      </w:r>
      <w:r w:rsidRPr="00C93210">
        <w:rPr>
          <w:rFonts w:ascii="Century Gothic" w:hAnsi="Century Gothic" w:eastAsia="Calibri" w:cs="Arial"/>
          <w:sz w:val="20"/>
          <w:szCs w:val="20"/>
          <w:lang w:val="es-ES_tradnl" w:eastAsia="es-ES_tradnl"/>
        </w:rPr>
        <w:t xml:space="preserve">la adición del articulado en mención tiene como fin </w:t>
      </w:r>
      <w:r w:rsidRPr="00C93210">
        <w:rPr>
          <w:rFonts w:ascii="Century Gothic" w:hAnsi="Century Gothic" w:eastAsia="Times New Roman" w:cs="Arial"/>
          <w:sz w:val="20"/>
          <w:szCs w:val="20"/>
          <w:lang w:eastAsia="es-ES_tradnl"/>
        </w:rPr>
        <w:t xml:space="preserve">“Extender la </w:t>
      </w:r>
      <w:r w:rsidRPr="00C93210">
        <w:rPr>
          <w:rFonts w:ascii="Century Gothic" w:hAnsi="Century Gothic" w:eastAsia="Times New Roman" w:cs="Arial"/>
          <w:i/>
          <w:sz w:val="20"/>
          <w:szCs w:val="20"/>
          <w:lang w:eastAsia="es-ES_tradnl"/>
        </w:rPr>
        <w:t>obligatoriedad de la aplicación del régimen de contratación estatal y pliegos tipo, cuando se celebran convenios interadministrativos</w:t>
      </w:r>
      <w:r w:rsidRPr="00C93210">
        <w:rPr>
          <w:rFonts w:ascii="Century Gothic" w:hAnsi="Century Gothic" w:eastAsia="Times New Roman" w:cs="Arial"/>
          <w:sz w:val="20"/>
          <w:szCs w:val="20"/>
          <w:lang w:eastAsia="es-ES_tradnl"/>
        </w:rPr>
        <w:t xml:space="preserve"> con una entidad que tiene régimen de contratación privada </w:t>
      </w:r>
      <w:r w:rsidRPr="00C93210">
        <w:rPr>
          <w:rFonts w:ascii="Century Gothic" w:hAnsi="Century Gothic" w:eastAsia="Times New Roman" w:cs="Arial"/>
          <w:i/>
          <w:sz w:val="20"/>
          <w:szCs w:val="20"/>
          <w:lang w:eastAsia="es-ES_tradnl"/>
        </w:rPr>
        <w:t>con el fin de evitar la contratación directa con recursos del estado y proveer de mayores garantías al proceso</w:t>
      </w:r>
      <w:r w:rsidRPr="00C93210">
        <w:rPr>
          <w:rFonts w:ascii="Century Gothic" w:hAnsi="Century Gothic" w:eastAsia="Times New Roman" w:cs="Arial"/>
          <w:sz w:val="20"/>
          <w:szCs w:val="20"/>
          <w:lang w:eastAsia="es-ES_tradnl"/>
        </w:rPr>
        <w:t>” (énfasis fuera de texto).En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rsidRPr="00C93210" w:rsidR="00B74AE9" w:rsidP="00B74AE9" w:rsidRDefault="00B74AE9" w14:paraId="3874C430"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p>
    <w:p w:rsidRPr="00C93210" w:rsidR="00B74AE9" w:rsidP="00B74AE9" w:rsidRDefault="00B74AE9" w14:paraId="7297304A"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r w:rsidRPr="00C93210">
        <w:rPr>
          <w:rFonts w:ascii="Century Gothic" w:hAnsi="Century Gothic" w:eastAsia="Calibri" w:cs="Arial"/>
          <w:bCs/>
          <w:sz w:val="20"/>
          <w:szCs w:val="20"/>
          <w:lang w:val="es-ES_tradnl" w:eastAsia="es-ES_tradnl"/>
        </w:rPr>
        <w:t xml:space="preserve">Sin embargo, para segunda ponencia del Senado se propuso eliminar el artículo en mención con motivo a la inconveniencia que podría generar en su aplicación, aceptándose su eliminación. No obstante, para Plenaria de Senado se propuso un nuevo artículo para su trámite ante la Cámara de Representantes </w:t>
      </w:r>
      <w:r w:rsidRPr="00C93210">
        <w:rPr>
          <w:rFonts w:ascii="Century Gothic" w:hAnsi="Century Gothic" w:eastAsia="Times New Roman" w:cs="Arial"/>
          <w:sz w:val="20"/>
          <w:szCs w:val="20"/>
          <w:lang w:val="es-ES_tradnl" w:eastAsia="es-ES_tradnl"/>
        </w:rPr>
        <w:t xml:space="preserve">[…] </w:t>
      </w:r>
      <w:r w:rsidRPr="00C93210">
        <w:rPr>
          <w:rFonts w:ascii="Century Gothic" w:hAnsi="Century Gothic" w:eastAsia="Calibri" w:cs="Arial"/>
          <w:sz w:val="20"/>
          <w:szCs w:val="20"/>
          <w:lang w:val="es-ES_tradnl" w:eastAsia="es-ES_tradnl"/>
        </w:rPr>
        <w:t>La mencionada disposición pasó el debate en Cámara de Representantes con algunos ajustes en la redacción del artículo, pero manteniendo su fin principal, y esto es, que los Documentos Tipo deban ser aplicados en general por todas las entidades sometidas al EGCAP, independientemente de la celebración de contratos o convenios interadministrativos o de cualquier otra índole, con entidades estatales exceptuadas o con régimen especial de contratación, patrimonios autónomos o particulares. Consecuentemente, fue aprobada su redacción en conciliación del texto en ambas cámaras prescribiendo la redacción de la norma hoy día vigente.</w:t>
      </w:r>
    </w:p>
    <w:p w:rsidRPr="00C93210" w:rsidR="00B74AE9" w:rsidP="00B74AE9" w:rsidRDefault="00B74AE9" w14:paraId="2D247255" w14:textId="77777777">
      <w:pPr>
        <w:spacing w:after="0" w:line="240" w:lineRule="auto"/>
        <w:contextualSpacing/>
        <w:jc w:val="both"/>
        <w:rPr>
          <w:rFonts w:ascii="Century Gothic" w:hAnsi="Century Gothic" w:eastAsia="Calibri" w:cs="Arial"/>
          <w:b/>
          <w:sz w:val="20"/>
          <w:szCs w:val="20"/>
          <w:lang w:val="es-ES_tradnl" w:eastAsia="es-ES_tradnl"/>
        </w:rPr>
      </w:pPr>
    </w:p>
    <w:p w:rsidRPr="009F7A69" w:rsidR="00B74AE9" w:rsidP="00B74AE9" w:rsidRDefault="00B74AE9" w14:paraId="6A42ECA3" w14:textId="77777777">
      <w:pPr>
        <w:spacing w:after="0" w:line="240" w:lineRule="auto"/>
        <w:contextualSpacing/>
        <w:jc w:val="both"/>
        <w:rPr>
          <w:rFonts w:ascii="Century Gothic" w:hAnsi="Century Gothic" w:eastAsia="Calibri" w:cs="Arial"/>
          <w:b/>
          <w:lang w:val="es-ES_tradnl" w:eastAsia="es-ES_tradnl"/>
        </w:rPr>
      </w:pPr>
      <w:r w:rsidRPr="009F7A69">
        <w:rPr>
          <w:rFonts w:ascii="Century Gothic" w:hAnsi="Century Gothic" w:eastAsia="Calibri" w:cs="Arial"/>
          <w:b/>
          <w:lang w:val="es-ES_tradnl" w:eastAsia="es-ES_tradnl"/>
        </w:rPr>
        <w:t xml:space="preserve">LEY 2195 DE 2022 – Artículo 56 – Incisos 1 y 2 – Interpretación conjunta </w:t>
      </w:r>
    </w:p>
    <w:p w:rsidRPr="00C93210" w:rsidR="00B74AE9" w:rsidP="00B74AE9" w:rsidRDefault="00B74AE9" w14:paraId="247D072D"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p>
    <w:p w:rsidRPr="00C93210" w:rsidR="00B74AE9" w:rsidP="00B74AE9" w:rsidRDefault="00B74AE9" w14:paraId="6B891AA4"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r w:rsidRPr="00C93210">
        <w:rPr>
          <w:rFonts w:ascii="Century Gothic" w:hAnsi="Century Gothic" w:eastAsia="Calibri" w:cs="Arial"/>
          <w:bCs/>
          <w:sz w:val="20"/>
          <w:szCs w:val="20"/>
          <w:lang w:val="es-ES_tradnl" w:eastAsia="es-ES_tradnl"/>
        </w:rPr>
        <w:t>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w:t>
      </w:r>
    </w:p>
    <w:p w:rsidRPr="00C93210" w:rsidR="00B74AE9" w:rsidP="00B74AE9" w:rsidRDefault="00B74AE9" w14:paraId="05D008DB"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r w:rsidRPr="00C93210">
        <w:rPr>
          <w:rFonts w:ascii="Century Gothic" w:hAnsi="Century Gothic" w:eastAsia="Calibri" w:cs="Arial"/>
          <w:bCs/>
          <w:sz w:val="20"/>
          <w:szCs w:val="20"/>
          <w:lang w:val="es-ES_tradnl" w:eastAsia="es-ES_tradnl"/>
        </w:rPr>
        <w:t xml:space="preserve"> </w:t>
      </w:r>
    </w:p>
    <w:p w:rsidRPr="00C93210" w:rsidR="00B74AE9" w:rsidP="00B74AE9" w:rsidRDefault="00B74AE9" w14:paraId="18F07607"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r w:rsidRPr="00C93210">
        <w:rPr>
          <w:rFonts w:ascii="Century Gothic" w:hAnsi="Century Gothic" w:eastAsia="Calibri"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de la Ley por contexto, conforme al criterio interpretativo del artículo 30 del Código Civil, “Los pasajes oscuros de una ley pueden ser ilustrados por medio de otras leyes, particularmente si versan sobre el mismo asunto” y de una interpretación sobre la extensión de una Ley, consagrada en el artículo 31 del Código Civil, “Lo favorable u odioso de una disposición no se tomará en cuenta para ampliar o restringir su interpretación. La extensión que deba darse a toda ley se determinará por su genuino sentido, y según las reglas de interpretación precedentes”, </w:t>
      </w:r>
      <w:r w:rsidRPr="00C93210">
        <w:rPr>
          <w:rFonts w:ascii="Century Gothic" w:hAnsi="Century Gothic" w:eastAsia="Calibri" w:cs="Arial"/>
          <w:bCs/>
          <w:sz w:val="20"/>
          <w:szCs w:val="20"/>
          <w:lang w:val="es-ES_tradnl" w:eastAsia="es-ES_tradnl"/>
        </w:rPr>
        <w:t>desde esta perspectiva, no pudiera</w:t>
      </w:r>
      <w:r w:rsidRPr="00C93210">
        <w:rPr>
          <w:rFonts w:ascii="Century Gothic" w:hAnsi="Century Gothic" w:eastAsia="Calibri" w:cs="Arial"/>
          <w:sz w:val="20"/>
          <w:szCs w:val="20"/>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w:t>
      </w:r>
      <w:r w:rsidRPr="00C93210">
        <w:rPr>
          <w:rFonts w:ascii="Century Gothic" w:hAnsi="Century Gothic" w:eastAsia="Calibri" w:cs="Arial"/>
          <w:bCs/>
          <w:sz w:val="20"/>
          <w:szCs w:val="20"/>
          <w:lang w:val="es-ES_tradnl" w:eastAsia="es-ES_tradnl"/>
        </w:rPr>
        <w:t xml:space="preserve"> </w:t>
      </w:r>
      <w:r w:rsidRPr="00C93210">
        <w:rPr>
          <w:rFonts w:ascii="Century Gothic" w:hAnsi="Century Gothic" w:eastAsia="Calibri" w:cs="Arial"/>
          <w:sz w:val="20"/>
          <w:szCs w:val="20"/>
          <w:lang w:val="es-ES_tradnl" w:eastAsia="es-ES_tradnl"/>
        </w:rPr>
        <w:t xml:space="preserve">la obligatoriedad de utilizar documentos pliego tipo </w:t>
      </w:r>
      <w:r w:rsidRPr="00C93210">
        <w:rPr>
          <w:rFonts w:ascii="Century Gothic" w:hAnsi="Century Gothic" w:eastAsia="Calibri" w:cs="Arial"/>
          <w:bCs/>
          <w:sz w:val="20"/>
          <w:szCs w:val="20"/>
          <w:lang w:val="es-ES_tradnl" w:eastAsia="es-ES_tradnl"/>
        </w:rPr>
        <w:t xml:space="preserve">se extiende </w:t>
      </w:r>
      <w:r w:rsidRPr="00C93210">
        <w:rPr>
          <w:rFonts w:ascii="Century Gothic" w:hAnsi="Century Gothic" w:eastAsia="Calibri" w:cs="Arial"/>
          <w:sz w:val="20"/>
          <w:szCs w:val="20"/>
          <w:lang w:val="es-ES_tradnl" w:eastAsia="es-ES_tradnl"/>
        </w:rPr>
        <w:t xml:space="preserve">en los convenios o contratos interadministrativos o de cualquier otra índole, </w:t>
      </w:r>
      <w:r w:rsidRPr="00C93210">
        <w:rPr>
          <w:rFonts w:ascii="Century Gothic" w:hAnsi="Century Gothic" w:eastAsia="Calibri" w:cs="Arial"/>
          <w:bCs/>
          <w:sz w:val="20"/>
          <w:szCs w:val="20"/>
          <w:lang w:val="es-ES_tradnl" w:eastAsia="es-ES_tradnl"/>
        </w:rPr>
        <w:t xml:space="preserve">y </w:t>
      </w:r>
      <w:r w:rsidRPr="00C93210">
        <w:rPr>
          <w:rFonts w:ascii="Century Gothic" w:hAnsi="Century Gothic" w:eastAsia="Calibri" w:cs="Arial"/>
          <w:sz w:val="20"/>
          <w:szCs w:val="20"/>
          <w:lang w:val="es-ES_tradnl" w:eastAsia="es-ES_tradnl"/>
        </w:rPr>
        <w:t>a las diferentes modalidades de selección de los Procesos de Contratación adelantados por entidades sometidas al EGCAP</w:t>
      </w:r>
      <w:r w:rsidRPr="00C93210">
        <w:rPr>
          <w:rFonts w:ascii="Century Gothic" w:hAnsi="Century Gothic" w:eastAsia="Calibri" w:cs="Arial"/>
          <w:bCs/>
          <w:sz w:val="20"/>
          <w:szCs w:val="20"/>
          <w:lang w:val="es-ES_tradnl" w:eastAsia="es-ES_tradnl"/>
        </w:rPr>
        <w:t>.</w:t>
      </w:r>
    </w:p>
    <w:p w:rsidR="00B74AE9" w:rsidP="00B74AE9" w:rsidRDefault="00B74AE9" w14:paraId="5BECB46C" w14:textId="77777777">
      <w:pPr>
        <w:tabs>
          <w:tab w:val="left" w:pos="0"/>
        </w:tabs>
        <w:spacing w:after="0" w:line="240" w:lineRule="auto"/>
        <w:contextualSpacing/>
        <w:jc w:val="both"/>
        <w:rPr>
          <w:rFonts w:ascii="Century Gothic" w:hAnsi="Century Gothic" w:eastAsia="Times New Roman" w:cs="Arial"/>
          <w:sz w:val="20"/>
          <w:szCs w:val="20"/>
          <w:lang w:val="es-ES_tradnl" w:eastAsia="es-ES_tradnl"/>
        </w:rPr>
      </w:pPr>
    </w:p>
    <w:p w:rsidRPr="00C93210" w:rsidR="00B74AE9" w:rsidP="00B74AE9" w:rsidRDefault="00B74AE9" w14:paraId="22D270D2" w14:textId="77777777">
      <w:pPr>
        <w:tabs>
          <w:tab w:val="left" w:pos="0"/>
        </w:tabs>
        <w:spacing w:after="0" w:line="240" w:lineRule="auto"/>
        <w:contextualSpacing/>
        <w:jc w:val="both"/>
        <w:rPr>
          <w:rFonts w:ascii="Century Gothic" w:hAnsi="Century Gothic" w:eastAsia="Times New Roman" w:cs="Arial"/>
          <w:sz w:val="20"/>
          <w:szCs w:val="20"/>
          <w:lang w:val="es-ES_tradnl" w:eastAsia="es-ES_tradnl"/>
        </w:rPr>
      </w:pPr>
      <w:r w:rsidRPr="00C93210">
        <w:rPr>
          <w:rFonts w:ascii="Century Gothic" w:hAnsi="Century Gothic" w:eastAsia="Times New Roman" w:cs="Arial"/>
          <w:sz w:val="20"/>
          <w:szCs w:val="20"/>
          <w:lang w:val="es-ES_tradnl" w:eastAsia="es-ES_tradnl"/>
        </w:rPr>
        <w:t>[…]</w:t>
      </w:r>
    </w:p>
    <w:p w:rsidRPr="00C93210" w:rsidR="00B74AE9" w:rsidP="00B74AE9" w:rsidRDefault="00B74AE9" w14:paraId="7E3EFD1B" w14:textId="77777777">
      <w:pPr>
        <w:tabs>
          <w:tab w:val="left" w:pos="0"/>
        </w:tabs>
        <w:spacing w:after="0" w:line="240" w:lineRule="auto"/>
        <w:contextualSpacing/>
        <w:jc w:val="both"/>
        <w:rPr>
          <w:rFonts w:ascii="Century Gothic" w:hAnsi="Century Gothic" w:eastAsia="Times New Roman" w:cs="Arial"/>
          <w:sz w:val="20"/>
          <w:szCs w:val="20"/>
          <w:lang w:val="es-ES_tradnl" w:eastAsia="es-ES_tradnl"/>
        </w:rPr>
      </w:pPr>
    </w:p>
    <w:p w:rsidRPr="00C93210" w:rsidR="00B74AE9" w:rsidP="00B74AE9" w:rsidRDefault="00B74AE9" w14:paraId="5180E653" w14:textId="77777777">
      <w:pPr>
        <w:tabs>
          <w:tab w:val="left" w:pos="0"/>
        </w:tabs>
        <w:spacing w:after="0" w:line="240" w:lineRule="auto"/>
        <w:contextualSpacing/>
        <w:jc w:val="both"/>
        <w:rPr>
          <w:rFonts w:ascii="Century Gothic" w:hAnsi="Century Gothic" w:eastAsia="Times New Roman" w:cs="Arial"/>
          <w:sz w:val="20"/>
          <w:szCs w:val="20"/>
          <w:lang w:eastAsia="es-ES_tradnl"/>
        </w:rPr>
      </w:pPr>
      <w:r w:rsidRPr="00C93210">
        <w:rPr>
          <w:rFonts w:ascii="Century Gothic" w:hAnsi="Century Gothic" w:eastAsia="Calibri" w:cs="Arial"/>
          <w:bCs/>
          <w:sz w:val="20"/>
          <w:szCs w:val="20"/>
          <w:lang w:val="es-ES_tradnl" w:eastAsia="es-ES_tradnl"/>
        </w:rPr>
        <w:t xml:space="preserve">El segundo inciso de la norma bajo estudio usa la expresión </w:t>
      </w:r>
      <w:r w:rsidRPr="00C93210">
        <w:rPr>
          <w:rFonts w:ascii="Century Gothic" w:hAnsi="Century Gothic" w:eastAsia="Calibri" w:cs="Arial"/>
          <w:sz w:val="20"/>
          <w:szCs w:val="20"/>
          <w:lang w:val="es-ES_tradnl" w:eastAsia="es-ES_tradnl"/>
        </w:rPr>
        <w:t>“</w:t>
      </w:r>
      <w:r w:rsidRPr="00C93210">
        <w:rPr>
          <w:rFonts w:ascii="Century Gothic" w:hAnsi="Century Gothic" w:eastAsia="Times New Roman" w:cs="Arial"/>
          <w:sz w:val="20"/>
          <w:szCs w:val="20"/>
          <w:lang w:eastAsia="es-ES_tradnl"/>
        </w:rPr>
        <w:t xml:space="preserve">los procedimientos de selección y </w:t>
      </w:r>
      <w:r w:rsidRPr="00C93210">
        <w:rPr>
          <w:rFonts w:ascii="Century Gothic" w:hAnsi="Century Gothic" w:eastAsia="Times New Roman" w:cs="Arial"/>
          <w:i/>
          <w:iCs/>
          <w:sz w:val="20"/>
          <w:szCs w:val="20"/>
          <w:lang w:eastAsia="es-ES_tradnl"/>
        </w:rPr>
        <w:t>contratos que realicen en desarrollo de los anteriores negocios jurídicos</w:t>
      </w:r>
      <w:r w:rsidRPr="00C93210">
        <w:rPr>
          <w:rFonts w:ascii="Century Gothic" w:hAnsi="Century Gothic" w:eastAsia="Calibri" w:cs="Arial"/>
          <w:sz w:val="20"/>
          <w:szCs w:val="20"/>
          <w:lang w:val="es-ES_tradnl" w:eastAsia="es-ES_tradnl"/>
        </w:rPr>
        <w:t>”</w:t>
      </w:r>
      <w:r w:rsidRPr="00C93210">
        <w:rPr>
          <w:rFonts w:ascii="Century Gothic" w:hAnsi="Century Gothic" w:eastAsia="Times New Roman" w:cs="Arial"/>
          <w:sz w:val="20"/>
          <w:szCs w:val="20"/>
          <w:lang w:eastAsia="es-ES_tradnl"/>
        </w:rPr>
        <w:t xml:space="preserve"> se pudiera entender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 en un objeto del que se desprende el suministro de un bien, obra o servicio cobijada por un documento tipo.  En ese sentido, la norma parte de la base de que para </w:t>
      </w:r>
      <w:r w:rsidRPr="00C93210">
        <w:rPr>
          <w:rFonts w:ascii="Century Gothic" w:hAnsi="Century Gothic" w:eastAsia="Times New Roman" w:cs="Arial"/>
          <w:i/>
          <w:iCs/>
          <w:sz w:val="20"/>
          <w:szCs w:val="20"/>
          <w:lang w:eastAsia="es-ES_tradnl"/>
        </w:rPr>
        <w:t>desarrollar</w:t>
      </w:r>
      <w:r w:rsidRPr="00C93210">
        <w:rPr>
          <w:rFonts w:ascii="Century Gothic" w:hAnsi="Century Gothic" w:eastAsia="Times New Roman" w:cs="Arial"/>
          <w:sz w:val="20"/>
          <w:szCs w:val="20"/>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rsidRPr="00C93210" w:rsidR="00B74AE9" w:rsidP="00B74AE9" w:rsidRDefault="00B74AE9" w14:paraId="5910DF2F" w14:textId="77777777">
      <w:pPr>
        <w:tabs>
          <w:tab w:val="left" w:pos="0"/>
        </w:tabs>
        <w:spacing w:after="0" w:line="240" w:lineRule="auto"/>
        <w:contextualSpacing/>
        <w:jc w:val="both"/>
        <w:rPr>
          <w:rFonts w:ascii="Century Gothic" w:hAnsi="Century Gothic" w:eastAsia="Times New Roman" w:cs="Arial"/>
          <w:sz w:val="20"/>
          <w:szCs w:val="20"/>
          <w:lang w:eastAsia="es-ES_tradnl"/>
        </w:rPr>
      </w:pPr>
    </w:p>
    <w:p w:rsidRPr="00C93210" w:rsidR="00B74AE9" w:rsidP="11960580" w:rsidRDefault="00B74AE9" w14:paraId="774EF087" w14:textId="77777777" w14:noSpellErr="1">
      <w:pPr>
        <w:spacing w:after="0" w:line="240" w:lineRule="auto"/>
        <w:contextualSpacing/>
        <w:jc w:val="both"/>
        <w:rPr>
          <w:rFonts w:ascii="Century Gothic" w:hAnsi="Century Gothic" w:eastAsia="Calibri" w:cs="Arial"/>
          <w:sz w:val="20"/>
          <w:szCs w:val="20"/>
          <w:lang w:val="es-ES" w:eastAsia="es-ES"/>
        </w:rPr>
      </w:pPr>
      <w:r w:rsidRPr="11960580" w:rsidR="00B74AE9">
        <w:rPr>
          <w:rFonts w:ascii="Century Gothic" w:hAnsi="Century Gothic" w:eastAsia="Calibri" w:cs="Arial"/>
          <w:sz w:val="20"/>
          <w:szCs w:val="20"/>
          <w:lang w:val="es-ES" w:eastAsia="es-ES"/>
        </w:rPr>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p>
    <w:p w:rsidRPr="009F7A69" w:rsidR="00B74AE9" w:rsidP="00B74AE9" w:rsidRDefault="00B74AE9" w14:paraId="2A6E5ECF" w14:textId="77777777">
      <w:pPr>
        <w:tabs>
          <w:tab w:val="left" w:pos="0"/>
        </w:tabs>
        <w:spacing w:after="0" w:line="240" w:lineRule="auto"/>
        <w:contextualSpacing/>
        <w:jc w:val="both"/>
        <w:rPr>
          <w:rFonts w:ascii="Century Gothic" w:hAnsi="Century Gothic" w:eastAsia="Calibri" w:cs="Arial"/>
          <w:bCs/>
          <w:lang w:val="es-ES_tradnl" w:eastAsia="es-ES_tradnl"/>
        </w:rPr>
      </w:pPr>
    </w:p>
    <w:p w:rsidRPr="009F7A69" w:rsidR="00B74AE9" w:rsidP="00B74AE9" w:rsidRDefault="00B74AE9" w14:paraId="6737F719" w14:textId="77777777">
      <w:pPr>
        <w:spacing w:after="0" w:line="240" w:lineRule="auto"/>
        <w:contextualSpacing/>
        <w:jc w:val="both"/>
        <w:rPr>
          <w:rFonts w:ascii="Century Gothic" w:hAnsi="Century Gothic" w:eastAsia="Calibri" w:cs="Arial"/>
          <w:b/>
          <w:lang w:val="es-ES_tradnl" w:eastAsia="es-ES_tradnl"/>
        </w:rPr>
      </w:pPr>
      <w:r w:rsidRPr="009F7A69">
        <w:rPr>
          <w:rFonts w:ascii="Century Gothic" w:hAnsi="Century Gothic" w:eastAsia="Calibri" w:cs="Arial"/>
          <w:b/>
          <w:lang w:val="es-ES_tradnl" w:eastAsia="es-ES_tradnl"/>
        </w:rPr>
        <w:t>LEY 2195 DE 2022 – Artículo 56 – Aplicación del estatuto general de contratación de la administración pública</w:t>
      </w:r>
    </w:p>
    <w:p w:rsidRPr="00C93210" w:rsidR="00B74AE9" w:rsidP="00B74AE9" w:rsidRDefault="00B74AE9" w14:paraId="690F7A5B"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p>
    <w:p w:rsidRPr="00C93210" w:rsidR="00B74AE9" w:rsidP="00B74AE9" w:rsidRDefault="00B74AE9" w14:paraId="11D5F411" w14:textId="77777777">
      <w:pPr>
        <w:tabs>
          <w:tab w:val="left" w:pos="0"/>
        </w:tabs>
        <w:spacing w:after="0" w:line="240" w:lineRule="auto"/>
        <w:contextualSpacing/>
        <w:jc w:val="both"/>
        <w:rPr>
          <w:rFonts w:ascii="Century Gothic" w:hAnsi="Century Gothic" w:eastAsia="Calibri" w:cs="Arial"/>
          <w:sz w:val="20"/>
          <w:szCs w:val="20"/>
          <w:lang w:val="es-ES_tradnl" w:eastAsia="es-ES_tradnl"/>
        </w:rPr>
      </w:pPr>
      <w:r w:rsidRPr="00C93210">
        <w:rPr>
          <w:rFonts w:ascii="Century Gothic" w:hAnsi="Century Gothic" w:eastAsia="Calibri" w:cs="Arial"/>
          <w:bCs/>
          <w:sz w:val="20"/>
          <w:szCs w:val="20"/>
          <w:lang w:val="es-ES_tradnl" w:eastAsia="es-ES_tradnl"/>
        </w:rPr>
        <w:t xml:space="preserve">Por tanto, el hecho de que la norma esté dirigida a las entidades sometidas al EGCAP, ,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rsidRPr="00C93210" w:rsidR="00B74AE9" w:rsidP="00B74AE9" w:rsidRDefault="00B74AE9" w14:paraId="5800DF14" w14:textId="77777777">
      <w:pPr>
        <w:spacing w:after="0" w:line="240" w:lineRule="auto"/>
        <w:contextualSpacing/>
        <w:jc w:val="both"/>
        <w:rPr>
          <w:rFonts w:ascii="Century Gothic" w:hAnsi="Century Gothic" w:eastAsia="Calibri" w:cs="Arial"/>
          <w:b/>
          <w:sz w:val="20"/>
          <w:szCs w:val="20"/>
          <w:lang w:val="es-ES_tradnl" w:eastAsia="es-ES_tradnl"/>
        </w:rPr>
      </w:pPr>
    </w:p>
    <w:p w:rsidRPr="009F7A69" w:rsidR="00B74AE9" w:rsidP="00B74AE9" w:rsidRDefault="00B74AE9" w14:paraId="347AF73B" w14:textId="77777777">
      <w:pPr>
        <w:spacing w:after="0" w:line="240" w:lineRule="auto"/>
        <w:contextualSpacing/>
        <w:jc w:val="both"/>
        <w:rPr>
          <w:rFonts w:ascii="Century Gothic" w:hAnsi="Century Gothic" w:eastAsia="Calibri" w:cs="Arial"/>
          <w:b/>
          <w:lang w:val="es-ES_tradnl" w:eastAsia="es-ES_tradnl"/>
        </w:rPr>
      </w:pPr>
      <w:r w:rsidRPr="009F7A69">
        <w:rPr>
          <w:rFonts w:ascii="Century Gothic" w:hAnsi="Century Gothic" w:eastAsia="Calibri" w:cs="Arial"/>
          <w:b/>
          <w:lang w:val="es-ES_tradnl" w:eastAsia="es-ES_tradnl"/>
        </w:rPr>
        <w:t>LEY 2195 DE 2022 – Artículo 56 – Parágrafo – Excepciones – Giro ordinario – Aplicación restrictiva</w:t>
      </w:r>
    </w:p>
    <w:p w:rsidRPr="00C93210" w:rsidR="00B74AE9" w:rsidP="00B74AE9" w:rsidRDefault="00B74AE9" w14:paraId="6C6B5AA9" w14:textId="77777777">
      <w:pPr>
        <w:tabs>
          <w:tab w:val="left" w:pos="0"/>
        </w:tabs>
        <w:spacing w:after="0" w:line="240" w:lineRule="auto"/>
        <w:contextualSpacing/>
        <w:jc w:val="both"/>
        <w:rPr>
          <w:rFonts w:ascii="Century Gothic" w:hAnsi="Century Gothic" w:eastAsia="Times New Roman" w:cs="Arial"/>
          <w:sz w:val="20"/>
          <w:szCs w:val="20"/>
          <w:lang w:eastAsia="es-ES_tradnl"/>
        </w:rPr>
      </w:pPr>
    </w:p>
    <w:p w:rsidRPr="00C93210" w:rsidR="00B74AE9" w:rsidP="00B74AE9" w:rsidRDefault="00B74AE9" w14:paraId="6D82097E" w14:textId="77777777">
      <w:pPr>
        <w:tabs>
          <w:tab w:val="left" w:pos="0"/>
        </w:tabs>
        <w:spacing w:after="0" w:line="240" w:lineRule="auto"/>
        <w:contextualSpacing/>
        <w:jc w:val="both"/>
        <w:rPr>
          <w:rFonts w:ascii="Century Gothic" w:hAnsi="Century Gothic" w:eastAsia="Calibri" w:cs="Arial"/>
          <w:bCs/>
          <w:sz w:val="20"/>
          <w:szCs w:val="20"/>
          <w:lang w:val="es-ES_tradnl" w:eastAsia="es-ES_tradnl"/>
        </w:rPr>
      </w:pPr>
      <w:r w:rsidRPr="00C93210">
        <w:rPr>
          <w:rFonts w:ascii="Century Gothic" w:hAnsi="Century Gothic" w:eastAsia="Times New Roman" w:cs="Arial"/>
          <w:sz w:val="20"/>
          <w:szCs w:val="20"/>
          <w:lang w:eastAsia="es-ES_tradnl"/>
        </w:rPr>
        <w:t>De otra parte,</w:t>
      </w:r>
      <w:r w:rsidRPr="00C93210">
        <w:rPr>
          <w:rFonts w:ascii="Century Gothic" w:hAnsi="Century Gothic" w:eastAsia="Calibri" w:cs="Arial"/>
          <w:bCs/>
          <w:sz w:val="20"/>
          <w:szCs w:val="20"/>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C93210">
        <w:rPr>
          <w:rFonts w:ascii="Century Gothic" w:hAnsi="Century Gothic" w:eastAsia="Calibri" w:cs="Arial"/>
          <w:bCs/>
          <w:i/>
          <w:iCs/>
          <w:sz w:val="20"/>
          <w:szCs w:val="20"/>
          <w:lang w:val="es-ES_tradnl" w:eastAsia="es-ES_tradnl"/>
        </w:rPr>
        <w:t>giro ordinario</w:t>
      </w:r>
      <w:r w:rsidRPr="00C93210">
        <w:rPr>
          <w:rFonts w:ascii="Century Gothic" w:hAnsi="Century Gothic" w:eastAsia="Calibri"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93210">
        <w:rPr>
          <w:rFonts w:ascii="Century Gothic" w:hAnsi="Century Gothic" w:eastAsia="Calibri" w:cs="Arial"/>
          <w:bCs/>
          <w:sz w:val="20"/>
          <w:szCs w:val="20"/>
          <w:lang w:val="es-ES_tradnl" w:eastAsia="es-ES_tradnl"/>
        </w:rPr>
        <w:t>ii</w:t>
      </w:r>
      <w:proofErr w:type="spellEnd"/>
      <w:r w:rsidRPr="00C93210">
        <w:rPr>
          <w:rFonts w:ascii="Century Gothic" w:hAnsi="Century Gothic" w:eastAsia="Calibri" w:cs="Arial"/>
          <w:bCs/>
          <w:sz w:val="20"/>
          <w:szCs w:val="20"/>
          <w:lang w:val="es-ES_tradnl" w:eastAsia="es-ES_tradnl"/>
        </w:rPr>
        <w:t xml:space="preserve">) las empresas sociales del Estado, </w:t>
      </w:r>
      <w:proofErr w:type="spellStart"/>
      <w:r w:rsidRPr="00C93210">
        <w:rPr>
          <w:rFonts w:ascii="Century Gothic" w:hAnsi="Century Gothic" w:eastAsia="Calibri" w:cs="Arial"/>
          <w:bCs/>
          <w:sz w:val="20"/>
          <w:szCs w:val="20"/>
          <w:lang w:val="es-ES_tradnl" w:eastAsia="es-ES_tradnl"/>
        </w:rPr>
        <w:t>iii</w:t>
      </w:r>
      <w:proofErr w:type="spellEnd"/>
      <w:r w:rsidRPr="00C93210">
        <w:rPr>
          <w:rFonts w:ascii="Century Gothic" w:hAnsi="Century Gothic" w:eastAsia="Calibri" w:cs="Arial"/>
          <w:bCs/>
          <w:sz w:val="20"/>
          <w:szCs w:val="20"/>
          <w:lang w:val="es-ES_tradnl" w:eastAsia="es-ES_tradnl"/>
        </w:rPr>
        <w:t xml:space="preserve">) las sociedades de economía mixta y </w:t>
      </w:r>
      <w:proofErr w:type="spellStart"/>
      <w:r w:rsidRPr="00C93210">
        <w:rPr>
          <w:rFonts w:ascii="Century Gothic" w:hAnsi="Century Gothic" w:eastAsia="Calibri" w:cs="Arial"/>
          <w:bCs/>
          <w:sz w:val="20"/>
          <w:szCs w:val="20"/>
          <w:lang w:val="es-ES_tradnl" w:eastAsia="es-ES_tradnl"/>
        </w:rPr>
        <w:t>iv</w:t>
      </w:r>
      <w:proofErr w:type="spellEnd"/>
      <w:r w:rsidRPr="00C93210">
        <w:rPr>
          <w:rFonts w:ascii="Century Gothic" w:hAnsi="Century Gothic" w:eastAsia="Calibri" w:cs="Arial"/>
          <w:bCs/>
          <w:sz w:val="20"/>
          <w:szCs w:val="20"/>
          <w:lang w:val="es-ES_tradnl" w:eastAsia="es-ES_tradnl"/>
        </w:rPr>
        <w:t xml:space="preserve">) las empresas industriales y comerciales del Estado, únicamente, en la contratación relacionada con el </w:t>
      </w:r>
      <w:r w:rsidRPr="00C93210">
        <w:rPr>
          <w:rFonts w:ascii="Century Gothic" w:hAnsi="Century Gothic" w:eastAsia="Calibri" w:cs="Arial"/>
          <w:bCs/>
          <w:i/>
          <w:iCs/>
          <w:sz w:val="20"/>
          <w:szCs w:val="20"/>
          <w:lang w:val="es-ES_tradnl" w:eastAsia="es-ES_tradnl"/>
        </w:rPr>
        <w:t>giro ordinario.</w:t>
      </w:r>
      <w:r w:rsidRPr="00C93210">
        <w:rPr>
          <w:rFonts w:ascii="Century Gothic" w:hAnsi="Century Gothic" w:eastAsia="Calibri" w:cs="Arial"/>
          <w:bCs/>
          <w:sz w:val="20"/>
          <w:szCs w:val="20"/>
          <w:lang w:val="es-ES_tradnl" w:eastAsia="es-ES_tradnl"/>
        </w:rPr>
        <w:t xml:space="preserve"> Esto significa que, en la contratación asociada a su </w:t>
      </w:r>
      <w:r w:rsidRPr="00C93210">
        <w:rPr>
          <w:rFonts w:ascii="Century Gothic" w:hAnsi="Century Gothic" w:eastAsia="Calibri" w:cs="Arial"/>
          <w:bCs/>
          <w:i/>
          <w:iCs/>
          <w:sz w:val="20"/>
          <w:szCs w:val="20"/>
          <w:lang w:val="es-ES_tradnl" w:eastAsia="es-ES_tradnl"/>
        </w:rPr>
        <w:t xml:space="preserve">giro ordinario, </w:t>
      </w:r>
      <w:r w:rsidRPr="00C93210">
        <w:rPr>
          <w:rFonts w:ascii="Century Gothic" w:hAnsi="Century Gothic" w:eastAsia="Calibri" w:cs="Arial"/>
          <w:bCs/>
          <w:sz w:val="20"/>
          <w:szCs w:val="20"/>
          <w:lang w:val="es-ES_tradnl" w:eastAsia="es-ES_tradnl"/>
        </w:rPr>
        <w:t>estos tipos de entidades no tendrían que aplicar, de manera obligatoria, los documentos tipo, ni tampoco el EGCAP.</w:t>
      </w:r>
      <w:r w:rsidRPr="00C93210">
        <w:rPr>
          <w:rFonts w:ascii="Century Gothic" w:hAnsi="Century Gothic" w:eastAsia="Times New Roman" w:cs="Arial"/>
          <w:sz w:val="20"/>
          <w:szCs w:val="20"/>
          <w:lang w:eastAsia="es-ES_tradnl"/>
        </w:rPr>
        <w:t xml:space="preserve"> es decir, si entidades estatales exceptuadas pretenden ser adjudicatarias de estos contratos, no deben someterse a un proceso de selección en el que se apliquen documentos tipo expedidos por esta Agencia. </w:t>
      </w:r>
      <w:r w:rsidRPr="00C93210">
        <w:rPr>
          <w:rFonts w:ascii="Century Gothic" w:hAnsi="Century Gothic" w:eastAsia="Calibri" w:cs="Arial"/>
          <w:bCs/>
          <w:sz w:val="20"/>
          <w:szCs w:val="20"/>
          <w:lang w:val="es-ES_tradnl" w:eastAsia="es-ES_tradnl"/>
        </w:rPr>
        <w:t xml:space="preserve">En este caso la norma se limita a fomentar la implementación de documentos tipo a modo de buena práctica contractual, en los casos en los que se estime conveniente. </w:t>
      </w:r>
    </w:p>
    <w:p w:rsidRPr="00C93210" w:rsidR="00B74AE9" w:rsidP="00B74AE9" w:rsidRDefault="00B74AE9" w14:paraId="30B3099B" w14:textId="77777777">
      <w:pPr>
        <w:spacing w:after="0" w:line="240" w:lineRule="auto"/>
        <w:contextualSpacing/>
        <w:jc w:val="both"/>
        <w:rPr>
          <w:rFonts w:ascii="Century Gothic" w:hAnsi="Century Gothic" w:eastAsia="Calibri" w:cs="Arial"/>
          <w:bCs/>
          <w:sz w:val="20"/>
          <w:szCs w:val="20"/>
          <w:lang w:val="es-ES_tradnl" w:eastAsia="es-ES_tradnl"/>
        </w:rPr>
      </w:pPr>
    </w:p>
    <w:p w:rsidRPr="00C93210" w:rsidR="00B74AE9" w:rsidP="00B74AE9" w:rsidRDefault="00B74AE9" w14:paraId="5F844943" w14:textId="77777777">
      <w:pPr>
        <w:spacing w:after="0" w:line="240" w:lineRule="auto"/>
        <w:contextualSpacing/>
        <w:jc w:val="both"/>
        <w:rPr>
          <w:rFonts w:ascii="Century Gothic" w:hAnsi="Century Gothic" w:eastAsia="Calibri" w:cs="Arial"/>
          <w:bCs/>
          <w:sz w:val="20"/>
          <w:szCs w:val="20"/>
          <w:lang w:val="es-ES_tradnl" w:eastAsia="es-ES_tradnl"/>
        </w:rPr>
      </w:pPr>
      <w:r w:rsidRPr="00C93210">
        <w:rPr>
          <w:rFonts w:ascii="Century Gothic" w:hAnsi="Century Gothic" w:eastAsia="Calibri" w:cs="Arial"/>
          <w:bCs/>
          <w:sz w:val="20"/>
          <w:szCs w:val="20"/>
          <w:lang w:val="es-ES_tradnl" w:eastAsia="es-ES_tradnl"/>
        </w:rPr>
        <w:t>[…]</w:t>
      </w:r>
    </w:p>
    <w:p w:rsidRPr="00C93210" w:rsidR="00B74AE9" w:rsidP="00B74AE9" w:rsidRDefault="00B74AE9" w14:paraId="70FB73E4" w14:textId="77777777">
      <w:pPr>
        <w:spacing w:after="0" w:line="240" w:lineRule="auto"/>
        <w:contextualSpacing/>
        <w:jc w:val="both"/>
        <w:rPr>
          <w:rFonts w:ascii="Century Gothic" w:hAnsi="Century Gothic" w:eastAsia="Calibri" w:cs="Arial"/>
          <w:bCs/>
          <w:sz w:val="20"/>
          <w:szCs w:val="20"/>
          <w:lang w:val="es-ES_tradnl" w:eastAsia="es-ES_tradnl"/>
        </w:rPr>
      </w:pPr>
    </w:p>
    <w:p w:rsidRPr="00C93210" w:rsidR="00B74AE9" w:rsidP="11960580" w:rsidRDefault="00B74AE9" w14:paraId="7999E8E3" w14:textId="77777777" w14:noSpellErr="1">
      <w:pPr>
        <w:spacing w:after="0" w:line="240" w:lineRule="auto"/>
        <w:contextualSpacing/>
        <w:jc w:val="both"/>
        <w:rPr>
          <w:rFonts w:ascii="Century Gothic" w:hAnsi="Century Gothic" w:eastAsia="Calibri" w:cs="Arial"/>
          <w:color w:val="000000"/>
          <w:sz w:val="20"/>
          <w:szCs w:val="20"/>
          <w:lang w:val="es-ES"/>
        </w:rPr>
      </w:pPr>
      <w:r w:rsidRPr="11960580" w:rsidR="00B74AE9">
        <w:rPr>
          <w:rFonts w:ascii="Century Gothic" w:hAnsi="Century Gothic" w:eastAsia="Calibri" w:cs="Arial"/>
          <w:color w:val="000000" w:themeColor="text1" w:themeTint="FF" w:themeShade="FF"/>
          <w:sz w:val="20"/>
          <w:szCs w:val="20"/>
          <w:lang w:val="es-ES"/>
        </w:rPr>
        <w:t xml:space="preserve">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w:t>
      </w:r>
      <w:r w:rsidRPr="11960580" w:rsidR="00B74AE9">
        <w:rPr>
          <w:rFonts w:ascii="Century Gothic" w:hAnsi="Century Gothic" w:eastAsia="Calibri" w:cs="Arial"/>
          <w:sz w:val="20"/>
          <w:szCs w:val="20"/>
          <w:lang w:val="es-ES" w:eastAsia="es-ES"/>
        </w:rPr>
        <w:t>instituciones de educación superior públicas, las empresas sociales del Estado, las sociedades de economía mixta y las empresas industriales y comerciales del Estado</w:t>
      </w:r>
      <w:r w:rsidRPr="11960580" w:rsidR="00B74AE9">
        <w:rPr>
          <w:rFonts w:ascii="Century Gothic" w:hAnsi="Century Gothic" w:eastAsia="Calibri" w:cs="Arial"/>
          <w:color w:val="000000" w:themeColor="text1" w:themeTint="FF" w:themeShade="FF"/>
          <w:sz w:val="20"/>
          <w:szCs w:val="20"/>
          <w:lang w:val="es-ES"/>
        </w:rPr>
        <w:t xml:space="preserve"> no resulta extensible a entidades que no cuenten con dicha naturaleza, como sucede con las Sociedades Públicas.</w:t>
      </w:r>
      <w:r w:rsidRPr="11960580" w:rsidR="00B74AE9">
        <w:rPr>
          <w:rFonts w:ascii="Century Gothic" w:hAnsi="Century Gothic" w:eastAsia="Calibri" w:cs="Arial"/>
          <w:color w:val="000000" w:themeColor="text1" w:themeTint="FF" w:themeShade="FF"/>
          <w:sz w:val="20"/>
          <w:szCs w:val="20"/>
          <w:lang w:val="es-ES"/>
        </w:rPr>
        <w:t xml:space="preserve"> </w:t>
      </w:r>
    </w:p>
    <w:p w:rsidRPr="00C93210" w:rsidR="00B74AE9" w:rsidP="00B74AE9" w:rsidRDefault="00B74AE9" w14:paraId="20883E6F" w14:textId="77777777">
      <w:pPr>
        <w:spacing w:after="0" w:line="240" w:lineRule="auto"/>
        <w:contextualSpacing/>
        <w:jc w:val="both"/>
        <w:rPr>
          <w:rFonts w:ascii="Arial" w:hAnsi="Arial" w:eastAsia="Calibri" w:cs="Arial"/>
          <w:bCs/>
          <w:sz w:val="20"/>
          <w:szCs w:val="20"/>
          <w:lang w:val="es-ES_tradnl" w:eastAsia="es-ES_tradnl"/>
        </w:rPr>
      </w:pPr>
    </w:p>
    <w:p w:rsidR="005A6AA1" w:rsidP="00400548" w:rsidRDefault="005A6AA1" w14:paraId="44A06B17" w14:textId="07CFEFE4">
      <w:pPr>
        <w:spacing w:after="0"/>
        <w:rPr>
          <w:rFonts w:ascii="Century Gothic" w:hAnsi="Century Gothic"/>
        </w:rPr>
      </w:pPr>
      <w:r w:rsidRPr="687B05C8">
        <w:rPr>
          <w:rFonts w:ascii="Century Gothic" w:hAnsi="Century Gothic"/>
        </w:rPr>
        <w:t>Bogotá D.C.,</w:t>
      </w:r>
      <w:r w:rsidR="004427E8">
        <w:rPr>
          <w:rFonts w:ascii="Century Gothic" w:hAnsi="Century Gothic"/>
        </w:rPr>
        <w:t xml:space="preserve"> 28 de junio de 2024.</w:t>
      </w:r>
    </w:p>
    <w:p w:rsidR="00D22E21" w:rsidP="00D22E21" w:rsidRDefault="00D22E21" w14:paraId="48E07CA3" w14:textId="77777777">
      <w:pPr>
        <w:spacing w:after="0"/>
        <w:jc w:val="right"/>
        <w:rPr>
          <w:rFonts w:ascii="Century Gothic" w:hAnsi="Century Gothic" w:eastAsia="Calibri" w:cs="Arial"/>
          <w:lang w:val="it-IT" w:eastAsia="es-ES_tradnl"/>
        </w:rPr>
      </w:pPr>
      <w:r>
        <w:rPr>
          <w:noProof/>
        </w:rPr>
        <w:drawing>
          <wp:inline distT="0" distB="0" distL="0" distR="0" wp14:anchorId="653469F6" wp14:editId="210765A3">
            <wp:extent cx="3467100" cy="1085850"/>
            <wp:effectExtent l="0" t="0" r="0" b="0"/>
            <wp:docPr id="6814418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41833" name="Imagen 1" descr="Texto&#10;&#10;Descripción generada automáticamente"/>
                    <pic:cNvPicPr/>
                  </pic:nvPicPr>
                  <pic:blipFill>
                    <a:blip r:embed="rId11"/>
                    <a:stretch>
                      <a:fillRect/>
                    </a:stretch>
                  </pic:blipFill>
                  <pic:spPr>
                    <a:xfrm>
                      <a:off x="0" y="0"/>
                      <a:ext cx="3467100" cy="1085850"/>
                    </a:xfrm>
                    <a:prstGeom prst="rect">
                      <a:avLst/>
                    </a:prstGeom>
                  </pic:spPr>
                </pic:pic>
              </a:graphicData>
            </a:graphic>
          </wp:inline>
        </w:drawing>
      </w:r>
    </w:p>
    <w:p w:rsidRPr="004427E8" w:rsidR="00EC5C23" w:rsidP="00D22E21" w:rsidRDefault="00EC5C23" w14:paraId="59644D30" w14:textId="7DE4AD7C">
      <w:pPr>
        <w:spacing w:after="0"/>
        <w:rPr>
          <w:rFonts w:ascii="Century Gothic" w:hAnsi="Century Gothic" w:eastAsia="Calibri" w:cs="Arial"/>
          <w:lang w:val="it-IT" w:eastAsia="es-ES_tradnl"/>
        </w:rPr>
      </w:pPr>
      <w:r w:rsidRPr="004427E8">
        <w:rPr>
          <w:rFonts w:ascii="Century Gothic" w:hAnsi="Century Gothic" w:eastAsia="Calibri" w:cs="Arial"/>
          <w:lang w:val="it-IT" w:eastAsia="es-ES_tradnl"/>
        </w:rPr>
        <w:t>Señora</w:t>
      </w:r>
    </w:p>
    <w:p w:rsidRPr="004427E8" w:rsidR="00EC5C23" w:rsidP="00EC5C23" w:rsidRDefault="00EC5C23" w14:paraId="77F206F9" w14:textId="77777777">
      <w:pPr>
        <w:spacing w:after="0" w:line="240" w:lineRule="auto"/>
        <w:contextualSpacing/>
        <w:jc w:val="both"/>
        <w:rPr>
          <w:rFonts w:ascii="Century Gothic" w:hAnsi="Century Gothic" w:eastAsia="Times New Roman" w:cs="Times New Roman"/>
          <w:lang w:val="it-IT" w:eastAsia="es-ES_tradnl"/>
        </w:rPr>
      </w:pPr>
      <w:r w:rsidRPr="004427E8">
        <w:rPr>
          <w:rFonts w:ascii="Century Gothic" w:hAnsi="Century Gothic" w:eastAsia="Times New Roman" w:cs="Arial"/>
          <w:b/>
          <w:bCs/>
          <w:lang w:val="it-IT" w:eastAsia="es-ES_tradnl"/>
        </w:rPr>
        <w:t xml:space="preserve">Laura Vanessa Vega Barrios </w:t>
      </w:r>
    </w:p>
    <w:p w:rsidRPr="004427E8" w:rsidR="00EC5C23" w:rsidP="00EC5C23" w:rsidRDefault="009F7A69" w14:paraId="1B0264D0" w14:textId="77777777">
      <w:pPr>
        <w:spacing w:after="0" w:line="240" w:lineRule="auto"/>
        <w:contextualSpacing/>
        <w:jc w:val="both"/>
        <w:rPr>
          <w:rFonts w:ascii="Century Gothic" w:hAnsi="Century Gothic" w:eastAsia="Times New Roman" w:cs="Times New Roman"/>
          <w:lang w:val="it-IT" w:eastAsia="es-ES_tradnl"/>
        </w:rPr>
      </w:pPr>
      <w:hyperlink w:history="1" r:id="rId12">
        <w:r w:rsidRPr="004427E8" w:rsidR="00EC5C23">
          <w:rPr>
            <w:rStyle w:val="Hipervnculo"/>
            <w:rFonts w:ascii="Century Gothic" w:hAnsi="Century Gothic" w:eastAsia="ArialMT" w:cs="ArialMT"/>
            <w:lang w:val="it-IT" w:eastAsia="es-ES_tradnl"/>
          </w:rPr>
          <w:t>lauravanesavega@hotmail.com</w:t>
        </w:r>
      </w:hyperlink>
      <w:r w:rsidRPr="004427E8" w:rsidR="00EC5C23">
        <w:rPr>
          <w:rFonts w:ascii="Century Gothic" w:hAnsi="Century Gothic" w:eastAsia="ArialMT" w:cs="ArialMT"/>
          <w:lang w:val="it-IT" w:eastAsia="es-ES_tradnl"/>
        </w:rPr>
        <w:t xml:space="preserve">  </w:t>
      </w:r>
    </w:p>
    <w:p w:rsidRPr="009241AC" w:rsidR="00EC5C23" w:rsidP="00EC5C23" w:rsidRDefault="00EC5C23" w14:paraId="45E237D5" w14:textId="77777777">
      <w:pPr>
        <w:spacing w:after="0" w:line="240" w:lineRule="auto"/>
        <w:contextualSpacing/>
        <w:jc w:val="both"/>
        <w:rPr>
          <w:rFonts w:ascii="Century Gothic" w:hAnsi="Century Gothic" w:eastAsia="Calibri" w:cs="Arial"/>
          <w:lang w:val="es-ES_tradnl" w:eastAsia="es-ES_tradnl"/>
        </w:rPr>
      </w:pPr>
      <w:r w:rsidRPr="009241AC">
        <w:rPr>
          <w:rFonts w:ascii="Century Gothic" w:hAnsi="Century Gothic" w:eastAsia="Calibri" w:cs="Arial"/>
          <w:bCs/>
          <w:lang w:val="es-ES_tradnl" w:eastAsia="es-ES_tradnl"/>
        </w:rPr>
        <w:t>Cartagena, Bolívar</w:t>
      </w:r>
    </w:p>
    <w:p w:rsidRPr="009241AC" w:rsidR="00EC5C23" w:rsidP="00EC5C23" w:rsidRDefault="00EC5C23" w14:paraId="1284D008" w14:textId="77777777">
      <w:pPr>
        <w:spacing w:after="0" w:line="240" w:lineRule="auto"/>
        <w:contextualSpacing/>
        <w:jc w:val="both"/>
        <w:rPr>
          <w:rFonts w:ascii="Century Gothic" w:hAnsi="Century Gothic" w:eastAsia="Calibri" w:cs="Arial"/>
          <w:lang w:val="es-ES_tradnl" w:eastAsia="es-ES_tradnl"/>
        </w:rPr>
      </w:pPr>
    </w:p>
    <w:p w:rsidRPr="009241AC" w:rsidR="00EC5C23" w:rsidP="00EC5C23" w:rsidRDefault="00EC5C23" w14:paraId="0C2D7ABB" w14:textId="77777777">
      <w:pPr>
        <w:spacing w:after="0" w:line="240" w:lineRule="auto"/>
        <w:ind w:left="2694"/>
        <w:contextualSpacing/>
        <w:jc w:val="both"/>
        <w:rPr>
          <w:rFonts w:ascii="Century Gothic" w:hAnsi="Century Gothic" w:eastAsia="Calibri" w:cs="Arial"/>
          <w:b/>
          <w:bCs/>
          <w:lang w:val="es-ES" w:eastAsia="es-ES_tradnl"/>
        </w:rPr>
      </w:pPr>
      <w:r w:rsidRPr="009241AC">
        <w:rPr>
          <w:rFonts w:ascii="Century Gothic" w:hAnsi="Century Gothic" w:eastAsia="Calibri" w:cs="Arial"/>
          <w:b/>
          <w:bCs/>
          <w:lang w:val="es-ES" w:eastAsia="es-ES_tradnl"/>
        </w:rPr>
        <w:t>Concepto C-099 de 2024</w:t>
      </w:r>
    </w:p>
    <w:p w:rsidRPr="009241AC" w:rsidR="00EC5C23" w:rsidP="00EC5C23" w:rsidRDefault="00EC5C23" w14:paraId="47CA17C6" w14:textId="77777777">
      <w:pPr>
        <w:spacing w:after="0" w:line="240" w:lineRule="auto"/>
        <w:contextualSpacing/>
        <w:jc w:val="both"/>
        <w:rPr>
          <w:rFonts w:ascii="Century Gothic" w:hAnsi="Century Gothic" w:eastAsia="Calibri" w:cs="Arial"/>
          <w:lang w:val="es-ES_tradnl" w:eastAsia="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9241AC" w:rsidR="00EC5C23" w:rsidTr="0044122F" w14:paraId="4629AE4E" w14:textId="77777777">
        <w:trPr>
          <w:jc w:val="right"/>
        </w:trPr>
        <w:tc>
          <w:tcPr>
            <w:tcW w:w="1838" w:type="dxa"/>
          </w:tcPr>
          <w:p w:rsidRPr="009241AC" w:rsidR="00EC5C23" w:rsidP="0044122F" w:rsidRDefault="00EC5C23" w14:paraId="2EFED77B" w14:textId="77777777">
            <w:pPr>
              <w:contextualSpacing/>
              <w:jc w:val="both"/>
              <w:rPr>
                <w:rFonts w:ascii="Century Gothic" w:hAnsi="Century Gothic" w:eastAsia="Calibri" w:cs="Arial"/>
                <w:lang w:val="es-ES_tradnl" w:eastAsia="es-ES_tradnl"/>
              </w:rPr>
            </w:pPr>
            <w:r w:rsidRPr="009241AC">
              <w:rPr>
                <w:rFonts w:ascii="Century Gothic" w:hAnsi="Century Gothic" w:eastAsia="Calibri" w:cs="Arial"/>
                <w:b/>
                <w:lang w:val="es-ES_tradnl" w:eastAsia="es-ES_tradnl"/>
              </w:rPr>
              <w:t>Temas:</w:t>
            </w:r>
          </w:p>
        </w:tc>
        <w:tc>
          <w:tcPr>
            <w:tcW w:w="6237" w:type="dxa"/>
          </w:tcPr>
          <w:p w:rsidRPr="009241AC" w:rsidR="00EC5C23" w:rsidP="00D64B66" w:rsidRDefault="00E133BC" w14:paraId="019D4747" w14:textId="3834507E">
            <w:pPr>
              <w:spacing w:line="276" w:lineRule="auto"/>
              <w:contextualSpacing/>
              <w:jc w:val="both"/>
              <w:rPr>
                <w:rFonts w:ascii="Century Gothic" w:hAnsi="Century Gothic" w:eastAsia="Calibri" w:cs="Arial"/>
                <w:bCs/>
                <w:lang w:val="es-ES_tradnl" w:eastAsia="es-ES_tradnl"/>
              </w:rPr>
            </w:pPr>
            <w:r>
              <w:rPr>
                <w:rFonts w:ascii="Century Gothic" w:hAnsi="Century Gothic" w:eastAsia="Calibri" w:cs="Arial"/>
                <w:bCs/>
                <w:lang w:val="es-ES_tradnl" w:eastAsia="es-ES_tradnl"/>
              </w:rPr>
              <w:t xml:space="preserve">SOCIEDADES PÚBLICAS – Naturaleza – Régimen jurídico / </w:t>
            </w:r>
            <w:r w:rsidRPr="009241AC" w:rsidR="00EC5C23">
              <w:rPr>
                <w:rFonts w:ascii="Century Gothic" w:hAnsi="Century Gothic" w:eastAsia="Calibri" w:cs="Arial"/>
                <w:bCs/>
                <w:lang w:val="es-ES_tradnl" w:eastAsia="es-ES_tradnl"/>
              </w:rPr>
              <w:t xml:space="preserve">DOCUMENTOS TIPO – Fundamento normativo – Obligatoriedad – Ámbito de aplicación – Entidades sometidas / LEY 2195 DE 2022 – Artículo 56 – Ámbito de aplicación / LEY 2195 DE 2022 – Artículo 56 – Finalidad / LEY 2195 DE 2022 – Artículo 56 – Incisos 1 y 2 – Interpretación conjunta / LEY 2195 DE 2022 – Artículo 56 – Aplicación del </w:t>
            </w:r>
            <w:r w:rsidR="00B627BF">
              <w:rPr>
                <w:rFonts w:ascii="Century Gothic" w:hAnsi="Century Gothic" w:eastAsia="Calibri" w:cs="Arial"/>
                <w:bCs/>
                <w:lang w:val="es-ES_tradnl" w:eastAsia="es-ES_tradnl"/>
              </w:rPr>
              <w:t>E</w:t>
            </w:r>
            <w:r w:rsidRPr="009241AC" w:rsidR="00EC5C23">
              <w:rPr>
                <w:rFonts w:ascii="Century Gothic" w:hAnsi="Century Gothic" w:eastAsia="Calibri" w:cs="Arial"/>
                <w:bCs/>
                <w:lang w:val="es-ES_tradnl" w:eastAsia="es-ES_tradnl"/>
              </w:rPr>
              <w:t xml:space="preserve">statuto </w:t>
            </w:r>
            <w:r w:rsidR="00B627BF">
              <w:rPr>
                <w:rFonts w:ascii="Century Gothic" w:hAnsi="Century Gothic" w:eastAsia="Calibri" w:cs="Arial"/>
                <w:bCs/>
                <w:lang w:val="es-ES_tradnl" w:eastAsia="es-ES_tradnl"/>
              </w:rPr>
              <w:t>G</w:t>
            </w:r>
            <w:r w:rsidRPr="009241AC" w:rsidR="00EC5C23">
              <w:rPr>
                <w:rFonts w:ascii="Century Gothic" w:hAnsi="Century Gothic" w:eastAsia="Calibri" w:cs="Arial"/>
                <w:bCs/>
                <w:lang w:val="es-ES_tradnl" w:eastAsia="es-ES_tradnl"/>
              </w:rPr>
              <w:t xml:space="preserve">eneral de </w:t>
            </w:r>
            <w:r w:rsidR="00B627BF">
              <w:rPr>
                <w:rFonts w:ascii="Century Gothic" w:hAnsi="Century Gothic" w:eastAsia="Calibri" w:cs="Arial"/>
                <w:bCs/>
                <w:lang w:val="es-ES_tradnl" w:eastAsia="es-ES_tradnl"/>
              </w:rPr>
              <w:t>C</w:t>
            </w:r>
            <w:r w:rsidRPr="009241AC" w:rsidR="00EC5C23">
              <w:rPr>
                <w:rFonts w:ascii="Century Gothic" w:hAnsi="Century Gothic" w:eastAsia="Calibri" w:cs="Arial"/>
                <w:bCs/>
                <w:lang w:val="es-ES_tradnl" w:eastAsia="es-ES_tradnl"/>
              </w:rPr>
              <w:t xml:space="preserve">ontratación de la </w:t>
            </w:r>
            <w:r w:rsidR="00B627BF">
              <w:rPr>
                <w:rFonts w:ascii="Century Gothic" w:hAnsi="Century Gothic" w:eastAsia="Calibri" w:cs="Arial"/>
                <w:bCs/>
                <w:lang w:val="es-ES_tradnl" w:eastAsia="es-ES_tradnl"/>
              </w:rPr>
              <w:t>A</w:t>
            </w:r>
            <w:r w:rsidRPr="009241AC" w:rsidR="00EC5C23">
              <w:rPr>
                <w:rFonts w:ascii="Century Gothic" w:hAnsi="Century Gothic" w:eastAsia="Calibri" w:cs="Arial"/>
                <w:bCs/>
                <w:lang w:val="es-ES_tradnl" w:eastAsia="es-ES_tradnl"/>
              </w:rPr>
              <w:t>dministración</w:t>
            </w:r>
            <w:r w:rsidR="0081255F">
              <w:rPr>
                <w:rFonts w:ascii="Century Gothic" w:hAnsi="Century Gothic" w:eastAsia="Calibri" w:cs="Arial"/>
                <w:bCs/>
                <w:lang w:val="es-ES_tradnl" w:eastAsia="es-ES_tradnl"/>
              </w:rPr>
              <w:t xml:space="preserve"> </w:t>
            </w:r>
            <w:r w:rsidR="00B627BF">
              <w:rPr>
                <w:rFonts w:ascii="Century Gothic" w:hAnsi="Century Gothic" w:eastAsia="Calibri" w:cs="Arial"/>
                <w:bCs/>
                <w:lang w:val="es-ES_tradnl" w:eastAsia="es-ES_tradnl"/>
              </w:rPr>
              <w:t>P</w:t>
            </w:r>
            <w:r w:rsidRPr="009241AC" w:rsidR="00EC5C23">
              <w:rPr>
                <w:rFonts w:ascii="Century Gothic" w:hAnsi="Century Gothic" w:eastAsia="Calibri" w:cs="Arial"/>
                <w:bCs/>
                <w:lang w:val="es-ES_tradnl" w:eastAsia="es-ES_tradnl"/>
              </w:rPr>
              <w:t xml:space="preserve">ública / LEY 2195 DE 2022 – Artículo 56 – Parágrafo – Excepciones – Giro ordinario </w:t>
            </w:r>
            <w:r>
              <w:rPr>
                <w:rFonts w:ascii="Century Gothic" w:hAnsi="Century Gothic" w:eastAsia="Calibri" w:cs="Arial"/>
                <w:bCs/>
                <w:lang w:val="es-ES_tradnl" w:eastAsia="es-ES_tradnl"/>
              </w:rPr>
              <w:t>– Aplicación restrictiva</w:t>
            </w:r>
          </w:p>
          <w:p w:rsidRPr="009241AC" w:rsidR="00EC5C23" w:rsidP="0044122F" w:rsidRDefault="00EC5C23" w14:paraId="09C42E1C" w14:textId="77777777">
            <w:pPr>
              <w:contextualSpacing/>
              <w:jc w:val="both"/>
              <w:rPr>
                <w:rFonts w:ascii="Century Gothic" w:hAnsi="Century Gothic" w:eastAsia="Times New Roman" w:cs="Arial"/>
                <w:lang w:val="es-ES_tradnl" w:eastAsia="es-ES_tradnl"/>
              </w:rPr>
            </w:pPr>
          </w:p>
        </w:tc>
      </w:tr>
      <w:tr w:rsidRPr="009241AC" w:rsidR="00EC5C23" w:rsidTr="0044122F" w14:paraId="1CDCE67C" w14:textId="77777777">
        <w:trPr>
          <w:jc w:val="right"/>
        </w:trPr>
        <w:tc>
          <w:tcPr>
            <w:tcW w:w="1838" w:type="dxa"/>
          </w:tcPr>
          <w:p w:rsidRPr="009241AC" w:rsidR="00EC5C23" w:rsidP="0044122F" w:rsidRDefault="00EC5C23" w14:paraId="4810CC47" w14:textId="77777777">
            <w:pPr>
              <w:contextualSpacing/>
              <w:jc w:val="both"/>
              <w:rPr>
                <w:rFonts w:ascii="Century Gothic" w:hAnsi="Century Gothic" w:eastAsia="Calibri" w:cs="Arial"/>
                <w:b/>
                <w:lang w:val="es-ES" w:eastAsia="es-ES_tradnl"/>
              </w:rPr>
            </w:pPr>
            <w:r w:rsidRPr="009241AC">
              <w:rPr>
                <w:rFonts w:ascii="Century Gothic" w:hAnsi="Century Gothic" w:eastAsia="Calibri" w:cs="Arial"/>
                <w:b/>
                <w:lang w:val="es-ES" w:eastAsia="es-ES_tradnl"/>
              </w:rPr>
              <w:t>Radicación:</w:t>
            </w:r>
          </w:p>
        </w:tc>
        <w:tc>
          <w:tcPr>
            <w:tcW w:w="6237" w:type="dxa"/>
          </w:tcPr>
          <w:p w:rsidRPr="009241AC" w:rsidR="00EC5C23" w:rsidP="0044122F" w:rsidRDefault="00EC5C23" w14:paraId="47798B2C" w14:textId="77777777">
            <w:pPr>
              <w:contextualSpacing/>
              <w:jc w:val="both"/>
              <w:rPr>
                <w:rFonts w:ascii="Century Gothic" w:hAnsi="Century Gothic" w:eastAsia="Times New Roman" w:cs="Arial"/>
                <w:lang w:eastAsia="es-CO"/>
              </w:rPr>
            </w:pPr>
            <w:r w:rsidRPr="009241AC">
              <w:rPr>
                <w:rFonts w:ascii="Century Gothic" w:hAnsi="Century Gothic" w:eastAsia="Calibri" w:cs="Arial"/>
                <w:lang w:val="es-ES" w:eastAsia="es-ES_tradnl"/>
              </w:rPr>
              <w:t xml:space="preserve">Respuesta a consulta </w:t>
            </w:r>
            <w:r w:rsidRPr="009241AC">
              <w:rPr>
                <w:rFonts w:ascii="Century Gothic" w:hAnsi="Century Gothic"/>
                <w:color w:val="000000"/>
                <w:sz w:val="20"/>
                <w:szCs w:val="20"/>
              </w:rPr>
              <w:t>P20240506004678</w:t>
            </w:r>
          </w:p>
        </w:tc>
      </w:tr>
    </w:tbl>
    <w:p w:rsidRPr="009241AC" w:rsidR="00EC5C23" w:rsidP="00EC5C23" w:rsidRDefault="00EC5C23" w14:paraId="6182F22B" w14:textId="77777777">
      <w:pPr>
        <w:spacing w:after="0" w:line="240" w:lineRule="auto"/>
        <w:contextualSpacing/>
        <w:jc w:val="both"/>
        <w:rPr>
          <w:rFonts w:ascii="Century Gothic" w:hAnsi="Century Gothic" w:eastAsia="Calibri" w:cs="Arial"/>
          <w:lang w:val="es-ES_tradnl" w:eastAsia="es-ES_tradnl"/>
        </w:rPr>
      </w:pPr>
    </w:p>
    <w:p w:rsidRPr="009241AC" w:rsidR="00EC5C23" w:rsidP="00EC5C23" w:rsidRDefault="00EC5C23" w14:paraId="779154A1" w14:textId="77777777">
      <w:pPr>
        <w:spacing w:after="0" w:line="240" w:lineRule="auto"/>
        <w:contextualSpacing/>
        <w:jc w:val="both"/>
        <w:rPr>
          <w:rFonts w:ascii="Century Gothic" w:hAnsi="Century Gothic" w:eastAsia="Calibri" w:cs="Arial"/>
          <w:lang w:val="es-ES_tradnl" w:eastAsia="es-ES_tradnl"/>
        </w:rPr>
      </w:pPr>
    </w:p>
    <w:p w:rsidRPr="009241AC" w:rsidR="00EC5C23" w:rsidP="00EC5C23" w:rsidRDefault="00EC5C23" w14:paraId="1D688BBE" w14:textId="77777777">
      <w:pPr>
        <w:spacing w:after="0" w:line="276" w:lineRule="auto"/>
        <w:jc w:val="both"/>
        <w:rPr>
          <w:rFonts w:ascii="Century Gothic" w:hAnsi="Century Gothic" w:eastAsia="Calibri" w:cs="Arial"/>
          <w:bCs/>
          <w:lang w:val="es-ES_tradnl" w:eastAsia="es-ES_tradnl"/>
        </w:rPr>
      </w:pPr>
      <w:r w:rsidRPr="009241AC">
        <w:rPr>
          <w:rFonts w:ascii="Century Gothic" w:hAnsi="Century Gothic" w:eastAsia="Calibri" w:cs="Arial"/>
          <w:lang w:val="es-ES_tradnl" w:eastAsia="es-ES_tradnl"/>
        </w:rPr>
        <w:t xml:space="preserve">Estimada señora </w:t>
      </w:r>
      <w:r w:rsidRPr="009241AC">
        <w:rPr>
          <w:rFonts w:ascii="Century Gothic" w:hAnsi="Century Gothic" w:eastAsia="Calibri" w:cs="Arial"/>
          <w:bCs/>
          <w:lang w:val="es-ES_tradnl" w:eastAsia="es-ES_tradnl"/>
        </w:rPr>
        <w:t>Vega Barrios:</w:t>
      </w:r>
    </w:p>
    <w:p w:rsidRPr="009241AC" w:rsidR="00EC5C23" w:rsidP="00EC5C23" w:rsidRDefault="00EC5C23" w14:paraId="4EC5B730" w14:textId="77777777">
      <w:pPr>
        <w:spacing w:after="0" w:line="276" w:lineRule="auto"/>
        <w:jc w:val="both"/>
        <w:rPr>
          <w:rFonts w:ascii="Century Gothic" w:hAnsi="Century Gothic" w:eastAsia="Calibri" w:cs="Arial"/>
          <w:lang w:val="es-ES_tradnl" w:eastAsia="es-ES_tradnl"/>
        </w:rPr>
      </w:pPr>
    </w:p>
    <w:p w:rsidRPr="009241AC" w:rsidR="00EC5C23" w:rsidP="00EC5C23" w:rsidRDefault="00EC5C23" w14:paraId="12118B00" w14:textId="77777777">
      <w:pPr>
        <w:spacing w:after="0" w:line="276" w:lineRule="auto"/>
        <w:jc w:val="both"/>
        <w:rPr>
          <w:rFonts w:ascii="Century Gothic" w:hAnsi="Century Gothic" w:eastAsia="Calibri" w:cs="Arial"/>
          <w:lang w:val="es-ES" w:eastAsia="es-ES_tradnl"/>
        </w:rPr>
      </w:pPr>
      <w:r w:rsidRPr="009241AC">
        <w:rPr>
          <w:rFonts w:ascii="Century Gothic" w:hAnsi="Century Gothic" w:eastAsia="Calibri" w:cs="Arial"/>
          <w:lang w:val="es-ES" w:eastAsia="es-ES_tradnl"/>
        </w:rPr>
        <w:t>En ejercicio de la competencia otorgada por el numeral 8° del artículo 11 y el numeral 5° del artículo 3 del Decreto Ley 4170 de 2011</w:t>
      </w:r>
      <w:r w:rsidRPr="009241AC">
        <w:rPr>
          <w:rFonts w:ascii="Century Gothic" w:hAnsi="Century Gothic" w:eastAsia="Calibri" w:cs="Arial"/>
          <w:lang w:eastAsia="es-ES_tradnl"/>
        </w:rPr>
        <w:t xml:space="preserve">, </w:t>
      </w:r>
      <w:r w:rsidRPr="009241AC">
        <w:rPr>
          <w:rFonts w:ascii="Century Gothic" w:hAnsi="Century Gothic" w:eastAsia="Times New Roman" w:cs="Arial"/>
          <w:lang w:eastAsia="es-ES_tradnl"/>
        </w:rPr>
        <w:t>así como lo establecido en la Resolución 1707 de 2018 expedida por esta Entidad</w:t>
      </w:r>
      <w:r w:rsidRPr="009241AC">
        <w:rPr>
          <w:rFonts w:ascii="Century Gothic" w:hAnsi="Century Gothic" w:eastAsia="Calibri" w:cs="Arial"/>
          <w:lang w:val="es-ES" w:eastAsia="es-ES_tradnl"/>
        </w:rPr>
        <w:t>, la Agencia Nacional de Contratación Pública ― Colombia Compra Eficiente responde su consulta del 6 de mayo de 2024.</w:t>
      </w:r>
    </w:p>
    <w:p w:rsidRPr="009241AC" w:rsidR="00EC5C23" w:rsidP="00EC5C23" w:rsidRDefault="00EC5C23" w14:paraId="460E3B51" w14:textId="77777777">
      <w:pPr>
        <w:spacing w:after="0" w:line="276" w:lineRule="auto"/>
        <w:jc w:val="both"/>
        <w:rPr>
          <w:rFonts w:ascii="Century Gothic" w:hAnsi="Century Gothic" w:eastAsia="Calibri" w:cs="Arial"/>
          <w:b/>
          <w:lang w:val="es-ES_tradnl" w:eastAsia="es-ES_tradnl"/>
        </w:rPr>
      </w:pPr>
    </w:p>
    <w:p w:rsidRPr="009241AC" w:rsidR="00EC5C23" w:rsidP="00EC5C23" w:rsidRDefault="00EC5C23" w14:paraId="2B0674BC" w14:textId="77777777">
      <w:pPr>
        <w:numPr>
          <w:ilvl w:val="0"/>
          <w:numId w:val="6"/>
        </w:numPr>
        <w:tabs>
          <w:tab w:val="left" w:pos="0"/>
          <w:tab w:val="left" w:pos="142"/>
          <w:tab w:val="left" w:pos="284"/>
        </w:tabs>
        <w:spacing w:after="0" w:line="276" w:lineRule="auto"/>
        <w:ind w:left="0" w:firstLine="0"/>
        <w:jc w:val="both"/>
        <w:rPr>
          <w:rFonts w:ascii="Century Gothic" w:hAnsi="Century Gothic" w:eastAsia="Calibri" w:cs="Arial"/>
          <w:b/>
          <w:lang w:val="es-ES_tradnl"/>
        </w:rPr>
      </w:pPr>
      <w:r w:rsidRPr="009241AC">
        <w:rPr>
          <w:rFonts w:ascii="Century Gothic" w:hAnsi="Century Gothic" w:eastAsia="Calibri" w:cs="Arial"/>
          <w:b/>
          <w:lang w:val="es-ES_tradnl"/>
        </w:rPr>
        <w:t xml:space="preserve">Problema planteado </w:t>
      </w:r>
    </w:p>
    <w:p w:rsidRPr="009241AC" w:rsidR="00EC5C23" w:rsidP="00EC5C23" w:rsidRDefault="00EC5C23" w14:paraId="31B90FC3" w14:textId="77777777">
      <w:pPr>
        <w:spacing w:after="0" w:line="276" w:lineRule="auto"/>
        <w:jc w:val="both"/>
        <w:rPr>
          <w:rFonts w:ascii="Century Gothic" w:hAnsi="Century Gothic" w:eastAsia="Times New Roman" w:cs="Arial"/>
          <w:lang w:eastAsia="es-ES_tradnl"/>
        </w:rPr>
      </w:pPr>
    </w:p>
    <w:p w:rsidRPr="00785E1C" w:rsidR="00EC5C23" w:rsidP="00785E1C" w:rsidRDefault="00EC5C23" w14:paraId="5AE7AC57" w14:textId="15610818">
      <w:pPr>
        <w:spacing w:after="0" w:line="276" w:lineRule="auto"/>
        <w:jc w:val="both"/>
        <w:rPr>
          <w:rFonts w:ascii="Century Gothic" w:hAnsi="Century Gothic" w:eastAsia="Times New Roman" w:cs="Times New Roman"/>
          <w:lang w:eastAsia="es-ES_tradnl"/>
        </w:rPr>
      </w:pPr>
      <w:r w:rsidRPr="009241AC">
        <w:rPr>
          <w:rFonts w:ascii="Century Gothic" w:hAnsi="Century Gothic" w:eastAsia="Times New Roman" w:cs="Arial"/>
          <w:lang w:eastAsia="es-ES_tradnl"/>
        </w:rPr>
        <w:t xml:space="preserve">Usted formula las siguientes consultas: </w:t>
      </w:r>
      <w:r w:rsidRPr="00785E1C">
        <w:rPr>
          <w:rFonts w:ascii="Century Gothic" w:hAnsi="Century Gothic" w:eastAsia="ArialMT" w:cs="ArialMT"/>
          <w:i/>
          <w:lang w:eastAsia="es-ES_tradnl"/>
        </w:rPr>
        <w:t xml:space="preserve">“¿Una sociedad </w:t>
      </w:r>
      <w:proofErr w:type="spellStart"/>
      <w:r w:rsidRPr="00785E1C">
        <w:rPr>
          <w:rFonts w:ascii="Century Gothic" w:hAnsi="Century Gothic" w:eastAsia="ArialMT" w:cs="ArialMT"/>
          <w:i/>
          <w:lang w:eastAsia="es-ES_tradnl"/>
        </w:rPr>
        <w:t>pública</w:t>
      </w:r>
      <w:proofErr w:type="spellEnd"/>
      <w:r w:rsidRPr="00785E1C">
        <w:rPr>
          <w:rFonts w:ascii="Century Gothic" w:hAnsi="Century Gothic" w:eastAsia="ArialMT" w:cs="ArialMT"/>
          <w:i/>
          <w:lang w:eastAsia="es-ES_tradnl"/>
        </w:rPr>
        <w:t xml:space="preserve"> se encuentra incluida dentro de las excepciones planteadas en el </w:t>
      </w:r>
      <w:proofErr w:type="spellStart"/>
      <w:r w:rsidRPr="00785E1C">
        <w:rPr>
          <w:rFonts w:ascii="Century Gothic" w:hAnsi="Century Gothic" w:eastAsia="ArialMT" w:cs="ArialMT"/>
          <w:i/>
          <w:lang w:eastAsia="es-ES_tradnl"/>
        </w:rPr>
        <w:t>parágrafo</w:t>
      </w:r>
      <w:proofErr w:type="spellEnd"/>
      <w:r w:rsidRPr="00785E1C">
        <w:rPr>
          <w:rFonts w:ascii="Century Gothic" w:hAnsi="Century Gothic" w:eastAsia="ArialMT" w:cs="ArialMT"/>
          <w:i/>
          <w:lang w:eastAsia="es-ES_tradnl"/>
        </w:rPr>
        <w:t xml:space="preserve"> del </w:t>
      </w:r>
      <w:proofErr w:type="spellStart"/>
      <w:r w:rsidRPr="00785E1C">
        <w:rPr>
          <w:rFonts w:ascii="Century Gothic" w:hAnsi="Century Gothic" w:eastAsia="ArialMT" w:cs="ArialMT"/>
          <w:i/>
          <w:lang w:eastAsia="es-ES_tradnl"/>
        </w:rPr>
        <w:t>articulo</w:t>
      </w:r>
      <w:proofErr w:type="spellEnd"/>
      <w:r w:rsidRPr="00785E1C">
        <w:rPr>
          <w:rFonts w:ascii="Century Gothic" w:hAnsi="Century Gothic" w:eastAsia="ArialMT" w:cs="ArialMT"/>
          <w:i/>
          <w:lang w:eastAsia="es-ES_tradnl"/>
        </w:rPr>
        <w:t xml:space="preserve"> 56 de la Ley 2195 de 2022? </w:t>
      </w:r>
      <w:r w:rsidRPr="00785E1C" w:rsidR="0067076A">
        <w:rPr>
          <w:rFonts w:ascii="Century Gothic" w:hAnsi="Century Gothic" w:eastAsia="ArialMT" w:cs="ArialMT"/>
          <w:i/>
          <w:iCs/>
          <w:lang w:eastAsia="es-ES_tradnl"/>
        </w:rPr>
        <w:t xml:space="preserve"> </w:t>
      </w:r>
      <w:r w:rsidRPr="00785E1C">
        <w:rPr>
          <w:rFonts w:ascii="Century Gothic" w:hAnsi="Century Gothic" w:eastAsia="ArialMT" w:cs="ArialMT"/>
          <w:i/>
          <w:lang w:eastAsia="es-ES_tradnl"/>
        </w:rPr>
        <w:t xml:space="preserve">¿Las excepciones previstas paras las entidades </w:t>
      </w:r>
      <w:proofErr w:type="spellStart"/>
      <w:r w:rsidRPr="00785E1C">
        <w:rPr>
          <w:rFonts w:ascii="Century Gothic" w:hAnsi="Century Gothic" w:eastAsia="ArialMT" w:cs="ArialMT"/>
          <w:i/>
          <w:lang w:eastAsia="es-ES_tradnl"/>
        </w:rPr>
        <w:t>señaladas</w:t>
      </w:r>
      <w:proofErr w:type="spellEnd"/>
      <w:r w:rsidRPr="00785E1C">
        <w:rPr>
          <w:rFonts w:ascii="Century Gothic" w:hAnsi="Century Gothic" w:eastAsia="ArialMT" w:cs="ArialMT"/>
          <w:i/>
          <w:lang w:eastAsia="es-ES_tradnl"/>
        </w:rPr>
        <w:t xml:space="preserve"> en dicho </w:t>
      </w:r>
      <w:proofErr w:type="spellStart"/>
      <w:r w:rsidRPr="00785E1C">
        <w:rPr>
          <w:rFonts w:ascii="Century Gothic" w:hAnsi="Century Gothic" w:eastAsia="ArialMT" w:cs="ArialMT"/>
          <w:i/>
          <w:lang w:eastAsia="es-ES_tradnl"/>
        </w:rPr>
        <w:t>parágrafo</w:t>
      </w:r>
      <w:proofErr w:type="spellEnd"/>
      <w:r w:rsidRPr="00785E1C">
        <w:rPr>
          <w:rFonts w:ascii="Century Gothic" w:hAnsi="Century Gothic" w:eastAsia="ArialMT" w:cs="ArialMT"/>
          <w:i/>
          <w:lang w:eastAsia="es-ES_tradnl"/>
        </w:rPr>
        <w:t xml:space="preserve"> son de </w:t>
      </w:r>
      <w:proofErr w:type="spellStart"/>
      <w:r w:rsidRPr="00785E1C">
        <w:rPr>
          <w:rFonts w:ascii="Century Gothic" w:hAnsi="Century Gothic" w:eastAsia="ArialMT" w:cs="ArialMT"/>
          <w:i/>
          <w:lang w:eastAsia="es-ES_tradnl"/>
        </w:rPr>
        <w:t>aplicación</w:t>
      </w:r>
      <w:proofErr w:type="spellEnd"/>
      <w:r w:rsidRPr="00785E1C">
        <w:rPr>
          <w:rFonts w:ascii="Century Gothic" w:hAnsi="Century Gothic" w:eastAsia="ArialMT" w:cs="ArialMT"/>
          <w:i/>
          <w:lang w:eastAsia="es-ES_tradnl"/>
        </w:rPr>
        <w:t xml:space="preserve"> restrictiva?”</w:t>
      </w:r>
      <w:r w:rsidRPr="00785E1C">
        <w:rPr>
          <w:rFonts w:ascii="Century Gothic" w:hAnsi="Century Gothic" w:eastAsia="ArialMT" w:cs="ArialMT"/>
          <w:lang w:eastAsia="es-ES_tradnl"/>
        </w:rPr>
        <w:t xml:space="preserve"> [SIC]</w:t>
      </w:r>
    </w:p>
    <w:p w:rsidRPr="009241AC" w:rsidR="0067076A" w:rsidP="0000759B" w:rsidRDefault="0067076A" w14:paraId="76BD6C31" w14:textId="77777777">
      <w:pPr>
        <w:spacing w:after="0" w:line="276" w:lineRule="auto"/>
        <w:jc w:val="both"/>
        <w:rPr>
          <w:rFonts w:ascii="Century Gothic" w:hAnsi="Century Gothic" w:eastAsia="Times New Roman" w:cs="Arial"/>
          <w:szCs w:val="24"/>
          <w:lang w:val="es-ES_tradnl" w:eastAsia="es-ES_tradnl"/>
        </w:rPr>
      </w:pPr>
    </w:p>
    <w:p w:rsidRPr="009241AC" w:rsidR="00EC5C23" w:rsidP="0000759B" w:rsidRDefault="00EC5C23" w14:paraId="0913AA59" w14:textId="77777777">
      <w:pPr>
        <w:numPr>
          <w:ilvl w:val="0"/>
          <w:numId w:val="6"/>
        </w:numPr>
        <w:tabs>
          <w:tab w:val="left" w:pos="0"/>
          <w:tab w:val="left" w:pos="284"/>
        </w:tabs>
        <w:spacing w:after="0" w:line="276" w:lineRule="auto"/>
        <w:ind w:left="0" w:firstLine="0"/>
        <w:jc w:val="both"/>
        <w:rPr>
          <w:rFonts w:ascii="Century Gothic" w:hAnsi="Century Gothic" w:eastAsia="Calibri" w:cs="Arial"/>
          <w:b/>
          <w:lang w:val="es-ES_tradnl"/>
        </w:rPr>
      </w:pPr>
      <w:r w:rsidRPr="009241AC">
        <w:rPr>
          <w:rFonts w:ascii="Century Gothic" w:hAnsi="Century Gothic" w:eastAsia="Calibri" w:cs="Arial"/>
          <w:b/>
          <w:lang w:val="es-ES_tradnl"/>
        </w:rPr>
        <w:t>Consideraciones</w:t>
      </w:r>
    </w:p>
    <w:p w:rsidRPr="009241AC" w:rsidR="00EC5C23" w:rsidP="0000759B" w:rsidRDefault="00EC5C23" w14:paraId="527AD399" w14:textId="77777777">
      <w:pPr>
        <w:tabs>
          <w:tab w:val="left" w:pos="0"/>
          <w:tab w:val="left" w:pos="284"/>
        </w:tabs>
        <w:spacing w:after="0" w:line="276" w:lineRule="auto"/>
        <w:jc w:val="both"/>
        <w:rPr>
          <w:rFonts w:ascii="Century Gothic" w:hAnsi="Century Gothic" w:eastAsia="Calibri" w:cs="Arial"/>
          <w:b/>
          <w:lang w:val="es-ES_tradnl"/>
        </w:rPr>
      </w:pPr>
    </w:p>
    <w:p w:rsidRPr="009241AC" w:rsidR="00EC5C23" w:rsidP="0000759B" w:rsidRDefault="00EC5C23" w14:paraId="4D14886C" w14:textId="77777777">
      <w:pPr>
        <w:spacing w:after="120" w:line="276" w:lineRule="auto"/>
        <w:jc w:val="both"/>
        <w:rPr>
          <w:rFonts w:ascii="Century Gothic" w:hAnsi="Century Gothic" w:eastAsia="Times New Roman" w:cs="Arial"/>
          <w:lang w:val="es-ES" w:eastAsia="es-ES_tradnl"/>
        </w:rPr>
      </w:pPr>
      <w:r w:rsidRPr="009241AC">
        <w:rPr>
          <w:rFonts w:ascii="Century Gothic" w:hAnsi="Century Gothic" w:eastAsia="Times New Roman"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0"/>
      <w:bookmarkStart w:name="_Hlk62136649" w:id="1"/>
      <w:r w:rsidRPr="009241AC">
        <w:rPr>
          <w:rFonts w:ascii="Century Gothic" w:hAnsi="Century Gothic" w:eastAsia="Times New Roman" w:cs="Arial"/>
          <w:shd w:val="clear" w:color="auto" w:fill="E6E6E6"/>
          <w:lang w:eastAsia="es-ES_tradnl"/>
        </w:rPr>
        <w:t xml:space="preserve"> </w:t>
      </w:r>
      <w:r w:rsidRPr="009241AC">
        <w:rPr>
          <w:rFonts w:ascii="Century Gothic" w:hAnsi="Century Gothic" w:eastAsia="Times New Roman" w:cs="Arial"/>
          <w:lang w:val="es-ES" w:eastAsia="es-ES_tradnl"/>
        </w:rPr>
        <w:t xml:space="preserve">Es necesario tener en cuenta que </w:t>
      </w:r>
      <w:bookmarkStart w:name="_Hlk61026958" w:id="2"/>
      <w:r w:rsidRPr="009241AC">
        <w:rPr>
          <w:rFonts w:ascii="Century Gothic" w:hAnsi="Century Gothic" w:eastAsia="Times New Roman"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241AC">
        <w:rPr>
          <w:rFonts w:ascii="Century Gothic" w:hAnsi="Century Gothic" w:eastAsia="Times New Roman" w:cs="Arial"/>
          <w:lang w:eastAsia="es-ES_tradnl"/>
        </w:rPr>
        <w:t xml:space="preserve"> de todos los partícipes de la contratación estatal.</w:t>
      </w:r>
    </w:p>
    <w:p w:rsidRPr="009241AC" w:rsidR="00EC5C23" w:rsidP="0000759B" w:rsidRDefault="00EC5C23" w14:paraId="27C26A08" w14:textId="77777777">
      <w:pPr>
        <w:spacing w:after="120" w:line="276" w:lineRule="auto"/>
        <w:ind w:firstLine="708"/>
        <w:jc w:val="both"/>
        <w:rPr>
          <w:rFonts w:ascii="Century Gothic" w:hAnsi="Century Gothic" w:eastAsia="Times New Roman" w:cs="Arial"/>
          <w:lang w:val="es-ES" w:eastAsia="es-ES_tradnl"/>
        </w:rPr>
      </w:pPr>
      <w:r w:rsidRPr="009241AC">
        <w:rPr>
          <w:rFonts w:ascii="Century Gothic" w:hAnsi="Century Gothic" w:eastAsia="Times New Roman"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241AC">
        <w:rPr>
          <w:rFonts w:ascii="Century Gothic" w:hAnsi="Century Gothic" w:eastAsia="Times New Roman" w:cs="Arial"/>
          <w:vertAlign w:val="superscript"/>
          <w:lang w:val="es-ES" w:eastAsia="es-ES_tradnl"/>
        </w:rPr>
        <w:footnoteReference w:id="2"/>
      </w:r>
      <w:r w:rsidRPr="009241AC">
        <w:rPr>
          <w:rFonts w:ascii="Century Gothic" w:hAnsi="Century Gothic" w:eastAsia="Times New Roman"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9241AC">
        <w:rPr>
          <w:rFonts w:ascii="Century Gothic" w:hAnsi="Century Gothic" w:eastAsia="Times New Roman"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rsidRPr="009241AC" w:rsidR="00EC5C23" w:rsidP="0000759B" w:rsidRDefault="00EC5C23" w14:paraId="686A83BB" w14:textId="01183F75">
      <w:pPr>
        <w:tabs>
          <w:tab w:val="left" w:pos="426"/>
        </w:tabs>
        <w:spacing w:after="120" w:line="276" w:lineRule="auto"/>
        <w:jc w:val="both"/>
        <w:rPr>
          <w:rFonts w:ascii="Century Gothic" w:hAnsi="Century Gothic" w:eastAsia="Times New Roman" w:cs="Arial"/>
          <w:bCs/>
          <w:lang w:val="es-ES" w:eastAsia="es-ES_tradnl"/>
        </w:rPr>
      </w:pPr>
      <w:r w:rsidRPr="009241AC">
        <w:rPr>
          <w:rFonts w:ascii="Century Gothic" w:hAnsi="Century Gothic" w:eastAsia="Times New Roman" w:cs="Arial"/>
          <w:lang w:eastAsia="es-ES_tradnl"/>
        </w:rPr>
        <w:tab/>
      </w:r>
      <w:r w:rsidRPr="009241AC">
        <w:rPr>
          <w:rFonts w:ascii="Century Gothic" w:hAnsi="Century Gothic" w:eastAsia="Times New Roman" w:cs="Arial"/>
          <w:lang w:eastAsia="es-ES_tradnl"/>
        </w:rPr>
        <w:tab/>
      </w:r>
      <w:r w:rsidRPr="009241AC">
        <w:rPr>
          <w:rFonts w:ascii="Century Gothic" w:hAnsi="Century Gothic" w:eastAsia="Times New Roman" w:cs="Arial"/>
          <w:lang w:eastAsia="es-ES_tradnl"/>
        </w:rPr>
        <w:t xml:space="preserve">Conforme lo anterior, la Subdirección –dentro de los límites de sus atribuciones– resolverá la consulta conforme a las normas generales en materia de contratación estatal. Con este objetivo se analizarán </w:t>
      </w:r>
      <w:r w:rsidRPr="009241AC">
        <w:rPr>
          <w:rFonts w:ascii="Century Gothic" w:hAnsi="Century Gothic" w:eastAsia="Calibri" w:cs="Arial"/>
          <w:lang w:val="es-ES" w:eastAsia="es-ES_tradnl"/>
        </w:rPr>
        <w:t>los siguientes temas</w:t>
      </w:r>
      <w:r w:rsidRPr="009241AC">
        <w:rPr>
          <w:rFonts w:ascii="Century Gothic" w:hAnsi="Century Gothic" w:eastAsia="Times New Roman" w:cs="Arial"/>
          <w:lang w:val="es-ES" w:eastAsia="es-ES_tradnl"/>
        </w:rPr>
        <w:t xml:space="preserve">: </w:t>
      </w:r>
      <w:r w:rsidRPr="009241AC">
        <w:rPr>
          <w:rFonts w:ascii="Century Gothic" w:hAnsi="Century Gothic" w:eastAsia="Calibri" w:cs="Arial"/>
          <w:lang w:val="es-ES_tradnl" w:eastAsia="es-ES_tradnl"/>
        </w:rPr>
        <w:t xml:space="preserve">i) </w:t>
      </w:r>
      <w:r w:rsidR="0067076A">
        <w:rPr>
          <w:rFonts w:ascii="Century Gothic" w:hAnsi="Century Gothic" w:eastAsia="Calibri" w:cs="Arial"/>
          <w:lang w:val="es-ES_tradnl" w:eastAsia="es-ES_tradnl"/>
        </w:rPr>
        <w:t>naturaleza jurídica r</w:t>
      </w:r>
      <w:r w:rsidR="0000759B">
        <w:rPr>
          <w:rFonts w:ascii="Century Gothic" w:hAnsi="Century Gothic" w:eastAsia="Calibri" w:cs="Arial"/>
          <w:lang w:val="es-ES_tradnl" w:eastAsia="es-ES_tradnl"/>
        </w:rPr>
        <w:t xml:space="preserve">égimen </w:t>
      </w:r>
      <w:r w:rsidR="0067076A">
        <w:rPr>
          <w:rFonts w:ascii="Century Gothic" w:hAnsi="Century Gothic" w:eastAsia="Calibri" w:cs="Arial"/>
          <w:lang w:val="es-ES_tradnl" w:eastAsia="es-ES_tradnl"/>
        </w:rPr>
        <w:t xml:space="preserve">contractual </w:t>
      </w:r>
      <w:r w:rsidR="0000759B">
        <w:rPr>
          <w:rFonts w:ascii="Century Gothic" w:hAnsi="Century Gothic" w:eastAsia="Calibri" w:cs="Arial"/>
          <w:lang w:val="es-ES_tradnl" w:eastAsia="es-ES_tradnl"/>
        </w:rPr>
        <w:t xml:space="preserve">de las </w:t>
      </w:r>
      <w:r w:rsidR="0067076A">
        <w:rPr>
          <w:rFonts w:ascii="Century Gothic" w:hAnsi="Century Gothic" w:eastAsia="Calibri" w:cs="Arial"/>
          <w:lang w:val="es-ES_tradnl" w:eastAsia="es-ES_tradnl"/>
        </w:rPr>
        <w:t>sociedades públicas</w:t>
      </w:r>
      <w:r w:rsidR="0000759B">
        <w:rPr>
          <w:rFonts w:ascii="Century Gothic" w:hAnsi="Century Gothic" w:eastAsia="Calibri" w:cs="Arial"/>
          <w:lang w:val="es-ES_tradnl" w:eastAsia="es-ES_tradnl"/>
        </w:rPr>
        <w:t xml:space="preserve">; </w:t>
      </w:r>
      <w:proofErr w:type="spellStart"/>
      <w:r w:rsidR="0000759B">
        <w:rPr>
          <w:rFonts w:ascii="Century Gothic" w:hAnsi="Century Gothic" w:eastAsia="Calibri" w:cs="Arial"/>
          <w:lang w:val="es-ES_tradnl" w:eastAsia="es-ES_tradnl"/>
        </w:rPr>
        <w:t>ii</w:t>
      </w:r>
      <w:proofErr w:type="spellEnd"/>
      <w:r w:rsidR="0000759B">
        <w:rPr>
          <w:rFonts w:ascii="Century Gothic" w:hAnsi="Century Gothic" w:eastAsia="Calibri" w:cs="Arial"/>
          <w:lang w:val="es-ES_tradnl" w:eastAsia="es-ES_tradnl"/>
        </w:rPr>
        <w:t xml:space="preserve">) </w:t>
      </w:r>
      <w:r w:rsidRPr="009241AC">
        <w:rPr>
          <w:rFonts w:ascii="Century Gothic" w:hAnsi="Century Gothic" w:eastAsia="Calibri" w:cs="Arial"/>
          <w:lang w:val="es-ES_tradnl" w:eastAsia="es-ES_tradnl"/>
        </w:rPr>
        <w:t xml:space="preserve">fundamento normativo y ámbito de aplicación de los Documentos Tipo; </w:t>
      </w:r>
      <w:proofErr w:type="spellStart"/>
      <w:r w:rsidRPr="009241AC">
        <w:rPr>
          <w:rFonts w:ascii="Century Gothic" w:hAnsi="Century Gothic" w:eastAsia="Calibri" w:cs="Arial"/>
          <w:lang w:val="es-ES_tradnl" w:eastAsia="es-ES_tradnl"/>
        </w:rPr>
        <w:t>ii</w:t>
      </w:r>
      <w:r w:rsidR="0000759B">
        <w:rPr>
          <w:rFonts w:ascii="Century Gothic" w:hAnsi="Century Gothic" w:eastAsia="Calibri" w:cs="Arial"/>
          <w:lang w:val="es-ES_tradnl" w:eastAsia="es-ES_tradnl"/>
        </w:rPr>
        <w:t>i</w:t>
      </w:r>
      <w:proofErr w:type="spellEnd"/>
      <w:r w:rsidRPr="009241AC">
        <w:rPr>
          <w:rFonts w:ascii="Century Gothic" w:hAnsi="Century Gothic" w:eastAsia="Calibri" w:cs="Arial"/>
          <w:lang w:val="es-ES_tradnl" w:eastAsia="es-ES_tradnl"/>
        </w:rPr>
        <w:t xml:space="preserve">) </w:t>
      </w:r>
      <w:r w:rsidRPr="009241AC">
        <w:rPr>
          <w:rFonts w:ascii="Century Gothic" w:hAnsi="Century Gothic" w:eastAsia="Calibri" w:cs="Arial"/>
          <w:lang w:val="es-ES"/>
        </w:rPr>
        <w:t xml:space="preserve"> </w:t>
      </w:r>
      <w:r w:rsidRPr="009241AC">
        <w:rPr>
          <w:rFonts w:ascii="Century Gothic" w:hAnsi="Century Gothic" w:eastAsia="Calibri" w:cs="Arial"/>
          <w:lang w:val="es-ES_tradnl" w:eastAsia="es-ES_tradnl"/>
        </w:rPr>
        <w:t xml:space="preserve">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Estatales exceptuadas y particulares; </w:t>
      </w:r>
      <w:proofErr w:type="spellStart"/>
      <w:r w:rsidR="00AD4B31">
        <w:rPr>
          <w:rFonts w:ascii="Century Gothic" w:hAnsi="Century Gothic" w:eastAsia="Calibri" w:cs="Arial"/>
          <w:lang w:val="es-ES_tradnl" w:eastAsia="es-ES_tradnl"/>
        </w:rPr>
        <w:t>i</w:t>
      </w:r>
      <w:r w:rsidRPr="009241AC">
        <w:rPr>
          <w:rFonts w:ascii="Century Gothic" w:hAnsi="Century Gothic" w:eastAsia="Calibri" w:cs="Arial"/>
          <w:lang w:val="es-ES_tradnl" w:eastAsia="es-ES_tradnl"/>
        </w:rPr>
        <w:t>v</w:t>
      </w:r>
      <w:proofErr w:type="spellEnd"/>
      <w:r w:rsidRPr="009241AC">
        <w:rPr>
          <w:rFonts w:ascii="Century Gothic" w:hAnsi="Century Gothic" w:eastAsia="Calibri" w:cs="Arial"/>
          <w:lang w:val="es-ES_tradnl" w:eastAsia="es-ES_tradnl"/>
        </w:rPr>
        <w:t xml:space="preserve">) aplicación prevalente del Estatuto General de Contratación de la Administración Pública – en adelante </w:t>
      </w:r>
      <w:r w:rsidR="0000759B">
        <w:rPr>
          <w:rFonts w:ascii="Century Gothic" w:hAnsi="Century Gothic" w:eastAsia="Calibri" w:cs="Arial"/>
          <w:lang w:val="es-ES_tradnl" w:eastAsia="es-ES_tradnl"/>
        </w:rPr>
        <w:t>EGCAP</w:t>
      </w:r>
      <w:r w:rsidRPr="009241AC">
        <w:rPr>
          <w:rFonts w:ascii="Century Gothic" w:hAnsi="Century Gothic" w:eastAsia="Calibri" w:cs="Arial"/>
          <w:lang w:val="es-ES_tradnl" w:eastAsia="es-ES_tradnl"/>
        </w:rPr>
        <w:t>– en los contratos o convenios celebrados con entidades exceptuadas. Aparente tensión con el literal c) del artículo 2, numeral 4, de la Ley 1150 de 2007 y; v</w:t>
      </w:r>
      <w:r w:rsidR="0091198E">
        <w:rPr>
          <w:rFonts w:ascii="Century Gothic" w:hAnsi="Century Gothic" w:eastAsia="Calibri" w:cs="Arial"/>
          <w:lang w:val="es-ES_tradnl" w:eastAsia="es-ES_tradnl"/>
        </w:rPr>
        <w:t>)</w:t>
      </w:r>
      <w:r w:rsidRPr="009241AC">
        <w:rPr>
          <w:rFonts w:ascii="Century Gothic" w:hAnsi="Century Gothic" w:eastAsia="Times New Roman" w:cs="Arial"/>
          <w:lang w:eastAsia="es-ES_tradnl"/>
        </w:rPr>
        <w:t xml:space="preserve"> </w:t>
      </w:r>
      <w:r>
        <w:rPr>
          <w:rFonts w:ascii="Century Gothic" w:hAnsi="Century Gothic" w:eastAsia="Times New Roman" w:cs="Arial"/>
          <w:lang w:eastAsia="es-ES_tradnl"/>
        </w:rPr>
        <w:t>e</w:t>
      </w:r>
      <w:r w:rsidRPr="00224A89">
        <w:rPr>
          <w:rFonts w:ascii="Century Gothic" w:hAnsi="Century Gothic" w:eastAsia="Times New Roman" w:cs="Arial"/>
          <w:lang w:eastAsia="es-ES_tradnl"/>
        </w:rPr>
        <w:t>xcepciones a la aplicación del artículo 56 de la Ley 2195 de 2022</w:t>
      </w:r>
      <w:r w:rsidRPr="00224A89" w:rsidR="00224A89">
        <w:rPr>
          <w:rFonts w:ascii="Century Gothic" w:hAnsi="Century Gothic" w:eastAsia="Times New Roman" w:cs="Arial"/>
          <w:lang w:eastAsia="es-ES_tradnl"/>
        </w:rPr>
        <w:t xml:space="preserve">. Alcance de la expresión “giro ordinario” contenida en el parágrafo de la norma. </w:t>
      </w:r>
    </w:p>
    <w:p w:rsidRPr="009241AC" w:rsidR="00EC5C23" w:rsidP="0000759B" w:rsidRDefault="00EC5C23" w14:paraId="594C7A11" w14:textId="266DDBEC">
      <w:pPr>
        <w:spacing w:after="0" w:line="276" w:lineRule="auto"/>
        <w:ind w:firstLine="709"/>
        <w:jc w:val="both"/>
        <w:rPr>
          <w:rFonts w:ascii="Century Gothic" w:hAnsi="Century Gothic" w:eastAsia="Calibri" w:cs="Arial"/>
          <w:lang w:val="es-ES" w:eastAsia="es-ES_tradnl"/>
        </w:rPr>
      </w:pPr>
      <w:r w:rsidRPr="009241AC">
        <w:rPr>
          <w:rFonts w:ascii="Century Gothic" w:hAnsi="Century Gothic" w:eastAsia="Calibri" w:cs="Arial"/>
          <w:lang w:val="es-ES" w:eastAsia="es-ES_tradnl"/>
        </w:rPr>
        <w:t>La Agencia Nacional de Contratación Pública – Colombia Compra Eficiente</w:t>
      </w:r>
      <w:r w:rsidR="0000759B">
        <w:rPr>
          <w:rFonts w:ascii="Century Gothic" w:hAnsi="Century Gothic" w:eastAsia="Calibri" w:cs="Arial"/>
          <w:lang w:val="es-ES" w:eastAsia="es-ES_tradnl"/>
        </w:rPr>
        <w:t xml:space="preserve"> </w:t>
      </w:r>
      <w:r w:rsidRPr="009241AC">
        <w:rPr>
          <w:rFonts w:ascii="Century Gothic" w:hAnsi="Century Gothic" w:eastAsia="Times New Roman" w:cs="Arial"/>
          <w:lang w:val="es-ES_tradnl" w:eastAsia="es-ES_tradnl"/>
        </w:rPr>
        <w:t xml:space="preserve">se ha pronunciado sobre </w:t>
      </w:r>
      <w:r w:rsidRPr="009241AC">
        <w:rPr>
          <w:rFonts w:ascii="Century Gothic" w:hAnsi="Century Gothic" w:eastAsia="Times New Roman" w:cs="Arial"/>
          <w:lang w:eastAsia="es-ES_tradnl"/>
        </w:rPr>
        <w:t>el alcance del artículo 56 de la Ley 2195 de 2022, específicamente, a partir del concepto C-066 del 28 de enero de 2022, cuya tesis se desarrolló y complementó los conceptos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C-532 del 22 de agosto de 2022, C-341 del 27 de mayo de 2022, C-382 del 27 de mayo de 2022, C-449 del 25 de julio de 2022, C-453 del 14 de julio de 2022,  C-488 del 29 de julio de 2022, C-494 del 28 de julio de 2022 y C-501 del 29 de julio de 2022. El mismo tema ha sido estudiado por esta Subdirección en los conceptos C-486 del 2 de septiembre de 2022, C-671 del 19 de octubre de 2022, C-576 del 25 de octubre de 2022, C-042 del 29 de marzo de 2023 y C-056 del 26 de abril de 2023</w:t>
      </w:r>
      <w:r w:rsidRPr="009241AC">
        <w:rPr>
          <w:rFonts w:ascii="Century Gothic" w:hAnsi="Century Gothic" w:eastAsia="Calibri" w:cs="Arial"/>
          <w:vertAlign w:val="superscript"/>
          <w:lang w:val="es-ES" w:eastAsia="es-ES_tradnl"/>
        </w:rPr>
        <w:footnoteReference w:id="3"/>
      </w:r>
      <w:r w:rsidRPr="009241AC">
        <w:rPr>
          <w:rFonts w:ascii="Century Gothic" w:hAnsi="Century Gothic" w:eastAsia="Calibri" w:cs="Arial"/>
          <w:lang w:val="es-ES" w:eastAsia="es-ES_tradnl"/>
        </w:rPr>
        <w:t xml:space="preserve">. Las tesis expuestas en estos conceptos se reiteran a continuación y se complementan en lo pertinente, teniendo en cuenta los interrogantes planteados. </w:t>
      </w:r>
    </w:p>
    <w:p w:rsidRPr="009241AC" w:rsidR="0067076A" w:rsidP="0000759B" w:rsidRDefault="0067076A" w14:paraId="66ADAD9A" w14:textId="77777777">
      <w:pPr>
        <w:spacing w:after="0" w:line="276" w:lineRule="auto"/>
        <w:ind w:firstLine="709"/>
        <w:jc w:val="both"/>
        <w:rPr>
          <w:rFonts w:ascii="Century Gothic" w:hAnsi="Century Gothic" w:eastAsia="Times New Roman" w:cs="Arial"/>
          <w:lang w:val="es-ES" w:eastAsia="es-ES_tradnl"/>
        </w:rPr>
      </w:pPr>
      <w:bookmarkStart w:name="_Hlk117695077" w:id="3"/>
    </w:p>
    <w:p w:rsidRPr="009241AC" w:rsidR="00EC5C23" w:rsidP="0000759B" w:rsidRDefault="00EC5C23" w14:paraId="56622F86" w14:textId="22BDCE34">
      <w:pPr>
        <w:spacing w:after="0" w:line="276" w:lineRule="auto"/>
        <w:jc w:val="both"/>
        <w:rPr>
          <w:rFonts w:ascii="Century Gothic" w:hAnsi="Century Gothic" w:eastAsia="Arial" w:cs="Arial"/>
          <w:b/>
          <w:bCs/>
          <w:lang w:val="es-ES_tradnl" w:eastAsia="es-ES_tradnl"/>
        </w:rPr>
      </w:pPr>
      <w:r w:rsidRPr="009241AC">
        <w:rPr>
          <w:rFonts w:ascii="Century Gothic" w:hAnsi="Century Gothic" w:eastAsia="Arial" w:cs="Arial"/>
          <w:b/>
          <w:bCs/>
          <w:lang w:val="es-ES_tradnl" w:eastAsia="es-ES_tradnl"/>
        </w:rPr>
        <w:t xml:space="preserve">2.1. </w:t>
      </w:r>
      <w:r w:rsidR="0067076A">
        <w:rPr>
          <w:rFonts w:ascii="Century Gothic" w:hAnsi="Century Gothic" w:eastAsia="Arial" w:cs="Arial"/>
          <w:b/>
          <w:bCs/>
          <w:lang w:val="es-ES_tradnl" w:eastAsia="es-ES_tradnl"/>
        </w:rPr>
        <w:t>Naturaleza jurídica y r</w:t>
      </w:r>
      <w:r w:rsidRPr="009241AC">
        <w:rPr>
          <w:rFonts w:ascii="Century Gothic" w:hAnsi="Century Gothic" w:eastAsia="Arial" w:cs="Arial"/>
          <w:b/>
          <w:bCs/>
          <w:lang w:val="es-ES_tradnl" w:eastAsia="es-ES_tradnl"/>
        </w:rPr>
        <w:t xml:space="preserve">égimen contractual de </w:t>
      </w:r>
      <w:r w:rsidRPr="009241AC" w:rsidR="0067076A">
        <w:rPr>
          <w:rFonts w:ascii="Century Gothic" w:hAnsi="Century Gothic" w:eastAsia="Arial" w:cs="Arial"/>
          <w:b/>
          <w:bCs/>
          <w:lang w:val="es-ES_tradnl" w:eastAsia="es-ES_tradnl"/>
        </w:rPr>
        <w:t>las sociedades públicas</w:t>
      </w:r>
      <w:bookmarkStart w:name="_Hlk110852287" w:id="4"/>
    </w:p>
    <w:p w:rsidRPr="009241AC" w:rsidR="00EC5C23" w:rsidP="0000759B" w:rsidRDefault="00EC5C23" w14:paraId="0FC60664" w14:textId="77777777">
      <w:pPr>
        <w:spacing w:after="0" w:line="276" w:lineRule="auto"/>
        <w:jc w:val="both"/>
        <w:rPr>
          <w:rFonts w:ascii="Century Gothic" w:hAnsi="Century Gothic" w:eastAsia="Arial" w:cs="Arial"/>
          <w:b/>
          <w:bCs/>
          <w:lang w:val="es-ES_tradnl" w:eastAsia="es-ES_tradnl"/>
        </w:rPr>
      </w:pPr>
    </w:p>
    <w:p w:rsidRPr="009241AC" w:rsidR="00EC5C23" w:rsidP="00EC5C23" w:rsidRDefault="00EC5C23" w14:paraId="3AEFF495" w14:textId="19703ECE">
      <w:pPr>
        <w:spacing w:after="120" w:line="276" w:lineRule="auto"/>
        <w:jc w:val="both"/>
        <w:rPr>
          <w:rFonts w:ascii="Century Gothic" w:hAnsi="Century Gothic" w:eastAsia="Times New Roman" w:cs="Times New Roman"/>
          <w:color w:val="000000" w:themeColor="text1"/>
          <w:lang w:eastAsia="es-ES_tradnl"/>
        </w:rPr>
      </w:pPr>
      <w:r w:rsidRPr="000E62D7">
        <w:rPr>
          <w:rFonts w:ascii="Century Gothic" w:hAnsi="Century Gothic" w:eastAsia="Times New Roman" w:cs="Times New Roman"/>
          <w:color w:val="000000" w:themeColor="text1"/>
          <w:lang w:eastAsia="es-ES_tradnl"/>
        </w:rPr>
        <w:t xml:space="preserve">La </w:t>
      </w:r>
      <w:r w:rsidRPr="009241AC">
        <w:rPr>
          <w:rFonts w:ascii="Century Gothic" w:hAnsi="Century Gothic" w:eastAsia="Times New Roman" w:cs="Times New Roman"/>
          <w:color w:val="000000" w:themeColor="text1"/>
          <w:lang w:eastAsia="es-ES_tradnl"/>
        </w:rPr>
        <w:t>r</w:t>
      </w:r>
      <w:r w:rsidRPr="000E62D7">
        <w:rPr>
          <w:rFonts w:ascii="Century Gothic" w:hAnsi="Century Gothic" w:eastAsia="Times New Roman" w:cs="Times New Roman"/>
          <w:color w:val="000000" w:themeColor="text1"/>
          <w:lang w:eastAsia="es-ES_tradnl"/>
        </w:rPr>
        <w:t xml:space="preserve">ama </w:t>
      </w:r>
      <w:r w:rsidRPr="009241AC">
        <w:rPr>
          <w:rFonts w:ascii="Century Gothic" w:hAnsi="Century Gothic" w:eastAsia="Times New Roman" w:cs="Times New Roman"/>
          <w:color w:val="000000" w:themeColor="text1"/>
          <w:lang w:eastAsia="es-ES_tradnl"/>
        </w:rPr>
        <w:t>e</w:t>
      </w:r>
      <w:r w:rsidRPr="000E62D7">
        <w:rPr>
          <w:rFonts w:ascii="Century Gothic" w:hAnsi="Century Gothic" w:eastAsia="Times New Roman" w:cs="Times New Roman"/>
          <w:color w:val="000000" w:themeColor="text1"/>
          <w:lang w:eastAsia="es-ES_tradnl"/>
        </w:rPr>
        <w:t xml:space="preserve">jecutiva del </w:t>
      </w:r>
      <w:r w:rsidRPr="009241AC">
        <w:rPr>
          <w:rFonts w:ascii="Century Gothic" w:hAnsi="Century Gothic" w:eastAsia="Times New Roman" w:cs="Times New Roman"/>
          <w:color w:val="000000" w:themeColor="text1"/>
          <w:lang w:eastAsia="es-ES_tradnl"/>
        </w:rPr>
        <w:t>p</w:t>
      </w:r>
      <w:r w:rsidRPr="000E62D7">
        <w:rPr>
          <w:rFonts w:ascii="Century Gothic" w:hAnsi="Century Gothic" w:eastAsia="Times New Roman" w:cs="Times New Roman"/>
          <w:color w:val="000000" w:themeColor="text1"/>
          <w:lang w:eastAsia="es-ES_tradnl"/>
        </w:rPr>
        <w:t xml:space="preserve">oder </w:t>
      </w:r>
      <w:r w:rsidRPr="009241AC">
        <w:rPr>
          <w:rFonts w:ascii="Century Gothic" w:hAnsi="Century Gothic" w:eastAsia="Times New Roman" w:cs="Times New Roman"/>
          <w:color w:val="000000" w:themeColor="text1"/>
          <w:lang w:eastAsia="es-ES_tradnl"/>
        </w:rPr>
        <w:t>p</w:t>
      </w:r>
      <w:r w:rsidRPr="000E62D7">
        <w:rPr>
          <w:rFonts w:ascii="Century Gothic" w:hAnsi="Century Gothic" w:eastAsia="Times New Roman" w:cs="Times New Roman"/>
          <w:color w:val="000000" w:themeColor="text1"/>
          <w:lang w:eastAsia="es-ES_tradnl"/>
        </w:rPr>
        <w:t>úblico en el orden nacional</w:t>
      </w:r>
      <w:r w:rsidRPr="009241AC">
        <w:rPr>
          <w:rFonts w:ascii="Century Gothic" w:hAnsi="Century Gothic" w:eastAsia="Times New Roman" w:cs="Times New Roman"/>
          <w:color w:val="000000" w:themeColor="text1"/>
          <w:lang w:eastAsia="es-ES_tradnl"/>
        </w:rPr>
        <w:t xml:space="preserve"> </w:t>
      </w:r>
      <w:r w:rsidRPr="000E62D7">
        <w:rPr>
          <w:rFonts w:ascii="Century Gothic" w:hAnsi="Century Gothic" w:eastAsia="Times New Roman" w:cs="Times New Roman"/>
          <w:color w:val="000000" w:themeColor="text1"/>
          <w:lang w:eastAsia="es-ES_tradnl"/>
        </w:rPr>
        <w:t>está integrada</w:t>
      </w:r>
      <w:r w:rsidRPr="009241AC">
        <w:rPr>
          <w:rFonts w:ascii="Century Gothic" w:hAnsi="Century Gothic" w:eastAsia="Times New Roman" w:cs="Times New Roman"/>
          <w:color w:val="000000" w:themeColor="text1"/>
          <w:lang w:eastAsia="es-ES_tradnl"/>
        </w:rPr>
        <w:t>,</w:t>
      </w:r>
      <w:r w:rsidRPr="000E62D7">
        <w:rPr>
          <w:rFonts w:ascii="Century Gothic" w:hAnsi="Century Gothic" w:eastAsia="Times New Roman" w:cs="Times New Roman"/>
          <w:color w:val="000000" w:themeColor="text1"/>
          <w:lang w:eastAsia="es-ES_tradnl"/>
        </w:rPr>
        <w:t xml:space="preserve"> entre otras</w:t>
      </w:r>
      <w:r w:rsidRPr="009241AC">
        <w:rPr>
          <w:rFonts w:ascii="Century Gothic" w:hAnsi="Century Gothic" w:eastAsia="Times New Roman" w:cs="Times New Roman"/>
          <w:color w:val="000000" w:themeColor="text1"/>
          <w:lang w:eastAsia="es-ES_tradnl"/>
        </w:rPr>
        <w:t>,</w:t>
      </w:r>
      <w:r w:rsidRPr="000E62D7">
        <w:rPr>
          <w:rFonts w:ascii="Century Gothic" w:hAnsi="Century Gothic" w:eastAsia="Times New Roman" w:cs="Times New Roman"/>
          <w:color w:val="000000" w:themeColor="text1"/>
          <w:lang w:eastAsia="es-ES_tradnl"/>
        </w:rPr>
        <w:t xml:space="preserve"> por los organismos y entidades relacionados en el artículo 38 de la Ley 489 de 1998</w:t>
      </w:r>
      <w:r w:rsidRPr="009241AC">
        <w:rPr>
          <w:rStyle w:val="Refdenotaalpie"/>
          <w:rFonts w:ascii="Century Gothic" w:hAnsi="Century Gothic" w:eastAsia="Times New Roman" w:cs="Times New Roman"/>
          <w:color w:val="000000" w:themeColor="text1"/>
          <w:lang w:eastAsia="es-ES_tradnl"/>
        </w:rPr>
        <w:footnoteReference w:id="4"/>
      </w:r>
      <w:r w:rsidRPr="000E62D7">
        <w:rPr>
          <w:rFonts w:ascii="Century Gothic" w:hAnsi="Century Gothic" w:eastAsia="Times New Roman" w:cs="Times New Roman"/>
          <w:color w:val="000000" w:themeColor="text1"/>
          <w:lang w:eastAsia="es-ES_tradnl"/>
        </w:rPr>
        <w:t xml:space="preserve">, entre la cuales se encuentran </w:t>
      </w:r>
      <w:r w:rsidRPr="009241AC">
        <w:rPr>
          <w:rFonts w:ascii="Century Gothic" w:hAnsi="Century Gothic" w:eastAsia="Times New Roman" w:cs="Times New Roman"/>
          <w:color w:val="000000" w:themeColor="text1"/>
          <w:lang w:eastAsia="es-ES_tradnl"/>
        </w:rPr>
        <w:t>l</w:t>
      </w:r>
      <w:r w:rsidRPr="000E62D7">
        <w:rPr>
          <w:rFonts w:ascii="Century Gothic" w:hAnsi="Century Gothic" w:eastAsia="Times New Roman" w:cs="Times New Roman"/>
          <w:color w:val="000000" w:themeColor="text1"/>
          <w:lang w:eastAsia="es-ES_tradnl"/>
        </w:rPr>
        <w:t xml:space="preserve">as </w:t>
      </w:r>
      <w:r w:rsidR="0087469A">
        <w:rPr>
          <w:rFonts w:ascii="Century Gothic" w:hAnsi="Century Gothic" w:eastAsia="Times New Roman" w:cs="Times New Roman"/>
          <w:color w:val="000000" w:themeColor="text1"/>
          <w:lang w:eastAsia="es-ES_tradnl"/>
        </w:rPr>
        <w:t>s</w:t>
      </w:r>
      <w:r w:rsidRPr="000E62D7">
        <w:rPr>
          <w:rFonts w:ascii="Century Gothic" w:hAnsi="Century Gothic" w:eastAsia="Times New Roman" w:cs="Times New Roman"/>
          <w:color w:val="000000" w:themeColor="text1"/>
          <w:lang w:eastAsia="es-ES_tradnl"/>
        </w:rPr>
        <w:t xml:space="preserve">ociedades </w:t>
      </w:r>
      <w:r w:rsidR="0087469A">
        <w:rPr>
          <w:rFonts w:ascii="Century Gothic" w:hAnsi="Century Gothic" w:eastAsia="Times New Roman" w:cs="Times New Roman"/>
          <w:color w:val="000000" w:themeColor="text1"/>
          <w:lang w:eastAsia="es-ES_tradnl"/>
        </w:rPr>
        <w:t>p</w:t>
      </w:r>
      <w:r w:rsidRPr="000E62D7">
        <w:rPr>
          <w:rFonts w:ascii="Century Gothic" w:hAnsi="Century Gothic" w:eastAsia="Times New Roman" w:cs="Times New Roman"/>
          <w:color w:val="000000" w:themeColor="text1"/>
          <w:lang w:eastAsia="es-ES_tradnl"/>
        </w:rPr>
        <w:t>úblicas</w:t>
      </w:r>
      <w:r w:rsidRPr="009241AC">
        <w:rPr>
          <w:rFonts w:ascii="Century Gothic" w:hAnsi="Century Gothic" w:eastAsia="Times New Roman" w:cs="Times New Roman"/>
          <w:color w:val="000000" w:themeColor="text1"/>
          <w:lang w:eastAsia="es-ES_tradnl"/>
        </w:rPr>
        <w:t xml:space="preserve"> – a las cuales hace referencia en su consulta. </w:t>
      </w:r>
    </w:p>
    <w:p w:rsidRPr="009241AC" w:rsidR="00EC5C23" w:rsidP="00EC5C23" w:rsidRDefault="00EC5C23" w14:paraId="2286D232" w14:textId="2BA8AE41">
      <w:pPr>
        <w:spacing w:after="120" w:line="276" w:lineRule="auto"/>
        <w:ind w:firstLine="708"/>
        <w:jc w:val="both"/>
        <w:rPr>
          <w:rFonts w:ascii="Century Gothic" w:hAnsi="Century Gothic" w:eastAsia="Times New Roman" w:cs="Times New Roman"/>
          <w:color w:val="000000" w:themeColor="text1"/>
          <w:lang w:eastAsia="es-ES_tradnl"/>
        </w:rPr>
      </w:pPr>
      <w:r w:rsidRPr="009241AC">
        <w:rPr>
          <w:rFonts w:ascii="Century Gothic" w:hAnsi="Century Gothic" w:eastAsia="Times New Roman" w:cs="Times New Roman"/>
          <w:color w:val="000000" w:themeColor="text1"/>
          <w:lang w:eastAsia="es-ES_tradnl"/>
        </w:rPr>
        <w:t xml:space="preserve">De conformidad con el parágrafo 1ª del artículo antes citado, </w:t>
      </w:r>
      <w:r w:rsidRPr="000E62D7">
        <w:rPr>
          <w:rFonts w:ascii="Century Gothic" w:hAnsi="Century Gothic" w:eastAsia="Times New Roman" w:cs="Times New Roman"/>
          <w:color w:val="000000" w:themeColor="text1"/>
          <w:lang w:eastAsia="es-ES_tradnl"/>
        </w:rPr>
        <w:t>las sociedades públicas</w:t>
      </w:r>
      <w:r w:rsidR="0099025E">
        <w:rPr>
          <w:rFonts w:ascii="Century Gothic" w:hAnsi="Century Gothic" w:eastAsia="Times New Roman" w:cs="Times New Roman"/>
          <w:color w:val="000000" w:themeColor="text1"/>
          <w:lang w:eastAsia="es-ES_tradnl"/>
        </w:rPr>
        <w:t>,</w:t>
      </w:r>
      <w:r w:rsidRPr="000E62D7">
        <w:rPr>
          <w:rFonts w:ascii="Century Gothic" w:hAnsi="Century Gothic" w:eastAsia="Times New Roman" w:cs="Times New Roman"/>
          <w:color w:val="000000" w:themeColor="text1"/>
          <w:lang w:eastAsia="es-ES_tradnl"/>
        </w:rPr>
        <w:t xml:space="preserve"> en las que el Estado posea el noventa por ciento (90%) o más de su capital social, se someten al régimen previsto para las </w:t>
      </w:r>
      <w:r w:rsidR="0099025E">
        <w:rPr>
          <w:rFonts w:ascii="Century Gothic" w:hAnsi="Century Gothic" w:eastAsia="Times New Roman" w:cs="Times New Roman"/>
          <w:color w:val="000000" w:themeColor="text1"/>
          <w:lang w:eastAsia="es-ES_tradnl"/>
        </w:rPr>
        <w:t>e</w:t>
      </w:r>
      <w:r w:rsidRPr="000E62D7">
        <w:rPr>
          <w:rFonts w:ascii="Century Gothic" w:hAnsi="Century Gothic" w:eastAsia="Times New Roman" w:cs="Times New Roman"/>
          <w:color w:val="000000" w:themeColor="text1"/>
          <w:lang w:eastAsia="es-ES_tradnl"/>
        </w:rPr>
        <w:t xml:space="preserve">mpresas </w:t>
      </w:r>
      <w:r w:rsidR="0099025E">
        <w:rPr>
          <w:rFonts w:ascii="Century Gothic" w:hAnsi="Century Gothic" w:eastAsia="Times New Roman" w:cs="Times New Roman"/>
          <w:color w:val="000000" w:themeColor="text1"/>
          <w:lang w:eastAsia="es-ES_tradnl"/>
        </w:rPr>
        <w:t>i</w:t>
      </w:r>
      <w:r w:rsidRPr="000E62D7">
        <w:rPr>
          <w:rFonts w:ascii="Century Gothic" w:hAnsi="Century Gothic" w:eastAsia="Times New Roman" w:cs="Times New Roman"/>
          <w:color w:val="000000" w:themeColor="text1"/>
          <w:lang w:eastAsia="es-ES_tradnl"/>
        </w:rPr>
        <w:t xml:space="preserve">ndustriales y </w:t>
      </w:r>
      <w:r w:rsidR="0099025E">
        <w:rPr>
          <w:rFonts w:ascii="Century Gothic" w:hAnsi="Century Gothic" w:eastAsia="Times New Roman" w:cs="Times New Roman"/>
          <w:color w:val="000000" w:themeColor="text1"/>
          <w:lang w:eastAsia="es-ES_tradnl"/>
        </w:rPr>
        <w:t>c</w:t>
      </w:r>
      <w:r w:rsidRPr="000E62D7">
        <w:rPr>
          <w:rFonts w:ascii="Century Gothic" w:hAnsi="Century Gothic" w:eastAsia="Times New Roman" w:cs="Times New Roman"/>
          <w:color w:val="000000" w:themeColor="text1"/>
          <w:lang w:eastAsia="es-ES_tradnl"/>
        </w:rPr>
        <w:t>omerciales del Estado</w:t>
      </w:r>
      <w:r w:rsidRPr="009241AC">
        <w:rPr>
          <w:rFonts w:ascii="Century Gothic" w:hAnsi="Century Gothic" w:eastAsia="Times New Roman" w:cs="Times New Roman"/>
          <w:color w:val="000000" w:themeColor="text1"/>
          <w:lang w:eastAsia="es-ES_tradnl"/>
        </w:rPr>
        <w:t xml:space="preserve">. De acuerdo con el artículo 93 </w:t>
      </w:r>
      <w:proofErr w:type="spellStart"/>
      <w:r w:rsidRPr="009241AC">
        <w:rPr>
          <w:rFonts w:ascii="Century Gothic" w:hAnsi="Century Gothic" w:eastAsia="Times New Roman" w:cs="Times New Roman"/>
          <w:color w:val="000000" w:themeColor="text1"/>
          <w:lang w:eastAsia="es-ES_tradnl"/>
        </w:rPr>
        <w:t>ibídem</w:t>
      </w:r>
      <w:proofErr w:type="spellEnd"/>
      <w:r w:rsidRPr="009241AC">
        <w:rPr>
          <w:rFonts w:ascii="Century Gothic" w:hAnsi="Century Gothic" w:eastAsia="Times New Roman" w:cs="Times New Roman"/>
          <w:color w:val="000000" w:themeColor="text1"/>
          <w:lang w:eastAsia="es-ES_tradnl"/>
        </w:rPr>
        <w:t>, l</w:t>
      </w:r>
      <w:r w:rsidRPr="009409C2">
        <w:rPr>
          <w:rFonts w:ascii="Century Gothic" w:hAnsi="Century Gothic" w:eastAsia="Times New Roman" w:cs="Open Sans"/>
          <w:color w:val="000000" w:themeColor="text1"/>
          <w:lang w:eastAsia="es-ES_tradnl"/>
        </w:rPr>
        <w:t xml:space="preserve">os actos que expidan las empresas industriales y comerciales del Estado para el desarrollo de su actividad propia, industrial o comercial o de gestión económica se sujetarán a las disposiciones del </w:t>
      </w:r>
      <w:r w:rsidRPr="009241AC">
        <w:rPr>
          <w:rFonts w:ascii="Century Gothic" w:hAnsi="Century Gothic" w:eastAsia="Times New Roman" w:cs="Open Sans"/>
          <w:color w:val="000000" w:themeColor="text1"/>
          <w:lang w:eastAsia="es-ES_tradnl"/>
        </w:rPr>
        <w:t>d</w:t>
      </w:r>
      <w:r w:rsidRPr="009409C2">
        <w:rPr>
          <w:rFonts w:ascii="Century Gothic" w:hAnsi="Century Gothic" w:eastAsia="Times New Roman" w:cs="Open Sans"/>
          <w:color w:val="000000" w:themeColor="text1"/>
          <w:lang w:eastAsia="es-ES_tradnl"/>
        </w:rPr>
        <w:t xml:space="preserve">erecho </w:t>
      </w:r>
      <w:r w:rsidRPr="009241AC">
        <w:rPr>
          <w:rFonts w:ascii="Century Gothic" w:hAnsi="Century Gothic" w:eastAsia="Times New Roman" w:cs="Open Sans"/>
          <w:color w:val="000000" w:themeColor="text1"/>
          <w:lang w:eastAsia="es-ES_tradnl"/>
        </w:rPr>
        <w:t>p</w:t>
      </w:r>
      <w:r w:rsidRPr="009409C2">
        <w:rPr>
          <w:rFonts w:ascii="Century Gothic" w:hAnsi="Century Gothic" w:eastAsia="Times New Roman" w:cs="Open Sans"/>
          <w:color w:val="000000" w:themeColor="text1"/>
          <w:lang w:eastAsia="es-ES_tradnl"/>
        </w:rPr>
        <w:t xml:space="preserve">rivado. </w:t>
      </w:r>
      <w:r w:rsidRPr="009241AC">
        <w:rPr>
          <w:rFonts w:ascii="Century Gothic" w:hAnsi="Century Gothic" w:eastAsia="Times New Roman" w:cs="Times New Roman"/>
          <w:color w:val="000000" w:themeColor="text1"/>
          <w:lang w:eastAsia="es-ES_tradnl"/>
        </w:rPr>
        <w:t xml:space="preserve">Es decir, que para el caso de las </w:t>
      </w:r>
      <w:r w:rsidR="00C27535">
        <w:rPr>
          <w:rFonts w:ascii="Century Gothic" w:hAnsi="Century Gothic" w:eastAsia="Times New Roman" w:cs="Times New Roman"/>
          <w:color w:val="000000" w:themeColor="text1"/>
          <w:lang w:eastAsia="es-ES_tradnl"/>
        </w:rPr>
        <w:t>s</w:t>
      </w:r>
      <w:r w:rsidRPr="009241AC">
        <w:rPr>
          <w:rFonts w:ascii="Century Gothic" w:hAnsi="Century Gothic" w:eastAsia="Times New Roman" w:cs="Times New Roman"/>
          <w:color w:val="000000" w:themeColor="text1"/>
          <w:lang w:eastAsia="es-ES_tradnl"/>
        </w:rPr>
        <w:t xml:space="preserve">ociedades </w:t>
      </w:r>
      <w:r w:rsidR="00C27535">
        <w:rPr>
          <w:rFonts w:ascii="Century Gothic" w:hAnsi="Century Gothic" w:eastAsia="Times New Roman" w:cs="Times New Roman"/>
          <w:color w:val="000000" w:themeColor="text1"/>
          <w:lang w:eastAsia="es-ES_tradnl"/>
        </w:rPr>
        <w:t>p</w:t>
      </w:r>
      <w:r w:rsidRPr="009241AC">
        <w:rPr>
          <w:rFonts w:ascii="Century Gothic" w:hAnsi="Century Gothic" w:eastAsia="Times New Roman" w:cs="Times New Roman"/>
          <w:color w:val="000000" w:themeColor="text1"/>
          <w:lang w:eastAsia="es-ES_tradnl"/>
        </w:rPr>
        <w:t xml:space="preserve">úblicas </w:t>
      </w:r>
      <w:r w:rsidRPr="000E62D7">
        <w:rPr>
          <w:rFonts w:ascii="Century Gothic" w:hAnsi="Century Gothic" w:eastAsia="Times New Roman" w:cs="Times New Roman"/>
          <w:color w:val="000000" w:themeColor="text1"/>
          <w:lang w:eastAsia="es-ES_tradnl"/>
        </w:rPr>
        <w:t xml:space="preserve">los actos que ejecute para el desarrollo de su actividad propia, industrial o comercial o de gestión económica se sujetarán a las disposiciones del </w:t>
      </w:r>
      <w:r w:rsidRPr="009241AC">
        <w:rPr>
          <w:rFonts w:ascii="Century Gothic" w:hAnsi="Century Gothic" w:eastAsia="Times New Roman" w:cs="Times New Roman"/>
          <w:color w:val="000000" w:themeColor="text1"/>
          <w:lang w:eastAsia="es-ES_tradnl"/>
        </w:rPr>
        <w:t>d</w:t>
      </w:r>
      <w:r w:rsidRPr="000E62D7">
        <w:rPr>
          <w:rFonts w:ascii="Century Gothic" w:hAnsi="Century Gothic" w:eastAsia="Times New Roman" w:cs="Times New Roman"/>
          <w:color w:val="000000" w:themeColor="text1"/>
          <w:lang w:eastAsia="es-ES_tradnl"/>
        </w:rPr>
        <w:t xml:space="preserve">erecho </w:t>
      </w:r>
      <w:r w:rsidRPr="009241AC">
        <w:rPr>
          <w:rFonts w:ascii="Century Gothic" w:hAnsi="Century Gothic" w:eastAsia="Times New Roman" w:cs="Times New Roman"/>
          <w:color w:val="000000" w:themeColor="text1"/>
          <w:lang w:eastAsia="es-ES_tradnl"/>
        </w:rPr>
        <w:t>p</w:t>
      </w:r>
      <w:r w:rsidRPr="000E62D7">
        <w:rPr>
          <w:rFonts w:ascii="Century Gothic" w:hAnsi="Century Gothic" w:eastAsia="Times New Roman" w:cs="Times New Roman"/>
          <w:color w:val="000000" w:themeColor="text1"/>
          <w:lang w:eastAsia="es-ES_tradnl"/>
        </w:rPr>
        <w:t xml:space="preserve">rivado, </w:t>
      </w:r>
      <w:r w:rsidRPr="009241AC">
        <w:rPr>
          <w:rFonts w:ascii="Century Gothic" w:hAnsi="Century Gothic" w:eastAsia="Times New Roman" w:cs="Times New Roman"/>
          <w:color w:val="000000" w:themeColor="text1"/>
          <w:lang w:eastAsia="es-ES_tradnl"/>
        </w:rPr>
        <w:t>de conformidad con el parágrafo 1</w:t>
      </w:r>
      <w:r w:rsidR="005E6BB8">
        <w:rPr>
          <w:rFonts w:ascii="Century Gothic" w:hAnsi="Century Gothic" w:eastAsia="Times New Roman" w:cs="Times New Roman"/>
          <w:color w:val="000000" w:themeColor="text1"/>
          <w:lang w:eastAsia="es-ES_tradnl"/>
        </w:rPr>
        <w:t>ª</w:t>
      </w:r>
      <w:r w:rsidRPr="009241AC">
        <w:rPr>
          <w:rFonts w:ascii="Century Gothic" w:hAnsi="Century Gothic" w:eastAsia="Times New Roman" w:cs="Times New Roman"/>
          <w:color w:val="000000" w:themeColor="text1"/>
          <w:lang w:eastAsia="es-ES_tradnl"/>
        </w:rPr>
        <w:t xml:space="preserve"> del artículo 38</w:t>
      </w:r>
      <w:r w:rsidR="00331C91">
        <w:rPr>
          <w:rFonts w:ascii="Century Gothic" w:hAnsi="Century Gothic" w:eastAsia="Times New Roman" w:cs="Times New Roman"/>
          <w:color w:val="000000" w:themeColor="text1"/>
          <w:lang w:eastAsia="es-ES_tradnl"/>
        </w:rPr>
        <w:t xml:space="preserve"> </w:t>
      </w:r>
      <w:r w:rsidRPr="009241AC" w:rsidR="00331C91">
        <w:rPr>
          <w:rFonts w:ascii="Century Gothic" w:hAnsi="Century Gothic" w:eastAsia="Times New Roman" w:cs="Times New Roman"/>
          <w:color w:val="000000" w:themeColor="text1"/>
          <w:lang w:eastAsia="es-ES_tradnl"/>
        </w:rPr>
        <w:t>de la Ley 489 de 1998</w:t>
      </w:r>
      <w:r w:rsidRPr="009241AC">
        <w:rPr>
          <w:rFonts w:ascii="Century Gothic" w:hAnsi="Century Gothic" w:eastAsia="Times New Roman" w:cs="Times New Roman"/>
          <w:color w:val="000000" w:themeColor="text1"/>
          <w:lang w:eastAsia="es-ES_tradnl"/>
        </w:rPr>
        <w:t xml:space="preserve">, en consonancia con el </w:t>
      </w:r>
      <w:r w:rsidRPr="000E62D7">
        <w:rPr>
          <w:rFonts w:ascii="Century Gothic" w:hAnsi="Century Gothic" w:eastAsia="Times New Roman" w:cs="Times New Roman"/>
          <w:color w:val="000000" w:themeColor="text1"/>
          <w:lang w:eastAsia="es-ES_tradnl"/>
        </w:rPr>
        <w:t>artículo 93</w:t>
      </w:r>
      <w:r w:rsidR="00331C91">
        <w:rPr>
          <w:rFonts w:ascii="Century Gothic" w:hAnsi="Century Gothic" w:eastAsia="Times New Roman" w:cs="Times New Roman"/>
          <w:color w:val="000000" w:themeColor="text1"/>
          <w:lang w:eastAsia="es-ES_tradnl"/>
        </w:rPr>
        <w:t xml:space="preserve"> de la misma Ley</w:t>
      </w:r>
      <w:r w:rsidRPr="000E62D7">
        <w:rPr>
          <w:rFonts w:ascii="Century Gothic" w:hAnsi="Century Gothic" w:eastAsia="Times New Roman" w:cs="Times New Roman"/>
          <w:color w:val="000000" w:themeColor="text1"/>
          <w:lang w:eastAsia="es-ES_tradnl"/>
        </w:rPr>
        <w:t>.</w:t>
      </w:r>
    </w:p>
    <w:p w:rsidRPr="009241AC" w:rsidR="00EC5C23" w:rsidP="0019286C" w:rsidRDefault="00EC5C23" w14:paraId="458EBE44" w14:textId="25AB478B">
      <w:pPr>
        <w:spacing w:after="120" w:line="276" w:lineRule="auto"/>
        <w:ind w:firstLine="708"/>
        <w:jc w:val="both"/>
        <w:rPr>
          <w:rFonts w:ascii="Century Gothic" w:hAnsi="Century Gothic" w:eastAsia="Times New Roman" w:cs="Times New Roman"/>
          <w:color w:val="000000" w:themeColor="text1"/>
          <w:lang w:eastAsia="es-ES_tradnl"/>
        </w:rPr>
      </w:pPr>
      <w:r w:rsidRPr="009241AC">
        <w:rPr>
          <w:rFonts w:ascii="Century Gothic" w:hAnsi="Century Gothic" w:eastAsia="Times New Roman" w:cs="Times New Roman"/>
          <w:color w:val="000000" w:themeColor="text1"/>
          <w:lang w:eastAsia="es-ES_tradnl"/>
        </w:rPr>
        <w:t>Ahora bien, conviene señalar que el artículo 94 de la Ley 489</w:t>
      </w:r>
      <w:r w:rsidR="004247DE">
        <w:rPr>
          <w:rFonts w:ascii="Century Gothic" w:hAnsi="Century Gothic" w:eastAsia="Times New Roman" w:cs="Times New Roman"/>
          <w:color w:val="000000" w:themeColor="text1"/>
          <w:lang w:eastAsia="es-ES_tradnl"/>
        </w:rPr>
        <w:t xml:space="preserve"> de 1998</w:t>
      </w:r>
      <w:r w:rsidRPr="009241AC">
        <w:rPr>
          <w:rFonts w:ascii="Century Gothic" w:hAnsi="Century Gothic" w:eastAsia="Times New Roman" w:cs="Times New Roman"/>
          <w:color w:val="000000" w:themeColor="text1"/>
          <w:lang w:eastAsia="es-ES_tradnl"/>
        </w:rPr>
        <w:t xml:space="preserve"> regula las </w:t>
      </w:r>
      <w:r w:rsidR="004247DE">
        <w:rPr>
          <w:rFonts w:ascii="Century Gothic" w:hAnsi="Century Gothic" w:eastAsia="Times New Roman" w:cs="Times New Roman"/>
          <w:color w:val="000000" w:themeColor="text1"/>
          <w:lang w:eastAsia="es-ES_tradnl"/>
        </w:rPr>
        <w:t>a</w:t>
      </w:r>
      <w:r w:rsidRPr="009241AC">
        <w:rPr>
          <w:rFonts w:ascii="Century Gothic" w:hAnsi="Century Gothic" w:eastAsia="Times New Roman" w:cs="Times New Roman"/>
          <w:color w:val="000000" w:themeColor="text1"/>
          <w:lang w:eastAsia="es-ES_tradnl"/>
        </w:rPr>
        <w:t xml:space="preserve">sociaciones de las </w:t>
      </w:r>
      <w:r w:rsidR="004247DE">
        <w:rPr>
          <w:rFonts w:ascii="Century Gothic" w:hAnsi="Century Gothic" w:eastAsia="Times New Roman" w:cs="Times New Roman"/>
          <w:color w:val="000000" w:themeColor="text1"/>
          <w:lang w:eastAsia="es-ES_tradnl"/>
        </w:rPr>
        <w:t>e</w:t>
      </w:r>
      <w:r w:rsidRPr="009241AC">
        <w:rPr>
          <w:rFonts w:ascii="Century Gothic" w:hAnsi="Century Gothic" w:eastAsia="Times New Roman" w:cs="Times New Roman"/>
          <w:color w:val="000000" w:themeColor="text1"/>
          <w:lang w:eastAsia="es-ES_tradnl"/>
        </w:rPr>
        <w:t xml:space="preserve">mpresas </w:t>
      </w:r>
      <w:r w:rsidR="004247DE">
        <w:rPr>
          <w:rFonts w:ascii="Century Gothic" w:hAnsi="Century Gothic" w:eastAsia="Times New Roman" w:cs="Times New Roman"/>
          <w:color w:val="000000" w:themeColor="text1"/>
          <w:lang w:eastAsia="es-ES_tradnl"/>
        </w:rPr>
        <w:t>i</w:t>
      </w:r>
      <w:r w:rsidRPr="009241AC">
        <w:rPr>
          <w:rFonts w:ascii="Century Gothic" w:hAnsi="Century Gothic" w:eastAsia="Times New Roman" w:cs="Times New Roman"/>
          <w:color w:val="000000" w:themeColor="text1"/>
          <w:lang w:eastAsia="es-ES_tradnl"/>
        </w:rPr>
        <w:t xml:space="preserve">ndustriales y </w:t>
      </w:r>
      <w:r w:rsidR="004247DE">
        <w:rPr>
          <w:rFonts w:ascii="Century Gothic" w:hAnsi="Century Gothic" w:eastAsia="Times New Roman" w:cs="Times New Roman"/>
          <w:color w:val="000000" w:themeColor="text1"/>
          <w:lang w:eastAsia="es-ES_tradnl"/>
        </w:rPr>
        <w:t>c</w:t>
      </w:r>
      <w:r w:rsidRPr="009241AC">
        <w:rPr>
          <w:rFonts w:ascii="Century Gothic" w:hAnsi="Century Gothic" w:eastAsia="Times New Roman" w:cs="Times New Roman"/>
          <w:color w:val="000000" w:themeColor="text1"/>
          <w:lang w:eastAsia="es-ES_tradnl"/>
        </w:rPr>
        <w:t>omerciales del Estado señalando que l</w:t>
      </w:r>
      <w:r w:rsidRPr="000E62D7">
        <w:rPr>
          <w:rFonts w:ascii="Century Gothic" w:hAnsi="Century Gothic" w:eastAsia="Times New Roman" w:cs="Times New Roman"/>
          <w:color w:val="000000" w:themeColor="text1"/>
          <w:lang w:eastAsia="es-ES_tradnl"/>
        </w:rPr>
        <w:t xml:space="preserve">as empresas y sociedades que se creen con la participación exclusiva de una o varias empresas industriales y comerciales del Estado o entre </w:t>
      </w:r>
      <w:r w:rsidR="004247DE">
        <w:rPr>
          <w:rFonts w:ascii="Century Gothic" w:hAnsi="Century Gothic" w:eastAsia="Times New Roman" w:cs="Times New Roman"/>
          <w:color w:val="000000" w:themeColor="text1"/>
          <w:lang w:eastAsia="es-ES_tradnl"/>
        </w:rPr>
        <w:t>e</w:t>
      </w:r>
      <w:r w:rsidRPr="000E62D7">
        <w:rPr>
          <w:rFonts w:ascii="Century Gothic" w:hAnsi="Century Gothic" w:eastAsia="Times New Roman" w:cs="Times New Roman"/>
          <w:color w:val="000000" w:themeColor="text1"/>
          <w:lang w:eastAsia="es-ES_tradnl"/>
        </w:rPr>
        <w:t xml:space="preserve">stas y otras entidades descentralizadas y entidades territoriales se rigen por las disposiciones establecidas en los actos de creación, y las disposiciones del Código de Comercio. </w:t>
      </w:r>
      <w:r w:rsidRPr="009241AC">
        <w:rPr>
          <w:rFonts w:ascii="Century Gothic" w:hAnsi="Century Gothic" w:eastAsia="Times New Roman" w:cs="Times New Roman"/>
          <w:color w:val="000000" w:themeColor="text1"/>
          <w:lang w:eastAsia="es-ES_tradnl"/>
        </w:rPr>
        <w:t xml:space="preserve">Respecto del régimen jurídico, el numeral 4 de la misma disposición </w:t>
      </w:r>
      <w:r w:rsidR="004247DE">
        <w:rPr>
          <w:rFonts w:ascii="Century Gothic" w:hAnsi="Century Gothic" w:eastAsia="Times New Roman" w:cs="Times New Roman"/>
          <w:color w:val="000000" w:themeColor="text1"/>
          <w:lang w:eastAsia="es-ES_tradnl"/>
        </w:rPr>
        <w:t>dispone</w:t>
      </w:r>
      <w:r w:rsidRPr="009241AC">
        <w:rPr>
          <w:rFonts w:ascii="Century Gothic" w:hAnsi="Century Gothic" w:eastAsia="Times New Roman" w:cs="Times New Roman"/>
          <w:color w:val="000000" w:themeColor="text1"/>
          <w:lang w:eastAsia="es-ES_tradnl"/>
        </w:rPr>
        <w:t xml:space="preserve"> que</w:t>
      </w:r>
      <w:r w:rsidR="004247DE">
        <w:rPr>
          <w:rFonts w:ascii="Century Gothic" w:hAnsi="Century Gothic" w:eastAsia="Times New Roman" w:cs="Times New Roman"/>
          <w:color w:val="000000" w:themeColor="text1"/>
          <w:lang w:eastAsia="es-ES_tradnl"/>
        </w:rPr>
        <w:t>:</w:t>
      </w:r>
      <w:r w:rsidRPr="009241AC">
        <w:rPr>
          <w:rFonts w:ascii="Century Gothic" w:hAnsi="Century Gothic" w:eastAsia="Times New Roman" w:cs="Times New Roman"/>
          <w:color w:val="000000" w:themeColor="text1"/>
          <w:lang w:eastAsia="es-ES_tradnl"/>
        </w:rPr>
        <w:t xml:space="preserve"> </w:t>
      </w:r>
      <w:r w:rsidRPr="000E62D7">
        <w:rPr>
          <w:rFonts w:ascii="Century Gothic" w:hAnsi="Century Gothic" w:eastAsia="Times New Roman" w:cs="Times New Roman"/>
          <w:color w:val="000000" w:themeColor="text1"/>
          <w:lang w:eastAsia="es-ES_tradnl"/>
        </w:rPr>
        <w:t>“El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w:t>
      </w:r>
      <w:r w:rsidR="004247DE">
        <w:rPr>
          <w:rFonts w:ascii="Century Gothic" w:hAnsi="Century Gothic" w:eastAsia="Times New Roman" w:cs="Times New Roman"/>
          <w:color w:val="000000" w:themeColor="text1"/>
          <w:lang w:eastAsia="es-ES_tradnl"/>
        </w:rPr>
        <w:t>”</w:t>
      </w:r>
      <w:r w:rsidRPr="000E62D7">
        <w:rPr>
          <w:rFonts w:ascii="Century Gothic" w:hAnsi="Century Gothic" w:eastAsia="Times New Roman" w:cs="Times New Roman"/>
          <w:color w:val="000000" w:themeColor="text1"/>
          <w:lang w:eastAsia="es-ES_tradnl"/>
        </w:rPr>
        <w:t xml:space="preserve"> </w:t>
      </w:r>
      <w:r w:rsidR="0091198E">
        <w:rPr>
          <w:rFonts w:ascii="Century Gothic" w:hAnsi="Century Gothic" w:eastAsia="Times New Roman" w:cs="Times New Roman"/>
          <w:color w:val="000000" w:themeColor="text1"/>
          <w:lang w:eastAsia="es-ES_tradnl"/>
        </w:rPr>
        <w:t xml:space="preserve"> </w:t>
      </w:r>
      <w:r w:rsidRPr="009241AC">
        <w:rPr>
          <w:rFonts w:ascii="Century Gothic" w:hAnsi="Century Gothic" w:eastAsia="Times New Roman" w:cs="Times New Roman"/>
          <w:color w:val="000000" w:themeColor="text1"/>
          <w:lang w:eastAsia="es-ES_tradnl"/>
        </w:rPr>
        <w:t>Frente al régimen jurídico aplicable</w:t>
      </w:r>
      <w:r w:rsidR="004247DE">
        <w:rPr>
          <w:rFonts w:ascii="Century Gothic" w:hAnsi="Century Gothic" w:eastAsia="Times New Roman" w:cs="Times New Roman"/>
          <w:color w:val="000000" w:themeColor="text1"/>
          <w:lang w:eastAsia="es-ES_tradnl"/>
        </w:rPr>
        <w:t xml:space="preserve"> a las sociedades públicas</w:t>
      </w:r>
      <w:r w:rsidRPr="000E62D7">
        <w:rPr>
          <w:rFonts w:ascii="Century Gothic" w:hAnsi="Century Gothic" w:eastAsia="Times New Roman" w:cs="Times New Roman"/>
          <w:color w:val="000000" w:themeColor="text1"/>
          <w:lang w:eastAsia="es-ES_tradnl"/>
        </w:rPr>
        <w:t xml:space="preserve">, </w:t>
      </w:r>
      <w:r w:rsidR="004247DE">
        <w:rPr>
          <w:rFonts w:ascii="Century Gothic" w:hAnsi="Century Gothic" w:eastAsia="Times New Roman" w:cs="Times New Roman"/>
          <w:color w:val="000000" w:themeColor="text1"/>
          <w:lang w:eastAsia="es-ES_tradnl"/>
        </w:rPr>
        <w:t>la Corte Constitucional</w:t>
      </w:r>
      <w:r w:rsidRPr="000E62D7">
        <w:rPr>
          <w:rFonts w:ascii="Century Gothic" w:hAnsi="Century Gothic" w:eastAsia="Times New Roman" w:cs="Times New Roman"/>
          <w:color w:val="000000" w:themeColor="text1"/>
          <w:lang w:eastAsia="es-ES_tradnl"/>
        </w:rPr>
        <w:t xml:space="preserve"> precisó lo siguiente: </w:t>
      </w:r>
    </w:p>
    <w:p w:rsidRPr="009241AC" w:rsidR="00EC5C23" w:rsidP="00EC5C23" w:rsidRDefault="00EC5C23" w14:paraId="1026060E" w14:textId="77777777">
      <w:pPr>
        <w:spacing w:after="0" w:line="276" w:lineRule="auto"/>
        <w:jc w:val="both"/>
        <w:rPr>
          <w:rFonts w:ascii="Century Gothic" w:hAnsi="Century Gothic" w:eastAsia="Times New Roman" w:cs="Times New Roman"/>
          <w:color w:val="000000" w:themeColor="text1"/>
          <w:lang w:eastAsia="es-ES_tradnl"/>
        </w:rPr>
      </w:pPr>
    </w:p>
    <w:p w:rsidRPr="009241AC" w:rsidR="00EC5C23" w:rsidP="00EC5C23" w:rsidRDefault="00EC5C23" w14:paraId="1DC30847" w14:textId="56EF94F6">
      <w:pPr>
        <w:spacing w:after="0" w:line="240" w:lineRule="auto"/>
        <w:ind w:left="709" w:right="709"/>
        <w:jc w:val="both"/>
        <w:rPr>
          <w:rFonts w:ascii="Century Gothic" w:hAnsi="Century Gothic" w:eastAsia="Times New Roman" w:cs="Times New Roman"/>
          <w:sz w:val="20"/>
          <w:szCs w:val="20"/>
          <w:lang w:eastAsia="es-ES_tradnl"/>
        </w:rPr>
      </w:pPr>
      <w:r w:rsidRPr="000E62D7">
        <w:rPr>
          <w:rFonts w:ascii="Century Gothic" w:hAnsi="Century Gothic" w:eastAsia="Times New Roman" w:cs="Times New Roman"/>
          <w:sz w:val="20"/>
          <w:szCs w:val="20"/>
          <w:lang w:eastAsia="es-ES_tradnl"/>
        </w:rPr>
        <w:t xml:space="preserve">“Del régimen Jurídico que regirá las empresas, sociedades y filiales a que se refiere el artículo 94 de la Ley 489 de 1998, con fundamento en lo previsto en el artículo 210 de la Constitución, corresponde a la potestad de configuración del legislador. En esta medida dispuso, (i) en el artículo 38, </w:t>
      </w:r>
      <w:r w:rsidRPr="000E62D7">
        <w:rPr>
          <w:rFonts w:ascii="Century Gothic" w:hAnsi="Century Gothic" w:eastAsia="Times New Roman" w:cs="Times New Roman"/>
          <w:sz w:val="20"/>
          <w:szCs w:val="20"/>
          <w:lang w:eastAsia="es-ES_tradnl"/>
        </w:rPr>
        <w:t>parágrafo, de la misma ley, que las sociedades públicas y las sociedades de economía mixta en las que el Estado posea el noventa por ciento (90%) o más de su capital social, se someten al régimen previsto para las empresas industriales y comerciales del Estado; (</w:t>
      </w:r>
      <w:proofErr w:type="spellStart"/>
      <w:r w:rsidRPr="000E62D7">
        <w:rPr>
          <w:rFonts w:ascii="Century Gothic" w:hAnsi="Century Gothic" w:eastAsia="Times New Roman" w:cs="Times New Roman"/>
          <w:sz w:val="20"/>
          <w:szCs w:val="20"/>
          <w:lang w:eastAsia="es-ES_tradnl"/>
        </w:rPr>
        <w:t>ii</w:t>
      </w:r>
      <w:proofErr w:type="spellEnd"/>
      <w:r w:rsidRPr="000E62D7">
        <w:rPr>
          <w:rFonts w:ascii="Century Gothic" w:hAnsi="Century Gothic" w:eastAsia="Times New Roman" w:cs="Times New Roman"/>
          <w:sz w:val="20"/>
          <w:szCs w:val="20"/>
          <w:lang w:eastAsia="es-ES_tradnl"/>
        </w:rPr>
        <w:t>) en el art. 94, inc. 1º, de la mencionada ley, que las empresas y sociedades que se creen con participación exclusiva de una o varias empresas industriales y comerciales del Estado o entre éstas y otras entidades descentralizadas y entidades territoriales se rigen por las disposiciones establecidas en los actos de creación, y las disposiciones del Código de Comercio; (</w:t>
      </w:r>
      <w:proofErr w:type="spellStart"/>
      <w:r w:rsidRPr="000E62D7">
        <w:rPr>
          <w:rFonts w:ascii="Century Gothic" w:hAnsi="Century Gothic" w:eastAsia="Times New Roman" w:cs="Times New Roman"/>
          <w:sz w:val="20"/>
          <w:szCs w:val="20"/>
          <w:lang w:eastAsia="es-ES_tradnl"/>
        </w:rPr>
        <w:t>iii</w:t>
      </w:r>
      <w:proofErr w:type="spellEnd"/>
      <w:r w:rsidRPr="000E62D7">
        <w:rPr>
          <w:rFonts w:ascii="Century Gothic" w:hAnsi="Century Gothic" w:eastAsia="Times New Roman" w:cs="Times New Roman"/>
          <w:sz w:val="20"/>
          <w:szCs w:val="20"/>
          <w:lang w:eastAsia="es-ES_tradnl"/>
        </w:rPr>
        <w:t>) que las filiales en las que participen más de una empresa industrial y comercial del Estado, entidad territorial u otra entidad descentralizada se regirán en cu</w:t>
      </w:r>
      <w:r w:rsidR="00D21DBD">
        <w:rPr>
          <w:rFonts w:ascii="Century Gothic" w:hAnsi="Century Gothic" w:eastAsia="Times New Roman" w:cs="Times New Roman"/>
          <w:sz w:val="20"/>
          <w:szCs w:val="20"/>
          <w:lang w:eastAsia="es-ES_tradnl"/>
        </w:rPr>
        <w:t>a</w:t>
      </w:r>
      <w:r w:rsidRPr="000E62D7">
        <w:rPr>
          <w:rFonts w:ascii="Century Gothic" w:hAnsi="Century Gothic" w:eastAsia="Times New Roman" w:cs="Times New Roman"/>
          <w:sz w:val="20"/>
          <w:szCs w:val="20"/>
          <w:lang w:eastAsia="es-ES_tradnl"/>
        </w:rPr>
        <w:t>nto a sus actos, contratos, servidores y las relaciones con terceros por las disposiciones del derecho privado, en especial las propias de las empresas y sociedades previstas en el Código de Comercio y legislación complementaria; y, (</w:t>
      </w:r>
      <w:proofErr w:type="spellStart"/>
      <w:r w:rsidRPr="000E62D7">
        <w:rPr>
          <w:rFonts w:ascii="Century Gothic" w:hAnsi="Century Gothic" w:eastAsia="Times New Roman" w:cs="Times New Roman"/>
          <w:sz w:val="20"/>
          <w:szCs w:val="20"/>
          <w:lang w:eastAsia="es-ES_tradnl"/>
        </w:rPr>
        <w:t>iv</w:t>
      </w:r>
      <w:proofErr w:type="spellEnd"/>
      <w:r w:rsidRPr="000E62D7">
        <w:rPr>
          <w:rFonts w:ascii="Century Gothic" w:hAnsi="Century Gothic" w:eastAsia="Times New Roman" w:cs="Times New Roman"/>
          <w:sz w:val="20"/>
          <w:szCs w:val="20"/>
          <w:lang w:eastAsia="es-ES_tradnl"/>
        </w:rPr>
        <w:t>) que las filiales de las empresas industriales y comerciales del Estado con participación de particulares se regirán por las disposiciones previstas para las sociedades de economía mixta”</w:t>
      </w:r>
      <w:r w:rsidRPr="009241AC">
        <w:rPr>
          <w:rStyle w:val="Refdenotaalpie"/>
          <w:rFonts w:ascii="Century Gothic" w:hAnsi="Century Gothic" w:eastAsia="Times New Roman" w:cs="Times New Roman"/>
          <w:sz w:val="20"/>
          <w:szCs w:val="20"/>
          <w:lang w:eastAsia="es-ES_tradnl"/>
        </w:rPr>
        <w:footnoteReference w:id="5"/>
      </w:r>
      <w:r w:rsidRPr="000E62D7">
        <w:rPr>
          <w:rFonts w:ascii="Century Gothic" w:hAnsi="Century Gothic" w:eastAsia="Times New Roman" w:cs="Times New Roman"/>
          <w:sz w:val="20"/>
          <w:szCs w:val="20"/>
          <w:lang w:eastAsia="es-ES_tradnl"/>
        </w:rPr>
        <w:t xml:space="preserve"> </w:t>
      </w:r>
    </w:p>
    <w:p w:rsidRPr="009241AC" w:rsidR="00EC5C23" w:rsidP="00EC5C23" w:rsidRDefault="00EC5C23" w14:paraId="5E214051" w14:textId="77777777">
      <w:pPr>
        <w:spacing w:after="0" w:line="276" w:lineRule="auto"/>
        <w:jc w:val="both"/>
        <w:rPr>
          <w:rFonts w:ascii="Century Gothic" w:hAnsi="Century Gothic" w:eastAsia="Times New Roman" w:cs="Times New Roman"/>
          <w:lang w:eastAsia="es-ES_tradnl"/>
        </w:rPr>
      </w:pPr>
    </w:p>
    <w:p w:rsidRPr="009241AC" w:rsidR="00EC5C23" w:rsidP="00EC5C23" w:rsidRDefault="00EC5C23" w14:paraId="3CAD49EE" w14:textId="5BF7A3E1">
      <w:pPr>
        <w:spacing w:after="120" w:line="276" w:lineRule="auto"/>
        <w:ind w:firstLine="708"/>
        <w:jc w:val="both"/>
        <w:rPr>
          <w:rFonts w:ascii="Century Gothic" w:hAnsi="Century Gothic" w:eastAsia="Times New Roman" w:cs="Times New Roman"/>
          <w:lang w:eastAsia="es-ES_tradnl"/>
        </w:rPr>
      </w:pPr>
      <w:r w:rsidRPr="000E62D7">
        <w:rPr>
          <w:rFonts w:ascii="Century Gothic" w:hAnsi="Century Gothic" w:eastAsia="Times New Roman" w:cs="Times New Roman"/>
          <w:lang w:eastAsia="es-ES_tradnl"/>
        </w:rPr>
        <w:t xml:space="preserve">Con posterioridad, </w:t>
      </w:r>
      <w:r w:rsidR="004247DE">
        <w:rPr>
          <w:rFonts w:ascii="Century Gothic" w:hAnsi="Century Gothic" w:eastAsia="Times New Roman" w:cs="Times New Roman"/>
          <w:lang w:eastAsia="es-ES_tradnl"/>
        </w:rPr>
        <w:t xml:space="preserve">el artículo 93 de </w:t>
      </w:r>
      <w:r w:rsidRPr="000E62D7">
        <w:rPr>
          <w:rFonts w:ascii="Century Gothic" w:hAnsi="Century Gothic" w:eastAsia="Times New Roman" w:cs="Times New Roman"/>
          <w:lang w:eastAsia="es-ES_tradnl"/>
        </w:rPr>
        <w:t>la Ley 1474 de 2011</w:t>
      </w:r>
      <w:r w:rsidRPr="009241AC">
        <w:rPr>
          <w:rStyle w:val="Refdenotaalpie"/>
          <w:rFonts w:ascii="Century Gothic" w:hAnsi="Century Gothic" w:eastAsia="Times New Roman" w:cs="Times New Roman"/>
          <w:lang w:eastAsia="es-ES_tradnl"/>
        </w:rPr>
        <w:footnoteReference w:id="6"/>
      </w:r>
      <w:r w:rsidR="00785E1C">
        <w:rPr>
          <w:rFonts w:ascii="Century Gothic" w:hAnsi="Century Gothic" w:eastAsia="Times New Roman" w:cs="Times New Roman"/>
          <w:lang w:eastAsia="es-ES_tradnl"/>
        </w:rPr>
        <w:t>,</w:t>
      </w:r>
      <w:r w:rsidRPr="000E62D7">
        <w:rPr>
          <w:rFonts w:ascii="Century Gothic" w:hAnsi="Century Gothic" w:eastAsia="Times New Roman" w:cs="Times New Roman"/>
          <w:lang w:eastAsia="es-ES_tradnl"/>
        </w:rPr>
        <w:t xml:space="preserve"> de manera congruente</w:t>
      </w:r>
      <w:r w:rsidR="00785E1C">
        <w:rPr>
          <w:rFonts w:ascii="Century Gothic" w:hAnsi="Century Gothic" w:eastAsia="Times New Roman" w:cs="Times New Roman"/>
          <w:lang w:eastAsia="es-ES_tradnl"/>
        </w:rPr>
        <w:t>,</w:t>
      </w:r>
      <w:r w:rsidRPr="000E62D7">
        <w:rPr>
          <w:rFonts w:ascii="Century Gothic" w:hAnsi="Century Gothic" w:eastAsia="Times New Roman" w:cs="Times New Roman"/>
          <w:lang w:eastAsia="es-ES_tradnl"/>
        </w:rPr>
        <w:t xml:space="preserve"> señaló que</w:t>
      </w:r>
      <w:r w:rsidR="00785E1C">
        <w:rPr>
          <w:rFonts w:ascii="Century Gothic" w:hAnsi="Century Gothic" w:eastAsia="Times New Roman" w:cs="Times New Roman"/>
          <w:lang w:eastAsia="es-ES_tradnl"/>
        </w:rPr>
        <w:t>,</w:t>
      </w:r>
      <w:r w:rsidRPr="000E62D7">
        <w:rPr>
          <w:rFonts w:ascii="Century Gothic" w:hAnsi="Century Gothic" w:eastAsia="Times New Roman" w:cs="Times New Roman"/>
          <w:lang w:eastAsia="es-ES_tradnl"/>
        </w:rPr>
        <w:t xml:space="preserve"> en materia de contratación, las </w:t>
      </w:r>
      <w:r w:rsidR="00785E1C">
        <w:rPr>
          <w:rFonts w:ascii="Century Gothic" w:hAnsi="Century Gothic" w:eastAsia="Times New Roman" w:cs="Times New Roman"/>
          <w:lang w:eastAsia="es-ES_tradnl"/>
        </w:rPr>
        <w:t>s</w:t>
      </w:r>
      <w:r w:rsidRPr="000E62D7">
        <w:rPr>
          <w:rFonts w:ascii="Century Gothic" w:hAnsi="Century Gothic" w:eastAsia="Times New Roman" w:cs="Times New Roman"/>
          <w:lang w:eastAsia="es-ES_tradnl"/>
        </w:rPr>
        <w:t>ociedades formadas entre Entidades Públicas</w:t>
      </w:r>
      <w:r w:rsidRPr="009241AC">
        <w:rPr>
          <w:rFonts w:ascii="Century Gothic" w:hAnsi="Century Gothic" w:eastAsia="Times New Roman" w:cs="Times New Roman"/>
          <w:lang w:eastAsia="es-ES_tradnl"/>
        </w:rPr>
        <w:t xml:space="preserve"> </w:t>
      </w:r>
      <w:r w:rsidRPr="000E62D7">
        <w:rPr>
          <w:rFonts w:ascii="Century Gothic" w:hAnsi="Century Gothic" w:eastAsia="Times New Roman" w:cs="Times New Roman"/>
          <w:lang w:eastAsia="es-ES_tradnl"/>
        </w:rPr>
        <w:t>con participación mayoritaria del Estado superior al cincuenta por ciento (50%) estarán sometidas al Estatuto General de Contratación de la Administración Pública</w:t>
      </w:r>
      <w:r w:rsidRPr="009241AC">
        <w:rPr>
          <w:rFonts w:ascii="Century Gothic" w:hAnsi="Century Gothic" w:eastAsia="Times New Roman" w:cs="Times New Roman"/>
          <w:lang w:eastAsia="es-ES_tradnl"/>
        </w:rPr>
        <w:t xml:space="preserve"> – en adelante EGCAP –</w:t>
      </w:r>
      <w:r w:rsidRPr="000E62D7">
        <w:rPr>
          <w:rFonts w:ascii="Century Gothic" w:hAnsi="Century Gothic" w:eastAsia="Times New Roman" w:cs="Times New Roman"/>
          <w:lang w:eastAsia="es-ES_tradnl"/>
        </w:rPr>
        <w:t>,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9241AC">
        <w:rPr>
          <w:rFonts w:ascii="Century Gothic" w:hAnsi="Century Gothic" w:eastAsia="Times New Roman" w:cs="Times New Roman"/>
          <w:lang w:eastAsia="es-ES_tradnl"/>
        </w:rPr>
        <w:t>.</w:t>
      </w:r>
    </w:p>
    <w:p w:rsidRPr="009241AC" w:rsidR="00EC5C23" w:rsidP="00EC5C23" w:rsidRDefault="00EC5C23" w14:paraId="5EF9F584" w14:textId="14B18D9A">
      <w:pPr>
        <w:spacing w:after="0" w:line="276" w:lineRule="auto"/>
        <w:ind w:firstLine="708"/>
        <w:jc w:val="both"/>
        <w:rPr>
          <w:rFonts w:ascii="Century Gothic" w:hAnsi="Century Gothic" w:eastAsia="Times New Roman" w:cs="Times New Roman"/>
          <w:lang w:eastAsia="es-ES_tradnl"/>
        </w:rPr>
      </w:pPr>
      <w:r w:rsidRPr="009241AC">
        <w:rPr>
          <w:rFonts w:ascii="Century Gothic" w:hAnsi="Century Gothic" w:eastAsia="Times New Roman" w:cs="Times New Roman"/>
          <w:lang w:eastAsia="es-ES_tradnl"/>
        </w:rPr>
        <w:t xml:space="preserve">Conforme las anteriores consideraciones, es posible concluir que, las </w:t>
      </w:r>
      <w:r w:rsidR="00785E1C">
        <w:rPr>
          <w:rFonts w:ascii="Century Gothic" w:hAnsi="Century Gothic" w:eastAsia="Times New Roman" w:cs="Times New Roman"/>
          <w:lang w:eastAsia="es-ES_tradnl"/>
        </w:rPr>
        <w:t>s</w:t>
      </w:r>
      <w:r w:rsidRPr="009241AC">
        <w:rPr>
          <w:rFonts w:ascii="Century Gothic" w:hAnsi="Century Gothic" w:eastAsia="Times New Roman" w:cs="Times New Roman"/>
          <w:lang w:eastAsia="es-ES_tradnl"/>
        </w:rPr>
        <w:t xml:space="preserve">ociedades </w:t>
      </w:r>
      <w:r w:rsidR="00785E1C">
        <w:rPr>
          <w:rFonts w:ascii="Century Gothic" w:hAnsi="Century Gothic" w:eastAsia="Times New Roman" w:cs="Times New Roman"/>
          <w:lang w:eastAsia="es-ES_tradnl"/>
        </w:rPr>
        <w:t>p</w:t>
      </w:r>
      <w:r w:rsidRPr="009241AC">
        <w:rPr>
          <w:rFonts w:ascii="Century Gothic" w:hAnsi="Century Gothic" w:eastAsia="Times New Roman" w:cs="Times New Roman"/>
          <w:lang w:eastAsia="es-ES_tradnl"/>
        </w:rPr>
        <w:t>úblicas o la</w:t>
      </w:r>
      <w:r w:rsidR="00785E1C">
        <w:rPr>
          <w:rFonts w:ascii="Century Gothic" w:hAnsi="Century Gothic" w:eastAsia="Times New Roman" w:cs="Times New Roman"/>
          <w:lang w:eastAsia="es-ES_tradnl"/>
        </w:rPr>
        <w:t>s</w:t>
      </w:r>
      <w:r w:rsidRPr="009241AC">
        <w:rPr>
          <w:rFonts w:ascii="Century Gothic" w:hAnsi="Century Gothic" w:eastAsia="Times New Roman" w:cs="Times New Roman"/>
          <w:lang w:eastAsia="es-ES_tradnl"/>
        </w:rPr>
        <w:t xml:space="preserve"> sociedades entre </w:t>
      </w:r>
      <w:r w:rsidR="00785E1C">
        <w:rPr>
          <w:rFonts w:ascii="Century Gothic" w:hAnsi="Century Gothic" w:eastAsia="Times New Roman" w:cs="Times New Roman"/>
          <w:lang w:eastAsia="es-ES_tradnl"/>
        </w:rPr>
        <w:t>E</w:t>
      </w:r>
      <w:r w:rsidRPr="009241AC">
        <w:rPr>
          <w:rFonts w:ascii="Century Gothic" w:hAnsi="Century Gothic" w:eastAsia="Times New Roman" w:cs="Times New Roman"/>
          <w:lang w:eastAsia="es-ES_tradnl"/>
        </w:rPr>
        <w:t xml:space="preserve">ntidades </w:t>
      </w:r>
      <w:r w:rsidR="00785E1C">
        <w:rPr>
          <w:rFonts w:ascii="Century Gothic" w:hAnsi="Century Gothic" w:eastAsia="Times New Roman" w:cs="Times New Roman"/>
          <w:lang w:eastAsia="es-ES_tradnl"/>
        </w:rPr>
        <w:t>P</w:t>
      </w:r>
      <w:r w:rsidRPr="009241AC">
        <w:rPr>
          <w:rFonts w:ascii="Century Gothic" w:hAnsi="Century Gothic" w:eastAsia="Times New Roman" w:cs="Times New Roman"/>
          <w:lang w:eastAsia="es-ES_tradnl"/>
        </w:rPr>
        <w:t>úblicas que se crean con el fin de desarrollar actividades de naturaleza industrial o comercial son un tipo de entidad diferente a las empresas industriales y comerciales del Estado y a las sociedades de economía mixta, cuyo régimen jurídico se sujeta a las disposiciones del derecho privado</w:t>
      </w:r>
      <w:r w:rsidR="00785E1C">
        <w:rPr>
          <w:rFonts w:ascii="Century Gothic" w:hAnsi="Century Gothic" w:eastAsia="Times New Roman" w:cs="Times New Roman"/>
          <w:lang w:eastAsia="es-ES_tradnl"/>
        </w:rPr>
        <w:t>.</w:t>
      </w:r>
    </w:p>
    <w:p w:rsidRPr="009241AC" w:rsidR="00EC5C23" w:rsidP="00EC5C23" w:rsidRDefault="00EC5C23" w14:paraId="364CC2CA" w14:textId="77777777">
      <w:pPr>
        <w:spacing w:after="0" w:line="276" w:lineRule="auto"/>
        <w:jc w:val="both"/>
        <w:rPr>
          <w:rFonts w:ascii="Century Gothic" w:hAnsi="Century Gothic" w:eastAsia="Arial" w:cs="Arial"/>
          <w:b/>
          <w:bCs/>
          <w:lang w:val="es-ES_tradnl" w:eastAsia="es-ES_tradnl"/>
        </w:rPr>
      </w:pPr>
    </w:p>
    <w:p w:rsidRPr="009241AC" w:rsidR="00EC5C23" w:rsidP="00EC5C23" w:rsidRDefault="00EC5C23" w14:paraId="39D98032" w14:textId="5630F171">
      <w:pPr>
        <w:spacing w:after="0" w:line="276" w:lineRule="auto"/>
        <w:jc w:val="both"/>
        <w:rPr>
          <w:rFonts w:ascii="Century Gothic" w:hAnsi="Century Gothic" w:eastAsia="Times New Roman" w:cs="Arial"/>
          <w:lang w:eastAsia="es-ES_tradnl"/>
        </w:rPr>
      </w:pPr>
      <w:r w:rsidRPr="009241AC">
        <w:rPr>
          <w:rFonts w:ascii="Century Gothic" w:hAnsi="Century Gothic" w:eastAsia="Arial" w:cs="Arial"/>
          <w:b/>
          <w:bCs/>
          <w:lang w:val="es-ES_tradnl" w:eastAsia="es-ES_tradnl"/>
        </w:rPr>
        <w:t xml:space="preserve">2.2. </w:t>
      </w:r>
      <w:r w:rsidRPr="009241AC" w:rsidR="004104D2">
        <w:rPr>
          <w:rFonts w:ascii="Century Gothic" w:hAnsi="Century Gothic" w:eastAsia="Arial" w:cs="Arial"/>
          <w:b/>
          <w:bCs/>
          <w:lang w:val="es-ES_tradnl" w:eastAsia="es-ES_tradnl"/>
        </w:rPr>
        <w:t>Fundamento normativo</w:t>
      </w:r>
      <w:r w:rsidR="004104D2">
        <w:rPr>
          <w:rFonts w:ascii="Century Gothic" w:hAnsi="Century Gothic" w:eastAsia="Arial" w:cs="Arial"/>
          <w:b/>
          <w:bCs/>
          <w:lang w:val="es-ES_tradnl" w:eastAsia="es-ES_tradnl"/>
        </w:rPr>
        <w:t xml:space="preserve">, ámbito de aplicación y </w:t>
      </w:r>
      <w:r w:rsidRPr="009241AC" w:rsidR="004104D2">
        <w:rPr>
          <w:rFonts w:ascii="Century Gothic" w:hAnsi="Century Gothic" w:eastAsia="Arial" w:cs="Arial"/>
          <w:b/>
          <w:bCs/>
          <w:lang w:val="es-ES_tradnl" w:eastAsia="es-ES_tradnl"/>
        </w:rPr>
        <w:t xml:space="preserve">de los Documentos Tipo </w:t>
      </w:r>
      <w:bookmarkEnd w:id="4"/>
    </w:p>
    <w:p w:rsidRPr="0019286C" w:rsidR="00EC5C23" w:rsidP="00EC5C23" w:rsidRDefault="00EC5C23" w14:paraId="6817DC92" w14:textId="77777777">
      <w:pPr>
        <w:spacing w:after="0" w:line="276" w:lineRule="auto"/>
        <w:jc w:val="both"/>
        <w:rPr>
          <w:rFonts w:ascii="Century Gothic" w:hAnsi="Century Gothic" w:eastAsia="Arial" w:cs="Arial"/>
          <w:b/>
          <w:sz w:val="18"/>
          <w:szCs w:val="18"/>
          <w:lang w:val="es-ES_tradnl" w:eastAsia="es-ES_tradnl"/>
        </w:rPr>
      </w:pPr>
    </w:p>
    <w:p w:rsidRPr="009241AC" w:rsidR="00EC5C23" w:rsidP="00EC5C23" w:rsidRDefault="00EC5C23" w14:paraId="7675C825" w14:textId="77777777">
      <w:pPr>
        <w:spacing w:after="120" w:line="276" w:lineRule="auto"/>
        <w:jc w:val="both"/>
        <w:rPr>
          <w:rFonts w:ascii="Century Gothic" w:hAnsi="Century Gothic" w:eastAsia="Calibri" w:cs="Arial"/>
          <w:lang w:val="es-ES" w:eastAsia="es-ES"/>
        </w:rPr>
      </w:pPr>
      <w:r w:rsidRPr="601F0686">
        <w:rPr>
          <w:rFonts w:ascii="Century Gothic" w:hAnsi="Century Gothic" w:eastAsia="Calibri" w:cs="Arial"/>
          <w:lang w:val="es-ES" w:eastAsia="es-ES"/>
        </w:rPr>
        <w:t>La adopción de los Documentos Tipo obligatorios en el ordenamiento jurídico colombiano se incluyó por primera vez en el parágrafo 3 del artículo 2 de la Ley 1150 de 2007</w:t>
      </w:r>
      <w:r w:rsidRPr="601F0686">
        <w:rPr>
          <w:rFonts w:ascii="Century Gothic" w:hAnsi="Century Gothic" w:eastAsia="Calibri" w:cs="Arial"/>
          <w:vertAlign w:val="superscript"/>
          <w:lang w:val="es-ES" w:eastAsia="es-ES"/>
        </w:rPr>
        <w:footnoteReference w:id="7"/>
      </w:r>
      <w:r w:rsidRPr="601F0686">
        <w:rPr>
          <w:rFonts w:ascii="Century Gothic" w:hAnsi="Century Gothic" w:eastAsia="Calibri" w:cs="Arial"/>
          <w:lang w:val="es-ES" w:eastAsia="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rsidRPr="009241AC" w:rsidR="00EC5C23" w:rsidP="00EC5C23" w:rsidRDefault="00EC5C23" w14:paraId="1F8C1DFE" w14:textId="77777777">
      <w:pPr>
        <w:spacing w:after="120" w:line="276" w:lineRule="auto"/>
        <w:ind w:firstLine="709"/>
        <w:jc w:val="both"/>
        <w:rPr>
          <w:rFonts w:ascii="Century Gothic" w:hAnsi="Century Gothic" w:eastAsia="Calibri" w:cs="Arial"/>
          <w:lang w:val="es-ES_tradnl" w:eastAsia="es-ES_tradnl"/>
        </w:rPr>
      </w:pPr>
      <w:r w:rsidRPr="009241AC">
        <w:rPr>
          <w:rFonts w:ascii="Century Gothic" w:hAnsi="Century Gothic" w:eastAsia="Calibri" w:cs="Arial"/>
          <w:lang w:val="es-ES_tradnl" w:eastAsia="es-ES_tradnl"/>
        </w:rPr>
        <w:t xml:space="preserve">Debido a lo anterior, el artículo 4 de la Ley 1882 de 2018 se convierte en el antecedente más relevante respecto a los Documentos Tipo. A partir de esta norma, se definió un mandato de obligatoria observancia por parte de todas las entidades sometidas al </w:t>
      </w:r>
      <w:r w:rsidRPr="009241AC">
        <w:rPr>
          <w:rFonts w:ascii="Century Gothic" w:hAnsi="Century Gothic" w:eastAsia="Calibri" w:cs="Arial"/>
          <w:bCs/>
          <w:lang w:val="es-ES_tradnl" w:eastAsia="es-ES_tradnl"/>
        </w:rPr>
        <w:t xml:space="preserve">EGCAP en </w:t>
      </w:r>
      <w:r w:rsidRPr="009241AC">
        <w:rPr>
          <w:rFonts w:ascii="Century Gothic" w:hAnsi="Century Gothic" w:eastAsia="Calibri" w:cs="Arial"/>
          <w:lang w:val="es-ES_tradnl" w:eastAsia="es-ES_tradnl"/>
        </w:rPr>
        <w:t>la aplicación de los Documentos Tipo adoptados por el Gobierno Nacional para la contratación de obra pública y su respectiva interventoría, así como la interventoría para consultoría de estudios y diseños para obras públicas y consultoría en ingeniería para obras, los cuales debían ser utilizados en los procesos de selección que adelantaran</w:t>
      </w:r>
      <w:r w:rsidRPr="009241AC">
        <w:rPr>
          <w:rFonts w:ascii="Century Gothic" w:hAnsi="Century Gothic" w:eastAsia="Calibri" w:cs="Arial"/>
          <w:vertAlign w:val="superscript"/>
          <w:lang w:val="es-ES_tradnl" w:eastAsia="es-ES_tradnl"/>
        </w:rPr>
        <w:footnoteReference w:id="8"/>
      </w:r>
      <w:r w:rsidRPr="009241AC">
        <w:rPr>
          <w:rFonts w:ascii="Century Gothic" w:hAnsi="Century Gothic" w:eastAsia="Calibri" w:cs="Arial"/>
          <w:lang w:val="es-ES_tradnl" w:eastAsia="es-ES_tradnl"/>
        </w:rPr>
        <w:t>.</w:t>
      </w:r>
    </w:p>
    <w:p w:rsidRPr="009241AC" w:rsidR="00EC5C23" w:rsidP="00EC5C23" w:rsidRDefault="00EC5C23" w14:paraId="5D675823"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lang w:val="es-ES_tradnl" w:eastAsia="es-ES_tradnl"/>
        </w:rPr>
        <w:tab/>
      </w:r>
      <w:r w:rsidRPr="601F0686">
        <w:rPr>
          <w:rFonts w:ascii="Century Gothic" w:hAnsi="Century Gothic" w:eastAsia="Calibri" w:cs="Arial"/>
          <w:lang w:val="es-ES" w:eastAsia="es-ES"/>
        </w:rPr>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w:t>
      </w:r>
      <w:r w:rsidRPr="601F0686">
        <w:rPr>
          <w:rFonts w:ascii="Century Gothic" w:hAnsi="Century Gothic" w:eastAsia="Calibri" w:cs="Arial"/>
          <w:lang w:val="es-ES" w:eastAsia="es-ES"/>
        </w:rPr>
        <w:t>adoptar los Documentos Tipo cuando lo considerara necesario en relación con otros contratos o procesos de selección.</w:t>
      </w:r>
    </w:p>
    <w:p w:rsidRPr="009241AC" w:rsidR="00EC5C23" w:rsidP="00EC5C23" w:rsidRDefault="00EC5C23" w14:paraId="60AD1FC3"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lang w:val="es-ES_tradnl" w:eastAsia="es-ES_tradnl"/>
        </w:rPr>
        <w:tab/>
      </w:r>
      <w:bookmarkStart w:name="_Hlk113022874" w:id="5"/>
      <w:r w:rsidRPr="601F0686">
        <w:rPr>
          <w:rFonts w:ascii="Century Gothic" w:hAnsi="Century Gothic" w:eastAsia="Calibri" w:cs="Arial"/>
          <w:lang w:val="es-ES" w:eastAsia="es-ES"/>
        </w:rPr>
        <w:t xml:space="preserve">De la norma descrita se concluía lo siguiente: i) la adopción de los Documentos Tipo estaba en cabeza del Gobierno Nacional; </w:t>
      </w:r>
      <w:proofErr w:type="spellStart"/>
      <w:r w:rsidRPr="601F0686">
        <w:rPr>
          <w:rFonts w:ascii="Century Gothic" w:hAnsi="Century Gothic" w:eastAsia="Calibri" w:cs="Arial"/>
          <w:lang w:val="es-ES" w:eastAsia="es-ES"/>
        </w:rPr>
        <w:t>ii</w:t>
      </w:r>
      <w:proofErr w:type="spellEnd"/>
      <w:r w:rsidRPr="601F0686">
        <w:rPr>
          <w:rFonts w:ascii="Century Gothic" w:hAnsi="Century Gothic" w:eastAsia="Calibri" w:cs="Arial"/>
          <w:lang w:val="es-ES" w:eastAsia="es-ES"/>
        </w:rPr>
        <w:t xml:space="preserve">) estos debían relacionarse con procesos de obras públicas, interventoría para las obras públicas, interventoría para consultoría de estudios y diseños y, finalmente, consultoría en ingeniería para obras; </w:t>
      </w:r>
      <w:proofErr w:type="spellStart"/>
      <w:r w:rsidRPr="601F0686">
        <w:rPr>
          <w:rFonts w:ascii="Century Gothic" w:hAnsi="Century Gothic" w:eastAsia="Calibri" w:cs="Arial"/>
          <w:lang w:val="es-ES" w:eastAsia="es-ES"/>
        </w:rPr>
        <w:t>iii</w:t>
      </w:r>
      <w:proofErr w:type="spellEnd"/>
      <w:r w:rsidRPr="601F0686">
        <w:rPr>
          <w:rFonts w:ascii="Century Gothic" w:hAnsi="Century Gothic" w:eastAsia="Calibri" w:cs="Arial"/>
          <w:lang w:val="es-ES" w:eastAsia="es-ES"/>
        </w:rPr>
        <w:t xml:space="preserve">) eran de obligatorio cumplimiento por parte de todas las entidades sometidas al EGCAP; </w:t>
      </w:r>
      <w:proofErr w:type="spellStart"/>
      <w:r w:rsidRPr="601F0686">
        <w:rPr>
          <w:rFonts w:ascii="Century Gothic" w:hAnsi="Century Gothic" w:eastAsia="Calibri" w:cs="Arial"/>
          <w:lang w:val="es-ES" w:eastAsia="es-ES"/>
        </w:rPr>
        <w:t>iv</w:t>
      </w:r>
      <w:proofErr w:type="spellEnd"/>
      <w:r w:rsidRPr="601F0686">
        <w:rPr>
          <w:rFonts w:ascii="Century Gothic" w:hAnsi="Century Gothic" w:eastAsia="Calibri" w:cs="Arial"/>
          <w:lang w:val="es-ES" w:eastAsia="es-ES"/>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bookmarkEnd w:id="5"/>
    <w:p w:rsidRPr="009241AC" w:rsidR="00EC5C23" w:rsidP="00EC5C23" w:rsidRDefault="00EC5C23" w14:paraId="6CA86F01" w14:textId="77777777">
      <w:pPr>
        <w:spacing w:after="120" w:line="276" w:lineRule="auto"/>
        <w:jc w:val="both"/>
        <w:rPr>
          <w:rFonts w:ascii="Century Gothic" w:hAnsi="Century Gothic" w:eastAsia="Calibri" w:cs="Arial"/>
          <w:lang w:val="es-ES_tradnl" w:eastAsia="es-ES_tradnl"/>
        </w:rPr>
      </w:pPr>
      <w:r w:rsidRPr="009241AC">
        <w:rPr>
          <w:rFonts w:ascii="Century Gothic" w:hAnsi="Century Gothic" w:eastAsia="Calibri" w:cs="Arial"/>
          <w:lang w:val="es-ES_tradnl" w:eastAsia="es-ES_tradnl"/>
        </w:rPr>
        <w:tab/>
      </w:r>
      <w:r w:rsidRPr="009241AC">
        <w:rPr>
          <w:rFonts w:ascii="Century Gothic" w:hAnsi="Century Gothic" w:eastAsia="Calibri" w:cs="Arial"/>
          <w:lang w:val="es-ES_tradnl" w:eastAsia="es-ES_tradnl"/>
        </w:rPr>
        <w:t xml:space="preserve">Esta norma fue estudiada por la Corte Constitucional en la sentencia C-119 de 2020. Al respecto, el Alto Tribunal indicó que la adopción de los Documentos Tipo no afectaba la autonomía de las entidades territoriales, en cuanto la estandarización se predicaba únicamente de los requisitos habilitantes </w:t>
      </w:r>
      <w:bookmarkStart w:name="_Hlk48665985" w:id="6"/>
      <w:r w:rsidRPr="009241AC">
        <w:rPr>
          <w:rFonts w:ascii="Century Gothic" w:hAnsi="Century Gothic" w:eastAsia="Calibri" w:cs="Arial"/>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6"/>
      <w:r w:rsidRPr="009241AC">
        <w:rPr>
          <w:rFonts w:ascii="Century Gothic" w:hAnsi="Century Gothic" w:eastAsia="Calibri" w:cs="Arial"/>
          <w:lang w:val="es-ES_tradnl" w:eastAsia="es-ES_tradnl"/>
        </w:rPr>
        <w:t>. De igual manera, se establece que esta autonomía se garantiza con la identificación autónoma de sus necesidades y la configuración de los elementos del contrato</w:t>
      </w:r>
      <w:r w:rsidRPr="009241AC">
        <w:rPr>
          <w:rFonts w:ascii="Century Gothic" w:hAnsi="Century Gothic" w:eastAsia="Calibri" w:cs="Arial"/>
          <w:vertAlign w:val="superscript"/>
          <w:lang w:val="es-ES_tradnl" w:eastAsia="es-ES_tradnl"/>
        </w:rPr>
        <w:footnoteReference w:id="9"/>
      </w:r>
      <w:r w:rsidRPr="009241AC">
        <w:rPr>
          <w:rFonts w:ascii="Century Gothic" w:hAnsi="Century Gothic" w:eastAsia="Calibri" w:cs="Arial"/>
          <w:lang w:val="es-ES_tradnl" w:eastAsia="es-ES_tradnl"/>
        </w:rPr>
        <w:t>.</w:t>
      </w:r>
    </w:p>
    <w:p w:rsidRPr="009241AC" w:rsidR="00EC5C23" w:rsidP="00EC5C23" w:rsidRDefault="00EC5C23" w14:paraId="14B75A2C" w14:textId="77777777">
      <w:pPr>
        <w:spacing w:after="120" w:line="276" w:lineRule="auto"/>
        <w:jc w:val="both"/>
        <w:rPr>
          <w:rFonts w:ascii="Century Gothic" w:hAnsi="Century Gothic" w:eastAsia="Calibri" w:cs="Arial"/>
          <w:lang w:val="es-ES_tradnl" w:eastAsia="es-ES_tradnl"/>
        </w:rPr>
      </w:pPr>
      <w:r w:rsidRPr="009241AC">
        <w:rPr>
          <w:rFonts w:ascii="Century Gothic" w:hAnsi="Century Gothic" w:eastAsia="Calibri" w:cs="Arial"/>
          <w:lang w:val="es-ES_tradnl" w:eastAsia="es-ES_tradnl"/>
        </w:rPr>
        <w:tab/>
      </w:r>
      <w:r w:rsidRPr="009241AC">
        <w:rPr>
          <w:rFonts w:ascii="Century Gothic" w:hAnsi="Century Gothic" w:eastAsia="Calibri" w:cs="Arial"/>
          <w:lang w:val="es-ES_tradnl" w:eastAsia="es-ES_tradnl"/>
        </w:rPr>
        <w:t xml:space="preserve">De este modo, los Documentos Tipo no afectan la autonomía de las entidades territoriales. Lo anterior, debido a que la definición de los requisitos habilitantes y de aspectos técnicos de la selección del contratista en los procesos de selección, son cuestiones en los que el legislador tiene amplia libertad de configuración legislativa y, por tanto, puede atribuir dicha regulación al Gobierno Nacional. Ahora bien, la referida autonomía se materializa cuando las entidades territoriales deciden iniciar un proceso de convocatoria para satisfacer sus necesidades para la adquisición de un bien, obra o servicio y, además, se incluyen </w:t>
      </w:r>
      <w:r w:rsidRPr="009241AC">
        <w:rPr>
          <w:rFonts w:ascii="Century Gothic" w:hAnsi="Century Gothic" w:eastAsia="Calibri" w:cs="Arial"/>
          <w:lang w:val="es-ES_tradnl" w:eastAsia="es-ES_tradnl"/>
        </w:rPr>
        <w:t>en la minuta del contrato las condiciones particulares del negocio jurídico a celebrar.</w:t>
      </w:r>
    </w:p>
    <w:p w:rsidRPr="009241AC" w:rsidR="00EC5C23" w:rsidP="00EC5C23" w:rsidRDefault="00EC5C23" w14:paraId="590B1789" w14:textId="77777777">
      <w:pPr>
        <w:spacing w:after="120" w:line="276" w:lineRule="auto"/>
        <w:ind w:firstLine="709"/>
        <w:jc w:val="both"/>
        <w:rPr>
          <w:rFonts w:ascii="Century Gothic" w:hAnsi="Century Gothic" w:eastAsia="Calibri" w:cs="Arial"/>
          <w:lang w:val="es-ES_tradnl" w:eastAsia="es-ES"/>
        </w:rPr>
      </w:pPr>
      <w:bookmarkStart w:name="_Hlk113022941" w:id="7"/>
      <w:r w:rsidRPr="009241AC">
        <w:rPr>
          <w:rFonts w:ascii="Century Gothic" w:hAnsi="Century Gothic" w:eastAsia="Calibri" w:cs="Arial"/>
          <w:lang w:val="es-ES_tradnl" w:eastAsia="es-ES"/>
        </w:rPr>
        <w:t>Posteriormente, se expidió la Ley 2022 de 2020, norma que modificó el contenido del parágrafo 7 del artículo 2 de la Ley 1150 de 2007, que había sido adicionado por la Ley 1882 de 2018</w:t>
      </w:r>
      <w:r w:rsidRPr="009241AC">
        <w:rPr>
          <w:rFonts w:ascii="Century Gothic" w:hAnsi="Century Gothic" w:eastAsia="Calibri" w:cs="Arial"/>
          <w:vertAlign w:val="superscript"/>
          <w:lang w:val="es-ES_tradnl" w:eastAsia="es-ES"/>
        </w:rPr>
        <w:footnoteReference w:id="10"/>
      </w:r>
      <w:r w:rsidRPr="009241AC">
        <w:rPr>
          <w:rFonts w:ascii="Century Gothic" w:hAnsi="Century Gothic" w:eastAsia="Calibri" w:cs="Arial"/>
          <w:lang w:val="es-ES_tradnl" w:eastAsia="es-ES"/>
        </w:rPr>
        <w:t xml:space="preserve">. Con esta modificación, si bien se mantuvo el mandato de aplicación obligatoria de los Documentos Tipo por parte de las entidades sometidas al </w:t>
      </w:r>
      <w:r w:rsidRPr="009241AC">
        <w:rPr>
          <w:rFonts w:ascii="Century Gothic" w:hAnsi="Century Gothic" w:eastAsia="Calibri" w:cs="Arial"/>
          <w:bCs/>
          <w:lang w:val="es-ES_tradnl" w:eastAsia="es-ES_tradnl"/>
        </w:rPr>
        <w:t>EGCAP</w:t>
      </w:r>
      <w:r w:rsidRPr="009241AC">
        <w:rPr>
          <w:rFonts w:ascii="Century Gothic" w:hAnsi="Century Gothic" w:eastAsia="Calibri" w:cs="Arial"/>
          <w:lang w:val="es-ES_tradnl" w:eastAsia="es-ES"/>
        </w:rPr>
        <w:t xml:space="preserve">, se atribuyó a la </w:t>
      </w:r>
      <w:r w:rsidRPr="009241AC">
        <w:rPr>
          <w:rFonts w:ascii="Century Gothic" w:hAnsi="Century Gothic" w:eastAsia="Calibri" w:cs="Arial"/>
          <w:lang w:val="es-ES_tradnl" w:eastAsia="es-ES_tradnl"/>
        </w:rPr>
        <w:t xml:space="preserve">Agencia Nacional de Contratación Pública – Colombia Compra Eficiente la competencia para su expedición. </w:t>
      </w:r>
      <w:r w:rsidRPr="009241AC">
        <w:rPr>
          <w:rFonts w:ascii="Century Gothic" w:hAnsi="Century Gothic" w:eastAsia="Calibri" w:cs="Arial"/>
          <w:lang w:val="es-ES_tradnl" w:eastAsia="es-ES"/>
        </w:rPr>
        <w:t xml:space="preserve">En este marco, con la finalidad de realizar un desarrollo armónico y ajustado de la ley que le otorga la mencionada competencia, esta Agencia expidió la Resolución 160 del 15 de septiembre de 2020, </w:t>
      </w:r>
      <w:r w:rsidRPr="009241AC">
        <w:rPr>
          <w:rFonts w:ascii="Century Gothic" w:hAnsi="Century Gothic" w:eastAsia="Calibri" w:cs="Arial"/>
          <w:i/>
          <w:iCs/>
          <w:lang w:val="es-ES_tradnl" w:eastAsia="es-ES"/>
        </w:rPr>
        <w:t>“Por la cual se adopta el procedimiento para implementar los documentos tipo y se define el sistema para su revisión”.</w:t>
      </w:r>
      <w:r w:rsidRPr="009241AC">
        <w:rPr>
          <w:rFonts w:ascii="Century Gothic" w:hAnsi="Century Gothic" w:eastAsia="Calibri" w:cs="Arial"/>
          <w:lang w:val="es-ES_tradnl" w:eastAsia="es-ES"/>
        </w:rPr>
        <w:t xml:space="preserve"> </w:t>
      </w:r>
    </w:p>
    <w:p w:rsidRPr="009241AC" w:rsidR="00B53D5D" w:rsidP="001A791D" w:rsidRDefault="00B53D5D" w14:paraId="712A17D5" w14:textId="57BBD91C">
      <w:pPr>
        <w:spacing w:after="120" w:line="276" w:lineRule="auto"/>
        <w:ind w:firstLine="709"/>
        <w:jc w:val="both"/>
        <w:rPr>
          <w:rFonts w:ascii="Century Gothic" w:hAnsi="Century Gothic" w:cs="Arial"/>
          <w:lang w:val="es-ES"/>
        </w:rPr>
      </w:pPr>
      <w:r>
        <w:rPr>
          <w:rFonts w:ascii="Century Gothic" w:hAnsi="Century Gothic" w:cs="Arial"/>
          <w:lang w:val="es-ES"/>
        </w:rPr>
        <w:t xml:space="preserve">Con sustento en esta competencia, esta </w:t>
      </w:r>
      <w:r w:rsidRPr="009241AC">
        <w:rPr>
          <w:rFonts w:ascii="Century Gothic" w:hAnsi="Century Gothic" w:cs="Arial"/>
          <w:lang w:val="es-ES"/>
        </w:rPr>
        <w:t>Agencia ha expedido diversos grupos de Documentos Tipo aplicables principalmente a la contratación de obras públicas de infraestructura de transporte, agua potable, saneamiento básico y social, pero también para interventoría y consultoría de estudios de ingeniería y para la celebración de convenios solidarios con Juntas de Acción Comunal. De conformidad con las modalidades de selección establecidas en el artículo 2 de la Ley 1150 de 2007, estos Documentos Tipo se han expedido para las modalidades de selección de licitación pública, selección abreviada de menor cuantía</w:t>
      </w:r>
      <w:r w:rsidR="00741CD2">
        <w:rPr>
          <w:rFonts w:ascii="Century Gothic" w:hAnsi="Century Gothic" w:cs="Arial"/>
          <w:lang w:val="es-ES"/>
        </w:rPr>
        <w:t>, mínima cuantía</w:t>
      </w:r>
      <w:r w:rsidRPr="009241AC">
        <w:rPr>
          <w:rFonts w:ascii="Century Gothic" w:hAnsi="Century Gothic" w:cs="Arial"/>
          <w:lang w:val="es-ES"/>
        </w:rPr>
        <w:t xml:space="preserve"> y concurso de méritos. Asimismo, la Agencia también ha expedido Documentos Tipo para la modalidad de selección de contratación directa, reglamentada en la Subsección 4 de la Sección 1 del Capítulo 2 del Decreto 1082 </w:t>
      </w:r>
      <w:r w:rsidRPr="009241AC">
        <w:rPr>
          <w:rFonts w:ascii="Century Gothic" w:hAnsi="Century Gothic" w:cs="Arial"/>
          <w:lang w:val="es-ES"/>
        </w:rPr>
        <w:t xml:space="preserve">de 2015, concretamente, los expedidos mediante la Resolución 269 de 2020, “Por la cual se adopta el documento tipo para los procesos de gestión catastral con enfoque multipropósito que se celebren a través de contratos interadministrativos” y la </w:t>
      </w:r>
      <w:r w:rsidRPr="009241AC">
        <w:rPr>
          <w:rFonts w:ascii="Century Gothic" w:hAnsi="Century Gothic" w:cs="Arial"/>
          <w:shd w:val="clear" w:color="auto" w:fill="FFFFFF"/>
        </w:rPr>
        <w:t>Resolución 358 del 30 de junio de 2023 “Por la cual se adopta el documento tipo para la contratación directa de convenios solidarios para la ejecución de obras hasta la menor cuantía con organismos de acción comunal”.</w:t>
      </w:r>
    </w:p>
    <w:p w:rsidRPr="009241AC" w:rsidR="00EC5C23" w:rsidP="001A791D" w:rsidRDefault="00EC5C23" w14:paraId="05E236B1" w14:textId="64C1BCB8">
      <w:pPr>
        <w:spacing w:after="120" w:line="276" w:lineRule="auto"/>
        <w:ind w:firstLine="708"/>
        <w:jc w:val="both"/>
        <w:rPr>
          <w:rFonts w:ascii="Century Gothic" w:hAnsi="Century Gothic" w:eastAsia="Calibri" w:cs="Arial"/>
        </w:rPr>
      </w:pPr>
      <w:r w:rsidRPr="009241AC">
        <w:rPr>
          <w:rFonts w:ascii="Century Gothic" w:hAnsi="Century Gothic" w:eastAsia="Calibri" w:cs="Arial"/>
          <w:lang w:eastAsia="es-ES_tradnl"/>
        </w:rPr>
        <w:t xml:space="preserve">De acuerdo con lo expuesto, </w:t>
      </w:r>
      <w:bookmarkStart w:name="_Hlk144073402" w:id="8"/>
      <w:r w:rsidRPr="009241AC">
        <w:rPr>
          <w:rFonts w:ascii="Century Gothic" w:hAnsi="Century Gothic" w:eastAsia="Calibri" w:cs="Arial"/>
          <w:bdr w:val="none" w:color="auto" w:sz="0" w:space="0" w:frame="1"/>
          <w:lang w:eastAsia="es-ES_tradnl"/>
        </w:rPr>
        <w:t xml:space="preserve">los Documentos Tipo adoptados son obligatorios para las Entidades Estatales regidas por el </w:t>
      </w:r>
      <w:r w:rsidRPr="009241AC">
        <w:rPr>
          <w:rFonts w:ascii="Century Gothic" w:hAnsi="Century Gothic" w:eastAsia="Calibri" w:cs="Arial"/>
          <w:bCs/>
          <w:lang w:val="es-ES_tradnl" w:eastAsia="es-ES_tradnl"/>
        </w:rPr>
        <w:t>EGCAP</w:t>
      </w:r>
      <w:r w:rsidRPr="009241AC">
        <w:rPr>
          <w:rFonts w:ascii="Century Gothic" w:hAnsi="Century Gothic" w:eastAsia="Calibri" w:cs="Arial"/>
          <w:bdr w:val="none" w:color="auto" w:sz="0" w:space="0" w:frame="1"/>
          <w:lang w:eastAsia="es-ES_tradnl"/>
        </w:rPr>
        <w:t xml:space="preserve"> que adelanten Procesos de Contratación mediante las modalidades de selección y objetos contractuales cobijados por alguno de los Documentos Tipo vigentes en los diferentes sectores</w:t>
      </w:r>
      <w:r w:rsidRPr="009241AC">
        <w:rPr>
          <w:rFonts w:ascii="Century Gothic" w:hAnsi="Century Gothic" w:eastAsia="Calibri" w:cs="Arial"/>
          <w:bdr w:val="none" w:color="auto" w:sz="0" w:space="0" w:frame="1"/>
          <w:vertAlign w:val="superscript"/>
          <w:lang w:eastAsia="es-ES_tradnl"/>
        </w:rPr>
        <w:footnoteReference w:id="11"/>
      </w:r>
      <w:r w:rsidRPr="009241AC">
        <w:rPr>
          <w:rFonts w:ascii="Century Gothic" w:hAnsi="Century Gothic" w:eastAsia="Calibri" w:cs="Arial"/>
          <w:bdr w:val="none" w:color="auto" w:sz="0" w:space="0" w:frame="1"/>
          <w:lang w:eastAsia="es-ES_tradnl"/>
        </w:rPr>
        <w:t xml:space="preserve">. </w:t>
      </w:r>
      <w:bookmarkStart w:name="_Hlk104104496" w:id="9"/>
      <w:bookmarkEnd w:id="7"/>
      <w:bookmarkEnd w:id="8"/>
      <w:r w:rsidRPr="009241AC">
        <w:rPr>
          <w:rFonts w:ascii="Century Gothic" w:hAnsi="Century Gothic" w:eastAsia="Calibri"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bookmarkEnd w:id="9"/>
    <w:p w:rsidRPr="009241AC" w:rsidR="00EC5C23" w:rsidP="00EC5C23" w:rsidRDefault="00730111" w14:paraId="5258DE85" w14:textId="7771DA8C">
      <w:pPr>
        <w:spacing w:after="120" w:line="276" w:lineRule="auto"/>
        <w:ind w:firstLine="709"/>
        <w:jc w:val="both"/>
        <w:rPr>
          <w:rFonts w:ascii="Century Gothic" w:hAnsi="Century Gothic" w:eastAsia="Calibri" w:cs="Arial"/>
          <w:lang w:val="es-ES"/>
        </w:rPr>
      </w:pPr>
      <w:r>
        <w:rPr>
          <w:rFonts w:ascii="Century Gothic" w:hAnsi="Century Gothic" w:eastAsia="Calibri" w:cs="Arial"/>
          <w:shd w:val="clear" w:color="auto" w:fill="FFFFFF"/>
          <w:lang w:val="es-ES"/>
        </w:rPr>
        <w:t>En ese orden</w:t>
      </w:r>
      <w:r w:rsidRPr="009241AC" w:rsidR="00EC5C23">
        <w:rPr>
          <w:rFonts w:ascii="Century Gothic" w:hAnsi="Century Gothic" w:eastAsia="Calibri" w:cs="Arial"/>
          <w:shd w:val="clear" w:color="auto" w:fill="FFFFFF"/>
          <w:lang w:val="es-ES"/>
        </w:rPr>
        <w:t xml:space="preserve">, </w:t>
      </w:r>
      <w:r w:rsidRPr="009241AC" w:rsidR="00EC5C23">
        <w:rPr>
          <w:rFonts w:ascii="Century Gothic" w:hAnsi="Century Gothic" w:eastAsia="Calibri" w:cs="Arial"/>
          <w:lang w:val="es-ES"/>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rsidRPr="009241AC" w:rsidR="00EC5C23" w:rsidP="00EC5C23" w:rsidRDefault="00EC5C23" w14:paraId="365D7354" w14:textId="77777777">
      <w:pPr>
        <w:spacing w:after="120" w:line="276" w:lineRule="auto"/>
        <w:ind w:firstLine="709"/>
        <w:jc w:val="both"/>
        <w:rPr>
          <w:rFonts w:ascii="Century Gothic" w:hAnsi="Century Gothic" w:eastAsia="Calibri" w:cs="Arial"/>
          <w:lang w:val="es-ES_tradnl"/>
        </w:rPr>
      </w:pPr>
      <w:r w:rsidRPr="009241AC">
        <w:rPr>
          <w:rFonts w:ascii="Century Gothic" w:hAnsi="Century Gothic" w:eastAsia="Calibri" w:cs="Arial"/>
          <w:lang w:val="es-ES"/>
        </w:rPr>
        <w:t xml:space="preserve">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w:t>
      </w:r>
      <w:r w:rsidRPr="009241AC">
        <w:rPr>
          <w:rFonts w:ascii="Century Gothic" w:hAnsi="Century Gothic" w:eastAsia="Calibri" w:cs="Arial"/>
          <w:lang w:val="es-ES"/>
        </w:rPr>
        <w:t>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9241AC">
        <w:rPr>
          <w:rStyle w:val="Refdenotaalpie"/>
          <w:rFonts w:ascii="Century Gothic" w:hAnsi="Century Gothic" w:eastAsia="Calibri" w:cs="Arial"/>
          <w:lang w:val="es-ES"/>
        </w:rPr>
        <w:footnoteReference w:id="12"/>
      </w:r>
      <w:r w:rsidRPr="009241AC">
        <w:rPr>
          <w:rFonts w:ascii="Century Gothic" w:hAnsi="Century Gothic" w:eastAsia="Calibri" w:cs="Arial"/>
          <w:lang w:val="es-ES"/>
        </w:rPr>
        <w:t>.</w:t>
      </w:r>
    </w:p>
    <w:p w:rsidRPr="009241AC" w:rsidR="00EC5C23" w:rsidP="001A791D" w:rsidRDefault="00EC5C23" w14:paraId="3A1E1D48" w14:textId="77777777">
      <w:pPr>
        <w:spacing w:after="0" w:line="276" w:lineRule="auto"/>
        <w:jc w:val="both"/>
        <w:rPr>
          <w:rFonts w:ascii="Century Gothic" w:hAnsi="Century Gothic" w:cs="Arial"/>
          <w:lang w:val="es-ES"/>
        </w:rPr>
      </w:pPr>
      <w:r w:rsidRPr="009241AC">
        <w:rPr>
          <w:rFonts w:ascii="Century Gothic" w:hAnsi="Century Gothic" w:cs="Arial"/>
          <w:lang w:val="es-ES"/>
        </w:rPr>
        <w:tab/>
      </w:r>
      <w:bookmarkStart w:name="_Hlk104104535" w:id="10"/>
      <w:r w:rsidRPr="009241AC">
        <w:rPr>
          <w:rFonts w:ascii="Century Gothic" w:hAnsi="Century Gothic" w:cs="Arial"/>
          <w:lang w:val="es-ES"/>
        </w:rPr>
        <w:t xml:space="preserve">En conclusión, la definición de si a un Proceso de Contratación le aplican los Documentos Tipo radicará en si el contrato a ejecutar </w:t>
      </w:r>
      <w:proofErr w:type="gramStart"/>
      <w:r w:rsidRPr="009241AC">
        <w:rPr>
          <w:rFonts w:ascii="Century Gothic" w:hAnsi="Century Gothic" w:cs="Arial"/>
          <w:lang w:val="es-ES"/>
        </w:rPr>
        <w:t>se enmarca dentro de</w:t>
      </w:r>
      <w:proofErr w:type="gramEnd"/>
      <w:r w:rsidRPr="009241AC">
        <w:rPr>
          <w:rFonts w:ascii="Century Gothic" w:hAnsi="Century Gothic" w:cs="Arial"/>
          <w:lang w:val="es-ES"/>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p>
    <w:bookmarkEnd w:id="10"/>
    <w:p w:rsidR="00F84C4D" w:rsidP="00EC5C23" w:rsidRDefault="00F84C4D" w14:paraId="5F7B23F7" w14:textId="77777777">
      <w:pPr>
        <w:tabs>
          <w:tab w:val="left" w:pos="0"/>
        </w:tabs>
        <w:spacing w:after="0" w:line="276" w:lineRule="auto"/>
        <w:jc w:val="both"/>
        <w:rPr>
          <w:rFonts w:ascii="Century Gothic" w:hAnsi="Century Gothic" w:eastAsia="Calibri" w:cs="Arial"/>
          <w:b/>
          <w:lang w:val="es-ES_tradnl" w:eastAsia="es-ES_tradnl"/>
        </w:rPr>
      </w:pPr>
    </w:p>
    <w:p w:rsidRPr="009241AC" w:rsidR="00EC5C23" w:rsidP="00EC5C23" w:rsidRDefault="00EC5C23" w14:paraId="7C4761D0" w14:textId="74E1D77E">
      <w:pPr>
        <w:tabs>
          <w:tab w:val="left" w:pos="0"/>
        </w:tabs>
        <w:spacing w:after="0" w:line="276" w:lineRule="auto"/>
        <w:jc w:val="both"/>
        <w:rPr>
          <w:rFonts w:ascii="Century Gothic" w:hAnsi="Century Gothic" w:eastAsia="Calibri" w:cs="Arial"/>
          <w:b/>
          <w:lang w:val="es-ES_tradnl" w:eastAsia="es-ES_tradnl"/>
        </w:rPr>
      </w:pPr>
      <w:r w:rsidRPr="009241AC">
        <w:rPr>
          <w:rFonts w:ascii="Century Gothic" w:hAnsi="Century Gothic" w:eastAsia="Calibri" w:cs="Arial"/>
          <w:b/>
          <w:lang w:val="es-ES_tradnl" w:eastAsia="es-ES_tradnl"/>
        </w:rPr>
        <w:t>2.</w:t>
      </w:r>
      <w:r w:rsidR="00224A89">
        <w:rPr>
          <w:rFonts w:ascii="Century Gothic" w:hAnsi="Century Gothic" w:eastAsia="Calibri" w:cs="Arial"/>
          <w:b/>
          <w:lang w:val="es-ES_tradnl" w:eastAsia="es-ES_tradnl"/>
        </w:rPr>
        <w:t>3</w:t>
      </w:r>
      <w:r w:rsidRPr="009241AC">
        <w:rPr>
          <w:rFonts w:ascii="Century Gothic" w:hAnsi="Century Gothic" w:eastAsia="Calibri" w:cs="Arial"/>
          <w:b/>
          <w:lang w:val="es-ES_tradnl" w:eastAsia="es-ES_tradnl"/>
        </w:rPr>
        <w:t xml:space="preserve">. </w:t>
      </w:r>
      <w:bookmarkStart w:name="_Hlk95322387" w:id="11"/>
      <w:r w:rsidRPr="009241AC">
        <w:rPr>
          <w:rFonts w:ascii="Century Gothic" w:hAnsi="Century Gothic" w:eastAsia="Calibri" w:cs="Arial"/>
          <w:b/>
          <w:lang w:val="es-ES_tradnl" w:eastAsia="es-ES_tradnl"/>
        </w:rPr>
        <w:t>Alcance del artículo 56 de la Ley 2195 de 2022 frente a la implementación obligatoria del EGCAP y de los Documentos Tipo en la celebración de convenios o contratos interadministrativos o de cualquier otra índole con Entidades Estatales exceptuadas y particulares</w:t>
      </w:r>
    </w:p>
    <w:bookmarkEnd w:id="11"/>
    <w:p w:rsidRPr="009241AC" w:rsidR="00EC5C23" w:rsidP="00EC5C23" w:rsidRDefault="00EC5C23" w14:paraId="59805894" w14:textId="77777777">
      <w:pPr>
        <w:tabs>
          <w:tab w:val="left" w:pos="0"/>
        </w:tabs>
        <w:spacing w:after="0" w:line="276" w:lineRule="auto"/>
        <w:jc w:val="both"/>
        <w:rPr>
          <w:rFonts w:ascii="Century Gothic" w:hAnsi="Century Gothic" w:eastAsia="Calibri" w:cs="Arial"/>
          <w:bCs/>
          <w:lang w:val="es-ES_tradnl" w:eastAsia="es-ES_tradnl"/>
        </w:rPr>
      </w:pPr>
    </w:p>
    <w:p w:rsidRPr="009241AC" w:rsidR="00EC5C23" w:rsidP="00EC5C23" w:rsidRDefault="00EC5C23" w14:paraId="2BD314E3" w14:textId="77777777">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 xml:space="preserve">Conforme se explicó en el acápite anterior,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rsidRPr="009241AC" w:rsidR="00EC5C23" w:rsidP="001A791D" w:rsidRDefault="00EC5C23" w14:paraId="373D30A0" w14:textId="5543AD59">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
          <w:lang w:val="es-ES_tradnl" w:eastAsia="es-ES_tradnl"/>
        </w:rPr>
        <w:tab/>
      </w:r>
      <w:bookmarkStart w:name="_Hlk113023000" w:id="12"/>
      <w:r w:rsidRPr="009241AC">
        <w:rPr>
          <w:rFonts w:ascii="Century Gothic" w:hAnsi="Century Gothic" w:eastAsia="Calibri" w:cs="Arial"/>
          <w:bCs/>
          <w:lang w:val="es-ES_tradnl" w:eastAsia="es-ES_tradnl"/>
        </w:rPr>
        <w:t xml:space="preserve">En este contexto, se expidió la Ley 2195 de 2022, </w:t>
      </w:r>
      <w:r w:rsidRPr="009241AC">
        <w:rPr>
          <w:rFonts w:ascii="Century Gothic" w:hAnsi="Century Gothic" w:eastAsia="Calibri" w:cs="Arial"/>
          <w:bCs/>
          <w:i/>
          <w:iCs/>
          <w:lang w:val="es-ES_tradnl" w:eastAsia="es-ES_tradnl"/>
        </w:rPr>
        <w:t>“Por medio de la cual se adoptan medidas en materia de transparencia, prevención y lucha contra la corrupción y se dictan otras disposiciones”</w:t>
      </w:r>
      <w:r w:rsidRPr="009241AC">
        <w:rPr>
          <w:rFonts w:ascii="Century Gothic" w:hAnsi="Century Gothic" w:eastAsia="Calibri" w:cs="Arial"/>
          <w:bCs/>
          <w:lang w:val="es-ES_tradnl" w:eastAsia="es-ES_tradnl"/>
        </w:rPr>
        <w:t xml:space="preserve">. Según su artículo 1, este cuerpo normativo </w:t>
      </w:r>
      <w:r w:rsidRPr="009241AC">
        <w:rPr>
          <w:rFonts w:ascii="Century Gothic" w:hAnsi="Century Gothic" w:eastAsia="Calibri" w:cs="Arial"/>
          <w:lang w:val="es-ES_tradnl" w:eastAsia="es-ES_tradnl"/>
        </w:rPr>
        <w:t>“</w:t>
      </w:r>
      <w:r w:rsidRPr="009241AC">
        <w:rPr>
          <w:rFonts w:ascii="Century Gothic" w:hAnsi="Century Gothic" w:eastAsia="Times New Roman" w:cs="Arial"/>
          <w:lang w:val="es-ES_tradnl" w:eastAsia="es-ES_tradnl"/>
        </w:rPr>
        <w:t xml:space="preserve">[…] </w:t>
      </w:r>
      <w:r w:rsidRPr="009241AC">
        <w:rPr>
          <w:rFonts w:ascii="Century Gothic" w:hAnsi="Century Gothic" w:eastAsia="Calibri"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w:t>
      </w:r>
      <w:r w:rsidRPr="009241AC">
        <w:rPr>
          <w:rFonts w:ascii="Century Gothic" w:hAnsi="Century Gothic" w:eastAsia="Calibri" w:cs="Arial"/>
          <w:lang w:val="es-ES_tradnl" w:eastAsia="es-ES_tradnl"/>
        </w:rPr>
        <w:t>y promover la cultura de la legalidad e integridad y recuperar la confianza ciudadana y el respeto por lo público”. Dentro del capítulo VIII de la Ley en mención, que lleva por título “</w:t>
      </w:r>
      <w:r w:rsidRPr="009241AC">
        <w:rPr>
          <w:rFonts w:ascii="Century Gothic" w:hAnsi="Century Gothic" w:eastAsia="Calibri" w:cs="Arial"/>
          <w:i/>
          <w:iCs/>
          <w:lang w:val="es-ES_tradnl" w:eastAsia="es-ES_tradnl"/>
        </w:rPr>
        <w:t>Disposiciones en materia contractual para la moralización y la transparencia</w:t>
      </w:r>
      <w:r w:rsidRPr="009241AC">
        <w:rPr>
          <w:rFonts w:ascii="Century Gothic" w:hAnsi="Century Gothic" w:eastAsia="Calibri" w:cs="Arial"/>
          <w:lang w:val="es-ES_tradnl" w:eastAsia="es-ES_tradnl"/>
        </w:rPr>
        <w:t xml:space="preserve">”, se </w:t>
      </w:r>
      <w:r w:rsidRPr="009241AC">
        <w:rPr>
          <w:rFonts w:ascii="Century Gothic" w:hAnsi="Century Gothic" w:eastAsia="Calibri" w:cs="Arial"/>
          <w:bCs/>
          <w:lang w:val="es-ES_tradnl" w:eastAsia="es-ES_tradnl"/>
        </w:rPr>
        <w:t xml:space="preserve">destaca el artículo 56, norma sobre la que versa la presente consulta. </w:t>
      </w:r>
      <w:r w:rsidR="005148EA">
        <w:rPr>
          <w:rFonts w:ascii="Century Gothic" w:hAnsi="Century Gothic" w:eastAsia="Calibri" w:cs="Arial"/>
          <w:bCs/>
          <w:lang w:val="es-ES_tradnl" w:eastAsia="es-ES_tradnl"/>
        </w:rPr>
        <w:t xml:space="preserve">Dicha disposición, </w:t>
      </w:r>
      <w:bookmarkEnd w:id="12"/>
      <w:r w:rsidRPr="009241AC">
        <w:rPr>
          <w:rFonts w:ascii="Century Gothic" w:hAnsi="Century Gothic" w:eastAsia="Calibri" w:cs="Arial"/>
          <w:lang w:val="es-ES_tradnl" w:eastAsia="es-ES_tradnl"/>
        </w:rPr>
        <w:t xml:space="preserve">aprobada </w:t>
      </w:r>
      <w:r w:rsidR="005148EA">
        <w:rPr>
          <w:rFonts w:ascii="Century Gothic" w:hAnsi="Century Gothic" w:eastAsia="Calibri" w:cs="Arial"/>
          <w:lang w:val="es-ES_tradnl" w:eastAsia="es-ES_tradnl"/>
        </w:rPr>
        <w:t>tras la</w:t>
      </w:r>
      <w:r w:rsidRPr="009241AC">
        <w:rPr>
          <w:rFonts w:ascii="Century Gothic" w:hAnsi="Century Gothic" w:eastAsia="Calibri" w:cs="Arial"/>
          <w:lang w:val="es-ES_tradnl" w:eastAsia="es-ES_tradnl"/>
        </w:rPr>
        <w:t xml:space="preserve"> conciliación de</w:t>
      </w:r>
      <w:r w:rsidR="005148EA">
        <w:rPr>
          <w:rFonts w:ascii="Century Gothic" w:hAnsi="Century Gothic" w:eastAsia="Calibri" w:cs="Arial"/>
          <w:lang w:val="es-ES_tradnl" w:eastAsia="es-ES_tradnl"/>
        </w:rPr>
        <w:t xml:space="preserve"> </w:t>
      </w:r>
      <w:r w:rsidRPr="009241AC">
        <w:rPr>
          <w:rFonts w:ascii="Century Gothic" w:hAnsi="Century Gothic" w:eastAsia="Calibri" w:cs="Arial"/>
          <w:lang w:val="es-ES_tradnl" w:eastAsia="es-ES_tradnl"/>
        </w:rPr>
        <w:t>l</w:t>
      </w:r>
      <w:r w:rsidR="005148EA">
        <w:rPr>
          <w:rFonts w:ascii="Century Gothic" w:hAnsi="Century Gothic" w:eastAsia="Calibri" w:cs="Arial"/>
          <w:lang w:val="es-ES_tradnl" w:eastAsia="es-ES_tradnl"/>
        </w:rPr>
        <w:t>os</w:t>
      </w:r>
      <w:r w:rsidRPr="009241AC">
        <w:rPr>
          <w:rFonts w:ascii="Century Gothic" w:hAnsi="Century Gothic" w:eastAsia="Calibri" w:cs="Arial"/>
          <w:lang w:val="es-ES_tradnl" w:eastAsia="es-ES_tradnl"/>
        </w:rPr>
        <w:t xml:space="preserve"> texto</w:t>
      </w:r>
      <w:r w:rsidR="005148EA">
        <w:rPr>
          <w:rFonts w:ascii="Century Gothic" w:hAnsi="Century Gothic" w:eastAsia="Calibri" w:cs="Arial"/>
          <w:lang w:val="es-ES_tradnl" w:eastAsia="es-ES_tradnl"/>
        </w:rPr>
        <w:t>s</w:t>
      </w:r>
      <w:r w:rsidRPr="009241AC">
        <w:rPr>
          <w:rFonts w:ascii="Century Gothic" w:hAnsi="Century Gothic" w:eastAsia="Calibri" w:cs="Arial"/>
          <w:lang w:val="es-ES_tradnl" w:eastAsia="es-ES_tradnl"/>
        </w:rPr>
        <w:t xml:space="preserve"> </w:t>
      </w:r>
      <w:r w:rsidR="005148EA">
        <w:rPr>
          <w:rFonts w:ascii="Century Gothic" w:hAnsi="Century Gothic" w:eastAsia="Calibri" w:cs="Arial"/>
          <w:lang w:val="es-ES_tradnl" w:eastAsia="es-ES_tradnl"/>
        </w:rPr>
        <w:t>aprobados</w:t>
      </w:r>
      <w:r w:rsidRPr="009241AC">
        <w:rPr>
          <w:rFonts w:ascii="Century Gothic" w:hAnsi="Century Gothic" w:eastAsia="Calibri" w:cs="Arial"/>
          <w:lang w:val="es-ES_tradnl" w:eastAsia="es-ES_tradnl"/>
        </w:rPr>
        <w:t xml:space="preserve"> en ambas cámaras</w:t>
      </w:r>
      <w:r w:rsidRPr="009241AC">
        <w:rPr>
          <w:rFonts w:ascii="Century Gothic" w:hAnsi="Century Gothic" w:eastAsia="Times New Roman" w:cs="Arial"/>
          <w:vertAlign w:val="superscript"/>
          <w:lang w:val="es-ES_tradnl" w:eastAsia="es-ES_tradnl"/>
        </w:rPr>
        <w:footnoteReference w:id="13"/>
      </w:r>
      <w:r w:rsidR="00EA5840">
        <w:rPr>
          <w:rFonts w:ascii="Century Gothic" w:hAnsi="Century Gothic" w:eastAsia="Calibri" w:cs="Arial"/>
          <w:lang w:val="es-ES_tradnl" w:eastAsia="es-ES_tradnl"/>
        </w:rPr>
        <w:t xml:space="preserve"> reza lo siguiente: </w:t>
      </w:r>
      <w:r w:rsidRPr="009241AC">
        <w:rPr>
          <w:rFonts w:ascii="Century Gothic" w:hAnsi="Century Gothic" w:eastAsia="Calibri" w:cs="Arial"/>
          <w:bCs/>
          <w:lang w:val="es-ES_tradnl" w:eastAsia="es-ES_tradnl"/>
        </w:rPr>
        <w:t xml:space="preserve"> </w:t>
      </w:r>
    </w:p>
    <w:p w:rsidRPr="009241AC" w:rsidR="00EC5C23" w:rsidP="00EC5C23" w:rsidRDefault="00EC5C23" w14:paraId="417F3667" w14:textId="77777777">
      <w:pPr>
        <w:tabs>
          <w:tab w:val="left" w:pos="0"/>
        </w:tabs>
        <w:spacing w:after="0" w:line="276" w:lineRule="auto"/>
        <w:jc w:val="both"/>
        <w:rPr>
          <w:rFonts w:ascii="Century Gothic" w:hAnsi="Century Gothic" w:eastAsia="Calibri" w:cs="Arial"/>
          <w:bCs/>
          <w:lang w:val="es-ES_tradnl" w:eastAsia="es-ES_tradnl"/>
        </w:rPr>
      </w:pPr>
    </w:p>
    <w:p w:rsidRPr="009241AC" w:rsidR="00EC5C23" w:rsidP="00EC5C23" w:rsidRDefault="00EC5C23" w14:paraId="4856E3CF" w14:textId="77777777">
      <w:pPr>
        <w:tabs>
          <w:tab w:val="left" w:pos="0"/>
        </w:tabs>
        <w:spacing w:after="0" w:line="240" w:lineRule="auto"/>
        <w:ind w:left="709" w:right="709"/>
        <w:contextualSpacing/>
        <w:jc w:val="both"/>
        <w:rPr>
          <w:rFonts w:ascii="Century Gothic" w:hAnsi="Century Gothic" w:eastAsia="Times New Roman" w:cs="Arial"/>
          <w:sz w:val="20"/>
          <w:szCs w:val="20"/>
          <w:lang w:val="es-ES_tradnl" w:eastAsia="es-ES_tradnl"/>
        </w:rPr>
      </w:pPr>
      <w:r w:rsidRPr="009241AC">
        <w:rPr>
          <w:rFonts w:ascii="Century Gothic" w:hAnsi="Century Gothic" w:eastAsia="Times New Roman"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rsidRPr="009241AC" w:rsidR="00EC5C23" w:rsidP="00EC5C23" w:rsidRDefault="00EC5C23" w14:paraId="486E6699" w14:textId="77777777">
      <w:pPr>
        <w:tabs>
          <w:tab w:val="left" w:pos="0"/>
        </w:tabs>
        <w:spacing w:after="0" w:line="240" w:lineRule="auto"/>
        <w:ind w:left="709" w:right="709"/>
        <w:contextualSpacing/>
        <w:jc w:val="both"/>
        <w:rPr>
          <w:rFonts w:ascii="Century Gothic" w:hAnsi="Century Gothic" w:eastAsia="Times New Roman" w:cs="Arial"/>
          <w:sz w:val="20"/>
          <w:szCs w:val="20"/>
          <w:lang w:val="es-ES_tradnl" w:eastAsia="es-ES_tradnl"/>
        </w:rPr>
      </w:pPr>
    </w:p>
    <w:p w:rsidRPr="009241AC" w:rsidR="00EC5C23" w:rsidP="00EC5C23" w:rsidRDefault="00EC5C23" w14:paraId="4E62D2B9" w14:textId="77777777">
      <w:pPr>
        <w:tabs>
          <w:tab w:val="left" w:pos="0"/>
        </w:tabs>
        <w:spacing w:after="0" w:line="240" w:lineRule="auto"/>
        <w:ind w:left="709" w:right="709"/>
        <w:contextualSpacing/>
        <w:jc w:val="both"/>
        <w:rPr>
          <w:rFonts w:ascii="Century Gothic" w:hAnsi="Century Gothic" w:eastAsia="Times New Roman" w:cs="Arial"/>
          <w:sz w:val="20"/>
          <w:szCs w:val="20"/>
          <w:lang w:val="es-ES_tradnl" w:eastAsia="es-ES_tradnl"/>
        </w:rPr>
      </w:pPr>
      <w:r w:rsidRPr="009241AC">
        <w:rPr>
          <w:rFonts w:ascii="Century Gothic" w:hAnsi="Century Gothic" w:eastAsia="Times New Roman"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rsidRPr="009241AC" w:rsidR="00EC5C23" w:rsidP="00EC5C23" w:rsidRDefault="00EC5C23" w14:paraId="403AE690" w14:textId="77777777">
      <w:pPr>
        <w:tabs>
          <w:tab w:val="left" w:pos="0"/>
        </w:tabs>
        <w:spacing w:after="0" w:line="240" w:lineRule="auto"/>
        <w:ind w:left="709" w:right="709"/>
        <w:contextualSpacing/>
        <w:jc w:val="both"/>
        <w:rPr>
          <w:rFonts w:ascii="Century Gothic" w:hAnsi="Century Gothic" w:eastAsia="Times New Roman" w:cs="Arial"/>
          <w:sz w:val="20"/>
          <w:szCs w:val="20"/>
          <w:lang w:val="es-ES_tradnl" w:eastAsia="es-ES_tradnl"/>
        </w:rPr>
      </w:pPr>
    </w:p>
    <w:p w:rsidRPr="009241AC" w:rsidR="00EC5C23" w:rsidP="601F0686" w:rsidRDefault="00EC5C23" w14:paraId="2EABF69C" w14:textId="77777777">
      <w:pPr>
        <w:spacing w:after="0" w:line="240" w:lineRule="auto"/>
        <w:ind w:left="709" w:right="709"/>
        <w:contextualSpacing/>
        <w:jc w:val="both"/>
        <w:rPr>
          <w:rFonts w:ascii="Century Gothic" w:hAnsi="Century Gothic" w:eastAsia="Calibri" w:cs="Arial"/>
          <w:sz w:val="20"/>
          <w:szCs w:val="20"/>
          <w:lang w:val="es-ES" w:eastAsia="es-ES"/>
        </w:rPr>
      </w:pPr>
      <w:r w:rsidRPr="601F0686">
        <w:rPr>
          <w:rFonts w:ascii="Century Gothic" w:hAnsi="Century Gothic" w:eastAsia="Times New Roman" w:cs="Arial"/>
          <w:sz w:val="20"/>
          <w:szCs w:val="20"/>
          <w:lang w:val="es-ES" w:eastAsia="es-ES"/>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rsidRPr="009241AC" w:rsidR="00EC5C23" w:rsidP="00EC5C23" w:rsidRDefault="00EC5C23" w14:paraId="16207F6A" w14:textId="77777777">
      <w:pPr>
        <w:tabs>
          <w:tab w:val="left" w:pos="0"/>
        </w:tabs>
        <w:spacing w:after="0" w:line="276" w:lineRule="auto"/>
        <w:contextualSpacing/>
        <w:jc w:val="both"/>
        <w:rPr>
          <w:rFonts w:ascii="Century Gothic" w:hAnsi="Century Gothic" w:eastAsia="Calibri" w:cs="Arial"/>
          <w:bCs/>
          <w:lang w:val="es-ES_tradnl" w:eastAsia="es-ES_tradnl"/>
        </w:rPr>
      </w:pPr>
    </w:p>
    <w:p w:rsidRPr="009241AC" w:rsidR="00EC5C23" w:rsidP="00EC5C23" w:rsidRDefault="00EC5C23" w14:paraId="77C4B695" w14:textId="77777777">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bCs/>
          <w:lang w:val="es-ES_tradnl" w:eastAsia="es-ES_tradnl"/>
        </w:rPr>
        <w:t xml:space="preserve">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Por esto se hace necesario realizar una interpretación adecuada de esta disposición, orientada a precisar sus efectos respecto de diferentes sujetos mencionados en su texto, lo cual exige detenerse a analizar ciertos aspectos que, a juicio de esta Agencia, resultan indispensables para </w:t>
      </w:r>
      <w:r w:rsidRPr="009241AC">
        <w:rPr>
          <w:rFonts w:ascii="Century Gothic" w:hAnsi="Century Gothic" w:eastAsia="Calibri" w:cs="Arial"/>
          <w:bCs/>
          <w:lang w:val="es-ES_tradnl" w:eastAsia="es-ES_tradnl"/>
        </w:rPr>
        <w:t>determinar el verdadero alcance de la norma bajo estudio, a lo cual se procede a continuación.</w:t>
      </w:r>
    </w:p>
    <w:p w:rsidRPr="009241AC" w:rsidR="00EC5C23" w:rsidP="00EC5C23" w:rsidRDefault="00EC5C23" w14:paraId="509D715B" w14:textId="205E16CF">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bCs/>
          <w:lang w:val="es-ES_tradnl" w:eastAsia="es-ES_tradnl"/>
        </w:rPr>
        <w:t xml:space="preserve">Como se desprende de la frase inicial de la norma citada, es claro que 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rsidRPr="009241AC" w:rsidR="00EC5C23" w:rsidP="00EC5C23" w:rsidRDefault="00EC5C23" w14:paraId="43129A62" w14:textId="77777777">
      <w:pPr>
        <w:tabs>
          <w:tab w:val="left" w:pos="0"/>
        </w:tabs>
        <w:spacing w:after="120" w:line="276" w:lineRule="auto"/>
        <w:jc w:val="both"/>
        <w:rPr>
          <w:rFonts w:ascii="Century Gothic" w:hAnsi="Century Gothic" w:eastAsia="Calibri" w:cs="Arial"/>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de una ley consagrada en el artículo 31 </w:t>
      </w:r>
      <w:r w:rsidRPr="009241AC">
        <w:rPr>
          <w:rFonts w:ascii="Century Gothic" w:hAnsi="Century Gothic" w:eastAsia="Calibri" w:cs="Arial"/>
          <w:i/>
          <w:iCs/>
          <w:lang w:val="es-ES_tradnl" w:eastAsia="es-ES_tradnl"/>
        </w:rPr>
        <w:t>ibidem</w:t>
      </w:r>
      <w:r w:rsidRPr="009241AC">
        <w:rPr>
          <w:rFonts w:ascii="Century Gothic" w:hAnsi="Century Gothic" w:eastAsia="Calibri" w:cs="Arial"/>
          <w:lang w:val="es-ES_tradnl" w:eastAsia="es-ES_tradnl"/>
        </w:rPr>
        <w:t xml:space="preserve">, conforme al cual “Lo favorable u odioso de una disposición no se tomará en cuenta para ampliar o restringir su interpretación. La extensión que deba darse a toda ley se determinará por su genuino sentido, y según las reglas de interpretación precedentes”. </w:t>
      </w:r>
    </w:p>
    <w:p w:rsidRPr="009241AC" w:rsidR="00EC5C23" w:rsidP="00EC5C23" w:rsidRDefault="00EC5C23" w14:paraId="3BB971C7" w14:textId="549DD71E">
      <w:pPr>
        <w:tabs>
          <w:tab w:val="left" w:pos="0"/>
        </w:tabs>
        <w:spacing w:after="120" w:line="276" w:lineRule="auto"/>
        <w:jc w:val="both"/>
        <w:rPr>
          <w:rFonts w:ascii="Century Gothic" w:hAnsi="Century Gothic" w:eastAsia="Calibri" w:cs="Arial"/>
          <w:lang w:val="es-ES_tradnl" w:eastAsia="es-ES_tradnl"/>
        </w:rPr>
      </w:pPr>
      <w:r w:rsidRPr="009241AC">
        <w:rPr>
          <w:rFonts w:ascii="Century Gothic" w:hAnsi="Century Gothic" w:eastAsia="Calibri" w:cs="Arial"/>
          <w:lang w:val="es-ES_tradnl" w:eastAsia="es-ES_tradnl"/>
        </w:rPr>
        <w:tab/>
      </w:r>
      <w:bookmarkStart w:name="_Hlk144075290" w:id="13"/>
      <w:r w:rsidRPr="009241AC">
        <w:rPr>
          <w:rFonts w:ascii="Century Gothic" w:hAnsi="Century Gothic" w:eastAsia="Calibri" w:cs="Arial"/>
          <w:bCs/>
          <w:lang w:val="es-ES_tradnl" w:eastAsia="es-ES_tradnl"/>
        </w:rPr>
        <w:t>Desde esta perspectiva, no pudiera</w:t>
      </w:r>
      <w:r w:rsidRPr="009241AC">
        <w:rPr>
          <w:rFonts w:ascii="Century Gothic" w:hAnsi="Century Gothic" w:eastAsia="Calibri" w:cs="Arial"/>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w:t>
      </w:r>
      <w:r w:rsidR="00C07BB1">
        <w:rPr>
          <w:rFonts w:ascii="Century Gothic" w:hAnsi="Century Gothic" w:eastAsia="Calibri" w:cs="Arial"/>
          <w:lang w:val="es-ES_tradnl" w:eastAsia="es-ES_tradnl"/>
        </w:rPr>
        <w:t xml:space="preserve">de manera literal que </w:t>
      </w:r>
      <w:r w:rsidRPr="009241AC">
        <w:rPr>
          <w:rFonts w:ascii="Century Gothic" w:hAnsi="Century Gothic" w:eastAsia="Calibri" w:cs="Arial"/>
          <w:lang w:val="es-ES_tradnl" w:eastAsia="es-ES_tradnl"/>
        </w:rPr>
        <w:t>la regla de aplicación obligatoria de los Documentos Tipo en los Procesos de Contratación adelantados por las Entidades Estatales regidas por el EGCAP, es decir,</w:t>
      </w:r>
      <w:r w:rsidRPr="009241AC">
        <w:rPr>
          <w:rFonts w:ascii="Century Gothic" w:hAnsi="Century Gothic" w:eastAsia="Calibri" w:cs="Arial"/>
          <w:bCs/>
          <w:lang w:val="es-ES_tradnl" w:eastAsia="es-ES_tradnl"/>
        </w:rPr>
        <w:t xml:space="preserve"> </w:t>
      </w:r>
      <w:r w:rsidRPr="009241AC">
        <w:rPr>
          <w:rFonts w:ascii="Century Gothic" w:hAnsi="Century Gothic" w:eastAsia="Calibri" w:cs="Arial"/>
          <w:lang w:val="es-ES_tradnl" w:eastAsia="es-ES_tradnl"/>
        </w:rPr>
        <w:t xml:space="preserve">la obligatoriedad de utilizar Documentos Tipo </w:t>
      </w:r>
      <w:r w:rsidRPr="009241AC">
        <w:rPr>
          <w:rFonts w:ascii="Century Gothic" w:hAnsi="Century Gothic" w:eastAsia="Calibri" w:cs="Arial"/>
          <w:bCs/>
          <w:lang w:val="es-ES_tradnl" w:eastAsia="es-ES_tradnl"/>
        </w:rPr>
        <w:t xml:space="preserve">se extiende </w:t>
      </w:r>
      <w:r w:rsidRPr="009241AC">
        <w:rPr>
          <w:rFonts w:ascii="Century Gothic" w:hAnsi="Century Gothic" w:eastAsia="Calibri" w:cs="Arial"/>
          <w:lang w:val="es-ES_tradnl" w:eastAsia="es-ES_tradnl"/>
        </w:rPr>
        <w:t xml:space="preserve">en los convenios o contratos interadministrativos o de cualquier otra índole, </w:t>
      </w:r>
      <w:r w:rsidRPr="009241AC">
        <w:rPr>
          <w:rFonts w:ascii="Century Gothic" w:hAnsi="Century Gothic" w:eastAsia="Calibri" w:cs="Arial"/>
          <w:bCs/>
          <w:lang w:val="es-ES_tradnl" w:eastAsia="es-ES_tradnl"/>
        </w:rPr>
        <w:t xml:space="preserve">y </w:t>
      </w:r>
      <w:r w:rsidRPr="009241AC">
        <w:rPr>
          <w:rFonts w:ascii="Century Gothic" w:hAnsi="Century Gothic" w:eastAsia="Calibri" w:cs="Arial"/>
          <w:lang w:val="es-ES_tradnl" w:eastAsia="es-ES_tradnl"/>
        </w:rPr>
        <w:t>a las diferentes modalidades de selección de los Procesos de Contratación adelantados por entidades sometidas al EGCAP</w:t>
      </w:r>
      <w:r w:rsidRPr="009241AC">
        <w:rPr>
          <w:rFonts w:ascii="Century Gothic" w:hAnsi="Century Gothic" w:eastAsia="Calibri" w:cs="Arial"/>
          <w:bCs/>
          <w:lang w:val="es-ES_tradnl" w:eastAsia="es-ES_tradnl"/>
        </w:rPr>
        <w:t>.</w:t>
      </w:r>
    </w:p>
    <w:p w:rsidRPr="009241AC" w:rsidR="00EC5C23" w:rsidP="601F0686" w:rsidRDefault="00EC5C23" w14:paraId="544EA068"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bCs/>
          <w:lang w:val="es-ES_tradnl" w:eastAsia="es-ES_tradnl"/>
        </w:rPr>
        <w:tab/>
      </w:r>
      <w:r w:rsidRPr="601F0686">
        <w:rPr>
          <w:rFonts w:ascii="Century Gothic" w:hAnsi="Century Gothic" w:eastAsia="Calibri" w:cs="Arial"/>
          <w:lang w:val="es-ES" w:eastAsia="es-ES"/>
        </w:rPr>
        <w:t>Antes de la expedición del artículo 56 de la Ley 2022 de 2020, ya se había establecido el mandato de aplicación obligatoria de los Documentos Tipo para las Entidades Estatales sometidas al EGCAP, atribuyendo a esta Agencia la competencia para expedirlos. Esta norma imperativa debía observarse siempre y cuando el objeto a contratar este cobijado por algún Documento Tipo vigente, no obstante, si la Entidad Estatal optaba bajo la modalidad de selección de contratación directa, celebrar convenios o contratos interadministrativos, o de cualquier otra índole, con entidades con regímenes especiales o de derecho privado era un asunto que escapaba del ámbito de aplicación de lo establecido por la Ley 2022 de 2020, incluso tratándose de obras o servicios para cuya contratación le fuese aplicable los Documentos Tipo vigentes.</w:t>
      </w:r>
    </w:p>
    <w:bookmarkEnd w:id="13"/>
    <w:p w:rsidRPr="009241AC" w:rsidR="00EC5C23" w:rsidP="00EC5C23" w:rsidRDefault="00EC5C23" w14:paraId="676C89B3" w14:textId="77777777">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bookmarkStart w:name="_Hlk144075366" w:id="14"/>
      <w:r w:rsidRPr="009241AC">
        <w:rPr>
          <w:rFonts w:ascii="Century Gothic" w:hAnsi="Century Gothic" w:eastAsia="Calibri" w:cs="Arial"/>
          <w:lang w:val="es-ES_tradnl" w:eastAsia="es-ES_tradnl"/>
        </w:rPr>
        <w:t>Ahora,</w:t>
      </w:r>
      <w:r w:rsidRPr="009241AC">
        <w:rPr>
          <w:rFonts w:ascii="Century Gothic" w:hAnsi="Century Gothic" w:eastAsia="Calibri" w:cs="Arial"/>
          <w:bCs/>
          <w:lang w:val="es-ES_tradnl" w:eastAsia="es-ES_tradnl"/>
        </w:rPr>
        <w:t xml:space="preserve"> con la entrada en vigencia del artículo 56 de la Ley 2195 de 2022, la aplicación de Documentos Pliego Tipo resulta obligatoria cuando la Entidad Estatal opta por celebrar convenios o contratos interadministrativos, o de cualquier otra índole, sin que por ello implique que las entidades de regímenes especiales de contratación, patrimonios autónomos o personas naturales o jurídicas de derecho privado se las haya habilitado legalmente para que apliquen Documentos Pliego Tipo en su contratación privada, por cuanto, la norma parte de la premisa fundamental de que la aplicación de estos solo es procedente para entidades cuyo régimen contractual corresponde al EGCAP. Esto en la medida en que, </w:t>
      </w:r>
      <w:bookmarkStart w:name="_Hlk109963698" w:id="15"/>
      <w:r w:rsidRPr="009241AC">
        <w:rPr>
          <w:rFonts w:ascii="Century Gothic" w:hAnsi="Century Gothic" w:eastAsia="Calibri" w:cs="Arial"/>
          <w:bCs/>
          <w:lang w:val="es-ES_tradnl" w:eastAsia="es-ES_tradnl"/>
        </w:rPr>
        <w:t>el parágrafo 7 del artículo 2 de la Ley 1150 de 2007, modificado por la Ley 2022 de 2020, solo se refiere a la obligación de aplicar los Documentos Tipo en los Procesos de Contratación que adelanten las entidades sometidas al EGCAP.</w:t>
      </w:r>
      <w:r w:rsidRPr="009241AC">
        <w:rPr>
          <w:rFonts w:ascii="Century Gothic" w:hAnsi="Century Gothic" w:eastAsia="Calibri" w:cs="Arial"/>
          <w:bCs/>
          <w:strike/>
          <w:lang w:val="es-ES_tradnl" w:eastAsia="es-ES_tradnl"/>
        </w:rPr>
        <w:t xml:space="preserve"> </w:t>
      </w:r>
      <w:bookmarkEnd w:id="15"/>
    </w:p>
    <w:p w:rsidRPr="009241AC" w:rsidR="00EC5C23" w:rsidP="00EC5C23" w:rsidRDefault="00EC5C23" w14:paraId="49EB82A6" w14:textId="77777777">
      <w:pPr>
        <w:spacing w:after="120" w:line="276" w:lineRule="auto"/>
        <w:ind w:firstLine="708"/>
        <w:jc w:val="both"/>
        <w:rPr>
          <w:rFonts w:ascii="Century Gothic" w:hAnsi="Century Gothic" w:eastAsia="Calibri" w:cs="Arial"/>
          <w:lang w:val="es-ES" w:eastAsia="es-ES"/>
        </w:rPr>
      </w:pPr>
      <w:bookmarkStart w:name="_Hlk144075437" w:id="16"/>
      <w:bookmarkEnd w:id="14"/>
      <w:r w:rsidRPr="009241AC">
        <w:rPr>
          <w:rFonts w:ascii="Century Gothic" w:hAnsi="Century Gothic" w:eastAsia="Times New Roman" w:cs="Arial"/>
          <w:lang w:eastAsia="es-ES_tradnl"/>
        </w:rPr>
        <w:t xml:space="preserve">Esta Agencia ha considerado, como se explicó </w:t>
      </w:r>
      <w:r w:rsidRPr="009241AC">
        <w:rPr>
          <w:rFonts w:ascii="Century Gothic" w:hAnsi="Century Gothic" w:eastAsia="Times New Roman" w:cs="Arial"/>
          <w:i/>
          <w:iCs/>
          <w:lang w:eastAsia="es-ES_tradnl"/>
        </w:rPr>
        <w:t>ut supra</w:t>
      </w:r>
      <w:r w:rsidRPr="009241AC">
        <w:rPr>
          <w:rFonts w:ascii="Century Gothic" w:hAnsi="Century Gothic" w:eastAsia="Times New Roman" w:cs="Arial"/>
          <w:lang w:eastAsia="es-ES_tradnl"/>
        </w:rPr>
        <w:t xml:space="preserve">, que </w:t>
      </w:r>
      <w:r w:rsidRPr="009241AC">
        <w:rPr>
          <w:rFonts w:ascii="Century Gothic" w:hAnsi="Century Gothic" w:eastAsia="Calibri" w:cs="Arial"/>
          <w:lang w:val="es-ES" w:eastAsia="es-ES"/>
        </w:rPr>
        <w:t>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009241AC">
        <w:rPr>
          <w:rFonts w:ascii="Century Gothic" w:hAnsi="Century Gothic" w:eastAsia="Calibri" w:cs="Arial"/>
          <w:vertAlign w:val="superscript"/>
          <w:lang w:val="es-ES" w:eastAsia="es-ES"/>
        </w:rPr>
        <w:footnoteReference w:id="14"/>
      </w:r>
      <w:r w:rsidRPr="009241AC">
        <w:rPr>
          <w:rFonts w:ascii="Century Gothic" w:hAnsi="Century Gothic" w:eastAsia="Calibri" w:cs="Arial"/>
          <w:lang w:val="es-ES" w:eastAsia="es-ES"/>
        </w:rPr>
        <w:t xml:space="preserve">, ahora deberán tenerse en cuenta las siguientes reglas: </w:t>
      </w:r>
      <w:r w:rsidRPr="009241AC">
        <w:rPr>
          <w:rFonts w:ascii="Century Gothic" w:hAnsi="Century Gothic" w:eastAsia="Calibri" w:cs="Arial"/>
          <w:lang w:val="es-ES" w:eastAsia="es-ES"/>
        </w:rPr>
        <w:t xml:space="preserve">i) </w:t>
      </w:r>
      <w:r w:rsidRPr="009241AC">
        <w:rPr>
          <w:rFonts w:ascii="Century Gothic" w:hAnsi="Century Gothic" w:eastAsia="Calibri" w:cs="Arial"/>
          <w:i/>
          <w:lang w:val="es-ES" w:eastAsia="es-ES"/>
        </w:rPr>
        <w:t>en el caso de los convenios interadministrativos o de cualquier otra índole:</w:t>
      </w:r>
      <w:r w:rsidRPr="009241AC">
        <w:rPr>
          <w:rFonts w:ascii="Century Gothic" w:hAnsi="Century Gothic" w:eastAsia="Calibri"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w:t>
      </w:r>
      <w:proofErr w:type="spellStart"/>
      <w:r w:rsidRPr="009241AC">
        <w:rPr>
          <w:rFonts w:ascii="Century Gothic" w:hAnsi="Century Gothic" w:eastAsia="Calibri" w:cs="Arial"/>
          <w:lang w:val="es-ES" w:eastAsia="es-ES"/>
        </w:rPr>
        <w:t>ii</w:t>
      </w:r>
      <w:proofErr w:type="spellEnd"/>
      <w:r w:rsidRPr="009241AC">
        <w:rPr>
          <w:rFonts w:ascii="Century Gothic" w:hAnsi="Century Gothic" w:eastAsia="Calibri" w:cs="Arial"/>
          <w:lang w:val="es-ES" w:eastAsia="es-ES"/>
        </w:rPr>
        <w:t xml:space="preserve">) </w:t>
      </w:r>
      <w:r w:rsidRPr="009241AC">
        <w:rPr>
          <w:rFonts w:ascii="Century Gothic" w:hAnsi="Century Gothic" w:eastAsia="Calibri" w:cs="Arial"/>
          <w:i/>
          <w:lang w:val="es-ES" w:eastAsia="es-ES"/>
        </w:rPr>
        <w:t>en el caso de los contratos interadministrativos</w:t>
      </w:r>
      <w:r w:rsidRPr="009241AC">
        <w:rPr>
          <w:rFonts w:ascii="Century Gothic" w:hAnsi="Century Gothic" w:eastAsia="Calibri" w:cs="Arial"/>
          <w:lang w:val="es-ES" w:eastAsia="es-ES"/>
        </w:rPr>
        <w:t xml:space="preserve"> </w:t>
      </w:r>
      <w:r w:rsidRPr="009241AC">
        <w:rPr>
          <w:rFonts w:ascii="Century Gothic" w:hAnsi="Century Gothic" w:eastAsia="Calibri" w:cs="Arial"/>
          <w:i/>
          <w:lang w:val="es-ES" w:eastAsia="es-ES"/>
        </w:rPr>
        <w:t>o de cualquier otra índole</w:t>
      </w:r>
      <w:r w:rsidRPr="009241AC">
        <w:rPr>
          <w:rFonts w:ascii="Century Gothic" w:hAnsi="Century Gothic" w:eastAsia="Calibri" w:cs="Arial"/>
          <w:lang w:val="es-ES" w:eastAsia="es-ES"/>
        </w:rPr>
        <w:t xml:space="preserve">: </w:t>
      </w:r>
      <w:r w:rsidRPr="009241AC">
        <w:rPr>
          <w:rFonts w:ascii="Century Gothic" w:hAnsi="Century Gothic" w:eastAsia="Times New Roman"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9241AC">
        <w:rPr>
          <w:rFonts w:ascii="Century Gothic" w:hAnsi="Century Gothic" w:eastAsia="Calibri" w:cs="Arial"/>
          <w:lang w:val="es-ES" w:eastAsia="es-ES"/>
        </w:rPr>
        <w:t>entidad sometida al EGCAP.</w:t>
      </w:r>
    </w:p>
    <w:bookmarkEnd w:id="16"/>
    <w:p w:rsidRPr="009241AC" w:rsidR="00EC5C23" w:rsidP="00EC5C23" w:rsidRDefault="00EC5C23" w14:paraId="6B000659" w14:textId="77777777">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bCs/>
          <w:lang w:val="es-ES_tradnl" w:eastAsia="es-ES_tradnl"/>
        </w:rPr>
        <w:t xml:space="preserve"> </w:t>
      </w:r>
      <w:bookmarkStart w:name="_Hlk113023365" w:id="18"/>
      <w:r w:rsidRPr="009241AC">
        <w:rPr>
          <w:rFonts w:ascii="Century Gothic" w:hAnsi="Century Gothic" w:eastAsia="Calibri" w:cs="Arial"/>
          <w:bCs/>
          <w:lang w:val="es-ES_tradnl" w:eastAsia="es-ES_tradnl"/>
        </w:rPr>
        <w:t xml:space="preserve">El segundo inciso de la norma bajo estudio usa la expresión </w:t>
      </w:r>
      <w:r w:rsidRPr="009241AC">
        <w:rPr>
          <w:rFonts w:ascii="Century Gothic" w:hAnsi="Century Gothic" w:eastAsia="Calibri" w:cs="Arial"/>
          <w:lang w:val="es-ES_tradnl" w:eastAsia="es-ES_tradnl"/>
        </w:rPr>
        <w:t>“</w:t>
      </w:r>
      <w:r w:rsidRPr="009241AC">
        <w:rPr>
          <w:rFonts w:ascii="Century Gothic" w:hAnsi="Century Gothic" w:eastAsia="Times New Roman" w:cs="Arial"/>
          <w:lang w:eastAsia="es-ES_tradnl"/>
        </w:rPr>
        <w:t xml:space="preserve">los procedimientos de selección y </w:t>
      </w:r>
      <w:r w:rsidRPr="009241AC">
        <w:rPr>
          <w:rFonts w:ascii="Century Gothic" w:hAnsi="Century Gothic" w:eastAsia="Times New Roman" w:cs="Arial"/>
          <w:i/>
          <w:iCs/>
          <w:lang w:eastAsia="es-ES_tradnl"/>
        </w:rPr>
        <w:t>contratos que realicen en desarrollo de los anteriores negocios jurídicos</w:t>
      </w:r>
      <w:r w:rsidRPr="009241AC">
        <w:rPr>
          <w:rFonts w:ascii="Century Gothic" w:hAnsi="Century Gothic" w:eastAsia="Calibri" w:cs="Arial"/>
          <w:lang w:val="es-ES_tradnl" w:eastAsia="es-ES_tradnl"/>
        </w:rPr>
        <w:t>”</w:t>
      </w:r>
      <w:r w:rsidRPr="009241AC">
        <w:rPr>
          <w:rFonts w:ascii="Century Gothic" w:hAnsi="Century Gothic" w:eastAsia="Times New Roman" w:cs="Arial"/>
          <w:lang w:eastAsia="es-ES_tradnl"/>
        </w:rPr>
        <w:t xml:space="preserve">. Pudiera entenderse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en un objeto del que se desprende el suministro de un bien, obra o servicio cobijada por un Documento Tipo.  En ese sentido, la norma parte de la base de que para </w:t>
      </w:r>
      <w:r w:rsidRPr="009241AC">
        <w:rPr>
          <w:rFonts w:ascii="Century Gothic" w:hAnsi="Century Gothic" w:eastAsia="Times New Roman" w:cs="Arial"/>
          <w:i/>
          <w:iCs/>
          <w:lang w:eastAsia="es-ES_tradnl"/>
        </w:rPr>
        <w:t>desarrollar</w:t>
      </w:r>
      <w:r w:rsidRPr="009241AC">
        <w:rPr>
          <w:rFonts w:ascii="Century Gothic" w:hAnsi="Century Gothic" w:eastAsia="Times New Roman"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rsidRPr="009241AC" w:rsidR="00EC5C23" w:rsidP="601F0686" w:rsidRDefault="00EC5C23" w14:paraId="7B0081AF"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bCs/>
          <w:lang w:val="es-ES_tradnl" w:eastAsia="es-ES_tradnl"/>
        </w:rPr>
        <w:tab/>
      </w:r>
      <w:r w:rsidRPr="601F0686">
        <w:rPr>
          <w:rFonts w:ascii="Century Gothic" w:hAnsi="Century Gothic" w:eastAsia="Calibri" w:cs="Arial"/>
          <w:lang w:val="es-ES" w:eastAsia="es-ES"/>
        </w:rPr>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bookmarkStart w:name="_Hlk113023433" w:id="19"/>
      <w:bookmarkEnd w:id="18"/>
      <w:r w:rsidRPr="601F0686">
        <w:rPr>
          <w:rFonts w:ascii="Century Gothic" w:hAnsi="Century Gothic" w:eastAsia="Calibri" w:cs="Arial"/>
          <w:lang w:val="es-ES" w:eastAsia="es-ES"/>
        </w:rPr>
        <w:t xml:space="preserve">. De esto se desprende que el propósito del legislador con la expedición de la norma objeto de análisis, es que las Entidades Estatales que tienen como régimen contractual el EGCAP no puedan eludir su aplicación, ni la de los </w:t>
      </w:r>
      <w:r w:rsidRPr="601F0686">
        <w:rPr>
          <w:rFonts w:ascii="Century Gothic" w:hAnsi="Century Gothic" w:eastAsia="Calibri" w:cs="Arial"/>
          <w:lang w:val="es-ES" w:eastAsia="es-ES"/>
        </w:rPr>
        <w:t xml:space="preserve">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19"/>
    </w:p>
    <w:p w:rsidRPr="009241AC" w:rsidR="00EC5C23" w:rsidP="601F0686" w:rsidRDefault="00EC5C23" w14:paraId="5D7C126E" w14:textId="77777777">
      <w:pPr>
        <w:spacing w:after="0" w:line="276" w:lineRule="auto"/>
        <w:jc w:val="both"/>
        <w:rPr>
          <w:rFonts w:ascii="Century Gothic" w:hAnsi="Century Gothic" w:eastAsia="Calibri" w:cs="Arial"/>
          <w:lang w:val="es-ES" w:eastAsia="es-ES"/>
        </w:rPr>
      </w:pPr>
      <w:r w:rsidRPr="009241AC">
        <w:rPr>
          <w:rFonts w:ascii="Century Gothic" w:hAnsi="Century Gothic" w:eastAsia="Calibri" w:cs="Arial"/>
          <w:bCs/>
          <w:lang w:val="es-ES_tradnl" w:eastAsia="es-ES_tradnl"/>
        </w:rPr>
        <w:tab/>
      </w:r>
      <w:r w:rsidRPr="601F0686">
        <w:rPr>
          <w:rFonts w:ascii="Century Gothic" w:hAnsi="Century Gothic" w:eastAsia="Calibri" w:cs="Arial"/>
          <w:lang w:val="es-ES" w:eastAsia="es-ES"/>
        </w:rPr>
        <w:t xml:space="preserve">Por tanto, el hecho de que la norma esté dirigida a las entidades sometidas al EGCAP, no tiene otro fin más que el de indicar que la obligación de emplear los Documentos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Tipo en virtud de lo regulado en el parágrafo 7 del artículo 2 de la Ley 1150 de 2007, modificado por la Ley 2022 de 2020. </w:t>
      </w:r>
    </w:p>
    <w:p w:rsidRPr="009241AC" w:rsidR="00EC5C23" w:rsidP="00EC5C23" w:rsidRDefault="00EC5C23" w14:paraId="7BDBE98A" w14:textId="77777777">
      <w:pPr>
        <w:tabs>
          <w:tab w:val="left" w:pos="0"/>
        </w:tabs>
        <w:spacing w:after="0" w:line="276" w:lineRule="auto"/>
        <w:jc w:val="both"/>
        <w:rPr>
          <w:rFonts w:ascii="Century Gothic" w:hAnsi="Century Gothic" w:eastAsia="Calibri" w:cs="Arial"/>
          <w:bCs/>
          <w:lang w:val="es-ES_tradnl" w:eastAsia="es-ES_tradnl"/>
        </w:rPr>
      </w:pPr>
    </w:p>
    <w:p w:rsidRPr="009241AC" w:rsidR="00EC5C23" w:rsidP="00EC5C23" w:rsidRDefault="00EC5C23" w14:paraId="3E9B3C55" w14:textId="66B2CE5C">
      <w:pPr>
        <w:spacing w:after="0" w:line="276" w:lineRule="auto"/>
        <w:jc w:val="both"/>
        <w:rPr>
          <w:rFonts w:ascii="Century Gothic" w:hAnsi="Century Gothic" w:eastAsia="Calibri" w:cs="Arial"/>
          <w:lang w:val="es-ES" w:eastAsia="es-ES"/>
        </w:rPr>
      </w:pPr>
      <w:bookmarkStart w:name="_Hlk109963871" w:id="20"/>
      <w:r w:rsidRPr="009241AC">
        <w:rPr>
          <w:rFonts w:ascii="Century Gothic" w:hAnsi="Century Gothic" w:eastAsia="Calibri" w:cs="Arial"/>
          <w:b/>
          <w:lang w:val="es-ES" w:eastAsia="es-ES"/>
        </w:rPr>
        <w:t>2.</w:t>
      </w:r>
      <w:r w:rsidR="000E6FDE">
        <w:rPr>
          <w:rFonts w:ascii="Century Gothic" w:hAnsi="Century Gothic" w:eastAsia="Calibri" w:cs="Arial"/>
          <w:b/>
          <w:lang w:val="es-ES" w:eastAsia="es-ES"/>
        </w:rPr>
        <w:t>4</w:t>
      </w:r>
      <w:r w:rsidRPr="009241AC">
        <w:rPr>
          <w:rFonts w:ascii="Century Gothic" w:hAnsi="Century Gothic" w:eastAsia="Calibri" w:cs="Arial"/>
          <w:b/>
          <w:lang w:val="es-ES" w:eastAsia="es-ES"/>
        </w:rPr>
        <w:t>.</w:t>
      </w:r>
      <w:r w:rsidRPr="009241AC">
        <w:rPr>
          <w:rFonts w:ascii="Century Gothic" w:hAnsi="Century Gothic" w:eastAsia="Calibri" w:cs="Arial"/>
          <w:b/>
          <w:i/>
          <w:lang w:val="es-ES" w:eastAsia="es-ES"/>
        </w:rPr>
        <w:t xml:space="preserve"> </w:t>
      </w:r>
      <w:r w:rsidRPr="009241AC">
        <w:rPr>
          <w:rFonts w:ascii="Century Gothic" w:hAnsi="Century Gothic" w:eastAsia="Calibri" w:cs="Arial"/>
          <w:b/>
          <w:lang w:val="es-ES" w:eastAsia="es-ES"/>
        </w:rPr>
        <w:t xml:space="preserve">Aplicación prevalente del EGCAP en los contratos celebrados con entidades exceptuadas. Aparente </w:t>
      </w:r>
      <w:r w:rsidR="00DD624A">
        <w:rPr>
          <w:rFonts w:ascii="Century Gothic" w:hAnsi="Century Gothic" w:eastAsia="Calibri" w:cs="Arial"/>
          <w:b/>
          <w:lang w:val="es-ES" w:eastAsia="es-ES"/>
        </w:rPr>
        <w:t>antinomia</w:t>
      </w:r>
      <w:r w:rsidRPr="009241AC" w:rsidR="00DD624A">
        <w:rPr>
          <w:rFonts w:ascii="Century Gothic" w:hAnsi="Century Gothic" w:eastAsia="Calibri" w:cs="Arial"/>
          <w:b/>
          <w:lang w:val="es-ES" w:eastAsia="es-ES"/>
        </w:rPr>
        <w:t xml:space="preserve"> </w:t>
      </w:r>
      <w:r w:rsidRPr="009241AC">
        <w:rPr>
          <w:rFonts w:ascii="Century Gothic" w:hAnsi="Century Gothic" w:eastAsia="Calibri" w:cs="Arial"/>
          <w:b/>
          <w:lang w:val="es-ES" w:eastAsia="es-ES"/>
        </w:rPr>
        <w:t xml:space="preserve">con el literal c) del artículo 2, numeral 4, de la Ley 1150 de 2007 </w:t>
      </w:r>
    </w:p>
    <w:p w:rsidRPr="009241AC" w:rsidR="00EC5C23" w:rsidP="00EC5C23" w:rsidRDefault="00EC5C23" w14:paraId="6466639D" w14:textId="77777777">
      <w:pPr>
        <w:tabs>
          <w:tab w:val="left" w:pos="0"/>
        </w:tabs>
        <w:spacing w:after="0" w:line="276" w:lineRule="auto"/>
        <w:jc w:val="both"/>
        <w:rPr>
          <w:rFonts w:ascii="Century Gothic" w:hAnsi="Century Gothic" w:eastAsia="Calibri" w:cs="Arial"/>
          <w:bCs/>
          <w:lang w:val="es-ES_tradnl" w:eastAsia="es-ES_tradnl"/>
        </w:rPr>
      </w:pPr>
    </w:p>
    <w:p w:rsidRPr="009241AC" w:rsidR="00EC5C23" w:rsidP="601F0686" w:rsidRDefault="00EC5C23" w14:paraId="47087CF7" w14:textId="4032980E">
      <w:pPr>
        <w:spacing w:after="120" w:line="276" w:lineRule="auto"/>
        <w:jc w:val="both"/>
        <w:rPr>
          <w:rFonts w:ascii="Century Gothic" w:hAnsi="Century Gothic" w:eastAsia="Calibri" w:cs="Arial"/>
          <w:lang w:val="es-ES" w:eastAsia="es-ES"/>
        </w:rPr>
      </w:pPr>
      <w:r w:rsidRPr="601F0686">
        <w:rPr>
          <w:rFonts w:ascii="Century Gothic" w:hAnsi="Century Gothic" w:eastAsia="Calibri"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w:t>
      </w:r>
      <w:r w:rsidR="0087483D">
        <w:rPr>
          <w:rFonts w:ascii="Century Gothic" w:hAnsi="Century Gothic" w:eastAsia="Calibri" w:cs="Arial"/>
          <w:lang w:val="es-ES" w:eastAsia="es-ES"/>
        </w:rPr>
        <w:t>o</w:t>
      </w:r>
      <w:r w:rsidRPr="601F0686">
        <w:rPr>
          <w:rFonts w:ascii="Century Gothic" w:hAnsi="Century Gothic" w:eastAsia="Calibri" w:cs="Arial"/>
          <w:lang w:val="es-ES" w:eastAsia="es-ES"/>
        </w:rPr>
        <w:t xml:space="preserve">s a lo dispuesto en esta última norma, se entendía que debía aplicarse el EGCAP y los Documentos Tipo. </w:t>
      </w:r>
    </w:p>
    <w:p w:rsidRPr="009241AC" w:rsidR="00EC5C23" w:rsidP="601F0686" w:rsidRDefault="00EC5C23" w14:paraId="2BAEDE08"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bCs/>
          <w:lang w:val="es-ES_tradnl" w:eastAsia="es-ES_tradnl"/>
        </w:rPr>
        <w:tab/>
      </w:r>
      <w:r w:rsidRPr="601F0686">
        <w:rPr>
          <w:rFonts w:ascii="Century Gothic" w:hAnsi="Century Gothic" w:eastAsia="Calibri"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rsidRPr="009241AC" w:rsidR="00EC5C23" w:rsidP="00EC5C23" w:rsidRDefault="00EC5C23" w14:paraId="6E88ABA0" w14:textId="77777777">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bCs/>
          <w:lang w:val="es-ES_tradnl" w:eastAsia="es-ES_tradnl"/>
        </w:rPr>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rsidRPr="009241AC" w:rsidR="00EC5C23" w:rsidP="601F0686" w:rsidRDefault="00EC5C23" w14:paraId="0C2D0759"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bCs/>
          <w:lang w:val="es-ES_tradnl" w:eastAsia="es-ES_tradnl"/>
        </w:rPr>
        <w:tab/>
      </w:r>
      <w:r w:rsidRPr="601F0686">
        <w:rPr>
          <w:rFonts w:ascii="Century Gothic" w:hAnsi="Century Gothic" w:eastAsia="Calibri"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rsidRPr="009241AC" w:rsidR="00EC5C23" w:rsidP="00EC5C23" w:rsidRDefault="00EC5C23" w14:paraId="367F9C4D" w14:textId="77777777">
      <w:pPr>
        <w:tabs>
          <w:tab w:val="left" w:pos="0"/>
        </w:tabs>
        <w:spacing w:after="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bCs/>
          <w:lang w:val="es-ES_tradnl" w:eastAsia="es-ES_tradnl"/>
        </w:rPr>
        <w:t xml:space="preserve">Conforme a lo explicado en el acápite anterior, </w:t>
      </w:r>
      <w:bookmarkStart w:name="_Hlk113023497" w:id="21"/>
      <w:r w:rsidRPr="009241AC">
        <w:rPr>
          <w:rFonts w:ascii="Century Gothic" w:hAnsi="Century Gothic" w:eastAsia="Calibri" w:cs="Arial"/>
          <w:bCs/>
          <w:lang w:val="es-ES_tradnl" w:eastAsia="es-ES_tradnl"/>
        </w:rPr>
        <w:t xml:space="preserve">de la lectura conjunta de los incisos primero y segundo se desprende que estos introducen un mandato dirigido a que las entidades sometidas al EGCAP apliquen los Documentos Tipo en los contratos o convenios que suscriban con los mencionados sujetos de régimen </w:t>
      </w:r>
      <w:r w:rsidRPr="009241AC">
        <w:rPr>
          <w:rFonts w:ascii="Century Gothic" w:hAnsi="Century Gothic" w:eastAsia="Calibri" w:cs="Arial"/>
          <w:bCs/>
          <w:lang w:val="es-ES_tradnl" w:eastAsia="es-ES_tradnl"/>
        </w:rPr>
        <w:t xml:space="preserve">de derecho privado para la adquisición de bienes, obras y servicios, en los casos en los que el objeto contractual que se pretende contratar esté sometido a algún Documento Tipo, esto </w:t>
      </w:r>
      <w:r w:rsidRPr="009241AC">
        <w:rPr>
          <w:rFonts w:ascii="Century Gothic" w:hAnsi="Century Gothic" w:eastAsia="Times New Roman" w:cs="Arial"/>
          <w:lang w:eastAsia="es-ES_tradnl"/>
        </w:rPr>
        <w:t xml:space="preserve">implica que si las Entidades Estatales exceptuadas pretenden ser adjudicatarias de estos contratos, deben someterse a un proceso de selección en el que se apliquen Documentos Tipo expedidos por esta Agencia a cargo de la </w:t>
      </w:r>
      <w:r w:rsidRPr="009241AC">
        <w:rPr>
          <w:rFonts w:ascii="Century Gothic" w:hAnsi="Century Gothic" w:eastAsia="Calibri" w:cs="Arial"/>
          <w:bCs/>
          <w:lang w:val="es-ES_tradnl" w:eastAsia="es-ES_tradnl"/>
        </w:rPr>
        <w:t>entidad sometida al EGCAP.</w:t>
      </w:r>
    </w:p>
    <w:bookmarkEnd w:id="21"/>
    <w:p w:rsidRPr="009241AC" w:rsidR="00EC5C23" w:rsidP="00EC5C23" w:rsidRDefault="00EC5C23" w14:paraId="589C0DF0" w14:textId="77777777">
      <w:pPr>
        <w:tabs>
          <w:tab w:val="left" w:pos="0"/>
        </w:tabs>
        <w:spacing w:after="0" w:line="276" w:lineRule="auto"/>
        <w:jc w:val="both"/>
        <w:rPr>
          <w:rFonts w:ascii="Century Gothic" w:hAnsi="Century Gothic" w:eastAsia="Times New Roman" w:cs="Arial"/>
          <w:lang w:eastAsia="es-ES_tradnl"/>
        </w:rPr>
      </w:pPr>
      <w:r w:rsidRPr="009241AC">
        <w:rPr>
          <w:rFonts w:ascii="Century Gothic" w:hAnsi="Century Gothic" w:eastAsia="Times New Roman" w:cs="Arial"/>
          <w:lang w:eastAsia="es-ES_tradnl"/>
        </w:rPr>
        <w:tab/>
      </w:r>
      <w:bookmarkEnd w:id="20"/>
    </w:p>
    <w:p w:rsidRPr="009241AC" w:rsidR="00EC5C23" w:rsidP="00EC5C23" w:rsidRDefault="00EC5C23" w14:paraId="75CF9377" w14:textId="1714E0E1">
      <w:pPr>
        <w:tabs>
          <w:tab w:val="left" w:pos="0"/>
        </w:tabs>
        <w:spacing w:after="0" w:line="276" w:lineRule="auto"/>
        <w:jc w:val="both"/>
        <w:rPr>
          <w:rFonts w:ascii="Century Gothic" w:hAnsi="Century Gothic" w:eastAsia="Times New Roman" w:cs="Arial"/>
          <w:b/>
          <w:bCs/>
          <w:lang w:eastAsia="es-ES_tradnl"/>
        </w:rPr>
      </w:pPr>
      <w:r w:rsidRPr="009241AC">
        <w:rPr>
          <w:rFonts w:ascii="Century Gothic" w:hAnsi="Century Gothic" w:eastAsia="Times New Roman" w:cs="Arial"/>
          <w:b/>
          <w:bCs/>
          <w:lang w:eastAsia="es-ES_tradnl"/>
        </w:rPr>
        <w:t>2.</w:t>
      </w:r>
      <w:r w:rsidR="00224A89">
        <w:rPr>
          <w:rFonts w:ascii="Century Gothic" w:hAnsi="Century Gothic" w:eastAsia="Times New Roman" w:cs="Arial"/>
          <w:b/>
          <w:bCs/>
          <w:lang w:eastAsia="es-ES_tradnl"/>
        </w:rPr>
        <w:t>5</w:t>
      </w:r>
      <w:r w:rsidRPr="009241AC">
        <w:rPr>
          <w:rFonts w:ascii="Century Gothic" w:hAnsi="Century Gothic" w:eastAsia="Times New Roman" w:cs="Arial"/>
          <w:b/>
          <w:bCs/>
          <w:lang w:eastAsia="es-ES_tradnl"/>
        </w:rPr>
        <w:t xml:space="preserve">. Excepciones a la aplicación del artículo 56 de la Ley 2195 de 2022. Alcance de la expresión </w:t>
      </w:r>
      <w:r w:rsidRPr="009241AC">
        <w:rPr>
          <w:rFonts w:ascii="Century Gothic" w:hAnsi="Century Gothic" w:eastAsia="Times New Roman" w:cs="Arial"/>
          <w:b/>
          <w:bCs/>
          <w:i/>
          <w:iCs/>
          <w:lang w:eastAsia="es-ES_tradnl"/>
        </w:rPr>
        <w:t>“giro ordinario”</w:t>
      </w:r>
      <w:r w:rsidRPr="009241AC">
        <w:rPr>
          <w:rFonts w:ascii="Century Gothic" w:hAnsi="Century Gothic" w:eastAsia="Times New Roman" w:cs="Arial"/>
          <w:b/>
          <w:bCs/>
          <w:lang w:eastAsia="es-ES_tradnl"/>
        </w:rPr>
        <w:t xml:space="preserve"> contenida en el parágrafo de la norma.</w:t>
      </w:r>
      <w:r w:rsidR="00FC6BA4">
        <w:rPr>
          <w:rFonts w:ascii="Century Gothic" w:hAnsi="Century Gothic" w:eastAsia="Times New Roman" w:cs="Arial"/>
          <w:b/>
          <w:bCs/>
          <w:lang w:eastAsia="es-ES_tradnl"/>
        </w:rPr>
        <w:t xml:space="preserve"> Aplicabilidad a </w:t>
      </w:r>
      <w:r w:rsidR="00B37459">
        <w:rPr>
          <w:rFonts w:ascii="Century Gothic" w:hAnsi="Century Gothic" w:eastAsia="Times New Roman" w:cs="Arial"/>
          <w:b/>
          <w:bCs/>
          <w:lang w:eastAsia="es-ES_tradnl"/>
        </w:rPr>
        <w:t>las sociedades públicas.</w:t>
      </w:r>
    </w:p>
    <w:p w:rsidRPr="009241AC" w:rsidR="00EC5C23" w:rsidP="00EC5C23" w:rsidRDefault="00EC5C23" w14:paraId="37592FEC" w14:textId="77777777">
      <w:pPr>
        <w:tabs>
          <w:tab w:val="left" w:pos="0"/>
        </w:tabs>
        <w:spacing w:after="0" w:line="276" w:lineRule="auto"/>
        <w:jc w:val="both"/>
        <w:rPr>
          <w:rFonts w:ascii="Century Gothic" w:hAnsi="Century Gothic" w:eastAsia="Times New Roman" w:cs="Arial"/>
          <w:lang w:eastAsia="es-ES_tradnl"/>
        </w:rPr>
      </w:pPr>
    </w:p>
    <w:p w:rsidRPr="009241AC" w:rsidR="00EC5C23" w:rsidP="00EC5C23" w:rsidRDefault="00EC5C23" w14:paraId="73903597" w14:textId="70002022">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Times New Roman" w:cs="Arial"/>
          <w:lang w:eastAsia="es-ES_tradnl"/>
        </w:rPr>
        <w:t>De otra parte,</w:t>
      </w:r>
      <w:bookmarkStart w:name="_Hlk113023556" w:id="22"/>
      <w:r w:rsidRPr="009241AC">
        <w:rPr>
          <w:rFonts w:ascii="Century Gothic" w:hAnsi="Century Gothic" w:eastAsia="Times New Roman" w:cs="Arial"/>
          <w:lang w:eastAsia="es-ES_tradnl"/>
        </w:rPr>
        <w:t xml:space="preserve"> atendiendo al objeto de su consulta,</w:t>
      </w:r>
      <w:r w:rsidRPr="009241AC">
        <w:rPr>
          <w:rFonts w:ascii="Century Gothic" w:hAnsi="Century Gothic" w:eastAsia="Calibri" w:cs="Arial"/>
          <w:bCs/>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9241AC">
        <w:rPr>
          <w:rFonts w:ascii="Century Gothic" w:hAnsi="Century Gothic" w:eastAsia="Calibri" w:cs="Arial"/>
          <w:bCs/>
          <w:i/>
          <w:iCs/>
          <w:lang w:val="es-ES_tradnl" w:eastAsia="es-ES_tradnl"/>
        </w:rPr>
        <w:t>giro ordinario</w:t>
      </w:r>
      <w:r w:rsidRPr="009241AC">
        <w:rPr>
          <w:rFonts w:ascii="Century Gothic" w:hAnsi="Century Gothic" w:eastAsia="Calibri"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9241AC">
        <w:rPr>
          <w:rFonts w:ascii="Century Gothic" w:hAnsi="Century Gothic" w:eastAsia="Calibri" w:cs="Arial"/>
          <w:bCs/>
          <w:lang w:val="es-ES_tradnl" w:eastAsia="es-ES_tradnl"/>
        </w:rPr>
        <w:t>ii</w:t>
      </w:r>
      <w:proofErr w:type="spellEnd"/>
      <w:r w:rsidRPr="009241AC">
        <w:rPr>
          <w:rFonts w:ascii="Century Gothic" w:hAnsi="Century Gothic" w:eastAsia="Calibri" w:cs="Arial"/>
          <w:bCs/>
          <w:lang w:val="es-ES_tradnl" w:eastAsia="es-ES_tradnl"/>
        </w:rPr>
        <w:t xml:space="preserve">) las empresas sociales del Estado, </w:t>
      </w:r>
      <w:proofErr w:type="spellStart"/>
      <w:r w:rsidRPr="009241AC">
        <w:rPr>
          <w:rFonts w:ascii="Century Gothic" w:hAnsi="Century Gothic" w:eastAsia="Calibri" w:cs="Arial"/>
          <w:bCs/>
          <w:lang w:val="es-ES_tradnl" w:eastAsia="es-ES_tradnl"/>
        </w:rPr>
        <w:t>iii</w:t>
      </w:r>
      <w:proofErr w:type="spellEnd"/>
      <w:r w:rsidRPr="009241AC">
        <w:rPr>
          <w:rFonts w:ascii="Century Gothic" w:hAnsi="Century Gothic" w:eastAsia="Calibri" w:cs="Arial"/>
          <w:bCs/>
          <w:lang w:val="es-ES_tradnl" w:eastAsia="es-ES_tradnl"/>
        </w:rPr>
        <w:t xml:space="preserve">) las sociedades de economía mixta y </w:t>
      </w:r>
      <w:proofErr w:type="spellStart"/>
      <w:r w:rsidRPr="009241AC">
        <w:rPr>
          <w:rFonts w:ascii="Century Gothic" w:hAnsi="Century Gothic" w:eastAsia="Calibri" w:cs="Arial"/>
          <w:bCs/>
          <w:lang w:val="es-ES_tradnl" w:eastAsia="es-ES_tradnl"/>
        </w:rPr>
        <w:t>iv</w:t>
      </w:r>
      <w:proofErr w:type="spellEnd"/>
      <w:r w:rsidRPr="009241AC">
        <w:rPr>
          <w:rFonts w:ascii="Century Gothic" w:hAnsi="Century Gothic" w:eastAsia="Calibri" w:cs="Arial"/>
          <w:bCs/>
          <w:lang w:val="es-ES_tradnl" w:eastAsia="es-ES_tradnl"/>
        </w:rPr>
        <w:t xml:space="preserve">) las empresas industriales y comerciales del Estado, únicamente, en la contratación relacionada con el </w:t>
      </w:r>
      <w:r w:rsidRPr="009241AC">
        <w:rPr>
          <w:rFonts w:ascii="Century Gothic" w:hAnsi="Century Gothic" w:eastAsia="Calibri" w:cs="Arial"/>
          <w:bCs/>
          <w:i/>
          <w:iCs/>
          <w:lang w:val="es-ES_tradnl" w:eastAsia="es-ES_tradnl"/>
        </w:rPr>
        <w:t>giro ordinario.</w:t>
      </w:r>
      <w:r w:rsidRPr="009241AC">
        <w:rPr>
          <w:rFonts w:ascii="Century Gothic" w:hAnsi="Century Gothic" w:eastAsia="Calibri" w:cs="Arial"/>
          <w:bCs/>
          <w:lang w:val="es-ES_tradnl" w:eastAsia="es-ES_tradnl"/>
        </w:rPr>
        <w:t xml:space="preserve"> Esto significa que, en la contratación asociada a su </w:t>
      </w:r>
      <w:r w:rsidRPr="009241AC">
        <w:rPr>
          <w:rFonts w:ascii="Century Gothic" w:hAnsi="Century Gothic" w:eastAsia="Calibri" w:cs="Arial"/>
          <w:bCs/>
          <w:i/>
          <w:iCs/>
          <w:lang w:val="es-ES_tradnl" w:eastAsia="es-ES_tradnl"/>
        </w:rPr>
        <w:t xml:space="preserve">giro ordinario, </w:t>
      </w:r>
      <w:r w:rsidRPr="009241AC">
        <w:rPr>
          <w:rFonts w:ascii="Century Gothic" w:hAnsi="Century Gothic" w:eastAsia="Calibri" w:cs="Arial"/>
          <w:bCs/>
          <w:lang w:val="es-ES_tradnl" w:eastAsia="es-ES_tradnl"/>
        </w:rPr>
        <w:t>estos tipos de entidades no tendrían que aplicar, de manera obligatoria, los Documentos Tipo, ni tampoco el EGCAP.</w:t>
      </w:r>
      <w:r w:rsidRPr="009241AC">
        <w:rPr>
          <w:rFonts w:ascii="Century Gothic" w:hAnsi="Century Gothic" w:eastAsia="Times New Roman" w:cs="Arial"/>
          <w:lang w:eastAsia="es-ES_tradnl"/>
        </w:rPr>
        <w:t xml:space="preserve"> Es decir, si Entidades Estatales exceptuadas pretenden ser adjudicatarias de estos contratos, no deben someterse a un proceso de selección en el que se apliquen Documentos Tipo expedidos por esta Agencia. </w:t>
      </w:r>
      <w:r w:rsidRPr="009241AC">
        <w:rPr>
          <w:rFonts w:ascii="Century Gothic" w:hAnsi="Century Gothic" w:eastAsia="Calibri" w:cs="Arial"/>
          <w:bCs/>
          <w:lang w:val="es-ES_tradnl" w:eastAsia="es-ES_tradnl"/>
        </w:rPr>
        <w:t xml:space="preserve">En este caso la norma se limita a fomentar la implementación de Documentos Tipo a modo de buena práctica contractual, en los casos en los que se estime conveniente. </w:t>
      </w:r>
    </w:p>
    <w:bookmarkEnd w:id="22"/>
    <w:p w:rsidRPr="009241AC" w:rsidR="00EC5C23" w:rsidP="00EC5C23" w:rsidRDefault="00EC5C23" w14:paraId="7E64DF48" w14:textId="77777777">
      <w:pPr>
        <w:tabs>
          <w:tab w:val="left" w:pos="0"/>
        </w:tabs>
        <w:spacing w:after="120" w:line="276" w:lineRule="auto"/>
        <w:jc w:val="both"/>
        <w:rPr>
          <w:rFonts w:ascii="Century Gothic" w:hAnsi="Century Gothic" w:eastAsia="Arial" w:cs="Arial"/>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bCs/>
          <w:lang w:val="es-ES_tradnl" w:eastAsia="es-ES_tradnl"/>
        </w:rPr>
        <w:t xml:space="preserve">Ahora, es importante tener en cuenta que cuando la norma se refiere a la contratación del </w:t>
      </w:r>
      <w:r w:rsidRPr="009241AC">
        <w:rPr>
          <w:rFonts w:ascii="Century Gothic" w:hAnsi="Century Gothic" w:eastAsia="Calibri" w:cs="Arial"/>
          <w:bCs/>
          <w:i/>
          <w:iCs/>
          <w:lang w:val="es-ES_tradnl" w:eastAsia="es-ES_tradnl"/>
        </w:rPr>
        <w:t>giro ordinario</w:t>
      </w:r>
      <w:r w:rsidRPr="009241AC">
        <w:rPr>
          <w:rFonts w:ascii="Century Gothic" w:hAnsi="Century Gothic" w:eastAsia="Calibri" w:cs="Arial"/>
          <w:bCs/>
          <w:lang w:val="es-ES_tradnl" w:eastAsia="es-ES_tradnl"/>
        </w:rPr>
        <w:t>, emplea un concepto jurídico indeterminado</w:t>
      </w:r>
      <w:r w:rsidRPr="009241AC">
        <w:rPr>
          <w:rFonts w:ascii="Century Gothic" w:hAnsi="Century Gothic" w:eastAsia="Calibri" w:cs="Arial"/>
          <w:vertAlign w:val="superscript"/>
          <w:lang w:eastAsia="es-ES_tradnl"/>
        </w:rPr>
        <w:footnoteReference w:id="15"/>
      </w:r>
      <w:r w:rsidRPr="009241AC">
        <w:rPr>
          <w:rFonts w:ascii="Century Gothic" w:hAnsi="Century Gothic" w:eastAsia="Calibri" w:cs="Arial"/>
          <w:bCs/>
          <w:lang w:val="es-ES_tradnl" w:eastAsia="es-ES_tradnl"/>
        </w:rPr>
        <w:t xml:space="preserve">. </w:t>
      </w:r>
      <w:r w:rsidRPr="009241AC">
        <w:rPr>
          <w:rFonts w:ascii="Century Gothic" w:hAnsi="Century Gothic" w:eastAsia="Arial"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w:t>
      </w:r>
      <w:r w:rsidRPr="009241AC">
        <w:rPr>
          <w:rFonts w:ascii="Century Gothic" w:hAnsi="Century Gothic" w:eastAsia="Arial" w:cs="Arial"/>
          <w:lang w:val="es-ES_tradnl" w:eastAsia="es-ES_tradnl"/>
        </w:rPr>
        <w:t xml:space="preserve">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9241AC">
        <w:rPr>
          <w:rFonts w:ascii="Century Gothic" w:hAnsi="Century Gothic" w:eastAsia="Arial" w:cs="Arial"/>
          <w:i/>
          <w:iCs/>
          <w:lang w:val="es-ES_tradnl" w:eastAsia="es-ES_tradnl"/>
        </w:rPr>
        <w:t>giro ordinario</w:t>
      </w:r>
      <w:r w:rsidRPr="009241AC">
        <w:rPr>
          <w:rFonts w:ascii="Century Gothic" w:hAnsi="Century Gothic" w:eastAsia="Arial" w:cs="Arial"/>
          <w:lang w:val="es-ES_tradnl" w:eastAsia="es-ES_tradnl"/>
        </w:rPr>
        <w:t xml:space="preserve"> de sus negocios. </w:t>
      </w:r>
    </w:p>
    <w:p w:rsidRPr="009241AC" w:rsidR="00EC5C23" w:rsidP="00EC5C23" w:rsidRDefault="00EC5C23" w14:paraId="7ED6D00D" w14:textId="77777777">
      <w:pPr>
        <w:tabs>
          <w:tab w:val="left" w:pos="0"/>
        </w:tabs>
        <w:spacing w:after="0" w:line="276" w:lineRule="auto"/>
        <w:ind w:firstLine="709"/>
        <w:jc w:val="both"/>
        <w:rPr>
          <w:rFonts w:ascii="Century Gothic" w:hAnsi="Century Gothic" w:eastAsia="Calibri" w:cs="Arial"/>
          <w:bCs/>
          <w:lang w:val="es-ES_tradnl" w:eastAsia="es-ES_tradnl"/>
        </w:rPr>
      </w:pPr>
      <w:r w:rsidRPr="009241AC">
        <w:rPr>
          <w:rFonts w:ascii="Century Gothic" w:hAnsi="Century Gothic" w:eastAsia="Arial" w:cs="Arial"/>
          <w:lang w:val="es-ES_tradnl" w:eastAsia="es-ES_tradnl"/>
        </w:rPr>
        <w:t>La Corte Constitucional</w:t>
      </w:r>
      <w:r w:rsidRPr="009241AC">
        <w:rPr>
          <w:rFonts w:ascii="Century Gothic" w:hAnsi="Century Gothic" w:eastAsia="Arial" w:cs="Arial"/>
          <w:vertAlign w:val="superscript"/>
          <w:lang w:eastAsia="es-ES_tradnl"/>
        </w:rPr>
        <w:footnoteReference w:id="16"/>
      </w:r>
      <w:r w:rsidRPr="009241AC">
        <w:rPr>
          <w:rFonts w:ascii="Century Gothic" w:hAnsi="Century Gothic" w:eastAsia="Arial"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9241AC">
        <w:rPr>
          <w:rFonts w:ascii="Century Gothic" w:hAnsi="Century Gothic" w:eastAsia="Calibri" w:cs="Arial"/>
          <w:bCs/>
          <w:lang w:val="es-ES_tradnl" w:eastAsia="es-ES_tradnl"/>
        </w:rPr>
        <w:t xml:space="preserve"> 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9241AC">
        <w:rPr>
          <w:rFonts w:ascii="Century Gothic" w:hAnsi="Century Gothic" w:eastAsia="Calibri" w:cs="Arial"/>
          <w:bCs/>
          <w:i/>
          <w:iCs/>
          <w:lang w:val="es-ES_tradnl" w:eastAsia="es-ES_tradnl"/>
        </w:rPr>
        <w:t xml:space="preserve">giro ordinario </w:t>
      </w:r>
      <w:r w:rsidRPr="009241AC">
        <w:rPr>
          <w:rFonts w:ascii="Century Gothic" w:hAnsi="Century Gothic" w:eastAsia="Calibri" w:cs="Arial"/>
          <w:bCs/>
          <w:lang w:val="es-ES_tradnl" w:eastAsia="es-ES_tradnl"/>
        </w:rPr>
        <w:t>incluida en la redacción original del parágrafo 1° del artículo 32 de la Ley 80 de 1993</w:t>
      </w:r>
      <w:r w:rsidRPr="009241AC">
        <w:rPr>
          <w:rFonts w:ascii="Century Gothic" w:hAnsi="Century Gothic" w:eastAsia="Calibri" w:cs="Arial"/>
          <w:vertAlign w:val="superscript"/>
          <w:lang w:eastAsia="es-ES_tradnl"/>
        </w:rPr>
        <w:footnoteReference w:id="17"/>
      </w:r>
      <w:r w:rsidRPr="009241AC">
        <w:rPr>
          <w:rFonts w:ascii="Century Gothic" w:hAnsi="Century Gothic" w:eastAsia="Calibri" w:cs="Arial"/>
          <w:bCs/>
          <w:lang w:val="es-ES_tradnl" w:eastAsia="es-ES_tradnl"/>
        </w:rPr>
        <w:t xml:space="preserve">, la Sección Tercera manifestó lo siguiente: </w:t>
      </w:r>
    </w:p>
    <w:p w:rsidRPr="009241AC" w:rsidR="00EC5C23" w:rsidP="00EC5C23" w:rsidRDefault="00EC5C23" w14:paraId="11F88F84" w14:textId="77777777">
      <w:pPr>
        <w:tabs>
          <w:tab w:val="left" w:pos="0"/>
        </w:tabs>
        <w:spacing w:after="0" w:line="276" w:lineRule="auto"/>
        <w:jc w:val="both"/>
        <w:rPr>
          <w:rFonts w:ascii="Century Gothic" w:hAnsi="Century Gothic" w:eastAsia="Calibri" w:cs="Arial"/>
          <w:bCs/>
          <w:lang w:val="es-ES_tradnl" w:eastAsia="es-ES_tradnl"/>
        </w:rPr>
      </w:pPr>
    </w:p>
    <w:p w:rsidRPr="009241AC" w:rsidR="00EC5C23" w:rsidP="00EC5C23" w:rsidRDefault="00EC5C23" w14:paraId="07A67A1F" w14:textId="77777777">
      <w:pPr>
        <w:spacing w:after="0" w:line="240" w:lineRule="auto"/>
        <w:ind w:left="709" w:right="709"/>
        <w:jc w:val="both"/>
        <w:rPr>
          <w:rFonts w:ascii="Century Gothic" w:hAnsi="Century Gothic" w:eastAsia="Times New Roman" w:cs="Arial"/>
          <w:sz w:val="20"/>
          <w:szCs w:val="20"/>
          <w:lang w:val="es-ES_tradnl" w:eastAsia="es-CO"/>
        </w:rPr>
      </w:pPr>
      <w:r w:rsidRPr="009241AC">
        <w:rPr>
          <w:rFonts w:ascii="Century Gothic" w:hAnsi="Century Gothic" w:eastAsia="Times New Roman" w:cs="Arial"/>
          <w:sz w:val="20"/>
          <w:szCs w:val="20"/>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9241AC">
        <w:rPr>
          <w:rFonts w:ascii="Century Gothic" w:hAnsi="Century Gothic" w:eastAsia="Times New Roman" w:cs="Arial"/>
          <w:sz w:val="20"/>
          <w:szCs w:val="20"/>
          <w:lang w:val="es-ES_tradnl" w:eastAsia="es-ES_tradnl"/>
        </w:rPr>
        <w:t>Siendo</w:t>
      </w:r>
      <w:proofErr w:type="gramEnd"/>
      <w:r w:rsidRPr="009241AC">
        <w:rPr>
          <w:rFonts w:ascii="Century Gothic" w:hAnsi="Century Gothic" w:eastAsia="Times New Roman" w:cs="Arial"/>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9241AC">
        <w:rPr>
          <w:rFonts w:ascii="Century Gothic" w:hAnsi="Century Gothic" w:eastAsia="Times New Roman" w:cs="Arial"/>
          <w:sz w:val="20"/>
          <w:szCs w:val="20"/>
          <w:vertAlign w:val="superscript"/>
          <w:lang w:eastAsia="es-ES_tradnl"/>
        </w:rPr>
        <w:footnoteReference w:id="18"/>
      </w:r>
      <w:r w:rsidRPr="009241AC">
        <w:rPr>
          <w:rFonts w:ascii="Century Gothic" w:hAnsi="Century Gothic" w:eastAsia="Times New Roman" w:cs="Arial"/>
          <w:sz w:val="20"/>
          <w:szCs w:val="20"/>
          <w:lang w:val="es-ES_tradnl" w:eastAsia="es-ES_tradnl"/>
        </w:rPr>
        <w:t>.</w:t>
      </w:r>
    </w:p>
    <w:p w:rsidRPr="009241AC" w:rsidR="00EC5C23" w:rsidP="00EC5C23" w:rsidRDefault="00EC5C23" w14:paraId="18A7AF76" w14:textId="77777777">
      <w:pPr>
        <w:tabs>
          <w:tab w:val="left" w:pos="0"/>
        </w:tabs>
        <w:spacing w:after="0" w:line="276" w:lineRule="auto"/>
        <w:jc w:val="both"/>
        <w:rPr>
          <w:rFonts w:ascii="Century Gothic" w:hAnsi="Century Gothic" w:eastAsia="Calibri" w:cs="Arial"/>
          <w:bCs/>
          <w:i/>
          <w:iCs/>
          <w:lang w:val="es-ES_tradnl" w:eastAsia="es-ES_tradnl"/>
        </w:rPr>
      </w:pPr>
    </w:p>
    <w:p w:rsidRPr="009241AC" w:rsidR="00EC5C23" w:rsidP="00EC5C23" w:rsidRDefault="00EC5C23" w14:paraId="7402FE2E" w14:textId="77777777">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bCs/>
          <w:lang w:val="es-ES_tradnl" w:eastAsia="es-ES_tradnl"/>
        </w:rPr>
        <w:t xml:space="preserve">En el mismo sentido se pronunció recientemente el Alto Tribunal de lo Contencioso Administrativo, reiterando las anteriores consideraciones, al expresar que el concepto de </w:t>
      </w:r>
      <w:r w:rsidRPr="009241AC">
        <w:rPr>
          <w:rFonts w:ascii="Century Gothic" w:hAnsi="Century Gothic" w:eastAsia="Calibri" w:cs="Arial"/>
          <w:i/>
          <w:lang w:val="es-ES_tradnl" w:eastAsia="es-ES_tradnl"/>
        </w:rPr>
        <w:t xml:space="preserve">“giro ordinario de los negocios” </w:t>
      </w:r>
      <w:r w:rsidRPr="009241AC">
        <w:rPr>
          <w:rFonts w:ascii="Century Gothic" w:hAnsi="Century Gothic" w:eastAsia="Calibri" w:cs="Arial"/>
          <w:bCs/>
          <w:lang w:val="es-ES_tradnl" w:eastAsia="es-ES_tradnl"/>
        </w:rPr>
        <w:t xml:space="preserve">se refiere a aquellas actividades compatibles con el objeto social, funciones previstas en la ley, o en las </w:t>
      </w:r>
      <w:r w:rsidRPr="009241AC">
        <w:rPr>
          <w:rFonts w:ascii="Century Gothic" w:hAnsi="Century Gothic" w:eastAsia="Calibri" w:cs="Arial"/>
          <w:bCs/>
          <w:lang w:val="es-ES_tradnl" w:eastAsia="es-ES_tradnl"/>
        </w:rPr>
        <w:t>normas de creación y en sus estatutos internos de las personas</w:t>
      </w:r>
      <w:r w:rsidRPr="009241AC">
        <w:rPr>
          <w:rFonts w:ascii="Century Gothic" w:hAnsi="Century Gothic" w:eastAsia="Calibri" w:cs="Arial"/>
          <w:vertAlign w:val="superscript"/>
          <w:lang w:eastAsia="es-ES_tradnl"/>
        </w:rPr>
        <w:footnoteReference w:id="19"/>
      </w:r>
      <w:r w:rsidRPr="009241AC">
        <w:rPr>
          <w:rFonts w:ascii="Century Gothic" w:hAnsi="Century Gothic" w:eastAsia="Calibri" w:cs="Arial"/>
          <w:bCs/>
          <w:lang w:val="es-ES_tradnl" w:eastAsia="es-ES_tradnl"/>
        </w:rPr>
        <w:t xml:space="preserve"> y la doctrina societaria</w:t>
      </w:r>
      <w:r w:rsidRPr="009241AC">
        <w:rPr>
          <w:rFonts w:ascii="Century Gothic" w:hAnsi="Century Gothic" w:eastAsia="Calibri" w:cs="Arial"/>
          <w:bCs/>
          <w:vertAlign w:val="superscript"/>
          <w:lang w:val="es-ES_tradnl" w:eastAsia="es-ES_tradnl"/>
        </w:rPr>
        <w:footnoteReference w:id="20"/>
      </w:r>
      <w:r w:rsidRPr="009241AC">
        <w:rPr>
          <w:rFonts w:ascii="Century Gothic" w:hAnsi="Century Gothic" w:eastAsia="Calibri" w:cs="Arial"/>
          <w:bCs/>
          <w:lang w:val="es-ES_tradnl" w:eastAsia="es-ES_tradnl"/>
        </w:rPr>
        <w:t xml:space="preserve">. </w:t>
      </w:r>
    </w:p>
    <w:p w:rsidRPr="009241AC" w:rsidR="00EC5C23" w:rsidP="00EC5C23" w:rsidRDefault="00EC5C23" w14:paraId="31DE3362"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bCs/>
          <w:lang w:val="es-ES_tradnl" w:eastAsia="es-ES_tradnl"/>
        </w:rPr>
        <w:tab/>
      </w:r>
      <w:r w:rsidRPr="009241AC">
        <w:rPr>
          <w:rFonts w:ascii="Century Gothic" w:hAnsi="Century Gothic" w:eastAsia="Calibri" w:cs="Arial"/>
          <w:lang w:val="es-ES" w:eastAsia="es-ES"/>
        </w:rPr>
        <w:t xml:space="preserve">Conforme con lo expresado, el </w:t>
      </w:r>
      <w:r w:rsidRPr="009241AC">
        <w:rPr>
          <w:rFonts w:ascii="Century Gothic" w:hAnsi="Century Gothic" w:eastAsia="Calibri" w:cs="Arial"/>
          <w:i/>
          <w:lang w:val="es-ES" w:eastAsia="es-ES"/>
        </w:rPr>
        <w:t xml:space="preserve">giro ordinario </w:t>
      </w:r>
      <w:r w:rsidRPr="009241AC">
        <w:rPr>
          <w:rFonts w:ascii="Century Gothic" w:hAnsi="Century Gothic" w:eastAsia="Calibri"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9241AC">
        <w:rPr>
          <w:rFonts w:ascii="Century Gothic" w:hAnsi="Century Gothic" w:eastAsia="Times New Roman" w:cs="Arial"/>
          <w:lang w:val="es-ES" w:eastAsia="es-ES"/>
        </w:rPr>
        <w:t>S]e</w:t>
      </w:r>
      <w:r w:rsidRPr="009241AC">
        <w:rPr>
          <w:rFonts w:ascii="Century Gothic" w:hAnsi="Century Gothic" w:eastAsia="Calibri"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9241AC">
        <w:rPr>
          <w:rFonts w:ascii="Century Gothic" w:hAnsi="Century Gothic" w:eastAsia="Calibri" w:cs="Arial"/>
          <w:vertAlign w:val="superscript"/>
          <w:lang w:eastAsia="es-ES"/>
        </w:rPr>
        <w:footnoteReference w:id="21"/>
      </w:r>
    </w:p>
    <w:p w:rsidRPr="009241AC" w:rsidR="00EC5C23" w:rsidP="601F0686" w:rsidRDefault="00EC5C23" w14:paraId="3465F611" w14:textId="77777777">
      <w:pPr>
        <w:spacing w:after="120" w:line="276" w:lineRule="auto"/>
        <w:jc w:val="both"/>
        <w:rPr>
          <w:rFonts w:ascii="Century Gothic" w:hAnsi="Century Gothic" w:eastAsia="Calibri" w:cs="Arial"/>
          <w:lang w:val="es-ES" w:eastAsia="es-ES"/>
        </w:rPr>
      </w:pPr>
      <w:r w:rsidRPr="009241AC">
        <w:rPr>
          <w:rFonts w:ascii="Century Gothic" w:hAnsi="Century Gothic" w:eastAsia="Calibri" w:cs="Arial"/>
          <w:bCs/>
          <w:lang w:val="es-ES_tradnl" w:eastAsia="es-ES_tradnl"/>
        </w:rPr>
        <w:tab/>
      </w:r>
      <w:bookmarkStart w:name="_Hlk109966084" w:id="23"/>
      <w:bookmarkStart w:name="_Hlk95322109" w:id="24"/>
      <w:r w:rsidRPr="601F0686">
        <w:rPr>
          <w:rFonts w:ascii="Century Gothic" w:hAnsi="Century Gothic" w:eastAsia="Calibri" w:cs="Arial"/>
          <w:lang w:val="es-ES" w:eastAsia="es-ES"/>
        </w:rPr>
        <w:t xml:space="preserve">En relación con la aplicación de lo dispuesto en el parágrafo del artículo 56 de la Ley 2195 de 2022, conviene aclarar que, a juicio de esta Agencia, la expresión </w:t>
      </w:r>
      <w:r w:rsidRPr="601F0686">
        <w:rPr>
          <w:rFonts w:ascii="Century Gothic" w:hAnsi="Century Gothic" w:eastAsia="Calibri" w:cs="Arial"/>
          <w:i/>
          <w:lang w:val="es-ES" w:eastAsia="es-ES"/>
        </w:rPr>
        <w:t xml:space="preserve">giro ordinario </w:t>
      </w:r>
      <w:r w:rsidRPr="601F0686">
        <w:rPr>
          <w:rFonts w:ascii="Century Gothic" w:hAnsi="Century Gothic" w:eastAsia="Calibri"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601F0686">
        <w:rPr>
          <w:rFonts w:ascii="Century Gothic" w:hAnsi="Century Gothic" w:eastAsia="Calibri" w:cs="Arial"/>
          <w:i/>
          <w:lang w:val="es-ES" w:eastAsia="es-ES"/>
        </w:rPr>
        <w:t>giro ordinario</w:t>
      </w:r>
      <w:r w:rsidRPr="601F0686">
        <w:rPr>
          <w:rFonts w:ascii="Century Gothic" w:hAnsi="Century Gothic" w:eastAsia="Calibri"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601F0686">
        <w:rPr>
          <w:rFonts w:ascii="Century Gothic" w:hAnsi="Century Gothic" w:eastAsia="Calibri" w:cs="Arial"/>
          <w:i/>
          <w:lang w:val="es-ES" w:eastAsia="es-ES"/>
        </w:rPr>
        <w:t>ejusdem</w:t>
      </w:r>
      <w:proofErr w:type="spellEnd"/>
      <w:r w:rsidRPr="601F0686">
        <w:rPr>
          <w:rFonts w:ascii="Century Gothic" w:hAnsi="Century Gothic" w:eastAsia="Calibri" w:cs="Arial"/>
          <w:lang w:val="es-ES" w:eastAsia="es-ES"/>
        </w:rPr>
        <w:t xml:space="preserve"> se limita a enunciar algunos </w:t>
      </w:r>
      <w:r w:rsidRPr="601F0686">
        <w:rPr>
          <w:rFonts w:ascii="Century Gothic" w:hAnsi="Century Gothic" w:eastAsia="Calibri" w:cs="Arial"/>
          <w:lang w:val="es-ES" w:eastAsia="es-ES"/>
        </w:rPr>
        <w:t xml:space="preserve">tipos de Entidades Estatales, las cuales no solo difieren en su naturaleza jurídica, sino también en las actividades que realizan. </w:t>
      </w:r>
    </w:p>
    <w:bookmarkEnd w:id="23"/>
    <w:p w:rsidRPr="009241AC" w:rsidR="00EC5C23" w:rsidP="601F0686" w:rsidRDefault="00EC5C23" w14:paraId="469DBE3F" w14:textId="77777777">
      <w:pPr>
        <w:spacing w:after="120" w:line="276" w:lineRule="auto"/>
        <w:ind w:firstLine="709"/>
        <w:jc w:val="both"/>
        <w:rPr>
          <w:rFonts w:ascii="Century Gothic" w:hAnsi="Century Gothic" w:eastAsia="Calibri" w:cs="Arial"/>
          <w:lang w:val="es-ES" w:eastAsia="es-ES"/>
        </w:rPr>
      </w:pPr>
      <w:r w:rsidRPr="601F0686">
        <w:rPr>
          <w:rFonts w:ascii="Century Gothic" w:hAnsi="Century Gothic" w:eastAsia="Calibri"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601F0686">
        <w:rPr>
          <w:rFonts w:ascii="Century Gothic" w:hAnsi="Century Gothic" w:eastAsia="Calibri" w:cs="Arial"/>
          <w:i/>
          <w:lang w:val="es-ES" w:eastAsia="es-ES"/>
        </w:rPr>
        <w:t>giro ordinario</w:t>
      </w:r>
      <w:r w:rsidRPr="601F0686">
        <w:rPr>
          <w:rFonts w:ascii="Century Gothic" w:hAnsi="Century Gothic" w:eastAsia="Calibri" w:cs="Arial"/>
          <w:lang w:val="es-ES" w:eastAsia="es-ES"/>
        </w:rPr>
        <w:t xml:space="preserve"> debe hacerse en el caso concreto, empleando un criterio de interpretación restrictiva. Ello en la medida en que el parágrafo del artículo 56 consagra una excepción a una regla general. </w:t>
      </w:r>
    </w:p>
    <w:bookmarkEnd w:id="24"/>
    <w:p w:rsidRPr="009241AC" w:rsidR="00EC5C23" w:rsidP="00EC5C23" w:rsidRDefault="00EC5C23" w14:paraId="2C984916" w14:textId="77777777">
      <w:pPr>
        <w:tabs>
          <w:tab w:val="left" w:pos="0"/>
        </w:tabs>
        <w:spacing w:after="120" w:line="276" w:lineRule="auto"/>
        <w:jc w:val="both"/>
        <w:rPr>
          <w:rFonts w:ascii="Century Gothic" w:hAnsi="Century Gothic" w:eastAsia="Calibri" w:cs="Arial"/>
          <w:bCs/>
          <w:lang w:val="es-ES_tradnl" w:eastAsia="es-ES_tradnl"/>
        </w:rPr>
      </w:pPr>
      <w:r w:rsidRPr="009241AC">
        <w:rPr>
          <w:rFonts w:ascii="Century Gothic" w:hAnsi="Century Gothic" w:eastAsia="Calibri" w:cs="Arial"/>
          <w:bCs/>
          <w:lang w:val="es-ES_tradnl" w:eastAsia="es-ES_tradnl"/>
        </w:rPr>
        <w:tab/>
      </w:r>
      <w:r w:rsidRPr="009241AC">
        <w:rPr>
          <w:rFonts w:ascii="Century Gothic" w:hAnsi="Century Gothic" w:eastAsia="Calibri" w:cs="Arial"/>
          <w:lang w:val="es-ES_tradnl" w:eastAsia="es-ES_tradnl"/>
        </w:rPr>
        <w:t>Esta interpretación, a juicio de la Agencia, se desprende de la literalidad del texto de la norma en comento, además, está en armonía con la voluntad del órgano legislativo. Al respecto se estima que, si bien es cierto que entre los propósitos del artículo es la aplicación de Pliegos Tipo en convenios o contratos interadministrativos o de cualquier otra índole–a través de las cuales se podría estar eludiendo la aplicación de Documentos Tipo</w:t>
      </w:r>
      <w:r w:rsidRPr="009241AC">
        <w:rPr>
          <w:rFonts w:ascii="Century Gothic" w:hAnsi="Century Gothic" w:eastAsia="Calibri" w:cs="Arial"/>
          <w:vertAlign w:val="superscript"/>
          <w:lang w:eastAsia="es-ES_tradnl"/>
        </w:rPr>
        <w:footnoteReference w:id="22"/>
      </w:r>
      <w:r w:rsidRPr="009241AC">
        <w:rPr>
          <w:rFonts w:ascii="Century Gothic" w:hAnsi="Century Gothic" w:eastAsia="Calibri" w:cs="Arial"/>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9241AC">
        <w:rPr>
          <w:rFonts w:ascii="Century Gothic" w:hAnsi="Century Gothic" w:eastAsia="Calibri" w:cs="Arial"/>
          <w:vertAlign w:val="superscript"/>
          <w:lang w:eastAsia="es-ES_tradnl"/>
        </w:rPr>
        <w:footnoteReference w:id="23"/>
      </w:r>
      <w:r w:rsidRPr="009241AC">
        <w:rPr>
          <w:rFonts w:ascii="Century Gothic" w:hAnsi="Century Gothic" w:eastAsia="Calibri" w:cs="Arial"/>
          <w:lang w:val="es-ES_tradnl" w:eastAsia="es-ES_tradnl"/>
        </w:rPr>
        <w:t xml:space="preserve">. En ese sentido, en virtud de esta potestad </w:t>
      </w:r>
      <w:r w:rsidRPr="009241AC">
        <w:rPr>
          <w:rFonts w:ascii="Century Gothic" w:hAnsi="Century Gothic" w:eastAsia="Calibri" w:cs="Arial"/>
          <w:lang w:val="es-ES_tradnl" w:eastAsia="es-ES_tradnl"/>
        </w:rPr>
        <w:t>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A esto se suma el hecho de que el parágrafo bajo estudio es una norma restrictiva, por lo que, en virtud de dicho carácter, amerita una interpretación apegada a lo que literalmente se desprende del texto. Lo anterior en virtud del criterio de interpretación sobre la extensión de una Ley contemplada en el artículo 31 del Código civil, según la cual: “Lo favorable u odioso de una disposición no se tomará en cuenta para ampliar o restringir su interpretación (…)”. En ese mismo sentido, el Consejo de Estado, indicó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9241AC">
        <w:rPr>
          <w:rFonts w:ascii="Century Gothic" w:hAnsi="Century Gothic" w:eastAsia="Calibri" w:cs="Arial"/>
          <w:vertAlign w:val="superscript"/>
          <w:lang w:eastAsia="es-ES_tradnl"/>
        </w:rPr>
        <w:footnoteReference w:id="24"/>
      </w:r>
      <w:r w:rsidRPr="009241AC">
        <w:rPr>
          <w:rFonts w:ascii="Century Gothic" w:hAnsi="Century Gothic" w:eastAsia="Calibri" w:cs="Arial"/>
          <w:lang w:val="es-ES_tradnl" w:eastAsia="es-ES_tradnl"/>
        </w:rPr>
        <w:t>.</w:t>
      </w:r>
    </w:p>
    <w:p w:rsidRPr="009241AC" w:rsidR="00EC5C23" w:rsidP="601F0686" w:rsidRDefault="00EC5C23" w14:paraId="69388E6E" w14:textId="75CC30B7">
      <w:pPr>
        <w:spacing w:after="120" w:line="276" w:lineRule="auto"/>
        <w:ind w:firstLine="709"/>
        <w:jc w:val="both"/>
        <w:rPr>
          <w:rFonts w:ascii="Century Gothic" w:hAnsi="Century Gothic" w:eastAsia="Calibri" w:cs="Arial"/>
          <w:lang w:val="es-ES" w:eastAsia="es-ES"/>
        </w:rPr>
      </w:pPr>
      <w:r w:rsidRPr="601F0686">
        <w:rPr>
          <w:rFonts w:ascii="Century Gothic" w:hAnsi="Century Gothic" w:eastAsia="Calibri" w:cs="Arial"/>
          <w:lang w:val="es-ES" w:eastAsia="es-ES"/>
        </w:rPr>
        <w:t xml:space="preserve">A criterio de esta Agencia, lo dispuesto en el parágrafo del artículo 56 de la Ley 2195 de 2022 es una manifestación de la voluntad del Legislador de relevar de la aplicación obligatoria de Pliegos Tipo en convenios o contratos interadministrativos, o de cualquier otra índole, con instituciones de educación superior públicas, las empresas sociales del Estado, las sociedades de economía mixta y las empresas industriales y comerciales del Estado, únicamente en lo que tiene que ver con su </w:t>
      </w:r>
      <w:r w:rsidRPr="601F0686">
        <w:rPr>
          <w:rFonts w:ascii="Century Gothic" w:hAnsi="Century Gothic" w:eastAsia="Calibri" w:cs="Arial"/>
          <w:i/>
          <w:lang w:val="es-ES" w:eastAsia="es-ES"/>
        </w:rPr>
        <w:t>giro ordinario</w:t>
      </w:r>
      <w:r w:rsidRPr="601F0686">
        <w:rPr>
          <w:rFonts w:ascii="Century Gothic" w:hAnsi="Century Gothic" w:eastAsia="Calibri" w:cs="Arial"/>
          <w:lang w:val="es-ES" w:eastAsia="es-ES"/>
        </w:rPr>
        <w:t>. Esto significa que, cuando Entidad Estatal sometida al EGCAP pretenda celebrar un contrato o convenio para la adquisición de bienes, obras o servicios con alguno de los tipos</w:t>
      </w:r>
      <w:r>
        <w:rPr>
          <w:rFonts w:ascii="Century Gothic" w:hAnsi="Century Gothic" w:eastAsia="Calibri" w:cs="Arial"/>
          <w:lang w:val="es-ES" w:eastAsia="es-ES"/>
        </w:rPr>
        <w:t xml:space="preserve"> </w:t>
      </w:r>
      <w:r w:rsidR="006E2ED0">
        <w:rPr>
          <w:rFonts w:ascii="Century Gothic" w:hAnsi="Century Gothic" w:eastAsia="Calibri" w:cs="Arial"/>
          <w:lang w:val="es-ES" w:eastAsia="es-ES"/>
        </w:rPr>
        <w:t>de</w:t>
      </w:r>
      <w:r w:rsidRPr="601F0686">
        <w:rPr>
          <w:rFonts w:ascii="Century Gothic" w:hAnsi="Century Gothic" w:eastAsia="Calibri" w:cs="Arial"/>
          <w:lang w:val="es-ES" w:eastAsia="es-ES"/>
        </w:rPr>
        <w:t xml:space="preserve"> entidades mencionadas en el parágrafo de la norma, que se enmarque dentro del </w:t>
      </w:r>
      <w:r w:rsidRPr="601F0686">
        <w:rPr>
          <w:rFonts w:ascii="Century Gothic" w:hAnsi="Century Gothic" w:eastAsia="Calibri" w:cs="Arial"/>
          <w:i/>
          <w:lang w:val="es-ES" w:eastAsia="es-ES"/>
        </w:rPr>
        <w:t>giro ordinario</w:t>
      </w:r>
      <w:r w:rsidRPr="601F0686">
        <w:rPr>
          <w:rFonts w:ascii="Century Gothic" w:hAnsi="Century Gothic" w:eastAsia="Calibri" w:cs="Arial"/>
          <w:lang w:val="es-ES" w:eastAsia="es-ES"/>
        </w:rPr>
        <w:t xml:space="preserve">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w:t>
      </w:r>
    </w:p>
    <w:p w:rsidRPr="009241AC" w:rsidR="00EC5C23" w:rsidP="00EC5C23" w:rsidRDefault="00EC5C23" w14:paraId="39BD1011" w14:textId="77777777">
      <w:pPr>
        <w:tabs>
          <w:tab w:val="left" w:pos="0"/>
        </w:tabs>
        <w:spacing w:after="0" w:line="276" w:lineRule="auto"/>
        <w:ind w:firstLine="709"/>
        <w:jc w:val="both"/>
        <w:rPr>
          <w:rFonts w:ascii="Century Gothic" w:hAnsi="Century Gothic" w:eastAsia="Calibri" w:cs="Arial"/>
          <w:bCs/>
          <w:lang w:val="es-ES_tradnl" w:eastAsia="es-ES_tradnl"/>
        </w:rPr>
      </w:pPr>
      <w:r w:rsidRPr="009241AC">
        <w:rPr>
          <w:rFonts w:ascii="Century Gothic" w:hAnsi="Century Gothic" w:eastAsia="Calibri" w:cs="Arial"/>
          <w:lang w:val="es-ES_tradnl" w:eastAsia="es-ES_tradnl"/>
        </w:rPr>
        <w:t xml:space="preserve">En conclusión, no deberá entonces, en estos casos, la entidad sometida al EGCAP  reservarse la obligación de llevar a cabo la selección de los Procesos de Contratación y celebrar los respectivos contratos para adquirir aquellas de obras o servicios para cuya contratación le fuese aplicable los Documentos Tipo vigentes, que deban contratarse en el marco de un convenio interadministrativo, y tampoco </w:t>
      </w:r>
      <w:r w:rsidRPr="009241AC">
        <w:rPr>
          <w:rFonts w:ascii="Century Gothic" w:hAnsi="Century Gothic" w:eastAsia="Calibri" w:cs="Arial"/>
          <w:lang w:val="es-ES_tradnl" w:eastAsia="es-ES_tradnl"/>
        </w:rPr>
        <w:t>es necesario que</w:t>
      </w:r>
      <w:r w:rsidRPr="009241AC">
        <w:rPr>
          <w:rFonts w:ascii="Century Gothic" w:hAnsi="Century Gothic" w:eastAsia="Times New Roman" w:cs="Arial"/>
          <w:lang w:eastAsia="es-ES_tradnl"/>
        </w:rPr>
        <w:t xml:space="preserve"> </w:t>
      </w:r>
      <w:r w:rsidRPr="009241AC">
        <w:rPr>
          <w:rFonts w:ascii="Century Gothic" w:hAnsi="Century Gothic" w:eastAsia="Calibri" w:cs="Arial"/>
          <w:lang w:val="es-ES_tradnl" w:eastAsia="es-ES_tradnl"/>
        </w:rPr>
        <w:t xml:space="preserve">las instituciones de educación superior públicas, las empresas sociales del Estado, las sociedades de economía mixta y las empresas industriales y comerciales del Estado, que </w:t>
      </w:r>
      <w:r w:rsidRPr="009241AC">
        <w:rPr>
          <w:rFonts w:ascii="Century Gothic" w:hAnsi="Century Gothic" w:eastAsia="Times New Roman" w:cs="Arial"/>
          <w:lang w:eastAsia="es-ES_tradnl"/>
        </w:rPr>
        <w:t xml:space="preserve">pretenden ser adjudicatarias de contratos que versen </w:t>
      </w:r>
      <w:r w:rsidRPr="009241AC">
        <w:rPr>
          <w:rFonts w:ascii="Century Gothic" w:hAnsi="Century Gothic" w:eastAsia="Calibri" w:cs="Arial"/>
          <w:lang w:val="es-ES_tradnl" w:eastAsia="es-ES_tradnl"/>
        </w:rPr>
        <w:t xml:space="preserve">únicamente, en la contratación relacionada con su </w:t>
      </w:r>
      <w:r w:rsidRPr="009241AC">
        <w:rPr>
          <w:rFonts w:ascii="Century Gothic" w:hAnsi="Century Gothic" w:eastAsia="Calibri" w:cs="Arial"/>
          <w:i/>
          <w:lang w:val="es-ES_tradnl" w:eastAsia="es-ES_tradnl"/>
        </w:rPr>
        <w:t>giro ordinario</w:t>
      </w:r>
      <w:r w:rsidRPr="009241AC">
        <w:rPr>
          <w:rFonts w:ascii="Century Gothic" w:hAnsi="Century Gothic" w:eastAsia="Times New Roman" w:cs="Arial"/>
          <w:lang w:eastAsia="es-ES_tradnl"/>
        </w:rPr>
        <w:t xml:space="preserve">, se sometan a un proceso de selección en el que se apliquen Documentos Tipo expedidos por esta Agencia a cargo de la </w:t>
      </w:r>
      <w:r w:rsidRPr="009241AC">
        <w:rPr>
          <w:rFonts w:ascii="Century Gothic" w:hAnsi="Century Gothic" w:eastAsia="Calibri" w:cs="Arial"/>
          <w:lang w:val="es-ES_tradnl" w:eastAsia="es-ES_tradnl"/>
        </w:rPr>
        <w:t xml:space="preserve">entidad sometida al EGCAP. Por el contrario, si el objeto contractual se encuentra por fuera del </w:t>
      </w:r>
      <w:r w:rsidRPr="009241AC">
        <w:rPr>
          <w:rFonts w:ascii="Century Gothic" w:hAnsi="Century Gothic" w:eastAsia="Calibri" w:cs="Arial"/>
          <w:i/>
          <w:iCs/>
          <w:lang w:val="es-ES_tradnl" w:eastAsia="es-ES_tradnl"/>
        </w:rPr>
        <w:t>giro ordinario</w:t>
      </w:r>
      <w:r w:rsidRPr="009241AC">
        <w:rPr>
          <w:rFonts w:ascii="Century Gothic" w:hAnsi="Century Gothic" w:eastAsia="Calibri" w:cs="Arial"/>
          <w:lang w:val="es-ES_tradnl" w:eastAsia="es-ES_tradnl"/>
        </w:rPr>
        <w:t xml:space="preserve"> de la entidad ejecutora, y el objeto se encuentra dentro del ámbito de aplicación de algún Documento Tipo, la aplicación </w:t>
      </w:r>
      <w:proofErr w:type="gramStart"/>
      <w:r w:rsidRPr="009241AC">
        <w:rPr>
          <w:rFonts w:ascii="Century Gothic" w:hAnsi="Century Gothic" w:eastAsia="Calibri" w:cs="Arial"/>
          <w:lang w:val="es-ES_tradnl" w:eastAsia="es-ES_tradnl"/>
        </w:rPr>
        <w:t>del mismo</w:t>
      </w:r>
      <w:proofErr w:type="gramEnd"/>
      <w:r w:rsidRPr="009241AC">
        <w:rPr>
          <w:rFonts w:ascii="Century Gothic" w:hAnsi="Century Gothic" w:eastAsia="Calibri" w:cs="Arial"/>
          <w:lang w:val="es-ES_tradnl" w:eastAsia="es-ES_tradnl"/>
        </w:rPr>
        <w:t xml:space="preserve"> en conjunto con el EGCAP resulta de obligatoria observancia, al no quedar dicho supuesto cobijado por el parágrafo.</w:t>
      </w:r>
      <w:r w:rsidRPr="009241AC">
        <w:rPr>
          <w:rFonts w:ascii="Century Gothic" w:hAnsi="Century Gothic" w:eastAsia="Calibri" w:cs="Arial"/>
          <w:bCs/>
          <w:lang w:val="es-ES_tradnl" w:eastAsia="es-ES_tradnl"/>
        </w:rPr>
        <w:t xml:space="preserve"> </w:t>
      </w:r>
    </w:p>
    <w:p w:rsidRPr="009241AC" w:rsidR="00EC5C23" w:rsidP="00EC5C23" w:rsidRDefault="00EC5C23" w14:paraId="251E2A8E" w14:textId="659E2970">
      <w:pPr>
        <w:spacing w:before="120" w:line="276" w:lineRule="auto"/>
        <w:ind w:firstLine="709"/>
        <w:jc w:val="both"/>
        <w:rPr>
          <w:rFonts w:ascii="Century Gothic" w:hAnsi="Century Gothic" w:eastAsia="Calibri" w:cs="Arial"/>
          <w:color w:val="000000"/>
          <w:lang w:val="es-ES"/>
        </w:rPr>
      </w:pPr>
      <w:r w:rsidRPr="601F0686">
        <w:rPr>
          <w:rFonts w:ascii="Century Gothic" w:hAnsi="Century Gothic" w:eastAsia="Calibri" w:cs="Arial"/>
          <w:color w:val="000000" w:themeColor="text1"/>
          <w:lang w:val="es-ES"/>
        </w:rPr>
        <w:t>Ahora bien, en la consulta se indaga respecto de la aplicación de la excepción consagrada en el parágrafo del artículo 56</w:t>
      </w:r>
      <w:r w:rsidRPr="601F0686">
        <w:rPr>
          <w:rFonts w:ascii="Century Gothic" w:hAnsi="Century Gothic" w:eastAsia="Calibri" w:cs="Arial"/>
          <w:i/>
          <w:color w:val="000000" w:themeColor="text1"/>
          <w:lang w:val="es-ES"/>
        </w:rPr>
        <w:t xml:space="preserve"> </w:t>
      </w:r>
      <w:proofErr w:type="spellStart"/>
      <w:r w:rsidRPr="601F0686">
        <w:rPr>
          <w:rFonts w:ascii="Century Gothic" w:hAnsi="Century Gothic" w:eastAsia="Calibri" w:cs="Arial"/>
          <w:i/>
          <w:color w:val="000000" w:themeColor="text1"/>
          <w:lang w:val="es-ES"/>
        </w:rPr>
        <w:t>ibídem</w:t>
      </w:r>
      <w:proofErr w:type="spellEnd"/>
      <w:r w:rsidRPr="601F0686">
        <w:rPr>
          <w:rFonts w:ascii="Century Gothic" w:hAnsi="Century Gothic" w:eastAsia="Calibri" w:cs="Arial"/>
          <w:color w:val="000000" w:themeColor="text1"/>
          <w:lang w:val="es-ES"/>
        </w:rPr>
        <w:t xml:space="preserve"> a las </w:t>
      </w:r>
      <w:r w:rsidR="00C63996">
        <w:rPr>
          <w:rFonts w:ascii="Century Gothic" w:hAnsi="Century Gothic" w:eastAsia="Calibri" w:cs="Arial"/>
          <w:color w:val="000000"/>
          <w:lang w:val="es-ES_tradnl"/>
        </w:rPr>
        <w:t>s</w:t>
      </w:r>
      <w:r w:rsidRPr="009241AC">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Pr>
          <w:rFonts w:ascii="Century Gothic" w:hAnsi="Century Gothic" w:eastAsia="Calibri" w:cs="Arial"/>
          <w:color w:val="000000"/>
          <w:lang w:val="es-ES_tradnl"/>
        </w:rPr>
        <w:t>úblicas.</w:t>
      </w:r>
      <w:r w:rsidRPr="601F0686">
        <w:rPr>
          <w:rFonts w:ascii="Century Gothic" w:hAnsi="Century Gothic" w:eastAsia="Calibri" w:cs="Arial"/>
          <w:color w:val="000000" w:themeColor="text1"/>
          <w:lang w:val="es-ES"/>
        </w:rPr>
        <w:t xml:space="preserve"> Frente al particular, debe reiterarse que este parágrafo es una norma que establece una excepción, por lo que, en virtud de dicho carácter, amerita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sometidas. La norma tampoco determina algún supuesto en atención al cual pueda aplicarse la excepción a algún sujeto con una naturaleza jurídica distinta de las específicamente mencionadas.</w:t>
      </w:r>
    </w:p>
    <w:p w:rsidRPr="009241AC" w:rsidR="00EC5C23" w:rsidP="00EC5C23" w:rsidRDefault="00EC5C23" w14:paraId="11533CEA" w14:textId="3B9412FB">
      <w:pPr>
        <w:spacing w:before="120" w:line="276" w:lineRule="auto"/>
        <w:ind w:firstLine="709"/>
        <w:jc w:val="both"/>
        <w:rPr>
          <w:rFonts w:ascii="Century Gothic" w:hAnsi="Century Gothic" w:eastAsia="Calibri" w:cs="Arial"/>
          <w:bCs/>
          <w:color w:val="000000"/>
          <w:lang w:val="es-ES_tradnl"/>
        </w:rPr>
      </w:pPr>
      <w:r w:rsidRPr="009241AC">
        <w:rPr>
          <w:rFonts w:ascii="Century Gothic" w:hAnsi="Century Gothic" w:eastAsia="Calibri" w:cs="Arial"/>
          <w:color w:val="000000"/>
          <w:lang w:val="es-ES_tradnl"/>
        </w:rPr>
        <w:t xml:space="preserve">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w:t>
      </w:r>
      <w:r w:rsidRPr="009241AC">
        <w:rPr>
          <w:rFonts w:ascii="Century Gothic" w:hAnsi="Century Gothic" w:eastAsia="Calibri" w:cs="Arial"/>
          <w:lang w:val="es-ES_tradnl" w:eastAsia="es-ES_tradnl"/>
        </w:rPr>
        <w:t>instituciones de educación superior públicas, las empresas sociales del Estado, las sociedades de economía mixta y las empresas industriales y comerciales del Estado</w:t>
      </w:r>
      <w:r w:rsidRPr="009241AC">
        <w:rPr>
          <w:rFonts w:ascii="Century Gothic" w:hAnsi="Century Gothic" w:eastAsia="Calibri" w:cs="Arial"/>
          <w:color w:val="000000"/>
          <w:lang w:val="es-ES_tradnl"/>
        </w:rPr>
        <w:t xml:space="preserve"> no resulta extensible a entidades que no cuenten con dicha naturaleza, como sucede con las </w:t>
      </w:r>
      <w:r w:rsidR="00C63996">
        <w:rPr>
          <w:rFonts w:ascii="Century Gothic" w:hAnsi="Century Gothic" w:eastAsia="Calibri" w:cs="Arial"/>
          <w:color w:val="000000"/>
          <w:lang w:val="es-ES_tradnl"/>
        </w:rPr>
        <w:t>s</w:t>
      </w:r>
      <w:r w:rsidRPr="009241AC" w:rsidR="00C63996">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sidR="00C63996">
        <w:rPr>
          <w:rFonts w:ascii="Century Gothic" w:hAnsi="Century Gothic" w:eastAsia="Calibri" w:cs="Arial"/>
          <w:color w:val="000000"/>
          <w:lang w:val="es-ES_tradnl"/>
        </w:rPr>
        <w:t xml:space="preserve">úblicas </w:t>
      </w:r>
    </w:p>
    <w:p w:rsidRPr="009241AC" w:rsidR="00EC5C23" w:rsidP="00EC5C23" w:rsidRDefault="00EC5C23" w14:paraId="4154A0BE" w14:textId="6A5595D8">
      <w:pPr>
        <w:spacing w:before="120" w:line="276" w:lineRule="auto"/>
        <w:ind w:firstLine="709"/>
        <w:jc w:val="both"/>
        <w:rPr>
          <w:rFonts w:ascii="Century Gothic" w:hAnsi="Century Gothic" w:eastAsia="Calibri" w:cs="Arial"/>
          <w:color w:val="000000"/>
          <w:lang w:val="es-ES"/>
        </w:rPr>
      </w:pPr>
      <w:r w:rsidRPr="601F0686">
        <w:rPr>
          <w:rFonts w:ascii="Century Gothic" w:hAnsi="Century Gothic" w:eastAsia="Calibri" w:cs="Arial"/>
          <w:color w:val="000000" w:themeColor="text1"/>
          <w:lang w:val="es-ES"/>
        </w:rPr>
        <w:t xml:space="preserve">En efecto, como se expuso en el numeral 2.1. de este concepto, las </w:t>
      </w:r>
      <w:r w:rsidR="00C63996">
        <w:rPr>
          <w:rFonts w:ascii="Century Gothic" w:hAnsi="Century Gothic" w:eastAsia="Calibri" w:cs="Arial"/>
          <w:color w:val="000000"/>
          <w:lang w:val="es-ES_tradnl"/>
        </w:rPr>
        <w:t>s</w:t>
      </w:r>
      <w:r w:rsidRPr="009241AC" w:rsidR="00C63996">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sidR="00C63996">
        <w:rPr>
          <w:rFonts w:ascii="Century Gothic" w:hAnsi="Century Gothic" w:eastAsia="Calibri" w:cs="Arial"/>
          <w:color w:val="000000"/>
          <w:lang w:val="es-ES_tradnl"/>
        </w:rPr>
        <w:t>úblicas</w:t>
      </w:r>
      <w:r w:rsidRPr="601F0686" w:rsidR="00C63996">
        <w:rPr>
          <w:rFonts w:ascii="Century Gothic" w:hAnsi="Century Gothic" w:eastAsia="Calibri" w:cs="Arial"/>
          <w:color w:val="000000" w:themeColor="text1"/>
          <w:lang w:val="es-ES"/>
        </w:rPr>
        <w:t xml:space="preserve"> </w:t>
      </w:r>
      <w:r w:rsidRPr="601F0686">
        <w:rPr>
          <w:rFonts w:ascii="Century Gothic" w:hAnsi="Century Gothic" w:eastAsia="Calibri" w:cs="Arial"/>
          <w:color w:val="000000" w:themeColor="text1"/>
          <w:lang w:val="es-ES"/>
        </w:rPr>
        <w:t xml:space="preserve">tienen una naturaleza jurídica especial distinta de las sociedades de economía mixta y de las empresas industriales y comerciales del Estado. Por ello, las </w:t>
      </w:r>
      <w:r w:rsidR="00C63996">
        <w:rPr>
          <w:rFonts w:ascii="Century Gothic" w:hAnsi="Century Gothic" w:eastAsia="Calibri" w:cs="Arial"/>
          <w:color w:val="000000"/>
          <w:lang w:val="es-ES_tradnl"/>
        </w:rPr>
        <w:t>s</w:t>
      </w:r>
      <w:r w:rsidRPr="009241AC" w:rsidR="00C63996">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sidR="00C63996">
        <w:rPr>
          <w:rFonts w:ascii="Century Gothic" w:hAnsi="Century Gothic" w:eastAsia="Calibri" w:cs="Arial"/>
          <w:color w:val="000000"/>
          <w:lang w:val="es-ES_tradnl"/>
        </w:rPr>
        <w:t>úblicas</w:t>
      </w:r>
      <w:r w:rsidRPr="601F0686" w:rsidR="00C63996">
        <w:rPr>
          <w:rFonts w:ascii="Century Gothic" w:hAnsi="Century Gothic" w:eastAsia="Calibri" w:cs="Arial"/>
          <w:color w:val="000000" w:themeColor="text1"/>
          <w:lang w:val="es-ES"/>
        </w:rPr>
        <w:t xml:space="preserve"> </w:t>
      </w:r>
      <w:r w:rsidRPr="601F0686">
        <w:rPr>
          <w:rFonts w:ascii="Century Gothic" w:hAnsi="Century Gothic" w:eastAsia="Calibri" w:cs="Arial"/>
          <w:color w:val="000000" w:themeColor="text1"/>
          <w:lang w:val="es-ES"/>
        </w:rPr>
        <w:t xml:space="preserve">son una tipología especial de Entidades Públicas, que tienen un régimen y una naturaleza jurídica propios, por lo que no </w:t>
      </w:r>
      <w:r w:rsidRPr="601F0686">
        <w:rPr>
          <w:rFonts w:ascii="Century Gothic" w:hAnsi="Century Gothic" w:eastAsia="Calibri" w:cs="Arial"/>
          <w:color w:val="000000" w:themeColor="text1"/>
          <w:lang w:val="es-ES"/>
        </w:rPr>
        <w:t xml:space="preserve">deben confundirse con las sociedades de economía mixta o las empresas industriales y comerciales del Estado. En este sentido, al tratarse de figuras distintas, no podría hacerse extensiva la aplicación de la excepción del artículo 56 de la ley 2195 de 2022 a las </w:t>
      </w:r>
      <w:r w:rsidR="00C63996">
        <w:rPr>
          <w:rFonts w:ascii="Century Gothic" w:hAnsi="Century Gothic" w:eastAsia="Calibri" w:cs="Arial"/>
          <w:color w:val="000000"/>
          <w:lang w:val="es-ES_tradnl"/>
        </w:rPr>
        <w:t>s</w:t>
      </w:r>
      <w:r w:rsidRPr="009241AC" w:rsidR="00C63996">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sidR="00C63996">
        <w:rPr>
          <w:rFonts w:ascii="Century Gothic" w:hAnsi="Century Gothic" w:eastAsia="Calibri" w:cs="Arial"/>
          <w:color w:val="000000"/>
          <w:lang w:val="es-ES_tradnl"/>
        </w:rPr>
        <w:t>úblicas</w:t>
      </w:r>
      <w:r w:rsidRPr="601F0686">
        <w:rPr>
          <w:rFonts w:ascii="Century Gothic" w:hAnsi="Century Gothic" w:eastAsia="Calibri" w:cs="Arial"/>
          <w:color w:val="000000" w:themeColor="text1"/>
          <w:lang w:val="es-ES"/>
        </w:rPr>
        <w:t xml:space="preserve">, en la medida en que estas no cuentan con la naturaleza jurídica de una sociedad de economía mixta ni una empresas industrial o comercial del Estado. Esta conclusión, además, se sustenta en aquella regla hermenéutica según la cual, donde el legislador no distingue no le es dable al interprete hacerlo, razón por la que, no siendo el régimen jurídico un factor que la norma establezca como relevante para determinar la aplicabilidad de la excepción, no resulta procedente considerarlo de cara a su debida aplicación. </w:t>
      </w:r>
    </w:p>
    <w:p w:rsidRPr="009241AC" w:rsidR="00EC5C23" w:rsidP="00C63996" w:rsidRDefault="00EC5C23" w14:paraId="66A77AA7" w14:textId="4990AB9B">
      <w:pPr>
        <w:spacing w:before="120" w:after="0" w:line="276" w:lineRule="auto"/>
        <w:ind w:firstLine="709"/>
        <w:jc w:val="both"/>
        <w:rPr>
          <w:rFonts w:ascii="Century Gothic" w:hAnsi="Century Gothic" w:eastAsia="Calibri" w:cs="Arial"/>
          <w:bCs/>
          <w:color w:val="000000" w:themeColor="text1"/>
          <w:lang w:val="es-ES_tradnl"/>
        </w:rPr>
      </w:pPr>
      <w:r w:rsidRPr="009241AC">
        <w:rPr>
          <w:rFonts w:ascii="Century Gothic" w:hAnsi="Century Gothic" w:eastAsia="Calibri" w:cs="Arial"/>
          <w:bCs/>
          <w:color w:val="000000" w:themeColor="text1"/>
          <w:lang w:val="es-ES_tradnl"/>
        </w:rPr>
        <w:t xml:space="preserve">En este orden de ideas, las excepciones consagradas en el parágrafo del artículo 56 de la Ley 2195 de 2022 solo se aplican a los órganos del Estado cuya naturaleza jurídica coincida con la de las entidades allí indicadas de manera </w:t>
      </w:r>
      <w:r w:rsidRPr="009241AC">
        <w:rPr>
          <w:rFonts w:ascii="Century Gothic" w:hAnsi="Century Gothic" w:eastAsia="Calibri" w:cs="Arial"/>
          <w:bCs/>
          <w:i/>
          <w:iCs/>
          <w:color w:val="000000" w:themeColor="text1"/>
          <w:lang w:val="es-ES_tradnl"/>
        </w:rPr>
        <w:t>taxativa</w:t>
      </w:r>
      <w:r w:rsidRPr="009241AC">
        <w:rPr>
          <w:rFonts w:ascii="Century Gothic" w:hAnsi="Century Gothic" w:eastAsia="Calibri" w:cs="Arial"/>
          <w:bCs/>
          <w:color w:val="000000" w:themeColor="text1"/>
          <w:lang w:val="es-ES_tradnl"/>
        </w:rPr>
        <w:t>, esto es, a “</w:t>
      </w:r>
      <w:r w:rsidRPr="009241AC">
        <w:rPr>
          <w:rFonts w:ascii="Century Gothic" w:hAnsi="Century Gothic" w:cs="Arial"/>
          <w:color w:val="000000" w:themeColor="text1"/>
        </w:rPr>
        <w:t xml:space="preserve">[…] </w:t>
      </w:r>
      <w:r w:rsidRPr="009241AC">
        <w:rPr>
          <w:rFonts w:ascii="Century Gothic" w:hAnsi="Century Gothic" w:eastAsia="Calibri" w:cs="Arial"/>
          <w:bCs/>
          <w:color w:val="000000" w:themeColor="text1"/>
          <w:lang w:val="es-ES_tradnl"/>
        </w:rPr>
        <w:t xml:space="preserve">las Instituciones de Educación Superior públicas, las empresas sociales del Estado, las sociedades de economía mixta y las empresas industriales y comerciales del Estado, únicamente en cuanto a la contratación de su giro ordinario”. Por consiguiente, cada </w:t>
      </w:r>
      <w:r w:rsidR="00C63996">
        <w:rPr>
          <w:rFonts w:ascii="Century Gothic" w:hAnsi="Century Gothic" w:eastAsia="Calibri" w:cs="Arial"/>
          <w:bCs/>
          <w:color w:val="000000" w:themeColor="text1"/>
          <w:lang w:val="es-ES_tradnl"/>
        </w:rPr>
        <w:t>E</w:t>
      </w:r>
      <w:r w:rsidRPr="009241AC" w:rsidR="00C63996">
        <w:rPr>
          <w:rFonts w:ascii="Century Gothic" w:hAnsi="Century Gothic" w:eastAsia="Calibri" w:cs="Arial"/>
          <w:bCs/>
          <w:color w:val="000000" w:themeColor="text1"/>
          <w:lang w:val="es-ES_tradnl"/>
        </w:rPr>
        <w:t xml:space="preserve">ntidad </w:t>
      </w:r>
      <w:r w:rsidR="00C63996">
        <w:rPr>
          <w:rFonts w:ascii="Century Gothic" w:hAnsi="Century Gothic" w:eastAsia="Calibri" w:cs="Arial"/>
          <w:bCs/>
          <w:color w:val="000000" w:themeColor="text1"/>
          <w:lang w:val="es-ES_tradnl"/>
        </w:rPr>
        <w:t>E</w:t>
      </w:r>
      <w:r w:rsidRPr="009241AC" w:rsidR="00C63996">
        <w:rPr>
          <w:rFonts w:ascii="Century Gothic" w:hAnsi="Century Gothic" w:eastAsia="Calibri" w:cs="Arial"/>
          <w:bCs/>
          <w:color w:val="000000" w:themeColor="text1"/>
          <w:lang w:val="es-ES_tradnl"/>
        </w:rPr>
        <w:t xml:space="preserve">statal </w:t>
      </w:r>
      <w:r w:rsidRPr="009241AC">
        <w:rPr>
          <w:rFonts w:ascii="Century Gothic" w:hAnsi="Century Gothic" w:eastAsia="Calibri" w:cs="Arial"/>
          <w:bCs/>
          <w:color w:val="000000" w:themeColor="text1"/>
          <w:lang w:val="es-ES_tradnl"/>
        </w:rPr>
        <w:t xml:space="preserve">deberá analizar su naturaleza jurídica y hacer una interpretación restrictiva de este parágrafo, pues las excepciones deben leerse de manera acorde con dicho parámetro hermenéutico. </w:t>
      </w:r>
    </w:p>
    <w:p w:rsidRPr="009241AC" w:rsidR="00EC5C23" w:rsidP="00EC5C23" w:rsidRDefault="00EC5C23" w14:paraId="42194C82" w14:textId="77777777">
      <w:pPr>
        <w:tabs>
          <w:tab w:val="left" w:pos="0"/>
        </w:tabs>
        <w:spacing w:after="0" w:line="276" w:lineRule="auto"/>
        <w:jc w:val="both"/>
        <w:rPr>
          <w:rFonts w:ascii="Century Gothic" w:hAnsi="Century Gothic" w:eastAsia="Calibri" w:cs="Arial"/>
          <w:b/>
          <w:lang w:val="es-ES_tradnl" w:eastAsia="es-ES_tradnl"/>
        </w:rPr>
      </w:pPr>
    </w:p>
    <w:p w:rsidRPr="009241AC" w:rsidR="00EC5C23" w:rsidP="00EC5C23" w:rsidRDefault="00EC5C23" w14:paraId="5F98EA05" w14:textId="77777777">
      <w:pPr>
        <w:tabs>
          <w:tab w:val="left" w:pos="0"/>
        </w:tabs>
        <w:spacing w:after="0" w:line="276" w:lineRule="auto"/>
        <w:jc w:val="both"/>
        <w:rPr>
          <w:rFonts w:ascii="Century Gothic" w:hAnsi="Century Gothic" w:eastAsia="Calibri" w:cs="Arial"/>
          <w:b/>
          <w:szCs w:val="24"/>
          <w:lang w:val="es-ES_tradnl" w:eastAsia="es-ES_tradnl"/>
        </w:rPr>
      </w:pPr>
      <w:r w:rsidRPr="009241AC">
        <w:rPr>
          <w:rFonts w:ascii="Century Gothic" w:hAnsi="Century Gothic" w:eastAsia="Calibri" w:cs="Arial"/>
          <w:b/>
          <w:szCs w:val="24"/>
          <w:lang w:val="es-ES_tradnl" w:eastAsia="es-ES_tradnl"/>
        </w:rPr>
        <w:t>3. Respuesta</w:t>
      </w:r>
    </w:p>
    <w:p w:rsidRPr="009241AC" w:rsidR="00EC5C23" w:rsidP="00EC5C23" w:rsidRDefault="00EC5C23" w14:paraId="0856B702" w14:textId="77777777">
      <w:pPr>
        <w:tabs>
          <w:tab w:val="left" w:pos="0"/>
        </w:tabs>
        <w:spacing w:after="0" w:line="276" w:lineRule="auto"/>
        <w:jc w:val="both"/>
        <w:rPr>
          <w:rFonts w:ascii="Century Gothic" w:hAnsi="Century Gothic" w:eastAsia="Calibri" w:cs="Arial"/>
          <w:szCs w:val="24"/>
          <w:lang w:val="es-ES_tradnl" w:eastAsia="es-ES_tradnl"/>
        </w:rPr>
      </w:pPr>
    </w:p>
    <w:p w:rsidRPr="008B7F4B" w:rsidR="00EC5C23" w:rsidP="00EC5C23" w:rsidRDefault="00EC5C23" w14:paraId="01B77E81" w14:textId="77777777">
      <w:pPr>
        <w:spacing w:after="0" w:line="240" w:lineRule="auto"/>
        <w:ind w:left="709" w:right="709"/>
        <w:jc w:val="both"/>
        <w:rPr>
          <w:rFonts w:ascii="Century Gothic" w:hAnsi="Century Gothic" w:eastAsia="Times New Roman" w:cs="Times New Roman"/>
          <w:sz w:val="20"/>
          <w:szCs w:val="20"/>
          <w:lang w:eastAsia="es-ES_tradnl"/>
        </w:rPr>
      </w:pPr>
      <w:r w:rsidRPr="009241AC">
        <w:rPr>
          <w:rFonts w:ascii="Century Gothic" w:hAnsi="Century Gothic" w:eastAsia="ArialMT" w:cs="ArialMT"/>
          <w:sz w:val="20"/>
          <w:szCs w:val="20"/>
          <w:lang w:eastAsia="es-ES_tradnl"/>
        </w:rPr>
        <w:t>“</w:t>
      </w:r>
      <w:r w:rsidRPr="008B7F4B">
        <w:rPr>
          <w:rFonts w:ascii="Century Gothic" w:hAnsi="Century Gothic" w:eastAsia="ArialMT" w:cs="ArialMT"/>
          <w:sz w:val="20"/>
          <w:szCs w:val="20"/>
          <w:lang w:eastAsia="es-ES_tradnl"/>
        </w:rPr>
        <w:t xml:space="preserve">¿Una sociedad </w:t>
      </w:r>
      <w:proofErr w:type="spellStart"/>
      <w:r w:rsidRPr="008B7F4B">
        <w:rPr>
          <w:rFonts w:ascii="Century Gothic" w:hAnsi="Century Gothic" w:eastAsia="ArialMT" w:cs="ArialMT"/>
          <w:sz w:val="20"/>
          <w:szCs w:val="20"/>
          <w:lang w:eastAsia="es-ES_tradnl"/>
        </w:rPr>
        <w:t>pública</w:t>
      </w:r>
      <w:proofErr w:type="spellEnd"/>
      <w:r w:rsidRPr="008B7F4B">
        <w:rPr>
          <w:rFonts w:ascii="Century Gothic" w:hAnsi="Century Gothic" w:eastAsia="ArialMT" w:cs="ArialMT"/>
          <w:sz w:val="20"/>
          <w:szCs w:val="20"/>
          <w:lang w:eastAsia="es-ES_tradnl"/>
        </w:rPr>
        <w:t xml:space="preserve"> se encuentra incluida dentro de las excepciones planteadas en el </w:t>
      </w:r>
      <w:proofErr w:type="spellStart"/>
      <w:r w:rsidRPr="008B7F4B">
        <w:rPr>
          <w:rFonts w:ascii="Century Gothic" w:hAnsi="Century Gothic" w:eastAsia="ArialMT" w:cs="ArialMT"/>
          <w:sz w:val="20"/>
          <w:szCs w:val="20"/>
          <w:lang w:eastAsia="es-ES_tradnl"/>
        </w:rPr>
        <w:t>parágrafo</w:t>
      </w:r>
      <w:proofErr w:type="spellEnd"/>
      <w:r w:rsidRPr="008B7F4B">
        <w:rPr>
          <w:rFonts w:ascii="Century Gothic" w:hAnsi="Century Gothic" w:eastAsia="ArialMT" w:cs="ArialMT"/>
          <w:sz w:val="20"/>
          <w:szCs w:val="20"/>
          <w:lang w:eastAsia="es-ES_tradnl"/>
        </w:rPr>
        <w:t xml:space="preserve"> del </w:t>
      </w:r>
      <w:proofErr w:type="spellStart"/>
      <w:r w:rsidRPr="008B7F4B">
        <w:rPr>
          <w:rFonts w:ascii="Century Gothic" w:hAnsi="Century Gothic" w:eastAsia="ArialMT" w:cs="ArialMT"/>
          <w:sz w:val="20"/>
          <w:szCs w:val="20"/>
          <w:lang w:eastAsia="es-ES_tradnl"/>
        </w:rPr>
        <w:t>articulo</w:t>
      </w:r>
      <w:proofErr w:type="spellEnd"/>
      <w:r w:rsidRPr="008B7F4B">
        <w:rPr>
          <w:rFonts w:ascii="Century Gothic" w:hAnsi="Century Gothic" w:eastAsia="ArialMT" w:cs="ArialMT"/>
          <w:sz w:val="20"/>
          <w:szCs w:val="20"/>
          <w:lang w:eastAsia="es-ES_tradnl"/>
        </w:rPr>
        <w:t xml:space="preserve"> 56 de la Ley 2195 de 2022? </w:t>
      </w:r>
    </w:p>
    <w:p w:rsidRPr="009241AC" w:rsidR="00EC5C23" w:rsidP="00EC5C23" w:rsidRDefault="00EC5C23" w14:paraId="777CC5DE" w14:textId="77777777">
      <w:pPr>
        <w:spacing w:after="0" w:line="240" w:lineRule="auto"/>
        <w:ind w:left="709" w:right="709"/>
        <w:jc w:val="both"/>
        <w:rPr>
          <w:rFonts w:ascii="Century Gothic" w:hAnsi="Century Gothic" w:eastAsia="ArialMT" w:cs="ArialMT"/>
          <w:sz w:val="20"/>
          <w:szCs w:val="20"/>
          <w:lang w:eastAsia="es-ES_tradnl"/>
        </w:rPr>
      </w:pPr>
    </w:p>
    <w:p w:rsidRPr="008B7F4B" w:rsidR="00EC5C23" w:rsidP="00EC5C23" w:rsidRDefault="00EC5C23" w14:paraId="08BFDFE6" w14:textId="77777777">
      <w:pPr>
        <w:spacing w:after="0" w:line="240" w:lineRule="auto"/>
        <w:ind w:left="709" w:right="709"/>
        <w:jc w:val="both"/>
        <w:rPr>
          <w:rFonts w:ascii="Century Gothic" w:hAnsi="Century Gothic" w:eastAsia="Times New Roman" w:cs="Times New Roman"/>
          <w:sz w:val="20"/>
          <w:szCs w:val="20"/>
          <w:lang w:eastAsia="es-ES_tradnl"/>
        </w:rPr>
      </w:pPr>
      <w:r w:rsidRPr="008B7F4B">
        <w:rPr>
          <w:rFonts w:ascii="Century Gothic" w:hAnsi="Century Gothic" w:eastAsia="ArialMT" w:cs="ArialMT"/>
          <w:sz w:val="20"/>
          <w:szCs w:val="20"/>
          <w:lang w:eastAsia="es-ES_tradnl"/>
        </w:rPr>
        <w:t xml:space="preserve">¿Las excepciones previstas paras las entidades </w:t>
      </w:r>
      <w:proofErr w:type="spellStart"/>
      <w:r w:rsidRPr="008B7F4B">
        <w:rPr>
          <w:rFonts w:ascii="Century Gothic" w:hAnsi="Century Gothic" w:eastAsia="ArialMT" w:cs="ArialMT"/>
          <w:sz w:val="20"/>
          <w:szCs w:val="20"/>
          <w:lang w:eastAsia="es-ES_tradnl"/>
        </w:rPr>
        <w:t>señaladas</w:t>
      </w:r>
      <w:proofErr w:type="spellEnd"/>
      <w:r w:rsidRPr="008B7F4B">
        <w:rPr>
          <w:rFonts w:ascii="Century Gothic" w:hAnsi="Century Gothic" w:eastAsia="ArialMT" w:cs="ArialMT"/>
          <w:sz w:val="20"/>
          <w:szCs w:val="20"/>
          <w:lang w:eastAsia="es-ES_tradnl"/>
        </w:rPr>
        <w:t xml:space="preserve"> en dicho</w:t>
      </w:r>
      <w:r w:rsidRPr="009241AC">
        <w:rPr>
          <w:rFonts w:ascii="Century Gothic" w:hAnsi="Century Gothic" w:eastAsia="ArialMT" w:cs="ArialMT"/>
          <w:sz w:val="20"/>
          <w:szCs w:val="20"/>
          <w:lang w:eastAsia="es-ES_tradnl"/>
        </w:rPr>
        <w:t xml:space="preserve"> </w:t>
      </w:r>
      <w:proofErr w:type="spellStart"/>
      <w:r w:rsidRPr="008B7F4B">
        <w:rPr>
          <w:rFonts w:ascii="Century Gothic" w:hAnsi="Century Gothic" w:eastAsia="ArialMT" w:cs="ArialMT"/>
          <w:sz w:val="20"/>
          <w:szCs w:val="20"/>
          <w:lang w:eastAsia="es-ES_tradnl"/>
        </w:rPr>
        <w:t>parágrafo</w:t>
      </w:r>
      <w:proofErr w:type="spellEnd"/>
      <w:r w:rsidRPr="008B7F4B">
        <w:rPr>
          <w:rFonts w:ascii="Century Gothic" w:hAnsi="Century Gothic" w:eastAsia="ArialMT" w:cs="ArialMT"/>
          <w:sz w:val="20"/>
          <w:szCs w:val="20"/>
          <w:lang w:eastAsia="es-ES_tradnl"/>
        </w:rPr>
        <w:t xml:space="preserve"> son de </w:t>
      </w:r>
      <w:proofErr w:type="spellStart"/>
      <w:r w:rsidRPr="008B7F4B">
        <w:rPr>
          <w:rFonts w:ascii="Century Gothic" w:hAnsi="Century Gothic" w:eastAsia="ArialMT" w:cs="ArialMT"/>
          <w:sz w:val="20"/>
          <w:szCs w:val="20"/>
          <w:lang w:eastAsia="es-ES_tradnl"/>
        </w:rPr>
        <w:t>aplicación</w:t>
      </w:r>
      <w:proofErr w:type="spellEnd"/>
      <w:r w:rsidRPr="008B7F4B">
        <w:rPr>
          <w:rFonts w:ascii="Century Gothic" w:hAnsi="Century Gothic" w:eastAsia="ArialMT" w:cs="ArialMT"/>
          <w:sz w:val="20"/>
          <w:szCs w:val="20"/>
          <w:lang w:eastAsia="es-ES_tradnl"/>
        </w:rPr>
        <w:t xml:space="preserve"> restrictiva?</w:t>
      </w:r>
      <w:r w:rsidRPr="009241AC">
        <w:rPr>
          <w:rFonts w:ascii="Century Gothic" w:hAnsi="Century Gothic" w:eastAsia="ArialMT" w:cs="ArialMT"/>
          <w:sz w:val="20"/>
          <w:szCs w:val="20"/>
          <w:lang w:eastAsia="es-ES_tradnl"/>
        </w:rPr>
        <w:t>” [SIC]</w:t>
      </w:r>
    </w:p>
    <w:p w:rsidRPr="009241AC" w:rsidR="00EC5C23" w:rsidP="00EC5C23" w:rsidRDefault="00EC5C23" w14:paraId="43FD238A" w14:textId="77777777">
      <w:pPr>
        <w:spacing w:after="0" w:line="276" w:lineRule="auto"/>
        <w:ind w:left="709" w:right="709"/>
        <w:jc w:val="both"/>
        <w:rPr>
          <w:rFonts w:ascii="Century Gothic" w:hAnsi="Century Gothic" w:eastAsia="Times New Roman" w:cs="Arial"/>
          <w:lang w:eastAsia="es-ES_tradnl"/>
        </w:rPr>
      </w:pPr>
    </w:p>
    <w:p w:rsidRPr="009241AC" w:rsidR="00EC5C23" w:rsidP="00D64B66" w:rsidRDefault="00EC5C23" w14:paraId="540FB076" w14:textId="7C9D982B">
      <w:pPr>
        <w:spacing w:after="120" w:line="276" w:lineRule="auto"/>
        <w:jc w:val="both"/>
        <w:rPr>
          <w:rFonts w:ascii="Century Gothic" w:hAnsi="Century Gothic" w:eastAsia="Calibri" w:cs="Arial"/>
          <w:color w:val="000000"/>
          <w:lang w:val="es-ES"/>
        </w:rPr>
      </w:pPr>
      <w:r w:rsidRPr="009241AC">
        <w:rPr>
          <w:rFonts w:ascii="Century Gothic" w:hAnsi="Century Gothic" w:cs="Arial" w:eastAsiaTheme="minorEastAsia"/>
          <w:lang w:val="es-ES" w:eastAsia="es-ES"/>
        </w:rPr>
        <w:t>Conforme lo expuesto</w:t>
      </w:r>
      <w:r w:rsidR="004651E6">
        <w:rPr>
          <w:rFonts w:ascii="Century Gothic" w:hAnsi="Century Gothic" w:cs="Arial" w:eastAsiaTheme="minorEastAsia"/>
          <w:lang w:val="es-ES" w:eastAsia="es-ES"/>
        </w:rPr>
        <w:t>,</w:t>
      </w:r>
      <w:r w:rsidRPr="009241AC">
        <w:rPr>
          <w:rFonts w:ascii="Century Gothic" w:hAnsi="Century Gothic" w:cs="Arial" w:eastAsiaTheme="minorEastAsia"/>
          <w:lang w:val="es-ES" w:eastAsia="es-ES"/>
        </w:rPr>
        <w:t xml:space="preserve"> </w:t>
      </w:r>
      <w:r w:rsidRPr="601F0686">
        <w:rPr>
          <w:rFonts w:ascii="Century Gothic" w:hAnsi="Century Gothic" w:eastAsia="Calibri" w:cs="Arial"/>
          <w:color w:val="000000" w:themeColor="text1"/>
          <w:lang w:val="es-ES"/>
        </w:rPr>
        <w:t xml:space="preserve">frente a la aplicación </w:t>
      </w:r>
      <w:r w:rsidRPr="601F0686" w:rsidR="004651E6">
        <w:rPr>
          <w:rFonts w:ascii="Century Gothic" w:hAnsi="Century Gothic" w:eastAsia="Calibri" w:cs="Arial"/>
          <w:color w:val="000000" w:themeColor="text1"/>
          <w:lang w:val="es-ES"/>
        </w:rPr>
        <w:t>d</w:t>
      </w:r>
      <w:r w:rsidRPr="601F0686">
        <w:rPr>
          <w:rFonts w:ascii="Century Gothic" w:hAnsi="Century Gothic" w:eastAsia="Calibri" w:cs="Arial"/>
          <w:color w:val="000000" w:themeColor="text1"/>
          <w:lang w:val="es-ES"/>
        </w:rPr>
        <w:t>el parágrafo del artículo 56</w:t>
      </w:r>
      <w:r w:rsidRPr="00D64B66">
        <w:rPr>
          <w:rFonts w:ascii="Century Gothic" w:hAnsi="Century Gothic" w:eastAsia="Calibri" w:cs="Arial"/>
          <w:color w:val="000000" w:themeColor="text1"/>
          <w:lang w:val="es-ES"/>
        </w:rPr>
        <w:t xml:space="preserve"> </w:t>
      </w:r>
      <w:r w:rsidRPr="00D64B66" w:rsidR="004651E6">
        <w:rPr>
          <w:rFonts w:ascii="Century Gothic" w:hAnsi="Century Gothic" w:eastAsia="Calibri" w:cs="Arial"/>
          <w:color w:val="000000" w:themeColor="text1"/>
          <w:lang w:val="es-ES"/>
        </w:rPr>
        <w:t>de la Ley 2195 de 2022</w:t>
      </w:r>
      <w:r w:rsidRPr="601F0686">
        <w:rPr>
          <w:rFonts w:ascii="Century Gothic" w:hAnsi="Century Gothic" w:eastAsia="Calibri" w:cs="Arial"/>
          <w:color w:val="000000" w:themeColor="text1"/>
          <w:lang w:val="es-ES"/>
        </w:rPr>
        <w:t xml:space="preserve"> a las </w:t>
      </w:r>
      <w:r w:rsidR="00C63996">
        <w:rPr>
          <w:rFonts w:ascii="Century Gothic" w:hAnsi="Century Gothic" w:eastAsia="Calibri" w:cs="Arial"/>
          <w:color w:val="000000"/>
          <w:lang w:val="es-ES_tradnl"/>
        </w:rPr>
        <w:t>s</w:t>
      </w:r>
      <w:r w:rsidRPr="009241AC">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Pr>
          <w:rFonts w:ascii="Century Gothic" w:hAnsi="Century Gothic" w:eastAsia="Calibri" w:cs="Arial"/>
          <w:color w:val="000000"/>
          <w:lang w:val="es-ES_tradnl"/>
        </w:rPr>
        <w:t>úblicas</w:t>
      </w:r>
      <w:r w:rsidRPr="601F0686">
        <w:rPr>
          <w:rFonts w:ascii="Century Gothic" w:hAnsi="Century Gothic" w:eastAsia="Calibri" w:cs="Arial"/>
          <w:color w:val="000000" w:themeColor="text1"/>
          <w:lang w:val="es-ES"/>
        </w:rPr>
        <w:t xml:space="preserve"> debe reiterarse que, este parágrafo es una norma que establece una excepción, por lo que, en virtud de dicho carácter, amerita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w:t>
      </w:r>
      <w:r w:rsidRPr="601F0686">
        <w:rPr>
          <w:rFonts w:ascii="Century Gothic" w:hAnsi="Century Gothic" w:eastAsia="Calibri" w:cs="Arial"/>
          <w:color w:val="000000" w:themeColor="text1"/>
          <w:lang w:val="es-ES"/>
        </w:rPr>
        <w:t>sometidas. La norma tampoco determina algún supuesto en atención al cual pueda aplicarse la excepción a algún sujeto con una naturaleza jurídica distinta de las específicamente mencionadas.</w:t>
      </w:r>
    </w:p>
    <w:p w:rsidRPr="009241AC" w:rsidR="00EC5C23" w:rsidP="00EC5C23" w:rsidRDefault="00EC5C23" w14:paraId="78F1855E" w14:textId="247A6E38">
      <w:pPr>
        <w:spacing w:before="120" w:line="276" w:lineRule="auto"/>
        <w:ind w:firstLine="709"/>
        <w:jc w:val="both"/>
        <w:rPr>
          <w:rFonts w:ascii="Century Gothic" w:hAnsi="Century Gothic" w:eastAsia="Calibri" w:cs="Arial"/>
          <w:bCs/>
          <w:color w:val="000000"/>
          <w:lang w:val="es-ES_tradnl"/>
        </w:rPr>
      </w:pPr>
      <w:r w:rsidRPr="009241AC">
        <w:rPr>
          <w:rFonts w:ascii="Century Gothic" w:hAnsi="Century Gothic" w:eastAsia="Calibri" w:cs="Arial"/>
          <w:color w:val="000000"/>
          <w:lang w:val="es-ES_tradnl"/>
        </w:rPr>
        <w:t xml:space="preserve">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w:t>
      </w:r>
      <w:r w:rsidRPr="009241AC">
        <w:rPr>
          <w:rFonts w:ascii="Century Gothic" w:hAnsi="Century Gothic" w:eastAsia="Calibri" w:cs="Arial"/>
          <w:lang w:val="es-ES_tradnl" w:eastAsia="es-ES_tradnl"/>
        </w:rPr>
        <w:t>instituciones de educación superior públicas, las empresas sociales del Estado, las sociedades de economía mixta y las empresas industriales y comerciales del Estado</w:t>
      </w:r>
      <w:r w:rsidRPr="009241AC">
        <w:rPr>
          <w:rFonts w:ascii="Century Gothic" w:hAnsi="Century Gothic" w:eastAsia="Calibri" w:cs="Arial"/>
          <w:color w:val="000000"/>
          <w:lang w:val="es-ES_tradnl"/>
        </w:rPr>
        <w:t xml:space="preserve"> no resulta extensible a entidades que no cuenten con dicha naturaleza, como sucede con las Sociedades Públicas</w:t>
      </w:r>
      <w:r w:rsidR="004651E6">
        <w:rPr>
          <w:rFonts w:ascii="Century Gothic" w:hAnsi="Century Gothic" w:eastAsia="Calibri" w:cs="Arial"/>
          <w:color w:val="000000"/>
          <w:lang w:val="es-ES_tradnl"/>
        </w:rPr>
        <w:t>.</w:t>
      </w:r>
      <w:r w:rsidRPr="009241AC">
        <w:rPr>
          <w:rFonts w:ascii="Century Gothic" w:hAnsi="Century Gothic" w:eastAsia="Calibri" w:cs="Arial"/>
          <w:color w:val="000000"/>
          <w:lang w:val="es-ES_tradnl"/>
        </w:rPr>
        <w:t xml:space="preserve"> </w:t>
      </w:r>
    </w:p>
    <w:p w:rsidRPr="009241AC" w:rsidR="00EC5C23" w:rsidP="00EC5C23" w:rsidRDefault="00EC5C23" w14:paraId="64965391" w14:textId="7DE5776D">
      <w:pPr>
        <w:spacing w:before="120" w:line="276" w:lineRule="auto"/>
        <w:ind w:firstLine="709"/>
        <w:jc w:val="both"/>
        <w:rPr>
          <w:rFonts w:ascii="Century Gothic" w:hAnsi="Century Gothic" w:eastAsia="Calibri" w:cs="Arial"/>
          <w:color w:val="000000"/>
          <w:lang w:val="es-ES"/>
        </w:rPr>
      </w:pPr>
      <w:r w:rsidRPr="601F0686">
        <w:rPr>
          <w:rFonts w:ascii="Century Gothic" w:hAnsi="Century Gothic" w:eastAsia="Calibri" w:cs="Arial"/>
          <w:color w:val="000000" w:themeColor="text1"/>
          <w:lang w:val="es-ES"/>
        </w:rPr>
        <w:t xml:space="preserve">En efecto, como se expuso en el numeral 2.1. de este concepto, las </w:t>
      </w:r>
      <w:r w:rsidR="00C63996">
        <w:rPr>
          <w:rFonts w:ascii="Century Gothic" w:hAnsi="Century Gothic" w:eastAsia="Calibri" w:cs="Arial"/>
          <w:color w:val="000000"/>
          <w:lang w:val="es-ES_tradnl"/>
        </w:rPr>
        <w:t>s</w:t>
      </w:r>
      <w:r w:rsidRPr="009241AC" w:rsidR="00C63996">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sidR="00C63996">
        <w:rPr>
          <w:rFonts w:ascii="Century Gothic" w:hAnsi="Century Gothic" w:eastAsia="Calibri" w:cs="Arial"/>
          <w:color w:val="000000"/>
          <w:lang w:val="es-ES_tradnl"/>
        </w:rPr>
        <w:t>úblicas</w:t>
      </w:r>
      <w:r w:rsidRPr="601F0686" w:rsidR="00C63996">
        <w:rPr>
          <w:rFonts w:ascii="Century Gothic" w:hAnsi="Century Gothic" w:eastAsia="Calibri" w:cs="Arial"/>
          <w:color w:val="000000" w:themeColor="text1"/>
          <w:lang w:val="es-ES"/>
        </w:rPr>
        <w:t xml:space="preserve"> </w:t>
      </w:r>
      <w:r w:rsidRPr="601F0686">
        <w:rPr>
          <w:rFonts w:ascii="Century Gothic" w:hAnsi="Century Gothic" w:eastAsia="Calibri" w:cs="Arial"/>
          <w:color w:val="000000" w:themeColor="text1"/>
          <w:lang w:val="es-ES"/>
        </w:rPr>
        <w:t xml:space="preserve">tienen una naturaleza jurídica especial distinta de las sociedades de economía mixta y de las empresas industriales y comerciales del Estado. Por ello, las </w:t>
      </w:r>
      <w:r w:rsidR="00C63996">
        <w:rPr>
          <w:rFonts w:ascii="Century Gothic" w:hAnsi="Century Gothic" w:eastAsia="Calibri" w:cs="Arial"/>
          <w:color w:val="000000"/>
          <w:lang w:val="es-ES_tradnl"/>
        </w:rPr>
        <w:t>s</w:t>
      </w:r>
      <w:r w:rsidRPr="009241AC" w:rsidR="00C63996">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sidR="00C63996">
        <w:rPr>
          <w:rFonts w:ascii="Century Gothic" w:hAnsi="Century Gothic" w:eastAsia="Calibri" w:cs="Arial"/>
          <w:color w:val="000000"/>
          <w:lang w:val="es-ES_tradnl"/>
        </w:rPr>
        <w:t>úblicas</w:t>
      </w:r>
      <w:r w:rsidRPr="601F0686" w:rsidR="00C63996">
        <w:rPr>
          <w:rFonts w:ascii="Century Gothic" w:hAnsi="Century Gothic" w:eastAsia="Calibri" w:cs="Arial"/>
          <w:color w:val="000000" w:themeColor="text1"/>
          <w:lang w:val="es-ES"/>
        </w:rPr>
        <w:t xml:space="preserve"> </w:t>
      </w:r>
      <w:r w:rsidRPr="601F0686">
        <w:rPr>
          <w:rFonts w:ascii="Century Gothic" w:hAnsi="Century Gothic" w:eastAsia="Calibri" w:cs="Arial"/>
          <w:color w:val="000000" w:themeColor="text1"/>
          <w:lang w:val="es-ES"/>
        </w:rPr>
        <w:t xml:space="preserve">son una tipología especial de Entidades Públicas, que tienen un régimen y una naturaleza jurídica propios, por lo que no deben confundirse con las sociedades de economía mixta o las empresas industriales y comerciales del Estado. En este sentido, al tratarse de figuras distintas, no podría hacerse extensiva la aplicación de la excepción del artículo 56 de la ley 2195 de 2022 a las </w:t>
      </w:r>
      <w:r w:rsidR="00C63996">
        <w:rPr>
          <w:rFonts w:ascii="Century Gothic" w:hAnsi="Century Gothic" w:eastAsia="Calibri" w:cs="Arial"/>
          <w:color w:val="000000"/>
          <w:lang w:val="es-ES_tradnl"/>
        </w:rPr>
        <w:t>s</w:t>
      </w:r>
      <w:r w:rsidRPr="009241AC">
        <w:rPr>
          <w:rFonts w:ascii="Century Gothic" w:hAnsi="Century Gothic" w:eastAsia="Calibri" w:cs="Arial"/>
          <w:color w:val="000000"/>
          <w:lang w:val="es-ES_tradnl"/>
        </w:rPr>
        <w:t xml:space="preserve">ociedades </w:t>
      </w:r>
      <w:r w:rsidR="00C63996">
        <w:rPr>
          <w:rFonts w:ascii="Century Gothic" w:hAnsi="Century Gothic" w:eastAsia="Calibri" w:cs="Arial"/>
          <w:color w:val="000000"/>
          <w:lang w:val="es-ES_tradnl"/>
        </w:rPr>
        <w:t>p</w:t>
      </w:r>
      <w:r w:rsidRPr="009241AC">
        <w:rPr>
          <w:rFonts w:ascii="Century Gothic" w:hAnsi="Century Gothic" w:eastAsia="Calibri" w:cs="Arial"/>
          <w:color w:val="000000"/>
          <w:lang w:val="es-ES_tradnl"/>
        </w:rPr>
        <w:t>úblicas</w:t>
      </w:r>
      <w:r w:rsidRPr="601F0686">
        <w:rPr>
          <w:rFonts w:ascii="Century Gothic" w:hAnsi="Century Gothic" w:eastAsia="Calibri" w:cs="Arial"/>
          <w:color w:val="000000" w:themeColor="text1"/>
          <w:lang w:val="es-ES"/>
        </w:rPr>
        <w:t xml:space="preserve">, en la medida en que estas no cuentan con la naturaleza jurídica de una sociedad de economía mixta ni una empresas industrial o comercial del Estado. Esta conclusión, además, se sustenta en aquella regla hermenéutica según la cual, donde el legislador no distingue no le es dable al interprete hacerlo, razón por la que, no siendo el régimen jurídico un factor que la norma establezca como relevante para determinar la aplicabilidad de la excepción, no resulta procedente considerarlo de cara a su debida aplicación. </w:t>
      </w:r>
    </w:p>
    <w:p w:rsidRPr="009241AC" w:rsidR="00EC5C23" w:rsidP="00EC5C23" w:rsidRDefault="00EC5C23" w14:paraId="3C9D44DE" w14:textId="26DCA5CE">
      <w:pPr>
        <w:spacing w:after="0" w:line="276" w:lineRule="auto"/>
        <w:jc w:val="both"/>
        <w:rPr>
          <w:rFonts w:ascii="Century Gothic" w:hAnsi="Century Gothic" w:eastAsia="Times New Roman" w:cs="Arial"/>
          <w:lang w:val="es-ES_tradnl" w:eastAsia="es-ES_tradnl"/>
        </w:rPr>
      </w:pPr>
      <w:r w:rsidRPr="009241AC">
        <w:rPr>
          <w:rFonts w:ascii="Century Gothic" w:hAnsi="Century Gothic" w:eastAsia="Times New Roman"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9241AC" w:rsidR="00EC5C23" w:rsidP="00EC5C23" w:rsidRDefault="00EC5C23" w14:paraId="7867DBC7" w14:textId="77777777">
      <w:pPr>
        <w:spacing w:after="0" w:line="276" w:lineRule="auto"/>
        <w:jc w:val="both"/>
        <w:rPr>
          <w:rFonts w:ascii="Century Gothic" w:hAnsi="Century Gothic" w:eastAsia="Times New Roman" w:cs="Arial"/>
          <w:lang w:val="es-ES_tradnl" w:eastAsia="es-CO"/>
        </w:rPr>
      </w:pPr>
    </w:p>
    <w:p w:rsidRPr="005F2DF8" w:rsidR="005F2DF8" w:rsidP="005F2DF8" w:rsidRDefault="00EC5C23" w14:paraId="46FF65BC" w14:textId="7F0C502D">
      <w:pPr>
        <w:spacing w:after="0" w:line="276" w:lineRule="auto"/>
        <w:jc w:val="both"/>
        <w:rPr>
          <w:rFonts w:ascii="Century Gothic" w:hAnsi="Century Gothic" w:eastAsia="Times New Roman" w:cs="Arial"/>
          <w:lang w:val="es-ES_tradnl" w:eastAsia="es-CO"/>
        </w:rPr>
      </w:pPr>
      <w:r w:rsidRPr="009241AC">
        <w:rPr>
          <w:rFonts w:ascii="Century Gothic" w:hAnsi="Century Gothic" w:eastAsia="Times New Roman" w:cs="Arial"/>
          <w:lang w:val="es-ES_tradnl" w:eastAsia="es-CO"/>
        </w:rPr>
        <w:t>Atentamente,</w:t>
      </w:r>
      <w:bookmarkEnd w:id="3"/>
    </w:p>
    <w:p w:rsidRPr="00810C35" w:rsidR="005F2DF8" w:rsidP="005F2DF8" w:rsidRDefault="00BD2A38" w14:paraId="4EEEA501" w14:textId="1939FAB4">
      <w:pPr>
        <w:spacing w:line="276" w:lineRule="auto"/>
        <w:jc w:val="center"/>
        <w:rPr>
          <w:rFonts w:ascii="Century Gothic" w:hAnsi="Century Gothic" w:cs="Arial"/>
          <w:color w:val="000000"/>
          <w:lang w:val="es-ES_tradnl" w:eastAsia="es-CO"/>
        </w:rPr>
      </w:pPr>
      <w:r w:rsidRPr="004D5C25">
        <w:rPr>
          <w:rFonts w:ascii="Century Gothic" w:hAnsi="Century Gothic"/>
          <w:noProof/>
        </w:rPr>
        <w:drawing>
          <wp:inline distT="0" distB="0" distL="0" distR="0" wp14:anchorId="60539040" wp14:editId="00D1BE5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
        <w:tblW w:w="74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6602"/>
      </w:tblGrid>
      <w:tr w:rsidRPr="001B7A05" w:rsidR="005F2DF8" w:rsidTr="0044122F" w14:paraId="16BB4FFA" w14:textId="77777777">
        <w:trPr>
          <w:trHeight w:val="315"/>
        </w:trPr>
        <w:tc>
          <w:tcPr>
            <w:tcW w:w="855" w:type="dxa"/>
            <w:vAlign w:val="center"/>
            <w:hideMark/>
          </w:tcPr>
          <w:p w:rsidRPr="001B7A05" w:rsidR="005F2DF8" w:rsidP="0044122F" w:rsidRDefault="005F2DF8" w14:paraId="343CEAAF" w14:textId="77777777">
            <w:pPr>
              <w:contextualSpacing/>
              <w:rPr>
                <w:rFonts w:ascii="Century Gothic" w:hAnsi="Century Gothic" w:cs="Arial"/>
                <w:sz w:val="16"/>
                <w:szCs w:val="16"/>
                <w:lang w:val="es-ES" w:eastAsia="es-ES"/>
              </w:rPr>
            </w:pPr>
            <w:r w:rsidRPr="001B7A05">
              <w:rPr>
                <w:rFonts w:ascii="Century Gothic" w:hAnsi="Century Gothic" w:cs="Arial"/>
                <w:sz w:val="16"/>
                <w:szCs w:val="16"/>
                <w:lang w:val="es-ES" w:eastAsia="es-ES"/>
              </w:rPr>
              <w:t>Elaboró:</w:t>
            </w:r>
          </w:p>
        </w:tc>
        <w:tc>
          <w:tcPr>
            <w:tcW w:w="6602" w:type="dxa"/>
            <w:tcBorders>
              <w:top w:val="nil"/>
              <w:left w:val="nil"/>
              <w:bottom w:val="dotted" w:color="7F7F7F" w:themeColor="text1" w:themeTint="80" w:sz="4" w:space="0"/>
              <w:right w:val="nil"/>
            </w:tcBorders>
            <w:vAlign w:val="center"/>
            <w:hideMark/>
          </w:tcPr>
          <w:p w:rsidRPr="001B7A05" w:rsidR="005F2DF8" w:rsidP="0044122F" w:rsidRDefault="005F2DF8" w14:paraId="200414D1" w14:textId="77777777">
            <w:pPr>
              <w:contextualSpacing/>
              <w:rPr>
                <w:rFonts w:ascii="Century Gothic" w:hAnsi="Century Gothic" w:eastAsia="Arial" w:cs="Arial"/>
                <w:sz w:val="16"/>
                <w:szCs w:val="16"/>
              </w:rPr>
            </w:pPr>
            <w:r w:rsidRPr="001B7A05">
              <w:rPr>
                <w:rStyle w:val="normaltextrun"/>
                <w:rFonts w:ascii="Century Gothic" w:hAnsi="Century Gothic" w:eastAsia="Arial" w:cs="Arial"/>
                <w:sz w:val="16"/>
                <w:szCs w:val="16"/>
              </w:rPr>
              <w:t>Diana Lucia Saavedra Castañeda</w:t>
            </w:r>
          </w:p>
          <w:p w:rsidRPr="001B7A05" w:rsidR="005F2DF8" w:rsidP="0044122F" w:rsidRDefault="005F2DF8" w14:paraId="579F5637" w14:textId="77777777">
            <w:pPr>
              <w:contextualSpacing/>
              <w:rPr>
                <w:rFonts w:ascii="Century Gothic" w:hAnsi="Century Gothic" w:eastAsia="Arial" w:cs="Arial"/>
                <w:sz w:val="16"/>
                <w:szCs w:val="16"/>
              </w:rPr>
            </w:pPr>
            <w:r w:rsidRPr="001B7A05">
              <w:rPr>
                <w:rStyle w:val="normaltextrun"/>
                <w:rFonts w:ascii="Century Gothic" w:hAnsi="Century Gothic" w:eastAsia="Arial" w:cs="Arial"/>
                <w:sz w:val="16"/>
                <w:szCs w:val="16"/>
              </w:rPr>
              <w:t>Contratista de la Subdirección de Gestión Contractual</w:t>
            </w:r>
          </w:p>
        </w:tc>
      </w:tr>
      <w:tr w:rsidRPr="001B7A05" w:rsidR="005F2DF8" w:rsidTr="0044122F" w14:paraId="5D0B3E5C" w14:textId="77777777">
        <w:trPr>
          <w:trHeight w:val="330"/>
        </w:trPr>
        <w:tc>
          <w:tcPr>
            <w:tcW w:w="855" w:type="dxa"/>
            <w:vAlign w:val="center"/>
            <w:hideMark/>
          </w:tcPr>
          <w:p w:rsidRPr="00810C35" w:rsidR="005F2DF8" w:rsidP="0044122F" w:rsidRDefault="005F2DF8" w14:paraId="2AF7F50D" w14:textId="77777777">
            <w:pPr>
              <w:contextualSpacing/>
              <w:rPr>
                <w:rFonts w:ascii="Century Gothic" w:hAnsi="Century Gothic" w:cs="Arial"/>
                <w:sz w:val="16"/>
                <w:szCs w:val="16"/>
                <w:lang w:val="es-ES" w:eastAsia="es-ES"/>
              </w:rPr>
            </w:pPr>
            <w:r w:rsidRPr="00810C35">
              <w:rPr>
                <w:rFonts w:ascii="Century Gothic" w:hAnsi="Century Gothic" w:cs="Arial"/>
                <w:sz w:val="16"/>
                <w:szCs w:val="16"/>
                <w:lang w:val="es-ES" w:eastAsia="es-ES"/>
              </w:rPr>
              <w:t>Revisó:</w:t>
            </w:r>
          </w:p>
        </w:tc>
        <w:tc>
          <w:tcPr>
            <w:tcW w:w="6602" w:type="dxa"/>
            <w:tcBorders>
              <w:top w:val="dotted" w:color="7F7F7F" w:themeColor="text1" w:themeTint="80" w:sz="4" w:space="0"/>
              <w:left w:val="nil"/>
              <w:bottom w:val="dotted" w:color="7F7F7F" w:themeColor="text1" w:themeTint="80" w:sz="4" w:space="0"/>
              <w:right w:val="nil"/>
            </w:tcBorders>
            <w:vAlign w:val="center"/>
            <w:hideMark/>
          </w:tcPr>
          <w:p w:rsidRPr="001B7A05" w:rsidR="005F2DF8" w:rsidP="0044122F" w:rsidRDefault="005F2DF8" w14:paraId="0580B54A" w14:textId="77777777">
            <w:pPr>
              <w:pStyle w:val="paragraph"/>
              <w:spacing w:before="0" w:beforeAutospacing="0" w:after="0" w:afterAutospacing="0"/>
              <w:contextualSpacing/>
              <w:textAlignment w:val="baseline"/>
              <w:rPr>
                <w:rFonts w:ascii="Century Gothic" w:hAnsi="Century Gothic" w:cs="Segoe UI"/>
                <w:sz w:val="16"/>
                <w:szCs w:val="16"/>
              </w:rPr>
            </w:pPr>
            <w:r w:rsidRPr="001B7A05">
              <w:rPr>
                <w:rStyle w:val="normaltextrun"/>
                <w:rFonts w:ascii="Century Gothic" w:hAnsi="Century Gothic" w:cs="Arial"/>
                <w:sz w:val="16"/>
                <w:szCs w:val="16"/>
                <w:lang w:val="es-ES"/>
              </w:rPr>
              <w:t>Alejandro Raúl Sarmiento Cantillo</w:t>
            </w:r>
          </w:p>
          <w:p w:rsidRPr="001B7A05" w:rsidR="005F2DF8" w:rsidP="0044122F" w:rsidRDefault="005F2DF8" w14:paraId="35B788E3" w14:textId="77777777">
            <w:pPr>
              <w:pStyle w:val="paragraph"/>
              <w:spacing w:before="0" w:beforeAutospacing="0" w:after="0" w:afterAutospacing="0"/>
              <w:contextualSpacing/>
              <w:textAlignment w:val="baseline"/>
              <w:rPr>
                <w:rFonts w:ascii="Century Gothic" w:hAnsi="Century Gothic" w:cs="Segoe UI"/>
                <w:sz w:val="16"/>
                <w:szCs w:val="16"/>
              </w:rPr>
            </w:pPr>
            <w:r w:rsidRPr="001B7A05">
              <w:rPr>
                <w:rStyle w:val="normaltextrun"/>
                <w:rFonts w:ascii="Century Gothic" w:hAnsi="Century Gothic" w:cs="Arial"/>
                <w:color w:val="000000"/>
                <w:sz w:val="16"/>
                <w:szCs w:val="16"/>
                <w:lang w:val="es-ES"/>
              </w:rPr>
              <w:t xml:space="preserve">Gestor T1-15 </w:t>
            </w:r>
            <w:r w:rsidRPr="001B7A05">
              <w:rPr>
                <w:rStyle w:val="normaltextrun"/>
                <w:rFonts w:ascii="Century Gothic" w:hAnsi="Century Gothic" w:cs="Arial"/>
                <w:sz w:val="16"/>
                <w:szCs w:val="16"/>
                <w:lang w:val="es-ES"/>
              </w:rPr>
              <w:t>de la Subdirección de Gestión Contractual</w:t>
            </w:r>
            <w:r w:rsidRPr="001B7A05">
              <w:rPr>
                <w:rStyle w:val="eop"/>
                <w:rFonts w:ascii="Century Gothic" w:hAnsi="Century Gothic" w:cs="Arial"/>
                <w:sz w:val="16"/>
                <w:szCs w:val="16"/>
              </w:rPr>
              <w:t> </w:t>
            </w:r>
          </w:p>
        </w:tc>
      </w:tr>
      <w:tr w:rsidRPr="001B7A05" w:rsidR="005F2DF8" w:rsidTr="0044122F" w14:paraId="21F8E944" w14:textId="77777777">
        <w:trPr>
          <w:trHeight w:val="300"/>
        </w:trPr>
        <w:tc>
          <w:tcPr>
            <w:tcW w:w="855" w:type="dxa"/>
            <w:vAlign w:val="center"/>
          </w:tcPr>
          <w:p w:rsidRPr="00810C35" w:rsidR="005F2DF8" w:rsidP="0044122F" w:rsidRDefault="005F2DF8" w14:paraId="13643DB8" w14:textId="77777777">
            <w:pPr>
              <w:contextualSpacing/>
              <w:rPr>
                <w:rFonts w:ascii="Century Gothic" w:hAnsi="Century Gothic" w:cs="Arial"/>
                <w:sz w:val="16"/>
                <w:szCs w:val="16"/>
                <w:lang w:val="es-ES" w:eastAsia="es-ES"/>
              </w:rPr>
            </w:pPr>
            <w:r w:rsidRPr="00810C35">
              <w:rPr>
                <w:rFonts w:ascii="Century Gothic" w:hAnsi="Century Gothic" w:cs="Arial"/>
                <w:sz w:val="16"/>
                <w:szCs w:val="16"/>
                <w:lang w:val="es-ES" w:eastAsia="es-ES"/>
              </w:rPr>
              <w:t>Aprobó:</w:t>
            </w:r>
          </w:p>
        </w:tc>
        <w:tc>
          <w:tcPr>
            <w:tcW w:w="6602" w:type="dxa"/>
            <w:tcBorders>
              <w:top w:val="dotted" w:color="7F7F7F" w:themeColor="text1" w:themeTint="80" w:sz="4" w:space="0"/>
              <w:left w:val="nil"/>
              <w:bottom w:val="dotted" w:color="7F7F7F" w:themeColor="text1" w:themeTint="80" w:sz="4" w:space="0"/>
              <w:right w:val="nil"/>
            </w:tcBorders>
            <w:vAlign w:val="center"/>
          </w:tcPr>
          <w:p w:rsidRPr="001B7A05" w:rsidR="005F2DF8" w:rsidP="0044122F" w:rsidRDefault="005F2DF8" w14:paraId="07A07DB6" w14:textId="77777777">
            <w:pPr>
              <w:contextualSpacing/>
              <w:rPr>
                <w:rFonts w:ascii="Century Gothic" w:hAnsi="Century Gothic" w:eastAsia="Calibri" w:cs="Arial"/>
                <w:sz w:val="16"/>
                <w:szCs w:val="16"/>
                <w:lang w:val="pt-BR" w:eastAsia="es-ES"/>
              </w:rPr>
            </w:pPr>
            <w:r w:rsidRPr="001B7A05">
              <w:rPr>
                <w:rFonts w:ascii="Century Gothic" w:hAnsi="Century Gothic" w:eastAsia="Calibri" w:cs="Arial"/>
                <w:sz w:val="16"/>
                <w:szCs w:val="16"/>
                <w:lang w:val="pt-BR" w:eastAsia="es-ES"/>
              </w:rPr>
              <w:t xml:space="preserve">Carolina Quintero </w:t>
            </w:r>
            <w:proofErr w:type="spellStart"/>
            <w:r w:rsidRPr="001B7A05">
              <w:rPr>
                <w:rFonts w:ascii="Century Gothic" w:hAnsi="Century Gothic" w:eastAsia="Calibri" w:cs="Arial"/>
                <w:sz w:val="16"/>
                <w:szCs w:val="16"/>
                <w:lang w:val="pt-BR" w:eastAsia="es-ES"/>
              </w:rPr>
              <w:t>Gacharná</w:t>
            </w:r>
            <w:proofErr w:type="spellEnd"/>
          </w:p>
          <w:p w:rsidRPr="001B7A05" w:rsidR="005F2DF8" w:rsidP="0044122F" w:rsidRDefault="005F2DF8" w14:paraId="330355A2" w14:textId="77777777">
            <w:pPr>
              <w:contextualSpacing/>
              <w:rPr>
                <w:rFonts w:ascii="Century Gothic" w:hAnsi="Century Gothic" w:eastAsia="Calibri" w:cs="Arial"/>
                <w:sz w:val="16"/>
                <w:szCs w:val="16"/>
                <w:lang w:val="pt-BR" w:eastAsia="es-ES"/>
              </w:rPr>
            </w:pPr>
            <w:r w:rsidRPr="001B7A05">
              <w:rPr>
                <w:rFonts w:ascii="Century Gothic" w:hAnsi="Century Gothic" w:eastAsia="Calibri" w:cs="Arial"/>
                <w:sz w:val="16"/>
                <w:szCs w:val="16"/>
                <w:lang w:eastAsia="es-ES"/>
              </w:rPr>
              <w:t>Subdirectora</w:t>
            </w:r>
            <w:r w:rsidRPr="001B7A05">
              <w:rPr>
                <w:rFonts w:ascii="Century Gothic" w:hAnsi="Century Gothic" w:eastAsia="Calibri" w:cs="Arial"/>
                <w:sz w:val="16"/>
                <w:szCs w:val="16"/>
                <w:lang w:val="pt-BR" w:eastAsia="es-ES"/>
              </w:rPr>
              <w:t xml:space="preserve"> de Gestión Contractual ANCP – CCE</w:t>
            </w:r>
          </w:p>
        </w:tc>
      </w:tr>
    </w:tbl>
    <w:p w:rsidRPr="00810C35" w:rsidR="005F2DF8" w:rsidP="005F2DF8" w:rsidRDefault="005F2DF8" w14:paraId="65199F22" w14:textId="77777777">
      <w:pPr>
        <w:rPr>
          <w:rFonts w:ascii="Century Gothic" w:hAnsi="Century Gothic" w:cs="Arial"/>
          <w:lang w:eastAsia="es-ES"/>
        </w:rPr>
      </w:pPr>
    </w:p>
    <w:p w:rsidR="00EC5C23" w:rsidP="00400548" w:rsidRDefault="00EC5C23" w14:paraId="36028089" w14:textId="77777777">
      <w:pPr>
        <w:spacing w:after="0"/>
        <w:rPr>
          <w:rFonts w:ascii="Century Gothic" w:hAnsi="Century Gothic"/>
          <w:lang w:val="es-MX"/>
        </w:rPr>
      </w:pPr>
    </w:p>
    <w:sectPr w:rsidR="00EC5C23" w:rsidSect="004368BC">
      <w:headerReference w:type="default" r:id="rId14"/>
      <w:footerReference w:type="default" r:id="rId15"/>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368BC" w:rsidP="004A1847" w:rsidRDefault="004368BC" w14:paraId="711CB231" w14:textId="77777777">
      <w:pPr>
        <w:spacing w:after="0" w:line="240" w:lineRule="auto"/>
      </w:pPr>
      <w:r>
        <w:separator/>
      </w:r>
    </w:p>
  </w:endnote>
  <w:endnote w:type="continuationSeparator" w:id="0">
    <w:p w:rsidR="004368BC" w:rsidP="004A1847" w:rsidRDefault="004368BC" w14:paraId="41E04437" w14:textId="77777777">
      <w:pPr>
        <w:spacing w:after="0" w:line="240" w:lineRule="auto"/>
      </w:pPr>
      <w:r>
        <w:continuationSeparator/>
      </w:r>
    </w:p>
  </w:endnote>
  <w:endnote w:type="continuationNotice" w:id="1">
    <w:p w:rsidR="000B6012" w:rsidRDefault="000B6012" w14:paraId="1BBF7AF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rialMT">
    <w:altName w:val="Klee One"/>
    <w:panose1 w:val="00000000000000000000"/>
    <w:charset w:val="80"/>
    <w:family w:val="auto"/>
    <w:notTrueType/>
    <w:pitch w:val="default"/>
    <w:sig w:usb0="00002A87" w:usb1="08070000" w:usb2="00000010" w:usb3="00000000" w:csb0="0002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368BC" w:rsidP="004A1847" w:rsidRDefault="004368BC" w14:paraId="306EF61C" w14:textId="77777777">
      <w:pPr>
        <w:spacing w:after="0" w:line="240" w:lineRule="auto"/>
      </w:pPr>
      <w:r>
        <w:separator/>
      </w:r>
    </w:p>
  </w:footnote>
  <w:footnote w:type="continuationSeparator" w:id="0">
    <w:p w:rsidR="004368BC" w:rsidP="004A1847" w:rsidRDefault="004368BC" w14:paraId="722EA481" w14:textId="77777777">
      <w:pPr>
        <w:spacing w:after="0" w:line="240" w:lineRule="auto"/>
      </w:pPr>
      <w:r>
        <w:continuationSeparator/>
      </w:r>
    </w:p>
  </w:footnote>
  <w:footnote w:type="continuationNotice" w:id="1">
    <w:p w:rsidR="000B6012" w:rsidRDefault="000B6012" w14:paraId="325E9719" w14:textId="77777777">
      <w:pPr>
        <w:spacing w:after="0" w:line="240" w:lineRule="auto"/>
      </w:pPr>
    </w:p>
  </w:footnote>
  <w:footnote w:id="2">
    <w:p w:rsidRPr="00D118D9" w:rsidR="00EC5C23" w:rsidP="00EC5C23" w:rsidRDefault="00EC5C23" w14:paraId="6C1D649C" w14:textId="77777777">
      <w:pPr>
        <w:pStyle w:val="Textonotapie"/>
        <w:ind w:firstLine="708"/>
        <w:contextualSpacing/>
        <w:jc w:val="both"/>
        <w:rPr>
          <w:rFonts w:ascii="Century Gothic" w:hAnsi="Century Gothic" w:eastAsia="Calibri" w:cs="Arial"/>
          <w:color w:val="000000" w:themeColor="text1"/>
          <w:sz w:val="14"/>
          <w:szCs w:val="14"/>
          <w:lang w:val="es-ES" w:eastAsia="es-ES_tradnl"/>
        </w:rPr>
      </w:pPr>
      <w:r w:rsidRPr="00D118D9">
        <w:rPr>
          <w:rFonts w:ascii="Century Gothic" w:hAnsi="Century Gothic" w:eastAsia="Calibri" w:cs="Arial"/>
          <w:color w:val="000000" w:themeColor="text1"/>
          <w:sz w:val="14"/>
          <w:szCs w:val="14"/>
          <w:vertAlign w:val="superscript"/>
          <w:lang w:val="es-ES" w:eastAsia="es-ES_tradnl"/>
        </w:rPr>
        <w:footnoteRef/>
      </w:r>
      <w:r w:rsidRPr="00D118D9">
        <w:rPr>
          <w:rFonts w:ascii="Century Gothic" w:hAnsi="Century Gothic" w:eastAsia="Calibri" w:cs="Arial"/>
          <w:color w:val="000000" w:themeColor="text1"/>
          <w:sz w:val="14"/>
          <w:szCs w:val="14"/>
          <w:lang w:val="es-ES" w:eastAsia="es-ES_tradnl"/>
        </w:rPr>
        <w:t xml:space="preserve"> La Agencia Nacional de Contratación Pública </w:t>
      </w:r>
      <w:r w:rsidRPr="00D118D9">
        <w:rPr>
          <w:rFonts w:ascii="Arial" w:hAnsi="Arial" w:eastAsia="Calibri" w:cs="Arial"/>
          <w:color w:val="000000" w:themeColor="text1"/>
          <w:sz w:val="14"/>
          <w:szCs w:val="14"/>
          <w:lang w:val="es-ES" w:eastAsia="es-ES_tradnl"/>
        </w:rPr>
        <w:t>‒</w:t>
      </w:r>
      <w:r w:rsidRPr="00D118D9">
        <w:rPr>
          <w:rFonts w:ascii="Century Gothic" w:hAnsi="Century Gothic" w:eastAsia="Calibri" w:cs="Arial"/>
          <w:color w:val="000000" w:themeColor="text1"/>
          <w:sz w:val="14"/>
          <w:szCs w:val="14"/>
          <w:lang w:val="es-ES" w:eastAsia="es-ES_tradnl"/>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D118D9">
        <w:rPr>
          <w:rFonts w:ascii="Century Gothic" w:hAnsi="Century Gothic" w:eastAsia="Calibri" w:cs="Arial"/>
          <w:color w:val="000000" w:themeColor="text1"/>
          <w:sz w:val="14"/>
          <w:szCs w:val="14"/>
          <w:lang w:val="es-ES" w:eastAsia="es-ES_tradnl"/>
        </w:rPr>
        <w:t>bsolver</w:t>
      </w:r>
      <w:proofErr w:type="spellEnd"/>
      <w:r w:rsidRPr="00D118D9">
        <w:rPr>
          <w:rFonts w:ascii="Century Gothic" w:hAnsi="Century Gothic" w:eastAsia="Calibri" w:cs="Arial"/>
          <w:color w:val="000000" w:themeColor="text1"/>
          <w:sz w:val="14"/>
          <w:szCs w:val="14"/>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D118D9">
        <w:rPr>
          <w:rFonts w:ascii="Century Gothic" w:hAnsi="Century Gothic" w:eastAsia="Calibri" w:cs="Arial"/>
          <w:color w:val="000000" w:themeColor="text1"/>
          <w:sz w:val="14"/>
          <w:szCs w:val="14"/>
          <w:lang w:val="es-ES" w:eastAsia="es-ES_tradnl"/>
        </w:rPr>
        <w:t>bsolver</w:t>
      </w:r>
      <w:proofErr w:type="spellEnd"/>
      <w:r w:rsidRPr="00D118D9">
        <w:rPr>
          <w:rFonts w:ascii="Century Gothic" w:hAnsi="Century Gothic" w:eastAsia="Calibri" w:cs="Arial"/>
          <w:color w:val="000000" w:themeColor="text1"/>
          <w:sz w:val="14"/>
          <w:szCs w:val="14"/>
          <w:lang w:val="es-ES" w:eastAsia="es-ES_tradnl"/>
        </w:rPr>
        <w:t xml:space="preserve"> consultas sobre la aplicación de normas de carácter general”.</w:t>
      </w:r>
    </w:p>
  </w:footnote>
  <w:footnote w:id="3">
    <w:p w:rsidRPr="00D118D9" w:rsidR="00EC5C23" w:rsidP="00EC5C23" w:rsidRDefault="00EC5C23" w14:paraId="3EA998ED" w14:textId="77777777">
      <w:pPr>
        <w:pStyle w:val="Textonotapie"/>
        <w:ind w:firstLine="708"/>
        <w:contextualSpacing/>
        <w:jc w:val="both"/>
        <w:rPr>
          <w:rFonts w:ascii="Century Gothic" w:hAnsi="Century Gothic" w:cs="Arial"/>
          <w:color w:val="000000" w:themeColor="text1"/>
          <w:sz w:val="14"/>
          <w:szCs w:val="14"/>
          <w:shd w:val="clear" w:color="auto" w:fill="E6E6E6"/>
        </w:rPr>
      </w:pPr>
      <w:r w:rsidRPr="00D118D9">
        <w:rPr>
          <w:rFonts w:ascii="Century Gothic" w:hAnsi="Century Gothic" w:cs="Arial"/>
          <w:color w:val="000000" w:themeColor="text1"/>
          <w:sz w:val="14"/>
          <w:szCs w:val="14"/>
          <w:vertAlign w:val="superscript"/>
        </w:rPr>
        <w:footnoteRef/>
      </w:r>
      <w:r w:rsidRPr="00D118D9">
        <w:rPr>
          <w:rFonts w:ascii="Century Gothic" w:hAnsi="Century Gothic" w:cs="Arial"/>
          <w:color w:val="000000" w:themeColor="text1"/>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D118D9">
          <w:rPr>
            <w:rStyle w:val="Hipervnculo"/>
            <w:rFonts w:ascii="Century Gothic" w:hAnsi="Century Gothic" w:cs="Arial"/>
            <w:color w:val="000000" w:themeColor="text1"/>
            <w:sz w:val="14"/>
            <w:szCs w:val="14"/>
          </w:rPr>
          <w:t>https://relatoria.colombiacompra.gov.co/busqueda/conceptos</w:t>
        </w:r>
      </w:hyperlink>
      <w:r w:rsidRPr="00D118D9">
        <w:rPr>
          <w:rFonts w:ascii="Century Gothic" w:hAnsi="Century Gothic" w:cs="Arial"/>
          <w:color w:val="000000" w:themeColor="text1"/>
          <w:sz w:val="14"/>
          <w:szCs w:val="14"/>
          <w:shd w:val="clear" w:color="auto" w:fill="E6E6E6"/>
        </w:rPr>
        <w:t xml:space="preserve"> </w:t>
      </w:r>
    </w:p>
  </w:footnote>
  <w:footnote w:id="4">
    <w:p w:rsidRPr="00D118D9" w:rsidR="004247DE" w:rsidP="004247DE" w:rsidRDefault="00EC5C23" w14:paraId="03A436BA" w14:textId="6F58D4DB">
      <w:pPr>
        <w:pStyle w:val="NormalWeb"/>
        <w:spacing w:before="0" w:beforeAutospacing="0" w:after="0" w:afterAutospacing="0"/>
        <w:ind w:firstLine="708"/>
        <w:contextualSpacing/>
        <w:jc w:val="both"/>
        <w:rPr>
          <w:rFonts w:ascii="Century Gothic" w:hAnsi="Century Gothic" w:cs="Open Sans"/>
          <w:color w:val="000000" w:themeColor="text1"/>
          <w:sz w:val="14"/>
          <w:szCs w:val="14"/>
          <w:lang w:eastAsia="es-ES_tradnl"/>
        </w:rPr>
      </w:pPr>
      <w:r w:rsidRPr="00D118D9">
        <w:rPr>
          <w:rStyle w:val="Refdenotaalpie"/>
          <w:rFonts w:ascii="Century Gothic" w:hAnsi="Century Gothic"/>
          <w:color w:val="000000" w:themeColor="text1"/>
          <w:sz w:val="14"/>
          <w:szCs w:val="14"/>
        </w:rPr>
        <w:footnoteRef/>
      </w:r>
      <w:r w:rsidRPr="00D118D9">
        <w:rPr>
          <w:rFonts w:ascii="Century Gothic" w:hAnsi="Century Gothic"/>
          <w:color w:val="000000" w:themeColor="text1"/>
          <w:sz w:val="14"/>
          <w:szCs w:val="14"/>
        </w:rPr>
        <w:t xml:space="preserve"> </w:t>
      </w:r>
      <w:r w:rsidRPr="00D118D9" w:rsidR="004247DE">
        <w:rPr>
          <w:rFonts w:ascii="Century Gothic" w:hAnsi="Century Gothic"/>
          <w:color w:val="000000" w:themeColor="text1"/>
          <w:sz w:val="14"/>
          <w:szCs w:val="14"/>
        </w:rPr>
        <w:t>“</w:t>
      </w:r>
      <w:r w:rsidRPr="00D118D9">
        <w:rPr>
          <w:rFonts w:ascii="Century Gothic" w:hAnsi="Century Gothic"/>
          <w:color w:val="000000" w:themeColor="text1"/>
          <w:sz w:val="14"/>
          <w:szCs w:val="14"/>
          <w:lang w:val="es-ES"/>
        </w:rPr>
        <w:t xml:space="preserve">Artículo 38. Integración de la Rama Ejecutiva del Poder Público en el orden nacional. </w:t>
      </w:r>
      <w:r w:rsidRPr="00D118D9">
        <w:rPr>
          <w:rFonts w:ascii="Century Gothic" w:hAnsi="Century Gothic" w:cs="Open Sans"/>
          <w:color w:val="000000" w:themeColor="text1"/>
          <w:sz w:val="14"/>
          <w:szCs w:val="14"/>
          <w:lang w:eastAsia="es-ES_tradnl"/>
        </w:rPr>
        <w:t>La Rama Ejecutiva del Poder Público en el orden nacional, está integrada por los siguientes organismos y entidades:</w:t>
      </w:r>
    </w:p>
    <w:p w:rsidRPr="00D118D9" w:rsidR="00EC5C23" w:rsidP="00785E1C" w:rsidRDefault="00EC5C23" w14:paraId="7A2A6745" w14:textId="77777777">
      <w:pPr>
        <w:spacing w:after="0" w:line="240" w:lineRule="auto"/>
        <w:ind w:firstLine="708"/>
        <w:contextualSpacing/>
        <w:jc w:val="both"/>
        <w:rPr>
          <w:rFonts w:ascii="Century Gothic" w:hAnsi="Century Gothic" w:eastAsia="Times New Roman" w:cs="Open Sans"/>
          <w:color w:val="000000" w:themeColor="text1"/>
          <w:sz w:val="14"/>
          <w:szCs w:val="14"/>
          <w:lang w:eastAsia="es-ES_tradnl"/>
        </w:rPr>
      </w:pPr>
      <w:r w:rsidRPr="00D118D9">
        <w:rPr>
          <w:rFonts w:ascii="Century Gothic" w:hAnsi="Century Gothic" w:eastAsia="Times New Roman" w:cs="Open Sans"/>
          <w:color w:val="000000" w:themeColor="text1"/>
          <w:sz w:val="14"/>
          <w:szCs w:val="14"/>
          <w:lang w:eastAsia="es-ES_tradnl"/>
        </w:rPr>
        <w:t>1. Del Sector Central:</w:t>
      </w:r>
    </w:p>
    <w:p w:rsidRPr="00D118D9" w:rsidR="004247DE" w:rsidP="00EC5C23" w:rsidRDefault="004247DE" w14:paraId="0D73BFD2" w14:textId="5FD6CF59">
      <w:pPr>
        <w:spacing w:after="0" w:line="240" w:lineRule="auto"/>
        <w:contextualSpacing/>
        <w:jc w:val="both"/>
        <w:rPr>
          <w:rFonts w:ascii="Century Gothic" w:hAnsi="Century Gothic" w:eastAsia="Times New Roman" w:cs="Open Sans"/>
          <w:color w:val="000000" w:themeColor="text1"/>
          <w:sz w:val="14"/>
          <w:szCs w:val="14"/>
          <w:lang w:eastAsia="es-ES_tradnl"/>
        </w:rPr>
      </w:pPr>
      <w:r w:rsidRPr="00D118D9">
        <w:rPr>
          <w:rFonts w:ascii="Century Gothic" w:hAnsi="Century Gothic" w:eastAsia="Times New Roman" w:cs="Open Sans"/>
          <w:color w:val="000000" w:themeColor="text1"/>
          <w:sz w:val="14"/>
          <w:szCs w:val="14"/>
          <w:lang w:eastAsia="es-ES_tradnl"/>
        </w:rPr>
        <w:t>[…]</w:t>
      </w:r>
    </w:p>
    <w:p w:rsidRPr="00D118D9" w:rsidR="00EC5C23" w:rsidP="00EC5C23" w:rsidRDefault="00EC5C23" w14:paraId="47C8BC20" w14:textId="77777777">
      <w:pPr>
        <w:spacing w:after="0" w:line="240" w:lineRule="auto"/>
        <w:contextualSpacing/>
        <w:jc w:val="both"/>
        <w:rPr>
          <w:rFonts w:ascii="Century Gothic" w:hAnsi="Century Gothic" w:eastAsia="Times New Roman" w:cs="Open Sans"/>
          <w:color w:val="000000" w:themeColor="text1"/>
          <w:sz w:val="14"/>
          <w:szCs w:val="14"/>
          <w:lang w:eastAsia="es-ES_tradnl"/>
        </w:rPr>
      </w:pPr>
      <w:r w:rsidRPr="00D118D9">
        <w:rPr>
          <w:rFonts w:ascii="Century Gothic" w:hAnsi="Century Gothic" w:eastAsia="Times New Roman" w:cs="Open Sans"/>
          <w:color w:val="000000" w:themeColor="text1"/>
          <w:sz w:val="14"/>
          <w:szCs w:val="14"/>
          <w:lang w:eastAsia="es-ES_tradnl"/>
        </w:rPr>
        <w:t>f) Las sociedades públicas y las sociedades de economía mixta;</w:t>
      </w:r>
    </w:p>
    <w:p w:rsidRPr="00D118D9" w:rsidR="004247DE" w:rsidP="00EC5C23" w:rsidRDefault="004247DE" w14:paraId="74C6EF34" w14:textId="4C01E7DE">
      <w:pPr>
        <w:spacing w:after="0" w:line="240" w:lineRule="auto"/>
        <w:contextualSpacing/>
        <w:jc w:val="both"/>
        <w:rPr>
          <w:rFonts w:ascii="Century Gothic" w:hAnsi="Century Gothic" w:eastAsia="Times New Roman" w:cs="Open Sans"/>
          <w:color w:val="000000" w:themeColor="text1"/>
          <w:sz w:val="14"/>
          <w:szCs w:val="14"/>
          <w:lang w:eastAsia="es-ES_tradnl"/>
        </w:rPr>
      </w:pPr>
      <w:r w:rsidRPr="00D118D9">
        <w:rPr>
          <w:rFonts w:ascii="Century Gothic" w:hAnsi="Century Gothic" w:eastAsia="Times New Roman" w:cs="Open Sans"/>
          <w:color w:val="000000" w:themeColor="text1"/>
          <w:sz w:val="14"/>
          <w:szCs w:val="14"/>
          <w:lang w:eastAsia="es-ES_tradnl"/>
        </w:rPr>
        <w:t>[…]”</w:t>
      </w:r>
    </w:p>
  </w:footnote>
  <w:footnote w:id="5">
    <w:p w:rsidRPr="00D118D9" w:rsidR="00EC5C23" w:rsidP="00EC5C23" w:rsidRDefault="00EC5C23" w14:paraId="7AE5ED6A" w14:textId="77777777">
      <w:pPr>
        <w:pStyle w:val="Textonotapie"/>
        <w:ind w:firstLine="708"/>
        <w:contextualSpacing/>
        <w:jc w:val="both"/>
        <w:rPr>
          <w:rFonts w:ascii="Century Gothic" w:hAnsi="Century Gothic"/>
          <w:sz w:val="14"/>
          <w:szCs w:val="14"/>
          <w:lang w:val="es-ES"/>
        </w:rPr>
      </w:pPr>
      <w:r w:rsidRPr="00D118D9">
        <w:rPr>
          <w:rStyle w:val="Refdenotaalpie"/>
          <w:rFonts w:ascii="Century Gothic" w:hAnsi="Century Gothic"/>
          <w:sz w:val="14"/>
          <w:szCs w:val="14"/>
        </w:rPr>
        <w:footnoteRef/>
      </w:r>
      <w:r w:rsidRPr="00D118D9">
        <w:rPr>
          <w:rFonts w:ascii="Century Gothic" w:hAnsi="Century Gothic"/>
          <w:sz w:val="14"/>
          <w:szCs w:val="14"/>
        </w:rPr>
        <w:t xml:space="preserve"> </w:t>
      </w:r>
      <w:r w:rsidRPr="00D118D9">
        <w:rPr>
          <w:rFonts w:ascii="Century Gothic" w:hAnsi="Century Gothic" w:eastAsia="Times New Roman" w:cs="Times New Roman"/>
          <w:sz w:val="14"/>
          <w:szCs w:val="14"/>
          <w:lang w:eastAsia="es-ES_tradnl"/>
        </w:rPr>
        <w:t>CORTE CONSTITUCIONAL C-691/07, Magistrada Ponente: Dra. CLARA INÉS VARGAS HERNÁNDEZ.</w:t>
      </w:r>
    </w:p>
  </w:footnote>
  <w:footnote w:id="6">
    <w:p w:rsidRPr="00D118D9" w:rsidR="00EC5C23" w:rsidP="00EC5C23" w:rsidRDefault="00EC5C23" w14:paraId="61D1FAE2" w14:textId="77777777">
      <w:pPr>
        <w:spacing w:after="0" w:line="240" w:lineRule="auto"/>
        <w:ind w:firstLine="708"/>
        <w:contextualSpacing/>
        <w:jc w:val="both"/>
        <w:rPr>
          <w:rFonts w:ascii="Century Gothic" w:hAnsi="Century Gothic" w:eastAsia="Times New Roman" w:cs="Times New Roman"/>
          <w:sz w:val="14"/>
          <w:szCs w:val="14"/>
          <w:lang w:eastAsia="es-ES_tradnl"/>
        </w:rPr>
      </w:pPr>
      <w:r w:rsidRPr="00D118D9">
        <w:rPr>
          <w:rStyle w:val="Refdenotaalpie"/>
          <w:rFonts w:ascii="Century Gothic" w:hAnsi="Century Gothic"/>
          <w:sz w:val="14"/>
          <w:szCs w:val="14"/>
        </w:rPr>
        <w:footnoteRef/>
      </w:r>
      <w:r w:rsidRPr="00D118D9">
        <w:rPr>
          <w:rFonts w:ascii="Century Gothic" w:hAnsi="Century Gothic"/>
          <w:sz w:val="14"/>
          <w:szCs w:val="14"/>
        </w:rPr>
        <w:t xml:space="preserve"> </w:t>
      </w:r>
      <w:r w:rsidRPr="00D118D9">
        <w:rPr>
          <w:rFonts w:ascii="Century Gothic" w:hAnsi="Century Gothic" w:eastAsia="Times New Roman" w:cs="Times New Roman"/>
          <w:sz w:val="14"/>
          <w:szCs w:val="14"/>
          <w:lang w:eastAsia="es-ES_tradnl"/>
        </w:rPr>
        <w:t xml:space="preserve">“Artículo 93. Del régimen contractual de las Empresas Industriales y Comerciales del Estado, las Sociedades de Economía Mixta, sus filiales y empresas con participación mayoritaria del Estado. Modifíquese el artículo 14 de la Ley 1150 de 2007, el cual quedará así: </w:t>
      </w:r>
    </w:p>
    <w:p w:rsidRPr="00D118D9" w:rsidR="00EC5C23" w:rsidP="00EC5C23" w:rsidRDefault="00EC5C23" w14:paraId="4F92A836" w14:textId="77777777">
      <w:pPr>
        <w:pStyle w:val="Textonotapie"/>
        <w:contextualSpacing/>
        <w:jc w:val="both"/>
        <w:rPr>
          <w:rFonts w:ascii="Century Gothic" w:hAnsi="Century Gothic"/>
          <w:sz w:val="14"/>
          <w:szCs w:val="14"/>
          <w:lang w:val="es-ES"/>
        </w:rPr>
      </w:pPr>
      <w:r w:rsidRPr="00D118D9">
        <w:rPr>
          <w:rFonts w:ascii="Century Gothic" w:hAnsi="Century Gothic" w:eastAsia="Times New Roman" w:cs="Times New Roman"/>
          <w:sz w:val="14"/>
          <w:szCs w:val="14"/>
          <w:lang w:eastAsia="es-ES_tradnl"/>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p>
  </w:footnote>
  <w:footnote w:id="7">
    <w:p w:rsidRPr="00D118D9" w:rsidR="00EC5C23" w:rsidP="00EC5C23" w:rsidRDefault="00EC5C23" w14:paraId="484BFFFA"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8">
    <w:p w:rsidRPr="00D118D9" w:rsidR="00EC5C23" w:rsidP="00EC5C23" w:rsidRDefault="00EC5C23" w14:paraId="26A7E3ED"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w:t>
      </w:r>
      <w:r w:rsidRPr="00D118D9">
        <w:rPr>
          <w:rFonts w:ascii="Century Gothic" w:hAnsi="Century Gothic" w:cs="Arial"/>
          <w:color w:val="000000" w:themeColor="text1"/>
          <w:sz w:val="14"/>
          <w:szCs w:val="14"/>
          <w:lang w:val="es-CO"/>
        </w:rPr>
        <w:t xml:space="preserve">Ley 1882 de 2018: “Artículo 4. </w:t>
      </w:r>
      <w:r w:rsidRPr="00D118D9">
        <w:rPr>
          <w:rFonts w:ascii="Century Gothic" w:hAnsi="Century Gothic" w:cs="Arial"/>
          <w:color w:val="000000" w:themeColor="text1"/>
          <w:sz w:val="14"/>
          <w:szCs w:val="14"/>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D118D9" w:rsidR="00EC5C23" w:rsidP="00EC5C23" w:rsidRDefault="00EC5C23" w14:paraId="11DFC73A" w14:textId="77777777">
      <w:pPr>
        <w:pStyle w:val="Textonotapie"/>
        <w:ind w:firstLine="709"/>
        <w:contextualSpacing/>
        <w:jc w:val="both"/>
        <w:rPr>
          <w:rFonts w:ascii="Century Gothic" w:hAnsi="Century Gothic" w:cs="Arial"/>
          <w:color w:val="000000" w:themeColor="text1"/>
          <w:sz w:val="14"/>
          <w:szCs w:val="14"/>
          <w:lang w:val="es-CO"/>
        </w:rPr>
      </w:pPr>
      <w:r w:rsidRPr="00D118D9">
        <w:rPr>
          <w:rFonts w:ascii="Century Gothic" w:hAnsi="Century Gothic" w:cs="Arial"/>
          <w:color w:val="000000" w:themeColor="text1"/>
          <w:sz w:val="14"/>
          <w:szCs w:val="14"/>
          <w:lang w:val="es-CO"/>
        </w:rPr>
        <w:t>La facultad de adoptar documentos tipo la tendrá el Gobierno nacional, cuando lo considere necesario, en relación con otros contratos o procesos de selección.</w:t>
      </w:r>
    </w:p>
    <w:p w:rsidRPr="00D118D9" w:rsidR="00EC5C23" w:rsidP="00EC5C23" w:rsidRDefault="00EC5C23" w14:paraId="50EAC486" w14:textId="77777777">
      <w:pPr>
        <w:pStyle w:val="Textonotapie"/>
        <w:ind w:firstLine="709"/>
        <w:contextualSpacing/>
        <w:jc w:val="both"/>
        <w:rPr>
          <w:rFonts w:ascii="Century Gothic" w:hAnsi="Century Gothic" w:cs="Arial"/>
          <w:color w:val="000000" w:themeColor="text1"/>
          <w:sz w:val="14"/>
          <w:szCs w:val="14"/>
          <w:lang w:val="es-CO"/>
        </w:rPr>
      </w:pPr>
      <w:r w:rsidRPr="00D118D9">
        <w:rPr>
          <w:rFonts w:ascii="Century Gothic" w:hAnsi="Century Gothic" w:cs="Arial"/>
          <w:color w:val="000000" w:themeColor="text1"/>
          <w:sz w:val="14"/>
          <w:szCs w:val="14"/>
          <w:lang w:val="es-CO"/>
        </w:rPr>
        <w:t>Los pliegos tipo se adoptarán por categorías de acuerdo con la cuantía de la contratación, según la reglamentación que expida el Gobierno nacional”.</w:t>
      </w:r>
    </w:p>
  </w:footnote>
  <w:footnote w:id="9">
    <w:p w:rsidRPr="00D118D9" w:rsidR="00EC5C23" w:rsidP="00EC5C23" w:rsidRDefault="00EC5C23" w14:paraId="59823B52"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CORTE CONSTITUCIONAL, sentencia C-119 de 2020. M.P. Alejandro Linares Cantillo. En dicha oportunidad se indicó que: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10">
    <w:p w:rsidRPr="00D118D9" w:rsidR="00EC5C23" w:rsidP="00EC5C23" w:rsidRDefault="00EC5C23" w14:paraId="742A8F2E" w14:textId="77777777">
      <w:pPr>
        <w:pStyle w:val="NormalWeb"/>
        <w:spacing w:before="0" w:beforeAutospacing="0" w:after="0" w:afterAutospacing="0"/>
        <w:ind w:firstLine="708"/>
        <w:contextualSpacing/>
        <w:jc w:val="both"/>
        <w:rPr>
          <w:rFonts w:ascii="Century Gothic" w:hAnsi="Century Gothic" w:cs="Arial"/>
          <w:color w:val="000000" w:themeColor="text1"/>
          <w:sz w:val="14"/>
          <w:szCs w:val="14"/>
        </w:rPr>
      </w:pPr>
      <w:r w:rsidRPr="00D118D9">
        <w:rPr>
          <w:rStyle w:val="Refdenotaalpie"/>
          <w:rFonts w:ascii="Century Gothic" w:hAnsi="Century Gothic" w:cs="Arial" w:eastAsiaTheme="majorEastAsia"/>
          <w:color w:val="000000" w:themeColor="text1"/>
          <w:sz w:val="14"/>
          <w:szCs w:val="14"/>
        </w:rPr>
        <w:footnoteRef/>
      </w:r>
      <w:r w:rsidRPr="00D118D9">
        <w:rPr>
          <w:rFonts w:ascii="Century Gothic" w:hAnsi="Century Gothic" w:cs="Arial"/>
          <w:color w:val="000000" w:themeColor="text1"/>
          <w:sz w:val="14"/>
          <w:szCs w:val="14"/>
        </w:rPr>
        <w:t xml:space="preserve"> Ley 2022 de 2020: “</w:t>
      </w:r>
      <w:r w:rsidRPr="00D118D9">
        <w:rPr>
          <w:rStyle w:val="Textoennegrita"/>
          <w:rFonts w:ascii="Century Gothic" w:hAnsi="Century Gothic" w:cs="Arial"/>
          <w:color w:val="000000" w:themeColor="text1"/>
          <w:sz w:val="14"/>
          <w:szCs w:val="14"/>
        </w:rPr>
        <w:t>Artículo 1º.</w:t>
      </w:r>
      <w:r w:rsidRPr="00D118D9">
        <w:rPr>
          <w:rFonts w:ascii="Century Gothic" w:hAnsi="Century Gothic" w:cs="Arial"/>
          <w:color w:val="000000" w:themeColor="text1"/>
          <w:sz w:val="14"/>
          <w:szCs w:val="14"/>
        </w:rPr>
        <w:t> Modifíquese el artículo 4º de la Ley 1882 de 2018, el cual quedará así:</w:t>
      </w:r>
    </w:p>
    <w:p w:rsidRPr="00D118D9" w:rsidR="00EC5C23" w:rsidP="00EC5C23" w:rsidRDefault="00EC5C23" w14:paraId="1FC3C21D" w14:textId="77777777">
      <w:pPr>
        <w:pStyle w:val="NormalWeb"/>
        <w:spacing w:before="0" w:beforeAutospacing="0" w:after="0" w:afterAutospacing="0"/>
        <w:ind w:firstLine="708"/>
        <w:contextualSpacing/>
        <w:jc w:val="both"/>
        <w:rPr>
          <w:rFonts w:ascii="Century Gothic" w:hAnsi="Century Gothic" w:cs="Arial"/>
          <w:color w:val="000000" w:themeColor="text1"/>
          <w:sz w:val="14"/>
          <w:szCs w:val="14"/>
        </w:rPr>
      </w:pPr>
      <w:r w:rsidRPr="00D118D9">
        <w:rPr>
          <w:rStyle w:val="Textoennegrita"/>
          <w:rFonts w:ascii="Century Gothic" w:hAnsi="Century Gothic" w:cs="Arial"/>
          <w:color w:val="000000" w:themeColor="text1"/>
          <w:sz w:val="14"/>
          <w:szCs w:val="14"/>
        </w:rPr>
        <w:t>“Artículo 4º.</w:t>
      </w:r>
      <w:r w:rsidRPr="00D118D9">
        <w:rPr>
          <w:rFonts w:ascii="Century Gothic" w:hAnsi="Century Gothic" w:cs="Arial"/>
          <w:color w:val="000000" w:themeColor="text1"/>
          <w:sz w:val="14"/>
          <w:szCs w:val="14"/>
        </w:rPr>
        <w:t> Adiciónese el siguiente parágrafo al artículo 2º de la Ley 1150 de 2007.</w:t>
      </w:r>
    </w:p>
    <w:p w:rsidRPr="00D118D9" w:rsidR="00EC5C23" w:rsidP="00EC5C23" w:rsidRDefault="00EC5C23" w14:paraId="33FA8351" w14:textId="77777777">
      <w:pPr>
        <w:pStyle w:val="NormalWeb"/>
        <w:spacing w:before="0" w:beforeAutospacing="0" w:after="0" w:afterAutospacing="0"/>
        <w:ind w:firstLine="708"/>
        <w:contextualSpacing/>
        <w:jc w:val="both"/>
        <w:rPr>
          <w:rFonts w:ascii="Century Gothic" w:hAnsi="Century Gothic" w:cs="Arial"/>
          <w:color w:val="000000" w:themeColor="text1"/>
          <w:sz w:val="14"/>
          <w:szCs w:val="14"/>
        </w:rPr>
      </w:pPr>
      <w:r w:rsidRPr="00D118D9">
        <w:rPr>
          <w:rStyle w:val="Textoennegrita"/>
          <w:rFonts w:ascii="Century Gothic" w:hAnsi="Century Gothic" w:cs="Arial"/>
          <w:color w:val="000000" w:themeColor="text1"/>
          <w:sz w:val="14"/>
          <w:szCs w:val="14"/>
        </w:rPr>
        <w:t>Parágrafo 7º.</w:t>
      </w:r>
      <w:r w:rsidRPr="00D118D9">
        <w:rPr>
          <w:rFonts w:ascii="Century Gothic" w:hAnsi="Century Gothic" w:cs="Arial"/>
          <w:color w:val="000000" w:themeColor="text1"/>
          <w:sz w:val="14"/>
          <w:szCs w:val="14"/>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D118D9" w:rsidR="00EC5C23" w:rsidP="00EC5C23" w:rsidRDefault="00EC5C23" w14:paraId="2C8C776B" w14:textId="77777777">
      <w:pPr>
        <w:pStyle w:val="NormalWeb"/>
        <w:spacing w:before="0" w:beforeAutospacing="0" w:after="0" w:afterAutospacing="0"/>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D118D9" w:rsidR="00EC5C23" w:rsidP="00EC5C23" w:rsidRDefault="00EC5C23" w14:paraId="23CE182B" w14:textId="77777777">
      <w:pPr>
        <w:pStyle w:val="NormalWeb"/>
        <w:spacing w:before="0" w:beforeAutospacing="0" w:after="0" w:afterAutospacing="0"/>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D118D9" w:rsidR="00EC5C23" w:rsidP="00EC5C23" w:rsidRDefault="00EC5C23" w14:paraId="3481EA5C" w14:textId="77777777">
      <w:pPr>
        <w:pStyle w:val="NormalWeb"/>
        <w:spacing w:before="0" w:beforeAutospacing="0" w:after="0" w:afterAutospacing="0"/>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D118D9" w:rsidR="00EC5C23" w:rsidP="00EC5C23" w:rsidRDefault="00EC5C23" w14:paraId="7708A2DC" w14:textId="77777777">
      <w:pPr>
        <w:pStyle w:val="NormalWeb"/>
        <w:spacing w:before="0" w:beforeAutospacing="0" w:after="0" w:afterAutospacing="0"/>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1">
    <w:p w:rsidRPr="00D118D9" w:rsidR="00EC5C23" w:rsidP="00EC5C23" w:rsidRDefault="00EC5C23" w14:paraId="215CD127" w14:textId="77777777">
      <w:pPr>
        <w:pStyle w:val="Textonotapie"/>
        <w:ind w:firstLine="708"/>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Los Documentos Tipo expedidos por la Agencia Nacional de Contratación Pública – Colombia Compra Eficiente pueden ser consultados en el siguiente enlace: </w:t>
      </w:r>
      <w:hyperlink w:history="1" r:id="rId2">
        <w:r w:rsidRPr="00D118D9">
          <w:rPr>
            <w:rStyle w:val="Hipervnculo"/>
            <w:rFonts w:ascii="Century Gothic" w:hAnsi="Century Gothic" w:cs="Arial"/>
            <w:color w:val="000000" w:themeColor="text1"/>
            <w:sz w:val="14"/>
            <w:szCs w:val="14"/>
          </w:rPr>
          <w:t>https://www.colombiacompra.gov.co/documentos-tipo/documentos-tipo</w:t>
        </w:r>
      </w:hyperlink>
      <w:r w:rsidRPr="00D118D9">
        <w:rPr>
          <w:rFonts w:ascii="Century Gothic" w:hAnsi="Century Gothic" w:cs="Arial"/>
          <w:color w:val="000000" w:themeColor="text1"/>
          <w:sz w:val="14"/>
          <w:szCs w:val="14"/>
        </w:rPr>
        <w:t xml:space="preserve"> </w:t>
      </w:r>
    </w:p>
  </w:footnote>
  <w:footnote w:id="12">
    <w:p w:rsidRPr="00D118D9" w:rsidR="00EC5C23" w:rsidP="00EC5C23" w:rsidRDefault="00EC5C23" w14:paraId="3C119A73" w14:textId="77777777">
      <w:pPr>
        <w:pStyle w:val="Textonotapie"/>
        <w:ind w:firstLine="708"/>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13">
    <w:p w:rsidRPr="00D118D9" w:rsidR="00EC5C23" w:rsidP="00EC5C23" w:rsidRDefault="00EC5C23" w14:paraId="11BAE689" w14:textId="77777777">
      <w:pPr>
        <w:pStyle w:val="Textonotapie"/>
        <w:ind w:firstLine="708"/>
        <w:contextualSpacing/>
        <w:jc w:val="both"/>
        <w:rPr>
          <w:rFonts w:ascii="Century Gothic" w:hAnsi="Century Gothic" w:cs="Arial"/>
          <w:color w:val="000000" w:themeColor="text1"/>
          <w:sz w:val="14"/>
          <w:szCs w:val="14"/>
          <w:lang w:val="es-CO"/>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CONGRESO DE LA REPÚBLICA., Gacetas</w:t>
      </w:r>
      <w:r w:rsidRPr="00D118D9">
        <w:rPr>
          <w:rFonts w:ascii="Century Gothic" w:hAnsi="Century Gothic" w:cs="Arial"/>
          <w:color w:val="000000" w:themeColor="text1"/>
          <w:sz w:val="14"/>
          <w:szCs w:val="14"/>
          <w:lang w:val="es-CO"/>
        </w:rPr>
        <w:t xml:space="preserve"> legislativas No. 1860 y 1861 de 2021, de Cámara de Representantes y Senado, respectivamente.</w:t>
      </w:r>
    </w:p>
  </w:footnote>
  <w:footnote w:id="14">
    <w:p w:rsidRPr="00D118D9" w:rsidR="00EC5C23" w:rsidP="00EC5C23" w:rsidRDefault="00EC5C23" w14:paraId="4A2AE1F9" w14:textId="77777777">
      <w:pPr>
        <w:pStyle w:val="Textonotapie"/>
        <w:ind w:firstLine="708"/>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w:t>
      </w:r>
      <w:bookmarkStart w:name="2" w:id="17"/>
      <w:r w:rsidRPr="00D118D9">
        <w:rPr>
          <w:rFonts w:ascii="Century Gothic" w:hAnsi="Century Gothic" w:cs="Arial"/>
          <w:color w:val="000000" w:themeColor="text1"/>
          <w:sz w:val="14"/>
          <w:szCs w:val="14"/>
        </w:rPr>
        <w:t>“Artículo 2o. De las modalidades de selección.</w:t>
      </w:r>
      <w:bookmarkEnd w:id="17"/>
      <w:r w:rsidRPr="00D118D9">
        <w:rPr>
          <w:rFonts w:ascii="Century Gothic" w:hAnsi="Century Gothic" w:cs="Arial"/>
          <w:color w:val="000000" w:themeColor="text1"/>
          <w:sz w:val="14"/>
          <w:szCs w:val="14"/>
        </w:rPr>
        <w:t> La escogencia del contratista se efectuará con arreglo a las modalidades de selección de licitación pública, selección abreviada, concurso de méritos y contratación directa, con base en las siguientes reglas:</w:t>
      </w:r>
    </w:p>
    <w:p w:rsidRPr="00D118D9" w:rsidR="00EC5C23" w:rsidP="00EC5C23" w:rsidRDefault="00EC5C23" w14:paraId="6A2BDCE1" w14:textId="77777777">
      <w:pPr>
        <w:pStyle w:val="Textonotapie"/>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w:t>
      </w:r>
    </w:p>
    <w:p w:rsidRPr="00D118D9" w:rsidR="00EC5C23" w:rsidP="00EC5C23" w:rsidRDefault="00EC5C23" w14:paraId="2FC59242" w14:textId="77777777">
      <w:pPr>
        <w:pStyle w:val="Textonotapie"/>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“4. </w:t>
      </w:r>
      <w:r w:rsidRPr="00D118D9">
        <w:rPr>
          <w:rStyle w:val="baj"/>
          <w:rFonts w:ascii="Century Gothic" w:hAnsi="Century Gothic" w:cs="Arial"/>
          <w:color w:val="000000" w:themeColor="text1"/>
          <w:sz w:val="14"/>
          <w:szCs w:val="14"/>
        </w:rPr>
        <w:t>Contratación directa. </w:t>
      </w:r>
      <w:r w:rsidRPr="00D118D9">
        <w:rPr>
          <w:rFonts w:ascii="Century Gothic" w:hAnsi="Century Gothic" w:cs="Arial"/>
          <w:color w:val="000000" w:themeColor="text1"/>
          <w:sz w:val="14"/>
          <w:szCs w:val="14"/>
        </w:rPr>
        <w:t>La modalidad de selección de contratación directa solamente procederá en los siguientes casos:</w:t>
      </w:r>
    </w:p>
    <w:p w:rsidRPr="00D118D9" w:rsidR="00EC5C23" w:rsidP="00EC5C23" w:rsidRDefault="00EC5C23" w14:paraId="4988C4BE" w14:textId="77777777">
      <w:pPr>
        <w:pStyle w:val="Textonotapie"/>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w:t>
      </w:r>
    </w:p>
    <w:p w:rsidRPr="00D118D9" w:rsidR="00EC5C23" w:rsidP="00EC5C23" w:rsidRDefault="00EC5C23" w14:paraId="1EF093E7" w14:textId="77777777">
      <w:pPr>
        <w:pStyle w:val="Textonotapie"/>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“C. […]</w:t>
      </w:r>
    </w:p>
    <w:p w:rsidRPr="00D118D9" w:rsidR="00EC5C23" w:rsidP="00EC5C23" w:rsidRDefault="00EC5C23" w14:paraId="0E66C775" w14:textId="77777777">
      <w:pPr>
        <w:pStyle w:val="Textonotapie"/>
        <w:ind w:firstLine="708"/>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“Inciso 2o. modificado por el artículo 95 de la Ley 1474 de 2011</w:t>
      </w:r>
      <w:proofErr w:type="gramStart"/>
      <w:r w:rsidRPr="00D118D9">
        <w:rPr>
          <w:rFonts w:ascii="Century Gothic" w:hAnsi="Century Gothic" w:cs="Arial"/>
          <w:color w:val="000000" w:themeColor="text1"/>
          <w:sz w:val="14"/>
          <w:szCs w:val="14"/>
        </w:rPr>
        <w:t>–</w:t>
      </w:r>
      <w:r w:rsidRPr="00D118D9" w:rsidDel="002C5C6D">
        <w:rPr>
          <w:rFonts w:ascii="Century Gothic" w:hAnsi="Century Gothic" w:cs="Arial"/>
          <w:color w:val="000000" w:themeColor="text1"/>
          <w:sz w:val="14"/>
          <w:szCs w:val="14"/>
        </w:rPr>
        <w:t xml:space="preserve"> </w:t>
      </w:r>
      <w:r w:rsidRPr="00D118D9">
        <w:rPr>
          <w:rFonts w:ascii="Century Gothic" w:hAnsi="Century Gothic" w:cs="Arial"/>
          <w:color w:val="000000" w:themeColor="text1"/>
          <w:sz w:val="14"/>
          <w:szCs w:val="14"/>
        </w:rPr>
        <w:t xml:space="preserve"> En</w:t>
      </w:r>
      <w:proofErr w:type="gramEnd"/>
      <w:r w:rsidRPr="00D118D9">
        <w:rPr>
          <w:rFonts w:ascii="Century Gothic" w:hAnsi="Century Gothic" w:cs="Arial"/>
          <w:color w:val="000000" w:themeColor="text1"/>
          <w:sz w:val="14"/>
          <w:szCs w:val="14"/>
        </w:rPr>
        <w:t xml:space="preserve">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15">
    <w:p w:rsidRPr="00D118D9" w:rsidR="00EC5C23" w:rsidP="00EC5C23" w:rsidRDefault="00EC5C23" w14:paraId="17FE925F" w14:textId="77777777">
      <w:pPr>
        <w:pStyle w:val="Textonotapie"/>
        <w:ind w:firstLine="709"/>
        <w:contextualSpacing/>
        <w:jc w:val="both"/>
        <w:rPr>
          <w:rFonts w:ascii="Century Gothic" w:hAnsi="Century Gothic" w:cs="Arial"/>
          <w:color w:val="000000" w:themeColor="text1"/>
          <w:sz w:val="14"/>
          <w:szCs w:val="14"/>
          <w:lang w:val="es-ES"/>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w:t>
      </w:r>
      <w:r w:rsidRPr="00D118D9">
        <w:rPr>
          <w:rFonts w:ascii="Century Gothic" w:hAnsi="Century Gothic" w:cs="Arial"/>
          <w:color w:val="000000" w:themeColor="text1"/>
          <w:sz w:val="14"/>
          <w:szCs w:val="14"/>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w:t>
      </w:r>
      <w:proofErr w:type="gramStart"/>
      <w:r w:rsidRPr="00D118D9">
        <w:rPr>
          <w:rFonts w:ascii="Century Gothic" w:hAnsi="Century Gothic" w:cs="Arial"/>
          <w:color w:val="000000" w:themeColor="text1"/>
          <w:sz w:val="14"/>
          <w:szCs w:val="14"/>
          <w:lang w:val="es-ES"/>
        </w:rPr>
        <w:t>los mismos</w:t>
      </w:r>
      <w:proofErr w:type="gramEnd"/>
      <w:r w:rsidRPr="00D118D9">
        <w:rPr>
          <w:rFonts w:ascii="Century Gothic" w:hAnsi="Century Gothic" w:cs="Arial"/>
          <w:color w:val="000000" w:themeColor="text1"/>
          <w:sz w:val="14"/>
          <w:szCs w:val="14"/>
          <w:lang w:val="es-ES"/>
        </w:rPr>
        <w:t xml:space="preserve">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D118D9">
        <w:rPr>
          <w:rFonts w:ascii="Century Gothic" w:hAnsi="Century Gothic" w:cs="Arial"/>
          <w:color w:val="000000" w:themeColor="text1"/>
          <w:sz w:val="14"/>
          <w:szCs w:val="14"/>
          <w:lang w:val="es-ES"/>
        </w:rPr>
        <w:t>Civitas</w:t>
      </w:r>
      <w:proofErr w:type="spellEnd"/>
      <w:r w:rsidRPr="00D118D9">
        <w:rPr>
          <w:rFonts w:ascii="Century Gothic" w:hAnsi="Century Gothic" w:cs="Arial"/>
          <w:color w:val="000000" w:themeColor="text1"/>
          <w:sz w:val="14"/>
          <w:szCs w:val="14"/>
          <w:lang w:val="es-ES"/>
        </w:rPr>
        <w:t>, 1983. pp. 33-34).</w:t>
      </w:r>
    </w:p>
  </w:footnote>
  <w:footnote w:id="16">
    <w:p w:rsidRPr="00D118D9" w:rsidR="00EC5C23" w:rsidP="00EC5C23" w:rsidRDefault="00EC5C23" w14:paraId="1C420933"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CORTE CONSTITUCIONAL, Sentencia C-382 de 2019, M.P. Alejandro Linares Cantillo.</w:t>
      </w:r>
    </w:p>
  </w:footnote>
  <w:footnote w:id="17">
    <w:p w:rsidRPr="00D118D9" w:rsidR="00EC5C23" w:rsidP="00EC5C23" w:rsidRDefault="00EC5C23" w14:paraId="2C67B655"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18">
    <w:p w:rsidRPr="00D118D9" w:rsidR="00EC5C23" w:rsidP="00EC5C23" w:rsidRDefault="00EC5C23" w14:paraId="21CA9553"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CONSEJO DE ESTADO. Sección Tercera. Subsección B. Sentencia del 12 de octubre de 2011. </w:t>
      </w:r>
      <w:proofErr w:type="spellStart"/>
      <w:r w:rsidRPr="00D118D9">
        <w:rPr>
          <w:rFonts w:ascii="Century Gothic" w:hAnsi="Century Gothic" w:cs="Arial"/>
          <w:color w:val="000000" w:themeColor="text1"/>
          <w:sz w:val="14"/>
          <w:szCs w:val="14"/>
        </w:rPr>
        <w:t>Exp</w:t>
      </w:r>
      <w:proofErr w:type="spellEnd"/>
      <w:r w:rsidRPr="00D118D9">
        <w:rPr>
          <w:rFonts w:ascii="Century Gothic" w:hAnsi="Century Gothic" w:cs="Arial"/>
          <w:color w:val="000000" w:themeColor="text1"/>
          <w:sz w:val="14"/>
          <w:szCs w:val="14"/>
        </w:rPr>
        <w:t>. No. 20070. C.P. Danilo Rojas Betancourt.</w:t>
      </w:r>
    </w:p>
  </w:footnote>
  <w:footnote w:id="19">
    <w:p w:rsidRPr="00D118D9" w:rsidR="00EC5C23" w:rsidP="00EC5C23" w:rsidRDefault="00EC5C23" w14:paraId="73CF5EB3" w14:textId="77777777">
      <w:pPr>
        <w:tabs>
          <w:tab w:val="left" w:pos="0"/>
        </w:tabs>
        <w:spacing w:after="0" w:line="240" w:lineRule="auto"/>
        <w:contextualSpacing/>
        <w:jc w:val="both"/>
        <w:rPr>
          <w:rFonts w:ascii="Century Gothic" w:hAnsi="Century Gothic" w:eastAsia="Calibri" w:cs="Arial"/>
          <w:color w:val="000000" w:themeColor="text1"/>
          <w:sz w:val="14"/>
          <w:szCs w:val="14"/>
          <w:lang w:val="es-ES_tradnl" w:eastAsia="es-ES_tradnl"/>
        </w:rPr>
      </w:pPr>
      <w:r w:rsidRPr="00D118D9">
        <w:rPr>
          <w:rFonts w:ascii="Century Gothic" w:hAnsi="Century Gothic" w:cs="Arial"/>
          <w:color w:val="000000" w:themeColor="text1"/>
          <w:sz w:val="14"/>
          <w:szCs w:val="14"/>
        </w:rPr>
        <w:tab/>
      </w: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CONSEJO DE ESTADO. Sección Tercera. Subsección A. Sentencia del 3 de marzo de 2021. </w:t>
      </w:r>
      <w:proofErr w:type="spellStart"/>
      <w:r w:rsidRPr="00D118D9">
        <w:rPr>
          <w:rFonts w:ascii="Century Gothic" w:hAnsi="Century Gothic" w:cs="Arial"/>
          <w:color w:val="000000" w:themeColor="text1"/>
          <w:sz w:val="14"/>
          <w:szCs w:val="14"/>
        </w:rPr>
        <w:t>Exp</w:t>
      </w:r>
      <w:proofErr w:type="spellEnd"/>
      <w:r w:rsidRPr="00D118D9">
        <w:rPr>
          <w:rFonts w:ascii="Century Gothic" w:hAnsi="Century Gothic" w:cs="Arial"/>
          <w:color w:val="000000" w:themeColor="text1"/>
          <w:sz w:val="14"/>
          <w:szCs w:val="14"/>
        </w:rPr>
        <w:t xml:space="preserve">. No. 51373. C.P. José Roberto Sáchica Méndez. </w:t>
      </w:r>
      <w:r w:rsidRPr="00D118D9">
        <w:rPr>
          <w:rFonts w:ascii="Century Gothic" w:hAnsi="Century Gothic" w:eastAsia="Calibri" w:cs="Arial"/>
          <w:color w:val="000000" w:themeColor="text1"/>
          <w:sz w:val="14"/>
          <w:szCs w:val="14"/>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20">
    <w:p w:rsidRPr="00D118D9" w:rsidR="00EC5C23" w:rsidP="00EC5C23" w:rsidRDefault="00EC5C23" w14:paraId="7570F927" w14:textId="77777777">
      <w:pPr>
        <w:pStyle w:val="Textonotapie"/>
        <w:ind w:firstLine="708"/>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21">
    <w:p w:rsidRPr="00D118D9" w:rsidR="00EC5C23" w:rsidP="00EC5C23" w:rsidRDefault="00EC5C23" w14:paraId="0A133E63"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rsidRPr="00D118D9" w:rsidR="00EC5C23" w:rsidP="00EC5C23" w:rsidRDefault="00EC5C23" w14:paraId="1F4D2120" w14:textId="77777777">
      <w:pPr>
        <w:pStyle w:val="Textonotapie"/>
        <w:ind w:firstLine="709"/>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w:t>
      </w:r>
      <w:proofErr w:type="spellStart"/>
      <w:r w:rsidRPr="00D118D9">
        <w:rPr>
          <w:rFonts w:ascii="Century Gothic" w:hAnsi="Century Gothic" w:cs="Arial"/>
          <w:color w:val="000000" w:themeColor="text1"/>
          <w:sz w:val="14"/>
          <w:szCs w:val="14"/>
        </w:rPr>
        <w:t>Exp</w:t>
      </w:r>
      <w:proofErr w:type="spellEnd"/>
      <w:r w:rsidRPr="00D118D9">
        <w:rPr>
          <w:rFonts w:ascii="Century Gothic" w:hAnsi="Century Gothic" w:cs="Arial"/>
          <w:color w:val="000000" w:themeColor="text1"/>
          <w:sz w:val="14"/>
          <w:szCs w:val="14"/>
        </w:rPr>
        <w:t>. No. 11575. C.P. Alier E. Hernández Enríquez).</w:t>
      </w:r>
    </w:p>
  </w:footnote>
  <w:footnote w:id="22">
    <w:p w:rsidRPr="00D118D9" w:rsidR="00EC5C23" w:rsidP="00EC5C23" w:rsidRDefault="00EC5C23" w14:paraId="6CFC9533"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w:t>
      </w:r>
      <w:proofErr w:type="spellStart"/>
      <w:r w:rsidRPr="00D118D9">
        <w:rPr>
          <w:rFonts w:ascii="Century Gothic" w:hAnsi="Century Gothic" w:cs="Arial"/>
          <w:color w:val="000000" w:themeColor="text1"/>
          <w:sz w:val="14"/>
          <w:szCs w:val="14"/>
        </w:rPr>
        <w:t>Nº</w:t>
      </w:r>
      <w:proofErr w:type="spellEnd"/>
      <w:r w:rsidRPr="00D118D9">
        <w:rPr>
          <w:rFonts w:ascii="Century Gothic" w:hAnsi="Century Gothic" w:cs="Arial"/>
          <w:color w:val="000000" w:themeColor="text1"/>
          <w:sz w:val="14"/>
          <w:szCs w:val="14"/>
        </w:rPr>
        <w:t xml:space="preserve"> 1677 del 23 de noviembre de 2021. Justificación jurídica del Proyecto de Ley No. 226 de 2021 Cámara. p. 15.</w:t>
      </w:r>
    </w:p>
    <w:p w:rsidRPr="00D118D9" w:rsidR="00EC5C23" w:rsidP="00EC5C23" w:rsidRDefault="00EC5C23" w14:paraId="30F4B7CB" w14:textId="77777777">
      <w:pPr>
        <w:pStyle w:val="Textonotapie"/>
        <w:ind w:firstLine="709"/>
        <w:contextualSpacing/>
        <w:jc w:val="both"/>
        <w:rPr>
          <w:rFonts w:ascii="Century Gothic" w:hAnsi="Century Gothic" w:cs="Arial"/>
          <w:color w:val="000000" w:themeColor="text1"/>
          <w:sz w:val="14"/>
          <w:szCs w:val="14"/>
        </w:rPr>
      </w:pPr>
    </w:p>
  </w:footnote>
  <w:footnote w:id="23">
    <w:p w:rsidRPr="00D118D9" w:rsidR="00EC5C23" w:rsidP="00EC5C23" w:rsidRDefault="00EC5C23" w14:paraId="373BC0BC"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Al respecto ha señalado la CORTE CONSTITUCIONAL: “En relación con el ámbito de configuración del legislador en materia contractual la jurisprudencia constitucional ha señalado los siguientes criterios:</w:t>
      </w:r>
    </w:p>
    <w:p w:rsidRPr="00D118D9" w:rsidR="00EC5C23" w:rsidP="00EC5C23" w:rsidRDefault="00EC5C23" w14:paraId="0A5DCBE9" w14:textId="77777777">
      <w:pPr>
        <w:pStyle w:val="Textonotapie"/>
        <w:ind w:firstLine="709"/>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rsidRPr="00D118D9" w:rsidR="00EC5C23" w:rsidP="00EC5C23" w:rsidRDefault="00EC5C23" w14:paraId="4B64546E" w14:textId="77777777">
      <w:pPr>
        <w:pStyle w:val="Textonotapie"/>
        <w:ind w:firstLine="709"/>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w:t>
      </w:r>
      <w:proofErr w:type="spellStart"/>
      <w:r w:rsidRPr="00D118D9">
        <w:rPr>
          <w:rFonts w:ascii="Century Gothic" w:hAnsi="Century Gothic" w:cs="Arial"/>
          <w:color w:val="000000" w:themeColor="text1"/>
          <w:sz w:val="14"/>
          <w:szCs w:val="14"/>
        </w:rPr>
        <w:t>ii</w:t>
      </w:r>
      <w:proofErr w:type="spellEnd"/>
      <w:r w:rsidRPr="00D118D9">
        <w:rPr>
          <w:rFonts w:ascii="Century Gothic" w:hAnsi="Century Gothic" w:cs="Arial"/>
          <w:color w:val="000000" w:themeColor="text1"/>
          <w:sz w:val="14"/>
          <w:szCs w:val="14"/>
        </w:rPr>
        <w:t>)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rsidRPr="00D118D9" w:rsidR="00EC5C23" w:rsidP="00EC5C23" w:rsidRDefault="00EC5C23" w14:paraId="6307CEEF" w14:textId="77777777">
      <w:pPr>
        <w:pStyle w:val="Textonotapie"/>
        <w:ind w:firstLine="709"/>
        <w:contextualSpacing/>
        <w:jc w:val="both"/>
        <w:rPr>
          <w:rFonts w:ascii="Century Gothic" w:hAnsi="Century Gothic" w:cs="Arial"/>
          <w:color w:val="000000" w:themeColor="text1"/>
          <w:sz w:val="14"/>
          <w:szCs w:val="14"/>
        </w:rPr>
      </w:pPr>
      <w:r w:rsidRPr="00D118D9">
        <w:rPr>
          <w:rFonts w:ascii="Century Gothic" w:hAnsi="Century Gothic" w:cs="Arial"/>
          <w:color w:val="000000" w:themeColor="text1"/>
          <w:sz w:val="14"/>
          <w:szCs w:val="14"/>
        </w:rPr>
        <w:t>(</w:t>
      </w:r>
      <w:proofErr w:type="spellStart"/>
      <w:r w:rsidRPr="00D118D9">
        <w:rPr>
          <w:rFonts w:ascii="Century Gothic" w:hAnsi="Century Gothic" w:cs="Arial"/>
          <w:color w:val="000000" w:themeColor="text1"/>
          <w:sz w:val="14"/>
          <w:szCs w:val="14"/>
        </w:rPr>
        <w:t>iii</w:t>
      </w:r>
      <w:proofErr w:type="spellEnd"/>
      <w:r w:rsidRPr="00D118D9">
        <w:rPr>
          <w:rFonts w:ascii="Century Gothic" w:hAnsi="Century Gothic" w:cs="Arial"/>
          <w:color w:val="000000" w:themeColor="text1"/>
          <w:sz w:val="14"/>
          <w:szCs w:val="14"/>
        </w:rPr>
        <w:t xml:space="preserve">)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 </w:t>
      </w:r>
    </w:p>
    <w:p w:rsidRPr="00D118D9" w:rsidR="00EC5C23" w:rsidP="00EC5C23" w:rsidRDefault="00EC5C23" w14:paraId="3D9A91E6" w14:textId="77777777">
      <w:pPr>
        <w:pStyle w:val="Textonotapie"/>
        <w:ind w:firstLine="709"/>
        <w:contextualSpacing/>
        <w:jc w:val="both"/>
        <w:rPr>
          <w:rFonts w:ascii="Century Gothic" w:hAnsi="Century Gothic" w:cs="Arial"/>
          <w:color w:val="000000" w:themeColor="text1"/>
          <w:sz w:val="14"/>
          <w:szCs w:val="14"/>
        </w:rPr>
      </w:pPr>
    </w:p>
  </w:footnote>
  <w:footnote w:id="24">
    <w:p w:rsidRPr="00D118D9" w:rsidR="00EC5C23" w:rsidP="00EC5C23" w:rsidRDefault="00EC5C23" w14:paraId="6DDBEDAF" w14:textId="77777777">
      <w:pPr>
        <w:pStyle w:val="Textonotapie"/>
        <w:ind w:firstLine="709"/>
        <w:contextualSpacing/>
        <w:jc w:val="both"/>
        <w:rPr>
          <w:rFonts w:ascii="Century Gothic" w:hAnsi="Century Gothic" w:cs="Arial"/>
          <w:color w:val="000000" w:themeColor="text1"/>
          <w:sz w:val="14"/>
          <w:szCs w:val="14"/>
        </w:rPr>
      </w:pPr>
      <w:r w:rsidRPr="00D118D9">
        <w:rPr>
          <w:rStyle w:val="Refdenotaalpie"/>
          <w:rFonts w:ascii="Century Gothic" w:hAnsi="Century Gothic" w:cs="Arial"/>
          <w:color w:val="000000" w:themeColor="text1"/>
          <w:sz w:val="14"/>
          <w:szCs w:val="14"/>
        </w:rPr>
        <w:footnoteRef/>
      </w:r>
      <w:r w:rsidRPr="00D118D9">
        <w:rPr>
          <w:rFonts w:ascii="Century Gothic" w:hAnsi="Century Gothic" w:cs="Arial"/>
          <w:color w:val="000000" w:themeColor="text1"/>
          <w:sz w:val="14"/>
          <w:szCs w:val="14"/>
        </w:rPr>
        <w:t xml:space="preserve"> CONSEJO DE ESTADO. Sección Tercera. Subsección A. Sentencia del 24 de junio de 2015. </w:t>
      </w:r>
      <w:proofErr w:type="spellStart"/>
      <w:r w:rsidRPr="00D118D9">
        <w:rPr>
          <w:rFonts w:ascii="Century Gothic" w:hAnsi="Century Gothic" w:cs="Arial"/>
          <w:color w:val="000000" w:themeColor="text1"/>
          <w:sz w:val="14"/>
          <w:szCs w:val="14"/>
        </w:rPr>
        <w:t>Exp</w:t>
      </w:r>
      <w:proofErr w:type="spellEnd"/>
      <w:r w:rsidRPr="00D118D9">
        <w:rPr>
          <w:rFonts w:ascii="Century Gothic" w:hAnsi="Century Gothic" w:cs="Arial"/>
          <w:color w:val="000000" w:themeColor="text1"/>
          <w:sz w:val="14"/>
          <w:szCs w:val="14"/>
        </w:rPr>
        <w:t>. 40.635. Consejero Ponente: Hernán Andrade Rincón (E).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BD15D4" w14:paraId="6ED12154" w14:textId="5D0C20C7">
    <w:pPr>
      <w:pStyle w:val="Encabezado"/>
    </w:pPr>
    <w:r>
      <w:rPr>
        <w:noProof/>
        <w:lang w:eastAsia="es-CO"/>
      </w:rPr>
      <w:drawing>
        <wp:anchor distT="0" distB="0" distL="114300" distR="114300" simplePos="0" relativeHeight="251658240" behindDoc="1" locked="0" layoutInCell="1" allowOverlap="1" wp14:anchorId="748FC4A6" wp14:editId="392CE3DE">
          <wp:simplePos x="0" y="0"/>
          <wp:positionH relativeFrom="margin">
            <wp:posOffset>3807460</wp:posOffset>
          </wp:positionH>
          <wp:positionV relativeFrom="margin">
            <wp:posOffset>-1010872</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008A446D" w:rsidP="005B5D8B" w:rsidRDefault="004A305D" w14:paraId="1FD1C243" w14:textId="4F629FA9">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p w:rsidRPr="00EC5C23" w:rsidR="005B5D8B" w:rsidP="005B5D8B" w:rsidRDefault="005B5D8B" w14:paraId="3DBCDD3E" w14:textId="227F9967">
    <w:pPr>
      <w:spacing w:after="0"/>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69925648">
    <w:abstractNumId w:val="3"/>
  </w:num>
  <w:num w:numId="2" w16cid:durableId="1643078770">
    <w:abstractNumId w:val="1"/>
  </w:num>
  <w:num w:numId="3" w16cid:durableId="1457798470">
    <w:abstractNumId w:val="2"/>
  </w:num>
  <w:num w:numId="4" w16cid:durableId="17592084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1892647">
    <w:abstractNumId w:val="1"/>
  </w:num>
  <w:num w:numId="6" w16cid:durableId="89689180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759B"/>
    <w:rsid w:val="000345B6"/>
    <w:rsid w:val="000467A6"/>
    <w:rsid w:val="00046CEB"/>
    <w:rsid w:val="000A683E"/>
    <w:rsid w:val="000B19B9"/>
    <w:rsid w:val="000B6012"/>
    <w:rsid w:val="000D0334"/>
    <w:rsid w:val="000E4714"/>
    <w:rsid w:val="000E6EB2"/>
    <w:rsid w:val="000E6FDE"/>
    <w:rsid w:val="000F6486"/>
    <w:rsid w:val="00117182"/>
    <w:rsid w:val="00125105"/>
    <w:rsid w:val="00127233"/>
    <w:rsid w:val="001334F2"/>
    <w:rsid w:val="001448B5"/>
    <w:rsid w:val="00150F57"/>
    <w:rsid w:val="0019286C"/>
    <w:rsid w:val="001A791D"/>
    <w:rsid w:val="001E2087"/>
    <w:rsid w:val="001E4177"/>
    <w:rsid w:val="002128A2"/>
    <w:rsid w:val="00224A89"/>
    <w:rsid w:val="002951A0"/>
    <w:rsid w:val="002962BC"/>
    <w:rsid w:val="002A093D"/>
    <w:rsid w:val="002A49AC"/>
    <w:rsid w:val="002A64FD"/>
    <w:rsid w:val="002C7A84"/>
    <w:rsid w:val="002D1E85"/>
    <w:rsid w:val="002F21A1"/>
    <w:rsid w:val="0033090F"/>
    <w:rsid w:val="00331C91"/>
    <w:rsid w:val="003448F4"/>
    <w:rsid w:val="003928B1"/>
    <w:rsid w:val="003A779E"/>
    <w:rsid w:val="003D0F4D"/>
    <w:rsid w:val="003E0499"/>
    <w:rsid w:val="003F3941"/>
    <w:rsid w:val="00400548"/>
    <w:rsid w:val="00407735"/>
    <w:rsid w:val="004104D2"/>
    <w:rsid w:val="004247DE"/>
    <w:rsid w:val="004368BC"/>
    <w:rsid w:val="004427E8"/>
    <w:rsid w:val="0045221A"/>
    <w:rsid w:val="00464680"/>
    <w:rsid w:val="004651E6"/>
    <w:rsid w:val="004A1847"/>
    <w:rsid w:val="004A305D"/>
    <w:rsid w:val="004B586F"/>
    <w:rsid w:val="004E0937"/>
    <w:rsid w:val="004F21C4"/>
    <w:rsid w:val="004F685F"/>
    <w:rsid w:val="005148EA"/>
    <w:rsid w:val="00533E8F"/>
    <w:rsid w:val="005566E8"/>
    <w:rsid w:val="00574867"/>
    <w:rsid w:val="005A6AA1"/>
    <w:rsid w:val="005B5D8B"/>
    <w:rsid w:val="005C14C6"/>
    <w:rsid w:val="005C5CDC"/>
    <w:rsid w:val="005D476C"/>
    <w:rsid w:val="005E6BB8"/>
    <w:rsid w:val="005F2DF8"/>
    <w:rsid w:val="006219F8"/>
    <w:rsid w:val="00637D52"/>
    <w:rsid w:val="006628B7"/>
    <w:rsid w:val="00665D70"/>
    <w:rsid w:val="0067076A"/>
    <w:rsid w:val="00694E53"/>
    <w:rsid w:val="006A22B5"/>
    <w:rsid w:val="006C6F30"/>
    <w:rsid w:val="006D6BB1"/>
    <w:rsid w:val="006E2ED0"/>
    <w:rsid w:val="00706C16"/>
    <w:rsid w:val="00713D6B"/>
    <w:rsid w:val="00727370"/>
    <w:rsid w:val="00730111"/>
    <w:rsid w:val="00741CD2"/>
    <w:rsid w:val="00756841"/>
    <w:rsid w:val="00763C80"/>
    <w:rsid w:val="007649AB"/>
    <w:rsid w:val="007833AC"/>
    <w:rsid w:val="00785E1C"/>
    <w:rsid w:val="007A058A"/>
    <w:rsid w:val="007B7171"/>
    <w:rsid w:val="007C3DC2"/>
    <w:rsid w:val="007E5497"/>
    <w:rsid w:val="00803A4E"/>
    <w:rsid w:val="00806F5F"/>
    <w:rsid w:val="0081255F"/>
    <w:rsid w:val="00820278"/>
    <w:rsid w:val="00865E4F"/>
    <w:rsid w:val="0087469A"/>
    <w:rsid w:val="0087483D"/>
    <w:rsid w:val="008837AF"/>
    <w:rsid w:val="008843B6"/>
    <w:rsid w:val="00886052"/>
    <w:rsid w:val="00891928"/>
    <w:rsid w:val="008A446D"/>
    <w:rsid w:val="008C68B2"/>
    <w:rsid w:val="008F0EA7"/>
    <w:rsid w:val="0091198E"/>
    <w:rsid w:val="00911D6F"/>
    <w:rsid w:val="00923EEF"/>
    <w:rsid w:val="009419F9"/>
    <w:rsid w:val="00952524"/>
    <w:rsid w:val="00961B09"/>
    <w:rsid w:val="00965334"/>
    <w:rsid w:val="0097093E"/>
    <w:rsid w:val="0099025E"/>
    <w:rsid w:val="00990839"/>
    <w:rsid w:val="009C71FA"/>
    <w:rsid w:val="009C72E7"/>
    <w:rsid w:val="009F7A69"/>
    <w:rsid w:val="00A17F13"/>
    <w:rsid w:val="00A20739"/>
    <w:rsid w:val="00A267FA"/>
    <w:rsid w:val="00A33C78"/>
    <w:rsid w:val="00A7020F"/>
    <w:rsid w:val="00AB0ADB"/>
    <w:rsid w:val="00AD4B31"/>
    <w:rsid w:val="00AD5E99"/>
    <w:rsid w:val="00B37459"/>
    <w:rsid w:val="00B53D5D"/>
    <w:rsid w:val="00B5763E"/>
    <w:rsid w:val="00B627BF"/>
    <w:rsid w:val="00B72CD3"/>
    <w:rsid w:val="00B72FFF"/>
    <w:rsid w:val="00B74AE9"/>
    <w:rsid w:val="00B81E99"/>
    <w:rsid w:val="00BA59B4"/>
    <w:rsid w:val="00BD15D4"/>
    <w:rsid w:val="00BD2A38"/>
    <w:rsid w:val="00BD2E7A"/>
    <w:rsid w:val="00BD7F72"/>
    <w:rsid w:val="00C04FB3"/>
    <w:rsid w:val="00C07BB1"/>
    <w:rsid w:val="00C27535"/>
    <w:rsid w:val="00C330EB"/>
    <w:rsid w:val="00C40581"/>
    <w:rsid w:val="00C63996"/>
    <w:rsid w:val="00C754BE"/>
    <w:rsid w:val="00CB6012"/>
    <w:rsid w:val="00CB6357"/>
    <w:rsid w:val="00CC1B26"/>
    <w:rsid w:val="00CC2193"/>
    <w:rsid w:val="00D118D9"/>
    <w:rsid w:val="00D21DBD"/>
    <w:rsid w:val="00D22E21"/>
    <w:rsid w:val="00D423A2"/>
    <w:rsid w:val="00D63AC2"/>
    <w:rsid w:val="00D64B66"/>
    <w:rsid w:val="00D7383B"/>
    <w:rsid w:val="00D9618F"/>
    <w:rsid w:val="00DA231B"/>
    <w:rsid w:val="00DB1CF4"/>
    <w:rsid w:val="00DD624A"/>
    <w:rsid w:val="00E133BC"/>
    <w:rsid w:val="00E15F76"/>
    <w:rsid w:val="00E16408"/>
    <w:rsid w:val="00E20894"/>
    <w:rsid w:val="00E245AB"/>
    <w:rsid w:val="00E311A2"/>
    <w:rsid w:val="00E35B46"/>
    <w:rsid w:val="00E50AFE"/>
    <w:rsid w:val="00E771DC"/>
    <w:rsid w:val="00E807A8"/>
    <w:rsid w:val="00E8772A"/>
    <w:rsid w:val="00E90F6B"/>
    <w:rsid w:val="00E92C27"/>
    <w:rsid w:val="00EA0E3D"/>
    <w:rsid w:val="00EA5840"/>
    <w:rsid w:val="00EB421E"/>
    <w:rsid w:val="00EC4452"/>
    <w:rsid w:val="00EC5C23"/>
    <w:rsid w:val="00EE1AA8"/>
    <w:rsid w:val="00F17039"/>
    <w:rsid w:val="00F204AB"/>
    <w:rsid w:val="00F31EDC"/>
    <w:rsid w:val="00F5664F"/>
    <w:rsid w:val="00F613A2"/>
    <w:rsid w:val="00F73977"/>
    <w:rsid w:val="00F76AFC"/>
    <w:rsid w:val="00F84C4D"/>
    <w:rsid w:val="00F92FDF"/>
    <w:rsid w:val="00FA7DCD"/>
    <w:rsid w:val="00FB5DD1"/>
    <w:rsid w:val="00FC2B5D"/>
    <w:rsid w:val="00FC6BA4"/>
    <w:rsid w:val="00FF1449"/>
    <w:rsid w:val="11960580"/>
    <w:rsid w:val="254818E8"/>
    <w:rsid w:val="601F0686"/>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link w:val="NormalWebCar"/>
    <w:uiPriority w:val="99"/>
    <w:unhideWhenUsed/>
    <w:rsid w:val="00EC5C23"/>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Appelnotedebasde" w:customStyle="1">
    <w:name w:val="Appel note de bas de..."/>
    <w:basedOn w:val="Normal"/>
    <w:link w:val="Refdenotaalpie"/>
    <w:uiPriority w:val="99"/>
    <w:rsid w:val="00EC5C23"/>
    <w:pPr>
      <w:spacing w:line="240" w:lineRule="exact"/>
    </w:pPr>
    <w:rPr>
      <w:vertAlign w:val="superscript"/>
    </w:rPr>
  </w:style>
  <w:style w:type="character" w:styleId="Textoennegrita">
    <w:name w:val="Strong"/>
    <w:basedOn w:val="Fuentedeprrafopredeter"/>
    <w:uiPriority w:val="22"/>
    <w:qFormat/>
    <w:rsid w:val="00EC5C23"/>
    <w:rPr>
      <w:b/>
      <w:bCs/>
    </w:rPr>
  </w:style>
  <w:style w:type="character" w:styleId="NormalWebCar" w:customStyle="1">
    <w:name w:val="Normal (Web) Car"/>
    <w:link w:val="NormalWeb"/>
    <w:uiPriority w:val="99"/>
    <w:rsid w:val="00EC5C23"/>
    <w:rPr>
      <w:rFonts w:ascii="Times New Roman" w:hAnsi="Times New Roman" w:eastAsia="Times New Roman" w:cs="Times New Roman"/>
      <w:sz w:val="24"/>
      <w:szCs w:val="24"/>
      <w:lang w:eastAsia="es-CO"/>
    </w:rPr>
  </w:style>
  <w:style w:type="character" w:styleId="baj" w:customStyle="1">
    <w:name w:val="b_aj"/>
    <w:basedOn w:val="Fuentedeprrafopredeter"/>
    <w:rsid w:val="00EC5C23"/>
  </w:style>
  <w:style w:type="character" w:styleId="eop" w:customStyle="1">
    <w:name w:val="eop"/>
    <w:basedOn w:val="Fuentedeprrafopredeter"/>
    <w:rsid w:val="005F2DF8"/>
  </w:style>
  <w:style w:type="paragraph" w:styleId="paragraph" w:customStyle="1">
    <w:name w:val="paragraph"/>
    <w:basedOn w:val="Normal"/>
    <w:rsid w:val="005F2DF8"/>
    <w:pPr>
      <w:spacing w:before="100" w:beforeAutospacing="1" w:after="100" w:afterAutospacing="1" w:line="240" w:lineRule="auto"/>
    </w:pPr>
    <w:rPr>
      <w:rFonts w:ascii="Times New Roman" w:hAnsi="Times New Roman" w:eastAsia="Times New Roman" w:cs="Times New Roman"/>
      <w:sz w:val="24"/>
      <w:szCs w:val="24"/>
      <w:lang w:eastAsia="es-ES_tradnl"/>
    </w:rPr>
  </w:style>
  <w:style w:type="paragraph" w:styleId="Revisin">
    <w:name w:val="Revision"/>
    <w:hidden/>
    <w:uiPriority w:val="99"/>
    <w:semiHidden/>
    <w:rsid w:val="000B60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lauravanesavega@hotmail.com"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UserInfo>
        <DisplayName>Alejandro Sarmiento</DisplayName>
        <AccountId>119</AccountId>
        <AccountType/>
      </UserInfo>
      <UserInfo>
        <DisplayName>Carolina Quintero Gacharná</DisplayName>
        <AccountId>11435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CEAF0EED-F42D-D046-9682-32B4E99715D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E29BA8F7-DF1E-4286-AF13-27B99C9C20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Oscar David Mórelo Pedroza</lastModifiedBy>
  <revision>11</revision>
  <lastPrinted>2023-01-10T21:18:00.0000000Z</lastPrinted>
  <dcterms:created xsi:type="dcterms:W3CDTF">2024-07-10T19:00:00.0000000Z</dcterms:created>
  <dcterms:modified xsi:type="dcterms:W3CDTF">2024-07-30T19:55:15.9900863Z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