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5C1F67" w:rsidRDefault="009F59C2" w:rsidP="0034177C">
      <w:pPr>
        <w:jc w:val="right"/>
        <w:rPr>
          <w:rFonts w:ascii="Arial" w:hAnsi="Arial" w:cs="Arial"/>
          <w:b/>
          <w:color w:val="000000" w:themeColor="text1"/>
          <w:sz w:val="16"/>
          <w:szCs w:val="16"/>
          <w:lang w:eastAsia="es-ES"/>
        </w:rPr>
      </w:pPr>
      <w:bookmarkStart w:id="0" w:name="_Hlk28946138"/>
      <w:bookmarkStart w:id="1" w:name="_Hlk29548183"/>
      <w:r w:rsidRPr="005C1F67">
        <w:rPr>
          <w:rFonts w:ascii="Arial" w:hAnsi="Arial" w:cs="Arial"/>
          <w:b/>
          <w:color w:val="000000" w:themeColor="text1"/>
          <w:sz w:val="22"/>
          <w:lang w:eastAsia="es-ES"/>
        </w:rPr>
        <w:tab/>
      </w:r>
      <w:r w:rsidR="0034177C" w:rsidRPr="005C1F67">
        <w:rPr>
          <w:rFonts w:ascii="Arial" w:hAnsi="Arial" w:cs="Arial"/>
          <w:b/>
          <w:color w:val="000000" w:themeColor="text1"/>
          <w:sz w:val="16"/>
          <w:szCs w:val="16"/>
          <w:lang w:eastAsia="es-ES"/>
        </w:rPr>
        <w:t>CCE-DES-FM-17</w:t>
      </w:r>
    </w:p>
    <w:p w14:paraId="48083CF0" w14:textId="77777777" w:rsidR="00FE6E33" w:rsidRPr="008F1EC8" w:rsidRDefault="00FE6E33" w:rsidP="00FE0DC0">
      <w:pPr>
        <w:jc w:val="both"/>
        <w:rPr>
          <w:rFonts w:ascii="Arial" w:eastAsia="Calibri" w:hAnsi="Arial" w:cs="Arial"/>
          <w:b/>
          <w:color w:val="000000" w:themeColor="text1"/>
          <w:sz w:val="20"/>
          <w:szCs w:val="20"/>
        </w:rPr>
      </w:pPr>
    </w:p>
    <w:p w14:paraId="346C7CEF" w14:textId="51ABA08D" w:rsidR="00FE0DC0" w:rsidRPr="005C1F67" w:rsidRDefault="00FE0DC0" w:rsidP="00FE0DC0">
      <w:pPr>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ADICIÓN, PRÓRROGA Y RENOVACIÓN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Diferencias</w:t>
      </w:r>
    </w:p>
    <w:p w14:paraId="41019CD0" w14:textId="77777777" w:rsidR="00FE0DC0" w:rsidRPr="005C1F67" w:rsidRDefault="00FE0DC0" w:rsidP="00FE0DC0">
      <w:pPr>
        <w:jc w:val="both"/>
        <w:rPr>
          <w:rFonts w:ascii="Arial" w:eastAsia="Calibri" w:hAnsi="Arial" w:cs="Arial"/>
          <w:color w:val="000000" w:themeColor="text1"/>
          <w:sz w:val="20"/>
          <w:szCs w:val="20"/>
        </w:rPr>
      </w:pPr>
    </w:p>
    <w:p w14:paraId="6A7C079F" w14:textId="20399E87" w:rsidR="001860FB" w:rsidRPr="00A3024D" w:rsidRDefault="00C813E0" w:rsidP="001860FB">
      <w:pPr>
        <w:tabs>
          <w:tab w:val="left" w:pos="709"/>
        </w:tabs>
        <w:spacing w:after="120"/>
        <w:jc w:val="both"/>
        <w:rPr>
          <w:rFonts w:ascii="Arial" w:eastAsia="Times New Roman" w:hAnsi="Arial" w:cs="Arial"/>
          <w:color w:val="000000" w:themeColor="text1"/>
          <w:sz w:val="20"/>
          <w:szCs w:val="20"/>
          <w:lang w:eastAsia="es-ES"/>
        </w:rPr>
      </w:pPr>
      <w:r>
        <w:rPr>
          <w:rFonts w:ascii="Arial" w:eastAsia="Times New Roman" w:hAnsi="Arial" w:cs="Arial"/>
          <w:color w:val="000000" w:themeColor="text1"/>
          <w:sz w:val="20"/>
          <w:szCs w:val="20"/>
          <w:lang w:eastAsia="es-ES"/>
        </w:rPr>
        <w:t>[…] c</w:t>
      </w:r>
      <w:r w:rsidR="00FE0DC0" w:rsidRPr="00A3024D">
        <w:rPr>
          <w:rFonts w:ascii="Arial" w:eastAsia="Times New Roman" w:hAnsi="Arial" w:cs="Arial"/>
          <w:color w:val="000000" w:themeColor="text1"/>
          <w:sz w:val="20"/>
          <w:szCs w:val="20"/>
          <w:lang w:eastAsia="es-ES"/>
        </w:rPr>
        <w:t xml:space="preserve">omo los estatutos contractuales no establecen una diferencia clara entre los conceptos propuestos, es necesario recurrir a otras disposiciones y aportes doctrinarios para distinguirlos. Como distinción inicial, se tiene que el concepto </w:t>
      </w:r>
      <w:r w:rsidR="00FE0DC0" w:rsidRPr="00A3024D">
        <w:rPr>
          <w:rFonts w:ascii="Arial" w:eastAsia="Times New Roman" w:hAnsi="Arial" w:cs="Arial"/>
          <w:i/>
          <w:color w:val="000000" w:themeColor="text1"/>
          <w:sz w:val="20"/>
          <w:szCs w:val="20"/>
          <w:lang w:eastAsia="es-ES"/>
        </w:rPr>
        <w:t>prórroga</w:t>
      </w:r>
      <w:r w:rsidR="00FE0DC0" w:rsidRPr="00A3024D">
        <w:rPr>
          <w:rFonts w:ascii="Arial" w:eastAsia="Times New Roman" w:hAnsi="Arial" w:cs="Arial"/>
          <w:color w:val="000000" w:themeColor="text1"/>
          <w:sz w:val="20"/>
          <w:szCs w:val="20"/>
          <w:lang w:eastAsia="es-ES"/>
        </w:rPr>
        <w:t xml:space="preserve"> está particularmente ligado con la modificación ―ampliación― del plazo de los contratos; las </w:t>
      </w:r>
      <w:r w:rsidR="00FE0DC0" w:rsidRPr="00A3024D">
        <w:rPr>
          <w:rFonts w:ascii="Arial" w:eastAsia="Times New Roman" w:hAnsi="Arial" w:cs="Arial"/>
          <w:i/>
          <w:color w:val="000000" w:themeColor="text1"/>
          <w:sz w:val="20"/>
          <w:szCs w:val="20"/>
          <w:lang w:eastAsia="es-ES"/>
        </w:rPr>
        <w:t>adiciones</w:t>
      </w:r>
      <w:r w:rsidR="00FE0DC0" w:rsidRPr="00A3024D">
        <w:rPr>
          <w:rFonts w:ascii="Arial" w:eastAsia="Times New Roman" w:hAnsi="Arial" w:cs="Arial"/>
          <w:color w:val="000000" w:themeColor="text1"/>
          <w:sz w:val="20"/>
          <w:szCs w:val="20"/>
          <w:lang w:eastAsia="es-ES"/>
        </w:rPr>
        <w:t xml:space="preserve"> con el incremento del valor, debido a la inclusión de nuevas obligaciones, sea por la introducción de nuevas actividades o por la ejecución de una mayor cantidad de las pactadas inicialmente; y la </w:t>
      </w:r>
      <w:r w:rsidR="00FE0DC0" w:rsidRPr="00A3024D">
        <w:rPr>
          <w:rFonts w:ascii="Arial" w:eastAsia="Times New Roman" w:hAnsi="Arial" w:cs="Arial"/>
          <w:i/>
          <w:color w:val="000000" w:themeColor="text1"/>
          <w:sz w:val="20"/>
          <w:szCs w:val="20"/>
          <w:lang w:eastAsia="es-ES"/>
        </w:rPr>
        <w:t>renovación</w:t>
      </w:r>
      <w:r w:rsidR="00FE0DC0" w:rsidRPr="00A3024D">
        <w:rPr>
          <w:rFonts w:ascii="Arial" w:eastAsia="Times New Roman" w:hAnsi="Arial" w:cs="Arial"/>
          <w:color w:val="000000" w:themeColor="text1"/>
          <w:sz w:val="20"/>
          <w:szCs w:val="20"/>
          <w:lang w:eastAsia="es-ES"/>
        </w:rPr>
        <w:t xml:space="preserve"> con el nacimiento de un nuevo contrato, con condiciones similares o idénticas al contrato inicial.</w:t>
      </w:r>
    </w:p>
    <w:p w14:paraId="22A26B72" w14:textId="293AA267" w:rsidR="00582208"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 xml:space="preserve">Estas distinciones guardan relación con el uso común de los conceptos, es decir, no reducido a su significación jurídica. En efecto, el Diccionario de la Lengua Española ―DLE― define la </w:t>
      </w:r>
      <w:r w:rsidRPr="00A3024D">
        <w:rPr>
          <w:rFonts w:ascii="Arial" w:eastAsia="Times New Roman" w:hAnsi="Arial" w:cs="Arial"/>
          <w:i/>
          <w:color w:val="000000" w:themeColor="text1"/>
          <w:sz w:val="20"/>
          <w:szCs w:val="20"/>
          <w:lang w:eastAsia="es-ES"/>
        </w:rPr>
        <w:t>prórroga</w:t>
      </w:r>
      <w:r w:rsidRPr="00A3024D">
        <w:rPr>
          <w:rFonts w:ascii="Arial" w:eastAsia="Times New Roman" w:hAnsi="Arial" w:cs="Arial"/>
          <w:color w:val="000000" w:themeColor="text1"/>
          <w:sz w:val="20"/>
          <w:szCs w:val="20"/>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A3024D">
        <w:rPr>
          <w:rFonts w:ascii="Arial" w:eastAsia="Times New Roman" w:hAnsi="Arial" w:cs="Arial"/>
          <w:i/>
          <w:color w:val="000000" w:themeColor="text1"/>
          <w:sz w:val="20"/>
          <w:szCs w:val="20"/>
          <w:lang w:eastAsia="es-ES"/>
        </w:rPr>
        <w:t>adición</w:t>
      </w:r>
      <w:r w:rsidRPr="00A3024D">
        <w:rPr>
          <w:rFonts w:ascii="Arial" w:eastAsia="Times New Roman" w:hAnsi="Arial" w:cs="Arial"/>
          <w:color w:val="000000" w:themeColor="text1"/>
          <w:sz w:val="20"/>
          <w:szCs w:val="20"/>
          <w:lang w:eastAsia="es-ES"/>
        </w:rPr>
        <w:t xml:space="preserve">, el DLE señala que consiste en la 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A3024D">
        <w:rPr>
          <w:rFonts w:ascii="Arial" w:eastAsia="Times New Roman" w:hAnsi="Arial" w:cs="Arial"/>
          <w:i/>
          <w:color w:val="000000" w:themeColor="text1"/>
          <w:sz w:val="20"/>
          <w:szCs w:val="20"/>
          <w:lang w:eastAsia="es-ES"/>
        </w:rPr>
        <w:t>renovación</w:t>
      </w:r>
      <w:r w:rsidRPr="00A3024D">
        <w:rPr>
          <w:rFonts w:ascii="Arial" w:eastAsia="Times New Roman" w:hAnsi="Arial" w:cs="Arial"/>
          <w:color w:val="000000" w:themeColor="text1"/>
          <w:sz w:val="20"/>
          <w:szCs w:val="20"/>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68C3098F" w14:textId="24C50F2D"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3B6C8C04" w14:textId="385F843F" w:rsidR="00FE0DC0" w:rsidRPr="005C1F67" w:rsidRDefault="00FE0DC0" w:rsidP="00FE0DC0">
      <w:pPr>
        <w:jc w:val="both"/>
        <w:rPr>
          <w:color w:val="000000" w:themeColor="text1"/>
        </w:rPr>
      </w:pPr>
      <w:r w:rsidRPr="005C1F67">
        <w:rPr>
          <w:rFonts w:ascii="Arial" w:eastAsia="Calibri" w:hAnsi="Arial" w:cs="Arial"/>
          <w:b/>
          <w:color w:val="000000" w:themeColor="text1"/>
          <w:sz w:val="22"/>
        </w:rPr>
        <w:t xml:space="preserve">ADICIÓN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C</w:t>
      </w:r>
      <w:r w:rsidRPr="005C1F67">
        <w:rPr>
          <w:rFonts w:ascii="Arial" w:eastAsia="Calibri" w:hAnsi="Arial" w:cs="Arial"/>
          <w:b/>
          <w:color w:val="000000" w:themeColor="text1"/>
          <w:sz w:val="22"/>
        </w:rPr>
        <w:t xml:space="preserve">oncepto </w:t>
      </w:r>
      <w:r w:rsidR="008F1EC8" w:rsidRPr="006C15D5">
        <w:rPr>
          <w:rFonts w:ascii="Arial" w:eastAsia="Calibri" w:hAnsi="Arial" w:cs="Arial"/>
          <w:b/>
          <w:color w:val="000000" w:themeColor="text1"/>
          <w:sz w:val="22"/>
        </w:rPr>
        <w:t>–</w:t>
      </w:r>
      <w:r w:rsidRPr="005C1F67">
        <w:rPr>
          <w:rFonts w:ascii="Arial" w:eastAsia="Calibri" w:hAnsi="Arial" w:cs="Arial"/>
          <w:b/>
          <w:color w:val="000000" w:themeColor="text1"/>
          <w:sz w:val="22"/>
        </w:rPr>
        <w:t xml:space="preserve"> </w:t>
      </w:r>
      <w:r w:rsidR="006E4A12" w:rsidRPr="005C1F67">
        <w:rPr>
          <w:rFonts w:ascii="Arial" w:eastAsia="Calibri" w:hAnsi="Arial" w:cs="Arial"/>
          <w:b/>
          <w:color w:val="000000" w:themeColor="text1"/>
          <w:sz w:val="22"/>
        </w:rPr>
        <w:t>Distintos supuestos</w:t>
      </w:r>
      <w:r w:rsidRPr="005C1F67">
        <w:rPr>
          <w:rFonts w:ascii="Arial" w:eastAsia="Calibri" w:hAnsi="Arial" w:cs="Arial"/>
          <w:b/>
          <w:color w:val="000000" w:themeColor="text1"/>
          <w:sz w:val="22"/>
        </w:rPr>
        <w:t xml:space="preserve"> </w:t>
      </w:r>
      <w:r w:rsidR="008F1EC8" w:rsidRPr="006C15D5">
        <w:rPr>
          <w:rFonts w:ascii="Arial" w:eastAsia="Calibri" w:hAnsi="Arial" w:cs="Arial"/>
          <w:b/>
          <w:color w:val="000000" w:themeColor="text1"/>
          <w:sz w:val="22"/>
        </w:rPr>
        <w:t>–</w:t>
      </w:r>
      <w:r w:rsidR="006E4A12" w:rsidRPr="005C1F67">
        <w:rPr>
          <w:rFonts w:ascii="Arial" w:eastAsia="Calibri" w:hAnsi="Arial" w:cs="Arial"/>
          <w:b/>
          <w:color w:val="000000" w:themeColor="text1"/>
          <w:sz w:val="22"/>
        </w:rPr>
        <w:t xml:space="preserve"> P</w:t>
      </w:r>
      <w:r w:rsidRPr="005C1F67">
        <w:rPr>
          <w:rFonts w:ascii="Arial" w:eastAsia="Calibri" w:hAnsi="Arial" w:cs="Arial"/>
          <w:b/>
          <w:color w:val="000000" w:themeColor="text1"/>
          <w:sz w:val="22"/>
        </w:rPr>
        <w:t xml:space="preserve">rohibición </w:t>
      </w:r>
      <w:r w:rsidR="00E42B38" w:rsidRPr="006C15D5">
        <w:rPr>
          <w:rFonts w:ascii="Arial" w:eastAsia="Calibri" w:hAnsi="Arial" w:cs="Arial"/>
          <w:b/>
          <w:color w:val="000000" w:themeColor="text1"/>
          <w:sz w:val="22"/>
        </w:rPr>
        <w:t>–</w:t>
      </w:r>
      <w:r w:rsidR="00E42B38">
        <w:rPr>
          <w:rFonts w:ascii="Arial" w:eastAsia="Calibri" w:hAnsi="Arial" w:cs="Arial"/>
          <w:b/>
          <w:color w:val="000000" w:themeColor="text1"/>
          <w:sz w:val="22"/>
        </w:rPr>
        <w:t xml:space="preserve"> Adi</w:t>
      </w:r>
      <w:bookmarkStart w:id="2" w:name="_GoBack"/>
      <w:bookmarkEnd w:id="2"/>
      <w:r w:rsidR="00E42B38">
        <w:rPr>
          <w:rFonts w:ascii="Arial" w:eastAsia="Calibri" w:hAnsi="Arial" w:cs="Arial"/>
          <w:b/>
          <w:color w:val="000000" w:themeColor="text1"/>
          <w:sz w:val="22"/>
        </w:rPr>
        <w:t xml:space="preserve">ción </w:t>
      </w:r>
      <w:r w:rsidRPr="005C1F67">
        <w:rPr>
          <w:rFonts w:ascii="Arial" w:eastAsia="Calibri" w:hAnsi="Arial" w:cs="Arial"/>
          <w:b/>
          <w:color w:val="000000" w:themeColor="text1"/>
          <w:sz w:val="22"/>
        </w:rPr>
        <w:t>en más del 50%</w:t>
      </w:r>
    </w:p>
    <w:p w14:paraId="36E3EDC7" w14:textId="2A35E3D7" w:rsidR="00FE0DC0" w:rsidRPr="005C1F67" w:rsidRDefault="00FE0DC0" w:rsidP="00FE0DC0">
      <w:pPr>
        <w:spacing w:line="276" w:lineRule="auto"/>
        <w:jc w:val="both"/>
        <w:rPr>
          <w:rFonts w:ascii="Arial" w:eastAsia="Times New Roman" w:hAnsi="Arial" w:cs="Arial"/>
          <w:color w:val="000000" w:themeColor="text1"/>
          <w:sz w:val="20"/>
          <w:szCs w:val="20"/>
          <w:lang w:eastAsia="es-ES"/>
        </w:rPr>
      </w:pPr>
    </w:p>
    <w:p w14:paraId="70726FD7" w14:textId="38C16693" w:rsidR="00FE0DC0" w:rsidRPr="00A3024D" w:rsidRDefault="008A145D"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Durante la fase de ejecución de los contratos estatales, las partes podrían identificar alguna de las siguientes situaciones: i) la necesidad de acometer mayores cantidades de los ítems o actividades inicialmente previstos, a lo que en la práctica se le conoce como «mayores cantidades de obra», «obras adicionales» o adición de «ítems contractuales»; y ii) la necesidad de ampliar las 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reiteró en distintos lugares de este concepto es que frente a cualquier incremento del valor inicial del contrato, que es lo que implica una adición, por cualquiera de los dos supuesto señalados previamente, e independientemente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FE0DC0" w:rsidRPr="00A3024D">
        <w:rPr>
          <w:rFonts w:ascii="Arial" w:eastAsia="Times New Roman" w:hAnsi="Arial" w:cs="Arial"/>
          <w:color w:val="000000" w:themeColor="text1"/>
          <w:sz w:val="20"/>
          <w:szCs w:val="20"/>
          <w:lang w:eastAsia="es-ES"/>
        </w:rPr>
        <w:t xml:space="preserve"> </w:t>
      </w:r>
    </w:p>
    <w:p w14:paraId="4E33A17B" w14:textId="2DC6BBB5" w:rsidR="00FE0DC0" w:rsidRPr="00957335" w:rsidRDefault="00FE0DC0" w:rsidP="00FE0DC0">
      <w:pPr>
        <w:spacing w:line="276" w:lineRule="auto"/>
        <w:jc w:val="both"/>
        <w:rPr>
          <w:rFonts w:ascii="Arial" w:hAnsi="Arial" w:cs="Arial"/>
          <w:color w:val="000000" w:themeColor="text1"/>
          <w:sz w:val="20"/>
          <w:szCs w:val="20"/>
        </w:rPr>
      </w:pPr>
    </w:p>
    <w:p w14:paraId="18871D48" w14:textId="2CCBEF2A" w:rsidR="00E46B53" w:rsidRDefault="00E46B53" w:rsidP="7797FAD1">
      <w:pPr>
        <w:jc w:val="both"/>
        <w:rPr>
          <w:rFonts w:ascii="Arial" w:eastAsia="Calibri" w:hAnsi="Arial" w:cs="Arial"/>
          <w:b/>
          <w:bCs/>
          <w:color w:val="000000" w:themeColor="text1"/>
          <w:sz w:val="22"/>
        </w:rPr>
      </w:pPr>
      <w:r w:rsidRPr="7797FAD1">
        <w:rPr>
          <w:rFonts w:ascii="Arial" w:eastAsia="Calibri" w:hAnsi="Arial" w:cs="Arial"/>
          <w:b/>
          <w:bCs/>
          <w:color w:val="000000" w:themeColor="text1"/>
          <w:sz w:val="22"/>
        </w:rPr>
        <w:t>ADICION – Prohibición – Monto</w:t>
      </w:r>
      <w:r w:rsidR="00FE0DC0" w:rsidRPr="7797FAD1">
        <w:rPr>
          <w:rFonts w:ascii="Arial" w:eastAsia="Calibri" w:hAnsi="Arial" w:cs="Arial"/>
          <w:b/>
          <w:bCs/>
          <w:color w:val="000000" w:themeColor="text1"/>
          <w:sz w:val="22"/>
        </w:rPr>
        <w:t xml:space="preserve"> </w:t>
      </w:r>
      <w:r w:rsidRPr="7797FAD1">
        <w:rPr>
          <w:rFonts w:ascii="Arial" w:eastAsia="Calibri" w:hAnsi="Arial" w:cs="Arial"/>
          <w:b/>
          <w:bCs/>
          <w:color w:val="000000" w:themeColor="text1"/>
          <w:sz w:val="22"/>
        </w:rPr>
        <w:t xml:space="preserve">– </w:t>
      </w:r>
      <w:r w:rsidR="00C813E0" w:rsidRPr="7797FAD1">
        <w:rPr>
          <w:rFonts w:ascii="Arial" w:eastAsia="Calibri" w:hAnsi="Arial" w:cs="Arial"/>
          <w:b/>
          <w:bCs/>
          <w:color w:val="000000" w:themeColor="text1"/>
          <w:sz w:val="22"/>
        </w:rPr>
        <w:t>Cálculo</w:t>
      </w:r>
      <w:r w:rsidR="00FE0DC0" w:rsidRPr="7797FAD1">
        <w:rPr>
          <w:rFonts w:ascii="Arial" w:eastAsia="Calibri" w:hAnsi="Arial" w:cs="Arial"/>
          <w:b/>
          <w:bCs/>
          <w:color w:val="000000" w:themeColor="text1"/>
          <w:sz w:val="22"/>
        </w:rPr>
        <w:t xml:space="preserve"> </w:t>
      </w:r>
      <w:r w:rsidR="008F1EC8" w:rsidRPr="7797FAD1">
        <w:rPr>
          <w:rFonts w:ascii="Arial" w:eastAsia="Calibri" w:hAnsi="Arial" w:cs="Arial"/>
          <w:b/>
          <w:bCs/>
          <w:color w:val="000000" w:themeColor="text1"/>
          <w:sz w:val="22"/>
        </w:rPr>
        <w:t>–</w:t>
      </w:r>
      <w:r w:rsidR="00FE0DC0" w:rsidRPr="7797FAD1">
        <w:rPr>
          <w:rFonts w:ascii="Arial" w:eastAsia="Calibri" w:hAnsi="Arial" w:cs="Arial"/>
          <w:b/>
          <w:bCs/>
          <w:color w:val="000000" w:themeColor="text1"/>
          <w:sz w:val="22"/>
        </w:rPr>
        <w:t xml:space="preserve"> </w:t>
      </w:r>
      <w:r w:rsidR="0F22CD19" w:rsidRPr="7797FAD1">
        <w:rPr>
          <w:rFonts w:ascii="Arial" w:eastAsia="Calibri" w:hAnsi="Arial" w:cs="Arial"/>
          <w:b/>
          <w:bCs/>
          <w:color w:val="000000" w:themeColor="text1"/>
          <w:sz w:val="22"/>
        </w:rPr>
        <w:t xml:space="preserve">Parágrafo artículo 40 – </w:t>
      </w:r>
      <w:r w:rsidR="00FE0DC0" w:rsidRPr="7797FAD1">
        <w:rPr>
          <w:rFonts w:ascii="Arial" w:eastAsia="Calibri" w:hAnsi="Arial" w:cs="Arial"/>
          <w:b/>
          <w:bCs/>
          <w:color w:val="000000" w:themeColor="text1"/>
          <w:sz w:val="22"/>
        </w:rPr>
        <w:t>Ley 80</w:t>
      </w:r>
      <w:r w:rsidR="32339059" w:rsidRPr="7797FAD1">
        <w:rPr>
          <w:rFonts w:ascii="Arial" w:eastAsia="Calibri" w:hAnsi="Arial" w:cs="Arial"/>
          <w:b/>
          <w:bCs/>
          <w:color w:val="000000" w:themeColor="text1"/>
          <w:sz w:val="22"/>
        </w:rPr>
        <w:t xml:space="preserve"> de 1993 </w:t>
      </w:r>
    </w:p>
    <w:p w14:paraId="13968946" w14:textId="77777777" w:rsidR="00FE0DC0" w:rsidRPr="00957335" w:rsidRDefault="00FE0DC0" w:rsidP="00FE0DC0">
      <w:pPr>
        <w:jc w:val="both"/>
        <w:rPr>
          <w:rFonts w:ascii="Arial" w:eastAsia="Calibri" w:hAnsi="Arial" w:cs="Arial"/>
          <w:b/>
          <w:color w:val="000000" w:themeColor="text1"/>
          <w:sz w:val="20"/>
          <w:szCs w:val="20"/>
        </w:rPr>
      </w:pPr>
    </w:p>
    <w:p w14:paraId="0D24ABAB" w14:textId="52DA76CB" w:rsidR="00FE0DC0" w:rsidRPr="00A3024D" w:rsidRDefault="00FE0DC0" w:rsidP="00FE0DC0">
      <w:pPr>
        <w:tabs>
          <w:tab w:val="left" w:pos="709"/>
        </w:tabs>
        <w:jc w:val="both"/>
        <w:rPr>
          <w:rFonts w:ascii="Arial" w:eastAsia="Times New Roman" w:hAnsi="Arial" w:cs="Arial"/>
          <w:color w:val="000000" w:themeColor="text1"/>
          <w:sz w:val="20"/>
          <w:szCs w:val="20"/>
          <w:lang w:eastAsia="es-ES"/>
        </w:rPr>
      </w:pPr>
      <w:r w:rsidRPr="00A3024D">
        <w:rPr>
          <w:rFonts w:ascii="Arial" w:eastAsia="Times New Roman" w:hAnsi="Arial" w:cs="Arial"/>
          <w:color w:val="000000" w:themeColor="text1"/>
          <w:sz w:val="20"/>
          <w:szCs w:val="20"/>
          <w:lang w:eastAsia="es-ES"/>
        </w:rPr>
        <w:t xml:space="preserve">Dicha norma además de consagrar una prohibición trae implícita una autorización, consistente en la posibilidad de adicionar los contratos estatales, siempre que no se supere el tope establecido. Debe </w:t>
      </w:r>
      <w:r w:rsidRPr="00A3024D">
        <w:rPr>
          <w:rFonts w:ascii="Arial" w:eastAsia="Times New Roman" w:hAnsi="Arial" w:cs="Arial"/>
          <w:color w:val="000000" w:themeColor="text1"/>
          <w:sz w:val="20"/>
          <w:szCs w:val="20"/>
          <w:lang w:eastAsia="es-ES"/>
        </w:rPr>
        <w:lastRenderedPageBreak/>
        <w:t>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w:t>
      </w:r>
    </w:p>
    <w:p w14:paraId="04266517" w14:textId="1AB1630C" w:rsidR="00FE0DC0" w:rsidRPr="00957335" w:rsidRDefault="00FE0DC0" w:rsidP="00FE0DC0">
      <w:pPr>
        <w:spacing w:line="276" w:lineRule="auto"/>
        <w:jc w:val="both"/>
        <w:rPr>
          <w:rFonts w:ascii="Arial" w:eastAsia="Calibri" w:hAnsi="Arial" w:cs="Arial"/>
          <w:color w:val="000000" w:themeColor="text1"/>
          <w:sz w:val="20"/>
          <w:szCs w:val="20"/>
        </w:rPr>
      </w:pPr>
    </w:p>
    <w:p w14:paraId="181C2E2D" w14:textId="77777777" w:rsidR="00F75B13" w:rsidRPr="00F75B13" w:rsidRDefault="00F75B13" w:rsidP="00F75B13">
      <w:pPr>
        <w:pStyle w:val="Default"/>
        <w:rPr>
          <w:sz w:val="20"/>
          <w:szCs w:val="20"/>
        </w:rPr>
      </w:pPr>
    </w:p>
    <w:p w14:paraId="0C243923" w14:textId="59B584E2" w:rsidR="00F75B13" w:rsidRDefault="00F75B13" w:rsidP="00F75B13">
      <w:pPr>
        <w:pStyle w:val="Default"/>
        <w:rPr>
          <w:sz w:val="22"/>
          <w:szCs w:val="22"/>
        </w:rPr>
      </w:pPr>
      <w:r>
        <w:rPr>
          <w:sz w:val="22"/>
          <w:szCs w:val="22"/>
        </w:rPr>
        <w:t xml:space="preserve">Bogotá D.C., </w:t>
      </w:r>
      <w:r>
        <w:rPr>
          <w:b/>
          <w:bCs/>
          <w:sz w:val="22"/>
          <w:szCs w:val="22"/>
        </w:rPr>
        <w:t xml:space="preserve">27/03/2020 Hora 21:49:11s </w:t>
      </w:r>
    </w:p>
    <w:p w14:paraId="67E484B7" w14:textId="77777777" w:rsidR="00F75B13" w:rsidRDefault="00F75B13" w:rsidP="00F75B13">
      <w:pPr>
        <w:tabs>
          <w:tab w:val="left" w:pos="3374"/>
        </w:tabs>
        <w:jc w:val="right"/>
        <w:rPr>
          <w:b/>
          <w:bCs/>
          <w:sz w:val="22"/>
        </w:rPr>
      </w:pPr>
      <w:r>
        <w:rPr>
          <w:b/>
          <w:bCs/>
          <w:sz w:val="22"/>
        </w:rPr>
        <w:t>N° Radicado: 2202013000002271</w:t>
      </w:r>
    </w:p>
    <w:p w14:paraId="4BC9451E" w14:textId="27B1B7CA" w:rsidR="00FE6E33" w:rsidRPr="005C1F67" w:rsidRDefault="00A37FB6" w:rsidP="00F75B13">
      <w:pPr>
        <w:tabs>
          <w:tab w:val="left" w:pos="3374"/>
        </w:tabs>
        <w:jc w:val="right"/>
        <w:rPr>
          <w:rFonts w:ascii="Arial" w:eastAsia="Calibri" w:hAnsi="Arial" w:cs="Arial"/>
          <w:color w:val="000000" w:themeColor="text1"/>
          <w:sz w:val="22"/>
        </w:rPr>
      </w:pPr>
      <w:r w:rsidRPr="005C1F67">
        <w:rPr>
          <w:rFonts w:ascii="Arial" w:eastAsia="Calibri" w:hAnsi="Arial" w:cs="Arial"/>
          <w:color w:val="000000" w:themeColor="text1"/>
          <w:sz w:val="22"/>
        </w:rPr>
        <w:tab/>
      </w:r>
    </w:p>
    <w:p w14:paraId="7559B50C" w14:textId="6BC1A577" w:rsidR="00AD1B0F" w:rsidRPr="005C1F67" w:rsidRDefault="00E6565C" w:rsidP="00D01760">
      <w:pPr>
        <w:rPr>
          <w:rFonts w:ascii="Arial" w:eastAsia="Calibri" w:hAnsi="Arial" w:cs="Arial"/>
          <w:color w:val="000000" w:themeColor="text1"/>
          <w:sz w:val="22"/>
        </w:rPr>
      </w:pPr>
      <w:r w:rsidRPr="005C1F67">
        <w:rPr>
          <w:rFonts w:ascii="Arial" w:eastAsia="Calibri" w:hAnsi="Arial" w:cs="Arial"/>
          <w:color w:val="000000" w:themeColor="text1"/>
          <w:sz w:val="22"/>
        </w:rPr>
        <w:t>Señor</w:t>
      </w:r>
      <w:r w:rsidR="00A26123" w:rsidRPr="005C1F67">
        <w:rPr>
          <w:rFonts w:ascii="Arial" w:eastAsia="Calibri" w:hAnsi="Arial" w:cs="Arial"/>
          <w:color w:val="000000" w:themeColor="text1"/>
          <w:sz w:val="22"/>
        </w:rPr>
        <w:t>a</w:t>
      </w:r>
    </w:p>
    <w:p w14:paraId="16863497" w14:textId="1B6E7A4C" w:rsidR="00A37FB6" w:rsidRPr="005C1F67" w:rsidRDefault="00DB61B0" w:rsidP="00D01760">
      <w:pPr>
        <w:rPr>
          <w:rFonts w:ascii="Arial" w:eastAsia="Calibri" w:hAnsi="Arial" w:cs="Arial"/>
          <w:color w:val="000000" w:themeColor="text1"/>
          <w:sz w:val="22"/>
        </w:rPr>
      </w:pPr>
      <w:r w:rsidRPr="005C1F67">
        <w:rPr>
          <w:rFonts w:ascii="Arial" w:eastAsia="Calibri" w:hAnsi="Arial" w:cs="Arial"/>
          <w:b/>
          <w:color w:val="000000" w:themeColor="text1"/>
          <w:sz w:val="22"/>
        </w:rPr>
        <w:t xml:space="preserve">Juliana Carolina Ardila Pérez </w:t>
      </w:r>
      <w:r w:rsidR="00E6565C" w:rsidRPr="005C1F67">
        <w:rPr>
          <w:rFonts w:ascii="Arial" w:eastAsia="Calibri" w:hAnsi="Arial" w:cs="Arial"/>
          <w:b/>
          <w:color w:val="000000" w:themeColor="text1"/>
          <w:sz w:val="22"/>
        </w:rPr>
        <w:t xml:space="preserve"> </w:t>
      </w:r>
    </w:p>
    <w:p w14:paraId="359C48BE"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Ciudad</w:t>
      </w:r>
    </w:p>
    <w:p w14:paraId="0CB12C57" w14:textId="036D6AB7" w:rsidR="00F201B0" w:rsidRPr="005C1F67" w:rsidRDefault="00F201B0" w:rsidP="00D01760">
      <w:pPr>
        <w:rPr>
          <w:rFonts w:ascii="Arial" w:eastAsia="Calibri" w:hAnsi="Arial" w:cs="Arial"/>
          <w:color w:val="000000" w:themeColor="text1"/>
          <w:sz w:val="22"/>
        </w:rPr>
      </w:pPr>
    </w:p>
    <w:p w14:paraId="17A3A7A7" w14:textId="77777777" w:rsidR="00FE6E33" w:rsidRPr="005C1F67" w:rsidRDefault="00FE6E33" w:rsidP="00D01760">
      <w:pPr>
        <w:rPr>
          <w:rFonts w:ascii="Arial" w:eastAsia="Calibri" w:hAnsi="Arial" w:cs="Arial"/>
          <w:color w:val="000000" w:themeColor="text1"/>
          <w:sz w:val="22"/>
        </w:rPr>
      </w:pPr>
    </w:p>
    <w:p w14:paraId="479F6A3A" w14:textId="3F28AE00" w:rsidR="00A37FB6" w:rsidRPr="005C1F67" w:rsidRDefault="00387726" w:rsidP="00D01760">
      <w:pPr>
        <w:jc w:val="center"/>
        <w:rPr>
          <w:rFonts w:ascii="Arial" w:eastAsia="Calibri" w:hAnsi="Arial" w:cs="Arial"/>
          <w:b/>
          <w:color w:val="000000" w:themeColor="text1"/>
          <w:sz w:val="22"/>
        </w:rPr>
      </w:pPr>
      <w:r w:rsidRPr="005C1F67">
        <w:rPr>
          <w:rFonts w:ascii="Arial" w:eastAsia="Calibri" w:hAnsi="Arial" w:cs="Arial"/>
          <w:b/>
          <w:color w:val="000000" w:themeColor="text1"/>
          <w:sz w:val="22"/>
        </w:rPr>
        <w:t xml:space="preserve">Concepto C ─ 100 </w:t>
      </w:r>
      <w:r w:rsidR="00A37FB6" w:rsidRPr="005C1F67">
        <w:rPr>
          <w:rFonts w:ascii="Arial" w:eastAsia="Calibri" w:hAnsi="Arial" w:cs="Arial"/>
          <w:b/>
          <w:color w:val="000000" w:themeColor="text1"/>
          <w:sz w:val="22"/>
        </w:rPr>
        <w:t>de 2020</w:t>
      </w:r>
    </w:p>
    <w:p w14:paraId="49BB1EAB" w14:textId="7C637BD8" w:rsidR="00A37FB6" w:rsidRPr="005C1F67" w:rsidRDefault="00A37FB6" w:rsidP="00D01760">
      <w:pPr>
        <w:rPr>
          <w:rFonts w:ascii="Arial" w:eastAsia="Calibri" w:hAnsi="Arial" w:cs="Arial"/>
          <w:color w:val="000000" w:themeColor="text1"/>
          <w:sz w:val="22"/>
        </w:rPr>
      </w:pPr>
    </w:p>
    <w:p w14:paraId="0F9306EE" w14:textId="77777777" w:rsidR="00FE6E33" w:rsidRPr="005C1F67" w:rsidRDefault="00FE6E33" w:rsidP="00D01760">
      <w:pPr>
        <w:rPr>
          <w:rFonts w:ascii="Arial" w:eastAsia="Calibri" w:hAnsi="Arial" w:cs="Arial"/>
          <w:color w:val="000000" w:themeColor="text1"/>
          <w:sz w:val="22"/>
        </w:rPr>
      </w:pPr>
    </w:p>
    <w:tbl>
      <w:tblPr>
        <w:tblStyle w:val="Tablaconcuadrc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383"/>
      </w:tblGrid>
      <w:tr w:rsidR="005C1F67" w:rsidRPr="004A02E2" w14:paraId="20C2FA60" w14:textId="77777777" w:rsidTr="2547E75F">
        <w:tc>
          <w:tcPr>
            <w:tcW w:w="2689" w:type="dxa"/>
            <w:hideMark/>
          </w:tcPr>
          <w:p w14:paraId="2A9459AB"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b/>
                <w:color w:val="000000" w:themeColor="text1"/>
                <w:sz w:val="22"/>
              </w:rPr>
              <w:t>Temas:</w:t>
            </w:r>
            <w:r w:rsidRPr="005C1F67">
              <w:rPr>
                <w:rFonts w:ascii="Arial" w:eastAsia="Calibri" w:hAnsi="Arial" w:cs="Arial"/>
                <w:color w:val="000000" w:themeColor="text1"/>
                <w:sz w:val="22"/>
              </w:rPr>
              <w:t xml:space="preserve">           </w:t>
            </w:r>
          </w:p>
          <w:p w14:paraId="1840BCE8" w14:textId="77777777" w:rsidR="00A37FB6" w:rsidRPr="005C1F67" w:rsidRDefault="00A37FB6" w:rsidP="00D01760">
            <w:pPr>
              <w:rPr>
                <w:rFonts w:ascii="Arial" w:eastAsia="Calibri" w:hAnsi="Arial" w:cs="Arial"/>
                <w:color w:val="000000" w:themeColor="text1"/>
                <w:sz w:val="22"/>
              </w:rPr>
            </w:pPr>
            <w:r w:rsidRPr="005C1F67">
              <w:rPr>
                <w:rFonts w:ascii="Arial" w:eastAsia="Calibri" w:hAnsi="Arial" w:cs="Arial"/>
                <w:color w:val="000000" w:themeColor="text1"/>
                <w:sz w:val="22"/>
              </w:rPr>
              <w:t xml:space="preserve">                           </w:t>
            </w:r>
          </w:p>
        </w:tc>
        <w:tc>
          <w:tcPr>
            <w:tcW w:w="6383" w:type="dxa"/>
            <w:hideMark/>
          </w:tcPr>
          <w:p w14:paraId="069BC436" w14:textId="2F191946" w:rsidR="00FE6E33" w:rsidRPr="005C1F67" w:rsidRDefault="006E4A12" w:rsidP="004A02E2">
            <w:pPr>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ADICIÓN, PRÓRROGA Y RENOVACIÓN ― Diferencias / ADICIÓN ― Concepto ― Distintos supuestos ― Prohibición de adicionar en más del 50% / </w:t>
            </w:r>
            <w:r w:rsidR="004A02E2" w:rsidRPr="004A02E2">
              <w:rPr>
                <w:rFonts w:ascii="Arial" w:eastAsia="Calibri" w:hAnsi="Arial" w:cs="Arial"/>
                <w:color w:val="000000" w:themeColor="text1"/>
                <w:sz w:val="22"/>
              </w:rPr>
              <w:t>ADICION – Prohibición – Monto – Contenido – Cálculo del monto – Ley 80, artículo 40, parágrafo</w:t>
            </w:r>
          </w:p>
        </w:tc>
      </w:tr>
      <w:tr w:rsidR="00A62DC0" w:rsidRPr="005C1F67" w14:paraId="62473A71" w14:textId="77777777" w:rsidTr="2547E75F">
        <w:tc>
          <w:tcPr>
            <w:tcW w:w="2689" w:type="dxa"/>
          </w:tcPr>
          <w:p w14:paraId="730BF589" w14:textId="77777777" w:rsidR="00A37FB6" w:rsidRPr="005C1F67" w:rsidRDefault="00A37FB6" w:rsidP="00D01760">
            <w:pPr>
              <w:rPr>
                <w:rFonts w:ascii="Arial" w:eastAsia="Calibri" w:hAnsi="Arial" w:cs="Arial"/>
                <w:b/>
                <w:color w:val="000000" w:themeColor="text1"/>
                <w:sz w:val="22"/>
              </w:rPr>
            </w:pPr>
            <w:r w:rsidRPr="005C1F67">
              <w:rPr>
                <w:rFonts w:ascii="Arial" w:eastAsia="Calibri" w:hAnsi="Arial" w:cs="Arial"/>
                <w:b/>
                <w:color w:val="000000" w:themeColor="text1"/>
                <w:sz w:val="22"/>
              </w:rPr>
              <w:t>Radicación:</w:t>
            </w:r>
            <w:r w:rsidRPr="005C1F67">
              <w:rPr>
                <w:rFonts w:ascii="Arial" w:eastAsia="Calibri" w:hAnsi="Arial" w:cs="Arial"/>
                <w:color w:val="000000" w:themeColor="text1"/>
                <w:sz w:val="22"/>
              </w:rPr>
              <w:t xml:space="preserve">                              </w:t>
            </w:r>
          </w:p>
        </w:tc>
        <w:tc>
          <w:tcPr>
            <w:tcW w:w="6383" w:type="dxa"/>
          </w:tcPr>
          <w:p w14:paraId="2CD77F9B" w14:textId="5C287B74" w:rsidR="00A37FB6" w:rsidRPr="005C1F67" w:rsidRDefault="00AD1B0F" w:rsidP="00DB61B0">
            <w:pPr>
              <w:jc w:val="both"/>
              <w:rPr>
                <w:rFonts w:ascii="Arial" w:eastAsia="Calibri" w:hAnsi="Arial" w:cs="Arial"/>
                <w:color w:val="000000" w:themeColor="text1"/>
                <w:sz w:val="22"/>
              </w:rPr>
            </w:pPr>
            <w:r w:rsidRPr="005C1F67">
              <w:rPr>
                <w:rFonts w:ascii="Arial" w:eastAsia="Calibri" w:hAnsi="Arial" w:cs="Arial"/>
                <w:color w:val="000000" w:themeColor="text1"/>
                <w:sz w:val="22"/>
              </w:rPr>
              <w:t>Respuesta a consulta #420201</w:t>
            </w:r>
            <w:r w:rsidR="00DB61B0" w:rsidRPr="005C1F67">
              <w:rPr>
                <w:rFonts w:ascii="Arial" w:eastAsia="Calibri" w:hAnsi="Arial" w:cs="Arial"/>
                <w:color w:val="000000" w:themeColor="text1"/>
                <w:sz w:val="22"/>
              </w:rPr>
              <w:t>3000000868</w:t>
            </w:r>
          </w:p>
        </w:tc>
      </w:tr>
    </w:tbl>
    <w:p w14:paraId="73F98900" w14:textId="44009728" w:rsidR="2547E75F" w:rsidRDefault="2547E75F"/>
    <w:p w14:paraId="6AEA1AE6" w14:textId="167D9CE0" w:rsidR="00A37FB6" w:rsidRPr="005C1F67" w:rsidRDefault="00A37FB6" w:rsidP="00817C23">
      <w:pPr>
        <w:spacing w:line="276" w:lineRule="auto"/>
        <w:rPr>
          <w:rFonts w:ascii="Arial" w:eastAsia="Calibri" w:hAnsi="Arial" w:cs="Arial"/>
          <w:color w:val="000000" w:themeColor="text1"/>
          <w:sz w:val="22"/>
        </w:rPr>
      </w:pPr>
    </w:p>
    <w:p w14:paraId="6BF7EAA1" w14:textId="77777777" w:rsidR="00FE6E33" w:rsidRPr="005C1F67" w:rsidRDefault="00FE6E33" w:rsidP="00817C23">
      <w:pPr>
        <w:spacing w:line="276" w:lineRule="auto"/>
        <w:rPr>
          <w:rFonts w:ascii="Arial" w:eastAsia="Calibri" w:hAnsi="Arial" w:cs="Arial"/>
          <w:color w:val="000000" w:themeColor="text1"/>
          <w:sz w:val="22"/>
        </w:rPr>
      </w:pPr>
    </w:p>
    <w:p w14:paraId="3216C844" w14:textId="015F6841" w:rsidR="00A37FB6" w:rsidRPr="005C1F67" w:rsidRDefault="00DB61B0" w:rsidP="00817C23">
      <w:pPr>
        <w:spacing w:line="276" w:lineRule="auto"/>
        <w:rPr>
          <w:rFonts w:ascii="Arial" w:eastAsia="Calibri" w:hAnsi="Arial" w:cs="Arial"/>
          <w:color w:val="000000" w:themeColor="text1"/>
          <w:sz w:val="22"/>
        </w:rPr>
      </w:pPr>
      <w:r w:rsidRPr="005C1F67">
        <w:rPr>
          <w:rFonts w:ascii="Arial" w:eastAsia="Calibri" w:hAnsi="Arial" w:cs="Arial"/>
          <w:color w:val="000000" w:themeColor="text1"/>
          <w:sz w:val="22"/>
        </w:rPr>
        <w:t xml:space="preserve">Estimada </w:t>
      </w:r>
      <w:r w:rsidR="00834F2E" w:rsidRPr="005C1F67">
        <w:rPr>
          <w:rFonts w:ascii="Arial" w:eastAsia="Calibri" w:hAnsi="Arial" w:cs="Arial"/>
          <w:color w:val="000000" w:themeColor="text1"/>
          <w:sz w:val="22"/>
        </w:rPr>
        <w:t>señor</w:t>
      </w:r>
      <w:r w:rsidRPr="005C1F67">
        <w:rPr>
          <w:rFonts w:ascii="Arial" w:eastAsia="Calibri" w:hAnsi="Arial" w:cs="Arial"/>
          <w:color w:val="000000" w:themeColor="text1"/>
          <w:sz w:val="22"/>
        </w:rPr>
        <w:t>a</w:t>
      </w:r>
      <w:r w:rsidR="00A37FB6" w:rsidRPr="005C1F67">
        <w:rPr>
          <w:rFonts w:ascii="Arial" w:eastAsia="Calibri" w:hAnsi="Arial" w:cs="Arial"/>
          <w:color w:val="000000" w:themeColor="text1"/>
          <w:sz w:val="22"/>
        </w:rPr>
        <w:t>,</w:t>
      </w:r>
    </w:p>
    <w:p w14:paraId="2F0DA2F5" w14:textId="77777777" w:rsidR="00A37FB6" w:rsidRPr="005C1F67" w:rsidRDefault="00A37FB6" w:rsidP="00817C23">
      <w:pPr>
        <w:spacing w:line="276" w:lineRule="auto"/>
        <w:rPr>
          <w:rFonts w:ascii="Arial" w:eastAsia="Calibri" w:hAnsi="Arial" w:cs="Arial"/>
          <w:color w:val="000000" w:themeColor="text1"/>
          <w:sz w:val="22"/>
        </w:rPr>
      </w:pPr>
    </w:p>
    <w:p w14:paraId="5AB2D95F" w14:textId="713DFD13" w:rsidR="00A26123" w:rsidRPr="005C1F67" w:rsidRDefault="00A37FB6" w:rsidP="00817C23">
      <w:pPr>
        <w:spacing w:line="276" w:lineRule="auto"/>
        <w:ind w:right="49"/>
        <w:jc w:val="both"/>
        <w:rPr>
          <w:rFonts w:ascii="Arial" w:eastAsia="Calibri" w:hAnsi="Arial" w:cs="Arial"/>
          <w:color w:val="000000" w:themeColor="text1"/>
          <w:sz w:val="22"/>
        </w:rPr>
      </w:pPr>
      <w:r w:rsidRPr="005C1F67">
        <w:rPr>
          <w:rFonts w:ascii="Arial" w:eastAsia="Calibri" w:hAnsi="Arial" w:cs="Arial"/>
          <w:color w:val="000000" w:themeColor="text1"/>
          <w:sz w:val="22"/>
        </w:rPr>
        <w:t>La Agencia Nacional de Contratación Pública ―</w:t>
      </w:r>
      <w:r w:rsidR="006237F4"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 xml:space="preserve">Colombia Compra Eficiente responde su consulta </w:t>
      </w:r>
      <w:r w:rsidR="004141CB" w:rsidRPr="005C1F67">
        <w:rPr>
          <w:rFonts w:ascii="Arial" w:eastAsia="Calibri" w:hAnsi="Arial" w:cs="Arial"/>
          <w:color w:val="000000" w:themeColor="text1"/>
          <w:sz w:val="22"/>
        </w:rPr>
        <w:t xml:space="preserve">del </w:t>
      </w:r>
      <w:r w:rsidR="00DB61B0" w:rsidRPr="005C1F67">
        <w:rPr>
          <w:rFonts w:ascii="Arial" w:eastAsia="Calibri" w:hAnsi="Arial" w:cs="Arial"/>
          <w:color w:val="000000" w:themeColor="text1"/>
          <w:sz w:val="22"/>
        </w:rPr>
        <w:t>7 de febrero</w:t>
      </w:r>
      <w:r w:rsidR="004141CB" w:rsidRPr="005C1F67">
        <w:rPr>
          <w:rFonts w:ascii="Arial" w:eastAsia="Calibri" w:hAnsi="Arial" w:cs="Arial"/>
          <w:color w:val="000000" w:themeColor="text1"/>
          <w:sz w:val="22"/>
        </w:rPr>
        <w:t xml:space="preserve"> de 2020</w:t>
      </w:r>
      <w:r w:rsidRPr="005C1F67">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222C7CC" w14:textId="77777777" w:rsidR="00FE6E33" w:rsidRPr="005C1F67" w:rsidRDefault="00FE6E33" w:rsidP="00817C23">
      <w:pPr>
        <w:spacing w:line="276" w:lineRule="auto"/>
        <w:ind w:right="49"/>
        <w:jc w:val="both"/>
        <w:rPr>
          <w:rFonts w:ascii="Arial" w:eastAsia="Calibri" w:hAnsi="Arial" w:cs="Arial"/>
          <w:color w:val="000000" w:themeColor="text1"/>
          <w:sz w:val="22"/>
        </w:rPr>
      </w:pPr>
    </w:p>
    <w:p w14:paraId="737E2623" w14:textId="7F16A5CA" w:rsidR="00A37FB6" w:rsidRPr="005C1F67" w:rsidRDefault="00A37FB6" w:rsidP="00817C23">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t xml:space="preserve">Problemas planteados </w:t>
      </w:r>
    </w:p>
    <w:p w14:paraId="498A026D" w14:textId="77777777" w:rsidR="00A37FB6" w:rsidRPr="005C1F67" w:rsidRDefault="00A37FB6" w:rsidP="00817C23">
      <w:pPr>
        <w:tabs>
          <w:tab w:val="left" w:pos="426"/>
        </w:tabs>
        <w:spacing w:line="276" w:lineRule="auto"/>
        <w:jc w:val="both"/>
        <w:rPr>
          <w:rFonts w:ascii="Arial" w:eastAsia="Calibri" w:hAnsi="Arial" w:cs="Arial"/>
          <w:b/>
          <w:color w:val="000000" w:themeColor="text1"/>
          <w:sz w:val="22"/>
        </w:rPr>
      </w:pPr>
    </w:p>
    <w:p w14:paraId="4E8BF739" w14:textId="71C98062" w:rsidR="00A37FB6" w:rsidRPr="005C1F67" w:rsidRDefault="00A62DC0" w:rsidP="00452D38">
      <w:pPr>
        <w:tabs>
          <w:tab w:val="left" w:pos="426"/>
        </w:tabs>
        <w:spacing w:line="276" w:lineRule="auto"/>
        <w:jc w:val="both"/>
        <w:rPr>
          <w:rFonts w:ascii="Arial" w:eastAsia="Calibri" w:hAnsi="Arial" w:cs="Arial"/>
          <w:color w:val="000000" w:themeColor="text1"/>
          <w:sz w:val="22"/>
        </w:rPr>
      </w:pPr>
      <w:r w:rsidRPr="005C1F67">
        <w:rPr>
          <w:rFonts w:ascii="Arial" w:eastAsia="Calibri" w:hAnsi="Arial" w:cs="Arial"/>
          <w:color w:val="000000" w:themeColor="text1"/>
          <w:sz w:val="22"/>
        </w:rPr>
        <w:t>La peticionaria formuló la</w:t>
      </w:r>
      <w:r w:rsidR="00BF193E" w:rsidRPr="005C1F67">
        <w:rPr>
          <w:rFonts w:ascii="Arial" w:eastAsia="Calibri" w:hAnsi="Arial" w:cs="Arial"/>
          <w:color w:val="000000" w:themeColor="text1"/>
          <w:sz w:val="22"/>
        </w:rPr>
        <w:t xml:space="preserve"> </w:t>
      </w:r>
      <w:r w:rsidRPr="005C1F67">
        <w:rPr>
          <w:rFonts w:ascii="Arial" w:eastAsia="Calibri" w:hAnsi="Arial" w:cs="Arial"/>
          <w:color w:val="000000" w:themeColor="text1"/>
          <w:sz w:val="22"/>
        </w:rPr>
        <w:t>siguiente pregunta sobre la adición de contratos, en</w:t>
      </w:r>
      <w:r w:rsidR="00F96744" w:rsidRPr="005C1F67">
        <w:rPr>
          <w:rFonts w:ascii="Arial" w:eastAsia="Calibri" w:hAnsi="Arial" w:cs="Arial"/>
          <w:color w:val="000000" w:themeColor="text1"/>
          <w:sz w:val="22"/>
        </w:rPr>
        <w:t xml:space="preserve"> </w:t>
      </w:r>
      <w:r w:rsidR="00817C23" w:rsidRPr="005C1F67">
        <w:rPr>
          <w:rFonts w:ascii="Arial" w:eastAsia="Calibri" w:hAnsi="Arial" w:cs="Arial"/>
          <w:color w:val="000000" w:themeColor="text1"/>
          <w:sz w:val="22"/>
        </w:rPr>
        <w:t xml:space="preserve">el </w:t>
      </w:r>
      <w:r w:rsidR="00F96744" w:rsidRPr="005C1F67">
        <w:rPr>
          <w:rFonts w:ascii="Arial" w:eastAsia="Calibri" w:hAnsi="Arial" w:cs="Arial"/>
          <w:color w:val="000000" w:themeColor="text1"/>
          <w:sz w:val="22"/>
        </w:rPr>
        <w:t>régimen actual de contratación estatal</w:t>
      </w:r>
      <w:r w:rsidR="00817C23" w:rsidRPr="005C1F67">
        <w:rPr>
          <w:rFonts w:ascii="Arial" w:eastAsia="Calibri" w:hAnsi="Arial" w:cs="Arial"/>
          <w:color w:val="000000" w:themeColor="text1"/>
          <w:sz w:val="22"/>
        </w:rPr>
        <w:t>:</w:t>
      </w:r>
      <w:r w:rsidR="00582208" w:rsidRPr="005C1F67">
        <w:rPr>
          <w:rFonts w:ascii="Arial" w:eastAsia="Calibri" w:hAnsi="Arial" w:cs="Arial"/>
          <w:color w:val="000000" w:themeColor="text1"/>
          <w:sz w:val="22"/>
        </w:rPr>
        <w:t xml:space="preserve"> </w:t>
      </w:r>
      <w:r w:rsidR="00452D38" w:rsidRPr="005C1F67">
        <w:rPr>
          <w:rFonts w:ascii="Arial" w:eastAsia="Calibri" w:hAnsi="Arial" w:cs="Arial"/>
          <w:color w:val="000000" w:themeColor="text1"/>
          <w:sz w:val="22"/>
        </w:rPr>
        <w:t xml:space="preserve">«De manera atenta les solicitamos aclarar, si en materia de contratación estatal la figura de </w:t>
      </w:r>
      <w:r w:rsidR="00BF157B" w:rsidRPr="005C1F67">
        <w:rPr>
          <w:rFonts w:ascii="Arial" w:eastAsia="Calibri" w:hAnsi="Arial" w:cs="Arial"/>
          <w:color w:val="000000" w:themeColor="text1"/>
          <w:sz w:val="22"/>
        </w:rPr>
        <w:t>“</w:t>
      </w:r>
      <w:r w:rsidR="00452D38" w:rsidRPr="005C1F67">
        <w:rPr>
          <w:rFonts w:ascii="Arial" w:eastAsia="Calibri" w:hAnsi="Arial" w:cs="Arial"/>
          <w:color w:val="000000" w:themeColor="text1"/>
          <w:sz w:val="22"/>
        </w:rPr>
        <w:t>contrato adicional</w:t>
      </w:r>
      <w:r w:rsidR="00BF157B" w:rsidRPr="005C1F67">
        <w:rPr>
          <w:rFonts w:ascii="Arial" w:eastAsia="Calibri" w:hAnsi="Arial" w:cs="Arial"/>
          <w:color w:val="000000" w:themeColor="text1"/>
          <w:sz w:val="22"/>
        </w:rPr>
        <w:t>”</w:t>
      </w:r>
      <w:r w:rsidR="00452D38" w:rsidRPr="005C1F67">
        <w:rPr>
          <w:rFonts w:ascii="Arial" w:eastAsia="Calibri" w:hAnsi="Arial" w:cs="Arial"/>
          <w:color w:val="000000" w:themeColor="text1"/>
          <w:sz w:val="22"/>
        </w:rPr>
        <w:t xml:space="preserve"> está vigente o no y en qué casos procede.  Lo anterior en atención a que esta figura estaba contenida específicamente en el artículo 58 del DL. 222 mientras que la Ley 80 de 1993 no lo consagra expresamente».</w:t>
      </w:r>
    </w:p>
    <w:p w14:paraId="6A982790" w14:textId="77777777" w:rsidR="00A37FB6" w:rsidRPr="005C1F67" w:rsidRDefault="00A37FB6" w:rsidP="00817C23">
      <w:pPr>
        <w:tabs>
          <w:tab w:val="left" w:pos="426"/>
        </w:tabs>
        <w:spacing w:line="276" w:lineRule="auto"/>
        <w:jc w:val="both"/>
        <w:rPr>
          <w:rFonts w:ascii="Arial" w:eastAsia="Calibri" w:hAnsi="Arial" w:cs="Arial"/>
          <w:color w:val="000000" w:themeColor="text1"/>
          <w:sz w:val="22"/>
        </w:rPr>
      </w:pPr>
    </w:p>
    <w:p w14:paraId="0DAF0046" w14:textId="78485DFA" w:rsidR="00F96744" w:rsidRPr="005C1F67" w:rsidRDefault="00A37FB6" w:rsidP="00817C23">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5C1F67">
        <w:rPr>
          <w:rFonts w:ascii="Arial" w:eastAsia="Calibri" w:hAnsi="Arial" w:cs="Arial"/>
          <w:b/>
          <w:color w:val="000000" w:themeColor="text1"/>
          <w:sz w:val="22"/>
        </w:rPr>
        <w:lastRenderedPageBreak/>
        <w:t>Consideraciones</w:t>
      </w:r>
      <w:bookmarkEnd w:id="0"/>
      <w:bookmarkEnd w:id="1"/>
    </w:p>
    <w:p w14:paraId="4A3A14E0" w14:textId="77777777" w:rsidR="00A62DC0" w:rsidRPr="005C1F67" w:rsidRDefault="00A62DC0" w:rsidP="00817C23">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2BD34DF0" w14:textId="28128461" w:rsidR="00757592" w:rsidRPr="005C1F67" w:rsidRDefault="00757592" w:rsidP="00A67A27">
      <w:pPr>
        <w:spacing w:after="120" w:line="276" w:lineRule="auto"/>
        <w:ind w:firstLine="708"/>
        <w:jc w:val="both"/>
        <w:rPr>
          <w:rFonts w:ascii="Arial" w:hAnsi="Arial" w:cs="Arial"/>
          <w:color w:val="000000" w:themeColor="text1"/>
          <w:sz w:val="22"/>
        </w:rPr>
      </w:pPr>
      <w:r w:rsidRPr="005C1F67">
        <w:rPr>
          <w:rFonts w:ascii="Arial" w:hAnsi="Arial" w:cs="Arial"/>
          <w:color w:val="000000" w:themeColor="text1"/>
          <w:sz w:val="22"/>
        </w:rPr>
        <w:t xml:space="preserve">La Agencia Nacional de Contratación Pública ― Colombia Compra Eficiente, </w:t>
      </w:r>
      <w:r w:rsidRPr="005C1F67">
        <w:rPr>
          <w:rFonts w:ascii="Arial" w:eastAsia="Calibri" w:hAnsi="Arial" w:cs="Arial"/>
          <w:color w:val="000000" w:themeColor="text1"/>
          <w:sz w:val="22"/>
        </w:rPr>
        <w:t xml:space="preserve">en los conceptos con radicado Nos. </w:t>
      </w:r>
      <w:r w:rsidR="000929B3" w:rsidRPr="005C1F67">
        <w:rPr>
          <w:rFonts w:ascii="Arial" w:eastAsia="Calibri" w:hAnsi="Arial" w:cs="Arial"/>
          <w:color w:val="000000" w:themeColor="text1"/>
          <w:sz w:val="22"/>
        </w:rPr>
        <w:t>4201912000007298</w:t>
      </w:r>
      <w:r w:rsidR="00087342" w:rsidRPr="005C1F67">
        <w:rPr>
          <w:rFonts w:ascii="Arial" w:eastAsia="Calibri" w:hAnsi="Arial" w:cs="Arial"/>
          <w:color w:val="000000" w:themeColor="text1"/>
          <w:sz w:val="22"/>
        </w:rPr>
        <w:t xml:space="preserve"> de </w:t>
      </w:r>
      <w:r w:rsidR="008A70A1" w:rsidRPr="005C1F67">
        <w:rPr>
          <w:rFonts w:ascii="Arial" w:eastAsia="Calibri" w:hAnsi="Arial" w:cs="Arial"/>
          <w:color w:val="000000" w:themeColor="text1"/>
          <w:sz w:val="22"/>
        </w:rPr>
        <w:t>23 de octubre de 2019</w:t>
      </w:r>
      <w:r w:rsidR="00A67A27" w:rsidRPr="005C1F67">
        <w:rPr>
          <w:rFonts w:ascii="Arial" w:eastAsia="Calibri" w:hAnsi="Arial" w:cs="Arial"/>
          <w:color w:val="000000" w:themeColor="text1"/>
          <w:sz w:val="22"/>
        </w:rPr>
        <w:t xml:space="preserve">, </w:t>
      </w:r>
      <w:r w:rsidR="000929B3" w:rsidRPr="005C1F67">
        <w:rPr>
          <w:rFonts w:ascii="Arial" w:eastAsia="Calibri" w:hAnsi="Arial" w:cs="Arial"/>
          <w:color w:val="000000" w:themeColor="text1"/>
          <w:sz w:val="22"/>
        </w:rPr>
        <w:t>4201913000006294</w:t>
      </w:r>
      <w:r w:rsidR="008A70A1" w:rsidRPr="005C1F67">
        <w:rPr>
          <w:rFonts w:ascii="Arial" w:eastAsia="Calibri" w:hAnsi="Arial" w:cs="Arial"/>
          <w:color w:val="000000" w:themeColor="text1"/>
          <w:sz w:val="22"/>
        </w:rPr>
        <w:t xml:space="preserve"> de</w:t>
      </w:r>
      <w:r w:rsidR="00BF193E" w:rsidRPr="005C1F67">
        <w:rPr>
          <w:rFonts w:ascii="Arial" w:eastAsia="Calibri" w:hAnsi="Arial" w:cs="Arial"/>
          <w:color w:val="000000" w:themeColor="text1"/>
          <w:sz w:val="22"/>
        </w:rPr>
        <w:t>l</w:t>
      </w:r>
      <w:r w:rsidR="008A70A1" w:rsidRPr="005C1F67">
        <w:rPr>
          <w:rFonts w:ascii="Arial" w:eastAsia="Calibri" w:hAnsi="Arial" w:cs="Arial"/>
          <w:color w:val="000000" w:themeColor="text1"/>
          <w:sz w:val="22"/>
        </w:rPr>
        <w:t xml:space="preserve"> 16 de septiembre de 2019</w:t>
      </w:r>
      <w:r w:rsidR="00A67A27" w:rsidRPr="005C1F67">
        <w:rPr>
          <w:rFonts w:ascii="Arial" w:eastAsia="Calibri" w:hAnsi="Arial" w:cs="Arial"/>
          <w:color w:val="000000" w:themeColor="text1"/>
          <w:sz w:val="22"/>
        </w:rPr>
        <w:t xml:space="preserve"> y en el C ― 062 del 25 de marzo de 2020 estudió asuntos relacionados con la adición de los </w:t>
      </w:r>
      <w:r w:rsidR="00A67A27" w:rsidRPr="005C1F67">
        <w:rPr>
          <w:rFonts w:ascii="Arial" w:hAnsi="Arial" w:cs="Arial"/>
          <w:color w:val="000000" w:themeColor="text1"/>
          <w:sz w:val="22"/>
        </w:rPr>
        <w:t>contratos estatales.</w:t>
      </w:r>
    </w:p>
    <w:p w14:paraId="41241DC0" w14:textId="708274E8" w:rsidR="00A67A27" w:rsidRPr="005C1F67" w:rsidRDefault="00A67A27" w:rsidP="00A67A27">
      <w:pPr>
        <w:spacing w:line="276" w:lineRule="auto"/>
        <w:jc w:val="both"/>
        <w:rPr>
          <w:rFonts w:ascii="Arial" w:hAnsi="Arial" w:cs="Arial"/>
          <w:color w:val="000000" w:themeColor="text1"/>
          <w:sz w:val="22"/>
        </w:rPr>
      </w:pPr>
      <w:r w:rsidRPr="005C1F67">
        <w:rPr>
          <w:rFonts w:ascii="Arial" w:hAnsi="Arial" w:cs="Arial"/>
          <w:color w:val="000000" w:themeColor="text1"/>
          <w:sz w:val="22"/>
        </w:rPr>
        <w:tab/>
        <w:t>Previo a</w:t>
      </w:r>
      <w:r w:rsidR="00AC7B03" w:rsidRPr="005C1F67">
        <w:rPr>
          <w:rFonts w:ascii="Arial" w:hAnsi="Arial" w:cs="Arial"/>
          <w:color w:val="000000" w:themeColor="text1"/>
          <w:sz w:val="22"/>
        </w:rPr>
        <w:t>l</w:t>
      </w:r>
      <w:r w:rsidRPr="005C1F67">
        <w:rPr>
          <w:rFonts w:ascii="Arial" w:hAnsi="Arial" w:cs="Arial"/>
          <w:color w:val="000000" w:themeColor="text1"/>
          <w:sz w:val="22"/>
        </w:rPr>
        <w:t xml:space="preserve"> an</w:t>
      </w:r>
      <w:r w:rsidR="00AC7B03" w:rsidRPr="005C1F67">
        <w:rPr>
          <w:rFonts w:ascii="Arial" w:hAnsi="Arial" w:cs="Arial"/>
          <w:color w:val="000000" w:themeColor="text1"/>
          <w:sz w:val="22"/>
        </w:rPr>
        <w:t>álisis de</w:t>
      </w:r>
      <w:r w:rsidRPr="005C1F67">
        <w:rPr>
          <w:rFonts w:ascii="Arial" w:hAnsi="Arial" w:cs="Arial"/>
          <w:color w:val="000000" w:themeColor="text1"/>
          <w:sz w:val="22"/>
        </w:rPr>
        <w:t xml:space="preserve"> la adición de los contratos estatales, se estudiarán otras figuras </w:t>
      </w:r>
      <w:r w:rsidR="00BF193E" w:rsidRPr="005C1F67">
        <w:rPr>
          <w:rFonts w:ascii="Arial" w:hAnsi="Arial" w:cs="Arial"/>
          <w:color w:val="000000" w:themeColor="text1"/>
          <w:sz w:val="22"/>
        </w:rPr>
        <w:t xml:space="preserve">cercanas, relacionadas con la modificación de los contratos, </w:t>
      </w:r>
      <w:r w:rsidRPr="005C1F67">
        <w:rPr>
          <w:rFonts w:ascii="Arial" w:hAnsi="Arial" w:cs="Arial"/>
          <w:color w:val="000000" w:themeColor="text1"/>
          <w:sz w:val="22"/>
        </w:rPr>
        <w:t>en genera</w:t>
      </w:r>
      <w:r w:rsidR="00BF193E" w:rsidRPr="005C1F67">
        <w:rPr>
          <w:rFonts w:ascii="Arial" w:hAnsi="Arial" w:cs="Arial"/>
          <w:color w:val="000000" w:themeColor="text1"/>
          <w:sz w:val="22"/>
        </w:rPr>
        <w:t>l;</w:t>
      </w:r>
      <w:r w:rsidRPr="005C1F67">
        <w:rPr>
          <w:rFonts w:ascii="Arial" w:hAnsi="Arial" w:cs="Arial"/>
          <w:color w:val="000000" w:themeColor="text1"/>
          <w:sz w:val="22"/>
        </w:rPr>
        <w:t xml:space="preserve"> por lo que se desarrollarán las diferencias entre adición, prórroga y renovación; no obstante, posteriormente se hará énfasis en relación con el principal límite contemplado por la Ley 80 de 1993</w:t>
      </w:r>
      <w:r w:rsidR="00BF193E" w:rsidRPr="005C1F67">
        <w:rPr>
          <w:rFonts w:ascii="Arial" w:hAnsi="Arial" w:cs="Arial"/>
          <w:color w:val="000000" w:themeColor="text1"/>
          <w:sz w:val="22"/>
        </w:rPr>
        <w:t>,</w:t>
      </w:r>
      <w:r w:rsidRPr="005C1F67">
        <w:rPr>
          <w:rFonts w:ascii="Arial" w:hAnsi="Arial" w:cs="Arial"/>
          <w:color w:val="000000" w:themeColor="text1"/>
          <w:sz w:val="22"/>
        </w:rPr>
        <w:t xml:space="preserve"> en torno a la modificación </w:t>
      </w:r>
      <w:r w:rsidR="00BF193E" w:rsidRPr="005C1F67">
        <w:rPr>
          <w:rFonts w:ascii="Arial" w:hAnsi="Arial" w:cs="Arial"/>
          <w:color w:val="000000" w:themeColor="text1"/>
          <w:sz w:val="22"/>
        </w:rPr>
        <w:t xml:space="preserve">―adición― </w:t>
      </w:r>
      <w:r w:rsidRPr="005C1F67">
        <w:rPr>
          <w:rFonts w:ascii="Arial" w:hAnsi="Arial" w:cs="Arial"/>
          <w:color w:val="000000" w:themeColor="text1"/>
          <w:sz w:val="22"/>
        </w:rPr>
        <w:t>de los contratos</w:t>
      </w:r>
      <w:r w:rsidR="00BF193E" w:rsidRPr="005C1F67">
        <w:rPr>
          <w:rFonts w:ascii="Arial" w:hAnsi="Arial" w:cs="Arial"/>
          <w:color w:val="000000" w:themeColor="text1"/>
          <w:sz w:val="22"/>
        </w:rPr>
        <w:t xml:space="preserve"> estatales</w:t>
      </w:r>
      <w:r w:rsidRPr="005C1F67">
        <w:rPr>
          <w:rFonts w:ascii="Arial" w:hAnsi="Arial" w:cs="Arial"/>
          <w:color w:val="000000" w:themeColor="text1"/>
          <w:sz w:val="22"/>
        </w:rPr>
        <w:t>.</w:t>
      </w:r>
    </w:p>
    <w:p w14:paraId="19C96C8D" w14:textId="77777777" w:rsidR="00A67A27" w:rsidRPr="005C1F67" w:rsidRDefault="00A67A27" w:rsidP="00A67A27">
      <w:pPr>
        <w:spacing w:line="276" w:lineRule="auto"/>
        <w:jc w:val="both"/>
        <w:rPr>
          <w:rFonts w:ascii="Arial" w:hAnsi="Arial" w:cs="Arial"/>
          <w:b/>
          <w:color w:val="000000" w:themeColor="text1"/>
          <w:sz w:val="22"/>
        </w:rPr>
      </w:pPr>
    </w:p>
    <w:p w14:paraId="1A35484C" w14:textId="1546BF6C" w:rsidR="00A67A27" w:rsidRPr="005C1F67" w:rsidRDefault="00A67A27" w:rsidP="00817C23">
      <w:pPr>
        <w:spacing w:line="276" w:lineRule="auto"/>
        <w:jc w:val="both"/>
        <w:rPr>
          <w:rFonts w:ascii="Arial" w:hAnsi="Arial" w:cs="Arial"/>
          <w:b/>
          <w:color w:val="000000" w:themeColor="text1"/>
          <w:sz w:val="22"/>
        </w:rPr>
      </w:pPr>
      <w:r w:rsidRPr="005C1F67">
        <w:rPr>
          <w:rFonts w:ascii="Arial" w:hAnsi="Arial" w:cs="Arial"/>
          <w:b/>
          <w:color w:val="000000" w:themeColor="text1"/>
          <w:sz w:val="22"/>
        </w:rPr>
        <w:t xml:space="preserve">2.1. Diferencias </w:t>
      </w:r>
      <w:r w:rsidRPr="005C1F67">
        <w:rPr>
          <w:rFonts w:ascii="Arial" w:hAnsi="Arial" w:cs="Arial"/>
          <w:b/>
          <w:bCs/>
          <w:iCs/>
          <w:color w:val="000000" w:themeColor="text1"/>
          <w:sz w:val="22"/>
          <w:lang w:eastAsia="es-ES"/>
        </w:rPr>
        <w:t>entre prórroga, adición y renovación de los contratos estatales</w:t>
      </w:r>
      <w:r w:rsidRPr="005C1F67">
        <w:rPr>
          <w:rFonts w:ascii="Arial" w:hAnsi="Arial" w:cs="Arial"/>
          <w:b/>
          <w:color w:val="000000" w:themeColor="text1"/>
          <w:sz w:val="22"/>
        </w:rPr>
        <w:t xml:space="preserve"> </w:t>
      </w:r>
    </w:p>
    <w:p w14:paraId="6CFDE83F" w14:textId="3E47F0DF" w:rsidR="00A67A27" w:rsidRPr="005C1F67" w:rsidRDefault="00A67A27" w:rsidP="00817C23">
      <w:pPr>
        <w:spacing w:line="276" w:lineRule="auto"/>
        <w:jc w:val="both"/>
        <w:rPr>
          <w:rFonts w:ascii="Arial" w:hAnsi="Arial" w:cs="Arial"/>
          <w:b/>
          <w:color w:val="000000" w:themeColor="text1"/>
          <w:sz w:val="22"/>
        </w:rPr>
      </w:pPr>
    </w:p>
    <w:p w14:paraId="72572217" w14:textId="77777777" w:rsidR="001E663F" w:rsidRPr="005C1F67" w:rsidRDefault="001E663F" w:rsidP="001E663F">
      <w:pPr>
        <w:spacing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confusión entre estos conceptos se debe al uso indistinto o impreciso realizado por la legislación, la doctrina y la jurisprudencia. De esta manera, el artículo 45 del derogado Decreto 150 de 1976</w:t>
      </w:r>
      <w:r w:rsidRPr="005C1F67">
        <w:rPr>
          <w:rStyle w:val="Refdenotaalpie"/>
          <w:rFonts w:ascii="Arial" w:eastAsia="Times New Roman" w:hAnsi="Arial" w:cs="Arial"/>
          <w:color w:val="000000" w:themeColor="text1"/>
          <w:sz w:val="22"/>
          <w:lang w:eastAsia="es-ES"/>
        </w:rPr>
        <w:footnoteReference w:id="1"/>
      </w:r>
      <w:r w:rsidRPr="005C1F67">
        <w:rPr>
          <w:rFonts w:ascii="Arial" w:eastAsia="Times New Roman" w:hAnsi="Arial" w:cs="Arial"/>
          <w:color w:val="000000" w:themeColor="text1"/>
          <w:sz w:val="22"/>
          <w:lang w:eastAsia="es-ES"/>
        </w:rPr>
        <w:t xml:space="preserve">, al ocuparse de los contratos adicionales, estableció que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podían efectuarse en relación con el valor o el plazo, de manera que se desarrolló bajo un mismo concepto la posibilidad de modificar el valor o el plazo de los contratos, esto es, mediante </w:t>
      </w:r>
      <w:r w:rsidRPr="005C1F67">
        <w:rPr>
          <w:rFonts w:ascii="Arial" w:eastAsia="Times New Roman" w:hAnsi="Arial" w:cs="Arial"/>
          <w:i/>
          <w:color w:val="000000" w:themeColor="text1"/>
          <w:sz w:val="22"/>
          <w:lang w:eastAsia="es-ES"/>
        </w:rPr>
        <w:t xml:space="preserve">adiciones. </w:t>
      </w:r>
    </w:p>
    <w:p w14:paraId="13C3CD29" w14:textId="6E1263D4" w:rsidR="001E663F" w:rsidRPr="005C1F67" w:rsidRDefault="001E663F" w:rsidP="001E663F">
      <w:pPr>
        <w:tabs>
          <w:tab w:val="left" w:pos="6237"/>
        </w:tabs>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El derogado Decreto Ley 222 de 1983 conservó la estructura de la norma anterior, al señalar, en el inciso primero del artículo 58, que: «</w:t>
      </w:r>
      <w:r w:rsidRPr="005C1F67">
        <w:rPr>
          <w:rFonts w:ascii="Arial" w:eastAsia="Times New Roman" w:hAnsi="Arial" w:cs="Arial"/>
          <w:i/>
          <w:color w:val="000000" w:themeColor="text1"/>
          <w:sz w:val="22"/>
          <w:lang w:eastAsia="es-ES"/>
        </w:rPr>
        <w:t>Las adiciones relacionadas con el valor</w:t>
      </w:r>
      <w:r w:rsidRPr="005C1F67">
        <w:rPr>
          <w:rFonts w:ascii="Arial" w:eastAsia="Times New Roman" w:hAnsi="Arial" w:cs="Arial"/>
          <w:color w:val="000000" w:themeColor="text1"/>
          <w:sz w:val="22"/>
          <w:lang w:eastAsia="es-ES"/>
        </w:rPr>
        <w:t xml:space="preserve"> quedarán perfeccionadas una vez suscrito el contrato y efectuado el registro presupuestal. </w:t>
      </w:r>
      <w:r w:rsidRPr="005C1F67">
        <w:rPr>
          <w:rFonts w:ascii="Arial" w:eastAsia="Times New Roman" w:hAnsi="Arial" w:cs="Arial"/>
          <w:i/>
          <w:color w:val="000000" w:themeColor="text1"/>
          <w:sz w:val="22"/>
          <w:lang w:eastAsia="es-ES"/>
        </w:rPr>
        <w:t xml:space="preserve">Las relacionadas con el plazo </w:t>
      </w:r>
      <w:r w:rsidRPr="005C1F67">
        <w:rPr>
          <w:rFonts w:ascii="Arial" w:eastAsia="Times New Roman" w:hAnsi="Arial" w:cs="Arial"/>
          <w:iCs/>
          <w:color w:val="000000" w:themeColor="text1"/>
          <w:sz w:val="22"/>
          <w:lang w:eastAsia="es-ES"/>
        </w:rPr>
        <w:t>[…]»</w:t>
      </w:r>
      <w:r w:rsidR="00441244" w:rsidRPr="005C1F67">
        <w:rPr>
          <w:rStyle w:val="Refdenotaalpie"/>
          <w:rFonts w:ascii="Arial" w:eastAsia="Times New Roman" w:hAnsi="Arial" w:cs="Arial"/>
          <w:iCs/>
          <w:color w:val="000000" w:themeColor="text1"/>
          <w:sz w:val="22"/>
          <w:lang w:eastAsia="es-ES"/>
        </w:rPr>
        <w:footnoteReference w:id="2"/>
      </w:r>
      <w:r w:rsidRPr="005C1F67">
        <w:rPr>
          <w:rFonts w:ascii="Arial" w:eastAsia="Times New Roman" w:hAnsi="Arial" w:cs="Arial"/>
          <w:iCs/>
          <w:color w:val="000000" w:themeColor="text1"/>
          <w:sz w:val="22"/>
          <w:lang w:eastAsia="es-ES"/>
        </w:rPr>
        <w:t>.</w:t>
      </w:r>
      <w:r w:rsidRPr="005C1F67">
        <w:rPr>
          <w:rFonts w:ascii="Arial" w:eastAsia="Times New Roman" w:hAnsi="Arial" w:cs="Arial"/>
          <w:color w:val="000000" w:themeColor="text1"/>
          <w:sz w:val="22"/>
          <w:lang w:eastAsia="es-ES"/>
        </w:rPr>
        <w:t xml:space="preserve"> De esta manera, pese a que esta disposición en </w:t>
      </w:r>
      <w:r w:rsidRPr="005C1F67">
        <w:rPr>
          <w:rFonts w:ascii="Arial" w:eastAsia="Times New Roman" w:hAnsi="Arial" w:cs="Arial"/>
          <w:color w:val="000000" w:themeColor="text1"/>
          <w:sz w:val="22"/>
          <w:lang w:eastAsia="es-ES"/>
        </w:rPr>
        <w:lastRenderedPageBreak/>
        <w:t xml:space="preserve">algunos de sus incisos utiliza el concepto prórroga, no contiene una distinción clara entre las adiciones y las prórrogas, en vista de que mediante las </w:t>
      </w:r>
      <w:r w:rsidRPr="005C1F67">
        <w:rPr>
          <w:rFonts w:ascii="Arial" w:eastAsia="Times New Roman" w:hAnsi="Arial" w:cs="Arial"/>
          <w:i/>
          <w:color w:val="000000" w:themeColor="text1"/>
          <w:sz w:val="22"/>
          <w:lang w:eastAsia="es-ES"/>
        </w:rPr>
        <w:t xml:space="preserve">adiciones </w:t>
      </w:r>
      <w:r w:rsidRPr="005C1F67">
        <w:rPr>
          <w:rFonts w:ascii="Arial" w:eastAsia="Times New Roman" w:hAnsi="Arial" w:cs="Arial"/>
          <w:color w:val="000000" w:themeColor="text1"/>
          <w:sz w:val="22"/>
          <w:lang w:eastAsia="es-ES"/>
        </w:rPr>
        <w:t>puede modificarse tanto el plazo como el valor de los contratos, para dichos eventos el artículo indicado señaló que debía suscribirse un «contrato adicional».</w:t>
      </w:r>
    </w:p>
    <w:p w14:paraId="59A25AA9" w14:textId="115C536A"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La Ley 80 de 1993 no se refirió en términos generales a la posibilidad de modificar el plazo de los contratos estatales o a la fijación de límites o condiciones de procedencia, como se hizo en los anteriores estatutos de contratación</w:t>
      </w:r>
      <w:r w:rsidR="00D075A9" w:rsidRPr="005C1F67">
        <w:rPr>
          <w:rFonts w:ascii="Arial" w:eastAsia="Times New Roman" w:hAnsi="Arial" w:cs="Arial"/>
          <w:color w:val="000000" w:themeColor="text1"/>
          <w:sz w:val="22"/>
          <w:lang w:eastAsia="es-ES"/>
        </w:rPr>
        <w:t xml:space="preserve">, </w:t>
      </w:r>
      <w:r w:rsidR="00BF5952" w:rsidRPr="005C1F67">
        <w:rPr>
          <w:rFonts w:ascii="Arial" w:eastAsia="Times New Roman" w:hAnsi="Arial" w:cs="Arial"/>
          <w:color w:val="000000" w:themeColor="text1"/>
          <w:sz w:val="22"/>
          <w:lang w:eastAsia="es-ES"/>
        </w:rPr>
        <w:t xml:space="preserve">aunque dicha posibilidad </w:t>
      </w:r>
      <w:r w:rsidR="00D075A9" w:rsidRPr="005C1F67">
        <w:rPr>
          <w:rFonts w:ascii="Arial" w:eastAsia="Times New Roman" w:hAnsi="Arial" w:cs="Arial"/>
          <w:color w:val="000000" w:themeColor="text1"/>
          <w:sz w:val="22"/>
          <w:lang w:eastAsia="es-ES"/>
        </w:rPr>
        <w:t>se desprendería de l</w:t>
      </w:r>
      <w:r w:rsidR="00500D12" w:rsidRPr="005C1F67">
        <w:rPr>
          <w:rFonts w:ascii="Arial" w:eastAsia="Times New Roman" w:hAnsi="Arial" w:cs="Arial"/>
          <w:color w:val="000000" w:themeColor="text1"/>
          <w:sz w:val="22"/>
          <w:lang w:eastAsia="es-ES"/>
        </w:rPr>
        <w:t>o dispuesto en el tercer inciso del artículo 40 de la Ley 80 de 1993, según el cual «En los contratos que celebren las entidades estatales podrán incluirse las modalidades, condiciones y, en general, las cláusulas o estipulaciones que las partes consideren necesarias y convenientes</w:t>
      </w:r>
      <w:r w:rsidR="00472DDB" w:rsidRPr="005C1F67">
        <w:rPr>
          <w:rFonts w:ascii="Arial" w:eastAsia="Times New Roman" w:hAnsi="Arial" w:cs="Arial"/>
          <w:color w:val="000000" w:themeColor="text1"/>
          <w:sz w:val="22"/>
          <w:lang w:eastAsia="es-ES"/>
        </w:rPr>
        <w:t xml:space="preserve"> […]»</w:t>
      </w:r>
      <w:r w:rsidRPr="005C1F67">
        <w:rPr>
          <w:rFonts w:ascii="Arial" w:eastAsia="Times New Roman" w:hAnsi="Arial" w:cs="Arial"/>
          <w:color w:val="000000" w:themeColor="text1"/>
          <w:sz w:val="22"/>
          <w:lang w:eastAsia="es-ES"/>
        </w:rPr>
        <w:t xml:space="preserve">; no obstante, en el inciso segundo del parágrafo del </w:t>
      </w:r>
      <w:r w:rsidR="00472DDB" w:rsidRPr="005C1F67">
        <w:rPr>
          <w:rFonts w:ascii="Arial" w:eastAsia="Times New Roman" w:hAnsi="Arial" w:cs="Arial"/>
          <w:color w:val="000000" w:themeColor="text1"/>
          <w:sz w:val="22"/>
          <w:lang w:eastAsia="es-ES"/>
        </w:rPr>
        <w:t xml:space="preserve">mismo </w:t>
      </w:r>
      <w:r w:rsidRPr="005C1F67">
        <w:rPr>
          <w:rFonts w:ascii="Arial" w:eastAsia="Times New Roman" w:hAnsi="Arial" w:cs="Arial"/>
          <w:color w:val="000000" w:themeColor="text1"/>
          <w:sz w:val="22"/>
          <w:lang w:eastAsia="es-ES"/>
        </w:rPr>
        <w:t xml:space="preserve">artículo estableció límites a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de los contratos estatales, indicando que «Los contratos no podrán adicionarse en más del cincuenta por ciento (50%) de su valor inicial, expresado éste en salarios mínimos legales mensuales»</w:t>
      </w:r>
      <w:r w:rsidRPr="005C1F67">
        <w:rPr>
          <w:rStyle w:val="Refdenotaalpie"/>
          <w:rFonts w:ascii="Arial" w:eastAsia="Times New Roman" w:hAnsi="Arial" w:cs="Arial"/>
          <w:color w:val="000000" w:themeColor="text1"/>
          <w:sz w:val="22"/>
          <w:lang w:eastAsia="es-ES"/>
        </w:rPr>
        <w:footnoteReference w:id="3"/>
      </w:r>
      <w:r w:rsidRPr="005C1F67">
        <w:rPr>
          <w:rFonts w:ascii="Arial" w:eastAsia="Times New Roman" w:hAnsi="Arial" w:cs="Arial"/>
          <w:color w:val="000000" w:themeColor="text1"/>
          <w:sz w:val="22"/>
          <w:lang w:eastAsia="es-ES"/>
        </w:rPr>
        <w:t>.</w:t>
      </w:r>
    </w:p>
    <w:p w14:paraId="447CEB26" w14:textId="1DF8D6C3" w:rsidR="001E663F" w:rsidRPr="005C1F67" w:rsidRDefault="001E663F" w:rsidP="001E663F">
      <w:pPr>
        <w:tabs>
          <w:tab w:val="left" w:pos="709"/>
        </w:tabs>
        <w:spacing w:before="120" w:after="120" w:line="276" w:lineRule="auto"/>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ab/>
        <w:t xml:space="preserve">Ahora bien, como los estatutos contractuales no establecen una diferencia clara entre los conceptos propuestos, es necesario recurrir a otras disposiciones y aportes doctrinarios para distinguirlos. Como distinción inicial, se tiene que el concepto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está particularmente ligado con la modificación ―ampliación― del plazo de los contratos; las </w:t>
      </w:r>
      <w:r w:rsidRPr="005C1F67">
        <w:rPr>
          <w:rFonts w:ascii="Arial" w:eastAsia="Times New Roman" w:hAnsi="Arial" w:cs="Arial"/>
          <w:i/>
          <w:color w:val="000000" w:themeColor="text1"/>
          <w:sz w:val="22"/>
          <w:lang w:eastAsia="es-ES"/>
        </w:rPr>
        <w:t>adiciones</w:t>
      </w:r>
      <w:r w:rsidRPr="005C1F67">
        <w:rPr>
          <w:rFonts w:ascii="Arial" w:eastAsia="Times New Roman" w:hAnsi="Arial" w:cs="Arial"/>
          <w:color w:val="000000" w:themeColor="text1"/>
          <w:sz w:val="22"/>
          <w:lang w:eastAsia="es-ES"/>
        </w:rPr>
        <w:t xml:space="preserve"> con el incremento del valor, debido a la inclusión de nuevas obligaciones, sea por la introducción de nuevas actividades o por la ejecución de una mayor cantidad de las pactadas inicialmente; y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 el nacimiento de un nuevo contrato, </w:t>
      </w:r>
      <w:r w:rsidR="002835E0" w:rsidRPr="005C1F67">
        <w:rPr>
          <w:rFonts w:ascii="Arial" w:eastAsia="Times New Roman" w:hAnsi="Arial" w:cs="Arial"/>
          <w:color w:val="000000" w:themeColor="text1"/>
          <w:sz w:val="22"/>
          <w:lang w:eastAsia="es-ES"/>
        </w:rPr>
        <w:t xml:space="preserve">en </w:t>
      </w:r>
      <w:r w:rsidRPr="005C1F67">
        <w:rPr>
          <w:rFonts w:ascii="Arial" w:eastAsia="Times New Roman" w:hAnsi="Arial" w:cs="Arial"/>
          <w:color w:val="000000" w:themeColor="text1"/>
          <w:sz w:val="22"/>
          <w:lang w:eastAsia="es-ES"/>
        </w:rPr>
        <w:t>condiciones similares o idénticas al contrato inicial.</w:t>
      </w:r>
    </w:p>
    <w:p w14:paraId="0755DDE9"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Estas distinciones guardan relación con el uso común de los conceptos, es decir, no reducido a su significación jurídica. En efecto, el Diccionario de la Lengua Española ―DLE― define la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como: «1. f. Continuación de algo por un tiempo determinado. 2. f. Plazo por el cual se continúa o prorroga algo». Como se observa, la definición indica que la prórroga está asociada a los plazos, lo que implica extender los efectos de algo por un tiempo mayor. Ahora bien, en relación con la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el DLE señala que consiste en la </w:t>
      </w:r>
      <w:r w:rsidRPr="005C1F67">
        <w:rPr>
          <w:rFonts w:ascii="Arial" w:eastAsia="Times New Roman" w:hAnsi="Arial" w:cs="Arial"/>
          <w:color w:val="000000" w:themeColor="text1"/>
          <w:sz w:val="22"/>
          <w:lang w:eastAsia="es-ES"/>
        </w:rPr>
        <w:lastRenderedPageBreak/>
        <w:t xml:space="preserve">acción y efecto de añadir, definiendo añadir como: «1. tr. Agregar, incorporar algo a otra cosa. 2. tr. Aumentar, acrecentar, ampliar». Como se observa, la adición en relación con los contratos implicaría incorporar nuevas obligaciones, lo que en los contratos estatales aparejaría un incremento en la contraprestación, es decir, en el precio. Finalmente, el diccionario indica que la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consiste en: «1. tr. Hacer como de nuevo algo, o volverlo a su primer estado 2. tr. Restablecer o reanudar una relación u otra cosa que se había interrumpido (…) 4. tr. Sustituir una cosa vieja, o que ya ha servido, por otra nueva de la misma clase». Como se observa, la renovación consiste en hacer algo de nuevo, de manera que, en principio consistiría en la celebración de un nuevo contrato en condiciones idénticas o similares a un contrato anterior.</w:t>
      </w:r>
    </w:p>
    <w:p w14:paraId="042EE39A" w14:textId="77777777" w:rsidR="001E663F" w:rsidRPr="005C1F67" w:rsidRDefault="001E663F" w:rsidP="001E663F">
      <w:pPr>
        <w:spacing w:before="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Algunos doctrinantes del contrato estatal se han esforzado en señalar las diferencias entre los conceptos de </w:t>
      </w:r>
      <w:r w:rsidRPr="005C1F67">
        <w:rPr>
          <w:rFonts w:ascii="Arial" w:eastAsia="Times New Roman" w:hAnsi="Arial" w:cs="Arial"/>
          <w:i/>
          <w:color w:val="000000" w:themeColor="text1"/>
          <w:sz w:val="22"/>
          <w:lang w:eastAsia="es-ES"/>
        </w:rPr>
        <w:t>adición</w:t>
      </w:r>
      <w:r w:rsidRPr="005C1F67">
        <w:rPr>
          <w:rFonts w:ascii="Arial" w:eastAsia="Times New Roman" w:hAnsi="Arial" w:cs="Arial"/>
          <w:color w:val="000000" w:themeColor="text1"/>
          <w:sz w:val="22"/>
          <w:lang w:eastAsia="es-ES"/>
        </w:rPr>
        <w:t xml:space="preserve"> y </w:t>
      </w:r>
      <w:r w:rsidRPr="005C1F67">
        <w:rPr>
          <w:rFonts w:ascii="Arial" w:eastAsia="Times New Roman" w:hAnsi="Arial" w:cs="Arial"/>
          <w:i/>
          <w:color w:val="000000" w:themeColor="text1"/>
          <w:sz w:val="22"/>
          <w:lang w:eastAsia="es-ES"/>
        </w:rPr>
        <w:t>prórroga</w:t>
      </w:r>
      <w:r w:rsidRPr="005C1F67">
        <w:rPr>
          <w:rFonts w:ascii="Arial" w:eastAsia="Times New Roman" w:hAnsi="Arial" w:cs="Arial"/>
          <w:color w:val="000000" w:themeColor="text1"/>
          <w:sz w:val="22"/>
          <w:lang w:eastAsia="es-ES"/>
        </w:rPr>
        <w:t xml:space="preserve">, que son comúnmente utilizados en estos contratos; no así en relación con el concepto de </w:t>
      </w:r>
      <w:r w:rsidRPr="005C1F67">
        <w:rPr>
          <w:rFonts w:ascii="Arial" w:eastAsia="Times New Roman" w:hAnsi="Arial" w:cs="Arial"/>
          <w:i/>
          <w:color w:val="000000" w:themeColor="text1"/>
          <w:sz w:val="22"/>
          <w:lang w:eastAsia="es-ES"/>
        </w:rPr>
        <w:t>renovación</w:t>
      </w:r>
      <w:r w:rsidRPr="005C1F67">
        <w:rPr>
          <w:rFonts w:ascii="Arial" w:eastAsia="Times New Roman" w:hAnsi="Arial" w:cs="Arial"/>
          <w:color w:val="000000" w:themeColor="text1"/>
          <w:sz w:val="22"/>
          <w:lang w:eastAsia="es-ES"/>
        </w:rPr>
        <w:t xml:space="preserve">, cuya diferencia con la prórroga es desarrollada por la jurisprudencia y la doctrina del derecho privado, en vista de que aquel concepto es propio de los contratos de arrendamiento, concluyendo que la prórroga consiste en extender los efectos de un contrato por un término mayor, es decir, prorrogar el mismo contrato; mientras que la renovación consiste en la celebración de un nuevo contrato, al indicar que «el renovado es uno nuevo». En efecto, la Corte Suprema de Justicia, en sentencia del 8 de octubre de 1997, exp. 4.818 (M.P. Pedro Lafont Pianetta), indicó: </w:t>
      </w:r>
    </w:p>
    <w:p w14:paraId="15DE4804" w14:textId="77777777" w:rsidR="001E663F" w:rsidRPr="005C1F67" w:rsidRDefault="001E663F" w:rsidP="001E663F">
      <w:pPr>
        <w:jc w:val="both"/>
        <w:rPr>
          <w:rFonts w:ascii="Arial" w:eastAsia="Times New Roman" w:hAnsi="Arial" w:cs="Arial"/>
          <w:color w:val="000000" w:themeColor="text1"/>
          <w:sz w:val="22"/>
          <w:lang w:eastAsia="es-ES"/>
        </w:rPr>
      </w:pPr>
    </w:p>
    <w:p w14:paraId="0B7D765B" w14:textId="77777777" w:rsidR="001E663F" w:rsidRPr="005C1F67" w:rsidRDefault="001E663F" w:rsidP="001E663F">
      <w:pPr>
        <w:ind w:left="709" w:right="709"/>
        <w:jc w:val="both"/>
        <w:rPr>
          <w:rFonts w:ascii="Arial" w:hAnsi="Arial" w:cs="Arial"/>
          <w:color w:val="000000" w:themeColor="text1"/>
          <w:sz w:val="21"/>
          <w:szCs w:val="21"/>
          <w:lang w:val="es-ES"/>
        </w:rPr>
      </w:pPr>
      <w:r w:rsidRPr="005C1F67">
        <w:rPr>
          <w:rFonts w:ascii="Arial" w:hAnsi="Arial" w:cs="Arial"/>
          <w:color w:val="000000" w:themeColor="text1"/>
          <w:sz w:val="21"/>
          <w:szCs w:val="21"/>
          <w:lang w:val="es-ES"/>
        </w:rPr>
        <w:t xml:space="preserve">El derecho a la </w:t>
      </w:r>
      <w:r w:rsidRPr="005C1F67">
        <w:rPr>
          <w:rFonts w:ascii="Arial" w:hAnsi="Arial" w:cs="Arial"/>
          <w:i/>
          <w:color w:val="000000" w:themeColor="text1"/>
          <w:sz w:val="21"/>
          <w:szCs w:val="21"/>
          <w:lang w:val="es-ES"/>
        </w:rPr>
        <w:t>renovación</w:t>
      </w:r>
      <w:r w:rsidRPr="005C1F67">
        <w:rPr>
          <w:rFonts w:ascii="Arial" w:hAnsi="Arial" w:cs="Arial"/>
          <w:color w:val="000000" w:themeColor="text1"/>
          <w:sz w:val="21"/>
          <w:szCs w:val="21"/>
          <w:lang w:val="es-ES"/>
        </w:rPr>
        <w:t xml:space="preserve"> del contrato para el </w:t>
      </w:r>
      <w:hyperlink r:id="rId11" w:history="1">
        <w:r w:rsidRPr="005C1F67">
          <w:rPr>
            <w:rFonts w:ascii="Arial" w:hAnsi="Arial" w:cs="Arial"/>
            <w:color w:val="000000" w:themeColor="text1"/>
            <w:sz w:val="21"/>
            <w:szCs w:val="21"/>
            <w:lang w:val="es-ES"/>
          </w:rPr>
          <w:t>comerciante</w:t>
        </w:r>
      </w:hyperlink>
      <w:r w:rsidRPr="005C1F67">
        <w:rPr>
          <w:rFonts w:ascii="Arial" w:hAnsi="Arial" w:cs="Arial"/>
          <w:color w:val="000000" w:themeColor="text1"/>
          <w:sz w:val="21"/>
          <w:szCs w:val="21"/>
          <w:lang w:val="es-ES"/>
        </w:rPr>
        <w:t xml:space="preserve"> que haya ocupado el inmueble con un mismo establecimiento mercantil por lapso no inferior a dos años consecutivos, derecho este respecto del cual, precisó la Corte en sentencia de su sala Plena proferida el 20 de noviembre de 1971, que no ha de confundirse con la prórroga del contrato, pues </w:t>
      </w:r>
      <w:r w:rsidRPr="005C1F67">
        <w:rPr>
          <w:rFonts w:ascii="Arial" w:hAnsi="Arial" w:cs="Arial"/>
          <w:i/>
          <w:color w:val="000000" w:themeColor="text1"/>
          <w:sz w:val="21"/>
          <w:szCs w:val="21"/>
          <w:lang w:val="es-ES"/>
        </w:rPr>
        <w:t>el renovado es uno nuevo, que puede acordarse o celebrarse con sujeción a las circunstancias especialmente en cuanto a </w:t>
      </w:r>
      <w:hyperlink r:id="rId12" w:history="1">
        <w:r w:rsidRPr="005C1F67">
          <w:rPr>
            <w:rFonts w:ascii="Arial" w:hAnsi="Arial" w:cs="Arial"/>
            <w:i/>
            <w:color w:val="000000" w:themeColor="text1"/>
            <w:sz w:val="21"/>
            <w:szCs w:val="21"/>
            <w:lang w:val="es-ES"/>
          </w:rPr>
          <w:t>precio</w:t>
        </w:r>
      </w:hyperlink>
      <w:r w:rsidRPr="005C1F67">
        <w:rPr>
          <w:rFonts w:ascii="Arial" w:hAnsi="Arial" w:cs="Arial"/>
          <w:i/>
          <w:color w:val="000000" w:themeColor="text1"/>
          <w:sz w:val="21"/>
          <w:szCs w:val="21"/>
          <w:lang w:val="es-ES"/>
        </w:rPr>
        <w:t> y utilización de la cosa arrendada</w:t>
      </w:r>
      <w:r w:rsidRPr="005C1F67">
        <w:rPr>
          <w:rStyle w:val="Refdenotaalpie"/>
          <w:rFonts w:ascii="Arial" w:hAnsi="Arial" w:cs="Arial"/>
          <w:color w:val="000000" w:themeColor="text1"/>
          <w:sz w:val="21"/>
          <w:szCs w:val="21"/>
          <w:lang w:val="es-ES"/>
        </w:rPr>
        <w:footnoteReference w:id="4"/>
      </w:r>
      <w:r w:rsidRPr="005C1F67">
        <w:rPr>
          <w:rFonts w:ascii="Arial" w:hAnsi="Arial" w:cs="Arial"/>
          <w:color w:val="000000" w:themeColor="text1"/>
          <w:sz w:val="21"/>
          <w:szCs w:val="21"/>
          <w:lang w:val="es-ES"/>
        </w:rPr>
        <w:t>. (Cursiva fuera de texto)</w:t>
      </w:r>
    </w:p>
    <w:p w14:paraId="67323DAC" w14:textId="77777777" w:rsidR="001E663F" w:rsidRPr="005C1F67" w:rsidRDefault="001E663F" w:rsidP="001E663F">
      <w:pPr>
        <w:jc w:val="both"/>
        <w:rPr>
          <w:rFonts w:ascii="Arial" w:eastAsia="Times New Roman" w:hAnsi="Arial" w:cs="Arial"/>
          <w:color w:val="000000" w:themeColor="text1"/>
          <w:sz w:val="22"/>
          <w:lang w:eastAsia="es-ES"/>
        </w:rPr>
      </w:pPr>
    </w:p>
    <w:p w14:paraId="0D74EDAB" w14:textId="77777777" w:rsidR="001E663F" w:rsidRPr="005C1F67" w:rsidRDefault="001E663F" w:rsidP="001E663F">
      <w:pPr>
        <w:spacing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Establecidas las líneas de distinción entre la prórroga y la renovación, es necesario hacer lo propio entre aquel y la adición. Como se indicó, este tema ha tenido gran trascendencia en los contratos estatales, pese a que suelen utilizarse indistintamente, para </w:t>
      </w:r>
      <w:r w:rsidRPr="005C1F67">
        <w:rPr>
          <w:rFonts w:ascii="Arial" w:eastAsia="Times New Roman" w:hAnsi="Arial" w:cs="Arial"/>
          <w:color w:val="000000" w:themeColor="text1"/>
          <w:sz w:val="22"/>
          <w:lang w:eastAsia="es-ES"/>
        </w:rPr>
        <w:lastRenderedPageBreak/>
        <w:t xml:space="preserve">referirse a diferentes modificaciones del contrato estatal. La doctrina sintetiza dicha distinción al indicar que: </w:t>
      </w:r>
    </w:p>
    <w:p w14:paraId="59CE681A" w14:textId="77777777" w:rsidR="001E663F" w:rsidRPr="005C1F67" w:rsidRDefault="001E663F" w:rsidP="001E663F">
      <w:pPr>
        <w:spacing w:before="120" w:after="120"/>
        <w:contextualSpacing/>
        <w:jc w:val="both"/>
        <w:rPr>
          <w:rFonts w:ascii="Arial" w:eastAsia="Times New Roman" w:hAnsi="Arial" w:cs="Arial"/>
          <w:color w:val="000000" w:themeColor="text1"/>
          <w:sz w:val="22"/>
          <w:lang w:eastAsia="es-ES"/>
        </w:rPr>
      </w:pPr>
    </w:p>
    <w:p w14:paraId="5E7C8303" w14:textId="77777777" w:rsidR="001E663F" w:rsidRPr="005C1F67" w:rsidRDefault="001E663F" w:rsidP="001E663F">
      <w:pPr>
        <w:spacing w:before="120" w:after="120"/>
        <w:ind w:left="709" w:right="709"/>
        <w:contextualSpacing/>
        <w:jc w:val="both"/>
        <w:rPr>
          <w:rFonts w:ascii="Arial" w:eastAsia="Times New Roman" w:hAnsi="Arial" w:cs="Arial"/>
          <w:color w:val="000000" w:themeColor="text1"/>
          <w:sz w:val="21"/>
          <w:szCs w:val="21"/>
          <w:lang w:eastAsia="es-ES"/>
        </w:rPr>
      </w:pPr>
      <w:r w:rsidRPr="005C1F67">
        <w:rPr>
          <w:rFonts w:ascii="Arial" w:eastAsia="Times New Roman" w:hAnsi="Arial" w:cs="Arial"/>
          <w:color w:val="000000" w:themeColor="text1"/>
          <w:sz w:val="21"/>
          <w:szCs w:val="21"/>
          <w:lang w:eastAsia="es-ES"/>
        </w:rPr>
        <w:t xml:space="preserve">[…] la norma lo que autoriza es la </w:t>
      </w:r>
      <w:r w:rsidRPr="005C1F67">
        <w:rPr>
          <w:rFonts w:ascii="Arial" w:eastAsia="Times New Roman" w:hAnsi="Arial" w:cs="Arial"/>
          <w:i/>
          <w:color w:val="000000" w:themeColor="text1"/>
          <w:sz w:val="21"/>
          <w:szCs w:val="21"/>
          <w:lang w:eastAsia="es-ES"/>
        </w:rPr>
        <w:t xml:space="preserve">prórroga </w:t>
      </w:r>
      <w:r w:rsidRPr="005C1F67">
        <w:rPr>
          <w:rFonts w:ascii="Arial" w:eastAsia="Times New Roman" w:hAnsi="Arial" w:cs="Arial"/>
          <w:color w:val="000000" w:themeColor="text1"/>
          <w:sz w:val="21"/>
          <w:szCs w:val="21"/>
          <w:lang w:eastAsia="es-ES"/>
        </w:rPr>
        <w:t xml:space="preserve">del contrato de interventoría, cuando simplemente debió decir </w:t>
      </w:r>
      <w:r w:rsidRPr="005C1F67">
        <w:rPr>
          <w:rFonts w:ascii="Arial" w:eastAsia="Times New Roman" w:hAnsi="Arial" w:cs="Arial"/>
          <w:i/>
          <w:color w:val="000000" w:themeColor="text1"/>
          <w:sz w:val="21"/>
          <w:szCs w:val="21"/>
          <w:lang w:eastAsia="es-ES"/>
        </w:rPr>
        <w:t>adición,</w:t>
      </w:r>
      <w:r w:rsidRPr="005C1F67">
        <w:rPr>
          <w:rFonts w:ascii="Arial" w:eastAsia="Times New Roman" w:hAnsi="Arial" w:cs="Arial"/>
          <w:color w:val="000000" w:themeColor="text1"/>
          <w:sz w:val="21"/>
          <w:szCs w:val="21"/>
          <w:lang w:eastAsia="es-ES"/>
        </w:rPr>
        <w:t xml:space="preserve"> porque en sentido jurídico-técnico aquella supone la reproducción de las obligaciones del contrato inicial para un nuevo plazo ―como acontece con el contrato de arrendamiento o el laboral―, mientras que la adición supone agregar obligaciones al contrato principal ―de las mismas pactadas o de otras distintas―, con o sin un nuevo plazo para su ejecución</w:t>
      </w:r>
      <w:r w:rsidRPr="005C1F67">
        <w:rPr>
          <w:rStyle w:val="Refdenotaalpie"/>
          <w:rFonts w:ascii="Arial" w:eastAsia="Times New Roman" w:hAnsi="Arial" w:cs="Arial"/>
          <w:color w:val="000000" w:themeColor="text1"/>
          <w:sz w:val="21"/>
          <w:szCs w:val="21"/>
          <w:lang w:eastAsia="es-ES"/>
        </w:rPr>
        <w:footnoteReference w:id="5"/>
      </w:r>
      <w:r w:rsidRPr="005C1F67">
        <w:rPr>
          <w:rFonts w:ascii="Arial" w:eastAsia="Times New Roman" w:hAnsi="Arial" w:cs="Arial"/>
          <w:color w:val="000000" w:themeColor="text1"/>
          <w:sz w:val="21"/>
          <w:szCs w:val="21"/>
          <w:lang w:eastAsia="es-ES"/>
        </w:rPr>
        <w:t>.</w:t>
      </w:r>
    </w:p>
    <w:p w14:paraId="69BAF490" w14:textId="77777777" w:rsidR="001E663F" w:rsidRPr="005C1F67" w:rsidRDefault="001E663F" w:rsidP="001E663F">
      <w:pPr>
        <w:spacing w:before="120" w:after="120"/>
        <w:contextualSpacing/>
        <w:jc w:val="both"/>
        <w:rPr>
          <w:rFonts w:ascii="Arial" w:eastAsia="Times New Roman" w:hAnsi="Arial" w:cs="Arial"/>
          <w:b/>
          <w:color w:val="000000" w:themeColor="text1"/>
          <w:sz w:val="22"/>
          <w:lang w:eastAsia="es-ES"/>
        </w:rPr>
      </w:pPr>
    </w:p>
    <w:p w14:paraId="4445166C" w14:textId="77777777" w:rsidR="001E663F" w:rsidRPr="005C1F67" w:rsidRDefault="001E663F" w:rsidP="001E663F">
      <w:pPr>
        <w:spacing w:before="120" w:after="120" w:line="276" w:lineRule="auto"/>
        <w:ind w:firstLine="708"/>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De esta manera, la adición, al estar relacionada con agregar obligaciones al contrato principal, y dado el carácter oneroso de los contratos estatales implica un aumento del valor del contrato y, como se señala en la cita, puede traer como consecuencia que se aumente el plazo del contrato ―esto se debe a que esas obligaciones pueden necesitar un término adicional para ejecutarse―, pero no es necesario que ello ocurra, lo que dependerá del caso concreto. Ahora bien, la prórroga tiene una relación directa con el incremento del plazo del contrato, extendiendo los efectos de aquel por un término diferente.</w:t>
      </w:r>
    </w:p>
    <w:p w14:paraId="0D27AB96" w14:textId="33F9A538" w:rsidR="00E03C3E" w:rsidRPr="005C1F67" w:rsidRDefault="001E663F" w:rsidP="00D075A9">
      <w:pPr>
        <w:spacing w:before="120" w:line="276" w:lineRule="auto"/>
        <w:ind w:firstLine="709"/>
        <w:jc w:val="both"/>
        <w:rPr>
          <w:rFonts w:ascii="Arial" w:eastAsia="Times New Roman" w:hAnsi="Arial" w:cs="Arial"/>
          <w:color w:val="000000" w:themeColor="text1"/>
          <w:sz w:val="22"/>
          <w:lang w:eastAsia="es-ES"/>
        </w:rPr>
      </w:pPr>
      <w:r w:rsidRPr="005C1F67">
        <w:rPr>
          <w:rFonts w:ascii="Arial" w:eastAsia="Times New Roman" w:hAnsi="Arial" w:cs="Arial"/>
          <w:color w:val="000000" w:themeColor="text1"/>
          <w:sz w:val="22"/>
          <w:lang w:eastAsia="es-ES"/>
        </w:rPr>
        <w:t xml:space="preserve">En sentido similar a lo expuesto, </w:t>
      </w:r>
      <w:r w:rsidR="00D075A9" w:rsidRPr="005C1F67">
        <w:rPr>
          <w:rFonts w:ascii="Arial" w:eastAsia="Times New Roman" w:hAnsi="Arial" w:cs="Arial"/>
          <w:color w:val="000000" w:themeColor="text1"/>
          <w:sz w:val="22"/>
          <w:lang w:eastAsia="es-ES"/>
        </w:rPr>
        <w:t xml:space="preserve">Dávila Vinueza </w:t>
      </w:r>
      <w:r w:rsidRPr="005C1F67">
        <w:rPr>
          <w:rFonts w:ascii="Arial" w:eastAsia="Times New Roman" w:hAnsi="Arial" w:cs="Arial"/>
          <w:color w:val="000000" w:themeColor="text1"/>
          <w:sz w:val="22"/>
          <w:lang w:eastAsia="es-ES"/>
        </w:rPr>
        <w:t xml:space="preserve">vincula la prórroga con el incremento del plazo y señala que no necesariamente implica un aumento en el valor del contrato, aunque podría hacerlo. En este sentido, afirma: </w:t>
      </w:r>
    </w:p>
    <w:p w14:paraId="418CF016" w14:textId="77777777" w:rsidR="0009150D" w:rsidRPr="005C1F67" w:rsidRDefault="0009150D" w:rsidP="00D075A9">
      <w:pPr>
        <w:jc w:val="both"/>
        <w:rPr>
          <w:rFonts w:ascii="Arial" w:eastAsia="Times New Roman" w:hAnsi="Arial" w:cs="Arial"/>
          <w:color w:val="000000" w:themeColor="text1"/>
          <w:sz w:val="22"/>
          <w:lang w:eastAsia="es-ES"/>
        </w:rPr>
      </w:pPr>
    </w:p>
    <w:p w14:paraId="297A0C78" w14:textId="2FC485D2" w:rsidR="001E663F" w:rsidRPr="005C1F67" w:rsidRDefault="001E663F" w:rsidP="00D075A9">
      <w:pPr>
        <w:ind w:left="709" w:right="709"/>
        <w:jc w:val="both"/>
        <w:rPr>
          <w:rFonts w:ascii="Arial" w:eastAsia="Times New Roman" w:hAnsi="Arial" w:cs="Arial"/>
          <w:color w:val="000000" w:themeColor="text1"/>
          <w:sz w:val="19"/>
          <w:szCs w:val="19"/>
          <w:lang w:eastAsia="es-ES"/>
        </w:rPr>
      </w:pPr>
      <w:r w:rsidRPr="005C1F67">
        <w:rPr>
          <w:rFonts w:ascii="Arial" w:eastAsia="Times New Roman" w:hAnsi="Arial" w:cs="Arial"/>
          <w:color w:val="000000" w:themeColor="text1"/>
          <w:sz w:val="19"/>
          <w:szCs w:val="19"/>
          <w:lang w:eastAsia="es-ES"/>
        </w:rPr>
        <w:t>Por medio de la prórroga el plazo de cumplimiento de las obligaciones nacidas del contrato se desplaza en el tiempo. Per se no implica aumento de valor ya que el objeto contratado no se altera. Cosa diferente es que el aumento del plazo por razones no imputables al contratista en muchas ocasiones genera un mayor costo que debe ser reconocido, siendo, entonces, el mayor plazo la causa del mayor valor. Este deberá ser aceptado para mantener a salvo la ecuación financiera del contrato</w:t>
      </w:r>
      <w:r w:rsidRPr="005C1F67">
        <w:rPr>
          <w:rStyle w:val="Refdenotaalpie"/>
          <w:rFonts w:ascii="Arial" w:eastAsia="Times New Roman" w:hAnsi="Arial" w:cs="Arial"/>
          <w:color w:val="000000" w:themeColor="text1"/>
          <w:sz w:val="19"/>
          <w:szCs w:val="19"/>
          <w:lang w:eastAsia="es-ES"/>
        </w:rPr>
        <w:footnoteReference w:id="6"/>
      </w:r>
      <w:r w:rsidRPr="005C1F67">
        <w:rPr>
          <w:rFonts w:ascii="Arial" w:eastAsia="Times New Roman" w:hAnsi="Arial" w:cs="Arial"/>
          <w:color w:val="000000" w:themeColor="text1"/>
          <w:sz w:val="19"/>
          <w:szCs w:val="19"/>
          <w:lang w:eastAsia="es-ES"/>
        </w:rPr>
        <w:t xml:space="preserve">.  </w:t>
      </w:r>
    </w:p>
    <w:p w14:paraId="218A8602" w14:textId="1C55C168" w:rsidR="001E663F" w:rsidRPr="005C1F67" w:rsidRDefault="001E663F" w:rsidP="00CF692E">
      <w:pPr>
        <w:jc w:val="both"/>
        <w:rPr>
          <w:rFonts w:ascii="Arial" w:hAnsi="Arial" w:cs="Arial"/>
          <w:b/>
          <w:color w:val="000000" w:themeColor="text1"/>
          <w:sz w:val="22"/>
        </w:rPr>
      </w:pPr>
    </w:p>
    <w:p w14:paraId="44CDB6CE" w14:textId="5518CDEC" w:rsidR="00263051" w:rsidRPr="005C1F67" w:rsidRDefault="00F201B0" w:rsidP="00CF692E">
      <w:pPr>
        <w:jc w:val="both"/>
        <w:rPr>
          <w:rFonts w:ascii="Arial" w:hAnsi="Arial" w:cs="Arial"/>
          <w:b/>
          <w:color w:val="000000" w:themeColor="text1"/>
          <w:sz w:val="22"/>
        </w:rPr>
      </w:pPr>
      <w:r w:rsidRPr="005C1F67">
        <w:rPr>
          <w:rFonts w:ascii="Arial" w:hAnsi="Arial" w:cs="Arial"/>
          <w:b/>
          <w:color w:val="000000" w:themeColor="text1"/>
          <w:sz w:val="22"/>
        </w:rPr>
        <w:t>2.</w:t>
      </w:r>
      <w:r w:rsidR="00137474" w:rsidRPr="005C1F67">
        <w:rPr>
          <w:rFonts w:ascii="Arial" w:hAnsi="Arial" w:cs="Arial"/>
          <w:b/>
          <w:color w:val="000000" w:themeColor="text1"/>
          <w:sz w:val="22"/>
        </w:rPr>
        <w:t>2</w:t>
      </w:r>
      <w:r w:rsidRPr="005C1F67">
        <w:rPr>
          <w:rFonts w:ascii="Arial" w:hAnsi="Arial" w:cs="Arial"/>
          <w:b/>
          <w:color w:val="000000" w:themeColor="text1"/>
          <w:sz w:val="22"/>
        </w:rPr>
        <w:t xml:space="preserve">. </w:t>
      </w:r>
      <w:r w:rsidR="00F96744" w:rsidRPr="005C1F67">
        <w:rPr>
          <w:rFonts w:ascii="Arial" w:hAnsi="Arial" w:cs="Arial"/>
          <w:b/>
          <w:color w:val="000000" w:themeColor="text1"/>
          <w:sz w:val="22"/>
        </w:rPr>
        <w:t>Adici</w:t>
      </w:r>
      <w:r w:rsidR="00A67A27" w:rsidRPr="005C1F67">
        <w:rPr>
          <w:rFonts w:ascii="Arial" w:hAnsi="Arial" w:cs="Arial"/>
          <w:b/>
          <w:color w:val="000000" w:themeColor="text1"/>
          <w:sz w:val="22"/>
        </w:rPr>
        <w:t>ón de los contratos estatales</w:t>
      </w:r>
    </w:p>
    <w:p w14:paraId="3EB59E2E" w14:textId="77777777" w:rsidR="00263051" w:rsidRPr="005C1F67" w:rsidRDefault="00263051" w:rsidP="00CF692E">
      <w:pPr>
        <w:jc w:val="both"/>
        <w:rPr>
          <w:rFonts w:ascii="Arial" w:hAnsi="Arial" w:cs="Arial"/>
          <w:b/>
          <w:color w:val="000000" w:themeColor="text1"/>
          <w:sz w:val="22"/>
        </w:rPr>
      </w:pPr>
    </w:p>
    <w:p w14:paraId="3AB6D8DA" w14:textId="47509E81" w:rsidR="003A5A50" w:rsidRPr="005C1F67" w:rsidRDefault="00A67A27" w:rsidP="00D075A9">
      <w:pPr>
        <w:spacing w:before="120" w:after="120" w:line="276" w:lineRule="auto"/>
        <w:jc w:val="both"/>
        <w:rPr>
          <w:rFonts w:ascii="Arial" w:hAnsi="Arial" w:cs="Arial"/>
          <w:color w:val="000000" w:themeColor="text1"/>
          <w:sz w:val="22"/>
        </w:rPr>
      </w:pPr>
      <w:r w:rsidRPr="005C1F67">
        <w:rPr>
          <w:rFonts w:ascii="Arial" w:hAnsi="Arial" w:cs="Arial"/>
          <w:color w:val="000000" w:themeColor="text1"/>
          <w:sz w:val="22"/>
        </w:rPr>
        <w:t>La</w:t>
      </w:r>
      <w:r w:rsidR="00DB61B0" w:rsidRPr="005C1F67">
        <w:rPr>
          <w:rFonts w:ascii="Arial" w:hAnsi="Arial" w:cs="Arial"/>
          <w:color w:val="000000" w:themeColor="text1"/>
          <w:sz w:val="22"/>
        </w:rPr>
        <w:t xml:space="preserve"> ejecución de los contratos estatales está sujeta a los avatares propios del paso del tiempo. Así, durante la planeación de estos la Administración se enfrentan a la ardua tarea de estimar y determinar las prestaciones que demanda la satisfacción de la necesidad de interés colectivo </w:t>
      </w:r>
      <w:r w:rsidR="00CF692E" w:rsidRPr="005C1F67">
        <w:rPr>
          <w:rFonts w:ascii="Arial" w:hAnsi="Arial" w:cs="Arial"/>
          <w:color w:val="000000" w:themeColor="text1"/>
          <w:sz w:val="22"/>
        </w:rPr>
        <w:t>que pretende satisfacer</w:t>
      </w:r>
      <w:r w:rsidR="00F96744" w:rsidRPr="005C1F67">
        <w:rPr>
          <w:rFonts w:ascii="Arial" w:hAnsi="Arial" w:cs="Arial"/>
          <w:color w:val="000000" w:themeColor="text1"/>
          <w:sz w:val="22"/>
        </w:rPr>
        <w:t>.</w:t>
      </w:r>
      <w:r w:rsidR="00A70FD1" w:rsidRPr="005C1F67">
        <w:rPr>
          <w:rFonts w:ascii="Arial" w:hAnsi="Arial" w:cs="Arial"/>
          <w:color w:val="000000" w:themeColor="text1"/>
          <w:sz w:val="22"/>
        </w:rPr>
        <w:t xml:space="preserve"> No obstante, e</w:t>
      </w:r>
      <w:r w:rsidR="00DB61B0" w:rsidRPr="005C1F67">
        <w:rPr>
          <w:rFonts w:ascii="Arial" w:hAnsi="Arial" w:cs="Arial"/>
          <w:color w:val="000000" w:themeColor="text1"/>
          <w:sz w:val="22"/>
        </w:rPr>
        <w:t>n muchas ocasiones</w:t>
      </w:r>
      <w:r w:rsidR="00CF692E" w:rsidRPr="005C1F67">
        <w:rPr>
          <w:rFonts w:ascii="Arial" w:hAnsi="Arial" w:cs="Arial"/>
          <w:color w:val="000000" w:themeColor="text1"/>
          <w:sz w:val="22"/>
        </w:rPr>
        <w:t>,</w:t>
      </w:r>
      <w:r w:rsidR="00DB61B0" w:rsidRPr="005C1F67">
        <w:rPr>
          <w:rFonts w:ascii="Arial" w:hAnsi="Arial" w:cs="Arial"/>
          <w:color w:val="000000" w:themeColor="text1"/>
          <w:sz w:val="22"/>
        </w:rPr>
        <w:t xml:space="preserve"> durante la fase de ejecución del contrato las partes identifican alguna de las siguientes situaciones:</w:t>
      </w:r>
      <w:r w:rsidR="00F96744" w:rsidRPr="005C1F67">
        <w:rPr>
          <w:rFonts w:ascii="Arial" w:hAnsi="Arial" w:cs="Arial"/>
          <w:color w:val="000000" w:themeColor="text1"/>
          <w:sz w:val="22"/>
        </w:rPr>
        <w:t xml:space="preserve"> </w:t>
      </w:r>
      <w:r w:rsidR="00BF5E36" w:rsidRPr="005C1F67">
        <w:rPr>
          <w:rFonts w:ascii="Arial" w:hAnsi="Arial" w:cs="Arial"/>
          <w:color w:val="000000" w:themeColor="text1"/>
          <w:sz w:val="22"/>
        </w:rPr>
        <w:t>i) La necesidad de acometer mayores cantidades de los ítems o actividades inicialmente previstos, a lo que en la práctica se le conoce como «mayores cantidades de obra», «obras adicionales» o adición de «ítems contractuales»</w:t>
      </w:r>
      <w:r w:rsidR="00993289" w:rsidRPr="005C1F67">
        <w:rPr>
          <w:rFonts w:ascii="Arial" w:hAnsi="Arial" w:cs="Arial"/>
          <w:color w:val="000000" w:themeColor="text1"/>
          <w:sz w:val="22"/>
        </w:rPr>
        <w:t>;</w:t>
      </w:r>
      <w:r w:rsidR="00BF5E36" w:rsidRPr="005C1F67">
        <w:rPr>
          <w:rFonts w:ascii="Arial" w:hAnsi="Arial" w:cs="Arial"/>
          <w:color w:val="000000" w:themeColor="text1"/>
          <w:sz w:val="22"/>
        </w:rPr>
        <w:t xml:space="preserve"> </w:t>
      </w:r>
      <w:r w:rsidR="00993289" w:rsidRPr="005C1F67">
        <w:rPr>
          <w:rFonts w:ascii="Arial" w:hAnsi="Arial" w:cs="Arial"/>
          <w:color w:val="000000" w:themeColor="text1"/>
          <w:sz w:val="22"/>
        </w:rPr>
        <w:t xml:space="preserve">y </w:t>
      </w:r>
      <w:r w:rsidR="00BF5E36" w:rsidRPr="005C1F67">
        <w:rPr>
          <w:rFonts w:ascii="Arial" w:hAnsi="Arial" w:cs="Arial"/>
          <w:color w:val="000000" w:themeColor="text1"/>
          <w:sz w:val="22"/>
        </w:rPr>
        <w:t xml:space="preserve">ii) </w:t>
      </w:r>
      <w:r w:rsidR="00993289" w:rsidRPr="005C1F67">
        <w:rPr>
          <w:rFonts w:ascii="Arial" w:hAnsi="Arial" w:cs="Arial"/>
          <w:color w:val="000000" w:themeColor="text1"/>
          <w:sz w:val="22"/>
        </w:rPr>
        <w:t>l</w:t>
      </w:r>
      <w:r w:rsidR="00BF5E36" w:rsidRPr="005C1F67">
        <w:rPr>
          <w:rFonts w:ascii="Arial" w:hAnsi="Arial" w:cs="Arial"/>
          <w:color w:val="000000" w:themeColor="text1"/>
          <w:sz w:val="22"/>
        </w:rPr>
        <w:t xml:space="preserve">a necesidad de ampliar las </w:t>
      </w:r>
      <w:r w:rsidR="00BF5E36" w:rsidRPr="005C1F67">
        <w:rPr>
          <w:rFonts w:ascii="Arial" w:hAnsi="Arial" w:cs="Arial"/>
          <w:color w:val="000000" w:themeColor="text1"/>
          <w:sz w:val="22"/>
        </w:rPr>
        <w:lastRenderedPageBreak/>
        <w:t xml:space="preserve">prestaciones contractuales, mediante la ejecución de nuevos ítems o actividades, no incluidos en el contrato inicial, para lo que en la práctica las entidades ejecutan «obras extra» o «amplían el alcance» del contrato mediante la celebración de un «contrato adicional». No obstante, este último término, al igual que los señalados entre comillas ―algunos de ellos usualmente empleados en contratos de obra― son nociones doctrinarias y empleadas en la práctica por las entidades estatales, que actualmente no tienen un fundamento particular en el ordenamiento jurídico, el cual no le asigna efectos específicos a cada uno de ellos. Lo importante, y que se reiterará en distintos lugares de este concepto es que frente a cualquier incremento del valor inicial del contrato, que es lo que implica una </w:t>
      </w:r>
      <w:r w:rsidR="00BF5E36" w:rsidRPr="005C1F67">
        <w:rPr>
          <w:rFonts w:ascii="Arial" w:hAnsi="Arial" w:cs="Arial"/>
          <w:i/>
          <w:iCs/>
          <w:color w:val="000000" w:themeColor="text1"/>
          <w:sz w:val="22"/>
        </w:rPr>
        <w:t xml:space="preserve">adición, </w:t>
      </w:r>
      <w:r w:rsidR="00BF5E36" w:rsidRPr="005C1F67">
        <w:rPr>
          <w:rFonts w:ascii="Arial" w:hAnsi="Arial" w:cs="Arial"/>
          <w:color w:val="000000" w:themeColor="text1"/>
          <w:sz w:val="22"/>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D075A9" w:rsidRPr="005C1F67">
        <w:rPr>
          <w:rStyle w:val="Refdenotaalpie"/>
          <w:rFonts w:ascii="Arial" w:hAnsi="Arial" w:cs="Arial"/>
          <w:color w:val="000000" w:themeColor="text1"/>
          <w:sz w:val="22"/>
        </w:rPr>
        <w:footnoteReference w:id="7"/>
      </w:r>
      <w:r w:rsidR="00BF5E36" w:rsidRPr="005C1F67">
        <w:rPr>
          <w:rFonts w:ascii="Arial" w:hAnsi="Arial" w:cs="Arial"/>
          <w:color w:val="000000" w:themeColor="text1"/>
          <w:sz w:val="22"/>
        </w:rPr>
        <w:t>.</w:t>
      </w:r>
    </w:p>
    <w:p w14:paraId="7D008C57" w14:textId="266BD06F" w:rsidR="003A5A50" w:rsidRPr="005C1F67" w:rsidRDefault="003A5A50"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 xml:space="preserve">Dicha norma además de consagrar una prohibición trae implícita una autorización, consistente en la posibilidad de adicionar los contratos estatales, siempre que no se supere el tope establecido. Debe tenerse en cuenta que el cálculo del límite debe hacerse en salarios mínimos para efectos de que el cálculo del tope sea preciso; 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que se efectúe una adición, se estime su valor en salarios mínimos, que se calcularán con base en el vigente al momento de la adición, de manera que se descuenten estos de los salarios mínimos que restan por adicionar, ya que las </w:t>
      </w:r>
      <w:r w:rsidR="00BC0BA6" w:rsidRPr="005C1F67">
        <w:rPr>
          <w:rFonts w:ascii="Arial" w:hAnsi="Arial" w:cs="Arial"/>
          <w:color w:val="000000" w:themeColor="text1"/>
          <w:sz w:val="22"/>
        </w:rPr>
        <w:t>modificaciones</w:t>
      </w:r>
      <w:r w:rsidRPr="005C1F67">
        <w:rPr>
          <w:rFonts w:ascii="Arial" w:hAnsi="Arial" w:cs="Arial"/>
          <w:color w:val="000000" w:themeColor="text1"/>
          <w:sz w:val="22"/>
        </w:rPr>
        <w:t xml:space="preserve"> podrían hacerse en diferentes años</w:t>
      </w:r>
      <w:r w:rsidR="00296479" w:rsidRPr="005C1F67">
        <w:rPr>
          <w:rFonts w:ascii="Arial" w:hAnsi="Arial" w:cs="Arial"/>
          <w:color w:val="000000" w:themeColor="text1"/>
          <w:sz w:val="22"/>
        </w:rPr>
        <w:t xml:space="preserve">, porque si el contrato se ejecuta sin existir variación en el valor del salario mínimo la operación sería la misma si se toma el monto en pesos. </w:t>
      </w:r>
    </w:p>
    <w:p w14:paraId="21FEBA2E" w14:textId="1127F889" w:rsidR="00296479" w:rsidRPr="005C1F67" w:rsidRDefault="00296479" w:rsidP="003A5A50">
      <w:pPr>
        <w:spacing w:before="120" w:after="120" w:line="276" w:lineRule="auto"/>
        <w:ind w:firstLine="709"/>
        <w:jc w:val="both"/>
        <w:rPr>
          <w:rFonts w:ascii="Arial" w:hAnsi="Arial" w:cs="Arial"/>
          <w:color w:val="000000" w:themeColor="text1"/>
          <w:sz w:val="22"/>
        </w:rPr>
      </w:pPr>
      <w:r w:rsidRPr="005C1F67">
        <w:rPr>
          <w:rFonts w:ascii="Arial" w:hAnsi="Arial" w:cs="Arial"/>
          <w:color w:val="000000" w:themeColor="text1"/>
          <w:sz w:val="22"/>
        </w:rPr>
        <w:t>El razonamiento anterior se soporta en la forma como la Ley 80 estableció el tope para las adiciones, acudiendo a una forma de actualización del valor</w:t>
      </w:r>
      <w:r w:rsidR="00BC0BA6" w:rsidRPr="005C1F67">
        <w:rPr>
          <w:rFonts w:ascii="Arial" w:hAnsi="Arial" w:cs="Arial"/>
          <w:color w:val="000000" w:themeColor="text1"/>
          <w:sz w:val="22"/>
        </w:rPr>
        <w:t>,</w:t>
      </w:r>
      <w:r w:rsidRPr="005C1F67">
        <w:rPr>
          <w:rFonts w:ascii="Arial" w:hAnsi="Arial" w:cs="Arial"/>
          <w:color w:val="000000" w:themeColor="text1"/>
          <w:sz w:val="22"/>
        </w:rPr>
        <w:t xml:space="preserve"> de acuerdo a los incrementos que tenga el salario mínimo, lo que resulta especialmente relevante en contratos de larga duración.</w:t>
      </w:r>
    </w:p>
    <w:p w14:paraId="0BA9C208" w14:textId="008EB850" w:rsidR="00137474" w:rsidRPr="005C1F67" w:rsidRDefault="00137474" w:rsidP="003348AA">
      <w:pPr>
        <w:spacing w:line="276" w:lineRule="auto"/>
        <w:ind w:firstLine="709"/>
        <w:jc w:val="both"/>
        <w:rPr>
          <w:rFonts w:ascii="Arial" w:hAnsi="Arial" w:cs="Arial"/>
          <w:color w:val="000000" w:themeColor="text1"/>
          <w:sz w:val="22"/>
        </w:rPr>
      </w:pPr>
      <w:r w:rsidRPr="005C1F67">
        <w:rPr>
          <w:rFonts w:ascii="Arial" w:hAnsi="Arial" w:cs="Arial"/>
          <w:color w:val="000000" w:themeColor="text1"/>
          <w:sz w:val="22"/>
        </w:rPr>
        <w:lastRenderedPageBreak/>
        <w:t xml:space="preserve">Sin perjuicio de la postura expuesta previamente </w:t>
      </w:r>
      <w:r w:rsidR="00BC0BA6" w:rsidRPr="005C1F67">
        <w:rPr>
          <w:rFonts w:ascii="Arial" w:hAnsi="Arial" w:cs="Arial"/>
          <w:color w:val="000000" w:themeColor="text1"/>
          <w:sz w:val="22"/>
        </w:rPr>
        <w:t>por</w:t>
      </w:r>
      <w:r w:rsidRPr="005C1F67">
        <w:rPr>
          <w:rFonts w:ascii="Arial" w:hAnsi="Arial" w:cs="Arial"/>
          <w:color w:val="000000" w:themeColor="text1"/>
          <w:sz w:val="22"/>
        </w:rPr>
        <w:t xml:space="preserve"> la Subdirección de Gestión Contractual, en torno al tope de la adición de los contratos, se señalarán algunas otras posturas que no se comparten, por considerarlas contrarias a la regulación actual contenida en la Ley 80 de 1993.</w:t>
      </w:r>
    </w:p>
    <w:p w14:paraId="15BF9E64" w14:textId="732C1700" w:rsidR="003348AA" w:rsidRPr="005C1F67" w:rsidRDefault="003348AA" w:rsidP="003348AA">
      <w:pPr>
        <w:spacing w:line="276" w:lineRule="auto"/>
        <w:jc w:val="both"/>
        <w:rPr>
          <w:rFonts w:ascii="Arial" w:hAnsi="Arial" w:cs="Arial"/>
          <w:b/>
          <w:color w:val="000000" w:themeColor="text1"/>
          <w:sz w:val="22"/>
        </w:rPr>
      </w:pPr>
    </w:p>
    <w:p w14:paraId="7EA36003" w14:textId="1795C7F7" w:rsidR="003348AA" w:rsidRPr="005C1F67" w:rsidRDefault="003348AA" w:rsidP="00BC0BA6">
      <w:pPr>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t>2.2.1. Dos posturas en torno al tope para adicionar los contratos estatales</w:t>
      </w:r>
    </w:p>
    <w:p w14:paraId="5CA75BAF" w14:textId="77777777" w:rsidR="003348AA" w:rsidRPr="005C1F67" w:rsidRDefault="003348AA" w:rsidP="00BC0BA6">
      <w:pPr>
        <w:jc w:val="both"/>
        <w:rPr>
          <w:rFonts w:ascii="Arial" w:hAnsi="Arial" w:cs="Arial"/>
          <w:b/>
          <w:color w:val="000000" w:themeColor="text1"/>
          <w:sz w:val="22"/>
          <w:lang w:eastAsia="es-ES"/>
        </w:rPr>
      </w:pPr>
    </w:p>
    <w:p w14:paraId="1B752783" w14:textId="47D2412B" w:rsidR="003348AA" w:rsidRPr="005C1F67" w:rsidRDefault="003348AA" w:rsidP="00625D5B">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Antes de señalar las dos posturas, es necesario </w:t>
      </w:r>
      <w:r w:rsidR="00C60D83" w:rsidRPr="005C1F67">
        <w:rPr>
          <w:rFonts w:ascii="Arial" w:hAnsi="Arial" w:cs="Arial"/>
          <w:color w:val="000000" w:themeColor="text1"/>
          <w:sz w:val="22"/>
          <w:lang w:eastAsia="es-ES"/>
        </w:rPr>
        <w:t>aclarar</w:t>
      </w:r>
      <w:r w:rsidRPr="005C1F67">
        <w:rPr>
          <w:rFonts w:ascii="Arial" w:hAnsi="Arial" w:cs="Arial"/>
          <w:color w:val="000000" w:themeColor="text1"/>
          <w:sz w:val="22"/>
          <w:lang w:eastAsia="es-ES"/>
        </w:rPr>
        <w:t xml:space="preserve"> que el presente problema </w:t>
      </w:r>
      <w:r w:rsidR="00625D5B" w:rsidRPr="005C1F67">
        <w:rPr>
          <w:rFonts w:ascii="Arial" w:hAnsi="Arial" w:cs="Arial"/>
          <w:color w:val="000000" w:themeColor="text1"/>
          <w:sz w:val="22"/>
          <w:lang w:eastAsia="es-ES"/>
        </w:rPr>
        <w:t>ocurre</w:t>
      </w:r>
      <w:r w:rsidRPr="005C1F67">
        <w:rPr>
          <w:rFonts w:ascii="Arial" w:hAnsi="Arial" w:cs="Arial"/>
          <w:color w:val="000000" w:themeColor="text1"/>
          <w:sz w:val="22"/>
          <w:lang w:eastAsia="es-ES"/>
        </w:rPr>
        <w:t xml:space="preserve">, especialmente, en los contratos cuya </w:t>
      </w:r>
      <w:r w:rsidR="00625D5B" w:rsidRPr="005C1F67">
        <w:rPr>
          <w:rFonts w:ascii="Arial" w:hAnsi="Arial" w:cs="Arial"/>
          <w:color w:val="000000" w:themeColor="text1"/>
          <w:sz w:val="22"/>
          <w:lang w:eastAsia="es-ES"/>
        </w:rPr>
        <w:t xml:space="preserve">estructuración y </w:t>
      </w:r>
      <w:r w:rsidRPr="005C1F67">
        <w:rPr>
          <w:rFonts w:ascii="Arial" w:hAnsi="Arial" w:cs="Arial"/>
          <w:color w:val="000000" w:themeColor="text1"/>
          <w:sz w:val="22"/>
          <w:lang w:eastAsia="es-ES"/>
        </w:rPr>
        <w:t xml:space="preserve">pago se </w:t>
      </w:r>
      <w:r w:rsidR="00625D5B" w:rsidRPr="005C1F67">
        <w:rPr>
          <w:rFonts w:ascii="Arial" w:hAnsi="Arial" w:cs="Arial"/>
          <w:color w:val="000000" w:themeColor="text1"/>
          <w:sz w:val="22"/>
          <w:lang w:eastAsia="es-ES"/>
        </w:rPr>
        <w:t>realiza</w:t>
      </w:r>
      <w:r w:rsidRPr="005C1F67">
        <w:rPr>
          <w:rFonts w:ascii="Arial" w:hAnsi="Arial" w:cs="Arial"/>
          <w:color w:val="000000" w:themeColor="text1"/>
          <w:sz w:val="22"/>
          <w:lang w:eastAsia="es-ES"/>
        </w:rPr>
        <w:t xml:space="preserve"> por precios unitarios, aunque también se ha extendido al de administración delegada o reembolso de gastos</w:t>
      </w:r>
      <w:r w:rsidRPr="005C1F67">
        <w:rPr>
          <w:rStyle w:val="Refdenotaalpie"/>
          <w:rFonts w:ascii="Arial" w:hAnsi="Arial" w:cs="Arial"/>
          <w:color w:val="000000" w:themeColor="text1"/>
          <w:sz w:val="22"/>
          <w:lang w:eastAsia="es-ES"/>
        </w:rPr>
        <w:footnoteReference w:id="8"/>
      </w:r>
      <w:r w:rsidRPr="005C1F67">
        <w:rPr>
          <w:rFonts w:ascii="Arial" w:hAnsi="Arial" w:cs="Arial"/>
          <w:color w:val="000000" w:themeColor="text1"/>
          <w:sz w:val="22"/>
          <w:lang w:eastAsia="es-ES"/>
        </w:rPr>
        <w:t>, ya que en el de precio global, como más adelante se expondrá, existe un mayor consenso en torno a la forma de aplicar el parágrafo del artículo 40.</w:t>
      </w:r>
    </w:p>
    <w:p w14:paraId="68FEF4AA" w14:textId="09013FA1" w:rsidR="003348AA" w:rsidRPr="005C1F67" w:rsidRDefault="003348AA" w:rsidP="00625D5B">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primera postura, que </w:t>
      </w:r>
      <w:r w:rsidR="00BC0BA6" w:rsidRPr="005C1F67">
        <w:rPr>
          <w:rFonts w:ascii="Arial" w:hAnsi="Arial" w:cs="Arial"/>
          <w:color w:val="000000" w:themeColor="text1"/>
          <w:sz w:val="22"/>
          <w:lang w:eastAsia="es-ES"/>
        </w:rPr>
        <w:t>fue señalada por</w:t>
      </w:r>
      <w:r w:rsidRPr="005C1F67">
        <w:rPr>
          <w:rFonts w:ascii="Arial" w:hAnsi="Arial" w:cs="Arial"/>
          <w:color w:val="000000" w:themeColor="text1"/>
          <w:sz w:val="22"/>
          <w:lang w:eastAsia="es-ES"/>
        </w:rPr>
        <w:t xml:space="preserve"> la Sala de Consulta y Servicio Civil del Consejo de Estado,</w:t>
      </w:r>
      <w:r w:rsidR="00BC0BA6" w:rsidRPr="005C1F67">
        <w:rPr>
          <w:rFonts w:ascii="Arial" w:hAnsi="Arial" w:cs="Arial"/>
          <w:color w:val="000000" w:themeColor="text1"/>
          <w:sz w:val="22"/>
          <w:lang w:eastAsia="es-ES"/>
        </w:rPr>
        <w:t xml:space="preserve"> y adoptada por el Consejo de Estado en otros pronunciamientos,</w:t>
      </w:r>
      <w:r w:rsidRPr="005C1F67">
        <w:rPr>
          <w:rFonts w:ascii="Arial" w:hAnsi="Arial" w:cs="Arial"/>
          <w:color w:val="000000" w:themeColor="text1"/>
          <w:sz w:val="22"/>
          <w:lang w:eastAsia="es-ES"/>
        </w:rPr>
        <w:t xml:space="preserve">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60CA2233" w14:textId="681AEC21" w:rsidR="003348AA" w:rsidRPr="005C1F67" w:rsidRDefault="003348AA" w:rsidP="001103D6">
      <w:pPr>
        <w:spacing w:before="120" w:line="276" w:lineRule="auto"/>
        <w:ind w:firstLine="709"/>
        <w:jc w:val="both"/>
        <w:rPr>
          <w:rFonts w:ascii="Arial" w:hAnsi="Arial" w:cs="Arial"/>
          <w:color w:val="000000" w:themeColor="text1"/>
          <w:sz w:val="22"/>
          <w:lang w:eastAsia="es-ES"/>
        </w:rPr>
      </w:pPr>
      <w:r w:rsidRPr="005C1F67">
        <w:rPr>
          <w:rFonts w:ascii="Arial" w:hAnsi="Arial" w:cs="Arial"/>
          <w:color w:val="000000" w:themeColor="text1"/>
          <w:sz w:val="22"/>
          <w:lang w:eastAsia="es-ES"/>
        </w:rPr>
        <w:t>En tal sentido,</w:t>
      </w:r>
      <w:r w:rsidR="00FE72D2" w:rsidRPr="005C1F67">
        <w:rPr>
          <w:rFonts w:ascii="Arial" w:hAnsi="Arial" w:cs="Arial"/>
          <w:color w:val="000000" w:themeColor="text1"/>
          <w:sz w:val="22"/>
          <w:lang w:eastAsia="es-ES"/>
        </w:rPr>
        <w:t xml:space="preserve"> y según dicha postura,</w:t>
      </w:r>
      <w:r w:rsidRPr="005C1F67">
        <w:rPr>
          <w:rFonts w:ascii="Arial" w:hAnsi="Arial" w:cs="Arial"/>
          <w:color w:val="000000" w:themeColor="text1"/>
          <w:sz w:val="22"/>
          <w:lang w:eastAsia="es-ES"/>
        </w:rPr>
        <w:t xml:space="preserve"> </w:t>
      </w:r>
      <w:r w:rsidR="00FE72D2" w:rsidRPr="005C1F67">
        <w:rPr>
          <w:rFonts w:ascii="Arial" w:hAnsi="Arial" w:cs="Arial"/>
          <w:color w:val="000000" w:themeColor="text1"/>
          <w:sz w:val="22"/>
          <w:lang w:eastAsia="es-ES"/>
        </w:rPr>
        <w:t xml:space="preserve">a </w:t>
      </w:r>
      <w:r w:rsidRPr="005C1F67">
        <w:rPr>
          <w:rFonts w:ascii="Arial" w:hAnsi="Arial" w:cs="Arial"/>
          <w:color w:val="000000" w:themeColor="text1"/>
          <w:sz w:val="22"/>
          <w:lang w:eastAsia="es-ES"/>
        </w:rPr>
        <w:t xml:space="preserve">otros aumentos del valor originados, por ejemplo, en mayores cantidades de obra, </w:t>
      </w:r>
      <w:r w:rsidR="00BC0BA6" w:rsidRPr="005C1F67">
        <w:rPr>
          <w:rFonts w:ascii="Arial" w:hAnsi="Arial" w:cs="Arial"/>
          <w:color w:val="000000" w:themeColor="text1"/>
          <w:sz w:val="22"/>
          <w:lang w:eastAsia="es-ES"/>
        </w:rPr>
        <w:t xml:space="preserve">no </w:t>
      </w:r>
      <w:r w:rsidRPr="005C1F67">
        <w:rPr>
          <w:rFonts w:ascii="Arial" w:hAnsi="Arial" w:cs="Arial"/>
          <w:color w:val="000000" w:themeColor="text1"/>
          <w:sz w:val="22"/>
          <w:lang w:eastAsia="es-ES"/>
        </w:rPr>
        <w:t xml:space="preserve">les aplica la prohibición, ya que, bajo dicha </w:t>
      </w:r>
      <w:r w:rsidR="00FE72D2" w:rsidRPr="005C1F67">
        <w:rPr>
          <w:rFonts w:ascii="Arial" w:hAnsi="Arial" w:cs="Arial"/>
          <w:color w:val="000000" w:themeColor="text1"/>
          <w:sz w:val="22"/>
          <w:lang w:eastAsia="es-ES"/>
        </w:rPr>
        <w:t>tesis</w:t>
      </w:r>
      <w:r w:rsidRPr="005C1F67">
        <w:rPr>
          <w:rFonts w:ascii="Arial" w:hAnsi="Arial" w:cs="Arial"/>
          <w:color w:val="000000" w:themeColor="text1"/>
          <w:sz w:val="22"/>
          <w:lang w:eastAsia="es-ES"/>
        </w:rPr>
        <w:t>, el valor inicial del contrato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en el sistema de precios unitarios</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solo consiste en un estimativo del costo que </w:t>
      </w:r>
      <w:r w:rsidR="00BC0BA6" w:rsidRPr="005C1F67">
        <w:rPr>
          <w:rFonts w:ascii="Arial" w:hAnsi="Arial" w:cs="Arial"/>
          <w:color w:val="000000" w:themeColor="text1"/>
          <w:sz w:val="22"/>
          <w:lang w:eastAsia="es-ES"/>
        </w:rPr>
        <w:t>tendrá</w:t>
      </w:r>
      <w:r w:rsidRPr="005C1F67">
        <w:rPr>
          <w:rFonts w:ascii="Arial" w:hAnsi="Arial" w:cs="Arial"/>
          <w:color w:val="000000" w:themeColor="text1"/>
          <w:sz w:val="22"/>
          <w:lang w:eastAsia="es-ES"/>
        </w:rPr>
        <w:t xml:space="preserve">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w:t>
      </w:r>
      <w:r w:rsidR="00BC0BA6"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La postura anterior se sintetiza en el siguiente </w:t>
      </w:r>
      <w:r w:rsidR="00625D5B" w:rsidRPr="005C1F67">
        <w:rPr>
          <w:rFonts w:ascii="Arial" w:hAnsi="Arial" w:cs="Arial"/>
          <w:color w:val="000000" w:themeColor="text1"/>
          <w:sz w:val="22"/>
          <w:lang w:eastAsia="es-ES"/>
        </w:rPr>
        <w:t>concepto</w:t>
      </w:r>
      <w:r w:rsidRPr="005C1F67">
        <w:rPr>
          <w:rFonts w:ascii="Arial" w:hAnsi="Arial" w:cs="Arial"/>
          <w:color w:val="000000" w:themeColor="text1"/>
          <w:sz w:val="22"/>
          <w:lang w:eastAsia="es-ES"/>
        </w:rPr>
        <w:t xml:space="preserve"> de la Sala de Consulta </w:t>
      </w:r>
      <w:r w:rsidR="00625D5B" w:rsidRPr="005C1F67">
        <w:rPr>
          <w:rFonts w:ascii="Arial" w:hAnsi="Arial" w:cs="Arial"/>
          <w:color w:val="000000" w:themeColor="text1"/>
          <w:sz w:val="22"/>
          <w:lang w:eastAsia="es-ES"/>
        </w:rPr>
        <w:t xml:space="preserve">y Servicio Civil </w:t>
      </w:r>
      <w:r w:rsidRPr="005C1F67">
        <w:rPr>
          <w:rFonts w:ascii="Arial" w:hAnsi="Arial" w:cs="Arial"/>
          <w:color w:val="000000" w:themeColor="text1"/>
          <w:sz w:val="22"/>
          <w:lang w:eastAsia="es-ES"/>
        </w:rPr>
        <w:t>del Consejo de Estado:</w:t>
      </w:r>
    </w:p>
    <w:p w14:paraId="458ED8AB" w14:textId="77777777" w:rsidR="003348AA" w:rsidRPr="005C1F67" w:rsidRDefault="003348AA" w:rsidP="003348AA">
      <w:pPr>
        <w:jc w:val="both"/>
        <w:rPr>
          <w:rFonts w:ascii="Arial" w:hAnsi="Arial" w:cs="Arial"/>
          <w:color w:val="000000" w:themeColor="text1"/>
          <w:sz w:val="22"/>
          <w:lang w:eastAsia="es-ES"/>
        </w:rPr>
      </w:pPr>
    </w:p>
    <w:p w14:paraId="141ADF4E"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 xml:space="preserve">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w:t>
      </w:r>
      <w:r w:rsidRPr="005C1F67">
        <w:rPr>
          <w:rFonts w:ascii="Arial" w:eastAsia="Times New Roman" w:hAnsi="Arial" w:cs="Arial"/>
          <w:color w:val="000000" w:themeColor="text1"/>
          <w:sz w:val="21"/>
          <w:szCs w:val="21"/>
        </w:rPr>
        <w:lastRenderedPageBreak/>
        <w:t>ejecutadas y, por consiguiente, si son más cantidades de obra a las previstas, pues el valor del contrato es mayor, pero así fue como se convino.</w:t>
      </w:r>
    </w:p>
    <w:p w14:paraId="65F57C3D"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15AC2640" w14:textId="77777777"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Por lo mismo, no se trata de que exista un «cambio» o «adición» en el contrato, sino de la aplicación de las reglas contractuales previamente determinadas en el contrato original. Es una operación matemática y no más.</w:t>
      </w:r>
    </w:p>
    <w:p w14:paraId="084422EB" w14:textId="77777777" w:rsidR="003348AA" w:rsidRPr="005C1F67" w:rsidRDefault="003348AA" w:rsidP="00625D5B">
      <w:pPr>
        <w:ind w:left="709" w:right="709"/>
        <w:jc w:val="both"/>
        <w:rPr>
          <w:rFonts w:ascii="Arial" w:eastAsia="Times New Roman" w:hAnsi="Arial" w:cs="Arial"/>
          <w:color w:val="000000" w:themeColor="text1"/>
          <w:sz w:val="21"/>
          <w:szCs w:val="21"/>
        </w:rPr>
      </w:pPr>
    </w:p>
    <w:p w14:paraId="38FC57A8" w14:textId="45644BA4" w:rsidR="003348AA" w:rsidRPr="005C1F67" w:rsidRDefault="003348AA" w:rsidP="00625D5B">
      <w:pPr>
        <w:ind w:left="709" w:right="709"/>
        <w:jc w:val="both"/>
        <w:rPr>
          <w:rFonts w:ascii="Arial" w:eastAsia="Times New Roman" w:hAnsi="Arial" w:cs="Arial"/>
          <w:color w:val="000000" w:themeColor="text1"/>
          <w:sz w:val="21"/>
          <w:szCs w:val="21"/>
        </w:rPr>
      </w:pPr>
      <w:r w:rsidRPr="005C1F67">
        <w:rPr>
          <w:rFonts w:ascii="Arial" w:eastAsia="Times New Roman" w:hAnsi="Arial" w:cs="Arial"/>
          <w:color w:val="000000" w:themeColor="text1"/>
          <w:sz w:val="21"/>
          <w:szCs w:val="21"/>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w:t>
      </w:r>
      <w:r w:rsidR="00B41272" w:rsidRPr="005C1F67">
        <w:rPr>
          <w:rStyle w:val="Refdenotaalpie"/>
          <w:rFonts w:ascii="Arial" w:eastAsia="Times New Roman" w:hAnsi="Arial" w:cs="Arial"/>
          <w:color w:val="000000" w:themeColor="text1"/>
          <w:sz w:val="21"/>
          <w:szCs w:val="21"/>
        </w:rPr>
        <w:footnoteReference w:id="9"/>
      </w:r>
      <w:r w:rsidRPr="005C1F67">
        <w:rPr>
          <w:rFonts w:ascii="Arial" w:eastAsia="Times New Roman" w:hAnsi="Arial" w:cs="Arial"/>
          <w:color w:val="000000" w:themeColor="text1"/>
          <w:sz w:val="21"/>
          <w:szCs w:val="21"/>
        </w:rPr>
        <w:t>.</w:t>
      </w:r>
    </w:p>
    <w:p w14:paraId="43BB8A0B" w14:textId="77777777" w:rsidR="003348AA" w:rsidRPr="005C1F67" w:rsidRDefault="003348AA" w:rsidP="003348AA">
      <w:pPr>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 </w:t>
      </w:r>
    </w:p>
    <w:p w14:paraId="0CABA2D0" w14:textId="32933F11" w:rsidR="003348AA" w:rsidRPr="005C1F67" w:rsidRDefault="003348AA" w:rsidP="00B41272">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La postura anterior</w:t>
      </w:r>
      <w:r w:rsidR="00BC0BA6" w:rsidRPr="005C1F67">
        <w:rPr>
          <w:rFonts w:ascii="Arial" w:hAnsi="Arial" w:cs="Arial"/>
          <w:color w:val="000000" w:themeColor="text1"/>
          <w:sz w:val="22"/>
          <w:lang w:eastAsia="es-ES"/>
        </w:rPr>
        <w:t xml:space="preserve"> también es defendida</w:t>
      </w:r>
      <w:r w:rsidRPr="005C1F67">
        <w:rPr>
          <w:rFonts w:ascii="Arial" w:hAnsi="Arial" w:cs="Arial"/>
          <w:color w:val="000000" w:themeColor="text1"/>
          <w:sz w:val="22"/>
          <w:lang w:eastAsia="es-ES"/>
        </w:rPr>
        <w:t xml:space="preserve"> por cierto sector de la doctrina</w:t>
      </w:r>
      <w:r w:rsidRPr="005C1F67">
        <w:rPr>
          <w:rStyle w:val="Refdenotaalpie"/>
          <w:rFonts w:ascii="Arial" w:hAnsi="Arial" w:cs="Arial"/>
          <w:color w:val="000000" w:themeColor="text1"/>
          <w:sz w:val="22"/>
          <w:lang w:eastAsia="es-ES"/>
        </w:rPr>
        <w:footnoteReference w:id="10"/>
      </w:r>
      <w:r w:rsidR="00BC0BA6" w:rsidRPr="005C1F67">
        <w:rPr>
          <w:rFonts w:ascii="Arial" w:hAnsi="Arial" w:cs="Arial"/>
          <w:color w:val="000000" w:themeColor="text1"/>
          <w:sz w:val="22"/>
          <w:lang w:eastAsia="es-ES"/>
        </w:rPr>
        <w:t>. B</w:t>
      </w:r>
      <w:r w:rsidRPr="005C1F67">
        <w:rPr>
          <w:rFonts w:ascii="Arial" w:hAnsi="Arial" w:cs="Arial"/>
          <w:color w:val="000000" w:themeColor="text1"/>
          <w:sz w:val="22"/>
          <w:lang w:eastAsia="es-ES"/>
        </w:rPr>
        <w:t xml:space="preserve">ajo ella </w:t>
      </w:r>
      <w:r w:rsidR="00B41272" w:rsidRPr="005C1F67">
        <w:rPr>
          <w:rFonts w:ascii="Arial" w:hAnsi="Arial" w:cs="Arial"/>
          <w:color w:val="000000" w:themeColor="text1"/>
          <w:sz w:val="22"/>
          <w:lang w:eastAsia="es-ES"/>
        </w:rPr>
        <w:t>se</w:t>
      </w:r>
      <w:r w:rsidRPr="005C1F67">
        <w:rPr>
          <w:rFonts w:ascii="Arial" w:hAnsi="Arial" w:cs="Arial"/>
          <w:color w:val="000000" w:themeColor="text1"/>
          <w:sz w:val="22"/>
          <w:lang w:eastAsia="es-ES"/>
        </w:rPr>
        <w:t xml:space="preserve"> ampl</w:t>
      </w:r>
      <w:r w:rsidR="00B41272" w:rsidRPr="005C1F67">
        <w:rPr>
          <w:rFonts w:ascii="Arial" w:hAnsi="Arial" w:cs="Arial"/>
          <w:color w:val="000000" w:themeColor="text1"/>
          <w:sz w:val="22"/>
          <w:lang w:eastAsia="es-ES"/>
        </w:rPr>
        <w:t>ía</w:t>
      </w:r>
      <w:r w:rsidRPr="005C1F67">
        <w:rPr>
          <w:rFonts w:ascii="Arial" w:hAnsi="Arial" w:cs="Arial"/>
          <w:color w:val="000000" w:themeColor="text1"/>
          <w:sz w:val="22"/>
          <w:lang w:eastAsia="es-ES"/>
        </w:rPr>
        <w:t xml:space="preserve"> el l</w:t>
      </w:r>
      <w:r w:rsidR="00B41272" w:rsidRPr="005C1F67">
        <w:rPr>
          <w:rFonts w:ascii="Arial" w:hAnsi="Arial" w:cs="Arial"/>
          <w:color w:val="000000" w:themeColor="text1"/>
          <w:sz w:val="22"/>
          <w:lang w:eastAsia="es-ES"/>
        </w:rPr>
        <w:t>í</w:t>
      </w:r>
      <w:r w:rsidRPr="005C1F67">
        <w:rPr>
          <w:rFonts w:ascii="Arial" w:hAnsi="Arial" w:cs="Arial"/>
          <w:color w:val="000000" w:themeColor="text1"/>
          <w:sz w:val="22"/>
          <w:lang w:eastAsia="es-ES"/>
        </w:rPr>
        <w:t>mite establecido por el legislador en el artículo 40, ya que este tipo de modificaciones</w:t>
      </w:r>
      <w:r w:rsidR="00BC0BA6" w:rsidRPr="005C1F67">
        <w:rPr>
          <w:rFonts w:ascii="Arial" w:hAnsi="Arial" w:cs="Arial"/>
          <w:color w:val="000000" w:themeColor="text1"/>
          <w:sz w:val="22"/>
          <w:lang w:eastAsia="es-ES"/>
        </w:rPr>
        <w:t xml:space="preserve">, </w:t>
      </w:r>
      <w:r w:rsidR="0037449A" w:rsidRPr="005C1F67">
        <w:rPr>
          <w:rFonts w:ascii="Arial" w:hAnsi="Arial" w:cs="Arial"/>
          <w:color w:val="000000" w:themeColor="text1"/>
          <w:sz w:val="22"/>
          <w:lang w:eastAsia="es-ES"/>
        </w:rPr>
        <w:t xml:space="preserve">para </w:t>
      </w:r>
      <w:r w:rsidR="00BC0BA6" w:rsidRPr="005C1F67">
        <w:rPr>
          <w:rFonts w:ascii="Arial" w:hAnsi="Arial" w:cs="Arial"/>
          <w:color w:val="000000" w:themeColor="text1"/>
          <w:sz w:val="22"/>
          <w:lang w:eastAsia="es-ES"/>
        </w:rPr>
        <w:t>ejecutar más de un mismo ítem o actividad pactada en el contrato</w:t>
      </w:r>
      <w:r w:rsidRPr="005C1F67">
        <w:rPr>
          <w:rFonts w:ascii="Arial" w:hAnsi="Arial" w:cs="Arial"/>
          <w:color w:val="000000" w:themeColor="text1"/>
          <w:sz w:val="22"/>
          <w:lang w:eastAsia="es-ES"/>
        </w:rPr>
        <w:t xml:space="preserve"> </w:t>
      </w:r>
      <w:r w:rsidR="00B41272" w:rsidRPr="005C1F67">
        <w:rPr>
          <w:rFonts w:ascii="Arial" w:hAnsi="Arial" w:cs="Arial"/>
          <w:color w:val="000000" w:themeColor="text1"/>
          <w:sz w:val="22"/>
          <w:lang w:eastAsia="es-ES"/>
        </w:rPr>
        <w:t>―estas posturas las consideraría</w:t>
      </w:r>
      <w:r w:rsidR="00BC0BA6" w:rsidRPr="005C1F67">
        <w:rPr>
          <w:rFonts w:ascii="Arial" w:hAnsi="Arial" w:cs="Arial"/>
          <w:color w:val="000000" w:themeColor="text1"/>
          <w:sz w:val="22"/>
          <w:lang w:eastAsia="es-ES"/>
        </w:rPr>
        <w:t>n</w:t>
      </w:r>
      <w:r w:rsidRPr="005C1F67">
        <w:rPr>
          <w:rFonts w:ascii="Arial" w:hAnsi="Arial" w:cs="Arial"/>
          <w:color w:val="000000" w:themeColor="text1"/>
          <w:sz w:val="22"/>
          <w:lang w:eastAsia="es-ES"/>
        </w:rPr>
        <w:t xml:space="preserve"> «precisiones» o «determinaciones del valor final»</w:t>
      </w:r>
      <w:r w:rsidR="00B41272" w:rsidRPr="005C1F67">
        <w:rPr>
          <w:rFonts w:ascii="Arial" w:hAnsi="Arial" w:cs="Arial"/>
          <w:color w:val="000000" w:themeColor="text1"/>
          <w:sz w:val="22"/>
          <w:lang w:eastAsia="es-ES"/>
        </w:rPr>
        <w:t>―</w:t>
      </w:r>
      <w:r w:rsidR="0037449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se tendrían en cuenta para señalar en qué porcentaje se ha adicionado un contrato, ya que ellas no son </w:t>
      </w:r>
      <w:r w:rsidRPr="005C1F67">
        <w:rPr>
          <w:rFonts w:ascii="Arial" w:hAnsi="Arial" w:cs="Arial"/>
          <w:i/>
          <w:color w:val="000000" w:themeColor="text1"/>
          <w:sz w:val="22"/>
          <w:lang w:eastAsia="es-ES"/>
        </w:rPr>
        <w:t>contratos adicionales</w:t>
      </w:r>
      <w:r w:rsidRPr="005C1F67">
        <w:rPr>
          <w:rFonts w:ascii="Arial" w:hAnsi="Arial" w:cs="Arial"/>
          <w:color w:val="000000" w:themeColor="text1"/>
          <w:sz w:val="22"/>
          <w:lang w:eastAsia="es-ES"/>
        </w:rPr>
        <w:t>:</w:t>
      </w:r>
    </w:p>
    <w:p w14:paraId="2F91BEBC" w14:textId="77777777" w:rsidR="003348AA" w:rsidRPr="005C1F67" w:rsidRDefault="003348AA" w:rsidP="003348AA">
      <w:pPr>
        <w:jc w:val="both"/>
        <w:rPr>
          <w:rFonts w:ascii="Arial" w:hAnsi="Arial" w:cs="Arial"/>
          <w:color w:val="000000" w:themeColor="text1"/>
          <w:sz w:val="22"/>
          <w:lang w:eastAsia="es-ES"/>
        </w:rPr>
      </w:pPr>
    </w:p>
    <w:p w14:paraId="054EFC7B"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4238A76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127B7835"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Insistimos que no podemos compartir este planteamiento por lo siguiente:</w:t>
      </w:r>
    </w:p>
    <w:p w14:paraId="25BF55E8"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384F7827"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5BC145F6"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20A5C76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lastRenderedPageBreak/>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12DECC5A"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085252B2" w14:textId="77777777"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593B1A67" w14:textId="77777777" w:rsidR="003348AA" w:rsidRPr="005C1F67" w:rsidRDefault="003348AA" w:rsidP="00407CAB">
      <w:pPr>
        <w:ind w:left="709" w:right="709"/>
        <w:jc w:val="both"/>
        <w:rPr>
          <w:rFonts w:ascii="Arial" w:hAnsi="Arial" w:cs="Arial"/>
          <w:color w:val="000000" w:themeColor="text1"/>
          <w:sz w:val="21"/>
          <w:szCs w:val="21"/>
          <w:lang w:eastAsia="es-ES"/>
        </w:rPr>
      </w:pPr>
    </w:p>
    <w:p w14:paraId="53FE18FE" w14:textId="002885D2" w:rsidR="00407CAB"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La inyección de los nuevos recursos no se hace al ampro de un contrato adicional sino como parte de un trámite interno oficial, con información al contratista para que pueda seguir avanzando en la obra</w:t>
      </w:r>
      <w:r w:rsidRPr="005C1F67">
        <w:rPr>
          <w:rStyle w:val="Refdenotaalpie"/>
          <w:rFonts w:ascii="Arial" w:hAnsi="Arial" w:cs="Arial"/>
          <w:color w:val="000000" w:themeColor="text1"/>
          <w:sz w:val="21"/>
          <w:szCs w:val="21"/>
          <w:lang w:eastAsia="es-ES"/>
        </w:rPr>
        <w:footnoteReference w:id="11"/>
      </w:r>
      <w:r w:rsidRPr="005C1F67">
        <w:rPr>
          <w:rFonts w:ascii="Arial" w:hAnsi="Arial" w:cs="Arial"/>
          <w:color w:val="000000" w:themeColor="text1"/>
          <w:sz w:val="21"/>
          <w:szCs w:val="21"/>
          <w:lang w:eastAsia="es-ES"/>
        </w:rPr>
        <w:t>.</w:t>
      </w:r>
    </w:p>
    <w:p w14:paraId="2DA272F3" w14:textId="4C20ADD1" w:rsidR="00407CAB" w:rsidRPr="005C1F67" w:rsidRDefault="00407CAB" w:rsidP="00407CAB">
      <w:pPr>
        <w:ind w:right="794"/>
        <w:jc w:val="both"/>
        <w:rPr>
          <w:rFonts w:ascii="Arial" w:hAnsi="Arial" w:cs="Arial"/>
          <w:color w:val="000000" w:themeColor="text1"/>
          <w:sz w:val="22"/>
          <w:lang w:eastAsia="es-ES"/>
        </w:rPr>
      </w:pPr>
    </w:p>
    <w:p w14:paraId="1CB9157A" w14:textId="3E5DB1C2" w:rsidR="00407CAB" w:rsidRPr="005C1F67" w:rsidRDefault="00407CAB" w:rsidP="001103D6">
      <w:pPr>
        <w:spacing w:after="120" w:line="276" w:lineRule="auto"/>
        <w:ind w:firstLine="709"/>
        <w:jc w:val="both"/>
        <w:rPr>
          <w:rFonts w:ascii="Arial" w:hAnsi="Arial" w:cs="Arial"/>
          <w:color w:val="000000" w:themeColor="text1"/>
          <w:sz w:val="22"/>
          <w:lang w:eastAsia="es-ES"/>
        </w:rPr>
      </w:pPr>
      <w:r w:rsidRPr="005C1F67">
        <w:rPr>
          <w:rFonts w:ascii="Arial" w:hAnsi="Arial" w:cs="Arial"/>
          <w:color w:val="000000" w:themeColor="text1"/>
          <w:sz w:val="22"/>
          <w:lang w:eastAsia="es-ES"/>
        </w:rPr>
        <w:t>Esta postura también es sostenida por el Consejo de estado en otras providencias, donde reitera el criterio desarrollado en el concepto de la Sala de Consulta y Servicio de Civil del Consejo de Estado citado previamente</w:t>
      </w:r>
      <w:r w:rsidRPr="005C1F67">
        <w:rPr>
          <w:color w:val="000000" w:themeColor="text1"/>
          <w:vertAlign w:val="superscript"/>
        </w:rPr>
        <w:footnoteReference w:id="12"/>
      </w:r>
      <w:r w:rsidRPr="005C1F67">
        <w:rPr>
          <w:rFonts w:ascii="Arial" w:hAnsi="Arial" w:cs="Arial"/>
          <w:color w:val="000000" w:themeColor="text1"/>
          <w:sz w:val="22"/>
          <w:lang w:eastAsia="es-ES"/>
        </w:rPr>
        <w:t xml:space="preserve">. </w:t>
      </w:r>
    </w:p>
    <w:p w14:paraId="50A985FB" w14:textId="41B530F8"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otra postura, defendida por </w:t>
      </w:r>
      <w:r w:rsidR="00A06C13" w:rsidRPr="005C1F67">
        <w:rPr>
          <w:rFonts w:ascii="Arial" w:hAnsi="Arial" w:cs="Arial"/>
          <w:color w:val="000000" w:themeColor="text1"/>
          <w:sz w:val="22"/>
          <w:lang w:eastAsia="es-ES"/>
        </w:rPr>
        <w:t>otra parte de la doctrina</w:t>
      </w:r>
      <w:r w:rsidRPr="005C1F67">
        <w:rPr>
          <w:rFonts w:ascii="Arial" w:hAnsi="Arial" w:cs="Arial"/>
          <w:color w:val="000000" w:themeColor="text1"/>
          <w:sz w:val="22"/>
          <w:lang w:eastAsia="es-ES"/>
        </w:rPr>
        <w:t xml:space="preserve">, </w:t>
      </w:r>
      <w:r w:rsidR="00A06C13" w:rsidRPr="005C1F67">
        <w:rPr>
          <w:rFonts w:ascii="Arial" w:hAnsi="Arial" w:cs="Arial"/>
          <w:color w:val="000000" w:themeColor="text1"/>
          <w:sz w:val="22"/>
          <w:lang w:eastAsia="es-ES"/>
        </w:rPr>
        <w:t>y que es la que sostiene esta Agencia, considera</w:t>
      </w:r>
      <w:r w:rsidRPr="005C1F67">
        <w:rPr>
          <w:rFonts w:ascii="Arial" w:hAnsi="Arial" w:cs="Arial"/>
          <w:color w:val="000000" w:themeColor="text1"/>
          <w:sz w:val="22"/>
          <w:lang w:eastAsia="es-ES"/>
        </w:rPr>
        <w:t xml:space="preserve"> que cualquier aumento del valor, independientemente de la causa que lo origine, se enmarca dentro del límite del parágrafo del artículo 40, de manera que la norma debe entenderse en el sentido de que cualquier aumento del precio inicial</w:t>
      </w:r>
      <w:r w:rsidR="00407CAB" w:rsidRPr="005C1F67">
        <w:rPr>
          <w:rFonts w:ascii="Arial" w:hAnsi="Arial" w:cs="Arial"/>
          <w:color w:val="000000" w:themeColor="text1"/>
          <w:sz w:val="22"/>
          <w:lang w:eastAsia="es-ES"/>
        </w:rPr>
        <w:t>, que implique añadir recursos a los inicialmente previstos,</w:t>
      </w:r>
      <w:r w:rsidRPr="005C1F67">
        <w:rPr>
          <w:rFonts w:ascii="Arial" w:hAnsi="Arial" w:cs="Arial"/>
          <w:color w:val="000000" w:themeColor="text1"/>
          <w:sz w:val="22"/>
          <w:lang w:eastAsia="es-ES"/>
        </w:rPr>
        <w:t xml:space="preserve"> implica la celebración de un</w:t>
      </w:r>
      <w:r w:rsidR="00407CAB" w:rsidRPr="005C1F67">
        <w:rPr>
          <w:rFonts w:ascii="Arial" w:hAnsi="Arial" w:cs="Arial"/>
          <w:color w:val="000000" w:themeColor="text1"/>
          <w:sz w:val="22"/>
          <w:lang w:eastAsia="es-ES"/>
        </w:rPr>
        <w:t xml:space="preserve">a adición </w:t>
      </w:r>
      <w:r w:rsidR="00A06C13"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que será un contrato</w:t>
      </w:r>
      <w:r w:rsidR="00A06C13" w:rsidRPr="005C1F67">
        <w:rPr>
          <w:rFonts w:ascii="Arial" w:hAnsi="Arial" w:cs="Arial"/>
          <w:color w:val="000000" w:themeColor="text1"/>
          <w:sz w:val="22"/>
          <w:lang w:eastAsia="es-ES"/>
        </w:rPr>
        <w:t>―</w:t>
      </w:r>
      <w:r w:rsidR="00407CAB"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independientemente del nombre que se le d</w:t>
      </w:r>
      <w:r w:rsidR="00A06C13" w:rsidRPr="005C1F67">
        <w:rPr>
          <w:rFonts w:ascii="Arial" w:hAnsi="Arial" w:cs="Arial"/>
          <w:color w:val="000000" w:themeColor="text1"/>
          <w:sz w:val="22"/>
          <w:lang w:eastAsia="es-ES"/>
        </w:rPr>
        <w:t>é</w:t>
      </w:r>
      <w:r w:rsidRPr="005C1F67">
        <w:rPr>
          <w:rFonts w:ascii="Arial" w:hAnsi="Arial" w:cs="Arial"/>
          <w:color w:val="000000" w:themeColor="text1"/>
          <w:sz w:val="22"/>
          <w:lang w:eastAsia="es-ES"/>
        </w:rPr>
        <w:t xml:space="preserve"> y que necesariamente se someterá a la norma prohibitiva, salvo norma especial que excepcione la regla general: </w:t>
      </w:r>
    </w:p>
    <w:p w14:paraId="1285C554" w14:textId="77777777" w:rsidR="003348AA" w:rsidRPr="005C1F67" w:rsidRDefault="003348AA" w:rsidP="003348AA">
      <w:pPr>
        <w:jc w:val="both"/>
        <w:rPr>
          <w:rFonts w:ascii="Arial" w:hAnsi="Arial" w:cs="Arial"/>
          <w:color w:val="000000" w:themeColor="text1"/>
          <w:sz w:val="22"/>
          <w:lang w:eastAsia="es-ES"/>
        </w:rPr>
      </w:pPr>
    </w:p>
    <w:p w14:paraId="0CF09C61" w14:textId="1CD0B8A0" w:rsidR="00956461" w:rsidRPr="005C1F67" w:rsidRDefault="00956461"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Según este criterio</w:t>
      </w:r>
      <w:r w:rsidR="00407CAB" w:rsidRPr="005C1F67">
        <w:rPr>
          <w:rFonts w:ascii="Arial" w:hAnsi="Arial" w:cs="Arial"/>
          <w:color w:val="000000" w:themeColor="text1"/>
          <w:sz w:val="21"/>
          <w:szCs w:val="21"/>
          <w:lang w:eastAsia="es-ES"/>
        </w:rPr>
        <w:t>,</w:t>
      </w:r>
      <w:r w:rsidRPr="005C1F67">
        <w:rPr>
          <w:rFonts w:ascii="Arial" w:hAnsi="Arial" w:cs="Arial"/>
          <w:color w:val="000000" w:themeColor="text1"/>
          <w:sz w:val="21"/>
          <w:szCs w:val="21"/>
          <w:lang w:eastAsia="es-ES"/>
        </w:rPr>
        <w:t xml:space="preserve"> [el expuesto previamente en este concepto] </w:t>
      </w:r>
      <w:r w:rsidR="00407CAB" w:rsidRPr="005C1F67">
        <w:rPr>
          <w:rFonts w:ascii="Arial" w:hAnsi="Arial" w:cs="Arial"/>
          <w:color w:val="000000" w:themeColor="text1"/>
          <w:sz w:val="21"/>
          <w:szCs w:val="21"/>
          <w:lang w:eastAsia="es-ES"/>
        </w:rPr>
        <w:t>del cual nos apartamos</w:t>
      </w:r>
      <w:r w:rsidR="001374A8" w:rsidRPr="005C1F67">
        <w:rPr>
          <w:rFonts w:ascii="Arial" w:hAnsi="Arial" w:cs="Arial"/>
          <w:color w:val="000000" w:themeColor="text1"/>
          <w:sz w:val="21"/>
          <w:szCs w:val="21"/>
          <w:lang w:eastAsia="es-ES"/>
        </w:rPr>
        <w:t xml:space="preserve"> categóricamente, el contrato de nuestro ejemplo, por valor de $1’</w:t>
      </w:r>
      <w:r w:rsidR="001103D6" w:rsidRPr="005C1F67">
        <w:rPr>
          <w:rFonts w:ascii="Arial" w:hAnsi="Arial" w:cs="Arial"/>
          <w:color w:val="000000" w:themeColor="text1"/>
          <w:sz w:val="21"/>
          <w:szCs w:val="21"/>
          <w:lang w:eastAsia="es-ES"/>
        </w:rPr>
        <w:t>000.000</w:t>
      </w:r>
      <w:r w:rsidR="001374A8" w:rsidRPr="005C1F67">
        <w:rPr>
          <w:rFonts w:ascii="Arial" w:hAnsi="Arial" w:cs="Arial"/>
          <w:color w:val="000000" w:themeColor="text1"/>
          <w:sz w:val="21"/>
          <w:szCs w:val="21"/>
          <w:lang w:eastAsia="es-ES"/>
        </w:rPr>
        <w:t xml:space="preserve">,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001374A8" w:rsidRPr="005C1F67">
        <w:rPr>
          <w:rFonts w:ascii="Arial" w:hAnsi="Arial" w:cs="Arial"/>
          <w:i/>
          <w:iCs/>
          <w:color w:val="000000" w:themeColor="text1"/>
          <w:sz w:val="21"/>
          <w:szCs w:val="21"/>
          <w:lang w:eastAsia="es-ES"/>
        </w:rPr>
        <w:t xml:space="preserve">obra adicional </w:t>
      </w:r>
      <w:r w:rsidR="001374A8" w:rsidRPr="005C1F67">
        <w:rPr>
          <w:rFonts w:ascii="Arial" w:hAnsi="Arial" w:cs="Arial"/>
          <w:color w:val="000000" w:themeColor="text1"/>
          <w:sz w:val="21"/>
          <w:szCs w:val="21"/>
          <w:lang w:eastAsia="es-ES"/>
        </w:rPr>
        <w:t>conduce a una adición del contrato, luego debe tener como límite el 50% analizado.</w:t>
      </w:r>
    </w:p>
    <w:p w14:paraId="2FCC1D7D" w14:textId="5C8CB93B" w:rsidR="00956461" w:rsidRPr="005C1F67" w:rsidRDefault="001374A8"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w:t>
      </w:r>
    </w:p>
    <w:p w14:paraId="4109C900" w14:textId="77777777" w:rsidR="001374A8" w:rsidRPr="005C1F67" w:rsidRDefault="001374A8" w:rsidP="00407CAB">
      <w:pPr>
        <w:ind w:left="709" w:right="709"/>
        <w:jc w:val="both"/>
        <w:rPr>
          <w:rFonts w:ascii="Arial" w:hAnsi="Arial" w:cs="Arial"/>
          <w:color w:val="000000" w:themeColor="text1"/>
          <w:sz w:val="21"/>
          <w:szCs w:val="21"/>
          <w:lang w:eastAsia="es-ES"/>
        </w:rPr>
      </w:pPr>
    </w:p>
    <w:p w14:paraId="30EFE482" w14:textId="2384644E" w:rsidR="003348AA" w:rsidRPr="005C1F67" w:rsidRDefault="003348AA" w:rsidP="00407CAB">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 xml:space="preserve">La tesis jurídica que prevalece es que los contratos no se pueden adicionar por encima del límite del art. 40, sin importar si la obra es extra o adicional, pues estas categorías son meramente técnicas y no jurídicas, de modo que lo </w:t>
      </w:r>
      <w:r w:rsidRPr="005C1F67">
        <w:rPr>
          <w:rFonts w:ascii="Arial" w:hAnsi="Arial" w:cs="Arial"/>
          <w:color w:val="000000" w:themeColor="text1"/>
          <w:sz w:val="21"/>
          <w:szCs w:val="21"/>
          <w:lang w:eastAsia="es-ES"/>
        </w:rPr>
        <w:lastRenderedPageBreak/>
        <w:t>determinante no es el tipo de obra, bien o servicio que se necesita ejecutar en mayor cantidad, sino su valor. Si sobrepasa el límite legal no es posible ejecutarlo</w:t>
      </w:r>
      <w:r w:rsidR="00A06C13" w:rsidRPr="005C1F67">
        <w:rPr>
          <w:rStyle w:val="Refdenotaalpie"/>
          <w:rFonts w:ascii="Arial" w:hAnsi="Arial" w:cs="Arial"/>
          <w:color w:val="000000" w:themeColor="text1"/>
          <w:sz w:val="21"/>
          <w:szCs w:val="21"/>
          <w:lang w:eastAsia="es-ES"/>
        </w:rPr>
        <w:footnoteReference w:id="13"/>
      </w:r>
      <w:r w:rsidRPr="005C1F67">
        <w:rPr>
          <w:rFonts w:ascii="Arial" w:hAnsi="Arial" w:cs="Arial"/>
          <w:color w:val="000000" w:themeColor="text1"/>
          <w:sz w:val="21"/>
          <w:szCs w:val="21"/>
          <w:lang w:eastAsia="es-ES"/>
        </w:rPr>
        <w:t>.</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Aparte en c</w:t>
      </w:r>
      <w:r w:rsidR="00956461" w:rsidRPr="005C1F67">
        <w:rPr>
          <w:rFonts w:ascii="Arial" w:hAnsi="Arial" w:cs="Arial"/>
          <w:color w:val="000000" w:themeColor="text1"/>
          <w:sz w:val="21"/>
          <w:szCs w:val="21"/>
          <w:lang w:eastAsia="es-ES"/>
        </w:rPr>
        <w:t>orchetes fuera de</w:t>
      </w:r>
      <w:r w:rsidR="00407CAB" w:rsidRPr="005C1F67">
        <w:rPr>
          <w:rFonts w:ascii="Arial" w:hAnsi="Arial" w:cs="Arial"/>
          <w:color w:val="000000" w:themeColor="text1"/>
          <w:sz w:val="21"/>
          <w:szCs w:val="21"/>
          <w:lang w:eastAsia="es-ES"/>
        </w:rPr>
        <w:t>l</w:t>
      </w:r>
      <w:r w:rsidR="00956461" w:rsidRPr="005C1F67">
        <w:rPr>
          <w:rFonts w:ascii="Arial" w:hAnsi="Arial" w:cs="Arial"/>
          <w:color w:val="000000" w:themeColor="text1"/>
          <w:sz w:val="21"/>
          <w:szCs w:val="21"/>
          <w:lang w:eastAsia="es-ES"/>
        </w:rPr>
        <w:t xml:space="preserve"> </w:t>
      </w:r>
      <w:r w:rsidR="00407CAB" w:rsidRPr="005C1F67">
        <w:rPr>
          <w:rFonts w:ascii="Arial" w:hAnsi="Arial" w:cs="Arial"/>
          <w:color w:val="000000" w:themeColor="text1"/>
          <w:sz w:val="21"/>
          <w:szCs w:val="21"/>
          <w:lang w:eastAsia="es-ES"/>
        </w:rPr>
        <w:t>original</w:t>
      </w:r>
      <w:r w:rsidR="00956461" w:rsidRPr="005C1F67">
        <w:rPr>
          <w:rFonts w:ascii="Arial" w:hAnsi="Arial" w:cs="Arial"/>
          <w:color w:val="000000" w:themeColor="text1"/>
          <w:sz w:val="21"/>
          <w:szCs w:val="21"/>
          <w:lang w:eastAsia="es-ES"/>
        </w:rPr>
        <w:t>).</w:t>
      </w:r>
    </w:p>
    <w:p w14:paraId="7E1E2384" w14:textId="387751D9" w:rsidR="003348AA" w:rsidRPr="005C1F67" w:rsidRDefault="003348AA" w:rsidP="003348AA">
      <w:pPr>
        <w:jc w:val="both"/>
        <w:rPr>
          <w:rFonts w:ascii="Arial" w:hAnsi="Arial" w:cs="Arial"/>
          <w:color w:val="000000" w:themeColor="text1"/>
          <w:sz w:val="22"/>
          <w:lang w:eastAsia="es-ES"/>
        </w:rPr>
      </w:pPr>
    </w:p>
    <w:p w14:paraId="548BB3C5" w14:textId="67030D05" w:rsidR="007C7806" w:rsidRPr="005C1F67" w:rsidRDefault="007C7806" w:rsidP="007C7806">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La postura anterior también es defendida por la Sección Tercera del Consejo de Estado y por la mayoría de las entidades, porque en el año 2010 se </w:t>
      </w:r>
      <w:r w:rsidR="00BC0BA6" w:rsidRPr="005C1F67">
        <w:rPr>
          <w:rFonts w:ascii="Arial" w:hAnsi="Arial" w:cs="Arial"/>
          <w:color w:val="000000" w:themeColor="text1"/>
          <w:sz w:val="22"/>
          <w:lang w:eastAsia="es-ES"/>
        </w:rPr>
        <w:t>demandó</w:t>
      </w:r>
      <w:r w:rsidRPr="005C1F67">
        <w:rPr>
          <w:rFonts w:ascii="Arial" w:hAnsi="Arial" w:cs="Arial"/>
          <w:color w:val="000000" w:themeColor="text1"/>
          <w:sz w:val="22"/>
          <w:lang w:eastAsia="es-ES"/>
        </w:rPr>
        <w:t xml:space="preserve"> la legalidad del artículo 73 del Decreto 2474 de 2008, que autorizaba la adición de algunos contratos por encima del 50%. La Sección Tercera declaró su nulidad</w:t>
      </w:r>
      <w:r w:rsidR="00DA346E" w:rsidRPr="005C1F67">
        <w:rPr>
          <w:rFonts w:ascii="Arial" w:hAnsi="Arial" w:cs="Arial"/>
          <w:color w:val="000000" w:themeColor="text1"/>
          <w:sz w:val="22"/>
          <w:lang w:eastAsia="es-ES"/>
        </w:rPr>
        <w:t>, en la sentencia del 14 de abril de 2010,</w:t>
      </w:r>
      <w:r w:rsidRPr="005C1F67">
        <w:rPr>
          <w:rFonts w:ascii="Arial" w:hAnsi="Arial" w:cs="Arial"/>
          <w:color w:val="000000" w:themeColor="text1"/>
          <w:sz w:val="22"/>
          <w:lang w:eastAsia="es-ES"/>
        </w:rPr>
        <w:t xml:space="preserve"> bajo los siguientes argumentos:</w:t>
      </w:r>
    </w:p>
    <w:p w14:paraId="7665EE89" w14:textId="3F7CED30" w:rsidR="007C7806" w:rsidRPr="005C1F67" w:rsidRDefault="007C7806" w:rsidP="007C7806">
      <w:pPr>
        <w:spacing w:line="276" w:lineRule="auto"/>
        <w:ind w:firstLine="708"/>
        <w:jc w:val="both"/>
        <w:rPr>
          <w:rFonts w:ascii="Arial" w:hAnsi="Arial" w:cs="Arial"/>
          <w:color w:val="000000" w:themeColor="text1"/>
          <w:sz w:val="22"/>
          <w:lang w:eastAsia="es-ES"/>
        </w:rPr>
      </w:pPr>
    </w:p>
    <w:p w14:paraId="36A4282C" w14:textId="7FBA990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La Sala acogerá la pretensión formulada en atención a que como ya ha sostenido la jurisprudencia de esta Corporación las expresiones utilizadas por la ley («adicionar» y «valor inicial»), hacen referencia a la necesidad de operar 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0BF5798" w14:textId="679020C8" w:rsidR="007C7806" w:rsidRPr="005C1F67" w:rsidRDefault="007C7806" w:rsidP="007C7806">
      <w:pPr>
        <w:ind w:left="709" w:right="709"/>
        <w:jc w:val="both"/>
        <w:rPr>
          <w:rFonts w:ascii="Arial" w:hAnsi="Arial" w:cs="Arial"/>
          <w:color w:val="000000" w:themeColor="text1"/>
          <w:sz w:val="21"/>
          <w:szCs w:val="21"/>
          <w:lang w:eastAsia="es-ES"/>
        </w:rPr>
      </w:pPr>
    </w:p>
    <w:p w14:paraId="1F468C33" w14:textId="162CA4B3" w:rsidR="007C7806" w:rsidRPr="005C1F67" w:rsidRDefault="007C7806" w:rsidP="007C7806">
      <w:pPr>
        <w:ind w:left="709" w:right="709"/>
        <w:jc w:val="both"/>
        <w:rPr>
          <w:rFonts w:ascii="Arial" w:hAnsi="Arial" w:cs="Arial"/>
          <w:color w:val="000000" w:themeColor="text1"/>
          <w:sz w:val="21"/>
          <w:szCs w:val="21"/>
          <w:lang w:eastAsia="es-ES"/>
        </w:rPr>
      </w:pPr>
      <w:r w:rsidRPr="005C1F67">
        <w:rPr>
          <w:rFonts w:ascii="Arial" w:hAnsi="Arial" w:cs="Arial"/>
          <w:color w:val="000000" w:themeColor="text1"/>
          <w:sz w:val="21"/>
          <w:szCs w:val="21"/>
          <w:lang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00DA346E" w:rsidRPr="005C1F67">
        <w:rPr>
          <w:rStyle w:val="Refdenotaalpie"/>
          <w:rFonts w:ascii="Arial" w:hAnsi="Arial" w:cs="Arial"/>
          <w:color w:val="000000" w:themeColor="text1"/>
          <w:sz w:val="21"/>
          <w:szCs w:val="21"/>
          <w:lang w:eastAsia="es-ES"/>
        </w:rPr>
        <w:footnoteReference w:id="14"/>
      </w:r>
      <w:r w:rsidR="001D4D14" w:rsidRPr="005C1F67">
        <w:rPr>
          <w:rFonts w:ascii="Arial" w:hAnsi="Arial" w:cs="Arial"/>
          <w:color w:val="000000" w:themeColor="text1"/>
          <w:sz w:val="21"/>
          <w:szCs w:val="21"/>
          <w:lang w:eastAsia="es-ES"/>
        </w:rPr>
        <w:t>.</w:t>
      </w:r>
    </w:p>
    <w:p w14:paraId="548B7FCC" w14:textId="77777777" w:rsidR="007C7806" w:rsidRPr="005C1F67" w:rsidRDefault="007C7806" w:rsidP="007C7806">
      <w:pPr>
        <w:spacing w:line="276" w:lineRule="auto"/>
        <w:ind w:firstLine="708"/>
        <w:jc w:val="both"/>
        <w:rPr>
          <w:rFonts w:ascii="Arial" w:hAnsi="Arial" w:cs="Arial"/>
          <w:color w:val="000000" w:themeColor="text1"/>
          <w:sz w:val="22"/>
          <w:lang w:eastAsia="es-ES"/>
        </w:rPr>
      </w:pPr>
    </w:p>
    <w:p w14:paraId="65458C6A" w14:textId="2D999341" w:rsidR="003348AA" w:rsidRPr="005C1F67" w:rsidRDefault="007C7806" w:rsidP="00DE7880">
      <w:pPr>
        <w:spacing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Esta Agencia</w:t>
      </w:r>
      <w:r w:rsidR="003348AA" w:rsidRPr="005C1F67">
        <w:rPr>
          <w:rFonts w:ascii="Arial" w:hAnsi="Arial" w:cs="Arial"/>
          <w:color w:val="000000" w:themeColor="text1"/>
          <w:sz w:val="22"/>
          <w:lang w:eastAsia="es-ES"/>
        </w:rPr>
        <w:t xml:space="preserve"> comparte </w:t>
      </w:r>
      <w:r w:rsidRPr="005C1F67">
        <w:rPr>
          <w:rFonts w:ascii="Arial" w:hAnsi="Arial" w:cs="Arial"/>
          <w:color w:val="000000" w:themeColor="text1"/>
          <w:sz w:val="22"/>
          <w:lang w:eastAsia="es-ES"/>
        </w:rPr>
        <w:t>la última</w:t>
      </w:r>
      <w:r w:rsidR="003348AA" w:rsidRPr="005C1F67">
        <w:rPr>
          <w:rFonts w:ascii="Arial" w:hAnsi="Arial" w:cs="Arial"/>
          <w:color w:val="000000" w:themeColor="text1"/>
          <w:sz w:val="22"/>
          <w:lang w:eastAsia="es-ES"/>
        </w:rPr>
        <w:t xml:space="preserve"> postura, ya que es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w:t>
      </w:r>
      <w:r w:rsidR="00DE7880" w:rsidRPr="005C1F67">
        <w:rPr>
          <w:rFonts w:ascii="Arial" w:hAnsi="Arial" w:cs="Arial"/>
          <w:color w:val="000000" w:themeColor="text1"/>
          <w:sz w:val="22"/>
          <w:lang w:eastAsia="es-ES"/>
        </w:rPr>
        <w:t>implicaría una</w:t>
      </w:r>
      <w:r w:rsidR="003348AA" w:rsidRPr="005C1F67">
        <w:rPr>
          <w:rFonts w:ascii="Arial" w:hAnsi="Arial" w:cs="Arial"/>
          <w:color w:val="000000" w:themeColor="text1"/>
          <w:sz w:val="22"/>
          <w:lang w:eastAsia="es-ES"/>
        </w:rPr>
        <w:t xml:space="preserve"> fuga a la prohibición fijada por el legislador</w:t>
      </w:r>
      <w:r w:rsidR="00844F93"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w:t>
      </w:r>
    </w:p>
    <w:p w14:paraId="3828BC50" w14:textId="77777777" w:rsidR="003348AA" w:rsidRPr="005C1F67" w:rsidRDefault="003348AA" w:rsidP="003348AA">
      <w:pPr>
        <w:jc w:val="both"/>
        <w:rPr>
          <w:rFonts w:ascii="Arial" w:hAnsi="Arial" w:cs="Arial"/>
          <w:color w:val="000000" w:themeColor="text1"/>
          <w:sz w:val="22"/>
          <w:lang w:eastAsia="es-ES"/>
        </w:rPr>
      </w:pPr>
    </w:p>
    <w:p w14:paraId="0DCD21EE" w14:textId="23D509AF" w:rsidR="003348AA" w:rsidRPr="005C1F67" w:rsidRDefault="00EB3576" w:rsidP="00EB3576">
      <w:pPr>
        <w:spacing w:line="276" w:lineRule="auto"/>
        <w:jc w:val="both"/>
        <w:rPr>
          <w:rFonts w:ascii="Arial" w:hAnsi="Arial" w:cs="Arial"/>
          <w:b/>
          <w:color w:val="000000" w:themeColor="text1"/>
          <w:sz w:val="22"/>
          <w:lang w:eastAsia="es-ES"/>
        </w:rPr>
      </w:pPr>
      <w:r w:rsidRPr="005C1F67">
        <w:rPr>
          <w:rFonts w:ascii="Arial" w:hAnsi="Arial" w:cs="Arial"/>
          <w:b/>
          <w:color w:val="000000" w:themeColor="text1"/>
          <w:sz w:val="22"/>
          <w:lang w:eastAsia="es-ES"/>
        </w:rPr>
        <w:lastRenderedPageBreak/>
        <w:t>2.2.2. L</w:t>
      </w:r>
      <w:r w:rsidR="003348AA" w:rsidRPr="005C1F67">
        <w:rPr>
          <w:rFonts w:ascii="Arial" w:hAnsi="Arial" w:cs="Arial"/>
          <w:b/>
          <w:color w:val="000000" w:themeColor="text1"/>
          <w:sz w:val="22"/>
          <w:lang w:eastAsia="es-ES"/>
        </w:rPr>
        <w:t>as entidades exceptuadas</w:t>
      </w:r>
      <w:r w:rsidRPr="005C1F67">
        <w:rPr>
          <w:rFonts w:ascii="Arial" w:hAnsi="Arial" w:cs="Arial"/>
          <w:b/>
          <w:color w:val="000000" w:themeColor="text1"/>
          <w:sz w:val="22"/>
          <w:lang w:eastAsia="es-ES"/>
        </w:rPr>
        <w:t xml:space="preserve"> del EGCAP</w:t>
      </w:r>
      <w:r w:rsidR="003348AA" w:rsidRPr="005C1F67">
        <w:rPr>
          <w:rFonts w:ascii="Arial" w:hAnsi="Arial" w:cs="Arial"/>
          <w:b/>
          <w:color w:val="000000" w:themeColor="text1"/>
          <w:sz w:val="22"/>
          <w:lang w:eastAsia="es-ES"/>
        </w:rPr>
        <w:t xml:space="preserve"> </w:t>
      </w:r>
    </w:p>
    <w:p w14:paraId="119B6B46" w14:textId="77777777" w:rsidR="003348AA" w:rsidRPr="005C1F67" w:rsidRDefault="003348AA" w:rsidP="003348AA">
      <w:pPr>
        <w:pStyle w:val="Prrafodelista"/>
        <w:ind w:left="1080"/>
        <w:jc w:val="both"/>
        <w:rPr>
          <w:rFonts w:ascii="Arial" w:hAnsi="Arial" w:cs="Arial"/>
          <w:b/>
          <w:color w:val="000000" w:themeColor="text1"/>
          <w:sz w:val="22"/>
          <w:lang w:eastAsia="es-ES"/>
        </w:rPr>
      </w:pPr>
    </w:p>
    <w:p w14:paraId="126F1EAB" w14:textId="0E47A2FA" w:rsidR="003348AA" w:rsidRPr="005C1F67" w:rsidRDefault="003348AA" w:rsidP="00A96BEA">
      <w:pPr>
        <w:spacing w:before="120" w:after="120"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Finalmente, el artículo 40 debe analizarse en relación con las entidades excluidas de la aplicación del EGCAP. Por tratarse de este tipo de entidades, la prohibición del artículo 40 de la Ley 80 de 1993 no aplica</w:t>
      </w:r>
      <w:r w:rsidR="004A60BE"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por lo que en principio podrían ampliar el valor del contrato sin limitación, más allá que la impuesta por la razonabilidad y los principios de derecho público que las rigen. </w:t>
      </w:r>
    </w:p>
    <w:p w14:paraId="100DCE7E" w14:textId="2F77C8EE"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A estas entidades solo les aplicaría tal limitación, o una similar, en caso de que la contemplen sus reglamentos internos de contratación, que en muchas ocasiones recogen prohibiciones o reglas originales del EGCAP, de manera que es </w:t>
      </w:r>
      <w:r w:rsidR="00A96BEA" w:rsidRPr="005C1F67">
        <w:rPr>
          <w:rFonts w:ascii="Arial" w:hAnsi="Arial" w:cs="Arial"/>
          <w:color w:val="000000" w:themeColor="text1"/>
          <w:sz w:val="22"/>
          <w:lang w:eastAsia="es-ES"/>
        </w:rPr>
        <w:t>posible</w:t>
      </w:r>
      <w:r w:rsidRPr="005C1F67">
        <w:rPr>
          <w:rFonts w:ascii="Arial" w:hAnsi="Arial" w:cs="Arial"/>
          <w:color w:val="000000" w:themeColor="text1"/>
          <w:sz w:val="22"/>
          <w:lang w:eastAsia="es-ES"/>
        </w:rPr>
        <w:t xml:space="preserve"> que en ellos se establezca la prohibición del artículo 40 de la Ley 80 de 1993, pero será solo en razón de tal disposición que limitarán su autonomía de la voluntad</w:t>
      </w:r>
      <w:r w:rsidR="00A96BEA" w:rsidRPr="005C1F67">
        <w:rPr>
          <w:rFonts w:ascii="Arial" w:hAnsi="Arial" w:cs="Arial"/>
          <w:color w:val="000000" w:themeColor="text1"/>
          <w:sz w:val="22"/>
          <w:lang w:eastAsia="es-ES"/>
        </w:rPr>
        <w:t>;</w:t>
      </w:r>
      <w:r w:rsidRPr="005C1F67">
        <w:rPr>
          <w:rFonts w:ascii="Arial" w:hAnsi="Arial" w:cs="Arial"/>
          <w:color w:val="000000" w:themeColor="text1"/>
          <w:sz w:val="22"/>
          <w:lang w:eastAsia="es-ES"/>
        </w:rPr>
        <w:t xml:space="preserve"> no por otro motivo</w:t>
      </w:r>
      <w:r w:rsidR="001103D6" w:rsidRPr="005C1F67">
        <w:rPr>
          <w:rStyle w:val="Refdenotaalpie"/>
          <w:rFonts w:ascii="Arial" w:hAnsi="Arial" w:cs="Arial"/>
          <w:color w:val="000000" w:themeColor="text1"/>
          <w:sz w:val="22"/>
          <w:lang w:eastAsia="es-ES"/>
        </w:rPr>
        <w:footnoteReference w:id="15"/>
      </w:r>
      <w:r w:rsidRPr="005C1F67">
        <w:rPr>
          <w:rFonts w:ascii="Arial" w:hAnsi="Arial" w:cs="Arial"/>
          <w:color w:val="000000" w:themeColor="text1"/>
          <w:sz w:val="22"/>
          <w:lang w:eastAsia="es-ES"/>
        </w:rPr>
        <w:t xml:space="preserve">. </w:t>
      </w:r>
      <w:r w:rsidR="001103D6" w:rsidRPr="005C1F67">
        <w:rPr>
          <w:rFonts w:ascii="Arial" w:hAnsi="Arial" w:cs="Arial"/>
          <w:color w:val="000000" w:themeColor="text1"/>
          <w:sz w:val="22"/>
          <w:lang w:eastAsia="es-ES"/>
        </w:rPr>
        <w:t xml:space="preserve"> </w:t>
      </w:r>
    </w:p>
    <w:p w14:paraId="272C5ECC" w14:textId="208D4C73" w:rsidR="003348AA" w:rsidRPr="005C1F67" w:rsidRDefault="003348AA" w:rsidP="00A96BEA">
      <w:pPr>
        <w:spacing w:before="120" w:after="120" w:line="276" w:lineRule="auto"/>
        <w:ind w:firstLine="708"/>
        <w:jc w:val="both"/>
        <w:rPr>
          <w:rFonts w:ascii="Arial" w:hAnsi="Arial" w:cs="Arial"/>
          <w:color w:val="000000" w:themeColor="text1"/>
          <w:sz w:val="22"/>
          <w:lang w:eastAsia="es-ES"/>
        </w:rPr>
      </w:pPr>
      <w:r w:rsidRPr="005C1F67">
        <w:rPr>
          <w:rFonts w:ascii="Arial" w:hAnsi="Arial" w:cs="Arial"/>
          <w:color w:val="000000" w:themeColor="text1"/>
          <w:sz w:val="22"/>
          <w:lang w:eastAsia="es-ES"/>
        </w:rPr>
        <w:t xml:space="preserve">Si dicha restricción no se consagra en el estatuto interno contractual, el hecho de pactarla directamente en el contrato, sin el sustento anterior, hace que tal estipulación sea inútil realmente, ya que </w:t>
      </w:r>
      <w:r w:rsidR="00A96BEA" w:rsidRPr="005C1F67">
        <w:rPr>
          <w:rFonts w:ascii="Arial" w:hAnsi="Arial" w:cs="Arial"/>
          <w:color w:val="000000" w:themeColor="text1"/>
          <w:sz w:val="22"/>
          <w:lang w:eastAsia="es-ES"/>
        </w:rPr>
        <w:t>las partes podrían modificarla</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en tanto</w:t>
      </w:r>
      <w:r w:rsidRPr="005C1F67">
        <w:rPr>
          <w:rFonts w:ascii="Arial" w:hAnsi="Arial" w:cs="Arial"/>
          <w:color w:val="000000" w:themeColor="text1"/>
          <w:sz w:val="22"/>
          <w:lang w:eastAsia="es-ES"/>
        </w:rPr>
        <w:t xml:space="preserve"> </w:t>
      </w:r>
      <w:r w:rsidR="00A96BEA" w:rsidRPr="005C1F67">
        <w:rPr>
          <w:rFonts w:ascii="Arial" w:hAnsi="Arial" w:cs="Arial"/>
          <w:color w:val="000000" w:themeColor="text1"/>
          <w:sz w:val="22"/>
          <w:lang w:eastAsia="es-ES"/>
        </w:rPr>
        <w:t>ellas pueden</w:t>
      </w:r>
      <w:r w:rsidRPr="005C1F67">
        <w:rPr>
          <w:rFonts w:ascii="Arial" w:hAnsi="Arial" w:cs="Arial"/>
          <w:color w:val="000000" w:themeColor="text1"/>
          <w:sz w:val="22"/>
          <w:lang w:eastAsia="es-ES"/>
        </w:rPr>
        <w:t xml:space="preserve"> dejarla sin efecto en cualquier momento, lógicamente mediante acuerdo. </w:t>
      </w:r>
    </w:p>
    <w:p w14:paraId="7D7B4F6F" w14:textId="67BAABB2" w:rsidR="003348AA" w:rsidRPr="005C1F67" w:rsidRDefault="00A96BEA" w:rsidP="00705129">
      <w:pPr>
        <w:spacing w:line="276" w:lineRule="auto"/>
        <w:jc w:val="both"/>
        <w:rPr>
          <w:rFonts w:ascii="Arial" w:hAnsi="Arial" w:cs="Arial"/>
          <w:color w:val="000000" w:themeColor="text1"/>
          <w:sz w:val="22"/>
          <w:lang w:eastAsia="es-ES"/>
        </w:rPr>
      </w:pPr>
      <w:r w:rsidRPr="005C1F67">
        <w:rPr>
          <w:rFonts w:ascii="Arial" w:hAnsi="Arial" w:cs="Arial"/>
          <w:color w:val="000000" w:themeColor="text1"/>
          <w:sz w:val="22"/>
          <w:lang w:eastAsia="es-ES"/>
        </w:rPr>
        <w:tab/>
      </w:r>
      <w:r w:rsidR="003348AA" w:rsidRPr="005C1F67">
        <w:rPr>
          <w:rFonts w:ascii="Arial" w:hAnsi="Arial" w:cs="Arial"/>
          <w:color w:val="000000" w:themeColor="text1"/>
          <w:sz w:val="22"/>
          <w:lang w:eastAsia="es-ES"/>
        </w:rPr>
        <w:t xml:space="preserve">La cláusula así pactada es inútil ya que si las partes deciden </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cumplirla</w:t>
      </w:r>
      <w:r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será porque no han </w:t>
      </w:r>
      <w:r w:rsidR="007C7806" w:rsidRPr="005C1F67">
        <w:rPr>
          <w:rFonts w:ascii="Arial" w:hAnsi="Arial" w:cs="Arial"/>
          <w:color w:val="000000" w:themeColor="text1"/>
          <w:sz w:val="22"/>
          <w:lang w:eastAsia="es-ES"/>
        </w:rPr>
        <w:t>optado por</w:t>
      </w:r>
      <w:r w:rsidR="003348AA" w:rsidRPr="005C1F67">
        <w:rPr>
          <w:rFonts w:ascii="Arial" w:hAnsi="Arial" w:cs="Arial"/>
          <w:color w:val="000000" w:themeColor="text1"/>
          <w:sz w:val="22"/>
          <w:lang w:eastAsia="es-ES"/>
        </w:rPr>
        <w:t xml:space="preserve"> efectuar una adición al valor del contrato que supere el monto establecido en la cláusula limitativa</w:t>
      </w:r>
      <w:r w:rsidR="00EF789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es decir, la cumplirán por su propia voluntad, ya que si </w:t>
      </w:r>
      <w:r w:rsidR="007C7806" w:rsidRPr="005C1F67">
        <w:rPr>
          <w:rFonts w:ascii="Arial" w:hAnsi="Arial" w:cs="Arial"/>
          <w:color w:val="000000" w:themeColor="text1"/>
          <w:sz w:val="22"/>
          <w:lang w:eastAsia="es-ES"/>
        </w:rPr>
        <w:t>realizan</w:t>
      </w:r>
      <w:r w:rsidR="003348AA" w:rsidRPr="005C1F67">
        <w:rPr>
          <w:rFonts w:ascii="Arial" w:hAnsi="Arial" w:cs="Arial"/>
          <w:color w:val="000000" w:themeColor="text1"/>
          <w:sz w:val="22"/>
          <w:lang w:eastAsia="es-ES"/>
        </w:rPr>
        <w:t xml:space="preserve"> una modificación que supere </w:t>
      </w:r>
      <w:r w:rsidR="007C7806" w:rsidRPr="005C1F67">
        <w:rPr>
          <w:rFonts w:ascii="Arial" w:hAnsi="Arial" w:cs="Arial"/>
          <w:color w:val="000000" w:themeColor="text1"/>
          <w:sz w:val="22"/>
          <w:lang w:eastAsia="es-ES"/>
        </w:rPr>
        <w:t>dicha «</w:t>
      </w:r>
      <w:r w:rsidR="003348AA" w:rsidRPr="005C1F67">
        <w:rPr>
          <w:rFonts w:ascii="Arial" w:hAnsi="Arial" w:cs="Arial"/>
          <w:color w:val="000000" w:themeColor="text1"/>
          <w:sz w:val="22"/>
          <w:lang w:eastAsia="es-ES"/>
        </w:rPr>
        <w:t>limitación</w:t>
      </w:r>
      <w:r w:rsidR="007C7806" w:rsidRPr="005C1F67">
        <w:rPr>
          <w:rFonts w:ascii="Arial" w:hAnsi="Arial" w:cs="Arial"/>
          <w:color w:val="000000" w:themeColor="text1"/>
          <w:sz w:val="22"/>
          <w:lang w:eastAsia="es-ES"/>
        </w:rPr>
        <w:t>»</w:t>
      </w:r>
      <w:r w:rsidR="003348AA" w:rsidRPr="005C1F67">
        <w:rPr>
          <w:rFonts w:ascii="Arial" w:hAnsi="Arial" w:cs="Arial"/>
          <w:color w:val="000000" w:themeColor="text1"/>
          <w:sz w:val="22"/>
          <w:lang w:eastAsia="es-ES"/>
        </w:rPr>
        <w:t xml:space="preserve">, podrán hacerlo dejando sin efectos la estipulación anterior, en vista de que pueden modificar cualquier cosa que esté dentro de las posibilidades que les brinda su autonomía de la voluntad, por lo que la inaplicación, al ampliar el valor más allá del monto limitado, podría hacerse tácitamente. Esto se debe a que la </w:t>
      </w:r>
      <w:r w:rsidR="007C7806" w:rsidRPr="005C1F67">
        <w:rPr>
          <w:rFonts w:ascii="Arial" w:hAnsi="Arial" w:cs="Arial"/>
          <w:color w:val="000000" w:themeColor="text1"/>
          <w:sz w:val="22"/>
          <w:lang w:eastAsia="es-ES"/>
        </w:rPr>
        <w:t>restricción</w:t>
      </w:r>
      <w:r w:rsidR="003348AA" w:rsidRPr="005C1F67">
        <w:rPr>
          <w:rFonts w:ascii="Arial" w:hAnsi="Arial" w:cs="Arial"/>
          <w:color w:val="000000" w:themeColor="text1"/>
          <w:sz w:val="22"/>
          <w:lang w:eastAsia="es-ES"/>
        </w:rPr>
        <w:t xml:space="preserve"> plasmada en el contrato, sin otro sustento, </w:t>
      </w:r>
      <w:r w:rsidR="007C7806" w:rsidRPr="005C1F67">
        <w:rPr>
          <w:rFonts w:ascii="Arial" w:hAnsi="Arial" w:cs="Arial"/>
          <w:color w:val="000000" w:themeColor="text1"/>
          <w:sz w:val="22"/>
          <w:lang w:eastAsia="es-ES"/>
        </w:rPr>
        <w:t>es disponible por las partes, ya que solo se fundamentaría en la</w:t>
      </w:r>
      <w:r w:rsidR="003348AA" w:rsidRPr="005C1F67">
        <w:rPr>
          <w:rFonts w:ascii="Arial" w:hAnsi="Arial" w:cs="Arial"/>
          <w:color w:val="000000" w:themeColor="text1"/>
          <w:sz w:val="22"/>
          <w:lang w:eastAsia="es-ES"/>
        </w:rPr>
        <w:t xml:space="preserve"> autonomía de la voluntad </w:t>
      </w:r>
      <w:r w:rsidR="007C7806" w:rsidRPr="005C1F67">
        <w:rPr>
          <w:rFonts w:ascii="Arial" w:hAnsi="Arial" w:cs="Arial"/>
          <w:color w:val="000000" w:themeColor="text1"/>
          <w:sz w:val="22"/>
          <w:lang w:eastAsia="es-ES"/>
        </w:rPr>
        <w:t xml:space="preserve">de las partes al estructurar sus negocios </w:t>
      </w:r>
      <w:r w:rsidR="003348AA" w:rsidRPr="005C1F67">
        <w:rPr>
          <w:rFonts w:ascii="Arial" w:hAnsi="Arial" w:cs="Arial"/>
          <w:color w:val="000000" w:themeColor="text1"/>
          <w:sz w:val="22"/>
          <w:lang w:eastAsia="es-ES"/>
        </w:rPr>
        <w:t>y, por tanto, con fundamento en ella podrán dejarla sin efectos.</w:t>
      </w:r>
    </w:p>
    <w:p w14:paraId="1E2E3D7B" w14:textId="77777777" w:rsidR="007C7806" w:rsidRPr="005C1F67" w:rsidRDefault="007C7806" w:rsidP="00705129">
      <w:pPr>
        <w:spacing w:line="276" w:lineRule="auto"/>
        <w:contextualSpacing/>
        <w:jc w:val="both"/>
        <w:rPr>
          <w:rFonts w:ascii="Arial" w:hAnsi="Arial" w:cs="Arial"/>
          <w:b/>
          <w:color w:val="000000" w:themeColor="text1"/>
          <w:sz w:val="22"/>
        </w:rPr>
      </w:pPr>
    </w:p>
    <w:p w14:paraId="038DD155" w14:textId="348CF20A" w:rsidR="00DB61B0" w:rsidRPr="005C1F67" w:rsidRDefault="00F201B0" w:rsidP="00817C23">
      <w:pPr>
        <w:spacing w:line="276" w:lineRule="auto"/>
        <w:contextualSpacing/>
        <w:jc w:val="both"/>
        <w:rPr>
          <w:rFonts w:ascii="Arial" w:hAnsi="Arial" w:cs="Arial"/>
          <w:b/>
          <w:color w:val="000000" w:themeColor="text1"/>
          <w:sz w:val="22"/>
        </w:rPr>
      </w:pPr>
      <w:r w:rsidRPr="005C1F67">
        <w:rPr>
          <w:rFonts w:ascii="Arial" w:hAnsi="Arial" w:cs="Arial"/>
          <w:b/>
          <w:color w:val="000000" w:themeColor="text1"/>
          <w:sz w:val="22"/>
        </w:rPr>
        <w:t xml:space="preserve">3. </w:t>
      </w:r>
      <w:r w:rsidR="00582208" w:rsidRPr="005C1F67">
        <w:rPr>
          <w:rFonts w:ascii="Arial" w:hAnsi="Arial" w:cs="Arial"/>
          <w:b/>
          <w:color w:val="000000" w:themeColor="text1"/>
          <w:sz w:val="22"/>
        </w:rPr>
        <w:t>Respuesta</w:t>
      </w:r>
    </w:p>
    <w:p w14:paraId="36BF5AA7" w14:textId="77777777" w:rsidR="001B3C91" w:rsidRPr="005C1F67" w:rsidRDefault="001B3C91" w:rsidP="00817C23">
      <w:pPr>
        <w:tabs>
          <w:tab w:val="left" w:pos="426"/>
        </w:tabs>
        <w:spacing w:line="276" w:lineRule="auto"/>
        <w:contextualSpacing/>
        <w:jc w:val="both"/>
        <w:rPr>
          <w:rFonts w:ascii="Arial" w:eastAsia="Calibri" w:hAnsi="Arial" w:cs="Arial"/>
          <w:color w:val="000000" w:themeColor="text1"/>
          <w:sz w:val="22"/>
        </w:rPr>
      </w:pPr>
      <w:r w:rsidRPr="005C1F67">
        <w:rPr>
          <w:rFonts w:ascii="Arial" w:eastAsia="Calibri" w:hAnsi="Arial" w:cs="Arial"/>
          <w:color w:val="000000" w:themeColor="text1"/>
          <w:sz w:val="22"/>
        </w:rPr>
        <w:tab/>
      </w:r>
    </w:p>
    <w:p w14:paraId="1DCDF8FE" w14:textId="55FF91FE" w:rsidR="00263051" w:rsidRPr="005C1F67" w:rsidRDefault="00D265C5" w:rsidP="0086465C">
      <w:pPr>
        <w:tabs>
          <w:tab w:val="left" w:pos="426"/>
        </w:tabs>
        <w:ind w:left="709" w:right="709"/>
        <w:jc w:val="both"/>
        <w:rPr>
          <w:rFonts w:ascii="Arial" w:eastAsia="Calibri" w:hAnsi="Arial" w:cs="Arial"/>
          <w:color w:val="000000" w:themeColor="text1"/>
          <w:sz w:val="22"/>
        </w:rPr>
      </w:pPr>
      <w:r w:rsidRPr="005C1F67">
        <w:rPr>
          <w:rFonts w:ascii="Arial" w:eastAsia="Calibri" w:hAnsi="Arial" w:cs="Arial"/>
          <w:color w:val="000000" w:themeColor="text1"/>
          <w:sz w:val="22"/>
        </w:rPr>
        <w:t xml:space="preserve">«De manera atenta les solicitamos aclarar, si en materia de contratación estatal la figura de </w:t>
      </w:r>
      <w:r w:rsidR="00BF098D" w:rsidRPr="005C1F67">
        <w:rPr>
          <w:rFonts w:ascii="Arial" w:eastAsia="Calibri" w:hAnsi="Arial" w:cs="Arial"/>
          <w:color w:val="000000" w:themeColor="text1"/>
          <w:sz w:val="22"/>
        </w:rPr>
        <w:t>“</w:t>
      </w:r>
      <w:r w:rsidRPr="005C1F67">
        <w:rPr>
          <w:rFonts w:ascii="Arial" w:eastAsia="Calibri" w:hAnsi="Arial" w:cs="Arial"/>
          <w:color w:val="000000" w:themeColor="text1"/>
          <w:sz w:val="22"/>
        </w:rPr>
        <w:t>contrato adicional</w:t>
      </w:r>
      <w:r w:rsidR="00BF098D" w:rsidRPr="005C1F67">
        <w:rPr>
          <w:rFonts w:ascii="Arial" w:eastAsia="Calibri" w:hAnsi="Arial" w:cs="Arial"/>
          <w:color w:val="000000" w:themeColor="text1"/>
          <w:sz w:val="22"/>
        </w:rPr>
        <w:t>”</w:t>
      </w:r>
      <w:r w:rsidRPr="005C1F67">
        <w:rPr>
          <w:rFonts w:ascii="Arial" w:eastAsia="Calibri" w:hAnsi="Arial" w:cs="Arial"/>
          <w:color w:val="000000" w:themeColor="text1"/>
          <w:sz w:val="22"/>
        </w:rPr>
        <w:t xml:space="preserve"> está vigente o no y en qué casos procede. Lo anterior en atención a que esta figura estaba contenida específicamente en el artículo 58 del DL. 222 mientras que la Ley 80 de 1993 no lo consagra expresamente».</w:t>
      </w:r>
    </w:p>
    <w:p w14:paraId="3E3D039D" w14:textId="77777777" w:rsidR="0086465C" w:rsidRPr="005C1F67" w:rsidRDefault="0086465C" w:rsidP="00817C23">
      <w:pPr>
        <w:tabs>
          <w:tab w:val="left" w:pos="426"/>
        </w:tabs>
        <w:spacing w:line="276" w:lineRule="auto"/>
        <w:ind w:left="709" w:right="709"/>
        <w:jc w:val="both"/>
        <w:rPr>
          <w:rFonts w:ascii="Arial" w:eastAsia="Calibri" w:hAnsi="Arial" w:cs="Arial"/>
          <w:color w:val="000000" w:themeColor="text1"/>
          <w:sz w:val="22"/>
        </w:rPr>
      </w:pPr>
    </w:p>
    <w:p w14:paraId="578F1C37" w14:textId="004363D2" w:rsidR="00263051" w:rsidRPr="005C1F67" w:rsidRDefault="0086465C" w:rsidP="0047670D">
      <w:pPr>
        <w:spacing w:line="276" w:lineRule="auto"/>
        <w:jc w:val="both"/>
        <w:rPr>
          <w:rFonts w:ascii="Arial" w:hAnsi="Arial" w:cs="Arial"/>
          <w:color w:val="000000" w:themeColor="text1"/>
          <w:sz w:val="22"/>
        </w:rPr>
      </w:pPr>
      <w:r w:rsidRPr="005C1F67">
        <w:rPr>
          <w:rFonts w:ascii="Arial" w:hAnsi="Arial" w:cs="Arial"/>
          <w:color w:val="000000" w:themeColor="text1"/>
          <w:sz w:val="22"/>
        </w:rPr>
        <w:lastRenderedPageBreak/>
        <w:t xml:space="preserve">Durante la fase de ejecución </w:t>
      </w:r>
      <w:r w:rsidR="00CF692E" w:rsidRPr="005C1F67">
        <w:rPr>
          <w:rFonts w:ascii="Arial" w:hAnsi="Arial" w:cs="Arial"/>
          <w:color w:val="000000" w:themeColor="text1"/>
          <w:sz w:val="22"/>
        </w:rPr>
        <w:t>de los contratos estatales</w:t>
      </w:r>
      <w:r w:rsidRPr="005C1F67">
        <w:rPr>
          <w:rFonts w:ascii="Arial" w:hAnsi="Arial" w:cs="Arial"/>
          <w:color w:val="000000" w:themeColor="text1"/>
          <w:sz w:val="22"/>
        </w:rPr>
        <w:t xml:space="preserve">, las partes podrían identificar alguna de las siguientes situaciones: 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acometer mayores cantidades de los ítems o actividades inicialmente previstos, a lo que en la práctica se le conoce como «mayores cantidades de obra»</w:t>
      </w:r>
      <w:r w:rsidR="00C55DBF" w:rsidRPr="005C1F67">
        <w:rPr>
          <w:rFonts w:ascii="Arial" w:hAnsi="Arial" w:cs="Arial"/>
          <w:color w:val="000000" w:themeColor="text1"/>
          <w:sz w:val="22"/>
        </w:rPr>
        <w:t>,</w:t>
      </w:r>
      <w:r w:rsidRPr="005C1F67">
        <w:rPr>
          <w:rFonts w:ascii="Arial" w:hAnsi="Arial" w:cs="Arial"/>
          <w:color w:val="000000" w:themeColor="text1"/>
          <w:sz w:val="22"/>
        </w:rPr>
        <w:t xml:space="preserve"> «obras adicionales»</w:t>
      </w:r>
      <w:r w:rsidR="00C55DBF" w:rsidRPr="005C1F67">
        <w:rPr>
          <w:rFonts w:ascii="Arial" w:hAnsi="Arial" w:cs="Arial"/>
          <w:color w:val="000000" w:themeColor="text1"/>
          <w:sz w:val="22"/>
        </w:rPr>
        <w:t xml:space="preserve"> o adición de «ítems contractuales»</w:t>
      </w:r>
      <w:r w:rsidR="00C90B8D" w:rsidRPr="005C1F67">
        <w:rPr>
          <w:rFonts w:ascii="Arial" w:hAnsi="Arial" w:cs="Arial"/>
          <w:color w:val="000000" w:themeColor="text1"/>
          <w:sz w:val="22"/>
        </w:rPr>
        <w:t>; y</w:t>
      </w:r>
      <w:r w:rsidRPr="005C1F67">
        <w:rPr>
          <w:rFonts w:ascii="Arial" w:hAnsi="Arial" w:cs="Arial"/>
          <w:color w:val="000000" w:themeColor="text1"/>
          <w:sz w:val="22"/>
        </w:rPr>
        <w:t xml:space="preserve"> ii) </w:t>
      </w:r>
      <w:r w:rsidR="00C90B8D" w:rsidRPr="005C1F67">
        <w:rPr>
          <w:rFonts w:ascii="Arial" w:hAnsi="Arial" w:cs="Arial"/>
          <w:color w:val="000000" w:themeColor="text1"/>
          <w:sz w:val="22"/>
        </w:rPr>
        <w:t>l</w:t>
      </w:r>
      <w:r w:rsidRPr="005C1F67">
        <w:rPr>
          <w:rFonts w:ascii="Arial" w:hAnsi="Arial" w:cs="Arial"/>
          <w:color w:val="000000" w:themeColor="text1"/>
          <w:sz w:val="22"/>
        </w:rPr>
        <w:t>a necesidad de ampliar las prestaciones contractuales, mediante la ejecución de nuevos ítems o actividades,</w:t>
      </w:r>
      <w:r w:rsidR="00C55DBF" w:rsidRPr="005C1F67">
        <w:rPr>
          <w:rFonts w:ascii="Arial" w:hAnsi="Arial" w:cs="Arial"/>
          <w:color w:val="000000" w:themeColor="text1"/>
          <w:sz w:val="22"/>
        </w:rPr>
        <w:t xml:space="preserve"> no incluidos en el contrato inicial,</w:t>
      </w:r>
      <w:r w:rsidRPr="005C1F67">
        <w:rPr>
          <w:rFonts w:ascii="Arial" w:hAnsi="Arial" w:cs="Arial"/>
          <w:color w:val="000000" w:themeColor="text1"/>
          <w:sz w:val="22"/>
        </w:rPr>
        <w:t xml:space="preserve"> para lo que en la práctica las entidades</w:t>
      </w:r>
      <w:r w:rsidR="006C7415" w:rsidRPr="005C1F67">
        <w:rPr>
          <w:rFonts w:ascii="Arial" w:hAnsi="Arial" w:cs="Arial"/>
          <w:color w:val="000000" w:themeColor="text1"/>
          <w:sz w:val="22"/>
        </w:rPr>
        <w:t xml:space="preserve"> ejecutan «obras extra»</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o «amplían el alcance» del contrato mediante la</w:t>
      </w:r>
      <w:r w:rsidRPr="005C1F67">
        <w:rPr>
          <w:rFonts w:ascii="Arial" w:hAnsi="Arial" w:cs="Arial"/>
          <w:color w:val="000000" w:themeColor="text1"/>
          <w:sz w:val="22"/>
        </w:rPr>
        <w:t xml:space="preserve"> celebra</w:t>
      </w:r>
      <w:r w:rsidR="006C7415" w:rsidRPr="005C1F67">
        <w:rPr>
          <w:rFonts w:ascii="Arial" w:hAnsi="Arial" w:cs="Arial"/>
          <w:color w:val="000000" w:themeColor="text1"/>
          <w:sz w:val="22"/>
        </w:rPr>
        <w:t>ción de</w:t>
      </w:r>
      <w:r w:rsidRPr="005C1F67">
        <w:rPr>
          <w:rFonts w:ascii="Arial" w:hAnsi="Arial" w:cs="Arial"/>
          <w:color w:val="000000" w:themeColor="text1"/>
          <w:sz w:val="22"/>
        </w:rPr>
        <w:t xml:space="preserve"> un «contrato adicional». No obstante, este último término</w:t>
      </w:r>
      <w:r w:rsidR="00BF5E36" w:rsidRPr="005C1F67">
        <w:rPr>
          <w:rFonts w:ascii="Arial" w:hAnsi="Arial" w:cs="Arial"/>
          <w:color w:val="000000" w:themeColor="text1"/>
          <w:sz w:val="22"/>
        </w:rPr>
        <w:t>,</w:t>
      </w:r>
      <w:r w:rsidRPr="005C1F67">
        <w:rPr>
          <w:rFonts w:ascii="Arial" w:hAnsi="Arial" w:cs="Arial"/>
          <w:color w:val="000000" w:themeColor="text1"/>
          <w:sz w:val="22"/>
        </w:rPr>
        <w:t xml:space="preserve"> al igual que </w:t>
      </w:r>
      <w:r w:rsidR="006C7415" w:rsidRPr="005C1F67">
        <w:rPr>
          <w:rFonts w:ascii="Arial" w:hAnsi="Arial" w:cs="Arial"/>
          <w:color w:val="000000" w:themeColor="text1"/>
          <w:sz w:val="22"/>
        </w:rPr>
        <w:t xml:space="preserve">los señalados </w:t>
      </w:r>
      <w:r w:rsidR="00BF5E36" w:rsidRPr="005C1F67">
        <w:rPr>
          <w:rFonts w:ascii="Arial" w:hAnsi="Arial" w:cs="Arial"/>
          <w:color w:val="000000" w:themeColor="text1"/>
          <w:sz w:val="22"/>
        </w:rPr>
        <w:t>entre</w:t>
      </w:r>
      <w:r w:rsidR="006C7415" w:rsidRPr="005C1F67">
        <w:rPr>
          <w:rFonts w:ascii="Arial" w:hAnsi="Arial" w:cs="Arial"/>
          <w:color w:val="000000" w:themeColor="text1"/>
          <w:sz w:val="22"/>
        </w:rPr>
        <w:t xml:space="preserve"> comillas</w:t>
      </w:r>
      <w:r w:rsidRPr="005C1F67">
        <w:rPr>
          <w:rFonts w:ascii="Arial" w:hAnsi="Arial" w:cs="Arial"/>
          <w:color w:val="000000" w:themeColor="text1"/>
          <w:sz w:val="22"/>
        </w:rPr>
        <w:t xml:space="preserve"> ―</w:t>
      </w:r>
      <w:r w:rsidR="006C7415" w:rsidRPr="005C1F67">
        <w:rPr>
          <w:rFonts w:ascii="Arial" w:hAnsi="Arial" w:cs="Arial"/>
          <w:color w:val="000000" w:themeColor="text1"/>
          <w:sz w:val="22"/>
        </w:rPr>
        <w:t>algunos de ellos usualmente empleados en contratos de obra</w:t>
      </w:r>
      <w:r w:rsidRPr="005C1F67">
        <w:rPr>
          <w:rFonts w:ascii="Arial" w:hAnsi="Arial" w:cs="Arial"/>
          <w:color w:val="000000" w:themeColor="text1"/>
          <w:sz w:val="22"/>
        </w:rPr>
        <w:t>― son nociones doctrinarias</w:t>
      </w:r>
      <w:r w:rsidR="006C7415" w:rsidRPr="005C1F67">
        <w:rPr>
          <w:rFonts w:ascii="Arial" w:hAnsi="Arial" w:cs="Arial"/>
          <w:color w:val="000000" w:themeColor="text1"/>
          <w:sz w:val="22"/>
        </w:rPr>
        <w:t xml:space="preserve"> y empleadas en la práctica por las entidades estatales, </w:t>
      </w:r>
      <w:r w:rsidRPr="005C1F67">
        <w:rPr>
          <w:rFonts w:ascii="Arial" w:hAnsi="Arial" w:cs="Arial"/>
          <w:color w:val="000000" w:themeColor="text1"/>
          <w:sz w:val="22"/>
        </w:rPr>
        <w:t>que actualmente no tienen un fundamento particular en el ordenamiento jurídico</w:t>
      </w:r>
      <w:r w:rsidR="006C7415" w:rsidRPr="005C1F67">
        <w:rPr>
          <w:rFonts w:ascii="Arial" w:hAnsi="Arial" w:cs="Arial"/>
          <w:color w:val="000000" w:themeColor="text1"/>
          <w:sz w:val="22"/>
        </w:rPr>
        <w:t xml:space="preserve">, el cual no le asigna efectos </w:t>
      </w:r>
      <w:r w:rsidR="00CF692E" w:rsidRPr="005C1F67">
        <w:rPr>
          <w:rFonts w:ascii="Arial" w:hAnsi="Arial" w:cs="Arial"/>
          <w:color w:val="000000" w:themeColor="text1"/>
          <w:sz w:val="22"/>
        </w:rPr>
        <w:t>específicos</w:t>
      </w:r>
      <w:r w:rsidR="006C7415" w:rsidRPr="005C1F67">
        <w:rPr>
          <w:rFonts w:ascii="Arial" w:hAnsi="Arial" w:cs="Arial"/>
          <w:color w:val="000000" w:themeColor="text1"/>
          <w:sz w:val="22"/>
        </w:rPr>
        <w:t xml:space="preserve"> a cada uno de ellos</w:t>
      </w:r>
      <w:r w:rsidRPr="005C1F67">
        <w:rPr>
          <w:rFonts w:ascii="Arial" w:hAnsi="Arial" w:cs="Arial"/>
          <w:color w:val="000000" w:themeColor="text1"/>
          <w:sz w:val="22"/>
        </w:rPr>
        <w:t>. Lo importante, y que se reiter</w:t>
      </w:r>
      <w:r w:rsidR="006C7415" w:rsidRPr="005C1F67">
        <w:rPr>
          <w:rFonts w:ascii="Arial" w:hAnsi="Arial" w:cs="Arial"/>
          <w:color w:val="000000" w:themeColor="text1"/>
          <w:sz w:val="22"/>
        </w:rPr>
        <w:t>ó</w:t>
      </w:r>
      <w:r w:rsidRPr="005C1F67">
        <w:rPr>
          <w:rFonts w:ascii="Arial" w:hAnsi="Arial" w:cs="Arial"/>
          <w:color w:val="000000" w:themeColor="text1"/>
          <w:sz w:val="22"/>
        </w:rPr>
        <w:t xml:space="preserve"> en distintos lugares de este concepto es que frente a cualquier incremento del valor inicial del contrato, que es lo que implica una </w:t>
      </w:r>
      <w:r w:rsidRPr="005C1F67">
        <w:rPr>
          <w:rFonts w:ascii="Arial" w:hAnsi="Arial" w:cs="Arial"/>
          <w:i/>
          <w:iCs/>
          <w:color w:val="000000" w:themeColor="text1"/>
          <w:sz w:val="22"/>
        </w:rPr>
        <w:t xml:space="preserve">adición, </w:t>
      </w:r>
      <w:r w:rsidRPr="005C1F67">
        <w:rPr>
          <w:rFonts w:ascii="Arial" w:hAnsi="Arial" w:cs="Arial"/>
          <w:color w:val="000000" w:themeColor="text1"/>
          <w:sz w:val="22"/>
        </w:rPr>
        <w:t xml:space="preserve">por cualquiera de los dos supuesto señalados previamente, </w:t>
      </w:r>
      <w:r w:rsidR="006C7415" w:rsidRPr="005C1F67">
        <w:rPr>
          <w:rFonts w:ascii="Arial" w:hAnsi="Arial" w:cs="Arial"/>
          <w:color w:val="000000" w:themeColor="text1"/>
          <w:sz w:val="22"/>
        </w:rPr>
        <w:t>e independiente</w:t>
      </w:r>
      <w:r w:rsidR="00725037" w:rsidRPr="005C1F67">
        <w:rPr>
          <w:rFonts w:ascii="Arial" w:hAnsi="Arial" w:cs="Arial"/>
          <w:color w:val="000000" w:themeColor="text1"/>
          <w:sz w:val="22"/>
        </w:rPr>
        <w:t>mente</w:t>
      </w:r>
      <w:r w:rsidR="006C7415" w:rsidRPr="005C1F67">
        <w:rPr>
          <w:rFonts w:ascii="Arial" w:hAnsi="Arial" w:cs="Arial"/>
          <w:color w:val="000000" w:themeColor="text1"/>
          <w:sz w:val="22"/>
        </w:rPr>
        <w:t xml:space="preserve"> del nombre que se le d</w:t>
      </w:r>
      <w:r w:rsidR="00CF692E" w:rsidRPr="005C1F67">
        <w:rPr>
          <w:rFonts w:ascii="Arial" w:hAnsi="Arial" w:cs="Arial"/>
          <w:color w:val="000000" w:themeColor="text1"/>
          <w:sz w:val="22"/>
        </w:rPr>
        <w:t>é</w:t>
      </w:r>
      <w:r w:rsidR="006C7415" w:rsidRPr="005C1F67">
        <w:rPr>
          <w:rFonts w:ascii="Arial" w:hAnsi="Arial" w:cs="Arial"/>
          <w:color w:val="000000" w:themeColor="text1"/>
          <w:sz w:val="22"/>
        </w:rPr>
        <w:t xml:space="preserve"> al acuerdo</w:t>
      </w:r>
      <w:r w:rsidR="00BF5E36" w:rsidRPr="005C1F67">
        <w:rPr>
          <w:rFonts w:ascii="Arial" w:hAnsi="Arial" w:cs="Arial"/>
          <w:color w:val="000000" w:themeColor="text1"/>
          <w:sz w:val="22"/>
        </w:rPr>
        <w:t>,</w:t>
      </w:r>
      <w:r w:rsidR="006C7415" w:rsidRPr="005C1F67">
        <w:rPr>
          <w:rFonts w:ascii="Arial" w:hAnsi="Arial" w:cs="Arial"/>
          <w:color w:val="000000" w:themeColor="text1"/>
          <w:sz w:val="22"/>
        </w:rPr>
        <w:t xml:space="preserve"> </w:t>
      </w:r>
      <w:r w:rsidRPr="005C1F67">
        <w:rPr>
          <w:rFonts w:ascii="Arial" w:hAnsi="Arial" w:cs="Arial"/>
          <w:color w:val="000000" w:themeColor="text1"/>
          <w:sz w:val="22"/>
        </w:rPr>
        <w:t>aplica el límite previsto en el parágrafo del artículo 40 de la Ley 80 de 1993: «Los contratos no podrán adicionarse en más del cincuenta por ciento (50%) de su valor inicial, expresado éste en salarios mínimos legales mensuales».</w:t>
      </w:r>
      <w:r w:rsidR="004A10FC" w:rsidRPr="005C1F67">
        <w:rPr>
          <w:rFonts w:ascii="Arial" w:hAnsi="Arial" w:cs="Arial"/>
          <w:color w:val="000000" w:themeColor="text1"/>
          <w:sz w:val="22"/>
        </w:rPr>
        <w:t xml:space="preserve"> De manera que aunque es posible celebrar todos los tipos de acuerdos indicados, siempre se debe observar esta última disposición.</w:t>
      </w:r>
    </w:p>
    <w:p w14:paraId="63C838A1" w14:textId="77777777" w:rsidR="0086465C" w:rsidRPr="005C1F67" w:rsidRDefault="0086465C" w:rsidP="0047670D">
      <w:pPr>
        <w:spacing w:line="276" w:lineRule="auto"/>
        <w:jc w:val="both"/>
        <w:rPr>
          <w:rFonts w:ascii="Arial" w:hAnsi="Arial" w:cs="Arial"/>
          <w:color w:val="000000" w:themeColor="text1"/>
          <w:sz w:val="22"/>
        </w:rPr>
      </w:pPr>
    </w:p>
    <w:p w14:paraId="47DEA7AA" w14:textId="5D5FCB6F" w:rsidR="00A37FB6" w:rsidRPr="005C1F67" w:rsidRDefault="00A37FB6" w:rsidP="00817C23">
      <w:pPr>
        <w:spacing w:before="120" w:after="120" w:line="276" w:lineRule="auto"/>
        <w:jc w:val="both"/>
        <w:rPr>
          <w:rFonts w:ascii="Arial" w:hAnsi="Arial" w:cs="Arial"/>
          <w:color w:val="000000" w:themeColor="text1"/>
          <w:sz w:val="22"/>
        </w:rPr>
      </w:pPr>
      <w:r w:rsidRPr="005C1F67">
        <w:rPr>
          <w:rFonts w:ascii="Arial" w:eastAsia="Calibri" w:hAnsi="Arial" w:cs="Arial"/>
          <w:color w:val="000000" w:themeColor="text1"/>
          <w:sz w:val="22"/>
        </w:rPr>
        <w:t>Este concepto tiene el alcance previsto en el artículo 28 del Código de Procedimiento Administrativo y de lo Contencioso Administrativo.</w:t>
      </w:r>
    </w:p>
    <w:p w14:paraId="0F8C901F" w14:textId="77777777" w:rsidR="00A37FB6" w:rsidRPr="005C1F67" w:rsidRDefault="00A37FB6" w:rsidP="00817C23">
      <w:pPr>
        <w:spacing w:line="276" w:lineRule="auto"/>
        <w:jc w:val="both"/>
        <w:rPr>
          <w:rFonts w:ascii="Arial" w:eastAsia="Calibri" w:hAnsi="Arial" w:cs="Arial"/>
          <w:color w:val="000000" w:themeColor="text1"/>
          <w:sz w:val="22"/>
        </w:rPr>
      </w:pPr>
      <w:r w:rsidRPr="005C1F67">
        <w:rPr>
          <w:rFonts w:ascii="Arial" w:hAnsi="Arial" w:cs="Arial"/>
          <w:noProof/>
          <w:color w:val="000000" w:themeColor="text1"/>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cex="http://schemas.microsoft.com/office/word/2018/wordml/cex" xmlns:w16="http://schemas.microsoft.com/office/word/2018/wordml" xmlns:mo="http://schemas.microsoft.com/office/mac/office/2008/main" xmlns:mv="urn:schemas-microsoft-com:mac:vml"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w14:anchorId="76F25EFB">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3D9926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FA2B17F" w14:textId="77777777" w:rsidR="00965A80" w:rsidRPr="005C1F67" w:rsidRDefault="00965A80" w:rsidP="00965A80">
      <w:pPr>
        <w:spacing w:before="120" w:after="120" w:line="276" w:lineRule="auto"/>
        <w:rPr>
          <w:rFonts w:ascii="Arial" w:eastAsia="Times New Roman" w:hAnsi="Arial" w:cs="Arial"/>
          <w:color w:val="000000" w:themeColor="text1"/>
          <w:sz w:val="22"/>
          <w:lang w:eastAsia="es-CO"/>
        </w:rPr>
      </w:pPr>
      <w:r w:rsidRPr="7797FAD1">
        <w:rPr>
          <w:rFonts w:ascii="Arial" w:eastAsia="Times New Roman" w:hAnsi="Arial" w:cs="Arial"/>
          <w:color w:val="000000" w:themeColor="text1"/>
          <w:sz w:val="22"/>
          <w:lang w:eastAsia="es-CO"/>
        </w:rPr>
        <w:t>Atentamente,</w:t>
      </w:r>
      <w:r w:rsidRPr="005C1F67">
        <w:rPr>
          <w:noProof/>
          <w:color w:val="000000" w:themeColor="text1"/>
          <w:lang w:val="en-US"/>
        </w:rPr>
        <w:drawing>
          <wp:anchor distT="0" distB="0" distL="114300" distR="114300" simplePos="0" relativeHeight="251660288" behindDoc="0" locked="0" layoutInCell="1" allowOverlap="1" wp14:anchorId="4E953307" wp14:editId="4CD385F6">
            <wp:simplePos x="0" y="0"/>
            <wp:positionH relativeFrom="column">
              <wp:posOffset>1553210</wp:posOffset>
            </wp:positionH>
            <wp:positionV relativeFrom="paragraph">
              <wp:posOffset>1270</wp:posOffset>
            </wp:positionV>
            <wp:extent cx="2051395" cy="1285875"/>
            <wp:effectExtent l="0" t="0" r="635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rma-fabian-marin--centrata-cce.gif"/>
                    <pic:cNvPicPr/>
                  </pic:nvPicPr>
                  <pic:blipFill rotWithShape="1">
                    <a:blip r:embed="rId13">
                      <a:extLst>
                        <a:ext uri="{28A0092B-C50C-407E-A947-70E740481C1C}">
                          <a14:useLocalDpi xmlns:a14="http://schemas.microsoft.com/office/drawing/2010/main" val="0"/>
                        </a:ext>
                      </a:extLst>
                    </a:blip>
                    <a:srcRect l="7998" t="4344" r="8439" b="3957"/>
                    <a:stretch/>
                  </pic:blipFill>
                  <pic:spPr bwMode="auto">
                    <a:xfrm>
                      <a:off x="0" y="0"/>
                      <a:ext cx="2075625" cy="13010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8008D6" w14:textId="77777777" w:rsidR="00965A80" w:rsidRPr="005C1F67" w:rsidRDefault="00965A80" w:rsidP="00965A80">
      <w:pPr>
        <w:rPr>
          <w:rFonts w:ascii="Arial" w:eastAsia="Times New Roman" w:hAnsi="Arial" w:cs="Arial"/>
          <w:color w:val="000000" w:themeColor="text1"/>
          <w:sz w:val="22"/>
          <w:lang w:eastAsia="es-CO"/>
        </w:rPr>
      </w:pPr>
    </w:p>
    <w:p w14:paraId="2DDFE052" w14:textId="77777777" w:rsidR="00965A80" w:rsidRPr="005C1F67" w:rsidRDefault="00965A80" w:rsidP="00965A80">
      <w:pPr>
        <w:rPr>
          <w:rFonts w:ascii="Arial" w:eastAsia="Times New Roman" w:hAnsi="Arial" w:cs="Arial"/>
          <w:color w:val="000000" w:themeColor="text1"/>
          <w:sz w:val="22"/>
          <w:lang w:eastAsia="es-CO"/>
        </w:rPr>
      </w:pPr>
    </w:p>
    <w:p w14:paraId="00AD76D2" w14:textId="77777777" w:rsidR="00965A80" w:rsidRPr="005C1F67" w:rsidRDefault="00965A80" w:rsidP="00965A80">
      <w:pPr>
        <w:rPr>
          <w:rFonts w:ascii="Arial" w:eastAsia="Times New Roman" w:hAnsi="Arial" w:cs="Arial"/>
          <w:color w:val="000000" w:themeColor="text1"/>
          <w:sz w:val="22"/>
          <w:lang w:eastAsia="es-CO"/>
        </w:rPr>
      </w:pPr>
    </w:p>
    <w:p w14:paraId="19B3FF47" w14:textId="77777777" w:rsidR="00965A80" w:rsidRPr="005C1F67" w:rsidRDefault="00965A80" w:rsidP="00965A80">
      <w:pPr>
        <w:rPr>
          <w:rFonts w:ascii="Arial" w:eastAsia="Times New Roman" w:hAnsi="Arial" w:cs="Arial"/>
          <w:color w:val="000000" w:themeColor="text1"/>
          <w:sz w:val="22"/>
          <w:lang w:eastAsia="es-CO"/>
        </w:rPr>
      </w:pPr>
    </w:p>
    <w:p w14:paraId="295507FC" w14:textId="77777777" w:rsidR="00965A80" w:rsidRPr="005C1F67" w:rsidRDefault="00965A80" w:rsidP="00965A80">
      <w:pPr>
        <w:rPr>
          <w:rFonts w:ascii="Arial" w:eastAsia="Times New Roman" w:hAnsi="Arial" w:cs="Arial"/>
          <w:color w:val="000000" w:themeColor="text1"/>
          <w:sz w:val="22"/>
          <w:lang w:eastAsia="es-CO"/>
        </w:rPr>
      </w:pPr>
    </w:p>
    <w:p w14:paraId="3E200E93" w14:textId="4752B739" w:rsidR="00965A80" w:rsidRPr="005C1F67" w:rsidRDefault="00965A80" w:rsidP="00965A80">
      <w:pPr>
        <w:rPr>
          <w:rFonts w:ascii="Arial" w:eastAsia="Times New Roman" w:hAnsi="Arial" w:cs="Arial"/>
          <w:color w:val="000000" w:themeColor="text1"/>
          <w:sz w:val="22"/>
          <w:lang w:eastAsia="es-CO"/>
        </w:rPr>
      </w:pPr>
    </w:p>
    <w:p w14:paraId="4B4BD668" w14:textId="77777777" w:rsidR="00705129" w:rsidRPr="005C1F67" w:rsidRDefault="00705129" w:rsidP="00965A80">
      <w:pPr>
        <w:rPr>
          <w:rFonts w:ascii="Arial" w:eastAsia="Times New Roman" w:hAnsi="Arial" w:cs="Arial"/>
          <w:color w:val="000000" w:themeColor="text1"/>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5C1F67" w:rsidRPr="005C1F67" w14:paraId="65D0DB49" w14:textId="77777777" w:rsidTr="00BC0BA6">
        <w:trPr>
          <w:trHeight w:val="315"/>
        </w:trPr>
        <w:tc>
          <w:tcPr>
            <w:tcW w:w="812" w:type="dxa"/>
            <w:vAlign w:val="center"/>
          </w:tcPr>
          <w:p w14:paraId="0600DA3D"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69C0FFBE"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Sebastián Ramírez Grisales</w:t>
            </w:r>
          </w:p>
          <w:p w14:paraId="2C2014F6"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Contratista – Subdirección de Gestión Contractual</w:t>
            </w:r>
          </w:p>
        </w:tc>
      </w:tr>
      <w:tr w:rsidR="005C1F67" w:rsidRPr="005C1F67" w14:paraId="467D54C6" w14:textId="77777777" w:rsidTr="00BC0BA6">
        <w:trPr>
          <w:trHeight w:val="330"/>
        </w:trPr>
        <w:tc>
          <w:tcPr>
            <w:tcW w:w="812" w:type="dxa"/>
            <w:vAlign w:val="center"/>
          </w:tcPr>
          <w:p w14:paraId="18796905"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04BEB512"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Fabián Gonzalo Marín Cortés</w:t>
            </w:r>
          </w:p>
          <w:p w14:paraId="23351542"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Subdirector de Gestión Contractual</w:t>
            </w:r>
          </w:p>
        </w:tc>
      </w:tr>
      <w:tr w:rsidR="00510874" w:rsidRPr="005C1F67" w14:paraId="004412E3" w14:textId="77777777" w:rsidTr="00BC0BA6">
        <w:trPr>
          <w:trHeight w:val="300"/>
        </w:trPr>
        <w:tc>
          <w:tcPr>
            <w:tcW w:w="812" w:type="dxa"/>
            <w:vAlign w:val="center"/>
          </w:tcPr>
          <w:p w14:paraId="512A1AED"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5757DE9F"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Fabián Gonzalo Marín Cortés</w:t>
            </w:r>
          </w:p>
          <w:p w14:paraId="61046283" w14:textId="77777777" w:rsidR="00965A80" w:rsidRPr="005C1F67" w:rsidRDefault="00965A80" w:rsidP="00BC0BA6">
            <w:pPr>
              <w:rPr>
                <w:rFonts w:ascii="Arial" w:eastAsia="Times New Roman" w:hAnsi="Arial" w:cs="Arial"/>
                <w:color w:val="000000" w:themeColor="text1"/>
                <w:sz w:val="16"/>
                <w:szCs w:val="16"/>
                <w:lang w:eastAsia="es-ES"/>
              </w:rPr>
            </w:pPr>
            <w:r w:rsidRPr="005C1F67">
              <w:rPr>
                <w:rFonts w:ascii="Arial" w:eastAsia="Times New Roman" w:hAnsi="Arial" w:cs="Arial"/>
                <w:color w:val="000000" w:themeColor="text1"/>
                <w:sz w:val="16"/>
                <w:szCs w:val="16"/>
                <w:lang w:eastAsia="es-ES"/>
              </w:rPr>
              <w:t>Subdirector de Gestión Contractual</w:t>
            </w:r>
          </w:p>
        </w:tc>
      </w:tr>
    </w:tbl>
    <w:p w14:paraId="35B56F46" w14:textId="77777777" w:rsidR="00746E08" w:rsidRPr="005C1F67" w:rsidRDefault="00746E08" w:rsidP="00746E08">
      <w:pPr>
        <w:rPr>
          <w:rFonts w:ascii="Arial" w:eastAsia="Times New Roman" w:hAnsi="Arial" w:cs="Arial"/>
          <w:color w:val="000000" w:themeColor="text1"/>
          <w:sz w:val="22"/>
          <w:lang w:eastAsia="es-ES"/>
        </w:rPr>
      </w:pPr>
    </w:p>
    <w:sectPr w:rsidR="00746E08" w:rsidRPr="005C1F67"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1C550" w14:textId="77777777" w:rsidR="008D7CB0" w:rsidRDefault="008D7CB0">
      <w:r>
        <w:separator/>
      </w:r>
    </w:p>
  </w:endnote>
  <w:endnote w:type="continuationSeparator" w:id="0">
    <w:p w14:paraId="72B3AAE2" w14:textId="77777777" w:rsidR="008D7CB0" w:rsidRDefault="008D7C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BC0BA6" w:rsidRDefault="00BC0BA6" w:rsidP="00322937">
    <w:pPr>
      <w:pStyle w:val="Sinespaciado"/>
      <w:jc w:val="right"/>
      <w:rPr>
        <w:rFonts w:ascii="Arial" w:hAnsi="Arial" w:cs="Arial"/>
        <w:sz w:val="18"/>
        <w:szCs w:val="18"/>
      </w:rPr>
    </w:pPr>
  </w:p>
  <w:p w14:paraId="7A3785F3" w14:textId="64625B4E" w:rsidR="00BC0BA6" w:rsidRPr="008217B7" w:rsidRDefault="00BC0BA6"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7683C">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7683C">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5FD1A7C9" w:rsidR="00BC0BA6" w:rsidRDefault="2547E75F" w:rsidP="00322937">
    <w:pPr>
      <w:pStyle w:val="Piedepgina"/>
      <w:jc w:val="center"/>
      <w:rPr>
        <w:lang w:val="es-ES"/>
      </w:rPr>
    </w:pPr>
    <w:r>
      <w:rPr>
        <w:noProof/>
        <w:lang w:val="en-US"/>
      </w:rPr>
      <w:drawing>
        <wp:inline distT="0" distB="0" distL="0" distR="0" wp14:anchorId="608B196D" wp14:editId="53A8F183">
          <wp:extent cx="3700130" cy="519139"/>
          <wp:effectExtent l="0" t="0" r="0" b="0"/>
          <wp:docPr id="3993300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BC0BA6" w:rsidRDefault="00BC0BA6" w:rsidP="007B0854">
    <w:pPr>
      <w:pStyle w:val="Piedepgina"/>
      <w:jc w:val="center"/>
      <w:rPr>
        <w:lang w:val="es-ES"/>
      </w:rPr>
    </w:pPr>
  </w:p>
  <w:p w14:paraId="6C0EFC49" w14:textId="77777777" w:rsidR="00BC0BA6" w:rsidRPr="007B0854" w:rsidRDefault="00BC0BA6"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3927FB" w14:textId="77777777" w:rsidR="008D7CB0" w:rsidRDefault="008D7CB0">
      <w:r>
        <w:separator/>
      </w:r>
    </w:p>
  </w:footnote>
  <w:footnote w:type="continuationSeparator" w:id="0">
    <w:p w14:paraId="335DF355" w14:textId="77777777" w:rsidR="008D7CB0" w:rsidRDefault="008D7CB0">
      <w:r>
        <w:continuationSeparator/>
      </w:r>
    </w:p>
  </w:footnote>
  <w:footnote w:id="1">
    <w:p w14:paraId="4A3D2C43" w14:textId="77777777" w:rsidR="00BC0BA6" w:rsidRPr="005C1F67" w:rsidRDefault="00BC0BA6" w:rsidP="00441244">
      <w:pPr>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 45. De los contratos adicionales. Cuando por circunstancias especiales haya necesidad de modificar el plazo o el valor convenidos, y no se trate de reajuste de precios previstos en este estatuto, la entidad interesada suscribirá un contrato adicional que no podrá exceder la mitad de la cuantía originalmente pactada más los reajustes que se hubieren efectuado. </w:t>
      </w:r>
      <w:r w:rsidRPr="005C1F67">
        <w:rPr>
          <w:rFonts w:ascii="Arial" w:hAnsi="Arial" w:cs="Arial"/>
          <w:i/>
          <w:color w:val="000000" w:themeColor="text1"/>
          <w:sz w:val="19"/>
          <w:szCs w:val="19"/>
        </w:rPr>
        <w:t>Las adiciones relacionadas con el valor</w:t>
      </w:r>
      <w:r w:rsidRPr="005C1F67">
        <w:rPr>
          <w:rFonts w:ascii="Arial" w:hAnsi="Arial" w:cs="Arial"/>
          <w:color w:val="000000" w:themeColor="text1"/>
          <w:sz w:val="19"/>
          <w:szCs w:val="19"/>
        </w:rPr>
        <w:t xml:space="preserve"> quedarán perfeccionadas con la firma del jefe de la entidad contratante, previo registro presupuestal, adición y prórroga de las garantías otorgadas y pago de los impuestos correspondientes. </w:t>
      </w:r>
      <w:r w:rsidRPr="005C1F67">
        <w:rPr>
          <w:rFonts w:ascii="Arial" w:hAnsi="Arial" w:cs="Arial"/>
          <w:i/>
          <w:color w:val="000000" w:themeColor="text1"/>
          <w:sz w:val="19"/>
          <w:szCs w:val="19"/>
        </w:rPr>
        <w:t>Las relacionadas con el plazo</w:t>
      </w:r>
      <w:r w:rsidRPr="005C1F67">
        <w:rPr>
          <w:rFonts w:ascii="Arial" w:hAnsi="Arial" w:cs="Arial"/>
          <w:color w:val="000000" w:themeColor="text1"/>
          <w:sz w:val="19"/>
          <w:szCs w:val="19"/>
        </w:rPr>
        <w:t xml:space="preserve"> sólo requerirán firma del jefe de la entidad contratante y prórroga de las garantías».</w:t>
      </w:r>
    </w:p>
    <w:p w14:paraId="27D7E9EC" w14:textId="77777777" w:rsidR="00BC0BA6" w:rsidRPr="005C1F67" w:rsidRDefault="00BC0BA6" w:rsidP="00441244">
      <w:pPr>
        <w:ind w:firstLine="709"/>
        <w:jc w:val="both"/>
        <w:rPr>
          <w:rFonts w:ascii="Arial" w:hAnsi="Arial" w:cs="Arial"/>
          <w:color w:val="000000" w:themeColor="text1"/>
          <w:sz w:val="19"/>
          <w:szCs w:val="19"/>
        </w:rPr>
      </w:pPr>
    </w:p>
  </w:footnote>
  <w:footnote w:id="2">
    <w:p w14:paraId="3FEF380F" w14:textId="528C5F36" w:rsidR="00441244" w:rsidRPr="005C1F67" w:rsidRDefault="00441244" w:rsidP="00441244">
      <w:pPr>
        <w:pStyle w:val="NormalWeb"/>
        <w:spacing w:before="0" w:beforeAutospacing="0" w:after="0" w:afterAutospacing="0"/>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«Artículo 58. De los contratos adicionales. Salvo lo dispuesto en el título IV, cuando haya necesidad de modificar el plazo o el valor convenido y no se tratare de la revisión de precios prevista en este estatuto, se suscribirá un contrato adicional que no podrá exceder la cifra resultante de sumar la mitad de la cuantía originalmente pactada más el valor de los reajustes que se hubieren efectuado a la fecha de acordarse la suscripción del contrato adicional. </w:t>
      </w:r>
    </w:p>
    <w:p w14:paraId="42BA54EF" w14:textId="7E84AE14" w:rsidR="00441244" w:rsidRPr="005C1F67" w:rsidRDefault="00441244" w:rsidP="00441244">
      <w:pPr>
        <w:ind w:firstLine="708"/>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»Las adiciones relacionadas con el valor quedarán perfeccionadas una vez suscrito el contrato y efectuado el registro presupuestal. Las relaciones con el plazo sólo requerirán firma del jefe de la entidad contratante y prórroga de las garantías. </w:t>
      </w:r>
    </w:p>
    <w:p w14:paraId="573A4C17" w14:textId="43172B5A"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»Serán requisitos para que pueda iniciarse la ejecución del contrato, la adición y prórroga de las garantías y el pago de los impuestos correspondientes. </w:t>
      </w:r>
    </w:p>
    <w:p w14:paraId="17ADB1D8" w14:textId="6AE6FF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»Los contratos de interventoría, administración delegada, y consultoría previstos en este estatuto, podrán adicionarse sin el límite fijado en el presente artículo. </w:t>
      </w:r>
    </w:p>
    <w:p w14:paraId="0EC128F7" w14:textId="3AED48DB"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»Las adiciones deberán publicarse en el Diario oficial. </w:t>
      </w:r>
    </w:p>
    <w:p w14:paraId="68810344" w14:textId="3C10BBB9"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»En ningún caso podrá modificarse el objeto de los contratos, ni prorrogarse su plazo si estuviere vencido, so pretexto de la celebración de contratos adicionales, ni pactarse prórrogas automáticas. </w:t>
      </w:r>
    </w:p>
    <w:p w14:paraId="68A3D5F9" w14:textId="034C2084" w:rsidR="00441244" w:rsidRPr="005C1F67" w:rsidRDefault="00441244" w:rsidP="00441244">
      <w:pPr>
        <w:jc w:val="both"/>
        <w:rPr>
          <w:rFonts w:ascii="Arial" w:eastAsia="Times New Roman" w:hAnsi="Arial" w:cs="Arial"/>
          <w:color w:val="000000" w:themeColor="text1"/>
          <w:sz w:val="19"/>
          <w:szCs w:val="19"/>
          <w:lang w:val="es-CO" w:eastAsia="es-CO"/>
        </w:rPr>
      </w:pPr>
      <w:r w:rsidRPr="005C1F67">
        <w:rPr>
          <w:rFonts w:ascii="Arial" w:eastAsia="Times New Roman" w:hAnsi="Arial" w:cs="Arial"/>
          <w:color w:val="000000" w:themeColor="text1"/>
          <w:sz w:val="19"/>
          <w:szCs w:val="19"/>
          <w:lang w:val="es-CO" w:eastAsia="es-CO"/>
        </w:rPr>
        <w:t>  </w:t>
      </w:r>
      <w:r w:rsidRPr="005C1F67">
        <w:rPr>
          <w:rFonts w:ascii="Arial" w:eastAsia="Times New Roman" w:hAnsi="Arial" w:cs="Arial"/>
          <w:color w:val="000000" w:themeColor="text1"/>
          <w:sz w:val="19"/>
          <w:szCs w:val="19"/>
          <w:lang w:val="es-CO" w:eastAsia="es-CO"/>
        </w:rPr>
        <w:tab/>
        <w:t>»Parágrafo. Los contratos de empréstito distintos a los créditos de proveedores, no se someterán a lo dispuesto en este artículo».</w:t>
      </w:r>
    </w:p>
    <w:p w14:paraId="4CA7A381" w14:textId="7054B2DB" w:rsidR="00441244" w:rsidRPr="005C1F67" w:rsidRDefault="00441244" w:rsidP="00441244">
      <w:pPr>
        <w:pStyle w:val="Textonotapie"/>
        <w:ind w:firstLine="708"/>
        <w:rPr>
          <w:rFonts w:ascii="Arial" w:hAnsi="Arial" w:cs="Arial"/>
          <w:color w:val="000000" w:themeColor="text1"/>
          <w:sz w:val="19"/>
          <w:szCs w:val="19"/>
        </w:rPr>
      </w:pPr>
    </w:p>
  </w:footnote>
  <w:footnote w:id="3">
    <w:p w14:paraId="2135C593"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desconocer: i) que la Ley 80 de 1993 en el artículo 36 y 37 estableció la posibilidad de prorrogar el término de duración de las concesiones para la prestación de los servicios y actividades de telecomunicaciones, al igual que en relación con la concesión de servicios postales; y ii) dicha ley utiliza en varios lugares el concepto prórroga como la posibilidad de ampliar ciertos plazos, referidos a determinadas etapas de la etapa precontractual –arts. 30.4, 30.5 y 30.9-.</w:t>
      </w:r>
    </w:p>
  </w:footnote>
  <w:footnote w:id="4">
    <w:p w14:paraId="26E94CC7"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En igual sentido se pronunció la Corte Suprema de Justicia. Sala de Casación Civil. En Sentencia del 30 de agosto de 2011, M.P. William Namén Vargas. Rad. 1999-01957: «La renovación no se confunde con la prórroga del contrato, ‘el renovado es uno nuevo’ (Corte Suprema de Justicia, Sala Plena, sentencia de 20 de noviembre de 1971, CXXXVIII, 482 y ss; cas. civ. sentencias de 24 de septiembre de 1985 CLXXX, 431; 31 de octubre de 1994, exp. 3868; 7 de julio de 1998, rad. 10825; 8 de octubre de 1997, exp. 4818; 27 de julio de 2001, exp. 5860; 24 de septiembre de 2001, exp. 5876, 14 de abril de 2008, 2001 00082 01), y el prorrogado el mismo. La prórroga mantiene idéntico el contrato, no se presenta más sino por acuerdo anterior al vencimiento del plazo y lo continúa en las condiciones primarias por un período igual (artículos 218 [1], 520, 829, 1425 [“prorrogado por un período igual”], 1510, 1685, 1686, 1712, 1891C. de Co)». (corchetes y paréntesis propios del original). </w:t>
      </w:r>
    </w:p>
    <w:p w14:paraId="5F3346DB" w14:textId="77777777" w:rsidR="00BC0BA6" w:rsidRPr="005C1F67" w:rsidRDefault="00BC0BA6" w:rsidP="00441244">
      <w:pPr>
        <w:pStyle w:val="Textonotapie"/>
        <w:ind w:firstLine="709"/>
        <w:jc w:val="both"/>
        <w:rPr>
          <w:rFonts w:ascii="Arial" w:hAnsi="Arial" w:cs="Arial"/>
          <w:color w:val="000000" w:themeColor="text1"/>
          <w:sz w:val="19"/>
          <w:szCs w:val="19"/>
        </w:rPr>
      </w:pPr>
    </w:p>
  </w:footnote>
  <w:footnote w:id="5">
    <w:p w14:paraId="4D323439" w14:textId="77777777" w:rsidR="00BC0BA6" w:rsidRPr="005C1F67" w:rsidRDefault="00BC0BA6" w:rsidP="00441244">
      <w:pPr>
        <w:pStyle w:val="Textonotapie"/>
        <w:ind w:firstLine="709"/>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w:t>
      </w:r>
      <w:r w:rsidRPr="005C1F67">
        <w:rPr>
          <w:rFonts w:ascii="Arial" w:hAnsi="Arial" w:cs="Arial"/>
          <w:i/>
          <w:color w:val="000000" w:themeColor="text1"/>
          <w:sz w:val="19"/>
          <w:szCs w:val="19"/>
        </w:rPr>
        <w:t xml:space="preserve"> </w:t>
      </w:r>
      <w:r w:rsidRPr="005C1F67">
        <w:rPr>
          <w:rFonts w:ascii="Arial" w:hAnsi="Arial" w:cs="Arial"/>
          <w:color w:val="000000" w:themeColor="text1"/>
          <w:sz w:val="19"/>
          <w:szCs w:val="19"/>
        </w:rPr>
        <w:t>Serie: Las Cláusulas del Contrato Estatal. Medellín: Librería jurídica Sánchez y Centro de Estudios de Derecho Administrativo ―CEDA―, 2012. p. 227 y 228.</w:t>
      </w:r>
    </w:p>
  </w:footnote>
  <w:footnote w:id="6">
    <w:p w14:paraId="1A0A416E" w14:textId="77777777"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w:t>
      </w:r>
      <w:r w:rsidRPr="005C1F67">
        <w:rPr>
          <w:rFonts w:ascii="Arial" w:hAnsi="Arial" w:cs="Arial"/>
          <w:iCs/>
          <w:color w:val="000000" w:themeColor="text1"/>
          <w:sz w:val="19"/>
          <w:szCs w:val="19"/>
        </w:rPr>
        <w:t>Régimen jurídico de la contratación estatal. Aproximación crítica a la Ley 80 de 1993.</w:t>
      </w:r>
      <w:r w:rsidRPr="005C1F67">
        <w:rPr>
          <w:rFonts w:ascii="Arial" w:hAnsi="Arial" w:cs="Arial"/>
          <w:color w:val="000000" w:themeColor="text1"/>
          <w:sz w:val="19"/>
          <w:szCs w:val="19"/>
        </w:rPr>
        <w:t xml:space="preserve"> 2ª ed. Bogotá: Legis, 2003.</w:t>
      </w:r>
    </w:p>
    <w:p w14:paraId="167CE0D2"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7">
    <w:p w14:paraId="7ADD9406" w14:textId="0016BBCB" w:rsidR="00D075A9" w:rsidRPr="005C1F67" w:rsidRDefault="00D075A9"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footnote>
  <w:footnote w:id="8">
    <w:p w14:paraId="02052571" w14:textId="6A698DA9"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Sala de Consulta y Servicio Civil. Concepto del 18 de julio de 2002. Exp. 1.439 C.P. Susana Montes Echeverri.</w:t>
      </w:r>
    </w:p>
  </w:footnote>
  <w:footnote w:id="9">
    <w:p w14:paraId="33B6BE7A" w14:textId="3251B0F8"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w:t>
      </w:r>
    </w:p>
    <w:p w14:paraId="02FEF8BB" w14:textId="77777777" w:rsidR="00BC0BA6" w:rsidRPr="005C1F67" w:rsidRDefault="00BC0BA6" w:rsidP="00441244">
      <w:pPr>
        <w:pStyle w:val="Textonotapie"/>
        <w:ind w:firstLine="708"/>
        <w:jc w:val="both"/>
        <w:rPr>
          <w:rFonts w:ascii="Arial" w:hAnsi="Arial" w:cs="Arial"/>
          <w:color w:val="000000" w:themeColor="text1"/>
          <w:sz w:val="19"/>
          <w:szCs w:val="19"/>
          <w:lang w:val="es-CO"/>
        </w:rPr>
      </w:pPr>
    </w:p>
  </w:footnote>
  <w:footnote w:id="10">
    <w:p w14:paraId="1A7A1B3F" w14:textId="273E7F02"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DÁVILA VINUEZA, Luis Guillermo. Régimen jurídico de la contratación estatal. Tercera edición, Bogotá: Legis, 2016, p. 635 y 636.</w:t>
      </w:r>
    </w:p>
    <w:p w14:paraId="239B3DE1"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1">
    <w:p w14:paraId="59740665" w14:textId="5C2C68B0" w:rsidR="00BC0BA6" w:rsidRPr="005C1F67" w:rsidRDefault="00BC0BA6" w:rsidP="00441244">
      <w:pPr>
        <w:pStyle w:val="Textonotapie"/>
        <w:ind w:firstLine="708"/>
        <w:jc w:val="both"/>
        <w:rPr>
          <w:rFonts w:ascii="Arial" w:hAnsi="Arial" w:cs="Arial"/>
          <w:color w:val="000000" w:themeColor="text1"/>
          <w:sz w:val="19"/>
          <w:szCs w:val="19"/>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Ibíd. p. 592</w:t>
      </w:r>
    </w:p>
    <w:p w14:paraId="2EB912C9" w14:textId="77777777" w:rsidR="00BC0BA6" w:rsidRPr="005C1F67" w:rsidRDefault="00BC0BA6" w:rsidP="00441244">
      <w:pPr>
        <w:pStyle w:val="Textonotapie"/>
        <w:ind w:firstLine="708"/>
        <w:jc w:val="both"/>
        <w:rPr>
          <w:rFonts w:ascii="Arial" w:hAnsi="Arial" w:cs="Arial"/>
          <w:color w:val="000000" w:themeColor="text1"/>
          <w:sz w:val="19"/>
          <w:szCs w:val="19"/>
        </w:rPr>
      </w:pPr>
    </w:p>
  </w:footnote>
  <w:footnote w:id="12">
    <w:p w14:paraId="2B7941A2" w14:textId="2A6E7DEB"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Cfr. Consejo de Estado. Sección Tercera. Sentencia del 22 de abril de 2004. Exp. 22.178 y en la Sentencia de la misma Sección del 15 de julio de 2004. Exp. AP-1164-02.</w:t>
      </w:r>
    </w:p>
  </w:footnote>
  <w:footnote w:id="13">
    <w:p w14:paraId="4200C3DE" w14:textId="23E20009"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footnote>
  <w:footnote w:id="14">
    <w:p w14:paraId="49B71E2D" w14:textId="32EEFC67" w:rsidR="00BC0BA6" w:rsidRPr="005C1F67" w:rsidRDefault="00BC0BA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Consejo de Estado. Sección Tercera. Sentencia del 14 de abril de 2010. Exp. 36.054. M.P. Enrique Gil Botero.</w:t>
      </w:r>
    </w:p>
  </w:footnote>
  <w:footnote w:id="15">
    <w:p w14:paraId="21641E37" w14:textId="15DC5D47" w:rsidR="001103D6" w:rsidRPr="005C1F67" w:rsidRDefault="001103D6" w:rsidP="00441244">
      <w:pPr>
        <w:pStyle w:val="Textonotapie"/>
        <w:ind w:firstLine="708"/>
        <w:jc w:val="both"/>
        <w:rPr>
          <w:rFonts w:ascii="Arial" w:hAnsi="Arial" w:cs="Arial"/>
          <w:color w:val="000000" w:themeColor="text1"/>
          <w:sz w:val="19"/>
          <w:szCs w:val="19"/>
          <w:lang w:val="es-CO"/>
        </w:rPr>
      </w:pPr>
      <w:r w:rsidRPr="005C1F67">
        <w:rPr>
          <w:rStyle w:val="Refdenotaalpie"/>
          <w:rFonts w:ascii="Arial" w:hAnsi="Arial" w:cs="Arial"/>
          <w:color w:val="000000" w:themeColor="text1"/>
          <w:sz w:val="19"/>
          <w:szCs w:val="19"/>
        </w:rPr>
        <w:footnoteRef/>
      </w:r>
      <w:r w:rsidRPr="005C1F67">
        <w:rPr>
          <w:rFonts w:ascii="Arial" w:hAnsi="Arial" w:cs="Arial"/>
          <w:color w:val="000000" w:themeColor="text1"/>
          <w:sz w:val="19"/>
          <w:szCs w:val="19"/>
        </w:rPr>
        <w:t xml:space="preserve"> Sin perjuicio de que estas entidades funjan como contratistas de otras entidades sometidas al EGCAP, caso en el que operaría el límite, en atención a que el régimen aplicable sería el de la Ley 80 de 1993.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BC0BA6" w:rsidRDefault="00BC0BA6">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C52E1320"/>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4502520"/>
    <w:multiLevelType w:val="hybridMultilevel"/>
    <w:tmpl w:val="AB0A199A"/>
    <w:lvl w:ilvl="0" w:tplc="9290192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EE52063"/>
    <w:multiLevelType w:val="hybridMultilevel"/>
    <w:tmpl w:val="19AC50DA"/>
    <w:lvl w:ilvl="0" w:tplc="7108DDCA">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40B2061"/>
    <w:multiLevelType w:val="multilevel"/>
    <w:tmpl w:val="EEA85A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4"/>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30BF5"/>
    <w:rsid w:val="000771A3"/>
    <w:rsid w:val="00084B97"/>
    <w:rsid w:val="00087342"/>
    <w:rsid w:val="0009150D"/>
    <w:rsid w:val="000929B3"/>
    <w:rsid w:val="000942EB"/>
    <w:rsid w:val="000B103F"/>
    <w:rsid w:val="000C34DB"/>
    <w:rsid w:val="000F14E8"/>
    <w:rsid w:val="00103915"/>
    <w:rsid w:val="001103D6"/>
    <w:rsid w:val="00122B23"/>
    <w:rsid w:val="00137474"/>
    <w:rsid w:val="001374A8"/>
    <w:rsid w:val="00137FFA"/>
    <w:rsid w:val="00174E30"/>
    <w:rsid w:val="001860FB"/>
    <w:rsid w:val="001B0444"/>
    <w:rsid w:val="001B3C91"/>
    <w:rsid w:val="001D4D14"/>
    <w:rsid w:val="001E663F"/>
    <w:rsid w:val="001E7A7B"/>
    <w:rsid w:val="0020632A"/>
    <w:rsid w:val="002110EB"/>
    <w:rsid w:val="00211338"/>
    <w:rsid w:val="00234B84"/>
    <w:rsid w:val="00247B09"/>
    <w:rsid w:val="00256435"/>
    <w:rsid w:val="0025709D"/>
    <w:rsid w:val="00263051"/>
    <w:rsid w:val="0027028A"/>
    <w:rsid w:val="002835E0"/>
    <w:rsid w:val="00296479"/>
    <w:rsid w:val="002C2585"/>
    <w:rsid w:val="002C4C0C"/>
    <w:rsid w:val="003033BA"/>
    <w:rsid w:val="00317778"/>
    <w:rsid w:val="00322937"/>
    <w:rsid w:val="003328C7"/>
    <w:rsid w:val="003348AA"/>
    <w:rsid w:val="0034177C"/>
    <w:rsid w:val="0034680A"/>
    <w:rsid w:val="00351D7E"/>
    <w:rsid w:val="00353DD5"/>
    <w:rsid w:val="0037449A"/>
    <w:rsid w:val="00380584"/>
    <w:rsid w:val="00386456"/>
    <w:rsid w:val="00387726"/>
    <w:rsid w:val="003A0878"/>
    <w:rsid w:val="003A581E"/>
    <w:rsid w:val="003A5A50"/>
    <w:rsid w:val="00407CAB"/>
    <w:rsid w:val="004141CB"/>
    <w:rsid w:val="00414AD7"/>
    <w:rsid w:val="00423F9F"/>
    <w:rsid w:val="00441244"/>
    <w:rsid w:val="004422D6"/>
    <w:rsid w:val="00452D38"/>
    <w:rsid w:val="00472DDB"/>
    <w:rsid w:val="0047670D"/>
    <w:rsid w:val="00484851"/>
    <w:rsid w:val="0049241A"/>
    <w:rsid w:val="004A02E2"/>
    <w:rsid w:val="004A10FC"/>
    <w:rsid w:val="004A34D2"/>
    <w:rsid w:val="004A60BE"/>
    <w:rsid w:val="004C625A"/>
    <w:rsid w:val="004D66FB"/>
    <w:rsid w:val="00500D12"/>
    <w:rsid w:val="0051074C"/>
    <w:rsid w:val="00510874"/>
    <w:rsid w:val="00512DBC"/>
    <w:rsid w:val="00513AF2"/>
    <w:rsid w:val="0054413A"/>
    <w:rsid w:val="005564CA"/>
    <w:rsid w:val="0056182B"/>
    <w:rsid w:val="005756AA"/>
    <w:rsid w:val="00582208"/>
    <w:rsid w:val="005C1F67"/>
    <w:rsid w:val="005C3CAB"/>
    <w:rsid w:val="005D51FA"/>
    <w:rsid w:val="005D791B"/>
    <w:rsid w:val="005F26F4"/>
    <w:rsid w:val="00606FA4"/>
    <w:rsid w:val="00614817"/>
    <w:rsid w:val="006237F4"/>
    <w:rsid w:val="00625D5B"/>
    <w:rsid w:val="00633DBF"/>
    <w:rsid w:val="00655371"/>
    <w:rsid w:val="00697665"/>
    <w:rsid w:val="006A7CB5"/>
    <w:rsid w:val="006A7FD0"/>
    <w:rsid w:val="006C28A0"/>
    <w:rsid w:val="006C7415"/>
    <w:rsid w:val="006D7687"/>
    <w:rsid w:val="006E0572"/>
    <w:rsid w:val="006E1C95"/>
    <w:rsid w:val="006E4A12"/>
    <w:rsid w:val="006F1068"/>
    <w:rsid w:val="00705129"/>
    <w:rsid w:val="00705631"/>
    <w:rsid w:val="00715EAA"/>
    <w:rsid w:val="00725037"/>
    <w:rsid w:val="00736750"/>
    <w:rsid w:val="00742DD2"/>
    <w:rsid w:val="00746E08"/>
    <w:rsid w:val="00747C96"/>
    <w:rsid w:val="0075094E"/>
    <w:rsid w:val="007522E8"/>
    <w:rsid w:val="007560F0"/>
    <w:rsid w:val="0075647A"/>
    <w:rsid w:val="00757592"/>
    <w:rsid w:val="007634AD"/>
    <w:rsid w:val="007637D0"/>
    <w:rsid w:val="00775D41"/>
    <w:rsid w:val="0078122E"/>
    <w:rsid w:val="007843E9"/>
    <w:rsid w:val="00795647"/>
    <w:rsid w:val="007B0854"/>
    <w:rsid w:val="007C7806"/>
    <w:rsid w:val="007F6B46"/>
    <w:rsid w:val="007F72CB"/>
    <w:rsid w:val="00817C23"/>
    <w:rsid w:val="008217B7"/>
    <w:rsid w:val="0083119B"/>
    <w:rsid w:val="00834F2E"/>
    <w:rsid w:val="00836EAB"/>
    <w:rsid w:val="00844F93"/>
    <w:rsid w:val="0085092D"/>
    <w:rsid w:val="00850F79"/>
    <w:rsid w:val="0086465C"/>
    <w:rsid w:val="0089774F"/>
    <w:rsid w:val="008A145D"/>
    <w:rsid w:val="008A70A1"/>
    <w:rsid w:val="008B5AC6"/>
    <w:rsid w:val="008C5F02"/>
    <w:rsid w:val="008C6F1E"/>
    <w:rsid w:val="008D7CB0"/>
    <w:rsid w:val="008E1C15"/>
    <w:rsid w:val="008F1EC8"/>
    <w:rsid w:val="008F538E"/>
    <w:rsid w:val="009047C5"/>
    <w:rsid w:val="00911F2C"/>
    <w:rsid w:val="0095385A"/>
    <w:rsid w:val="00956461"/>
    <w:rsid w:val="00957335"/>
    <w:rsid w:val="00965A80"/>
    <w:rsid w:val="00993289"/>
    <w:rsid w:val="009E15AC"/>
    <w:rsid w:val="009E6230"/>
    <w:rsid w:val="009F1F65"/>
    <w:rsid w:val="009F59C2"/>
    <w:rsid w:val="00A06C13"/>
    <w:rsid w:val="00A16DE4"/>
    <w:rsid w:val="00A24560"/>
    <w:rsid w:val="00A25B36"/>
    <w:rsid w:val="00A26123"/>
    <w:rsid w:val="00A3024D"/>
    <w:rsid w:val="00A31D5A"/>
    <w:rsid w:val="00A34538"/>
    <w:rsid w:val="00A37FB6"/>
    <w:rsid w:val="00A514A6"/>
    <w:rsid w:val="00A62DC0"/>
    <w:rsid w:val="00A67A27"/>
    <w:rsid w:val="00A70FD1"/>
    <w:rsid w:val="00A96BEA"/>
    <w:rsid w:val="00AA08E7"/>
    <w:rsid w:val="00AA442B"/>
    <w:rsid w:val="00AA669D"/>
    <w:rsid w:val="00AC7B03"/>
    <w:rsid w:val="00AD1B0F"/>
    <w:rsid w:val="00AE4A81"/>
    <w:rsid w:val="00B13EC0"/>
    <w:rsid w:val="00B22E22"/>
    <w:rsid w:val="00B326EA"/>
    <w:rsid w:val="00B41272"/>
    <w:rsid w:val="00B525CB"/>
    <w:rsid w:val="00B63872"/>
    <w:rsid w:val="00B63CB2"/>
    <w:rsid w:val="00B64EDB"/>
    <w:rsid w:val="00B7315F"/>
    <w:rsid w:val="00B7754B"/>
    <w:rsid w:val="00B91B8E"/>
    <w:rsid w:val="00BB0BAB"/>
    <w:rsid w:val="00BB509C"/>
    <w:rsid w:val="00BC0BA6"/>
    <w:rsid w:val="00BC50EA"/>
    <w:rsid w:val="00BD768C"/>
    <w:rsid w:val="00BD78FE"/>
    <w:rsid w:val="00BF098D"/>
    <w:rsid w:val="00BF157B"/>
    <w:rsid w:val="00BF193E"/>
    <w:rsid w:val="00BF5952"/>
    <w:rsid w:val="00BF5E36"/>
    <w:rsid w:val="00C55DBF"/>
    <w:rsid w:val="00C60D83"/>
    <w:rsid w:val="00C813E0"/>
    <w:rsid w:val="00C90B8D"/>
    <w:rsid w:val="00C94B5F"/>
    <w:rsid w:val="00CC00CD"/>
    <w:rsid w:val="00CF692E"/>
    <w:rsid w:val="00D01760"/>
    <w:rsid w:val="00D075A9"/>
    <w:rsid w:val="00D16E39"/>
    <w:rsid w:val="00D223B6"/>
    <w:rsid w:val="00D265C5"/>
    <w:rsid w:val="00D45120"/>
    <w:rsid w:val="00D60327"/>
    <w:rsid w:val="00D71EA4"/>
    <w:rsid w:val="00D72E9D"/>
    <w:rsid w:val="00D82CE5"/>
    <w:rsid w:val="00D845B3"/>
    <w:rsid w:val="00DA346E"/>
    <w:rsid w:val="00DA5AB1"/>
    <w:rsid w:val="00DB61B0"/>
    <w:rsid w:val="00DC62E5"/>
    <w:rsid w:val="00DC7E2D"/>
    <w:rsid w:val="00DD735D"/>
    <w:rsid w:val="00DE3119"/>
    <w:rsid w:val="00DE75E3"/>
    <w:rsid w:val="00DE7880"/>
    <w:rsid w:val="00DF236B"/>
    <w:rsid w:val="00E03C3E"/>
    <w:rsid w:val="00E13AB8"/>
    <w:rsid w:val="00E17BBC"/>
    <w:rsid w:val="00E25CB3"/>
    <w:rsid w:val="00E33B62"/>
    <w:rsid w:val="00E4143A"/>
    <w:rsid w:val="00E42B38"/>
    <w:rsid w:val="00E44109"/>
    <w:rsid w:val="00E46B53"/>
    <w:rsid w:val="00E63AE1"/>
    <w:rsid w:val="00E6565C"/>
    <w:rsid w:val="00E81018"/>
    <w:rsid w:val="00EA4959"/>
    <w:rsid w:val="00EB3576"/>
    <w:rsid w:val="00EB62AC"/>
    <w:rsid w:val="00EE59B5"/>
    <w:rsid w:val="00EF7896"/>
    <w:rsid w:val="00F201B0"/>
    <w:rsid w:val="00F34423"/>
    <w:rsid w:val="00F34E06"/>
    <w:rsid w:val="00F43C0D"/>
    <w:rsid w:val="00F75B13"/>
    <w:rsid w:val="00F7683C"/>
    <w:rsid w:val="00F84899"/>
    <w:rsid w:val="00F859F0"/>
    <w:rsid w:val="00F96744"/>
    <w:rsid w:val="00FE0DC0"/>
    <w:rsid w:val="00FE141E"/>
    <w:rsid w:val="00FE42ED"/>
    <w:rsid w:val="00FE6E33"/>
    <w:rsid w:val="00FE72D2"/>
    <w:rsid w:val="0F22CD19"/>
    <w:rsid w:val="1D891ED4"/>
    <w:rsid w:val="2547E75F"/>
    <w:rsid w:val="32339059"/>
    <w:rsid w:val="7797FAD1"/>
    <w:rsid w:val="7DEBDCD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sz w:val="20"/>
      <w:szCs w:val="20"/>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link w:val="SinespaciadoCar"/>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aliases w:val="No Indent Car"/>
    <w:link w:val="Sinespaciado"/>
    <w:uiPriority w:val="1"/>
    <w:rsid w:val="00F96744"/>
    <w:rPr>
      <w:sz w:val="24"/>
      <w:lang w:val="es-MX"/>
    </w:rPr>
  </w:style>
  <w:style w:type="character" w:styleId="Textoennegrita">
    <w:name w:val="Strong"/>
    <w:basedOn w:val="Fuentedeprrafopredeter"/>
    <w:uiPriority w:val="22"/>
    <w:qFormat/>
    <w:rsid w:val="00441244"/>
    <w:rPr>
      <w:b/>
      <w:bCs/>
    </w:rPr>
  </w:style>
  <w:style w:type="paragraph" w:customStyle="1" w:styleId="Default">
    <w:name w:val="Default"/>
    <w:rsid w:val="00F75B13"/>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741065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53436912">
      <w:bodyDiv w:val="1"/>
      <w:marLeft w:val="0"/>
      <w:marRight w:val="0"/>
      <w:marTop w:val="0"/>
      <w:marBottom w:val="0"/>
      <w:divBdr>
        <w:top w:val="none" w:sz="0" w:space="0" w:color="auto"/>
        <w:left w:val="none" w:sz="0" w:space="0" w:color="auto"/>
        <w:bottom w:val="none" w:sz="0" w:space="0" w:color="auto"/>
        <w:right w:val="none" w:sz="0" w:space="0" w:color="auto"/>
      </w:divBdr>
    </w:div>
    <w:div w:id="111039215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gerencie.com/preci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erencie.com/quienes-son-comerciantes.htm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7A98C7CE-40B5-4696-898C-F0E87947AD5C}">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988B428-9C5C-4FF7-AA9E-94B4014CF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BAA8B0-D32B-4FE3-B001-7291445964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13</Pages>
  <Words>4921</Words>
  <Characters>28056</Characters>
  <Application>Microsoft Office Word</Application>
  <DocSecurity>0</DocSecurity>
  <Lines>233</Lines>
  <Paragraphs>65</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2020-08-10T08:45:00Z</dcterms:created>
  <dcterms:modified xsi:type="dcterms:W3CDTF">2020-08-10T08:45:00Z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