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7C3EC" w14:textId="77777777" w:rsidR="007A2BBB" w:rsidRDefault="007A2BBB" w:rsidP="00A90B76">
      <w:pPr>
        <w:snapToGrid w:val="0"/>
        <w:spacing w:after="0" w:line="240" w:lineRule="auto"/>
        <w:contextualSpacing/>
        <w:jc w:val="both"/>
        <w:rPr>
          <w:rFonts w:ascii="Verdana" w:eastAsia="Aptos" w:hAnsi="Verdana" w:cs="Arial"/>
          <w:b/>
          <w:bCs/>
          <w:kern w:val="2"/>
          <w:lang w:val="es-MX"/>
          <w14:ligatures w14:val="standardContextual"/>
        </w:rPr>
      </w:pPr>
      <w:bookmarkStart w:id="0" w:name="_Hlk143780582"/>
      <w:r w:rsidRPr="007A2BBB">
        <w:rPr>
          <w:rFonts w:ascii="Verdana" w:eastAsia="Aptos" w:hAnsi="Verdana" w:cs="Arial"/>
          <w:b/>
          <w:bCs/>
          <w:kern w:val="2"/>
          <w:lang w:val="es-MX"/>
          <w14:ligatures w14:val="standardContextual"/>
        </w:rPr>
        <w:t>CONTRATO DE INTERVENTORÍA – Características – Finalidad</w:t>
      </w:r>
    </w:p>
    <w:p w14:paraId="1D9E63CE" w14:textId="77777777" w:rsidR="00A90B76" w:rsidRDefault="00A90B76" w:rsidP="00A90B76">
      <w:pPr>
        <w:tabs>
          <w:tab w:val="left" w:pos="709"/>
        </w:tabs>
        <w:snapToGrid w:val="0"/>
        <w:spacing w:after="0" w:line="240" w:lineRule="auto"/>
        <w:contextualSpacing/>
        <w:jc w:val="both"/>
        <w:rPr>
          <w:rFonts w:ascii="Verdana" w:eastAsia="Aptos" w:hAnsi="Verdana" w:cs="Arial"/>
          <w:bCs/>
          <w:sz w:val="20"/>
          <w:szCs w:val="20"/>
        </w:rPr>
      </w:pPr>
    </w:p>
    <w:p w14:paraId="36B85488" w14:textId="60709CF1" w:rsidR="007A2BBB" w:rsidRPr="00A90B76" w:rsidRDefault="007A2BBB" w:rsidP="00A90B76">
      <w:pPr>
        <w:tabs>
          <w:tab w:val="left" w:pos="709"/>
        </w:tabs>
        <w:snapToGrid w:val="0"/>
        <w:spacing w:after="0" w:line="240" w:lineRule="auto"/>
        <w:contextualSpacing/>
        <w:jc w:val="both"/>
        <w:rPr>
          <w:rFonts w:ascii="Verdana" w:eastAsia="Aptos" w:hAnsi="Verdana" w:cs="Arial"/>
          <w:bCs/>
          <w:sz w:val="20"/>
          <w:szCs w:val="20"/>
        </w:rPr>
      </w:pPr>
      <w:r w:rsidRPr="00A90B76">
        <w:rPr>
          <w:rFonts w:ascii="Verdana" w:eastAsia="Aptos" w:hAnsi="Verdana" w:cs="Arial"/>
          <w:bCs/>
          <w:sz w:val="20"/>
          <w:szCs w:val="20"/>
        </w:rPr>
        <w:t xml:space="preserve">De este modo, la interventoría puede caracterizarse de la siguiente manera: (i) es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w:t>
      </w:r>
      <w:proofErr w:type="gramStart"/>
      <w:r w:rsidRPr="00A90B76">
        <w:rPr>
          <w:rFonts w:ascii="Verdana" w:eastAsia="Aptos" w:hAnsi="Verdana" w:cs="Arial"/>
          <w:bCs/>
          <w:sz w:val="20"/>
          <w:szCs w:val="20"/>
        </w:rPr>
        <w:t>del mismo</w:t>
      </w:r>
      <w:proofErr w:type="gramEnd"/>
      <w:r w:rsidRPr="00A90B76">
        <w:rPr>
          <w:rFonts w:ascii="Verdana" w:eastAsia="Aptos" w:hAnsi="Verdana" w:cs="Arial"/>
          <w:bCs/>
          <w:sz w:val="20"/>
          <w:szCs w:val="20"/>
        </w:rPr>
        <w:t xml:space="preserve"> lo justifique” –art, 83, Ley 1474 de 2011–. (</w:t>
      </w:r>
      <w:proofErr w:type="spellStart"/>
      <w:r w:rsidRPr="00A90B76">
        <w:rPr>
          <w:rFonts w:ascii="Verdana" w:eastAsia="Aptos" w:hAnsi="Verdana" w:cs="Arial"/>
          <w:bCs/>
          <w:sz w:val="20"/>
          <w:szCs w:val="20"/>
        </w:rPr>
        <w:t>ii</w:t>
      </w:r>
      <w:proofErr w:type="spellEnd"/>
      <w:r w:rsidRPr="00A90B76">
        <w:rPr>
          <w:rFonts w:ascii="Verdana" w:eastAsia="Aptos" w:hAnsi="Verdana" w:cs="Arial"/>
          <w:bCs/>
          <w:sz w:val="20"/>
          <w:szCs w:val="20"/>
        </w:rPr>
        <w:t>) También es un mecanismo de vigilancia que exige, en su ejecución, la utilización de conocimientos especializados. (</w:t>
      </w:r>
      <w:proofErr w:type="spellStart"/>
      <w:r w:rsidRPr="00A90B76">
        <w:rPr>
          <w:rFonts w:ascii="Verdana" w:eastAsia="Aptos" w:hAnsi="Verdana" w:cs="Arial"/>
          <w:bCs/>
          <w:sz w:val="20"/>
          <w:szCs w:val="20"/>
        </w:rPr>
        <w:t>iii</w:t>
      </w:r>
      <w:proofErr w:type="spellEnd"/>
      <w:r w:rsidRPr="00A90B76">
        <w:rPr>
          <w:rFonts w:ascii="Verdana" w:eastAsia="Aptos" w:hAnsi="Verdana" w:cs="Arial"/>
          <w:bCs/>
          <w:sz w:val="20"/>
          <w:szCs w:val="20"/>
        </w:rPr>
        <w:t>) Por lo anterior, la entidad contrata un experto, por regla general, mediante la modalidad de selección de concurso de méritos, al tratarse de una especie del contrato de consultoría –art. 32, numeral 2, inciso 2, Ley 80 de 1993‒, de manera que la interventoría es realizada por “una persona natural o jurídica contratada para tal fin por la Entidad Estatal” –art. 83, Ley 1474–. Adicionalmente, (</w:t>
      </w:r>
      <w:proofErr w:type="spellStart"/>
      <w:r w:rsidRPr="00A90B76">
        <w:rPr>
          <w:rFonts w:ascii="Verdana" w:eastAsia="Aptos" w:hAnsi="Verdana" w:cs="Arial"/>
          <w:bCs/>
          <w:sz w:val="20"/>
          <w:szCs w:val="20"/>
        </w:rPr>
        <w:t>iv</w:t>
      </w:r>
      <w:proofErr w:type="spellEnd"/>
      <w:r w:rsidRPr="00A90B76">
        <w:rPr>
          <w:rFonts w:ascii="Verdana" w:eastAsia="Aptos" w:hAnsi="Verdana" w:cs="Arial"/>
          <w:bCs/>
          <w:sz w:val="20"/>
          <w:szCs w:val="20"/>
        </w:rPr>
        <w:t>) el seguimiento técnico es inherente a la interventoría para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Finalmente, (v) en caso de que no se encomiende al interventor el seguimiento total del contrato, en el contrato de interventoría “se deberán indicar las actividades técnicas a cargo del interventor y las demás quedarán a cargo de la Entidad a través del supervisor” –art. 83, inciso 3–. En cualquier caso (vi) el contrato de interventoría será supervisado directamente por la entidad –art. 23, inciso 4–.</w:t>
      </w:r>
    </w:p>
    <w:p w14:paraId="7AA6C14C" w14:textId="77777777" w:rsidR="007A2BBB" w:rsidRPr="007A2BBB" w:rsidRDefault="007A2BBB" w:rsidP="00A90B76">
      <w:pPr>
        <w:snapToGrid w:val="0"/>
        <w:spacing w:after="0" w:line="240" w:lineRule="auto"/>
        <w:contextualSpacing/>
        <w:jc w:val="both"/>
        <w:rPr>
          <w:rFonts w:ascii="Verdana" w:eastAsia="Aptos" w:hAnsi="Verdana" w:cs="Arial"/>
          <w:b/>
          <w:bCs/>
          <w:kern w:val="2"/>
          <w:lang w:val="es-MX"/>
          <w14:ligatures w14:val="standardContextual"/>
        </w:rPr>
      </w:pPr>
    </w:p>
    <w:p w14:paraId="01C1D408" w14:textId="77777777" w:rsidR="007A2BBB" w:rsidRDefault="007A2BBB" w:rsidP="00A90B76">
      <w:pPr>
        <w:snapToGrid w:val="0"/>
        <w:spacing w:after="0" w:line="240" w:lineRule="auto"/>
        <w:contextualSpacing/>
        <w:jc w:val="both"/>
        <w:rPr>
          <w:rFonts w:ascii="Verdana" w:eastAsia="Geomanist Light" w:hAnsi="Verdana" w:cs="Arial"/>
          <w:b/>
          <w:bCs/>
          <w:lang w:val="es-MX"/>
        </w:rPr>
      </w:pPr>
      <w:r w:rsidRPr="007A2BBB">
        <w:rPr>
          <w:rFonts w:ascii="Verdana" w:eastAsia="Geomanist Light" w:hAnsi="Verdana" w:cs="Arial"/>
          <w:b/>
          <w:bCs/>
          <w:lang w:val="es-MX"/>
        </w:rPr>
        <w:t>CONTRATO DE INTERVENTORÍA – Término – Plazo – Contrato objeto de seguimiento</w:t>
      </w:r>
    </w:p>
    <w:p w14:paraId="77DBD905" w14:textId="77777777" w:rsidR="007A2BBB" w:rsidRDefault="007A2BBB" w:rsidP="00A90B76">
      <w:pPr>
        <w:snapToGrid w:val="0"/>
        <w:spacing w:after="0" w:line="240" w:lineRule="auto"/>
        <w:contextualSpacing/>
        <w:jc w:val="both"/>
        <w:rPr>
          <w:rFonts w:ascii="Verdana" w:eastAsia="Geomanist Light" w:hAnsi="Verdana" w:cs="Arial"/>
          <w:b/>
          <w:bCs/>
          <w:lang w:val="es-MX"/>
        </w:rPr>
      </w:pPr>
    </w:p>
    <w:p w14:paraId="4A507EB8" w14:textId="47A06311" w:rsidR="007A2BBB" w:rsidRPr="00A90B76" w:rsidRDefault="007A2BBB" w:rsidP="00A90B76">
      <w:pPr>
        <w:pStyle w:val="Sinespaciado"/>
        <w:snapToGrid w:val="0"/>
        <w:contextualSpacing/>
        <w:jc w:val="both"/>
        <w:rPr>
          <w:rFonts w:ascii="Verdana" w:hAnsi="Verdana" w:cs="Arial"/>
          <w:sz w:val="20"/>
          <w:szCs w:val="20"/>
        </w:rPr>
      </w:pPr>
      <w:r w:rsidRPr="00A90B76">
        <w:rPr>
          <w:rFonts w:ascii="Verdana" w:eastAsia="Calibri" w:hAnsi="Verdana" w:cs="Arial"/>
          <w:color w:val="000000"/>
          <w:kern w:val="2"/>
          <w:sz w:val="20"/>
          <w:szCs w:val="20"/>
          <w14:ligatures w14:val="standardContextual"/>
        </w:rPr>
        <w:t xml:space="preserve">Ahora bien, el contrato de interventoría supone la existencia de otro contrato –es decir, el contrato vigilado–, y por eso la jurisprudencia ha caracterizado la interventoría como un negocio jurídico íntimamente relacionado en su objeto con el contrato respecto del que ejerce las actividades del interventor. No obstante, a pesar de lo anterior, el contrato de interventoría es </w:t>
      </w:r>
      <w:r w:rsidRPr="00A90B76">
        <w:rPr>
          <w:rFonts w:ascii="Verdana" w:eastAsia="Calibri" w:hAnsi="Verdana" w:cs="Arial"/>
          <w:i/>
          <w:iCs/>
          <w:color w:val="000000"/>
          <w:kern w:val="2"/>
          <w:sz w:val="20"/>
          <w:szCs w:val="20"/>
          <w14:ligatures w14:val="standardContextual"/>
        </w:rPr>
        <w:t xml:space="preserve">independiente del otro contrato </w:t>
      </w:r>
      <w:r w:rsidRPr="00A90B76">
        <w:rPr>
          <w:rFonts w:ascii="Verdana" w:eastAsia="Calibri" w:hAnsi="Verdana" w:cs="Arial"/>
          <w:color w:val="000000"/>
          <w:kern w:val="2"/>
          <w:sz w:val="20"/>
          <w:szCs w:val="20"/>
          <w14:ligatures w14:val="standardContextual"/>
        </w:rPr>
        <w:t xml:space="preserve">en aspectos específicos como, por ejemplo, la prórroga y el incumplimiento. En efecto, la prórroga de la obra no implica de suyo la del interventor, aunque puede realizarse cumpliendo las solemnidades de ley; además, el incumplimiento del contrato vigilado, como lo sería un contrato de obra, no significa por sí solo el incumplimiento del de interventoría.  </w:t>
      </w:r>
    </w:p>
    <w:p w14:paraId="13D94388" w14:textId="77777777" w:rsidR="007A2BBB" w:rsidRPr="007A2BBB" w:rsidRDefault="007A2BBB" w:rsidP="00A90B76">
      <w:pPr>
        <w:snapToGrid w:val="0"/>
        <w:spacing w:after="0" w:line="240" w:lineRule="auto"/>
        <w:contextualSpacing/>
        <w:jc w:val="both"/>
        <w:rPr>
          <w:rFonts w:ascii="Verdana" w:eastAsia="Geomanist Light" w:hAnsi="Verdana" w:cs="Arial"/>
          <w:b/>
          <w:bCs/>
          <w:lang w:val="es-MX"/>
        </w:rPr>
      </w:pPr>
    </w:p>
    <w:p w14:paraId="3EA58D2B" w14:textId="59A749AA" w:rsidR="007A2BBB" w:rsidRDefault="007A2BBB" w:rsidP="00A90B76">
      <w:pPr>
        <w:snapToGrid w:val="0"/>
        <w:spacing w:after="0" w:line="240" w:lineRule="auto"/>
        <w:contextualSpacing/>
        <w:jc w:val="both"/>
        <w:rPr>
          <w:rFonts w:ascii="Verdana" w:eastAsia="Geomanist Light" w:hAnsi="Verdana" w:cs="Arial"/>
          <w:b/>
          <w:bCs/>
          <w:lang w:val="es-MX"/>
        </w:rPr>
      </w:pPr>
      <w:r w:rsidRPr="007A2BBB">
        <w:rPr>
          <w:rFonts w:ascii="Verdana" w:eastAsia="Geomanist Light" w:hAnsi="Verdana" w:cs="Arial"/>
          <w:b/>
          <w:bCs/>
          <w:lang w:val="es-MX"/>
        </w:rPr>
        <w:t>CONTRATO DE INTERVENTORÍA – Forma de pago – Sujeción a avance de la obra – Límites</w:t>
      </w:r>
    </w:p>
    <w:p w14:paraId="65A04502" w14:textId="77777777" w:rsidR="007A2BBB" w:rsidRPr="007A2BBB" w:rsidRDefault="007A2BBB" w:rsidP="00A90B76">
      <w:pPr>
        <w:snapToGrid w:val="0"/>
        <w:spacing w:after="0" w:line="240" w:lineRule="auto"/>
        <w:contextualSpacing/>
        <w:jc w:val="both"/>
        <w:rPr>
          <w:rFonts w:ascii="Verdana" w:eastAsia="Geomanist Light" w:hAnsi="Verdana" w:cs="Arial"/>
          <w:b/>
          <w:bCs/>
          <w:lang w:val="es-MX"/>
        </w:rPr>
      </w:pPr>
    </w:p>
    <w:p w14:paraId="44B40B76" w14:textId="3F920903" w:rsidR="00A90B76" w:rsidRPr="00A90B76" w:rsidRDefault="00A90B76" w:rsidP="00A90B76">
      <w:pPr>
        <w:widowControl w:val="0"/>
        <w:tabs>
          <w:tab w:val="left" w:pos="709"/>
        </w:tabs>
        <w:autoSpaceDE w:val="0"/>
        <w:autoSpaceDN w:val="0"/>
        <w:snapToGrid w:val="0"/>
        <w:spacing w:after="0" w:line="240" w:lineRule="auto"/>
        <w:contextualSpacing/>
        <w:jc w:val="both"/>
        <w:outlineLvl w:val="0"/>
        <w:rPr>
          <w:rFonts w:ascii="Verdana" w:eastAsia="Arial" w:hAnsi="Verdana" w:cstheme="majorHAnsi"/>
          <w:sz w:val="20"/>
          <w:szCs w:val="20"/>
          <w:lang w:val="es-ES"/>
        </w:rPr>
      </w:pPr>
      <w:r w:rsidRPr="00A90B76">
        <w:rPr>
          <w:rFonts w:ascii="Verdana" w:eastAsia="Arial" w:hAnsi="Verdana" w:cstheme="majorHAnsi"/>
          <w:sz w:val="20"/>
          <w:szCs w:val="20"/>
          <w:lang w:val="es-ES"/>
        </w:rPr>
        <w:t xml:space="preserve">En este sentido, frente a la materia objeto de consulta, se resalta que no existe disposición alguna en el ordenamiento jurídico que impida a las entidades pactar mecanismos que supediten el pago de la interventoría a avances en la ejecución de los contratos de obra. Por el contrario, en virtud de la autonomía de la voluntad, las entidades pueden incluir las condiciones de pago que consideren necesarias y convenientes, siempre que no contraríen el ordenamiento jurídico. Así, podrán pactar </w:t>
      </w:r>
      <w:r w:rsidRPr="00A90B76">
        <w:rPr>
          <w:rFonts w:ascii="Verdana" w:eastAsia="Arial" w:hAnsi="Verdana" w:cstheme="majorHAnsi"/>
          <w:sz w:val="20"/>
          <w:szCs w:val="20"/>
          <w:lang w:val="es-ES"/>
        </w:rPr>
        <w:lastRenderedPageBreak/>
        <w:t xml:space="preserve">una condición positiva casual para la exigibilidad de la obligación de pago de la contraprestación a cargo de la entidad contratante, tal como lo posibilitan los artículos 1530, 1531, 1532 y 1534 del Código Civil. </w:t>
      </w:r>
    </w:p>
    <w:p w14:paraId="02112BB3" w14:textId="77777777" w:rsidR="00A90B76" w:rsidRDefault="00A90B76" w:rsidP="00A90B76">
      <w:pPr>
        <w:snapToGrid w:val="0"/>
        <w:spacing w:after="0" w:line="240" w:lineRule="auto"/>
        <w:contextualSpacing/>
        <w:rPr>
          <w:rFonts w:ascii="Verdana" w:eastAsia="Arial" w:hAnsi="Verdana" w:cstheme="majorHAnsi"/>
          <w:sz w:val="20"/>
          <w:szCs w:val="20"/>
          <w:lang w:val="es-ES"/>
        </w:rPr>
      </w:pPr>
    </w:p>
    <w:p w14:paraId="124A121D" w14:textId="2841DEE8" w:rsidR="007A2BBB" w:rsidRPr="00A90B76" w:rsidRDefault="00A90B76" w:rsidP="00A90B76">
      <w:pPr>
        <w:snapToGrid w:val="0"/>
        <w:spacing w:after="0" w:line="240" w:lineRule="auto"/>
        <w:contextualSpacing/>
        <w:rPr>
          <w:rFonts w:ascii="Verdana" w:eastAsia="Arial" w:hAnsi="Verdana" w:cstheme="majorHAnsi"/>
          <w:sz w:val="20"/>
          <w:szCs w:val="20"/>
          <w:lang w:val="es-ES"/>
        </w:rPr>
      </w:pPr>
      <w:r w:rsidRPr="00A90B76">
        <w:rPr>
          <w:rFonts w:ascii="Verdana" w:eastAsia="Arial" w:hAnsi="Verdana" w:cstheme="majorHAnsi"/>
          <w:sz w:val="20"/>
          <w:szCs w:val="20"/>
          <w:lang w:val="es-ES"/>
        </w:rPr>
        <w:t xml:space="preserve">Se deriva de lo anterior, que las entidades pueden pactar el pago contra avances de la obra objeto de interventoría, siempre que esta decisión se encuentre soportada en una debida planeación que justifique que la estipulación es razonable para el caso concreto. Sin embargo, esto no implica que las entidades puedan supeditar el pago de la interventoría </w:t>
      </w:r>
      <w:r w:rsidRPr="00A90B76">
        <w:rPr>
          <w:rFonts w:ascii="Verdana" w:eastAsia="Arial" w:hAnsi="Verdana" w:cstheme="majorHAnsi"/>
          <w:i/>
          <w:iCs/>
          <w:sz w:val="20"/>
          <w:szCs w:val="20"/>
          <w:lang w:val="es-ES"/>
        </w:rPr>
        <w:t>en su totalidad o de manera exclusiva</w:t>
      </w:r>
      <w:r w:rsidRPr="00A90B76">
        <w:rPr>
          <w:rFonts w:ascii="Verdana" w:eastAsia="Arial" w:hAnsi="Verdana" w:cstheme="majorHAnsi"/>
          <w:sz w:val="20"/>
          <w:szCs w:val="20"/>
          <w:lang w:val="es-ES"/>
        </w:rPr>
        <w:t xml:space="preserve"> al cumplimiento del contrato de obra.</w:t>
      </w:r>
    </w:p>
    <w:p w14:paraId="2539DE5A" w14:textId="77777777" w:rsidR="00A90B76" w:rsidRDefault="00A90B76" w:rsidP="00A90B76">
      <w:pPr>
        <w:snapToGrid w:val="0"/>
        <w:spacing w:after="0" w:line="240" w:lineRule="auto"/>
        <w:ind w:right="49"/>
        <w:contextualSpacing/>
        <w:jc w:val="both"/>
        <w:textAlignment w:val="baseline"/>
        <w:rPr>
          <w:rFonts w:ascii="Verdana" w:eastAsia="Arial" w:hAnsi="Verdana" w:cstheme="majorHAnsi"/>
          <w:sz w:val="20"/>
          <w:szCs w:val="20"/>
          <w:lang w:val="es-ES"/>
        </w:rPr>
      </w:pPr>
    </w:p>
    <w:p w14:paraId="6CEF826A" w14:textId="50CC1016" w:rsidR="00A90B76" w:rsidRPr="00A90B76" w:rsidRDefault="00A90B76" w:rsidP="00A90B76">
      <w:pPr>
        <w:snapToGrid w:val="0"/>
        <w:spacing w:after="0" w:line="240" w:lineRule="auto"/>
        <w:ind w:right="49"/>
        <w:contextualSpacing/>
        <w:jc w:val="both"/>
        <w:textAlignment w:val="baseline"/>
        <w:rPr>
          <w:rFonts w:ascii="Verdana" w:hAnsi="Verdana" w:cs="Arial"/>
          <w:sz w:val="20"/>
          <w:szCs w:val="20"/>
        </w:rPr>
      </w:pPr>
      <w:r w:rsidRPr="00A90B76">
        <w:rPr>
          <w:rFonts w:ascii="Verdana" w:eastAsia="Arial" w:hAnsi="Verdana" w:cstheme="majorHAnsi"/>
          <w:sz w:val="20"/>
          <w:szCs w:val="20"/>
          <w:lang w:val="es-ES"/>
        </w:rPr>
        <w:t xml:space="preserve">[…] Es decir, las Entidades Estatales no podrán sujetar </w:t>
      </w:r>
      <w:r w:rsidRPr="00A90B76">
        <w:rPr>
          <w:rFonts w:ascii="Verdana" w:eastAsia="Arial" w:hAnsi="Verdana" w:cstheme="majorHAnsi"/>
          <w:i/>
          <w:iCs/>
          <w:sz w:val="20"/>
          <w:szCs w:val="20"/>
          <w:lang w:val="es-ES"/>
        </w:rPr>
        <w:t>la totalidad</w:t>
      </w:r>
      <w:r w:rsidRPr="00A90B76">
        <w:rPr>
          <w:rFonts w:ascii="Verdana" w:eastAsia="Arial" w:hAnsi="Verdana" w:cstheme="majorHAnsi"/>
          <w:sz w:val="20"/>
          <w:szCs w:val="20"/>
          <w:lang w:val="es-ES"/>
        </w:rPr>
        <w:t xml:space="preserve"> del pago de interventoría a la ejecución o cumplimiento del contrato de obra vigilado, so pena de que dicha cláusula sea ineficaz de pleno al derecho por disposición expresa del </w:t>
      </w:r>
      <w:r w:rsidRPr="00A90B76">
        <w:rPr>
          <w:rFonts w:ascii="Verdana" w:eastAsia="Arial" w:hAnsi="Verdana" w:cstheme="majorHAnsi"/>
          <w:sz w:val="20"/>
          <w:szCs w:val="20"/>
        </w:rPr>
        <w:t>literal d) numeral 5 del artículo 24 de la Ley 80 de 1993, pues el supeditar el pago a la acción de un tercero implica que se ha pactado una cláusula de imposible cumplimiento para el interventor. Adicionalmente, este tipo de acuerdo de pago contraría la naturaleza del contrato de interventoría porque desconoce que el incumplimiento del contratista vigilado “</w:t>
      </w:r>
      <w:r w:rsidRPr="00A90B76">
        <w:rPr>
          <w:rFonts w:ascii="Verdana" w:hAnsi="Verdana" w:cs="Arial"/>
          <w:sz w:val="20"/>
          <w:szCs w:val="20"/>
        </w:rPr>
        <w:t xml:space="preserve">no se traduce en que […] la labor de la interventoría automáticamente adolezca del mismo reproche o que ese hecho pueda entenderse o equipararse como una desatención de las obligaciones contraídas en el marco de este vínculo negocial”. </w:t>
      </w:r>
    </w:p>
    <w:p w14:paraId="71B3779B" w14:textId="3B6B1837" w:rsidR="00A90B76" w:rsidRDefault="00A90B76" w:rsidP="00A90B76">
      <w:pPr>
        <w:spacing w:after="0"/>
        <w:rPr>
          <w:rFonts w:ascii="Verdana" w:eastAsia="Calibri" w:hAnsi="Verdana" w:cs="Arial"/>
          <w:lang w:val="es-ES" w:eastAsia="es-ES"/>
        </w:rPr>
      </w:pPr>
    </w:p>
    <w:p w14:paraId="28D55DEC" w14:textId="77777777" w:rsidR="00A90B76" w:rsidRDefault="00A90B76" w:rsidP="00E02CC7">
      <w:pPr>
        <w:spacing w:after="0"/>
        <w:rPr>
          <w:rFonts w:ascii="Verdana" w:eastAsia="Calibri" w:hAnsi="Verdana" w:cs="Arial"/>
          <w:lang w:val="es-ES" w:eastAsia="es-ES"/>
        </w:rPr>
      </w:pPr>
    </w:p>
    <w:p w14:paraId="187661D1" w14:textId="77777777" w:rsidR="00A90B76" w:rsidRDefault="00A90B76" w:rsidP="00E02CC7">
      <w:pPr>
        <w:spacing w:after="0"/>
        <w:rPr>
          <w:rFonts w:ascii="Verdana" w:eastAsia="Calibri" w:hAnsi="Verdana" w:cs="Arial"/>
          <w:lang w:val="es-ES" w:eastAsia="es-ES"/>
        </w:rPr>
      </w:pPr>
    </w:p>
    <w:p w14:paraId="7B676699" w14:textId="77777777" w:rsidR="00A90B76" w:rsidRDefault="00A90B76" w:rsidP="00E02CC7">
      <w:pPr>
        <w:spacing w:after="0"/>
        <w:rPr>
          <w:rFonts w:ascii="Verdana" w:eastAsia="Calibri" w:hAnsi="Verdana" w:cs="Arial"/>
          <w:lang w:val="es-ES" w:eastAsia="es-ES"/>
        </w:rPr>
      </w:pPr>
    </w:p>
    <w:p w14:paraId="1E4B1D91" w14:textId="77777777" w:rsidR="00A90B76" w:rsidRDefault="00A90B76" w:rsidP="00E02CC7">
      <w:pPr>
        <w:spacing w:after="0"/>
        <w:rPr>
          <w:rFonts w:ascii="Verdana" w:eastAsia="Calibri" w:hAnsi="Verdana" w:cs="Arial"/>
          <w:lang w:val="es-ES" w:eastAsia="es-ES"/>
        </w:rPr>
      </w:pPr>
    </w:p>
    <w:p w14:paraId="77E8CFAF" w14:textId="77777777" w:rsidR="00A90B76" w:rsidRDefault="00A90B76" w:rsidP="00E02CC7">
      <w:pPr>
        <w:spacing w:after="0"/>
        <w:rPr>
          <w:rFonts w:ascii="Verdana" w:eastAsia="Calibri" w:hAnsi="Verdana" w:cs="Arial"/>
          <w:lang w:val="es-ES" w:eastAsia="es-ES"/>
        </w:rPr>
      </w:pPr>
    </w:p>
    <w:p w14:paraId="418F4AB3" w14:textId="77777777" w:rsidR="00A90B76" w:rsidRDefault="00A90B76" w:rsidP="00E02CC7">
      <w:pPr>
        <w:spacing w:after="0"/>
        <w:rPr>
          <w:rFonts w:ascii="Verdana" w:eastAsia="Calibri" w:hAnsi="Verdana" w:cs="Arial"/>
          <w:lang w:val="es-ES" w:eastAsia="es-ES"/>
        </w:rPr>
      </w:pPr>
    </w:p>
    <w:p w14:paraId="54B5D2A8" w14:textId="77777777" w:rsidR="00A90B76" w:rsidRDefault="00A90B76" w:rsidP="00E02CC7">
      <w:pPr>
        <w:spacing w:after="0"/>
        <w:rPr>
          <w:rFonts w:ascii="Verdana" w:eastAsia="Calibri" w:hAnsi="Verdana" w:cs="Arial"/>
          <w:lang w:val="es-ES" w:eastAsia="es-ES"/>
        </w:rPr>
      </w:pPr>
    </w:p>
    <w:p w14:paraId="0B211C01" w14:textId="77777777" w:rsidR="00A90B76" w:rsidRDefault="00A90B76" w:rsidP="00E02CC7">
      <w:pPr>
        <w:spacing w:after="0"/>
        <w:rPr>
          <w:rFonts w:ascii="Verdana" w:eastAsia="Calibri" w:hAnsi="Verdana" w:cs="Arial"/>
          <w:lang w:val="es-ES" w:eastAsia="es-ES"/>
        </w:rPr>
      </w:pPr>
    </w:p>
    <w:p w14:paraId="6A79721C" w14:textId="77777777" w:rsidR="00A90B76" w:rsidRDefault="00A90B76" w:rsidP="00E02CC7">
      <w:pPr>
        <w:spacing w:after="0"/>
        <w:rPr>
          <w:rFonts w:ascii="Verdana" w:eastAsia="Calibri" w:hAnsi="Verdana" w:cs="Arial"/>
          <w:lang w:val="es-ES" w:eastAsia="es-ES"/>
        </w:rPr>
      </w:pPr>
    </w:p>
    <w:p w14:paraId="4D174E62" w14:textId="77777777" w:rsidR="00A90B76" w:rsidRDefault="00A90B76" w:rsidP="00E02CC7">
      <w:pPr>
        <w:spacing w:after="0"/>
        <w:rPr>
          <w:rFonts w:ascii="Verdana" w:eastAsia="Calibri" w:hAnsi="Verdana" w:cs="Arial"/>
          <w:lang w:val="es-ES" w:eastAsia="es-ES"/>
        </w:rPr>
      </w:pPr>
    </w:p>
    <w:p w14:paraId="7B1CC3C7" w14:textId="77777777" w:rsidR="00A90B76" w:rsidRDefault="00A90B76" w:rsidP="00E02CC7">
      <w:pPr>
        <w:spacing w:after="0"/>
        <w:rPr>
          <w:rFonts w:ascii="Verdana" w:eastAsia="Calibri" w:hAnsi="Verdana" w:cs="Arial"/>
          <w:lang w:val="es-ES" w:eastAsia="es-ES"/>
        </w:rPr>
      </w:pPr>
    </w:p>
    <w:p w14:paraId="344442E4" w14:textId="77777777" w:rsidR="00A90B76" w:rsidRDefault="00A90B76" w:rsidP="00E02CC7">
      <w:pPr>
        <w:spacing w:after="0"/>
        <w:rPr>
          <w:rFonts w:ascii="Verdana" w:eastAsia="Calibri" w:hAnsi="Verdana" w:cs="Arial"/>
          <w:lang w:val="es-ES" w:eastAsia="es-ES"/>
        </w:rPr>
      </w:pPr>
    </w:p>
    <w:p w14:paraId="21E85A83" w14:textId="77777777" w:rsidR="00A90B76" w:rsidRDefault="00A90B76" w:rsidP="00E02CC7">
      <w:pPr>
        <w:spacing w:after="0"/>
        <w:rPr>
          <w:rFonts w:ascii="Verdana" w:eastAsia="Calibri" w:hAnsi="Verdana" w:cs="Arial"/>
          <w:lang w:val="es-ES" w:eastAsia="es-ES"/>
        </w:rPr>
      </w:pPr>
    </w:p>
    <w:p w14:paraId="13B438AF" w14:textId="77777777" w:rsidR="00A90B76" w:rsidRDefault="00A90B76" w:rsidP="00E02CC7">
      <w:pPr>
        <w:spacing w:after="0"/>
        <w:rPr>
          <w:rFonts w:ascii="Verdana" w:eastAsia="Calibri" w:hAnsi="Verdana" w:cs="Arial"/>
          <w:lang w:val="es-ES" w:eastAsia="es-ES"/>
        </w:rPr>
      </w:pPr>
    </w:p>
    <w:p w14:paraId="1071D048" w14:textId="77777777" w:rsidR="00A90B76" w:rsidRDefault="00A90B76" w:rsidP="00E02CC7">
      <w:pPr>
        <w:spacing w:after="0"/>
        <w:rPr>
          <w:rFonts w:ascii="Verdana" w:eastAsia="Calibri" w:hAnsi="Verdana" w:cs="Arial"/>
          <w:lang w:val="es-ES" w:eastAsia="es-ES"/>
        </w:rPr>
      </w:pPr>
    </w:p>
    <w:p w14:paraId="1010A70D" w14:textId="77777777" w:rsidR="00A90B76" w:rsidRDefault="00A90B76" w:rsidP="00E02CC7">
      <w:pPr>
        <w:spacing w:after="0"/>
        <w:rPr>
          <w:rFonts w:ascii="Verdana" w:eastAsia="Calibri" w:hAnsi="Verdana" w:cs="Arial"/>
          <w:lang w:val="es-ES" w:eastAsia="es-ES"/>
        </w:rPr>
      </w:pPr>
    </w:p>
    <w:p w14:paraId="1F125010" w14:textId="77777777" w:rsidR="00A90B76" w:rsidRDefault="00A90B76" w:rsidP="00E02CC7">
      <w:pPr>
        <w:spacing w:after="0"/>
        <w:rPr>
          <w:rFonts w:ascii="Verdana" w:eastAsia="Calibri" w:hAnsi="Verdana" w:cs="Arial"/>
          <w:lang w:val="es-ES" w:eastAsia="es-ES"/>
        </w:rPr>
      </w:pPr>
    </w:p>
    <w:p w14:paraId="483F079B" w14:textId="77777777" w:rsidR="00A90B76" w:rsidRDefault="00A90B76" w:rsidP="00E02CC7">
      <w:pPr>
        <w:spacing w:after="0"/>
        <w:rPr>
          <w:rFonts w:ascii="Verdana" w:eastAsia="Calibri" w:hAnsi="Verdana" w:cs="Arial"/>
          <w:lang w:val="es-ES" w:eastAsia="es-ES"/>
        </w:rPr>
      </w:pPr>
    </w:p>
    <w:p w14:paraId="4D12435F" w14:textId="77777777" w:rsidR="00A90B76" w:rsidRDefault="00A90B76" w:rsidP="00E02CC7">
      <w:pPr>
        <w:spacing w:after="0"/>
        <w:rPr>
          <w:rFonts w:ascii="Verdana" w:eastAsia="Calibri" w:hAnsi="Verdana" w:cs="Arial"/>
          <w:lang w:val="es-ES" w:eastAsia="es-ES"/>
        </w:rPr>
      </w:pPr>
    </w:p>
    <w:p w14:paraId="775E8C35" w14:textId="77777777" w:rsidR="00A90B76" w:rsidRDefault="00A90B76" w:rsidP="00E02CC7">
      <w:pPr>
        <w:spacing w:after="0"/>
        <w:rPr>
          <w:rFonts w:ascii="Verdana" w:eastAsia="Calibri" w:hAnsi="Verdana" w:cs="Arial"/>
          <w:lang w:val="es-ES" w:eastAsia="es-ES"/>
        </w:rPr>
      </w:pPr>
    </w:p>
    <w:p w14:paraId="04D07905" w14:textId="77777777" w:rsidR="00A90B76" w:rsidRDefault="00A90B76" w:rsidP="00E02CC7">
      <w:pPr>
        <w:spacing w:after="0"/>
        <w:rPr>
          <w:rFonts w:ascii="Verdana" w:eastAsia="Calibri" w:hAnsi="Verdana" w:cs="Arial"/>
          <w:lang w:val="es-ES" w:eastAsia="es-ES"/>
        </w:rPr>
      </w:pPr>
    </w:p>
    <w:p w14:paraId="326599DE" w14:textId="0135B795" w:rsidR="00E02CC7" w:rsidRPr="0044528D" w:rsidRDefault="00E02CC7" w:rsidP="00E02CC7">
      <w:pPr>
        <w:spacing w:after="0"/>
        <w:rPr>
          <w:rFonts w:ascii="Verdana" w:hAnsi="Verdana"/>
        </w:rPr>
      </w:pPr>
      <w:r w:rsidRPr="002167F7">
        <w:rPr>
          <w:rFonts w:ascii="Verdana" w:eastAsia="Calibri" w:hAnsi="Verdana" w:cs="Arial"/>
          <w:lang w:val="es-ES" w:eastAsia="es-ES"/>
        </w:rPr>
        <w:lastRenderedPageBreak/>
        <w:t xml:space="preserve">Bogotá D.C., </w:t>
      </w:r>
      <w:r w:rsidR="00A342FD">
        <w:rPr>
          <w:rFonts w:ascii="Verdana" w:eastAsia="Calibri" w:hAnsi="Verdana" w:cs="Arial"/>
          <w:lang w:val="es-ES" w:eastAsia="es-ES"/>
        </w:rPr>
        <w:t xml:space="preserve">28 </w:t>
      </w:r>
      <w:proofErr w:type="gramStart"/>
      <w:r w:rsidR="00A342FD">
        <w:rPr>
          <w:rFonts w:ascii="Verdana" w:eastAsia="Calibri" w:hAnsi="Verdana" w:cs="Arial"/>
          <w:lang w:val="es-ES" w:eastAsia="es-ES"/>
        </w:rPr>
        <w:t>Agosto</w:t>
      </w:r>
      <w:proofErr w:type="gramEnd"/>
      <w:r w:rsidR="00A342FD">
        <w:rPr>
          <w:rFonts w:ascii="Verdana" w:eastAsia="Calibri" w:hAnsi="Verdana" w:cs="Arial"/>
          <w:lang w:val="es-ES" w:eastAsia="es-ES"/>
        </w:rPr>
        <w:t xml:space="preserve"> 2025</w:t>
      </w:r>
      <w:r w:rsidRPr="002167F7">
        <w:rPr>
          <w:rFonts w:ascii="Verdana" w:eastAsia="Calibri" w:hAnsi="Verdana" w:cs="Arial"/>
          <w:lang w:val="es-ES" w:eastAsia="es-ES"/>
        </w:rPr>
        <w:tab/>
      </w:r>
      <w:r w:rsidRPr="0044528D">
        <w:rPr>
          <w:rFonts w:ascii="Verdana" w:hAnsi="Verdana"/>
        </w:rPr>
        <w:tab/>
      </w:r>
    </w:p>
    <w:p w14:paraId="7ECCB38F" w14:textId="04965497" w:rsidR="00E02CC7" w:rsidRPr="0044528D" w:rsidRDefault="00A342FD" w:rsidP="00E02CC7">
      <w:pPr>
        <w:spacing w:after="0"/>
        <w:rPr>
          <w:rFonts w:ascii="Verdana" w:hAnsi="Verdana"/>
        </w:rPr>
      </w:pPr>
      <w:r>
        <w:rPr>
          <w:rFonts w:ascii="Verdana" w:eastAsia="Calibri" w:hAnsi="Verdana" w:cs="Arial"/>
          <w:noProof/>
          <w:color w:val="000000" w:themeColor="text1"/>
          <w:lang w:val="es-ES" w:eastAsia="es-ES"/>
        </w:rPr>
        <w:drawing>
          <wp:anchor distT="0" distB="0" distL="114300" distR="114300" simplePos="0" relativeHeight="251658240" behindDoc="0" locked="0" layoutInCell="1" allowOverlap="1" wp14:anchorId="3BB2E7F6" wp14:editId="660AFACB">
            <wp:simplePos x="0" y="0"/>
            <wp:positionH relativeFrom="column">
              <wp:posOffset>3320415</wp:posOffset>
            </wp:positionH>
            <wp:positionV relativeFrom="page">
              <wp:posOffset>1552575</wp:posOffset>
            </wp:positionV>
            <wp:extent cx="2650490" cy="708660"/>
            <wp:effectExtent l="0" t="0" r="0" b="0"/>
            <wp:wrapSquare wrapText="bothSides"/>
            <wp:docPr id="820878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878535" name="Picture 82087853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50490" cy="708660"/>
                    </a:xfrm>
                    <a:prstGeom prst="rect">
                      <a:avLst/>
                    </a:prstGeom>
                  </pic:spPr>
                </pic:pic>
              </a:graphicData>
            </a:graphic>
            <wp14:sizeRelH relativeFrom="page">
              <wp14:pctWidth>0</wp14:pctWidth>
            </wp14:sizeRelH>
            <wp14:sizeRelV relativeFrom="page">
              <wp14:pctHeight>0</wp14:pctHeight>
            </wp14:sizeRelV>
          </wp:anchor>
        </w:drawing>
      </w:r>
    </w:p>
    <w:p w14:paraId="0E1173F5" w14:textId="1E963C5C" w:rsidR="00E02CC7" w:rsidRPr="00FE5A24" w:rsidRDefault="00E02CC7" w:rsidP="00E02CC7">
      <w:pPr>
        <w:spacing w:after="0" w:line="240"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Señor</w:t>
      </w:r>
      <w:r>
        <w:rPr>
          <w:rFonts w:ascii="Verdana" w:eastAsia="Calibri" w:hAnsi="Verdana" w:cs="Arial"/>
          <w:color w:val="000000" w:themeColor="text1"/>
          <w:lang w:val="es-ES" w:eastAsia="es-ES"/>
        </w:rPr>
        <w:t>a</w:t>
      </w:r>
    </w:p>
    <w:p w14:paraId="4E9A2CFC" w14:textId="77777777" w:rsidR="00E02CC7" w:rsidRPr="00542214" w:rsidRDefault="00E02CC7" w:rsidP="00E02CC7">
      <w:pPr>
        <w:spacing w:after="0" w:line="240" w:lineRule="auto"/>
        <w:rPr>
          <w:rFonts w:ascii="Verdana" w:eastAsia="Calibri" w:hAnsi="Verdana" w:cs="Arial"/>
          <w:b/>
          <w:color w:val="000000" w:themeColor="text1"/>
          <w:lang w:eastAsia="es-ES_tradnl"/>
        </w:rPr>
      </w:pPr>
      <w:r w:rsidRPr="00542214">
        <w:rPr>
          <w:rFonts w:ascii="Verdana" w:eastAsia="Calibri" w:hAnsi="Verdana" w:cs="Arial"/>
          <w:b/>
          <w:color w:val="000000" w:themeColor="text1"/>
          <w:lang w:eastAsia="es-ES_tradnl"/>
        </w:rPr>
        <w:t xml:space="preserve">Nicolle Daniela Rueda Fernández </w:t>
      </w:r>
    </w:p>
    <w:p w14:paraId="0BBC951E" w14:textId="77777777" w:rsidR="00E02CC7" w:rsidRDefault="00E02CC7" w:rsidP="00E02CC7">
      <w:pPr>
        <w:spacing w:after="0" w:line="240" w:lineRule="auto"/>
        <w:rPr>
          <w:rFonts w:ascii="Verdana" w:eastAsia="Calibri" w:hAnsi="Verdana" w:cs="Arial"/>
          <w:color w:val="000000" w:themeColor="text1"/>
          <w:lang w:eastAsia="es-ES_tradnl"/>
        </w:rPr>
      </w:pPr>
      <w:hyperlink r:id="rId11" w:history="1">
        <w:r w:rsidRPr="00542214">
          <w:rPr>
            <w:rStyle w:val="Hipervnculo"/>
            <w:rFonts w:ascii="Verdana" w:eastAsia="Calibri" w:hAnsi="Verdana" w:cs="Arial"/>
            <w:lang w:eastAsia="es-ES_tradnl"/>
          </w:rPr>
          <w:t>nrueda266@unab.edu.co</w:t>
        </w:r>
      </w:hyperlink>
    </w:p>
    <w:p w14:paraId="5CB16402" w14:textId="77777777" w:rsidR="00E02CC7" w:rsidRDefault="00E02CC7" w:rsidP="00E02CC7">
      <w:pPr>
        <w:spacing w:after="0" w:line="240" w:lineRule="auto"/>
        <w:rPr>
          <w:rFonts w:ascii="Verdana" w:eastAsia="Calibri" w:hAnsi="Verdana" w:cs="Arial"/>
          <w:color w:val="000000" w:themeColor="text1"/>
          <w:lang w:eastAsia="es-ES_tradnl"/>
        </w:rPr>
      </w:pPr>
      <w:r>
        <w:rPr>
          <w:rFonts w:ascii="Verdana" w:eastAsia="Calibri" w:hAnsi="Verdana" w:cs="Arial"/>
          <w:color w:val="000000" w:themeColor="text1"/>
          <w:lang w:eastAsia="es-ES_tradnl"/>
        </w:rPr>
        <w:t xml:space="preserve">Bogotá D.C. </w:t>
      </w:r>
    </w:p>
    <w:p w14:paraId="1C567ED7" w14:textId="77777777" w:rsidR="00E02CC7" w:rsidRPr="00542214" w:rsidRDefault="00E02CC7" w:rsidP="00E02CC7">
      <w:pPr>
        <w:spacing w:after="0" w:line="240" w:lineRule="auto"/>
        <w:rPr>
          <w:rFonts w:ascii="Verdana" w:eastAsia="Calibri" w:hAnsi="Verdana" w:cs="Arial"/>
          <w:color w:val="000000" w:themeColor="text1"/>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02CC7" w:rsidRPr="00FE5A24" w14:paraId="011FC3FE" w14:textId="77777777" w:rsidTr="00391750">
        <w:trPr>
          <w:trHeight w:val="559"/>
        </w:trPr>
        <w:tc>
          <w:tcPr>
            <w:tcW w:w="2689" w:type="dxa"/>
          </w:tcPr>
          <w:p w14:paraId="3D4CB6FA" w14:textId="77777777" w:rsidR="00E02CC7" w:rsidRPr="00FE5A24" w:rsidRDefault="00E02CC7" w:rsidP="00391750">
            <w:pPr>
              <w:jc w:val="both"/>
              <w:rPr>
                <w:rFonts w:ascii="Verdana" w:eastAsia="Calibri" w:hAnsi="Verdana" w:cs="Arial"/>
                <w:b/>
                <w:bCs/>
                <w:color w:val="000000" w:themeColor="text1"/>
                <w:lang w:val="es-ES_tradnl" w:eastAsia="es-ES_tradnl"/>
              </w:rPr>
            </w:pPr>
          </w:p>
        </w:tc>
        <w:tc>
          <w:tcPr>
            <w:tcW w:w="6100" w:type="dxa"/>
          </w:tcPr>
          <w:p w14:paraId="4314697D" w14:textId="77777777" w:rsidR="00E02CC7" w:rsidRPr="00FE5A24" w:rsidRDefault="00E02CC7" w:rsidP="00391750">
            <w:pPr>
              <w:contextualSpacing/>
              <w:jc w:val="both"/>
              <w:rPr>
                <w:rFonts w:ascii="Verdana" w:eastAsia="Calibri" w:hAnsi="Verdana" w:cs="Arial"/>
                <w:b/>
                <w:bCs/>
                <w:color w:val="000000" w:themeColor="text1"/>
                <w:lang w:val="es-ES" w:eastAsia="es-ES"/>
              </w:rPr>
            </w:pPr>
            <w:r w:rsidRPr="00FE5A24">
              <w:rPr>
                <w:rFonts w:ascii="Verdana" w:eastAsia="Calibri" w:hAnsi="Verdana" w:cs="Arial"/>
                <w:b/>
                <w:bCs/>
                <w:color w:val="000000" w:themeColor="text1"/>
                <w:lang w:val="es-ES" w:eastAsia="es-ES"/>
              </w:rPr>
              <w:t>Concepto C-</w:t>
            </w:r>
            <w:r>
              <w:rPr>
                <w:rFonts w:ascii="Verdana" w:eastAsia="Calibri" w:hAnsi="Verdana" w:cs="Arial"/>
                <w:b/>
                <w:bCs/>
                <w:color w:val="000000" w:themeColor="text1"/>
                <w:lang w:val="es-ES" w:eastAsia="es-ES"/>
              </w:rPr>
              <w:t>1006</w:t>
            </w:r>
            <w:r w:rsidRPr="00FE5A24">
              <w:rPr>
                <w:rFonts w:ascii="Verdana" w:eastAsia="Calibri" w:hAnsi="Verdana" w:cs="Arial"/>
                <w:b/>
                <w:bCs/>
                <w:color w:val="000000" w:themeColor="text1"/>
                <w:lang w:val="es-ES" w:eastAsia="es-ES"/>
              </w:rPr>
              <w:t xml:space="preserve"> de 2025</w:t>
            </w:r>
          </w:p>
        </w:tc>
      </w:tr>
      <w:tr w:rsidR="00E02CC7" w:rsidRPr="00FE5A24" w14:paraId="16904722" w14:textId="77777777" w:rsidTr="00391750">
        <w:trPr>
          <w:trHeight w:val="884"/>
        </w:trPr>
        <w:tc>
          <w:tcPr>
            <w:tcW w:w="2689" w:type="dxa"/>
          </w:tcPr>
          <w:p w14:paraId="3AAEAA1C" w14:textId="77777777" w:rsidR="00E02CC7" w:rsidRPr="00FE5A24" w:rsidRDefault="00E02CC7" w:rsidP="00391750">
            <w:pPr>
              <w:jc w:val="both"/>
              <w:rPr>
                <w:rFonts w:ascii="Verdana" w:eastAsia="Calibri" w:hAnsi="Verdana" w:cs="Arial"/>
                <w:color w:val="000000" w:themeColor="text1"/>
                <w:lang w:val="es-ES_tradnl" w:eastAsia="es-ES_tradnl"/>
              </w:rPr>
            </w:pPr>
            <w:r w:rsidRPr="00FE5A24">
              <w:rPr>
                <w:rFonts w:ascii="Verdana" w:eastAsia="Calibri" w:hAnsi="Verdana" w:cs="Arial"/>
                <w:b/>
                <w:color w:val="000000" w:themeColor="text1"/>
                <w:lang w:val="es-ES_tradnl" w:eastAsia="es-ES_tradnl"/>
              </w:rPr>
              <w:t>Temas:</w:t>
            </w:r>
            <w:r w:rsidRPr="00FE5A24">
              <w:rPr>
                <w:rFonts w:ascii="Verdana" w:eastAsia="Calibri" w:hAnsi="Verdana" w:cs="Arial"/>
                <w:color w:val="000000" w:themeColor="text1"/>
                <w:lang w:val="es-ES_tradnl" w:eastAsia="es-ES_tradnl"/>
              </w:rPr>
              <w:t xml:space="preserve">                   </w:t>
            </w:r>
          </w:p>
        </w:tc>
        <w:tc>
          <w:tcPr>
            <w:tcW w:w="6100" w:type="dxa"/>
          </w:tcPr>
          <w:p w14:paraId="59C0CEE9" w14:textId="77777777" w:rsidR="00E02CC7" w:rsidRPr="00F1052E" w:rsidRDefault="00E02CC7" w:rsidP="00391750">
            <w:pPr>
              <w:spacing w:line="276" w:lineRule="auto"/>
              <w:jc w:val="both"/>
              <w:rPr>
                <w:rFonts w:ascii="Verdana" w:eastAsia="Geomanist Light" w:hAnsi="Verdana" w:cs="Arial"/>
                <w:lang w:val="es-MX"/>
              </w:rPr>
            </w:pPr>
            <w:r w:rsidRPr="00C86A50">
              <w:rPr>
                <w:rFonts w:ascii="Verdana" w:eastAsia="Aptos" w:hAnsi="Verdana" w:cs="Arial"/>
                <w:kern w:val="2"/>
                <w:lang w:val="es-MX"/>
                <w14:ligatures w14:val="standardContextual"/>
              </w:rPr>
              <w:t xml:space="preserve">CONTRATO DE INTERVENTORÍA – Características – Finalidad / </w:t>
            </w:r>
            <w:r w:rsidRPr="00C86A50">
              <w:rPr>
                <w:rFonts w:ascii="Verdana" w:eastAsia="Geomanist Light" w:hAnsi="Verdana" w:cs="Arial"/>
                <w:lang w:val="es-MX"/>
              </w:rPr>
              <w:t>CONTRATO DE INTERVENTORÍA – Término – Plazo – Contrato objeto de seguimiento /</w:t>
            </w:r>
            <w:r w:rsidRPr="00C86A50">
              <w:t xml:space="preserve"> </w:t>
            </w:r>
            <w:r w:rsidRPr="00C86A50">
              <w:rPr>
                <w:rFonts w:ascii="Verdana" w:eastAsia="Geomanist Light" w:hAnsi="Verdana" w:cs="Arial"/>
                <w:lang w:val="es-MX"/>
              </w:rPr>
              <w:t>CONTRATO DE INTERVENTORÍA – Forma de pago –</w:t>
            </w:r>
            <w:r>
              <w:rPr>
                <w:rFonts w:ascii="Verdana" w:eastAsia="Geomanist Light" w:hAnsi="Verdana" w:cs="Arial"/>
                <w:lang w:val="es-MX"/>
              </w:rPr>
              <w:t xml:space="preserve"> Sujeción a a</w:t>
            </w:r>
            <w:r w:rsidRPr="00C86A50">
              <w:rPr>
                <w:rFonts w:ascii="Verdana" w:eastAsia="Geomanist Light" w:hAnsi="Verdana" w:cs="Arial"/>
                <w:lang w:val="es-MX"/>
              </w:rPr>
              <w:t>vance de la obra</w:t>
            </w:r>
            <w:r>
              <w:rPr>
                <w:rFonts w:ascii="Verdana" w:eastAsia="Geomanist Light" w:hAnsi="Verdana" w:cs="Arial"/>
                <w:lang w:val="es-MX"/>
              </w:rPr>
              <w:t xml:space="preserve"> </w:t>
            </w:r>
            <w:r w:rsidRPr="00C86A50">
              <w:rPr>
                <w:rFonts w:ascii="Verdana" w:eastAsia="Geomanist Light" w:hAnsi="Verdana" w:cs="Arial"/>
                <w:lang w:val="es-MX"/>
              </w:rPr>
              <w:t>–</w:t>
            </w:r>
            <w:r>
              <w:rPr>
                <w:rFonts w:ascii="Verdana" w:eastAsia="Geomanist Light" w:hAnsi="Verdana" w:cs="Arial"/>
                <w:lang w:val="es-MX"/>
              </w:rPr>
              <w:t xml:space="preserve"> Límites</w:t>
            </w:r>
          </w:p>
          <w:p w14:paraId="54CEA4AC" w14:textId="77777777" w:rsidR="00E02CC7" w:rsidRPr="002A1163" w:rsidRDefault="00E02CC7" w:rsidP="00391750">
            <w:pPr>
              <w:jc w:val="both"/>
              <w:rPr>
                <w:rFonts w:ascii="Verdana" w:eastAsia="Calibri" w:hAnsi="Verdana" w:cs="Arial"/>
                <w:color w:val="000000" w:themeColor="text1"/>
                <w:lang w:val="es-ES" w:eastAsia="es-ES"/>
              </w:rPr>
            </w:pPr>
          </w:p>
        </w:tc>
      </w:tr>
      <w:tr w:rsidR="00E02CC7" w:rsidRPr="00744CC5" w14:paraId="301ABC1E" w14:textId="77777777" w:rsidTr="00391750">
        <w:tc>
          <w:tcPr>
            <w:tcW w:w="2689" w:type="dxa"/>
          </w:tcPr>
          <w:p w14:paraId="3805A55D" w14:textId="77777777" w:rsidR="00E02CC7" w:rsidRPr="00FE5A24" w:rsidRDefault="00E02CC7" w:rsidP="00391750">
            <w:pPr>
              <w:jc w:val="both"/>
              <w:rPr>
                <w:rFonts w:ascii="Verdana" w:eastAsia="Calibri" w:hAnsi="Verdana" w:cs="Arial"/>
                <w:b/>
                <w:color w:val="000000" w:themeColor="text1"/>
                <w:lang w:val="es-ES_tradnl" w:eastAsia="es-ES_tradnl"/>
              </w:rPr>
            </w:pPr>
            <w:r w:rsidRPr="00FE5A24">
              <w:rPr>
                <w:rFonts w:ascii="Verdana" w:eastAsia="Calibri" w:hAnsi="Verdana" w:cs="Arial"/>
                <w:b/>
                <w:color w:val="000000" w:themeColor="text1"/>
                <w:lang w:val="es-ES_tradnl" w:eastAsia="es-ES_tradnl"/>
              </w:rPr>
              <w:t>Radicación:</w:t>
            </w:r>
            <w:r w:rsidRPr="00FE5A24">
              <w:rPr>
                <w:rFonts w:ascii="Verdana" w:eastAsia="Calibri" w:hAnsi="Verdana" w:cs="Arial"/>
                <w:color w:val="000000" w:themeColor="text1"/>
                <w:lang w:val="es-ES_tradnl" w:eastAsia="es-ES_tradnl"/>
              </w:rPr>
              <w:t xml:space="preserve">               </w:t>
            </w:r>
          </w:p>
        </w:tc>
        <w:tc>
          <w:tcPr>
            <w:tcW w:w="6100" w:type="dxa"/>
          </w:tcPr>
          <w:p w14:paraId="4BA5BB99" w14:textId="77777777" w:rsidR="00E02CC7" w:rsidRPr="00FE5A24" w:rsidRDefault="00E02CC7" w:rsidP="00391750">
            <w:pPr>
              <w:jc w:val="both"/>
              <w:rPr>
                <w:rFonts w:ascii="Verdana" w:eastAsia="Calibri" w:hAnsi="Verdana" w:cs="Arial"/>
                <w:color w:val="000000" w:themeColor="text1"/>
                <w:lang w:val="es-ES_tradnl" w:eastAsia="es-ES_tradnl"/>
              </w:rPr>
            </w:pPr>
            <w:r w:rsidRPr="00FE5A24">
              <w:rPr>
                <w:rFonts w:ascii="Verdana" w:eastAsia="Calibri" w:hAnsi="Verdana" w:cs="Arial"/>
                <w:color w:val="000000" w:themeColor="text1"/>
                <w:lang w:val="es-ES_tradnl" w:eastAsia="es-ES_tradnl"/>
              </w:rPr>
              <w:t xml:space="preserve">Respuesta a consulta con radicado </w:t>
            </w:r>
            <w:proofErr w:type="gramStart"/>
            <w:r w:rsidRPr="00FE5A24">
              <w:rPr>
                <w:rFonts w:ascii="Verdana" w:eastAsia="Calibri" w:hAnsi="Verdana" w:cs="Arial"/>
                <w:color w:val="000000" w:themeColor="text1"/>
                <w:lang w:val="es-ES_tradnl" w:eastAsia="es-ES_tradnl"/>
              </w:rPr>
              <w:t>No.</w:t>
            </w:r>
            <w:r>
              <w:rPr>
                <w:rFonts w:ascii="Verdana" w:eastAsia="Calibri" w:hAnsi="Verdana" w:cs="Arial"/>
                <w:color w:val="000000" w:themeColor="text1"/>
                <w:lang w:val="es-ES_tradnl" w:eastAsia="es-ES_tradnl"/>
              </w:rPr>
              <w:t xml:space="preserve"> </w:t>
            </w:r>
            <w:r w:rsidRPr="00FE5A24">
              <w:rPr>
                <w:rFonts w:ascii="Verdana" w:eastAsia="Calibri" w:hAnsi="Verdana" w:cs="Arial"/>
                <w:color w:val="000000" w:themeColor="text1"/>
                <w:lang w:val="es-ES_tradnl" w:eastAsia="es-ES_tradnl"/>
              </w:rPr>
              <w:t xml:space="preserve"> </w:t>
            </w:r>
            <w:r w:rsidRPr="00F1052E">
              <w:rPr>
                <w:rFonts w:ascii="Verdana" w:eastAsia="Calibri" w:hAnsi="Verdana" w:cs="Arial"/>
                <w:color w:val="000000" w:themeColor="text1"/>
                <w:lang w:val="es-ES_tradnl" w:eastAsia="es-ES_tradnl"/>
              </w:rPr>
              <w:t>1</w:t>
            </w:r>
            <w:proofErr w:type="gramEnd"/>
            <w:r w:rsidRPr="00F1052E">
              <w:rPr>
                <w:rFonts w:ascii="Verdana" w:eastAsia="Calibri" w:hAnsi="Verdana" w:cs="Arial"/>
                <w:color w:val="000000" w:themeColor="text1"/>
                <w:lang w:val="es-ES_tradnl" w:eastAsia="es-ES_tradnl"/>
              </w:rPr>
              <w:t>_2025_07_23_007588</w:t>
            </w:r>
          </w:p>
        </w:tc>
      </w:tr>
    </w:tbl>
    <w:p w14:paraId="0CAF9515" w14:textId="77777777" w:rsidR="00E02CC7" w:rsidRPr="00FE5A24" w:rsidRDefault="00E02CC7" w:rsidP="00E02CC7">
      <w:pPr>
        <w:spacing w:after="0" w:line="240" w:lineRule="auto"/>
        <w:jc w:val="both"/>
        <w:rPr>
          <w:rFonts w:ascii="Verdana" w:eastAsia="Calibri" w:hAnsi="Verdana" w:cs="Arial"/>
          <w:color w:val="000000" w:themeColor="text1"/>
          <w:lang w:val="es-ES_tradnl" w:eastAsia="es-ES_tradnl"/>
        </w:rPr>
      </w:pPr>
    </w:p>
    <w:p w14:paraId="46F6F35C" w14:textId="77777777" w:rsidR="00E02CC7" w:rsidRPr="00FE5A24" w:rsidRDefault="00E02CC7" w:rsidP="00E02CC7">
      <w:pPr>
        <w:spacing w:after="0" w:line="240" w:lineRule="auto"/>
        <w:jc w:val="both"/>
        <w:rPr>
          <w:rFonts w:ascii="Verdana" w:eastAsia="Calibri" w:hAnsi="Verdana" w:cs="Arial"/>
          <w:color w:val="000000" w:themeColor="text1"/>
          <w:lang w:val="es-ES_tradnl" w:eastAsia="es-ES_tradnl"/>
        </w:rPr>
      </w:pPr>
    </w:p>
    <w:p w14:paraId="0AE2FB20" w14:textId="77777777" w:rsidR="00E02CC7" w:rsidRPr="00FE5A24" w:rsidRDefault="00E02CC7" w:rsidP="00E02CC7">
      <w:pPr>
        <w:spacing w:after="0" w:line="276"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w:t>
      </w:r>
      <w:r w:rsidRPr="00FE5A24">
        <w:rPr>
          <w:rFonts w:ascii="Verdana" w:eastAsia="Calibri" w:hAnsi="Verdana" w:cs="Arial"/>
          <w:color w:val="000000" w:themeColor="text1"/>
          <w:lang w:val="es-ES" w:eastAsia="es-ES"/>
        </w:rPr>
        <w:t xml:space="preserve"> señor</w:t>
      </w:r>
      <w:r>
        <w:rPr>
          <w:rFonts w:ascii="Verdana" w:eastAsia="Calibri" w:hAnsi="Verdana" w:cs="Arial"/>
          <w:color w:val="000000" w:themeColor="text1"/>
          <w:lang w:val="es-ES" w:eastAsia="es-ES"/>
        </w:rPr>
        <w:t>a</w:t>
      </w:r>
      <w:r w:rsidRPr="00FE5A24">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Rueda</w:t>
      </w:r>
      <w:r w:rsidRPr="00FE5A24">
        <w:rPr>
          <w:rFonts w:ascii="Verdana" w:eastAsia="Calibri" w:hAnsi="Verdana" w:cs="Arial"/>
          <w:color w:val="000000" w:themeColor="text1"/>
          <w:lang w:val="es-ES" w:eastAsia="es-ES"/>
        </w:rPr>
        <w:t xml:space="preserve">: </w:t>
      </w:r>
    </w:p>
    <w:p w14:paraId="40C8A0EA" w14:textId="77777777" w:rsidR="00E02CC7" w:rsidRPr="00FE5A24" w:rsidRDefault="00E02CC7" w:rsidP="00E02CC7">
      <w:pPr>
        <w:tabs>
          <w:tab w:val="left" w:pos="3768"/>
        </w:tabs>
        <w:spacing w:after="0" w:line="276"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ab/>
      </w:r>
    </w:p>
    <w:p w14:paraId="6BD203E0" w14:textId="77777777" w:rsidR="00E02CC7" w:rsidRDefault="00E02CC7" w:rsidP="00E02CC7">
      <w:pPr>
        <w:spacing w:after="0" w:line="276"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En ejercicio de la competencia otorgada por los artículos 3, numeral 5º, y 11, numeral 8º, del Decreto Ley 4170 de 2011,</w:t>
      </w:r>
      <w:r w:rsidRPr="00FE5A24">
        <w:rPr>
          <w:rFonts w:ascii="Verdana" w:eastAsia="Arial MT" w:hAnsi="Verdana" w:cs="Arial MT"/>
          <w:color w:val="000000" w:themeColor="text1"/>
          <w:lang w:val="es-ES" w:eastAsia="es-ES"/>
        </w:rPr>
        <w:t xml:space="preserve"> </w:t>
      </w:r>
      <w:r w:rsidRPr="00FE5A24">
        <w:rPr>
          <w:rFonts w:ascii="Verdana" w:hAnsi="Verdana" w:cs="Arial"/>
          <w:color w:val="000000" w:themeColor="text1"/>
        </w:rPr>
        <w:t xml:space="preserve">así como lo establecido en el artículo 4 de la Resolución 1707 de 2018 expedida por esta Entidad, la Agencia Nacional de Contratación Pública – Colombia Compra Eficiente– responde su solicitud </w:t>
      </w:r>
      <w:r>
        <w:rPr>
          <w:rFonts w:ascii="Verdana" w:hAnsi="Verdana" w:cs="Arial"/>
          <w:color w:val="000000" w:themeColor="text1"/>
        </w:rPr>
        <w:t xml:space="preserve">de consulta de fecha 23 </w:t>
      </w:r>
      <w:r w:rsidRPr="00FE5A24">
        <w:rPr>
          <w:rFonts w:ascii="Verdana" w:hAnsi="Verdana" w:cs="Arial"/>
          <w:color w:val="000000" w:themeColor="text1"/>
        </w:rPr>
        <w:t xml:space="preserve">de </w:t>
      </w:r>
      <w:r>
        <w:rPr>
          <w:rFonts w:ascii="Verdana" w:hAnsi="Verdana" w:cs="Arial"/>
          <w:color w:val="000000" w:themeColor="text1"/>
        </w:rPr>
        <w:t>julio</w:t>
      </w:r>
      <w:r w:rsidRPr="00FE5A24">
        <w:rPr>
          <w:rFonts w:ascii="Verdana" w:hAnsi="Verdana" w:cs="Arial"/>
          <w:color w:val="000000" w:themeColor="text1"/>
        </w:rPr>
        <w:t xml:space="preserve"> de 2025, en la cual manifiesta lo siguiente:</w:t>
      </w:r>
      <w:r w:rsidRPr="00FE5A24">
        <w:rPr>
          <w:rFonts w:ascii="Verdana" w:eastAsia="Calibri" w:hAnsi="Verdana" w:cs="Arial"/>
          <w:color w:val="000000" w:themeColor="text1"/>
          <w:lang w:val="es-ES" w:eastAsia="es-ES"/>
        </w:rPr>
        <w:t xml:space="preserve"> </w:t>
      </w:r>
    </w:p>
    <w:p w14:paraId="72EBA487" w14:textId="77777777" w:rsidR="00E02CC7" w:rsidRPr="00FE5A24" w:rsidRDefault="00E02CC7" w:rsidP="00E02CC7">
      <w:pPr>
        <w:spacing w:after="0" w:line="276" w:lineRule="auto"/>
        <w:jc w:val="both"/>
        <w:rPr>
          <w:rFonts w:ascii="Verdana" w:eastAsia="Calibri" w:hAnsi="Verdana" w:cs="Arial"/>
          <w:color w:val="000000" w:themeColor="text1"/>
          <w:lang w:val="es-ES" w:eastAsia="es-ES"/>
        </w:rPr>
      </w:pPr>
    </w:p>
    <w:p w14:paraId="5513CE7F" w14:textId="77777777" w:rsidR="00E02CC7" w:rsidRPr="00192243" w:rsidRDefault="00E02CC7" w:rsidP="00E02CC7">
      <w:pPr>
        <w:snapToGrid w:val="0"/>
        <w:spacing w:after="0" w:line="240" w:lineRule="auto"/>
        <w:ind w:left="709" w:right="709"/>
        <w:contextualSpacing/>
        <w:jc w:val="both"/>
        <w:rPr>
          <w:rFonts w:ascii="Verdana" w:hAnsi="Verdana" w:cs="Arial"/>
          <w:i/>
          <w:iCs/>
          <w:color w:val="000000" w:themeColor="text1"/>
          <w:sz w:val="20"/>
          <w:szCs w:val="20"/>
        </w:rPr>
      </w:pPr>
      <w:r>
        <w:rPr>
          <w:rFonts w:ascii="Verdana" w:hAnsi="Verdana" w:cs="Arial"/>
          <w:color w:val="000000" w:themeColor="text1"/>
          <w:sz w:val="20"/>
          <w:szCs w:val="20"/>
        </w:rPr>
        <w:t>“</w:t>
      </w:r>
      <w:r w:rsidRPr="00192243">
        <w:rPr>
          <w:rFonts w:ascii="Verdana" w:hAnsi="Verdana" w:cs="Arial"/>
          <w:i/>
          <w:iCs/>
          <w:color w:val="000000" w:themeColor="text1"/>
          <w:sz w:val="20"/>
          <w:szCs w:val="20"/>
        </w:rPr>
        <w:t xml:space="preserve">1. </w:t>
      </w:r>
      <w:proofErr w:type="gramStart"/>
      <w:r w:rsidRPr="00192243">
        <w:rPr>
          <w:rFonts w:ascii="Verdana" w:hAnsi="Verdana" w:cs="Arial"/>
          <w:i/>
          <w:iCs/>
          <w:color w:val="000000" w:themeColor="text1"/>
          <w:sz w:val="20"/>
          <w:szCs w:val="20"/>
        </w:rPr>
        <w:t xml:space="preserve">Cómo debe pactarse la forma de pago de la </w:t>
      </w:r>
      <w:proofErr w:type="spellStart"/>
      <w:r w:rsidRPr="00192243">
        <w:rPr>
          <w:rFonts w:ascii="Verdana" w:hAnsi="Verdana" w:cs="Arial"/>
          <w:i/>
          <w:iCs/>
          <w:color w:val="000000" w:themeColor="text1"/>
          <w:sz w:val="20"/>
          <w:szCs w:val="20"/>
        </w:rPr>
        <w:t>interventoría</w:t>
      </w:r>
      <w:proofErr w:type="spellEnd"/>
      <w:r w:rsidRPr="00192243">
        <w:rPr>
          <w:rFonts w:ascii="Verdana" w:hAnsi="Verdana" w:cs="Arial"/>
          <w:i/>
          <w:iCs/>
          <w:color w:val="000000" w:themeColor="text1"/>
          <w:sz w:val="20"/>
          <w:szCs w:val="20"/>
        </w:rPr>
        <w:t>?</w:t>
      </w:r>
      <w:proofErr w:type="gramEnd"/>
      <w:r w:rsidRPr="00192243">
        <w:rPr>
          <w:rFonts w:ascii="Verdana" w:hAnsi="Verdana" w:cs="Arial"/>
          <w:i/>
          <w:iCs/>
          <w:color w:val="000000" w:themeColor="text1"/>
          <w:sz w:val="20"/>
          <w:szCs w:val="20"/>
        </w:rPr>
        <w:t xml:space="preserve"> </w:t>
      </w:r>
    </w:p>
    <w:p w14:paraId="73E5B6ED" w14:textId="77777777" w:rsidR="00E02CC7" w:rsidRPr="00192243" w:rsidRDefault="00E02CC7" w:rsidP="00E02CC7">
      <w:pPr>
        <w:pStyle w:val="NormalWeb"/>
        <w:snapToGrid w:val="0"/>
        <w:spacing w:before="0" w:beforeAutospacing="0" w:after="0" w:afterAutospacing="0"/>
        <w:ind w:left="709" w:right="709"/>
        <w:contextualSpacing/>
        <w:jc w:val="both"/>
        <w:rPr>
          <w:rFonts w:ascii="Verdana" w:eastAsiaTheme="minorHAnsi" w:hAnsi="Verdana" w:cs="Arial"/>
          <w:i/>
          <w:iCs/>
          <w:color w:val="000000" w:themeColor="text1"/>
          <w:sz w:val="20"/>
          <w:szCs w:val="20"/>
          <w:lang w:eastAsia="en-US"/>
        </w:rPr>
      </w:pPr>
      <w:r w:rsidRPr="00192243">
        <w:rPr>
          <w:rFonts w:ascii="Verdana" w:eastAsiaTheme="minorHAnsi" w:hAnsi="Verdana" w:cs="Arial"/>
          <w:i/>
          <w:iCs/>
          <w:color w:val="000000" w:themeColor="text1"/>
          <w:sz w:val="20"/>
          <w:szCs w:val="20"/>
          <w:lang w:eastAsia="en-US"/>
        </w:rPr>
        <w:t xml:space="preserve">2. Si pactó un plazo de 06 meses y la obra se termina antes del plazo de ejecución ¿debe adicionarse el valor del contrato de interventoría? </w:t>
      </w:r>
    </w:p>
    <w:p w14:paraId="4EA7854D" w14:textId="77777777" w:rsidR="00E02CC7" w:rsidRPr="00192243" w:rsidRDefault="00E02CC7" w:rsidP="00E02CC7">
      <w:pPr>
        <w:snapToGrid w:val="0"/>
        <w:spacing w:after="0" w:line="240" w:lineRule="auto"/>
        <w:ind w:left="709" w:right="709"/>
        <w:contextualSpacing/>
        <w:jc w:val="both"/>
        <w:rPr>
          <w:rFonts w:ascii="Verdana" w:hAnsi="Verdana" w:cs="Arial"/>
          <w:i/>
          <w:iCs/>
          <w:color w:val="000000" w:themeColor="text1"/>
          <w:sz w:val="20"/>
          <w:szCs w:val="20"/>
        </w:rPr>
      </w:pPr>
      <w:r w:rsidRPr="00192243">
        <w:rPr>
          <w:rFonts w:ascii="Verdana" w:hAnsi="Verdana" w:cs="Arial"/>
          <w:i/>
          <w:iCs/>
          <w:color w:val="000000" w:themeColor="text1"/>
          <w:sz w:val="20"/>
          <w:szCs w:val="20"/>
        </w:rPr>
        <w:t xml:space="preserve">3. Cómo debe pactarse el valor de la </w:t>
      </w:r>
      <w:proofErr w:type="spellStart"/>
      <w:r w:rsidRPr="00192243">
        <w:rPr>
          <w:rFonts w:ascii="Verdana" w:hAnsi="Verdana" w:cs="Arial"/>
          <w:i/>
          <w:iCs/>
          <w:color w:val="000000" w:themeColor="text1"/>
          <w:sz w:val="20"/>
          <w:szCs w:val="20"/>
        </w:rPr>
        <w:t>interventoría</w:t>
      </w:r>
      <w:proofErr w:type="spellEnd"/>
      <w:r w:rsidRPr="00192243">
        <w:rPr>
          <w:rFonts w:ascii="Verdana" w:hAnsi="Verdana" w:cs="Arial"/>
          <w:i/>
          <w:iCs/>
          <w:color w:val="000000" w:themeColor="text1"/>
          <w:sz w:val="20"/>
          <w:szCs w:val="20"/>
        </w:rPr>
        <w:t xml:space="preserve">? </w:t>
      </w:r>
      <w:proofErr w:type="gramStart"/>
      <w:r w:rsidRPr="00192243">
        <w:rPr>
          <w:rFonts w:ascii="Verdana" w:hAnsi="Verdana" w:cs="Arial"/>
          <w:i/>
          <w:iCs/>
          <w:color w:val="000000" w:themeColor="text1"/>
          <w:sz w:val="20"/>
          <w:szCs w:val="20"/>
        </w:rPr>
        <w:t>Por el tiempo transcurrido o por el avance de la obra pública?</w:t>
      </w:r>
      <w:proofErr w:type="gramEnd"/>
      <w:r w:rsidRPr="00192243">
        <w:rPr>
          <w:rFonts w:ascii="Verdana" w:hAnsi="Verdana" w:cs="Arial"/>
          <w:i/>
          <w:iCs/>
          <w:color w:val="000000" w:themeColor="text1"/>
          <w:sz w:val="20"/>
          <w:szCs w:val="20"/>
        </w:rPr>
        <w:t xml:space="preserve"> En el caso de que es por tiempo y la obra no avanza ¿debe realizarse los pagos a la </w:t>
      </w:r>
      <w:proofErr w:type="spellStart"/>
      <w:r w:rsidRPr="00192243">
        <w:rPr>
          <w:rFonts w:ascii="Verdana" w:hAnsi="Verdana" w:cs="Arial"/>
          <w:i/>
          <w:iCs/>
          <w:color w:val="000000" w:themeColor="text1"/>
          <w:sz w:val="20"/>
          <w:szCs w:val="20"/>
        </w:rPr>
        <w:t>interventoría</w:t>
      </w:r>
      <w:proofErr w:type="spellEnd"/>
      <w:r w:rsidRPr="00192243">
        <w:rPr>
          <w:rFonts w:ascii="Verdana" w:hAnsi="Verdana" w:cs="Arial"/>
          <w:i/>
          <w:iCs/>
          <w:color w:val="000000" w:themeColor="text1"/>
          <w:sz w:val="20"/>
          <w:szCs w:val="20"/>
        </w:rPr>
        <w:t xml:space="preserve">? </w:t>
      </w:r>
    </w:p>
    <w:p w14:paraId="0BB1C7B2" w14:textId="77777777" w:rsidR="00E02CC7" w:rsidRDefault="00E02CC7" w:rsidP="00E02CC7">
      <w:pPr>
        <w:snapToGrid w:val="0"/>
        <w:spacing w:after="0" w:line="240" w:lineRule="auto"/>
        <w:ind w:left="709" w:right="709"/>
        <w:contextualSpacing/>
        <w:jc w:val="both"/>
        <w:rPr>
          <w:rFonts w:ascii="Verdana" w:hAnsi="Verdana" w:cs="Arial"/>
          <w:color w:val="000000" w:themeColor="text1"/>
          <w:sz w:val="20"/>
          <w:szCs w:val="20"/>
        </w:rPr>
      </w:pPr>
      <w:r w:rsidRPr="00192243">
        <w:rPr>
          <w:rFonts w:ascii="Verdana" w:hAnsi="Verdana" w:cs="Arial"/>
          <w:i/>
          <w:iCs/>
          <w:color w:val="000000" w:themeColor="text1"/>
          <w:sz w:val="20"/>
          <w:szCs w:val="20"/>
        </w:rPr>
        <w:t xml:space="preserve">4. </w:t>
      </w:r>
      <w:proofErr w:type="gramStart"/>
      <w:r w:rsidRPr="00192243">
        <w:rPr>
          <w:rFonts w:ascii="Verdana" w:hAnsi="Verdana" w:cs="Arial"/>
          <w:i/>
          <w:iCs/>
          <w:color w:val="000000" w:themeColor="text1"/>
          <w:sz w:val="20"/>
          <w:szCs w:val="20"/>
        </w:rPr>
        <w:t>Si la obra se ejecuta antes del plazo de ejecución, se debe pagar el total de la interventoría?</w:t>
      </w:r>
      <w:proofErr w:type="gramEnd"/>
      <w:r w:rsidRPr="00192243">
        <w:rPr>
          <w:rFonts w:ascii="Verdana" w:hAnsi="Verdana" w:cs="Arial"/>
          <w:color w:val="000000" w:themeColor="text1"/>
          <w:sz w:val="20"/>
          <w:szCs w:val="20"/>
        </w:rPr>
        <w:t xml:space="preserve"> </w:t>
      </w:r>
      <w:r>
        <w:rPr>
          <w:rFonts w:ascii="Verdana" w:hAnsi="Verdana" w:cs="Arial"/>
          <w:color w:val="000000" w:themeColor="text1"/>
          <w:sz w:val="20"/>
          <w:szCs w:val="20"/>
        </w:rPr>
        <w:t>[…]”</w:t>
      </w:r>
    </w:p>
    <w:p w14:paraId="3E46C0A5" w14:textId="77777777" w:rsidR="00E02CC7" w:rsidRPr="00192243" w:rsidRDefault="00E02CC7" w:rsidP="00E02CC7">
      <w:pPr>
        <w:snapToGrid w:val="0"/>
        <w:spacing w:after="0" w:line="240" w:lineRule="auto"/>
        <w:ind w:left="709" w:right="709"/>
        <w:contextualSpacing/>
        <w:jc w:val="both"/>
        <w:rPr>
          <w:rFonts w:ascii="Verdana" w:hAnsi="Verdana" w:cs="Arial"/>
          <w:color w:val="000000" w:themeColor="text1"/>
          <w:sz w:val="20"/>
          <w:szCs w:val="20"/>
        </w:rPr>
      </w:pPr>
    </w:p>
    <w:p w14:paraId="3B5950A2" w14:textId="77777777" w:rsidR="00E02CC7" w:rsidRPr="00FE5A24" w:rsidRDefault="00E02CC7" w:rsidP="00E02CC7">
      <w:pPr>
        <w:spacing w:after="120" w:line="276" w:lineRule="auto"/>
        <w:ind w:firstLine="709"/>
        <w:jc w:val="both"/>
        <w:rPr>
          <w:rFonts w:ascii="Verdana" w:eastAsia="Calibri" w:hAnsi="Verdana" w:cs="Arial"/>
          <w:color w:val="000000" w:themeColor="text1"/>
          <w:szCs w:val="24"/>
          <w:lang w:val="es-ES_tradnl" w:eastAsia="es-ES_tradnl"/>
        </w:rPr>
      </w:pPr>
      <w:r w:rsidRPr="00FE5A24">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FE5A24">
        <w:rPr>
          <w:rFonts w:ascii="Verdana" w:eastAsia="Calibri" w:hAnsi="Verdana" w:cs="Arial"/>
          <w:color w:val="000000" w:themeColor="text1"/>
          <w:lang w:val="es-ES" w:eastAsia="es-ES"/>
        </w:rPr>
        <w:lastRenderedPageBreak/>
        <w:t xml:space="preserve">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E5A24">
        <w:rPr>
          <w:rFonts w:ascii="Verdana" w:eastAsia="Calibri" w:hAnsi="Verdana" w:cs="Arial"/>
          <w:color w:val="000000" w:themeColor="text1"/>
          <w:szCs w:val="24"/>
          <w:lang w:val="es-ES_tradnl" w:eastAsia="es-ES_tradnl"/>
        </w:rPr>
        <w:tab/>
      </w:r>
    </w:p>
    <w:p w14:paraId="6C7736C2" w14:textId="77777777" w:rsidR="00E02CC7" w:rsidRDefault="00E02CC7" w:rsidP="00E02CC7">
      <w:pPr>
        <w:spacing w:after="0" w:line="276" w:lineRule="auto"/>
        <w:ind w:firstLine="709"/>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347C9D80" w14:textId="77777777" w:rsidR="00E02CC7" w:rsidRPr="00FE5A24" w:rsidRDefault="00E02CC7" w:rsidP="00E02CC7">
      <w:pPr>
        <w:spacing w:after="0" w:line="276" w:lineRule="auto"/>
        <w:ind w:firstLine="709"/>
        <w:jc w:val="both"/>
        <w:rPr>
          <w:rFonts w:ascii="Verdana" w:eastAsia="Calibri" w:hAnsi="Verdana" w:cs="Arial"/>
          <w:color w:val="000000" w:themeColor="text1"/>
          <w:lang w:val="es-ES" w:eastAsia="es-ES"/>
        </w:rPr>
      </w:pPr>
    </w:p>
    <w:p w14:paraId="2BB2F611" w14:textId="77777777" w:rsidR="00E02CC7" w:rsidRPr="00FE5A24" w:rsidRDefault="00E02CC7" w:rsidP="00E02CC7">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Problema planteado:</w:t>
      </w:r>
    </w:p>
    <w:p w14:paraId="0B96B75B" w14:textId="77777777" w:rsidR="00E02CC7" w:rsidRPr="00FE5A24" w:rsidRDefault="00E02CC7" w:rsidP="00E02CC7">
      <w:pPr>
        <w:tabs>
          <w:tab w:val="left" w:pos="426"/>
        </w:tabs>
        <w:spacing w:after="0" w:line="276" w:lineRule="auto"/>
        <w:jc w:val="both"/>
        <w:rPr>
          <w:rFonts w:ascii="Verdana" w:eastAsia="Century Gothic" w:hAnsi="Verdana" w:cs="Century Gothic"/>
          <w:color w:val="000000" w:themeColor="text1"/>
          <w:lang w:val="es-ES"/>
        </w:rPr>
      </w:pPr>
    </w:p>
    <w:p w14:paraId="3004D4FB" w14:textId="77777777" w:rsidR="00E02CC7" w:rsidRPr="00FE5A24" w:rsidRDefault="00E02CC7" w:rsidP="00E02CC7">
      <w:pPr>
        <w:spacing w:after="0" w:line="276" w:lineRule="auto"/>
        <w:jc w:val="both"/>
        <w:rPr>
          <w:rFonts w:ascii="Verdana" w:eastAsia="Century Gothic" w:hAnsi="Verdana" w:cs="Century Gothic"/>
          <w:color w:val="000000" w:themeColor="text1"/>
        </w:rPr>
      </w:pPr>
      <w:r w:rsidRPr="00FE5A24">
        <w:rPr>
          <w:rFonts w:ascii="Verdana" w:eastAsia="Century Gothic" w:hAnsi="Verdana" w:cs="Century Gothic"/>
          <w:color w:val="000000" w:themeColor="text1"/>
        </w:rPr>
        <w:t>De acuerdo con el contenido de su solicitud, esta Agencia resolverá</w:t>
      </w:r>
      <w:r>
        <w:rPr>
          <w:rFonts w:ascii="Verdana" w:eastAsia="Century Gothic" w:hAnsi="Verdana" w:cs="Century Gothic"/>
          <w:color w:val="000000" w:themeColor="text1"/>
        </w:rPr>
        <w:t xml:space="preserve"> los</w:t>
      </w:r>
      <w:r w:rsidRPr="00FE5A24">
        <w:rPr>
          <w:rFonts w:ascii="Verdana" w:eastAsia="Century Gothic" w:hAnsi="Verdana" w:cs="Century Gothic"/>
          <w:color w:val="000000" w:themeColor="text1"/>
        </w:rPr>
        <w:t xml:space="preserve"> siguiente</w:t>
      </w:r>
      <w:r>
        <w:rPr>
          <w:rFonts w:ascii="Verdana" w:eastAsia="Century Gothic" w:hAnsi="Verdana" w:cs="Century Gothic"/>
          <w:color w:val="000000" w:themeColor="text1"/>
        </w:rPr>
        <w:t>s</w:t>
      </w:r>
      <w:r w:rsidRPr="00FE5A24">
        <w:rPr>
          <w:rFonts w:ascii="Verdana" w:eastAsia="Century Gothic" w:hAnsi="Verdana" w:cs="Century Gothic"/>
          <w:color w:val="000000" w:themeColor="text1"/>
        </w:rPr>
        <w:t xml:space="preserve"> problema</w:t>
      </w:r>
      <w:r>
        <w:rPr>
          <w:rFonts w:ascii="Verdana" w:eastAsia="Century Gothic" w:hAnsi="Verdana" w:cs="Century Gothic"/>
          <w:color w:val="000000" w:themeColor="text1"/>
        </w:rPr>
        <w:t>s</w:t>
      </w:r>
      <w:r w:rsidRPr="00FE5A24">
        <w:rPr>
          <w:rFonts w:ascii="Verdana" w:eastAsia="Century Gothic" w:hAnsi="Verdana" w:cs="Century Gothic"/>
          <w:color w:val="000000" w:themeColor="text1"/>
        </w:rPr>
        <w:t xml:space="preserve"> jurídico</w:t>
      </w:r>
      <w:r>
        <w:rPr>
          <w:rFonts w:ascii="Verdana" w:eastAsia="Century Gothic" w:hAnsi="Verdana" w:cs="Century Gothic"/>
          <w:color w:val="000000" w:themeColor="text1"/>
        </w:rPr>
        <w:t>s</w:t>
      </w:r>
      <w:r w:rsidRPr="00FE5A24">
        <w:rPr>
          <w:rFonts w:ascii="Verdana" w:eastAsia="Century Gothic" w:hAnsi="Verdana" w:cs="Century Gothic"/>
          <w:color w:val="000000" w:themeColor="text1"/>
        </w:rPr>
        <w:t xml:space="preserve">: </w:t>
      </w:r>
      <w:r>
        <w:rPr>
          <w:rFonts w:ascii="Verdana" w:eastAsia="Century Gothic" w:hAnsi="Verdana" w:cs="Century Gothic"/>
          <w:color w:val="000000" w:themeColor="text1"/>
        </w:rPr>
        <w:t xml:space="preserve">i) ¿cómo deben pactar las entidades estatales la forma de pago en los contratos de interventoría de obra pública? y </w:t>
      </w:r>
      <w:proofErr w:type="spellStart"/>
      <w:r>
        <w:rPr>
          <w:rFonts w:ascii="Verdana" w:eastAsia="Century Gothic" w:hAnsi="Verdana" w:cs="Century Gothic"/>
          <w:color w:val="000000" w:themeColor="text1"/>
        </w:rPr>
        <w:t>ii</w:t>
      </w:r>
      <w:proofErr w:type="spellEnd"/>
      <w:r>
        <w:rPr>
          <w:rFonts w:ascii="Verdana" w:eastAsia="Century Gothic" w:hAnsi="Verdana" w:cs="Century Gothic"/>
          <w:color w:val="000000" w:themeColor="text1"/>
        </w:rPr>
        <w:t xml:space="preserve">) </w:t>
      </w:r>
      <w:r w:rsidRPr="00FE5A24">
        <w:rPr>
          <w:rFonts w:ascii="Verdana" w:eastAsia="Century Gothic" w:hAnsi="Verdana" w:cs="Century Gothic"/>
          <w:color w:val="000000" w:themeColor="text1"/>
        </w:rPr>
        <w:t>¿</w:t>
      </w:r>
      <w:r>
        <w:rPr>
          <w:rFonts w:ascii="Verdana" w:eastAsia="Century Gothic" w:hAnsi="Verdana" w:cs="Century Gothic"/>
          <w:color w:val="000000" w:themeColor="text1"/>
        </w:rPr>
        <w:t>pueden las entidades establecer esquemas de pago de la interventoría que estén sujetos al avance de la obra pública que es objeto de vigilancia</w:t>
      </w:r>
      <w:r w:rsidRPr="00FE5A24">
        <w:rPr>
          <w:rFonts w:ascii="Verdana" w:eastAsia="Century Gothic" w:hAnsi="Verdana" w:cs="Century Gothic"/>
          <w:color w:val="000000" w:themeColor="text1"/>
        </w:rPr>
        <w:t>?</w:t>
      </w:r>
    </w:p>
    <w:p w14:paraId="446B807E" w14:textId="77777777" w:rsidR="00E02CC7" w:rsidRPr="00FE5A24" w:rsidRDefault="00E02CC7" w:rsidP="00E02CC7">
      <w:pPr>
        <w:spacing w:after="0" w:line="276" w:lineRule="auto"/>
        <w:jc w:val="both"/>
        <w:rPr>
          <w:rFonts w:ascii="Verdana" w:eastAsia="Calibri" w:hAnsi="Verdana" w:cs="Arial"/>
          <w:color w:val="000000" w:themeColor="text1"/>
          <w:lang w:val="es-ES"/>
        </w:rPr>
      </w:pPr>
    </w:p>
    <w:p w14:paraId="6B2D3D69" w14:textId="77777777" w:rsidR="00E02CC7" w:rsidRPr="00FE5A24" w:rsidRDefault="00E02CC7" w:rsidP="00E02CC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Respuesta:</w:t>
      </w:r>
    </w:p>
    <w:p w14:paraId="4199C49A" w14:textId="77777777" w:rsidR="00E02CC7" w:rsidRPr="00FE5A24" w:rsidRDefault="00E02CC7" w:rsidP="00E02CC7">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02CC7" w:rsidRPr="00FE5A24" w14:paraId="7A19977B" w14:textId="77777777" w:rsidTr="00391750">
        <w:tc>
          <w:tcPr>
            <w:tcW w:w="8828" w:type="dxa"/>
          </w:tcPr>
          <w:p w14:paraId="431831AB" w14:textId="77777777" w:rsidR="00E02CC7" w:rsidRDefault="00E02CC7" w:rsidP="00391750">
            <w:pPr>
              <w:spacing w:before="120" w:after="120" w:line="276" w:lineRule="auto"/>
              <w:jc w:val="both"/>
              <w:rPr>
                <w:rFonts w:ascii="Verdana" w:eastAsia="Calibri" w:hAnsi="Verdana" w:cs="Arial"/>
                <w:color w:val="000000"/>
                <w:kern w:val="2"/>
                <w14:ligatures w14:val="standardContextual"/>
              </w:rPr>
            </w:pPr>
            <w:r>
              <w:rPr>
                <w:rFonts w:ascii="Verdana" w:eastAsia="Calibri" w:hAnsi="Verdana" w:cs="Arial"/>
                <w:color w:val="000000"/>
                <w:kern w:val="2"/>
                <w14:ligatures w14:val="standardContextual"/>
              </w:rPr>
              <w:t>E</w:t>
            </w:r>
            <w:r w:rsidRPr="007873B5">
              <w:rPr>
                <w:rFonts w:ascii="Verdana" w:eastAsia="Calibri" w:hAnsi="Verdana" w:cs="Arial"/>
                <w:color w:val="000000"/>
                <w:kern w:val="2"/>
                <w14:ligatures w14:val="standardContextual"/>
              </w:rPr>
              <w:t xml:space="preserve">l contrato de interventoría supone la existencia de otro contrato –es decir, el contrato vigilado–, y por eso la jurisprudencia ha caracterizado la interventoría como un negocio jurídico íntimamente relacionado en su objeto con el contrato respecto del que ejerce las actividades del interventor. No obstante, a pesar de lo anterior, el contrato de interventoría es </w:t>
            </w:r>
            <w:r w:rsidRPr="002E4D8E">
              <w:rPr>
                <w:rFonts w:ascii="Verdana" w:eastAsia="Calibri" w:hAnsi="Verdana" w:cs="Arial"/>
                <w:i/>
                <w:iCs/>
                <w:color w:val="000000"/>
                <w:kern w:val="2"/>
                <w14:ligatures w14:val="standardContextual"/>
              </w:rPr>
              <w:t xml:space="preserve">independiente del otro contrato </w:t>
            </w:r>
            <w:r w:rsidRPr="007873B5">
              <w:rPr>
                <w:rFonts w:ascii="Verdana" w:eastAsia="Calibri" w:hAnsi="Verdana" w:cs="Arial"/>
                <w:color w:val="000000"/>
                <w:kern w:val="2"/>
                <w14:ligatures w14:val="standardContextual"/>
              </w:rPr>
              <w:t xml:space="preserve">en aspectos específicos como, por ejemplo, la prórroga y el incumplimiento. En efecto, la prórroga de la obra no implica de suyo la del interventor, aunque puede realizarse cumpliendo las solemnidades de ley; además, el incumplimiento del contrato vigilado, como lo sería un contrato de obra, no significa por sí solo el incumplimiento del de interventoría.  </w:t>
            </w:r>
          </w:p>
          <w:p w14:paraId="12365247" w14:textId="77777777" w:rsidR="00E02CC7" w:rsidRPr="007873B5" w:rsidRDefault="00E02CC7" w:rsidP="00391750">
            <w:pPr>
              <w:pStyle w:val="Sinespaciado"/>
              <w:spacing w:before="120" w:line="276" w:lineRule="auto"/>
              <w:ind w:firstLine="708"/>
              <w:jc w:val="both"/>
              <w:rPr>
                <w:rFonts w:ascii="Verdana" w:hAnsi="Verdana" w:cs="Arial"/>
                <w:sz w:val="22"/>
              </w:rPr>
            </w:pPr>
            <w:r w:rsidRPr="007873B5">
              <w:rPr>
                <w:rFonts w:ascii="Verdana" w:hAnsi="Verdana" w:cs="Arial"/>
                <w:sz w:val="22"/>
              </w:rPr>
              <w:t xml:space="preserve">Es así como el contrato de interventoría es un contrato bilateral, conmutativo y oneroso, por lo que crea obligaciones tanto para la entidad </w:t>
            </w:r>
            <w:r w:rsidRPr="007873B5">
              <w:rPr>
                <w:rFonts w:ascii="Verdana" w:hAnsi="Verdana" w:cs="Arial"/>
                <w:sz w:val="22"/>
              </w:rPr>
              <w:lastRenderedPageBreak/>
              <w:t xml:space="preserve">contratante como para el contratista interventor. Estas obligaciones deben guardar una correlativa equivalencia entre las prestaciones y derechos de ambas partes, por las que a su vez cada una de ellas recibe un beneficio. Por lo tanto, el interventor tiene derecho a recibir el pago de una contraprestación, remuneración o precio, en los términos pactados en el contrato, por la adecuada y oportuna ejecución del objeto contractual, derecho que se encuentra reconocido en el numeral 1 del artículo 5 de la Ley 80 de 1993. </w:t>
            </w:r>
          </w:p>
          <w:p w14:paraId="48FF2983" w14:textId="77777777" w:rsidR="00E02CC7" w:rsidRDefault="00E02CC7" w:rsidP="00391750">
            <w:pPr>
              <w:spacing w:before="120" w:after="120" w:line="276" w:lineRule="auto"/>
              <w:ind w:firstLine="742"/>
              <w:jc w:val="both"/>
              <w:rPr>
                <w:rFonts w:ascii="Verdana" w:eastAsia="Arial" w:hAnsi="Verdana" w:cstheme="majorHAnsi"/>
                <w:lang w:val="es-ES"/>
              </w:rPr>
            </w:pPr>
            <w:r w:rsidRPr="007873B5">
              <w:rPr>
                <w:rFonts w:ascii="Verdana" w:eastAsia="Arial" w:hAnsi="Verdana" w:cstheme="majorHAnsi"/>
                <w:lang w:val="es-ES"/>
              </w:rPr>
              <w:t>Desde la etapa de planeación, en la fase precontractual, las entidades estatales deben calcular el presupuesto oficial, mediante la realización del análisis del sector –que incluye el estudio del mercado– y definir la metodología con la cual estructurarán el contrato</w:t>
            </w:r>
            <w:r>
              <w:rPr>
                <w:rFonts w:ascii="Verdana" w:eastAsia="Arial" w:hAnsi="Verdana" w:cstheme="majorHAnsi"/>
                <w:lang w:val="es-ES"/>
              </w:rPr>
              <w:t xml:space="preserve">. De esta manera, tanto </w:t>
            </w:r>
            <w:r w:rsidRPr="007873B5">
              <w:rPr>
                <w:rFonts w:ascii="Verdana" w:eastAsia="Arial" w:hAnsi="Verdana" w:cstheme="majorHAnsi"/>
                <w:lang w:val="es-ES"/>
              </w:rPr>
              <w:t>la definición del esquema para estipular el precio</w:t>
            </w:r>
            <w:r>
              <w:rPr>
                <w:rFonts w:ascii="Verdana" w:eastAsia="Arial" w:hAnsi="Verdana" w:cstheme="majorHAnsi"/>
                <w:lang w:val="es-ES"/>
              </w:rPr>
              <w:t xml:space="preserve"> como la forma de pago hacen parte de los estudios previos. En todo caso, </w:t>
            </w:r>
            <w:r>
              <w:rPr>
                <w:rFonts w:ascii="Verdana" w:hAnsi="Verdana" w:cs="Arial"/>
              </w:rPr>
              <w:t>e</w:t>
            </w:r>
            <w:r w:rsidRPr="007873B5">
              <w:rPr>
                <w:rFonts w:ascii="Verdana" w:hAnsi="Verdana" w:cs="Arial"/>
              </w:rPr>
              <w:t>l interventor</w:t>
            </w:r>
            <w:r>
              <w:rPr>
                <w:rFonts w:ascii="Verdana" w:hAnsi="Verdana" w:cs="Arial"/>
              </w:rPr>
              <w:t xml:space="preserve"> y la entidad cuentan </w:t>
            </w:r>
            <w:r w:rsidRPr="007873B5">
              <w:rPr>
                <w:rFonts w:ascii="Verdana" w:hAnsi="Verdana" w:cs="Arial"/>
              </w:rPr>
              <w:t xml:space="preserve">con </w:t>
            </w:r>
            <w:r w:rsidRPr="002E4D8E">
              <w:rPr>
                <w:rFonts w:ascii="Verdana" w:hAnsi="Verdana" w:cs="Arial"/>
                <w:i/>
                <w:iCs/>
              </w:rPr>
              <w:t>libertad negocial</w:t>
            </w:r>
            <w:r w:rsidRPr="007873B5">
              <w:rPr>
                <w:rFonts w:ascii="Verdana" w:hAnsi="Verdana" w:cs="Arial"/>
              </w:rPr>
              <w:t xml:space="preserve"> para determinar </w:t>
            </w:r>
            <w:r>
              <w:rPr>
                <w:rFonts w:ascii="Verdana" w:hAnsi="Verdana" w:cs="Arial"/>
              </w:rPr>
              <w:t xml:space="preserve">los </w:t>
            </w:r>
            <w:r w:rsidRPr="007873B5">
              <w:rPr>
                <w:rFonts w:ascii="Verdana" w:hAnsi="Verdana" w:cs="Arial"/>
              </w:rPr>
              <w:t>aspectos del contrato, entendiéndose incluida en esta libertad la capacidad de definir la forma de pago</w:t>
            </w:r>
            <w:r>
              <w:rPr>
                <w:rFonts w:ascii="Verdana" w:hAnsi="Verdana" w:cs="Arial"/>
              </w:rPr>
              <w:t xml:space="preserve"> </w:t>
            </w:r>
            <w:r w:rsidRPr="007873B5">
              <w:rPr>
                <w:rFonts w:ascii="Verdana" w:eastAsia="Arial" w:hAnsi="Verdana" w:cstheme="majorHAnsi"/>
                <w:lang w:val="es-ES"/>
              </w:rPr>
              <w:t>más apropiad</w:t>
            </w:r>
            <w:r>
              <w:rPr>
                <w:rFonts w:ascii="Verdana" w:eastAsia="Arial" w:hAnsi="Verdana" w:cstheme="majorHAnsi"/>
                <w:lang w:val="es-ES"/>
              </w:rPr>
              <w:t>a</w:t>
            </w:r>
            <w:r w:rsidRPr="007873B5">
              <w:rPr>
                <w:rFonts w:ascii="Verdana" w:eastAsia="Arial" w:hAnsi="Verdana" w:cstheme="majorHAnsi"/>
                <w:lang w:val="es-ES"/>
              </w:rPr>
              <w:t xml:space="preserve"> para satisfacer los fines de la contratación</w:t>
            </w:r>
            <w:r>
              <w:rPr>
                <w:rFonts w:ascii="Verdana" w:eastAsia="Arial" w:hAnsi="Verdana" w:cstheme="majorHAnsi"/>
                <w:lang w:val="es-ES"/>
              </w:rPr>
              <w:t xml:space="preserve"> y cumplir con los objetivos de vigilancia del contrato de interventoría</w:t>
            </w:r>
            <w:r w:rsidRPr="007873B5">
              <w:rPr>
                <w:rFonts w:ascii="Verdana" w:eastAsia="Arial" w:hAnsi="Verdana" w:cstheme="majorHAnsi"/>
                <w:lang w:val="es-ES"/>
              </w:rPr>
              <w:t xml:space="preserve">. Para las entidades que se rigen por el Estatuto General de Contratación de la Administración Pública, </w:t>
            </w:r>
            <w:r>
              <w:rPr>
                <w:rFonts w:ascii="Verdana" w:eastAsia="Arial" w:hAnsi="Verdana" w:cstheme="majorHAnsi"/>
                <w:lang w:val="es-ES"/>
              </w:rPr>
              <w:t>esta</w:t>
            </w:r>
            <w:r w:rsidRPr="007873B5">
              <w:rPr>
                <w:rFonts w:ascii="Verdana" w:eastAsia="Arial" w:hAnsi="Verdana" w:cstheme="majorHAnsi"/>
                <w:lang w:val="es-ES"/>
              </w:rPr>
              <w:t xml:space="preserve"> autonomía está reconocida en los artículos 13, 32 y 40 de la Ley 80 de 1993.</w:t>
            </w:r>
            <w:r>
              <w:rPr>
                <w:rFonts w:ascii="Verdana" w:eastAsia="Arial" w:hAnsi="Verdana" w:cstheme="majorHAnsi"/>
                <w:lang w:val="es-ES"/>
              </w:rPr>
              <w:t xml:space="preserve"> En virtud de su autonomía negocial, </w:t>
            </w:r>
            <w:r w:rsidRPr="00063B02">
              <w:rPr>
                <w:rFonts w:ascii="Verdana" w:eastAsia="Arial" w:hAnsi="Verdana" w:cstheme="majorHAnsi"/>
                <w:lang w:val="es-ES"/>
              </w:rPr>
              <w:t>pueden incluir las condiciones de pago que consideren necesarias y convenientes, siempre que no contraríen el ordenamiento jurídico.</w:t>
            </w:r>
            <w:r>
              <w:rPr>
                <w:rFonts w:ascii="Verdana" w:eastAsia="Arial" w:hAnsi="Verdana" w:cstheme="majorHAnsi"/>
                <w:lang w:val="es-ES"/>
              </w:rPr>
              <w:t xml:space="preserve"> </w:t>
            </w:r>
          </w:p>
          <w:p w14:paraId="7FE85782" w14:textId="77777777" w:rsidR="00E02CC7" w:rsidRDefault="00E02CC7" w:rsidP="00391750">
            <w:pPr>
              <w:spacing w:before="120" w:after="120" w:line="276" w:lineRule="auto"/>
              <w:ind w:firstLine="708"/>
              <w:jc w:val="both"/>
              <w:rPr>
                <w:rFonts w:ascii="Verdana" w:eastAsia="Arial" w:hAnsi="Verdana" w:cstheme="majorHAnsi"/>
                <w:lang w:val="es-ES"/>
              </w:rPr>
            </w:pPr>
            <w:r>
              <w:rPr>
                <w:rFonts w:ascii="Verdana" w:eastAsia="Arial" w:hAnsi="Verdana" w:cstheme="majorHAnsi"/>
                <w:lang w:val="es-ES"/>
              </w:rPr>
              <w:t xml:space="preserve">Frente a la materia objeto de consulta, no existe disposición alguna en el ordenamiento que impida a las entidades pactar mecanismos que supediten el pago de la interventoría a avances </w:t>
            </w:r>
            <w:r w:rsidRPr="00063B02">
              <w:rPr>
                <w:rFonts w:ascii="Verdana" w:eastAsia="Arial" w:hAnsi="Verdana" w:cstheme="majorHAnsi"/>
                <w:lang w:val="es-ES"/>
              </w:rPr>
              <w:t>de ejecución del contrato de obra</w:t>
            </w:r>
            <w:r>
              <w:rPr>
                <w:rFonts w:ascii="Verdana" w:eastAsia="Arial" w:hAnsi="Verdana" w:cstheme="majorHAnsi"/>
                <w:lang w:val="es-ES"/>
              </w:rPr>
              <w:t xml:space="preserve"> vigilado</w:t>
            </w:r>
            <w:r w:rsidRPr="007627D5">
              <w:rPr>
                <w:rFonts w:ascii="Verdana" w:eastAsia="Arial" w:hAnsi="Verdana" w:cstheme="majorHAnsi"/>
                <w:lang w:val="es-ES"/>
              </w:rPr>
              <w:t xml:space="preserve">. Por el contrario, las entidades pueden -bajo el postulado de la autonomía de la voluntad- pactar una condición positiva casual para la exigibilidad de la obligación de pago de la contraprestación a cargo de la entidad contratante, tal como lo posibilitan los artículos 1530, 1531, 1532 y 1534 del Código Civil. </w:t>
            </w:r>
          </w:p>
          <w:p w14:paraId="0F721D07" w14:textId="77777777" w:rsidR="00E02CC7" w:rsidRDefault="00E02CC7" w:rsidP="00391750">
            <w:pPr>
              <w:spacing w:before="120" w:after="120" w:line="276" w:lineRule="auto"/>
              <w:ind w:firstLine="879"/>
              <w:jc w:val="both"/>
              <w:rPr>
                <w:rFonts w:ascii="Verdana" w:eastAsia="Arial" w:hAnsi="Verdana" w:cstheme="majorHAnsi"/>
                <w:lang w:val="es-ES"/>
              </w:rPr>
            </w:pPr>
            <w:r>
              <w:rPr>
                <w:rFonts w:ascii="Verdana" w:eastAsia="Arial" w:hAnsi="Verdana" w:cstheme="majorHAnsi"/>
                <w:lang w:val="es-ES"/>
              </w:rPr>
              <w:t xml:space="preserve">Sin embargo, en ejercicio de dicha autonomía, las entidades </w:t>
            </w:r>
            <w:r w:rsidRPr="005E2B07">
              <w:rPr>
                <w:rFonts w:ascii="Verdana" w:eastAsia="Arial" w:hAnsi="Verdana" w:cstheme="majorHAnsi"/>
                <w:i/>
                <w:iCs/>
                <w:lang w:val="es-ES"/>
              </w:rPr>
              <w:t>no</w:t>
            </w:r>
            <w:r>
              <w:rPr>
                <w:rFonts w:ascii="Verdana" w:eastAsia="Arial" w:hAnsi="Verdana" w:cstheme="majorHAnsi"/>
                <w:lang w:val="es-ES"/>
              </w:rPr>
              <w:t xml:space="preserve"> podrán sujetar </w:t>
            </w:r>
            <w:r w:rsidRPr="00CB2065">
              <w:rPr>
                <w:rFonts w:ascii="Verdana" w:eastAsia="Arial" w:hAnsi="Verdana" w:cstheme="majorHAnsi"/>
                <w:i/>
                <w:iCs/>
                <w:lang w:val="es-ES"/>
              </w:rPr>
              <w:t>la totalidad</w:t>
            </w:r>
            <w:r>
              <w:rPr>
                <w:rFonts w:ascii="Verdana" w:eastAsia="Arial" w:hAnsi="Verdana" w:cstheme="majorHAnsi"/>
                <w:lang w:val="es-ES"/>
              </w:rPr>
              <w:t xml:space="preserve"> del pago de interventoría a la ejecución o cumplimiento del contrato de obra vigilado, so pena de que dicha cláusula sea ineficaz de pleno al derecho por disposición expresa del </w:t>
            </w:r>
            <w:r w:rsidRPr="003428BC">
              <w:rPr>
                <w:rFonts w:ascii="Verdana" w:eastAsia="Arial" w:hAnsi="Verdana" w:cstheme="majorHAnsi"/>
              </w:rPr>
              <w:t xml:space="preserve">literal d) numeral 5 del artículo 24 de </w:t>
            </w:r>
            <w:r w:rsidRPr="003428BC">
              <w:rPr>
                <w:rFonts w:ascii="Verdana" w:eastAsia="Arial" w:hAnsi="Verdana" w:cstheme="majorHAnsi"/>
              </w:rPr>
              <w:lastRenderedPageBreak/>
              <w:t>la Ley 80 de 1993</w:t>
            </w:r>
            <w:r>
              <w:rPr>
                <w:rFonts w:ascii="Verdana" w:eastAsia="Arial" w:hAnsi="Verdana" w:cstheme="majorHAnsi"/>
              </w:rPr>
              <w:t xml:space="preserve">, pues el supeditar el pago a la acción de un tercero implica que se ha pactado una cláusula de imposible cumplimiento para el interventor. </w:t>
            </w:r>
          </w:p>
          <w:p w14:paraId="27D04054" w14:textId="77777777" w:rsidR="00E02CC7" w:rsidRDefault="00E02CC7" w:rsidP="00391750">
            <w:pPr>
              <w:spacing w:before="120" w:after="120" w:line="276" w:lineRule="auto"/>
              <w:ind w:firstLine="879"/>
              <w:jc w:val="both"/>
              <w:rPr>
                <w:rFonts w:ascii="Verdana" w:eastAsia="Calibri" w:hAnsi="Verdana" w:cs="Arial"/>
                <w:color w:val="000000" w:themeColor="text1"/>
                <w:lang w:val="es-ES"/>
              </w:rPr>
            </w:pPr>
            <w:r>
              <w:rPr>
                <w:rFonts w:ascii="Verdana" w:eastAsia="Calibri" w:hAnsi="Verdana" w:cs="Arial"/>
                <w:color w:val="000000" w:themeColor="text1"/>
                <w:lang w:val="es-ES"/>
              </w:rPr>
              <w:t>En cualquier caso, las entidades sujetas al EGCAP deberán verificar si el proceso para contratar la interventoría de una obra pública se encuentra sujeto a los documentos tipo adoptados por la Agencia Nacional de Contratación Pública – Colombia Compra Eficiente. En estos casos, las entidades deberán aplicar las cláusulas de precio y forma de pago que establezca la Minuta de dichos documentos sin alterar su contenido, salvo en aquellos aspectos que los mismos lo permitan.</w:t>
            </w:r>
          </w:p>
          <w:p w14:paraId="7B40A57D" w14:textId="77777777" w:rsidR="00E02CC7" w:rsidRPr="00494206" w:rsidRDefault="00E02CC7" w:rsidP="00391750">
            <w:pPr>
              <w:widowControl w:val="0"/>
              <w:autoSpaceDE w:val="0"/>
              <w:autoSpaceDN w:val="0"/>
              <w:spacing w:before="120" w:after="120" w:line="276" w:lineRule="auto"/>
              <w:ind w:firstLine="709"/>
              <w:jc w:val="both"/>
              <w:rPr>
                <w:rFonts w:ascii="Verdana" w:hAnsi="Verdana" w:cs="Arial"/>
              </w:rPr>
            </w:pPr>
            <w:r>
              <w:rPr>
                <w:rFonts w:ascii="Verdana" w:eastAsia="Calibri" w:hAnsi="Verdana" w:cs="Arial"/>
                <w:color w:val="000000" w:themeColor="text1"/>
                <w:lang w:val="es-ES"/>
              </w:rPr>
              <w:t xml:space="preserve">Finalmente, se advierte que </w:t>
            </w:r>
            <w:r w:rsidRPr="002C6323">
              <w:rPr>
                <w:rFonts w:ascii="Verdana" w:hAnsi="Verdana" w:cs="Arial"/>
              </w:rPr>
              <w:t xml:space="preserve">el análisis requerido para </w:t>
            </w:r>
            <w:r w:rsidRPr="002C6323">
              <w:rPr>
                <w:rFonts w:ascii="Verdana" w:eastAsia="Calibri" w:hAnsi="Verdana" w:cs="Arial"/>
                <w:color w:val="000000"/>
                <w:lang w:val="es-ES" w:eastAsia="es-ES"/>
              </w:rPr>
              <w:t xml:space="preserve">estipular el </w:t>
            </w:r>
            <w:r>
              <w:rPr>
                <w:rFonts w:ascii="Verdana" w:eastAsia="Calibri" w:hAnsi="Verdana" w:cs="Arial"/>
                <w:color w:val="000000"/>
                <w:lang w:val="es-ES" w:eastAsia="es-ES"/>
              </w:rPr>
              <w:t xml:space="preserve">esquema de pago de la interventoría </w:t>
            </w:r>
            <w:r w:rsidRPr="002C6323">
              <w:rPr>
                <w:rFonts w:ascii="Verdana" w:hAnsi="Verdana" w:cs="Arial"/>
              </w:rPr>
              <w:t>debe ser realizado por quienes tengan interés en ello</w:t>
            </w:r>
            <w:r>
              <w:rPr>
                <w:rFonts w:ascii="Verdana" w:hAnsi="Verdana" w:cs="Arial"/>
              </w:rPr>
              <w:t xml:space="preserve"> según las particularidades del caso</w:t>
            </w:r>
            <w:r w:rsidRPr="002C6323">
              <w:rPr>
                <w:rFonts w:ascii="Verdana" w:hAnsi="Verdana" w:cs="Arial"/>
              </w:rPr>
              <w:t xml:space="preserve">, de acuerdo con lo explicado </w:t>
            </w:r>
            <w:r>
              <w:rPr>
                <w:rFonts w:ascii="Verdana" w:hAnsi="Verdana" w:cs="Arial"/>
              </w:rPr>
              <w:t>anteriormente</w:t>
            </w:r>
            <w:r w:rsidRPr="002C6323">
              <w:rPr>
                <w:rFonts w:ascii="Verdana" w:hAnsi="Verdana" w:cs="Arial"/>
              </w:rPr>
              <w:t>. De esta manera, la entidad contratante definirá en cada caso concreto lo relacionado con</w:t>
            </w:r>
            <w:r>
              <w:rPr>
                <w:rFonts w:ascii="Verdana" w:hAnsi="Verdana" w:cs="Arial"/>
              </w:rPr>
              <w:t xml:space="preserve"> la forma de pago, considerando en todo caso la procedencia e inalterabilidad de las condiciones que para ello establezcan los Documentos Tipo adoptados por esta Agencia.</w:t>
            </w:r>
          </w:p>
        </w:tc>
      </w:tr>
    </w:tbl>
    <w:p w14:paraId="42D53941" w14:textId="77777777" w:rsidR="00E02CC7" w:rsidRPr="00FE5A24" w:rsidRDefault="00E02CC7" w:rsidP="00E02CC7">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090237ED" w14:textId="77777777" w:rsidR="00E02CC7" w:rsidRPr="00D55655" w:rsidRDefault="00E02CC7" w:rsidP="00E02CC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Razones de la respuesta:</w:t>
      </w:r>
    </w:p>
    <w:p w14:paraId="35283340" w14:textId="77777777" w:rsidR="00E02CC7" w:rsidRPr="00FE5A24" w:rsidRDefault="00E02CC7" w:rsidP="00E02CC7">
      <w:pPr>
        <w:spacing w:before="120" w:after="120" w:line="276" w:lineRule="auto"/>
        <w:jc w:val="both"/>
        <w:rPr>
          <w:rFonts w:ascii="Verdana" w:eastAsia="Calibri" w:hAnsi="Verdana" w:cs="Arial"/>
          <w:color w:val="000000" w:themeColor="text1"/>
          <w:lang w:val="es-ES"/>
        </w:rPr>
      </w:pPr>
      <w:r w:rsidRPr="00FE5A24">
        <w:rPr>
          <w:rFonts w:ascii="Verdana" w:eastAsia="Calibri" w:hAnsi="Verdana" w:cs="Arial"/>
          <w:color w:val="000000" w:themeColor="text1"/>
          <w:lang w:val="es-ES"/>
        </w:rPr>
        <w:t xml:space="preserve">Lo anterior se sustenta en las siguientes consideraciones: </w:t>
      </w:r>
    </w:p>
    <w:p w14:paraId="6242E1E9" w14:textId="77777777" w:rsidR="00E02CC7" w:rsidRPr="00A641BB" w:rsidRDefault="00E02CC7" w:rsidP="00E02CC7">
      <w:pPr>
        <w:snapToGrid w:val="0"/>
        <w:spacing w:before="120" w:after="120" w:line="276" w:lineRule="auto"/>
        <w:jc w:val="both"/>
        <w:rPr>
          <w:rFonts w:ascii="Verdana" w:eastAsia="Calibri" w:hAnsi="Verdana" w:cs="Arial"/>
          <w:shd w:val="clear" w:color="auto" w:fill="FFFFFF"/>
        </w:rPr>
      </w:pPr>
      <w:r>
        <w:rPr>
          <w:rFonts w:ascii="Verdana" w:eastAsia="Calibri" w:hAnsi="Verdana" w:cs="Arial"/>
          <w:shd w:val="clear" w:color="auto" w:fill="FFFFFF"/>
        </w:rPr>
        <w:t xml:space="preserve">i) </w:t>
      </w:r>
      <w:r w:rsidRPr="009A644A">
        <w:rPr>
          <w:rFonts w:ascii="Verdana" w:eastAsia="Calibri" w:hAnsi="Verdana" w:cs="Arial"/>
          <w:shd w:val="clear" w:color="auto" w:fill="FFFFFF"/>
        </w:rPr>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3AE1824F" w14:textId="77777777" w:rsidR="00E02CC7" w:rsidRPr="000A15AB" w:rsidRDefault="00E02CC7" w:rsidP="00E02CC7">
      <w:pPr>
        <w:snapToGrid w:val="0"/>
        <w:spacing w:before="120" w:after="120" w:line="276" w:lineRule="auto"/>
        <w:ind w:firstLine="708"/>
        <w:jc w:val="both"/>
        <w:textAlignment w:val="baseline"/>
        <w:rPr>
          <w:rFonts w:ascii="Verdana" w:eastAsia="Aptos" w:hAnsi="Verdana" w:cs="Arial"/>
          <w:lang w:val="es-ES_tradnl" w:eastAsia="es-MX"/>
        </w:rPr>
      </w:pPr>
      <w:r>
        <w:rPr>
          <w:rFonts w:ascii="Verdana" w:eastAsia="Aptos" w:hAnsi="Verdana" w:cs="Arial"/>
          <w:lang w:val="es-ES_tradnl" w:eastAsia="es-MX"/>
        </w:rPr>
        <w:t>Por su parte</w:t>
      </w:r>
      <w:r w:rsidRPr="000A15AB">
        <w:rPr>
          <w:rFonts w:ascii="Verdana" w:eastAsia="Aptos" w:hAnsi="Verdana" w:cs="Arial"/>
          <w:lang w:val="es-ES_tradnl" w:eastAsia="es-MX"/>
        </w:rPr>
        <w:t>, las Leyes 1150 de 2007 y 1474 de 2011, complementan el régimen jurídico de la obligación de vigilar la correcta ejecución de los contratos estatales. En dichas normas</w:t>
      </w:r>
      <w:r>
        <w:rPr>
          <w:rFonts w:ascii="Verdana" w:eastAsia="Aptos" w:hAnsi="Verdana" w:cs="Arial"/>
          <w:lang w:val="es-ES_tradnl" w:eastAsia="es-MX"/>
        </w:rPr>
        <w:t xml:space="preserve"> </w:t>
      </w:r>
      <w:r w:rsidRPr="000A15AB">
        <w:rPr>
          <w:rFonts w:ascii="Verdana" w:eastAsia="Aptos" w:hAnsi="Verdana" w:cs="Arial"/>
          <w:lang w:val="es-ES_tradnl" w:eastAsia="es-MX"/>
        </w:rPr>
        <w:t xml:space="preserve">se establecen los límites de la responsabilidad del </w:t>
      </w:r>
      <w:r w:rsidRPr="000A15AB">
        <w:rPr>
          <w:rFonts w:ascii="Verdana" w:eastAsia="Aptos" w:hAnsi="Verdana" w:cs="Arial"/>
          <w:lang w:val="es-ES_tradnl" w:eastAsia="es-MX"/>
        </w:rPr>
        <w:lastRenderedPageBreak/>
        <w:t>representante legal ante la delegación de sus funciones en materia contractual</w:t>
      </w:r>
      <w:r w:rsidRPr="000A15AB">
        <w:rPr>
          <w:rFonts w:ascii="Aptos" w:eastAsia="Aptos" w:hAnsi="Aptos" w:cs="Times New Roman"/>
          <w:kern w:val="2"/>
          <w:sz w:val="24"/>
          <w:szCs w:val="24"/>
          <w:vertAlign w:val="superscript"/>
          <w:lang w:val="es-ES_tradnl" w:eastAsia="es-MX"/>
          <w14:ligatures w14:val="standardContextual"/>
        </w:rPr>
        <w:footnoteReference w:id="2"/>
      </w:r>
      <w:r w:rsidRPr="000A15AB">
        <w:rPr>
          <w:rFonts w:ascii="Verdana" w:eastAsia="Aptos" w:hAnsi="Verdana" w:cs="Arial"/>
          <w:lang w:val="es-ES_tradnl" w:eastAsia="es-MX"/>
        </w:rPr>
        <w:t xml:space="preserve"> y se regula la supervisión y la interventoría de los contratos estatales</w:t>
      </w:r>
      <w:r w:rsidRPr="000A15AB">
        <w:rPr>
          <w:rFonts w:ascii="Aptos" w:eastAsia="Aptos" w:hAnsi="Aptos" w:cs="Times New Roman"/>
          <w:kern w:val="2"/>
          <w:sz w:val="24"/>
          <w:szCs w:val="24"/>
          <w:vertAlign w:val="superscript"/>
          <w:lang w:val="es-ES_tradnl" w:eastAsia="es-MX"/>
          <w14:ligatures w14:val="standardContextual"/>
        </w:rPr>
        <w:footnoteReference w:id="3"/>
      </w:r>
      <w:r w:rsidRPr="000A15AB">
        <w:rPr>
          <w:rFonts w:ascii="Verdana" w:eastAsia="Aptos" w:hAnsi="Verdana" w:cs="Arial"/>
          <w:lang w:val="es-ES_tradnl" w:eastAsia="es-MX"/>
        </w:rPr>
        <w:t>.</w:t>
      </w:r>
    </w:p>
    <w:p w14:paraId="7850E24B" w14:textId="77777777" w:rsidR="00E02CC7" w:rsidRDefault="00E02CC7" w:rsidP="00E02CC7">
      <w:pPr>
        <w:snapToGrid w:val="0"/>
        <w:spacing w:before="120" w:after="0" w:line="276" w:lineRule="auto"/>
        <w:ind w:firstLine="708"/>
        <w:jc w:val="both"/>
        <w:textAlignment w:val="baseline"/>
        <w:rPr>
          <w:rFonts w:ascii="Verdana" w:eastAsia="Aptos" w:hAnsi="Verdana" w:cs="Arial"/>
          <w:lang w:eastAsia="es-MX"/>
        </w:rPr>
      </w:pPr>
      <w:r>
        <w:rPr>
          <w:rFonts w:ascii="Verdana" w:eastAsia="Aptos" w:hAnsi="Verdana" w:cs="Arial"/>
          <w:lang w:eastAsia="es-MX"/>
        </w:rPr>
        <w:t xml:space="preserve">En particular, </w:t>
      </w:r>
      <w:r w:rsidRPr="000A15AB">
        <w:rPr>
          <w:rFonts w:ascii="Verdana" w:eastAsia="Aptos" w:hAnsi="Verdana" w:cs="Arial"/>
          <w:lang w:eastAsia="es-MX"/>
        </w:rPr>
        <w:t xml:space="preserve">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Entidades Estatales para vigilar el contrato, en estos términos: </w:t>
      </w:r>
    </w:p>
    <w:p w14:paraId="52065008" w14:textId="77777777" w:rsidR="00E02CC7" w:rsidRPr="003160BA" w:rsidRDefault="00E02CC7" w:rsidP="00E02CC7">
      <w:pPr>
        <w:snapToGrid w:val="0"/>
        <w:spacing w:after="0" w:line="276" w:lineRule="auto"/>
        <w:ind w:firstLine="708"/>
        <w:jc w:val="both"/>
        <w:textAlignment w:val="baseline"/>
        <w:rPr>
          <w:rFonts w:ascii="Verdana" w:eastAsia="Aptos" w:hAnsi="Verdana" w:cs="Arial"/>
          <w:lang w:eastAsia="es-MX"/>
        </w:rPr>
      </w:pPr>
    </w:p>
    <w:p w14:paraId="57391540" w14:textId="77777777" w:rsidR="00E02CC7" w:rsidRPr="005F111C" w:rsidRDefault="00E02CC7" w:rsidP="00E02CC7">
      <w:pPr>
        <w:snapToGrid w:val="0"/>
        <w:spacing w:after="0" w:line="240" w:lineRule="auto"/>
        <w:ind w:left="709" w:right="709"/>
        <w:jc w:val="both"/>
        <w:textAlignment w:val="baseline"/>
        <w:rPr>
          <w:rFonts w:ascii="Verdana" w:eastAsia="Aptos" w:hAnsi="Verdana" w:cs="Arial"/>
          <w:sz w:val="20"/>
          <w:szCs w:val="20"/>
          <w:lang w:val="es-ES_tradnl" w:eastAsia="es-MX"/>
        </w:rPr>
      </w:pPr>
      <w:r w:rsidRPr="005F111C">
        <w:rPr>
          <w:rFonts w:ascii="Verdana" w:eastAsia="Aptos" w:hAnsi="Verdana" w:cs="Arial"/>
          <w:sz w:val="20"/>
          <w:szCs w:val="20"/>
          <w:lang w:val="es-ES_tradnl" w:eastAsia="es-MX"/>
        </w:rPr>
        <w:t>“Con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w:t>
      </w:r>
    </w:p>
    <w:p w14:paraId="43F129FE" w14:textId="77777777" w:rsidR="00E02CC7" w:rsidRPr="005F111C" w:rsidRDefault="00E02CC7" w:rsidP="00E02CC7">
      <w:pPr>
        <w:snapToGrid w:val="0"/>
        <w:spacing w:after="0" w:line="240" w:lineRule="auto"/>
        <w:ind w:left="709" w:right="709"/>
        <w:jc w:val="both"/>
        <w:textAlignment w:val="baseline"/>
        <w:rPr>
          <w:rFonts w:ascii="Verdana" w:eastAsia="Aptos" w:hAnsi="Verdana" w:cs="Arial"/>
          <w:sz w:val="20"/>
          <w:szCs w:val="20"/>
          <w:lang w:val="es-ES" w:eastAsia="es-MX"/>
        </w:rPr>
      </w:pPr>
      <w:r w:rsidRPr="005F111C">
        <w:rPr>
          <w:rFonts w:ascii="Verdana" w:eastAsia="Aptos" w:hAnsi="Verdana" w:cs="Arial"/>
          <w:sz w:val="20"/>
          <w:szCs w:val="20"/>
          <w:lang w:val="es-ES" w:eastAsia="es-MX"/>
        </w:rPr>
        <w:t xml:space="preserve">La supervisión consistirá en el seguimiento técnico, administrativo, financiero, contable, y jurídico </w:t>
      </w:r>
      <w:proofErr w:type="gramStart"/>
      <w:r w:rsidRPr="005F111C">
        <w:rPr>
          <w:rFonts w:ascii="Verdana" w:eastAsia="Aptos" w:hAnsi="Verdana" w:cs="Arial"/>
          <w:sz w:val="20"/>
          <w:szCs w:val="20"/>
          <w:lang w:val="es-ES" w:eastAsia="es-MX"/>
        </w:rPr>
        <w:t>que</w:t>
      </w:r>
      <w:proofErr w:type="gramEnd"/>
      <w:r w:rsidRPr="005F111C">
        <w:rPr>
          <w:rFonts w:ascii="Verdana" w:eastAsia="Aptos" w:hAnsi="Verdana" w:cs="Arial"/>
          <w:sz w:val="20"/>
          <w:szCs w:val="20"/>
          <w:lang w:val="es-ES" w:eastAsia="es-MX"/>
        </w:rPr>
        <w:t xml:space="preserv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 </w:t>
      </w:r>
    </w:p>
    <w:p w14:paraId="15E4C4C6" w14:textId="77777777" w:rsidR="00E02CC7" w:rsidRDefault="00E02CC7" w:rsidP="00E02CC7">
      <w:pPr>
        <w:snapToGrid w:val="0"/>
        <w:spacing w:after="0" w:line="240" w:lineRule="auto"/>
        <w:ind w:left="709" w:right="709"/>
        <w:jc w:val="both"/>
        <w:textAlignment w:val="baseline"/>
        <w:rPr>
          <w:rFonts w:ascii="Verdana" w:eastAsia="Aptos" w:hAnsi="Verdana" w:cs="Arial"/>
          <w:sz w:val="20"/>
          <w:szCs w:val="20"/>
          <w:lang w:val="es-ES_tradnl" w:eastAsia="es-MX"/>
        </w:rPr>
      </w:pPr>
      <w:r w:rsidRPr="005F111C">
        <w:rPr>
          <w:rFonts w:ascii="Verdana" w:eastAsia="Aptos" w:hAnsi="Verdana" w:cs="Arial"/>
          <w:sz w:val="20"/>
          <w:szCs w:val="20"/>
          <w:lang w:val="es-ES" w:eastAsia="es-MX"/>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5F111C">
        <w:rPr>
          <w:rFonts w:ascii="Verdana" w:eastAsia="Aptos" w:hAnsi="Verdana" w:cs="Arial"/>
          <w:sz w:val="20"/>
          <w:szCs w:val="20"/>
          <w:lang w:val="es-ES" w:eastAsia="es-MX"/>
        </w:rPr>
        <w:t>del mismo</w:t>
      </w:r>
      <w:proofErr w:type="gramEnd"/>
      <w:r w:rsidRPr="005F111C">
        <w:rPr>
          <w:rFonts w:ascii="Verdana" w:eastAsia="Aptos" w:hAnsi="Verdana" w:cs="Arial"/>
          <w:sz w:val="20"/>
          <w:szCs w:val="20"/>
          <w:lang w:val="es-ES" w:eastAsia="es-MX"/>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 </w:t>
      </w:r>
      <w:r w:rsidRPr="005F111C">
        <w:rPr>
          <w:rFonts w:ascii="Verdana" w:eastAsia="Aptos" w:hAnsi="Verdana" w:cs="Arial"/>
          <w:sz w:val="20"/>
          <w:szCs w:val="20"/>
          <w:lang w:val="es-ES_tradnl" w:eastAsia="es-MX"/>
        </w:rPr>
        <w:t>[…]”.</w:t>
      </w:r>
      <w:r w:rsidRPr="005F111C">
        <w:rPr>
          <w:rFonts w:ascii="Verdana" w:eastAsia="Aptos" w:hAnsi="Verdana" w:cs="Arial"/>
          <w:sz w:val="20"/>
          <w:szCs w:val="20"/>
          <w:vertAlign w:val="superscript"/>
          <w:lang w:val="es-ES" w:eastAsia="es-MX"/>
        </w:rPr>
        <w:footnoteReference w:id="4"/>
      </w:r>
    </w:p>
    <w:p w14:paraId="045DAF0F" w14:textId="77777777" w:rsidR="00E02CC7" w:rsidRPr="005F111C" w:rsidRDefault="00E02CC7" w:rsidP="00E02CC7">
      <w:pPr>
        <w:snapToGrid w:val="0"/>
        <w:spacing w:after="0" w:line="240" w:lineRule="auto"/>
        <w:ind w:left="709" w:right="709"/>
        <w:jc w:val="both"/>
        <w:textAlignment w:val="baseline"/>
        <w:rPr>
          <w:rFonts w:ascii="Verdana" w:eastAsia="Aptos" w:hAnsi="Verdana" w:cs="Arial"/>
          <w:sz w:val="20"/>
          <w:szCs w:val="20"/>
          <w:lang w:val="es-ES" w:eastAsia="es-MX"/>
        </w:rPr>
      </w:pPr>
    </w:p>
    <w:p w14:paraId="19117EBC" w14:textId="77777777" w:rsidR="00E02CC7" w:rsidRPr="007873B5" w:rsidRDefault="00E02CC7" w:rsidP="00E02CC7">
      <w:pPr>
        <w:tabs>
          <w:tab w:val="left" w:pos="709"/>
        </w:tabs>
        <w:snapToGrid w:val="0"/>
        <w:spacing w:after="120" w:line="276" w:lineRule="auto"/>
        <w:jc w:val="both"/>
        <w:rPr>
          <w:rFonts w:ascii="Verdana" w:eastAsia="Aptos" w:hAnsi="Verdana" w:cs="Arial"/>
          <w:bCs/>
        </w:rPr>
      </w:pPr>
      <w:r>
        <w:rPr>
          <w:rFonts w:ascii="Verdana" w:eastAsia="Aptos" w:hAnsi="Verdana" w:cs="Arial"/>
          <w:bCs/>
        </w:rPr>
        <w:tab/>
      </w:r>
      <w:r w:rsidRPr="000A15AB">
        <w:rPr>
          <w:rFonts w:ascii="Verdana" w:eastAsia="Aptos" w:hAnsi="Verdana" w:cs="Arial"/>
          <w:bCs/>
        </w:rPr>
        <w:t xml:space="preserve">De este modo, la interventoría puede caracterizarse de la siguiente manera: </w:t>
      </w:r>
      <w:r>
        <w:rPr>
          <w:rFonts w:ascii="Verdana" w:eastAsia="Aptos" w:hAnsi="Verdana" w:cs="Arial"/>
          <w:bCs/>
        </w:rPr>
        <w:t>(</w:t>
      </w:r>
      <w:r w:rsidRPr="000A15AB">
        <w:rPr>
          <w:rFonts w:ascii="Verdana" w:eastAsia="Aptos" w:hAnsi="Verdana" w:cs="Arial"/>
          <w:bCs/>
        </w:rPr>
        <w:t xml:space="preserve">i) es un mecanismo de vigilancia contingente en la medida que solo es obligatorio para el seguimiento de los contratos de obra adjudicados por licitación pública –art. 32, numeral 1; en los demás casos se requerirá cuando </w:t>
      </w:r>
      <w:r w:rsidRPr="000A15AB">
        <w:rPr>
          <w:rFonts w:ascii="Verdana" w:eastAsia="Aptos" w:hAnsi="Verdana" w:cs="Arial"/>
          <w:bCs/>
        </w:rPr>
        <w:lastRenderedPageBreak/>
        <w:t xml:space="preserve">“el seguimiento del contrato suponga conocimiento especializado en la materia, o cuando la complejidad o la extensión </w:t>
      </w:r>
      <w:proofErr w:type="gramStart"/>
      <w:r w:rsidRPr="000A15AB">
        <w:rPr>
          <w:rFonts w:ascii="Verdana" w:eastAsia="Aptos" w:hAnsi="Verdana" w:cs="Arial"/>
          <w:bCs/>
        </w:rPr>
        <w:t>del mismo</w:t>
      </w:r>
      <w:proofErr w:type="gramEnd"/>
      <w:r w:rsidRPr="000A15AB">
        <w:rPr>
          <w:rFonts w:ascii="Verdana" w:eastAsia="Aptos" w:hAnsi="Verdana" w:cs="Arial"/>
          <w:bCs/>
        </w:rPr>
        <w:t xml:space="preserve"> lo justifique” –art, 83, Ley 1474 de 2011–</w:t>
      </w:r>
      <w:r>
        <w:rPr>
          <w:rFonts w:ascii="Verdana" w:eastAsia="Aptos" w:hAnsi="Verdana" w:cs="Arial"/>
          <w:bCs/>
        </w:rPr>
        <w:t>.</w:t>
      </w:r>
      <w:r w:rsidRPr="000A15AB">
        <w:rPr>
          <w:rFonts w:ascii="Verdana" w:eastAsia="Aptos" w:hAnsi="Verdana" w:cs="Arial"/>
          <w:bCs/>
        </w:rPr>
        <w:t xml:space="preserve"> </w:t>
      </w:r>
      <w:r>
        <w:rPr>
          <w:rFonts w:ascii="Verdana" w:eastAsia="Aptos" w:hAnsi="Verdana" w:cs="Arial"/>
          <w:bCs/>
        </w:rPr>
        <w:t>(</w:t>
      </w:r>
      <w:proofErr w:type="spellStart"/>
      <w:r w:rsidRPr="000A15AB">
        <w:rPr>
          <w:rFonts w:ascii="Verdana" w:eastAsia="Aptos" w:hAnsi="Verdana" w:cs="Arial"/>
          <w:bCs/>
        </w:rPr>
        <w:t>ii</w:t>
      </w:r>
      <w:proofErr w:type="spellEnd"/>
      <w:r w:rsidRPr="000A15AB">
        <w:rPr>
          <w:rFonts w:ascii="Verdana" w:eastAsia="Aptos" w:hAnsi="Verdana" w:cs="Arial"/>
          <w:bCs/>
        </w:rPr>
        <w:t xml:space="preserve">) </w:t>
      </w:r>
      <w:r>
        <w:rPr>
          <w:rFonts w:ascii="Verdana" w:eastAsia="Aptos" w:hAnsi="Verdana" w:cs="Arial"/>
          <w:bCs/>
        </w:rPr>
        <w:t xml:space="preserve">También </w:t>
      </w:r>
      <w:r w:rsidRPr="000A15AB">
        <w:rPr>
          <w:rFonts w:ascii="Verdana" w:eastAsia="Aptos" w:hAnsi="Verdana" w:cs="Arial"/>
          <w:bCs/>
        </w:rPr>
        <w:t>es un mecanismo de vigilancia que exige, en su ejecución, la utilización de conocimientos especializados</w:t>
      </w:r>
      <w:r>
        <w:rPr>
          <w:rFonts w:ascii="Verdana" w:eastAsia="Aptos" w:hAnsi="Verdana" w:cs="Arial"/>
          <w:bCs/>
        </w:rPr>
        <w:t>.</w:t>
      </w:r>
      <w:r w:rsidRPr="000A15AB">
        <w:rPr>
          <w:rFonts w:ascii="Verdana" w:eastAsia="Aptos" w:hAnsi="Verdana" w:cs="Arial"/>
          <w:bCs/>
        </w:rPr>
        <w:t xml:space="preserve"> </w:t>
      </w:r>
      <w:r>
        <w:rPr>
          <w:rFonts w:ascii="Verdana" w:eastAsia="Aptos" w:hAnsi="Verdana" w:cs="Arial"/>
          <w:bCs/>
        </w:rPr>
        <w:t>(</w:t>
      </w:r>
      <w:proofErr w:type="spellStart"/>
      <w:r w:rsidRPr="000A15AB">
        <w:rPr>
          <w:rFonts w:ascii="Verdana" w:eastAsia="Aptos" w:hAnsi="Verdana" w:cs="Arial"/>
          <w:bCs/>
        </w:rPr>
        <w:t>iii</w:t>
      </w:r>
      <w:proofErr w:type="spellEnd"/>
      <w:r w:rsidRPr="000A15AB">
        <w:rPr>
          <w:rFonts w:ascii="Verdana" w:eastAsia="Aptos" w:hAnsi="Verdana" w:cs="Arial"/>
          <w:bCs/>
        </w:rPr>
        <w:t xml:space="preserve">) </w:t>
      </w:r>
      <w:r>
        <w:rPr>
          <w:rFonts w:ascii="Verdana" w:eastAsia="Aptos" w:hAnsi="Verdana" w:cs="Arial"/>
          <w:bCs/>
        </w:rPr>
        <w:t>P</w:t>
      </w:r>
      <w:r w:rsidRPr="000A15AB">
        <w:rPr>
          <w:rFonts w:ascii="Verdana" w:eastAsia="Aptos" w:hAnsi="Verdana" w:cs="Arial"/>
          <w:bCs/>
        </w:rPr>
        <w:t>or lo anterior, la entidad contrata un experto, por regla general, mediante la modalidad de selección de concurso de méritos, al tratarse de una especie del contrato de consultoría –art. 32, numeral 2, inciso 2, Ley 80 de 1993</w:t>
      </w:r>
      <w:r w:rsidRPr="000A15AB">
        <w:rPr>
          <w:rFonts w:ascii="Aptos" w:eastAsia="Aptos" w:hAnsi="Aptos" w:cs="Times New Roman"/>
          <w:kern w:val="2"/>
          <w:sz w:val="24"/>
          <w:szCs w:val="24"/>
          <w:vertAlign w:val="superscript"/>
          <w14:ligatures w14:val="standardContextual"/>
        </w:rPr>
        <w:footnoteReference w:id="5"/>
      </w:r>
      <w:r w:rsidRPr="000A15AB">
        <w:rPr>
          <w:rFonts w:ascii="Verdana" w:eastAsia="Aptos" w:hAnsi="Verdana" w:cs="Arial"/>
          <w:bCs/>
        </w:rPr>
        <w:t>‒, de manera que la interventoría es realizada por “</w:t>
      </w:r>
      <w:r w:rsidRPr="007873B5">
        <w:rPr>
          <w:rFonts w:ascii="Verdana" w:eastAsia="Aptos" w:hAnsi="Verdana" w:cs="Arial"/>
          <w:bCs/>
        </w:rPr>
        <w:t>una persona natural o jurídica contratada para tal fin por la Entidad Estatal” –art. 83, Ley 1474–. Adicionalmente, (</w:t>
      </w:r>
      <w:proofErr w:type="spellStart"/>
      <w:r w:rsidRPr="007873B5">
        <w:rPr>
          <w:rFonts w:ascii="Verdana" w:eastAsia="Aptos" w:hAnsi="Verdana" w:cs="Arial"/>
          <w:bCs/>
        </w:rPr>
        <w:t>iv</w:t>
      </w:r>
      <w:proofErr w:type="spellEnd"/>
      <w:r w:rsidRPr="007873B5">
        <w:rPr>
          <w:rFonts w:ascii="Verdana" w:eastAsia="Aptos" w:hAnsi="Verdana" w:cs="Arial"/>
          <w:bCs/>
        </w:rPr>
        <w:t>) el seguimiento técnico es inherente a la interventoría para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Finalmente, (v) en caso de que no se encomiende al interventor el seguimiento total del contrato, en el contrato de interventoría “se deberán indicar las actividades técnicas a cargo del interventor y las demás quedarán a cargo de la Entidad a través del supervisor” –art. 83, inciso 3–. En cualquier caso (vi) el contrato de interventoría será supervisado directamente por la entidad –art. 23, inciso 4–.</w:t>
      </w:r>
    </w:p>
    <w:p w14:paraId="4F37B32F" w14:textId="77777777" w:rsidR="00E02CC7" w:rsidRDefault="00E02CC7" w:rsidP="00E02CC7">
      <w:pPr>
        <w:tabs>
          <w:tab w:val="left" w:pos="709"/>
        </w:tabs>
        <w:snapToGrid w:val="0"/>
        <w:spacing w:before="120" w:after="0" w:line="276" w:lineRule="auto"/>
        <w:jc w:val="both"/>
        <w:rPr>
          <w:rFonts w:ascii="Verdana" w:eastAsia="Aptos" w:hAnsi="Verdana" w:cs="Arial"/>
          <w:bCs/>
        </w:rPr>
      </w:pPr>
      <w:r w:rsidRPr="007873B5">
        <w:rPr>
          <w:rFonts w:ascii="Verdana" w:eastAsia="Aptos" w:hAnsi="Verdana" w:cs="Arial"/>
          <w:bCs/>
        </w:rPr>
        <w:tab/>
        <w:t xml:space="preserve">De lo anterior, se </w:t>
      </w:r>
      <w:r>
        <w:rPr>
          <w:rFonts w:ascii="Verdana" w:eastAsia="Aptos" w:hAnsi="Verdana" w:cs="Arial"/>
          <w:bCs/>
        </w:rPr>
        <w:t xml:space="preserve">concluye </w:t>
      </w:r>
      <w:r w:rsidRPr="007873B5">
        <w:rPr>
          <w:rFonts w:ascii="Verdana" w:eastAsia="Aptos" w:hAnsi="Verdana" w:cs="Arial"/>
          <w:bCs/>
        </w:rPr>
        <w:t xml:space="preserve">que el interventor es un contratista externo a la Entidad Estatal y al contratista vigilado, de manera que es seleccionado por la entidad mediante los procedimientos del artículo 2 de la Ley 1150 de 2007, en principio, a través de concurso de méritos. Lo anterior, sin perjuicio de que eventualmente aplique alguna causal especial que permita la celebración de este tipo de contratos mediante una modalidad diferente, como podría suceder frente a la posibilidad de realizar, por ejemplo, una contratación de mínima cuantía o una contratación directa, en caso de presentarse alguna de las causales establecidas en el artículo 2 de la Ley 1150 de 2007, que dé lugar a acudir a otra modalidad de selección. </w:t>
      </w:r>
    </w:p>
    <w:p w14:paraId="26E1F774" w14:textId="77777777" w:rsidR="00E02CC7" w:rsidRPr="007873B5" w:rsidRDefault="00E02CC7" w:rsidP="00E02CC7">
      <w:pPr>
        <w:tabs>
          <w:tab w:val="left" w:pos="709"/>
        </w:tabs>
        <w:snapToGrid w:val="0"/>
        <w:spacing w:after="0" w:line="276" w:lineRule="auto"/>
        <w:jc w:val="both"/>
        <w:rPr>
          <w:rFonts w:ascii="Verdana" w:eastAsia="Aptos" w:hAnsi="Verdana" w:cs="Arial"/>
          <w:bCs/>
        </w:rPr>
      </w:pPr>
      <w:r w:rsidRPr="007873B5">
        <w:rPr>
          <w:rFonts w:ascii="Verdana" w:eastAsia="Calibri" w:hAnsi="Verdana" w:cs="Arial"/>
          <w:color w:val="000000"/>
          <w:kern w:val="2"/>
          <w:lang w:val="es-MX"/>
          <w14:ligatures w14:val="standardContextual"/>
        </w:rPr>
        <w:t xml:space="preserve"> </w:t>
      </w:r>
    </w:p>
    <w:p w14:paraId="45DEEDC3" w14:textId="77777777" w:rsidR="00E02CC7" w:rsidRPr="007873B5" w:rsidRDefault="00E02CC7" w:rsidP="00E02CC7">
      <w:pPr>
        <w:pStyle w:val="Sinespaciado"/>
        <w:spacing w:line="276" w:lineRule="auto"/>
        <w:jc w:val="both"/>
        <w:rPr>
          <w:rFonts w:ascii="Verdana" w:hAnsi="Verdana" w:cs="Arial"/>
          <w:sz w:val="22"/>
        </w:rPr>
      </w:pPr>
      <w:r w:rsidRPr="007873B5">
        <w:rPr>
          <w:rFonts w:ascii="Verdana" w:eastAsia="Calibri" w:hAnsi="Verdana" w:cs="Arial"/>
          <w:color w:val="000000"/>
          <w:kern w:val="2"/>
          <w:sz w:val="22"/>
          <w14:ligatures w14:val="standardContextual"/>
        </w:rPr>
        <w:t>ii)</w:t>
      </w:r>
      <w:r w:rsidRPr="007873B5">
        <w:rPr>
          <w:rFonts w:ascii="Verdana" w:hAnsi="Verdana" w:cs="Arial"/>
          <w:sz w:val="22"/>
        </w:rPr>
        <w:t xml:space="preserve"> </w:t>
      </w:r>
      <w:r w:rsidRPr="007873B5">
        <w:rPr>
          <w:rFonts w:ascii="Verdana" w:eastAsia="Calibri" w:hAnsi="Verdana" w:cs="Arial"/>
          <w:color w:val="000000"/>
          <w:kern w:val="2"/>
          <w:sz w:val="22"/>
          <w14:ligatures w14:val="standardContextual"/>
        </w:rPr>
        <w:t>Ahora bien, el contrato de interventoría supone la existencia de otro contrato –es decir, el contrato vigilado–, y por eso la jurisprudencia ha caracterizado la interventoría como un negocio jurídico íntimamente relacionado en su objeto con el contrato respecto del que ejerce las actividades del interventor</w:t>
      </w:r>
      <w:r w:rsidRPr="007873B5">
        <w:rPr>
          <w:rFonts w:ascii="Verdana" w:eastAsia="Aptos" w:hAnsi="Verdana" w:cs="Times New Roman"/>
          <w:kern w:val="2"/>
          <w:sz w:val="22"/>
          <w:vertAlign w:val="superscript"/>
          <w14:ligatures w14:val="standardContextual"/>
        </w:rPr>
        <w:footnoteReference w:id="6"/>
      </w:r>
      <w:r w:rsidRPr="007873B5">
        <w:rPr>
          <w:rFonts w:ascii="Verdana" w:eastAsia="Calibri" w:hAnsi="Verdana" w:cs="Arial"/>
          <w:color w:val="000000"/>
          <w:kern w:val="2"/>
          <w:sz w:val="22"/>
          <w14:ligatures w14:val="standardContextual"/>
        </w:rPr>
        <w:t xml:space="preserve">. No obstante, </w:t>
      </w:r>
      <w:r w:rsidRPr="007873B5">
        <w:rPr>
          <w:rFonts w:ascii="Verdana" w:eastAsia="Calibri" w:hAnsi="Verdana" w:cs="Arial"/>
          <w:color w:val="000000"/>
          <w:kern w:val="2"/>
          <w:sz w:val="22"/>
          <w14:ligatures w14:val="standardContextual"/>
        </w:rPr>
        <w:lastRenderedPageBreak/>
        <w:t xml:space="preserve">a pesar de lo anterior, el contrato de interventoría es </w:t>
      </w:r>
      <w:r w:rsidRPr="002E4D8E">
        <w:rPr>
          <w:rFonts w:ascii="Verdana" w:eastAsia="Calibri" w:hAnsi="Verdana" w:cs="Arial"/>
          <w:i/>
          <w:iCs/>
          <w:color w:val="000000"/>
          <w:kern w:val="2"/>
          <w:sz w:val="22"/>
          <w14:ligatures w14:val="standardContextual"/>
        </w:rPr>
        <w:t xml:space="preserve">independiente del otro contrato </w:t>
      </w:r>
      <w:r w:rsidRPr="007873B5">
        <w:rPr>
          <w:rFonts w:ascii="Verdana" w:eastAsia="Calibri" w:hAnsi="Verdana" w:cs="Arial"/>
          <w:color w:val="000000"/>
          <w:kern w:val="2"/>
          <w:sz w:val="22"/>
          <w14:ligatures w14:val="standardContextual"/>
        </w:rPr>
        <w:t>en aspectos específicos como, por ejemplo, la prórroga y el incumplimiento. En efecto, la prórroga de la obra no implica de suyo la del interventor, aunque puede realizarse cumpliendo las solemnidades de ley; además, el incumplimiento del contrato vigilado, como lo sería un contrato de obra, no significa por sí solo el incumplimiento del de interventoría</w:t>
      </w:r>
      <w:r w:rsidRPr="007873B5">
        <w:rPr>
          <w:rFonts w:ascii="Verdana" w:eastAsia="Aptos" w:hAnsi="Verdana" w:cs="Times New Roman"/>
          <w:kern w:val="2"/>
          <w:sz w:val="22"/>
          <w:vertAlign w:val="superscript"/>
          <w14:ligatures w14:val="standardContextual"/>
        </w:rPr>
        <w:footnoteReference w:id="7"/>
      </w:r>
      <w:r w:rsidRPr="007873B5">
        <w:rPr>
          <w:rFonts w:ascii="Verdana" w:eastAsia="Calibri" w:hAnsi="Verdana" w:cs="Arial"/>
          <w:color w:val="000000"/>
          <w:kern w:val="2"/>
          <w:sz w:val="22"/>
          <w14:ligatures w14:val="standardContextual"/>
        </w:rPr>
        <w:t xml:space="preserve">.  </w:t>
      </w:r>
    </w:p>
    <w:p w14:paraId="14543CC4" w14:textId="77777777" w:rsidR="00E02CC7" w:rsidRPr="007873B5" w:rsidRDefault="00E02CC7" w:rsidP="00E02CC7">
      <w:pPr>
        <w:pStyle w:val="Sinespaciado"/>
        <w:spacing w:before="120" w:line="276" w:lineRule="auto"/>
        <w:ind w:firstLine="708"/>
        <w:jc w:val="both"/>
        <w:rPr>
          <w:rFonts w:ascii="Verdana" w:hAnsi="Verdana" w:cs="Arial"/>
          <w:sz w:val="22"/>
        </w:rPr>
      </w:pPr>
      <w:r w:rsidRPr="007873B5">
        <w:rPr>
          <w:rFonts w:ascii="Verdana" w:hAnsi="Verdana" w:cs="Arial"/>
          <w:sz w:val="22"/>
        </w:rPr>
        <w:t>Es así como el contrato de interventoría es un contrato bilateral, conmutativo y oneroso, por lo que crea obligaciones tanto para la entidad contratante como para el contratista interventor. Estas obligaciones deben guardar una correlativa equivalencia entre las prestaciones y derechos de ambas partes, por las que a su vez cada una de ellas recibe un beneficio. Por lo tanto, el interventor tiene derecho a recibir el pago de una contraprestación, remuneración o precio</w:t>
      </w:r>
      <w:r w:rsidRPr="007873B5">
        <w:rPr>
          <w:rFonts w:ascii="Verdana" w:hAnsi="Verdana"/>
          <w:sz w:val="22"/>
          <w:vertAlign w:val="superscript"/>
        </w:rPr>
        <w:footnoteReference w:id="8"/>
      </w:r>
      <w:r w:rsidRPr="007873B5">
        <w:rPr>
          <w:rFonts w:ascii="Verdana" w:hAnsi="Verdana" w:cs="Arial"/>
          <w:sz w:val="22"/>
        </w:rPr>
        <w:t>, en los términos pactados en el contrato, por la adecuada y oportuna ejecución del objeto contractual, derecho que se encuentra reconocido en el numeral 1 del artículo 5 de la Ley 80 de 1993</w:t>
      </w:r>
      <w:r w:rsidRPr="0043416A">
        <w:rPr>
          <w:rFonts w:ascii="Verdana" w:hAnsi="Verdana"/>
          <w:sz w:val="22"/>
          <w:vertAlign w:val="superscript"/>
        </w:rPr>
        <w:footnoteReference w:id="9"/>
      </w:r>
      <w:r w:rsidRPr="007873B5">
        <w:rPr>
          <w:rFonts w:ascii="Verdana" w:hAnsi="Verdana" w:cs="Arial"/>
          <w:sz w:val="22"/>
        </w:rPr>
        <w:t xml:space="preserve">. </w:t>
      </w:r>
    </w:p>
    <w:p w14:paraId="7EABE665" w14:textId="77777777" w:rsidR="00E02CC7" w:rsidRPr="007873B5" w:rsidRDefault="00E02CC7" w:rsidP="00E02CC7">
      <w:pPr>
        <w:spacing w:before="120" w:after="120" w:line="276" w:lineRule="auto"/>
        <w:ind w:firstLine="708"/>
        <w:jc w:val="both"/>
        <w:rPr>
          <w:rFonts w:ascii="Verdana" w:eastAsia="Arial" w:hAnsi="Verdana" w:cstheme="majorHAnsi"/>
          <w:lang w:val="es-ES"/>
        </w:rPr>
      </w:pPr>
      <w:bookmarkStart w:id="1" w:name="_Hlk117864746"/>
      <w:r w:rsidRPr="007873B5">
        <w:rPr>
          <w:rFonts w:ascii="Verdana" w:eastAsia="Arial" w:hAnsi="Verdana" w:cstheme="majorHAnsi"/>
          <w:lang w:val="es-ES"/>
        </w:rPr>
        <w:t>Desde la etapa de planeación, en la fase precontractual, las entidades estatales deben calcular el presupuesto oficial, mediante la realización del análisis del sector –que incluye el estudio del mercado– y definir la metodología con la cual estructurarán el contrato</w:t>
      </w:r>
      <w:r>
        <w:rPr>
          <w:rFonts w:ascii="Verdana" w:eastAsia="Arial" w:hAnsi="Verdana" w:cstheme="majorHAnsi"/>
          <w:lang w:val="es-ES"/>
        </w:rPr>
        <w:t xml:space="preserve">. De esta manera, tanto </w:t>
      </w:r>
      <w:r w:rsidRPr="007873B5">
        <w:rPr>
          <w:rFonts w:ascii="Verdana" w:eastAsia="Arial" w:hAnsi="Verdana" w:cstheme="majorHAnsi"/>
          <w:lang w:val="es-ES"/>
        </w:rPr>
        <w:t>la definición del esquema para estipular el precio</w:t>
      </w:r>
      <w:r>
        <w:rPr>
          <w:rFonts w:ascii="Verdana" w:eastAsia="Arial" w:hAnsi="Verdana" w:cstheme="majorHAnsi"/>
          <w:lang w:val="es-ES"/>
        </w:rPr>
        <w:t xml:space="preserve"> como la forma de pago hacen parte de los estudios previos</w:t>
      </w:r>
      <w:r w:rsidRPr="007873B5">
        <w:rPr>
          <w:rFonts w:ascii="Verdana" w:eastAsia="Arial" w:hAnsi="Verdana" w:cstheme="majorHAnsi"/>
          <w:lang w:val="es-ES"/>
        </w:rPr>
        <w:t xml:space="preserve">. </w:t>
      </w:r>
      <w:r>
        <w:rPr>
          <w:rFonts w:ascii="Verdana" w:eastAsia="Arial" w:hAnsi="Verdana" w:cstheme="majorHAnsi"/>
          <w:lang w:val="es-ES"/>
        </w:rPr>
        <w:t xml:space="preserve">Estas disposiciones </w:t>
      </w:r>
      <w:r w:rsidRPr="007873B5">
        <w:rPr>
          <w:rFonts w:ascii="Verdana" w:eastAsia="Arial" w:hAnsi="Verdana" w:cstheme="majorHAnsi"/>
          <w:lang w:val="es-ES"/>
        </w:rPr>
        <w:t>generalmente depende</w:t>
      </w:r>
      <w:r>
        <w:rPr>
          <w:rFonts w:ascii="Verdana" w:eastAsia="Arial" w:hAnsi="Verdana" w:cstheme="majorHAnsi"/>
          <w:lang w:val="es-ES"/>
        </w:rPr>
        <w:t>n</w:t>
      </w:r>
      <w:r w:rsidRPr="007873B5">
        <w:rPr>
          <w:rFonts w:ascii="Verdana" w:eastAsia="Arial" w:hAnsi="Verdana" w:cstheme="majorHAnsi"/>
          <w:lang w:val="es-ES"/>
        </w:rPr>
        <w:t xml:space="preserve"> del tipo de contrato, pues existen algunas modalidades más comunes en los de obra </w:t>
      </w:r>
      <w:r w:rsidRPr="007873B5">
        <w:rPr>
          <w:rFonts w:ascii="Verdana" w:eastAsia="Arial" w:hAnsi="Verdana" w:cstheme="majorHAnsi"/>
          <w:lang w:val="es-ES"/>
        </w:rPr>
        <w:lastRenderedPageBreak/>
        <w:t>pública, otras más utilizadas en los de prestación de servicios y otras más indicadas para los de concesión, por mencionar algunos ejemplos</w:t>
      </w:r>
      <w:r w:rsidRPr="007873B5">
        <w:rPr>
          <w:rFonts w:ascii="Verdana" w:eastAsia="Arial" w:hAnsi="Verdana" w:cstheme="majorHAnsi"/>
          <w:vertAlign w:val="superscript"/>
          <w:lang w:val="es-ES"/>
        </w:rPr>
        <w:footnoteReference w:id="10"/>
      </w:r>
      <w:r w:rsidRPr="007873B5">
        <w:rPr>
          <w:rFonts w:ascii="Verdana" w:eastAsia="Arial" w:hAnsi="Verdana" w:cstheme="majorHAnsi"/>
          <w:lang w:val="es-ES"/>
        </w:rPr>
        <w:t>.</w:t>
      </w:r>
    </w:p>
    <w:p w14:paraId="23B29D90" w14:textId="77777777" w:rsidR="00E02CC7" w:rsidRPr="007873B5" w:rsidRDefault="00E02CC7" w:rsidP="00E02CC7">
      <w:pPr>
        <w:spacing w:before="120" w:after="120" w:line="276" w:lineRule="auto"/>
        <w:ind w:firstLine="708"/>
        <w:jc w:val="both"/>
        <w:rPr>
          <w:rFonts w:ascii="Verdana" w:eastAsia="Arial" w:hAnsi="Verdana" w:cstheme="majorHAnsi"/>
          <w:lang w:val="es-ES"/>
        </w:rPr>
      </w:pPr>
      <w:bookmarkStart w:id="2" w:name="_Hlk117864904"/>
      <w:r>
        <w:rPr>
          <w:rFonts w:ascii="Verdana" w:eastAsia="Arial" w:hAnsi="Verdana" w:cstheme="majorHAnsi"/>
          <w:lang w:val="es-ES"/>
        </w:rPr>
        <w:t xml:space="preserve">En todo caso, </w:t>
      </w:r>
      <w:r>
        <w:rPr>
          <w:rFonts w:ascii="Verdana" w:hAnsi="Verdana" w:cs="Arial"/>
        </w:rPr>
        <w:t>e</w:t>
      </w:r>
      <w:r w:rsidRPr="007873B5">
        <w:rPr>
          <w:rFonts w:ascii="Verdana" w:hAnsi="Verdana" w:cs="Arial"/>
        </w:rPr>
        <w:t>l interventor</w:t>
      </w:r>
      <w:r>
        <w:rPr>
          <w:rFonts w:ascii="Verdana" w:hAnsi="Verdana" w:cs="Arial"/>
        </w:rPr>
        <w:t xml:space="preserve"> y la entidad cuentan </w:t>
      </w:r>
      <w:r w:rsidRPr="007873B5">
        <w:rPr>
          <w:rFonts w:ascii="Verdana" w:hAnsi="Verdana" w:cs="Arial"/>
        </w:rPr>
        <w:t xml:space="preserve">con la </w:t>
      </w:r>
      <w:r w:rsidRPr="002E4D8E">
        <w:rPr>
          <w:rFonts w:ascii="Verdana" w:hAnsi="Verdana" w:cs="Arial"/>
          <w:i/>
          <w:iCs/>
        </w:rPr>
        <w:t>libertad negocial</w:t>
      </w:r>
      <w:r w:rsidRPr="007873B5">
        <w:rPr>
          <w:rFonts w:ascii="Verdana" w:hAnsi="Verdana" w:cs="Arial"/>
        </w:rPr>
        <w:t xml:space="preserve"> para determinar </w:t>
      </w:r>
      <w:r>
        <w:rPr>
          <w:rFonts w:ascii="Verdana" w:hAnsi="Verdana" w:cs="Arial"/>
        </w:rPr>
        <w:t xml:space="preserve">los </w:t>
      </w:r>
      <w:r w:rsidRPr="007873B5">
        <w:rPr>
          <w:rFonts w:ascii="Verdana" w:hAnsi="Verdana" w:cs="Arial"/>
        </w:rPr>
        <w:t>aspectos del contrato, entendiéndose incluida en esta libertad la capacidad de definir la forma de pago</w:t>
      </w:r>
      <w:r>
        <w:rPr>
          <w:rFonts w:ascii="Verdana" w:hAnsi="Verdana" w:cs="Arial"/>
        </w:rPr>
        <w:t xml:space="preserve">, pues </w:t>
      </w:r>
      <w:r>
        <w:rPr>
          <w:rFonts w:ascii="Verdana" w:eastAsia="Arial" w:hAnsi="Verdana" w:cstheme="majorHAnsi"/>
          <w:lang w:val="es-ES"/>
        </w:rPr>
        <w:t xml:space="preserve">no existe </w:t>
      </w:r>
      <w:r w:rsidRPr="007873B5">
        <w:rPr>
          <w:rFonts w:ascii="Verdana" w:eastAsia="Arial" w:hAnsi="Verdana" w:cstheme="majorHAnsi"/>
          <w:lang w:val="es-ES"/>
        </w:rPr>
        <w:t>una sola metodología para pactar el precio</w:t>
      </w:r>
      <w:r>
        <w:rPr>
          <w:rFonts w:ascii="Verdana" w:eastAsia="Arial" w:hAnsi="Verdana" w:cstheme="majorHAnsi"/>
          <w:lang w:val="es-ES"/>
        </w:rPr>
        <w:t xml:space="preserve"> y la forma de pago</w:t>
      </w:r>
      <w:r w:rsidRPr="007873B5">
        <w:rPr>
          <w:rFonts w:ascii="Verdana" w:eastAsia="Arial" w:hAnsi="Verdana" w:cstheme="majorHAnsi"/>
          <w:lang w:val="es-ES"/>
        </w:rPr>
        <w:t xml:space="preserve"> y, en gran medida, la manera de hacerlo obedece a la costumbre mercantil y a la influencia de disciplinas técnicas, como la ingeniería o la administración de empresas, en la contratación estatal. </w:t>
      </w:r>
      <w:r>
        <w:rPr>
          <w:rFonts w:ascii="Verdana" w:eastAsia="Arial" w:hAnsi="Verdana" w:cstheme="majorHAnsi"/>
          <w:lang w:val="es-ES"/>
        </w:rPr>
        <w:t>Por ejemplo, d</w:t>
      </w:r>
      <w:r w:rsidRPr="007873B5">
        <w:rPr>
          <w:rFonts w:ascii="Verdana" w:eastAsia="Arial" w:hAnsi="Verdana" w:cstheme="majorHAnsi"/>
          <w:lang w:val="es-ES"/>
        </w:rPr>
        <w:t>entro de</w:t>
      </w:r>
      <w:r>
        <w:rPr>
          <w:rFonts w:ascii="Verdana" w:eastAsia="Arial" w:hAnsi="Verdana" w:cstheme="majorHAnsi"/>
          <w:lang w:val="es-ES"/>
        </w:rPr>
        <w:t xml:space="preserve"> los e</w:t>
      </w:r>
      <w:r w:rsidRPr="007873B5">
        <w:rPr>
          <w:rFonts w:ascii="Verdana" w:eastAsia="Arial" w:hAnsi="Verdana" w:cstheme="majorHAnsi"/>
          <w:lang w:val="es-ES"/>
        </w:rPr>
        <w:t>squemas para fijar el precio</w:t>
      </w:r>
      <w:r>
        <w:rPr>
          <w:rFonts w:ascii="Verdana" w:eastAsia="Arial" w:hAnsi="Verdana" w:cstheme="majorHAnsi"/>
          <w:lang w:val="es-ES"/>
        </w:rPr>
        <w:t xml:space="preserve"> se encuentran</w:t>
      </w:r>
      <w:r w:rsidRPr="007873B5">
        <w:rPr>
          <w:rFonts w:ascii="Verdana" w:eastAsia="Arial" w:hAnsi="Verdana" w:cstheme="majorHAnsi"/>
          <w:lang w:val="es-ES"/>
        </w:rPr>
        <w:t xml:space="preserve">: </w:t>
      </w:r>
      <w:r>
        <w:rPr>
          <w:rFonts w:ascii="Verdana" w:eastAsia="Arial" w:hAnsi="Verdana" w:cstheme="majorHAnsi"/>
          <w:lang w:val="es-ES"/>
        </w:rPr>
        <w:t>(</w:t>
      </w:r>
      <w:r w:rsidRPr="007873B5">
        <w:rPr>
          <w:rFonts w:ascii="Verdana" w:eastAsia="Arial" w:hAnsi="Verdana" w:cstheme="majorHAnsi"/>
          <w:lang w:val="es-ES"/>
        </w:rPr>
        <w:t xml:space="preserve">i) los precios unitarios –calculados de acuerdo con las unidades que componen el objeto del contrato–, </w:t>
      </w:r>
      <w:r>
        <w:rPr>
          <w:rFonts w:ascii="Verdana" w:eastAsia="Arial" w:hAnsi="Verdana" w:cstheme="majorHAnsi"/>
          <w:lang w:val="es-ES"/>
        </w:rPr>
        <w:t>(</w:t>
      </w:r>
      <w:proofErr w:type="spellStart"/>
      <w:r w:rsidRPr="007873B5">
        <w:rPr>
          <w:rFonts w:ascii="Verdana" w:eastAsia="Arial" w:hAnsi="Verdana" w:cstheme="majorHAnsi"/>
          <w:lang w:val="es-ES"/>
        </w:rPr>
        <w:t>ii</w:t>
      </w:r>
      <w:proofErr w:type="spellEnd"/>
      <w:r w:rsidRPr="007873B5">
        <w:rPr>
          <w:rFonts w:ascii="Verdana" w:eastAsia="Arial" w:hAnsi="Verdana" w:cstheme="majorHAnsi"/>
          <w:lang w:val="es-ES"/>
        </w:rPr>
        <w:t xml:space="preserve">) el precio global –que equivale al monto total, sin discriminar unidades–, y </w:t>
      </w:r>
      <w:r>
        <w:rPr>
          <w:rFonts w:ascii="Verdana" w:eastAsia="Arial" w:hAnsi="Verdana" w:cstheme="majorHAnsi"/>
          <w:lang w:val="es-ES"/>
        </w:rPr>
        <w:t>(</w:t>
      </w:r>
      <w:proofErr w:type="spellStart"/>
      <w:r w:rsidRPr="007873B5">
        <w:rPr>
          <w:rFonts w:ascii="Verdana" w:eastAsia="Arial" w:hAnsi="Verdana" w:cstheme="majorHAnsi"/>
          <w:lang w:val="es-ES"/>
        </w:rPr>
        <w:t>iii</w:t>
      </w:r>
      <w:proofErr w:type="spellEnd"/>
      <w:r w:rsidRPr="007873B5">
        <w:rPr>
          <w:rFonts w:ascii="Verdana" w:eastAsia="Arial" w:hAnsi="Verdana" w:cstheme="majorHAnsi"/>
          <w:lang w:val="es-ES"/>
        </w:rPr>
        <w:t>) la administración delegada de recursos –en la que se distinguen los costos de inversión de los honorarios del administrador–.</w:t>
      </w:r>
    </w:p>
    <w:p w14:paraId="1653744F" w14:textId="77777777" w:rsidR="00E02CC7" w:rsidRDefault="00E02CC7" w:rsidP="00E02CC7">
      <w:pPr>
        <w:spacing w:before="120" w:after="0" w:line="276" w:lineRule="auto"/>
        <w:ind w:firstLine="708"/>
        <w:jc w:val="both"/>
        <w:rPr>
          <w:rFonts w:ascii="Verdana" w:eastAsia="Arial" w:hAnsi="Verdana" w:cstheme="majorHAnsi"/>
          <w:lang w:val="es-ES"/>
        </w:rPr>
      </w:pPr>
      <w:r w:rsidRPr="007873B5">
        <w:rPr>
          <w:rFonts w:ascii="Verdana" w:eastAsia="Arial" w:hAnsi="Verdana" w:cstheme="majorHAnsi"/>
          <w:lang w:val="es-ES"/>
        </w:rPr>
        <w:t>Así las cosas, las entidades gozan de autonomía para configurar el precio y para establecer el sistema de pago más apropiado para satisfacer los fines de la contratación</w:t>
      </w:r>
      <w:r>
        <w:rPr>
          <w:rFonts w:ascii="Verdana" w:eastAsia="Arial" w:hAnsi="Verdana" w:cstheme="majorHAnsi"/>
          <w:lang w:val="es-ES"/>
        </w:rPr>
        <w:t xml:space="preserve"> y cumplir con los objetivos de vigilancia del contrato de interventoría</w:t>
      </w:r>
      <w:r w:rsidRPr="007873B5">
        <w:rPr>
          <w:rFonts w:ascii="Verdana" w:eastAsia="Arial" w:hAnsi="Verdana" w:cstheme="majorHAnsi"/>
          <w:lang w:val="es-ES"/>
        </w:rPr>
        <w:t xml:space="preserve">, respetando los límites previstos en el ordenamiento. Para las entidades que se rigen por el Estatuto General de Contratación de la </w:t>
      </w:r>
      <w:r w:rsidRPr="007873B5">
        <w:rPr>
          <w:rFonts w:ascii="Verdana" w:eastAsia="Arial" w:hAnsi="Verdana" w:cstheme="majorHAnsi"/>
          <w:lang w:val="es-ES"/>
        </w:rPr>
        <w:lastRenderedPageBreak/>
        <w:t xml:space="preserve">Administración Pública, </w:t>
      </w:r>
      <w:r>
        <w:rPr>
          <w:rFonts w:ascii="Verdana" w:eastAsia="Arial" w:hAnsi="Verdana" w:cstheme="majorHAnsi"/>
          <w:lang w:val="es-ES"/>
        </w:rPr>
        <w:t>esta</w:t>
      </w:r>
      <w:r w:rsidRPr="007873B5">
        <w:rPr>
          <w:rFonts w:ascii="Verdana" w:eastAsia="Arial" w:hAnsi="Verdana" w:cstheme="majorHAnsi"/>
          <w:lang w:val="es-ES"/>
        </w:rPr>
        <w:t xml:space="preserve"> autonomía está reconocida en los artículos 13</w:t>
      </w:r>
      <w:r>
        <w:rPr>
          <w:rStyle w:val="Refdenotaalpie"/>
          <w:rFonts w:ascii="Verdana" w:eastAsia="Arial" w:hAnsi="Verdana" w:cstheme="majorHAnsi"/>
          <w:lang w:val="es-ES"/>
        </w:rPr>
        <w:footnoteReference w:id="11"/>
      </w:r>
      <w:r w:rsidRPr="007873B5">
        <w:rPr>
          <w:rFonts w:ascii="Verdana" w:eastAsia="Arial" w:hAnsi="Verdana" w:cstheme="majorHAnsi"/>
          <w:lang w:val="es-ES"/>
        </w:rPr>
        <w:t>, 32</w:t>
      </w:r>
      <w:r>
        <w:rPr>
          <w:rStyle w:val="Refdenotaalpie"/>
          <w:rFonts w:ascii="Verdana" w:eastAsia="Arial" w:hAnsi="Verdana" w:cstheme="majorHAnsi"/>
          <w:lang w:val="es-ES"/>
        </w:rPr>
        <w:footnoteReference w:id="12"/>
      </w:r>
      <w:r w:rsidRPr="007873B5">
        <w:rPr>
          <w:rFonts w:ascii="Verdana" w:eastAsia="Arial" w:hAnsi="Verdana" w:cstheme="majorHAnsi"/>
          <w:lang w:val="es-ES"/>
        </w:rPr>
        <w:t xml:space="preserve"> y 40 de la Ley 80 de 1993.</w:t>
      </w:r>
      <w:r>
        <w:rPr>
          <w:rFonts w:ascii="Verdana" w:eastAsia="Arial" w:hAnsi="Verdana" w:cstheme="majorHAnsi"/>
          <w:lang w:val="es-ES"/>
        </w:rPr>
        <w:t xml:space="preserve"> En particular, éste último señala que:</w:t>
      </w:r>
    </w:p>
    <w:p w14:paraId="1AA1A9C2" w14:textId="77777777" w:rsidR="00E02CC7" w:rsidRDefault="00E02CC7" w:rsidP="00E02CC7">
      <w:pPr>
        <w:spacing w:after="0" w:line="276" w:lineRule="auto"/>
        <w:ind w:firstLine="708"/>
        <w:jc w:val="both"/>
        <w:rPr>
          <w:rFonts w:ascii="Verdana" w:eastAsia="Arial" w:hAnsi="Verdana" w:cstheme="majorHAnsi"/>
          <w:lang w:val="es-ES"/>
        </w:rPr>
      </w:pPr>
    </w:p>
    <w:p w14:paraId="46FA2DA6" w14:textId="77777777" w:rsidR="00E02CC7" w:rsidRPr="002E4D8E" w:rsidRDefault="00E02CC7" w:rsidP="00E02CC7">
      <w:pPr>
        <w:snapToGrid w:val="0"/>
        <w:spacing w:after="120" w:line="240" w:lineRule="auto"/>
        <w:ind w:left="709" w:right="709"/>
        <w:jc w:val="both"/>
        <w:textAlignment w:val="baseline"/>
        <w:rPr>
          <w:rFonts w:ascii="Verdana" w:eastAsia="Aptos" w:hAnsi="Verdana" w:cs="Arial"/>
          <w:sz w:val="20"/>
          <w:szCs w:val="20"/>
          <w:lang w:val="es-ES" w:eastAsia="es-MX"/>
        </w:rPr>
      </w:pPr>
      <w:r w:rsidRPr="7830631A">
        <w:rPr>
          <w:rFonts w:ascii="Verdana" w:eastAsia="Aptos" w:hAnsi="Verdana" w:cs="Arial"/>
          <w:sz w:val="20"/>
          <w:szCs w:val="20"/>
          <w:lang w:val="es-ES" w:eastAsia="es-MX"/>
        </w:rPr>
        <w:t xml:space="preserve">“Las estipulaciones de los contratos serán las </w:t>
      </w:r>
      <w:proofErr w:type="gramStart"/>
      <w:r w:rsidRPr="7830631A">
        <w:rPr>
          <w:rFonts w:ascii="Verdana" w:eastAsia="Aptos" w:hAnsi="Verdana" w:cs="Arial"/>
          <w:sz w:val="20"/>
          <w:szCs w:val="20"/>
          <w:lang w:val="es-ES" w:eastAsia="es-MX"/>
        </w:rPr>
        <w:t>que</w:t>
      </w:r>
      <w:proofErr w:type="gramEnd"/>
      <w:r w:rsidRPr="7830631A">
        <w:rPr>
          <w:rFonts w:ascii="Verdana" w:eastAsia="Aptos" w:hAnsi="Verdana" w:cs="Arial"/>
          <w:sz w:val="20"/>
          <w:szCs w:val="20"/>
          <w:lang w:val="es-ES" w:eastAsia="es-MX"/>
        </w:rPr>
        <w:t xml:space="preserve"> de acuerdo con las normas civiles, comerciales y las previstas en esta Ley, correspondan a su esencia y naturaleza.</w:t>
      </w:r>
    </w:p>
    <w:p w14:paraId="06B61FA9" w14:textId="77777777" w:rsidR="00E02CC7" w:rsidRPr="002E4D8E" w:rsidRDefault="00E02CC7" w:rsidP="00E02CC7">
      <w:pPr>
        <w:snapToGrid w:val="0"/>
        <w:spacing w:before="120" w:after="120" w:line="240" w:lineRule="auto"/>
        <w:ind w:left="709" w:right="709"/>
        <w:jc w:val="both"/>
        <w:textAlignment w:val="baseline"/>
        <w:rPr>
          <w:rFonts w:ascii="Verdana" w:eastAsia="Aptos" w:hAnsi="Verdana" w:cs="Arial"/>
          <w:sz w:val="20"/>
          <w:szCs w:val="20"/>
          <w:lang w:val="es-ES_tradnl" w:eastAsia="es-MX"/>
        </w:rPr>
      </w:pPr>
      <w:r w:rsidRPr="002E4D8E">
        <w:rPr>
          <w:rFonts w:ascii="Verdana" w:eastAsia="Aptos" w:hAnsi="Verdana" w:cs="Arial"/>
          <w:sz w:val="20"/>
          <w:szCs w:val="20"/>
          <w:lang w:val="es-ES_tradnl" w:eastAsia="es-MX"/>
        </w:rPr>
        <w:t>Las entidades podrán celebrar los contratos y acuerdos que permitan la autonomía de la voluntad y requieran el cumplimiento de los fines estatales.</w:t>
      </w:r>
    </w:p>
    <w:p w14:paraId="13E94E85" w14:textId="77777777" w:rsidR="00E02CC7" w:rsidRPr="002E4D8E" w:rsidRDefault="00E02CC7" w:rsidP="00E02CC7">
      <w:pPr>
        <w:snapToGrid w:val="0"/>
        <w:spacing w:before="120" w:after="120" w:line="240" w:lineRule="auto"/>
        <w:ind w:left="709" w:right="709"/>
        <w:jc w:val="both"/>
        <w:textAlignment w:val="baseline"/>
        <w:rPr>
          <w:rFonts w:ascii="Verdana" w:eastAsia="Aptos" w:hAnsi="Verdana" w:cs="Arial"/>
          <w:sz w:val="20"/>
          <w:szCs w:val="20"/>
          <w:lang w:val="es-ES" w:eastAsia="es-MX"/>
        </w:rPr>
      </w:pPr>
      <w:r w:rsidRPr="7830631A">
        <w:rPr>
          <w:rFonts w:ascii="Verdana" w:eastAsia="Aptos" w:hAnsi="Verdana" w:cs="Arial"/>
          <w:sz w:val="20"/>
          <w:szCs w:val="20"/>
          <w:lang w:val="es-ES" w:eastAsia="es-MX"/>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p>
    <w:p w14:paraId="7875F9AA" w14:textId="77777777" w:rsidR="00E02CC7" w:rsidRDefault="00E02CC7" w:rsidP="00E02CC7">
      <w:pPr>
        <w:snapToGrid w:val="0"/>
        <w:spacing w:before="120" w:after="0" w:line="240" w:lineRule="auto"/>
        <w:ind w:left="709" w:right="709"/>
        <w:jc w:val="both"/>
        <w:textAlignment w:val="baseline"/>
        <w:rPr>
          <w:rFonts w:ascii="Verdana" w:eastAsia="Aptos" w:hAnsi="Verdana" w:cs="Arial"/>
          <w:sz w:val="20"/>
          <w:szCs w:val="20"/>
          <w:lang w:val="es-ES_tradnl" w:eastAsia="es-MX"/>
        </w:rPr>
      </w:pPr>
      <w:r w:rsidRPr="002E4D8E">
        <w:rPr>
          <w:rFonts w:ascii="Verdana" w:eastAsia="Aptos" w:hAnsi="Verdana" w:cs="Arial"/>
          <w:sz w:val="20"/>
          <w:szCs w:val="20"/>
          <w:lang w:val="es-ES_tradnl" w:eastAsia="es-MX"/>
        </w:rPr>
        <w:t>En los contratos de empréstito o cualquier otra forma de financiación de organismos multilaterales, podrán incluirse las previsiones y particularidades contempladas en los reglamentos de tales entidades, que no sean contrarias a la Constitución o a la ley</w:t>
      </w:r>
      <w:r>
        <w:rPr>
          <w:rFonts w:ascii="Verdana" w:eastAsia="Aptos" w:hAnsi="Verdana" w:cs="Arial"/>
          <w:sz w:val="20"/>
          <w:szCs w:val="20"/>
          <w:lang w:val="es-ES_tradnl" w:eastAsia="es-MX"/>
        </w:rPr>
        <w:t xml:space="preserve"> </w:t>
      </w:r>
      <w:r w:rsidRPr="002E4D8E">
        <w:rPr>
          <w:rFonts w:ascii="Verdana" w:eastAsia="Aptos" w:hAnsi="Verdana" w:cs="Arial"/>
          <w:sz w:val="20"/>
          <w:szCs w:val="20"/>
          <w:lang w:val="es-ES_tradnl" w:eastAsia="es-MX"/>
        </w:rPr>
        <w:t>[…]”</w:t>
      </w:r>
    </w:p>
    <w:p w14:paraId="60F7D52F" w14:textId="77777777" w:rsidR="00E02CC7" w:rsidRPr="002E4D8E" w:rsidRDefault="00E02CC7" w:rsidP="00E02CC7">
      <w:pPr>
        <w:snapToGrid w:val="0"/>
        <w:spacing w:after="0" w:line="240" w:lineRule="auto"/>
        <w:ind w:left="709" w:right="709"/>
        <w:jc w:val="both"/>
        <w:textAlignment w:val="baseline"/>
        <w:rPr>
          <w:rFonts w:ascii="Verdana" w:eastAsia="Aptos" w:hAnsi="Verdana" w:cs="Arial"/>
          <w:sz w:val="20"/>
          <w:szCs w:val="20"/>
          <w:lang w:val="es-ES_tradnl" w:eastAsia="es-MX"/>
        </w:rPr>
      </w:pPr>
    </w:p>
    <w:p w14:paraId="1EBA519B" w14:textId="77777777" w:rsidR="00E02CC7" w:rsidRDefault="00E02CC7" w:rsidP="00E02CC7">
      <w:pPr>
        <w:widowControl w:val="0"/>
        <w:tabs>
          <w:tab w:val="left" w:pos="709"/>
        </w:tabs>
        <w:autoSpaceDE w:val="0"/>
        <w:autoSpaceDN w:val="0"/>
        <w:spacing w:after="0" w:line="276" w:lineRule="auto"/>
        <w:jc w:val="both"/>
        <w:outlineLvl w:val="0"/>
        <w:rPr>
          <w:rFonts w:ascii="Verdana" w:eastAsia="Arial" w:hAnsi="Verdana" w:cstheme="majorHAnsi"/>
          <w:lang w:val="es-ES"/>
        </w:rPr>
      </w:pPr>
      <w:bookmarkStart w:id="5" w:name="_Hlk90968338"/>
      <w:bookmarkEnd w:id="2"/>
      <w:r w:rsidRPr="00063B02">
        <w:rPr>
          <w:rFonts w:ascii="Verdana" w:eastAsia="Arial" w:hAnsi="Verdana" w:cstheme="majorHAnsi"/>
          <w:lang w:val="es-ES"/>
        </w:rPr>
        <w:tab/>
      </w:r>
      <w:bookmarkEnd w:id="5"/>
      <w:r>
        <w:rPr>
          <w:rFonts w:ascii="Verdana" w:eastAsia="Arial" w:hAnsi="Verdana" w:cstheme="majorHAnsi"/>
          <w:lang w:val="es-ES"/>
        </w:rPr>
        <w:t>En este sentido, frente a la materia objeto de consulta, se resalta que no existe disposición alguna en el ordenamiento jurídico que impida a las entidades pactar mecanismos que supediten el pago de la interventoría a avances en la</w:t>
      </w:r>
      <w:r w:rsidRPr="00063B02">
        <w:rPr>
          <w:rFonts w:ascii="Verdana" w:eastAsia="Arial" w:hAnsi="Verdana" w:cstheme="majorHAnsi"/>
          <w:lang w:val="es-ES"/>
        </w:rPr>
        <w:t xml:space="preserve"> ejecución de</w:t>
      </w:r>
      <w:r>
        <w:rPr>
          <w:rFonts w:ascii="Verdana" w:eastAsia="Arial" w:hAnsi="Verdana" w:cstheme="majorHAnsi"/>
          <w:lang w:val="es-ES"/>
        </w:rPr>
        <w:t xml:space="preserve"> los</w:t>
      </w:r>
      <w:r w:rsidRPr="00063B02">
        <w:rPr>
          <w:rFonts w:ascii="Verdana" w:eastAsia="Arial" w:hAnsi="Verdana" w:cstheme="majorHAnsi"/>
          <w:lang w:val="es-ES"/>
        </w:rPr>
        <w:t xml:space="preserve"> contrato</w:t>
      </w:r>
      <w:r>
        <w:rPr>
          <w:rFonts w:ascii="Verdana" w:eastAsia="Arial" w:hAnsi="Verdana" w:cstheme="majorHAnsi"/>
          <w:lang w:val="es-ES"/>
        </w:rPr>
        <w:t>s</w:t>
      </w:r>
      <w:r w:rsidRPr="00063B02">
        <w:rPr>
          <w:rFonts w:ascii="Verdana" w:eastAsia="Arial" w:hAnsi="Verdana" w:cstheme="majorHAnsi"/>
          <w:lang w:val="es-ES"/>
        </w:rPr>
        <w:t xml:space="preserve"> de obra</w:t>
      </w:r>
      <w:r w:rsidRPr="007627D5">
        <w:rPr>
          <w:rFonts w:ascii="Verdana" w:eastAsia="Arial" w:hAnsi="Verdana" w:cstheme="majorHAnsi"/>
          <w:lang w:val="es-ES"/>
        </w:rPr>
        <w:t>. Por el contrario,</w:t>
      </w:r>
      <w:r>
        <w:rPr>
          <w:rFonts w:ascii="Verdana" w:eastAsia="Arial" w:hAnsi="Verdana" w:cstheme="majorHAnsi"/>
          <w:lang w:val="es-ES"/>
        </w:rPr>
        <w:t xml:space="preserve"> en virtud de la autonomía de la voluntad, las entidades </w:t>
      </w:r>
      <w:r w:rsidRPr="00063B02">
        <w:rPr>
          <w:rFonts w:ascii="Verdana" w:eastAsia="Arial" w:hAnsi="Verdana" w:cstheme="majorHAnsi"/>
          <w:lang w:val="es-ES"/>
        </w:rPr>
        <w:t>pueden incluir las condiciones de pago que consideren necesarias y convenientes, siempre que no contraríen el ordenamiento jurídico.</w:t>
      </w:r>
      <w:r>
        <w:rPr>
          <w:rFonts w:ascii="Verdana" w:eastAsia="Arial" w:hAnsi="Verdana" w:cstheme="majorHAnsi"/>
          <w:lang w:val="es-ES"/>
        </w:rPr>
        <w:t xml:space="preserve"> Así, podrán </w:t>
      </w:r>
      <w:r w:rsidRPr="007627D5">
        <w:rPr>
          <w:rFonts w:ascii="Verdana" w:eastAsia="Arial" w:hAnsi="Verdana" w:cstheme="majorHAnsi"/>
          <w:lang w:val="es-ES"/>
        </w:rPr>
        <w:t>pactar una condición positiva casual para la exigibilidad de la obligación de pago de la contraprestación a cargo de la entidad contratante, tal como lo posibilitan los artículos 1530, 1531, 1532 y 1534 del Código Civil</w:t>
      </w:r>
      <w:r w:rsidRPr="0084365F">
        <w:rPr>
          <w:rFonts w:ascii="Verdana" w:eastAsia="Arial" w:hAnsi="Verdana" w:cstheme="majorHAnsi"/>
          <w:vertAlign w:val="superscript"/>
          <w:lang w:val="es-ES"/>
        </w:rPr>
        <w:footnoteReference w:id="13"/>
      </w:r>
      <w:r w:rsidRPr="007627D5">
        <w:rPr>
          <w:rFonts w:ascii="Verdana" w:eastAsia="Arial" w:hAnsi="Verdana" w:cstheme="majorHAnsi"/>
          <w:lang w:val="es-ES"/>
        </w:rPr>
        <w:t xml:space="preserve">. </w:t>
      </w:r>
    </w:p>
    <w:p w14:paraId="6CD95F81" w14:textId="77777777" w:rsidR="00E02CC7" w:rsidRDefault="00E02CC7" w:rsidP="00E02CC7">
      <w:pPr>
        <w:widowControl w:val="0"/>
        <w:tabs>
          <w:tab w:val="left" w:pos="709"/>
        </w:tabs>
        <w:autoSpaceDE w:val="0"/>
        <w:autoSpaceDN w:val="0"/>
        <w:spacing w:before="120" w:line="276" w:lineRule="auto"/>
        <w:jc w:val="both"/>
        <w:outlineLvl w:val="0"/>
        <w:rPr>
          <w:rFonts w:ascii="Verdana" w:eastAsia="Arial" w:hAnsi="Verdana" w:cstheme="majorHAnsi"/>
          <w:lang w:val="es-ES"/>
        </w:rPr>
      </w:pPr>
      <w:r>
        <w:rPr>
          <w:rFonts w:ascii="Verdana" w:eastAsia="Arial" w:hAnsi="Verdana" w:cstheme="majorHAnsi"/>
          <w:lang w:val="es-ES"/>
        </w:rPr>
        <w:lastRenderedPageBreak/>
        <w:tab/>
        <w:t>Se deriva de lo anterior, que</w:t>
      </w:r>
      <w:r w:rsidRPr="007627D5">
        <w:rPr>
          <w:rFonts w:ascii="Verdana" w:eastAsia="Arial" w:hAnsi="Verdana" w:cstheme="majorHAnsi"/>
          <w:lang w:val="es-ES"/>
        </w:rPr>
        <w:t xml:space="preserve"> las entidades </w:t>
      </w:r>
      <w:r>
        <w:rPr>
          <w:rFonts w:ascii="Verdana" w:eastAsia="Arial" w:hAnsi="Verdana" w:cstheme="majorHAnsi"/>
          <w:lang w:val="es-ES"/>
        </w:rPr>
        <w:t xml:space="preserve">pueden </w:t>
      </w:r>
      <w:r w:rsidRPr="007627D5">
        <w:rPr>
          <w:rFonts w:ascii="Verdana" w:eastAsia="Arial" w:hAnsi="Verdana" w:cstheme="majorHAnsi"/>
          <w:lang w:val="es-ES"/>
        </w:rPr>
        <w:t>pactar el pago contra avance</w:t>
      </w:r>
      <w:r>
        <w:rPr>
          <w:rFonts w:ascii="Verdana" w:eastAsia="Arial" w:hAnsi="Verdana" w:cstheme="majorHAnsi"/>
          <w:lang w:val="es-ES"/>
        </w:rPr>
        <w:t>s</w:t>
      </w:r>
      <w:r w:rsidRPr="007627D5">
        <w:rPr>
          <w:rFonts w:ascii="Verdana" w:eastAsia="Arial" w:hAnsi="Verdana" w:cstheme="majorHAnsi"/>
          <w:lang w:val="es-ES"/>
        </w:rPr>
        <w:t xml:space="preserve"> de la obra objeto de interventoría, siempre que esta decisión se encuentre soportada en una debida planeación que justifique que la estipulación es razonable para el caso concreto</w:t>
      </w:r>
      <w:r>
        <w:rPr>
          <w:rFonts w:ascii="Verdana" w:eastAsia="Arial" w:hAnsi="Verdana" w:cstheme="majorHAnsi"/>
          <w:lang w:val="es-ES"/>
        </w:rPr>
        <w:t xml:space="preserve">. Sin embargo, esto no implica que las entidades puedan supeditar el pago de la interventoría </w:t>
      </w:r>
      <w:r w:rsidRPr="00CB2065">
        <w:rPr>
          <w:rFonts w:ascii="Verdana" w:eastAsia="Arial" w:hAnsi="Verdana" w:cstheme="majorHAnsi"/>
          <w:i/>
          <w:iCs/>
          <w:lang w:val="es-ES"/>
        </w:rPr>
        <w:t>en su totalidad o de manera exclusiva</w:t>
      </w:r>
      <w:r>
        <w:rPr>
          <w:rFonts w:ascii="Verdana" w:eastAsia="Arial" w:hAnsi="Verdana" w:cstheme="majorHAnsi"/>
          <w:lang w:val="es-ES"/>
        </w:rPr>
        <w:t xml:space="preserve"> al cumplimiento del contrato de obra. Este límite fue señalado por el Consejo de Estado de la siguiente forma:</w:t>
      </w:r>
    </w:p>
    <w:p w14:paraId="6A31BA8B" w14:textId="77777777" w:rsidR="00E02CC7" w:rsidRPr="004F37D9" w:rsidRDefault="00E02CC7" w:rsidP="00E02CC7">
      <w:pPr>
        <w:snapToGrid w:val="0"/>
        <w:spacing w:before="120" w:after="0" w:line="240" w:lineRule="auto"/>
        <w:ind w:left="709" w:right="709"/>
        <w:jc w:val="both"/>
        <w:textAlignment w:val="baseline"/>
        <w:rPr>
          <w:rFonts w:ascii="Verdana" w:eastAsia="Aptos" w:hAnsi="Verdana" w:cs="Arial"/>
          <w:sz w:val="20"/>
          <w:szCs w:val="20"/>
          <w:lang w:val="es-ES_tradnl" w:eastAsia="es-MX"/>
        </w:rPr>
      </w:pPr>
      <w:r w:rsidRPr="004F37D9">
        <w:rPr>
          <w:rFonts w:ascii="Verdana" w:eastAsia="Aptos" w:hAnsi="Verdana" w:cs="Arial"/>
          <w:sz w:val="20"/>
          <w:szCs w:val="20"/>
          <w:lang w:val="es-ES_tradnl" w:eastAsia="es-MX"/>
        </w:rPr>
        <w:t>“[…] la sujeción del pago de la contraprestación atinente al contrato de interventoría, subordinada en un ciento por ciento al cumplimiento del contrato supervisado, eventualmente y, en principio, podría encajar en el supuesto previsto en el literal d) numeral 5 del artículo 24 de la Ley 80 de 1993, que castiga con ineficacia de pleno derecho una estipulación de imposible cumplimiento, toda vez que, como se precisó́, el objeto del contrato de interventoría en línea con su naturaleza no se traduce en la garantía de la satisfacción del objeto del negocio jurídico intervenido, por lo que no resulta posible ofrecer que las obligaciones del contrato objeto de seguimiento serán acatadas a plenitud, ya que tal circunstancia no depende de manera directa del que se obliga a que así sea, sino de la actuación y voluntad de un tercero”</w:t>
      </w:r>
      <w:r w:rsidRPr="004F37D9">
        <w:rPr>
          <w:rStyle w:val="Refdenotaalpie"/>
          <w:rFonts w:ascii="Verdana" w:eastAsia="Arial" w:hAnsi="Verdana" w:cstheme="majorHAnsi"/>
          <w:sz w:val="20"/>
          <w:szCs w:val="20"/>
          <w:lang w:val="es-ES"/>
        </w:rPr>
        <w:t xml:space="preserve"> </w:t>
      </w:r>
      <w:r w:rsidRPr="004F37D9">
        <w:rPr>
          <w:rStyle w:val="Refdenotaalpie"/>
          <w:rFonts w:ascii="Verdana" w:eastAsia="Arial" w:hAnsi="Verdana" w:cstheme="majorHAnsi"/>
          <w:sz w:val="20"/>
          <w:szCs w:val="20"/>
          <w:lang w:val="es-ES"/>
        </w:rPr>
        <w:footnoteReference w:id="14"/>
      </w:r>
      <w:r w:rsidRPr="004F37D9">
        <w:rPr>
          <w:rFonts w:ascii="Verdana" w:eastAsia="Aptos" w:hAnsi="Verdana" w:cs="Arial"/>
          <w:sz w:val="20"/>
          <w:szCs w:val="20"/>
          <w:lang w:val="es-ES_tradnl" w:eastAsia="es-MX"/>
        </w:rPr>
        <w:t xml:space="preserve">. </w:t>
      </w:r>
    </w:p>
    <w:p w14:paraId="10CE48E1" w14:textId="77777777" w:rsidR="00E02CC7" w:rsidRDefault="00E02CC7" w:rsidP="00E02CC7">
      <w:pPr>
        <w:snapToGrid w:val="0"/>
        <w:spacing w:after="0" w:line="240" w:lineRule="auto"/>
        <w:ind w:left="709" w:right="709"/>
        <w:jc w:val="both"/>
        <w:textAlignment w:val="baseline"/>
        <w:rPr>
          <w:rFonts w:ascii="Verdana" w:eastAsia="Aptos" w:hAnsi="Verdana" w:cs="Arial"/>
          <w:sz w:val="21"/>
          <w:szCs w:val="21"/>
          <w:lang w:val="es-ES_tradnl" w:eastAsia="es-MX"/>
        </w:rPr>
      </w:pPr>
    </w:p>
    <w:p w14:paraId="54CEA62C" w14:textId="77777777" w:rsidR="00E02CC7" w:rsidRDefault="00E02CC7" w:rsidP="00E02CC7">
      <w:pPr>
        <w:snapToGrid w:val="0"/>
        <w:spacing w:after="0" w:line="276" w:lineRule="auto"/>
        <w:ind w:right="49" w:firstLine="708"/>
        <w:jc w:val="both"/>
        <w:textAlignment w:val="baseline"/>
        <w:rPr>
          <w:rFonts w:ascii="Verdana" w:hAnsi="Verdana" w:cs="Arial"/>
        </w:rPr>
      </w:pPr>
      <w:r>
        <w:rPr>
          <w:rFonts w:ascii="Verdana" w:eastAsia="Arial" w:hAnsi="Verdana" w:cstheme="majorHAnsi"/>
          <w:lang w:val="es-ES"/>
        </w:rPr>
        <w:t xml:space="preserve">Es decir, las Entidades Estatales no podrán sujetar </w:t>
      </w:r>
      <w:r w:rsidRPr="00CB2065">
        <w:rPr>
          <w:rFonts w:ascii="Verdana" w:eastAsia="Arial" w:hAnsi="Verdana" w:cstheme="majorHAnsi"/>
          <w:i/>
          <w:iCs/>
          <w:lang w:val="es-ES"/>
        </w:rPr>
        <w:t>la totalidad</w:t>
      </w:r>
      <w:r>
        <w:rPr>
          <w:rFonts w:ascii="Verdana" w:eastAsia="Arial" w:hAnsi="Verdana" w:cstheme="majorHAnsi"/>
          <w:lang w:val="es-ES"/>
        </w:rPr>
        <w:t xml:space="preserve"> del pago de interventoría a la ejecución o cumplimiento del contrato de obra vigilado, so pena de que dicha cláusula sea ineficaz de pleno al derecho por disposición expresa del </w:t>
      </w:r>
      <w:r w:rsidRPr="003428BC">
        <w:rPr>
          <w:rFonts w:ascii="Verdana" w:eastAsia="Arial" w:hAnsi="Verdana" w:cstheme="majorHAnsi"/>
        </w:rPr>
        <w:t>literal d) numeral 5 del artículo 24 de la Ley 80 de 1993</w:t>
      </w:r>
      <w:r>
        <w:rPr>
          <w:rStyle w:val="Refdenotaalpie"/>
          <w:rFonts w:ascii="Verdana" w:eastAsia="Arial" w:hAnsi="Verdana" w:cstheme="majorHAnsi"/>
        </w:rPr>
        <w:footnoteReference w:id="15"/>
      </w:r>
      <w:r>
        <w:rPr>
          <w:rFonts w:ascii="Verdana" w:eastAsia="Arial" w:hAnsi="Verdana" w:cstheme="majorHAnsi"/>
        </w:rPr>
        <w:t>, pues el supeditar el pago a la acción de un tercero implica que se ha pactado una cláusula de imposible cumplimiento para el interventor. Adicionalmente, este tipo de acuerdo de pago contraría la naturaleza del contrato de interventoría porque desconoce que el incumplimiento del contratista vigilad</w:t>
      </w:r>
      <w:r w:rsidRPr="00CB2065">
        <w:rPr>
          <w:rFonts w:ascii="Verdana" w:eastAsia="Arial" w:hAnsi="Verdana" w:cstheme="majorHAnsi"/>
        </w:rPr>
        <w:t>o “</w:t>
      </w:r>
      <w:r w:rsidRPr="00E9743E">
        <w:rPr>
          <w:rFonts w:ascii="Verdana" w:hAnsi="Verdana" w:cs="Arial"/>
        </w:rPr>
        <w:t xml:space="preserve">no se traduce en que </w:t>
      </w:r>
      <w:r w:rsidRPr="00CB2065">
        <w:rPr>
          <w:rFonts w:ascii="Verdana" w:hAnsi="Verdana" w:cs="Arial"/>
        </w:rPr>
        <w:t xml:space="preserve">[…] </w:t>
      </w:r>
      <w:r w:rsidRPr="00E9743E">
        <w:rPr>
          <w:rFonts w:ascii="Verdana" w:hAnsi="Verdana" w:cs="Arial"/>
        </w:rPr>
        <w:t xml:space="preserve">la labor de la interventoría automáticamente adolezca del mismo </w:t>
      </w:r>
      <w:r w:rsidRPr="00E9743E">
        <w:rPr>
          <w:rFonts w:ascii="Verdana" w:hAnsi="Verdana" w:cs="Arial"/>
        </w:rPr>
        <w:lastRenderedPageBreak/>
        <w:t>reproche o que ese hecho pueda entenderse o equipararse como una desatención de las obligaciones contraídas en el marco de este v</w:t>
      </w:r>
      <w:r>
        <w:rPr>
          <w:rFonts w:ascii="Verdana" w:hAnsi="Verdana" w:cs="Arial"/>
        </w:rPr>
        <w:t>í</w:t>
      </w:r>
      <w:r w:rsidRPr="00E9743E">
        <w:rPr>
          <w:rFonts w:ascii="Verdana" w:hAnsi="Verdana" w:cs="Arial"/>
        </w:rPr>
        <w:t>nculo negocial</w:t>
      </w:r>
      <w:r w:rsidRPr="00CB2065">
        <w:rPr>
          <w:rFonts w:ascii="Verdana" w:hAnsi="Verdana" w:cs="Arial"/>
        </w:rPr>
        <w:t>”</w:t>
      </w:r>
      <w:r w:rsidRPr="00CB2065">
        <w:rPr>
          <w:rStyle w:val="Refdenotaalpie"/>
          <w:rFonts w:ascii="Verdana" w:hAnsi="Verdana" w:cs="Arial"/>
        </w:rPr>
        <w:footnoteReference w:id="16"/>
      </w:r>
      <w:r w:rsidRPr="00E9743E">
        <w:rPr>
          <w:rFonts w:ascii="Verdana" w:hAnsi="Verdana" w:cs="Arial"/>
        </w:rPr>
        <w:t xml:space="preserve">. </w:t>
      </w:r>
      <w:bookmarkEnd w:id="1"/>
    </w:p>
    <w:p w14:paraId="16C9B5F0" w14:textId="77777777" w:rsidR="00E02CC7" w:rsidRPr="00CB2065" w:rsidRDefault="00E02CC7" w:rsidP="00E02CC7">
      <w:pPr>
        <w:snapToGrid w:val="0"/>
        <w:spacing w:after="0" w:line="276" w:lineRule="auto"/>
        <w:ind w:right="49" w:firstLine="708"/>
        <w:jc w:val="both"/>
        <w:textAlignment w:val="baseline"/>
        <w:rPr>
          <w:rFonts w:ascii="Verdana" w:hAnsi="Verdana" w:cs="Arial"/>
        </w:rPr>
      </w:pPr>
    </w:p>
    <w:p w14:paraId="53556465" w14:textId="77777777" w:rsidR="00E02CC7" w:rsidRDefault="00E02CC7" w:rsidP="00E02CC7">
      <w:pPr>
        <w:pStyle w:val="NormalWeb"/>
        <w:spacing w:before="0" w:beforeAutospacing="0" w:after="120" w:afterAutospacing="0" w:line="276" w:lineRule="auto"/>
        <w:jc w:val="both"/>
        <w:rPr>
          <w:rFonts w:ascii="Verdana" w:eastAsia="Calibri" w:hAnsi="Verdana" w:cs="Arial"/>
          <w:color w:val="000000"/>
          <w:kern w:val="2"/>
          <w:sz w:val="22"/>
          <w:szCs w:val="22"/>
          <w:lang w:val="es-MX" w:eastAsia="en-US"/>
          <w14:ligatures w14:val="standardContextual"/>
        </w:rPr>
      </w:pPr>
      <w:r>
        <w:rPr>
          <w:rFonts w:ascii="Verdana" w:eastAsia="Calibri" w:hAnsi="Verdana" w:cs="Arial"/>
          <w:color w:val="000000"/>
          <w:kern w:val="2"/>
          <w:sz w:val="22"/>
          <w:szCs w:val="22"/>
          <w:lang w:val="es-MX" w:eastAsia="en-US"/>
          <w14:ligatures w14:val="standardContextual"/>
        </w:rPr>
        <w:t xml:space="preserve">iii) </w:t>
      </w:r>
      <w:r w:rsidRPr="00CB2065">
        <w:rPr>
          <w:rFonts w:ascii="Verdana" w:eastAsia="Calibri" w:hAnsi="Verdana" w:cs="Arial"/>
          <w:color w:val="000000"/>
          <w:kern w:val="2"/>
          <w:sz w:val="22"/>
          <w:szCs w:val="22"/>
          <w:lang w:val="es-MX" w:eastAsia="en-US"/>
          <w14:ligatures w14:val="standardContextual"/>
        </w:rPr>
        <w:t>Al margen de la explicación precedente debe advertirse que</w:t>
      </w:r>
      <w:r>
        <w:rPr>
          <w:rFonts w:ascii="Verdana" w:eastAsia="Calibri" w:hAnsi="Verdana" w:cs="Arial"/>
          <w:color w:val="000000"/>
          <w:kern w:val="2"/>
          <w:sz w:val="22"/>
          <w:szCs w:val="22"/>
          <w:lang w:val="es-MX" w:eastAsia="en-US"/>
          <w14:ligatures w14:val="standardContextual"/>
        </w:rPr>
        <w:t xml:space="preserve">, en virtud de la </w:t>
      </w:r>
      <w:r w:rsidRPr="00603095">
        <w:rPr>
          <w:rFonts w:ascii="Verdana" w:eastAsia="Calibri" w:hAnsi="Verdana" w:cs="Arial"/>
          <w:color w:val="000000"/>
          <w:kern w:val="2"/>
          <w:sz w:val="22"/>
          <w:szCs w:val="22"/>
          <w:lang w:val="es-MX" w:eastAsia="en-US"/>
          <w14:ligatures w14:val="standardContextual"/>
        </w:rPr>
        <w:t>Ley 2022 de 2020</w:t>
      </w:r>
      <w:r>
        <w:rPr>
          <w:rFonts w:ascii="Verdana" w:eastAsia="Calibri" w:hAnsi="Verdana" w:cs="Arial"/>
          <w:color w:val="000000"/>
          <w:kern w:val="2"/>
          <w:sz w:val="22"/>
          <w:szCs w:val="22"/>
          <w:lang w:val="es-MX" w:eastAsia="en-US"/>
          <w14:ligatures w14:val="standardContextual"/>
        </w:rPr>
        <w:t xml:space="preserve">, la cual modificó el artículo 4 de la </w:t>
      </w:r>
      <w:r w:rsidRPr="00603095">
        <w:rPr>
          <w:rFonts w:ascii="Verdana" w:eastAsia="Calibri" w:hAnsi="Verdana" w:cs="Arial"/>
          <w:color w:val="000000"/>
          <w:kern w:val="2"/>
          <w:sz w:val="22"/>
          <w:szCs w:val="22"/>
          <w:lang w:val="es-MX" w:eastAsia="en-US"/>
          <w14:ligatures w14:val="standardContextual"/>
        </w:rPr>
        <w:t>Ley 1882 de 2018</w:t>
      </w:r>
      <w:r>
        <w:rPr>
          <w:rFonts w:ascii="Verdana" w:eastAsia="Calibri" w:hAnsi="Verdana" w:cs="Arial"/>
          <w:color w:val="000000"/>
          <w:kern w:val="2"/>
          <w:sz w:val="22"/>
          <w:szCs w:val="22"/>
          <w:lang w:val="es-MX" w:eastAsia="en-US"/>
          <w14:ligatures w14:val="standardContextual"/>
        </w:rPr>
        <w:t xml:space="preserve">, las Entidades Estatales cuya contratación se rige por el Estatuto General de Contratación de la Administración Pública -EGCAP- deberán aplicar de manera obligatoria los Documentos Tipo adoptados por </w:t>
      </w:r>
      <w:r w:rsidRPr="00603095">
        <w:rPr>
          <w:rFonts w:ascii="Verdana" w:eastAsia="Calibri" w:hAnsi="Verdana" w:cs="Arial"/>
          <w:color w:val="000000"/>
          <w:kern w:val="2"/>
          <w:sz w:val="22"/>
          <w:szCs w:val="22"/>
          <w:lang w:val="es-MX" w:eastAsia="en-US"/>
          <w14:ligatures w14:val="standardContextual"/>
        </w:rPr>
        <w:t>la Agencia Nacional de Contratación Pública – Colombia Compra Eficiente</w:t>
      </w:r>
      <w:r>
        <w:rPr>
          <w:rFonts w:ascii="Verdana" w:eastAsia="Calibri" w:hAnsi="Verdana" w:cs="Arial"/>
          <w:color w:val="000000"/>
          <w:kern w:val="2"/>
          <w:sz w:val="22"/>
          <w:szCs w:val="22"/>
          <w:lang w:val="es-MX" w:eastAsia="en-US"/>
          <w14:ligatures w14:val="standardContextual"/>
        </w:rPr>
        <w:t>.</w:t>
      </w:r>
    </w:p>
    <w:p w14:paraId="0DF956FA" w14:textId="77777777" w:rsidR="00E02CC7" w:rsidRPr="003160BA" w:rsidRDefault="00E02CC7" w:rsidP="00E02CC7">
      <w:pPr>
        <w:pStyle w:val="NormalWeb"/>
        <w:spacing w:before="120" w:beforeAutospacing="0" w:after="120" w:afterAutospacing="0" w:line="276" w:lineRule="auto"/>
        <w:ind w:firstLine="708"/>
        <w:jc w:val="both"/>
        <w:rPr>
          <w:rFonts w:ascii="Verdana" w:eastAsia="Calibri" w:hAnsi="Verdana" w:cs="Arial"/>
          <w:color w:val="000000"/>
          <w:kern w:val="2"/>
          <w:sz w:val="22"/>
          <w:szCs w:val="22"/>
          <w:lang w:val="es-MX" w:eastAsia="en-US"/>
          <w14:ligatures w14:val="standardContextual"/>
        </w:rPr>
      </w:pPr>
      <w:r w:rsidRPr="003160BA">
        <w:rPr>
          <w:rFonts w:ascii="Verdana" w:eastAsia="Calibri" w:hAnsi="Verdana" w:cs="Arial"/>
          <w:color w:val="000000"/>
          <w:kern w:val="2"/>
          <w:sz w:val="22"/>
          <w:szCs w:val="22"/>
          <w:lang w:val="es-MX" w:eastAsia="en-US"/>
          <w14:ligatures w14:val="standardContextual"/>
        </w:rPr>
        <w:t>Con sustento en esta competencia, esta Agencia ha expedido diversos grupos de Documentos Tipo aplicables principalmente a la contratación de obras públicas de infraestructura de transporte, agua potable, saneamiento básico y social, pero también para interventoría y consultoría de estudios de ingeniería. Así mismo, la Agencia también ha expedido Documentos Tipo para la modalidad de selección de contratación directa, para los procesos de gestión catastral con enfoque multipropósito que se celebren a través de contratos interadministrativos y para la contratación directa de convenios solidarios para la ejecución de obras hasta la menor cuantía con organismos de acción comunal.</w:t>
      </w:r>
    </w:p>
    <w:p w14:paraId="318A77F5" w14:textId="77777777" w:rsidR="00E02CC7" w:rsidRDefault="00E02CC7" w:rsidP="00E02CC7">
      <w:pPr>
        <w:tabs>
          <w:tab w:val="left" w:pos="709"/>
        </w:tabs>
        <w:snapToGrid w:val="0"/>
        <w:spacing w:before="120" w:after="120" w:line="276" w:lineRule="auto"/>
        <w:ind w:firstLine="708"/>
        <w:jc w:val="both"/>
        <w:rPr>
          <w:rFonts w:ascii="Verdana" w:eastAsia="Calibri" w:hAnsi="Verdana" w:cs="Arial"/>
          <w:bCs/>
          <w:lang w:val="es-ES"/>
        </w:rPr>
      </w:pPr>
      <w:r>
        <w:rPr>
          <w:rFonts w:ascii="Verdana" w:eastAsia="Calibri" w:hAnsi="Verdana" w:cs="Arial"/>
          <w:lang w:val="es-ES_tradnl"/>
        </w:rPr>
        <w:t>En este sentido, las entidades deberán verificar si los procesos de contratación de interventoría que adelanten se encuentran cobijados por l</w:t>
      </w:r>
      <w:r w:rsidRPr="00454626">
        <w:rPr>
          <w:rFonts w:ascii="Verdana" w:eastAsia="Calibri" w:hAnsi="Verdana" w:cs="Arial"/>
          <w:lang w:val="es-ES_tradnl"/>
        </w:rPr>
        <w:t xml:space="preserve">os Documentos Tipo expedidos por </w:t>
      </w:r>
      <w:r>
        <w:rPr>
          <w:rFonts w:ascii="Verdana" w:eastAsia="Calibri" w:hAnsi="Verdana" w:cs="Arial"/>
          <w:lang w:val="es-ES_tradnl"/>
        </w:rPr>
        <w:t xml:space="preserve">la Agencia Nacional de Contratación Pública </w:t>
      </w:r>
      <w:r>
        <w:rPr>
          <w:rFonts w:ascii="Symbol" w:eastAsia="Symbol" w:hAnsi="Symbol" w:cs="Symbol"/>
          <w:lang w:val="es-ES_tradnl"/>
        </w:rPr>
        <w:t>-</w:t>
      </w:r>
      <w:r>
        <w:rPr>
          <w:rFonts w:ascii="Verdana" w:eastAsia="Calibri" w:hAnsi="Verdana" w:cs="Arial"/>
          <w:lang w:val="es-ES_tradnl"/>
        </w:rPr>
        <w:t xml:space="preserve"> Colombia Compra Eficiente</w:t>
      </w:r>
      <w:r>
        <w:rPr>
          <w:rStyle w:val="Refdenotaalpie"/>
          <w:rFonts w:ascii="Verdana" w:eastAsia="Calibri" w:hAnsi="Verdana" w:cs="Arial"/>
          <w:lang w:val="es-ES_tradnl"/>
        </w:rPr>
        <w:footnoteReference w:id="17"/>
      </w:r>
      <w:r>
        <w:rPr>
          <w:rFonts w:ascii="Verdana" w:eastAsia="Calibri" w:hAnsi="Verdana" w:cs="Arial"/>
          <w:lang w:val="es-ES_tradnl"/>
        </w:rPr>
        <w:t xml:space="preserve">. De esta manera, si </w:t>
      </w:r>
      <w:r w:rsidRPr="008E79FF">
        <w:rPr>
          <w:rFonts w:ascii="Verdana" w:eastAsia="Calibri" w:hAnsi="Verdana" w:cs="Arial"/>
          <w:bCs/>
          <w:lang w:val="es-ES"/>
        </w:rPr>
        <w:t xml:space="preserve">el objeto contractual y la modalidad en la que debe contratarse están dentro del ámbito de aplicación de </w:t>
      </w:r>
      <w:r>
        <w:rPr>
          <w:rFonts w:ascii="Verdana" w:eastAsia="Calibri" w:hAnsi="Verdana" w:cs="Arial"/>
          <w:bCs/>
          <w:lang w:val="es-ES"/>
        </w:rPr>
        <w:t>sus</w:t>
      </w:r>
      <w:r w:rsidRPr="008E79FF">
        <w:rPr>
          <w:rFonts w:ascii="Verdana" w:eastAsia="Calibri" w:hAnsi="Verdana" w:cs="Arial"/>
          <w:bCs/>
          <w:lang w:val="es-ES"/>
        </w:rPr>
        <w:t xml:space="preserve"> resoluciones</w:t>
      </w:r>
      <w:r>
        <w:rPr>
          <w:rFonts w:ascii="Verdana" w:eastAsia="Calibri" w:hAnsi="Verdana" w:cs="Arial"/>
          <w:bCs/>
          <w:lang w:val="es-ES"/>
        </w:rPr>
        <w:t>, el proceso de contratación deberá adelantarse de acuerdo con las condiciones que allí se señalen.</w:t>
      </w:r>
    </w:p>
    <w:p w14:paraId="2828C241" w14:textId="77777777" w:rsidR="00E02CC7" w:rsidRDefault="00E02CC7" w:rsidP="00E02CC7">
      <w:pPr>
        <w:tabs>
          <w:tab w:val="left" w:pos="709"/>
        </w:tabs>
        <w:snapToGrid w:val="0"/>
        <w:spacing w:before="120" w:after="120" w:line="276" w:lineRule="auto"/>
        <w:ind w:firstLine="708"/>
        <w:jc w:val="both"/>
        <w:rPr>
          <w:rFonts w:ascii="Verdana" w:eastAsia="Calibri" w:hAnsi="Verdana" w:cs="Arial"/>
          <w:kern w:val="2"/>
          <w:lang w:val="es-ES_tradnl"/>
          <w14:ligatures w14:val="standardContextual"/>
        </w:rPr>
      </w:pPr>
      <w:r>
        <w:rPr>
          <w:rFonts w:ascii="Verdana" w:eastAsia="Calibri" w:hAnsi="Verdana" w:cs="Arial"/>
          <w:bCs/>
          <w:lang w:val="es-ES"/>
        </w:rPr>
        <w:t xml:space="preserve">Cuando el proceso para contratar la interventoría se encuentre cobijado por los Documentos Tipo, las entidades deberán aplicar de forma obligatoria las disposiciones que señalen para determinar el precio y la forma de pago. </w:t>
      </w:r>
      <w:r>
        <w:rPr>
          <w:rFonts w:ascii="Verdana" w:eastAsia="Times New Roman" w:hAnsi="Verdana" w:cs="Arial"/>
          <w:kern w:val="2"/>
          <w:shd w:val="clear" w:color="auto" w:fill="FFFFFF"/>
          <w:lang w:val="es-ES" w:eastAsia="es-ES"/>
          <w14:ligatures w14:val="standardContextual"/>
        </w:rPr>
        <w:t xml:space="preserve">Es decir, que no podrán alterar en contenido de </w:t>
      </w:r>
      <w:proofErr w:type="gramStart"/>
      <w:r>
        <w:rPr>
          <w:rFonts w:ascii="Verdana" w:eastAsia="Times New Roman" w:hAnsi="Verdana" w:cs="Arial"/>
          <w:kern w:val="2"/>
          <w:shd w:val="clear" w:color="auto" w:fill="FFFFFF"/>
          <w:lang w:val="es-ES" w:eastAsia="es-ES"/>
          <w14:ligatures w14:val="standardContextual"/>
        </w:rPr>
        <w:t>éstas</w:t>
      </w:r>
      <w:proofErr w:type="gramEnd"/>
      <w:r>
        <w:rPr>
          <w:rFonts w:ascii="Verdana" w:eastAsia="Times New Roman" w:hAnsi="Verdana" w:cs="Arial"/>
          <w:kern w:val="2"/>
          <w:shd w:val="clear" w:color="auto" w:fill="FFFFFF"/>
          <w:lang w:val="es-ES" w:eastAsia="es-ES"/>
          <w14:ligatures w14:val="standardContextual"/>
        </w:rPr>
        <w:t xml:space="preserve"> cláusulas, salvo en</w:t>
      </w:r>
      <w:r w:rsidRPr="000F540C">
        <w:rPr>
          <w:rFonts w:ascii="Verdana" w:eastAsia="Times New Roman" w:hAnsi="Verdana" w:cs="Arial"/>
          <w:kern w:val="2"/>
          <w:shd w:val="clear" w:color="auto" w:fill="FFFFFF"/>
          <w:lang w:val="es-ES" w:eastAsia="es-ES"/>
          <w14:ligatures w14:val="standardContextual"/>
        </w:rPr>
        <w:t xml:space="preserve"> aquellos aspectos </w:t>
      </w:r>
      <w:r>
        <w:rPr>
          <w:rFonts w:ascii="Verdana" w:eastAsia="Times New Roman" w:hAnsi="Verdana" w:cs="Arial"/>
          <w:kern w:val="2"/>
          <w:shd w:val="clear" w:color="auto" w:fill="FFFFFF"/>
          <w:lang w:val="es-ES" w:eastAsia="es-ES"/>
          <w14:ligatures w14:val="standardContextual"/>
        </w:rPr>
        <w:t xml:space="preserve">que el documento lo permita, es decir, en las disposiciones que </w:t>
      </w:r>
      <w:r w:rsidRPr="000F540C">
        <w:rPr>
          <w:rFonts w:ascii="Verdana" w:eastAsia="Times New Roman" w:hAnsi="Verdana" w:cs="Arial"/>
          <w:kern w:val="2"/>
          <w:shd w:val="clear" w:color="auto" w:fill="FFFFFF"/>
          <w:lang w:val="es-ES" w:eastAsia="es-ES"/>
          <w14:ligatures w14:val="standardContextual"/>
        </w:rPr>
        <w:t xml:space="preserve">se encuentran entre corchetes y resaltados en gris </w:t>
      </w:r>
      <w:r w:rsidRPr="000F540C">
        <w:rPr>
          <w:rFonts w:ascii="Verdana" w:eastAsia="Times New Roman" w:hAnsi="Verdana" w:cs="Arial"/>
          <w:kern w:val="2"/>
          <w:highlight w:val="lightGray"/>
          <w:shd w:val="clear" w:color="auto" w:fill="FFFFFF"/>
          <w:lang w:val="es-ES" w:eastAsia="es-ES"/>
          <w14:ligatures w14:val="standardContextual"/>
        </w:rPr>
        <w:t>–[texto]–</w:t>
      </w:r>
      <w:r>
        <w:rPr>
          <w:rFonts w:ascii="Verdana" w:eastAsia="Times New Roman" w:hAnsi="Verdana" w:cs="Arial"/>
          <w:kern w:val="2"/>
          <w:shd w:val="clear" w:color="auto" w:fill="FFFFFF"/>
          <w:lang w:val="es-ES" w:eastAsia="es-ES"/>
          <w14:ligatures w14:val="standardContextual"/>
        </w:rPr>
        <w:t>.</w:t>
      </w:r>
      <w:r>
        <w:rPr>
          <w:rFonts w:ascii="Verdana" w:eastAsia="Calibri" w:hAnsi="Verdana" w:cs="Arial"/>
          <w:lang w:val="es-ES_tradnl"/>
        </w:rPr>
        <w:t xml:space="preserve"> </w:t>
      </w:r>
      <w:proofErr w:type="gramStart"/>
      <w:r>
        <w:rPr>
          <w:rFonts w:ascii="Verdana" w:eastAsia="Times New Roman" w:hAnsi="Verdana" w:cs="Arial"/>
          <w:kern w:val="2"/>
          <w:shd w:val="clear" w:color="auto" w:fill="FFFFFF"/>
          <w:lang w:val="es-ES_tradnl" w:eastAsia="es-ES_tradnl"/>
          <w14:ligatures w14:val="standardContextual"/>
        </w:rPr>
        <w:t>Así</w:t>
      </w:r>
      <w:proofErr w:type="gramEnd"/>
      <w:r>
        <w:rPr>
          <w:rFonts w:ascii="Verdana" w:eastAsia="Times New Roman" w:hAnsi="Verdana" w:cs="Arial"/>
          <w:kern w:val="2"/>
          <w:shd w:val="clear" w:color="auto" w:fill="FFFFFF"/>
          <w:lang w:val="es-ES_tradnl" w:eastAsia="es-ES_tradnl"/>
          <w14:ligatures w14:val="standardContextual"/>
        </w:rPr>
        <w:t xml:space="preserve"> por ejemplo, en </w:t>
      </w:r>
      <w:r>
        <w:rPr>
          <w:rFonts w:ascii="Verdana" w:eastAsia="Times New Roman" w:hAnsi="Verdana" w:cs="Arial"/>
          <w:kern w:val="2"/>
          <w:shd w:val="clear" w:color="auto" w:fill="FFFFFF"/>
          <w:lang w:val="es-ES_tradnl" w:eastAsia="es-ES_tradnl"/>
          <w14:ligatures w14:val="standardContextual"/>
        </w:rPr>
        <w:lastRenderedPageBreak/>
        <w:t xml:space="preserve">el caso de los Documentos Tipo de interventoría de obra pública de infraestructura de transporte, las entidades estatales deberán fijar el valor del contrato y la forma de pago en los términos establecidos en las Cláusulas 5 y 8 del Anexo 5 – Minuta del contrato de interventoría de obra pública de infraestructura de transporte. </w:t>
      </w:r>
    </w:p>
    <w:p w14:paraId="3EB0FFB2" w14:textId="77777777" w:rsidR="00E02CC7" w:rsidRPr="00142613" w:rsidRDefault="00E02CC7" w:rsidP="00E02CC7">
      <w:pPr>
        <w:tabs>
          <w:tab w:val="left" w:pos="709"/>
        </w:tabs>
        <w:snapToGrid w:val="0"/>
        <w:spacing w:after="0" w:line="276" w:lineRule="auto"/>
        <w:contextualSpacing/>
        <w:jc w:val="both"/>
        <w:rPr>
          <w:rFonts w:ascii="Verdana" w:eastAsia="Aptos" w:hAnsi="Verdana" w:cs="Arial"/>
        </w:rPr>
      </w:pPr>
      <w:r>
        <w:rPr>
          <w:rFonts w:ascii="Verdana" w:eastAsia="Aptos" w:hAnsi="Verdana" w:cs="Arial"/>
          <w:bCs/>
        </w:rPr>
        <w:tab/>
        <w:t xml:space="preserve">En conclusión, no existe disposición en el ordenamiento jurídico que proscriba que las entidades pacten formas de pago de la interventoría que estén supeditadas a avances en la obra pública que es objeto de vigilancia. En consecuencia, es viable y lícito que, en ejercicio de la autonomía de la voluntad, las entidades incluyan </w:t>
      </w:r>
      <w:proofErr w:type="gramStart"/>
      <w:r>
        <w:rPr>
          <w:rFonts w:ascii="Verdana" w:eastAsia="Aptos" w:hAnsi="Verdana" w:cs="Arial"/>
          <w:bCs/>
        </w:rPr>
        <w:t>éste</w:t>
      </w:r>
      <w:proofErr w:type="gramEnd"/>
      <w:r>
        <w:rPr>
          <w:rFonts w:ascii="Verdana" w:eastAsia="Aptos" w:hAnsi="Verdana" w:cs="Arial"/>
          <w:bCs/>
        </w:rPr>
        <w:t xml:space="preserve"> tipo de cláusulas dichos contratos, siempre que esta decisión se encuentre justificada y sea el resultado de una planeación adecuada. Sin embargo, en virtud del literal d) del numeral 5 del artículo 24 de la Ley 80 de 1993, las cláusulas de pago que supediten el cien por ciento de los pagos al </w:t>
      </w:r>
      <w:r>
        <w:rPr>
          <w:rFonts w:ascii="Verdana" w:eastAsia="Aptos" w:hAnsi="Verdana" w:cs="Arial"/>
        </w:rPr>
        <w:t xml:space="preserve">cumplimiento </w:t>
      </w:r>
      <w:r w:rsidRPr="00F17131">
        <w:rPr>
          <w:rFonts w:ascii="Verdana" w:eastAsia="Aptos" w:hAnsi="Verdana" w:cs="Arial"/>
        </w:rPr>
        <w:t>de las obligaciones derivadas del negocio objeto de</w:t>
      </w:r>
      <w:r>
        <w:rPr>
          <w:rFonts w:ascii="Verdana" w:eastAsia="Aptos" w:hAnsi="Verdana" w:cs="Arial"/>
        </w:rPr>
        <w:t xml:space="preserve"> vigilancia, serán ineficaces de pleno derecho, pues son contrarias a la naturaleza del contrato de interventoría y dependen enteramente de la acción de un tercero.</w:t>
      </w:r>
    </w:p>
    <w:p w14:paraId="274E1F77" w14:textId="77777777" w:rsidR="00E02CC7" w:rsidRPr="00AE193D" w:rsidRDefault="00E02CC7" w:rsidP="00E02CC7">
      <w:pPr>
        <w:widowControl w:val="0"/>
        <w:autoSpaceDE w:val="0"/>
        <w:autoSpaceDN w:val="0"/>
        <w:spacing w:before="120" w:after="120" w:line="276" w:lineRule="auto"/>
        <w:ind w:firstLine="709"/>
        <w:jc w:val="both"/>
        <w:rPr>
          <w:rFonts w:ascii="Verdana" w:hAnsi="Verdana" w:cs="Arial"/>
        </w:rPr>
      </w:pPr>
      <w:r>
        <w:rPr>
          <w:rFonts w:ascii="Verdana" w:eastAsia="Calibri" w:hAnsi="Verdana" w:cs="Arial"/>
          <w:color w:val="000000" w:themeColor="text1"/>
          <w:lang w:val="es-ES" w:eastAsia="es-ES" w:bidi="es-ES"/>
        </w:rPr>
        <w:t xml:space="preserve">En cualquier caso, </w:t>
      </w:r>
      <w:r w:rsidRPr="002C6323">
        <w:rPr>
          <w:rFonts w:ascii="Verdana" w:hAnsi="Verdana" w:cs="Arial"/>
        </w:rPr>
        <w:t xml:space="preserve">el análisis requerido para </w:t>
      </w:r>
      <w:r w:rsidRPr="002C6323">
        <w:rPr>
          <w:rFonts w:ascii="Verdana" w:eastAsia="Calibri" w:hAnsi="Verdana" w:cs="Arial"/>
          <w:color w:val="000000"/>
          <w:lang w:val="es-ES" w:eastAsia="es-ES"/>
        </w:rPr>
        <w:t xml:space="preserve">estipular el </w:t>
      </w:r>
      <w:r>
        <w:rPr>
          <w:rFonts w:ascii="Verdana" w:eastAsia="Calibri" w:hAnsi="Verdana" w:cs="Arial"/>
          <w:color w:val="000000"/>
          <w:lang w:val="es-ES" w:eastAsia="es-ES"/>
        </w:rPr>
        <w:t xml:space="preserve">esquema de pago de la interventoría </w:t>
      </w:r>
      <w:r w:rsidRPr="002C6323">
        <w:rPr>
          <w:rFonts w:ascii="Verdana" w:hAnsi="Verdana" w:cs="Arial"/>
        </w:rPr>
        <w:t xml:space="preserve">debe ser realizado por quienes tengan interés en ello, de acuerdo con lo explicado </w:t>
      </w:r>
      <w:r>
        <w:rPr>
          <w:rFonts w:ascii="Verdana" w:hAnsi="Verdana" w:cs="Arial"/>
        </w:rPr>
        <w:t>anteriormente</w:t>
      </w:r>
      <w:r w:rsidRPr="002C6323">
        <w:rPr>
          <w:rFonts w:ascii="Verdana" w:hAnsi="Verdana" w:cs="Arial"/>
        </w:rPr>
        <w:t>. De esta manera, la entidad contratante definirá en cada caso concreto lo relacionado con</w:t>
      </w:r>
      <w:r>
        <w:rPr>
          <w:rFonts w:ascii="Verdana" w:hAnsi="Verdana" w:cs="Arial"/>
        </w:rPr>
        <w:t xml:space="preserve"> la forma de pago del contrato de interventoría, considerando en todo caso la procedencia e inalterabilidad de las condiciones que para ello establezcan los Documentos Tipo adoptados por esta Agencia.</w:t>
      </w:r>
    </w:p>
    <w:p w14:paraId="7B19DCDD" w14:textId="77777777" w:rsidR="00E02CC7" w:rsidRPr="00FE5A24" w:rsidRDefault="00E02CC7" w:rsidP="00E02CC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Referencias normativas, jurisprudenciales y otras fuentes:</w:t>
      </w:r>
    </w:p>
    <w:p w14:paraId="2A3AF2D0" w14:textId="77777777" w:rsidR="00E02CC7" w:rsidRPr="00FE5A24" w:rsidRDefault="00E02CC7" w:rsidP="00E02CC7">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02CC7" w:rsidRPr="00FE5A24" w14:paraId="59A47B7B" w14:textId="77777777" w:rsidTr="00391750">
        <w:trPr>
          <w:trHeight w:val="870"/>
        </w:trPr>
        <w:tc>
          <w:tcPr>
            <w:tcW w:w="8647" w:type="dxa"/>
          </w:tcPr>
          <w:p w14:paraId="3281D806" w14:textId="77777777" w:rsidR="00E02CC7" w:rsidRPr="00C86A50" w:rsidRDefault="00E02CC7" w:rsidP="00391750">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C86A50">
              <w:rPr>
                <w:rFonts w:ascii="Verdana" w:hAnsi="Verdana" w:cs="Arial"/>
                <w:color w:val="000000" w:themeColor="text1"/>
              </w:rPr>
              <w:t>Ley 80 de 1993, artículos 4, 5, 12,</w:t>
            </w:r>
            <w:r>
              <w:rPr>
                <w:rFonts w:ascii="Verdana" w:hAnsi="Verdana" w:cs="Arial"/>
                <w:color w:val="000000" w:themeColor="text1"/>
              </w:rPr>
              <w:t xml:space="preserve"> 13,</w:t>
            </w:r>
            <w:r w:rsidRPr="00C86A50">
              <w:rPr>
                <w:rFonts w:ascii="Verdana" w:hAnsi="Verdana" w:cs="Arial"/>
                <w:color w:val="000000" w:themeColor="text1"/>
              </w:rPr>
              <w:t xml:space="preserve"> 14,</w:t>
            </w:r>
            <w:r>
              <w:rPr>
                <w:rFonts w:ascii="Verdana" w:hAnsi="Verdana" w:cs="Arial"/>
                <w:color w:val="000000" w:themeColor="text1"/>
              </w:rPr>
              <w:t xml:space="preserve"> 24,</w:t>
            </w:r>
            <w:r w:rsidRPr="00C86A50">
              <w:rPr>
                <w:rFonts w:ascii="Verdana" w:hAnsi="Verdana" w:cs="Arial"/>
                <w:color w:val="000000" w:themeColor="text1"/>
              </w:rPr>
              <w:t xml:space="preserve"> 26</w:t>
            </w:r>
            <w:r>
              <w:rPr>
                <w:rFonts w:ascii="Verdana" w:hAnsi="Verdana" w:cs="Arial"/>
                <w:color w:val="000000" w:themeColor="text1"/>
              </w:rPr>
              <w:t>, 32, 40</w:t>
            </w:r>
            <w:r w:rsidRPr="00C86A50">
              <w:rPr>
                <w:rFonts w:ascii="Verdana" w:hAnsi="Verdana" w:cs="Arial"/>
                <w:color w:val="000000" w:themeColor="text1"/>
              </w:rPr>
              <w:t xml:space="preserve"> y 53.</w:t>
            </w:r>
          </w:p>
          <w:p w14:paraId="3A493C71" w14:textId="77777777" w:rsidR="00E02CC7" w:rsidRPr="00C86A50" w:rsidRDefault="00E02CC7" w:rsidP="00391750">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C86A50">
              <w:rPr>
                <w:rFonts w:ascii="Verdana" w:hAnsi="Verdana" w:cs="Arial"/>
                <w:color w:val="000000" w:themeColor="text1"/>
              </w:rPr>
              <w:t>Ley 1150 de 2007, artículos 2, 17 y 21.</w:t>
            </w:r>
          </w:p>
          <w:p w14:paraId="26A081DC" w14:textId="77777777" w:rsidR="00E02CC7" w:rsidRDefault="00E02CC7" w:rsidP="00391750">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C86A50">
              <w:rPr>
                <w:rFonts w:ascii="Verdana" w:hAnsi="Verdana" w:cs="Arial"/>
                <w:color w:val="000000" w:themeColor="text1"/>
              </w:rPr>
              <w:t>Ley 1474 de 2011, artículos 83 a 86.</w:t>
            </w:r>
          </w:p>
          <w:p w14:paraId="76A2A159" w14:textId="77777777" w:rsidR="00E02CC7" w:rsidRPr="00D6495A" w:rsidRDefault="00E02CC7" w:rsidP="00391750">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D6495A">
              <w:rPr>
                <w:rFonts w:ascii="Verdana" w:hAnsi="Verdana" w:cs="Arial"/>
                <w:color w:val="000000" w:themeColor="text1"/>
              </w:rPr>
              <w:t xml:space="preserve">Código Civil, artículos: </w:t>
            </w:r>
            <w:r w:rsidRPr="00DC1DA9">
              <w:rPr>
                <w:rFonts w:ascii="Verdana" w:hAnsi="Verdana" w:cs="Arial"/>
                <w:color w:val="000000" w:themeColor="text1"/>
              </w:rPr>
              <w:t>1530, 1531, 1532 y 1534</w:t>
            </w:r>
          </w:p>
          <w:p w14:paraId="5814B7A9" w14:textId="77777777" w:rsidR="00E02CC7" w:rsidRPr="00DC1DA9" w:rsidRDefault="00E02CC7" w:rsidP="00391750">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DC1DA9">
              <w:rPr>
                <w:rFonts w:ascii="Verdana" w:hAnsi="Verdana" w:cs="Arial"/>
                <w:color w:val="000000" w:themeColor="text1"/>
              </w:rPr>
              <w:t xml:space="preserve">Consejo de Estado, Sección Tercera. Sentencia del 8 de marzo de 1996, </w:t>
            </w:r>
            <w:proofErr w:type="spellStart"/>
            <w:r>
              <w:rPr>
                <w:rFonts w:ascii="Verdana" w:hAnsi="Verdana" w:cs="Arial"/>
                <w:color w:val="000000" w:themeColor="text1"/>
              </w:rPr>
              <w:t>Exp</w:t>
            </w:r>
            <w:proofErr w:type="spellEnd"/>
            <w:r>
              <w:rPr>
                <w:rFonts w:ascii="Verdana" w:hAnsi="Verdana" w:cs="Arial"/>
                <w:color w:val="000000" w:themeColor="text1"/>
              </w:rPr>
              <w:t xml:space="preserve">. </w:t>
            </w:r>
            <w:r w:rsidRPr="00DC1DA9">
              <w:rPr>
                <w:rFonts w:ascii="Verdana" w:hAnsi="Verdana" w:cs="Arial"/>
                <w:color w:val="000000" w:themeColor="text1"/>
              </w:rPr>
              <w:t>8070</w:t>
            </w:r>
            <w:r>
              <w:rPr>
                <w:rFonts w:ascii="Verdana" w:hAnsi="Verdana" w:cs="Arial"/>
                <w:color w:val="000000" w:themeColor="text1"/>
              </w:rPr>
              <w:t>.</w:t>
            </w:r>
            <w:r w:rsidRPr="00DC1DA9">
              <w:rPr>
                <w:rFonts w:ascii="Verdana" w:hAnsi="Verdana" w:cs="Arial"/>
                <w:color w:val="000000" w:themeColor="text1"/>
              </w:rPr>
              <w:t xml:space="preserve"> C.P. Jesús María Carrillo</w:t>
            </w:r>
          </w:p>
          <w:p w14:paraId="2DD6B0A1" w14:textId="77777777" w:rsidR="00E02CC7" w:rsidRPr="00DC1DA9" w:rsidRDefault="00E02CC7" w:rsidP="00391750">
            <w:pPr>
              <w:pStyle w:val="Prrafodelista"/>
              <w:widowControl w:val="0"/>
              <w:numPr>
                <w:ilvl w:val="0"/>
                <w:numId w:val="17"/>
              </w:numPr>
              <w:autoSpaceDE w:val="0"/>
              <w:autoSpaceDN w:val="0"/>
              <w:spacing w:before="120" w:after="120" w:line="276" w:lineRule="auto"/>
              <w:ind w:left="714" w:hanging="357"/>
              <w:contextualSpacing w:val="0"/>
              <w:jc w:val="both"/>
            </w:pPr>
            <w:r w:rsidRPr="00DC1DA9">
              <w:rPr>
                <w:rFonts w:ascii="Verdana" w:hAnsi="Verdana" w:cs="Arial"/>
                <w:color w:val="000000" w:themeColor="text1"/>
              </w:rPr>
              <w:t xml:space="preserve">Consejo de Estado. Sección Tercera. Sentencia del 28 de febrero de 2013. </w:t>
            </w:r>
            <w:proofErr w:type="spellStart"/>
            <w:r w:rsidRPr="00DC1DA9">
              <w:rPr>
                <w:rFonts w:ascii="Verdana" w:hAnsi="Verdana" w:cs="Arial"/>
                <w:color w:val="000000" w:themeColor="text1"/>
              </w:rPr>
              <w:t>Exp</w:t>
            </w:r>
            <w:proofErr w:type="spellEnd"/>
            <w:r w:rsidRPr="00DC1DA9">
              <w:rPr>
                <w:rFonts w:ascii="Verdana" w:hAnsi="Verdana" w:cs="Arial"/>
                <w:color w:val="000000" w:themeColor="text1"/>
              </w:rPr>
              <w:t>. 24.266</w:t>
            </w:r>
            <w:r>
              <w:rPr>
                <w:rFonts w:ascii="Verdana" w:hAnsi="Verdana" w:cs="Arial"/>
                <w:color w:val="000000" w:themeColor="text1"/>
              </w:rPr>
              <w:t>.</w:t>
            </w:r>
            <w:r w:rsidRPr="00DC1DA9">
              <w:rPr>
                <w:rFonts w:ascii="Verdana" w:hAnsi="Verdana" w:cs="Arial"/>
                <w:color w:val="000000" w:themeColor="text1"/>
              </w:rPr>
              <w:t xml:space="preserve"> C.P. Danilo Rojas </w:t>
            </w:r>
            <w:proofErr w:type="spellStart"/>
            <w:r w:rsidRPr="00DC1DA9">
              <w:rPr>
                <w:rFonts w:ascii="Verdana" w:hAnsi="Verdana" w:cs="Arial"/>
                <w:color w:val="000000" w:themeColor="text1"/>
              </w:rPr>
              <w:t>Betancourth</w:t>
            </w:r>
            <w:proofErr w:type="spellEnd"/>
            <w:r w:rsidRPr="00DC1DA9">
              <w:rPr>
                <w:rFonts w:ascii="Verdana" w:hAnsi="Verdana" w:cs="Arial"/>
                <w:color w:val="000000" w:themeColor="text1"/>
              </w:rPr>
              <w:t>.</w:t>
            </w:r>
          </w:p>
          <w:p w14:paraId="2042C8FD" w14:textId="77777777" w:rsidR="00E02CC7" w:rsidRPr="00DC1DA9" w:rsidRDefault="00E02CC7" w:rsidP="00391750">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DC1DA9">
              <w:rPr>
                <w:rFonts w:ascii="Verdana" w:hAnsi="Verdana" w:cs="Arial"/>
                <w:color w:val="000000" w:themeColor="text1"/>
              </w:rPr>
              <w:lastRenderedPageBreak/>
              <w:t xml:space="preserve">Consejo de Estado, Sección Tercera. Sentencia del 20 de noviembre de 2019, </w:t>
            </w:r>
            <w:proofErr w:type="spellStart"/>
            <w:r>
              <w:rPr>
                <w:rFonts w:ascii="Verdana" w:hAnsi="Verdana" w:cs="Arial"/>
                <w:color w:val="000000" w:themeColor="text1"/>
              </w:rPr>
              <w:t>Exp</w:t>
            </w:r>
            <w:proofErr w:type="spellEnd"/>
            <w:r>
              <w:rPr>
                <w:rFonts w:ascii="Verdana" w:hAnsi="Verdana" w:cs="Arial"/>
                <w:color w:val="000000" w:themeColor="text1"/>
              </w:rPr>
              <w:t xml:space="preserve">. </w:t>
            </w:r>
            <w:r w:rsidRPr="00DC1DA9">
              <w:rPr>
                <w:rFonts w:ascii="Verdana" w:hAnsi="Verdana" w:cs="Arial"/>
                <w:color w:val="000000" w:themeColor="text1"/>
              </w:rPr>
              <w:t>25000-23-36-000-2016-00955-01(62369)</w:t>
            </w:r>
            <w:r>
              <w:rPr>
                <w:rFonts w:ascii="Verdana" w:hAnsi="Verdana" w:cs="Arial"/>
                <w:color w:val="000000" w:themeColor="text1"/>
              </w:rPr>
              <w:t>.</w:t>
            </w:r>
            <w:r w:rsidRPr="00DC1DA9">
              <w:rPr>
                <w:rFonts w:ascii="Verdana" w:hAnsi="Verdana" w:cs="Arial"/>
                <w:color w:val="000000" w:themeColor="text1"/>
              </w:rPr>
              <w:t xml:space="preserve"> C.P. Marta Nubia </w:t>
            </w:r>
            <w:proofErr w:type="spellStart"/>
            <w:r w:rsidRPr="00DC1DA9">
              <w:rPr>
                <w:rFonts w:ascii="Verdana" w:hAnsi="Verdana" w:cs="Arial"/>
                <w:color w:val="000000" w:themeColor="text1"/>
              </w:rPr>
              <w:t>Velazquez</w:t>
            </w:r>
            <w:proofErr w:type="spellEnd"/>
            <w:r w:rsidRPr="00DC1DA9">
              <w:rPr>
                <w:rFonts w:ascii="Verdana" w:hAnsi="Verdana" w:cs="Arial"/>
                <w:color w:val="000000" w:themeColor="text1"/>
              </w:rPr>
              <w:t xml:space="preserve"> Rico</w:t>
            </w:r>
          </w:p>
          <w:p w14:paraId="3D2543BD" w14:textId="77777777" w:rsidR="00E02CC7" w:rsidRPr="00DC1DA9" w:rsidRDefault="00E02CC7" w:rsidP="00391750">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D6495A">
              <w:rPr>
                <w:rFonts w:ascii="Verdana" w:hAnsi="Verdana" w:cs="Arial"/>
                <w:color w:val="000000" w:themeColor="text1"/>
              </w:rPr>
              <w:t xml:space="preserve">Consejo </w:t>
            </w:r>
            <w:r>
              <w:rPr>
                <w:rFonts w:ascii="Verdana" w:hAnsi="Verdana" w:cs="Arial"/>
                <w:color w:val="000000" w:themeColor="text1"/>
              </w:rPr>
              <w:t>d</w:t>
            </w:r>
            <w:r w:rsidRPr="00D6495A">
              <w:rPr>
                <w:rFonts w:ascii="Verdana" w:hAnsi="Verdana" w:cs="Arial"/>
                <w:color w:val="000000" w:themeColor="text1"/>
              </w:rPr>
              <w:t xml:space="preserve">e Estado, </w:t>
            </w:r>
            <w:proofErr w:type="spellStart"/>
            <w:r w:rsidRPr="00D6495A">
              <w:rPr>
                <w:rFonts w:ascii="Verdana" w:hAnsi="Verdana" w:cs="Arial"/>
                <w:color w:val="000000" w:themeColor="text1"/>
              </w:rPr>
              <w:t>Sección</w:t>
            </w:r>
            <w:proofErr w:type="spellEnd"/>
            <w:r w:rsidRPr="00D6495A">
              <w:rPr>
                <w:rFonts w:ascii="Verdana" w:hAnsi="Verdana" w:cs="Arial"/>
                <w:color w:val="000000" w:themeColor="text1"/>
              </w:rPr>
              <w:t xml:space="preserve"> Tercera</w:t>
            </w:r>
            <w:r>
              <w:rPr>
                <w:rFonts w:ascii="Verdana" w:hAnsi="Verdana" w:cs="Arial"/>
                <w:color w:val="000000" w:themeColor="text1"/>
              </w:rPr>
              <w:t xml:space="preserve">. Sentencia del </w:t>
            </w:r>
            <w:r w:rsidRPr="00D6495A">
              <w:rPr>
                <w:rFonts w:ascii="Verdana" w:hAnsi="Verdana" w:cs="Arial"/>
                <w:color w:val="000000" w:themeColor="text1"/>
              </w:rPr>
              <w:t>17 de octubre de 2023</w:t>
            </w:r>
            <w:r>
              <w:rPr>
                <w:rFonts w:ascii="Verdana" w:hAnsi="Verdana" w:cs="Arial"/>
                <w:color w:val="000000" w:themeColor="text1"/>
              </w:rPr>
              <w:t xml:space="preserve">. </w:t>
            </w:r>
            <w:proofErr w:type="spellStart"/>
            <w:r>
              <w:rPr>
                <w:rFonts w:ascii="Verdana" w:hAnsi="Verdana" w:cs="Arial"/>
                <w:color w:val="000000" w:themeColor="text1"/>
              </w:rPr>
              <w:t>Exp</w:t>
            </w:r>
            <w:proofErr w:type="spellEnd"/>
            <w:r>
              <w:rPr>
                <w:rFonts w:ascii="Verdana" w:hAnsi="Verdana" w:cs="Arial"/>
                <w:color w:val="000000" w:themeColor="text1"/>
              </w:rPr>
              <w:t xml:space="preserve">. </w:t>
            </w:r>
            <w:r w:rsidRPr="00D6495A">
              <w:rPr>
                <w:rFonts w:ascii="Verdana" w:hAnsi="Verdana" w:cs="Arial"/>
                <w:color w:val="000000" w:themeColor="text1"/>
              </w:rPr>
              <w:t>69492</w:t>
            </w:r>
            <w:r>
              <w:rPr>
                <w:rFonts w:ascii="Verdana" w:hAnsi="Verdana" w:cs="Arial"/>
                <w:color w:val="000000" w:themeColor="text1"/>
              </w:rPr>
              <w:t>.</w:t>
            </w:r>
            <w:r w:rsidRPr="00D6495A">
              <w:rPr>
                <w:rFonts w:ascii="Verdana" w:hAnsi="Verdana" w:cs="Arial"/>
                <w:color w:val="000000" w:themeColor="text1"/>
              </w:rPr>
              <w:t xml:space="preserve"> C.P. Marta Nubia </w:t>
            </w:r>
            <w:proofErr w:type="spellStart"/>
            <w:r w:rsidRPr="00D6495A">
              <w:rPr>
                <w:rFonts w:ascii="Verdana" w:hAnsi="Verdana" w:cs="Arial"/>
                <w:color w:val="000000" w:themeColor="text1"/>
              </w:rPr>
              <w:t>Velásquez</w:t>
            </w:r>
            <w:proofErr w:type="spellEnd"/>
            <w:r w:rsidRPr="00D6495A">
              <w:rPr>
                <w:rFonts w:ascii="Verdana" w:hAnsi="Verdana" w:cs="Arial"/>
                <w:color w:val="000000" w:themeColor="text1"/>
              </w:rPr>
              <w:t xml:space="preserve"> Rico</w:t>
            </w:r>
            <w:r>
              <w:rPr>
                <w:rFonts w:ascii="Verdana" w:hAnsi="Verdana" w:cs="Arial"/>
                <w:color w:val="000000" w:themeColor="text1"/>
              </w:rPr>
              <w:t>.</w:t>
            </w:r>
          </w:p>
        </w:tc>
      </w:tr>
    </w:tbl>
    <w:p w14:paraId="16220503" w14:textId="77777777" w:rsidR="00E02CC7" w:rsidRPr="00FE5A24" w:rsidRDefault="00E02CC7" w:rsidP="00E02CC7">
      <w:pPr>
        <w:widowControl w:val="0"/>
        <w:autoSpaceDE w:val="0"/>
        <w:autoSpaceDN w:val="0"/>
        <w:spacing w:after="0" w:line="276" w:lineRule="auto"/>
        <w:jc w:val="both"/>
        <w:rPr>
          <w:rFonts w:ascii="Verdana" w:hAnsi="Verdana" w:cs="Arial"/>
          <w:color w:val="000000" w:themeColor="text1"/>
        </w:rPr>
      </w:pPr>
    </w:p>
    <w:p w14:paraId="32270A13" w14:textId="77777777" w:rsidR="00E02CC7" w:rsidRPr="00FE5A24" w:rsidRDefault="00E02CC7" w:rsidP="00E02CC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Doctrina de la Agencia Nacional de Contratación Pública:</w:t>
      </w:r>
    </w:p>
    <w:p w14:paraId="1EBA4768" w14:textId="77777777" w:rsidR="00E02CC7" w:rsidRPr="00FE5A24" w:rsidRDefault="00E02CC7" w:rsidP="00E02CC7">
      <w:pPr>
        <w:widowControl w:val="0"/>
        <w:autoSpaceDE w:val="0"/>
        <w:autoSpaceDN w:val="0"/>
        <w:spacing w:after="0" w:line="276" w:lineRule="auto"/>
        <w:jc w:val="both"/>
        <w:rPr>
          <w:rFonts w:ascii="Verdana" w:hAnsi="Verdana" w:cs="Arial"/>
          <w:color w:val="000000" w:themeColor="text1"/>
        </w:rPr>
      </w:pPr>
    </w:p>
    <w:p w14:paraId="6B5225B7" w14:textId="77777777" w:rsidR="00E02CC7" w:rsidRPr="00824BAD" w:rsidRDefault="00E02CC7" w:rsidP="00E02CC7">
      <w:pPr>
        <w:widowControl w:val="0"/>
        <w:autoSpaceDE w:val="0"/>
        <w:autoSpaceDN w:val="0"/>
        <w:spacing w:after="0" w:line="276" w:lineRule="auto"/>
        <w:jc w:val="both"/>
        <w:rPr>
          <w:rStyle w:val="normaltextrun"/>
          <w:rFonts w:ascii="Verdana" w:eastAsia="Times New Roman" w:hAnsi="Verdana" w:cs="Arial"/>
          <w:shd w:val="clear" w:color="auto" w:fill="FFFFFF"/>
          <w:lang w:val="es-ES"/>
        </w:rPr>
      </w:pPr>
      <w:r w:rsidRPr="00AA40D8">
        <w:rPr>
          <w:rFonts w:ascii="Verdana" w:eastAsia="Calibri" w:hAnsi="Verdana" w:cs="Arial"/>
          <w:color w:val="000000" w:themeColor="text1"/>
          <w:lang w:val="es-ES" w:eastAsia="es-ES_tradnl"/>
        </w:rPr>
        <w:t xml:space="preserve">La Agencia Nacional de Contratación Pública – Colombia Compra Eficiente </w:t>
      </w:r>
      <w:r w:rsidRPr="00AA40D8">
        <w:rPr>
          <w:rFonts w:ascii="Verdana" w:eastAsia="Arial" w:hAnsi="Verdana" w:cs="Arial"/>
          <w:lang w:val="es-ES" w:eastAsia="es-ES_tradnl"/>
        </w:rPr>
        <w:t>se ha referido</w:t>
      </w:r>
      <w:r w:rsidRPr="00AA40D8">
        <w:rPr>
          <w:rFonts w:ascii="Verdana" w:eastAsia="Calibri" w:hAnsi="Verdana" w:cs="Arial"/>
          <w:lang w:val="es-ES"/>
        </w:rPr>
        <w:t xml:space="preserve"> </w:t>
      </w:r>
      <w:r w:rsidRPr="00AA40D8">
        <w:rPr>
          <w:rFonts w:ascii="Verdana" w:eastAsia="Calibri" w:hAnsi="Verdana" w:cs="Arial"/>
          <w:lang w:val="es-ES" w:eastAsia="es-ES"/>
        </w:rPr>
        <w:t xml:space="preserve">a </w:t>
      </w:r>
      <w:r>
        <w:rPr>
          <w:rFonts w:ascii="Verdana" w:eastAsia="Calibri" w:hAnsi="Verdana" w:cs="Arial"/>
          <w:shd w:val="clear" w:color="auto" w:fill="FFFFFF"/>
          <w:lang w:val="es-ES"/>
        </w:rPr>
        <w:t xml:space="preserve">la interventoría en los contratos estatales en los conceptos: </w:t>
      </w:r>
      <w:r w:rsidRPr="000A15AB">
        <w:rPr>
          <w:rFonts w:ascii="Verdana" w:eastAsia="Calibri" w:hAnsi="Verdana" w:cs="Arial"/>
          <w:kern w:val="2"/>
          <w:lang w:val="es-ES_tradnl" w:eastAsia="es-ES_tradnl"/>
          <w14:ligatures w14:val="standardContextual"/>
        </w:rPr>
        <w:t>C‒064 del 28 de febrero de 2020, C‒150 del 18 de marzo de 2020, C‒075 del 26 de marzo de 2020, C‒180 del 13 de abril de 2020, C‒344 del 26 de mayo de 2020 y en el C‒765 del 7 de enero de 2021, C-411 del 17 de agosto de 2021, C-650 del 22 de diciembre de 2021, C-238 del 27 de abril de 2022, C-432 del 13 de julio de 2022, C- 590 del 20 de septiembre de 2022,</w:t>
      </w:r>
      <w:r>
        <w:rPr>
          <w:rFonts w:ascii="Verdana" w:eastAsia="Calibri" w:hAnsi="Verdana" w:cs="Arial"/>
          <w:kern w:val="2"/>
          <w:lang w:val="es-ES_tradnl" w:eastAsia="es-ES_tradnl"/>
          <w14:ligatures w14:val="standardContextual"/>
        </w:rPr>
        <w:t xml:space="preserve"> </w:t>
      </w:r>
      <w:r w:rsidRPr="00654E3E">
        <w:rPr>
          <w:rFonts w:ascii="Verdana" w:eastAsia="Calibri" w:hAnsi="Verdana" w:cs="Arial"/>
          <w:kern w:val="2"/>
          <w:lang w:val="es-ES_tradnl" w:eastAsia="es-ES_tradnl"/>
          <w14:ligatures w14:val="standardContextual"/>
        </w:rPr>
        <w:t>Concepto C – 690 de</w:t>
      </w:r>
      <w:r>
        <w:rPr>
          <w:rFonts w:ascii="Verdana" w:eastAsia="Calibri" w:hAnsi="Verdana" w:cs="Arial"/>
          <w:kern w:val="2"/>
          <w:lang w:val="es-ES_tradnl" w:eastAsia="es-ES_tradnl"/>
          <w14:ligatures w14:val="standardContextual"/>
        </w:rPr>
        <w:t>l 19 de octubre de</w:t>
      </w:r>
      <w:r w:rsidRPr="00654E3E">
        <w:rPr>
          <w:rFonts w:ascii="Verdana" w:eastAsia="Calibri" w:hAnsi="Verdana" w:cs="Arial"/>
          <w:kern w:val="2"/>
          <w:lang w:val="es-ES_tradnl" w:eastAsia="es-ES_tradnl"/>
          <w14:ligatures w14:val="standardContextual"/>
        </w:rPr>
        <w:t xml:space="preserve"> 2022</w:t>
      </w:r>
      <w:r>
        <w:rPr>
          <w:rFonts w:ascii="Verdana" w:eastAsia="Calibri" w:hAnsi="Verdana" w:cs="Arial"/>
          <w:kern w:val="2"/>
          <w:lang w:val="es-ES_tradnl" w:eastAsia="es-ES_tradnl"/>
          <w14:ligatures w14:val="standardContextual"/>
        </w:rPr>
        <w:t>,</w:t>
      </w:r>
      <w:r w:rsidRPr="000A15AB">
        <w:rPr>
          <w:rFonts w:ascii="Verdana" w:eastAsia="Calibri" w:hAnsi="Verdana" w:cs="Arial"/>
          <w:kern w:val="2"/>
          <w:lang w:val="es-ES_tradnl" w:eastAsia="es-ES_tradnl"/>
          <w14:ligatures w14:val="standardContextual"/>
        </w:rPr>
        <w:t xml:space="preserve"> C-713 del 7 de noviembre de 2024, C-711 del 21 de noviembre de 2024</w:t>
      </w:r>
      <w:r>
        <w:rPr>
          <w:rFonts w:ascii="Verdana" w:eastAsia="Calibri" w:hAnsi="Verdana" w:cs="Arial"/>
          <w:kern w:val="2"/>
          <w:lang w:val="es-ES_tradnl" w:eastAsia="es-ES_tradnl"/>
          <w14:ligatures w14:val="standardContextual"/>
        </w:rPr>
        <w:t xml:space="preserve"> y </w:t>
      </w:r>
      <w:r w:rsidRPr="009D1512">
        <w:rPr>
          <w:rFonts w:ascii="Verdana" w:eastAsia="Calibri" w:hAnsi="Verdana" w:cs="Arial"/>
          <w:lang w:val="es-ES" w:eastAsia="es-ES"/>
        </w:rPr>
        <w:t xml:space="preserve">C – 800 del 13 de diciembre de 2024, entre otros. De igual forma, sobre el fundamento normativo de los documentos tipo se pronunció </w:t>
      </w:r>
      <w:r>
        <w:rPr>
          <w:rFonts w:ascii="Verdana" w:eastAsia="Calibri" w:hAnsi="Verdana" w:cs="Arial"/>
          <w:lang w:val="es-ES" w:eastAsia="es-ES"/>
        </w:rPr>
        <w:t xml:space="preserve">recientemente </w:t>
      </w:r>
      <w:r w:rsidRPr="009D1512">
        <w:rPr>
          <w:rFonts w:ascii="Verdana" w:eastAsia="Calibri" w:hAnsi="Verdana" w:cs="Arial"/>
          <w:lang w:val="es-ES" w:eastAsia="es-ES"/>
        </w:rPr>
        <w:t>en los conceptos</w:t>
      </w:r>
      <w:r>
        <w:rPr>
          <w:rFonts w:ascii="Verdana" w:eastAsia="Calibri" w:hAnsi="Verdana" w:cs="Arial"/>
          <w:b/>
          <w:bCs/>
          <w:lang w:val="es-ES" w:eastAsia="es-ES"/>
        </w:rPr>
        <w:t xml:space="preserve"> </w:t>
      </w:r>
      <w:r w:rsidRPr="00484D44">
        <w:rPr>
          <w:rFonts w:ascii="Verdana" w:eastAsia="Times New Roman" w:hAnsi="Verdana" w:cs="Arial"/>
          <w:shd w:val="clear" w:color="auto" w:fill="FFFFFF"/>
          <w:lang w:val="es-ES"/>
        </w:rPr>
        <w:t>C-042 del 29 de marzo de 2023, C-051 del 28 de abril de 2023, C-299 del 24 de julio de 2023</w:t>
      </w:r>
      <w:r>
        <w:rPr>
          <w:rFonts w:ascii="Verdana" w:eastAsia="Times New Roman" w:hAnsi="Verdana" w:cs="Arial"/>
          <w:shd w:val="clear" w:color="auto" w:fill="FFFFFF"/>
          <w:lang w:val="es-ES"/>
        </w:rPr>
        <w:t>, C- 272 del 22 de agosto de 2024, C- 516 del 07 de octubre de 2024, C- 481 del 09 de noviembre de 2024, C- 692 del 19 de noviembre de 2024 y C-753 del 4 de enero de 2024</w:t>
      </w:r>
      <w:r>
        <w:rPr>
          <w:rStyle w:val="normaltextrun"/>
          <w:rFonts w:ascii="Verdana" w:hAnsi="Verdana" w:cs="Arial"/>
          <w:color w:val="000000" w:themeColor="text1"/>
          <w:shd w:val="clear" w:color="auto" w:fill="FFFFFF"/>
          <w:lang w:val="es-ES"/>
        </w:rPr>
        <w:t xml:space="preserve">, </w:t>
      </w:r>
      <w:r w:rsidRPr="00D6495A">
        <w:rPr>
          <w:rFonts w:ascii="Verdana" w:hAnsi="Verdana" w:cs="Arial"/>
          <w:lang w:val="es-ES" w:eastAsia="es-ES"/>
        </w:rPr>
        <w:t>C</w:t>
      </w:r>
      <w:r w:rsidRPr="00715647">
        <w:rPr>
          <w:rFonts w:ascii="Verdana" w:hAnsi="Verdana" w:cs="Arial"/>
          <w:lang w:val="es-ES" w:eastAsia="es-ES"/>
        </w:rPr>
        <w:t xml:space="preserve">-110 de 7 de marzo de 2025 y </w:t>
      </w:r>
      <w:r w:rsidRPr="00715647">
        <w:rPr>
          <w:rFonts w:ascii="Verdana" w:eastAsia="Calibri" w:hAnsi="Verdana" w:cs="Arial"/>
          <w:lang w:val="es-ES" w:eastAsia="es-ES"/>
        </w:rPr>
        <w:t>C –249 del 10 de marzo de 2025,</w:t>
      </w:r>
      <w:r>
        <w:rPr>
          <w:rFonts w:ascii="Verdana" w:eastAsia="Calibri" w:hAnsi="Verdana" w:cs="Arial"/>
          <w:b/>
          <w:bCs/>
          <w:lang w:val="es-ES" w:eastAsia="es-ES"/>
        </w:rPr>
        <w:t xml:space="preserve"> </w:t>
      </w:r>
      <w:r>
        <w:rPr>
          <w:rStyle w:val="normaltextrun"/>
          <w:rFonts w:ascii="Verdana" w:hAnsi="Verdana" w:cs="Arial"/>
          <w:color w:val="000000" w:themeColor="text1"/>
          <w:shd w:val="clear" w:color="auto" w:fill="FFFFFF"/>
          <w:lang w:val="es-ES"/>
        </w:rPr>
        <w:t>entre otros</w:t>
      </w:r>
      <w:r w:rsidRPr="00FE5A24">
        <w:rPr>
          <w:rFonts w:ascii="Verdana" w:hAnsi="Verdana"/>
          <w:color w:val="000000" w:themeColor="text1"/>
        </w:rPr>
        <w:t>.</w:t>
      </w:r>
      <w:r w:rsidRPr="00FE5A24">
        <w:rPr>
          <w:rFonts w:ascii="Verdana" w:hAnsi="Verdana" w:cs="Arial"/>
          <w:color w:val="000000" w:themeColor="text1"/>
          <w:shd w:val="clear" w:color="auto" w:fill="FFFFFF"/>
        </w:rPr>
        <w:t xml:space="preserve"> Estos </w:t>
      </w:r>
      <w:r w:rsidRPr="00FE5A24">
        <w:rPr>
          <w:rStyle w:val="normaltextrun"/>
          <w:rFonts w:ascii="Verdana" w:hAnsi="Verdana" w:cs="Arial"/>
          <w:color w:val="000000" w:themeColor="text1"/>
          <w:shd w:val="clear" w:color="auto" w:fill="FFFFFF"/>
        </w:rPr>
        <w:t xml:space="preserve">se encuentran disponibles para consulta en el Sistema de relatoría de la Agencia, al cual puede accederse a través del siguiente enlace: </w:t>
      </w:r>
      <w:hyperlink r:id="rId12" w:history="1">
        <w:r w:rsidRPr="00401F64">
          <w:rPr>
            <w:rStyle w:val="Hipervnculo"/>
            <w:rFonts w:ascii="Verdana" w:hAnsi="Verdana" w:cs="Arial"/>
            <w:shd w:val="clear" w:color="auto" w:fill="FFFFFF"/>
          </w:rPr>
          <w:t>https://relatoria.colombiacompra.gov.co/busqueda/conceptos</w:t>
        </w:r>
      </w:hyperlink>
      <w:r w:rsidRPr="00401F64">
        <w:rPr>
          <w:rStyle w:val="Hipervnculo"/>
        </w:rPr>
        <w:t>.</w:t>
      </w:r>
      <w:r w:rsidRPr="00FE5A24">
        <w:rPr>
          <w:rStyle w:val="normaltextrun"/>
          <w:rFonts w:ascii="Verdana" w:hAnsi="Verdana" w:cs="Arial"/>
          <w:color w:val="000000" w:themeColor="text1"/>
          <w:shd w:val="clear" w:color="auto" w:fill="FFFFFF"/>
        </w:rPr>
        <w:t xml:space="preserve"> </w:t>
      </w:r>
      <w:r w:rsidRPr="00FE5A24">
        <w:rPr>
          <w:rStyle w:val="normaltextrun"/>
          <w:rFonts w:ascii="Verdana" w:hAnsi="Verdana" w:cs="Arial"/>
          <w:color w:val="000000" w:themeColor="text1"/>
          <w:shd w:val="clear" w:color="auto" w:fill="FFFFFF"/>
          <w:lang w:val="es-ES"/>
        </w:rPr>
        <w:t xml:space="preserve"> </w:t>
      </w:r>
    </w:p>
    <w:p w14:paraId="497DBB84" w14:textId="77777777" w:rsidR="00E02CC7" w:rsidRPr="00FE5A24" w:rsidRDefault="00E02CC7" w:rsidP="00E02CC7">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778F8F4A" w14:textId="77777777" w:rsidR="00E02CC7" w:rsidRPr="00AA40D8" w:rsidRDefault="00E02CC7" w:rsidP="00E02CC7">
      <w:pPr>
        <w:spacing w:after="0" w:line="276" w:lineRule="auto"/>
        <w:contextualSpacing/>
        <w:jc w:val="both"/>
        <w:rPr>
          <w:rFonts w:ascii="Verdana" w:hAnsi="Verdana"/>
          <w:lang w:val="es-ES"/>
        </w:rPr>
      </w:pPr>
      <w:r w:rsidRPr="00AA40D8">
        <w:rPr>
          <w:rFonts w:ascii="Verdana" w:hAnsi="Verdana"/>
          <w:lang w:val="es-ES"/>
        </w:rPr>
        <w:t>También le contamos que ya se encuentra disponible la </w:t>
      </w:r>
      <w:r w:rsidRPr="00AA40D8">
        <w:rPr>
          <w:rFonts w:ascii="Verdana" w:hAnsi="Verdana"/>
          <w:b/>
          <w:bCs/>
          <w:lang w:val="es-ES"/>
        </w:rPr>
        <w:t>Guía de lineamientos de transparencia y selección objetiva para el departamento de La Guajira – Objetivo sexto constitucional de la Sentencia T-302 del 2017. </w:t>
      </w:r>
      <w:r w:rsidRPr="00AA40D8">
        <w:rPr>
          <w:rFonts w:ascii="Verdana" w:hAnsi="Verdana"/>
          <w:lang w:val="es-ES"/>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AA40D8">
        <w:rPr>
          <w:rFonts w:ascii="Verdana" w:hAnsi="Verdana"/>
          <w:lang w:val="es-ES"/>
        </w:rPr>
        <w:t>Wayúu</w:t>
      </w:r>
      <w:proofErr w:type="spellEnd"/>
      <w:r w:rsidRPr="00AA40D8">
        <w:rPr>
          <w:rFonts w:ascii="Verdana" w:hAnsi="Verdana"/>
          <w:lang w:val="es-ES"/>
        </w:rPr>
        <w:t>. Puede consultar la guía en el siguiente enlace: </w:t>
      </w:r>
      <w:hyperlink r:id="rId13" w:tgtFrame="_blank" w:tooltip="Original URL: https://www.colombiacompra.gov.co/wp-content/uploads/2025/05/GUIA-DE-LINEAMIENTOS-DE-TRANSPARENCIA-Y-SELECCION-OBJETIVA-1.0.pdf. Click or tap if you trust this link." w:history="1">
        <w:r w:rsidRPr="00AA40D8">
          <w:rPr>
            <w:rStyle w:val="Hipervnculo"/>
            <w:rFonts w:ascii="Verdana" w:hAnsi="Verdana"/>
            <w:lang w:val="es-ES"/>
          </w:rPr>
          <w:t xml:space="preserve">Guía de lineamientos de </w:t>
        </w:r>
        <w:r w:rsidRPr="00AA40D8">
          <w:rPr>
            <w:rStyle w:val="Hipervnculo"/>
            <w:rFonts w:ascii="Verdana" w:hAnsi="Verdana"/>
            <w:lang w:val="es-ES"/>
          </w:rPr>
          <w:lastRenderedPageBreak/>
          <w:t>transparencia y selección objetiva para el departamento de La Guajira – Objetivo sexto constitucional de la Sentencia T-302 del 2017</w:t>
        </w:r>
      </w:hyperlink>
      <w:r w:rsidRPr="00AA40D8">
        <w:rPr>
          <w:rFonts w:ascii="Verdana" w:hAnsi="Verdana"/>
          <w:u w:val="single"/>
          <w:lang w:val="es-ES"/>
        </w:rPr>
        <w:t>"</w:t>
      </w:r>
    </w:p>
    <w:p w14:paraId="59791001" w14:textId="77777777" w:rsidR="00E02CC7" w:rsidRDefault="00E02CC7" w:rsidP="00E02CC7">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1467D59A" w14:textId="77777777" w:rsidR="00E02CC7" w:rsidRPr="003E2460" w:rsidRDefault="00E02CC7" w:rsidP="00E02CC7">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6E7A2340" w14:textId="77777777" w:rsidR="00E02CC7" w:rsidRPr="003E2460" w:rsidRDefault="00E02CC7" w:rsidP="00E02CC7">
      <w:pPr>
        <w:spacing w:after="0" w:line="240" w:lineRule="auto"/>
        <w:jc w:val="both"/>
        <w:rPr>
          <w:rFonts w:ascii="Verdana" w:hAnsi="Verdana"/>
        </w:rPr>
      </w:pPr>
    </w:p>
    <w:p w14:paraId="5EA731D4" w14:textId="77777777" w:rsidR="00E02CC7" w:rsidRPr="003E2460" w:rsidRDefault="00E02CC7" w:rsidP="00E02CC7">
      <w:pPr>
        <w:spacing w:after="0" w:line="240" w:lineRule="auto"/>
        <w:jc w:val="both"/>
        <w:rPr>
          <w:rFonts w:ascii="Verdana" w:hAnsi="Verdana"/>
        </w:rPr>
      </w:pPr>
      <w:r w:rsidRPr="003E2460">
        <w:rPr>
          <w:rFonts w:ascii="Verdana" w:hAnsi="Verdana"/>
        </w:rPr>
        <w:t xml:space="preserve">Twitter: </w:t>
      </w:r>
      <w:r w:rsidRPr="00386BAA">
        <w:rPr>
          <w:rStyle w:val="Hipervnculo"/>
          <w:rFonts w:ascii="Verdana" w:hAnsi="Verdana" w:cs="Arial"/>
          <w:shd w:val="clear" w:color="auto" w:fill="FFFFFF"/>
        </w:rPr>
        <w:t>@colombiacompra</w:t>
      </w:r>
      <w:r w:rsidRPr="003E2460">
        <w:rPr>
          <w:rFonts w:ascii="Verdana" w:hAnsi="Verdana"/>
          <w:color w:val="4472C4" w:themeColor="accent1"/>
        </w:rPr>
        <w:t xml:space="preserve"> </w:t>
      </w:r>
    </w:p>
    <w:p w14:paraId="4F2F7B4A" w14:textId="77777777" w:rsidR="00E02CC7" w:rsidRPr="003E2460" w:rsidRDefault="00E02CC7" w:rsidP="00E02CC7">
      <w:pPr>
        <w:spacing w:after="0" w:line="240" w:lineRule="auto"/>
        <w:jc w:val="both"/>
        <w:rPr>
          <w:rFonts w:ascii="Verdana" w:hAnsi="Verdana"/>
        </w:rPr>
      </w:pPr>
      <w:r w:rsidRPr="003E2460">
        <w:rPr>
          <w:rFonts w:ascii="Verdana" w:hAnsi="Verdana"/>
        </w:rPr>
        <w:t xml:space="preserve">Facebook: </w:t>
      </w:r>
      <w:proofErr w:type="spellStart"/>
      <w:r w:rsidRPr="00386BAA">
        <w:rPr>
          <w:rStyle w:val="Hipervnculo"/>
          <w:rFonts w:ascii="Verdana" w:hAnsi="Verdana" w:cs="Arial"/>
          <w:shd w:val="clear" w:color="auto" w:fill="FFFFFF"/>
        </w:rPr>
        <w:t>ColombiaCompraEficiente</w:t>
      </w:r>
      <w:proofErr w:type="spellEnd"/>
    </w:p>
    <w:p w14:paraId="6B99A796" w14:textId="77777777" w:rsidR="00E02CC7" w:rsidRPr="003E2460" w:rsidRDefault="00E02CC7" w:rsidP="00E02CC7">
      <w:pPr>
        <w:spacing w:after="0" w:line="240" w:lineRule="auto"/>
        <w:jc w:val="both"/>
        <w:rPr>
          <w:rFonts w:ascii="Verdana" w:hAnsi="Verdana"/>
        </w:rPr>
      </w:pPr>
      <w:r w:rsidRPr="003E2460">
        <w:rPr>
          <w:rFonts w:ascii="Verdana" w:hAnsi="Verdana"/>
        </w:rPr>
        <w:t xml:space="preserve">LinkedIn: </w:t>
      </w:r>
      <w:r w:rsidRPr="00386BAA">
        <w:rPr>
          <w:rStyle w:val="Hipervnculo"/>
          <w:rFonts w:ascii="Verdana" w:hAnsi="Verdana" w:cs="Arial"/>
          <w:shd w:val="clear" w:color="auto" w:fill="FFFFFF"/>
        </w:rPr>
        <w:t>Agencia Nacional de Contratación Pública - Colombia Compra Eficiente</w:t>
      </w:r>
      <w:r w:rsidRPr="00386BAA">
        <w:rPr>
          <w:rStyle w:val="Hipervnculo"/>
          <w:rFonts w:cs="Arial"/>
          <w:shd w:val="clear" w:color="auto" w:fill="FFFFFF"/>
        </w:rPr>
        <w:t xml:space="preserve"> </w:t>
      </w:r>
      <w:r w:rsidRPr="003E2460">
        <w:rPr>
          <w:rFonts w:ascii="Verdana" w:hAnsi="Verdana"/>
        </w:rPr>
        <w:t xml:space="preserve">Instagram: </w:t>
      </w:r>
      <w:r w:rsidRPr="00386BAA">
        <w:rPr>
          <w:rStyle w:val="Hipervnculo"/>
          <w:rFonts w:ascii="Verdana" w:hAnsi="Verdana" w:cs="Arial"/>
          <w:shd w:val="clear" w:color="auto" w:fill="FFFFFF"/>
        </w:rPr>
        <w:t>@colombiacompraeficiente_cce</w:t>
      </w:r>
    </w:p>
    <w:p w14:paraId="00BF204E" w14:textId="77777777" w:rsidR="00E02CC7" w:rsidRPr="00FE5A24" w:rsidRDefault="00E02CC7" w:rsidP="00E02CC7">
      <w:pPr>
        <w:widowControl w:val="0"/>
        <w:autoSpaceDE w:val="0"/>
        <w:autoSpaceDN w:val="0"/>
        <w:spacing w:after="0" w:line="276" w:lineRule="auto"/>
        <w:jc w:val="both"/>
        <w:rPr>
          <w:rFonts w:ascii="Verdana" w:hAnsi="Verdana" w:cs="Arial"/>
          <w:color w:val="000000" w:themeColor="text1"/>
        </w:rPr>
      </w:pPr>
    </w:p>
    <w:p w14:paraId="3F46F8B9" w14:textId="77777777" w:rsidR="00E02CC7" w:rsidRPr="00FE5A24" w:rsidRDefault="00E02CC7" w:rsidP="00E02CC7">
      <w:pPr>
        <w:widowControl w:val="0"/>
        <w:autoSpaceDE w:val="0"/>
        <w:autoSpaceDN w:val="0"/>
        <w:spacing w:after="0" w:line="276" w:lineRule="auto"/>
        <w:jc w:val="both"/>
        <w:rPr>
          <w:rFonts w:ascii="Verdana" w:hAnsi="Verdana" w:cs="Arial"/>
          <w:color w:val="000000" w:themeColor="text1"/>
          <w:lang w:val="es-ES_tradnl"/>
        </w:rPr>
      </w:pPr>
      <w:r w:rsidRPr="00FE5A24">
        <w:rPr>
          <w:rFonts w:ascii="Verdana" w:hAnsi="Verdana" w:cs="Arial"/>
          <w:color w:val="000000" w:themeColor="text1"/>
        </w:rPr>
        <w:t xml:space="preserve">Este concepto tiene el alcance previsto en el artículo 28 del Código de Procedimiento Administrativo y de lo Contencioso Administrativo </w:t>
      </w:r>
      <w:r w:rsidRPr="00FE5A24">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20C0A761" w14:textId="77777777" w:rsidR="00E02CC7" w:rsidRPr="00FE5A24" w:rsidRDefault="00E02CC7" w:rsidP="00E02CC7">
      <w:pPr>
        <w:widowControl w:val="0"/>
        <w:autoSpaceDE w:val="0"/>
        <w:autoSpaceDN w:val="0"/>
        <w:spacing w:after="0" w:line="276" w:lineRule="auto"/>
        <w:jc w:val="both"/>
        <w:rPr>
          <w:rFonts w:ascii="Verdana" w:hAnsi="Verdana" w:cs="Arial"/>
          <w:color w:val="000000" w:themeColor="text1"/>
        </w:rPr>
      </w:pPr>
    </w:p>
    <w:p w14:paraId="19E1EED6" w14:textId="77777777" w:rsidR="00E02CC7" w:rsidRPr="00FE5A24" w:rsidRDefault="00E02CC7" w:rsidP="00E02CC7">
      <w:pPr>
        <w:spacing w:after="0" w:line="240" w:lineRule="auto"/>
        <w:rPr>
          <w:rFonts w:ascii="Verdana" w:hAnsi="Verdana" w:cs="Arial"/>
          <w:color w:val="000000" w:themeColor="text1"/>
          <w:lang w:eastAsia="es-CO"/>
        </w:rPr>
      </w:pPr>
      <w:r w:rsidRPr="00FE5A24">
        <w:rPr>
          <w:rFonts w:ascii="Verdana" w:eastAsia="Times New Roman" w:hAnsi="Verdana" w:cs="Arial"/>
          <w:color w:val="000000" w:themeColor="text1"/>
          <w:lang w:eastAsia="es-CO"/>
        </w:rPr>
        <w:t>Atentamente,</w:t>
      </w:r>
      <w:r w:rsidRPr="00FE5A24">
        <w:rPr>
          <w:rFonts w:ascii="Verdana" w:hAnsi="Verdana" w:cs="Arial"/>
          <w:color w:val="000000" w:themeColor="text1"/>
          <w:lang w:eastAsia="es-CO"/>
        </w:rPr>
        <w:t xml:space="preserve"> </w:t>
      </w:r>
    </w:p>
    <w:p w14:paraId="0B943CDF" w14:textId="7433000D" w:rsidR="00E02CC7" w:rsidRPr="00FE5A24" w:rsidRDefault="000711BB" w:rsidP="00E02CC7">
      <w:pPr>
        <w:spacing w:line="276" w:lineRule="auto"/>
        <w:jc w:val="center"/>
        <w:rPr>
          <w:rFonts w:ascii="Verdana" w:hAnsi="Verdana" w:cs="Arial"/>
          <w:color w:val="000000" w:themeColor="text1"/>
          <w:lang w:val="es-ES_tradnl" w:eastAsia="es-CO"/>
        </w:rPr>
      </w:pPr>
      <w:r w:rsidRPr="002C3AD6">
        <w:rPr>
          <w:rFonts w:ascii="Century Gothic" w:hAnsi="Century Gothic"/>
          <w:noProof/>
        </w:rPr>
        <w:drawing>
          <wp:inline distT="0" distB="0" distL="0" distR="0" wp14:anchorId="6395ED87" wp14:editId="12291101">
            <wp:extent cx="3416300" cy="1268172"/>
            <wp:effectExtent l="0" t="0" r="0" b="825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430428" cy="1273416"/>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02CC7" w:rsidRPr="003751C7" w14:paraId="0CFEB18A" w14:textId="77777777" w:rsidTr="00391750">
        <w:trPr>
          <w:trHeight w:val="315"/>
        </w:trPr>
        <w:tc>
          <w:tcPr>
            <w:tcW w:w="893" w:type="dxa"/>
            <w:vAlign w:val="center"/>
            <w:hideMark/>
          </w:tcPr>
          <w:p w14:paraId="50EFE22B" w14:textId="77777777" w:rsidR="00E02CC7" w:rsidRPr="003751C7" w:rsidRDefault="00E02CC7" w:rsidP="00391750">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DC47D71" w14:textId="77777777" w:rsidR="00E02CC7" w:rsidRPr="00FF1EF8" w:rsidRDefault="00E02CC7" w:rsidP="00391750">
            <w:pPr>
              <w:contextualSpacing/>
              <w:rPr>
                <w:rFonts w:ascii="Verdana" w:eastAsia="Arial" w:hAnsi="Verdana" w:cs="Arial"/>
                <w:color w:val="000000" w:themeColor="text1"/>
                <w:sz w:val="16"/>
                <w:szCs w:val="16"/>
              </w:rPr>
            </w:pPr>
            <w:r w:rsidRPr="00FF1EF8">
              <w:rPr>
                <w:rFonts w:ascii="Verdana" w:eastAsia="Arial" w:hAnsi="Verdana" w:cs="Arial"/>
                <w:color w:val="000000" w:themeColor="text1"/>
                <w:sz w:val="16"/>
                <w:szCs w:val="16"/>
              </w:rPr>
              <w:t>Anamaría Bonilla Prieto</w:t>
            </w:r>
          </w:p>
          <w:p w14:paraId="160D0828" w14:textId="77777777" w:rsidR="00E02CC7" w:rsidRPr="003751C7" w:rsidRDefault="00E02CC7" w:rsidP="00391750">
            <w:pPr>
              <w:contextualSpacing/>
              <w:rPr>
                <w:rFonts w:ascii="Verdana" w:eastAsia="Arial" w:hAnsi="Verdana" w:cs="Arial"/>
                <w:sz w:val="16"/>
                <w:szCs w:val="16"/>
              </w:rPr>
            </w:pPr>
            <w:r w:rsidRPr="00FF1EF8">
              <w:rPr>
                <w:rStyle w:val="normaltextrun"/>
                <w:rFonts w:ascii="Verdana" w:eastAsia="Arial" w:hAnsi="Verdana" w:cs="Arial"/>
                <w:color w:val="000000" w:themeColor="text1"/>
                <w:sz w:val="16"/>
                <w:szCs w:val="16"/>
              </w:rPr>
              <w:t xml:space="preserve">Contratista de la Subdirección </w:t>
            </w:r>
            <w:r w:rsidRPr="003751C7">
              <w:rPr>
                <w:rStyle w:val="normaltextrun"/>
                <w:rFonts w:ascii="Verdana" w:eastAsia="Arial" w:hAnsi="Verdana" w:cs="Arial"/>
                <w:sz w:val="16"/>
                <w:szCs w:val="16"/>
              </w:rPr>
              <w:t>de Gestión Contractual</w:t>
            </w:r>
          </w:p>
        </w:tc>
      </w:tr>
      <w:tr w:rsidR="00E02CC7" w:rsidRPr="003751C7" w14:paraId="3EAF0232" w14:textId="77777777" w:rsidTr="00391750">
        <w:trPr>
          <w:trHeight w:val="330"/>
        </w:trPr>
        <w:tc>
          <w:tcPr>
            <w:tcW w:w="893" w:type="dxa"/>
            <w:vAlign w:val="center"/>
            <w:hideMark/>
          </w:tcPr>
          <w:p w14:paraId="21EDA7CB" w14:textId="77777777" w:rsidR="00E02CC7" w:rsidRPr="003751C7" w:rsidRDefault="00E02CC7" w:rsidP="00391750">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54AD41D" w14:textId="77777777" w:rsidR="00E02CC7" w:rsidRPr="00AA40D8" w:rsidRDefault="00E02CC7" w:rsidP="00391750">
            <w:pPr>
              <w:spacing w:line="276" w:lineRule="auto"/>
              <w:contextualSpacing/>
              <w:textAlignment w:val="baseline"/>
              <w:rPr>
                <w:rFonts w:ascii="Verdana" w:eastAsia="Times New Roman" w:hAnsi="Verdana" w:cs="Arial"/>
                <w:sz w:val="15"/>
                <w:szCs w:val="15"/>
                <w:lang w:val="es-ES" w:eastAsia="es-ES_tradnl"/>
              </w:rPr>
            </w:pPr>
            <w:r w:rsidRPr="00AA40D8">
              <w:rPr>
                <w:rFonts w:ascii="Verdana" w:eastAsia="Times New Roman" w:hAnsi="Verdana" w:cs="Arial"/>
                <w:sz w:val="15"/>
                <w:szCs w:val="15"/>
                <w:lang w:val="es-ES" w:eastAsia="es-ES_tradnl"/>
              </w:rPr>
              <w:t>Alejandro Sarmiento Cantillo</w:t>
            </w:r>
          </w:p>
          <w:p w14:paraId="12B82D50" w14:textId="77777777" w:rsidR="00E02CC7" w:rsidRPr="003751C7" w:rsidRDefault="00E02CC7" w:rsidP="00391750">
            <w:pPr>
              <w:pStyle w:val="paragraph"/>
              <w:spacing w:before="0" w:beforeAutospacing="0" w:after="0" w:afterAutospacing="0"/>
              <w:contextualSpacing/>
              <w:textAlignment w:val="baseline"/>
              <w:rPr>
                <w:rFonts w:ascii="Verdana" w:hAnsi="Verdana" w:cs="Segoe UI"/>
                <w:sz w:val="16"/>
                <w:szCs w:val="16"/>
              </w:rPr>
            </w:pPr>
            <w:r w:rsidRPr="00AA40D8">
              <w:rPr>
                <w:rFonts w:ascii="Verdana" w:hAnsi="Verdana" w:cs="Arial"/>
                <w:sz w:val="15"/>
                <w:szCs w:val="15"/>
                <w:lang w:val="es-ES"/>
              </w:rPr>
              <w:t xml:space="preserve">Gestor T1 – 15 </w:t>
            </w:r>
            <w:r w:rsidRPr="00AA40D8">
              <w:rPr>
                <w:rStyle w:val="normaltextrun"/>
                <w:rFonts w:ascii="Verdana" w:hAnsi="Verdana" w:cs="Arial"/>
                <w:sz w:val="15"/>
                <w:szCs w:val="15"/>
                <w:lang w:val="es-ES"/>
              </w:rPr>
              <w:t>de la Subdirección de Gestión Contractual</w:t>
            </w:r>
            <w:r w:rsidRPr="00AA40D8">
              <w:rPr>
                <w:rStyle w:val="eop"/>
                <w:rFonts w:ascii="Verdana" w:hAnsi="Verdana" w:cs="Arial"/>
                <w:sz w:val="15"/>
                <w:szCs w:val="15"/>
                <w:lang w:val="es-ES"/>
              </w:rPr>
              <w:t> </w:t>
            </w:r>
          </w:p>
        </w:tc>
      </w:tr>
      <w:tr w:rsidR="00E02CC7" w:rsidRPr="003751C7" w14:paraId="16BF2C34" w14:textId="77777777" w:rsidTr="00391750">
        <w:trPr>
          <w:trHeight w:val="300"/>
        </w:trPr>
        <w:tc>
          <w:tcPr>
            <w:tcW w:w="893" w:type="dxa"/>
            <w:vAlign w:val="center"/>
          </w:tcPr>
          <w:p w14:paraId="5AF4117A" w14:textId="77777777" w:rsidR="00E02CC7" w:rsidRPr="003751C7" w:rsidRDefault="00E02CC7" w:rsidP="00391750">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04F62F0" w14:textId="77777777" w:rsidR="00E02CC7" w:rsidRPr="003751C7" w:rsidRDefault="00E02CC7" w:rsidP="00391750">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6093876C" w14:textId="77777777" w:rsidR="00E02CC7" w:rsidRPr="003751C7" w:rsidRDefault="00E02CC7" w:rsidP="00391750">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tbl>
    <w:p w14:paraId="3F0F84EE" w14:textId="77777777" w:rsidR="00E02CC7" w:rsidRPr="0044528D" w:rsidRDefault="00E02CC7" w:rsidP="00E02CC7">
      <w:pPr>
        <w:spacing w:after="0"/>
        <w:rPr>
          <w:rFonts w:ascii="Verdana" w:hAnsi="Verdana"/>
        </w:rPr>
      </w:pPr>
    </w:p>
    <w:bookmarkEnd w:id="0"/>
    <w:p w14:paraId="516B8796" w14:textId="77777777" w:rsidR="00E02CC7" w:rsidRPr="0044528D" w:rsidRDefault="00E02CC7" w:rsidP="00E02CC7">
      <w:pPr>
        <w:spacing w:after="0"/>
        <w:rPr>
          <w:rFonts w:ascii="Verdana" w:hAnsi="Verdana"/>
        </w:rPr>
      </w:pPr>
    </w:p>
    <w:p w14:paraId="3900974D" w14:textId="77777777" w:rsidR="003D5B0D" w:rsidRPr="00DB1E49" w:rsidRDefault="003D5B0D" w:rsidP="00DB1E49"/>
    <w:sectPr w:rsidR="003D5B0D" w:rsidRPr="00DB1E49"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5A0DD" w14:textId="77777777" w:rsidR="00F5079C" w:rsidRDefault="00F5079C" w:rsidP="004A1847">
      <w:pPr>
        <w:spacing w:after="0" w:line="240" w:lineRule="auto"/>
      </w:pPr>
      <w:r>
        <w:separator/>
      </w:r>
    </w:p>
  </w:endnote>
  <w:endnote w:type="continuationSeparator" w:id="0">
    <w:p w14:paraId="5F66D607" w14:textId="77777777" w:rsidR="00F5079C" w:rsidRDefault="00F5079C" w:rsidP="004A1847">
      <w:pPr>
        <w:spacing w:after="0" w:line="240" w:lineRule="auto"/>
      </w:pPr>
      <w:r>
        <w:continuationSeparator/>
      </w:r>
    </w:p>
  </w:endnote>
  <w:endnote w:type="continuationNotice" w:id="1">
    <w:p w14:paraId="7F5B1A80" w14:textId="77777777" w:rsidR="00F5079C" w:rsidRDefault="00F507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A765A" w14:textId="77777777" w:rsidR="00F5079C" w:rsidRDefault="00F5079C" w:rsidP="004A1847">
      <w:pPr>
        <w:spacing w:after="0" w:line="240" w:lineRule="auto"/>
      </w:pPr>
      <w:r>
        <w:separator/>
      </w:r>
    </w:p>
  </w:footnote>
  <w:footnote w:type="continuationSeparator" w:id="0">
    <w:p w14:paraId="6CA71A18" w14:textId="77777777" w:rsidR="00F5079C" w:rsidRDefault="00F5079C" w:rsidP="004A1847">
      <w:pPr>
        <w:spacing w:after="0" w:line="240" w:lineRule="auto"/>
      </w:pPr>
      <w:r>
        <w:continuationSeparator/>
      </w:r>
    </w:p>
  </w:footnote>
  <w:footnote w:type="continuationNotice" w:id="1">
    <w:p w14:paraId="768C5B2D" w14:textId="77777777" w:rsidR="00F5079C" w:rsidRDefault="00F5079C">
      <w:pPr>
        <w:spacing w:after="0" w:line="240" w:lineRule="auto"/>
      </w:pPr>
    </w:p>
  </w:footnote>
  <w:footnote w:id="2">
    <w:p w14:paraId="4789A678" w14:textId="77777777" w:rsidR="00E02CC7" w:rsidRPr="002E4D8E" w:rsidRDefault="00E02CC7" w:rsidP="00E02CC7">
      <w:pPr>
        <w:pStyle w:val="Textonotapie"/>
        <w:adjustRightInd w:val="0"/>
        <w:snapToGrid w:val="0"/>
        <w:ind w:firstLine="709"/>
        <w:jc w:val="both"/>
        <w:rPr>
          <w:rFonts w:ascii="Verdana" w:hAnsi="Verdana"/>
          <w:sz w:val="16"/>
          <w:szCs w:val="16"/>
        </w:rPr>
      </w:pPr>
      <w:r w:rsidRPr="003428BC">
        <w:rPr>
          <w:rStyle w:val="Refdenotaalpie"/>
          <w:rFonts w:ascii="Verdana" w:hAnsi="Verdana"/>
          <w:sz w:val="16"/>
          <w:szCs w:val="16"/>
        </w:rPr>
        <w:footnoteRef/>
      </w:r>
      <w:r w:rsidRPr="003428BC">
        <w:rPr>
          <w:rFonts w:ascii="Verdana" w:hAnsi="Verdana"/>
          <w:sz w:val="16"/>
          <w:szCs w:val="16"/>
        </w:rPr>
        <w:t xml:space="preserve"> Artículo 21 de la Ley 1150 de 2007</w:t>
      </w:r>
    </w:p>
  </w:footnote>
  <w:footnote w:id="3">
    <w:p w14:paraId="06C41FD7" w14:textId="77777777" w:rsidR="00E02CC7" w:rsidRPr="002E4D8E" w:rsidRDefault="00E02CC7" w:rsidP="00E02CC7">
      <w:pPr>
        <w:pStyle w:val="Textonotapie"/>
        <w:adjustRightInd w:val="0"/>
        <w:snapToGrid w:val="0"/>
        <w:ind w:firstLine="709"/>
        <w:jc w:val="both"/>
        <w:rPr>
          <w:rFonts w:ascii="Verdana" w:hAnsi="Verdana"/>
          <w:sz w:val="16"/>
          <w:szCs w:val="16"/>
        </w:rPr>
      </w:pPr>
      <w:r w:rsidRPr="003428BC">
        <w:rPr>
          <w:rStyle w:val="Refdenotaalpie"/>
          <w:rFonts w:ascii="Verdana" w:hAnsi="Verdana"/>
          <w:sz w:val="16"/>
          <w:szCs w:val="16"/>
        </w:rPr>
        <w:footnoteRef/>
      </w:r>
      <w:r w:rsidRPr="003428BC">
        <w:rPr>
          <w:rFonts w:ascii="Verdana" w:hAnsi="Verdana"/>
          <w:sz w:val="16"/>
          <w:szCs w:val="16"/>
        </w:rPr>
        <w:t xml:space="preserve"> Artículos 83 a 86 de la Ley 1474 de 2011</w:t>
      </w:r>
    </w:p>
  </w:footnote>
  <w:footnote w:id="4">
    <w:p w14:paraId="2D063135" w14:textId="77777777" w:rsidR="00E02CC7" w:rsidRPr="003428BC" w:rsidRDefault="00E02CC7" w:rsidP="00E02CC7">
      <w:pPr>
        <w:pStyle w:val="Textonotapie"/>
        <w:adjustRightInd w:val="0"/>
        <w:snapToGrid w:val="0"/>
        <w:ind w:firstLine="709"/>
        <w:jc w:val="both"/>
        <w:rPr>
          <w:rFonts w:ascii="Verdana" w:hAnsi="Verdana"/>
          <w:sz w:val="16"/>
          <w:szCs w:val="16"/>
        </w:rPr>
      </w:pPr>
      <w:r w:rsidRPr="003428BC">
        <w:rPr>
          <w:rStyle w:val="Refdenotaalpie"/>
          <w:rFonts w:ascii="Verdana" w:hAnsi="Verdana"/>
          <w:sz w:val="16"/>
          <w:szCs w:val="16"/>
        </w:rPr>
        <w:footnoteRef/>
      </w:r>
      <w:r w:rsidRPr="003428BC">
        <w:rPr>
          <w:rFonts w:ascii="Verdana" w:hAnsi="Verdana"/>
          <w:sz w:val="16"/>
          <w:szCs w:val="16"/>
        </w:rPr>
        <w:t xml:space="preserve"> Artículo 83 de la Ley 1474 de 2011</w:t>
      </w:r>
    </w:p>
  </w:footnote>
  <w:footnote w:id="5">
    <w:p w14:paraId="619A7746" w14:textId="77777777" w:rsidR="00E02CC7" w:rsidRPr="00A641BB" w:rsidRDefault="00E02CC7" w:rsidP="00E02CC7">
      <w:pPr>
        <w:pStyle w:val="Textonotapie"/>
        <w:adjustRightInd w:val="0"/>
        <w:snapToGrid w:val="0"/>
        <w:ind w:firstLine="709"/>
        <w:jc w:val="both"/>
        <w:rPr>
          <w:rFonts w:ascii="Verdana" w:hAnsi="Verdana" w:cs="Arial"/>
          <w:color w:val="161616"/>
          <w:sz w:val="16"/>
          <w:szCs w:val="16"/>
        </w:rPr>
      </w:pPr>
      <w:r w:rsidRPr="003428BC">
        <w:rPr>
          <w:rStyle w:val="Refdenotaalpie"/>
          <w:rFonts w:ascii="Verdana" w:hAnsi="Verdana"/>
          <w:sz w:val="16"/>
          <w:szCs w:val="16"/>
        </w:rPr>
        <w:footnoteRef/>
      </w:r>
      <w:r w:rsidRPr="003428BC">
        <w:rPr>
          <w:rFonts w:ascii="Verdana" w:hAnsi="Verdana"/>
          <w:sz w:val="16"/>
          <w:szCs w:val="16"/>
        </w:rPr>
        <w:t xml:space="preserve"> </w:t>
      </w:r>
      <w:r w:rsidRPr="003428BC">
        <w:rPr>
          <w:rFonts w:ascii="Verdana" w:hAnsi="Verdana" w:cs="Arial"/>
          <w:color w:val="161616"/>
          <w:sz w:val="16"/>
          <w:szCs w:val="16"/>
        </w:rPr>
        <w:t>“Son también contratos de consultoría los que tienen por objeto la interventoría […]”</w:t>
      </w:r>
    </w:p>
  </w:footnote>
  <w:footnote w:id="6">
    <w:p w14:paraId="7DDE9B08" w14:textId="77777777" w:rsidR="00E02CC7" w:rsidRPr="00DC1DA9" w:rsidRDefault="00E02CC7" w:rsidP="00E02CC7">
      <w:pPr>
        <w:pStyle w:val="Textonotapie"/>
        <w:adjustRightInd w:val="0"/>
        <w:snapToGrid w:val="0"/>
        <w:ind w:firstLine="709"/>
        <w:jc w:val="both"/>
        <w:rPr>
          <w:rFonts w:ascii="Verdana" w:hAnsi="Verdana" w:cs="Arial"/>
          <w:color w:val="161616"/>
          <w:sz w:val="16"/>
          <w:szCs w:val="16"/>
        </w:rPr>
      </w:pPr>
      <w:r w:rsidRPr="003428BC">
        <w:rPr>
          <w:rStyle w:val="Refdenotaalpie"/>
          <w:rFonts w:ascii="Verdana" w:hAnsi="Verdana" w:cs="Arial"/>
          <w:sz w:val="16"/>
          <w:szCs w:val="16"/>
        </w:rPr>
        <w:footnoteRef/>
      </w:r>
      <w:r w:rsidRPr="003428BC">
        <w:rPr>
          <w:rFonts w:ascii="Verdana" w:hAnsi="Verdana" w:cs="Arial"/>
          <w:sz w:val="16"/>
          <w:szCs w:val="16"/>
        </w:rPr>
        <w:t xml:space="preserve"> </w:t>
      </w:r>
      <w:r w:rsidRPr="003428BC">
        <w:rPr>
          <w:rFonts w:ascii="Verdana" w:hAnsi="Verdana" w:cs="Arial"/>
          <w:color w:val="161616"/>
          <w:sz w:val="16"/>
          <w:szCs w:val="16"/>
        </w:rPr>
        <w:t>Consejo de Estado. Sección Tercera. Sentencia del 28 de febrero de 2013. Exp. 24.266 C.P. Danilo Rojas Betancourth.</w:t>
      </w:r>
    </w:p>
  </w:footnote>
  <w:footnote w:id="7">
    <w:p w14:paraId="5FEE839B" w14:textId="77777777" w:rsidR="00E02CC7" w:rsidRPr="003428BC" w:rsidRDefault="00E02CC7" w:rsidP="00E02CC7">
      <w:pPr>
        <w:pStyle w:val="Textonotapie"/>
        <w:adjustRightInd w:val="0"/>
        <w:snapToGrid w:val="0"/>
        <w:ind w:firstLine="709"/>
        <w:jc w:val="both"/>
        <w:rPr>
          <w:rFonts w:ascii="Verdana" w:hAnsi="Verdana" w:cs="Arial"/>
          <w:color w:val="161616"/>
          <w:sz w:val="16"/>
          <w:szCs w:val="16"/>
        </w:rPr>
      </w:pPr>
      <w:r w:rsidRPr="003428BC">
        <w:rPr>
          <w:rStyle w:val="Refdenotaalpie"/>
          <w:rFonts w:ascii="Verdana" w:hAnsi="Verdana" w:cs="Arial"/>
          <w:sz w:val="16"/>
          <w:szCs w:val="16"/>
        </w:rPr>
        <w:footnoteRef/>
      </w:r>
      <w:r w:rsidRPr="003428BC">
        <w:rPr>
          <w:rFonts w:ascii="Verdana" w:hAnsi="Verdana" w:cs="Arial"/>
          <w:sz w:val="16"/>
          <w:szCs w:val="16"/>
        </w:rPr>
        <w:t xml:space="preserve"> </w:t>
      </w:r>
      <w:r w:rsidRPr="003428BC">
        <w:rPr>
          <w:rFonts w:ascii="Verdana" w:hAnsi="Verdana" w:cs="Arial"/>
          <w:color w:val="161616"/>
          <w:sz w:val="16"/>
          <w:szCs w:val="16"/>
        </w:rPr>
        <w:t>Consejo de Estado, Sección Tercera. Sentencia del 8 de marzo de 1996, expediente n.° 8070, C.P. Jesús María Carrillo: “el interventor carece de facultades para exigir del contratante un supuesto derecho a prórrogas, como queriendo hacer valer el contrato de interventoria como un contrato accesorio del contrato de obra, y con esa perspectiva alegar que por la sola naturaleza accesoria "debe" obtener la misma suerte que la del contrato principal”. Consejo de Estado, Sala de lo Contencioso Administrativo, Sección Tercera, sentencia del 13 de septiembre de 1991, expediente n.° 5127, C.P. Carlos Betancur: “Debe distinguirse entre el contrato de obra pública y el de interventoría, pues el incumplimiento del contratista de obra no puede imputarse al del interventor como si éste fuera obligado a la ejecución de la obra”.</w:t>
      </w:r>
      <w:r w:rsidRPr="003428BC">
        <w:rPr>
          <w:rFonts w:ascii="Verdana" w:hAnsi="Verdana" w:cs="Arial"/>
          <w:sz w:val="16"/>
          <w:szCs w:val="16"/>
        </w:rPr>
        <w:t xml:space="preserve">  </w:t>
      </w:r>
    </w:p>
  </w:footnote>
  <w:footnote w:id="8">
    <w:p w14:paraId="5C3BBB55" w14:textId="77777777" w:rsidR="00E02CC7" w:rsidRPr="003428BC" w:rsidRDefault="00E02CC7" w:rsidP="00E02CC7">
      <w:pPr>
        <w:pStyle w:val="Textonotapie"/>
        <w:ind w:firstLine="708"/>
        <w:jc w:val="both"/>
        <w:rPr>
          <w:rFonts w:ascii="Verdana" w:hAnsi="Verdana" w:cs="Arial"/>
          <w:iCs/>
          <w:color w:val="1A1A1A" w:themeColor="background1" w:themeShade="1A"/>
          <w:sz w:val="16"/>
          <w:szCs w:val="16"/>
        </w:rPr>
      </w:pPr>
      <w:r w:rsidRPr="003428BC">
        <w:rPr>
          <w:rStyle w:val="Refdenotaalpie"/>
          <w:rFonts w:ascii="Verdana" w:hAnsi="Verdana"/>
          <w:sz w:val="16"/>
          <w:szCs w:val="16"/>
        </w:rPr>
        <w:footnoteRef/>
      </w:r>
      <w:r w:rsidRPr="003428BC">
        <w:rPr>
          <w:rFonts w:ascii="Verdana" w:hAnsi="Verdana"/>
          <w:sz w:val="16"/>
          <w:szCs w:val="16"/>
        </w:rPr>
        <w:t xml:space="preserve"> </w:t>
      </w:r>
      <w:r w:rsidRPr="003428BC">
        <w:rPr>
          <w:rFonts w:ascii="Verdana" w:hAnsi="Verdana" w:cs="Arial"/>
          <w:iCs/>
          <w:color w:val="1A1A1A" w:themeColor="background1" w:themeShade="1A"/>
          <w:sz w:val="16"/>
          <w:szCs w:val="16"/>
        </w:rPr>
        <w:t xml:space="preserve">Consejo de Estado, Sección Tercera. Sentencia del 20 de noviembre de 2019, expediente n.° 25000-23-36-000-2016-00955-01(62369), M.P. Marta Nubia Velazquez Rico: </w:t>
      </w:r>
      <w:r>
        <w:rPr>
          <w:rFonts w:ascii="Verdana" w:hAnsi="Verdana" w:cs="Arial"/>
          <w:color w:val="1A1A1A" w:themeColor="background1" w:themeShade="1A"/>
          <w:sz w:val="16"/>
          <w:szCs w:val="16"/>
        </w:rPr>
        <w:t>“</w:t>
      </w:r>
      <w:r w:rsidRPr="003428BC">
        <w:rPr>
          <w:rFonts w:ascii="Verdana" w:hAnsi="Verdana" w:cs="Arial"/>
          <w:iCs/>
          <w:color w:val="1A1A1A" w:themeColor="background1" w:themeShade="1A"/>
          <w:sz w:val="16"/>
          <w:szCs w:val="16"/>
        </w:rPr>
        <w:t xml:space="preserve">el </w:t>
      </w:r>
      <w:r w:rsidRPr="003428BC">
        <w:rPr>
          <w:rFonts w:ascii="Verdana" w:hAnsi="Verdana" w:cs="Arial"/>
          <w:i/>
          <w:color w:val="1A1A1A" w:themeColor="background1" w:themeShade="1A"/>
          <w:sz w:val="16"/>
          <w:szCs w:val="16"/>
        </w:rPr>
        <w:t>precio del contrato de interventoría</w:t>
      </w:r>
      <w:r w:rsidRPr="003428BC">
        <w:rPr>
          <w:rFonts w:ascii="Verdana" w:hAnsi="Verdana" w:cs="Arial"/>
          <w:iCs/>
          <w:color w:val="1A1A1A" w:themeColor="background1" w:themeShade="1A"/>
          <w:sz w:val="16"/>
          <w:szCs w:val="16"/>
        </w:rPr>
        <w:t xml:space="preserve"> se estructura básicamente con base en los costos de los recursos humanos y técnicos altamente especializados que se requieren para adelantar la interventoría y elaborar los entregables o productos requeridos. No obstante, a su vez, se precisa que la remuneración o precio del contrato de interventoría no necesariamente corresponde a un sistema de simple reembolso de costos y gastos, dado que el contratista interventor otorga su experiencia como organización y se compromete con un sistema de control y vigilancia que colabora y protege los intereses de la entidad pública contratante, al punto de que su labor se ha calificado como una función pública, en la cual el contratista asume un riesgo profesional y patrimonial de importancia</w:t>
      </w:r>
      <w:r>
        <w:rPr>
          <w:rFonts w:ascii="Verdana" w:hAnsi="Verdana" w:cs="Arial"/>
          <w:iCs/>
          <w:color w:val="1A1A1A" w:themeColor="background1" w:themeShade="1A"/>
          <w:sz w:val="16"/>
          <w:szCs w:val="16"/>
        </w:rPr>
        <w:t>”</w:t>
      </w:r>
    </w:p>
  </w:footnote>
  <w:footnote w:id="9">
    <w:p w14:paraId="7A8E868A" w14:textId="77777777" w:rsidR="00E02CC7" w:rsidRPr="003428BC" w:rsidRDefault="00E02CC7" w:rsidP="00E02CC7">
      <w:pPr>
        <w:pStyle w:val="Textonotapie"/>
        <w:ind w:firstLine="708"/>
        <w:jc w:val="both"/>
        <w:rPr>
          <w:rFonts w:ascii="Verdana" w:hAnsi="Verdana" w:cs="Arial"/>
          <w:iCs/>
          <w:color w:val="1A1A1A" w:themeColor="background1" w:themeShade="1A"/>
          <w:sz w:val="16"/>
          <w:szCs w:val="16"/>
        </w:rPr>
      </w:pPr>
      <w:r w:rsidRPr="003428BC">
        <w:rPr>
          <w:rStyle w:val="Refdenotaalpie"/>
          <w:rFonts w:ascii="Verdana" w:hAnsi="Verdana"/>
          <w:sz w:val="16"/>
          <w:szCs w:val="16"/>
        </w:rPr>
        <w:footnoteRef/>
      </w:r>
      <w:r w:rsidRPr="003428BC">
        <w:rPr>
          <w:rFonts w:ascii="Verdana" w:hAnsi="Verdana"/>
          <w:sz w:val="16"/>
          <w:szCs w:val="16"/>
        </w:rPr>
        <w:t xml:space="preserve"> </w:t>
      </w:r>
      <w:r>
        <w:rPr>
          <w:rFonts w:ascii="Verdana" w:hAnsi="Verdana" w:cs="Arial"/>
          <w:color w:val="1A1A1A" w:themeColor="background1" w:themeShade="1A"/>
          <w:sz w:val="16"/>
          <w:szCs w:val="16"/>
        </w:rPr>
        <w:t>“</w:t>
      </w:r>
      <w:r w:rsidRPr="003428BC">
        <w:rPr>
          <w:rFonts w:ascii="Verdana" w:hAnsi="Verdana" w:cs="Arial"/>
          <w:iCs/>
          <w:color w:val="1A1A1A" w:themeColor="background1" w:themeShade="1A"/>
          <w:sz w:val="16"/>
          <w:szCs w:val="16"/>
        </w:rPr>
        <w:t>Artículo   5º.- De los Derechos y Deberes de los Contratistas. Para la realización de los fines de que trata el artículo 3o. de esta Ley, los contratistas:</w:t>
      </w:r>
    </w:p>
    <w:p w14:paraId="48CC5418" w14:textId="77777777" w:rsidR="00E02CC7" w:rsidRPr="00A641BB" w:rsidRDefault="00E02CC7" w:rsidP="00E02CC7">
      <w:pPr>
        <w:pStyle w:val="Textonotapie"/>
        <w:ind w:firstLine="708"/>
        <w:jc w:val="both"/>
        <w:rPr>
          <w:rFonts w:ascii="Verdana" w:hAnsi="Verdana" w:cs="Arial"/>
          <w:color w:val="1A1A1A" w:themeColor="background1" w:themeShade="1A"/>
          <w:sz w:val="16"/>
          <w:szCs w:val="16"/>
        </w:rPr>
      </w:pPr>
      <w:r w:rsidRPr="003428BC">
        <w:rPr>
          <w:rFonts w:ascii="Verdana" w:hAnsi="Verdana" w:cs="Arial"/>
          <w:iCs/>
          <w:color w:val="1A1A1A" w:themeColor="background1" w:themeShade="1A"/>
          <w:sz w:val="16"/>
          <w:szCs w:val="16"/>
        </w:rPr>
        <w:t>1o. Tendrán derecho a recibir oportunamente la remuneración pactada y a que el valor intrínseco de la misma no se altere o modifique durante la vigencia del contrato</w:t>
      </w:r>
      <w:r>
        <w:rPr>
          <w:rFonts w:ascii="Verdana" w:hAnsi="Verdana" w:cs="Arial"/>
          <w:color w:val="1A1A1A" w:themeColor="background1" w:themeShade="1A"/>
          <w:sz w:val="16"/>
          <w:szCs w:val="16"/>
        </w:rPr>
        <w:t>”</w:t>
      </w:r>
      <w:r w:rsidRPr="003428BC">
        <w:rPr>
          <w:rFonts w:ascii="Verdana" w:hAnsi="Verdana" w:cs="Arial"/>
          <w:color w:val="1A1A1A" w:themeColor="background1" w:themeShade="1A"/>
          <w:sz w:val="16"/>
          <w:szCs w:val="16"/>
        </w:rPr>
        <w:t>.</w:t>
      </w:r>
    </w:p>
  </w:footnote>
  <w:footnote w:id="10">
    <w:p w14:paraId="61C2EF37" w14:textId="77777777" w:rsidR="00E02CC7" w:rsidRPr="003428BC" w:rsidRDefault="00E02CC7" w:rsidP="00E02CC7">
      <w:pPr>
        <w:pStyle w:val="Textonotapie"/>
        <w:ind w:firstLine="709"/>
        <w:jc w:val="both"/>
        <w:rPr>
          <w:rFonts w:ascii="Verdana" w:hAnsi="Verdana" w:cs="Arial"/>
          <w:sz w:val="16"/>
          <w:szCs w:val="16"/>
          <w:lang w:val="es-ES"/>
        </w:rPr>
      </w:pPr>
      <w:r w:rsidRPr="003428BC">
        <w:rPr>
          <w:rStyle w:val="Refdenotaalpie"/>
          <w:rFonts w:ascii="Verdana" w:hAnsi="Verdana" w:cs="Arial"/>
          <w:sz w:val="16"/>
          <w:szCs w:val="16"/>
        </w:rPr>
        <w:footnoteRef/>
      </w:r>
      <w:r w:rsidRPr="003428BC">
        <w:rPr>
          <w:rFonts w:ascii="Verdana" w:hAnsi="Verdana" w:cs="Arial"/>
          <w:sz w:val="16"/>
          <w:szCs w:val="16"/>
        </w:rPr>
        <w:t xml:space="preserve"> </w:t>
      </w:r>
      <w:r>
        <w:rPr>
          <w:rFonts w:ascii="Verdana" w:hAnsi="Verdana" w:cs="Arial"/>
          <w:sz w:val="16"/>
          <w:szCs w:val="16"/>
        </w:rPr>
        <w:t>“</w:t>
      </w:r>
      <w:r w:rsidRPr="003428BC">
        <w:rPr>
          <w:rFonts w:ascii="Verdana" w:hAnsi="Verdana" w:cs="Arial"/>
          <w:sz w:val="16"/>
          <w:szCs w:val="16"/>
          <w:lang w:val="es-ES"/>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0E5FEA4C" w14:textId="77777777" w:rsidR="00E02CC7" w:rsidRPr="003428BC" w:rsidRDefault="00E02CC7" w:rsidP="00E02CC7">
      <w:pPr>
        <w:pStyle w:val="Textonotapie"/>
        <w:ind w:firstLine="709"/>
        <w:jc w:val="both"/>
        <w:rPr>
          <w:rFonts w:ascii="Verdana" w:hAnsi="Verdana" w:cs="Arial"/>
          <w:sz w:val="16"/>
          <w:szCs w:val="16"/>
          <w:lang w:val="es-ES"/>
        </w:rPr>
      </w:pPr>
      <w:r w:rsidRPr="003428BC">
        <w:rPr>
          <w:rFonts w:ascii="Verdana" w:hAnsi="Verdana" w:cs="Arial"/>
          <w:sz w:val="16"/>
          <w:szCs w:val="16"/>
          <w:lang w:val="es-ES"/>
        </w:rPr>
        <w:t xml:space="preserve">Sin embargo, en otros negocios, como la obra pública, la concesión y la consultoría, el Estado está acostumbrado a que se desglosen intensamente los costos, exigiendo no sólo el precio total sino una distinción entre los </w:t>
      </w:r>
      <w:r w:rsidRPr="003428BC">
        <w:rPr>
          <w:rFonts w:ascii="Verdana" w:hAnsi="Verdana" w:cs="Arial"/>
          <w:i/>
          <w:iCs/>
          <w:sz w:val="16"/>
          <w:szCs w:val="16"/>
          <w:lang w:val="es-ES"/>
        </w:rPr>
        <w:t>costos directos</w:t>
      </w:r>
      <w:r w:rsidRPr="003428BC">
        <w:rPr>
          <w:rFonts w:ascii="Verdana" w:hAnsi="Verdana" w:cs="Arial"/>
          <w:sz w:val="16"/>
          <w:szCs w:val="16"/>
          <w:lang w:val="es-ES"/>
        </w:rPr>
        <w:t xml:space="preserve"> y los</w:t>
      </w:r>
      <w:r w:rsidRPr="003428BC">
        <w:rPr>
          <w:rFonts w:ascii="Verdana" w:hAnsi="Verdana" w:cs="Arial"/>
          <w:i/>
          <w:iCs/>
          <w:sz w:val="16"/>
          <w:szCs w:val="16"/>
          <w:lang w:val="es-ES"/>
        </w:rPr>
        <w:t xml:space="preserve"> costos indirectos</w:t>
      </w:r>
      <w:r w:rsidRPr="003428BC">
        <w:rPr>
          <w:rFonts w:ascii="Verdana" w:hAnsi="Verdana" w:cs="Arial"/>
          <w:sz w:val="16"/>
          <w:szCs w:val="16"/>
          <w:lang w:val="es-ES"/>
        </w:rPr>
        <w:t xml:space="preserve">.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w:t>
      </w:r>
      <w:r w:rsidRPr="003428BC">
        <w:rPr>
          <w:rFonts w:ascii="Verdana" w:hAnsi="Verdana" w:cs="Arial"/>
          <w:i/>
          <w:iCs/>
          <w:sz w:val="16"/>
          <w:szCs w:val="16"/>
          <w:lang w:val="es-ES"/>
        </w:rPr>
        <w:t>ítems</w:t>
      </w:r>
      <w:r w:rsidRPr="003428BC">
        <w:rPr>
          <w:rFonts w:ascii="Verdana" w:hAnsi="Verdana" w:cs="Arial"/>
          <w:sz w:val="16"/>
          <w:szCs w:val="16"/>
          <w:lang w:val="es-ES"/>
        </w:rPr>
        <w:t xml:space="preserve"> que componen el contrato–. Los costos </w:t>
      </w:r>
      <w:r w:rsidRPr="003428BC">
        <w:rPr>
          <w:rFonts w:ascii="Verdana" w:hAnsi="Verdana" w:cs="Arial"/>
          <w:i/>
          <w:iCs/>
          <w:sz w:val="16"/>
          <w:szCs w:val="16"/>
          <w:lang w:val="es-ES"/>
        </w:rPr>
        <w:t>indirectos</w:t>
      </w:r>
      <w:r w:rsidRPr="003428BC">
        <w:rPr>
          <w:rFonts w:ascii="Verdana" w:hAnsi="Verdana" w:cs="Arial"/>
          <w:sz w:val="16"/>
          <w:szCs w:val="16"/>
          <w:lang w:val="es-ES"/>
        </w:rPr>
        <w:t xml:space="preserve"> aluden a los gastos que también son necesarios para la obra, pero que no hacen parte de los elementos mismos con los que se construye, es decir, se trata de los costos de administración de la obra, los imprevistos que se presentan durante su ejecución y la utilidad esperada</w:t>
      </w:r>
      <w:r>
        <w:rPr>
          <w:rFonts w:ascii="Verdana" w:hAnsi="Verdana" w:cs="Arial"/>
          <w:sz w:val="16"/>
          <w:szCs w:val="16"/>
          <w:lang w:val="es-ES"/>
        </w:rPr>
        <w:t>”</w:t>
      </w:r>
      <w:r w:rsidRPr="003428BC">
        <w:rPr>
          <w:rFonts w:ascii="Verdana" w:hAnsi="Verdana" w:cs="Arial"/>
          <w:sz w:val="16"/>
          <w:szCs w:val="16"/>
          <w:lang w:val="es-ES"/>
        </w:rPr>
        <w:t xml:space="preserve"> (MARÍN CORTÉS, Fabián. El precio. Serie: Las cláusulas del contrato estatal. Medellín: Librería Jurídica Sánchez y Centro de Estudios de Derecho Administrativo –CEDA–, 2012. pp. 63-64).</w:t>
      </w:r>
    </w:p>
  </w:footnote>
  <w:footnote w:id="11">
    <w:p w14:paraId="10AC2CDF" w14:textId="77777777" w:rsidR="00E02CC7" w:rsidRPr="003428BC" w:rsidRDefault="00E02CC7" w:rsidP="00E02CC7">
      <w:pPr>
        <w:pStyle w:val="Textonotapie"/>
        <w:ind w:firstLine="708"/>
        <w:jc w:val="both"/>
        <w:rPr>
          <w:rFonts w:ascii="Verdana" w:hAnsi="Verdana"/>
          <w:sz w:val="16"/>
          <w:szCs w:val="16"/>
          <w:lang w:val="es-ES"/>
        </w:rPr>
      </w:pPr>
      <w:r w:rsidRPr="003428BC">
        <w:rPr>
          <w:rStyle w:val="Refdenotaalpie"/>
          <w:rFonts w:ascii="Verdana" w:hAnsi="Verdana"/>
          <w:sz w:val="16"/>
          <w:szCs w:val="16"/>
        </w:rPr>
        <w:footnoteRef/>
      </w:r>
      <w:r w:rsidRPr="003428BC">
        <w:rPr>
          <w:rFonts w:ascii="Verdana" w:hAnsi="Verdana"/>
          <w:sz w:val="16"/>
          <w:szCs w:val="16"/>
        </w:rPr>
        <w:t xml:space="preserve"> Ley 80 de 1993, Artículo 13: “L</w:t>
      </w:r>
      <w:r w:rsidRPr="003428BC">
        <w:rPr>
          <w:rFonts w:ascii="Verdana" w:hAnsi="Verdana"/>
          <w:sz w:val="16"/>
          <w:szCs w:val="16"/>
          <w:lang w:val="es-CO"/>
        </w:rPr>
        <w:t>os contratos que celebren las entidades a que se refiere el artículo 2 del presente estatuto se regirán por las disposiciones comerciales y civiles pertinentes, salvo en las materias particularmente reguladas en esta Ley […]”.</w:t>
      </w:r>
    </w:p>
  </w:footnote>
  <w:footnote w:id="12">
    <w:p w14:paraId="38421086" w14:textId="77777777" w:rsidR="00E02CC7" w:rsidRPr="003428BC" w:rsidRDefault="00E02CC7" w:rsidP="00E02CC7">
      <w:pPr>
        <w:pStyle w:val="Textonotapie"/>
        <w:ind w:firstLine="708"/>
        <w:jc w:val="both"/>
        <w:rPr>
          <w:rFonts w:ascii="Verdana" w:hAnsi="Verdana"/>
          <w:sz w:val="16"/>
          <w:szCs w:val="16"/>
          <w:lang w:val="es-ES"/>
        </w:rPr>
      </w:pPr>
      <w:r w:rsidRPr="003428BC">
        <w:rPr>
          <w:rStyle w:val="Refdenotaalpie"/>
          <w:rFonts w:ascii="Verdana" w:hAnsi="Verdana"/>
          <w:sz w:val="16"/>
          <w:szCs w:val="16"/>
        </w:rPr>
        <w:footnoteRef/>
      </w:r>
      <w:r w:rsidRPr="003428BC">
        <w:rPr>
          <w:rFonts w:ascii="Verdana" w:hAnsi="Verdana"/>
          <w:sz w:val="16"/>
          <w:szCs w:val="16"/>
        </w:rPr>
        <w:t xml:space="preserve"> Ley 80 de 1993. ARTÍCULO </w:t>
      </w:r>
      <w:bookmarkStart w:id="3" w:name="BM32"/>
      <w:bookmarkStart w:id="4" w:name="32"/>
      <w:bookmarkEnd w:id="3"/>
      <w:bookmarkEnd w:id="4"/>
      <w:r w:rsidRPr="003428BC">
        <w:rPr>
          <w:rFonts w:ascii="Verdana" w:hAnsi="Verdana"/>
          <w:sz w:val="16"/>
          <w:szCs w:val="16"/>
        </w:rPr>
        <w:t>32: “</w:t>
      </w:r>
      <w:r w:rsidRPr="003428BC">
        <w:rPr>
          <w:rFonts w:ascii="Verdana" w:hAnsi="Verdana"/>
          <w:sz w:val="16"/>
          <w:szCs w:val="16"/>
          <w:lang w:val="es-CO"/>
        </w:rPr>
        <w:t>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w:t>
      </w:r>
    </w:p>
  </w:footnote>
  <w:footnote w:id="13">
    <w:p w14:paraId="5980B048" w14:textId="77777777" w:rsidR="00E02CC7" w:rsidRPr="003428BC" w:rsidRDefault="00E02CC7" w:rsidP="00E02CC7">
      <w:pPr>
        <w:pStyle w:val="Textonotapie"/>
        <w:ind w:firstLine="709"/>
        <w:jc w:val="both"/>
        <w:rPr>
          <w:rFonts w:ascii="Verdana" w:hAnsi="Verdana" w:cs="Arial"/>
          <w:sz w:val="16"/>
          <w:szCs w:val="16"/>
          <w:lang w:val="es-ES"/>
        </w:rPr>
      </w:pPr>
      <w:r w:rsidRPr="003428BC">
        <w:rPr>
          <w:rStyle w:val="Refdenotaalpie"/>
          <w:rFonts w:ascii="Verdana" w:hAnsi="Verdana"/>
          <w:sz w:val="16"/>
          <w:szCs w:val="16"/>
        </w:rPr>
        <w:footnoteRef/>
      </w:r>
      <w:r w:rsidRPr="003428BC">
        <w:rPr>
          <w:rFonts w:ascii="Verdana" w:hAnsi="Verdana"/>
          <w:sz w:val="16"/>
          <w:szCs w:val="16"/>
        </w:rPr>
        <w:t xml:space="preserve"> </w:t>
      </w:r>
      <w:r w:rsidRPr="003428BC">
        <w:rPr>
          <w:rFonts w:ascii="Verdana" w:hAnsi="Verdana" w:cs="Arial"/>
          <w:sz w:val="16"/>
          <w:szCs w:val="16"/>
          <w:lang w:val="es-ES"/>
        </w:rPr>
        <w:t>ARTICULO 1530. DEFINICION DE OBLIGACIONES CONDICIONALES. Es obligación condicional la que depende de una condición, esto es, de un acontecimiento futuro, que puede suceder o no.</w:t>
      </w:r>
    </w:p>
    <w:p w14:paraId="38F79E90" w14:textId="77777777" w:rsidR="00E02CC7" w:rsidRPr="003428BC" w:rsidRDefault="00E02CC7" w:rsidP="00E02CC7">
      <w:pPr>
        <w:pStyle w:val="Textonotapie"/>
        <w:ind w:firstLine="709"/>
        <w:jc w:val="both"/>
        <w:rPr>
          <w:rFonts w:ascii="Verdana" w:hAnsi="Verdana" w:cs="Arial"/>
          <w:sz w:val="16"/>
          <w:szCs w:val="16"/>
          <w:lang w:val="es-ES"/>
        </w:rPr>
      </w:pPr>
      <w:r w:rsidRPr="003428BC">
        <w:rPr>
          <w:rFonts w:ascii="Verdana" w:hAnsi="Verdana" w:cs="Arial"/>
          <w:sz w:val="16"/>
          <w:szCs w:val="16"/>
          <w:lang w:val="es-ES"/>
        </w:rPr>
        <w:t>ARTICULO 1531. CONDICION POSITIVA O NEGATIVA. La condición es positiva o negativa.</w:t>
      </w:r>
    </w:p>
    <w:p w14:paraId="0E8ABD14" w14:textId="77777777" w:rsidR="00E02CC7" w:rsidRPr="003428BC" w:rsidRDefault="00E02CC7" w:rsidP="00E02CC7">
      <w:pPr>
        <w:pStyle w:val="Textonotapie"/>
        <w:jc w:val="both"/>
        <w:rPr>
          <w:rFonts w:ascii="Verdana" w:hAnsi="Verdana" w:cs="Arial"/>
          <w:sz w:val="16"/>
          <w:szCs w:val="16"/>
          <w:lang w:val="es-ES"/>
        </w:rPr>
      </w:pPr>
      <w:r w:rsidRPr="003428BC">
        <w:rPr>
          <w:rFonts w:ascii="Verdana" w:hAnsi="Verdana" w:cs="Arial"/>
          <w:sz w:val="16"/>
          <w:szCs w:val="16"/>
          <w:lang w:val="es-ES"/>
        </w:rPr>
        <w:t>La positiva consiste en acontecer una cosa; la negativa en que una cosa no acontezca.</w:t>
      </w:r>
    </w:p>
    <w:p w14:paraId="7B8455AB" w14:textId="77777777" w:rsidR="00E02CC7" w:rsidRPr="003428BC" w:rsidRDefault="00E02CC7" w:rsidP="00E02CC7">
      <w:pPr>
        <w:pStyle w:val="Textonotapie"/>
        <w:ind w:firstLine="709"/>
        <w:jc w:val="both"/>
        <w:rPr>
          <w:rFonts w:ascii="Verdana" w:hAnsi="Verdana" w:cs="Arial"/>
          <w:sz w:val="16"/>
          <w:szCs w:val="16"/>
          <w:lang w:val="es-ES"/>
        </w:rPr>
      </w:pPr>
      <w:r w:rsidRPr="003428BC">
        <w:rPr>
          <w:rFonts w:ascii="Verdana" w:hAnsi="Verdana" w:cs="Arial"/>
          <w:sz w:val="16"/>
          <w:szCs w:val="16"/>
          <w:lang w:val="es-ES"/>
        </w:rPr>
        <w:t>ARTICULO 1532. POSIBILIDAD Y MORALIDAD DE LAS CONDICIONES POSITIVAS. La condición positiva debe ser física y moralmente posible.</w:t>
      </w:r>
    </w:p>
    <w:p w14:paraId="1ED7842C" w14:textId="77777777" w:rsidR="00E02CC7" w:rsidRPr="003428BC" w:rsidRDefault="00E02CC7" w:rsidP="00E02CC7">
      <w:pPr>
        <w:pStyle w:val="Textonotapie"/>
        <w:ind w:firstLine="708"/>
        <w:jc w:val="both"/>
        <w:rPr>
          <w:rFonts w:ascii="Verdana" w:hAnsi="Verdana" w:cs="Arial"/>
          <w:sz w:val="16"/>
          <w:szCs w:val="16"/>
          <w:lang w:val="es-ES"/>
        </w:rPr>
      </w:pPr>
      <w:r w:rsidRPr="003428BC">
        <w:rPr>
          <w:rFonts w:ascii="Verdana" w:hAnsi="Verdana" w:cs="Arial"/>
          <w:sz w:val="16"/>
          <w:szCs w:val="16"/>
          <w:lang w:val="es-ES"/>
        </w:rPr>
        <w:t>Es físicamente imposible la que es contraria a las leyes de la naturaleza física; y moralmente imposible la que consiste en un hecho prohibido por las leyes, o es opuesta a las buenas costumbres o al orden público.</w:t>
      </w:r>
    </w:p>
    <w:p w14:paraId="4CF659FC" w14:textId="77777777" w:rsidR="00E02CC7" w:rsidRPr="003428BC" w:rsidRDefault="00E02CC7" w:rsidP="00E02CC7">
      <w:pPr>
        <w:pStyle w:val="Textonotapie"/>
        <w:ind w:firstLine="708"/>
        <w:jc w:val="both"/>
        <w:rPr>
          <w:rFonts w:ascii="Verdana" w:hAnsi="Verdana" w:cs="Arial"/>
          <w:sz w:val="16"/>
          <w:szCs w:val="16"/>
          <w:lang w:val="es-ES"/>
        </w:rPr>
      </w:pPr>
      <w:r w:rsidRPr="003428BC">
        <w:rPr>
          <w:rFonts w:ascii="Verdana" w:hAnsi="Verdana" w:cs="Arial"/>
          <w:sz w:val="16"/>
          <w:szCs w:val="16"/>
          <w:lang w:val="es-ES"/>
        </w:rPr>
        <w:t>Se mirarán también como imposibles las que están concebidas en términos ininteligibles.</w:t>
      </w:r>
    </w:p>
    <w:p w14:paraId="21E6F5C3" w14:textId="77777777" w:rsidR="00E02CC7" w:rsidRPr="003428BC" w:rsidRDefault="00E02CC7" w:rsidP="00E02CC7">
      <w:pPr>
        <w:pStyle w:val="Textonotapie"/>
        <w:ind w:firstLine="709"/>
        <w:jc w:val="both"/>
        <w:rPr>
          <w:rFonts w:ascii="Verdana" w:hAnsi="Verdana" w:cs="Arial"/>
          <w:sz w:val="16"/>
          <w:szCs w:val="16"/>
          <w:lang w:val="es-ES"/>
        </w:rPr>
      </w:pPr>
      <w:r w:rsidRPr="003428BC">
        <w:rPr>
          <w:rFonts w:ascii="Verdana" w:hAnsi="Verdana" w:cs="Arial"/>
          <w:sz w:val="16"/>
          <w:szCs w:val="16"/>
          <w:lang w:val="es-ES"/>
        </w:rPr>
        <w:t>[…]</w:t>
      </w:r>
    </w:p>
    <w:p w14:paraId="346EEBD1" w14:textId="77777777" w:rsidR="00E02CC7" w:rsidRPr="003428BC" w:rsidRDefault="00E02CC7" w:rsidP="00E02CC7">
      <w:pPr>
        <w:pStyle w:val="Textonotapie"/>
        <w:ind w:firstLine="709"/>
        <w:jc w:val="both"/>
        <w:rPr>
          <w:rFonts w:ascii="Verdana" w:hAnsi="Verdana" w:cs="Arial"/>
          <w:sz w:val="16"/>
          <w:szCs w:val="16"/>
          <w:lang w:val="es-ES"/>
        </w:rPr>
      </w:pPr>
      <w:r w:rsidRPr="003428BC">
        <w:rPr>
          <w:rFonts w:ascii="Verdana" w:hAnsi="Verdana" w:cs="Arial"/>
          <w:sz w:val="16"/>
          <w:szCs w:val="16"/>
          <w:lang w:val="es-ES"/>
        </w:rPr>
        <w:t>ARTICULO 1534. CONDICION POTESTATIVA, CASUAL Y MIXTA. Se llama condición potestativa la que depende de la voluntad del acreedor o del deudor; casual la que depende de la voluntad de un tercero o de un acaso; mixta la que en parte depende de la voluntad del acreedor y en parte de la voluntad de un tercero o de un acaso.</w:t>
      </w:r>
    </w:p>
  </w:footnote>
  <w:footnote w:id="14">
    <w:p w14:paraId="1E5990B0" w14:textId="77777777" w:rsidR="00E02CC7" w:rsidRPr="003428BC" w:rsidRDefault="00E02CC7" w:rsidP="00E02CC7">
      <w:pPr>
        <w:pStyle w:val="Textonotapie"/>
        <w:ind w:firstLine="708"/>
        <w:jc w:val="both"/>
        <w:rPr>
          <w:rFonts w:ascii="Verdana" w:hAnsi="Verdana"/>
          <w:b/>
          <w:sz w:val="16"/>
          <w:szCs w:val="16"/>
        </w:rPr>
      </w:pPr>
      <w:r w:rsidRPr="003428BC">
        <w:rPr>
          <w:rStyle w:val="Refdenotaalpie"/>
          <w:rFonts w:ascii="Verdana" w:hAnsi="Verdana"/>
          <w:sz w:val="16"/>
          <w:szCs w:val="16"/>
        </w:rPr>
        <w:footnoteRef/>
      </w:r>
      <w:r w:rsidRPr="003428BC">
        <w:rPr>
          <w:rFonts w:ascii="Verdana" w:hAnsi="Verdana"/>
          <w:sz w:val="16"/>
          <w:szCs w:val="16"/>
        </w:rPr>
        <w:t xml:space="preserve"> </w:t>
      </w:r>
      <w:r w:rsidRPr="00DC1DA9">
        <w:rPr>
          <w:rFonts w:ascii="Verdana" w:hAnsi="Verdana"/>
          <w:sz w:val="16"/>
          <w:szCs w:val="16"/>
        </w:rPr>
        <w:t>Consejo de Estado, Sección Tercera. Sentencia del 17 de octubre de 2023. Exp. 69492. C.P. Marta Nubia Velásquez Rico.</w:t>
      </w:r>
    </w:p>
  </w:footnote>
  <w:footnote w:id="15">
    <w:p w14:paraId="6D1068A8" w14:textId="77777777" w:rsidR="00E02CC7" w:rsidRPr="00347926" w:rsidRDefault="00E02CC7" w:rsidP="00E02CC7">
      <w:pPr>
        <w:pStyle w:val="Textonotapie"/>
        <w:ind w:firstLine="708"/>
        <w:jc w:val="both"/>
        <w:rPr>
          <w:rFonts w:ascii="Verdana" w:hAnsi="Verdana"/>
          <w:sz w:val="16"/>
          <w:szCs w:val="16"/>
        </w:rPr>
      </w:pPr>
      <w:r w:rsidRPr="00347926">
        <w:rPr>
          <w:rStyle w:val="Refdenotaalpie"/>
          <w:rFonts w:ascii="Verdana" w:hAnsi="Verdana"/>
          <w:sz w:val="16"/>
          <w:szCs w:val="16"/>
        </w:rPr>
        <w:footnoteRef/>
      </w:r>
      <w:r w:rsidRPr="00347926">
        <w:rPr>
          <w:rFonts w:ascii="Verdana" w:hAnsi="Verdana"/>
          <w:sz w:val="16"/>
          <w:szCs w:val="16"/>
        </w:rPr>
        <w:t xml:space="preserve"> </w:t>
      </w:r>
      <w:r>
        <w:rPr>
          <w:rFonts w:ascii="Verdana" w:hAnsi="Verdana"/>
          <w:sz w:val="16"/>
          <w:szCs w:val="16"/>
        </w:rPr>
        <w:t xml:space="preserve">Ley 80 de 1994, artículo </w:t>
      </w:r>
      <w:proofErr w:type="gramStart"/>
      <w:r>
        <w:rPr>
          <w:rFonts w:ascii="Verdana" w:hAnsi="Verdana"/>
          <w:sz w:val="16"/>
          <w:szCs w:val="16"/>
        </w:rPr>
        <w:t>24:</w:t>
      </w:r>
      <w:r w:rsidRPr="00347926">
        <w:rPr>
          <w:rFonts w:ascii="Verdana" w:hAnsi="Verdana"/>
          <w:sz w:val="16"/>
          <w:szCs w:val="16"/>
        </w:rPr>
        <w:t>“</w:t>
      </w:r>
      <w:proofErr w:type="gramEnd"/>
      <w:r>
        <w:rPr>
          <w:rFonts w:ascii="Verdana" w:hAnsi="Verdana"/>
          <w:sz w:val="16"/>
          <w:szCs w:val="16"/>
        </w:rPr>
        <w:t xml:space="preserve">[…] </w:t>
      </w:r>
      <w:r w:rsidRPr="00347926">
        <w:rPr>
          <w:rFonts w:ascii="Verdana" w:hAnsi="Verdana"/>
          <w:sz w:val="16"/>
          <w:szCs w:val="16"/>
          <w:lang w:val="es-CO"/>
        </w:rPr>
        <w:t>5o. </w:t>
      </w:r>
      <w:bookmarkStart w:id="6" w:name="BM24_5"/>
      <w:bookmarkStart w:id="7" w:name="24.5"/>
      <w:bookmarkEnd w:id="6"/>
      <w:bookmarkEnd w:id="7"/>
      <w:r w:rsidRPr="00347926">
        <w:rPr>
          <w:rFonts w:ascii="Verdana" w:hAnsi="Verdana"/>
          <w:sz w:val="16"/>
          <w:szCs w:val="16"/>
          <w:lang w:val="es-CO"/>
        </w:rPr>
        <w:t>En los pliegos de condiciones o </w:t>
      </w:r>
      <w:r w:rsidRPr="00347926">
        <w:rPr>
          <w:rFonts w:ascii="Verdana" w:hAnsi="Verdana"/>
          <w:sz w:val="16"/>
          <w:szCs w:val="16"/>
          <w:u w:val="single"/>
          <w:lang w:val="es-CO"/>
        </w:rPr>
        <w:t xml:space="preserve">términos de </w:t>
      </w:r>
      <w:proofErr w:type="gramStart"/>
      <w:r w:rsidRPr="00347926">
        <w:rPr>
          <w:rFonts w:ascii="Verdana" w:hAnsi="Verdana"/>
          <w:sz w:val="16"/>
          <w:szCs w:val="16"/>
          <w:u w:val="single"/>
          <w:lang w:val="es-CO"/>
        </w:rPr>
        <w:t>referencia</w:t>
      </w:r>
      <w:r w:rsidRPr="00347926">
        <w:rPr>
          <w:rFonts w:ascii="Verdana" w:hAnsi="Verdana"/>
          <w:sz w:val="16"/>
          <w:szCs w:val="16"/>
          <w:lang w:val="es-CO"/>
        </w:rPr>
        <w:t>:[</w:t>
      </w:r>
      <w:proofErr w:type="gramEnd"/>
      <w:r w:rsidRPr="00347926">
        <w:rPr>
          <w:rFonts w:ascii="Verdana" w:hAnsi="Verdana"/>
          <w:sz w:val="16"/>
          <w:szCs w:val="16"/>
          <w:lang w:val="es-CO"/>
        </w:rPr>
        <w:t xml:space="preserve">…] d) No se incluirán condiciones y exigencias de imposible cumplimiento, ni exenciones de la responsabilidad derivada de los datos, informes y documentos que se suministren […] </w:t>
      </w:r>
      <w:r w:rsidRPr="00347926">
        <w:rPr>
          <w:rFonts w:ascii="Verdana" w:hAnsi="Verdana"/>
          <w:sz w:val="16"/>
          <w:szCs w:val="16"/>
        </w:rPr>
        <w:t>Serán ineficaces de pleno derecho las estipulaciones de los pliegos o </w:t>
      </w:r>
      <w:r w:rsidRPr="00347926">
        <w:rPr>
          <w:rFonts w:ascii="Verdana" w:hAnsi="Verdana"/>
          <w:sz w:val="16"/>
          <w:szCs w:val="16"/>
          <w:u w:val="single"/>
        </w:rPr>
        <w:t>términos de referencia</w:t>
      </w:r>
      <w:r w:rsidRPr="00347926">
        <w:rPr>
          <w:rFonts w:ascii="Verdana" w:hAnsi="Verdana"/>
          <w:sz w:val="16"/>
          <w:szCs w:val="16"/>
        </w:rPr>
        <w:t> y de los contratos que contravengan lo dispuesto en este numeral, o dispongan renuncias a reclamaciones por la ocurrencia de los hechos aquí enunciados”.</w:t>
      </w:r>
    </w:p>
  </w:footnote>
  <w:footnote w:id="16">
    <w:p w14:paraId="298BE221" w14:textId="77777777" w:rsidR="00E02CC7" w:rsidRPr="00347926" w:rsidRDefault="00E02CC7" w:rsidP="00E02CC7">
      <w:pPr>
        <w:pStyle w:val="Textonotapie"/>
        <w:ind w:firstLine="708"/>
        <w:jc w:val="both"/>
        <w:rPr>
          <w:lang w:val="es-ES"/>
        </w:rPr>
      </w:pPr>
      <w:r w:rsidRPr="00347926">
        <w:rPr>
          <w:rStyle w:val="Refdenotaalpie"/>
          <w:rFonts w:ascii="Verdana" w:hAnsi="Verdana"/>
          <w:sz w:val="16"/>
          <w:szCs w:val="16"/>
        </w:rPr>
        <w:footnoteRef/>
      </w:r>
      <w:r w:rsidRPr="00347926">
        <w:rPr>
          <w:rFonts w:ascii="Verdana" w:hAnsi="Verdana"/>
          <w:sz w:val="16"/>
          <w:szCs w:val="16"/>
        </w:rPr>
        <w:t xml:space="preserve"> </w:t>
      </w:r>
      <w:r w:rsidRPr="00DC1DA9">
        <w:rPr>
          <w:rFonts w:ascii="Verdana" w:hAnsi="Verdana"/>
          <w:sz w:val="16"/>
          <w:szCs w:val="16"/>
        </w:rPr>
        <w:t>Consejo de Estado, Sección Tercera. Sentencia del 17 de octubre de 2023. Exp. 69492. C.P. Marta Nubia Velásquez Rico.</w:t>
      </w:r>
    </w:p>
  </w:footnote>
  <w:footnote w:id="17">
    <w:p w14:paraId="766ED172" w14:textId="77777777" w:rsidR="00E02CC7" w:rsidRPr="00295EFD" w:rsidRDefault="00E02CC7" w:rsidP="00E02CC7">
      <w:pPr>
        <w:pStyle w:val="Textonotapie"/>
        <w:ind w:firstLine="708"/>
        <w:jc w:val="both"/>
        <w:rPr>
          <w:rFonts w:ascii="Verdana" w:hAnsi="Verdana" w:cs="Arial"/>
          <w:color w:val="000000" w:themeColor="text1"/>
          <w:sz w:val="16"/>
          <w:szCs w:val="16"/>
        </w:rPr>
      </w:pPr>
      <w:r w:rsidRPr="00295EFD">
        <w:rPr>
          <w:rStyle w:val="Refdenotaalpie"/>
          <w:rFonts w:ascii="Verdana" w:hAnsi="Verdana"/>
          <w:sz w:val="16"/>
          <w:szCs w:val="16"/>
        </w:rPr>
        <w:footnoteRef/>
      </w:r>
      <w:r w:rsidRPr="00295EFD">
        <w:rPr>
          <w:rFonts w:ascii="Verdana" w:hAnsi="Verdana"/>
          <w:sz w:val="16"/>
          <w:szCs w:val="16"/>
        </w:rPr>
        <w:t xml:space="preserve"> </w:t>
      </w:r>
      <w:r w:rsidRPr="00295EFD">
        <w:rPr>
          <w:rFonts w:ascii="Verdana" w:hAnsi="Verdana" w:cs="Arial"/>
          <w:color w:val="000000" w:themeColor="text1"/>
          <w:sz w:val="16"/>
          <w:szCs w:val="16"/>
        </w:rPr>
        <w:t xml:space="preserve">Los Documentos Tipo expedidos por la Agencia Nacional de Contratación Pública – Colombia Compra Eficiente pueden ser consultados en el siguiente enlace: </w:t>
      </w:r>
      <w:hyperlink r:id="rId1" w:history="1">
        <w:r w:rsidRPr="003D1A46">
          <w:rPr>
            <w:rStyle w:val="Hipervnculo"/>
            <w:rFonts w:ascii="Verdana" w:hAnsi="Verdana" w:cs="Arial"/>
            <w:sz w:val="16"/>
            <w:szCs w:val="16"/>
          </w:rPr>
          <w:t>https://www.colombiacompra.gov.co/documentos-tipo/documentos-tipo</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5768"/>
    <w:rsid w:val="00046945"/>
    <w:rsid w:val="00060FCA"/>
    <w:rsid w:val="00061B2A"/>
    <w:rsid w:val="000711BB"/>
    <w:rsid w:val="00082362"/>
    <w:rsid w:val="000A683E"/>
    <w:rsid w:val="000B19B9"/>
    <w:rsid w:val="000C0251"/>
    <w:rsid w:val="000D0334"/>
    <w:rsid w:val="000F6486"/>
    <w:rsid w:val="00125105"/>
    <w:rsid w:val="00127233"/>
    <w:rsid w:val="001511A0"/>
    <w:rsid w:val="001C2EF1"/>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640E8"/>
    <w:rsid w:val="00367A6F"/>
    <w:rsid w:val="00374F5E"/>
    <w:rsid w:val="00377E3E"/>
    <w:rsid w:val="003A689D"/>
    <w:rsid w:val="003A779E"/>
    <w:rsid w:val="003D0F4D"/>
    <w:rsid w:val="003D5B0D"/>
    <w:rsid w:val="003E0499"/>
    <w:rsid w:val="003E686C"/>
    <w:rsid w:val="003F3941"/>
    <w:rsid w:val="003F7124"/>
    <w:rsid w:val="00406575"/>
    <w:rsid w:val="00414C74"/>
    <w:rsid w:val="0042722E"/>
    <w:rsid w:val="0044528D"/>
    <w:rsid w:val="004A1632"/>
    <w:rsid w:val="004A1847"/>
    <w:rsid w:val="004A305D"/>
    <w:rsid w:val="004D50E4"/>
    <w:rsid w:val="004F21C4"/>
    <w:rsid w:val="004F685F"/>
    <w:rsid w:val="005566E8"/>
    <w:rsid w:val="00574867"/>
    <w:rsid w:val="00591460"/>
    <w:rsid w:val="005B3816"/>
    <w:rsid w:val="005C3777"/>
    <w:rsid w:val="005C5CDC"/>
    <w:rsid w:val="005D476C"/>
    <w:rsid w:val="006219F8"/>
    <w:rsid w:val="00665D70"/>
    <w:rsid w:val="006900D9"/>
    <w:rsid w:val="00706C16"/>
    <w:rsid w:val="00756841"/>
    <w:rsid w:val="007649AB"/>
    <w:rsid w:val="00771D0C"/>
    <w:rsid w:val="007833AC"/>
    <w:rsid w:val="00784D44"/>
    <w:rsid w:val="007A2BBB"/>
    <w:rsid w:val="007B268C"/>
    <w:rsid w:val="007B7171"/>
    <w:rsid w:val="007C0C0F"/>
    <w:rsid w:val="007C3DC2"/>
    <w:rsid w:val="007E181C"/>
    <w:rsid w:val="007E5497"/>
    <w:rsid w:val="00806F5F"/>
    <w:rsid w:val="00820278"/>
    <w:rsid w:val="008615B3"/>
    <w:rsid w:val="00867F95"/>
    <w:rsid w:val="008843B6"/>
    <w:rsid w:val="00891928"/>
    <w:rsid w:val="008A446D"/>
    <w:rsid w:val="008D180B"/>
    <w:rsid w:val="008F0EA7"/>
    <w:rsid w:val="00923EEF"/>
    <w:rsid w:val="009419F9"/>
    <w:rsid w:val="0095685E"/>
    <w:rsid w:val="00961B09"/>
    <w:rsid w:val="00963476"/>
    <w:rsid w:val="00965334"/>
    <w:rsid w:val="0097093E"/>
    <w:rsid w:val="00986AC5"/>
    <w:rsid w:val="00992718"/>
    <w:rsid w:val="009A0DFA"/>
    <w:rsid w:val="009B2D26"/>
    <w:rsid w:val="009C71FA"/>
    <w:rsid w:val="009C72E7"/>
    <w:rsid w:val="009D3058"/>
    <w:rsid w:val="009F3A13"/>
    <w:rsid w:val="00A122D3"/>
    <w:rsid w:val="00A17F13"/>
    <w:rsid w:val="00A20739"/>
    <w:rsid w:val="00A33C78"/>
    <w:rsid w:val="00A342FD"/>
    <w:rsid w:val="00A6329A"/>
    <w:rsid w:val="00A90B76"/>
    <w:rsid w:val="00AB0ADB"/>
    <w:rsid w:val="00B01B1A"/>
    <w:rsid w:val="00B66319"/>
    <w:rsid w:val="00B72CD3"/>
    <w:rsid w:val="00B72FFF"/>
    <w:rsid w:val="00BB5C08"/>
    <w:rsid w:val="00BC3D36"/>
    <w:rsid w:val="00BD7F72"/>
    <w:rsid w:val="00C04FB3"/>
    <w:rsid w:val="00C330EB"/>
    <w:rsid w:val="00C41061"/>
    <w:rsid w:val="00C67322"/>
    <w:rsid w:val="00C754BE"/>
    <w:rsid w:val="00C76B1C"/>
    <w:rsid w:val="00C86D5C"/>
    <w:rsid w:val="00C93F75"/>
    <w:rsid w:val="00CB6357"/>
    <w:rsid w:val="00CC1B26"/>
    <w:rsid w:val="00D15436"/>
    <w:rsid w:val="00D423A2"/>
    <w:rsid w:val="00D520D8"/>
    <w:rsid w:val="00D63AC2"/>
    <w:rsid w:val="00D7383B"/>
    <w:rsid w:val="00DA231B"/>
    <w:rsid w:val="00DB1E49"/>
    <w:rsid w:val="00DC39FC"/>
    <w:rsid w:val="00DF5254"/>
    <w:rsid w:val="00E02CC7"/>
    <w:rsid w:val="00E1630B"/>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079C"/>
    <w:rsid w:val="00F5664F"/>
    <w:rsid w:val="00F666C4"/>
    <w:rsid w:val="00F76AFC"/>
    <w:rsid w:val="00FA47C0"/>
    <w:rsid w:val="00FB5DD1"/>
    <w:rsid w:val="00FC2B5D"/>
    <w:rsid w:val="00FF1449"/>
    <w:rsid w:val="165E9519"/>
    <w:rsid w:val="382536D9"/>
    <w:rsid w:val="6EFDAB80"/>
    <w:rsid w:val="7830631A"/>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02CC7"/>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02CC7"/>
    <w:rPr>
      <w:rFonts w:ascii="Geomanist Light" w:hAnsi="Geomanist Light"/>
      <w:lang w:val="es-ES"/>
    </w:rPr>
  </w:style>
  <w:style w:type="paragraph" w:styleId="Sinespaciado">
    <w:name w:val="No Spacing"/>
    <w:aliases w:val="No Indent"/>
    <w:link w:val="SinespaciadoCar"/>
    <w:uiPriority w:val="3"/>
    <w:qFormat/>
    <w:rsid w:val="00E02CC7"/>
    <w:pPr>
      <w:spacing w:after="0" w:line="240" w:lineRule="auto"/>
    </w:pPr>
    <w:rPr>
      <w:sz w:val="24"/>
      <w:lang w:val="es-MX"/>
    </w:rPr>
  </w:style>
  <w:style w:type="character" w:customStyle="1" w:styleId="SinespaciadoCar">
    <w:name w:val="Sin espaciado Car"/>
    <w:aliases w:val="No Indent Car"/>
    <w:link w:val="Sinespaciado"/>
    <w:uiPriority w:val="3"/>
    <w:rsid w:val="00E02CC7"/>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na.bonilla%40colombiacompra.gov.co%7C7cfff6dece924643582c08dd97bfed90%7C7b09041e245149d08cb179d5e3d8c1be%7C0%7C0%7C638833572791704363%7CUnknown%7CTWFpbGZsb3d8eyJFbXB0eU1hcGkiOnRydWUsIlYiOiIwLjAuMDAwMCIsIlAiOiJXaW4zMiIsIkFOIjoiTWFpbCIsIldUIjoyfQ%3D%3D%7C0%7C%7C%7C&amp;sdata=bvCyjLqjhhHk8z%2FCef2mJuv9SIv2uGUVZNSAdLedWrk%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rueda266@unab.edu.c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documentManagement/types"/>
    <ds:schemaRef ds:uri="http://purl.org/dc/dcmitype/"/>
    <ds:schemaRef ds:uri="http://purl.org/dc/elements/1.1/"/>
    <ds:schemaRef ds:uri="9d85dbaf-23eb-4e57-a637-93dcacc8b1a1"/>
    <ds:schemaRef ds:uri="http://schemas.microsoft.com/office/infopath/2007/PartnerControls"/>
    <ds:schemaRef ds:uri="http://schemas.microsoft.com/office/2006/metadata/properties"/>
    <ds:schemaRef ds:uri="http://schemas.openxmlformats.org/package/2006/metadata/core-properties"/>
    <ds:schemaRef ds:uri="a6cb9e4b-f1d1-4245-83ec-6cad768d538a"/>
    <ds:schemaRef ds:uri="http://www.w3.org/XML/1998/namespace"/>
    <ds:schemaRef ds:uri="http://purl.org/dc/terms/"/>
  </ds:schemaRefs>
</ds:datastoreItem>
</file>

<file path=customXml/itemProps3.xml><?xml version="1.0" encoding="utf-8"?>
<ds:datastoreItem xmlns:ds="http://schemas.openxmlformats.org/officeDocument/2006/customXml" ds:itemID="{6C8DABAE-9F84-4557-BCA9-90F93D6F73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5206</Words>
  <Characters>28639</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33778</CharactersWithSpaces>
  <SharedDoc>false</SharedDoc>
  <HLinks>
    <vt:vector size="24" baseType="variant">
      <vt:variant>
        <vt:i4>8126526</vt:i4>
      </vt:variant>
      <vt:variant>
        <vt:i4>6</vt:i4>
      </vt:variant>
      <vt:variant>
        <vt:i4>0</vt:i4>
      </vt:variant>
      <vt:variant>
        <vt:i4>5</vt:i4>
      </vt:variant>
      <vt:variant>
        <vt:lpwstr>https://nam02.safelinks.protection.outlook.com/?url=https%3A%2F%2Fwww.colombiacompra.gov.co%2Fwp-content%2Fuploads%2F2025%2F05%2FGUIA-DE-LINEAMIENTOS-DE-TRANSPARENCIA-Y-SELECCION-OBJETIVA-1.0.pdf&amp;data=05%7C02%7Cana.bonilla%40colombiacompra.gov.co%7C7cfff6dece924643582c08dd97bfed90%7C7b09041e245149d08cb179d5e3d8c1be%7C0%7C0%7C638833572791704363%7CUnknown%7CTWFpbGZsb3d8eyJFbXB0eU1hcGkiOnRydWUsIlYiOiIwLjAuMDAwMCIsIlAiOiJXaW4zMiIsIkFOIjoiTWFpbCIsIldUIjoyfQ%3D%3D%7C0%7C%7C%7C&amp;sdata=bvCyjLqjhhHk8z%2FCef2mJuv9SIv2uGUVZNSAdLedWrk%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393269</vt:i4>
      </vt:variant>
      <vt:variant>
        <vt:i4>0</vt:i4>
      </vt:variant>
      <vt:variant>
        <vt:i4>0</vt:i4>
      </vt:variant>
      <vt:variant>
        <vt:i4>5</vt:i4>
      </vt:variant>
      <vt:variant>
        <vt:lpwstr>mailto:nrueda266@unab.edu.co</vt:lpwstr>
      </vt:variant>
      <vt:variant>
        <vt:lpwstr/>
      </vt:variant>
      <vt:variant>
        <vt:i4>4653144</vt:i4>
      </vt:variant>
      <vt:variant>
        <vt:i4>0</vt:i4>
      </vt:variant>
      <vt:variant>
        <vt:i4>0</vt:i4>
      </vt:variant>
      <vt:variant>
        <vt:i4>5</vt:i4>
      </vt:variant>
      <vt:variant>
        <vt:lpwstr>https://www.colombiacompra.gov.co/documentos-tipo/documentos-tipo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Agencia Nacional de Contratación Pública - CCE</cp:lastModifiedBy>
  <cp:revision>2</cp:revision>
  <cp:lastPrinted>2023-01-10T21:18:00Z</cp:lastPrinted>
  <dcterms:created xsi:type="dcterms:W3CDTF">2025-09-03T00:13:00Z</dcterms:created>
  <dcterms:modified xsi:type="dcterms:W3CDTF">2025-09-03T00:13:00Z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