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C01BE9" w:rsidRDefault="00B55C69" w:rsidP="008536BB">
      <w:pPr>
        <w:jc w:val="right"/>
        <w:rPr>
          <w:rFonts w:ascii="Arial" w:eastAsia="Calibri" w:hAnsi="Arial" w:cs="Arial"/>
          <w:b/>
          <w:sz w:val="20"/>
          <w:szCs w:val="20"/>
          <w:lang w:val="es-ES_tradnl"/>
        </w:rPr>
      </w:pPr>
      <w:bookmarkStart w:id="0" w:name="_Hlk28946138"/>
      <w:bookmarkStart w:id="1" w:name="_Hlk29548183"/>
      <w:r w:rsidRPr="00C01BE9">
        <w:rPr>
          <w:rFonts w:ascii="Arial" w:hAnsi="Arial" w:cs="Arial"/>
          <w:bCs/>
          <w:sz w:val="16"/>
          <w:szCs w:val="16"/>
          <w:lang w:val="es-ES_tradnl" w:eastAsia="es-ES"/>
        </w:rPr>
        <w:t>CCE-DES-FM-17</w:t>
      </w:r>
      <w:bookmarkEnd w:id="0"/>
      <w:bookmarkEnd w:id="1"/>
    </w:p>
    <w:p w14:paraId="153DCCCC" w14:textId="77777777" w:rsidR="00DB5767" w:rsidRPr="00C01BE9" w:rsidRDefault="00DB5767" w:rsidP="00C978D4">
      <w:pPr>
        <w:jc w:val="both"/>
        <w:rPr>
          <w:rFonts w:ascii="Arial" w:hAnsi="Arial" w:cs="Arial"/>
          <w:noProof/>
          <w:sz w:val="22"/>
          <w:lang w:val="es-ES_tradnl"/>
        </w:rPr>
      </w:pPr>
    </w:p>
    <w:p w14:paraId="064D80D9" w14:textId="77777777" w:rsidR="002412BC" w:rsidRPr="00C01BE9" w:rsidRDefault="002412BC" w:rsidP="00631DCA">
      <w:pPr>
        <w:jc w:val="both"/>
        <w:rPr>
          <w:rFonts w:ascii="Arial" w:eastAsia="Calibri" w:hAnsi="Arial" w:cs="Arial"/>
          <w:b/>
          <w:sz w:val="22"/>
          <w:lang w:val="es-ES_tradnl"/>
        </w:rPr>
      </w:pPr>
    </w:p>
    <w:p w14:paraId="6800B5BA" w14:textId="77777777" w:rsidR="00B01966" w:rsidRPr="00C01BE9" w:rsidRDefault="00B01966" w:rsidP="00B01966">
      <w:pPr>
        <w:jc w:val="both"/>
        <w:rPr>
          <w:rFonts w:ascii="Arial" w:eastAsia="Calibri" w:hAnsi="Arial" w:cs="Arial"/>
          <w:b/>
          <w:sz w:val="22"/>
          <w:lang w:val="es-ES_tradnl"/>
        </w:rPr>
      </w:pPr>
      <w:r w:rsidRPr="00C01BE9">
        <w:rPr>
          <w:rFonts w:ascii="Arial" w:eastAsia="Calibri" w:hAnsi="Arial" w:cs="Arial"/>
          <w:b/>
          <w:sz w:val="22"/>
          <w:lang w:val="es-ES_tradnl"/>
        </w:rPr>
        <w:t>DOCUMENTOS TIPO – Fundamento normativo – Ley 2022 de 2020</w:t>
      </w:r>
    </w:p>
    <w:p w14:paraId="7E489DEC" w14:textId="77777777" w:rsidR="00B01966" w:rsidRPr="00C01BE9" w:rsidRDefault="00B01966" w:rsidP="00B01966">
      <w:pPr>
        <w:jc w:val="both"/>
        <w:rPr>
          <w:rFonts w:ascii="Arial" w:eastAsia="Calibri" w:hAnsi="Arial" w:cs="Arial"/>
          <w:b/>
          <w:sz w:val="22"/>
          <w:lang w:val="es-ES_tradnl"/>
        </w:rPr>
      </w:pPr>
    </w:p>
    <w:p w14:paraId="42DF6284" w14:textId="77777777" w:rsidR="00B01966" w:rsidRPr="00C01BE9" w:rsidRDefault="00B01966" w:rsidP="00B01966">
      <w:pPr>
        <w:jc w:val="both"/>
        <w:rPr>
          <w:rFonts w:ascii="Arial" w:eastAsia="Calibri" w:hAnsi="Arial" w:cs="Arial"/>
          <w:sz w:val="20"/>
          <w:szCs w:val="20"/>
          <w:lang w:val="es-ES_tradnl"/>
        </w:rPr>
      </w:pPr>
      <w:r w:rsidRPr="00C01BE9">
        <w:rPr>
          <w:rFonts w:ascii="Arial" w:eastAsia="Calibri" w:hAnsi="Arial" w:cs="Arial"/>
          <w:sz w:val="20"/>
          <w:szCs w:val="20"/>
          <w:lang w:val="es-ES_tradnl"/>
        </w:rPr>
        <w:t xml:space="preserve">[…], debe tenerse en cuenta que la Ley 2022 de 2020 fue sancionada por el </w:t>
      </w:r>
      <w:proofErr w:type="gramStart"/>
      <w:r w:rsidRPr="00C01BE9">
        <w:rPr>
          <w:rFonts w:ascii="Arial" w:eastAsia="Calibri" w:hAnsi="Arial" w:cs="Arial"/>
          <w:sz w:val="20"/>
          <w:szCs w:val="20"/>
          <w:lang w:val="es-ES_tradnl"/>
        </w:rPr>
        <w:t>Presidente</w:t>
      </w:r>
      <w:proofErr w:type="gramEnd"/>
      <w:r w:rsidRPr="00C01BE9">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C01BE9">
        <w:rPr>
          <w:rFonts w:ascii="Arial" w:eastAsia="Calibri" w:hAnsi="Arial" w:cs="Arial"/>
          <w:sz w:val="20"/>
          <w:szCs w:val="20"/>
          <w:lang w:val="es-ES_tradnl"/>
        </w:rPr>
        <w:t>entró en vigencia</w:t>
      </w:r>
      <w:proofErr w:type="gramEnd"/>
      <w:r w:rsidRPr="00C01BE9">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0ED33E7E" w14:textId="77777777" w:rsidR="00B01966" w:rsidRPr="00C01BE9" w:rsidRDefault="00B01966" w:rsidP="00B01966">
      <w:pPr>
        <w:jc w:val="both"/>
        <w:rPr>
          <w:rFonts w:ascii="Arial" w:eastAsia="Calibri" w:hAnsi="Arial" w:cs="Arial"/>
          <w:sz w:val="20"/>
          <w:szCs w:val="20"/>
          <w:lang w:val="es-ES_tradnl"/>
        </w:rPr>
      </w:pPr>
    </w:p>
    <w:p w14:paraId="591127C3" w14:textId="77777777" w:rsidR="00B01966" w:rsidRPr="00C01BE9" w:rsidRDefault="00B01966" w:rsidP="00B01966">
      <w:pPr>
        <w:jc w:val="both"/>
        <w:rPr>
          <w:rFonts w:ascii="Arial" w:eastAsia="Calibri" w:hAnsi="Arial" w:cs="Arial"/>
          <w:sz w:val="20"/>
          <w:szCs w:val="20"/>
          <w:lang w:val="es-ES_tradnl"/>
        </w:rPr>
      </w:pPr>
      <w:r w:rsidRPr="00C01BE9">
        <w:rPr>
          <w:rFonts w:ascii="Arial" w:eastAsia="Calibri" w:hAnsi="Arial" w:cs="Arial"/>
          <w:b/>
          <w:sz w:val="22"/>
          <w:lang w:val="es-ES_tradnl"/>
        </w:rPr>
        <w:t>DOCUMENTOS TIPO – Ámbito de aplicación</w:t>
      </w:r>
    </w:p>
    <w:p w14:paraId="022F4254" w14:textId="77777777" w:rsidR="00B01966" w:rsidRPr="00C01BE9" w:rsidRDefault="00B01966" w:rsidP="00B01966">
      <w:pPr>
        <w:jc w:val="both"/>
        <w:rPr>
          <w:rFonts w:ascii="Arial" w:eastAsia="Calibri" w:hAnsi="Arial" w:cs="Arial"/>
          <w:sz w:val="20"/>
          <w:szCs w:val="20"/>
          <w:lang w:val="es-ES_tradnl"/>
        </w:rPr>
      </w:pPr>
    </w:p>
    <w:p w14:paraId="6A1045DD" w14:textId="77777777" w:rsidR="00B01966" w:rsidRPr="00C01BE9" w:rsidRDefault="00B01966" w:rsidP="00B01966">
      <w:pPr>
        <w:jc w:val="both"/>
        <w:rPr>
          <w:rFonts w:ascii="Arial" w:eastAsia="Calibri" w:hAnsi="Arial" w:cs="Arial"/>
          <w:sz w:val="20"/>
          <w:szCs w:val="20"/>
          <w:lang w:val="es-ES_tradnl"/>
        </w:rPr>
      </w:pPr>
      <w:r w:rsidRPr="00C01BE9">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0D5515B8" w14:textId="77777777" w:rsidR="00B01966" w:rsidRPr="00C01BE9" w:rsidRDefault="00B01966" w:rsidP="00B01966">
      <w:pPr>
        <w:jc w:val="both"/>
        <w:rPr>
          <w:rFonts w:ascii="Arial" w:eastAsia="Calibri" w:hAnsi="Arial" w:cs="Arial"/>
          <w:sz w:val="20"/>
          <w:szCs w:val="20"/>
          <w:lang w:val="es-ES_tradnl"/>
        </w:rPr>
      </w:pPr>
    </w:p>
    <w:p w14:paraId="142EE393" w14:textId="77777777" w:rsidR="00B01966" w:rsidRPr="00C01BE9" w:rsidRDefault="00B01966" w:rsidP="00B01966">
      <w:pPr>
        <w:jc w:val="both"/>
        <w:rPr>
          <w:rFonts w:ascii="Arial" w:eastAsia="Calibri" w:hAnsi="Arial" w:cs="Arial"/>
          <w:b/>
          <w:sz w:val="22"/>
          <w:lang w:val="es-ES_tradnl"/>
        </w:rPr>
      </w:pPr>
      <w:r w:rsidRPr="00C01BE9">
        <w:rPr>
          <w:rFonts w:ascii="Arial" w:eastAsia="Calibri" w:hAnsi="Arial" w:cs="Arial"/>
          <w:b/>
          <w:sz w:val="22"/>
          <w:lang w:val="es-ES_tradnl"/>
        </w:rPr>
        <w:t>LEY 2195 DE 2022 – Artículo 56 – Personas jurídicas de derecho privado – Documentos tipo – Estatuto General de Contratación de la Administración Pública</w:t>
      </w:r>
    </w:p>
    <w:p w14:paraId="65DD4CED" w14:textId="77777777" w:rsidR="00B01966" w:rsidRPr="00C01BE9" w:rsidRDefault="00B01966" w:rsidP="00B01966">
      <w:pPr>
        <w:jc w:val="both"/>
        <w:rPr>
          <w:rFonts w:ascii="Arial" w:eastAsia="Calibri" w:hAnsi="Arial" w:cs="Arial"/>
          <w:b/>
          <w:sz w:val="22"/>
          <w:lang w:val="es-ES_tradnl"/>
        </w:rPr>
      </w:pPr>
    </w:p>
    <w:p w14:paraId="75DD07B8" w14:textId="77777777" w:rsidR="00B01966" w:rsidRPr="00C01BE9" w:rsidRDefault="00B01966" w:rsidP="00B01966">
      <w:pPr>
        <w:jc w:val="both"/>
        <w:rPr>
          <w:rFonts w:ascii="Arial" w:eastAsia="Calibri" w:hAnsi="Arial" w:cs="Arial"/>
          <w:bCs/>
          <w:sz w:val="20"/>
          <w:szCs w:val="22"/>
          <w:lang w:val="es-ES_tradnl"/>
        </w:rPr>
      </w:pPr>
      <w:r w:rsidRPr="00C01BE9">
        <w:rPr>
          <w:rFonts w:ascii="Arial" w:eastAsia="Calibri" w:hAnsi="Arial" w:cs="Arial"/>
          <w:bCs/>
          <w:sz w:val="20"/>
          <w:szCs w:val="22"/>
          <w:lang w:val="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3B7E2610" w14:textId="77777777" w:rsidR="00B01966" w:rsidRPr="00C01BE9" w:rsidRDefault="00B01966" w:rsidP="00B01966">
      <w:pPr>
        <w:spacing w:line="276" w:lineRule="auto"/>
        <w:jc w:val="both"/>
        <w:rPr>
          <w:rFonts w:ascii="Arial" w:hAnsi="Arial" w:cs="Arial"/>
          <w:noProof/>
          <w:sz w:val="22"/>
          <w:lang w:val="es-ES_tradnl"/>
        </w:rPr>
      </w:pPr>
    </w:p>
    <w:p w14:paraId="66710256" w14:textId="77777777" w:rsidR="00B01966" w:rsidRPr="00C01BE9" w:rsidRDefault="00B01966" w:rsidP="00B01966">
      <w:pPr>
        <w:tabs>
          <w:tab w:val="left" w:pos="0"/>
        </w:tabs>
        <w:spacing w:after="120" w:line="276" w:lineRule="auto"/>
        <w:jc w:val="both"/>
        <w:rPr>
          <w:rFonts w:ascii="Arial" w:eastAsia="Calibri" w:hAnsi="Arial" w:cs="Arial"/>
          <w:bCs/>
          <w:sz w:val="22"/>
          <w:lang w:val="es-ES_tradnl"/>
        </w:rPr>
      </w:pPr>
      <w:r w:rsidRPr="00C01BE9">
        <w:rPr>
          <w:rFonts w:ascii="Arial" w:eastAsia="Calibri" w:hAnsi="Arial" w:cs="Arial"/>
          <w:b/>
          <w:sz w:val="22"/>
          <w:lang w:val="es-ES_tradnl"/>
        </w:rPr>
        <w:t xml:space="preserve">LEY 2195 DE 2022 – Artículo 56 – Parágrafo – Excepciones </w:t>
      </w:r>
    </w:p>
    <w:p w14:paraId="18738B77" w14:textId="77777777" w:rsidR="00B01966" w:rsidRPr="00C01BE9" w:rsidRDefault="00B01966" w:rsidP="00B01966">
      <w:pPr>
        <w:tabs>
          <w:tab w:val="left" w:pos="0"/>
        </w:tabs>
        <w:spacing w:after="120"/>
        <w:jc w:val="both"/>
        <w:rPr>
          <w:rFonts w:ascii="Arial" w:eastAsia="Calibri" w:hAnsi="Arial" w:cs="Arial"/>
          <w:bCs/>
          <w:sz w:val="20"/>
          <w:szCs w:val="22"/>
          <w:lang w:val="es-ES_tradnl"/>
        </w:rPr>
      </w:pPr>
      <w:r w:rsidRPr="00C01BE9">
        <w:rPr>
          <w:rFonts w:ascii="Arial" w:eastAsia="Calibri" w:hAnsi="Arial" w:cs="Arial"/>
          <w:bCs/>
          <w:sz w:val="20"/>
          <w:szCs w:val="22"/>
          <w:lang w:val="es-ES_tradnl"/>
        </w:rPr>
        <w:lastRenderedPageBreak/>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En este contexto, en el marco del parágrafo del artículo 56, se determine algo distinto, el giro ordinario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w:t>
      </w:r>
      <w:proofErr w:type="gramStart"/>
      <w:r w:rsidRPr="00C01BE9">
        <w:rPr>
          <w:rFonts w:ascii="Arial" w:eastAsia="Calibri" w:hAnsi="Arial" w:cs="Arial"/>
          <w:bCs/>
          <w:sz w:val="20"/>
          <w:szCs w:val="22"/>
          <w:lang w:val="es-ES_tradnl"/>
        </w:rPr>
        <w:t>Presidente</w:t>
      </w:r>
      <w:proofErr w:type="gramEnd"/>
      <w:r w:rsidRPr="00C01BE9">
        <w:rPr>
          <w:rFonts w:ascii="Arial" w:eastAsia="Calibri" w:hAnsi="Arial" w:cs="Arial"/>
          <w:bCs/>
          <w:sz w:val="20"/>
          <w:szCs w:val="22"/>
          <w:lang w:val="es-ES_tradnl"/>
        </w:rPr>
        <w:t xml:space="preserve"> de la República, en ejercicio de la potestad reglamentaria atribuida por el artículo 189.11 de la Constitución Política, le asigne un significado concreto para efectos de la implementación del artículo 56 de la Ley 2195 de 2022.</w:t>
      </w:r>
    </w:p>
    <w:p w14:paraId="23BA0F20" w14:textId="77777777" w:rsidR="00B01966" w:rsidRPr="00C01BE9" w:rsidRDefault="00B01966" w:rsidP="00B01966">
      <w:pPr>
        <w:spacing w:line="276" w:lineRule="auto"/>
        <w:jc w:val="both"/>
        <w:rPr>
          <w:rFonts w:ascii="Arial" w:hAnsi="Arial" w:cs="Arial"/>
          <w:noProof/>
          <w:sz w:val="22"/>
          <w:lang w:val="es-ES_tradnl"/>
        </w:rPr>
      </w:pPr>
    </w:p>
    <w:p w14:paraId="33E30FA0" w14:textId="77777777" w:rsidR="00B01966" w:rsidRPr="00C01BE9" w:rsidRDefault="00B01966" w:rsidP="00B01966">
      <w:pPr>
        <w:tabs>
          <w:tab w:val="left" w:pos="0"/>
        </w:tabs>
        <w:spacing w:line="276" w:lineRule="auto"/>
        <w:jc w:val="both"/>
        <w:rPr>
          <w:rFonts w:ascii="Arial" w:eastAsia="Calibri" w:hAnsi="Arial" w:cs="Arial"/>
          <w:bCs/>
          <w:sz w:val="22"/>
          <w:lang w:val="es-ES_tradnl"/>
        </w:rPr>
      </w:pPr>
      <w:r w:rsidRPr="00C01BE9">
        <w:rPr>
          <w:rFonts w:ascii="Arial" w:eastAsia="Calibri" w:hAnsi="Arial" w:cs="Arial"/>
          <w:b/>
          <w:sz w:val="22"/>
          <w:lang w:val="es-ES_tradnl"/>
        </w:rPr>
        <w:t xml:space="preserve">LEY 2195 DE 2022 – Artículo 56 – Parágrafo – Giro ordinario – No es igual al objeto social </w:t>
      </w:r>
    </w:p>
    <w:p w14:paraId="28DB2E2A" w14:textId="77777777" w:rsidR="00B01966" w:rsidRPr="00C01BE9" w:rsidRDefault="00B01966" w:rsidP="00B01966">
      <w:pPr>
        <w:jc w:val="both"/>
        <w:rPr>
          <w:rFonts w:ascii="Arial" w:hAnsi="Arial" w:cs="Arial"/>
          <w:noProof/>
          <w:sz w:val="22"/>
          <w:lang w:val="es-ES_tradnl"/>
        </w:rPr>
      </w:pPr>
    </w:p>
    <w:p w14:paraId="7B86CE35" w14:textId="77777777" w:rsidR="00B01966" w:rsidRPr="00C01BE9" w:rsidRDefault="00B01966" w:rsidP="00B01966">
      <w:pPr>
        <w:jc w:val="both"/>
        <w:rPr>
          <w:rFonts w:ascii="Arial" w:hAnsi="Arial" w:cs="Arial"/>
          <w:noProof/>
          <w:sz w:val="20"/>
          <w:szCs w:val="20"/>
          <w:lang w:val="es-ES_tradnl"/>
        </w:rPr>
      </w:pPr>
      <w:r w:rsidRPr="00C01BE9">
        <w:rPr>
          <w:rFonts w:ascii="Arial" w:hAnsi="Arial" w:cs="Arial"/>
          <w:noProof/>
          <w:sz w:val="20"/>
          <w:szCs w:val="20"/>
          <w:lang w:val="es-ES_tradnl"/>
        </w:rPr>
        <w:t xml:space="preserve">De acuerdo con estas consideraciones, no existe una plena equivalencia entre las actividades que hacen parte del desarrollo del objeto social y las que comprende el giro ordinario, ya que como precisa la Superintendencia de Sociedades, entre lo que designan estas categorías existe una relación de género a especie. En ese sentido, de acuerdo con este criterio, las actividades que hacen parte del giro ordinario no son solo aquellas que están efectivamente comprendidas dentro del objeto social, sino que, además, se extiende a todas aquellas conexas que se desarrollan en la gestión usual de los asuntos de la sociedad. Esto significa que, las actividades que hacen parte del giro ordinario son todas aquellas que hacen parte del objeto social, así como todas aquellas conexas al mismo, siguiendo lo  señalado por la jurisprudencia del Consejo de Estado.    </w:t>
      </w:r>
    </w:p>
    <w:p w14:paraId="7DA1B5FF" w14:textId="77777777" w:rsidR="00B01966" w:rsidRPr="00C01BE9" w:rsidRDefault="00B01966" w:rsidP="00B01966">
      <w:pPr>
        <w:jc w:val="both"/>
        <w:rPr>
          <w:rFonts w:ascii="Arial" w:hAnsi="Arial" w:cs="Arial"/>
          <w:noProof/>
          <w:sz w:val="20"/>
          <w:szCs w:val="20"/>
          <w:lang w:val="es-ES_tradnl"/>
        </w:rPr>
      </w:pPr>
    </w:p>
    <w:p w14:paraId="3FCFE375" w14:textId="77777777" w:rsidR="00B01966" w:rsidRPr="00C01BE9" w:rsidRDefault="00B01966" w:rsidP="00B01966">
      <w:pPr>
        <w:jc w:val="both"/>
        <w:rPr>
          <w:rFonts w:ascii="Arial" w:hAnsi="Arial" w:cs="Arial"/>
          <w:noProof/>
          <w:sz w:val="20"/>
          <w:szCs w:val="20"/>
          <w:lang w:val="es-ES_tradnl"/>
        </w:rPr>
      </w:pPr>
      <w:r w:rsidRPr="00C01BE9">
        <w:rPr>
          <w:rFonts w:ascii="Arial" w:hAnsi="Arial" w:cs="Arial"/>
          <w:noProof/>
          <w:sz w:val="20"/>
          <w:szCs w:val="20"/>
          <w:lang w:val="es-ES_tradnl"/>
        </w:rPr>
        <w:t>De cara a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llevan a cabo.</w:t>
      </w:r>
    </w:p>
    <w:p w14:paraId="24A7FC60" w14:textId="77777777" w:rsidR="002412BC" w:rsidRPr="00C01BE9" w:rsidRDefault="002412BC" w:rsidP="00B95C30">
      <w:pPr>
        <w:spacing w:line="276" w:lineRule="auto"/>
        <w:jc w:val="both"/>
        <w:rPr>
          <w:rFonts w:ascii="Arial" w:hAnsi="Arial" w:cs="Arial"/>
          <w:noProof/>
          <w:sz w:val="22"/>
          <w:lang w:val="es-ES_tradnl"/>
        </w:rPr>
      </w:pPr>
    </w:p>
    <w:p w14:paraId="3EA3C93F" w14:textId="77777777" w:rsidR="00EA6384" w:rsidRPr="00C01BE9" w:rsidRDefault="00EA6384" w:rsidP="00B95C30">
      <w:pPr>
        <w:jc w:val="both"/>
        <w:rPr>
          <w:rFonts w:ascii="Arial" w:hAnsi="Arial" w:cs="Arial"/>
          <w:b/>
          <w:sz w:val="22"/>
          <w:lang w:val="es-ES_tradnl"/>
        </w:rPr>
      </w:pPr>
    </w:p>
    <w:p w14:paraId="522D04E3" w14:textId="77777777" w:rsidR="00EA6384" w:rsidRPr="00C01BE9" w:rsidRDefault="00EA6384" w:rsidP="00B95C30">
      <w:pPr>
        <w:jc w:val="both"/>
        <w:rPr>
          <w:rFonts w:ascii="Arial" w:hAnsi="Arial" w:cs="Arial"/>
          <w:b/>
          <w:sz w:val="22"/>
          <w:lang w:val="es-ES_tradnl"/>
        </w:rPr>
      </w:pPr>
    </w:p>
    <w:p w14:paraId="4FC3C569" w14:textId="77777777" w:rsidR="00EA6384" w:rsidRPr="00C01BE9" w:rsidRDefault="00EA6384" w:rsidP="00B95C30">
      <w:pPr>
        <w:jc w:val="both"/>
        <w:rPr>
          <w:rFonts w:ascii="Arial" w:hAnsi="Arial" w:cs="Arial"/>
          <w:b/>
          <w:sz w:val="22"/>
          <w:lang w:val="es-ES_tradnl"/>
        </w:rPr>
      </w:pPr>
    </w:p>
    <w:p w14:paraId="2D753C22" w14:textId="77777777" w:rsidR="00EA6384" w:rsidRPr="00C01BE9" w:rsidRDefault="00EA6384" w:rsidP="00B95C30">
      <w:pPr>
        <w:jc w:val="both"/>
        <w:rPr>
          <w:rFonts w:ascii="Arial" w:hAnsi="Arial" w:cs="Arial"/>
          <w:b/>
          <w:sz w:val="22"/>
          <w:lang w:val="es-ES_tradnl"/>
        </w:rPr>
      </w:pPr>
    </w:p>
    <w:p w14:paraId="0EBCF602" w14:textId="77777777" w:rsidR="00EA6384" w:rsidRPr="00C01BE9" w:rsidRDefault="00EA6384" w:rsidP="00B95C30">
      <w:pPr>
        <w:jc w:val="both"/>
        <w:rPr>
          <w:rFonts w:ascii="Arial" w:hAnsi="Arial" w:cs="Arial"/>
          <w:b/>
          <w:sz w:val="22"/>
          <w:lang w:val="es-ES_tradnl"/>
        </w:rPr>
      </w:pPr>
    </w:p>
    <w:p w14:paraId="3853AA2C" w14:textId="77777777" w:rsidR="00EA6384" w:rsidRPr="00C01BE9" w:rsidRDefault="00EA6384" w:rsidP="00B95C30">
      <w:pPr>
        <w:jc w:val="both"/>
        <w:rPr>
          <w:rFonts w:ascii="Arial" w:hAnsi="Arial" w:cs="Arial"/>
          <w:b/>
          <w:sz w:val="22"/>
          <w:lang w:val="es-ES_tradnl"/>
        </w:rPr>
      </w:pPr>
    </w:p>
    <w:p w14:paraId="49CF5DB7" w14:textId="77777777" w:rsidR="004A1E16" w:rsidRPr="00C01BE9" w:rsidRDefault="004A1E16" w:rsidP="00B95C30">
      <w:pPr>
        <w:jc w:val="both"/>
        <w:rPr>
          <w:rFonts w:ascii="Arial" w:hAnsi="Arial" w:cs="Arial"/>
          <w:bCs/>
          <w:sz w:val="22"/>
          <w:lang w:val="es-ES_tradnl"/>
        </w:rPr>
      </w:pPr>
    </w:p>
    <w:p w14:paraId="7D6BF6A9" w14:textId="77777777" w:rsidR="006A574E" w:rsidRPr="00C01BE9" w:rsidRDefault="006A574E" w:rsidP="00B95C30">
      <w:pPr>
        <w:jc w:val="both"/>
        <w:rPr>
          <w:rFonts w:ascii="Arial" w:hAnsi="Arial" w:cs="Arial"/>
          <w:bCs/>
          <w:sz w:val="22"/>
          <w:lang w:val="es-ES_tradnl"/>
        </w:rPr>
      </w:pPr>
    </w:p>
    <w:p w14:paraId="5E17EB1B" w14:textId="77777777" w:rsidR="006A574E" w:rsidRPr="00C01BE9" w:rsidRDefault="006A574E" w:rsidP="00B95C30">
      <w:pPr>
        <w:jc w:val="both"/>
        <w:rPr>
          <w:rFonts w:ascii="Arial" w:hAnsi="Arial" w:cs="Arial"/>
          <w:bCs/>
          <w:sz w:val="22"/>
          <w:lang w:val="es-ES_tradnl"/>
        </w:rPr>
      </w:pPr>
    </w:p>
    <w:p w14:paraId="54C91538" w14:textId="77777777" w:rsidR="006A574E" w:rsidRPr="00C01BE9" w:rsidRDefault="006A574E" w:rsidP="00B95C30">
      <w:pPr>
        <w:jc w:val="both"/>
        <w:rPr>
          <w:rFonts w:ascii="Arial" w:hAnsi="Arial" w:cs="Arial"/>
          <w:bCs/>
          <w:sz w:val="22"/>
          <w:lang w:val="es-ES_tradnl"/>
        </w:rPr>
      </w:pPr>
    </w:p>
    <w:p w14:paraId="4D335F49" w14:textId="77777777" w:rsidR="006A574E" w:rsidRPr="00C01BE9" w:rsidRDefault="006A574E" w:rsidP="00B95C30">
      <w:pPr>
        <w:jc w:val="both"/>
        <w:rPr>
          <w:rFonts w:ascii="Arial" w:hAnsi="Arial" w:cs="Arial"/>
          <w:bCs/>
          <w:sz w:val="22"/>
          <w:lang w:val="es-ES_tradnl"/>
        </w:rPr>
      </w:pPr>
    </w:p>
    <w:p w14:paraId="6658F269" w14:textId="77777777" w:rsidR="006A574E" w:rsidRPr="00C01BE9" w:rsidRDefault="006A574E" w:rsidP="00B95C30">
      <w:pPr>
        <w:jc w:val="both"/>
        <w:rPr>
          <w:rFonts w:ascii="Arial" w:hAnsi="Arial" w:cs="Arial"/>
          <w:bCs/>
          <w:sz w:val="22"/>
          <w:lang w:val="es-ES_tradnl"/>
        </w:rPr>
      </w:pPr>
    </w:p>
    <w:p w14:paraId="4A99B108" w14:textId="77777777" w:rsidR="006A574E" w:rsidRPr="00C01BE9" w:rsidRDefault="006A574E" w:rsidP="00B95C30">
      <w:pPr>
        <w:jc w:val="both"/>
        <w:rPr>
          <w:rFonts w:ascii="Arial" w:hAnsi="Arial" w:cs="Arial"/>
          <w:bCs/>
          <w:sz w:val="22"/>
          <w:lang w:val="es-ES_tradnl"/>
        </w:rPr>
      </w:pPr>
    </w:p>
    <w:p w14:paraId="20EE68D5" w14:textId="77777777" w:rsidR="006A574E" w:rsidRPr="00C01BE9" w:rsidRDefault="006A574E" w:rsidP="00B95C30">
      <w:pPr>
        <w:jc w:val="both"/>
        <w:rPr>
          <w:rFonts w:ascii="Arial" w:hAnsi="Arial" w:cs="Arial"/>
          <w:bCs/>
          <w:sz w:val="22"/>
          <w:lang w:val="es-ES_tradnl"/>
        </w:rPr>
      </w:pPr>
    </w:p>
    <w:p w14:paraId="13E50229" w14:textId="77777777" w:rsidR="006A574E" w:rsidRPr="00C01BE9" w:rsidRDefault="006A574E" w:rsidP="00B95C30">
      <w:pPr>
        <w:jc w:val="both"/>
        <w:rPr>
          <w:rFonts w:ascii="Arial" w:hAnsi="Arial" w:cs="Arial"/>
          <w:bCs/>
          <w:sz w:val="22"/>
          <w:lang w:val="es-ES_tradnl"/>
        </w:rPr>
      </w:pPr>
    </w:p>
    <w:p w14:paraId="6BAB1F6C" w14:textId="77777777" w:rsidR="006A574E" w:rsidRPr="00C01BE9" w:rsidRDefault="006A574E" w:rsidP="00B95C30">
      <w:pPr>
        <w:jc w:val="both"/>
        <w:rPr>
          <w:rFonts w:ascii="Arial" w:hAnsi="Arial" w:cs="Arial"/>
          <w:bCs/>
          <w:sz w:val="22"/>
          <w:lang w:val="es-ES_tradnl"/>
        </w:rPr>
      </w:pPr>
    </w:p>
    <w:p w14:paraId="49F5C42D" w14:textId="77777777" w:rsidR="006A574E" w:rsidRPr="00C01BE9" w:rsidRDefault="006A574E" w:rsidP="00B95C30">
      <w:pPr>
        <w:jc w:val="both"/>
        <w:rPr>
          <w:rFonts w:ascii="Arial" w:hAnsi="Arial" w:cs="Arial"/>
          <w:bCs/>
          <w:sz w:val="22"/>
          <w:lang w:val="es-ES_tradnl"/>
        </w:rPr>
      </w:pPr>
    </w:p>
    <w:p w14:paraId="192B0216" w14:textId="77777777" w:rsidR="006A574E" w:rsidRPr="00C01BE9" w:rsidRDefault="006A574E" w:rsidP="00B95C30">
      <w:pPr>
        <w:jc w:val="both"/>
        <w:rPr>
          <w:rFonts w:ascii="Arial" w:hAnsi="Arial" w:cs="Arial"/>
          <w:bCs/>
          <w:sz w:val="22"/>
          <w:lang w:val="es-ES_tradnl"/>
        </w:rPr>
      </w:pPr>
    </w:p>
    <w:p w14:paraId="53AD63BE" w14:textId="77777777" w:rsidR="006A574E" w:rsidRPr="00C01BE9" w:rsidRDefault="006A574E" w:rsidP="00B95C30">
      <w:pPr>
        <w:jc w:val="both"/>
        <w:rPr>
          <w:rFonts w:ascii="Arial" w:hAnsi="Arial" w:cs="Arial"/>
          <w:bCs/>
          <w:sz w:val="22"/>
          <w:lang w:val="es-ES_tradnl"/>
        </w:rPr>
      </w:pPr>
    </w:p>
    <w:p w14:paraId="313F8ACC" w14:textId="77777777" w:rsidR="006A574E" w:rsidRPr="00C01BE9" w:rsidRDefault="006A574E" w:rsidP="00B95C30">
      <w:pPr>
        <w:jc w:val="both"/>
        <w:rPr>
          <w:rFonts w:ascii="Arial" w:hAnsi="Arial" w:cs="Arial"/>
          <w:bCs/>
          <w:sz w:val="22"/>
          <w:lang w:val="es-ES_tradnl"/>
        </w:rPr>
      </w:pPr>
    </w:p>
    <w:p w14:paraId="75707704" w14:textId="77777777" w:rsidR="006A574E" w:rsidRPr="00C01BE9" w:rsidRDefault="006A574E" w:rsidP="00B95C30">
      <w:pPr>
        <w:jc w:val="both"/>
        <w:rPr>
          <w:rFonts w:ascii="Arial" w:hAnsi="Arial" w:cs="Arial"/>
          <w:bCs/>
          <w:sz w:val="22"/>
          <w:lang w:val="es-ES_tradnl"/>
        </w:rPr>
      </w:pPr>
    </w:p>
    <w:p w14:paraId="784B95EA" w14:textId="77777777" w:rsidR="006A574E" w:rsidRPr="00C01BE9" w:rsidRDefault="006A574E" w:rsidP="00B95C30">
      <w:pPr>
        <w:jc w:val="both"/>
        <w:rPr>
          <w:rFonts w:ascii="Arial" w:hAnsi="Arial" w:cs="Arial"/>
          <w:bCs/>
          <w:sz w:val="22"/>
          <w:lang w:val="es-ES_tradnl"/>
        </w:rPr>
      </w:pPr>
    </w:p>
    <w:p w14:paraId="09D18EB6" w14:textId="77777777" w:rsidR="006A574E" w:rsidRPr="00C01BE9" w:rsidRDefault="006A574E" w:rsidP="00B95C30">
      <w:pPr>
        <w:jc w:val="both"/>
        <w:rPr>
          <w:rFonts w:ascii="Arial" w:hAnsi="Arial" w:cs="Arial"/>
          <w:bCs/>
          <w:sz w:val="22"/>
          <w:lang w:val="es-ES_tradnl"/>
        </w:rPr>
      </w:pPr>
    </w:p>
    <w:p w14:paraId="46BB17D8" w14:textId="77777777" w:rsidR="006A574E" w:rsidRPr="00C01BE9" w:rsidRDefault="006A574E" w:rsidP="00B95C30">
      <w:pPr>
        <w:jc w:val="both"/>
        <w:rPr>
          <w:rFonts w:ascii="Arial" w:hAnsi="Arial" w:cs="Arial"/>
          <w:bCs/>
          <w:sz w:val="22"/>
          <w:lang w:val="es-ES_tradnl"/>
        </w:rPr>
      </w:pPr>
    </w:p>
    <w:p w14:paraId="04A75900" w14:textId="77777777" w:rsidR="006A574E" w:rsidRPr="00C01BE9" w:rsidRDefault="006A574E" w:rsidP="00B95C30">
      <w:pPr>
        <w:jc w:val="both"/>
        <w:rPr>
          <w:rFonts w:ascii="Arial" w:hAnsi="Arial" w:cs="Arial"/>
          <w:bCs/>
          <w:sz w:val="22"/>
          <w:lang w:val="es-ES_tradnl"/>
        </w:rPr>
      </w:pPr>
    </w:p>
    <w:p w14:paraId="6EBB0738" w14:textId="77777777" w:rsidR="006A574E" w:rsidRPr="00C01BE9" w:rsidRDefault="006A574E" w:rsidP="00B95C30">
      <w:pPr>
        <w:jc w:val="both"/>
        <w:rPr>
          <w:rFonts w:ascii="Arial" w:hAnsi="Arial" w:cs="Arial"/>
          <w:bCs/>
          <w:sz w:val="22"/>
          <w:lang w:val="es-ES_tradnl"/>
        </w:rPr>
      </w:pPr>
    </w:p>
    <w:p w14:paraId="5B558FF4" w14:textId="77777777" w:rsidR="006A574E" w:rsidRPr="00C01BE9" w:rsidRDefault="006A574E" w:rsidP="00B95C30">
      <w:pPr>
        <w:jc w:val="both"/>
        <w:rPr>
          <w:rFonts w:ascii="Arial" w:hAnsi="Arial" w:cs="Arial"/>
          <w:bCs/>
          <w:sz w:val="22"/>
          <w:lang w:val="es-ES_tradnl"/>
        </w:rPr>
      </w:pPr>
    </w:p>
    <w:p w14:paraId="672F7F95" w14:textId="77777777" w:rsidR="006A574E" w:rsidRPr="00C01BE9" w:rsidRDefault="006A574E" w:rsidP="00B95C30">
      <w:pPr>
        <w:jc w:val="both"/>
        <w:rPr>
          <w:rFonts w:ascii="Arial" w:hAnsi="Arial" w:cs="Arial"/>
          <w:bCs/>
          <w:sz w:val="22"/>
          <w:lang w:val="es-ES_tradnl"/>
        </w:rPr>
      </w:pPr>
    </w:p>
    <w:p w14:paraId="0764385F" w14:textId="77777777" w:rsidR="006A574E" w:rsidRPr="00C01BE9" w:rsidRDefault="006A574E" w:rsidP="00B95C30">
      <w:pPr>
        <w:jc w:val="both"/>
        <w:rPr>
          <w:rFonts w:ascii="Arial" w:hAnsi="Arial" w:cs="Arial"/>
          <w:bCs/>
          <w:sz w:val="22"/>
          <w:lang w:val="es-ES_tradnl"/>
        </w:rPr>
      </w:pPr>
    </w:p>
    <w:p w14:paraId="05C58EDD" w14:textId="77777777" w:rsidR="006A574E" w:rsidRPr="00C01BE9" w:rsidRDefault="006A574E" w:rsidP="00B95C30">
      <w:pPr>
        <w:jc w:val="both"/>
        <w:rPr>
          <w:rFonts w:ascii="Arial" w:hAnsi="Arial" w:cs="Arial"/>
          <w:bCs/>
          <w:sz w:val="22"/>
          <w:lang w:val="es-ES_tradnl"/>
        </w:rPr>
      </w:pPr>
    </w:p>
    <w:p w14:paraId="1AFE3E91" w14:textId="77777777" w:rsidR="006A574E" w:rsidRPr="00C01BE9" w:rsidRDefault="006A574E" w:rsidP="00B95C30">
      <w:pPr>
        <w:jc w:val="both"/>
        <w:rPr>
          <w:rFonts w:ascii="Arial" w:hAnsi="Arial" w:cs="Arial"/>
          <w:bCs/>
          <w:sz w:val="22"/>
          <w:lang w:val="es-ES_tradnl"/>
        </w:rPr>
      </w:pPr>
    </w:p>
    <w:p w14:paraId="3D38AC37" w14:textId="77777777" w:rsidR="006A574E" w:rsidRPr="00C01BE9" w:rsidRDefault="006A574E" w:rsidP="00B95C30">
      <w:pPr>
        <w:jc w:val="both"/>
        <w:rPr>
          <w:rFonts w:ascii="Arial" w:hAnsi="Arial" w:cs="Arial"/>
          <w:bCs/>
          <w:sz w:val="22"/>
          <w:lang w:val="es-ES_tradnl"/>
        </w:rPr>
      </w:pPr>
    </w:p>
    <w:p w14:paraId="5010ED15" w14:textId="77777777" w:rsidR="006A574E" w:rsidRPr="00C01BE9" w:rsidRDefault="006A574E" w:rsidP="00B95C30">
      <w:pPr>
        <w:jc w:val="both"/>
        <w:rPr>
          <w:rFonts w:ascii="Arial" w:hAnsi="Arial" w:cs="Arial"/>
          <w:bCs/>
          <w:sz w:val="22"/>
          <w:lang w:val="es-ES_tradnl"/>
        </w:rPr>
      </w:pPr>
    </w:p>
    <w:p w14:paraId="7DB294C8" w14:textId="77777777" w:rsidR="006A574E" w:rsidRPr="00C01BE9" w:rsidRDefault="006A574E" w:rsidP="00B95C30">
      <w:pPr>
        <w:jc w:val="both"/>
        <w:rPr>
          <w:rFonts w:ascii="Arial" w:hAnsi="Arial" w:cs="Arial"/>
          <w:bCs/>
          <w:sz w:val="22"/>
          <w:lang w:val="es-ES_tradnl"/>
        </w:rPr>
      </w:pPr>
    </w:p>
    <w:p w14:paraId="4E61DDB0" w14:textId="77777777" w:rsidR="006A574E" w:rsidRPr="00C01BE9" w:rsidRDefault="006A574E" w:rsidP="00B95C30">
      <w:pPr>
        <w:jc w:val="both"/>
        <w:rPr>
          <w:rFonts w:ascii="Arial" w:hAnsi="Arial" w:cs="Arial"/>
          <w:bCs/>
          <w:sz w:val="22"/>
          <w:lang w:val="es-ES_tradnl"/>
        </w:rPr>
      </w:pPr>
    </w:p>
    <w:p w14:paraId="77E5C937" w14:textId="77777777" w:rsidR="006A574E" w:rsidRPr="00C01BE9" w:rsidRDefault="006A574E" w:rsidP="00B95C30">
      <w:pPr>
        <w:jc w:val="both"/>
        <w:rPr>
          <w:rFonts w:ascii="Arial" w:hAnsi="Arial" w:cs="Arial"/>
          <w:bCs/>
          <w:sz w:val="22"/>
          <w:lang w:val="es-ES_tradnl"/>
        </w:rPr>
      </w:pPr>
    </w:p>
    <w:p w14:paraId="54FAFFFF" w14:textId="77777777" w:rsidR="006A574E" w:rsidRPr="00C01BE9" w:rsidRDefault="006A574E" w:rsidP="00B95C30">
      <w:pPr>
        <w:jc w:val="both"/>
        <w:rPr>
          <w:rFonts w:ascii="Arial" w:hAnsi="Arial" w:cs="Arial"/>
          <w:bCs/>
          <w:sz w:val="22"/>
          <w:lang w:val="es-ES_tradnl"/>
        </w:rPr>
      </w:pPr>
    </w:p>
    <w:p w14:paraId="59474228" w14:textId="77777777" w:rsidR="006A574E" w:rsidRPr="00C01BE9" w:rsidRDefault="006A574E" w:rsidP="00B95C30">
      <w:pPr>
        <w:jc w:val="both"/>
        <w:rPr>
          <w:rFonts w:ascii="Arial" w:hAnsi="Arial" w:cs="Arial"/>
          <w:bCs/>
          <w:sz w:val="22"/>
          <w:lang w:val="es-ES_tradnl"/>
        </w:rPr>
      </w:pPr>
    </w:p>
    <w:p w14:paraId="2F6E3B29" w14:textId="77777777" w:rsidR="006A574E" w:rsidRPr="00C01BE9" w:rsidRDefault="006A574E" w:rsidP="00B95C30">
      <w:pPr>
        <w:jc w:val="both"/>
        <w:rPr>
          <w:rFonts w:ascii="Arial" w:hAnsi="Arial" w:cs="Arial"/>
          <w:bCs/>
          <w:sz w:val="22"/>
          <w:lang w:val="es-ES_tradnl"/>
        </w:rPr>
      </w:pPr>
    </w:p>
    <w:p w14:paraId="63C25ACA" w14:textId="77777777" w:rsidR="006A574E" w:rsidRPr="00C01BE9" w:rsidRDefault="006A574E" w:rsidP="00B95C30">
      <w:pPr>
        <w:jc w:val="both"/>
        <w:rPr>
          <w:rFonts w:ascii="Arial" w:hAnsi="Arial" w:cs="Arial"/>
          <w:bCs/>
          <w:sz w:val="22"/>
          <w:lang w:val="es-ES_tradnl"/>
        </w:rPr>
      </w:pPr>
    </w:p>
    <w:p w14:paraId="5AAB781B" w14:textId="77777777" w:rsidR="006A574E" w:rsidRDefault="006A574E" w:rsidP="00B95C30">
      <w:pPr>
        <w:jc w:val="both"/>
        <w:rPr>
          <w:rFonts w:ascii="Arial" w:hAnsi="Arial" w:cs="Arial"/>
          <w:bCs/>
          <w:sz w:val="22"/>
          <w:lang w:val="es-ES_tradnl"/>
        </w:rPr>
      </w:pPr>
    </w:p>
    <w:p w14:paraId="4F9ABBFA" w14:textId="77777777" w:rsidR="00ED66B7" w:rsidRDefault="00ED66B7" w:rsidP="00B95C30">
      <w:pPr>
        <w:jc w:val="both"/>
        <w:rPr>
          <w:rFonts w:ascii="Arial" w:hAnsi="Arial" w:cs="Arial"/>
          <w:bCs/>
          <w:sz w:val="22"/>
          <w:lang w:val="es-ES_tradnl"/>
        </w:rPr>
      </w:pPr>
    </w:p>
    <w:p w14:paraId="387C89AD" w14:textId="77777777" w:rsidR="00ED66B7" w:rsidRDefault="00ED66B7" w:rsidP="00B95C30">
      <w:pPr>
        <w:jc w:val="both"/>
        <w:rPr>
          <w:rFonts w:ascii="Arial" w:hAnsi="Arial" w:cs="Arial"/>
          <w:bCs/>
          <w:sz w:val="22"/>
          <w:lang w:val="es-ES_tradnl"/>
        </w:rPr>
      </w:pPr>
    </w:p>
    <w:p w14:paraId="3A18016C" w14:textId="77777777" w:rsidR="00ED66B7" w:rsidRDefault="00ED66B7" w:rsidP="00B95C30">
      <w:pPr>
        <w:jc w:val="both"/>
        <w:rPr>
          <w:rFonts w:ascii="Arial" w:hAnsi="Arial" w:cs="Arial"/>
          <w:bCs/>
          <w:sz w:val="22"/>
          <w:lang w:val="es-ES_tradnl"/>
        </w:rPr>
      </w:pPr>
    </w:p>
    <w:p w14:paraId="5842BBAD" w14:textId="77777777" w:rsidR="00ED66B7" w:rsidRDefault="00ED66B7" w:rsidP="00B95C30">
      <w:pPr>
        <w:jc w:val="both"/>
        <w:rPr>
          <w:rFonts w:ascii="Arial" w:hAnsi="Arial" w:cs="Arial"/>
          <w:bCs/>
          <w:sz w:val="22"/>
          <w:lang w:val="es-ES_tradnl"/>
        </w:rPr>
      </w:pPr>
    </w:p>
    <w:p w14:paraId="52568D1B" w14:textId="77777777" w:rsidR="00ED66B7" w:rsidRDefault="00ED66B7" w:rsidP="00B95C30">
      <w:pPr>
        <w:jc w:val="both"/>
        <w:rPr>
          <w:rFonts w:ascii="Arial" w:hAnsi="Arial" w:cs="Arial"/>
          <w:bCs/>
          <w:sz w:val="22"/>
          <w:lang w:val="es-ES_tradnl"/>
        </w:rPr>
      </w:pPr>
    </w:p>
    <w:p w14:paraId="306322D7" w14:textId="77777777" w:rsidR="00ED66B7" w:rsidRDefault="00ED66B7" w:rsidP="00B95C30">
      <w:pPr>
        <w:jc w:val="both"/>
        <w:rPr>
          <w:rFonts w:ascii="Arial" w:hAnsi="Arial" w:cs="Arial"/>
          <w:bCs/>
          <w:sz w:val="22"/>
          <w:lang w:val="es-ES_tradnl"/>
        </w:rPr>
      </w:pPr>
    </w:p>
    <w:p w14:paraId="371733D0" w14:textId="77777777" w:rsidR="00ED66B7" w:rsidRDefault="00ED66B7" w:rsidP="00B95C30">
      <w:pPr>
        <w:jc w:val="both"/>
        <w:rPr>
          <w:rFonts w:ascii="Arial" w:hAnsi="Arial" w:cs="Arial"/>
          <w:bCs/>
          <w:sz w:val="22"/>
          <w:lang w:val="es-ES_tradnl"/>
        </w:rPr>
      </w:pPr>
    </w:p>
    <w:p w14:paraId="6DF0488A" w14:textId="5ABD193C" w:rsidR="00ED66B7" w:rsidRDefault="00BE6A5C" w:rsidP="00B95C30">
      <w:pPr>
        <w:jc w:val="both"/>
        <w:rPr>
          <w:rFonts w:ascii="Arial" w:hAnsi="Arial" w:cs="Arial"/>
          <w:bCs/>
          <w:sz w:val="22"/>
          <w:lang w:val="es-ES_tradnl"/>
        </w:rPr>
      </w:pPr>
      <w:r>
        <w:rPr>
          <w:rFonts w:ascii="Arial" w:hAnsi="Arial" w:cs="Arial"/>
          <w:b/>
          <w:noProof/>
          <w:sz w:val="22"/>
          <w:lang w:val="es-ES_tradnl"/>
        </w:rPr>
        <w:lastRenderedPageBreak/>
        <w:drawing>
          <wp:anchor distT="0" distB="0" distL="114300" distR="114300" simplePos="0" relativeHeight="251658240" behindDoc="0" locked="0" layoutInCell="1" allowOverlap="1" wp14:anchorId="52901006" wp14:editId="064815EC">
            <wp:simplePos x="0" y="0"/>
            <wp:positionH relativeFrom="column">
              <wp:posOffset>3996889</wp:posOffset>
            </wp:positionH>
            <wp:positionV relativeFrom="paragraph">
              <wp:posOffset>304</wp:posOffset>
            </wp:positionV>
            <wp:extent cx="2058059" cy="545911"/>
            <wp:effectExtent l="0" t="0" r="0"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8059" cy="5459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732D8E" w14:textId="77777777" w:rsidR="00ED66B7" w:rsidRPr="00C01BE9" w:rsidRDefault="00ED66B7" w:rsidP="00B95C30">
      <w:pPr>
        <w:jc w:val="both"/>
        <w:rPr>
          <w:rFonts w:ascii="Arial" w:hAnsi="Arial" w:cs="Arial"/>
          <w:bCs/>
          <w:sz w:val="22"/>
          <w:lang w:val="es-ES_tradnl"/>
        </w:rPr>
      </w:pPr>
    </w:p>
    <w:p w14:paraId="3D923555" w14:textId="1807F259" w:rsidR="004A1E16" w:rsidRPr="00C01BE9" w:rsidRDefault="004A1E16" w:rsidP="00B95C30">
      <w:pPr>
        <w:jc w:val="both"/>
        <w:rPr>
          <w:rFonts w:ascii="Arial" w:hAnsi="Arial" w:cs="Arial"/>
          <w:bCs/>
          <w:sz w:val="22"/>
          <w:lang w:val="es-ES_tradnl"/>
        </w:rPr>
      </w:pPr>
    </w:p>
    <w:p w14:paraId="71FE8A3A" w14:textId="77777777" w:rsidR="00EA6384" w:rsidRPr="00CA7C0D" w:rsidRDefault="00EA6384" w:rsidP="00B95C30">
      <w:pPr>
        <w:jc w:val="both"/>
        <w:rPr>
          <w:rFonts w:ascii="Arial" w:hAnsi="Arial" w:cs="Arial"/>
          <w:bCs/>
          <w:sz w:val="22"/>
          <w:lang w:val="es-ES_tradnl"/>
        </w:rPr>
      </w:pPr>
    </w:p>
    <w:p w14:paraId="1965A5FF" w14:textId="4E765E08" w:rsidR="00C21995" w:rsidRPr="00CA7C0D" w:rsidRDefault="00CA7C0D" w:rsidP="00B95C30">
      <w:pPr>
        <w:jc w:val="both"/>
        <w:rPr>
          <w:rFonts w:ascii="Arial" w:hAnsi="Arial" w:cs="Arial"/>
          <w:bCs/>
          <w:sz w:val="22"/>
          <w:lang w:val="es-ES_tradnl"/>
        </w:rPr>
      </w:pPr>
      <w:r w:rsidRPr="00CA7C0D">
        <w:rPr>
          <w:rFonts w:ascii="Arial" w:hAnsi="Arial" w:cs="Arial"/>
          <w:bCs/>
          <w:sz w:val="22"/>
          <w:lang w:val="es-ES_tradnl"/>
        </w:rPr>
        <w:t xml:space="preserve">Bogotá, 22 </w:t>
      </w:r>
      <w:proofErr w:type="gramStart"/>
      <w:r w:rsidRPr="00CA7C0D">
        <w:rPr>
          <w:rFonts w:ascii="Arial" w:hAnsi="Arial" w:cs="Arial"/>
          <w:bCs/>
          <w:sz w:val="22"/>
          <w:lang w:val="es-ES_tradnl"/>
        </w:rPr>
        <w:t>Marzo</w:t>
      </w:r>
      <w:proofErr w:type="gramEnd"/>
      <w:r w:rsidRPr="00CA7C0D">
        <w:rPr>
          <w:rFonts w:ascii="Arial" w:hAnsi="Arial" w:cs="Arial"/>
          <w:bCs/>
          <w:sz w:val="22"/>
          <w:lang w:val="es-ES_tradnl"/>
        </w:rPr>
        <w:t xml:space="preserve"> 2022</w:t>
      </w:r>
    </w:p>
    <w:p w14:paraId="6B06FF4A" w14:textId="77777777" w:rsidR="00EA6384" w:rsidRPr="00C01BE9" w:rsidRDefault="00EA6384" w:rsidP="00B95C30">
      <w:pPr>
        <w:jc w:val="both"/>
        <w:rPr>
          <w:rFonts w:ascii="Arial" w:hAnsi="Arial" w:cs="Arial"/>
          <w:b/>
          <w:sz w:val="22"/>
          <w:lang w:val="es-ES_tradnl"/>
        </w:rPr>
      </w:pPr>
    </w:p>
    <w:p w14:paraId="5F5AE9EF" w14:textId="7754B39B" w:rsidR="00B95C30" w:rsidRPr="00ED66B7" w:rsidRDefault="00B87A1C" w:rsidP="00B95C30">
      <w:pPr>
        <w:jc w:val="both"/>
        <w:rPr>
          <w:rFonts w:ascii="Arial" w:eastAsia="Calibri" w:hAnsi="Arial" w:cs="Arial"/>
          <w:sz w:val="22"/>
          <w:szCs w:val="22"/>
          <w:lang w:val="es-ES_tradnl"/>
        </w:rPr>
      </w:pPr>
      <w:bookmarkStart w:id="2" w:name="_Hlk94281581"/>
      <w:r w:rsidRPr="00ED66B7">
        <w:rPr>
          <w:rFonts w:ascii="Arial" w:eastAsia="Calibri" w:hAnsi="Arial" w:cs="Arial"/>
          <w:sz w:val="22"/>
          <w:szCs w:val="22"/>
          <w:lang w:val="es-ES_tradnl"/>
        </w:rPr>
        <w:t>Señor</w:t>
      </w:r>
    </w:p>
    <w:p w14:paraId="6979BAC6" w14:textId="0CCD0B69" w:rsidR="00B87A1C" w:rsidRPr="00ED66B7" w:rsidRDefault="00B87A1C" w:rsidP="00B95C30">
      <w:pPr>
        <w:jc w:val="both"/>
        <w:rPr>
          <w:rFonts w:ascii="Arial" w:eastAsiaTheme="minorHAnsi" w:hAnsi="Arial" w:cs="Arial"/>
          <w:b/>
          <w:bCs/>
          <w:sz w:val="22"/>
          <w:szCs w:val="22"/>
          <w:lang w:eastAsia="en-US"/>
        </w:rPr>
      </w:pPr>
      <w:r w:rsidRPr="00ED66B7">
        <w:rPr>
          <w:rFonts w:ascii="Arial" w:eastAsiaTheme="minorHAnsi" w:hAnsi="Arial" w:cs="Arial"/>
          <w:b/>
          <w:bCs/>
          <w:sz w:val="22"/>
          <w:szCs w:val="22"/>
          <w:lang w:eastAsia="en-US"/>
        </w:rPr>
        <w:t>Nilton Javier Caicedo Vidal</w:t>
      </w:r>
    </w:p>
    <w:p w14:paraId="46CF7CAD" w14:textId="4C6368F0" w:rsidR="00B116AD" w:rsidRPr="00ED66B7" w:rsidRDefault="00B87A1C" w:rsidP="00B95C30">
      <w:pPr>
        <w:jc w:val="both"/>
        <w:rPr>
          <w:rFonts w:ascii="Arial" w:eastAsia="Calibri" w:hAnsi="Arial" w:cs="Arial"/>
          <w:sz w:val="22"/>
          <w:szCs w:val="22"/>
          <w:lang w:val="es-ES_tradnl"/>
        </w:rPr>
      </w:pPr>
      <w:r w:rsidRPr="00ED66B7">
        <w:rPr>
          <w:rFonts w:ascii="Arial" w:eastAsia="Calibri" w:hAnsi="Arial" w:cs="Arial"/>
          <w:sz w:val="22"/>
          <w:szCs w:val="22"/>
          <w:lang w:val="es-ES_tradnl"/>
        </w:rPr>
        <w:t>Cali, Valle del Cauca</w:t>
      </w:r>
    </w:p>
    <w:p w14:paraId="3F3D1203" w14:textId="77777777" w:rsidR="00B95C30" w:rsidRPr="00ED66B7" w:rsidRDefault="00B95C30" w:rsidP="00B95C30">
      <w:pPr>
        <w:jc w:val="both"/>
        <w:rPr>
          <w:rFonts w:ascii="Arial" w:eastAsia="Calibri" w:hAnsi="Arial" w:cs="Arial"/>
          <w:sz w:val="22"/>
          <w:szCs w:val="22"/>
          <w:lang w:val="es-ES_tradnl"/>
        </w:rPr>
      </w:pPr>
    </w:p>
    <w:p w14:paraId="12E66182" w14:textId="656B37C1" w:rsidR="00B95C30" w:rsidRPr="00ED66B7" w:rsidRDefault="00B95C30" w:rsidP="00B95C30">
      <w:pPr>
        <w:jc w:val="center"/>
        <w:rPr>
          <w:rFonts w:ascii="Arial" w:eastAsia="Calibri" w:hAnsi="Arial" w:cs="Arial"/>
          <w:b/>
          <w:bCs/>
          <w:sz w:val="22"/>
          <w:szCs w:val="22"/>
          <w:lang w:val="es-ES_tradnl"/>
        </w:rPr>
      </w:pPr>
      <w:r w:rsidRPr="00ED66B7">
        <w:rPr>
          <w:rFonts w:ascii="Arial" w:eastAsia="Calibri" w:hAnsi="Arial" w:cs="Arial"/>
          <w:b/>
          <w:bCs/>
          <w:sz w:val="22"/>
          <w:szCs w:val="22"/>
          <w:lang w:val="es-ES_tradnl"/>
        </w:rPr>
        <w:t>Concepto C</w:t>
      </w:r>
      <w:r w:rsidR="00131DA9" w:rsidRPr="00ED66B7">
        <w:rPr>
          <w:rFonts w:ascii="Arial" w:eastAsia="Calibri" w:hAnsi="Arial" w:cs="Arial"/>
          <w:b/>
          <w:bCs/>
          <w:sz w:val="22"/>
          <w:szCs w:val="22"/>
          <w:lang w:val="es-ES_tradnl"/>
        </w:rPr>
        <w:t>-</w:t>
      </w:r>
      <w:r w:rsidR="0081322A" w:rsidRPr="00ED66B7">
        <w:rPr>
          <w:rFonts w:ascii="Arial" w:eastAsia="Calibri" w:hAnsi="Arial" w:cs="Arial"/>
          <w:b/>
          <w:bCs/>
          <w:sz w:val="22"/>
          <w:szCs w:val="22"/>
          <w:lang w:val="es-ES_tradnl"/>
        </w:rPr>
        <w:t>101</w:t>
      </w:r>
      <w:r w:rsidRPr="00ED66B7">
        <w:rPr>
          <w:rFonts w:ascii="Arial" w:eastAsia="Calibri" w:hAnsi="Arial" w:cs="Arial"/>
          <w:b/>
          <w:bCs/>
          <w:sz w:val="22"/>
          <w:szCs w:val="22"/>
          <w:lang w:val="es-ES_tradnl"/>
        </w:rPr>
        <w:t xml:space="preserve"> de 202</w:t>
      </w:r>
      <w:r w:rsidR="00131DA9" w:rsidRPr="00ED66B7">
        <w:rPr>
          <w:rFonts w:ascii="Arial" w:eastAsia="Calibri" w:hAnsi="Arial" w:cs="Arial"/>
          <w:b/>
          <w:bCs/>
          <w:sz w:val="22"/>
          <w:szCs w:val="22"/>
          <w:lang w:val="es-ES_tradnl"/>
        </w:rPr>
        <w:t>2</w:t>
      </w:r>
    </w:p>
    <w:p w14:paraId="1BD594F9" w14:textId="77777777" w:rsidR="00B95C30" w:rsidRPr="00ED66B7" w:rsidRDefault="00B95C30" w:rsidP="00B95C30">
      <w:pPr>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1BE9" w:rsidRPr="00ED66B7" w14:paraId="19DFC051" w14:textId="77777777" w:rsidTr="008F4163">
        <w:tc>
          <w:tcPr>
            <w:tcW w:w="2689" w:type="dxa"/>
          </w:tcPr>
          <w:p w14:paraId="6BC0D1AC" w14:textId="77777777" w:rsidR="00B95C30" w:rsidRPr="00ED66B7" w:rsidRDefault="00B95C30" w:rsidP="008F4163">
            <w:pPr>
              <w:jc w:val="both"/>
              <w:rPr>
                <w:rFonts w:ascii="Arial" w:eastAsia="Calibri" w:hAnsi="Arial" w:cs="Arial"/>
                <w:sz w:val="22"/>
                <w:szCs w:val="22"/>
                <w:lang w:val="es-ES_tradnl"/>
              </w:rPr>
            </w:pPr>
            <w:r w:rsidRPr="00ED66B7">
              <w:rPr>
                <w:rFonts w:ascii="Arial" w:eastAsia="Calibri" w:hAnsi="Arial" w:cs="Arial"/>
                <w:b/>
                <w:sz w:val="22"/>
                <w:szCs w:val="22"/>
                <w:lang w:val="es-ES_tradnl"/>
              </w:rPr>
              <w:t>Temas:</w:t>
            </w:r>
            <w:r w:rsidRPr="00ED66B7">
              <w:rPr>
                <w:rFonts w:ascii="Arial" w:eastAsia="Calibri" w:hAnsi="Arial" w:cs="Arial"/>
                <w:sz w:val="22"/>
                <w:szCs w:val="22"/>
                <w:lang w:val="es-ES_tradnl"/>
              </w:rPr>
              <w:t xml:space="preserve">                                      </w:t>
            </w:r>
          </w:p>
        </w:tc>
        <w:tc>
          <w:tcPr>
            <w:tcW w:w="6237" w:type="dxa"/>
          </w:tcPr>
          <w:p w14:paraId="5F389CAF" w14:textId="7590ECF9" w:rsidR="00B95C30" w:rsidRPr="00ED66B7" w:rsidRDefault="00B01966" w:rsidP="008F4163">
            <w:pPr>
              <w:jc w:val="both"/>
              <w:rPr>
                <w:rFonts w:ascii="Arial" w:eastAsia="Calibri" w:hAnsi="Arial" w:cs="Arial"/>
                <w:sz w:val="22"/>
                <w:szCs w:val="22"/>
                <w:lang w:val="es-ES_tradnl"/>
              </w:rPr>
            </w:pPr>
            <w:r w:rsidRPr="00ED66B7">
              <w:rPr>
                <w:rFonts w:ascii="Arial" w:eastAsia="Calibri" w:hAnsi="Arial" w:cs="Arial"/>
                <w:bCs/>
                <w:sz w:val="22"/>
                <w:szCs w:val="22"/>
                <w:lang w:val="es-ES_tradnl"/>
              </w:rPr>
              <w:t>DOCUMENTOS TIPO – Fundamento normativo – Ley 2022 de 2020 / DOCUMENTOS TIPO – Ámbito de aplicación / LEY 2195 DE 2022 – Artículo 56 – Personas jurídicas de derecho privado – Documentos tipo – Estatuto General de Contratación de la Administración Pública / LEY 2195 DE 2022 – Artículo 56 – Parágrafo – Excepciones / LEY 2195 DE 2022 – Artículo 56 – Parágrafo – Giro ordinario – No es igual al objeto social</w:t>
            </w:r>
            <w:r w:rsidR="00EA6384" w:rsidRPr="00ED66B7">
              <w:rPr>
                <w:rFonts w:ascii="Arial" w:eastAsia="Calibri" w:hAnsi="Arial" w:cs="Arial"/>
                <w:bCs/>
                <w:sz w:val="22"/>
                <w:szCs w:val="22"/>
                <w:lang w:val="es-ES_tradnl"/>
              </w:rPr>
              <w:t xml:space="preserve"> </w:t>
            </w:r>
          </w:p>
        </w:tc>
      </w:tr>
      <w:tr w:rsidR="00C01BE9" w:rsidRPr="00ED66B7" w14:paraId="27CD52AB" w14:textId="77777777" w:rsidTr="008F4163">
        <w:tc>
          <w:tcPr>
            <w:tcW w:w="2689" w:type="dxa"/>
          </w:tcPr>
          <w:p w14:paraId="37E195A1" w14:textId="1BA218D5" w:rsidR="00B95C30" w:rsidRPr="00ED66B7" w:rsidRDefault="00B95C30" w:rsidP="008F4163">
            <w:pPr>
              <w:spacing w:before="120"/>
              <w:jc w:val="both"/>
              <w:rPr>
                <w:rFonts w:ascii="Arial" w:eastAsia="Calibri" w:hAnsi="Arial" w:cs="Arial"/>
                <w:b/>
                <w:sz w:val="22"/>
                <w:szCs w:val="22"/>
                <w:lang w:val="es-ES_tradnl"/>
              </w:rPr>
            </w:pPr>
            <w:r w:rsidRPr="00ED66B7">
              <w:rPr>
                <w:rFonts w:ascii="Arial" w:eastAsia="Calibri" w:hAnsi="Arial" w:cs="Arial"/>
                <w:b/>
                <w:sz w:val="22"/>
                <w:szCs w:val="22"/>
                <w:lang w:val="es-ES_tradnl"/>
              </w:rPr>
              <w:t>Radicación:</w:t>
            </w:r>
            <w:r w:rsidRPr="00ED66B7">
              <w:rPr>
                <w:rFonts w:ascii="Arial" w:eastAsia="Calibri" w:hAnsi="Arial" w:cs="Arial"/>
                <w:sz w:val="22"/>
                <w:szCs w:val="22"/>
                <w:lang w:val="es-ES_tradnl"/>
              </w:rPr>
              <w:t xml:space="preserve">                              </w:t>
            </w:r>
          </w:p>
        </w:tc>
        <w:tc>
          <w:tcPr>
            <w:tcW w:w="6237" w:type="dxa"/>
          </w:tcPr>
          <w:p w14:paraId="64360FC9" w14:textId="1CA84E7E" w:rsidR="00B95C30" w:rsidRPr="00ED66B7" w:rsidRDefault="00B95C30" w:rsidP="008F4163">
            <w:pPr>
              <w:spacing w:before="120"/>
              <w:jc w:val="both"/>
              <w:rPr>
                <w:rFonts w:ascii="Arial" w:eastAsia="Calibri" w:hAnsi="Arial" w:cs="Arial"/>
                <w:sz w:val="22"/>
                <w:szCs w:val="22"/>
                <w:lang w:val="es-ES_tradnl"/>
              </w:rPr>
            </w:pPr>
            <w:r w:rsidRPr="00ED66B7">
              <w:rPr>
                <w:rFonts w:ascii="Arial" w:eastAsia="Calibri" w:hAnsi="Arial" w:cs="Arial"/>
                <w:sz w:val="22"/>
                <w:szCs w:val="22"/>
                <w:lang w:val="es-ES_tradnl"/>
              </w:rPr>
              <w:t xml:space="preserve">Respuesta a consulta # </w:t>
            </w:r>
            <w:r w:rsidR="00CD5F5E" w:rsidRPr="00ED66B7">
              <w:rPr>
                <w:rFonts w:ascii="Arial" w:eastAsia="Calibri" w:hAnsi="Arial" w:cs="Arial"/>
                <w:sz w:val="22"/>
                <w:szCs w:val="22"/>
                <w:lang w:val="es-ES_tradnl"/>
              </w:rPr>
              <w:t>P20220207001159</w:t>
            </w:r>
          </w:p>
          <w:p w14:paraId="09088B1B" w14:textId="77777777" w:rsidR="00B95C30" w:rsidRPr="00ED66B7" w:rsidRDefault="00B95C30" w:rsidP="008F4163">
            <w:pPr>
              <w:spacing w:before="120"/>
              <w:jc w:val="both"/>
              <w:rPr>
                <w:rFonts w:ascii="Arial" w:eastAsia="Calibri" w:hAnsi="Arial" w:cs="Arial"/>
                <w:sz w:val="22"/>
                <w:szCs w:val="22"/>
                <w:lang w:val="es-ES_tradnl"/>
              </w:rPr>
            </w:pPr>
            <w:r w:rsidRPr="00ED66B7">
              <w:rPr>
                <w:rFonts w:ascii="Arial" w:eastAsia="Calibri" w:hAnsi="Arial" w:cs="Arial"/>
                <w:sz w:val="22"/>
                <w:szCs w:val="22"/>
                <w:lang w:val="es-ES_tradnl"/>
              </w:rPr>
              <w:t xml:space="preserve"> </w:t>
            </w:r>
          </w:p>
        </w:tc>
      </w:tr>
    </w:tbl>
    <w:p w14:paraId="1CF4AEA0" w14:textId="6ABE65CC" w:rsidR="003C3339" w:rsidRPr="00ED66B7" w:rsidRDefault="003C3339" w:rsidP="006A574E">
      <w:pPr>
        <w:jc w:val="both"/>
        <w:rPr>
          <w:rFonts w:ascii="Arial" w:eastAsia="Calibri" w:hAnsi="Arial" w:cs="Arial"/>
          <w:sz w:val="22"/>
          <w:szCs w:val="22"/>
          <w:lang w:val="es-ES_tradnl"/>
        </w:rPr>
      </w:pPr>
      <w:r w:rsidRPr="00ED66B7">
        <w:rPr>
          <w:rFonts w:ascii="Arial" w:eastAsia="Calibri" w:hAnsi="Arial" w:cs="Arial"/>
          <w:sz w:val="22"/>
          <w:szCs w:val="22"/>
          <w:lang w:val="es-ES_tradnl"/>
        </w:rPr>
        <w:t>Estimad</w:t>
      </w:r>
      <w:r w:rsidR="00B87A1C" w:rsidRPr="00ED66B7">
        <w:rPr>
          <w:rFonts w:ascii="Arial" w:eastAsia="Calibri" w:hAnsi="Arial" w:cs="Arial"/>
          <w:sz w:val="22"/>
          <w:szCs w:val="22"/>
          <w:lang w:val="es-ES_tradnl"/>
        </w:rPr>
        <w:t>o</w:t>
      </w:r>
      <w:r w:rsidRPr="00ED66B7">
        <w:rPr>
          <w:rFonts w:ascii="Arial" w:eastAsia="Calibri" w:hAnsi="Arial" w:cs="Arial"/>
          <w:sz w:val="22"/>
          <w:szCs w:val="22"/>
          <w:lang w:val="es-ES_tradnl"/>
        </w:rPr>
        <w:t xml:space="preserve"> </w:t>
      </w:r>
      <w:r w:rsidR="00B87A1C" w:rsidRPr="00ED66B7">
        <w:rPr>
          <w:rFonts w:ascii="Arial" w:eastAsia="Calibri" w:hAnsi="Arial" w:cs="Arial"/>
          <w:sz w:val="22"/>
          <w:szCs w:val="22"/>
          <w:lang w:val="es-ES_tradnl"/>
        </w:rPr>
        <w:t>señor</w:t>
      </w:r>
      <w:r w:rsidR="00BE4FBF" w:rsidRPr="00ED66B7">
        <w:rPr>
          <w:rFonts w:ascii="Arial" w:eastAsia="Calibri" w:hAnsi="Arial" w:cs="Arial"/>
          <w:sz w:val="22"/>
          <w:szCs w:val="22"/>
          <w:lang w:val="es-ES_tradnl"/>
        </w:rPr>
        <w:t xml:space="preserve"> </w:t>
      </w:r>
      <w:r w:rsidR="00B87A1C" w:rsidRPr="00ED66B7">
        <w:rPr>
          <w:rFonts w:ascii="Arial" w:eastAsia="Calibri" w:hAnsi="Arial" w:cs="Arial"/>
          <w:sz w:val="22"/>
          <w:szCs w:val="22"/>
          <w:lang w:val="es-ES_tradnl"/>
        </w:rPr>
        <w:t>Caicedo:</w:t>
      </w:r>
    </w:p>
    <w:p w14:paraId="1EAE5543" w14:textId="77777777" w:rsidR="00DD5B04" w:rsidRPr="00ED66B7" w:rsidRDefault="00DD5B04" w:rsidP="006A574E">
      <w:pPr>
        <w:jc w:val="both"/>
        <w:rPr>
          <w:rFonts w:ascii="Arial" w:eastAsia="Calibri" w:hAnsi="Arial" w:cs="Arial"/>
          <w:sz w:val="22"/>
          <w:lang w:val="es-ES_tradnl"/>
        </w:rPr>
      </w:pPr>
    </w:p>
    <w:p w14:paraId="2109B2D3" w14:textId="2C4E09BF" w:rsidR="00DD5B04" w:rsidRPr="00ED66B7" w:rsidRDefault="00DD5B04" w:rsidP="006A574E">
      <w:pPr>
        <w:spacing w:line="276" w:lineRule="auto"/>
        <w:jc w:val="both"/>
        <w:rPr>
          <w:rFonts w:ascii="Arial" w:eastAsia="Calibri" w:hAnsi="Arial" w:cs="Arial"/>
          <w:sz w:val="22"/>
          <w:lang w:val="es-ES_tradnl"/>
        </w:rPr>
      </w:pPr>
      <w:r w:rsidRPr="00ED66B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responde su consulta del </w:t>
      </w:r>
      <w:r w:rsidR="00B87A1C" w:rsidRPr="00ED66B7">
        <w:rPr>
          <w:rFonts w:ascii="Arial" w:eastAsia="Calibri" w:hAnsi="Arial" w:cs="Arial"/>
          <w:sz w:val="22"/>
          <w:lang w:val="es-ES_tradnl"/>
        </w:rPr>
        <w:t>7</w:t>
      </w:r>
      <w:r w:rsidR="00FD4AF3" w:rsidRPr="00ED66B7">
        <w:rPr>
          <w:rFonts w:ascii="Arial" w:eastAsia="Calibri" w:hAnsi="Arial" w:cs="Arial"/>
          <w:sz w:val="22"/>
          <w:lang w:val="es-ES_tradnl"/>
        </w:rPr>
        <w:t xml:space="preserve"> de </w:t>
      </w:r>
      <w:r w:rsidR="00A44326" w:rsidRPr="00ED66B7">
        <w:rPr>
          <w:rFonts w:ascii="Arial" w:eastAsia="Calibri" w:hAnsi="Arial" w:cs="Arial"/>
          <w:sz w:val="22"/>
          <w:lang w:val="es-ES_tradnl"/>
        </w:rPr>
        <w:t>febrero</w:t>
      </w:r>
      <w:r w:rsidRPr="00ED66B7">
        <w:rPr>
          <w:rFonts w:ascii="Arial" w:eastAsia="Calibri" w:hAnsi="Arial" w:cs="Arial"/>
          <w:sz w:val="22"/>
          <w:lang w:val="es-ES_tradnl"/>
        </w:rPr>
        <w:t xml:space="preserve"> del</w:t>
      </w:r>
      <w:r w:rsidR="007E74BF" w:rsidRPr="00ED66B7">
        <w:rPr>
          <w:rFonts w:ascii="Arial" w:eastAsia="Calibri" w:hAnsi="Arial" w:cs="Arial"/>
          <w:sz w:val="22"/>
          <w:lang w:val="es-ES_tradnl"/>
        </w:rPr>
        <w:t xml:space="preserve"> </w:t>
      </w:r>
      <w:r w:rsidRPr="00ED66B7">
        <w:rPr>
          <w:rFonts w:ascii="Arial" w:eastAsia="Calibri" w:hAnsi="Arial" w:cs="Arial"/>
          <w:sz w:val="22"/>
          <w:lang w:val="es-ES_tradnl"/>
        </w:rPr>
        <w:t>202</w:t>
      </w:r>
      <w:r w:rsidR="005C345A" w:rsidRPr="00ED66B7">
        <w:rPr>
          <w:rFonts w:ascii="Arial" w:eastAsia="Calibri" w:hAnsi="Arial" w:cs="Arial"/>
          <w:sz w:val="22"/>
          <w:lang w:val="es-ES_tradnl"/>
        </w:rPr>
        <w:t>2</w:t>
      </w:r>
      <w:r w:rsidR="008C3C57" w:rsidRPr="00ED66B7">
        <w:rPr>
          <w:rFonts w:ascii="Arial" w:eastAsia="Calibri" w:hAnsi="Arial" w:cs="Arial"/>
          <w:sz w:val="22"/>
          <w:lang w:val="es-ES_tradnl"/>
        </w:rPr>
        <w:t>.</w:t>
      </w:r>
    </w:p>
    <w:p w14:paraId="0C1E0712" w14:textId="77777777" w:rsidR="00DD5B04" w:rsidRPr="00ED66B7" w:rsidRDefault="00DD5B04" w:rsidP="006A574E">
      <w:pPr>
        <w:spacing w:line="276" w:lineRule="auto"/>
        <w:jc w:val="both"/>
        <w:rPr>
          <w:rFonts w:ascii="Arial" w:eastAsia="Calibri" w:hAnsi="Arial" w:cs="Arial"/>
          <w:b/>
          <w:sz w:val="22"/>
          <w:lang w:val="es-ES_tradnl"/>
        </w:rPr>
      </w:pPr>
    </w:p>
    <w:p w14:paraId="7701FCC7" w14:textId="77777777" w:rsidR="00DD5B04" w:rsidRPr="00ED66B7" w:rsidRDefault="00DD5B04" w:rsidP="006A574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D66B7">
        <w:rPr>
          <w:rFonts w:ascii="Arial" w:eastAsia="Calibri" w:hAnsi="Arial" w:cs="Arial"/>
          <w:b/>
          <w:sz w:val="22"/>
          <w:lang w:val="es-ES_tradnl"/>
        </w:rPr>
        <w:t xml:space="preserve">Problema planteado </w:t>
      </w:r>
    </w:p>
    <w:p w14:paraId="224B43D3" w14:textId="77777777" w:rsidR="00DD5B04" w:rsidRPr="00ED66B7" w:rsidRDefault="00DD5B04" w:rsidP="006A574E">
      <w:pPr>
        <w:tabs>
          <w:tab w:val="left" w:pos="426"/>
        </w:tabs>
        <w:spacing w:line="276" w:lineRule="auto"/>
        <w:jc w:val="both"/>
        <w:rPr>
          <w:rFonts w:ascii="Arial" w:eastAsia="Calibri" w:hAnsi="Arial" w:cs="Arial"/>
          <w:b/>
          <w:sz w:val="22"/>
          <w:lang w:val="es-ES_tradnl"/>
        </w:rPr>
      </w:pPr>
    </w:p>
    <w:p w14:paraId="3B453246" w14:textId="344935CE" w:rsidR="00B13399" w:rsidRPr="00ED66B7" w:rsidRDefault="00DD5B04" w:rsidP="006A574E">
      <w:pPr>
        <w:spacing w:line="276" w:lineRule="auto"/>
        <w:jc w:val="both"/>
        <w:rPr>
          <w:rFonts w:ascii="Arial" w:hAnsi="Arial" w:cs="Arial"/>
          <w:sz w:val="22"/>
          <w:lang w:val="es-ES_tradnl"/>
        </w:rPr>
      </w:pPr>
      <w:r w:rsidRPr="00ED66B7">
        <w:rPr>
          <w:rFonts w:ascii="Arial" w:hAnsi="Arial" w:cs="Arial"/>
          <w:sz w:val="22"/>
          <w:lang w:val="es-ES_tradnl"/>
        </w:rPr>
        <w:t xml:space="preserve">Usted </w:t>
      </w:r>
      <w:r w:rsidR="00B422C0" w:rsidRPr="00ED66B7">
        <w:rPr>
          <w:rFonts w:ascii="Arial" w:hAnsi="Arial" w:cs="Arial"/>
          <w:sz w:val="22"/>
          <w:lang w:val="es-ES_tradnl"/>
        </w:rPr>
        <w:t>formula</w:t>
      </w:r>
      <w:r w:rsidR="006D46A3" w:rsidRPr="00ED66B7">
        <w:rPr>
          <w:rFonts w:ascii="Arial" w:hAnsi="Arial" w:cs="Arial"/>
          <w:sz w:val="22"/>
          <w:lang w:val="es-ES_tradnl"/>
        </w:rPr>
        <w:t xml:space="preserve"> la siguiente</w:t>
      </w:r>
      <w:r w:rsidR="00C028F5" w:rsidRPr="00ED66B7">
        <w:rPr>
          <w:rFonts w:ascii="Arial" w:hAnsi="Arial" w:cs="Arial"/>
          <w:sz w:val="22"/>
          <w:lang w:val="es-ES_tradnl"/>
        </w:rPr>
        <w:t xml:space="preserve"> </w:t>
      </w:r>
      <w:r w:rsidR="00966B9B" w:rsidRPr="00ED66B7">
        <w:rPr>
          <w:rFonts w:ascii="Arial" w:hAnsi="Arial" w:cs="Arial"/>
          <w:sz w:val="22"/>
          <w:lang w:val="es-ES_tradnl"/>
        </w:rPr>
        <w:t>consulta</w:t>
      </w:r>
      <w:r w:rsidR="000C0D2D" w:rsidRPr="00ED66B7">
        <w:rPr>
          <w:rFonts w:ascii="Arial" w:hAnsi="Arial" w:cs="Arial"/>
          <w:sz w:val="22"/>
          <w:lang w:val="es-ES_tradnl"/>
        </w:rPr>
        <w:t xml:space="preserve"> relacionada con </w:t>
      </w:r>
      <w:r w:rsidR="00966B9B" w:rsidRPr="00ED66B7">
        <w:rPr>
          <w:rFonts w:ascii="Arial" w:hAnsi="Arial" w:cs="Arial"/>
          <w:sz w:val="22"/>
          <w:lang w:val="es-ES_tradnl"/>
        </w:rPr>
        <w:t>el</w:t>
      </w:r>
      <w:r w:rsidR="00142237" w:rsidRPr="00ED66B7">
        <w:rPr>
          <w:rFonts w:ascii="Arial" w:hAnsi="Arial" w:cs="Arial"/>
          <w:sz w:val="22"/>
          <w:lang w:val="es-ES_tradnl"/>
        </w:rPr>
        <w:t xml:space="preserve"> ámbito de aplicación de los documentos tipo</w:t>
      </w:r>
      <w:r w:rsidR="00966B9B" w:rsidRPr="00ED66B7">
        <w:rPr>
          <w:rFonts w:ascii="Arial" w:hAnsi="Arial" w:cs="Arial"/>
          <w:sz w:val="22"/>
          <w:lang w:val="es-ES_tradnl"/>
        </w:rPr>
        <w:t xml:space="preserve"> y el</w:t>
      </w:r>
      <w:r w:rsidR="00B13399" w:rsidRPr="00ED66B7">
        <w:rPr>
          <w:rFonts w:ascii="Arial" w:hAnsi="Arial" w:cs="Arial"/>
          <w:sz w:val="22"/>
          <w:lang w:val="es-ES_tradnl"/>
        </w:rPr>
        <w:t xml:space="preserve"> alcance del artículo </w:t>
      </w:r>
      <w:r w:rsidR="00142237" w:rsidRPr="00ED66B7">
        <w:rPr>
          <w:rFonts w:ascii="Arial" w:hAnsi="Arial" w:cs="Arial"/>
          <w:sz w:val="22"/>
          <w:lang w:val="es-ES_tradnl"/>
        </w:rPr>
        <w:t>56 de la Ley 2195 de 2022</w:t>
      </w:r>
      <w:r w:rsidR="00966B9B" w:rsidRPr="00ED66B7">
        <w:rPr>
          <w:rFonts w:ascii="Arial" w:hAnsi="Arial" w:cs="Arial"/>
          <w:sz w:val="22"/>
          <w:lang w:val="es-ES_tradnl"/>
        </w:rPr>
        <w:t>. Al respecto pregunta:</w:t>
      </w:r>
    </w:p>
    <w:p w14:paraId="0B593FD4" w14:textId="77777777" w:rsidR="00966B9B" w:rsidRPr="00ED66B7" w:rsidRDefault="00966B9B" w:rsidP="00966B9B">
      <w:pPr>
        <w:ind w:left="709" w:right="709"/>
        <w:jc w:val="both"/>
        <w:rPr>
          <w:rFonts w:ascii="Arial" w:hAnsi="Arial" w:cs="Arial"/>
          <w:sz w:val="21"/>
          <w:szCs w:val="21"/>
          <w:lang w:val="es-ES_tradnl"/>
        </w:rPr>
      </w:pPr>
    </w:p>
    <w:p w14:paraId="3BC15CDC" w14:textId="52915575" w:rsidR="00EE23ED" w:rsidRPr="00ED66B7" w:rsidRDefault="008B3031" w:rsidP="00EE23ED">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t>«</w:t>
      </w:r>
      <w:r w:rsidR="00EE23ED" w:rsidRPr="00ED66B7">
        <w:rPr>
          <w:rFonts w:ascii="Arial" w:hAnsi="Arial" w:cs="Arial"/>
          <w:bCs/>
          <w:sz w:val="21"/>
          <w:szCs w:val="21"/>
          <w:lang w:val="es-ES"/>
        </w:rPr>
        <w:t xml:space="preserve">1. ¿A la luz de las normas que comprenden el ordenamiento jurídico </w:t>
      </w:r>
      <w:proofErr w:type="gramStart"/>
      <w:r w:rsidR="00EE23ED" w:rsidRPr="00ED66B7">
        <w:rPr>
          <w:rFonts w:ascii="Arial" w:hAnsi="Arial" w:cs="Arial"/>
          <w:bCs/>
          <w:sz w:val="21"/>
          <w:szCs w:val="21"/>
          <w:lang w:val="es-ES"/>
        </w:rPr>
        <w:t>Colombiano</w:t>
      </w:r>
      <w:proofErr w:type="gramEnd"/>
      <w:r w:rsidR="00EE23ED" w:rsidRPr="00ED66B7">
        <w:rPr>
          <w:rFonts w:ascii="Arial" w:hAnsi="Arial" w:cs="Arial"/>
          <w:bCs/>
          <w:sz w:val="21"/>
          <w:szCs w:val="21"/>
          <w:lang w:val="es-ES"/>
        </w:rPr>
        <w:t>, qué se entiende por "el giro ordinario" para las Instituciones de Educación Superior públicas, las empresas sociales del Estado, las sociedades de economía mixta y las empresas industriales y comerciales del Estado?</w:t>
      </w:r>
    </w:p>
    <w:p w14:paraId="1CDAE3B3" w14:textId="77777777" w:rsidR="009E20DB" w:rsidRPr="00ED66B7" w:rsidRDefault="009E20DB" w:rsidP="00EE23ED">
      <w:pPr>
        <w:tabs>
          <w:tab w:val="decimal" w:pos="765"/>
          <w:tab w:val="right" w:pos="7371"/>
        </w:tabs>
        <w:ind w:left="709" w:right="709"/>
        <w:jc w:val="both"/>
        <w:rPr>
          <w:rFonts w:ascii="Arial" w:hAnsi="Arial" w:cs="Arial"/>
          <w:bCs/>
          <w:sz w:val="21"/>
          <w:szCs w:val="21"/>
          <w:lang w:val="es-ES"/>
        </w:rPr>
      </w:pPr>
    </w:p>
    <w:p w14:paraId="12E12D26" w14:textId="692E0296" w:rsidR="00AF07A5" w:rsidRPr="00ED66B7" w:rsidRDefault="00EE23ED" w:rsidP="00EE23ED">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t>2. ¿De acuerdo con el Parágrafo del Artículo 56 de la Ley 2195 de 2022, no es</w:t>
      </w:r>
      <w:r w:rsidR="009E20DB" w:rsidRPr="00ED66B7">
        <w:rPr>
          <w:rFonts w:ascii="Arial" w:hAnsi="Arial" w:cs="Arial"/>
          <w:bCs/>
          <w:sz w:val="21"/>
          <w:szCs w:val="21"/>
          <w:lang w:val="es-ES"/>
        </w:rPr>
        <w:t xml:space="preserve"> </w:t>
      </w:r>
      <w:r w:rsidRPr="00ED66B7">
        <w:rPr>
          <w:rFonts w:ascii="Arial" w:hAnsi="Arial" w:cs="Arial"/>
          <w:bCs/>
          <w:sz w:val="21"/>
          <w:szCs w:val="21"/>
          <w:lang w:val="es-ES"/>
        </w:rPr>
        <w:t>aplicable a los documentos tipo a las Instituciones de Educación Superior públicas, las empresas sociales del Estado, las sociedades de economía mixta y las empresas industriales y comerciales del Estado cuando sean atribuibles a actividades del giro ordinario las mencionadas entidades estatales?».</w:t>
      </w:r>
    </w:p>
    <w:p w14:paraId="70356586" w14:textId="77777777" w:rsidR="00EE23ED" w:rsidRPr="00ED66B7" w:rsidRDefault="00EE23ED" w:rsidP="00B87A1C">
      <w:pPr>
        <w:tabs>
          <w:tab w:val="decimal" w:pos="765"/>
          <w:tab w:val="right" w:pos="7371"/>
        </w:tabs>
        <w:ind w:left="709" w:right="709"/>
        <w:jc w:val="both"/>
        <w:rPr>
          <w:rFonts w:ascii="Arial" w:hAnsi="Arial" w:cs="Arial"/>
          <w:sz w:val="21"/>
          <w:szCs w:val="21"/>
          <w:lang w:val="es-ES_tradnl"/>
        </w:rPr>
      </w:pPr>
    </w:p>
    <w:p w14:paraId="124D2DCA" w14:textId="77777777" w:rsidR="00DD5B04" w:rsidRPr="00ED66B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D66B7">
        <w:rPr>
          <w:rFonts w:ascii="Arial" w:eastAsia="Calibri" w:hAnsi="Arial" w:cs="Arial"/>
          <w:b/>
          <w:sz w:val="22"/>
          <w:lang w:val="es-ES_tradnl"/>
        </w:rPr>
        <w:t>Consideraciones</w:t>
      </w:r>
    </w:p>
    <w:p w14:paraId="344D2E5A" w14:textId="77777777" w:rsidR="00AA1BB6" w:rsidRPr="00ED66B7" w:rsidRDefault="00AA1BB6" w:rsidP="00B87A1C">
      <w:pPr>
        <w:jc w:val="both"/>
        <w:rPr>
          <w:rFonts w:ascii="Arial" w:hAnsi="Arial" w:cs="Arial"/>
          <w:noProof/>
          <w:sz w:val="22"/>
          <w:lang w:val="es-ES_tradnl"/>
        </w:rPr>
      </w:pPr>
    </w:p>
    <w:p w14:paraId="7B0599CC" w14:textId="77777777" w:rsidR="00697A76" w:rsidRPr="00ED66B7" w:rsidRDefault="00697A76" w:rsidP="00697A76">
      <w:pPr>
        <w:spacing w:after="120" w:line="276" w:lineRule="auto"/>
        <w:jc w:val="both"/>
        <w:rPr>
          <w:rFonts w:ascii="Arial" w:eastAsia="Calibri" w:hAnsi="Arial" w:cs="Arial"/>
          <w:sz w:val="22"/>
          <w:szCs w:val="22"/>
          <w:lang w:val="es-ES_tradnl" w:eastAsia="en-US"/>
        </w:rPr>
      </w:pPr>
      <w:r w:rsidRPr="00ED66B7">
        <w:rPr>
          <w:rFonts w:ascii="Arial" w:eastAsia="Calibri" w:hAnsi="Arial" w:cs="Arial"/>
          <w:sz w:val="22"/>
          <w:szCs w:val="22"/>
          <w:lang w:val="es-ES_tradnl" w:eastAsia="en-US"/>
        </w:rPr>
        <w:t>Es necesario tener en cuenta que esta entidad solo tiene competencia para responder solicitudes sobre la aplicación de normas de carácter general en materia de compras y contratación pública</w:t>
      </w:r>
      <w:r w:rsidRPr="00ED66B7">
        <w:rPr>
          <w:rFonts w:ascii="Arial" w:eastAsia="Calibri" w:hAnsi="Arial" w:cs="Arial"/>
          <w:sz w:val="22"/>
          <w:szCs w:val="22"/>
          <w:vertAlign w:val="superscript"/>
          <w:lang w:val="es-ES_tradnl" w:eastAsia="en-US"/>
        </w:rPr>
        <w:footnoteReference w:id="2"/>
      </w:r>
      <w:r w:rsidRPr="00ED66B7">
        <w:rPr>
          <w:rFonts w:ascii="Arial" w:eastAsia="Calibri" w:hAnsi="Arial" w:cs="Arial"/>
          <w:sz w:val="22"/>
          <w:szCs w:val="22"/>
          <w:lang w:val="es-ES_tradnl" w:eastAsia="en-US"/>
        </w:rPr>
        <w:t>. Esta se fija con límites claros, con el objeto de evitar que la Agencia actúe como una instancia de validación de las actuaciones de las entidades sujetas a la Ley 80 de 1993 o de los demás participantes de la contratación pública.</w:t>
      </w:r>
    </w:p>
    <w:p w14:paraId="2D197EB9" w14:textId="1922723B" w:rsidR="00B67CED" w:rsidRPr="00ED66B7" w:rsidRDefault="007B6975" w:rsidP="00697A76">
      <w:pPr>
        <w:spacing w:line="276" w:lineRule="auto"/>
        <w:ind w:firstLine="708"/>
        <w:jc w:val="both"/>
        <w:rPr>
          <w:rFonts w:ascii="Arial" w:eastAsia="Calibri" w:hAnsi="Arial" w:cs="Arial"/>
          <w:noProof/>
          <w:sz w:val="22"/>
          <w:lang w:val="es-ES_tradnl"/>
        </w:rPr>
      </w:pPr>
      <w:r w:rsidRPr="00ED66B7">
        <w:rPr>
          <w:rFonts w:ascii="Arial" w:hAnsi="Arial" w:cs="Arial"/>
          <w:noProof/>
          <w:sz w:val="22"/>
          <w:lang w:val="es-ES_tradnl"/>
        </w:rPr>
        <w:t xml:space="preserve">La Agencia Nacional de Contratación Pública – Colombia Compra Eficiente </w:t>
      </w:r>
      <w:r w:rsidR="00A4213F" w:rsidRPr="00ED66B7">
        <w:rPr>
          <w:rFonts w:ascii="Arial" w:hAnsi="Arial" w:cs="Arial"/>
          <w:noProof/>
          <w:sz w:val="22"/>
          <w:lang w:val="es-ES_tradnl"/>
        </w:rPr>
        <w:t>se</w:t>
      </w:r>
      <w:r w:rsidR="00065C70" w:rsidRPr="00ED66B7">
        <w:rPr>
          <w:rFonts w:ascii="Arial" w:hAnsi="Arial" w:cs="Arial"/>
          <w:noProof/>
          <w:sz w:val="22"/>
          <w:lang w:val="es-ES_tradnl"/>
        </w:rPr>
        <w:t xml:space="preserve"> ha pronunciado</w:t>
      </w:r>
      <w:r w:rsidR="00A4213F" w:rsidRPr="00ED66B7">
        <w:rPr>
          <w:rFonts w:ascii="Arial" w:hAnsi="Arial" w:cs="Arial"/>
          <w:noProof/>
          <w:sz w:val="22"/>
          <w:lang w:val="es-ES_tradnl"/>
        </w:rPr>
        <w:t xml:space="preserve"> sobre</w:t>
      </w:r>
      <w:r w:rsidR="00065C70" w:rsidRPr="00ED66B7">
        <w:rPr>
          <w:rFonts w:ascii="Arial" w:hAnsi="Arial" w:cs="Arial"/>
          <w:noProof/>
          <w:sz w:val="22"/>
          <w:lang w:val="es-ES_tradnl"/>
        </w:rPr>
        <w:t xml:space="preserve"> el ámbito de aplicación de</w:t>
      </w:r>
      <w:r w:rsidR="00A4213F" w:rsidRPr="00ED66B7">
        <w:rPr>
          <w:rFonts w:ascii="Arial" w:hAnsi="Arial" w:cs="Arial"/>
          <w:noProof/>
          <w:sz w:val="22"/>
          <w:lang w:val="es-ES_tradnl"/>
        </w:rPr>
        <w:t xml:space="preserve"> </w:t>
      </w:r>
      <w:r w:rsidR="00430F7D" w:rsidRPr="00ED66B7">
        <w:rPr>
          <w:rFonts w:ascii="Arial" w:eastAsia="Arial" w:hAnsi="Arial" w:cs="Arial"/>
          <w:sz w:val="22"/>
          <w:lang w:val="es-ES_tradnl"/>
        </w:rPr>
        <w:t>los</w:t>
      </w:r>
      <w:r w:rsidR="00B67CED" w:rsidRPr="00ED66B7">
        <w:rPr>
          <w:rFonts w:ascii="Arial" w:eastAsia="Arial" w:hAnsi="Arial" w:cs="Arial"/>
          <w:sz w:val="22"/>
          <w:lang w:val="es-ES_tradnl"/>
        </w:rPr>
        <w:t xml:space="preserve"> </w:t>
      </w:r>
      <w:r w:rsidR="00065C70" w:rsidRPr="00ED66B7">
        <w:rPr>
          <w:rFonts w:ascii="Arial" w:eastAsia="Arial" w:hAnsi="Arial" w:cs="Arial"/>
          <w:sz w:val="22"/>
          <w:lang w:val="es-ES_tradnl"/>
        </w:rPr>
        <w:t>documentos tipo</w:t>
      </w:r>
      <w:r w:rsidR="00B67CED" w:rsidRPr="00ED66B7">
        <w:rPr>
          <w:rFonts w:ascii="Arial" w:eastAsia="Arial" w:hAnsi="Arial" w:cs="Arial"/>
          <w:sz w:val="22"/>
          <w:lang w:val="es-ES_tradnl"/>
        </w:rPr>
        <w:t xml:space="preserve"> </w:t>
      </w:r>
      <w:r w:rsidR="00E01519" w:rsidRPr="00ED66B7">
        <w:rPr>
          <w:rFonts w:ascii="Arial" w:eastAsia="Arial" w:hAnsi="Arial" w:cs="Arial"/>
          <w:sz w:val="22"/>
          <w:lang w:val="es-ES_tradnl"/>
        </w:rPr>
        <w:t>en la contratación estatal</w:t>
      </w:r>
      <w:r w:rsidR="00B67CED" w:rsidRPr="00ED66B7">
        <w:rPr>
          <w:rFonts w:ascii="Arial" w:eastAsia="Arial" w:hAnsi="Arial" w:cs="Arial"/>
          <w:sz w:val="22"/>
          <w:lang w:val="es-ES_tradnl"/>
        </w:rPr>
        <w:t>,</w:t>
      </w:r>
      <w:r w:rsidR="00885E06" w:rsidRPr="00ED66B7">
        <w:rPr>
          <w:rFonts w:ascii="Arial" w:eastAsia="Arial" w:hAnsi="Arial" w:cs="Arial"/>
          <w:sz w:val="22"/>
          <w:lang w:val="es-ES_tradnl"/>
        </w:rPr>
        <w:t xml:space="preserve"> </w:t>
      </w:r>
      <w:r w:rsidR="00B67CED" w:rsidRPr="00ED66B7">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ED66B7">
        <w:rPr>
          <w:rFonts w:ascii="Arial" w:eastAsia="Arial" w:hAnsi="Arial" w:cs="Arial"/>
          <w:sz w:val="22"/>
          <w:lang w:val="es-ES_tradnl"/>
        </w:rPr>
        <w:t xml:space="preserve">, </w:t>
      </w:r>
      <w:r w:rsidR="00B67CED" w:rsidRPr="00ED66B7">
        <w:rPr>
          <w:rFonts w:ascii="Arial" w:eastAsia="Arial" w:hAnsi="Arial" w:cs="Arial"/>
          <w:sz w:val="22"/>
          <w:lang w:val="es-ES_tradnl"/>
        </w:rPr>
        <w:t>C-570 del 27 de agosto de 2020</w:t>
      </w:r>
      <w:r w:rsidR="00D944AC" w:rsidRPr="00ED66B7">
        <w:rPr>
          <w:rFonts w:ascii="Arial" w:eastAsia="Arial" w:hAnsi="Arial" w:cs="Arial"/>
          <w:sz w:val="22"/>
          <w:lang w:val="es-ES_tradnl"/>
        </w:rPr>
        <w:t>, C</w:t>
      </w:r>
      <w:r w:rsidR="00C638CD" w:rsidRPr="00ED66B7">
        <w:rPr>
          <w:rFonts w:ascii="Arial" w:eastAsia="Arial" w:hAnsi="Arial" w:cs="Arial"/>
          <w:sz w:val="22"/>
          <w:lang w:val="es-ES_tradnl"/>
        </w:rPr>
        <w:t>-713 del 2 de diciembre de 2020</w:t>
      </w:r>
      <w:r w:rsidR="00D07DE9" w:rsidRPr="00ED66B7">
        <w:rPr>
          <w:rFonts w:ascii="Arial" w:eastAsia="Arial" w:hAnsi="Arial" w:cs="Arial"/>
          <w:sz w:val="22"/>
          <w:lang w:val="es-ES_tradnl"/>
        </w:rPr>
        <w:t xml:space="preserve"> y </w:t>
      </w:r>
      <w:r w:rsidR="00C638CD" w:rsidRPr="00ED66B7">
        <w:rPr>
          <w:rFonts w:ascii="Arial" w:eastAsia="Arial" w:hAnsi="Arial" w:cs="Arial"/>
          <w:sz w:val="22"/>
          <w:lang w:val="es-ES_tradnl"/>
        </w:rPr>
        <w:t>C-</w:t>
      </w:r>
      <w:r w:rsidR="0059455B" w:rsidRPr="00ED66B7">
        <w:rPr>
          <w:rFonts w:ascii="Arial" w:eastAsia="Arial" w:hAnsi="Arial" w:cs="Arial"/>
          <w:sz w:val="22"/>
          <w:lang w:val="es-ES_tradnl"/>
        </w:rPr>
        <w:t>744 del 22 de diciembre de 2020</w:t>
      </w:r>
      <w:r w:rsidR="00B67CED" w:rsidRPr="00ED66B7">
        <w:rPr>
          <w:rFonts w:ascii="Arial" w:eastAsia="Arial" w:hAnsi="Arial" w:cs="Arial"/>
          <w:sz w:val="22"/>
          <w:lang w:val="es-ES_tradnl"/>
        </w:rPr>
        <w:t>.</w:t>
      </w:r>
      <w:r w:rsidR="00AA1BB6" w:rsidRPr="00ED66B7">
        <w:rPr>
          <w:rFonts w:ascii="Arial" w:eastAsia="Arial" w:hAnsi="Arial" w:cs="Arial"/>
          <w:sz w:val="22"/>
          <w:lang w:val="es-ES_tradnl"/>
        </w:rPr>
        <w:t xml:space="preserve"> De otra parte, </w:t>
      </w:r>
      <w:r w:rsidR="00296D52" w:rsidRPr="00ED66B7">
        <w:rPr>
          <w:rFonts w:ascii="Arial" w:eastAsia="Arial" w:hAnsi="Arial" w:cs="Arial"/>
          <w:sz w:val="22"/>
          <w:lang w:val="es-ES_tradnl"/>
        </w:rPr>
        <w:t xml:space="preserve">esta Agencia se pronunció </w:t>
      </w:r>
      <w:r w:rsidR="00AA1BB6" w:rsidRPr="00ED66B7">
        <w:rPr>
          <w:rFonts w:ascii="Arial" w:eastAsia="Arial" w:hAnsi="Arial" w:cs="Arial"/>
          <w:sz w:val="22"/>
          <w:lang w:val="es-ES_tradnl"/>
        </w:rPr>
        <w:t>sobre el alcance del artículo 56 de la Ley 2195</w:t>
      </w:r>
      <w:r w:rsidR="00EF16B3" w:rsidRPr="00ED66B7">
        <w:rPr>
          <w:rFonts w:ascii="Arial" w:eastAsia="Arial" w:hAnsi="Arial" w:cs="Arial"/>
          <w:sz w:val="22"/>
          <w:lang w:val="es-ES_tradnl"/>
        </w:rPr>
        <w:t xml:space="preserve"> de 2022</w:t>
      </w:r>
      <w:r w:rsidR="00296D52" w:rsidRPr="00ED66B7">
        <w:rPr>
          <w:rFonts w:ascii="Arial" w:eastAsia="Arial" w:hAnsi="Arial" w:cs="Arial"/>
          <w:sz w:val="22"/>
          <w:lang w:val="es-ES_tradnl"/>
        </w:rPr>
        <w:t xml:space="preserve"> en </w:t>
      </w:r>
      <w:r w:rsidR="00272393" w:rsidRPr="00ED66B7">
        <w:rPr>
          <w:rFonts w:ascii="Arial" w:eastAsia="Arial" w:hAnsi="Arial" w:cs="Arial"/>
          <w:sz w:val="22"/>
          <w:lang w:val="es-ES_tradnl"/>
        </w:rPr>
        <w:t xml:space="preserve">los </w:t>
      </w:r>
      <w:r w:rsidR="00296D52" w:rsidRPr="00ED66B7">
        <w:rPr>
          <w:rFonts w:ascii="Arial" w:eastAsia="Arial" w:hAnsi="Arial" w:cs="Arial"/>
          <w:sz w:val="22"/>
          <w:lang w:val="es-ES_tradnl"/>
        </w:rPr>
        <w:t>concepto</w:t>
      </w:r>
      <w:r w:rsidR="00272393" w:rsidRPr="00ED66B7">
        <w:rPr>
          <w:rFonts w:ascii="Arial" w:eastAsia="Arial" w:hAnsi="Arial" w:cs="Arial"/>
          <w:sz w:val="22"/>
          <w:lang w:val="es-ES_tradnl"/>
        </w:rPr>
        <w:t>s</w:t>
      </w:r>
      <w:r w:rsidR="00296D52" w:rsidRPr="00ED66B7">
        <w:rPr>
          <w:rFonts w:ascii="Arial" w:eastAsia="Arial" w:hAnsi="Arial" w:cs="Arial"/>
          <w:sz w:val="22"/>
          <w:lang w:val="es-ES_tradnl"/>
        </w:rPr>
        <w:t xml:space="preserve"> C-066 del 28 de enero de 2022</w:t>
      </w:r>
      <w:r w:rsidR="006A574E" w:rsidRPr="00ED66B7">
        <w:rPr>
          <w:rFonts w:ascii="Arial" w:eastAsia="Arial" w:hAnsi="Arial" w:cs="Arial"/>
          <w:sz w:val="22"/>
          <w:lang w:val="es-ES_tradnl"/>
        </w:rPr>
        <w:t>,</w:t>
      </w:r>
      <w:r w:rsidR="00272393" w:rsidRPr="00ED66B7">
        <w:rPr>
          <w:rFonts w:ascii="Arial" w:eastAsia="Arial" w:hAnsi="Arial" w:cs="Arial"/>
          <w:sz w:val="22"/>
          <w:lang w:val="es-ES_tradnl"/>
        </w:rPr>
        <w:t xml:space="preserve"> C-082 del 2 de marzo de 2022</w:t>
      </w:r>
      <w:bookmarkStart w:id="3" w:name="_Hlk97626612"/>
      <w:r w:rsidR="00B87A1C" w:rsidRPr="00ED66B7">
        <w:rPr>
          <w:rFonts w:ascii="Arial" w:eastAsia="Arial" w:hAnsi="Arial" w:cs="Arial"/>
          <w:sz w:val="22"/>
          <w:lang w:val="es-ES_tradnl"/>
        </w:rPr>
        <w:t>,</w:t>
      </w:r>
      <w:r w:rsidR="00025515" w:rsidRPr="00ED66B7">
        <w:rPr>
          <w:rFonts w:ascii="Arial" w:eastAsia="Arial" w:hAnsi="Arial" w:cs="Arial"/>
          <w:sz w:val="22"/>
          <w:lang w:val="es-ES_tradnl"/>
        </w:rPr>
        <w:t xml:space="preserve"> C-065 del 9 de marzo de 2022</w:t>
      </w:r>
      <w:r w:rsidR="00F03FFC" w:rsidRPr="00ED66B7">
        <w:rPr>
          <w:rFonts w:ascii="Arial" w:eastAsia="Arial" w:hAnsi="Arial" w:cs="Arial"/>
          <w:sz w:val="22"/>
          <w:lang w:val="es-ES_tradnl"/>
        </w:rPr>
        <w:t xml:space="preserve"> y C-086 del 16 de marzo de 2022</w:t>
      </w:r>
      <w:r w:rsidR="00272393" w:rsidRPr="00ED66B7">
        <w:rPr>
          <w:rStyle w:val="Refdenotaalpie"/>
          <w:rFonts w:ascii="Arial" w:eastAsia="Arial" w:hAnsi="Arial" w:cs="Arial"/>
          <w:sz w:val="22"/>
          <w:lang w:val="es-ES_tradnl"/>
        </w:rPr>
        <w:footnoteReference w:id="3"/>
      </w:r>
      <w:bookmarkEnd w:id="3"/>
      <w:r w:rsidR="00EF16B3" w:rsidRPr="00ED66B7">
        <w:rPr>
          <w:rFonts w:ascii="Arial" w:eastAsia="Arial" w:hAnsi="Arial" w:cs="Arial"/>
          <w:sz w:val="22"/>
          <w:lang w:val="es-ES_tradnl"/>
        </w:rPr>
        <w:t>.</w:t>
      </w:r>
      <w:r w:rsidR="009C5905" w:rsidRPr="00ED66B7">
        <w:rPr>
          <w:rFonts w:ascii="Arial" w:eastAsia="Arial" w:hAnsi="Arial" w:cs="Arial"/>
          <w:sz w:val="22"/>
          <w:lang w:val="es-ES_tradnl"/>
        </w:rPr>
        <w:t xml:space="preserve"> </w:t>
      </w:r>
      <w:r w:rsidR="00B67CED" w:rsidRPr="00ED66B7">
        <w:rPr>
          <w:rFonts w:ascii="Arial" w:eastAsia="Arial" w:hAnsi="Arial" w:cs="Arial"/>
          <w:sz w:val="22"/>
          <w:lang w:val="es-ES_tradnl"/>
        </w:rPr>
        <w:t>Las ideas expuestas en dichas oportunidades se reiteran y se complementa</w:t>
      </w:r>
      <w:r w:rsidR="00E70779" w:rsidRPr="00ED66B7">
        <w:rPr>
          <w:rFonts w:ascii="Arial" w:eastAsia="Arial" w:hAnsi="Arial" w:cs="Arial"/>
          <w:sz w:val="22"/>
          <w:lang w:val="es-ES_tradnl"/>
        </w:rPr>
        <w:t>n a continuación</w:t>
      </w:r>
      <w:r w:rsidR="00296D52" w:rsidRPr="00ED66B7">
        <w:rPr>
          <w:rFonts w:ascii="Arial" w:eastAsia="Arial" w:hAnsi="Arial" w:cs="Arial"/>
          <w:sz w:val="22"/>
          <w:lang w:val="es-ES_tradnl"/>
        </w:rPr>
        <w:t>.</w:t>
      </w:r>
      <w:r w:rsidR="00B67CED" w:rsidRPr="00ED66B7">
        <w:rPr>
          <w:rFonts w:ascii="Arial" w:eastAsia="Arial" w:hAnsi="Arial" w:cs="Arial"/>
          <w:sz w:val="22"/>
          <w:lang w:val="es-ES_tradnl"/>
        </w:rPr>
        <w:t xml:space="preserve">    </w:t>
      </w:r>
    </w:p>
    <w:p w14:paraId="327A3AB8" w14:textId="77777777" w:rsidR="00025515" w:rsidRPr="00ED66B7" w:rsidRDefault="00025515" w:rsidP="00B67CED">
      <w:pPr>
        <w:spacing w:line="276" w:lineRule="auto"/>
        <w:jc w:val="both"/>
        <w:rPr>
          <w:rFonts w:ascii="Arial" w:eastAsia="Arial" w:hAnsi="Arial" w:cs="Arial"/>
          <w:b/>
          <w:bCs/>
          <w:sz w:val="22"/>
          <w:lang w:val="es-ES_tradnl"/>
        </w:rPr>
      </w:pPr>
    </w:p>
    <w:p w14:paraId="386098CC" w14:textId="16E7766C" w:rsidR="00B67CED" w:rsidRPr="00ED66B7" w:rsidRDefault="00B67CED" w:rsidP="00B67CED">
      <w:pPr>
        <w:spacing w:line="276" w:lineRule="auto"/>
        <w:jc w:val="both"/>
        <w:rPr>
          <w:rFonts w:ascii="Arial" w:eastAsia="Arial" w:hAnsi="Arial" w:cs="Arial"/>
          <w:b/>
          <w:bCs/>
          <w:sz w:val="22"/>
          <w:lang w:val="es-ES_tradnl"/>
        </w:rPr>
      </w:pPr>
      <w:r w:rsidRPr="00ED66B7">
        <w:rPr>
          <w:rFonts w:ascii="Arial" w:eastAsia="Arial" w:hAnsi="Arial" w:cs="Arial"/>
          <w:b/>
          <w:bCs/>
          <w:sz w:val="22"/>
          <w:lang w:val="es-ES_tradnl"/>
        </w:rPr>
        <w:t>2.</w:t>
      </w:r>
      <w:r w:rsidR="00D94E5D" w:rsidRPr="00ED66B7">
        <w:rPr>
          <w:rFonts w:ascii="Arial" w:eastAsia="Arial" w:hAnsi="Arial" w:cs="Arial"/>
          <w:b/>
          <w:bCs/>
          <w:sz w:val="22"/>
          <w:lang w:val="es-ES_tradnl"/>
        </w:rPr>
        <w:t>1</w:t>
      </w:r>
      <w:r w:rsidRPr="00ED66B7">
        <w:rPr>
          <w:rFonts w:ascii="Arial" w:eastAsia="Arial" w:hAnsi="Arial" w:cs="Arial"/>
          <w:b/>
          <w:bCs/>
          <w:sz w:val="22"/>
          <w:lang w:val="es-ES_tradnl"/>
        </w:rPr>
        <w:t xml:space="preserve">. </w:t>
      </w:r>
      <w:r w:rsidR="00B04B71" w:rsidRPr="00ED66B7">
        <w:rPr>
          <w:rFonts w:ascii="Arial" w:eastAsia="Arial" w:hAnsi="Arial" w:cs="Arial"/>
          <w:b/>
          <w:bCs/>
          <w:sz w:val="22"/>
          <w:lang w:val="es-ES_tradnl"/>
        </w:rPr>
        <w:t xml:space="preserve">Fundamento normativo </w:t>
      </w:r>
      <w:r w:rsidR="00E70779" w:rsidRPr="00ED66B7">
        <w:rPr>
          <w:rFonts w:ascii="Arial" w:eastAsia="Arial" w:hAnsi="Arial" w:cs="Arial"/>
          <w:b/>
          <w:bCs/>
          <w:sz w:val="22"/>
          <w:lang w:val="es-ES_tradnl"/>
        </w:rPr>
        <w:t xml:space="preserve">y ámbito de aplicación </w:t>
      </w:r>
      <w:r w:rsidR="00B04B71" w:rsidRPr="00ED66B7">
        <w:rPr>
          <w:rFonts w:ascii="Arial" w:eastAsia="Arial" w:hAnsi="Arial" w:cs="Arial"/>
          <w:b/>
          <w:bCs/>
          <w:sz w:val="22"/>
          <w:lang w:val="es-ES_tradnl"/>
        </w:rPr>
        <w:t xml:space="preserve">de los </w:t>
      </w:r>
      <w:r w:rsidR="00A409BC" w:rsidRPr="00ED66B7">
        <w:rPr>
          <w:rFonts w:ascii="Arial" w:eastAsia="Arial" w:hAnsi="Arial" w:cs="Arial"/>
          <w:b/>
          <w:bCs/>
          <w:sz w:val="22"/>
          <w:lang w:val="es-ES_tradnl"/>
        </w:rPr>
        <w:t>documentos tipo</w:t>
      </w:r>
      <w:r w:rsidR="00B04B71" w:rsidRPr="00ED66B7">
        <w:rPr>
          <w:rFonts w:ascii="Arial" w:eastAsia="Arial" w:hAnsi="Arial" w:cs="Arial"/>
          <w:b/>
          <w:bCs/>
          <w:sz w:val="22"/>
          <w:lang w:val="es-ES_tradnl"/>
        </w:rPr>
        <w:t xml:space="preserve"> </w:t>
      </w:r>
    </w:p>
    <w:p w14:paraId="56AA6DC3" w14:textId="77777777" w:rsidR="00217D17" w:rsidRPr="00ED66B7" w:rsidRDefault="00217D17" w:rsidP="00217D17">
      <w:pPr>
        <w:jc w:val="both"/>
        <w:rPr>
          <w:rFonts w:ascii="Arial" w:eastAsia="Arial" w:hAnsi="Arial" w:cs="Arial"/>
          <w:b/>
          <w:bCs/>
          <w:sz w:val="22"/>
          <w:lang w:val="es-ES_tradnl"/>
        </w:rPr>
      </w:pPr>
    </w:p>
    <w:p w14:paraId="6433DDA0" w14:textId="748AB0D6" w:rsidR="00B67CED" w:rsidRPr="00ED66B7" w:rsidRDefault="00B67CED" w:rsidP="009753C3">
      <w:pPr>
        <w:spacing w:after="120" w:line="276" w:lineRule="auto"/>
        <w:jc w:val="both"/>
        <w:rPr>
          <w:rFonts w:ascii="Arial" w:eastAsia="Calibri" w:hAnsi="Arial" w:cs="Arial"/>
          <w:sz w:val="22"/>
          <w:lang w:val="es-ES_tradnl"/>
        </w:rPr>
      </w:pPr>
      <w:r w:rsidRPr="00ED66B7">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D66B7">
        <w:rPr>
          <w:rStyle w:val="Refdenotaalpie"/>
          <w:rFonts w:ascii="Arial" w:eastAsia="Calibri" w:hAnsi="Arial" w:cs="Arial"/>
          <w:sz w:val="22"/>
          <w:lang w:val="es-ES_tradnl"/>
        </w:rPr>
        <w:footnoteReference w:id="4"/>
      </w:r>
      <w:r w:rsidRPr="00ED66B7">
        <w:rPr>
          <w:rFonts w:ascii="Arial" w:eastAsia="Calibri" w:hAnsi="Arial" w:cs="Arial"/>
          <w:sz w:val="22"/>
          <w:lang w:val="es-ES_tradnl"/>
        </w:rPr>
        <w:t xml:space="preserve">, que facultó al </w:t>
      </w:r>
      <w:r w:rsidR="000256F7" w:rsidRPr="00ED66B7">
        <w:rPr>
          <w:rFonts w:ascii="Arial" w:eastAsia="Calibri" w:hAnsi="Arial" w:cs="Arial"/>
          <w:sz w:val="22"/>
          <w:lang w:val="es-ES_tradnl"/>
        </w:rPr>
        <w:t>g</w:t>
      </w:r>
      <w:r w:rsidRPr="00ED66B7">
        <w:rPr>
          <w:rFonts w:ascii="Arial" w:eastAsia="Calibri" w:hAnsi="Arial" w:cs="Arial"/>
          <w:sz w:val="22"/>
          <w:lang w:val="es-ES_tradnl"/>
        </w:rPr>
        <w:t xml:space="preserve">obierno </w:t>
      </w:r>
      <w:r w:rsidR="000256F7" w:rsidRPr="00ED66B7">
        <w:rPr>
          <w:rFonts w:ascii="Arial" w:eastAsia="Calibri" w:hAnsi="Arial" w:cs="Arial"/>
          <w:sz w:val="22"/>
          <w:lang w:val="es-ES_tradnl"/>
        </w:rPr>
        <w:t>n</w:t>
      </w:r>
      <w:r w:rsidRPr="00ED66B7">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EE1C10" w:rsidRPr="00ED66B7">
        <w:rPr>
          <w:rFonts w:ascii="Arial" w:eastAsia="Calibri" w:hAnsi="Arial" w:cs="Arial"/>
          <w:sz w:val="22"/>
          <w:lang w:val="es-ES_tradnl"/>
        </w:rPr>
        <w:t>S</w:t>
      </w:r>
      <w:r w:rsidRPr="00ED66B7">
        <w:rPr>
          <w:rFonts w:ascii="Arial" w:eastAsia="Calibri" w:hAnsi="Arial" w:cs="Arial"/>
          <w:sz w:val="22"/>
          <w:lang w:val="es-ES_tradnl"/>
        </w:rPr>
        <w:t xml:space="preserve">in embargo, esta facultad no ha sido ejercida hasta la actualidad. </w:t>
      </w:r>
    </w:p>
    <w:p w14:paraId="34CA2DC0" w14:textId="619B8CE8" w:rsidR="00B67CED" w:rsidRPr="00ED66B7" w:rsidRDefault="00B67CED" w:rsidP="009753C3">
      <w:pPr>
        <w:spacing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lastRenderedPageBreak/>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w:t>
      </w:r>
      <w:r w:rsidR="005C5FFF" w:rsidRPr="00ED66B7">
        <w:rPr>
          <w:rFonts w:ascii="Arial" w:eastAsia="Calibri" w:hAnsi="Arial" w:cs="Arial"/>
          <w:sz w:val="22"/>
          <w:lang w:val="es-ES_tradnl"/>
        </w:rPr>
        <w:t>Debe señalarse que</w:t>
      </w:r>
      <w:r w:rsidRPr="00ED66B7">
        <w:rPr>
          <w:rFonts w:ascii="Arial" w:eastAsia="Calibri" w:hAnsi="Arial" w:cs="Arial"/>
          <w:sz w:val="22"/>
          <w:lang w:val="es-ES_tradnl"/>
        </w:rPr>
        <w:t xml:space="preserve"> en virtud de la Ley 1882 de 2018 se expidieron varios documentos tipo para el sector de infraestructura de transporte y, por tanto, es importante explicar el proceso previsto en dicho cuerpo normativo. </w:t>
      </w:r>
    </w:p>
    <w:p w14:paraId="4B49E46F" w14:textId="7CDD125D" w:rsidR="00B67CED" w:rsidRPr="00ED66B7" w:rsidRDefault="00B67CED" w:rsidP="009753C3">
      <w:pPr>
        <w:spacing w:before="120" w:after="120"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t xml:space="preserve">La Ley 1882 de 2018, en el artículo 4, establecía que el </w:t>
      </w:r>
      <w:r w:rsidR="00671C52" w:rsidRPr="00ED66B7">
        <w:rPr>
          <w:rFonts w:ascii="Arial" w:eastAsia="Calibri" w:hAnsi="Arial" w:cs="Arial"/>
          <w:sz w:val="22"/>
          <w:lang w:val="es-ES_tradnl"/>
        </w:rPr>
        <w:t>g</w:t>
      </w:r>
      <w:r w:rsidRPr="00ED66B7">
        <w:rPr>
          <w:rFonts w:ascii="Arial" w:eastAsia="Calibri" w:hAnsi="Arial" w:cs="Arial"/>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ED66B7">
        <w:rPr>
          <w:rStyle w:val="Refdenotaalpie"/>
          <w:rFonts w:ascii="Arial" w:eastAsia="Calibri" w:hAnsi="Arial" w:cs="Arial"/>
          <w:sz w:val="22"/>
          <w:lang w:val="es-ES_tradnl"/>
        </w:rPr>
        <w:footnoteReference w:id="5"/>
      </w:r>
      <w:r w:rsidRPr="00ED66B7">
        <w:rPr>
          <w:rFonts w:ascii="Arial" w:eastAsia="Calibri" w:hAnsi="Arial" w:cs="Arial"/>
          <w:sz w:val="22"/>
          <w:lang w:val="es-ES_tradnl"/>
        </w:rPr>
        <w:t>.</w:t>
      </w:r>
    </w:p>
    <w:p w14:paraId="1B1BF1D9" w14:textId="3E621450"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Asimismo, señalaba que</w:t>
      </w:r>
      <w:r w:rsidR="001B787E" w:rsidRPr="00ED66B7">
        <w:rPr>
          <w:rFonts w:ascii="Arial" w:eastAsia="Calibri" w:hAnsi="Arial" w:cs="Arial"/>
          <w:sz w:val="22"/>
          <w:lang w:val="es-ES_tradnl"/>
        </w:rPr>
        <w:t>,</w:t>
      </w:r>
      <w:r w:rsidRPr="00ED66B7">
        <w:rPr>
          <w:rFonts w:ascii="Arial" w:eastAsia="Calibri" w:hAnsi="Arial" w:cs="Arial"/>
          <w:sz w:val="22"/>
          <w:lang w:val="es-ES_tradnl"/>
        </w:rPr>
        <w:t xml:space="preserve"> dentro de los documentos tipo</w:t>
      </w:r>
      <w:r w:rsidR="005E681E" w:rsidRPr="00ED66B7">
        <w:rPr>
          <w:rFonts w:ascii="Arial" w:eastAsia="Calibri" w:hAnsi="Arial" w:cs="Arial"/>
          <w:sz w:val="22"/>
          <w:lang w:val="es-ES_tradnl"/>
        </w:rPr>
        <w:t>,</w:t>
      </w:r>
      <w:r w:rsidRPr="00ED66B7">
        <w:rPr>
          <w:rFonts w:ascii="Arial" w:eastAsia="Calibri" w:hAnsi="Arial" w:cs="Arial"/>
          <w:sz w:val="22"/>
          <w:lang w:val="es-ES_tradnl"/>
        </w:rPr>
        <w:t xml:space="preserve"> el </w:t>
      </w:r>
      <w:r w:rsidR="001B787E" w:rsidRPr="00ED66B7">
        <w:rPr>
          <w:rFonts w:ascii="Arial" w:eastAsia="Calibri" w:hAnsi="Arial" w:cs="Arial"/>
          <w:sz w:val="22"/>
          <w:lang w:val="es-ES_tradnl"/>
        </w:rPr>
        <w:t>g</w:t>
      </w:r>
      <w:r w:rsidRPr="00ED66B7">
        <w:rPr>
          <w:rFonts w:ascii="Arial" w:eastAsia="Calibri" w:hAnsi="Arial" w:cs="Arial"/>
          <w:sz w:val="22"/>
          <w:lang w:val="es-ES_tradnl"/>
        </w:rPr>
        <w:t>obierno adoptaría de manera general y con alcance obligatorio para todas las entidades</w:t>
      </w:r>
      <w:r w:rsidR="005E681E"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ED66B7">
        <w:rPr>
          <w:rFonts w:ascii="Arial" w:eastAsia="Calibri" w:hAnsi="Arial" w:cs="Arial"/>
          <w:sz w:val="22"/>
          <w:lang w:val="es-ES_tradnl"/>
        </w:rPr>
        <w:t>g</w:t>
      </w:r>
      <w:r w:rsidRPr="00ED66B7">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D66B7">
        <w:rPr>
          <w:rFonts w:ascii="Arial" w:eastAsia="Calibri" w:hAnsi="Arial" w:cs="Arial"/>
          <w:sz w:val="22"/>
          <w:lang w:val="es-ES_tradnl"/>
        </w:rPr>
        <w:t>g</w:t>
      </w:r>
      <w:r w:rsidRPr="00ED66B7">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6BB43373"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la norma descrita se concluía lo siguiente: i) la adopción de los documentos tipo estaba en cabeza del </w:t>
      </w:r>
      <w:r w:rsidR="00C46294" w:rsidRPr="00ED66B7">
        <w:rPr>
          <w:rFonts w:ascii="Arial" w:eastAsia="Calibri" w:hAnsi="Arial" w:cs="Arial"/>
          <w:sz w:val="22"/>
          <w:lang w:val="es-ES_tradnl"/>
        </w:rPr>
        <w:t>g</w:t>
      </w:r>
      <w:r w:rsidRPr="00ED66B7">
        <w:rPr>
          <w:rFonts w:ascii="Arial" w:eastAsia="Calibri" w:hAnsi="Arial" w:cs="Arial"/>
          <w:sz w:val="22"/>
          <w:lang w:val="es-ES_tradnl"/>
        </w:rPr>
        <w:t>obierno nacional</w:t>
      </w:r>
      <w:r w:rsidR="00204379" w:rsidRPr="00ED66B7">
        <w:rPr>
          <w:rFonts w:ascii="Arial" w:eastAsia="Calibri" w:hAnsi="Arial" w:cs="Arial"/>
          <w:sz w:val="22"/>
          <w:lang w:val="es-ES_tradnl"/>
        </w:rPr>
        <w:t>.</w:t>
      </w:r>
      <w:r w:rsidRPr="00ED66B7">
        <w:rPr>
          <w:rFonts w:ascii="Arial" w:eastAsia="Calibri" w:hAnsi="Arial" w:cs="Arial"/>
          <w:sz w:val="22"/>
          <w:lang w:val="es-ES_tradnl"/>
        </w:rPr>
        <w:t xml:space="preserve"> </w:t>
      </w:r>
      <w:proofErr w:type="spellStart"/>
      <w:r w:rsidRPr="00ED66B7">
        <w:rPr>
          <w:rFonts w:ascii="Arial" w:eastAsia="Calibri" w:hAnsi="Arial" w:cs="Arial"/>
          <w:sz w:val="22"/>
          <w:lang w:val="es-ES_tradnl"/>
        </w:rPr>
        <w:t>ii</w:t>
      </w:r>
      <w:proofErr w:type="spellEnd"/>
      <w:r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stos debían relacionarse con procesos de obra públicas,</w:t>
      </w:r>
      <w:r w:rsidR="006778E7" w:rsidRPr="00ED66B7">
        <w:rPr>
          <w:rFonts w:ascii="Arial" w:eastAsia="Calibri" w:hAnsi="Arial" w:cs="Arial"/>
          <w:sz w:val="22"/>
          <w:lang w:val="es-ES_tradnl"/>
        </w:rPr>
        <w:t xml:space="preserve"> </w:t>
      </w:r>
      <w:r w:rsidRPr="00ED66B7">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w:t>
      </w:r>
      <w:proofErr w:type="spellStart"/>
      <w:r w:rsidRPr="00ED66B7">
        <w:rPr>
          <w:rFonts w:ascii="Arial" w:eastAsia="Calibri" w:hAnsi="Arial" w:cs="Arial"/>
          <w:sz w:val="22"/>
          <w:lang w:val="es-ES_tradnl"/>
        </w:rPr>
        <w:t>iii</w:t>
      </w:r>
      <w:proofErr w:type="spellEnd"/>
      <w:r w:rsidRPr="00ED66B7">
        <w:rPr>
          <w:rFonts w:ascii="Arial" w:eastAsia="Calibri" w:hAnsi="Arial" w:cs="Arial"/>
          <w:sz w:val="22"/>
          <w:lang w:val="es-ES_tradnl"/>
        </w:rPr>
        <w:t>)</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 xml:space="preserve">ran de obligatorio </w:t>
      </w:r>
      <w:r w:rsidRPr="00ED66B7">
        <w:rPr>
          <w:rFonts w:ascii="Arial" w:eastAsia="Calibri" w:hAnsi="Arial" w:cs="Arial"/>
          <w:sz w:val="22"/>
          <w:lang w:val="es-ES_tradnl"/>
        </w:rPr>
        <w:lastRenderedPageBreak/>
        <w:t>cumplimiento por parte de todas las entidades sometidas al Estatuto General de Contratación de la Administración Pública</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w:t>
      </w:r>
      <w:proofErr w:type="spellStart"/>
      <w:r w:rsidRPr="00ED66B7">
        <w:rPr>
          <w:rFonts w:ascii="Arial" w:eastAsia="Calibri" w:hAnsi="Arial" w:cs="Arial"/>
          <w:sz w:val="22"/>
          <w:lang w:val="es-ES_tradnl"/>
        </w:rPr>
        <w:t>iv</w:t>
      </w:r>
      <w:proofErr w:type="spellEnd"/>
      <w:r w:rsidRPr="00ED66B7">
        <w:rPr>
          <w:rFonts w:ascii="Arial" w:eastAsia="Calibri" w:hAnsi="Arial" w:cs="Arial"/>
          <w:sz w:val="22"/>
          <w:lang w:val="es-ES_tradnl"/>
        </w:rPr>
        <w:t>)</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 xml:space="preserve">n los documentos tipo se indicarían las condiciones generales de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 xml:space="preserve">requisitos habilitantes, así como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factores técnicos y económicos de escogencia, según correspondiera para cada modalidad de selección</w:t>
      </w:r>
      <w:r w:rsidR="00F02CC2" w:rsidRPr="00ED66B7">
        <w:rPr>
          <w:rFonts w:ascii="Arial" w:eastAsia="Calibri" w:hAnsi="Arial" w:cs="Arial"/>
          <w:sz w:val="22"/>
          <w:lang w:val="es-ES_tradnl"/>
        </w:rPr>
        <w:t>.</w:t>
      </w:r>
      <w:r w:rsidRPr="00ED66B7">
        <w:rPr>
          <w:rFonts w:ascii="Arial" w:eastAsia="Calibri" w:hAnsi="Arial" w:cs="Arial"/>
          <w:sz w:val="22"/>
          <w:lang w:val="es-ES_tradnl"/>
        </w:rPr>
        <w:t xml:space="preserve"> v) </w:t>
      </w:r>
      <w:r w:rsidR="00DB229C" w:rsidRPr="00ED66B7">
        <w:rPr>
          <w:rFonts w:ascii="Arial" w:eastAsia="Calibri" w:hAnsi="Arial" w:cs="Arial"/>
          <w:sz w:val="22"/>
          <w:lang w:val="es-ES_tradnl"/>
        </w:rPr>
        <w:t>El</w:t>
      </w:r>
      <w:r w:rsidRPr="00ED66B7">
        <w:rPr>
          <w:rFonts w:ascii="Arial" w:eastAsia="Calibri" w:hAnsi="Arial" w:cs="Arial"/>
          <w:sz w:val="22"/>
          <w:lang w:val="es-ES_tradnl"/>
        </w:rPr>
        <w:t xml:space="preserve"> </w:t>
      </w:r>
      <w:r w:rsidR="00E84352" w:rsidRPr="00ED66B7">
        <w:rPr>
          <w:rFonts w:ascii="Arial" w:eastAsia="Calibri" w:hAnsi="Arial" w:cs="Arial"/>
          <w:sz w:val="22"/>
          <w:lang w:val="es-ES_tradnl"/>
        </w:rPr>
        <w:t>g</w:t>
      </w:r>
      <w:r w:rsidRPr="00ED66B7">
        <w:rPr>
          <w:rFonts w:ascii="Arial" w:eastAsia="Calibri" w:hAnsi="Arial" w:cs="Arial"/>
          <w:sz w:val="22"/>
          <w:lang w:val="es-ES_tradnl"/>
        </w:rPr>
        <w:t>obierno nacional tenía la facultad de adoptar documentos tipo en otros contratos o procesos de selección</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P</w:t>
      </w:r>
      <w:r w:rsidRPr="00ED66B7">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Esta norma fue estudiada por la Corte Constitucional en la </w:t>
      </w:r>
      <w:r w:rsidR="001E2D23" w:rsidRPr="00ED66B7">
        <w:rPr>
          <w:rFonts w:ascii="Arial" w:eastAsia="Calibri" w:hAnsi="Arial" w:cs="Arial"/>
          <w:sz w:val="22"/>
          <w:lang w:val="es-ES_tradnl"/>
        </w:rPr>
        <w:t>S</w:t>
      </w:r>
      <w:r w:rsidRPr="00ED66B7">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ED66B7">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ED66B7">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D66B7">
        <w:rPr>
          <w:rStyle w:val="Refdenotaalpie"/>
          <w:rFonts w:ascii="Arial" w:eastAsia="Calibri" w:hAnsi="Arial" w:cs="Arial"/>
          <w:sz w:val="22"/>
          <w:lang w:val="es-ES_tradnl"/>
        </w:rPr>
        <w:footnoteReference w:id="6"/>
      </w:r>
      <w:r w:rsidRPr="00ED66B7">
        <w:rPr>
          <w:rFonts w:ascii="Arial" w:eastAsia="Calibri" w:hAnsi="Arial" w:cs="Arial"/>
          <w:sz w:val="22"/>
          <w:lang w:val="es-ES_tradnl"/>
        </w:rPr>
        <w:t>.</w:t>
      </w:r>
    </w:p>
    <w:p w14:paraId="1D93AEF8" w14:textId="7B26B1AB"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Ahora, dicha autonomía se materializa cuando las entidades territoriales deciden </w:t>
      </w:r>
      <w:r w:rsidR="00DB229C" w:rsidRPr="00ED66B7">
        <w:rPr>
          <w:rFonts w:ascii="Arial" w:eastAsia="Calibri" w:hAnsi="Arial" w:cs="Arial"/>
          <w:sz w:val="22"/>
          <w:lang w:val="es-ES_tradnl"/>
        </w:rPr>
        <w:t xml:space="preserve">iniciar </w:t>
      </w:r>
      <w:r w:rsidRPr="00ED66B7">
        <w:rPr>
          <w:rFonts w:ascii="Arial" w:eastAsia="Calibri" w:hAnsi="Arial" w:cs="Arial"/>
          <w:sz w:val="22"/>
          <w:lang w:val="es-ES_tradnl"/>
        </w:rPr>
        <w:t>un proceso de convocatoria para satisfacer sus necesidades para la adquisición de un bien</w:t>
      </w:r>
      <w:r w:rsidR="00DB229C" w:rsidRPr="00ED66B7">
        <w:rPr>
          <w:rFonts w:ascii="Arial" w:eastAsia="Calibri" w:hAnsi="Arial" w:cs="Arial"/>
          <w:sz w:val="22"/>
          <w:lang w:val="es-ES_tradnl"/>
        </w:rPr>
        <w:t>, obra</w:t>
      </w:r>
      <w:r w:rsidRPr="00ED66B7">
        <w:rPr>
          <w:rFonts w:ascii="Arial" w:eastAsia="Calibri" w:hAnsi="Arial" w:cs="Arial"/>
          <w:sz w:val="22"/>
          <w:lang w:val="es-ES_tradnl"/>
        </w:rPr>
        <w:t xml:space="preserve"> o servicio</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y además se incluyen en la minuta del contrato las condiciones particulares del negocio jurídico a celebrar.</w:t>
      </w:r>
    </w:p>
    <w:p w14:paraId="43D65EC3" w14:textId="77777777" w:rsidR="0038775B" w:rsidRPr="00ED66B7" w:rsidRDefault="00B67CED" w:rsidP="009753C3">
      <w:pPr>
        <w:spacing w:before="120" w:after="120" w:line="276" w:lineRule="auto"/>
        <w:jc w:val="both"/>
        <w:rPr>
          <w:rFonts w:ascii="Arial" w:eastAsia="Calibri" w:hAnsi="Arial" w:cs="Arial"/>
          <w:sz w:val="22"/>
          <w:szCs w:val="22"/>
          <w:lang w:val="es-ES_tradnl" w:eastAsia="en-US"/>
        </w:rPr>
      </w:pPr>
      <w:r w:rsidRPr="00ED66B7">
        <w:rPr>
          <w:rFonts w:ascii="Arial" w:eastAsia="Calibri" w:hAnsi="Arial" w:cs="Arial"/>
          <w:sz w:val="22"/>
          <w:szCs w:val="22"/>
          <w:lang w:val="es-ES_tradnl"/>
        </w:rPr>
        <w:tab/>
      </w:r>
      <w:r w:rsidRPr="00ED66B7">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ED66B7">
        <w:rPr>
          <w:rFonts w:ascii="Arial" w:eastAsia="Calibri" w:hAnsi="Arial" w:cs="Arial"/>
          <w:sz w:val="22"/>
          <w:szCs w:val="22"/>
          <w:lang w:val="es-ES_tradnl" w:eastAsia="en-US"/>
        </w:rPr>
        <w:t>g</w:t>
      </w:r>
      <w:r w:rsidRPr="00ED66B7">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w:t>
      </w:r>
      <w:r w:rsidR="003C3857" w:rsidRPr="00ED66B7">
        <w:rPr>
          <w:rFonts w:ascii="Arial" w:eastAsia="Calibri" w:hAnsi="Arial" w:cs="Arial"/>
          <w:sz w:val="22"/>
          <w:szCs w:val="22"/>
          <w:lang w:val="es-ES_tradnl" w:eastAsia="en-US"/>
        </w:rPr>
        <w:t xml:space="preserve"> de documentos tipo</w:t>
      </w:r>
      <w:r w:rsidRPr="00ED66B7">
        <w:rPr>
          <w:rFonts w:ascii="Arial" w:eastAsia="Calibri" w:hAnsi="Arial" w:cs="Arial"/>
          <w:sz w:val="22"/>
          <w:szCs w:val="22"/>
          <w:lang w:val="es-ES_tradnl" w:eastAsia="en-US"/>
        </w:rPr>
        <w:t xml:space="preserve"> mediante el Decreto 342 del 5 de marzo de 2019, relacionado con los documentos tipo para los procesos de selección de licitación de obra pública de infraestructura de transporte</w:t>
      </w:r>
      <w:r w:rsidR="002925F5"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r w:rsidR="002925F5" w:rsidRPr="00ED66B7">
        <w:rPr>
          <w:rFonts w:ascii="Arial" w:eastAsia="Calibri" w:hAnsi="Arial" w:cs="Arial"/>
          <w:sz w:val="22"/>
          <w:szCs w:val="22"/>
          <w:lang w:val="es-ES_tradnl" w:eastAsia="en-US"/>
        </w:rPr>
        <w:t xml:space="preserve">Luego se expidió </w:t>
      </w:r>
      <w:r w:rsidRPr="00ED66B7">
        <w:rPr>
          <w:rFonts w:ascii="Arial" w:eastAsia="Calibri" w:hAnsi="Arial" w:cs="Arial"/>
          <w:sz w:val="22"/>
          <w:szCs w:val="22"/>
          <w:lang w:val="es-ES_tradnl" w:eastAsia="en-US"/>
        </w:rPr>
        <w:t xml:space="preserve">el Decreto 2096 del 21 de noviembre de 2019, </w:t>
      </w:r>
      <w:r w:rsidR="00747570" w:rsidRPr="00ED66B7">
        <w:rPr>
          <w:rFonts w:ascii="Arial" w:eastAsia="Calibri" w:hAnsi="Arial" w:cs="Arial"/>
          <w:sz w:val="22"/>
          <w:szCs w:val="22"/>
          <w:lang w:val="es-ES_tradnl" w:eastAsia="en-US"/>
        </w:rPr>
        <w:t>que permitió el desarrollo de</w:t>
      </w:r>
      <w:r w:rsidRPr="00ED66B7">
        <w:rPr>
          <w:rFonts w:ascii="Arial" w:eastAsia="Calibri" w:hAnsi="Arial" w:cs="Arial"/>
          <w:sz w:val="22"/>
          <w:szCs w:val="22"/>
          <w:lang w:val="es-ES_tradnl" w:eastAsia="en-US"/>
        </w:rPr>
        <w:t xml:space="preserve"> los documentos tipo para </w:t>
      </w:r>
      <w:r w:rsidRPr="00ED66B7">
        <w:rPr>
          <w:rFonts w:ascii="Arial" w:eastAsia="Calibri" w:hAnsi="Arial" w:cs="Arial"/>
          <w:sz w:val="22"/>
          <w:szCs w:val="22"/>
          <w:lang w:val="es-ES_tradnl" w:eastAsia="en-US"/>
        </w:rPr>
        <w:lastRenderedPageBreak/>
        <w:t xml:space="preserve">los pliegos de condiciones de los procesos de obras públicas de infraestructura de transporte que se </w:t>
      </w:r>
      <w:r w:rsidR="00747570" w:rsidRPr="00ED66B7">
        <w:rPr>
          <w:rFonts w:ascii="Arial" w:eastAsia="Calibri" w:hAnsi="Arial" w:cs="Arial"/>
          <w:sz w:val="22"/>
          <w:szCs w:val="22"/>
          <w:lang w:val="es-ES_tradnl" w:eastAsia="en-US"/>
        </w:rPr>
        <w:t>adelantaran</w:t>
      </w:r>
      <w:r w:rsidRPr="00ED66B7">
        <w:rPr>
          <w:rFonts w:ascii="Arial" w:eastAsia="Calibri" w:hAnsi="Arial" w:cs="Arial"/>
          <w:sz w:val="22"/>
          <w:szCs w:val="22"/>
          <w:lang w:val="es-ES_tradnl" w:eastAsia="en-US"/>
        </w:rPr>
        <w:t xml:space="preserve"> por la modalidad de selección abreviada de menor cuantía</w:t>
      </w:r>
      <w:r w:rsidR="00747570"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p>
    <w:p w14:paraId="4D310BC6" w14:textId="487B78CE" w:rsidR="00B67CED" w:rsidRPr="00ED66B7" w:rsidRDefault="00747570" w:rsidP="006634B2">
      <w:pPr>
        <w:spacing w:before="120" w:after="120" w:line="276" w:lineRule="auto"/>
        <w:ind w:firstLine="708"/>
        <w:jc w:val="both"/>
        <w:rPr>
          <w:rFonts w:ascii="Arial" w:eastAsia="Calibri" w:hAnsi="Arial" w:cs="Arial"/>
          <w:sz w:val="22"/>
          <w:szCs w:val="22"/>
          <w:lang w:val="es-ES_tradnl"/>
        </w:rPr>
      </w:pPr>
      <w:r w:rsidRPr="00ED66B7">
        <w:rPr>
          <w:rFonts w:ascii="Arial" w:eastAsia="Calibri" w:hAnsi="Arial" w:cs="Arial"/>
          <w:sz w:val="22"/>
          <w:szCs w:val="22"/>
          <w:lang w:val="es-ES_tradnl" w:eastAsia="en-US"/>
        </w:rPr>
        <w:t>F</w:t>
      </w:r>
      <w:r w:rsidR="00B67CED" w:rsidRPr="00ED66B7">
        <w:rPr>
          <w:rFonts w:ascii="Arial" w:eastAsia="Calibri" w:hAnsi="Arial" w:cs="Arial"/>
          <w:sz w:val="22"/>
          <w:szCs w:val="22"/>
          <w:lang w:val="es-ES_tradnl" w:eastAsia="en-US"/>
        </w:rPr>
        <w:t xml:space="preserve">inalmente, </w:t>
      </w:r>
      <w:r w:rsidRPr="00ED66B7">
        <w:rPr>
          <w:rFonts w:ascii="Arial" w:eastAsia="Calibri" w:hAnsi="Arial" w:cs="Arial"/>
          <w:sz w:val="22"/>
          <w:szCs w:val="22"/>
          <w:lang w:val="es-ES_tradnl" w:eastAsia="en-US"/>
        </w:rPr>
        <w:t xml:space="preserve">se profirió </w:t>
      </w:r>
      <w:r w:rsidR="00B67CED" w:rsidRPr="00ED66B7">
        <w:rPr>
          <w:rFonts w:ascii="Arial" w:eastAsia="Calibri" w:hAnsi="Arial" w:cs="Arial"/>
          <w:sz w:val="22"/>
          <w:szCs w:val="22"/>
          <w:lang w:val="es-ES_tradnl" w:eastAsia="en-US"/>
        </w:rPr>
        <w:t>el Decreto 594 del 25 de abril de 2020, frente a los documentos tipo para los contratos de obra pública</w:t>
      </w:r>
      <w:r w:rsidR="00B67CED" w:rsidRPr="00ED66B7" w:rsidDel="00A434AB">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de infraestructura de transporte que se </w:t>
      </w:r>
      <w:r w:rsidR="00E52EB3" w:rsidRPr="00ED66B7">
        <w:rPr>
          <w:rFonts w:ascii="Arial" w:eastAsia="Calibri" w:hAnsi="Arial" w:cs="Arial"/>
          <w:sz w:val="22"/>
          <w:szCs w:val="22"/>
          <w:lang w:val="es-ES_tradnl" w:eastAsia="en-US"/>
        </w:rPr>
        <w:t>surtieran</w:t>
      </w:r>
      <w:r w:rsidR="00B67CED" w:rsidRPr="00ED66B7">
        <w:rPr>
          <w:rFonts w:ascii="Arial" w:eastAsia="Calibri" w:hAnsi="Arial" w:cs="Arial"/>
          <w:sz w:val="22"/>
          <w:szCs w:val="22"/>
          <w:lang w:val="es-ES_tradnl" w:eastAsia="en-US"/>
        </w:rPr>
        <w:t xml:space="preserve"> por la modalidad de mínima cuantía.</w:t>
      </w:r>
      <w:r w:rsidR="00933EF7"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Estos documentos fueron implementados y desarrollados por la Agencia Nacional de Contratación Pública </w:t>
      </w:r>
      <w:bookmarkStart w:id="5" w:name="_Hlk37841850"/>
      <w:r w:rsidR="00B67CED" w:rsidRPr="00ED66B7">
        <w:rPr>
          <w:rFonts w:ascii="Arial" w:eastAsia="Calibri" w:hAnsi="Arial" w:cs="Arial"/>
          <w:sz w:val="22"/>
          <w:szCs w:val="22"/>
          <w:lang w:val="es-ES_tradnl" w:eastAsia="en-US"/>
        </w:rPr>
        <w:t xml:space="preserve">– Colombia Compra Eficiente, </w:t>
      </w:r>
      <w:bookmarkEnd w:id="5"/>
      <w:r w:rsidR="00B67CED" w:rsidRPr="00ED66B7">
        <w:rPr>
          <w:rFonts w:ascii="Arial" w:eastAsia="Calibri" w:hAnsi="Arial" w:cs="Arial"/>
          <w:sz w:val="22"/>
          <w:szCs w:val="22"/>
          <w:lang w:val="es-ES_tradnl" w:eastAsia="en-US"/>
        </w:rPr>
        <w:t>por medio de la Resolución 1798 de 1 de abril de 2019</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derogada por la Resolución 045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la Resolución 044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y la Resolución 094 del 21 de mayo de 2020.</w:t>
      </w:r>
    </w:p>
    <w:p w14:paraId="78D7441B" w14:textId="7C3D32B0" w:rsidR="006E597D" w:rsidRPr="00ED66B7" w:rsidRDefault="003C3857" w:rsidP="009753C3">
      <w:pPr>
        <w:pStyle w:val="Normal11pt"/>
        <w:spacing w:before="120" w:line="276" w:lineRule="auto"/>
        <w:ind w:left="0" w:firstLine="709"/>
        <w:rPr>
          <w:rFonts w:eastAsia="Calibri"/>
          <w:color w:val="auto"/>
        </w:rPr>
      </w:pPr>
      <w:r w:rsidRPr="00ED66B7">
        <w:rPr>
          <w:rFonts w:eastAsia="Calibri"/>
          <w:color w:val="auto"/>
        </w:rPr>
        <w:t xml:space="preserve">Con posterioridad a la </w:t>
      </w:r>
      <w:r w:rsidR="00B77296" w:rsidRPr="00ED66B7">
        <w:rPr>
          <w:rFonts w:eastAsia="Calibri"/>
          <w:color w:val="auto"/>
        </w:rPr>
        <w:t xml:space="preserve">expedición de los anteriores documentos tipo, se expidió </w:t>
      </w:r>
      <w:r w:rsidR="00B67CED" w:rsidRPr="00ED66B7">
        <w:rPr>
          <w:rFonts w:eastAsia="Calibri"/>
          <w:color w:val="auto"/>
        </w:rPr>
        <w:t>la Ley 2022 de 2020</w:t>
      </w:r>
      <w:r w:rsidR="00B77296" w:rsidRPr="00ED66B7">
        <w:rPr>
          <w:rFonts w:eastAsia="Calibri"/>
          <w:color w:val="auto"/>
        </w:rPr>
        <w:t>, norma que modificó el contenido del parágrafo 7 del artículo 2 de la Ley 1150 de 2007, que había sido adicionado por la Ley 1882 de 2018</w:t>
      </w:r>
      <w:r w:rsidR="00A90557" w:rsidRPr="00ED66B7">
        <w:rPr>
          <w:rStyle w:val="Refdenotaalpie"/>
          <w:rFonts w:eastAsia="Calibri"/>
          <w:color w:val="auto"/>
        </w:rPr>
        <w:footnoteReference w:id="7"/>
      </w:r>
      <w:r w:rsidR="00C1082C" w:rsidRPr="00ED66B7">
        <w:rPr>
          <w:rFonts w:eastAsia="Calibri"/>
          <w:color w:val="auto"/>
        </w:rPr>
        <w:t xml:space="preserve">. </w:t>
      </w:r>
      <w:r w:rsidR="006075FF" w:rsidRPr="00ED66B7">
        <w:rPr>
          <w:rFonts w:eastAsia="Calibri"/>
          <w:color w:val="auto"/>
        </w:rPr>
        <w:t>Con esta modificación</w:t>
      </w:r>
      <w:r w:rsidR="002C74F4" w:rsidRPr="00ED66B7">
        <w:rPr>
          <w:rFonts w:eastAsia="Calibri"/>
          <w:color w:val="auto"/>
        </w:rPr>
        <w:t>, si bien se mantuvo el mandato de aplicación</w:t>
      </w:r>
      <w:r w:rsidR="008C5DF9" w:rsidRPr="00ED66B7">
        <w:rPr>
          <w:rFonts w:eastAsia="Calibri"/>
          <w:color w:val="auto"/>
        </w:rPr>
        <w:t xml:space="preserve"> obligatoria de los documentos tipo por parte de </w:t>
      </w:r>
      <w:r w:rsidR="002C74F4" w:rsidRPr="00ED66B7">
        <w:rPr>
          <w:rFonts w:eastAsia="Calibri"/>
          <w:color w:val="auto"/>
        </w:rPr>
        <w:t>las entidades sometidas al Estatuto General de Contratación de la Administración Pública</w:t>
      </w:r>
      <w:r w:rsidR="008C5DF9" w:rsidRPr="00ED66B7">
        <w:rPr>
          <w:rFonts w:eastAsia="Calibri"/>
          <w:color w:val="auto"/>
        </w:rPr>
        <w:t xml:space="preserve">, se atribuyó </w:t>
      </w:r>
      <w:r w:rsidR="003F252F" w:rsidRPr="00ED66B7">
        <w:rPr>
          <w:rFonts w:eastAsia="Calibri"/>
          <w:color w:val="auto"/>
        </w:rPr>
        <w:t xml:space="preserve">a la </w:t>
      </w:r>
      <w:r w:rsidR="003F252F" w:rsidRPr="00ED66B7">
        <w:rPr>
          <w:rFonts w:eastAsia="Calibri"/>
          <w:color w:val="auto"/>
          <w:lang w:eastAsia="en-US"/>
        </w:rPr>
        <w:t>Agencia Nacional de Contratación Pública – Colombia Compra Eficiente la competencia para su e</w:t>
      </w:r>
      <w:r w:rsidR="00A12E5E" w:rsidRPr="00ED66B7">
        <w:rPr>
          <w:rFonts w:eastAsia="Calibri"/>
          <w:color w:val="auto"/>
          <w:lang w:eastAsia="en-US"/>
        </w:rPr>
        <w:t xml:space="preserve">xpedición. </w:t>
      </w:r>
      <w:r w:rsidR="00A12E5E" w:rsidRPr="00ED66B7">
        <w:rPr>
          <w:rFonts w:eastAsia="Calibri"/>
          <w:color w:val="auto"/>
        </w:rPr>
        <w:t>En este marco</w:t>
      </w:r>
      <w:r w:rsidR="00B67CED" w:rsidRPr="00ED66B7">
        <w:rPr>
          <w:rFonts w:eastAsia="Calibri"/>
          <w:color w:val="auto"/>
        </w:rPr>
        <w:t xml:space="preserve">, con la finalidad de realizar un desarrollo armónico y ajustado a la ley que otorga esta competencia, </w:t>
      </w:r>
      <w:r w:rsidR="00A12E5E" w:rsidRPr="00ED66B7">
        <w:rPr>
          <w:rFonts w:eastAsia="Calibri"/>
          <w:color w:val="auto"/>
        </w:rPr>
        <w:t>esta</w:t>
      </w:r>
      <w:r w:rsidR="00B67CED" w:rsidRPr="00ED66B7">
        <w:rPr>
          <w:rFonts w:eastAsia="Calibri"/>
          <w:color w:val="auto"/>
        </w:rPr>
        <w:t xml:space="preserve"> Agencia</w:t>
      </w:r>
      <w:r w:rsidR="00A12E5E" w:rsidRPr="00ED66B7">
        <w:rPr>
          <w:rFonts w:eastAsia="Calibri"/>
          <w:color w:val="auto"/>
        </w:rPr>
        <w:t xml:space="preserve"> </w:t>
      </w:r>
      <w:r w:rsidR="00B67CED" w:rsidRPr="00ED66B7">
        <w:rPr>
          <w:rFonts w:eastAsia="Calibri"/>
          <w:color w:val="auto"/>
        </w:rPr>
        <w:t xml:space="preserve">expidió la Resolución 160 del 15 de septiembre de 2020 «Por la cual se adopta el procedimiento para implementar los documentos tipo y se define el sistema para su revisión». </w:t>
      </w:r>
      <w:r w:rsidR="004462FD" w:rsidRPr="00ED66B7">
        <w:rPr>
          <w:rFonts w:eastAsia="Calibri"/>
          <w:color w:val="auto"/>
        </w:rPr>
        <w:t>Asimismo,</w:t>
      </w:r>
      <w:r w:rsidR="0072220F" w:rsidRPr="00ED66B7">
        <w:rPr>
          <w:rFonts w:eastAsia="Calibri"/>
          <w:color w:val="auto"/>
        </w:rPr>
        <w:t xml:space="preserve"> </w:t>
      </w:r>
      <w:r w:rsidR="00BB1A75" w:rsidRPr="00ED66B7">
        <w:rPr>
          <w:rFonts w:eastAsia="Calibri"/>
          <w:color w:val="auto"/>
        </w:rPr>
        <w:lastRenderedPageBreak/>
        <w:t>con fundamento en</w:t>
      </w:r>
      <w:r w:rsidR="0072220F" w:rsidRPr="00ED66B7">
        <w:rPr>
          <w:rFonts w:eastAsia="Calibri"/>
          <w:color w:val="auto"/>
        </w:rPr>
        <w:t xml:space="preserve"> dicha </w:t>
      </w:r>
      <w:r w:rsidR="004503A3" w:rsidRPr="00ED66B7">
        <w:rPr>
          <w:rFonts w:eastAsia="Calibri"/>
          <w:color w:val="auto"/>
        </w:rPr>
        <w:t>L</w:t>
      </w:r>
      <w:r w:rsidR="0072220F" w:rsidRPr="00ED66B7">
        <w:rPr>
          <w:rFonts w:eastAsia="Calibri"/>
          <w:color w:val="auto"/>
        </w:rPr>
        <w:t>ey, se</w:t>
      </w:r>
      <w:r w:rsidR="004462FD" w:rsidRPr="00ED66B7">
        <w:rPr>
          <w:rFonts w:eastAsia="Calibri"/>
          <w:color w:val="auto"/>
        </w:rPr>
        <w:t xml:space="preserve"> profirió la Resolución </w:t>
      </w:r>
      <w:r w:rsidR="00424602" w:rsidRPr="00ED66B7">
        <w:rPr>
          <w:rFonts w:eastAsia="Calibri"/>
          <w:color w:val="auto"/>
        </w:rPr>
        <w:t xml:space="preserve">240 del 27 de noviembre de 2020, </w:t>
      </w:r>
      <w:r w:rsidR="003B4C61" w:rsidRPr="00ED66B7">
        <w:rPr>
          <w:rFonts w:eastAsia="Calibri"/>
          <w:color w:val="auto"/>
        </w:rPr>
        <w:t>«Por la cual se actualizan los Documentos Tipo para los procesos de selección de licitación</w:t>
      </w:r>
      <w:r w:rsidR="005202BF" w:rsidRPr="00ED66B7">
        <w:rPr>
          <w:rFonts w:eastAsia="Calibri"/>
          <w:color w:val="auto"/>
        </w:rPr>
        <w:t xml:space="preserve"> de obra pública de infraestructura de transporte y se deroga la Resolución 0045 de 2020».</w:t>
      </w:r>
      <w:r w:rsidR="0072220F" w:rsidRPr="00ED66B7">
        <w:rPr>
          <w:rFonts w:eastAsia="Calibri"/>
          <w:color w:val="auto"/>
        </w:rPr>
        <w:t xml:space="preserve"> </w:t>
      </w:r>
    </w:p>
    <w:p w14:paraId="6D9D82AB" w14:textId="52CE7768" w:rsidR="00B67CED" w:rsidRPr="00ED66B7" w:rsidRDefault="0072220F" w:rsidP="009753C3">
      <w:pPr>
        <w:pStyle w:val="Normal11pt"/>
        <w:spacing w:before="120" w:line="276" w:lineRule="auto"/>
        <w:ind w:left="0" w:firstLine="709"/>
        <w:rPr>
          <w:rFonts w:eastAsia="Calibri"/>
          <w:color w:val="auto"/>
        </w:rPr>
      </w:pPr>
      <w:r w:rsidRPr="00ED66B7">
        <w:rPr>
          <w:rFonts w:eastAsia="Calibri"/>
          <w:color w:val="auto"/>
        </w:rPr>
        <w:t xml:space="preserve">De igual manera, se expidió la Resolución </w:t>
      </w:r>
      <w:r w:rsidR="00BB1A75" w:rsidRPr="00ED66B7">
        <w:rPr>
          <w:rFonts w:eastAsia="Calibri"/>
          <w:color w:val="auto"/>
        </w:rPr>
        <w:t>241 del 27 de noviembre de 2020, «</w:t>
      </w:r>
      <w:r w:rsidR="0068059E" w:rsidRPr="00ED66B7">
        <w:rPr>
          <w:rFonts w:eastAsia="Calibri"/>
          <w:color w:val="auto"/>
        </w:rPr>
        <w:t>Por la cual se actualizan los Documentos Tipo para los procesos de selección abreviada de menor cuantía</w:t>
      </w:r>
      <w:r w:rsidR="00D80B75" w:rsidRPr="00ED66B7">
        <w:rPr>
          <w:rFonts w:eastAsia="Calibri"/>
          <w:color w:val="auto"/>
        </w:rPr>
        <w:t xml:space="preserve"> de obra pública de infraestructura de transporte y se deroga la Resolución 0044 de 2020».</w:t>
      </w:r>
      <w:r w:rsidR="00E52C48" w:rsidRPr="00ED66B7">
        <w:rPr>
          <w:rFonts w:eastAsia="Calibri"/>
          <w:color w:val="auto"/>
        </w:rPr>
        <w:t xml:space="preserve"> Adicionalmente, </w:t>
      </w:r>
      <w:proofErr w:type="gramStart"/>
      <w:r w:rsidR="00285E14" w:rsidRPr="00ED66B7">
        <w:rPr>
          <w:rFonts w:eastAsia="Calibri"/>
          <w:color w:val="auto"/>
        </w:rPr>
        <w:t>entró en vigencia</w:t>
      </w:r>
      <w:proofErr w:type="gramEnd"/>
      <w:r w:rsidR="00285E14" w:rsidRPr="00ED66B7">
        <w:rPr>
          <w:rFonts w:eastAsia="Calibri"/>
          <w:color w:val="auto"/>
        </w:rPr>
        <w:t xml:space="preserve"> la Resolución 256 de 2020, «Por la cual se adoptan los documentos tipo</w:t>
      </w:r>
      <w:r w:rsidR="008B522C" w:rsidRPr="00ED66B7">
        <w:rPr>
          <w:rFonts w:eastAsia="Calibri"/>
          <w:color w:val="auto"/>
        </w:rPr>
        <w:t xml:space="preserve"> para los procesos de selección de concursos de méritos, para contratar la interventoría de obras públicas de infraestructura de transporte».</w:t>
      </w:r>
      <w:r w:rsidR="00B346D9" w:rsidRPr="00ED66B7">
        <w:rPr>
          <w:rFonts w:eastAsia="Calibri"/>
          <w:color w:val="auto"/>
        </w:rPr>
        <w:t xml:space="preserve"> Por otra parte, se expidió la Resolución</w:t>
      </w:r>
      <w:r w:rsidR="0082042F" w:rsidRPr="00ED66B7">
        <w:rPr>
          <w:rFonts w:eastAsia="Calibri"/>
          <w:color w:val="auto"/>
        </w:rPr>
        <w:t xml:space="preserve"> 248 de 2020, </w:t>
      </w:r>
      <w:r w:rsidR="00640E88" w:rsidRPr="00ED66B7">
        <w:rPr>
          <w:rFonts w:eastAsia="Calibri"/>
          <w:color w:val="auto"/>
        </w:rPr>
        <w:t>«Por la cual se adoptan los documentos tipo para los procesos de licitación pública para obras de infraestructura de agua potable y saneamiento básico»</w:t>
      </w:r>
      <w:r w:rsidR="00375A41" w:rsidRPr="00ED66B7">
        <w:rPr>
          <w:rFonts w:eastAsia="Calibri"/>
          <w:color w:val="auto"/>
        </w:rPr>
        <w:t xml:space="preserve">, la </w:t>
      </w:r>
      <w:r w:rsidR="00EA793F" w:rsidRPr="00ED66B7">
        <w:rPr>
          <w:rFonts w:eastAsia="Calibri"/>
          <w:color w:val="auto"/>
        </w:rPr>
        <w:t xml:space="preserve">Resolución </w:t>
      </w:r>
      <w:r w:rsidR="005E2423" w:rsidRPr="00ED66B7">
        <w:rPr>
          <w:rFonts w:eastAsia="Calibri"/>
          <w:color w:val="auto"/>
        </w:rPr>
        <w:t>249 de 2020</w:t>
      </w:r>
      <w:r w:rsidR="004874E6" w:rsidRPr="00ED66B7">
        <w:rPr>
          <w:rFonts w:eastAsia="Calibri"/>
          <w:color w:val="auto"/>
        </w:rPr>
        <w:t>, «Por la cual se adoptan los documentos tipo para los procesos de licitación pública para obras de infraestructura de agua potable</w:t>
      </w:r>
      <w:r w:rsidR="00B574C3" w:rsidRPr="00ED66B7">
        <w:rPr>
          <w:rFonts w:eastAsia="Calibri"/>
          <w:color w:val="auto"/>
        </w:rPr>
        <w:t xml:space="preserve"> y saneamiento básico en la modalidad llave en mano»</w:t>
      </w:r>
      <w:r w:rsidR="00A12E5E" w:rsidRPr="00ED66B7">
        <w:rPr>
          <w:rFonts w:eastAsia="Calibri"/>
          <w:color w:val="auto"/>
        </w:rPr>
        <w:t xml:space="preserve">, </w:t>
      </w:r>
      <w:r w:rsidR="00AD23B5" w:rsidRPr="00ED66B7">
        <w:rPr>
          <w:rFonts w:eastAsia="Calibri"/>
          <w:color w:val="auto"/>
        </w:rPr>
        <w:t xml:space="preserve">y </w:t>
      </w:r>
      <w:r w:rsidR="00375A41" w:rsidRPr="00ED66B7">
        <w:rPr>
          <w:rFonts w:eastAsia="Calibri"/>
          <w:color w:val="auto"/>
        </w:rPr>
        <w:t xml:space="preserve">la Resolución </w:t>
      </w:r>
      <w:r w:rsidR="000402D3" w:rsidRPr="00ED66B7">
        <w:rPr>
          <w:rFonts w:eastAsia="Calibri"/>
          <w:color w:val="auto"/>
        </w:rPr>
        <w:t>269 de 2020, «Por la cual se adopta el documento tipo</w:t>
      </w:r>
      <w:r w:rsidR="00FB47FB" w:rsidRPr="00ED66B7">
        <w:rPr>
          <w:rFonts w:eastAsia="Calibri"/>
          <w:color w:val="auto"/>
        </w:rPr>
        <w:t xml:space="preserve"> para los procesos de gestión catastral con enfoque multipropósito</w:t>
      </w:r>
      <w:r w:rsidR="00E60DC8" w:rsidRPr="00ED66B7">
        <w:rPr>
          <w:rFonts w:eastAsia="Calibri"/>
          <w:color w:val="auto"/>
        </w:rPr>
        <w:t xml:space="preserve"> que se celebren a través de contratos interadministrativos».</w:t>
      </w:r>
    </w:p>
    <w:p w14:paraId="225FECAB" w14:textId="3C7758E2" w:rsidR="00C62883" w:rsidRPr="00ED66B7" w:rsidRDefault="0097158D" w:rsidP="00C62883">
      <w:pPr>
        <w:pStyle w:val="Normal11pt"/>
        <w:spacing w:before="120" w:line="276" w:lineRule="auto"/>
        <w:ind w:left="0" w:firstLine="709"/>
        <w:rPr>
          <w:color w:val="auto"/>
        </w:rPr>
      </w:pPr>
      <w:r w:rsidRPr="00ED66B7">
        <w:rPr>
          <w:rFonts w:eastAsia="Calibri"/>
          <w:color w:val="auto"/>
        </w:rPr>
        <w:t>A l</w:t>
      </w:r>
      <w:r w:rsidR="0096160D" w:rsidRPr="00ED66B7">
        <w:rPr>
          <w:rFonts w:eastAsia="Calibri"/>
          <w:color w:val="auto"/>
        </w:rPr>
        <w:t>os actos administrativos mencionados</w:t>
      </w:r>
      <w:r w:rsidRPr="00ED66B7">
        <w:rPr>
          <w:rFonts w:eastAsia="Calibri"/>
          <w:color w:val="auto"/>
        </w:rPr>
        <w:t xml:space="preserve"> se suman</w:t>
      </w:r>
      <w:r w:rsidR="00CA7D40" w:rsidRPr="00ED66B7">
        <w:rPr>
          <w:rFonts w:eastAsia="Calibri"/>
          <w:color w:val="auto"/>
        </w:rPr>
        <w:t>: i)</w:t>
      </w:r>
      <w:r w:rsidR="00211F2E" w:rsidRPr="00ED66B7">
        <w:rPr>
          <w:rFonts w:eastAsia="Calibri"/>
          <w:color w:val="auto"/>
        </w:rPr>
        <w:t xml:space="preserve"> la Resolución 193 de </w:t>
      </w:r>
      <w:r w:rsidR="00870023" w:rsidRPr="00ED66B7">
        <w:rPr>
          <w:rFonts w:eastAsia="Calibri"/>
          <w:color w:val="auto"/>
        </w:rPr>
        <w:t>14 de julio de 2021</w:t>
      </w:r>
      <w:r w:rsidR="00277378" w:rsidRPr="00ED66B7">
        <w:rPr>
          <w:rFonts w:eastAsia="Calibri"/>
          <w:color w:val="auto"/>
        </w:rPr>
        <w:t xml:space="preserve">, </w:t>
      </w:r>
      <w:r w:rsidR="00211F2E" w:rsidRPr="00ED66B7">
        <w:rPr>
          <w:color w:val="auto"/>
        </w:rPr>
        <w:t>«Por la cual se adoptan los documentos tipo para los procesos de selección de concurso de méritos, para contratar la consultoría de estudios de ingeniería de infraestructura de transporte»</w:t>
      </w:r>
      <w:r w:rsidR="00870023" w:rsidRPr="00ED66B7">
        <w:rPr>
          <w:color w:val="auto"/>
        </w:rPr>
        <w:t>,</w:t>
      </w:r>
      <w:r w:rsidR="00CA7D40" w:rsidRPr="00ED66B7">
        <w:rPr>
          <w:color w:val="auto"/>
        </w:rPr>
        <w:t xml:space="preserve"> </w:t>
      </w:r>
      <w:proofErr w:type="spellStart"/>
      <w:r w:rsidR="00CA7D40" w:rsidRPr="00ED66B7">
        <w:rPr>
          <w:color w:val="auto"/>
        </w:rPr>
        <w:t>ii</w:t>
      </w:r>
      <w:proofErr w:type="spellEnd"/>
      <w:r w:rsidR="00CA7D40" w:rsidRPr="00ED66B7">
        <w:rPr>
          <w:color w:val="auto"/>
        </w:rPr>
        <w:t>)</w:t>
      </w:r>
      <w:r w:rsidRPr="00ED66B7">
        <w:rPr>
          <w:rFonts w:eastAsia="Calibri"/>
          <w:color w:val="auto"/>
        </w:rPr>
        <w:t xml:space="preserve"> la Resolución 219 de 202</w:t>
      </w:r>
      <w:r w:rsidR="001C4040" w:rsidRPr="00ED66B7">
        <w:rPr>
          <w:rFonts w:eastAsia="Calibri"/>
          <w:color w:val="auto"/>
        </w:rPr>
        <w:t>1</w:t>
      </w:r>
      <w:r w:rsidR="00C72115" w:rsidRPr="00ED66B7">
        <w:rPr>
          <w:rFonts w:eastAsia="Calibri"/>
          <w:color w:val="auto"/>
        </w:rPr>
        <w:t>,</w:t>
      </w:r>
      <w:r w:rsidR="00C62883" w:rsidRPr="00ED66B7">
        <w:rPr>
          <w:color w:val="auto"/>
        </w:rPr>
        <w:t xml:space="preserve"> «Por la cual se adoptan los documentos tipo para los procesos de licitación de obra pública de infraestructura social», </w:t>
      </w:r>
      <w:proofErr w:type="spellStart"/>
      <w:r w:rsidR="00CA7D40" w:rsidRPr="00ED66B7">
        <w:rPr>
          <w:color w:val="auto"/>
        </w:rPr>
        <w:t>iii</w:t>
      </w:r>
      <w:proofErr w:type="spellEnd"/>
      <w:r w:rsidR="00CA7D40" w:rsidRPr="00ED66B7">
        <w:rPr>
          <w:color w:val="auto"/>
        </w:rPr>
        <w:t xml:space="preserve">) </w:t>
      </w:r>
      <w:r w:rsidR="00C62883" w:rsidRPr="00ED66B7">
        <w:rPr>
          <w:color w:val="auto"/>
        </w:rPr>
        <w:t>la Resolución 220 del 6 de agosto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educativo», </w:t>
      </w:r>
      <w:proofErr w:type="spellStart"/>
      <w:r w:rsidR="00CA7D40" w:rsidRPr="00ED66B7">
        <w:rPr>
          <w:color w:val="auto"/>
        </w:rPr>
        <w:t>iv</w:t>
      </w:r>
      <w:proofErr w:type="spellEnd"/>
      <w:r w:rsidR="00CA7D40" w:rsidRPr="00ED66B7">
        <w:rPr>
          <w:color w:val="auto"/>
        </w:rPr>
        <w:t xml:space="preserve">) </w:t>
      </w:r>
      <w:r w:rsidR="00C62883" w:rsidRPr="00ED66B7">
        <w:rPr>
          <w:color w:val="auto"/>
        </w:rPr>
        <w:t>la Resolución 392 del 18 de noviembre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salud»</w:t>
      </w:r>
      <w:r w:rsidR="00C72115" w:rsidRPr="00ED66B7">
        <w:rPr>
          <w:color w:val="auto"/>
        </w:rPr>
        <w:t>,</w:t>
      </w:r>
      <w:r w:rsidR="00C62883" w:rsidRPr="00ED66B7">
        <w:rPr>
          <w:color w:val="auto"/>
        </w:rPr>
        <w:t xml:space="preserve"> y</w:t>
      </w:r>
      <w:r w:rsidR="00CA7D40" w:rsidRPr="00ED66B7">
        <w:rPr>
          <w:color w:val="auto"/>
        </w:rPr>
        <w:t xml:space="preserve"> v)</w:t>
      </w:r>
      <w:r w:rsidR="00C62883" w:rsidRPr="00ED66B7">
        <w:rPr>
          <w:color w:val="auto"/>
        </w:rPr>
        <w:t xml:space="preserve"> la Resolución 454 del 16 de diciembre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cultura, recreación y deporte</w:t>
      </w:r>
      <w:r w:rsidR="00870023" w:rsidRPr="00ED66B7">
        <w:rPr>
          <w:color w:val="auto"/>
        </w:rPr>
        <w:t xml:space="preserve">». </w:t>
      </w:r>
    </w:p>
    <w:p w14:paraId="7A0346AC" w14:textId="49999DCF" w:rsidR="004E2A22" w:rsidRPr="00ED66B7" w:rsidRDefault="001A33F1" w:rsidP="00C62883">
      <w:pPr>
        <w:pStyle w:val="Normal11pt"/>
        <w:spacing w:before="120" w:line="276" w:lineRule="auto"/>
        <w:ind w:left="0" w:firstLine="709"/>
        <w:rPr>
          <w:color w:val="auto"/>
        </w:rPr>
      </w:pPr>
      <w:r w:rsidRPr="00ED66B7">
        <w:rPr>
          <w:color w:val="auto"/>
        </w:rPr>
        <w:t>En cuanto al ámbito de aplicación de estos documentos, es preciso explicar que c</w:t>
      </w:r>
      <w:r w:rsidR="00C51222" w:rsidRPr="00ED66B7">
        <w:rPr>
          <w:color w:val="auto"/>
        </w:rPr>
        <w:t>ada una de estas resoluciones está relacionada con un sector, un objeto contractual</w:t>
      </w:r>
      <w:r w:rsidR="00A176BA" w:rsidRPr="00ED66B7">
        <w:rPr>
          <w:color w:val="auto"/>
        </w:rPr>
        <w:t xml:space="preserve"> y una modalidad de selección</w:t>
      </w:r>
      <w:r w:rsidRPr="00ED66B7">
        <w:rPr>
          <w:color w:val="auto"/>
        </w:rPr>
        <w:t xml:space="preserve"> en específico</w:t>
      </w:r>
      <w:r w:rsidR="006D55E6" w:rsidRPr="00ED66B7">
        <w:rPr>
          <w:color w:val="auto"/>
        </w:rPr>
        <w:t>. Esto de tal manera que las entidades estatales regidas por el Estatuto General de Contratación de la Administración Pública</w:t>
      </w:r>
      <w:r w:rsidR="0068541F" w:rsidRPr="00ED66B7">
        <w:rPr>
          <w:color w:val="auto"/>
        </w:rPr>
        <w:t xml:space="preserve">, al momento de </w:t>
      </w:r>
      <w:r w:rsidR="00D564B8" w:rsidRPr="00ED66B7">
        <w:rPr>
          <w:color w:val="auto"/>
        </w:rPr>
        <w:t xml:space="preserve">adelantar un proceso de contratación </w:t>
      </w:r>
      <w:r w:rsidR="00550955" w:rsidRPr="00ED66B7">
        <w:rPr>
          <w:color w:val="auto"/>
        </w:rPr>
        <w:t>asociado a uno de los sectores para los que se han implementado documentos tipo</w:t>
      </w:r>
      <w:r w:rsidR="00AE6265" w:rsidRPr="00ED66B7">
        <w:rPr>
          <w:color w:val="auto"/>
        </w:rPr>
        <w:t>,</w:t>
      </w:r>
      <w:r w:rsidR="00D564B8" w:rsidRPr="00ED66B7">
        <w:rPr>
          <w:color w:val="auto"/>
        </w:rPr>
        <w:t xml:space="preserve"> debe</w:t>
      </w:r>
      <w:r w:rsidR="00AE6265" w:rsidRPr="00ED66B7">
        <w:rPr>
          <w:color w:val="auto"/>
        </w:rPr>
        <w:t>n</w:t>
      </w:r>
      <w:r w:rsidR="00D564B8" w:rsidRPr="00ED66B7">
        <w:rPr>
          <w:color w:val="auto"/>
        </w:rPr>
        <w:t xml:space="preserve"> consultar </w:t>
      </w:r>
      <w:r w:rsidR="00BF62AB" w:rsidRPr="00ED66B7">
        <w:rPr>
          <w:color w:val="auto"/>
        </w:rPr>
        <w:t xml:space="preserve">el contenido de los respectivos documentos tipo, para determinar si </w:t>
      </w:r>
      <w:r w:rsidR="00AE6265" w:rsidRPr="00ED66B7">
        <w:rPr>
          <w:color w:val="auto"/>
        </w:rPr>
        <w:t xml:space="preserve">la modalidad de escogencia y el objeto </w:t>
      </w:r>
      <w:r w:rsidR="00590A17" w:rsidRPr="00ED66B7">
        <w:rPr>
          <w:color w:val="auto"/>
        </w:rPr>
        <w:t xml:space="preserve">a contratar son o no subsumibles dentro de lo dispuesto </w:t>
      </w:r>
      <w:r w:rsidR="00725D0B" w:rsidRPr="00ED66B7">
        <w:rPr>
          <w:color w:val="auto"/>
        </w:rPr>
        <w:t xml:space="preserve">en </w:t>
      </w:r>
      <w:r w:rsidR="00590A17" w:rsidRPr="00ED66B7">
        <w:rPr>
          <w:color w:val="auto"/>
        </w:rPr>
        <w:t xml:space="preserve">el documento tipo. De </w:t>
      </w:r>
      <w:r w:rsidR="004E2A22" w:rsidRPr="00ED66B7">
        <w:rPr>
          <w:color w:val="auto"/>
        </w:rPr>
        <w:t xml:space="preserve">ser esto así, la entidad estará obligada a adelantar el proceso de contratación </w:t>
      </w:r>
      <w:r w:rsidR="000D7002" w:rsidRPr="00ED66B7">
        <w:rPr>
          <w:color w:val="auto"/>
        </w:rPr>
        <w:t xml:space="preserve">aplicando los documentos tipo del caso. </w:t>
      </w:r>
    </w:p>
    <w:p w14:paraId="18814E39" w14:textId="422B703E" w:rsidR="00276E44" w:rsidRPr="00ED66B7" w:rsidRDefault="00D270AC" w:rsidP="00D1095F">
      <w:pPr>
        <w:spacing w:before="120" w:line="276" w:lineRule="auto"/>
        <w:ind w:firstLine="709"/>
        <w:jc w:val="both"/>
        <w:rPr>
          <w:rFonts w:ascii="Arial" w:hAnsi="Arial" w:cs="Arial"/>
          <w:sz w:val="22"/>
          <w:shd w:val="clear" w:color="auto" w:fill="FFFFFF"/>
          <w:lang w:val="es-ES_tradnl"/>
        </w:rPr>
      </w:pPr>
      <w:r w:rsidRPr="00ED66B7">
        <w:rPr>
          <w:rFonts w:ascii="Arial" w:hAnsi="Arial" w:cs="Arial"/>
          <w:sz w:val="22"/>
          <w:shd w:val="clear" w:color="auto" w:fill="FFFFFF"/>
          <w:lang w:val="es-ES_tradnl"/>
        </w:rPr>
        <w:lastRenderedPageBreak/>
        <w:t>Es importante advertir que, t</w:t>
      </w:r>
      <w:r w:rsidR="00276E44" w:rsidRPr="00ED66B7">
        <w:rPr>
          <w:rFonts w:ascii="Arial" w:hAnsi="Arial" w:cs="Arial"/>
          <w:sz w:val="22"/>
          <w:shd w:val="clear" w:color="auto" w:fill="FFFFFF"/>
          <w:lang w:val="es-ES_tradnl"/>
        </w:rPr>
        <w:t>odas las resoluciones</w:t>
      </w:r>
      <w:r w:rsidRPr="00ED66B7">
        <w:rPr>
          <w:rFonts w:ascii="Arial" w:hAnsi="Arial" w:cs="Arial"/>
          <w:sz w:val="22"/>
          <w:shd w:val="clear" w:color="auto" w:fill="FFFFFF"/>
          <w:lang w:val="es-ES_tradnl"/>
        </w:rPr>
        <w:t xml:space="preserve"> </w:t>
      </w:r>
      <w:r w:rsidR="00276E44" w:rsidRPr="00ED66B7">
        <w:rPr>
          <w:rFonts w:ascii="Arial" w:hAnsi="Arial" w:cs="Arial"/>
          <w:sz w:val="22"/>
          <w:shd w:val="clear" w:color="auto" w:fill="FFFFFF"/>
          <w:lang w:val="es-ES_tradnl"/>
        </w:rPr>
        <w:t xml:space="preserve">mediante las </w:t>
      </w:r>
      <w:r w:rsidRPr="00ED66B7">
        <w:rPr>
          <w:rFonts w:ascii="Arial" w:hAnsi="Arial" w:cs="Arial"/>
          <w:sz w:val="22"/>
          <w:shd w:val="clear" w:color="auto" w:fill="FFFFFF"/>
          <w:lang w:val="es-ES_tradnl"/>
        </w:rPr>
        <w:t>que</w:t>
      </w:r>
      <w:r w:rsidR="00276E44" w:rsidRPr="00ED66B7">
        <w:rPr>
          <w:rFonts w:ascii="Arial" w:hAnsi="Arial" w:cs="Arial"/>
          <w:sz w:val="22"/>
          <w:shd w:val="clear" w:color="auto" w:fill="FFFFFF"/>
          <w:lang w:val="es-ES_tradnl"/>
        </w:rPr>
        <w:t xml:space="preserve"> se han adoptado documentos </w:t>
      </w:r>
      <w:r w:rsidRPr="00ED66B7">
        <w:rPr>
          <w:rFonts w:ascii="Arial" w:hAnsi="Arial" w:cs="Arial"/>
          <w:sz w:val="22"/>
          <w:shd w:val="clear" w:color="auto" w:fill="FFFFFF"/>
          <w:lang w:val="es-ES_tradnl"/>
        </w:rPr>
        <w:t>tipo</w:t>
      </w:r>
      <w:r w:rsidR="00276E44" w:rsidRPr="00ED66B7">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ED66B7">
        <w:rPr>
          <w:rFonts w:ascii="Arial" w:hAnsi="Arial" w:cs="Arial"/>
          <w:i/>
          <w:iCs/>
          <w:sz w:val="22"/>
          <w:shd w:val="clear" w:color="auto" w:fill="FFFFFF"/>
          <w:lang w:val="es-ES_tradnl"/>
        </w:rPr>
        <w:t>Documentos del Proceso</w:t>
      </w:r>
      <w:r w:rsidR="00276E44" w:rsidRPr="00ED66B7">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06B583" w14:textId="7B37A396" w:rsidR="00B67CED" w:rsidRPr="00ED66B7" w:rsidRDefault="00653D1B" w:rsidP="009753C3">
      <w:pPr>
        <w:pStyle w:val="Normal11pt"/>
        <w:spacing w:before="120" w:line="276" w:lineRule="auto"/>
        <w:ind w:left="0" w:firstLine="709"/>
        <w:rPr>
          <w:rFonts w:eastAsia="Calibri"/>
          <w:color w:val="auto"/>
          <w:lang w:eastAsia="en-US"/>
        </w:rPr>
      </w:pPr>
      <w:r w:rsidRPr="00ED66B7">
        <w:rPr>
          <w:rFonts w:eastAsia="Calibri"/>
          <w:color w:val="auto"/>
        </w:rPr>
        <w:t>Por último, c</w:t>
      </w:r>
      <w:r w:rsidR="00B67CED" w:rsidRPr="00ED66B7">
        <w:rPr>
          <w:rFonts w:eastAsia="Calibri"/>
          <w:color w:val="auto"/>
        </w:rPr>
        <w:t>abe aclarar que la Agencia Nacional de Contratación Pública sigue avanzando en la expedición de nuevos documentos tipo</w:t>
      </w:r>
      <w:r w:rsidR="00724FBB" w:rsidRPr="00ED66B7">
        <w:rPr>
          <w:rFonts w:eastAsia="Calibri"/>
          <w:color w:val="auto"/>
        </w:rPr>
        <w:t>.</w:t>
      </w:r>
      <w:r w:rsidR="00B67CED" w:rsidRPr="00ED66B7">
        <w:rPr>
          <w:rFonts w:eastAsia="Calibri"/>
          <w:color w:val="auto"/>
        </w:rPr>
        <w:t xml:space="preserve"> </w:t>
      </w:r>
      <w:r w:rsidR="00724FBB" w:rsidRPr="00ED66B7">
        <w:rPr>
          <w:rFonts w:eastAsia="Calibri"/>
          <w:color w:val="auto"/>
        </w:rPr>
        <w:t>S</w:t>
      </w:r>
      <w:r w:rsidR="00B67CED" w:rsidRPr="00ED66B7">
        <w:rPr>
          <w:rFonts w:eastAsia="Calibri"/>
          <w:color w:val="auto"/>
        </w:rPr>
        <w:t xml:space="preserve">in embargo, debe tenerse en cuenta que estos exigen un minucioso desarrollo en el cual se </w:t>
      </w:r>
      <w:r w:rsidR="00BA342C" w:rsidRPr="00ED66B7">
        <w:rPr>
          <w:rFonts w:eastAsia="Calibri"/>
          <w:color w:val="auto"/>
        </w:rPr>
        <w:t>consideran</w:t>
      </w:r>
      <w:r w:rsidR="00B67CED" w:rsidRPr="00ED66B7">
        <w:rPr>
          <w:rFonts w:eastAsia="Calibri"/>
          <w:color w:val="auto"/>
        </w:rPr>
        <w:t xml:space="preserve"> las observaciones de las entidades técnicas y especializadas, con la finalidad de expedir documentos tipo que contengan las mejores prácticas contractuales que procuren el adecuado desarrollo de los principios que rigen la contratación pública.</w:t>
      </w:r>
    </w:p>
    <w:p w14:paraId="77C3C996" w14:textId="77777777" w:rsidR="00B67CED" w:rsidRPr="00ED66B7" w:rsidRDefault="00B67CED" w:rsidP="009753C3">
      <w:pPr>
        <w:tabs>
          <w:tab w:val="left" w:pos="0"/>
        </w:tabs>
        <w:spacing w:line="276" w:lineRule="auto"/>
        <w:jc w:val="both"/>
        <w:rPr>
          <w:rFonts w:ascii="Arial" w:eastAsia="Calibri" w:hAnsi="Arial" w:cs="Arial"/>
          <w:b/>
          <w:sz w:val="22"/>
          <w:lang w:val="es-ES_tradnl"/>
        </w:rPr>
      </w:pPr>
    </w:p>
    <w:p w14:paraId="196AE84C"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r w:rsidRPr="00ED66B7">
        <w:rPr>
          <w:rFonts w:ascii="Arial" w:eastAsia="Calibri" w:hAnsi="Arial" w:cs="Arial"/>
          <w:b/>
          <w:sz w:val="22"/>
          <w:lang w:val="es-ES_tradnl"/>
        </w:rPr>
        <w:t xml:space="preserve">2.2. </w:t>
      </w:r>
      <w:bookmarkStart w:id="6" w:name="_Hlk95322387"/>
      <w:r w:rsidRPr="00ED66B7">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6"/>
    <w:p w14:paraId="355E61C9"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00DA1C03"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4A715736"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sz w:val="22"/>
          <w:lang w:val="es-ES_tradnl"/>
        </w:rPr>
        <w:tab/>
      </w:r>
      <w:r w:rsidRPr="00ED66B7">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2B8E54"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Entre las medidas adoptadas por la Ley mencionada se destaca el artículo 56, norma sobre la que versa la presente consulta. Esta disposición se refiere de manera expresa a los documentos tipo y a su aplicabilidad a sujetos diferentes de las entidades estatales </w:t>
      </w:r>
      <w:r w:rsidRPr="00ED66B7">
        <w:rPr>
          <w:rFonts w:ascii="Arial" w:eastAsia="Calibri" w:hAnsi="Arial" w:cs="Arial"/>
          <w:bCs/>
          <w:sz w:val="22"/>
          <w:lang w:val="es-ES_tradnl"/>
        </w:rPr>
        <w:lastRenderedPageBreak/>
        <w:t>sometidas al Estatuto General de Contratación de la Administración Pública. El tenor literal de este precepto prescribe lo siguiente:</w:t>
      </w:r>
    </w:p>
    <w:p w14:paraId="17001E69"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7A9B5937"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4BA803A" w14:textId="77777777" w:rsidR="009C48E6" w:rsidRPr="00ED66B7" w:rsidRDefault="009C48E6" w:rsidP="009C48E6">
      <w:pPr>
        <w:tabs>
          <w:tab w:val="left" w:pos="0"/>
        </w:tabs>
        <w:ind w:left="709" w:right="709"/>
        <w:jc w:val="both"/>
        <w:rPr>
          <w:rFonts w:ascii="Arial" w:hAnsi="Arial" w:cs="Arial"/>
          <w:sz w:val="21"/>
          <w:szCs w:val="21"/>
          <w:lang w:val="es-ES_tradnl"/>
        </w:rPr>
      </w:pPr>
    </w:p>
    <w:p w14:paraId="71D6049D"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A7BE92E" w14:textId="77777777" w:rsidR="009C48E6" w:rsidRPr="00ED66B7" w:rsidRDefault="009C48E6" w:rsidP="009C48E6">
      <w:pPr>
        <w:tabs>
          <w:tab w:val="left" w:pos="0"/>
        </w:tabs>
        <w:ind w:left="709" w:right="709"/>
        <w:jc w:val="both"/>
        <w:rPr>
          <w:rFonts w:ascii="Arial" w:hAnsi="Arial" w:cs="Arial"/>
          <w:sz w:val="21"/>
          <w:szCs w:val="21"/>
          <w:lang w:val="es-ES_tradnl"/>
        </w:rPr>
      </w:pPr>
    </w:p>
    <w:p w14:paraId="3EAD6426" w14:textId="2547E185"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p>
    <w:p w14:paraId="1CE7E8D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07DD1EB6" w14:textId="1594617A"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Las implicaciones de lo establecido en esta norma son variadas y se presentan en múltiples ámbitos de la actividad contractual de las entidades estatales, que</w:t>
      </w:r>
      <w:r w:rsidR="00145D00" w:rsidRPr="00ED66B7">
        <w:rPr>
          <w:rFonts w:ascii="Arial" w:eastAsia="Calibri" w:hAnsi="Arial" w:cs="Arial"/>
          <w:bCs/>
          <w:sz w:val="22"/>
          <w:lang w:val="es-ES_tradnl"/>
        </w:rPr>
        <w:t>,</w:t>
      </w:r>
      <w:r w:rsidRPr="00ED66B7">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8EFD6FA"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34170AC4" w14:textId="77777777" w:rsidR="009C48E6" w:rsidRPr="00ED66B7" w:rsidRDefault="009C48E6" w:rsidP="00520265">
      <w:pPr>
        <w:tabs>
          <w:tab w:val="left" w:pos="426"/>
        </w:tabs>
        <w:spacing w:after="120" w:line="276" w:lineRule="auto"/>
        <w:jc w:val="both"/>
        <w:rPr>
          <w:rFonts w:ascii="Arial" w:eastAsia="Calibri" w:hAnsi="Arial" w:cs="Arial"/>
          <w:b/>
          <w:i/>
          <w:iCs/>
          <w:sz w:val="22"/>
          <w:lang w:val="es-ES_tradnl"/>
        </w:rPr>
      </w:pPr>
      <w:r w:rsidRPr="00ED66B7">
        <w:rPr>
          <w:rFonts w:ascii="Arial" w:eastAsia="Calibri" w:hAnsi="Arial" w:cs="Arial"/>
          <w:b/>
          <w:i/>
          <w:iCs/>
          <w:sz w:val="22"/>
          <w:lang w:val="es-ES_tradnl"/>
        </w:rPr>
        <w:t xml:space="preserve">2.2.1. </w:t>
      </w:r>
      <w:r w:rsidRPr="00ED66B7">
        <w:rPr>
          <w:rFonts w:ascii="Arial" w:eastAsia="Calibri" w:hAnsi="Arial" w:cs="Arial"/>
          <w:b/>
          <w:sz w:val="22"/>
          <w:lang w:val="es-ES_tradnl"/>
        </w:rPr>
        <w:t>Ámbito de aplicación y finalidad de la norma</w:t>
      </w:r>
    </w:p>
    <w:p w14:paraId="7304C1CA"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w:t>
      </w:r>
      <w:r w:rsidRPr="00ED66B7">
        <w:rPr>
          <w:rFonts w:ascii="Arial" w:eastAsia="Calibri" w:hAnsi="Arial" w:cs="Arial"/>
          <w:bCs/>
          <w:sz w:val="22"/>
          <w:lang w:val="es-ES_tradnl"/>
        </w:rPr>
        <w:lastRenderedPageBreak/>
        <w:t xml:space="preserve">autónomos o con personas naturales o jurídicas, cuyo régimen de contratación sea especial o de derecho privado.  </w:t>
      </w:r>
    </w:p>
    <w:p w14:paraId="188B5241"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3DF426F" w14:textId="572B522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Antes de la expedición del artículo 56 </w:t>
      </w:r>
      <w:r w:rsidRPr="00ED66B7">
        <w:rPr>
          <w:rFonts w:ascii="Arial" w:eastAsia="Calibri" w:hAnsi="Arial" w:cs="Arial"/>
          <w:bCs/>
          <w:i/>
          <w:iCs/>
          <w:sz w:val="22"/>
          <w:lang w:val="es-ES_tradnl"/>
        </w:rPr>
        <w:t>ibídem</w:t>
      </w:r>
      <w:r w:rsidR="00DF5D50" w:rsidRPr="00ED66B7">
        <w:rPr>
          <w:rFonts w:ascii="Arial" w:eastAsia="Calibri" w:hAnsi="Arial" w:cs="Arial"/>
          <w:bCs/>
          <w:sz w:val="22"/>
          <w:lang w:val="es-ES_tradnl"/>
        </w:rPr>
        <w:t>,</w:t>
      </w:r>
      <w:r w:rsidRPr="00ED66B7">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DF5D50" w:rsidRPr="00ED66B7">
        <w:rPr>
          <w:rFonts w:ascii="Arial" w:eastAsia="Calibri" w:hAnsi="Arial" w:cs="Arial"/>
          <w:bCs/>
          <w:sz w:val="22"/>
          <w:lang w:val="es-ES_tradnl"/>
        </w:rPr>
        <w:t>0</w:t>
      </w:r>
      <w:r w:rsidRPr="00ED66B7">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DF5D50" w:rsidRPr="00ED66B7">
        <w:rPr>
          <w:rFonts w:ascii="Arial" w:eastAsia="Calibri" w:hAnsi="Arial" w:cs="Arial"/>
          <w:bCs/>
          <w:sz w:val="22"/>
          <w:lang w:val="es-ES_tradnl"/>
        </w:rPr>
        <w:t xml:space="preserve">fuera </w:t>
      </w:r>
      <w:r w:rsidRPr="00ED66B7">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1704665B"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ED77638"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D66B7">
        <w:rPr>
          <w:rFonts w:ascii="Arial" w:eastAsia="Calibri" w:hAnsi="Arial" w:cs="Arial"/>
          <w:bCs/>
          <w:sz w:val="22"/>
          <w:lang w:val="es-ES_tradnl"/>
        </w:rPr>
        <w:t>ii</w:t>
      </w:r>
      <w:proofErr w:type="spellEnd"/>
      <w:r w:rsidRPr="00ED66B7">
        <w:rPr>
          <w:rFonts w:ascii="Arial" w:eastAsia="Calibri" w:hAnsi="Arial" w:cs="Arial"/>
          <w:bCs/>
          <w:sz w:val="22"/>
          <w:lang w:val="es-ES_tradnl"/>
        </w:rPr>
        <w:t xml:space="preserve">) </w:t>
      </w:r>
      <w:r w:rsidRPr="00ED66B7">
        <w:rPr>
          <w:rFonts w:ascii="Arial" w:eastAsia="Calibri" w:hAnsi="Arial" w:cs="Arial"/>
          <w:bCs/>
          <w:sz w:val="22"/>
          <w:lang w:val="es-ES_tradnl"/>
        </w:rPr>
        <w:lastRenderedPageBreak/>
        <w:t xml:space="preserve">patrimonios autónomos o </w:t>
      </w:r>
      <w:proofErr w:type="spellStart"/>
      <w:r w:rsidRPr="00ED66B7">
        <w:rPr>
          <w:rFonts w:ascii="Arial" w:eastAsia="Calibri" w:hAnsi="Arial" w:cs="Arial"/>
          <w:bCs/>
          <w:sz w:val="22"/>
          <w:lang w:val="es-ES_tradnl"/>
        </w:rPr>
        <w:t>iii</w:t>
      </w:r>
      <w:proofErr w:type="spellEnd"/>
      <w:r w:rsidRPr="00ED66B7">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4ADF0EEC"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6A4C3FA2" w14:textId="6D8583C8"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D66B7">
        <w:rPr>
          <w:rFonts w:ascii="Arial" w:eastAsia="Calibri" w:hAnsi="Arial" w:cs="Arial"/>
          <w:bCs/>
          <w:i/>
          <w:iCs/>
          <w:sz w:val="22"/>
          <w:lang w:val="es-ES_tradnl"/>
        </w:rPr>
        <w:t>ejusdem</w:t>
      </w:r>
      <w:proofErr w:type="spellEnd"/>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si,</w:t>
      </w:r>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A322A22"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41870CA1" w14:textId="77777777" w:rsidR="009C48E6" w:rsidRPr="00ED66B7" w:rsidRDefault="009C48E6" w:rsidP="00520265">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ED66B7">
        <w:rPr>
          <w:rFonts w:ascii="Arial" w:eastAsia="Calibri" w:hAnsi="Arial" w:cs="Arial"/>
          <w:bCs/>
          <w:sz w:val="21"/>
          <w:szCs w:val="21"/>
          <w:lang w:val="es-ES_tradnl"/>
        </w:rPr>
        <w:lastRenderedPageBreak/>
        <w:t>contratos realizados en dichos negocios jurídicos deben regirse por las normas de contratación pública»</w:t>
      </w:r>
      <w:r w:rsidRPr="00ED66B7">
        <w:rPr>
          <w:rStyle w:val="Refdenotaalpie"/>
          <w:rFonts w:ascii="Arial" w:eastAsia="Calibri" w:hAnsi="Arial" w:cs="Arial"/>
          <w:sz w:val="21"/>
          <w:szCs w:val="21"/>
        </w:rPr>
        <w:footnoteReference w:id="8"/>
      </w:r>
      <w:r w:rsidRPr="00ED66B7">
        <w:rPr>
          <w:rFonts w:ascii="Arial" w:eastAsia="Calibri" w:hAnsi="Arial" w:cs="Arial"/>
          <w:bCs/>
          <w:sz w:val="21"/>
          <w:szCs w:val="21"/>
          <w:lang w:val="es-ES_tradnl"/>
        </w:rPr>
        <w:t xml:space="preserve">. </w:t>
      </w:r>
    </w:p>
    <w:p w14:paraId="74FC51C1"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 </w:t>
      </w:r>
    </w:p>
    <w:p w14:paraId="0ED94E14" w14:textId="361D87EB"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7061EB" w:rsidRPr="00ED66B7">
        <w:rPr>
          <w:rFonts w:ascii="Arial" w:eastAsia="Calibri" w:hAnsi="Arial" w:cs="Arial"/>
          <w:bCs/>
          <w:sz w:val="22"/>
          <w:lang w:val="es-ES_tradnl"/>
        </w:rPr>
        <w:t xml:space="preserve">contractual </w:t>
      </w:r>
      <w:r w:rsidRPr="00ED66B7">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41951D92"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p>
    <w:p w14:paraId="109C4EBF" w14:textId="1E3EF412"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i/>
          <w:iCs/>
          <w:sz w:val="22"/>
          <w:lang w:val="es-ES_tradnl"/>
        </w:rPr>
        <w:t>2.2.2.</w:t>
      </w:r>
      <w:r w:rsidRPr="00ED66B7">
        <w:rPr>
          <w:rFonts w:ascii="Arial" w:eastAsia="Calibri" w:hAnsi="Arial" w:cs="Arial"/>
          <w:bCs/>
          <w:sz w:val="22"/>
          <w:lang w:val="es-ES_tradnl"/>
        </w:rPr>
        <w:t xml:space="preserve"> </w:t>
      </w:r>
      <w:r w:rsidRPr="00ED66B7">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5ADA8"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3E63EFAE" w14:textId="76E8A14A"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ED66B7">
        <w:rPr>
          <w:rStyle w:val="Refdenotaalpie"/>
          <w:rFonts w:ascii="Arial" w:eastAsia="Calibri" w:hAnsi="Arial" w:cs="Arial"/>
        </w:rPr>
        <w:footnoteReference w:id="9"/>
      </w:r>
      <w:r w:rsidRPr="00ED66B7">
        <w:rPr>
          <w:rFonts w:ascii="Arial" w:eastAsia="Calibri" w:hAnsi="Arial" w:cs="Arial"/>
          <w:bCs/>
          <w:sz w:val="22"/>
          <w:lang w:val="es-ES_tradnl"/>
        </w:rPr>
        <w:t xml:space="preserve">. Lo anterior por cuanto </w:t>
      </w:r>
      <w:r w:rsidRPr="00ED66B7">
        <w:rPr>
          <w:rFonts w:ascii="Arial" w:eastAsia="Calibri" w:hAnsi="Arial" w:cs="Arial"/>
          <w:bCs/>
          <w:sz w:val="22"/>
          <w:lang w:val="es-ES_tradnl"/>
        </w:rPr>
        <w:lastRenderedPageBreak/>
        <w:t>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w:t>
      </w:r>
      <w:r w:rsidR="0080091A" w:rsidRPr="00ED66B7">
        <w:rPr>
          <w:rFonts w:ascii="Arial" w:eastAsia="Calibri" w:hAnsi="Arial" w:cs="Arial"/>
          <w:bCs/>
          <w:sz w:val="22"/>
          <w:lang w:val="es-ES_tradnl"/>
        </w:rPr>
        <w:t xml:space="preserve">, numeral </w:t>
      </w:r>
      <w:r w:rsidRPr="00ED66B7">
        <w:rPr>
          <w:rFonts w:ascii="Arial" w:eastAsia="Calibri" w:hAnsi="Arial" w:cs="Arial"/>
          <w:bCs/>
          <w:sz w:val="22"/>
          <w:lang w:val="es-ES_tradnl"/>
        </w:rPr>
        <w:t xml:space="preserve">4 de la Ley 1150 de 2007 daba pie a la aplicación de normas de derecho privado, lo que evidencia una aparente tensión entre este y el artículo 56 de la Ley 2195 de 2022, en lo que se refiere al régimen aplicable en estas situaciones, comoquiera </w:t>
      </w:r>
      <w:proofErr w:type="gramStart"/>
      <w:r w:rsidRPr="00ED66B7">
        <w:rPr>
          <w:rFonts w:ascii="Arial" w:eastAsia="Calibri" w:hAnsi="Arial" w:cs="Arial"/>
          <w:bCs/>
          <w:sz w:val="22"/>
          <w:lang w:val="es-ES_tradnl"/>
        </w:rPr>
        <w:t>que</w:t>
      </w:r>
      <w:proofErr w:type="gramEnd"/>
      <w:r w:rsidRPr="00ED66B7">
        <w:rPr>
          <w:rFonts w:ascii="Arial" w:eastAsia="Calibri" w:hAnsi="Arial" w:cs="Arial"/>
          <w:bCs/>
          <w:sz w:val="22"/>
          <w:lang w:val="es-ES_tradnl"/>
        </w:rPr>
        <w:t xml:space="preserve"> en estos eventos, al tenor de lo dispuesto en esta última norma, deben aplicarse el EGCAP y los documentos tipo. </w:t>
      </w:r>
    </w:p>
    <w:p w14:paraId="1AEEC466" w14:textId="0D4B975E"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w:t>
      </w:r>
      <w:r w:rsidR="00AD353C" w:rsidRPr="00ED66B7">
        <w:rPr>
          <w:rFonts w:ascii="Arial" w:eastAsia="Calibri" w:hAnsi="Arial" w:cs="Arial"/>
          <w:bCs/>
          <w:sz w:val="22"/>
          <w:lang w:val="es-ES_tradnl"/>
        </w:rPr>
        <w:t>,</w:t>
      </w:r>
      <w:r w:rsidRPr="00ED66B7">
        <w:rPr>
          <w:rFonts w:ascii="Arial" w:eastAsia="Calibri" w:hAnsi="Arial" w:cs="Arial"/>
          <w:bCs/>
          <w:sz w:val="22"/>
          <w:lang w:val="es-ES_tradnl"/>
        </w:rPr>
        <w:t xml:space="preserve"> debe ser resuelta en favor del artículo 56 de la Ley 2195 de 2022, cuya aplicación debe ser privilegiada, al ser esta la norma expedida más recientemente. </w:t>
      </w:r>
    </w:p>
    <w:p w14:paraId="54F13CE5" w14:textId="6535EE2C"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efecto, tratándose de disposiciones de igual jerarquía normativa</w:t>
      </w:r>
      <w:r w:rsidRPr="00ED66B7">
        <w:rPr>
          <w:rStyle w:val="Refdenotaalpie"/>
          <w:rFonts w:ascii="Arial" w:eastAsia="Calibri" w:hAnsi="Arial" w:cs="Arial"/>
        </w:rPr>
        <w:footnoteReference w:id="10"/>
      </w:r>
      <w:r w:rsidR="00AD353C" w:rsidRPr="00ED66B7">
        <w:rPr>
          <w:rFonts w:ascii="Arial" w:eastAsia="Calibri" w:hAnsi="Arial" w:cs="Arial"/>
          <w:bCs/>
          <w:sz w:val="22"/>
          <w:lang w:val="es-ES_tradnl"/>
        </w:rPr>
        <w:t xml:space="preserve"> </w:t>
      </w:r>
      <w:r w:rsidRPr="00ED66B7">
        <w:rPr>
          <w:rFonts w:ascii="Arial" w:eastAsia="Calibri" w:hAnsi="Arial" w:cs="Arial"/>
          <w:bCs/>
          <w:sz w:val="22"/>
          <w:lang w:val="es-ES_tradnl"/>
        </w:rPr>
        <w:t xml:space="preserve">–ambas son leyes ordinarias–, que coinciden en su ámbito de aplicación, debe colegirse que, en lo que </w:t>
      </w:r>
      <w:r w:rsidRPr="00ED66B7">
        <w:rPr>
          <w:rFonts w:ascii="Arial" w:eastAsia="Calibri" w:hAnsi="Arial" w:cs="Arial"/>
          <w:bCs/>
          <w:sz w:val="22"/>
          <w:lang w:val="es-ES_tradnl"/>
        </w:rPr>
        <w:lastRenderedPageBreak/>
        <w:t xml:space="preserve">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5B9EDBD" w14:textId="70261F4B"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08E24F9E" w14:textId="018B686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4308A6" w:rsidRPr="00ED66B7">
        <w:rPr>
          <w:rFonts w:ascii="Arial" w:eastAsia="Calibri" w:hAnsi="Arial" w:cs="Arial"/>
          <w:bCs/>
          <w:sz w:val="22"/>
          <w:lang w:val="es-ES_tradnl"/>
        </w:rPr>
        <w:t>aplicable al objeto contractual</w:t>
      </w:r>
      <w:r w:rsidRPr="00ED66B7">
        <w:rPr>
          <w:rFonts w:ascii="Arial" w:eastAsia="Calibri" w:hAnsi="Arial" w:cs="Arial"/>
          <w:bCs/>
          <w:sz w:val="22"/>
          <w:lang w:val="es-ES_tradnl"/>
        </w:rPr>
        <w:t xml:space="preserve">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6D151FB6" w14:textId="55809462" w:rsidR="009C48E6" w:rsidRPr="00ED66B7" w:rsidRDefault="009C48E6" w:rsidP="00520265">
      <w:pPr>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w:t>
      </w:r>
      <w:r w:rsidRPr="00ED66B7">
        <w:rPr>
          <w:rFonts w:ascii="Arial" w:eastAsia="Calibri" w:hAnsi="Arial" w:cs="Arial"/>
          <w:bCs/>
          <w:sz w:val="22"/>
          <w:lang w:val="es-ES_tradnl"/>
        </w:rPr>
        <w:lastRenderedPageBreak/>
        <w:t>redacción de la norma, esta solo es obligatoria en los casos en los que el objeto contractual derivado que se pretende contratar esté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4308A6" w:rsidRPr="00ED66B7">
        <w:rPr>
          <w:rFonts w:ascii="Arial" w:eastAsia="Calibri" w:hAnsi="Arial" w:cs="Arial"/>
          <w:bCs/>
          <w:sz w:val="22"/>
          <w:lang w:val="es-ES_tradnl"/>
        </w:rPr>
        <w:t>a</w:t>
      </w:r>
      <w:r w:rsidRPr="00ED66B7">
        <w:rPr>
          <w:rFonts w:ascii="Arial" w:eastAsia="Calibri" w:hAnsi="Arial" w:cs="Arial"/>
          <w:bCs/>
          <w:sz w:val="22"/>
          <w:lang w:val="es-ES_tradnl"/>
        </w:rPr>
        <w:t xml:space="preserve"> </w:t>
      </w:r>
      <w:r w:rsidR="004308A6" w:rsidRPr="00ED66B7">
        <w:rPr>
          <w:rFonts w:ascii="Arial" w:eastAsia="Calibri" w:hAnsi="Arial" w:cs="Arial"/>
          <w:bCs/>
          <w:sz w:val="22"/>
          <w:lang w:val="es-ES_tradnl"/>
        </w:rPr>
        <w:t xml:space="preserve">entidad exceptuada </w:t>
      </w:r>
      <w:r w:rsidRPr="00ED66B7">
        <w:rPr>
          <w:rFonts w:ascii="Arial" w:eastAsia="Calibri" w:hAnsi="Arial" w:cs="Arial"/>
          <w:bCs/>
          <w:sz w:val="22"/>
          <w:lang w:val="es-ES_tradnl"/>
        </w:rPr>
        <w:t xml:space="preserve">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5E6E759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4EA2E279" w14:textId="58B94701" w:rsidR="009C48E6" w:rsidRPr="00ED66B7" w:rsidRDefault="009C48E6" w:rsidP="009C48E6">
      <w:pPr>
        <w:tabs>
          <w:tab w:val="left" w:pos="0"/>
        </w:tabs>
        <w:spacing w:line="276" w:lineRule="auto"/>
        <w:jc w:val="both"/>
        <w:rPr>
          <w:rFonts w:ascii="Arial" w:eastAsia="Calibri" w:hAnsi="Arial" w:cs="Arial"/>
          <w:b/>
          <w:sz w:val="22"/>
          <w:lang w:val="es-ES_tradnl"/>
        </w:rPr>
      </w:pPr>
      <w:r w:rsidRPr="00ED66B7">
        <w:rPr>
          <w:rFonts w:ascii="Arial" w:eastAsia="Calibri" w:hAnsi="Arial" w:cs="Arial"/>
          <w:b/>
          <w:i/>
          <w:iCs/>
          <w:sz w:val="22"/>
          <w:lang w:val="es-ES_tradnl"/>
        </w:rPr>
        <w:t>2.2.3.</w:t>
      </w:r>
      <w:r w:rsidRPr="00ED66B7">
        <w:rPr>
          <w:rFonts w:ascii="Arial" w:eastAsia="Calibri" w:hAnsi="Arial" w:cs="Arial"/>
          <w:b/>
          <w:sz w:val="22"/>
          <w:lang w:val="es-ES_tradnl"/>
        </w:rPr>
        <w:t xml:space="preserve"> La noción de </w:t>
      </w:r>
      <w:r w:rsidRPr="00ED66B7">
        <w:rPr>
          <w:rFonts w:ascii="Arial" w:eastAsia="Calibri" w:hAnsi="Arial" w:cs="Arial"/>
          <w:b/>
          <w:i/>
          <w:iCs/>
          <w:sz w:val="22"/>
          <w:lang w:val="es-ES_tradnl"/>
        </w:rPr>
        <w:t xml:space="preserve">giro ordinario </w:t>
      </w:r>
      <w:r w:rsidRPr="00ED66B7">
        <w:rPr>
          <w:rFonts w:ascii="Arial" w:eastAsia="Calibri" w:hAnsi="Arial" w:cs="Arial"/>
          <w:b/>
          <w:sz w:val="22"/>
          <w:lang w:val="es-ES_tradnl"/>
        </w:rPr>
        <w:t>y su relevancia para la aplicación del artículo 56 de la Ley 2195 de 2022</w:t>
      </w:r>
    </w:p>
    <w:p w14:paraId="59D71F03"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2CCD94E0" w14:textId="6571BC56"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w:t>
      </w:r>
      <w:proofErr w:type="spellStart"/>
      <w:r w:rsidRPr="00ED66B7">
        <w:rPr>
          <w:rFonts w:ascii="Arial" w:eastAsia="Calibri" w:hAnsi="Arial" w:cs="Arial"/>
          <w:bCs/>
          <w:sz w:val="22"/>
          <w:lang w:val="es-ES_tradnl"/>
        </w:rPr>
        <w:t>ii</w:t>
      </w:r>
      <w:proofErr w:type="spellEnd"/>
      <w:r w:rsidRPr="00ED66B7">
        <w:rPr>
          <w:rFonts w:ascii="Arial" w:eastAsia="Calibri" w:hAnsi="Arial" w:cs="Arial"/>
          <w:bCs/>
          <w:sz w:val="22"/>
          <w:lang w:val="es-ES_tradnl"/>
        </w:rPr>
        <w:t xml:space="preserve">) las empresas sociales del Estado, </w:t>
      </w:r>
      <w:proofErr w:type="spellStart"/>
      <w:r w:rsidRPr="00ED66B7">
        <w:rPr>
          <w:rFonts w:ascii="Arial" w:eastAsia="Calibri" w:hAnsi="Arial" w:cs="Arial"/>
          <w:bCs/>
          <w:sz w:val="22"/>
          <w:lang w:val="es-ES_tradnl"/>
        </w:rPr>
        <w:t>iii</w:t>
      </w:r>
      <w:proofErr w:type="spellEnd"/>
      <w:r w:rsidRPr="00ED66B7">
        <w:rPr>
          <w:rFonts w:ascii="Arial" w:eastAsia="Calibri" w:hAnsi="Arial" w:cs="Arial"/>
          <w:bCs/>
          <w:sz w:val="22"/>
          <w:lang w:val="es-ES_tradnl"/>
        </w:rPr>
        <w:t xml:space="preserve">) las sociedades de economía mixta y </w:t>
      </w:r>
      <w:proofErr w:type="spellStart"/>
      <w:r w:rsidRPr="00ED66B7">
        <w:rPr>
          <w:rFonts w:ascii="Arial" w:eastAsia="Calibri" w:hAnsi="Arial" w:cs="Arial"/>
          <w:bCs/>
          <w:sz w:val="22"/>
          <w:lang w:val="es-ES_tradnl"/>
        </w:rPr>
        <w:t>iv</w:t>
      </w:r>
      <w:proofErr w:type="spellEnd"/>
      <w:r w:rsidRPr="00ED66B7">
        <w:rPr>
          <w:rFonts w:ascii="Arial" w:eastAsia="Calibri" w:hAnsi="Arial" w:cs="Arial"/>
          <w:bCs/>
          <w:sz w:val="22"/>
          <w:lang w:val="es-ES_tradnl"/>
        </w:rPr>
        <w:t xml:space="preserve">) las empresas industriales y comerciales del Estado, únicamente, en la contratación relacionada con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Esto significa </w:t>
      </w:r>
      <w:proofErr w:type="gramStart"/>
      <w:r w:rsidRPr="00ED66B7">
        <w:rPr>
          <w:rFonts w:ascii="Arial" w:eastAsia="Calibri" w:hAnsi="Arial" w:cs="Arial"/>
          <w:bCs/>
          <w:sz w:val="22"/>
          <w:lang w:val="es-ES_tradnl"/>
        </w:rPr>
        <w:t>que</w:t>
      </w:r>
      <w:proofErr w:type="gramEnd"/>
      <w:r w:rsidRPr="00ED66B7">
        <w:rPr>
          <w:rFonts w:ascii="Arial" w:eastAsia="Calibri" w:hAnsi="Arial" w:cs="Arial"/>
          <w:bCs/>
          <w:sz w:val="22"/>
          <w:lang w:val="es-ES_tradnl"/>
        </w:rPr>
        <w:t xml:space="preserve"> en la contratación asociada a su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65D52698" w14:textId="56E5E401" w:rsidR="009C48E6" w:rsidRPr="00ED66B7" w:rsidRDefault="009C48E6" w:rsidP="009C48E6">
      <w:pPr>
        <w:tabs>
          <w:tab w:val="left" w:pos="0"/>
        </w:tabs>
        <w:spacing w:after="120" w:line="276" w:lineRule="auto"/>
        <w:jc w:val="both"/>
        <w:rPr>
          <w:rFonts w:ascii="Arial" w:eastAsia="Arial" w:hAnsi="Arial" w:cs="Arial"/>
          <w:sz w:val="22"/>
          <w:lang w:val="es-ES_tradnl"/>
        </w:rPr>
      </w:pPr>
      <w:r w:rsidRPr="00ED66B7">
        <w:rPr>
          <w:rFonts w:ascii="Arial" w:eastAsia="Calibri" w:hAnsi="Arial" w:cs="Arial"/>
          <w:bCs/>
          <w:sz w:val="22"/>
          <w:lang w:val="es-ES_tradnl"/>
        </w:rPr>
        <w:tab/>
        <w:t xml:space="preserve">Ahora, es importante tener en cuenta que cuando la norma se refiere a la contratación del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emplea un concepto jurídico indeterminado</w:t>
      </w:r>
      <w:r w:rsidRPr="00ED66B7">
        <w:rPr>
          <w:rStyle w:val="Refdenotaalpie"/>
          <w:rFonts w:ascii="Arial" w:eastAsia="Calibri" w:hAnsi="Arial" w:cs="Arial"/>
        </w:rPr>
        <w:footnoteReference w:id="11"/>
      </w:r>
      <w:r w:rsidRPr="00ED66B7">
        <w:rPr>
          <w:rFonts w:ascii="Arial" w:eastAsia="Calibri" w:hAnsi="Arial" w:cs="Arial"/>
          <w:bCs/>
          <w:sz w:val="22"/>
          <w:lang w:val="es-ES_tradnl"/>
        </w:rPr>
        <w:t xml:space="preserve">. </w:t>
      </w:r>
      <w:r w:rsidRPr="00ED66B7">
        <w:rPr>
          <w:rFonts w:ascii="Arial" w:eastAsia="Arial" w:hAnsi="Arial" w:cs="Arial"/>
          <w:sz w:val="22"/>
          <w:lang w:val="es-ES_tradnl"/>
        </w:rPr>
        <w:t xml:space="preserve">Un concepto adquiere esta denominación en el Derecho cuando se trata de un enunciado que goza de vaguedad y que debe materializarse en cada caso, atendiendo a las técnicas de la </w:t>
      </w:r>
      <w:r w:rsidRPr="00ED66B7">
        <w:rPr>
          <w:rFonts w:ascii="Arial" w:eastAsia="Arial" w:hAnsi="Arial" w:cs="Arial"/>
          <w:sz w:val="22"/>
          <w:lang w:val="es-ES_tradnl"/>
        </w:rPr>
        <w:lastRenderedPageBreak/>
        <w:t xml:space="preserve">interpretación jurídica. De igual forma, se trata de un concepto para cuya concreción las entidades estatales gozan de cierto </w:t>
      </w:r>
      <w:r w:rsidR="008D70E0" w:rsidRPr="00ED66B7">
        <w:rPr>
          <w:rFonts w:ascii="Arial" w:eastAsia="Arial" w:hAnsi="Arial" w:cs="Arial"/>
          <w:sz w:val="22"/>
          <w:lang w:val="es-ES_tradnl"/>
        </w:rPr>
        <w:t>margen de apreciación</w:t>
      </w:r>
      <w:r w:rsidRPr="00ED66B7">
        <w:rPr>
          <w:rFonts w:ascii="Arial" w:eastAsia="Arial" w:hAnsi="Arial" w:cs="Arial"/>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3D369186" w14:textId="77777777" w:rsidR="009C48E6" w:rsidRPr="00ED66B7" w:rsidRDefault="009C48E6" w:rsidP="009C48E6">
      <w:pPr>
        <w:tabs>
          <w:tab w:val="left" w:pos="0"/>
        </w:tabs>
        <w:spacing w:line="276" w:lineRule="auto"/>
        <w:ind w:firstLine="709"/>
        <w:jc w:val="both"/>
        <w:rPr>
          <w:rFonts w:ascii="Arial" w:eastAsia="Calibri" w:hAnsi="Arial" w:cs="Arial"/>
          <w:bCs/>
          <w:sz w:val="22"/>
          <w:lang w:val="es-ES_tradnl"/>
        </w:rPr>
      </w:pPr>
      <w:r w:rsidRPr="00ED66B7">
        <w:rPr>
          <w:rFonts w:ascii="Arial" w:eastAsia="Arial" w:hAnsi="Arial" w:cs="Arial"/>
          <w:sz w:val="22"/>
          <w:lang w:val="es-ES_tradnl"/>
        </w:rPr>
        <w:t>La Corte Constitucional</w:t>
      </w:r>
      <w:r w:rsidRPr="00ED66B7">
        <w:rPr>
          <w:rStyle w:val="Refdenotaalpie"/>
          <w:rFonts w:ascii="Arial" w:eastAsia="Arial" w:hAnsi="Arial" w:cs="Arial"/>
        </w:rPr>
        <w:footnoteReference w:id="12"/>
      </w:r>
      <w:r w:rsidRPr="00ED66B7">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7179A8A1" w14:textId="5753185E" w:rsidR="009C48E6" w:rsidRPr="00ED66B7" w:rsidRDefault="009C48E6" w:rsidP="009C48E6">
      <w:pPr>
        <w:tabs>
          <w:tab w:val="left" w:pos="0"/>
        </w:tabs>
        <w:spacing w:before="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incluida en la redacción original del parágrafo 1 del artículo 32 de la Ley 80 de 1993</w:t>
      </w:r>
      <w:r w:rsidRPr="00ED66B7">
        <w:rPr>
          <w:rStyle w:val="Refdenotaalpie"/>
          <w:rFonts w:ascii="Arial" w:eastAsia="Calibri" w:hAnsi="Arial" w:cs="Arial"/>
        </w:rPr>
        <w:footnoteReference w:id="13"/>
      </w:r>
      <w:r w:rsidRPr="00ED66B7">
        <w:rPr>
          <w:rFonts w:ascii="Arial" w:eastAsia="Calibri" w:hAnsi="Arial" w:cs="Arial"/>
          <w:bCs/>
          <w:sz w:val="22"/>
          <w:lang w:val="es-ES_tradnl"/>
        </w:rPr>
        <w:t xml:space="preserve">, la Sección Tercera manifestó lo siguiente: </w:t>
      </w:r>
    </w:p>
    <w:p w14:paraId="6347185B"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397E3C3E" w14:textId="3DF46D3E" w:rsidR="009C48E6" w:rsidRPr="00ED66B7" w:rsidRDefault="009C48E6" w:rsidP="009C48E6">
      <w:pPr>
        <w:ind w:left="709" w:right="709"/>
        <w:jc w:val="both"/>
        <w:rPr>
          <w:rFonts w:ascii="Arial" w:hAnsi="Arial" w:cs="Arial"/>
          <w:sz w:val="21"/>
          <w:szCs w:val="21"/>
          <w:lang w:val="es-ES_tradnl" w:eastAsia="es-CO"/>
        </w:rPr>
      </w:pPr>
      <w:r w:rsidRPr="00ED66B7">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D66B7">
        <w:rPr>
          <w:rFonts w:ascii="Arial" w:hAnsi="Arial" w:cs="Arial"/>
          <w:sz w:val="21"/>
          <w:szCs w:val="21"/>
          <w:lang w:val="es-ES_tradnl"/>
        </w:rPr>
        <w:t>Siendo</w:t>
      </w:r>
      <w:proofErr w:type="gramEnd"/>
      <w:r w:rsidRPr="00ED66B7">
        <w:rPr>
          <w:rFonts w:ascii="Arial" w:hAnsi="Arial" w:cs="Arial"/>
          <w:sz w:val="21"/>
          <w:szCs w:val="21"/>
          <w:lang w:val="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D66B7">
        <w:rPr>
          <w:rStyle w:val="Refdenotaalpie"/>
          <w:rFonts w:ascii="Arial" w:hAnsi="Arial" w:cs="Arial"/>
        </w:rPr>
        <w:footnoteReference w:id="14"/>
      </w:r>
      <w:r w:rsidR="008D70E0" w:rsidRPr="00ED66B7">
        <w:rPr>
          <w:rFonts w:ascii="Arial" w:hAnsi="Arial" w:cs="Arial"/>
          <w:sz w:val="21"/>
          <w:szCs w:val="21"/>
          <w:lang w:val="es-ES_tradnl"/>
        </w:rPr>
        <w:t>.</w:t>
      </w:r>
    </w:p>
    <w:p w14:paraId="3AD9E08E" w14:textId="77777777" w:rsidR="009C48E6" w:rsidRPr="00ED66B7" w:rsidRDefault="009C48E6" w:rsidP="009C48E6">
      <w:pPr>
        <w:tabs>
          <w:tab w:val="left" w:pos="0"/>
        </w:tabs>
        <w:spacing w:line="276" w:lineRule="auto"/>
        <w:jc w:val="both"/>
        <w:rPr>
          <w:rFonts w:ascii="Arial" w:eastAsia="Calibri" w:hAnsi="Arial" w:cs="Arial"/>
          <w:bCs/>
          <w:i/>
          <w:iCs/>
          <w:sz w:val="22"/>
          <w:lang w:val="es-ES_tradnl"/>
        </w:rPr>
      </w:pPr>
    </w:p>
    <w:p w14:paraId="53886CBE" w14:textId="77777777" w:rsidR="009C48E6" w:rsidRPr="00ED66B7" w:rsidRDefault="009C48E6" w:rsidP="009C48E6">
      <w:pPr>
        <w:tabs>
          <w:tab w:val="left" w:pos="0"/>
        </w:tabs>
        <w:spacing w:after="120"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33C0A7F7"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lastRenderedPageBreak/>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00F87AA3"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p>
    <w:p w14:paraId="578572C4"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D66B7">
        <w:rPr>
          <w:rFonts w:ascii="Arial" w:eastAsia="Calibri" w:hAnsi="Arial" w:cs="Arial"/>
          <w:bCs/>
          <w:sz w:val="21"/>
          <w:szCs w:val="21"/>
          <w:lang w:val="es-ES_tradnl"/>
        </w:rPr>
        <w:t>Fonade</w:t>
      </w:r>
      <w:proofErr w:type="spellEnd"/>
      <w:r w:rsidRPr="00ED66B7">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3590A1D8"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p>
    <w:p w14:paraId="089DBC34"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D66B7">
        <w:rPr>
          <w:rStyle w:val="Refdenotaalpie"/>
          <w:rFonts w:ascii="Arial" w:eastAsia="Calibri" w:hAnsi="Arial" w:cs="Arial"/>
        </w:rPr>
        <w:footnoteReference w:id="15"/>
      </w:r>
      <w:r w:rsidRPr="00ED66B7">
        <w:rPr>
          <w:rFonts w:ascii="Arial" w:eastAsia="Calibri" w:hAnsi="Arial" w:cs="Arial"/>
          <w:bCs/>
          <w:sz w:val="21"/>
          <w:szCs w:val="21"/>
          <w:lang w:val="es-ES_tradnl"/>
        </w:rPr>
        <w:t xml:space="preserve">. </w:t>
      </w:r>
    </w:p>
    <w:p w14:paraId="2649DD7A"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r>
    </w:p>
    <w:p w14:paraId="7AC248D7" w14:textId="77777777" w:rsidR="009C48E6" w:rsidRPr="00ED66B7" w:rsidRDefault="009C48E6" w:rsidP="009C48E6">
      <w:pPr>
        <w:tabs>
          <w:tab w:val="left" w:pos="0"/>
        </w:tabs>
        <w:spacing w:after="120"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tab/>
        <w:t xml:space="preserve">Conforme con lo expresado en estas providencias, el </w:t>
      </w:r>
      <w:r w:rsidRPr="00ED66B7">
        <w:rPr>
          <w:rFonts w:ascii="Arial" w:eastAsia="Calibri" w:hAnsi="Arial" w:cs="Arial"/>
          <w:bCs/>
          <w:i/>
          <w:iCs/>
          <w:sz w:val="22"/>
          <w:szCs w:val="22"/>
          <w:lang w:val="es-ES_tradnl"/>
        </w:rPr>
        <w:t xml:space="preserve">giro ordinario </w:t>
      </w:r>
      <w:r w:rsidRPr="00ED66B7">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D66B7">
        <w:rPr>
          <w:rFonts w:ascii="Arial" w:hAnsi="Arial" w:cs="Arial"/>
          <w:sz w:val="22"/>
          <w:szCs w:val="22"/>
          <w:lang w:val="es-ES_tradnl"/>
        </w:rPr>
        <w:t>S]e</w:t>
      </w:r>
      <w:r w:rsidRPr="00ED66B7">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D66B7">
        <w:rPr>
          <w:rStyle w:val="Refdenotaalpie"/>
          <w:rFonts w:ascii="Arial" w:eastAsia="Calibri" w:hAnsi="Arial" w:cs="Arial"/>
        </w:rPr>
        <w:footnoteReference w:id="16"/>
      </w:r>
      <w:r w:rsidRPr="00ED66B7">
        <w:rPr>
          <w:rFonts w:ascii="Arial" w:eastAsia="Calibri" w:hAnsi="Arial" w:cs="Arial"/>
          <w:bCs/>
          <w:sz w:val="22"/>
          <w:szCs w:val="22"/>
          <w:lang w:val="es-ES_tradnl"/>
        </w:rPr>
        <w:t xml:space="preserve">. </w:t>
      </w:r>
    </w:p>
    <w:p w14:paraId="0A7150CD" w14:textId="77777777" w:rsidR="009C48E6" w:rsidRPr="00ED66B7" w:rsidRDefault="009C48E6" w:rsidP="009C48E6">
      <w:pPr>
        <w:tabs>
          <w:tab w:val="left" w:pos="0"/>
        </w:tabs>
        <w:spacing w:line="276" w:lineRule="auto"/>
        <w:jc w:val="both"/>
        <w:rPr>
          <w:rFonts w:ascii="Arial" w:eastAsia="Calibri" w:hAnsi="Arial" w:cs="Arial"/>
          <w:bCs/>
          <w:sz w:val="22"/>
          <w:szCs w:val="22"/>
          <w:lang w:val="es-ES_tradnl"/>
        </w:rPr>
      </w:pPr>
      <w:r w:rsidRPr="00ED66B7">
        <w:rPr>
          <w:rFonts w:ascii="Arial" w:eastAsia="Calibri" w:hAnsi="Arial" w:cs="Arial"/>
          <w:bCs/>
          <w:sz w:val="22"/>
          <w:szCs w:val="22"/>
          <w:lang w:val="es-ES_tradnl"/>
        </w:rPr>
        <w:lastRenderedPageBreak/>
        <w:tab/>
        <w:t xml:space="preserve">De otra parte, la doctrina societaria también se ha encargado de definir el </w:t>
      </w:r>
      <w:r w:rsidRPr="00ED66B7">
        <w:rPr>
          <w:rFonts w:ascii="Arial" w:eastAsia="Calibri" w:hAnsi="Arial" w:cs="Arial"/>
          <w:bCs/>
          <w:i/>
          <w:iCs/>
          <w:sz w:val="22"/>
          <w:szCs w:val="22"/>
          <w:lang w:val="es-ES_tradnl"/>
        </w:rPr>
        <w:t>objeto social</w:t>
      </w:r>
      <w:r w:rsidRPr="00ED66B7">
        <w:rPr>
          <w:rFonts w:ascii="Arial" w:eastAsia="Calibri" w:hAnsi="Arial" w:cs="Arial"/>
          <w:bCs/>
          <w:sz w:val="22"/>
          <w:szCs w:val="22"/>
          <w:lang w:val="es-ES_tradnl"/>
        </w:rPr>
        <w:t xml:space="preserve">, así como su relación con el concepto de </w:t>
      </w:r>
      <w:r w:rsidRPr="00ED66B7">
        <w:rPr>
          <w:rFonts w:ascii="Arial" w:eastAsia="Calibri" w:hAnsi="Arial" w:cs="Arial"/>
          <w:bCs/>
          <w:i/>
          <w:iCs/>
          <w:sz w:val="22"/>
          <w:szCs w:val="22"/>
          <w:lang w:val="es-ES_tradnl"/>
        </w:rPr>
        <w:t>giro ordinario</w:t>
      </w:r>
      <w:r w:rsidRPr="00ED66B7">
        <w:rPr>
          <w:rFonts w:ascii="Arial" w:eastAsia="Calibri" w:hAnsi="Arial" w:cs="Arial"/>
          <w:bCs/>
          <w:sz w:val="22"/>
          <w:szCs w:val="22"/>
          <w:lang w:val="es-ES_tradnl"/>
        </w:rPr>
        <w:t>. Al respecto, la Superintendencia de Sociedades, citando doctrina autorizada en la materia, ha señalado:</w:t>
      </w:r>
    </w:p>
    <w:p w14:paraId="38358324" w14:textId="77777777" w:rsidR="009C48E6" w:rsidRPr="00ED66B7" w:rsidRDefault="009C48E6" w:rsidP="009C48E6">
      <w:pPr>
        <w:tabs>
          <w:tab w:val="left" w:pos="0"/>
        </w:tabs>
        <w:spacing w:line="276" w:lineRule="auto"/>
        <w:jc w:val="both"/>
        <w:rPr>
          <w:rFonts w:ascii="Arial" w:eastAsia="Calibri" w:hAnsi="Arial" w:cs="Arial"/>
          <w:bCs/>
          <w:sz w:val="22"/>
          <w:szCs w:val="22"/>
          <w:lang w:val="es-ES_tradnl"/>
        </w:rPr>
      </w:pPr>
    </w:p>
    <w:p w14:paraId="77F4DE88" w14:textId="77777777" w:rsidR="009C48E6" w:rsidRPr="00ED66B7" w:rsidRDefault="009C48E6" w:rsidP="009C48E6">
      <w:pPr>
        <w:tabs>
          <w:tab w:val="left" w:pos="0"/>
        </w:tabs>
        <w:spacing w:after="120"/>
        <w:ind w:left="709" w:right="709"/>
        <w:jc w:val="both"/>
        <w:rPr>
          <w:rFonts w:ascii="Arial" w:hAnsi="Arial" w:cs="Arial"/>
          <w:sz w:val="21"/>
          <w:szCs w:val="21"/>
          <w:lang w:val="es-ES_tradnl"/>
        </w:rPr>
      </w:pPr>
      <w:r w:rsidRPr="00ED66B7">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ED66B7">
        <w:rPr>
          <w:rFonts w:ascii="Arial" w:hAnsi="Arial" w:cs="Arial"/>
          <w:sz w:val="21"/>
          <w:szCs w:val="21"/>
          <w:lang w:val="es-ES_tradnl"/>
        </w:rPr>
        <w:t>que</w:t>
      </w:r>
      <w:proofErr w:type="gramEnd"/>
      <w:r w:rsidRPr="00ED66B7">
        <w:rPr>
          <w:rFonts w:ascii="Arial" w:hAnsi="Arial" w:cs="Arial"/>
          <w:sz w:val="21"/>
          <w:szCs w:val="21"/>
          <w:lang w:val="es-ES_tradnl"/>
        </w:rPr>
        <w:t xml:space="preserve"> en forma habitual u ordinaria, ejecuta la sociedad.</w:t>
      </w:r>
    </w:p>
    <w:p w14:paraId="0809FB2D" w14:textId="77777777"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D66B7">
        <w:rPr>
          <w:rStyle w:val="Refdenotaalpie"/>
          <w:rFonts w:ascii="Arial" w:hAnsi="Arial" w:cs="Arial"/>
        </w:rPr>
        <w:footnoteReference w:id="17"/>
      </w:r>
      <w:r w:rsidRPr="00ED66B7">
        <w:rPr>
          <w:rFonts w:ascii="Arial" w:hAnsi="Arial" w:cs="Arial"/>
          <w:sz w:val="21"/>
          <w:szCs w:val="21"/>
          <w:lang w:val="es-ES_tradnl"/>
        </w:rPr>
        <w:t>.</w:t>
      </w:r>
    </w:p>
    <w:p w14:paraId="01F592E4"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4510E861" w14:textId="4382910F"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estas consideraciones, no </w:t>
      </w:r>
      <w:r w:rsidR="005E3980" w:rsidRPr="00ED66B7">
        <w:rPr>
          <w:rFonts w:ascii="Arial" w:eastAsia="Calibri" w:hAnsi="Arial" w:cs="Arial"/>
          <w:bCs/>
          <w:sz w:val="22"/>
          <w:lang w:val="es-ES_tradnl"/>
        </w:rPr>
        <w:t xml:space="preserve">hay </w:t>
      </w:r>
      <w:r w:rsidRPr="00ED66B7">
        <w:rPr>
          <w:rFonts w:ascii="Arial" w:eastAsia="Calibri" w:hAnsi="Arial" w:cs="Arial"/>
          <w:bCs/>
          <w:sz w:val="22"/>
          <w:lang w:val="es-ES_tradnl"/>
        </w:rPr>
        <w:t xml:space="preserve">una plena equivalencia entre las </w:t>
      </w:r>
      <w:bookmarkStart w:id="7" w:name="_Hlk95322109"/>
      <w:r w:rsidRPr="00ED66B7">
        <w:rPr>
          <w:rFonts w:ascii="Arial" w:eastAsia="Calibri" w:hAnsi="Arial" w:cs="Arial"/>
          <w:bCs/>
          <w:sz w:val="22"/>
          <w:lang w:val="es-ES_tradnl"/>
        </w:rPr>
        <w:t xml:space="preserve">actividades que hacen parte del desarrollo del </w:t>
      </w:r>
      <w:r w:rsidRPr="00ED66B7">
        <w:rPr>
          <w:rFonts w:ascii="Arial" w:eastAsia="Calibri" w:hAnsi="Arial" w:cs="Arial"/>
          <w:bCs/>
          <w:i/>
          <w:iCs/>
          <w:sz w:val="22"/>
          <w:lang w:val="es-ES_tradnl"/>
        </w:rPr>
        <w:t>objeto social</w:t>
      </w:r>
      <w:r w:rsidRPr="00ED66B7">
        <w:rPr>
          <w:rFonts w:ascii="Arial" w:eastAsia="Calibri" w:hAnsi="Arial" w:cs="Arial"/>
          <w:bCs/>
          <w:sz w:val="22"/>
          <w:lang w:val="es-ES_tradnl"/>
        </w:rPr>
        <w:t xml:space="preserve"> y las que comprende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w:t>
      </w:r>
      <w:r w:rsidR="005E3980" w:rsidRPr="00ED66B7">
        <w:rPr>
          <w:rFonts w:ascii="Arial" w:eastAsia="Calibri" w:hAnsi="Arial" w:cs="Arial"/>
          <w:bCs/>
          <w:sz w:val="22"/>
          <w:lang w:val="es-ES_tradnl"/>
        </w:rPr>
        <w:t>pues,</w:t>
      </w:r>
      <w:r w:rsidRPr="00ED66B7">
        <w:rPr>
          <w:rFonts w:ascii="Arial" w:eastAsia="Calibri" w:hAnsi="Arial" w:cs="Arial"/>
          <w:bCs/>
          <w:sz w:val="22"/>
          <w:lang w:val="es-ES_tradnl"/>
        </w:rPr>
        <w:t xml:space="preserve"> como precisa la Superintendencia de Sociedades, entre lo que designan estas categorías existe una relación de género a especie. </w:t>
      </w:r>
    </w:p>
    <w:p w14:paraId="34AFA9E2" w14:textId="7C0D0B6A"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relación con la aplicación de lo dispuesto en el parágrafo del artículo 56 de la Ley 2195 de 2022, conviene aclarar que, a juicio de esta Agencia, a menos que el Presidente de la República</w:t>
      </w:r>
      <w:r w:rsidR="006B6D57" w:rsidRPr="00ED66B7">
        <w:rPr>
          <w:rFonts w:ascii="Arial" w:eastAsia="Calibri" w:hAnsi="Arial" w:cs="Arial"/>
          <w:bCs/>
          <w:sz w:val="22"/>
          <w:lang w:val="es-ES_tradnl"/>
        </w:rPr>
        <w:t>,</w:t>
      </w:r>
      <w:r w:rsidRPr="00ED66B7">
        <w:rPr>
          <w:rFonts w:ascii="Arial" w:eastAsia="Calibri" w:hAnsi="Arial" w:cs="Arial"/>
          <w:bCs/>
          <w:sz w:val="22"/>
          <w:lang w:val="es-ES_tradnl"/>
        </w:rPr>
        <w:t xml:space="preserve"> en ejercicio de la potestad reglamentaria atribuida por el artículo 189.11 de </w:t>
      </w:r>
      <w:r w:rsidRPr="00ED66B7">
        <w:rPr>
          <w:rFonts w:ascii="Arial" w:eastAsia="Calibri" w:hAnsi="Arial" w:cs="Arial"/>
          <w:bCs/>
          <w:sz w:val="22"/>
          <w:lang w:val="es-ES_tradnl"/>
        </w:rPr>
        <w:lastRenderedPageBreak/>
        <w:t xml:space="preserve">la Constitución Política, disponga algo diferente, la expresión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D66B7">
        <w:rPr>
          <w:rFonts w:ascii="Arial" w:eastAsia="Calibri" w:hAnsi="Arial" w:cs="Arial"/>
          <w:bCs/>
          <w:i/>
          <w:iCs/>
          <w:sz w:val="22"/>
          <w:lang w:val="es-ES_tradnl"/>
        </w:rPr>
        <w:t>ejusdem</w:t>
      </w:r>
      <w:proofErr w:type="spellEnd"/>
      <w:r w:rsidRPr="00ED66B7">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833CB1" w:rsidRPr="00ED66B7">
        <w:rPr>
          <w:rFonts w:ascii="Arial" w:eastAsia="Calibri" w:hAnsi="Arial" w:cs="Arial"/>
          <w:bCs/>
          <w:sz w:val="22"/>
          <w:lang w:val="es-ES_tradnl"/>
        </w:rPr>
        <w:t>realizan</w:t>
      </w:r>
      <w:r w:rsidRPr="00ED66B7">
        <w:rPr>
          <w:rFonts w:ascii="Arial" w:eastAsia="Calibri" w:hAnsi="Arial" w:cs="Arial"/>
          <w:bCs/>
          <w:sz w:val="22"/>
          <w:lang w:val="es-ES_tradnl"/>
        </w:rPr>
        <w:t xml:space="preserve">. </w:t>
      </w:r>
    </w:p>
    <w:p w14:paraId="52150902" w14:textId="77777777" w:rsidR="009C48E6" w:rsidRPr="00ED66B7" w:rsidRDefault="009C48E6" w:rsidP="009C48E6">
      <w:pPr>
        <w:tabs>
          <w:tab w:val="left" w:pos="0"/>
        </w:tabs>
        <w:spacing w:after="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7"/>
    <w:p w14:paraId="0C077DA0" w14:textId="027C5B95"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w:t>
      </w:r>
      <w:r w:rsidR="00342705" w:rsidRPr="00ED66B7">
        <w:rPr>
          <w:rFonts w:ascii="Arial" w:eastAsia="Calibri" w:hAnsi="Arial" w:cs="Arial"/>
          <w:bCs/>
          <w:sz w:val="22"/>
          <w:lang w:val="es-ES_tradnl"/>
        </w:rPr>
        <w:t xml:space="preserve">los </w:t>
      </w:r>
      <w:r w:rsidRPr="00ED66B7">
        <w:rPr>
          <w:rFonts w:ascii="Arial" w:eastAsia="Calibri" w:hAnsi="Arial" w:cs="Arial"/>
          <w:bCs/>
          <w:sz w:val="22"/>
          <w:lang w:val="es-ES_tradnl"/>
        </w:rPr>
        <w:t xml:space="preserve">documentos tipo únicamente para la contratación relacionada con el </w:t>
      </w:r>
      <w:r w:rsidRPr="00ED66B7">
        <w:rPr>
          <w:rFonts w:ascii="Arial" w:eastAsia="Calibri" w:hAnsi="Arial" w:cs="Arial"/>
          <w:bCs/>
          <w:i/>
          <w:iCs/>
          <w:sz w:val="22"/>
          <w:lang w:val="es-ES_tradnl"/>
        </w:rPr>
        <w:t xml:space="preserve">giro ordinario </w:t>
      </w:r>
      <w:r w:rsidRPr="00ED66B7">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D66B7">
        <w:rPr>
          <w:rFonts w:ascii="Arial" w:eastAsia="Calibri" w:hAnsi="Arial" w:cs="Arial"/>
          <w:bCs/>
          <w:i/>
          <w:iCs/>
          <w:sz w:val="22"/>
          <w:lang w:val="es-ES_tradnl"/>
        </w:rPr>
        <w:t>su giro ordinario</w:t>
      </w:r>
      <w:r w:rsidRPr="00ED66B7">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166B2C2F"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lastRenderedPageBreak/>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D66B7">
        <w:rPr>
          <w:rStyle w:val="Refdenotaalpie"/>
          <w:rFonts w:ascii="Arial" w:eastAsia="Calibri" w:hAnsi="Arial" w:cs="Arial"/>
        </w:rPr>
        <w:footnoteReference w:id="18"/>
      </w:r>
      <w:r w:rsidRPr="00ED66B7">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ED66B7">
        <w:rPr>
          <w:rStyle w:val="Refdenotaalpie"/>
          <w:rFonts w:ascii="Arial" w:eastAsia="Calibri" w:hAnsi="Arial" w:cs="Arial"/>
        </w:rPr>
        <w:footnoteReference w:id="19"/>
      </w:r>
      <w:r w:rsidRPr="00ED66B7">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A esto se suma el </w:t>
      </w:r>
      <w:r w:rsidRPr="00ED66B7">
        <w:rPr>
          <w:rFonts w:ascii="Arial" w:eastAsia="Calibri" w:hAnsi="Arial" w:cs="Arial"/>
          <w:bCs/>
          <w:sz w:val="22"/>
          <w:lang w:val="es-ES_tradnl"/>
        </w:rPr>
        <w:lastRenderedPageBreak/>
        <w:t>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D66B7">
        <w:rPr>
          <w:rStyle w:val="Refdenotaalpie"/>
          <w:rFonts w:ascii="Arial" w:eastAsia="Calibri" w:hAnsi="Arial" w:cs="Arial"/>
        </w:rPr>
        <w:footnoteReference w:id="20"/>
      </w:r>
      <w:r w:rsidRPr="00ED66B7">
        <w:rPr>
          <w:rFonts w:ascii="Arial" w:eastAsia="Calibri" w:hAnsi="Arial" w:cs="Arial"/>
          <w:bCs/>
          <w:sz w:val="22"/>
          <w:lang w:val="es-ES_tradnl"/>
        </w:rPr>
        <w:t>.</w:t>
      </w:r>
    </w:p>
    <w:p w14:paraId="288ABE60" w14:textId="1C1EB81E" w:rsidR="009C48E6" w:rsidRPr="00ED66B7" w:rsidRDefault="009C48E6" w:rsidP="009C48E6">
      <w:pPr>
        <w:tabs>
          <w:tab w:val="left" w:pos="0"/>
        </w:tabs>
        <w:spacing w:before="120" w:after="120" w:line="276" w:lineRule="auto"/>
        <w:ind w:firstLine="709"/>
        <w:jc w:val="both"/>
        <w:rPr>
          <w:rFonts w:ascii="Arial" w:hAnsi="Arial" w:cs="Arial"/>
          <w:sz w:val="22"/>
          <w:szCs w:val="22"/>
        </w:rPr>
      </w:pPr>
      <w:r w:rsidRPr="00ED66B7">
        <w:rPr>
          <w:rFonts w:ascii="Arial" w:eastAsia="Calibri" w:hAnsi="Arial" w:cs="Arial"/>
          <w:bCs/>
          <w:sz w:val="22"/>
          <w:szCs w:val="22"/>
          <w:lang w:val="es-ES_tradnl"/>
        </w:rPr>
        <w:t>De acuerdo con esta interpretación restrictiva</w:t>
      </w:r>
      <w:r w:rsidRPr="00ED66B7">
        <w:rPr>
          <w:rStyle w:val="Refdenotaalpie"/>
          <w:rFonts w:ascii="Arial" w:eastAsia="Calibri" w:hAnsi="Arial" w:cs="Arial"/>
        </w:rPr>
        <w:footnoteReference w:id="21"/>
      </w:r>
      <w:r w:rsidR="00342705" w:rsidRPr="00ED66B7">
        <w:rPr>
          <w:rFonts w:ascii="Arial" w:eastAsia="Calibri" w:hAnsi="Arial" w:cs="Arial"/>
          <w:bCs/>
          <w:sz w:val="22"/>
          <w:szCs w:val="22"/>
          <w:lang w:val="es-ES_tradnl"/>
        </w:rPr>
        <w:t>,</w:t>
      </w:r>
      <w:r w:rsidRPr="00ED66B7">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D66B7">
        <w:rPr>
          <w:rFonts w:ascii="Arial" w:eastAsia="Calibri" w:hAnsi="Arial" w:cs="Arial"/>
          <w:bCs/>
          <w:i/>
          <w:iCs/>
          <w:sz w:val="22"/>
          <w:szCs w:val="22"/>
          <w:lang w:val="es-ES_tradnl"/>
        </w:rPr>
        <w:t xml:space="preserve">giro ordinario, </w:t>
      </w:r>
      <w:r w:rsidRPr="00ED66B7">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D66B7">
        <w:rPr>
          <w:rStyle w:val="Refdenotaalpie"/>
          <w:rFonts w:ascii="Arial" w:hAnsi="Arial" w:cs="Arial"/>
        </w:rPr>
        <w:footnoteReference w:id="22"/>
      </w:r>
      <w:r w:rsidRPr="00ED66B7">
        <w:rPr>
          <w:rFonts w:ascii="Arial" w:eastAsia="Calibri" w:hAnsi="Arial" w:cs="Arial"/>
          <w:bCs/>
          <w:sz w:val="22"/>
          <w:szCs w:val="22"/>
          <w:lang w:val="es-ES_tradnl"/>
        </w:rPr>
        <w:t>, al igual que la regla según la cual «</w:t>
      </w:r>
      <w:r w:rsidRPr="00ED66B7">
        <w:rPr>
          <w:rFonts w:ascii="Arial" w:hAnsi="Arial" w:cs="Arial"/>
          <w:sz w:val="22"/>
          <w:szCs w:val="22"/>
        </w:rPr>
        <w:t>Lo favorable u odioso de una disposición no se tomará en cuenta para ampliar o restringir su interpretación»</w:t>
      </w:r>
      <w:r w:rsidRPr="00ED66B7">
        <w:rPr>
          <w:rStyle w:val="Refdenotaalpie"/>
          <w:rFonts w:ascii="Arial" w:hAnsi="Arial" w:cs="Arial"/>
        </w:rPr>
        <w:footnoteReference w:id="23"/>
      </w:r>
      <w:r w:rsidRPr="00ED66B7">
        <w:rPr>
          <w:rFonts w:ascii="Arial" w:hAnsi="Arial" w:cs="Arial"/>
          <w:sz w:val="22"/>
          <w:szCs w:val="22"/>
        </w:rPr>
        <w:t xml:space="preserve">. </w:t>
      </w:r>
    </w:p>
    <w:p w14:paraId="6DB61E4C" w14:textId="782B9AD9" w:rsidR="009C48E6" w:rsidRPr="00ED66B7" w:rsidRDefault="009C48E6" w:rsidP="009C48E6">
      <w:pPr>
        <w:tabs>
          <w:tab w:val="left" w:pos="0"/>
        </w:tabs>
        <w:spacing w:before="120" w:after="120" w:line="276" w:lineRule="auto"/>
        <w:ind w:firstLine="709"/>
        <w:jc w:val="both"/>
        <w:rPr>
          <w:rFonts w:ascii="Arial" w:eastAsia="Calibri" w:hAnsi="Arial" w:cs="Arial"/>
          <w:bCs/>
          <w:sz w:val="22"/>
          <w:lang w:val="es-ES_tradnl"/>
        </w:rPr>
      </w:pPr>
      <w:r w:rsidRPr="00ED66B7">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ED66B7">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D66B7">
        <w:rPr>
          <w:rFonts w:ascii="Arial" w:eastAsia="Calibri" w:hAnsi="Arial" w:cs="Arial"/>
          <w:bCs/>
          <w:i/>
          <w:iCs/>
          <w:sz w:val="22"/>
          <w:szCs w:val="22"/>
          <w:lang w:val="es-ES_tradnl"/>
        </w:rPr>
        <w:t>giro ordinario</w:t>
      </w:r>
      <w:r w:rsidRPr="00ED66B7">
        <w:rPr>
          <w:rFonts w:ascii="Arial" w:eastAsia="Calibri" w:hAnsi="Arial" w:cs="Arial"/>
          <w:bCs/>
          <w:sz w:val="22"/>
          <w:szCs w:val="22"/>
          <w:lang w:val="es-ES_tradnl"/>
        </w:rPr>
        <w:t xml:space="preserve">. Esto significa que tales entidades, </w:t>
      </w:r>
      <w:r w:rsidRPr="00ED66B7">
        <w:rPr>
          <w:rFonts w:ascii="Arial" w:eastAsia="Calibri" w:hAnsi="Arial" w:cs="Arial"/>
          <w:bCs/>
          <w:sz w:val="22"/>
          <w:lang w:val="es-ES_tradnl"/>
        </w:rPr>
        <w:t>cuando</w:t>
      </w:r>
      <w:r w:rsidR="00A35429" w:rsidRPr="00ED66B7">
        <w:rPr>
          <w:rFonts w:ascii="Arial" w:eastAsia="Calibri" w:hAnsi="Arial" w:cs="Arial"/>
          <w:bCs/>
          <w:sz w:val="22"/>
          <w:lang w:val="es-ES_tradnl"/>
        </w:rPr>
        <w:t>,</w:t>
      </w:r>
      <w:r w:rsidRPr="00ED66B7">
        <w:rPr>
          <w:rFonts w:ascii="Arial" w:eastAsia="Calibri" w:hAnsi="Arial" w:cs="Arial"/>
          <w:bCs/>
          <w:sz w:val="22"/>
          <w:lang w:val="es-ES_tradnl"/>
        </w:rPr>
        <w:t xml:space="preserve"> en desarrollo de un contrato o un convenio con una entidad sometida al EGCAP, requieran contratar un </w:t>
      </w:r>
      <w:r w:rsidRPr="00ED66B7">
        <w:rPr>
          <w:rFonts w:ascii="Arial" w:eastAsia="Calibri" w:hAnsi="Arial" w:cs="Arial"/>
          <w:bCs/>
          <w:sz w:val="22"/>
          <w:lang w:val="es-ES_tradnl"/>
        </w:rPr>
        <w:lastRenderedPageBreak/>
        <w:t xml:space="preserve">objeto cobijado por algún documento tipo, que no esté comprendido dentro de su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68A58D58" w14:textId="77777777" w:rsidR="00373FAD" w:rsidRPr="00ED66B7" w:rsidRDefault="00373FAD" w:rsidP="00510DE9">
      <w:pPr>
        <w:tabs>
          <w:tab w:val="left" w:pos="0"/>
        </w:tabs>
        <w:jc w:val="both"/>
        <w:rPr>
          <w:rFonts w:ascii="Arial" w:eastAsia="Calibri" w:hAnsi="Arial" w:cs="Arial"/>
          <w:b/>
          <w:sz w:val="22"/>
          <w:lang w:val="es-ES_tradnl"/>
        </w:rPr>
      </w:pPr>
    </w:p>
    <w:p w14:paraId="37CA9805" w14:textId="3F6901FE" w:rsidR="00DD5B04" w:rsidRPr="00ED66B7" w:rsidRDefault="004177A6" w:rsidP="00510DE9">
      <w:pPr>
        <w:tabs>
          <w:tab w:val="left" w:pos="0"/>
        </w:tabs>
        <w:jc w:val="both"/>
        <w:rPr>
          <w:rFonts w:ascii="Arial" w:eastAsia="Calibri" w:hAnsi="Arial" w:cs="Arial"/>
          <w:b/>
          <w:sz w:val="22"/>
          <w:lang w:val="es-ES_tradnl"/>
        </w:rPr>
      </w:pPr>
      <w:r w:rsidRPr="00ED66B7">
        <w:rPr>
          <w:rFonts w:ascii="Arial" w:eastAsia="Calibri" w:hAnsi="Arial" w:cs="Arial"/>
          <w:b/>
          <w:sz w:val="22"/>
          <w:lang w:val="es-ES_tradnl"/>
        </w:rPr>
        <w:t>3</w:t>
      </w:r>
      <w:r w:rsidR="00B011A9" w:rsidRPr="00ED66B7">
        <w:rPr>
          <w:rFonts w:ascii="Arial" w:eastAsia="Calibri" w:hAnsi="Arial" w:cs="Arial"/>
          <w:b/>
          <w:sz w:val="22"/>
          <w:lang w:val="es-ES_tradnl"/>
        </w:rPr>
        <w:t xml:space="preserve">. </w:t>
      </w:r>
      <w:r w:rsidR="00DD5B04" w:rsidRPr="00ED66B7">
        <w:rPr>
          <w:rFonts w:ascii="Arial" w:eastAsia="Calibri" w:hAnsi="Arial" w:cs="Arial"/>
          <w:b/>
          <w:sz w:val="22"/>
          <w:lang w:val="es-ES_tradnl"/>
        </w:rPr>
        <w:t>Respuesta</w:t>
      </w:r>
    </w:p>
    <w:p w14:paraId="0B74D5B8" w14:textId="7F0A7F13" w:rsidR="00C4581D" w:rsidRPr="00ED66B7" w:rsidRDefault="00C4581D" w:rsidP="00510DE9">
      <w:pPr>
        <w:tabs>
          <w:tab w:val="left" w:pos="0"/>
        </w:tabs>
        <w:jc w:val="both"/>
        <w:rPr>
          <w:rFonts w:ascii="Arial" w:eastAsia="Calibri" w:hAnsi="Arial" w:cs="Arial"/>
          <w:sz w:val="22"/>
          <w:lang w:val="es-ES_tradnl"/>
        </w:rPr>
      </w:pPr>
    </w:p>
    <w:p w14:paraId="3CEE2344" w14:textId="77777777" w:rsidR="004728ED" w:rsidRPr="00ED66B7" w:rsidRDefault="004728ED" w:rsidP="004728ED">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t xml:space="preserve">«1. ¿A la luz de las normas que comprenden el ordenamiento jurídico </w:t>
      </w:r>
      <w:proofErr w:type="gramStart"/>
      <w:r w:rsidRPr="00ED66B7">
        <w:rPr>
          <w:rFonts w:ascii="Arial" w:hAnsi="Arial" w:cs="Arial"/>
          <w:bCs/>
          <w:sz w:val="21"/>
          <w:szCs w:val="21"/>
          <w:lang w:val="es-ES"/>
        </w:rPr>
        <w:t>Colombiano</w:t>
      </w:r>
      <w:proofErr w:type="gramEnd"/>
      <w:r w:rsidRPr="00ED66B7">
        <w:rPr>
          <w:rFonts w:ascii="Arial" w:hAnsi="Arial" w:cs="Arial"/>
          <w:bCs/>
          <w:sz w:val="21"/>
          <w:szCs w:val="21"/>
          <w:lang w:val="es-ES"/>
        </w:rPr>
        <w:t>, qué se entiende por "el giro ordinario" para las Instituciones de Educación Superior públicas, las empresas sociales del Estado, las sociedades de economía mixta y las empresas industriales y comerciales del Estado?</w:t>
      </w:r>
    </w:p>
    <w:p w14:paraId="16CBBE06" w14:textId="77777777" w:rsidR="004728ED" w:rsidRPr="00ED66B7" w:rsidRDefault="004728ED" w:rsidP="004728ED">
      <w:pPr>
        <w:tabs>
          <w:tab w:val="decimal" w:pos="765"/>
          <w:tab w:val="right" w:pos="7371"/>
        </w:tabs>
        <w:ind w:left="709" w:right="709"/>
        <w:jc w:val="both"/>
        <w:rPr>
          <w:rFonts w:ascii="Arial" w:hAnsi="Arial" w:cs="Arial"/>
          <w:bCs/>
          <w:sz w:val="21"/>
          <w:szCs w:val="21"/>
          <w:lang w:val="es-ES"/>
        </w:rPr>
      </w:pPr>
    </w:p>
    <w:p w14:paraId="57C66164" w14:textId="0F38FB2C" w:rsidR="00251CA0" w:rsidRPr="00ED66B7" w:rsidRDefault="004728ED" w:rsidP="004728ED">
      <w:pPr>
        <w:tabs>
          <w:tab w:val="right" w:pos="7371"/>
        </w:tabs>
        <w:ind w:left="709" w:right="709"/>
        <w:jc w:val="both"/>
        <w:rPr>
          <w:rFonts w:ascii="Arial" w:hAnsi="Arial" w:cs="Arial"/>
          <w:sz w:val="21"/>
          <w:szCs w:val="21"/>
          <w:lang w:val="es-ES"/>
        </w:rPr>
      </w:pPr>
      <w:r w:rsidRPr="00ED66B7">
        <w:rPr>
          <w:rFonts w:ascii="Arial" w:hAnsi="Arial" w:cs="Arial"/>
          <w:bCs/>
          <w:sz w:val="21"/>
          <w:szCs w:val="21"/>
          <w:lang w:val="es-ES"/>
        </w:rPr>
        <w:t>2. ¿De acuerdo con el Parágrafo del Artículo 56 de la Ley 2195 de 2022, no es aplicable a los documentos tipo a las Instituciones de Educación Superior públicas, las empresas sociales del Estado, las sociedades de economía mixta y las empresas industriales y comerciales del Estado cuando sean atribuibles a actividades del giro ordinario las mencionadas entidades estatales?».</w:t>
      </w:r>
    </w:p>
    <w:p w14:paraId="0D5C1BB9" w14:textId="77777777" w:rsidR="009659B0" w:rsidRPr="00ED66B7" w:rsidRDefault="009659B0" w:rsidP="00373FAD">
      <w:pPr>
        <w:ind w:left="709" w:right="709"/>
        <w:jc w:val="both"/>
        <w:rPr>
          <w:rFonts w:ascii="Arial" w:hAnsi="Arial" w:cs="Arial"/>
          <w:sz w:val="21"/>
          <w:szCs w:val="21"/>
          <w:lang w:val="es-ES_tradnl"/>
        </w:rPr>
      </w:pPr>
    </w:p>
    <w:p w14:paraId="489D5458" w14:textId="77777777" w:rsidR="007D61E4" w:rsidRPr="00ED66B7" w:rsidRDefault="007D61E4" w:rsidP="00ED66B7">
      <w:pPr>
        <w:spacing w:after="120" w:line="276" w:lineRule="auto"/>
        <w:jc w:val="both"/>
        <w:rPr>
          <w:rFonts w:ascii="Arial" w:eastAsiaTheme="minorHAnsi" w:hAnsi="Arial" w:cs="Arial"/>
          <w:sz w:val="22"/>
          <w:szCs w:val="22"/>
          <w:lang w:val="es-ES_tradnl" w:eastAsia="en-US"/>
        </w:rPr>
      </w:pPr>
      <w:bookmarkStart w:id="8" w:name="_Hlk96331557"/>
      <w:r w:rsidRPr="00ED66B7">
        <w:rPr>
          <w:rFonts w:ascii="Arial" w:eastAsiaTheme="minorHAnsi" w:hAnsi="Arial" w:cs="Arial"/>
          <w:bCs/>
          <w:sz w:val="22"/>
          <w:szCs w:val="22"/>
          <w:lang w:eastAsia="en-US"/>
        </w:rPr>
        <w:t>De conformidad con las consideraciones expuestas, se le informa que</w:t>
      </w:r>
      <w:r w:rsidRPr="00ED66B7">
        <w:rPr>
          <w:rFonts w:ascii="Arial" w:eastAsiaTheme="minorHAnsi" w:hAnsi="Arial" w:cs="Arial"/>
          <w:bCs/>
          <w:sz w:val="22"/>
          <w:szCs w:val="22"/>
          <w:lang w:val="es-ES_tradnl" w:eastAsia="en-US"/>
        </w:rPr>
        <w:t xml:space="preserve"> 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ED66B7">
        <w:rPr>
          <w:rFonts w:ascii="Arial" w:eastAsiaTheme="minorHAnsi" w:hAnsi="Arial" w:cs="Arial"/>
          <w:sz w:val="22"/>
          <w:szCs w:val="22"/>
          <w:lang w:val="es-ES_tradnl" w:eastAsia="en-US"/>
        </w:rPr>
        <w:t>En efecto, esta entidad solo tiene competencia para responder solicitudes sobre la aplicación de normas de carácter general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End w:id="8"/>
    <w:p w14:paraId="13049480" w14:textId="5FE2FE1D" w:rsidR="00CD04A3" w:rsidRPr="00ED66B7" w:rsidRDefault="00CD04A3" w:rsidP="002A4308">
      <w:pPr>
        <w:spacing w:after="120" w:line="276" w:lineRule="auto"/>
        <w:ind w:firstLine="709"/>
        <w:jc w:val="both"/>
        <w:rPr>
          <w:rFonts w:ascii="Arial" w:hAnsi="Arial" w:cs="Arial"/>
          <w:sz w:val="22"/>
          <w:szCs w:val="22"/>
          <w:shd w:val="clear" w:color="auto" w:fill="FFFFFF"/>
          <w:lang w:val="es-ES_tradnl"/>
        </w:rPr>
      </w:pPr>
      <w:r w:rsidRPr="00ED66B7">
        <w:rPr>
          <w:rFonts w:ascii="Arial" w:hAnsi="Arial" w:cs="Arial"/>
          <w:sz w:val="22"/>
          <w:szCs w:val="22"/>
          <w:shd w:val="clear" w:color="auto" w:fill="FFFFFF"/>
          <w:lang w:val="es-ES_tradnl"/>
        </w:rPr>
        <w:t>En todo caso, de conformidad con lo expuesto,</w:t>
      </w:r>
      <w:r w:rsidR="00B2491A" w:rsidRPr="00ED66B7">
        <w:rPr>
          <w:rFonts w:ascii="Arial" w:hAnsi="Arial" w:cs="Arial"/>
          <w:sz w:val="22"/>
          <w:szCs w:val="22"/>
          <w:shd w:val="clear" w:color="auto" w:fill="FFFFFF"/>
          <w:lang w:val="es-ES_tradnl"/>
        </w:rPr>
        <w:t xml:space="preserve"> en el marco del parágrafo del artículo 56, el </w:t>
      </w:r>
      <w:r w:rsidR="00B2491A" w:rsidRPr="00ED66B7">
        <w:rPr>
          <w:rFonts w:ascii="Arial" w:hAnsi="Arial" w:cs="Arial"/>
          <w:i/>
          <w:iCs/>
          <w:sz w:val="22"/>
          <w:szCs w:val="22"/>
          <w:shd w:val="clear" w:color="auto" w:fill="FFFFFF"/>
          <w:lang w:val="es-ES_tradnl"/>
        </w:rPr>
        <w:t>giro ordinario</w:t>
      </w:r>
      <w:r w:rsidR="00B2491A" w:rsidRPr="00ED66B7">
        <w:rPr>
          <w:rFonts w:ascii="Arial" w:hAnsi="Arial" w:cs="Arial"/>
          <w:sz w:val="22"/>
          <w:szCs w:val="22"/>
          <w:shd w:val="clear" w:color="auto" w:fill="FFFFFF"/>
          <w:lang w:val="es-ES_tradnl"/>
        </w:rPr>
        <w:t xml:space="preserve">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w:t>
      </w:r>
      <w:r w:rsidR="00BE4FC1" w:rsidRPr="00ED66B7">
        <w:rPr>
          <w:rFonts w:ascii="Arial" w:hAnsi="Arial" w:cs="Arial"/>
          <w:sz w:val="22"/>
          <w:szCs w:val="22"/>
          <w:shd w:val="clear" w:color="auto" w:fill="FFFFFF"/>
          <w:lang w:val="es-ES_tradnl"/>
        </w:rPr>
        <w:t>, como se explicó de forma más detallada en las consideraciones</w:t>
      </w:r>
      <w:r w:rsidR="00B2491A" w:rsidRPr="00ED66B7">
        <w:rPr>
          <w:rFonts w:ascii="Arial" w:hAnsi="Arial" w:cs="Arial"/>
          <w:sz w:val="22"/>
          <w:szCs w:val="22"/>
          <w:shd w:val="clear" w:color="auto" w:fill="FFFFFF"/>
          <w:lang w:val="es-ES_tradnl"/>
        </w:rPr>
        <w:t xml:space="preserve">. Esto por supuesto a menos que el </w:t>
      </w:r>
      <w:proofErr w:type="gramStart"/>
      <w:r w:rsidR="00B2491A" w:rsidRPr="00ED66B7">
        <w:rPr>
          <w:rFonts w:ascii="Arial" w:hAnsi="Arial" w:cs="Arial"/>
          <w:sz w:val="22"/>
          <w:szCs w:val="22"/>
          <w:shd w:val="clear" w:color="auto" w:fill="FFFFFF"/>
          <w:lang w:val="es-ES_tradnl"/>
        </w:rPr>
        <w:t>Presidente</w:t>
      </w:r>
      <w:proofErr w:type="gramEnd"/>
      <w:r w:rsidR="00B2491A" w:rsidRPr="00ED66B7">
        <w:rPr>
          <w:rFonts w:ascii="Arial" w:hAnsi="Arial" w:cs="Arial"/>
          <w:sz w:val="22"/>
          <w:szCs w:val="22"/>
          <w:shd w:val="clear" w:color="auto" w:fill="FFFFFF"/>
          <w:lang w:val="es-ES_tradnl"/>
        </w:rPr>
        <w:t xml:space="preserve"> de la República, en ejercicio de la potestad reglamentaria atribuida por el artículo 189.11 de la Constitución Política, le asigne un significado concreto a dicha expresión, para efectos de la </w:t>
      </w:r>
      <w:r w:rsidR="00BE4FC1" w:rsidRPr="00ED66B7">
        <w:rPr>
          <w:rFonts w:ascii="Arial" w:hAnsi="Arial" w:cs="Arial"/>
          <w:sz w:val="22"/>
          <w:szCs w:val="22"/>
          <w:shd w:val="clear" w:color="auto" w:fill="FFFFFF"/>
          <w:lang w:val="es-ES_tradnl"/>
        </w:rPr>
        <w:t xml:space="preserve">aplicación </w:t>
      </w:r>
      <w:r w:rsidR="00B2491A" w:rsidRPr="00ED66B7">
        <w:rPr>
          <w:rFonts w:ascii="Arial" w:hAnsi="Arial" w:cs="Arial"/>
          <w:sz w:val="22"/>
          <w:szCs w:val="22"/>
          <w:shd w:val="clear" w:color="auto" w:fill="FFFFFF"/>
          <w:lang w:val="es-ES_tradnl"/>
        </w:rPr>
        <w:t>del artículo 56 de la Ley 2195 de 2022</w:t>
      </w:r>
      <w:r w:rsidRPr="00ED66B7">
        <w:rPr>
          <w:rFonts w:ascii="Arial" w:eastAsia="Calibri" w:hAnsi="Arial" w:cs="Arial"/>
          <w:bCs/>
          <w:sz w:val="22"/>
          <w:lang w:val="es-ES_tradnl"/>
        </w:rPr>
        <w:t xml:space="preserve">. </w:t>
      </w:r>
      <w:r w:rsidR="00B74D7E" w:rsidRPr="00ED66B7">
        <w:rPr>
          <w:rFonts w:ascii="Arial" w:eastAsia="Calibri" w:hAnsi="Arial" w:cs="Arial"/>
          <w:bCs/>
          <w:sz w:val="22"/>
          <w:lang w:val="es-ES_tradnl"/>
        </w:rPr>
        <w:t>Conforme a esto</w:t>
      </w:r>
      <w:r w:rsidRPr="00ED66B7">
        <w:rPr>
          <w:rFonts w:ascii="Arial" w:eastAsia="Calibri" w:hAnsi="Arial" w:cs="Arial"/>
          <w:bCs/>
          <w:sz w:val="22"/>
          <w:lang w:val="es-ES_tradnl"/>
        </w:rPr>
        <w:t xml:space="preserve">, la </w:t>
      </w:r>
      <w:r w:rsidR="00DB481B" w:rsidRPr="00ED66B7">
        <w:rPr>
          <w:rFonts w:ascii="Arial" w:eastAsia="Calibri" w:hAnsi="Arial" w:cs="Arial"/>
          <w:bCs/>
          <w:sz w:val="22"/>
          <w:lang w:val="es-ES_tradnl"/>
        </w:rPr>
        <w:t>delimitación</w:t>
      </w:r>
      <w:r w:rsidRPr="00ED66B7">
        <w:rPr>
          <w:rFonts w:ascii="Arial" w:eastAsia="Calibri" w:hAnsi="Arial" w:cs="Arial"/>
          <w:bCs/>
          <w:sz w:val="22"/>
          <w:lang w:val="es-ES_tradnl"/>
        </w:rPr>
        <w:t xml:space="preserve"> de las actividades que comprenden el </w:t>
      </w:r>
      <w:r w:rsidRPr="00ED66B7">
        <w:rPr>
          <w:rFonts w:ascii="Arial" w:eastAsia="Calibri" w:hAnsi="Arial" w:cs="Arial"/>
          <w:bCs/>
          <w:i/>
          <w:iCs/>
          <w:sz w:val="22"/>
          <w:lang w:val="es-ES_tradnl"/>
        </w:rPr>
        <w:t>giro ordinario</w:t>
      </w:r>
      <w:r w:rsidR="00DB481B" w:rsidRPr="00ED66B7">
        <w:rPr>
          <w:rFonts w:ascii="Arial" w:eastAsia="Calibri" w:hAnsi="Arial" w:cs="Arial"/>
          <w:bCs/>
          <w:sz w:val="22"/>
          <w:lang w:val="es-ES_tradnl"/>
        </w:rPr>
        <w:t xml:space="preserve"> de una</w:t>
      </w:r>
      <w:r w:rsidR="00B74D7E" w:rsidRPr="00ED66B7">
        <w:rPr>
          <w:rFonts w:ascii="Arial" w:eastAsia="Calibri" w:hAnsi="Arial" w:cs="Arial"/>
          <w:bCs/>
          <w:sz w:val="22"/>
          <w:lang w:val="es-ES_tradnl"/>
        </w:rPr>
        <w:t xml:space="preserve"> determinada </w:t>
      </w:r>
      <w:proofErr w:type="gramStart"/>
      <w:r w:rsidR="00B74D7E" w:rsidRPr="00ED66B7">
        <w:rPr>
          <w:rFonts w:ascii="Arial" w:eastAsia="Calibri" w:hAnsi="Arial" w:cs="Arial"/>
          <w:bCs/>
          <w:sz w:val="22"/>
          <w:lang w:val="es-ES_tradnl"/>
        </w:rPr>
        <w:t>entidad,</w:t>
      </w:r>
      <w:proofErr w:type="gramEnd"/>
      <w:r w:rsidR="00B74D7E" w:rsidRPr="00ED66B7">
        <w:rPr>
          <w:rFonts w:ascii="Arial" w:eastAsia="Calibri" w:hAnsi="Arial" w:cs="Arial"/>
          <w:bCs/>
          <w:sz w:val="22"/>
          <w:lang w:val="es-ES_tradnl"/>
        </w:rPr>
        <w:t xml:space="preserve"> </w:t>
      </w:r>
      <w:r w:rsidR="004B3E3B" w:rsidRPr="00ED66B7">
        <w:rPr>
          <w:rFonts w:ascii="Arial" w:eastAsia="Calibri" w:hAnsi="Arial" w:cs="Arial"/>
          <w:bCs/>
          <w:sz w:val="22"/>
          <w:lang w:val="es-ES_tradnl"/>
        </w:rPr>
        <w:t xml:space="preserve">es un asunto que </w:t>
      </w:r>
      <w:r w:rsidR="002A4308" w:rsidRPr="00ED66B7">
        <w:rPr>
          <w:rFonts w:ascii="Arial" w:eastAsia="Calibri" w:hAnsi="Arial" w:cs="Arial"/>
          <w:bCs/>
          <w:sz w:val="22"/>
          <w:lang w:val="es-ES_tradnl"/>
        </w:rPr>
        <w:t xml:space="preserve">requiere de </w:t>
      </w:r>
      <w:r w:rsidR="004B3E3B" w:rsidRPr="00ED66B7">
        <w:rPr>
          <w:rFonts w:ascii="Arial" w:eastAsia="Calibri" w:hAnsi="Arial" w:cs="Arial"/>
          <w:bCs/>
          <w:sz w:val="22"/>
          <w:lang w:val="es-ES_tradnl"/>
        </w:rPr>
        <w:t>la verificación</w:t>
      </w:r>
      <w:r w:rsidR="002A4308" w:rsidRPr="00ED66B7">
        <w:rPr>
          <w:rFonts w:ascii="Arial" w:eastAsia="Calibri" w:hAnsi="Arial" w:cs="Arial"/>
          <w:bCs/>
          <w:sz w:val="22"/>
          <w:lang w:val="es-ES_tradnl"/>
        </w:rPr>
        <w:t xml:space="preserve"> de </w:t>
      </w:r>
      <w:r w:rsidR="004B3E3B" w:rsidRPr="00ED66B7">
        <w:rPr>
          <w:rFonts w:ascii="Arial" w:eastAsia="Calibri" w:hAnsi="Arial" w:cs="Arial"/>
          <w:bCs/>
          <w:sz w:val="22"/>
          <w:lang w:val="es-ES_tradnl"/>
        </w:rPr>
        <w:t xml:space="preserve">los </w:t>
      </w:r>
      <w:r w:rsidRPr="00ED66B7">
        <w:rPr>
          <w:rFonts w:ascii="Arial" w:eastAsia="Calibri" w:hAnsi="Arial" w:cs="Arial"/>
          <w:bCs/>
          <w:sz w:val="22"/>
          <w:lang w:val="es-ES_tradnl"/>
        </w:rPr>
        <w:t>actos de creación y los negocios habituales que desarroll</w:t>
      </w:r>
      <w:r w:rsidR="002A4308" w:rsidRPr="00ED66B7">
        <w:rPr>
          <w:rFonts w:ascii="Arial" w:eastAsia="Calibri" w:hAnsi="Arial" w:cs="Arial"/>
          <w:bCs/>
          <w:sz w:val="22"/>
          <w:lang w:val="es-ES_tradnl"/>
        </w:rPr>
        <w:t xml:space="preserve">a. </w:t>
      </w:r>
      <w:r w:rsidRPr="00ED66B7">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 los negocios de dichas entidades y cuáles </w:t>
      </w:r>
      <w:r w:rsidRPr="00ED66B7">
        <w:rPr>
          <w:rFonts w:ascii="Arial" w:eastAsia="Calibri" w:hAnsi="Arial" w:cs="Arial"/>
          <w:bCs/>
          <w:sz w:val="22"/>
          <w:lang w:val="es-ES_tradnl"/>
        </w:rPr>
        <w:lastRenderedPageBreak/>
        <w:t xml:space="preserve">escapan de este, pues, como se indicó, al explicar la naturaleza de los conceptos jurídicos indeterminados, la concreción del alcance de la expresión </w:t>
      </w:r>
      <w:r w:rsidRPr="00ED66B7">
        <w:rPr>
          <w:rFonts w:ascii="Arial" w:eastAsia="Calibri" w:hAnsi="Arial" w:cs="Arial"/>
          <w:bCs/>
          <w:i/>
          <w:iCs/>
          <w:sz w:val="22"/>
          <w:lang w:val="es-ES_tradnl"/>
        </w:rPr>
        <w:t>giro ordinario</w:t>
      </w:r>
      <w:r w:rsidRPr="00ED66B7">
        <w:rPr>
          <w:rFonts w:ascii="Arial" w:eastAsia="Calibri" w:hAnsi="Arial" w:cs="Arial"/>
          <w:bCs/>
          <w:sz w:val="22"/>
          <w:lang w:val="es-ES_tradnl"/>
        </w:rPr>
        <w:t xml:space="preserve"> debe hacerse en el caso concreto, empleando un criterio de interpretación restrictiva. </w:t>
      </w:r>
    </w:p>
    <w:p w14:paraId="7C76BBB7" w14:textId="6276CA9E" w:rsidR="00B2491A" w:rsidRPr="00ED66B7" w:rsidRDefault="00B2491A" w:rsidP="00B2491A">
      <w:pPr>
        <w:spacing w:before="120" w:line="276" w:lineRule="auto"/>
        <w:jc w:val="both"/>
        <w:rPr>
          <w:rFonts w:ascii="Arial" w:hAnsi="Arial" w:cs="Arial"/>
          <w:sz w:val="22"/>
          <w:szCs w:val="22"/>
          <w:shd w:val="clear" w:color="auto" w:fill="FFFFFF"/>
          <w:lang w:val="es-ES_tradnl"/>
        </w:rPr>
      </w:pPr>
      <w:r w:rsidRPr="00ED66B7">
        <w:rPr>
          <w:rFonts w:ascii="Arial" w:hAnsi="Arial" w:cs="Arial"/>
          <w:sz w:val="22"/>
          <w:szCs w:val="22"/>
          <w:shd w:val="clear" w:color="auto" w:fill="FFFFFF"/>
          <w:lang w:val="es-ES_tradnl"/>
        </w:rPr>
        <w:tab/>
      </w:r>
      <w:r w:rsidR="00C01BE9" w:rsidRPr="00ED66B7">
        <w:rPr>
          <w:rFonts w:ascii="Arial" w:hAnsi="Arial" w:cs="Arial"/>
          <w:sz w:val="22"/>
          <w:szCs w:val="22"/>
          <w:shd w:val="clear" w:color="auto" w:fill="FFFFFF"/>
          <w:lang w:val="es-ES_tradnl"/>
        </w:rPr>
        <w:t xml:space="preserve">En todo caso, siendo </w:t>
      </w:r>
      <w:r w:rsidRPr="00ED66B7">
        <w:rPr>
          <w:rFonts w:ascii="Arial" w:hAnsi="Arial" w:cs="Arial"/>
          <w:sz w:val="22"/>
          <w:szCs w:val="22"/>
          <w:shd w:val="clear" w:color="auto" w:fill="FFFFFF"/>
          <w:lang w:val="es-ES_tradnl"/>
        </w:rPr>
        <w:t xml:space="preserve">el parágrafo del artículo 56 de la Ley 2195 de 2022 una disposición restrictiva, en la medida en que consagra una excepción a una regla general, la interpretación que amerita es literal, más </w:t>
      </w:r>
      <w:proofErr w:type="gramStart"/>
      <w:r w:rsidR="00C01BE9" w:rsidRPr="00ED66B7">
        <w:rPr>
          <w:rFonts w:ascii="Arial" w:hAnsi="Arial" w:cs="Arial"/>
          <w:sz w:val="22"/>
          <w:szCs w:val="22"/>
          <w:shd w:val="clear" w:color="auto" w:fill="FFFFFF"/>
          <w:lang w:val="es-ES_tradnl"/>
        </w:rPr>
        <w:t>aun</w:t>
      </w:r>
      <w:proofErr w:type="gramEnd"/>
      <w:r w:rsidRPr="00ED66B7">
        <w:rPr>
          <w:rFonts w:ascii="Arial" w:hAnsi="Arial" w:cs="Arial"/>
          <w:sz w:val="22"/>
          <w:szCs w:val="22"/>
          <w:shd w:val="clear" w:color="auto" w:fill="FFFFFF"/>
          <w:lang w:val="es-ES_tradnl"/>
        </w:rPr>
        <w:t xml:space="preserve"> tratándose de un precepto con un sentido claro, al tenor de lo dispuesto en el artículo 27 del Código Civil. Esto por cuanto, revisado el texto de esta preceptiva, resulta </w:t>
      </w:r>
      <w:r w:rsidR="00BE4FC1" w:rsidRPr="00ED66B7">
        <w:rPr>
          <w:rFonts w:ascii="Arial" w:hAnsi="Arial" w:cs="Arial"/>
          <w:sz w:val="22"/>
          <w:szCs w:val="22"/>
          <w:shd w:val="clear" w:color="auto" w:fill="FFFFFF"/>
          <w:lang w:val="es-ES_tradnl"/>
        </w:rPr>
        <w:t xml:space="preserve">evidente </w:t>
      </w:r>
      <w:r w:rsidRPr="00ED66B7">
        <w:rPr>
          <w:rFonts w:ascii="Arial" w:hAnsi="Arial" w:cs="Arial"/>
          <w:sz w:val="22"/>
          <w:szCs w:val="22"/>
          <w:shd w:val="clear" w:color="auto" w:fill="FFFFFF"/>
          <w:lang w:val="es-ES_tradnl"/>
        </w:rPr>
        <w:t xml:space="preserve">que lo dispuesto por el Congreso de la República, en ejercicio de la libertad de configuración normativa que le asiste, fue excluir </w:t>
      </w:r>
      <w:r w:rsidR="00BE4FC1" w:rsidRPr="00ED66B7">
        <w:rPr>
          <w:rFonts w:ascii="Arial" w:hAnsi="Arial" w:cs="Arial"/>
          <w:sz w:val="22"/>
          <w:szCs w:val="22"/>
          <w:shd w:val="clear" w:color="auto" w:fill="FFFFFF"/>
          <w:lang w:val="es-ES_tradnl"/>
        </w:rPr>
        <w:t xml:space="preserve">a </w:t>
      </w:r>
      <w:r w:rsidRPr="00ED66B7">
        <w:rPr>
          <w:rFonts w:ascii="Arial" w:hAnsi="Arial" w:cs="Arial"/>
          <w:sz w:val="22"/>
          <w:szCs w:val="22"/>
          <w:shd w:val="clear" w:color="auto" w:fill="FFFFFF"/>
          <w:lang w:val="es-ES_tradnl"/>
        </w:rPr>
        <w:t>los documentos tipo</w:t>
      </w:r>
      <w:r w:rsidR="00BE4FC1" w:rsidRPr="00ED66B7">
        <w:rPr>
          <w:rFonts w:ascii="Arial" w:hAnsi="Arial" w:cs="Arial"/>
          <w:sz w:val="22"/>
          <w:szCs w:val="22"/>
          <w:shd w:val="clear" w:color="auto" w:fill="FFFFFF"/>
          <w:lang w:val="es-ES_tradnl"/>
        </w:rPr>
        <w:t>, en el contexto del artículo 56 ibídem,</w:t>
      </w:r>
      <w:r w:rsidRPr="00ED66B7">
        <w:rPr>
          <w:rFonts w:ascii="Arial" w:hAnsi="Arial" w:cs="Arial"/>
          <w:sz w:val="22"/>
          <w:szCs w:val="22"/>
          <w:shd w:val="clear" w:color="auto" w:fill="FFFFFF"/>
          <w:lang w:val="es-ES_tradnl"/>
        </w:rPr>
        <w:t xml:space="preserve"> a la contratación relacionada con el </w:t>
      </w:r>
      <w:r w:rsidRPr="00ED66B7">
        <w:rPr>
          <w:rFonts w:ascii="Arial" w:hAnsi="Arial" w:cs="Arial"/>
          <w:i/>
          <w:iCs/>
          <w:sz w:val="22"/>
          <w:szCs w:val="22"/>
          <w:shd w:val="clear" w:color="auto" w:fill="FFFFFF"/>
          <w:lang w:val="es-ES_tradnl"/>
        </w:rPr>
        <w:t>giro ordinario</w:t>
      </w:r>
      <w:r w:rsidRPr="00ED66B7">
        <w:rPr>
          <w:rFonts w:ascii="Arial" w:hAnsi="Arial" w:cs="Arial"/>
          <w:sz w:val="22"/>
          <w:szCs w:val="22"/>
          <w:shd w:val="clear" w:color="auto" w:fill="FFFFFF"/>
          <w:lang w:val="es-ES_tradnl"/>
        </w:rPr>
        <w:t xml:space="preserve"> de las </w:t>
      </w:r>
      <w:r w:rsidRPr="00ED66B7">
        <w:rPr>
          <w:rFonts w:ascii="Arial" w:eastAsia="Calibri" w:hAnsi="Arial" w:cs="Arial"/>
          <w:bCs/>
          <w:sz w:val="22"/>
          <w:lang w:val="es-ES_tradnl"/>
        </w:rPr>
        <w:t xml:space="preserve">instituciones de educación superior públicas, las empresas sociales del Estado, las sociedades de economía mixta y las empresas industriales y comerciales del Estado, a menos que su manual interno de contratación decida implementarlos como una buena práctica contractual. </w:t>
      </w:r>
    </w:p>
    <w:p w14:paraId="510F413F" w14:textId="77777777" w:rsidR="000E22BA" w:rsidRPr="00ED66B7" w:rsidRDefault="000E22BA" w:rsidP="00E6151F">
      <w:pPr>
        <w:spacing w:line="276" w:lineRule="auto"/>
        <w:jc w:val="both"/>
        <w:rPr>
          <w:rFonts w:ascii="Arial" w:hAnsi="Arial" w:cs="Arial"/>
          <w:sz w:val="22"/>
          <w:lang w:val="es-ES_tradnl"/>
        </w:rPr>
      </w:pPr>
    </w:p>
    <w:p w14:paraId="7B2C921D" w14:textId="37DC1C97" w:rsidR="00DD5B04" w:rsidRPr="00ED66B7" w:rsidRDefault="00DD5B04" w:rsidP="00DF76A2">
      <w:pPr>
        <w:spacing w:line="276" w:lineRule="auto"/>
        <w:jc w:val="both"/>
        <w:rPr>
          <w:rFonts w:ascii="Arial" w:hAnsi="Arial" w:cs="Arial"/>
          <w:sz w:val="22"/>
          <w:lang w:val="es-ES_tradnl"/>
        </w:rPr>
      </w:pPr>
      <w:r w:rsidRPr="00ED66B7">
        <w:rPr>
          <w:rFonts w:ascii="Arial" w:hAnsi="Arial" w:cs="Arial"/>
          <w:sz w:val="22"/>
          <w:lang w:val="es-ES_tradnl"/>
        </w:rPr>
        <w:t>Este concepto tiene el alcance previsto en el artículo 28 del Código de Procedimiento Administrativo y de lo Contencioso Administrativo.</w:t>
      </w:r>
    </w:p>
    <w:p w14:paraId="77EE5912" w14:textId="50869E2D"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02B24AF1"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D66B7">
        <w:rPr>
          <w:rFonts w:ascii="Arial" w:hAnsi="Arial" w:cs="Arial"/>
          <w:sz w:val="22"/>
          <w:szCs w:val="22"/>
          <w:lang w:val="es-ES_tradnl"/>
        </w:rPr>
        <w:t>Atentamente,</w:t>
      </w:r>
    </w:p>
    <w:p w14:paraId="1059D3FE" w14:textId="0CF1BDD2" w:rsidR="00FD6145" w:rsidRPr="00ED66B7" w:rsidRDefault="00BC0961" w:rsidP="00BC0961">
      <w:pPr>
        <w:jc w:val="center"/>
        <w:rPr>
          <w:rFonts w:ascii="Arial" w:hAnsi="Arial" w:cs="Arial"/>
          <w:sz w:val="22"/>
          <w:lang w:eastAsia="es-CO"/>
        </w:rPr>
      </w:pPr>
      <w:r>
        <w:rPr>
          <w:noProof/>
        </w:rPr>
        <w:drawing>
          <wp:inline distT="0" distB="0" distL="0" distR="0" wp14:anchorId="310BD298" wp14:editId="169F5C3F">
            <wp:extent cx="2514600" cy="1114425"/>
            <wp:effectExtent l="0" t="0" r="0" b="9525"/>
            <wp:docPr id="2" name="Imagen 2"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61266368" w14:textId="1A3A94FD" w:rsidR="00FD6145" w:rsidRPr="00ED66B7" w:rsidRDefault="00FD6145" w:rsidP="00FD6145">
      <w:pPr>
        <w:jc w:val="center"/>
        <w:rPr>
          <w:rFonts w:ascii="Arial" w:hAnsi="Arial" w:cs="Arial"/>
          <w:sz w:val="18"/>
          <w:szCs w:val="20"/>
          <w:lang w:eastAsia="es-CO"/>
        </w:rPr>
      </w:pPr>
    </w:p>
    <w:p w14:paraId="18C06619" w14:textId="77777777" w:rsidR="00FD6145" w:rsidRPr="00ED66B7" w:rsidRDefault="00FD6145" w:rsidP="00FD614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C01BE9" w:rsidRPr="00ED66B7" w14:paraId="1BAC2C00" w14:textId="77777777" w:rsidTr="00681E7E">
        <w:trPr>
          <w:trHeight w:val="315"/>
        </w:trPr>
        <w:tc>
          <w:tcPr>
            <w:tcW w:w="812" w:type="dxa"/>
            <w:vAlign w:val="center"/>
            <w:hideMark/>
          </w:tcPr>
          <w:p w14:paraId="28199457" w14:textId="77777777"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785C9D7A" w14:textId="77777777"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Alejandro Sarmiento Cantillo</w:t>
            </w:r>
          </w:p>
          <w:p w14:paraId="1412434A" w14:textId="284F5B58"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Gestor T1-1</w:t>
            </w:r>
            <w:r w:rsidR="00BA2FF5" w:rsidRPr="00ED66B7">
              <w:rPr>
                <w:rFonts w:ascii="Arial" w:hAnsi="Arial" w:cs="Arial"/>
                <w:sz w:val="16"/>
                <w:szCs w:val="16"/>
                <w:lang w:eastAsia="es-ES"/>
              </w:rPr>
              <w:t>5</w:t>
            </w:r>
            <w:r w:rsidRPr="00ED66B7">
              <w:rPr>
                <w:rFonts w:ascii="Arial" w:hAnsi="Arial" w:cs="Arial"/>
                <w:sz w:val="16"/>
                <w:szCs w:val="16"/>
                <w:lang w:eastAsia="es-ES"/>
              </w:rPr>
              <w:t xml:space="preserve"> de la Subdirección de Gestión Contractual</w:t>
            </w:r>
          </w:p>
        </w:tc>
      </w:tr>
      <w:tr w:rsidR="00C01BE9" w:rsidRPr="00ED66B7" w14:paraId="1FFF055B" w14:textId="77777777" w:rsidTr="00681E7E">
        <w:trPr>
          <w:trHeight w:val="330"/>
        </w:trPr>
        <w:tc>
          <w:tcPr>
            <w:tcW w:w="812" w:type="dxa"/>
            <w:vAlign w:val="center"/>
            <w:hideMark/>
          </w:tcPr>
          <w:p w14:paraId="3720C5BB" w14:textId="77777777"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F4E6694" w14:textId="7286C42B" w:rsidR="00FD6145" w:rsidRPr="00ED66B7" w:rsidRDefault="00CD04A3" w:rsidP="00681E7E">
            <w:pPr>
              <w:rPr>
                <w:rFonts w:ascii="Arial" w:hAnsi="Arial" w:cs="Arial"/>
                <w:sz w:val="16"/>
                <w:szCs w:val="16"/>
                <w:lang w:eastAsia="es-ES"/>
              </w:rPr>
            </w:pPr>
            <w:r w:rsidRPr="00ED66B7">
              <w:rPr>
                <w:rFonts w:ascii="Arial" w:hAnsi="Arial" w:cs="Arial"/>
                <w:sz w:val="16"/>
                <w:szCs w:val="16"/>
                <w:lang w:eastAsia="es-ES"/>
              </w:rPr>
              <w:t>Sebastián Ramírez Grisales</w:t>
            </w:r>
          </w:p>
          <w:p w14:paraId="7DC23F30" w14:textId="70E9B42E" w:rsidR="00FD6145" w:rsidRPr="00ED66B7" w:rsidRDefault="009F091C" w:rsidP="00681E7E">
            <w:pPr>
              <w:rPr>
                <w:rFonts w:ascii="Arial" w:hAnsi="Arial" w:cs="Arial"/>
                <w:sz w:val="16"/>
                <w:szCs w:val="16"/>
                <w:lang w:eastAsia="es-ES"/>
              </w:rPr>
            </w:pPr>
            <w:r w:rsidRPr="00ED66B7">
              <w:rPr>
                <w:rFonts w:ascii="Arial" w:hAnsi="Arial" w:cs="Arial"/>
                <w:sz w:val="16"/>
                <w:szCs w:val="16"/>
                <w:lang w:eastAsia="es-ES"/>
              </w:rPr>
              <w:t>Contratista</w:t>
            </w:r>
            <w:r w:rsidR="00FD6145" w:rsidRPr="00ED66B7">
              <w:rPr>
                <w:rFonts w:ascii="Arial" w:hAnsi="Arial" w:cs="Arial"/>
                <w:sz w:val="16"/>
                <w:szCs w:val="16"/>
                <w:lang w:eastAsia="es-ES"/>
              </w:rPr>
              <w:t xml:space="preserve"> de la Subdirección de Gestión Contractual</w:t>
            </w:r>
          </w:p>
        </w:tc>
      </w:tr>
      <w:tr w:rsidR="005264A0" w:rsidRPr="00C01BE9" w14:paraId="6282D584" w14:textId="77777777" w:rsidTr="00681E7E">
        <w:trPr>
          <w:trHeight w:val="300"/>
        </w:trPr>
        <w:tc>
          <w:tcPr>
            <w:tcW w:w="812" w:type="dxa"/>
            <w:vAlign w:val="center"/>
            <w:hideMark/>
          </w:tcPr>
          <w:p w14:paraId="157D43B6" w14:textId="77777777"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19B53D2" w14:textId="77777777" w:rsidR="00FD6145" w:rsidRPr="00ED66B7" w:rsidRDefault="00FD6145" w:rsidP="00681E7E">
            <w:pPr>
              <w:rPr>
                <w:rFonts w:ascii="Arial" w:hAnsi="Arial" w:cs="Arial"/>
                <w:sz w:val="16"/>
                <w:szCs w:val="16"/>
                <w:lang w:eastAsia="es-ES"/>
              </w:rPr>
            </w:pPr>
            <w:r w:rsidRPr="00ED66B7">
              <w:rPr>
                <w:rFonts w:ascii="Arial" w:hAnsi="Arial" w:cs="Arial"/>
                <w:sz w:val="16"/>
                <w:szCs w:val="16"/>
                <w:lang w:eastAsia="es-ES"/>
              </w:rPr>
              <w:t>Jorge Augusto Tirado Navarro</w:t>
            </w:r>
          </w:p>
          <w:p w14:paraId="3EEB4354" w14:textId="77777777" w:rsidR="00FD6145" w:rsidRPr="00C01BE9" w:rsidRDefault="00FD6145" w:rsidP="00681E7E">
            <w:pPr>
              <w:rPr>
                <w:rFonts w:ascii="Arial" w:hAnsi="Arial" w:cs="Arial"/>
                <w:sz w:val="16"/>
                <w:szCs w:val="16"/>
                <w:lang w:eastAsia="es-ES"/>
              </w:rPr>
            </w:pPr>
            <w:r w:rsidRPr="00ED66B7">
              <w:rPr>
                <w:rFonts w:ascii="Arial" w:hAnsi="Arial" w:cs="Arial"/>
                <w:sz w:val="16"/>
                <w:szCs w:val="16"/>
                <w:lang w:eastAsia="es-ES"/>
              </w:rPr>
              <w:t>Subdirector de Gestión Contractual ANCP – CCE</w:t>
            </w:r>
          </w:p>
        </w:tc>
      </w:tr>
      <w:bookmarkEnd w:id="2"/>
    </w:tbl>
    <w:p w14:paraId="35B56F46" w14:textId="77777777" w:rsidR="00746E08" w:rsidRPr="00C01BE9" w:rsidRDefault="00746E08" w:rsidP="00215B8E">
      <w:pPr>
        <w:jc w:val="both"/>
        <w:rPr>
          <w:rFonts w:ascii="Arial" w:hAnsi="Arial" w:cs="Arial"/>
          <w:lang w:val="es-ES_tradnl"/>
        </w:rPr>
      </w:pPr>
    </w:p>
    <w:sectPr w:rsidR="00746E08" w:rsidRPr="00C01BE9" w:rsidSect="006928B0">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FB000" w14:textId="77777777" w:rsidR="00B3010C" w:rsidRDefault="00B3010C">
      <w:r>
        <w:separator/>
      </w:r>
    </w:p>
  </w:endnote>
  <w:endnote w:type="continuationSeparator" w:id="0">
    <w:p w14:paraId="220A881C" w14:textId="77777777" w:rsidR="00B3010C" w:rsidRDefault="00B3010C">
      <w:r>
        <w:continuationSeparator/>
      </w:r>
    </w:p>
  </w:endnote>
  <w:endnote w:type="continuationNotice" w:id="1">
    <w:p w14:paraId="6FF5B14B" w14:textId="77777777" w:rsidR="00B3010C" w:rsidRDefault="00B30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5887C" w14:textId="77777777" w:rsidR="00B3010C" w:rsidRDefault="00B3010C">
      <w:r>
        <w:separator/>
      </w:r>
    </w:p>
  </w:footnote>
  <w:footnote w:type="continuationSeparator" w:id="0">
    <w:p w14:paraId="2D15A1BA" w14:textId="77777777" w:rsidR="00B3010C" w:rsidRDefault="00B3010C">
      <w:r>
        <w:continuationSeparator/>
      </w:r>
    </w:p>
  </w:footnote>
  <w:footnote w:type="continuationNotice" w:id="1">
    <w:p w14:paraId="01026E26" w14:textId="77777777" w:rsidR="00B3010C" w:rsidRDefault="00B3010C"/>
  </w:footnote>
  <w:footnote w:id="2">
    <w:p w14:paraId="20EA11A9" w14:textId="77777777" w:rsidR="00697A76" w:rsidRDefault="00697A76" w:rsidP="00B87A1C">
      <w:pPr>
        <w:pStyle w:val="Textonotapie"/>
        <w:ind w:firstLine="708"/>
        <w:jc w:val="both"/>
        <w:rPr>
          <w:rFonts w:ascii="Arial" w:hAnsi="Arial" w:cs="Arial"/>
          <w:sz w:val="19"/>
          <w:szCs w:val="19"/>
        </w:rPr>
      </w:pPr>
      <w:r w:rsidRPr="00D1095F">
        <w:rPr>
          <w:rStyle w:val="Refdenotaalpie"/>
          <w:rFonts w:ascii="Arial" w:hAnsi="Arial" w:cs="Arial"/>
          <w:sz w:val="19"/>
          <w:szCs w:val="19"/>
        </w:rPr>
        <w:footnoteRef/>
      </w:r>
      <w:r w:rsidRPr="00D1095F">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3A1B55E1" w14:textId="77777777" w:rsidR="00B87A1C" w:rsidRPr="00D1095F" w:rsidRDefault="00B87A1C" w:rsidP="00B87A1C">
      <w:pPr>
        <w:pStyle w:val="Textonotapie"/>
        <w:ind w:firstLine="708"/>
        <w:jc w:val="both"/>
        <w:rPr>
          <w:rFonts w:ascii="Arial" w:hAnsi="Arial" w:cs="Arial"/>
          <w:sz w:val="19"/>
          <w:szCs w:val="19"/>
        </w:rPr>
      </w:pPr>
    </w:p>
  </w:footnote>
  <w:footnote w:id="3">
    <w:p w14:paraId="7EE9C5D4" w14:textId="5E3BEE2B" w:rsidR="00272393" w:rsidRPr="00A966E6" w:rsidRDefault="00272393" w:rsidP="00B87A1C">
      <w:pPr>
        <w:pStyle w:val="Textonotapie"/>
        <w:ind w:firstLine="708"/>
        <w:jc w:val="both"/>
        <w:rPr>
          <w:rFonts w:ascii="Arial" w:hAnsi="Arial" w:cs="Arial"/>
          <w:sz w:val="19"/>
          <w:szCs w:val="19"/>
        </w:rPr>
      </w:pPr>
      <w:r w:rsidRPr="00D1095F">
        <w:rPr>
          <w:rStyle w:val="Refdenotaalpie"/>
          <w:rFonts w:ascii="Arial" w:hAnsi="Arial" w:cs="Arial"/>
          <w:sz w:val="19"/>
          <w:szCs w:val="19"/>
        </w:rPr>
        <w:footnoteRef/>
      </w:r>
      <w:r w:rsidRPr="00A966E6">
        <w:rPr>
          <w:rFonts w:ascii="Arial" w:hAnsi="Arial" w:cs="Arial"/>
          <w:sz w:val="19"/>
          <w:szCs w:val="19"/>
        </w:rPr>
        <w:t xml:space="preserve"> Los conceptos indicados pueden consultarse en el siguiente enlace: </w:t>
      </w:r>
      <w:hyperlink r:id="rId1" w:history="1">
        <w:r w:rsidR="00697A76" w:rsidRPr="00A966E6">
          <w:rPr>
            <w:rStyle w:val="Hipervnculo"/>
            <w:rFonts w:ascii="Arial" w:hAnsi="Arial" w:cs="Arial"/>
            <w:color w:val="auto"/>
            <w:sz w:val="19"/>
            <w:szCs w:val="19"/>
          </w:rPr>
          <w:t>https://relatoria.colombiacompra.gov.co/busqueda/conceptos</w:t>
        </w:r>
      </w:hyperlink>
      <w:r w:rsidRPr="00A966E6">
        <w:rPr>
          <w:rFonts w:ascii="Arial" w:hAnsi="Arial" w:cs="Arial"/>
          <w:sz w:val="19"/>
          <w:szCs w:val="19"/>
        </w:rPr>
        <w:t>.</w:t>
      </w:r>
    </w:p>
    <w:p w14:paraId="7787F768" w14:textId="77777777" w:rsidR="00697A76" w:rsidRPr="00D1095F" w:rsidRDefault="00697A76" w:rsidP="00B87A1C">
      <w:pPr>
        <w:pStyle w:val="Textonotapie"/>
        <w:ind w:firstLine="708"/>
        <w:jc w:val="both"/>
        <w:rPr>
          <w:rFonts w:ascii="Arial" w:hAnsi="Arial" w:cs="Arial"/>
          <w:sz w:val="19"/>
          <w:szCs w:val="19"/>
        </w:rPr>
      </w:pPr>
    </w:p>
  </w:footnote>
  <w:footnote w:id="4">
    <w:p w14:paraId="63FFDA68" w14:textId="42B56511" w:rsidR="00B67CED" w:rsidRPr="00A966E6" w:rsidRDefault="00B67CED" w:rsidP="00B87A1C">
      <w:pPr>
        <w:pStyle w:val="Textonotapie"/>
        <w:ind w:firstLine="709"/>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5">
    <w:p w14:paraId="696AB9E5" w14:textId="6CCF38F9"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sz w:val="19"/>
          <w:szCs w:val="19"/>
          <w:lang w:val="es-CO"/>
        </w:rPr>
        <w:t>Ley 1882 de 2018: «Artículo 4.</w:t>
      </w:r>
      <w:r w:rsidR="00661118" w:rsidRPr="00A966E6">
        <w:rPr>
          <w:rFonts w:ascii="Arial" w:hAnsi="Arial" w:cs="Arial"/>
          <w:sz w:val="19"/>
          <w:szCs w:val="19"/>
          <w:lang w:val="es-CO"/>
        </w:rPr>
        <w:t xml:space="preserve"> </w:t>
      </w:r>
      <w:r w:rsidRPr="00A966E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»La facultad de adoptar documentos tipo la tendrá el Gobierno nacional, cuando lo considere necesario, en relación con otros contratos o procesos de selección.</w:t>
      </w:r>
    </w:p>
    <w:p w14:paraId="0A291D68" w14:textId="678C75E8"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»Los pliegos tipo se adoptarán por categorías de acuerdo con la cuantía de la contratación, según la reglamentación que expida el Gobierno nacional».</w:t>
      </w:r>
    </w:p>
  </w:footnote>
  <w:footnote w:id="6">
    <w:p w14:paraId="6659CE0F" w14:textId="77777777"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A966E6" w:rsidRDefault="00B67CED" w:rsidP="00B87A1C">
      <w:pPr>
        <w:pStyle w:val="Textonotapie"/>
        <w:ind w:firstLine="709"/>
        <w:jc w:val="both"/>
        <w:rPr>
          <w:rFonts w:ascii="Arial" w:hAnsi="Arial" w:cs="Arial"/>
          <w:sz w:val="19"/>
          <w:szCs w:val="19"/>
        </w:rPr>
      </w:pPr>
    </w:p>
  </w:footnote>
  <w:footnote w:id="7">
    <w:p w14:paraId="08642F66" w14:textId="3AA06E81"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Ley 2022 de 2020: «</w:t>
      </w:r>
      <w:r w:rsidRPr="00A966E6">
        <w:rPr>
          <w:rStyle w:val="Textoennegrita"/>
          <w:rFonts w:ascii="Arial" w:hAnsi="Arial" w:cs="Arial"/>
          <w:b w:val="0"/>
          <w:bCs w:val="0"/>
          <w:color w:val="000000"/>
          <w:sz w:val="19"/>
          <w:szCs w:val="19"/>
        </w:rPr>
        <w:t>Artículo 1º.</w:t>
      </w:r>
      <w:r w:rsidRPr="00A966E6">
        <w:rPr>
          <w:rFonts w:ascii="Arial" w:hAnsi="Arial" w:cs="Arial"/>
          <w:color w:val="000000"/>
          <w:sz w:val="19"/>
          <w:szCs w:val="19"/>
        </w:rPr>
        <w:t> Modifíquese el artículo 4º de la Ley 1882 de 2018, el cual quedará así: </w:t>
      </w:r>
    </w:p>
    <w:p w14:paraId="067B1441" w14:textId="37BC1DBC"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»Artículo 4º.</w:t>
      </w:r>
      <w:r w:rsidRPr="00A966E6">
        <w:rPr>
          <w:rFonts w:ascii="Arial" w:hAnsi="Arial" w:cs="Arial"/>
          <w:color w:val="000000"/>
          <w:sz w:val="19"/>
          <w:szCs w:val="19"/>
        </w:rPr>
        <w:t> Adiciónese el siguiente parágrafo al artículo 2º de la Ley 1150 de 2007. </w:t>
      </w:r>
    </w:p>
    <w:p w14:paraId="3AC4BDEE" w14:textId="46CD8B17"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»Parágrafo 7º.</w:t>
      </w:r>
      <w:r w:rsidRPr="00A966E6">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D1095F" w:rsidRDefault="00A90557" w:rsidP="00B87A1C">
      <w:pPr>
        <w:pStyle w:val="NormalWeb"/>
        <w:spacing w:before="0" w:beforeAutospacing="0" w:after="0" w:afterAutospacing="0"/>
        <w:ind w:firstLine="708"/>
        <w:jc w:val="both"/>
        <w:rPr>
          <w:rFonts w:ascii="Arial" w:hAnsi="Arial" w:cs="Arial"/>
          <w:sz w:val="19"/>
          <w:szCs w:val="19"/>
        </w:rPr>
      </w:pPr>
      <w:r w:rsidRPr="00A966E6">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7EB53700"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9">
    <w:p w14:paraId="090C02B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Style w:val="Textoennegrita"/>
          <w:rFonts w:ascii="Arial" w:hAnsi="Arial" w:cs="Arial"/>
          <w:b w:val="0"/>
          <w:bCs w:val="0"/>
          <w:color w:val="000000"/>
          <w:sz w:val="19"/>
          <w:szCs w:val="19"/>
        </w:rPr>
        <w:t>Artículo 2°.</w:t>
      </w:r>
      <w:r w:rsidRPr="00A966E6">
        <w:rPr>
          <w:rStyle w:val="nfasis"/>
          <w:rFonts w:ascii="Arial" w:hAnsi="Arial" w:cs="Arial"/>
          <w:i w:val="0"/>
          <w:iCs w:val="0"/>
          <w:color w:val="000000"/>
          <w:sz w:val="19"/>
          <w:szCs w:val="19"/>
        </w:rPr>
        <w:t>De las modalidades de selección</w:t>
      </w:r>
      <w:r w:rsidRPr="00A966E6">
        <w:rPr>
          <w:rStyle w:val="nfasis"/>
          <w:rFonts w:ascii="Arial" w:hAnsi="Arial" w:cs="Arial"/>
          <w:b/>
          <w:bCs/>
          <w:color w:val="000000"/>
          <w:sz w:val="19"/>
          <w:szCs w:val="19"/>
        </w:rPr>
        <w:t>. </w:t>
      </w:r>
      <w:r w:rsidRPr="00A966E6">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CD03EB5"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p>
    <w:p w14:paraId="4C0269A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»4. Contratación directa</w:t>
      </w:r>
      <w:r w:rsidRPr="00A966E6">
        <w:rPr>
          <w:rFonts w:ascii="Arial" w:hAnsi="Arial" w:cs="Arial"/>
          <w:b/>
          <w:bCs/>
          <w:color w:val="000000"/>
          <w:sz w:val="19"/>
          <w:szCs w:val="19"/>
        </w:rPr>
        <w:t>. </w:t>
      </w:r>
      <w:r w:rsidRPr="00A966E6">
        <w:rPr>
          <w:rFonts w:ascii="Arial" w:hAnsi="Arial" w:cs="Arial"/>
          <w:color w:val="000000"/>
          <w:sz w:val="19"/>
          <w:szCs w:val="19"/>
        </w:rPr>
        <w:t>La modalidad de selección de contratación directa, solamente procederá en los siguientes casos: </w:t>
      </w:r>
    </w:p>
    <w:p w14:paraId="139B81C9"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  </w:t>
      </w:r>
    </w:p>
    <w:p w14:paraId="4FCEC141" w14:textId="77777777" w:rsidR="009C48E6" w:rsidRPr="00A966E6" w:rsidRDefault="009C48E6" w:rsidP="00B87A1C">
      <w:pPr>
        <w:ind w:firstLine="708"/>
        <w:jc w:val="both"/>
        <w:rPr>
          <w:rFonts w:ascii="Arial" w:hAnsi="Arial" w:cs="Arial"/>
          <w:color w:val="000000"/>
          <w:sz w:val="19"/>
          <w:szCs w:val="19"/>
          <w:lang w:eastAsia="es-CO"/>
        </w:rPr>
      </w:pPr>
      <w:r w:rsidRPr="00A966E6">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D8AE28"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89E22AE"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05A52124"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AF510D6" w14:textId="77777777" w:rsidR="009C48E6" w:rsidRPr="00A966E6" w:rsidRDefault="009C48E6" w:rsidP="00B87A1C">
      <w:pPr>
        <w:jc w:val="both"/>
        <w:rPr>
          <w:rFonts w:ascii="Arial" w:hAnsi="Arial" w:cs="Arial"/>
          <w:sz w:val="19"/>
          <w:szCs w:val="19"/>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»Estarán exceptuados de la figura del contrato interadministrativo, los contratos de seguro de las entidades estatales[…]». </w:t>
      </w:r>
      <w:r w:rsidRPr="00A966E6">
        <w:rPr>
          <w:rFonts w:ascii="Arial" w:hAnsi="Arial" w:cs="Arial"/>
          <w:sz w:val="19"/>
          <w:szCs w:val="19"/>
        </w:rPr>
        <w:t xml:space="preserve"> </w:t>
      </w:r>
    </w:p>
  </w:footnote>
  <w:footnote w:id="10">
    <w:p w14:paraId="1693A268" w14:textId="77777777" w:rsidR="009C48E6" w:rsidRPr="00A966E6" w:rsidRDefault="009C48E6" w:rsidP="00B87A1C">
      <w:pPr>
        <w:pStyle w:val="Textonotapie"/>
        <w:ind w:firstLine="708"/>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A966E6">
        <w:rPr>
          <w:rFonts w:ascii="Arial" w:hAnsi="Arial" w:cs="Arial"/>
          <w:i/>
          <w:iCs/>
          <w:sz w:val="19"/>
          <w:szCs w:val="19"/>
        </w:rPr>
        <w:t>lex posterior derogat legi priori</w:t>
      </w:r>
      <w:r w:rsidRPr="00A966E6">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38CA4041"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 xml:space="preserve">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A966E6">
        <w:rPr>
          <w:rFonts w:ascii="Arial" w:hAnsi="Arial" w:cs="Arial"/>
          <w:color w:val="000000" w:themeColor="text1"/>
          <w:sz w:val="19"/>
          <w:szCs w:val="19"/>
          <w:lang w:val="es-ES"/>
        </w:rPr>
        <w:t>Civitas</w:t>
      </w:r>
      <w:proofErr w:type="spellEnd"/>
      <w:r w:rsidRPr="00A966E6">
        <w:rPr>
          <w:rFonts w:ascii="Arial" w:hAnsi="Arial" w:cs="Arial"/>
          <w:color w:val="000000" w:themeColor="text1"/>
          <w:sz w:val="19"/>
          <w:szCs w:val="19"/>
          <w:lang w:val="es-ES"/>
        </w:rPr>
        <w:t>, 1983. pp. 33-34).</w:t>
      </w:r>
    </w:p>
  </w:footnote>
  <w:footnote w:id="12">
    <w:p w14:paraId="420FDA99"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Sentencia C-382 de 2019, M.P. Alejandro Linares Cantillo.</w:t>
      </w:r>
    </w:p>
  </w:footnote>
  <w:footnote w:id="13">
    <w:p w14:paraId="7542096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La redacción original del parágrafo primero del artículo 32 de la Ley 80 de 1993, incluía la expresión </w:t>
      </w:r>
      <w:r w:rsidRPr="00A966E6">
        <w:rPr>
          <w:rFonts w:ascii="Arial" w:hAnsi="Arial" w:cs="Arial"/>
          <w:i/>
          <w:iCs/>
          <w:color w:val="000000" w:themeColor="text1"/>
          <w:sz w:val="19"/>
          <w:szCs w:val="19"/>
        </w:rPr>
        <w:t>giro ordinario</w:t>
      </w:r>
      <w:r w:rsidRPr="00A966E6">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A966E6">
        <w:rPr>
          <w:rFonts w:ascii="Arial" w:hAnsi="Arial" w:cs="Arial"/>
          <w:i/>
          <w:iCs/>
          <w:color w:val="000000" w:themeColor="text1"/>
          <w:sz w:val="19"/>
          <w:szCs w:val="19"/>
        </w:rPr>
        <w:t>al giro ordinario de las actividades propias de su objeto social,</w:t>
      </w:r>
      <w:r w:rsidRPr="00A966E6">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16EBA5D" w14:textId="77777777" w:rsidR="009C48E6" w:rsidRPr="00A966E6" w:rsidRDefault="009C48E6" w:rsidP="00B87A1C">
      <w:pPr>
        <w:pStyle w:val="Textonotapie"/>
        <w:ind w:firstLine="709"/>
        <w:jc w:val="both"/>
        <w:rPr>
          <w:rFonts w:ascii="Arial" w:hAnsi="Arial" w:cs="Arial"/>
          <w:color w:val="000000" w:themeColor="text1"/>
          <w:sz w:val="19"/>
          <w:szCs w:val="19"/>
        </w:rPr>
      </w:pPr>
    </w:p>
  </w:footnote>
  <w:footnote w:id="14">
    <w:p w14:paraId="0FF039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B. Sentencia del 12 de octubre de 2011. Exp. No. 20070. C.P. Danilo Rojas Betancourt.</w:t>
      </w:r>
    </w:p>
    <w:p w14:paraId="0DD915C6"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p>
  </w:footnote>
  <w:footnote w:id="15">
    <w:p w14:paraId="5C250ADB" w14:textId="77777777" w:rsidR="009C48E6" w:rsidRPr="00A966E6" w:rsidRDefault="009C48E6" w:rsidP="00B87A1C">
      <w:pPr>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A. Sentencia del 3 de marzo de 2021. </w:t>
      </w:r>
      <w:proofErr w:type="spellStart"/>
      <w:r w:rsidRPr="00A966E6">
        <w:rPr>
          <w:rFonts w:ascii="Arial" w:hAnsi="Arial" w:cs="Arial"/>
          <w:color w:val="000000" w:themeColor="text1"/>
          <w:sz w:val="19"/>
          <w:szCs w:val="19"/>
        </w:rPr>
        <w:t>Exp</w:t>
      </w:r>
      <w:proofErr w:type="spellEnd"/>
      <w:r w:rsidRPr="00A966E6">
        <w:rPr>
          <w:rFonts w:ascii="Arial" w:hAnsi="Arial" w:cs="Arial"/>
          <w:color w:val="000000" w:themeColor="text1"/>
          <w:sz w:val="19"/>
          <w:szCs w:val="19"/>
        </w:rPr>
        <w:t>. No. 51373. C.P. José Roberto Sáchica Méndez.</w:t>
      </w:r>
    </w:p>
    <w:p w14:paraId="141E656A" w14:textId="77777777" w:rsidR="009C48E6" w:rsidRPr="00A966E6" w:rsidRDefault="009C48E6" w:rsidP="00B87A1C">
      <w:pPr>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16">
    <w:p w14:paraId="6D255A3D"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D03C1F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7">
    <w:p w14:paraId="2435A2B6" w14:textId="77777777" w:rsidR="009C48E6" w:rsidRPr="00A966E6" w:rsidRDefault="009C48E6" w:rsidP="00B87A1C">
      <w:pPr>
        <w:pStyle w:val="Textonotapie"/>
        <w:ind w:firstLine="709"/>
        <w:jc w:val="both"/>
        <w:rPr>
          <w:rFonts w:ascii="Arial" w:hAnsi="Arial" w:cs="Arial"/>
          <w:color w:val="000000" w:themeColor="text1"/>
          <w:sz w:val="19"/>
          <w:szCs w:val="19"/>
        </w:rPr>
      </w:pPr>
    </w:p>
    <w:p w14:paraId="38AFE28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Superintendencia de Sociedades. Oficio 220-014111 del 18 de febrero de 2015. Consultado el 9 de febrero de 2022 en: </w:t>
      </w:r>
      <w:hyperlink r:id="rId2" w:history="1">
        <w:r w:rsidRPr="00A966E6">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8">
    <w:p w14:paraId="4E914627"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19">
    <w:p w14:paraId="363D37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658575E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4C09A039"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8547B1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C0390D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20">
    <w:p w14:paraId="3FD7DC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rPr>
        <w:t>Consejo de Estado. Sección Tercera. Subsección A. Sentencia del 24 de junio de 2015. Exp. 40.635. Consejero Ponente: Hernán Andrade Rincón (E).</w:t>
      </w:r>
    </w:p>
    <w:p w14:paraId="5735B8C9" w14:textId="77777777" w:rsidR="009C48E6" w:rsidRPr="00A966E6" w:rsidRDefault="009C48E6" w:rsidP="00B87A1C">
      <w:pPr>
        <w:pStyle w:val="Textonotapie"/>
        <w:ind w:firstLine="709"/>
        <w:jc w:val="both"/>
        <w:rPr>
          <w:rFonts w:ascii="Arial" w:hAnsi="Arial" w:cs="Arial"/>
          <w:sz w:val="19"/>
          <w:szCs w:val="19"/>
          <w:lang w:val="es-ES"/>
        </w:rPr>
      </w:pPr>
    </w:p>
  </w:footnote>
  <w:footnote w:id="21">
    <w:p w14:paraId="42FED880"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A966E6">
        <w:rPr>
          <w:rFonts w:ascii="Arial" w:hAnsi="Arial" w:cs="Arial"/>
          <w:color w:val="000000" w:themeColor="text1"/>
          <w:sz w:val="19"/>
          <w:szCs w:val="19"/>
          <w:lang w:val="es-ES"/>
        </w:rPr>
        <w:t>Namén</w:t>
      </w:r>
      <w:proofErr w:type="spellEnd"/>
      <w:r w:rsidRPr="00A966E6">
        <w:rPr>
          <w:rFonts w:ascii="Arial" w:hAnsi="Arial" w:cs="Arial"/>
          <w:color w:val="000000" w:themeColor="text1"/>
          <w:sz w:val="19"/>
          <w:szCs w:val="19"/>
          <w:lang w:val="es-ES"/>
        </w:rPr>
        <w:t xml:space="preserve"> Vargas.</w:t>
      </w:r>
    </w:p>
    <w:p w14:paraId="45C48C67" w14:textId="77777777" w:rsidR="009C48E6" w:rsidRPr="00A966E6" w:rsidRDefault="009C48E6" w:rsidP="00B87A1C">
      <w:pPr>
        <w:pStyle w:val="Textonotapie"/>
        <w:ind w:firstLine="709"/>
        <w:jc w:val="both"/>
        <w:rPr>
          <w:rFonts w:ascii="Arial" w:hAnsi="Arial" w:cs="Arial"/>
          <w:sz w:val="19"/>
          <w:szCs w:val="19"/>
          <w:lang w:val="es-ES"/>
        </w:rPr>
      </w:pPr>
    </w:p>
  </w:footnote>
  <w:footnote w:id="22">
    <w:p w14:paraId="204B2675"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7E0F24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3">
    <w:p w14:paraId="25FB25F2" w14:textId="77777777" w:rsidR="009C48E6" w:rsidRPr="00A966E6" w:rsidRDefault="009C48E6" w:rsidP="00B87A1C">
      <w:pPr>
        <w:pStyle w:val="Textonotapie"/>
        <w:ind w:firstLine="708"/>
        <w:jc w:val="both"/>
        <w:rPr>
          <w:rFonts w:ascii="Arial" w:hAnsi="Arial" w:cs="Arial"/>
          <w:sz w:val="19"/>
          <w:szCs w:val="19"/>
        </w:rPr>
      </w:pPr>
    </w:p>
    <w:p w14:paraId="2EEB8936" w14:textId="77777777" w:rsidR="009C48E6" w:rsidRPr="00A966E6" w:rsidRDefault="009C48E6" w:rsidP="00B87A1C">
      <w:pPr>
        <w:ind w:firstLine="708"/>
        <w:jc w:val="both"/>
        <w:rPr>
          <w:rFonts w:ascii="Arial" w:eastAsiaTheme="minorHAnsi" w:hAnsi="Arial" w:cs="Arial"/>
          <w:sz w:val="19"/>
          <w:szCs w:val="19"/>
          <w:lang w:val="es-MX" w:eastAsia="en-US"/>
        </w:rPr>
      </w:pPr>
      <w:r w:rsidRPr="00A966E6">
        <w:rPr>
          <w:rStyle w:val="Refdenotaalpie"/>
          <w:rFonts w:ascii="Arial" w:hAnsi="Arial" w:cs="Arial"/>
          <w:sz w:val="19"/>
          <w:szCs w:val="19"/>
        </w:rPr>
        <w:footnoteRef/>
      </w:r>
      <w:r w:rsidRPr="00A966E6">
        <w:rPr>
          <w:rFonts w:ascii="Arial" w:hAnsi="Arial" w:cs="Arial"/>
          <w:sz w:val="19"/>
          <w:szCs w:val="19"/>
        </w:rPr>
        <w:t xml:space="preserve"> Código Civil: «</w:t>
      </w:r>
      <w:r w:rsidRPr="00A966E6">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1CFB9D5C" w14:textId="77777777" w:rsidR="009C48E6" w:rsidRPr="00A966E6" w:rsidRDefault="009C48E6" w:rsidP="00B87A1C">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B9"/>
    <w:rsid w:val="0000162E"/>
    <w:rsid w:val="00001A1C"/>
    <w:rsid w:val="00001FFD"/>
    <w:rsid w:val="00002027"/>
    <w:rsid w:val="000020FE"/>
    <w:rsid w:val="00002173"/>
    <w:rsid w:val="000031A8"/>
    <w:rsid w:val="00003C5C"/>
    <w:rsid w:val="00003D39"/>
    <w:rsid w:val="00003D90"/>
    <w:rsid w:val="000040D7"/>
    <w:rsid w:val="00004556"/>
    <w:rsid w:val="000047A2"/>
    <w:rsid w:val="00004C66"/>
    <w:rsid w:val="000051AF"/>
    <w:rsid w:val="0000529F"/>
    <w:rsid w:val="000059D3"/>
    <w:rsid w:val="00005B6D"/>
    <w:rsid w:val="00005F1C"/>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1D6"/>
    <w:rsid w:val="00017A97"/>
    <w:rsid w:val="00017B65"/>
    <w:rsid w:val="00017FDA"/>
    <w:rsid w:val="00020158"/>
    <w:rsid w:val="0002029E"/>
    <w:rsid w:val="000207E0"/>
    <w:rsid w:val="000209E2"/>
    <w:rsid w:val="00020F8F"/>
    <w:rsid w:val="00021A95"/>
    <w:rsid w:val="0002256F"/>
    <w:rsid w:val="00022AAB"/>
    <w:rsid w:val="00023BF4"/>
    <w:rsid w:val="00023DAE"/>
    <w:rsid w:val="00024896"/>
    <w:rsid w:val="00025515"/>
    <w:rsid w:val="000255FA"/>
    <w:rsid w:val="000256F7"/>
    <w:rsid w:val="00025D0A"/>
    <w:rsid w:val="000263F0"/>
    <w:rsid w:val="00026407"/>
    <w:rsid w:val="00026608"/>
    <w:rsid w:val="00027787"/>
    <w:rsid w:val="000278D2"/>
    <w:rsid w:val="00027965"/>
    <w:rsid w:val="00030DFB"/>
    <w:rsid w:val="00031262"/>
    <w:rsid w:val="00031364"/>
    <w:rsid w:val="000315E1"/>
    <w:rsid w:val="0003236E"/>
    <w:rsid w:val="0003339A"/>
    <w:rsid w:val="000341F2"/>
    <w:rsid w:val="00035046"/>
    <w:rsid w:val="000351F2"/>
    <w:rsid w:val="000363FF"/>
    <w:rsid w:val="00036618"/>
    <w:rsid w:val="00036779"/>
    <w:rsid w:val="00036E03"/>
    <w:rsid w:val="00037526"/>
    <w:rsid w:val="000402D3"/>
    <w:rsid w:val="000406DB"/>
    <w:rsid w:val="0004094D"/>
    <w:rsid w:val="00041029"/>
    <w:rsid w:val="00041357"/>
    <w:rsid w:val="0004149B"/>
    <w:rsid w:val="000418CF"/>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717"/>
    <w:rsid w:val="00046A63"/>
    <w:rsid w:val="00046C09"/>
    <w:rsid w:val="0004716A"/>
    <w:rsid w:val="00047385"/>
    <w:rsid w:val="000473E8"/>
    <w:rsid w:val="00047F3F"/>
    <w:rsid w:val="000504BF"/>
    <w:rsid w:val="000504DE"/>
    <w:rsid w:val="00051074"/>
    <w:rsid w:val="000526F0"/>
    <w:rsid w:val="0005273D"/>
    <w:rsid w:val="00052B79"/>
    <w:rsid w:val="00052D73"/>
    <w:rsid w:val="00052E4B"/>
    <w:rsid w:val="00052EA0"/>
    <w:rsid w:val="000536A7"/>
    <w:rsid w:val="000536E3"/>
    <w:rsid w:val="00053896"/>
    <w:rsid w:val="00053A00"/>
    <w:rsid w:val="00054037"/>
    <w:rsid w:val="0005474D"/>
    <w:rsid w:val="0005564E"/>
    <w:rsid w:val="00055CB9"/>
    <w:rsid w:val="00056F66"/>
    <w:rsid w:val="0005702F"/>
    <w:rsid w:val="000601EA"/>
    <w:rsid w:val="00061010"/>
    <w:rsid w:val="00061D06"/>
    <w:rsid w:val="000625D1"/>
    <w:rsid w:val="00062CDD"/>
    <w:rsid w:val="00062DB3"/>
    <w:rsid w:val="00063472"/>
    <w:rsid w:val="000635D7"/>
    <w:rsid w:val="000635FA"/>
    <w:rsid w:val="000640AF"/>
    <w:rsid w:val="000648E1"/>
    <w:rsid w:val="00064940"/>
    <w:rsid w:val="00064CAE"/>
    <w:rsid w:val="00064DB7"/>
    <w:rsid w:val="00064FA7"/>
    <w:rsid w:val="00065195"/>
    <w:rsid w:val="0006536C"/>
    <w:rsid w:val="00065C70"/>
    <w:rsid w:val="0006626E"/>
    <w:rsid w:val="0006639D"/>
    <w:rsid w:val="00070AF1"/>
    <w:rsid w:val="00070D3E"/>
    <w:rsid w:val="000714DE"/>
    <w:rsid w:val="0007254F"/>
    <w:rsid w:val="0007357C"/>
    <w:rsid w:val="00073990"/>
    <w:rsid w:val="00073C30"/>
    <w:rsid w:val="00073F55"/>
    <w:rsid w:val="00074305"/>
    <w:rsid w:val="000744D0"/>
    <w:rsid w:val="00074B2A"/>
    <w:rsid w:val="00074CE8"/>
    <w:rsid w:val="00074EEE"/>
    <w:rsid w:val="00075010"/>
    <w:rsid w:val="000753D5"/>
    <w:rsid w:val="00075A5D"/>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F22"/>
    <w:rsid w:val="00095B70"/>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9A2"/>
    <w:rsid w:val="000B2B86"/>
    <w:rsid w:val="000B3051"/>
    <w:rsid w:val="000B404C"/>
    <w:rsid w:val="000B419B"/>
    <w:rsid w:val="000B5781"/>
    <w:rsid w:val="000B5CB1"/>
    <w:rsid w:val="000B5EBD"/>
    <w:rsid w:val="000B7377"/>
    <w:rsid w:val="000B75F4"/>
    <w:rsid w:val="000C0028"/>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26E"/>
    <w:rsid w:val="000D490B"/>
    <w:rsid w:val="000D4E38"/>
    <w:rsid w:val="000D50DB"/>
    <w:rsid w:val="000D6288"/>
    <w:rsid w:val="000D7002"/>
    <w:rsid w:val="000D728B"/>
    <w:rsid w:val="000D7541"/>
    <w:rsid w:val="000D75E1"/>
    <w:rsid w:val="000D7E53"/>
    <w:rsid w:val="000E09C5"/>
    <w:rsid w:val="000E22BA"/>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73"/>
    <w:rsid w:val="000F25BC"/>
    <w:rsid w:val="000F290F"/>
    <w:rsid w:val="000F31A3"/>
    <w:rsid w:val="000F4340"/>
    <w:rsid w:val="000F4403"/>
    <w:rsid w:val="000F480B"/>
    <w:rsid w:val="000F4E17"/>
    <w:rsid w:val="000F5209"/>
    <w:rsid w:val="000F5615"/>
    <w:rsid w:val="000F62BE"/>
    <w:rsid w:val="000F6578"/>
    <w:rsid w:val="000F6F92"/>
    <w:rsid w:val="000F7E8F"/>
    <w:rsid w:val="000F7FBB"/>
    <w:rsid w:val="001000FB"/>
    <w:rsid w:val="00100A9E"/>
    <w:rsid w:val="00100B3A"/>
    <w:rsid w:val="00100F6A"/>
    <w:rsid w:val="001012D5"/>
    <w:rsid w:val="00102605"/>
    <w:rsid w:val="00102686"/>
    <w:rsid w:val="00102745"/>
    <w:rsid w:val="00102DB9"/>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5962"/>
    <w:rsid w:val="00116328"/>
    <w:rsid w:val="001163CF"/>
    <w:rsid w:val="001166C5"/>
    <w:rsid w:val="0011721D"/>
    <w:rsid w:val="001174C9"/>
    <w:rsid w:val="0011786A"/>
    <w:rsid w:val="00117CF9"/>
    <w:rsid w:val="00117E69"/>
    <w:rsid w:val="00120222"/>
    <w:rsid w:val="00120CCE"/>
    <w:rsid w:val="00121103"/>
    <w:rsid w:val="00121BAB"/>
    <w:rsid w:val="00121E3C"/>
    <w:rsid w:val="00122A28"/>
    <w:rsid w:val="00122B23"/>
    <w:rsid w:val="00122B7E"/>
    <w:rsid w:val="00123E27"/>
    <w:rsid w:val="00123E3D"/>
    <w:rsid w:val="00123FB5"/>
    <w:rsid w:val="0012400F"/>
    <w:rsid w:val="001249DC"/>
    <w:rsid w:val="00124EE5"/>
    <w:rsid w:val="0012572D"/>
    <w:rsid w:val="00125BED"/>
    <w:rsid w:val="00125C59"/>
    <w:rsid w:val="00125D4F"/>
    <w:rsid w:val="001269B8"/>
    <w:rsid w:val="00127004"/>
    <w:rsid w:val="00127AF2"/>
    <w:rsid w:val="00127EDC"/>
    <w:rsid w:val="00127F42"/>
    <w:rsid w:val="00127F6D"/>
    <w:rsid w:val="00130355"/>
    <w:rsid w:val="00130365"/>
    <w:rsid w:val="001304E5"/>
    <w:rsid w:val="00130BCE"/>
    <w:rsid w:val="0013181F"/>
    <w:rsid w:val="00131B5A"/>
    <w:rsid w:val="00131DA9"/>
    <w:rsid w:val="00132C30"/>
    <w:rsid w:val="00132EFD"/>
    <w:rsid w:val="00133AED"/>
    <w:rsid w:val="00134BCD"/>
    <w:rsid w:val="00134E09"/>
    <w:rsid w:val="001350AB"/>
    <w:rsid w:val="001353E2"/>
    <w:rsid w:val="00135DB9"/>
    <w:rsid w:val="00135E5D"/>
    <w:rsid w:val="0013695C"/>
    <w:rsid w:val="00136BF7"/>
    <w:rsid w:val="00136C78"/>
    <w:rsid w:val="001377ED"/>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4C1D"/>
    <w:rsid w:val="0014502F"/>
    <w:rsid w:val="00145282"/>
    <w:rsid w:val="001453B0"/>
    <w:rsid w:val="001454D9"/>
    <w:rsid w:val="00145D00"/>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BFB"/>
    <w:rsid w:val="0015407E"/>
    <w:rsid w:val="0015415A"/>
    <w:rsid w:val="0015430A"/>
    <w:rsid w:val="0015448E"/>
    <w:rsid w:val="00154A6F"/>
    <w:rsid w:val="00155D08"/>
    <w:rsid w:val="001561F3"/>
    <w:rsid w:val="0015623B"/>
    <w:rsid w:val="00156BE5"/>
    <w:rsid w:val="00157232"/>
    <w:rsid w:val="00160401"/>
    <w:rsid w:val="00160D4E"/>
    <w:rsid w:val="00161303"/>
    <w:rsid w:val="00161598"/>
    <w:rsid w:val="00161DDA"/>
    <w:rsid w:val="00161E62"/>
    <w:rsid w:val="00161F1C"/>
    <w:rsid w:val="0016200B"/>
    <w:rsid w:val="0016204B"/>
    <w:rsid w:val="00162AFD"/>
    <w:rsid w:val="00163D7A"/>
    <w:rsid w:val="00164281"/>
    <w:rsid w:val="00165703"/>
    <w:rsid w:val="00166204"/>
    <w:rsid w:val="00166726"/>
    <w:rsid w:val="0016685F"/>
    <w:rsid w:val="0016712F"/>
    <w:rsid w:val="00167503"/>
    <w:rsid w:val="001676A9"/>
    <w:rsid w:val="00167A15"/>
    <w:rsid w:val="00167A4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3011"/>
    <w:rsid w:val="001A33F1"/>
    <w:rsid w:val="001A3F4C"/>
    <w:rsid w:val="001A3FC8"/>
    <w:rsid w:val="001A4A9B"/>
    <w:rsid w:val="001A4DAF"/>
    <w:rsid w:val="001A4EBB"/>
    <w:rsid w:val="001A54CD"/>
    <w:rsid w:val="001A5D74"/>
    <w:rsid w:val="001A66DF"/>
    <w:rsid w:val="001A67D0"/>
    <w:rsid w:val="001A6863"/>
    <w:rsid w:val="001A7591"/>
    <w:rsid w:val="001A75B1"/>
    <w:rsid w:val="001A7B06"/>
    <w:rsid w:val="001B0366"/>
    <w:rsid w:val="001B0444"/>
    <w:rsid w:val="001B096B"/>
    <w:rsid w:val="001B0F9F"/>
    <w:rsid w:val="001B123C"/>
    <w:rsid w:val="001B1806"/>
    <w:rsid w:val="001B1A0D"/>
    <w:rsid w:val="001B1BF1"/>
    <w:rsid w:val="001B1E12"/>
    <w:rsid w:val="001B2083"/>
    <w:rsid w:val="001B2456"/>
    <w:rsid w:val="001B2C14"/>
    <w:rsid w:val="001B2D7F"/>
    <w:rsid w:val="001B33FD"/>
    <w:rsid w:val="001B376C"/>
    <w:rsid w:val="001B3CC4"/>
    <w:rsid w:val="001B449C"/>
    <w:rsid w:val="001B4AA2"/>
    <w:rsid w:val="001B4ADE"/>
    <w:rsid w:val="001B5530"/>
    <w:rsid w:val="001B5EF8"/>
    <w:rsid w:val="001B6C54"/>
    <w:rsid w:val="001B71E8"/>
    <w:rsid w:val="001B787E"/>
    <w:rsid w:val="001B7C80"/>
    <w:rsid w:val="001C07C6"/>
    <w:rsid w:val="001C120D"/>
    <w:rsid w:val="001C19CD"/>
    <w:rsid w:val="001C22D5"/>
    <w:rsid w:val="001C2515"/>
    <w:rsid w:val="001C26FB"/>
    <w:rsid w:val="001C33C1"/>
    <w:rsid w:val="001C3AF0"/>
    <w:rsid w:val="001C3E30"/>
    <w:rsid w:val="001C3E5C"/>
    <w:rsid w:val="001C4040"/>
    <w:rsid w:val="001C4AF7"/>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3C80"/>
    <w:rsid w:val="001D51DD"/>
    <w:rsid w:val="001D56E9"/>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031"/>
    <w:rsid w:val="001E5140"/>
    <w:rsid w:val="001E51C2"/>
    <w:rsid w:val="001E5787"/>
    <w:rsid w:val="001E5D6A"/>
    <w:rsid w:val="001E6547"/>
    <w:rsid w:val="001E6A94"/>
    <w:rsid w:val="001E70FB"/>
    <w:rsid w:val="001E780A"/>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909"/>
    <w:rsid w:val="001F6FB6"/>
    <w:rsid w:val="001F72BB"/>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9C5"/>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236"/>
    <w:rsid w:val="00227A8B"/>
    <w:rsid w:val="0023074D"/>
    <w:rsid w:val="00230BA3"/>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BB6"/>
    <w:rsid w:val="00236016"/>
    <w:rsid w:val="00236170"/>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559"/>
    <w:rsid w:val="00242D5F"/>
    <w:rsid w:val="00242D62"/>
    <w:rsid w:val="002430D0"/>
    <w:rsid w:val="002431D7"/>
    <w:rsid w:val="002436C7"/>
    <w:rsid w:val="00244058"/>
    <w:rsid w:val="00244861"/>
    <w:rsid w:val="002453E7"/>
    <w:rsid w:val="00245718"/>
    <w:rsid w:val="00245E07"/>
    <w:rsid w:val="002467F2"/>
    <w:rsid w:val="00246CEC"/>
    <w:rsid w:val="00247712"/>
    <w:rsid w:val="00250A9E"/>
    <w:rsid w:val="00250EC6"/>
    <w:rsid w:val="002515C7"/>
    <w:rsid w:val="00251866"/>
    <w:rsid w:val="00251A9F"/>
    <w:rsid w:val="00251CA0"/>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E86"/>
    <w:rsid w:val="00265F47"/>
    <w:rsid w:val="002661F1"/>
    <w:rsid w:val="002662C5"/>
    <w:rsid w:val="00266811"/>
    <w:rsid w:val="00266DB6"/>
    <w:rsid w:val="00267C66"/>
    <w:rsid w:val="00270551"/>
    <w:rsid w:val="00271168"/>
    <w:rsid w:val="002711A4"/>
    <w:rsid w:val="00271230"/>
    <w:rsid w:val="00271F13"/>
    <w:rsid w:val="0027239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5FA5"/>
    <w:rsid w:val="0029624A"/>
    <w:rsid w:val="002963FF"/>
    <w:rsid w:val="00296922"/>
    <w:rsid w:val="00296D5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308"/>
    <w:rsid w:val="002A4736"/>
    <w:rsid w:val="002A4B1C"/>
    <w:rsid w:val="002A55FE"/>
    <w:rsid w:val="002A56B1"/>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24B4"/>
    <w:rsid w:val="002C29EA"/>
    <w:rsid w:val="002C2B3A"/>
    <w:rsid w:val="002C2B87"/>
    <w:rsid w:val="002C30A5"/>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4F4"/>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532"/>
    <w:rsid w:val="002D7FEE"/>
    <w:rsid w:val="002E055C"/>
    <w:rsid w:val="002E1050"/>
    <w:rsid w:val="002E107E"/>
    <w:rsid w:val="002E18E5"/>
    <w:rsid w:val="002E1953"/>
    <w:rsid w:val="002E1FCF"/>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78A"/>
    <w:rsid w:val="002E635A"/>
    <w:rsid w:val="002E6D68"/>
    <w:rsid w:val="002E6E2B"/>
    <w:rsid w:val="002E7340"/>
    <w:rsid w:val="002E7847"/>
    <w:rsid w:val="002E79FB"/>
    <w:rsid w:val="002F0073"/>
    <w:rsid w:val="002F1C67"/>
    <w:rsid w:val="002F1CA3"/>
    <w:rsid w:val="002F240B"/>
    <w:rsid w:val="002F2EA9"/>
    <w:rsid w:val="002F2F50"/>
    <w:rsid w:val="002F33EC"/>
    <w:rsid w:val="002F34E3"/>
    <w:rsid w:val="002F3601"/>
    <w:rsid w:val="002F3F5B"/>
    <w:rsid w:val="002F40E2"/>
    <w:rsid w:val="002F45F6"/>
    <w:rsid w:val="002F5A6F"/>
    <w:rsid w:val="002F692F"/>
    <w:rsid w:val="002F7031"/>
    <w:rsid w:val="002F7961"/>
    <w:rsid w:val="002F7B4A"/>
    <w:rsid w:val="002F7B66"/>
    <w:rsid w:val="003007B6"/>
    <w:rsid w:val="00300A52"/>
    <w:rsid w:val="00300CB4"/>
    <w:rsid w:val="00300E24"/>
    <w:rsid w:val="0030248C"/>
    <w:rsid w:val="003024A4"/>
    <w:rsid w:val="0030257B"/>
    <w:rsid w:val="003030BF"/>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88E"/>
    <w:rsid w:val="00310D01"/>
    <w:rsid w:val="00310FF0"/>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4C64"/>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B11"/>
    <w:rsid w:val="00322CE5"/>
    <w:rsid w:val="00323881"/>
    <w:rsid w:val="00324885"/>
    <w:rsid w:val="00324EAD"/>
    <w:rsid w:val="003251A8"/>
    <w:rsid w:val="003254B1"/>
    <w:rsid w:val="00325AD9"/>
    <w:rsid w:val="00325D98"/>
    <w:rsid w:val="0032643D"/>
    <w:rsid w:val="0032682A"/>
    <w:rsid w:val="00327A5C"/>
    <w:rsid w:val="0033033C"/>
    <w:rsid w:val="00330846"/>
    <w:rsid w:val="0033092C"/>
    <w:rsid w:val="00330EEF"/>
    <w:rsid w:val="0033122A"/>
    <w:rsid w:val="003315AC"/>
    <w:rsid w:val="00331932"/>
    <w:rsid w:val="00331F74"/>
    <w:rsid w:val="00332382"/>
    <w:rsid w:val="00332453"/>
    <w:rsid w:val="0033251B"/>
    <w:rsid w:val="003331C6"/>
    <w:rsid w:val="00333A88"/>
    <w:rsid w:val="00335977"/>
    <w:rsid w:val="00335B15"/>
    <w:rsid w:val="00335B21"/>
    <w:rsid w:val="00335D3F"/>
    <w:rsid w:val="00336104"/>
    <w:rsid w:val="003364E6"/>
    <w:rsid w:val="00336729"/>
    <w:rsid w:val="00336CD9"/>
    <w:rsid w:val="0033726D"/>
    <w:rsid w:val="00337CA8"/>
    <w:rsid w:val="00340978"/>
    <w:rsid w:val="00340D3F"/>
    <w:rsid w:val="0034174B"/>
    <w:rsid w:val="0034177C"/>
    <w:rsid w:val="003420E9"/>
    <w:rsid w:val="00342345"/>
    <w:rsid w:val="00342705"/>
    <w:rsid w:val="00342C27"/>
    <w:rsid w:val="003430C8"/>
    <w:rsid w:val="003432C8"/>
    <w:rsid w:val="003434B3"/>
    <w:rsid w:val="00343536"/>
    <w:rsid w:val="00343EFB"/>
    <w:rsid w:val="00344760"/>
    <w:rsid w:val="003454E8"/>
    <w:rsid w:val="00345574"/>
    <w:rsid w:val="003461AC"/>
    <w:rsid w:val="0034680A"/>
    <w:rsid w:val="00346B5D"/>
    <w:rsid w:val="00346C62"/>
    <w:rsid w:val="00347202"/>
    <w:rsid w:val="0034778E"/>
    <w:rsid w:val="00347A5A"/>
    <w:rsid w:val="003501E2"/>
    <w:rsid w:val="00351591"/>
    <w:rsid w:val="00351E01"/>
    <w:rsid w:val="00351E10"/>
    <w:rsid w:val="00352583"/>
    <w:rsid w:val="003533F4"/>
    <w:rsid w:val="003536F6"/>
    <w:rsid w:val="003538C2"/>
    <w:rsid w:val="00353C59"/>
    <w:rsid w:val="00353D14"/>
    <w:rsid w:val="00353DA6"/>
    <w:rsid w:val="00353DD5"/>
    <w:rsid w:val="00355131"/>
    <w:rsid w:val="003555F9"/>
    <w:rsid w:val="00355F74"/>
    <w:rsid w:val="003560DB"/>
    <w:rsid w:val="003564DB"/>
    <w:rsid w:val="00356F87"/>
    <w:rsid w:val="00357DB3"/>
    <w:rsid w:val="00357E83"/>
    <w:rsid w:val="00360CF3"/>
    <w:rsid w:val="0036148E"/>
    <w:rsid w:val="003616AB"/>
    <w:rsid w:val="0036194D"/>
    <w:rsid w:val="00361A59"/>
    <w:rsid w:val="0036281C"/>
    <w:rsid w:val="00363348"/>
    <w:rsid w:val="00363857"/>
    <w:rsid w:val="00363D59"/>
    <w:rsid w:val="003640F7"/>
    <w:rsid w:val="003647CC"/>
    <w:rsid w:val="00365026"/>
    <w:rsid w:val="00365575"/>
    <w:rsid w:val="0036594A"/>
    <w:rsid w:val="00365D3A"/>
    <w:rsid w:val="003664FF"/>
    <w:rsid w:val="00366BD2"/>
    <w:rsid w:val="003670B8"/>
    <w:rsid w:val="00370084"/>
    <w:rsid w:val="003704A3"/>
    <w:rsid w:val="003706F2"/>
    <w:rsid w:val="0037091B"/>
    <w:rsid w:val="0037124F"/>
    <w:rsid w:val="00371B86"/>
    <w:rsid w:val="003722F0"/>
    <w:rsid w:val="00372AED"/>
    <w:rsid w:val="00373827"/>
    <w:rsid w:val="00373C7B"/>
    <w:rsid w:val="00373FAD"/>
    <w:rsid w:val="0037401C"/>
    <w:rsid w:val="0037402B"/>
    <w:rsid w:val="0037507B"/>
    <w:rsid w:val="00375575"/>
    <w:rsid w:val="003758DD"/>
    <w:rsid w:val="00375A41"/>
    <w:rsid w:val="00375C7C"/>
    <w:rsid w:val="00377027"/>
    <w:rsid w:val="00377135"/>
    <w:rsid w:val="00380272"/>
    <w:rsid w:val="003805DB"/>
    <w:rsid w:val="00380B0A"/>
    <w:rsid w:val="0038152A"/>
    <w:rsid w:val="00382BAD"/>
    <w:rsid w:val="00383579"/>
    <w:rsid w:val="003835FD"/>
    <w:rsid w:val="00384DF1"/>
    <w:rsid w:val="00384FF3"/>
    <w:rsid w:val="00385FD2"/>
    <w:rsid w:val="00386456"/>
    <w:rsid w:val="003865A9"/>
    <w:rsid w:val="00387440"/>
    <w:rsid w:val="0038775B"/>
    <w:rsid w:val="0039092B"/>
    <w:rsid w:val="00390BD9"/>
    <w:rsid w:val="00390F32"/>
    <w:rsid w:val="00391285"/>
    <w:rsid w:val="0039135E"/>
    <w:rsid w:val="003924A4"/>
    <w:rsid w:val="0039285D"/>
    <w:rsid w:val="0039319C"/>
    <w:rsid w:val="00393577"/>
    <w:rsid w:val="00393645"/>
    <w:rsid w:val="00393CAE"/>
    <w:rsid w:val="003945F4"/>
    <w:rsid w:val="00394EB5"/>
    <w:rsid w:val="003953B4"/>
    <w:rsid w:val="0039615F"/>
    <w:rsid w:val="003966A0"/>
    <w:rsid w:val="00396A29"/>
    <w:rsid w:val="0039719A"/>
    <w:rsid w:val="00397FF0"/>
    <w:rsid w:val="003A0818"/>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10A7"/>
    <w:rsid w:val="003B10C7"/>
    <w:rsid w:val="003B1961"/>
    <w:rsid w:val="003B1E57"/>
    <w:rsid w:val="003B2EF3"/>
    <w:rsid w:val="003B319F"/>
    <w:rsid w:val="003B4C61"/>
    <w:rsid w:val="003B534F"/>
    <w:rsid w:val="003B5391"/>
    <w:rsid w:val="003B558B"/>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505"/>
    <w:rsid w:val="003C73C7"/>
    <w:rsid w:val="003C7CFB"/>
    <w:rsid w:val="003D020F"/>
    <w:rsid w:val="003D050B"/>
    <w:rsid w:val="003D0B98"/>
    <w:rsid w:val="003D0C3C"/>
    <w:rsid w:val="003D0DE5"/>
    <w:rsid w:val="003D1351"/>
    <w:rsid w:val="003D1795"/>
    <w:rsid w:val="003D21C1"/>
    <w:rsid w:val="003D23FE"/>
    <w:rsid w:val="003D2CFC"/>
    <w:rsid w:val="003D321B"/>
    <w:rsid w:val="003D3B15"/>
    <w:rsid w:val="003D3B2E"/>
    <w:rsid w:val="003D4101"/>
    <w:rsid w:val="003D484D"/>
    <w:rsid w:val="003D49CB"/>
    <w:rsid w:val="003D5662"/>
    <w:rsid w:val="003D6B8F"/>
    <w:rsid w:val="003D7566"/>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C10"/>
    <w:rsid w:val="003F060E"/>
    <w:rsid w:val="003F0F7F"/>
    <w:rsid w:val="003F115C"/>
    <w:rsid w:val="003F153A"/>
    <w:rsid w:val="003F1704"/>
    <w:rsid w:val="003F217F"/>
    <w:rsid w:val="003F252F"/>
    <w:rsid w:val="003F2DD7"/>
    <w:rsid w:val="003F2F64"/>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0C0"/>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F83"/>
    <w:rsid w:val="0043260C"/>
    <w:rsid w:val="0043269A"/>
    <w:rsid w:val="00432C9E"/>
    <w:rsid w:val="00432D09"/>
    <w:rsid w:val="004333C2"/>
    <w:rsid w:val="0043399B"/>
    <w:rsid w:val="00433FDB"/>
    <w:rsid w:val="00434787"/>
    <w:rsid w:val="00434C13"/>
    <w:rsid w:val="00434D8B"/>
    <w:rsid w:val="00435703"/>
    <w:rsid w:val="00435BD5"/>
    <w:rsid w:val="00435F72"/>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74D"/>
    <w:rsid w:val="00443B55"/>
    <w:rsid w:val="00443D27"/>
    <w:rsid w:val="0044500B"/>
    <w:rsid w:val="00445617"/>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0B0"/>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8ED"/>
    <w:rsid w:val="004734CF"/>
    <w:rsid w:val="004738D6"/>
    <w:rsid w:val="004751F6"/>
    <w:rsid w:val="0047586C"/>
    <w:rsid w:val="00475C5A"/>
    <w:rsid w:val="00475C9C"/>
    <w:rsid w:val="0047676B"/>
    <w:rsid w:val="00476932"/>
    <w:rsid w:val="0047773C"/>
    <w:rsid w:val="00477C5F"/>
    <w:rsid w:val="00477C85"/>
    <w:rsid w:val="00480050"/>
    <w:rsid w:val="0048011C"/>
    <w:rsid w:val="004808DE"/>
    <w:rsid w:val="00481AC4"/>
    <w:rsid w:val="00481DC1"/>
    <w:rsid w:val="00482507"/>
    <w:rsid w:val="0048268A"/>
    <w:rsid w:val="004835CA"/>
    <w:rsid w:val="004836F8"/>
    <w:rsid w:val="004836FE"/>
    <w:rsid w:val="0048373F"/>
    <w:rsid w:val="00484A39"/>
    <w:rsid w:val="00484F0F"/>
    <w:rsid w:val="00484F40"/>
    <w:rsid w:val="0048540C"/>
    <w:rsid w:val="00485BE6"/>
    <w:rsid w:val="00485EE3"/>
    <w:rsid w:val="004861B4"/>
    <w:rsid w:val="0048622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0C94"/>
    <w:rsid w:val="004A156E"/>
    <w:rsid w:val="004A16C1"/>
    <w:rsid w:val="004A1BA5"/>
    <w:rsid w:val="004A1CE2"/>
    <w:rsid w:val="004A1E16"/>
    <w:rsid w:val="004A34D2"/>
    <w:rsid w:val="004A4301"/>
    <w:rsid w:val="004A4D93"/>
    <w:rsid w:val="004A58EE"/>
    <w:rsid w:val="004A59B7"/>
    <w:rsid w:val="004A6051"/>
    <w:rsid w:val="004A6205"/>
    <w:rsid w:val="004A623B"/>
    <w:rsid w:val="004A6A04"/>
    <w:rsid w:val="004A6A52"/>
    <w:rsid w:val="004A70C4"/>
    <w:rsid w:val="004B0A44"/>
    <w:rsid w:val="004B0F0B"/>
    <w:rsid w:val="004B2197"/>
    <w:rsid w:val="004B298A"/>
    <w:rsid w:val="004B2BB8"/>
    <w:rsid w:val="004B3996"/>
    <w:rsid w:val="004B3C2F"/>
    <w:rsid w:val="004B3E3B"/>
    <w:rsid w:val="004B4402"/>
    <w:rsid w:val="004B4C8E"/>
    <w:rsid w:val="004B4E37"/>
    <w:rsid w:val="004B50CB"/>
    <w:rsid w:val="004B551E"/>
    <w:rsid w:val="004B578D"/>
    <w:rsid w:val="004B5BE7"/>
    <w:rsid w:val="004B5E2D"/>
    <w:rsid w:val="004B65BE"/>
    <w:rsid w:val="004B666E"/>
    <w:rsid w:val="004B6C07"/>
    <w:rsid w:val="004B74D3"/>
    <w:rsid w:val="004B755E"/>
    <w:rsid w:val="004B788E"/>
    <w:rsid w:val="004B7E5D"/>
    <w:rsid w:val="004C0E8C"/>
    <w:rsid w:val="004C1337"/>
    <w:rsid w:val="004C22F7"/>
    <w:rsid w:val="004C2B27"/>
    <w:rsid w:val="004C3929"/>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032"/>
    <w:rsid w:val="004F6121"/>
    <w:rsid w:val="004F6161"/>
    <w:rsid w:val="004F66BC"/>
    <w:rsid w:val="004F6C26"/>
    <w:rsid w:val="004F721F"/>
    <w:rsid w:val="004F7AC9"/>
    <w:rsid w:val="0050062F"/>
    <w:rsid w:val="00500E74"/>
    <w:rsid w:val="0050160F"/>
    <w:rsid w:val="0050284E"/>
    <w:rsid w:val="0050306F"/>
    <w:rsid w:val="00503EA9"/>
    <w:rsid w:val="00503FC1"/>
    <w:rsid w:val="005052B0"/>
    <w:rsid w:val="00505DCB"/>
    <w:rsid w:val="00506800"/>
    <w:rsid w:val="005075CA"/>
    <w:rsid w:val="00507B06"/>
    <w:rsid w:val="00507B52"/>
    <w:rsid w:val="00507BF1"/>
    <w:rsid w:val="0051030B"/>
    <w:rsid w:val="0051074C"/>
    <w:rsid w:val="00510DE9"/>
    <w:rsid w:val="005111E2"/>
    <w:rsid w:val="00511231"/>
    <w:rsid w:val="005115A2"/>
    <w:rsid w:val="00511A31"/>
    <w:rsid w:val="00511CB8"/>
    <w:rsid w:val="00512653"/>
    <w:rsid w:val="00512B88"/>
    <w:rsid w:val="00512C4F"/>
    <w:rsid w:val="00513042"/>
    <w:rsid w:val="0051334F"/>
    <w:rsid w:val="00513399"/>
    <w:rsid w:val="00513AF2"/>
    <w:rsid w:val="00513EE4"/>
    <w:rsid w:val="00514575"/>
    <w:rsid w:val="00514C03"/>
    <w:rsid w:val="00514D67"/>
    <w:rsid w:val="00514DDF"/>
    <w:rsid w:val="0051522A"/>
    <w:rsid w:val="00515515"/>
    <w:rsid w:val="0051635C"/>
    <w:rsid w:val="00516C5B"/>
    <w:rsid w:val="00517612"/>
    <w:rsid w:val="00517CFB"/>
    <w:rsid w:val="00517F85"/>
    <w:rsid w:val="00520235"/>
    <w:rsid w:val="00520265"/>
    <w:rsid w:val="005202BF"/>
    <w:rsid w:val="00520899"/>
    <w:rsid w:val="00520922"/>
    <w:rsid w:val="005209FC"/>
    <w:rsid w:val="00520C09"/>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CBA"/>
    <w:rsid w:val="00530F38"/>
    <w:rsid w:val="00531F26"/>
    <w:rsid w:val="005322CB"/>
    <w:rsid w:val="0053277C"/>
    <w:rsid w:val="005327C0"/>
    <w:rsid w:val="0053289E"/>
    <w:rsid w:val="00533101"/>
    <w:rsid w:val="00533CA9"/>
    <w:rsid w:val="005346AD"/>
    <w:rsid w:val="00534CC0"/>
    <w:rsid w:val="00534EFB"/>
    <w:rsid w:val="00534F60"/>
    <w:rsid w:val="005357F1"/>
    <w:rsid w:val="00535D15"/>
    <w:rsid w:val="00536053"/>
    <w:rsid w:val="0053606E"/>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1F77"/>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4E2"/>
    <w:rsid w:val="005525C9"/>
    <w:rsid w:val="00552B3E"/>
    <w:rsid w:val="0055426D"/>
    <w:rsid w:val="00554D57"/>
    <w:rsid w:val="005551AA"/>
    <w:rsid w:val="005564CA"/>
    <w:rsid w:val="005568BD"/>
    <w:rsid w:val="005568EA"/>
    <w:rsid w:val="00556941"/>
    <w:rsid w:val="00557140"/>
    <w:rsid w:val="0055715A"/>
    <w:rsid w:val="0055729E"/>
    <w:rsid w:val="00557984"/>
    <w:rsid w:val="00557A3F"/>
    <w:rsid w:val="00557A9D"/>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068"/>
    <w:rsid w:val="00570A26"/>
    <w:rsid w:val="00570CFD"/>
    <w:rsid w:val="00570E4E"/>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74FE"/>
    <w:rsid w:val="0058040C"/>
    <w:rsid w:val="00580D6D"/>
    <w:rsid w:val="00580E34"/>
    <w:rsid w:val="00580FD8"/>
    <w:rsid w:val="005813DE"/>
    <w:rsid w:val="00581612"/>
    <w:rsid w:val="00581796"/>
    <w:rsid w:val="00581B45"/>
    <w:rsid w:val="00581E53"/>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7AA"/>
    <w:rsid w:val="00593A00"/>
    <w:rsid w:val="00593EA2"/>
    <w:rsid w:val="00593F75"/>
    <w:rsid w:val="005940A0"/>
    <w:rsid w:val="0059429A"/>
    <w:rsid w:val="0059455B"/>
    <w:rsid w:val="00594CBE"/>
    <w:rsid w:val="0059508E"/>
    <w:rsid w:val="00595B12"/>
    <w:rsid w:val="00596AF7"/>
    <w:rsid w:val="00596B97"/>
    <w:rsid w:val="00596CCE"/>
    <w:rsid w:val="00596E37"/>
    <w:rsid w:val="005A0035"/>
    <w:rsid w:val="005A094C"/>
    <w:rsid w:val="005A197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F39"/>
    <w:rsid w:val="005A6035"/>
    <w:rsid w:val="005A6295"/>
    <w:rsid w:val="005A6B75"/>
    <w:rsid w:val="005A6E00"/>
    <w:rsid w:val="005A718A"/>
    <w:rsid w:val="005A7418"/>
    <w:rsid w:val="005A7885"/>
    <w:rsid w:val="005B12B2"/>
    <w:rsid w:val="005B13F3"/>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75F"/>
    <w:rsid w:val="005C084F"/>
    <w:rsid w:val="005C0BC1"/>
    <w:rsid w:val="005C0EE9"/>
    <w:rsid w:val="005C1265"/>
    <w:rsid w:val="005C16A8"/>
    <w:rsid w:val="005C1716"/>
    <w:rsid w:val="005C1954"/>
    <w:rsid w:val="005C1C0B"/>
    <w:rsid w:val="005C2011"/>
    <w:rsid w:val="005C28B7"/>
    <w:rsid w:val="005C345A"/>
    <w:rsid w:val="005C3EA3"/>
    <w:rsid w:val="005C44DE"/>
    <w:rsid w:val="005C5011"/>
    <w:rsid w:val="005C5241"/>
    <w:rsid w:val="005C529E"/>
    <w:rsid w:val="005C57BA"/>
    <w:rsid w:val="005C5C52"/>
    <w:rsid w:val="005C5D3D"/>
    <w:rsid w:val="005C5F05"/>
    <w:rsid w:val="005C5FFF"/>
    <w:rsid w:val="005C6186"/>
    <w:rsid w:val="005C7E45"/>
    <w:rsid w:val="005C7F3E"/>
    <w:rsid w:val="005D0044"/>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A9D"/>
    <w:rsid w:val="005D5D15"/>
    <w:rsid w:val="005D6417"/>
    <w:rsid w:val="005D6651"/>
    <w:rsid w:val="005D691D"/>
    <w:rsid w:val="005D6A72"/>
    <w:rsid w:val="005D6F38"/>
    <w:rsid w:val="005D77F2"/>
    <w:rsid w:val="005D791B"/>
    <w:rsid w:val="005D7CF2"/>
    <w:rsid w:val="005D7F92"/>
    <w:rsid w:val="005E0367"/>
    <w:rsid w:val="005E062C"/>
    <w:rsid w:val="005E0D7B"/>
    <w:rsid w:val="005E1595"/>
    <w:rsid w:val="005E1895"/>
    <w:rsid w:val="005E1F1D"/>
    <w:rsid w:val="005E20FE"/>
    <w:rsid w:val="005E2423"/>
    <w:rsid w:val="005E273D"/>
    <w:rsid w:val="005E29AC"/>
    <w:rsid w:val="005E3278"/>
    <w:rsid w:val="005E363B"/>
    <w:rsid w:val="005E3736"/>
    <w:rsid w:val="005E3980"/>
    <w:rsid w:val="005E3B29"/>
    <w:rsid w:val="005E4B72"/>
    <w:rsid w:val="005E52C9"/>
    <w:rsid w:val="005E6398"/>
    <w:rsid w:val="005E681E"/>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600473"/>
    <w:rsid w:val="00601162"/>
    <w:rsid w:val="0060139A"/>
    <w:rsid w:val="006013C9"/>
    <w:rsid w:val="00602931"/>
    <w:rsid w:val="00602B45"/>
    <w:rsid w:val="00602CBF"/>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E9F"/>
    <w:rsid w:val="0061085E"/>
    <w:rsid w:val="00611398"/>
    <w:rsid w:val="006113B4"/>
    <w:rsid w:val="0061186D"/>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A94"/>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170"/>
    <w:rsid w:val="00633B54"/>
    <w:rsid w:val="00633DBF"/>
    <w:rsid w:val="00634122"/>
    <w:rsid w:val="0063444B"/>
    <w:rsid w:val="00635B99"/>
    <w:rsid w:val="00635E32"/>
    <w:rsid w:val="006360FC"/>
    <w:rsid w:val="006361C9"/>
    <w:rsid w:val="006365DE"/>
    <w:rsid w:val="00636BE4"/>
    <w:rsid w:val="00636F88"/>
    <w:rsid w:val="0063732C"/>
    <w:rsid w:val="00637802"/>
    <w:rsid w:val="00637836"/>
    <w:rsid w:val="0063794E"/>
    <w:rsid w:val="00637C26"/>
    <w:rsid w:val="00637F44"/>
    <w:rsid w:val="00640A06"/>
    <w:rsid w:val="00640E88"/>
    <w:rsid w:val="00641078"/>
    <w:rsid w:val="00641242"/>
    <w:rsid w:val="00641778"/>
    <w:rsid w:val="00642126"/>
    <w:rsid w:val="006421B6"/>
    <w:rsid w:val="00642844"/>
    <w:rsid w:val="00642A32"/>
    <w:rsid w:val="00642F7C"/>
    <w:rsid w:val="006433D5"/>
    <w:rsid w:val="00643412"/>
    <w:rsid w:val="00645B84"/>
    <w:rsid w:val="00645CEB"/>
    <w:rsid w:val="00645E63"/>
    <w:rsid w:val="00646B20"/>
    <w:rsid w:val="00646D0F"/>
    <w:rsid w:val="00647821"/>
    <w:rsid w:val="00647A36"/>
    <w:rsid w:val="00647DCC"/>
    <w:rsid w:val="00647EFA"/>
    <w:rsid w:val="00647F14"/>
    <w:rsid w:val="00650027"/>
    <w:rsid w:val="00650E89"/>
    <w:rsid w:val="00651B9C"/>
    <w:rsid w:val="00651C47"/>
    <w:rsid w:val="00652E70"/>
    <w:rsid w:val="0065339A"/>
    <w:rsid w:val="00653469"/>
    <w:rsid w:val="00653D1B"/>
    <w:rsid w:val="006540D6"/>
    <w:rsid w:val="0065443A"/>
    <w:rsid w:val="00654A38"/>
    <w:rsid w:val="00655301"/>
    <w:rsid w:val="00655371"/>
    <w:rsid w:val="00655507"/>
    <w:rsid w:val="006564A5"/>
    <w:rsid w:val="00656C4B"/>
    <w:rsid w:val="006572A7"/>
    <w:rsid w:val="006573EA"/>
    <w:rsid w:val="006577C9"/>
    <w:rsid w:val="00660510"/>
    <w:rsid w:val="006606A4"/>
    <w:rsid w:val="00660F90"/>
    <w:rsid w:val="00661029"/>
    <w:rsid w:val="006610C3"/>
    <w:rsid w:val="00661118"/>
    <w:rsid w:val="0066135A"/>
    <w:rsid w:val="00661A38"/>
    <w:rsid w:val="0066243A"/>
    <w:rsid w:val="0066272D"/>
    <w:rsid w:val="00662E58"/>
    <w:rsid w:val="00662F39"/>
    <w:rsid w:val="006634B2"/>
    <w:rsid w:val="006635A0"/>
    <w:rsid w:val="00663855"/>
    <w:rsid w:val="00663D26"/>
    <w:rsid w:val="00664351"/>
    <w:rsid w:val="0066453F"/>
    <w:rsid w:val="0066499D"/>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5637"/>
    <w:rsid w:val="00675B0D"/>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28D"/>
    <w:rsid w:val="00684462"/>
    <w:rsid w:val="00684561"/>
    <w:rsid w:val="00684C0D"/>
    <w:rsid w:val="00684C8A"/>
    <w:rsid w:val="00684CF5"/>
    <w:rsid w:val="0068541F"/>
    <w:rsid w:val="0068553E"/>
    <w:rsid w:val="00685A9D"/>
    <w:rsid w:val="00685D37"/>
    <w:rsid w:val="00685E7B"/>
    <w:rsid w:val="00686551"/>
    <w:rsid w:val="006865C6"/>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8B0"/>
    <w:rsid w:val="00692FFA"/>
    <w:rsid w:val="00693772"/>
    <w:rsid w:val="00693984"/>
    <w:rsid w:val="00693B77"/>
    <w:rsid w:val="00694160"/>
    <w:rsid w:val="00694667"/>
    <w:rsid w:val="00694E8B"/>
    <w:rsid w:val="00695549"/>
    <w:rsid w:val="006959A5"/>
    <w:rsid w:val="00695C0C"/>
    <w:rsid w:val="00696736"/>
    <w:rsid w:val="00696A05"/>
    <w:rsid w:val="006971C0"/>
    <w:rsid w:val="00697665"/>
    <w:rsid w:val="00697A76"/>
    <w:rsid w:val="00697C9A"/>
    <w:rsid w:val="00697E68"/>
    <w:rsid w:val="00697FC1"/>
    <w:rsid w:val="006A0274"/>
    <w:rsid w:val="006A1F43"/>
    <w:rsid w:val="006A27BC"/>
    <w:rsid w:val="006A2A43"/>
    <w:rsid w:val="006A2BF1"/>
    <w:rsid w:val="006A2C0D"/>
    <w:rsid w:val="006A2F9A"/>
    <w:rsid w:val="006A34E4"/>
    <w:rsid w:val="006A3A5A"/>
    <w:rsid w:val="006A44CF"/>
    <w:rsid w:val="006A457D"/>
    <w:rsid w:val="006A4C06"/>
    <w:rsid w:val="006A55EE"/>
    <w:rsid w:val="006A574E"/>
    <w:rsid w:val="006A575B"/>
    <w:rsid w:val="006A59DE"/>
    <w:rsid w:val="006A64C6"/>
    <w:rsid w:val="006A6655"/>
    <w:rsid w:val="006A6BF9"/>
    <w:rsid w:val="006A7AB8"/>
    <w:rsid w:val="006A7B43"/>
    <w:rsid w:val="006A7BF8"/>
    <w:rsid w:val="006A7CB5"/>
    <w:rsid w:val="006A7FD0"/>
    <w:rsid w:val="006B025C"/>
    <w:rsid w:val="006B08ED"/>
    <w:rsid w:val="006B0B66"/>
    <w:rsid w:val="006B2170"/>
    <w:rsid w:val="006B2534"/>
    <w:rsid w:val="006B2CB2"/>
    <w:rsid w:val="006B347D"/>
    <w:rsid w:val="006B3505"/>
    <w:rsid w:val="006B3E19"/>
    <w:rsid w:val="006B4488"/>
    <w:rsid w:val="006B4D5D"/>
    <w:rsid w:val="006B4F56"/>
    <w:rsid w:val="006B50C4"/>
    <w:rsid w:val="006B53AE"/>
    <w:rsid w:val="006B58B4"/>
    <w:rsid w:val="006B67AC"/>
    <w:rsid w:val="006B6D57"/>
    <w:rsid w:val="006B786A"/>
    <w:rsid w:val="006B7E4E"/>
    <w:rsid w:val="006C003A"/>
    <w:rsid w:val="006C0689"/>
    <w:rsid w:val="006C0D2C"/>
    <w:rsid w:val="006C1008"/>
    <w:rsid w:val="006C107C"/>
    <w:rsid w:val="006C189C"/>
    <w:rsid w:val="006C1DAB"/>
    <w:rsid w:val="006C2454"/>
    <w:rsid w:val="006C2551"/>
    <w:rsid w:val="006C37CA"/>
    <w:rsid w:val="006C40D2"/>
    <w:rsid w:val="006C4984"/>
    <w:rsid w:val="006C4B85"/>
    <w:rsid w:val="006C4BBD"/>
    <w:rsid w:val="006C551E"/>
    <w:rsid w:val="006C58C1"/>
    <w:rsid w:val="006C5B15"/>
    <w:rsid w:val="006C5D32"/>
    <w:rsid w:val="006C5DCB"/>
    <w:rsid w:val="006C6475"/>
    <w:rsid w:val="006C70C4"/>
    <w:rsid w:val="006C741F"/>
    <w:rsid w:val="006D04DA"/>
    <w:rsid w:val="006D10F6"/>
    <w:rsid w:val="006D1544"/>
    <w:rsid w:val="006D1688"/>
    <w:rsid w:val="006D1BE1"/>
    <w:rsid w:val="006D1DD3"/>
    <w:rsid w:val="006D1FF3"/>
    <w:rsid w:val="006D22F8"/>
    <w:rsid w:val="006D2693"/>
    <w:rsid w:val="006D2C65"/>
    <w:rsid w:val="006D32C6"/>
    <w:rsid w:val="006D360E"/>
    <w:rsid w:val="006D3697"/>
    <w:rsid w:val="006D39D2"/>
    <w:rsid w:val="006D3A94"/>
    <w:rsid w:val="006D3F2A"/>
    <w:rsid w:val="006D4370"/>
    <w:rsid w:val="006D46A3"/>
    <w:rsid w:val="006D4FF2"/>
    <w:rsid w:val="006D55E6"/>
    <w:rsid w:val="006D5DCB"/>
    <w:rsid w:val="006D62E0"/>
    <w:rsid w:val="006D658F"/>
    <w:rsid w:val="006D66B2"/>
    <w:rsid w:val="006D6784"/>
    <w:rsid w:val="006D6A12"/>
    <w:rsid w:val="006D712D"/>
    <w:rsid w:val="006D7687"/>
    <w:rsid w:val="006D78AB"/>
    <w:rsid w:val="006D7D1F"/>
    <w:rsid w:val="006D7D8A"/>
    <w:rsid w:val="006E046C"/>
    <w:rsid w:val="006E0572"/>
    <w:rsid w:val="006E05D8"/>
    <w:rsid w:val="006E08EE"/>
    <w:rsid w:val="006E0F32"/>
    <w:rsid w:val="006E155A"/>
    <w:rsid w:val="006E1689"/>
    <w:rsid w:val="006E16DF"/>
    <w:rsid w:val="006E1EE3"/>
    <w:rsid w:val="006E2B77"/>
    <w:rsid w:val="006E2C34"/>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978"/>
    <w:rsid w:val="00705F62"/>
    <w:rsid w:val="007061EB"/>
    <w:rsid w:val="00706BC6"/>
    <w:rsid w:val="00706E1C"/>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25A7"/>
    <w:rsid w:val="00723475"/>
    <w:rsid w:val="007236C4"/>
    <w:rsid w:val="00723905"/>
    <w:rsid w:val="0072393F"/>
    <w:rsid w:val="00724635"/>
    <w:rsid w:val="00724F21"/>
    <w:rsid w:val="00724FBB"/>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1F9A"/>
    <w:rsid w:val="00732151"/>
    <w:rsid w:val="00732D40"/>
    <w:rsid w:val="00732EBC"/>
    <w:rsid w:val="00732EF8"/>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588"/>
    <w:rsid w:val="007437C6"/>
    <w:rsid w:val="00743CFF"/>
    <w:rsid w:val="007441A2"/>
    <w:rsid w:val="00744E80"/>
    <w:rsid w:val="00745035"/>
    <w:rsid w:val="0074531C"/>
    <w:rsid w:val="00745547"/>
    <w:rsid w:val="007459D0"/>
    <w:rsid w:val="0074623A"/>
    <w:rsid w:val="00746420"/>
    <w:rsid w:val="00746A60"/>
    <w:rsid w:val="00746E04"/>
    <w:rsid w:val="00746E08"/>
    <w:rsid w:val="00746E3D"/>
    <w:rsid w:val="00747120"/>
    <w:rsid w:val="007473B9"/>
    <w:rsid w:val="00747570"/>
    <w:rsid w:val="00747C96"/>
    <w:rsid w:val="00747EC7"/>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647A"/>
    <w:rsid w:val="00756A2F"/>
    <w:rsid w:val="00757148"/>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BCB"/>
    <w:rsid w:val="00766D49"/>
    <w:rsid w:val="00766ECC"/>
    <w:rsid w:val="007672F3"/>
    <w:rsid w:val="007677B5"/>
    <w:rsid w:val="007678B1"/>
    <w:rsid w:val="00770566"/>
    <w:rsid w:val="007708A8"/>
    <w:rsid w:val="00770F8B"/>
    <w:rsid w:val="00771358"/>
    <w:rsid w:val="00772100"/>
    <w:rsid w:val="00772275"/>
    <w:rsid w:val="00772D59"/>
    <w:rsid w:val="007734E4"/>
    <w:rsid w:val="0077380D"/>
    <w:rsid w:val="00773BC8"/>
    <w:rsid w:val="00774549"/>
    <w:rsid w:val="0077466F"/>
    <w:rsid w:val="00774C72"/>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B97"/>
    <w:rsid w:val="00787CCC"/>
    <w:rsid w:val="00787D90"/>
    <w:rsid w:val="00787F5E"/>
    <w:rsid w:val="00790164"/>
    <w:rsid w:val="0079038D"/>
    <w:rsid w:val="007905C6"/>
    <w:rsid w:val="00790A24"/>
    <w:rsid w:val="00790A37"/>
    <w:rsid w:val="00790A60"/>
    <w:rsid w:val="0079146D"/>
    <w:rsid w:val="00791C32"/>
    <w:rsid w:val="00791FF0"/>
    <w:rsid w:val="00792369"/>
    <w:rsid w:val="007923D0"/>
    <w:rsid w:val="00792B51"/>
    <w:rsid w:val="007930D3"/>
    <w:rsid w:val="00793264"/>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38D"/>
    <w:rsid w:val="007A2754"/>
    <w:rsid w:val="007A38A1"/>
    <w:rsid w:val="007A3BBE"/>
    <w:rsid w:val="007A4766"/>
    <w:rsid w:val="007A584A"/>
    <w:rsid w:val="007A5947"/>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9B7"/>
    <w:rsid w:val="007B5D1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61E4"/>
    <w:rsid w:val="007D695B"/>
    <w:rsid w:val="007D7867"/>
    <w:rsid w:val="007D7CFC"/>
    <w:rsid w:val="007E0812"/>
    <w:rsid w:val="007E0825"/>
    <w:rsid w:val="007E1858"/>
    <w:rsid w:val="007E18DF"/>
    <w:rsid w:val="007E214A"/>
    <w:rsid w:val="007E238D"/>
    <w:rsid w:val="007E2C36"/>
    <w:rsid w:val="007E328D"/>
    <w:rsid w:val="007E350D"/>
    <w:rsid w:val="007E368B"/>
    <w:rsid w:val="007E3856"/>
    <w:rsid w:val="007E3ACA"/>
    <w:rsid w:val="007E3F4A"/>
    <w:rsid w:val="007E564D"/>
    <w:rsid w:val="007E5C4A"/>
    <w:rsid w:val="007E5FBE"/>
    <w:rsid w:val="007E64D4"/>
    <w:rsid w:val="007E66E9"/>
    <w:rsid w:val="007E69F2"/>
    <w:rsid w:val="007E6A2A"/>
    <w:rsid w:val="007E7432"/>
    <w:rsid w:val="007E74BF"/>
    <w:rsid w:val="007E7657"/>
    <w:rsid w:val="007E7D2E"/>
    <w:rsid w:val="007F14D3"/>
    <w:rsid w:val="007F1D9D"/>
    <w:rsid w:val="007F1E28"/>
    <w:rsid w:val="007F1F63"/>
    <w:rsid w:val="007F22A0"/>
    <w:rsid w:val="007F23F8"/>
    <w:rsid w:val="007F2902"/>
    <w:rsid w:val="007F2903"/>
    <w:rsid w:val="007F2F90"/>
    <w:rsid w:val="007F320F"/>
    <w:rsid w:val="007F3320"/>
    <w:rsid w:val="007F3AC1"/>
    <w:rsid w:val="007F428F"/>
    <w:rsid w:val="007F4976"/>
    <w:rsid w:val="007F4B40"/>
    <w:rsid w:val="007F5A56"/>
    <w:rsid w:val="007F5D42"/>
    <w:rsid w:val="007F616E"/>
    <w:rsid w:val="007F661C"/>
    <w:rsid w:val="007F669D"/>
    <w:rsid w:val="007F6B46"/>
    <w:rsid w:val="007F6D1E"/>
    <w:rsid w:val="007F72CB"/>
    <w:rsid w:val="007F736A"/>
    <w:rsid w:val="007F7635"/>
    <w:rsid w:val="007F785F"/>
    <w:rsid w:val="007F7961"/>
    <w:rsid w:val="007F7AF6"/>
    <w:rsid w:val="007F7E36"/>
    <w:rsid w:val="008002F2"/>
    <w:rsid w:val="0080091A"/>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DC"/>
    <w:rsid w:val="008124D8"/>
    <w:rsid w:val="0081322A"/>
    <w:rsid w:val="008134E0"/>
    <w:rsid w:val="00813A76"/>
    <w:rsid w:val="00813A7B"/>
    <w:rsid w:val="00813F04"/>
    <w:rsid w:val="0081513E"/>
    <w:rsid w:val="00815DA5"/>
    <w:rsid w:val="00816221"/>
    <w:rsid w:val="0081715E"/>
    <w:rsid w:val="0081766B"/>
    <w:rsid w:val="008178E0"/>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9F3"/>
    <w:rsid w:val="00826F71"/>
    <w:rsid w:val="00827332"/>
    <w:rsid w:val="008278EF"/>
    <w:rsid w:val="00827CC0"/>
    <w:rsid w:val="00827CD3"/>
    <w:rsid w:val="008306AB"/>
    <w:rsid w:val="00830AEC"/>
    <w:rsid w:val="00830DB8"/>
    <w:rsid w:val="00831026"/>
    <w:rsid w:val="0083119B"/>
    <w:rsid w:val="00831BAE"/>
    <w:rsid w:val="00831FDF"/>
    <w:rsid w:val="00832216"/>
    <w:rsid w:val="00832513"/>
    <w:rsid w:val="00832590"/>
    <w:rsid w:val="00832AD3"/>
    <w:rsid w:val="00832CD0"/>
    <w:rsid w:val="00833430"/>
    <w:rsid w:val="00833ADA"/>
    <w:rsid w:val="00833CB1"/>
    <w:rsid w:val="00834128"/>
    <w:rsid w:val="0083417F"/>
    <w:rsid w:val="0083496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6A9"/>
    <w:rsid w:val="0085092D"/>
    <w:rsid w:val="008509A5"/>
    <w:rsid w:val="00850C79"/>
    <w:rsid w:val="00850D82"/>
    <w:rsid w:val="00850F79"/>
    <w:rsid w:val="0085100B"/>
    <w:rsid w:val="0085304C"/>
    <w:rsid w:val="008533E7"/>
    <w:rsid w:val="008536BB"/>
    <w:rsid w:val="00853A3C"/>
    <w:rsid w:val="00853EE0"/>
    <w:rsid w:val="0085433A"/>
    <w:rsid w:val="008548CA"/>
    <w:rsid w:val="00855D62"/>
    <w:rsid w:val="008560C8"/>
    <w:rsid w:val="008563B0"/>
    <w:rsid w:val="008568FE"/>
    <w:rsid w:val="00856C06"/>
    <w:rsid w:val="0085790B"/>
    <w:rsid w:val="008579B9"/>
    <w:rsid w:val="00857C95"/>
    <w:rsid w:val="00857E78"/>
    <w:rsid w:val="00860A1B"/>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2D"/>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607"/>
    <w:rsid w:val="008747E9"/>
    <w:rsid w:val="00874915"/>
    <w:rsid w:val="00874949"/>
    <w:rsid w:val="00874B89"/>
    <w:rsid w:val="00875403"/>
    <w:rsid w:val="00875434"/>
    <w:rsid w:val="00875C1F"/>
    <w:rsid w:val="00876215"/>
    <w:rsid w:val="0087646C"/>
    <w:rsid w:val="00876815"/>
    <w:rsid w:val="008776C8"/>
    <w:rsid w:val="00877932"/>
    <w:rsid w:val="0088063A"/>
    <w:rsid w:val="008808C7"/>
    <w:rsid w:val="00880BFD"/>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906"/>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9FB"/>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31"/>
    <w:rsid w:val="008B3045"/>
    <w:rsid w:val="008B4472"/>
    <w:rsid w:val="008B47A6"/>
    <w:rsid w:val="008B522C"/>
    <w:rsid w:val="008B5C7C"/>
    <w:rsid w:val="008B63FE"/>
    <w:rsid w:val="008B658D"/>
    <w:rsid w:val="008B672C"/>
    <w:rsid w:val="008B6E1F"/>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807"/>
    <w:rsid w:val="008C5DF9"/>
    <w:rsid w:val="008C62D4"/>
    <w:rsid w:val="008C6B89"/>
    <w:rsid w:val="008C6B97"/>
    <w:rsid w:val="008C6D53"/>
    <w:rsid w:val="008C7EF7"/>
    <w:rsid w:val="008C7F1E"/>
    <w:rsid w:val="008D0615"/>
    <w:rsid w:val="008D18AA"/>
    <w:rsid w:val="008D1A2A"/>
    <w:rsid w:val="008D1ADE"/>
    <w:rsid w:val="008D35D9"/>
    <w:rsid w:val="008D3B36"/>
    <w:rsid w:val="008D3B85"/>
    <w:rsid w:val="008D462D"/>
    <w:rsid w:val="008D6084"/>
    <w:rsid w:val="008D62C8"/>
    <w:rsid w:val="008D64AC"/>
    <w:rsid w:val="008D66CA"/>
    <w:rsid w:val="008D69B1"/>
    <w:rsid w:val="008D70E0"/>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CD7"/>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619"/>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094"/>
    <w:rsid w:val="00923396"/>
    <w:rsid w:val="00923964"/>
    <w:rsid w:val="00923F56"/>
    <w:rsid w:val="0092468C"/>
    <w:rsid w:val="00924770"/>
    <w:rsid w:val="00924C03"/>
    <w:rsid w:val="00925229"/>
    <w:rsid w:val="00925346"/>
    <w:rsid w:val="00925743"/>
    <w:rsid w:val="0092579F"/>
    <w:rsid w:val="00925D65"/>
    <w:rsid w:val="009264EE"/>
    <w:rsid w:val="009271AE"/>
    <w:rsid w:val="009272FA"/>
    <w:rsid w:val="00927E8D"/>
    <w:rsid w:val="00927F23"/>
    <w:rsid w:val="00930411"/>
    <w:rsid w:val="009307CD"/>
    <w:rsid w:val="00931213"/>
    <w:rsid w:val="00931364"/>
    <w:rsid w:val="00931365"/>
    <w:rsid w:val="00931451"/>
    <w:rsid w:val="009314FA"/>
    <w:rsid w:val="0093194F"/>
    <w:rsid w:val="00931BF3"/>
    <w:rsid w:val="00931C55"/>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4FA"/>
    <w:rsid w:val="00946A24"/>
    <w:rsid w:val="009470D4"/>
    <w:rsid w:val="00947337"/>
    <w:rsid w:val="00947E6E"/>
    <w:rsid w:val="009500A6"/>
    <w:rsid w:val="00951145"/>
    <w:rsid w:val="009512FA"/>
    <w:rsid w:val="009516A9"/>
    <w:rsid w:val="00951E57"/>
    <w:rsid w:val="00952350"/>
    <w:rsid w:val="009524C4"/>
    <w:rsid w:val="00952505"/>
    <w:rsid w:val="0095299B"/>
    <w:rsid w:val="00952FBB"/>
    <w:rsid w:val="00953018"/>
    <w:rsid w:val="009533E2"/>
    <w:rsid w:val="00953554"/>
    <w:rsid w:val="0095360B"/>
    <w:rsid w:val="0095385A"/>
    <w:rsid w:val="00954F3A"/>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C98"/>
    <w:rsid w:val="009659B0"/>
    <w:rsid w:val="00965D27"/>
    <w:rsid w:val="00966B9B"/>
    <w:rsid w:val="0097077C"/>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9D4"/>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BE3"/>
    <w:rsid w:val="00996E1E"/>
    <w:rsid w:val="00997148"/>
    <w:rsid w:val="00997392"/>
    <w:rsid w:val="0099747C"/>
    <w:rsid w:val="0099771C"/>
    <w:rsid w:val="00997852"/>
    <w:rsid w:val="009A01E4"/>
    <w:rsid w:val="009A0917"/>
    <w:rsid w:val="009A0A33"/>
    <w:rsid w:val="009A0C41"/>
    <w:rsid w:val="009A1351"/>
    <w:rsid w:val="009A1723"/>
    <w:rsid w:val="009A1E6C"/>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2F77"/>
    <w:rsid w:val="009B2FFB"/>
    <w:rsid w:val="009B3140"/>
    <w:rsid w:val="009B3163"/>
    <w:rsid w:val="009B422F"/>
    <w:rsid w:val="009B4620"/>
    <w:rsid w:val="009B46BC"/>
    <w:rsid w:val="009B4D1A"/>
    <w:rsid w:val="009B519D"/>
    <w:rsid w:val="009B543A"/>
    <w:rsid w:val="009B558B"/>
    <w:rsid w:val="009B5A35"/>
    <w:rsid w:val="009B6BCF"/>
    <w:rsid w:val="009B6D21"/>
    <w:rsid w:val="009B6E85"/>
    <w:rsid w:val="009B78ED"/>
    <w:rsid w:val="009C0E1B"/>
    <w:rsid w:val="009C12AB"/>
    <w:rsid w:val="009C12C6"/>
    <w:rsid w:val="009C181C"/>
    <w:rsid w:val="009C1A44"/>
    <w:rsid w:val="009C1C7F"/>
    <w:rsid w:val="009C1D29"/>
    <w:rsid w:val="009C1D4C"/>
    <w:rsid w:val="009C1EC7"/>
    <w:rsid w:val="009C2210"/>
    <w:rsid w:val="009C28A2"/>
    <w:rsid w:val="009C2BAE"/>
    <w:rsid w:val="009C2D36"/>
    <w:rsid w:val="009C2E7B"/>
    <w:rsid w:val="009C3239"/>
    <w:rsid w:val="009C3815"/>
    <w:rsid w:val="009C3828"/>
    <w:rsid w:val="009C3AD3"/>
    <w:rsid w:val="009C3AF4"/>
    <w:rsid w:val="009C3D2C"/>
    <w:rsid w:val="009C42A2"/>
    <w:rsid w:val="009C4832"/>
    <w:rsid w:val="009C48E6"/>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0DB"/>
    <w:rsid w:val="009E2291"/>
    <w:rsid w:val="009E2391"/>
    <w:rsid w:val="009E3704"/>
    <w:rsid w:val="009E4685"/>
    <w:rsid w:val="009E476A"/>
    <w:rsid w:val="009E4E05"/>
    <w:rsid w:val="009E534D"/>
    <w:rsid w:val="009E5680"/>
    <w:rsid w:val="009E56FF"/>
    <w:rsid w:val="009E5CB1"/>
    <w:rsid w:val="009E5E56"/>
    <w:rsid w:val="009E61EA"/>
    <w:rsid w:val="009E6990"/>
    <w:rsid w:val="009E6FEE"/>
    <w:rsid w:val="009F002C"/>
    <w:rsid w:val="009F00B9"/>
    <w:rsid w:val="009F060F"/>
    <w:rsid w:val="009F0781"/>
    <w:rsid w:val="009F0850"/>
    <w:rsid w:val="009F091C"/>
    <w:rsid w:val="009F09FB"/>
    <w:rsid w:val="009F170C"/>
    <w:rsid w:val="009F1BDF"/>
    <w:rsid w:val="009F1EAE"/>
    <w:rsid w:val="009F2495"/>
    <w:rsid w:val="009F2848"/>
    <w:rsid w:val="009F2A9D"/>
    <w:rsid w:val="009F2B4A"/>
    <w:rsid w:val="009F369D"/>
    <w:rsid w:val="009F36FE"/>
    <w:rsid w:val="009F399F"/>
    <w:rsid w:val="009F4990"/>
    <w:rsid w:val="009F4C1E"/>
    <w:rsid w:val="009F4F25"/>
    <w:rsid w:val="009F59C2"/>
    <w:rsid w:val="009F5BC7"/>
    <w:rsid w:val="009F70A4"/>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65"/>
    <w:rsid w:val="00A046D2"/>
    <w:rsid w:val="00A04844"/>
    <w:rsid w:val="00A04A54"/>
    <w:rsid w:val="00A052EC"/>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6FB5"/>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4F4"/>
    <w:rsid w:val="00A23EAB"/>
    <w:rsid w:val="00A24560"/>
    <w:rsid w:val="00A24C11"/>
    <w:rsid w:val="00A25924"/>
    <w:rsid w:val="00A25B0F"/>
    <w:rsid w:val="00A25BBB"/>
    <w:rsid w:val="00A26AEB"/>
    <w:rsid w:val="00A275AC"/>
    <w:rsid w:val="00A2778A"/>
    <w:rsid w:val="00A27FB6"/>
    <w:rsid w:val="00A30121"/>
    <w:rsid w:val="00A30368"/>
    <w:rsid w:val="00A3043A"/>
    <w:rsid w:val="00A30968"/>
    <w:rsid w:val="00A30E02"/>
    <w:rsid w:val="00A30F6A"/>
    <w:rsid w:val="00A31C3E"/>
    <w:rsid w:val="00A333FF"/>
    <w:rsid w:val="00A33B4D"/>
    <w:rsid w:val="00A34538"/>
    <w:rsid w:val="00A34677"/>
    <w:rsid w:val="00A3540F"/>
    <w:rsid w:val="00A35429"/>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326"/>
    <w:rsid w:val="00A4497A"/>
    <w:rsid w:val="00A44AB5"/>
    <w:rsid w:val="00A44BE8"/>
    <w:rsid w:val="00A44C96"/>
    <w:rsid w:val="00A44CDD"/>
    <w:rsid w:val="00A44F54"/>
    <w:rsid w:val="00A4566E"/>
    <w:rsid w:val="00A45C92"/>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BC8"/>
    <w:rsid w:val="00A63DB5"/>
    <w:rsid w:val="00A63DF7"/>
    <w:rsid w:val="00A6454D"/>
    <w:rsid w:val="00A64F2F"/>
    <w:rsid w:val="00A6551D"/>
    <w:rsid w:val="00A6611E"/>
    <w:rsid w:val="00A668BA"/>
    <w:rsid w:val="00A668E6"/>
    <w:rsid w:val="00A66FA7"/>
    <w:rsid w:val="00A67E16"/>
    <w:rsid w:val="00A67EB1"/>
    <w:rsid w:val="00A703CC"/>
    <w:rsid w:val="00A70C5C"/>
    <w:rsid w:val="00A710A2"/>
    <w:rsid w:val="00A71BE1"/>
    <w:rsid w:val="00A71EA7"/>
    <w:rsid w:val="00A72653"/>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880"/>
    <w:rsid w:val="00A849A3"/>
    <w:rsid w:val="00A84A0E"/>
    <w:rsid w:val="00A85171"/>
    <w:rsid w:val="00A8575D"/>
    <w:rsid w:val="00A86196"/>
    <w:rsid w:val="00A861F4"/>
    <w:rsid w:val="00A86ADE"/>
    <w:rsid w:val="00A86E0B"/>
    <w:rsid w:val="00A872C2"/>
    <w:rsid w:val="00A87894"/>
    <w:rsid w:val="00A90274"/>
    <w:rsid w:val="00A90557"/>
    <w:rsid w:val="00A90F12"/>
    <w:rsid w:val="00A91636"/>
    <w:rsid w:val="00A919E6"/>
    <w:rsid w:val="00A91DAA"/>
    <w:rsid w:val="00A92884"/>
    <w:rsid w:val="00A93101"/>
    <w:rsid w:val="00A93239"/>
    <w:rsid w:val="00A9413E"/>
    <w:rsid w:val="00A94293"/>
    <w:rsid w:val="00A9496E"/>
    <w:rsid w:val="00A949F0"/>
    <w:rsid w:val="00A94BDE"/>
    <w:rsid w:val="00A94FCA"/>
    <w:rsid w:val="00A956C6"/>
    <w:rsid w:val="00A95E4C"/>
    <w:rsid w:val="00A966E6"/>
    <w:rsid w:val="00A96C60"/>
    <w:rsid w:val="00A9740B"/>
    <w:rsid w:val="00A9766C"/>
    <w:rsid w:val="00A977F8"/>
    <w:rsid w:val="00A979DB"/>
    <w:rsid w:val="00A97C93"/>
    <w:rsid w:val="00AA06C6"/>
    <w:rsid w:val="00AA08E7"/>
    <w:rsid w:val="00AA0A06"/>
    <w:rsid w:val="00AA0AE4"/>
    <w:rsid w:val="00AA1351"/>
    <w:rsid w:val="00AA184C"/>
    <w:rsid w:val="00AA1AF4"/>
    <w:rsid w:val="00AA1B44"/>
    <w:rsid w:val="00AA1BB6"/>
    <w:rsid w:val="00AA1C84"/>
    <w:rsid w:val="00AA35D5"/>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B01C5"/>
    <w:rsid w:val="00AB041C"/>
    <w:rsid w:val="00AB14E8"/>
    <w:rsid w:val="00AB1B1D"/>
    <w:rsid w:val="00AB1CD8"/>
    <w:rsid w:val="00AB2216"/>
    <w:rsid w:val="00AB358D"/>
    <w:rsid w:val="00AB37A1"/>
    <w:rsid w:val="00AB3BAD"/>
    <w:rsid w:val="00AB3CFD"/>
    <w:rsid w:val="00AB4083"/>
    <w:rsid w:val="00AB40F1"/>
    <w:rsid w:val="00AB49BC"/>
    <w:rsid w:val="00AB4DEE"/>
    <w:rsid w:val="00AB4E32"/>
    <w:rsid w:val="00AB5AC6"/>
    <w:rsid w:val="00AB5C19"/>
    <w:rsid w:val="00AB6406"/>
    <w:rsid w:val="00AB724B"/>
    <w:rsid w:val="00AB726C"/>
    <w:rsid w:val="00AB72B4"/>
    <w:rsid w:val="00AB7A7A"/>
    <w:rsid w:val="00AC02AA"/>
    <w:rsid w:val="00AC0537"/>
    <w:rsid w:val="00AC0A84"/>
    <w:rsid w:val="00AC1508"/>
    <w:rsid w:val="00AC2A0B"/>
    <w:rsid w:val="00AC2BEE"/>
    <w:rsid w:val="00AC2CA8"/>
    <w:rsid w:val="00AC2E53"/>
    <w:rsid w:val="00AC36CA"/>
    <w:rsid w:val="00AC3CD9"/>
    <w:rsid w:val="00AC4462"/>
    <w:rsid w:val="00AC45B2"/>
    <w:rsid w:val="00AC484F"/>
    <w:rsid w:val="00AC4B20"/>
    <w:rsid w:val="00AC55C7"/>
    <w:rsid w:val="00AC56F2"/>
    <w:rsid w:val="00AC5D9D"/>
    <w:rsid w:val="00AC5DB1"/>
    <w:rsid w:val="00AC71C3"/>
    <w:rsid w:val="00AD09F7"/>
    <w:rsid w:val="00AD1B3B"/>
    <w:rsid w:val="00AD1EFA"/>
    <w:rsid w:val="00AD2072"/>
    <w:rsid w:val="00AD23B5"/>
    <w:rsid w:val="00AD2439"/>
    <w:rsid w:val="00AD2DBD"/>
    <w:rsid w:val="00AD2FBF"/>
    <w:rsid w:val="00AD340E"/>
    <w:rsid w:val="00AD353C"/>
    <w:rsid w:val="00AD455D"/>
    <w:rsid w:val="00AD463C"/>
    <w:rsid w:val="00AD4F60"/>
    <w:rsid w:val="00AD5044"/>
    <w:rsid w:val="00AD5114"/>
    <w:rsid w:val="00AD54D4"/>
    <w:rsid w:val="00AD6236"/>
    <w:rsid w:val="00AD69D5"/>
    <w:rsid w:val="00AD74EE"/>
    <w:rsid w:val="00AD7619"/>
    <w:rsid w:val="00AD7770"/>
    <w:rsid w:val="00AE05F2"/>
    <w:rsid w:val="00AE1772"/>
    <w:rsid w:val="00AE1990"/>
    <w:rsid w:val="00AE25E8"/>
    <w:rsid w:val="00AE2AD4"/>
    <w:rsid w:val="00AE2CA7"/>
    <w:rsid w:val="00AE2E59"/>
    <w:rsid w:val="00AE2F1D"/>
    <w:rsid w:val="00AE4C81"/>
    <w:rsid w:val="00AE4CF8"/>
    <w:rsid w:val="00AE5413"/>
    <w:rsid w:val="00AE586F"/>
    <w:rsid w:val="00AE5B70"/>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3CF3"/>
    <w:rsid w:val="00AF4402"/>
    <w:rsid w:val="00AF4639"/>
    <w:rsid w:val="00AF4E92"/>
    <w:rsid w:val="00AF554B"/>
    <w:rsid w:val="00AF5C9B"/>
    <w:rsid w:val="00AF5D53"/>
    <w:rsid w:val="00AF5E2D"/>
    <w:rsid w:val="00AF644B"/>
    <w:rsid w:val="00AF67EE"/>
    <w:rsid w:val="00AF69EB"/>
    <w:rsid w:val="00AF6CA6"/>
    <w:rsid w:val="00AF6EB6"/>
    <w:rsid w:val="00AF75DF"/>
    <w:rsid w:val="00AF7782"/>
    <w:rsid w:val="00AF7796"/>
    <w:rsid w:val="00B011A9"/>
    <w:rsid w:val="00B01966"/>
    <w:rsid w:val="00B01BAF"/>
    <w:rsid w:val="00B01C94"/>
    <w:rsid w:val="00B024ED"/>
    <w:rsid w:val="00B026B8"/>
    <w:rsid w:val="00B02EB3"/>
    <w:rsid w:val="00B02FCB"/>
    <w:rsid w:val="00B033F8"/>
    <w:rsid w:val="00B03C1E"/>
    <w:rsid w:val="00B04400"/>
    <w:rsid w:val="00B046C2"/>
    <w:rsid w:val="00B04835"/>
    <w:rsid w:val="00B04B71"/>
    <w:rsid w:val="00B05A55"/>
    <w:rsid w:val="00B05AD2"/>
    <w:rsid w:val="00B05C74"/>
    <w:rsid w:val="00B05DE1"/>
    <w:rsid w:val="00B06595"/>
    <w:rsid w:val="00B06862"/>
    <w:rsid w:val="00B10109"/>
    <w:rsid w:val="00B1085E"/>
    <w:rsid w:val="00B10FD1"/>
    <w:rsid w:val="00B112D5"/>
    <w:rsid w:val="00B11378"/>
    <w:rsid w:val="00B116AD"/>
    <w:rsid w:val="00B120A8"/>
    <w:rsid w:val="00B1219D"/>
    <w:rsid w:val="00B12445"/>
    <w:rsid w:val="00B12735"/>
    <w:rsid w:val="00B12F44"/>
    <w:rsid w:val="00B13342"/>
    <w:rsid w:val="00B13399"/>
    <w:rsid w:val="00B13C48"/>
    <w:rsid w:val="00B13E35"/>
    <w:rsid w:val="00B13EC0"/>
    <w:rsid w:val="00B14102"/>
    <w:rsid w:val="00B14D32"/>
    <w:rsid w:val="00B14E90"/>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BD5"/>
    <w:rsid w:val="00B22E22"/>
    <w:rsid w:val="00B22F5F"/>
    <w:rsid w:val="00B23353"/>
    <w:rsid w:val="00B23535"/>
    <w:rsid w:val="00B23813"/>
    <w:rsid w:val="00B23FD9"/>
    <w:rsid w:val="00B24591"/>
    <w:rsid w:val="00B245D5"/>
    <w:rsid w:val="00B245EF"/>
    <w:rsid w:val="00B2491A"/>
    <w:rsid w:val="00B24C36"/>
    <w:rsid w:val="00B24D9F"/>
    <w:rsid w:val="00B24F94"/>
    <w:rsid w:val="00B25126"/>
    <w:rsid w:val="00B25530"/>
    <w:rsid w:val="00B25703"/>
    <w:rsid w:val="00B25A52"/>
    <w:rsid w:val="00B25B81"/>
    <w:rsid w:val="00B25FC3"/>
    <w:rsid w:val="00B2692F"/>
    <w:rsid w:val="00B270F8"/>
    <w:rsid w:val="00B27875"/>
    <w:rsid w:val="00B3008D"/>
    <w:rsid w:val="00B3010C"/>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66FE"/>
    <w:rsid w:val="00B368EC"/>
    <w:rsid w:val="00B36BE9"/>
    <w:rsid w:val="00B36D2B"/>
    <w:rsid w:val="00B372F2"/>
    <w:rsid w:val="00B37657"/>
    <w:rsid w:val="00B37AFD"/>
    <w:rsid w:val="00B37B07"/>
    <w:rsid w:val="00B37E06"/>
    <w:rsid w:val="00B4046F"/>
    <w:rsid w:val="00B406B3"/>
    <w:rsid w:val="00B40A36"/>
    <w:rsid w:val="00B41BCA"/>
    <w:rsid w:val="00B41D39"/>
    <w:rsid w:val="00B422C0"/>
    <w:rsid w:val="00B426CA"/>
    <w:rsid w:val="00B426E1"/>
    <w:rsid w:val="00B42F56"/>
    <w:rsid w:val="00B4387A"/>
    <w:rsid w:val="00B43CFB"/>
    <w:rsid w:val="00B44746"/>
    <w:rsid w:val="00B44854"/>
    <w:rsid w:val="00B44BA5"/>
    <w:rsid w:val="00B458D0"/>
    <w:rsid w:val="00B47304"/>
    <w:rsid w:val="00B4792C"/>
    <w:rsid w:val="00B50876"/>
    <w:rsid w:val="00B50CAE"/>
    <w:rsid w:val="00B5100A"/>
    <w:rsid w:val="00B512AD"/>
    <w:rsid w:val="00B5196C"/>
    <w:rsid w:val="00B525CB"/>
    <w:rsid w:val="00B52697"/>
    <w:rsid w:val="00B54215"/>
    <w:rsid w:val="00B54D8F"/>
    <w:rsid w:val="00B55857"/>
    <w:rsid w:val="00B55C69"/>
    <w:rsid w:val="00B5664E"/>
    <w:rsid w:val="00B56851"/>
    <w:rsid w:val="00B56D6E"/>
    <w:rsid w:val="00B572F7"/>
    <w:rsid w:val="00B574C3"/>
    <w:rsid w:val="00B57B9D"/>
    <w:rsid w:val="00B57DAF"/>
    <w:rsid w:val="00B60094"/>
    <w:rsid w:val="00B6022C"/>
    <w:rsid w:val="00B6040C"/>
    <w:rsid w:val="00B614F8"/>
    <w:rsid w:val="00B618BD"/>
    <w:rsid w:val="00B61994"/>
    <w:rsid w:val="00B61B18"/>
    <w:rsid w:val="00B61FD4"/>
    <w:rsid w:val="00B6235B"/>
    <w:rsid w:val="00B627C3"/>
    <w:rsid w:val="00B62880"/>
    <w:rsid w:val="00B62ACE"/>
    <w:rsid w:val="00B63872"/>
    <w:rsid w:val="00B63CB2"/>
    <w:rsid w:val="00B64246"/>
    <w:rsid w:val="00B6430F"/>
    <w:rsid w:val="00B64BE0"/>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D7E"/>
    <w:rsid w:val="00B74EF8"/>
    <w:rsid w:val="00B75368"/>
    <w:rsid w:val="00B7581D"/>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3182"/>
    <w:rsid w:val="00B837F0"/>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87A1C"/>
    <w:rsid w:val="00B90A49"/>
    <w:rsid w:val="00B90A73"/>
    <w:rsid w:val="00B911B3"/>
    <w:rsid w:val="00B91B8E"/>
    <w:rsid w:val="00B92531"/>
    <w:rsid w:val="00B92618"/>
    <w:rsid w:val="00B92751"/>
    <w:rsid w:val="00B92B69"/>
    <w:rsid w:val="00B92CC6"/>
    <w:rsid w:val="00B935C9"/>
    <w:rsid w:val="00B93E3D"/>
    <w:rsid w:val="00B94C5E"/>
    <w:rsid w:val="00B9525F"/>
    <w:rsid w:val="00B95464"/>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2FF5"/>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0A9"/>
    <w:rsid w:val="00BB1A75"/>
    <w:rsid w:val="00BB2841"/>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961"/>
    <w:rsid w:val="00BC0F33"/>
    <w:rsid w:val="00BC14A7"/>
    <w:rsid w:val="00BC17CC"/>
    <w:rsid w:val="00BC209F"/>
    <w:rsid w:val="00BC2647"/>
    <w:rsid w:val="00BC2898"/>
    <w:rsid w:val="00BC2928"/>
    <w:rsid w:val="00BC29BD"/>
    <w:rsid w:val="00BC2A75"/>
    <w:rsid w:val="00BC2BB1"/>
    <w:rsid w:val="00BC34A3"/>
    <w:rsid w:val="00BC3FF9"/>
    <w:rsid w:val="00BC437C"/>
    <w:rsid w:val="00BC4834"/>
    <w:rsid w:val="00BC4A97"/>
    <w:rsid w:val="00BC4BBC"/>
    <w:rsid w:val="00BC55C0"/>
    <w:rsid w:val="00BC5A25"/>
    <w:rsid w:val="00BC5FDD"/>
    <w:rsid w:val="00BC6508"/>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5CF8"/>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4FC1"/>
    <w:rsid w:val="00BE5172"/>
    <w:rsid w:val="00BE5238"/>
    <w:rsid w:val="00BE5742"/>
    <w:rsid w:val="00BE57B3"/>
    <w:rsid w:val="00BE6074"/>
    <w:rsid w:val="00BE6A5C"/>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629"/>
    <w:rsid w:val="00BF4862"/>
    <w:rsid w:val="00BF4AC8"/>
    <w:rsid w:val="00BF5899"/>
    <w:rsid w:val="00BF5C05"/>
    <w:rsid w:val="00BF62AB"/>
    <w:rsid w:val="00BF6817"/>
    <w:rsid w:val="00BF6FC6"/>
    <w:rsid w:val="00BF7C52"/>
    <w:rsid w:val="00BF7F99"/>
    <w:rsid w:val="00C00713"/>
    <w:rsid w:val="00C009A0"/>
    <w:rsid w:val="00C01BE9"/>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1082C"/>
    <w:rsid w:val="00C10E78"/>
    <w:rsid w:val="00C1159D"/>
    <w:rsid w:val="00C1233E"/>
    <w:rsid w:val="00C12AEF"/>
    <w:rsid w:val="00C12FB3"/>
    <w:rsid w:val="00C138BC"/>
    <w:rsid w:val="00C13D85"/>
    <w:rsid w:val="00C13E30"/>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199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A6F"/>
    <w:rsid w:val="00C27D37"/>
    <w:rsid w:val="00C309E8"/>
    <w:rsid w:val="00C32017"/>
    <w:rsid w:val="00C32571"/>
    <w:rsid w:val="00C325CD"/>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B50"/>
    <w:rsid w:val="00C40C19"/>
    <w:rsid w:val="00C41389"/>
    <w:rsid w:val="00C419E3"/>
    <w:rsid w:val="00C419F4"/>
    <w:rsid w:val="00C41E6A"/>
    <w:rsid w:val="00C42247"/>
    <w:rsid w:val="00C428E7"/>
    <w:rsid w:val="00C438A2"/>
    <w:rsid w:val="00C439BE"/>
    <w:rsid w:val="00C4443B"/>
    <w:rsid w:val="00C4539B"/>
    <w:rsid w:val="00C45466"/>
    <w:rsid w:val="00C455C1"/>
    <w:rsid w:val="00C45670"/>
    <w:rsid w:val="00C4581D"/>
    <w:rsid w:val="00C46294"/>
    <w:rsid w:val="00C46599"/>
    <w:rsid w:val="00C47472"/>
    <w:rsid w:val="00C500F0"/>
    <w:rsid w:val="00C504A7"/>
    <w:rsid w:val="00C506C9"/>
    <w:rsid w:val="00C50A16"/>
    <w:rsid w:val="00C51222"/>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1F2C"/>
    <w:rsid w:val="00C71F30"/>
    <w:rsid w:val="00C72115"/>
    <w:rsid w:val="00C7326E"/>
    <w:rsid w:val="00C733BA"/>
    <w:rsid w:val="00C73649"/>
    <w:rsid w:val="00C7389D"/>
    <w:rsid w:val="00C74541"/>
    <w:rsid w:val="00C760DC"/>
    <w:rsid w:val="00C76D48"/>
    <w:rsid w:val="00C770C5"/>
    <w:rsid w:val="00C8001D"/>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28AE"/>
    <w:rsid w:val="00C936BA"/>
    <w:rsid w:val="00C9370F"/>
    <w:rsid w:val="00C93765"/>
    <w:rsid w:val="00C93877"/>
    <w:rsid w:val="00C93D8C"/>
    <w:rsid w:val="00C93E07"/>
    <w:rsid w:val="00C946CC"/>
    <w:rsid w:val="00C94E97"/>
    <w:rsid w:val="00C959BD"/>
    <w:rsid w:val="00C95D8C"/>
    <w:rsid w:val="00C95DFE"/>
    <w:rsid w:val="00C95F44"/>
    <w:rsid w:val="00C96065"/>
    <w:rsid w:val="00C96389"/>
    <w:rsid w:val="00C96D1B"/>
    <w:rsid w:val="00C97106"/>
    <w:rsid w:val="00C978D4"/>
    <w:rsid w:val="00CA0031"/>
    <w:rsid w:val="00CA0413"/>
    <w:rsid w:val="00CA043A"/>
    <w:rsid w:val="00CA0E51"/>
    <w:rsid w:val="00CA1691"/>
    <w:rsid w:val="00CA2FE1"/>
    <w:rsid w:val="00CA41E7"/>
    <w:rsid w:val="00CA4A99"/>
    <w:rsid w:val="00CA5520"/>
    <w:rsid w:val="00CA5812"/>
    <w:rsid w:val="00CA5BD4"/>
    <w:rsid w:val="00CA5C14"/>
    <w:rsid w:val="00CA6410"/>
    <w:rsid w:val="00CA7019"/>
    <w:rsid w:val="00CA76FC"/>
    <w:rsid w:val="00CA7C0D"/>
    <w:rsid w:val="00CA7D40"/>
    <w:rsid w:val="00CA7E7B"/>
    <w:rsid w:val="00CB0236"/>
    <w:rsid w:val="00CB0CB1"/>
    <w:rsid w:val="00CB10AE"/>
    <w:rsid w:val="00CB1881"/>
    <w:rsid w:val="00CB1969"/>
    <w:rsid w:val="00CB19E3"/>
    <w:rsid w:val="00CB2C3A"/>
    <w:rsid w:val="00CB2D38"/>
    <w:rsid w:val="00CB2F5E"/>
    <w:rsid w:val="00CB3C9D"/>
    <w:rsid w:val="00CB4137"/>
    <w:rsid w:val="00CB4DB8"/>
    <w:rsid w:val="00CB50D0"/>
    <w:rsid w:val="00CB52D0"/>
    <w:rsid w:val="00CB5578"/>
    <w:rsid w:val="00CB5671"/>
    <w:rsid w:val="00CB591C"/>
    <w:rsid w:val="00CB5943"/>
    <w:rsid w:val="00CB61B3"/>
    <w:rsid w:val="00CB6801"/>
    <w:rsid w:val="00CB6B63"/>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35"/>
    <w:rsid w:val="00CC69EC"/>
    <w:rsid w:val="00CC71D3"/>
    <w:rsid w:val="00CC743D"/>
    <w:rsid w:val="00CC74E7"/>
    <w:rsid w:val="00CC7C5A"/>
    <w:rsid w:val="00CD02ED"/>
    <w:rsid w:val="00CD04A3"/>
    <w:rsid w:val="00CD050A"/>
    <w:rsid w:val="00CD0AE0"/>
    <w:rsid w:val="00CD0F92"/>
    <w:rsid w:val="00CD1017"/>
    <w:rsid w:val="00CD205D"/>
    <w:rsid w:val="00CD2A22"/>
    <w:rsid w:val="00CD2B50"/>
    <w:rsid w:val="00CD3156"/>
    <w:rsid w:val="00CD3172"/>
    <w:rsid w:val="00CD4399"/>
    <w:rsid w:val="00CD4506"/>
    <w:rsid w:val="00CD502F"/>
    <w:rsid w:val="00CD50E3"/>
    <w:rsid w:val="00CD520B"/>
    <w:rsid w:val="00CD53D4"/>
    <w:rsid w:val="00CD592E"/>
    <w:rsid w:val="00CD5982"/>
    <w:rsid w:val="00CD5A1A"/>
    <w:rsid w:val="00CD5E1E"/>
    <w:rsid w:val="00CD5F5E"/>
    <w:rsid w:val="00CD64EA"/>
    <w:rsid w:val="00CD6C6B"/>
    <w:rsid w:val="00CD75C9"/>
    <w:rsid w:val="00CD7EFA"/>
    <w:rsid w:val="00CE020E"/>
    <w:rsid w:val="00CE0566"/>
    <w:rsid w:val="00CE1CD4"/>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EC4"/>
    <w:rsid w:val="00CE7F26"/>
    <w:rsid w:val="00CF089F"/>
    <w:rsid w:val="00CF093F"/>
    <w:rsid w:val="00CF1226"/>
    <w:rsid w:val="00CF1ABB"/>
    <w:rsid w:val="00CF1E1D"/>
    <w:rsid w:val="00CF1E90"/>
    <w:rsid w:val="00CF24FE"/>
    <w:rsid w:val="00CF287F"/>
    <w:rsid w:val="00CF35D0"/>
    <w:rsid w:val="00CF392D"/>
    <w:rsid w:val="00CF3A99"/>
    <w:rsid w:val="00CF3B57"/>
    <w:rsid w:val="00CF3DD5"/>
    <w:rsid w:val="00CF444E"/>
    <w:rsid w:val="00CF4AF7"/>
    <w:rsid w:val="00CF4D20"/>
    <w:rsid w:val="00CF51A5"/>
    <w:rsid w:val="00CF6473"/>
    <w:rsid w:val="00CF73F8"/>
    <w:rsid w:val="00CF7928"/>
    <w:rsid w:val="00CF7CA2"/>
    <w:rsid w:val="00D00911"/>
    <w:rsid w:val="00D00A8E"/>
    <w:rsid w:val="00D00DAF"/>
    <w:rsid w:val="00D00DE0"/>
    <w:rsid w:val="00D00F79"/>
    <w:rsid w:val="00D012BF"/>
    <w:rsid w:val="00D01760"/>
    <w:rsid w:val="00D02345"/>
    <w:rsid w:val="00D0368E"/>
    <w:rsid w:val="00D03AC3"/>
    <w:rsid w:val="00D03D2D"/>
    <w:rsid w:val="00D03E7B"/>
    <w:rsid w:val="00D0401A"/>
    <w:rsid w:val="00D043AA"/>
    <w:rsid w:val="00D047E0"/>
    <w:rsid w:val="00D04B9F"/>
    <w:rsid w:val="00D04D43"/>
    <w:rsid w:val="00D04FFB"/>
    <w:rsid w:val="00D055FE"/>
    <w:rsid w:val="00D058E9"/>
    <w:rsid w:val="00D0612A"/>
    <w:rsid w:val="00D06C3E"/>
    <w:rsid w:val="00D07DE9"/>
    <w:rsid w:val="00D1060D"/>
    <w:rsid w:val="00D1095F"/>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79F"/>
    <w:rsid w:val="00D22BFE"/>
    <w:rsid w:val="00D22DC8"/>
    <w:rsid w:val="00D23882"/>
    <w:rsid w:val="00D23FAF"/>
    <w:rsid w:val="00D2477B"/>
    <w:rsid w:val="00D2522A"/>
    <w:rsid w:val="00D2531C"/>
    <w:rsid w:val="00D25428"/>
    <w:rsid w:val="00D2553E"/>
    <w:rsid w:val="00D2587F"/>
    <w:rsid w:val="00D270AC"/>
    <w:rsid w:val="00D2742F"/>
    <w:rsid w:val="00D2754F"/>
    <w:rsid w:val="00D2761B"/>
    <w:rsid w:val="00D277C5"/>
    <w:rsid w:val="00D279D9"/>
    <w:rsid w:val="00D312DC"/>
    <w:rsid w:val="00D31B84"/>
    <w:rsid w:val="00D31C6A"/>
    <w:rsid w:val="00D31D74"/>
    <w:rsid w:val="00D31E80"/>
    <w:rsid w:val="00D31EDF"/>
    <w:rsid w:val="00D31FF9"/>
    <w:rsid w:val="00D3207F"/>
    <w:rsid w:val="00D32149"/>
    <w:rsid w:val="00D32256"/>
    <w:rsid w:val="00D32A27"/>
    <w:rsid w:val="00D32ABC"/>
    <w:rsid w:val="00D33FA4"/>
    <w:rsid w:val="00D349E3"/>
    <w:rsid w:val="00D34B25"/>
    <w:rsid w:val="00D34C7F"/>
    <w:rsid w:val="00D34F4E"/>
    <w:rsid w:val="00D357F3"/>
    <w:rsid w:val="00D35C0E"/>
    <w:rsid w:val="00D36891"/>
    <w:rsid w:val="00D36FBF"/>
    <w:rsid w:val="00D373A8"/>
    <w:rsid w:val="00D379A5"/>
    <w:rsid w:val="00D37BB3"/>
    <w:rsid w:val="00D401BE"/>
    <w:rsid w:val="00D4043A"/>
    <w:rsid w:val="00D40DB0"/>
    <w:rsid w:val="00D41093"/>
    <w:rsid w:val="00D41858"/>
    <w:rsid w:val="00D422DB"/>
    <w:rsid w:val="00D42AC2"/>
    <w:rsid w:val="00D43C06"/>
    <w:rsid w:val="00D4498E"/>
    <w:rsid w:val="00D4515F"/>
    <w:rsid w:val="00D451E8"/>
    <w:rsid w:val="00D45A45"/>
    <w:rsid w:val="00D466C9"/>
    <w:rsid w:val="00D46AF9"/>
    <w:rsid w:val="00D47275"/>
    <w:rsid w:val="00D47DE7"/>
    <w:rsid w:val="00D517F6"/>
    <w:rsid w:val="00D51AB7"/>
    <w:rsid w:val="00D51E15"/>
    <w:rsid w:val="00D52B7E"/>
    <w:rsid w:val="00D52E2F"/>
    <w:rsid w:val="00D52F59"/>
    <w:rsid w:val="00D53445"/>
    <w:rsid w:val="00D53A2E"/>
    <w:rsid w:val="00D53E3E"/>
    <w:rsid w:val="00D54620"/>
    <w:rsid w:val="00D54868"/>
    <w:rsid w:val="00D54FA2"/>
    <w:rsid w:val="00D5564C"/>
    <w:rsid w:val="00D55893"/>
    <w:rsid w:val="00D55904"/>
    <w:rsid w:val="00D55913"/>
    <w:rsid w:val="00D5614E"/>
    <w:rsid w:val="00D5616F"/>
    <w:rsid w:val="00D564B8"/>
    <w:rsid w:val="00D57940"/>
    <w:rsid w:val="00D60327"/>
    <w:rsid w:val="00D60D6D"/>
    <w:rsid w:val="00D61384"/>
    <w:rsid w:val="00D61526"/>
    <w:rsid w:val="00D61C39"/>
    <w:rsid w:val="00D61F81"/>
    <w:rsid w:val="00D620A6"/>
    <w:rsid w:val="00D623C0"/>
    <w:rsid w:val="00D628E3"/>
    <w:rsid w:val="00D62BE6"/>
    <w:rsid w:val="00D63359"/>
    <w:rsid w:val="00D63766"/>
    <w:rsid w:val="00D63912"/>
    <w:rsid w:val="00D63923"/>
    <w:rsid w:val="00D6451B"/>
    <w:rsid w:val="00D64B57"/>
    <w:rsid w:val="00D651A1"/>
    <w:rsid w:val="00D651F2"/>
    <w:rsid w:val="00D656F7"/>
    <w:rsid w:val="00D65DEA"/>
    <w:rsid w:val="00D6650F"/>
    <w:rsid w:val="00D66579"/>
    <w:rsid w:val="00D66638"/>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4D1"/>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0A0"/>
    <w:rsid w:val="00D9021B"/>
    <w:rsid w:val="00D90683"/>
    <w:rsid w:val="00D90B2A"/>
    <w:rsid w:val="00D913F5"/>
    <w:rsid w:val="00D91483"/>
    <w:rsid w:val="00D914E1"/>
    <w:rsid w:val="00D915C8"/>
    <w:rsid w:val="00D9310B"/>
    <w:rsid w:val="00D931F3"/>
    <w:rsid w:val="00D93726"/>
    <w:rsid w:val="00D93C6E"/>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86D"/>
    <w:rsid w:val="00DA2969"/>
    <w:rsid w:val="00DA29B7"/>
    <w:rsid w:val="00DA2E5F"/>
    <w:rsid w:val="00DA337C"/>
    <w:rsid w:val="00DA38B8"/>
    <w:rsid w:val="00DA3C42"/>
    <w:rsid w:val="00DA4842"/>
    <w:rsid w:val="00DA4C97"/>
    <w:rsid w:val="00DA52BB"/>
    <w:rsid w:val="00DA54BF"/>
    <w:rsid w:val="00DA5989"/>
    <w:rsid w:val="00DA5AB1"/>
    <w:rsid w:val="00DA5F9D"/>
    <w:rsid w:val="00DA69B2"/>
    <w:rsid w:val="00DA7462"/>
    <w:rsid w:val="00DA7AD0"/>
    <w:rsid w:val="00DA7AF9"/>
    <w:rsid w:val="00DB02D7"/>
    <w:rsid w:val="00DB03CC"/>
    <w:rsid w:val="00DB03DE"/>
    <w:rsid w:val="00DB12D4"/>
    <w:rsid w:val="00DB1445"/>
    <w:rsid w:val="00DB14F0"/>
    <w:rsid w:val="00DB1745"/>
    <w:rsid w:val="00DB19BB"/>
    <w:rsid w:val="00DB1AFF"/>
    <w:rsid w:val="00DB1B36"/>
    <w:rsid w:val="00DB219A"/>
    <w:rsid w:val="00DB229C"/>
    <w:rsid w:val="00DB24D7"/>
    <w:rsid w:val="00DB2970"/>
    <w:rsid w:val="00DB3165"/>
    <w:rsid w:val="00DB420F"/>
    <w:rsid w:val="00DB4292"/>
    <w:rsid w:val="00DB481B"/>
    <w:rsid w:val="00DB4BDD"/>
    <w:rsid w:val="00DB4DB7"/>
    <w:rsid w:val="00DB5023"/>
    <w:rsid w:val="00DB50C4"/>
    <w:rsid w:val="00DB5767"/>
    <w:rsid w:val="00DB69FA"/>
    <w:rsid w:val="00DB6E46"/>
    <w:rsid w:val="00DB7117"/>
    <w:rsid w:val="00DB7760"/>
    <w:rsid w:val="00DB7987"/>
    <w:rsid w:val="00DB7B1F"/>
    <w:rsid w:val="00DB7DD4"/>
    <w:rsid w:val="00DC00B4"/>
    <w:rsid w:val="00DC0195"/>
    <w:rsid w:val="00DC0759"/>
    <w:rsid w:val="00DC0954"/>
    <w:rsid w:val="00DC0DF8"/>
    <w:rsid w:val="00DC158A"/>
    <w:rsid w:val="00DC15BA"/>
    <w:rsid w:val="00DC18CD"/>
    <w:rsid w:val="00DC1A68"/>
    <w:rsid w:val="00DC246C"/>
    <w:rsid w:val="00DC2536"/>
    <w:rsid w:val="00DC30B8"/>
    <w:rsid w:val="00DC478F"/>
    <w:rsid w:val="00DC61AC"/>
    <w:rsid w:val="00DC62E5"/>
    <w:rsid w:val="00DC6D70"/>
    <w:rsid w:val="00DC6F33"/>
    <w:rsid w:val="00DC7349"/>
    <w:rsid w:val="00DC7389"/>
    <w:rsid w:val="00DC7402"/>
    <w:rsid w:val="00DD02BE"/>
    <w:rsid w:val="00DD06F4"/>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31C"/>
    <w:rsid w:val="00DD6A79"/>
    <w:rsid w:val="00DD72A0"/>
    <w:rsid w:val="00DD735D"/>
    <w:rsid w:val="00DD7F7D"/>
    <w:rsid w:val="00DE0159"/>
    <w:rsid w:val="00DE064A"/>
    <w:rsid w:val="00DE0683"/>
    <w:rsid w:val="00DE0686"/>
    <w:rsid w:val="00DE082D"/>
    <w:rsid w:val="00DE1410"/>
    <w:rsid w:val="00DE20C6"/>
    <w:rsid w:val="00DE3119"/>
    <w:rsid w:val="00DE322B"/>
    <w:rsid w:val="00DE3C24"/>
    <w:rsid w:val="00DE3FF0"/>
    <w:rsid w:val="00DE4105"/>
    <w:rsid w:val="00DE5189"/>
    <w:rsid w:val="00DE5D88"/>
    <w:rsid w:val="00DE63F8"/>
    <w:rsid w:val="00DE6EB8"/>
    <w:rsid w:val="00DE7108"/>
    <w:rsid w:val="00DE74AC"/>
    <w:rsid w:val="00DE78D1"/>
    <w:rsid w:val="00DE78FF"/>
    <w:rsid w:val="00DF0263"/>
    <w:rsid w:val="00DF0588"/>
    <w:rsid w:val="00DF080F"/>
    <w:rsid w:val="00DF0EB4"/>
    <w:rsid w:val="00DF158B"/>
    <w:rsid w:val="00DF1733"/>
    <w:rsid w:val="00DF193C"/>
    <w:rsid w:val="00DF1DE6"/>
    <w:rsid w:val="00DF1E36"/>
    <w:rsid w:val="00DF236B"/>
    <w:rsid w:val="00DF2A91"/>
    <w:rsid w:val="00DF3889"/>
    <w:rsid w:val="00DF3C0D"/>
    <w:rsid w:val="00DF3CC9"/>
    <w:rsid w:val="00DF4451"/>
    <w:rsid w:val="00DF49FF"/>
    <w:rsid w:val="00DF4FFB"/>
    <w:rsid w:val="00DF5236"/>
    <w:rsid w:val="00DF5D50"/>
    <w:rsid w:val="00DF5E00"/>
    <w:rsid w:val="00DF6232"/>
    <w:rsid w:val="00DF651F"/>
    <w:rsid w:val="00DF6F43"/>
    <w:rsid w:val="00DF6F5C"/>
    <w:rsid w:val="00DF71EA"/>
    <w:rsid w:val="00DF73D1"/>
    <w:rsid w:val="00DF752F"/>
    <w:rsid w:val="00DF76A2"/>
    <w:rsid w:val="00DF786B"/>
    <w:rsid w:val="00E00B7A"/>
    <w:rsid w:val="00E0133D"/>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C7A"/>
    <w:rsid w:val="00E40E82"/>
    <w:rsid w:val="00E41141"/>
    <w:rsid w:val="00E4143A"/>
    <w:rsid w:val="00E424C8"/>
    <w:rsid w:val="00E4251D"/>
    <w:rsid w:val="00E43D00"/>
    <w:rsid w:val="00E443B4"/>
    <w:rsid w:val="00E445E4"/>
    <w:rsid w:val="00E44EDE"/>
    <w:rsid w:val="00E457CB"/>
    <w:rsid w:val="00E4588C"/>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1AE"/>
    <w:rsid w:val="00E529A3"/>
    <w:rsid w:val="00E52C48"/>
    <w:rsid w:val="00E52C56"/>
    <w:rsid w:val="00E52EB3"/>
    <w:rsid w:val="00E52F22"/>
    <w:rsid w:val="00E5303A"/>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51F"/>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779"/>
    <w:rsid w:val="00E7209B"/>
    <w:rsid w:val="00E724B8"/>
    <w:rsid w:val="00E724E7"/>
    <w:rsid w:val="00E72B41"/>
    <w:rsid w:val="00E7347B"/>
    <w:rsid w:val="00E73792"/>
    <w:rsid w:val="00E73D03"/>
    <w:rsid w:val="00E73D78"/>
    <w:rsid w:val="00E746F7"/>
    <w:rsid w:val="00E7471C"/>
    <w:rsid w:val="00E7498A"/>
    <w:rsid w:val="00E7514E"/>
    <w:rsid w:val="00E75C0C"/>
    <w:rsid w:val="00E76537"/>
    <w:rsid w:val="00E77784"/>
    <w:rsid w:val="00E7781A"/>
    <w:rsid w:val="00E77AF5"/>
    <w:rsid w:val="00E8067B"/>
    <w:rsid w:val="00E81151"/>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241E"/>
    <w:rsid w:val="00E92460"/>
    <w:rsid w:val="00E92E62"/>
    <w:rsid w:val="00E93804"/>
    <w:rsid w:val="00E9429D"/>
    <w:rsid w:val="00E95434"/>
    <w:rsid w:val="00E96467"/>
    <w:rsid w:val="00E966DA"/>
    <w:rsid w:val="00E96948"/>
    <w:rsid w:val="00E97262"/>
    <w:rsid w:val="00E9737B"/>
    <w:rsid w:val="00E97A3F"/>
    <w:rsid w:val="00E97F0A"/>
    <w:rsid w:val="00EA0100"/>
    <w:rsid w:val="00EA041B"/>
    <w:rsid w:val="00EA0BCE"/>
    <w:rsid w:val="00EA17BC"/>
    <w:rsid w:val="00EA2744"/>
    <w:rsid w:val="00EA37B9"/>
    <w:rsid w:val="00EA39F7"/>
    <w:rsid w:val="00EA3DC2"/>
    <w:rsid w:val="00EA434E"/>
    <w:rsid w:val="00EA438A"/>
    <w:rsid w:val="00EA4757"/>
    <w:rsid w:val="00EA560B"/>
    <w:rsid w:val="00EA5669"/>
    <w:rsid w:val="00EA5CC6"/>
    <w:rsid w:val="00EA6384"/>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A8A"/>
    <w:rsid w:val="00EC1CE7"/>
    <w:rsid w:val="00EC1DAE"/>
    <w:rsid w:val="00EC26F1"/>
    <w:rsid w:val="00EC3C94"/>
    <w:rsid w:val="00EC4336"/>
    <w:rsid w:val="00EC44DF"/>
    <w:rsid w:val="00EC4525"/>
    <w:rsid w:val="00EC4FB9"/>
    <w:rsid w:val="00EC527C"/>
    <w:rsid w:val="00EC5393"/>
    <w:rsid w:val="00EC5741"/>
    <w:rsid w:val="00EC5DA3"/>
    <w:rsid w:val="00EC6014"/>
    <w:rsid w:val="00EC6565"/>
    <w:rsid w:val="00EC690B"/>
    <w:rsid w:val="00EC6B3E"/>
    <w:rsid w:val="00EC73DE"/>
    <w:rsid w:val="00EC7637"/>
    <w:rsid w:val="00EC7C07"/>
    <w:rsid w:val="00EC7CF2"/>
    <w:rsid w:val="00ED046C"/>
    <w:rsid w:val="00ED053A"/>
    <w:rsid w:val="00ED0653"/>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6B7"/>
    <w:rsid w:val="00ED69BA"/>
    <w:rsid w:val="00ED6C5A"/>
    <w:rsid w:val="00ED6D1A"/>
    <w:rsid w:val="00ED72E9"/>
    <w:rsid w:val="00ED732E"/>
    <w:rsid w:val="00ED77F0"/>
    <w:rsid w:val="00ED7FBC"/>
    <w:rsid w:val="00EE0253"/>
    <w:rsid w:val="00EE0297"/>
    <w:rsid w:val="00EE0B43"/>
    <w:rsid w:val="00EE1258"/>
    <w:rsid w:val="00EE13DA"/>
    <w:rsid w:val="00EE1668"/>
    <w:rsid w:val="00EE1C10"/>
    <w:rsid w:val="00EE1EDB"/>
    <w:rsid w:val="00EE23ED"/>
    <w:rsid w:val="00EE24E2"/>
    <w:rsid w:val="00EE2D51"/>
    <w:rsid w:val="00EE366D"/>
    <w:rsid w:val="00EE459F"/>
    <w:rsid w:val="00EE5454"/>
    <w:rsid w:val="00EE59B5"/>
    <w:rsid w:val="00EE5FA9"/>
    <w:rsid w:val="00EE5FB7"/>
    <w:rsid w:val="00EE6783"/>
    <w:rsid w:val="00EE678B"/>
    <w:rsid w:val="00EE6BF7"/>
    <w:rsid w:val="00EE7B54"/>
    <w:rsid w:val="00EE7C47"/>
    <w:rsid w:val="00EE7C88"/>
    <w:rsid w:val="00EE7C8B"/>
    <w:rsid w:val="00EF0209"/>
    <w:rsid w:val="00EF05F5"/>
    <w:rsid w:val="00EF0A58"/>
    <w:rsid w:val="00EF0EA4"/>
    <w:rsid w:val="00EF16B3"/>
    <w:rsid w:val="00EF1E97"/>
    <w:rsid w:val="00EF2436"/>
    <w:rsid w:val="00EF2547"/>
    <w:rsid w:val="00EF2B2B"/>
    <w:rsid w:val="00EF2E1C"/>
    <w:rsid w:val="00EF2FD6"/>
    <w:rsid w:val="00EF326A"/>
    <w:rsid w:val="00EF338A"/>
    <w:rsid w:val="00EF397D"/>
    <w:rsid w:val="00EF3A16"/>
    <w:rsid w:val="00EF3AE4"/>
    <w:rsid w:val="00EF427A"/>
    <w:rsid w:val="00EF42BD"/>
    <w:rsid w:val="00EF45DF"/>
    <w:rsid w:val="00EF46F3"/>
    <w:rsid w:val="00EF4944"/>
    <w:rsid w:val="00EF4952"/>
    <w:rsid w:val="00EF498F"/>
    <w:rsid w:val="00EF4A0F"/>
    <w:rsid w:val="00EF4A42"/>
    <w:rsid w:val="00EF510C"/>
    <w:rsid w:val="00EF55C4"/>
    <w:rsid w:val="00EF57BC"/>
    <w:rsid w:val="00EF5CA8"/>
    <w:rsid w:val="00EF6737"/>
    <w:rsid w:val="00EF6784"/>
    <w:rsid w:val="00EF688A"/>
    <w:rsid w:val="00EF6A03"/>
    <w:rsid w:val="00EF6DC2"/>
    <w:rsid w:val="00EF7506"/>
    <w:rsid w:val="00EF760B"/>
    <w:rsid w:val="00EF7BF4"/>
    <w:rsid w:val="00EF7E3B"/>
    <w:rsid w:val="00F0030F"/>
    <w:rsid w:val="00F00674"/>
    <w:rsid w:val="00F00720"/>
    <w:rsid w:val="00F01657"/>
    <w:rsid w:val="00F01E67"/>
    <w:rsid w:val="00F02744"/>
    <w:rsid w:val="00F02BD9"/>
    <w:rsid w:val="00F02BFD"/>
    <w:rsid w:val="00F02CC2"/>
    <w:rsid w:val="00F02D25"/>
    <w:rsid w:val="00F03C3D"/>
    <w:rsid w:val="00F03E3E"/>
    <w:rsid w:val="00F03FFC"/>
    <w:rsid w:val="00F0435D"/>
    <w:rsid w:val="00F04580"/>
    <w:rsid w:val="00F04ECA"/>
    <w:rsid w:val="00F04F8B"/>
    <w:rsid w:val="00F05E59"/>
    <w:rsid w:val="00F06E19"/>
    <w:rsid w:val="00F06F84"/>
    <w:rsid w:val="00F076E7"/>
    <w:rsid w:val="00F07A86"/>
    <w:rsid w:val="00F07AA1"/>
    <w:rsid w:val="00F07D64"/>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1773A"/>
    <w:rsid w:val="00F20259"/>
    <w:rsid w:val="00F20742"/>
    <w:rsid w:val="00F20931"/>
    <w:rsid w:val="00F20ECE"/>
    <w:rsid w:val="00F213A0"/>
    <w:rsid w:val="00F21B4B"/>
    <w:rsid w:val="00F21D54"/>
    <w:rsid w:val="00F21EF4"/>
    <w:rsid w:val="00F23113"/>
    <w:rsid w:val="00F23255"/>
    <w:rsid w:val="00F23393"/>
    <w:rsid w:val="00F23759"/>
    <w:rsid w:val="00F24644"/>
    <w:rsid w:val="00F24B27"/>
    <w:rsid w:val="00F252E7"/>
    <w:rsid w:val="00F258EB"/>
    <w:rsid w:val="00F25947"/>
    <w:rsid w:val="00F262D6"/>
    <w:rsid w:val="00F2674A"/>
    <w:rsid w:val="00F26CCF"/>
    <w:rsid w:val="00F26F33"/>
    <w:rsid w:val="00F270BB"/>
    <w:rsid w:val="00F273D5"/>
    <w:rsid w:val="00F2748A"/>
    <w:rsid w:val="00F300A8"/>
    <w:rsid w:val="00F302C6"/>
    <w:rsid w:val="00F30400"/>
    <w:rsid w:val="00F3073A"/>
    <w:rsid w:val="00F3079E"/>
    <w:rsid w:val="00F30FFD"/>
    <w:rsid w:val="00F31289"/>
    <w:rsid w:val="00F332E0"/>
    <w:rsid w:val="00F3399B"/>
    <w:rsid w:val="00F33F4B"/>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899"/>
    <w:rsid w:val="00F41D8B"/>
    <w:rsid w:val="00F42121"/>
    <w:rsid w:val="00F424B3"/>
    <w:rsid w:val="00F428B1"/>
    <w:rsid w:val="00F428B4"/>
    <w:rsid w:val="00F42FC5"/>
    <w:rsid w:val="00F4345D"/>
    <w:rsid w:val="00F4387B"/>
    <w:rsid w:val="00F45921"/>
    <w:rsid w:val="00F45B91"/>
    <w:rsid w:val="00F46639"/>
    <w:rsid w:val="00F46E5D"/>
    <w:rsid w:val="00F476FD"/>
    <w:rsid w:val="00F50183"/>
    <w:rsid w:val="00F50D92"/>
    <w:rsid w:val="00F51585"/>
    <w:rsid w:val="00F5161D"/>
    <w:rsid w:val="00F51765"/>
    <w:rsid w:val="00F51A51"/>
    <w:rsid w:val="00F51BC6"/>
    <w:rsid w:val="00F51CB4"/>
    <w:rsid w:val="00F52324"/>
    <w:rsid w:val="00F52950"/>
    <w:rsid w:val="00F52C9D"/>
    <w:rsid w:val="00F533F1"/>
    <w:rsid w:val="00F53ED8"/>
    <w:rsid w:val="00F55185"/>
    <w:rsid w:val="00F554B1"/>
    <w:rsid w:val="00F55679"/>
    <w:rsid w:val="00F558F7"/>
    <w:rsid w:val="00F561E3"/>
    <w:rsid w:val="00F565E6"/>
    <w:rsid w:val="00F56AFA"/>
    <w:rsid w:val="00F575E2"/>
    <w:rsid w:val="00F57747"/>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4F40"/>
    <w:rsid w:val="00F65A3C"/>
    <w:rsid w:val="00F66009"/>
    <w:rsid w:val="00F66282"/>
    <w:rsid w:val="00F6639E"/>
    <w:rsid w:val="00F670E9"/>
    <w:rsid w:val="00F67AF1"/>
    <w:rsid w:val="00F67D8B"/>
    <w:rsid w:val="00F700AE"/>
    <w:rsid w:val="00F701C5"/>
    <w:rsid w:val="00F7084F"/>
    <w:rsid w:val="00F70961"/>
    <w:rsid w:val="00F70A8F"/>
    <w:rsid w:val="00F70E45"/>
    <w:rsid w:val="00F70F53"/>
    <w:rsid w:val="00F71263"/>
    <w:rsid w:val="00F71397"/>
    <w:rsid w:val="00F7237C"/>
    <w:rsid w:val="00F72389"/>
    <w:rsid w:val="00F72516"/>
    <w:rsid w:val="00F72FB4"/>
    <w:rsid w:val="00F734AA"/>
    <w:rsid w:val="00F735E5"/>
    <w:rsid w:val="00F736AF"/>
    <w:rsid w:val="00F73B82"/>
    <w:rsid w:val="00F73E80"/>
    <w:rsid w:val="00F7469C"/>
    <w:rsid w:val="00F7492E"/>
    <w:rsid w:val="00F74945"/>
    <w:rsid w:val="00F749A3"/>
    <w:rsid w:val="00F74AE8"/>
    <w:rsid w:val="00F75348"/>
    <w:rsid w:val="00F753DD"/>
    <w:rsid w:val="00F76C11"/>
    <w:rsid w:val="00F77021"/>
    <w:rsid w:val="00F770AB"/>
    <w:rsid w:val="00F77E61"/>
    <w:rsid w:val="00F80221"/>
    <w:rsid w:val="00F80A0A"/>
    <w:rsid w:val="00F80C81"/>
    <w:rsid w:val="00F812CA"/>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F01"/>
    <w:rsid w:val="00F87144"/>
    <w:rsid w:val="00F87634"/>
    <w:rsid w:val="00F87948"/>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4A5D"/>
    <w:rsid w:val="00F952E4"/>
    <w:rsid w:val="00F9537B"/>
    <w:rsid w:val="00F96079"/>
    <w:rsid w:val="00F963FC"/>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5EC2"/>
    <w:rsid w:val="00FA60C1"/>
    <w:rsid w:val="00FA65A3"/>
    <w:rsid w:val="00FA6F8B"/>
    <w:rsid w:val="00FA727C"/>
    <w:rsid w:val="00FA7A30"/>
    <w:rsid w:val="00FA7ED7"/>
    <w:rsid w:val="00FB033F"/>
    <w:rsid w:val="00FB0880"/>
    <w:rsid w:val="00FB12E3"/>
    <w:rsid w:val="00FB1570"/>
    <w:rsid w:val="00FB193B"/>
    <w:rsid w:val="00FB1B51"/>
    <w:rsid w:val="00FB1FBC"/>
    <w:rsid w:val="00FB27B7"/>
    <w:rsid w:val="00FB282A"/>
    <w:rsid w:val="00FB35E3"/>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196"/>
    <w:rsid w:val="00FC157D"/>
    <w:rsid w:val="00FC15EB"/>
    <w:rsid w:val="00FC162C"/>
    <w:rsid w:val="00FC18DC"/>
    <w:rsid w:val="00FC1CCE"/>
    <w:rsid w:val="00FC2477"/>
    <w:rsid w:val="00FC2AC4"/>
    <w:rsid w:val="00FC2F73"/>
    <w:rsid w:val="00FC325F"/>
    <w:rsid w:val="00FC3A9B"/>
    <w:rsid w:val="00FC3AE1"/>
    <w:rsid w:val="00FC3BC5"/>
    <w:rsid w:val="00FC3DFC"/>
    <w:rsid w:val="00FC3EF4"/>
    <w:rsid w:val="00FC431B"/>
    <w:rsid w:val="00FC434C"/>
    <w:rsid w:val="00FC472C"/>
    <w:rsid w:val="00FC4FDF"/>
    <w:rsid w:val="00FC5CF4"/>
    <w:rsid w:val="00FC5D64"/>
    <w:rsid w:val="00FC6A39"/>
    <w:rsid w:val="00FC6DB9"/>
    <w:rsid w:val="00FC6EDA"/>
    <w:rsid w:val="00FC76A9"/>
    <w:rsid w:val="00FC76BF"/>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145"/>
    <w:rsid w:val="00FD6DC5"/>
    <w:rsid w:val="00FD72B1"/>
    <w:rsid w:val="00FD798D"/>
    <w:rsid w:val="00FD7B9B"/>
    <w:rsid w:val="00FE141E"/>
    <w:rsid w:val="00FE144E"/>
    <w:rsid w:val="00FE1768"/>
    <w:rsid w:val="00FE1DD5"/>
    <w:rsid w:val="00FE21A6"/>
    <w:rsid w:val="00FE24F4"/>
    <w:rsid w:val="00FE2560"/>
    <w:rsid w:val="00FE2E21"/>
    <w:rsid w:val="00FE2FD5"/>
    <w:rsid w:val="00FE35D0"/>
    <w:rsid w:val="00FE42ED"/>
    <w:rsid w:val="00FE43AD"/>
    <w:rsid w:val="00FE4E06"/>
    <w:rsid w:val="00FE55A7"/>
    <w:rsid w:val="00FE5C5A"/>
    <w:rsid w:val="00FE6432"/>
    <w:rsid w:val="00FE72A0"/>
    <w:rsid w:val="00FE76EB"/>
    <w:rsid w:val="00FF0050"/>
    <w:rsid w:val="00FF045F"/>
    <w:rsid w:val="00FF0650"/>
    <w:rsid w:val="00FF1367"/>
    <w:rsid w:val="00FF13D4"/>
    <w:rsid w:val="00FF1481"/>
    <w:rsid w:val="00FF2053"/>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0B1F7ED5"/>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18411912">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nuestra_entidad/normatividad/normatividad_conceptos_juridicos/OFICIO_220-014111_DE_2015.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F9781017-FE13-4310-A2C0-61AF5501659B}"/>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25</Pages>
  <Words>9377</Words>
  <Characters>51575</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Colombia Compra Eficiente</cp:lastModifiedBy>
  <cp:revision>3</cp:revision>
  <cp:lastPrinted>2021-01-20T13:01:00Z</cp:lastPrinted>
  <dcterms:created xsi:type="dcterms:W3CDTF">2022-03-22T19:30:00Z</dcterms:created>
  <dcterms:modified xsi:type="dcterms:W3CDTF">2022-03-22T19:31:00Z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